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020" w:type="dxa"/>
        <w:jc w:val="center"/>
        <w:tblLayout w:type="fixed"/>
        <w:tblLook w:val="04A0" w:firstRow="1" w:lastRow="0" w:firstColumn="1" w:lastColumn="0" w:noHBand="0" w:noVBand="1"/>
      </w:tblPr>
      <w:tblGrid>
        <w:gridCol w:w="7020"/>
      </w:tblGrid>
      <w:tr w:rsidR="00FA68D9" w:rsidRPr="00ED4D59" w14:paraId="1709CCC6" w14:textId="77777777" w:rsidTr="003909F0">
        <w:trPr>
          <w:trHeight w:val="3566"/>
          <w:jc w:val="center"/>
        </w:trPr>
        <w:tc>
          <w:tcPr>
            <w:tcW w:w="7020" w:type="dxa"/>
          </w:tcPr>
          <w:p w14:paraId="33D8523D" w14:textId="2EFF265F" w:rsidR="001B5075" w:rsidRPr="000748C0" w:rsidRDefault="001B5075" w:rsidP="00EE2BEC">
            <w:pPr>
              <w:tabs>
                <w:tab w:val="clear" w:pos="567"/>
              </w:tabs>
              <w:snapToGrid/>
              <w:spacing w:before="120" w:after="240"/>
              <w:jc w:val="center"/>
              <w:rPr>
                <w:rFonts w:ascii="Arial" w:hAnsi="Arial" w:cs="Arial"/>
                <w:bCs/>
                <w:sz w:val="22"/>
                <w:szCs w:val="22"/>
                <w:u w:val="single"/>
                <w:lang w:val="es-ES"/>
              </w:rPr>
            </w:pPr>
            <w:r w:rsidRPr="008901CD">
              <w:rPr>
                <w:rFonts w:ascii="Arial" w:eastAsia="Times New Roman" w:hAnsi="Arial"/>
                <w:sz w:val="22"/>
                <w:u w:val="single"/>
                <w:lang w:val="es-ES" w:eastAsia="en-US"/>
              </w:rPr>
              <w:t>Resumen</w:t>
            </w:r>
          </w:p>
          <w:p w14:paraId="3613CB33" w14:textId="77777777" w:rsidR="00EE2BEC" w:rsidRPr="006E0C74" w:rsidRDefault="00EE2BEC" w:rsidP="00EE2BEC">
            <w:pPr>
              <w:spacing w:after="240"/>
              <w:jc w:val="both"/>
              <w:rPr>
                <w:rFonts w:ascii="Arial" w:hAnsi="Arial" w:cs="Arial"/>
                <w:b/>
                <w:bCs/>
                <w:sz w:val="22"/>
                <w:szCs w:val="22"/>
                <w:lang w:val="es-ES"/>
              </w:rPr>
            </w:pPr>
            <w:r w:rsidRPr="006E0C74">
              <w:rPr>
                <w:rFonts w:ascii="Arial" w:hAnsi="Arial" w:cs="Arial"/>
                <w:color w:val="000000"/>
                <w:sz w:val="22"/>
                <w:szCs w:val="22"/>
                <w:lang w:val="es-ES"/>
              </w:rPr>
              <w:t xml:space="preserve">De conformidad con la resolución EC-57/2 (2024) de la COI, en el presente documento se somete al examen de los Estados Miembros una propuesta actualizada del resumen de las medidas que deberán adoptarse en respuesta a la evaluación del posicionamiento estratégico de la COI realizada por la División de Servicios de Supervisión Interna de la UNESCO en 2021. </w:t>
            </w:r>
          </w:p>
          <w:p w14:paraId="6C050125" w14:textId="3067277D" w:rsidR="00FA68D9" w:rsidRPr="000748C0" w:rsidRDefault="00EE2BEC" w:rsidP="00EE2BEC">
            <w:pPr>
              <w:tabs>
                <w:tab w:val="clear" w:pos="567"/>
              </w:tabs>
              <w:snapToGrid/>
              <w:spacing w:after="120"/>
              <w:rPr>
                <w:rFonts w:ascii="Arial" w:hAnsi="Arial" w:cs="Arial"/>
                <w:b/>
                <w:bCs/>
                <w:sz w:val="22"/>
                <w:szCs w:val="22"/>
                <w:lang w:val="es-ES"/>
              </w:rPr>
            </w:pPr>
            <w:r w:rsidRPr="006E0C74">
              <w:rPr>
                <w:rFonts w:ascii="Arial" w:hAnsi="Arial" w:cs="Arial"/>
                <w:color w:val="000000"/>
                <w:sz w:val="22"/>
                <w:szCs w:val="22"/>
                <w:u w:val="single"/>
                <w:lang w:val="es-ES"/>
              </w:rPr>
              <w:t>Decisión propuesta</w:t>
            </w:r>
            <w:r w:rsidRPr="006E0C74">
              <w:rPr>
                <w:rFonts w:ascii="Arial" w:hAnsi="Arial" w:cs="Arial"/>
                <w:color w:val="000000"/>
                <w:sz w:val="22"/>
                <w:szCs w:val="22"/>
                <w:lang w:val="es-ES"/>
              </w:rPr>
              <w:t xml:space="preserve">: el proyecto de decisión lleva la referencia </w:t>
            </w:r>
            <w:proofErr w:type="spellStart"/>
            <w:r w:rsidRPr="006E0C74">
              <w:rPr>
                <w:rFonts w:ascii="Arial" w:hAnsi="Arial" w:cs="Arial"/>
                <w:color w:val="000000"/>
                <w:sz w:val="22"/>
                <w:szCs w:val="22"/>
                <w:lang w:val="es-ES"/>
              </w:rPr>
              <w:t>Dec</w:t>
            </w:r>
            <w:proofErr w:type="spellEnd"/>
            <w:r w:rsidRPr="006E0C74">
              <w:rPr>
                <w:rFonts w:ascii="Arial" w:hAnsi="Arial" w:cs="Arial"/>
                <w:color w:val="000000"/>
                <w:sz w:val="22"/>
                <w:szCs w:val="22"/>
                <w:lang w:val="es-ES"/>
              </w:rPr>
              <w:t>. IOC-33/5.2 en el documento de decisión provisional (documento IOC-33/AP). La decisión figurará en el proyecto de resolución que el Comité de Finanzas someterá a la aprobación de la Asamblea en el marco del punto 5.4, de conformidad con el párrafo 15 del proyecto de directrices revisadas para la preparación y el examen de los proyectos de resolución (</w:t>
            </w:r>
            <w:hyperlink r:id="rId8" w:history="1">
              <w:r w:rsidRPr="006E0C74">
                <w:rPr>
                  <w:rStyle w:val="Hyperlink"/>
                  <w:rFonts w:ascii="Arial" w:hAnsi="Arial" w:cs="Arial"/>
                  <w:sz w:val="22"/>
                  <w:szCs w:val="22"/>
                  <w:lang w:val="es-ES"/>
                </w:rPr>
                <w:t>IOC/INF-1315</w:t>
              </w:r>
            </w:hyperlink>
            <w:r w:rsidRPr="006E0C74">
              <w:rPr>
                <w:rFonts w:ascii="Arial" w:hAnsi="Arial" w:cs="Arial"/>
                <w:color w:val="000000"/>
                <w:sz w:val="22"/>
                <w:szCs w:val="22"/>
                <w:lang w:val="es-ES"/>
              </w:rPr>
              <w:t>).</w:t>
            </w:r>
          </w:p>
        </w:tc>
      </w:tr>
    </w:tbl>
    <w:p w14:paraId="116F0AD2" w14:textId="17320146" w:rsidR="00EE2BEC" w:rsidRPr="006E0C74" w:rsidRDefault="00EE2BEC" w:rsidP="00EE2BEC">
      <w:pPr>
        <w:pStyle w:val="ListParagraph"/>
        <w:numPr>
          <w:ilvl w:val="0"/>
          <w:numId w:val="37"/>
        </w:numPr>
        <w:tabs>
          <w:tab w:val="clear" w:pos="567"/>
          <w:tab w:val="left" w:pos="851"/>
        </w:tabs>
        <w:spacing w:before="240" w:after="240"/>
        <w:ind w:left="0" w:firstLine="0"/>
        <w:contextualSpacing w:val="0"/>
        <w:jc w:val="both"/>
        <w:rPr>
          <w:rFonts w:ascii="Arial" w:hAnsi="Arial" w:cs="Arial"/>
          <w:sz w:val="22"/>
          <w:szCs w:val="22"/>
          <w:lang w:val="es-ES"/>
        </w:rPr>
      </w:pPr>
      <w:r w:rsidRPr="006E0C74">
        <w:rPr>
          <w:rFonts w:ascii="Arial" w:hAnsi="Arial" w:cs="Arial"/>
          <w:sz w:val="22"/>
          <w:szCs w:val="22"/>
          <w:lang w:val="es-ES"/>
        </w:rPr>
        <w:t xml:space="preserve">En septiembre de 2021, la División de Servicios de Supervisión Interna de la UNESCO publicó la </w:t>
      </w:r>
      <w:r w:rsidRPr="006E0C74">
        <w:rPr>
          <w:rFonts w:ascii="Arial" w:hAnsi="Arial" w:cs="Arial"/>
          <w:i/>
          <w:iCs/>
          <w:sz w:val="22"/>
          <w:szCs w:val="22"/>
          <w:lang w:val="es-ES"/>
        </w:rPr>
        <w:t>Evaluación del posicionamiento estratégico de la COI de la UNESCO</w:t>
      </w:r>
      <w:r w:rsidRPr="006E0C74">
        <w:rPr>
          <w:rFonts w:ascii="Arial" w:hAnsi="Arial" w:cs="Arial"/>
          <w:sz w:val="22"/>
          <w:szCs w:val="22"/>
          <w:lang w:val="es-ES"/>
        </w:rPr>
        <w:t xml:space="preserve"> (</w:t>
      </w:r>
      <w:hyperlink r:id="rId9" w:history="1">
        <w:r w:rsidRPr="006E0C74">
          <w:rPr>
            <w:rStyle w:val="Hyperlink"/>
            <w:rFonts w:ascii="Arial" w:hAnsi="Arial" w:cs="Arial"/>
            <w:sz w:val="22"/>
            <w:szCs w:val="22"/>
            <w:lang w:val="es-ES"/>
          </w:rPr>
          <w:t>IOS/EVS/PI/197</w:t>
        </w:r>
      </w:hyperlink>
      <w:r w:rsidRPr="006E0C74">
        <w:rPr>
          <w:rFonts w:ascii="Arial" w:hAnsi="Arial" w:cs="Arial"/>
          <w:sz w:val="22"/>
          <w:szCs w:val="22"/>
          <w:lang w:val="es-ES"/>
        </w:rPr>
        <w:t xml:space="preserve">) (en adelante, </w:t>
      </w:r>
      <w:r>
        <w:rPr>
          <w:rFonts w:ascii="Arial" w:hAnsi="Arial" w:cs="Arial"/>
          <w:sz w:val="22"/>
          <w:szCs w:val="22"/>
          <w:lang w:val="es-ES"/>
        </w:rPr>
        <w:t>“</w:t>
      </w:r>
      <w:r w:rsidRPr="006E0C74">
        <w:rPr>
          <w:rFonts w:ascii="Arial" w:hAnsi="Arial" w:cs="Arial"/>
          <w:sz w:val="22"/>
          <w:szCs w:val="22"/>
          <w:lang w:val="es-ES"/>
        </w:rPr>
        <w:t>la evaluación</w:t>
      </w:r>
      <w:r>
        <w:rPr>
          <w:rFonts w:ascii="Arial" w:hAnsi="Arial" w:cs="Arial"/>
          <w:sz w:val="22"/>
          <w:szCs w:val="22"/>
          <w:lang w:val="es-ES"/>
        </w:rPr>
        <w:t>”</w:t>
      </w:r>
      <w:r w:rsidRPr="006E0C74">
        <w:rPr>
          <w:rFonts w:ascii="Arial" w:hAnsi="Arial" w:cs="Arial"/>
          <w:sz w:val="22"/>
          <w:szCs w:val="22"/>
          <w:lang w:val="es-ES"/>
        </w:rPr>
        <w:t>). Esta incluía un conjunto de seis recomendaciones y medidas propuestas. Las principales conclusiones de la evaluación y la respuesta de la dirección se presentaron al Consejo Ejecutivo de la UNESCO en su 212ª reunión (</w:t>
      </w:r>
      <w:hyperlink r:id="rId10" w:history="1">
        <w:r w:rsidRPr="0090597B">
          <w:rPr>
            <w:rStyle w:val="Hyperlink"/>
            <w:rFonts w:ascii="Arial" w:hAnsi="Arial" w:cs="Arial"/>
            <w:sz w:val="22"/>
            <w:szCs w:val="22"/>
            <w:lang w:val="es-ES"/>
          </w:rPr>
          <w:t>212 EX/9</w:t>
        </w:r>
      </w:hyperlink>
      <w:r w:rsidRPr="006E0C74">
        <w:rPr>
          <w:rFonts w:ascii="Arial" w:hAnsi="Arial" w:cs="Arial"/>
          <w:sz w:val="22"/>
          <w:szCs w:val="22"/>
          <w:lang w:val="es-ES"/>
        </w:rPr>
        <w:t>).</w:t>
      </w:r>
    </w:p>
    <w:p w14:paraId="6BFEDA6D" w14:textId="7B324BCC" w:rsidR="00EE2BEC" w:rsidRPr="006E0C74" w:rsidRDefault="00EE2BEC" w:rsidP="00EE2BEC">
      <w:pPr>
        <w:pStyle w:val="ListParagraph"/>
        <w:numPr>
          <w:ilvl w:val="0"/>
          <w:numId w:val="37"/>
        </w:numPr>
        <w:tabs>
          <w:tab w:val="clear" w:pos="567"/>
          <w:tab w:val="left" w:pos="851"/>
        </w:tabs>
        <w:spacing w:after="240"/>
        <w:ind w:left="0" w:firstLine="0"/>
        <w:contextualSpacing w:val="0"/>
        <w:jc w:val="both"/>
        <w:rPr>
          <w:rFonts w:ascii="Arial" w:hAnsi="Arial" w:cs="Arial"/>
          <w:sz w:val="22"/>
          <w:szCs w:val="22"/>
          <w:lang w:val="es-ES"/>
        </w:rPr>
      </w:pPr>
      <w:r w:rsidRPr="006E0C74">
        <w:rPr>
          <w:rFonts w:ascii="Arial" w:hAnsi="Arial" w:cs="Arial"/>
          <w:sz w:val="22"/>
          <w:szCs w:val="22"/>
          <w:lang w:val="es-ES"/>
        </w:rPr>
        <w:t xml:space="preserve">El primer proyecto de plan de acción se presentó al Consejo Ejecutivo de la COI en su 55ª reunión, en junio de 2022, en el documento </w:t>
      </w:r>
      <w:hyperlink r:id="rId11" w:history="1">
        <w:r w:rsidRPr="0090597B">
          <w:rPr>
            <w:rStyle w:val="Hyperlink"/>
            <w:rFonts w:ascii="Arial" w:hAnsi="Arial" w:cs="Arial"/>
            <w:sz w:val="22"/>
            <w:szCs w:val="22"/>
            <w:lang w:val="es-ES"/>
          </w:rPr>
          <w:t>IOC/EC-55/3.2Doc.(1)</w:t>
        </w:r>
      </w:hyperlink>
      <w:r w:rsidRPr="006E0C74">
        <w:rPr>
          <w:rFonts w:ascii="Arial" w:hAnsi="Arial" w:cs="Arial"/>
          <w:sz w:val="22"/>
          <w:szCs w:val="22"/>
          <w:lang w:val="es-ES"/>
        </w:rPr>
        <w:t xml:space="preserve">. Tras </w:t>
      </w:r>
      <w:r>
        <w:rPr>
          <w:rFonts w:ascii="Arial" w:hAnsi="Arial" w:cs="Arial"/>
          <w:sz w:val="22"/>
          <w:szCs w:val="22"/>
          <w:lang w:val="es-ES"/>
        </w:rPr>
        <w:t>la valoración</w:t>
      </w:r>
      <w:r w:rsidRPr="006E0C74">
        <w:rPr>
          <w:rFonts w:ascii="Arial" w:hAnsi="Arial" w:cs="Arial"/>
          <w:sz w:val="22"/>
          <w:szCs w:val="22"/>
          <w:lang w:val="es-ES"/>
        </w:rPr>
        <w:t xml:space="preserve"> positiva del proyecto por parte del Consejo Ejecutivo de la COI y previa consulta de los Estados Miembros mediante la circular de la COI </w:t>
      </w:r>
      <w:proofErr w:type="spellStart"/>
      <w:r w:rsidRPr="006E0C74">
        <w:rPr>
          <w:rFonts w:ascii="Arial" w:hAnsi="Arial" w:cs="Arial"/>
          <w:sz w:val="22"/>
          <w:szCs w:val="22"/>
          <w:lang w:val="es-ES"/>
        </w:rPr>
        <w:t>nº</w:t>
      </w:r>
      <w:proofErr w:type="spellEnd"/>
      <w:r w:rsidRPr="006E0C74">
        <w:rPr>
          <w:rFonts w:ascii="Arial" w:hAnsi="Arial" w:cs="Arial"/>
          <w:sz w:val="22"/>
          <w:szCs w:val="22"/>
          <w:lang w:val="es-ES"/>
        </w:rPr>
        <w:t xml:space="preserve"> </w:t>
      </w:r>
      <w:hyperlink r:id="rId12" w:history="1">
        <w:r w:rsidRPr="0090597B">
          <w:rPr>
            <w:rStyle w:val="Hyperlink"/>
            <w:rFonts w:ascii="Arial" w:hAnsi="Arial" w:cs="Arial"/>
            <w:sz w:val="22"/>
            <w:szCs w:val="22"/>
            <w:lang w:val="es-ES"/>
          </w:rPr>
          <w:t>2912</w:t>
        </w:r>
      </w:hyperlink>
      <w:r w:rsidRPr="006E0C74">
        <w:rPr>
          <w:rFonts w:ascii="Arial" w:hAnsi="Arial" w:cs="Arial"/>
          <w:sz w:val="22"/>
          <w:szCs w:val="22"/>
          <w:lang w:val="es-ES"/>
        </w:rPr>
        <w:t>, el plan de acción (IOC/A-32/6.3.Doc(1)) fue examinado por la Asamblea de la COI en su 32ª reunión, en junio de 2023. En su resolución A</w:t>
      </w:r>
      <w:r>
        <w:rPr>
          <w:rFonts w:ascii="Arial" w:hAnsi="Arial" w:cs="Arial"/>
          <w:sz w:val="22"/>
          <w:szCs w:val="22"/>
          <w:lang w:val="es-ES"/>
        </w:rPr>
        <w:t>-</w:t>
      </w:r>
      <w:r w:rsidRPr="006E0C74">
        <w:rPr>
          <w:rFonts w:ascii="Arial" w:hAnsi="Arial" w:cs="Arial"/>
          <w:sz w:val="22"/>
          <w:szCs w:val="22"/>
          <w:lang w:val="es-ES"/>
        </w:rPr>
        <w:t xml:space="preserve">32/4, la Asamblea pidió al Secretario Ejecutivo de la COI que </w:t>
      </w:r>
      <w:r>
        <w:rPr>
          <w:rFonts w:ascii="Arial" w:hAnsi="Arial" w:cs="Arial"/>
          <w:sz w:val="22"/>
          <w:szCs w:val="22"/>
          <w:lang w:val="es-ES"/>
        </w:rPr>
        <w:t>“</w:t>
      </w:r>
      <w:r w:rsidRPr="006E0C74">
        <w:rPr>
          <w:rFonts w:ascii="Arial" w:hAnsi="Arial" w:cs="Arial"/>
          <w:i/>
          <w:iCs/>
          <w:sz w:val="22"/>
          <w:szCs w:val="22"/>
          <w:lang w:val="es-ES"/>
        </w:rPr>
        <w:t>[llevara] adelante su aplicación teniendo en cuenta la evolución de la situación de la COI, incluidos los recursos disponibles, proponiendo ajustes en consecuencia e informando sobre los progresos realizados a los órganos rectores de la COI y de la</w:t>
      </w:r>
      <w:r w:rsidR="003909F0">
        <w:rPr>
          <w:rFonts w:ascii="Arial" w:hAnsi="Arial" w:cs="Arial"/>
          <w:i/>
          <w:iCs/>
          <w:sz w:val="22"/>
          <w:szCs w:val="22"/>
          <w:lang w:val="es-ES"/>
        </w:rPr>
        <w:t> </w:t>
      </w:r>
      <w:r w:rsidRPr="006E0C74">
        <w:rPr>
          <w:rFonts w:ascii="Arial" w:hAnsi="Arial" w:cs="Arial"/>
          <w:i/>
          <w:iCs/>
          <w:sz w:val="22"/>
          <w:szCs w:val="22"/>
          <w:lang w:val="es-ES"/>
        </w:rPr>
        <w:t>UNESCO</w:t>
      </w:r>
      <w:r>
        <w:rPr>
          <w:rFonts w:ascii="Arial" w:hAnsi="Arial" w:cs="Arial"/>
          <w:sz w:val="22"/>
          <w:szCs w:val="22"/>
          <w:lang w:val="es-ES"/>
        </w:rPr>
        <w:t>”</w:t>
      </w:r>
      <w:r w:rsidRPr="006E0C74">
        <w:rPr>
          <w:rFonts w:ascii="Arial" w:hAnsi="Arial" w:cs="Arial"/>
          <w:sz w:val="22"/>
          <w:szCs w:val="22"/>
          <w:lang w:val="es-ES"/>
        </w:rPr>
        <w:t xml:space="preserve">. El Consejo Ejecutivo de la COI, en su 57ª reunión, examinó el documento </w:t>
      </w:r>
      <w:hyperlink r:id="rId13" w:history="1">
        <w:r w:rsidRPr="0090597B">
          <w:rPr>
            <w:rStyle w:val="Hyperlink"/>
            <w:rFonts w:ascii="Arial" w:hAnsi="Arial" w:cs="Arial"/>
            <w:sz w:val="22"/>
            <w:szCs w:val="22"/>
            <w:lang w:val="es-ES"/>
          </w:rPr>
          <w:t>IOC/EC-</w:t>
        </w:r>
        <w:r w:rsidRPr="0090597B">
          <w:rPr>
            <w:rStyle w:val="Hyperlink"/>
            <w:rFonts w:ascii="Arial" w:hAnsi="Arial" w:cs="Arial"/>
            <w:sz w:val="22"/>
            <w:szCs w:val="22"/>
            <w:lang w:val="es-ES"/>
          </w:rPr>
          <w:lastRenderedPageBreak/>
          <w:t>57/5.2.Doc(1)</w:t>
        </w:r>
      </w:hyperlink>
      <w:r w:rsidRPr="006E0C74">
        <w:rPr>
          <w:rFonts w:ascii="Arial" w:hAnsi="Arial" w:cs="Arial"/>
          <w:sz w:val="22"/>
          <w:szCs w:val="22"/>
          <w:lang w:val="es-ES"/>
        </w:rPr>
        <w:t xml:space="preserve"> y decidió que </w:t>
      </w:r>
      <w:r>
        <w:rPr>
          <w:rFonts w:ascii="Arial" w:hAnsi="Arial" w:cs="Arial"/>
          <w:sz w:val="22"/>
          <w:szCs w:val="22"/>
          <w:lang w:val="es-ES"/>
        </w:rPr>
        <w:t>“</w:t>
      </w:r>
      <w:r w:rsidRPr="006E0C74">
        <w:rPr>
          <w:rFonts w:ascii="Arial" w:hAnsi="Arial" w:cs="Arial"/>
          <w:i/>
          <w:iCs/>
          <w:sz w:val="22"/>
          <w:szCs w:val="22"/>
          <w:lang w:val="es-ES"/>
        </w:rPr>
        <w:t xml:space="preserve">si bien algunas medidas ya se </w:t>
      </w:r>
      <w:r>
        <w:rPr>
          <w:rFonts w:ascii="Arial" w:hAnsi="Arial" w:cs="Arial"/>
          <w:i/>
          <w:iCs/>
          <w:sz w:val="22"/>
          <w:szCs w:val="22"/>
          <w:lang w:val="es-ES"/>
        </w:rPr>
        <w:t>[</w:t>
      </w:r>
      <w:r w:rsidRPr="006E0C74">
        <w:rPr>
          <w:rFonts w:ascii="Arial" w:hAnsi="Arial" w:cs="Arial"/>
          <w:i/>
          <w:iCs/>
          <w:sz w:val="22"/>
          <w:szCs w:val="22"/>
          <w:lang w:val="es-ES"/>
        </w:rPr>
        <w:t>ha</w:t>
      </w:r>
      <w:r>
        <w:rPr>
          <w:rFonts w:ascii="Arial" w:hAnsi="Arial" w:cs="Arial"/>
          <w:i/>
          <w:iCs/>
          <w:sz w:val="22"/>
          <w:szCs w:val="22"/>
          <w:lang w:val="es-ES"/>
        </w:rPr>
        <w:t>bía</w:t>
      </w:r>
      <w:r w:rsidRPr="006E0C74">
        <w:rPr>
          <w:rFonts w:ascii="Arial" w:hAnsi="Arial" w:cs="Arial"/>
          <w:i/>
          <w:iCs/>
          <w:sz w:val="22"/>
          <w:szCs w:val="22"/>
          <w:lang w:val="es-ES"/>
        </w:rPr>
        <w:t>n</w:t>
      </w:r>
      <w:r>
        <w:rPr>
          <w:rFonts w:ascii="Arial" w:hAnsi="Arial" w:cs="Arial"/>
          <w:i/>
          <w:iCs/>
          <w:sz w:val="22"/>
          <w:szCs w:val="22"/>
          <w:lang w:val="es-ES"/>
        </w:rPr>
        <w:t>]</w:t>
      </w:r>
      <w:r w:rsidRPr="006E0C74">
        <w:rPr>
          <w:rFonts w:ascii="Arial" w:hAnsi="Arial" w:cs="Arial"/>
          <w:i/>
          <w:iCs/>
          <w:sz w:val="22"/>
          <w:szCs w:val="22"/>
          <w:lang w:val="es-ES"/>
        </w:rPr>
        <w:t xml:space="preserve"> ejecutado y otras </w:t>
      </w:r>
      <w:r>
        <w:rPr>
          <w:rFonts w:ascii="Arial" w:hAnsi="Arial" w:cs="Arial"/>
          <w:i/>
          <w:iCs/>
          <w:sz w:val="22"/>
          <w:szCs w:val="22"/>
          <w:lang w:val="es-ES"/>
        </w:rPr>
        <w:t>[</w:t>
      </w:r>
      <w:r w:rsidRPr="006E0C74">
        <w:rPr>
          <w:rFonts w:ascii="Arial" w:hAnsi="Arial" w:cs="Arial"/>
          <w:i/>
          <w:iCs/>
          <w:sz w:val="22"/>
          <w:szCs w:val="22"/>
          <w:lang w:val="es-ES"/>
        </w:rPr>
        <w:t>est</w:t>
      </w:r>
      <w:r>
        <w:rPr>
          <w:rFonts w:ascii="Arial" w:hAnsi="Arial" w:cs="Arial"/>
          <w:i/>
          <w:iCs/>
          <w:sz w:val="22"/>
          <w:szCs w:val="22"/>
          <w:lang w:val="es-ES"/>
        </w:rPr>
        <w:t>aba</w:t>
      </w:r>
      <w:r w:rsidRPr="006E0C74">
        <w:rPr>
          <w:rFonts w:ascii="Arial" w:hAnsi="Arial" w:cs="Arial"/>
          <w:i/>
          <w:iCs/>
          <w:sz w:val="22"/>
          <w:szCs w:val="22"/>
          <w:lang w:val="es-ES"/>
        </w:rPr>
        <w:t>n</w:t>
      </w:r>
      <w:r>
        <w:rPr>
          <w:rFonts w:ascii="Arial" w:hAnsi="Arial" w:cs="Arial"/>
          <w:i/>
          <w:iCs/>
          <w:sz w:val="22"/>
          <w:szCs w:val="22"/>
          <w:lang w:val="es-ES"/>
        </w:rPr>
        <w:t>]</w:t>
      </w:r>
      <w:r w:rsidRPr="006E0C74">
        <w:rPr>
          <w:rFonts w:ascii="Arial" w:hAnsi="Arial" w:cs="Arial"/>
          <w:i/>
          <w:iCs/>
          <w:sz w:val="22"/>
          <w:szCs w:val="22"/>
          <w:lang w:val="es-ES"/>
        </w:rPr>
        <w:t xml:space="preserve"> en curso, varias medidas estratégicas </w:t>
      </w:r>
      <w:r>
        <w:rPr>
          <w:rFonts w:ascii="Arial" w:hAnsi="Arial" w:cs="Arial"/>
          <w:i/>
          <w:iCs/>
          <w:sz w:val="22"/>
          <w:szCs w:val="22"/>
          <w:lang w:val="es-ES"/>
        </w:rPr>
        <w:t>[</w:t>
      </w:r>
      <w:r w:rsidRPr="006E0C74">
        <w:rPr>
          <w:rFonts w:ascii="Arial" w:hAnsi="Arial" w:cs="Arial"/>
          <w:i/>
          <w:iCs/>
          <w:sz w:val="22"/>
          <w:szCs w:val="22"/>
          <w:lang w:val="es-ES"/>
        </w:rPr>
        <w:t>requerir</w:t>
      </w:r>
      <w:r>
        <w:rPr>
          <w:rFonts w:ascii="Arial" w:hAnsi="Arial" w:cs="Arial"/>
          <w:i/>
          <w:iCs/>
          <w:sz w:val="22"/>
          <w:szCs w:val="22"/>
          <w:lang w:val="es-ES"/>
        </w:rPr>
        <w:t>ía</w:t>
      </w:r>
      <w:r w:rsidRPr="006E0C74">
        <w:rPr>
          <w:rFonts w:ascii="Arial" w:hAnsi="Arial" w:cs="Arial"/>
          <w:i/>
          <w:iCs/>
          <w:sz w:val="22"/>
          <w:szCs w:val="22"/>
          <w:lang w:val="es-ES"/>
        </w:rPr>
        <w:t>n</w:t>
      </w:r>
      <w:r>
        <w:rPr>
          <w:rFonts w:ascii="Arial" w:hAnsi="Arial" w:cs="Arial"/>
          <w:i/>
          <w:iCs/>
          <w:sz w:val="22"/>
          <w:szCs w:val="22"/>
          <w:lang w:val="es-ES"/>
        </w:rPr>
        <w:t>]</w:t>
      </w:r>
      <w:r w:rsidRPr="006E0C74">
        <w:rPr>
          <w:rFonts w:ascii="Arial" w:hAnsi="Arial" w:cs="Arial"/>
          <w:i/>
          <w:iCs/>
          <w:sz w:val="22"/>
          <w:szCs w:val="22"/>
          <w:lang w:val="es-ES"/>
        </w:rPr>
        <w:t xml:space="preserve"> mayor reflexión y debate con los Estados Miembros en el marco de la nueva fase de la consulta </w:t>
      </w:r>
      <w:r>
        <w:rPr>
          <w:rFonts w:ascii="Arial" w:hAnsi="Arial" w:cs="Arial"/>
          <w:i/>
          <w:iCs/>
          <w:sz w:val="22"/>
          <w:szCs w:val="22"/>
          <w:lang w:val="es-ES"/>
        </w:rPr>
        <w:t>“</w:t>
      </w:r>
      <w:r w:rsidRPr="006E0C74">
        <w:rPr>
          <w:rFonts w:ascii="Arial" w:hAnsi="Arial" w:cs="Arial"/>
          <w:i/>
          <w:iCs/>
          <w:sz w:val="22"/>
          <w:szCs w:val="22"/>
          <w:lang w:val="es-ES"/>
        </w:rPr>
        <w:t>La COI y el futuro del océano</w:t>
      </w:r>
      <w:r>
        <w:rPr>
          <w:rFonts w:ascii="Arial" w:hAnsi="Arial" w:cs="Arial"/>
          <w:i/>
          <w:iCs/>
          <w:sz w:val="22"/>
          <w:szCs w:val="22"/>
          <w:lang w:val="es-ES"/>
        </w:rPr>
        <w:t>”</w:t>
      </w:r>
      <w:r>
        <w:rPr>
          <w:rFonts w:ascii="Arial" w:hAnsi="Arial" w:cs="Arial"/>
          <w:sz w:val="22"/>
          <w:szCs w:val="22"/>
          <w:lang w:val="es-ES"/>
        </w:rPr>
        <w:t>“</w:t>
      </w:r>
      <w:r w:rsidRPr="006E0C74">
        <w:rPr>
          <w:rFonts w:ascii="Arial" w:hAnsi="Arial" w:cs="Arial"/>
          <w:sz w:val="22"/>
          <w:szCs w:val="22"/>
          <w:lang w:val="es-ES"/>
        </w:rPr>
        <w:t>.</w:t>
      </w:r>
    </w:p>
    <w:p w14:paraId="2B0E7405" w14:textId="179CC378" w:rsidR="00EE2BEC" w:rsidRPr="006E0C74" w:rsidRDefault="00EE2BEC" w:rsidP="00EE2BEC">
      <w:pPr>
        <w:pStyle w:val="ListParagraph"/>
        <w:numPr>
          <w:ilvl w:val="0"/>
          <w:numId w:val="37"/>
        </w:numPr>
        <w:tabs>
          <w:tab w:val="clear" w:pos="567"/>
          <w:tab w:val="left" w:pos="851"/>
        </w:tabs>
        <w:spacing w:after="240"/>
        <w:ind w:left="0" w:firstLine="0"/>
        <w:contextualSpacing w:val="0"/>
        <w:jc w:val="both"/>
        <w:rPr>
          <w:rFonts w:ascii="Arial" w:hAnsi="Arial" w:cs="Arial"/>
          <w:b/>
          <w:bCs/>
          <w:sz w:val="22"/>
          <w:szCs w:val="22"/>
          <w:lang w:val="es-ES"/>
        </w:rPr>
      </w:pPr>
      <w:r w:rsidRPr="006E0C74">
        <w:rPr>
          <w:rFonts w:ascii="Arial" w:hAnsi="Arial" w:cs="Arial"/>
          <w:sz w:val="22"/>
          <w:szCs w:val="22"/>
          <w:lang w:val="es-ES"/>
        </w:rPr>
        <w:t xml:space="preserve">De conformidad con la </w:t>
      </w:r>
      <w:hyperlink r:id="rId14" w:history="1">
        <w:r w:rsidRPr="00B32CC5">
          <w:rPr>
            <w:rStyle w:val="Hyperlink"/>
            <w:rFonts w:ascii="Arial" w:hAnsi="Arial" w:cs="Arial"/>
            <w:sz w:val="22"/>
            <w:szCs w:val="22"/>
            <w:lang w:val="es-ES"/>
          </w:rPr>
          <w:t>resolución EC-57/2</w:t>
        </w:r>
      </w:hyperlink>
      <w:r>
        <w:rPr>
          <w:rFonts w:ascii="Arial" w:hAnsi="Arial" w:cs="Arial"/>
          <w:sz w:val="22"/>
          <w:szCs w:val="22"/>
          <w:lang w:val="es-ES"/>
        </w:rPr>
        <w:t xml:space="preserve"> de la COI</w:t>
      </w:r>
      <w:r w:rsidRPr="006E0C74">
        <w:rPr>
          <w:rFonts w:ascii="Arial" w:hAnsi="Arial" w:cs="Arial"/>
          <w:sz w:val="22"/>
          <w:szCs w:val="22"/>
          <w:lang w:val="es-ES"/>
        </w:rPr>
        <w:t xml:space="preserve">, en </w:t>
      </w:r>
      <w:r>
        <w:rPr>
          <w:rFonts w:ascii="Arial" w:hAnsi="Arial" w:cs="Arial"/>
          <w:sz w:val="22"/>
          <w:szCs w:val="22"/>
          <w:lang w:val="es-ES"/>
        </w:rPr>
        <w:t>este</w:t>
      </w:r>
      <w:r w:rsidRPr="006E0C74">
        <w:rPr>
          <w:rFonts w:ascii="Arial" w:hAnsi="Arial" w:cs="Arial"/>
          <w:sz w:val="22"/>
          <w:szCs w:val="22"/>
          <w:lang w:val="es-ES"/>
        </w:rPr>
        <w:t xml:space="preserve"> documento se presenta una propuesta actualizada del resumen de las medidas, en forma de cuadro (en negrita), para su examen por los Estados Miembros. Las medidas que deb</w:t>
      </w:r>
      <w:r>
        <w:rPr>
          <w:rFonts w:ascii="Arial" w:hAnsi="Arial" w:cs="Arial"/>
          <w:sz w:val="22"/>
          <w:szCs w:val="22"/>
          <w:lang w:val="es-ES"/>
        </w:rPr>
        <w:t>e</w:t>
      </w:r>
      <w:r w:rsidRPr="006E0C74">
        <w:rPr>
          <w:rFonts w:ascii="Arial" w:hAnsi="Arial" w:cs="Arial"/>
          <w:sz w:val="22"/>
          <w:szCs w:val="22"/>
          <w:lang w:val="es-ES"/>
        </w:rPr>
        <w:t xml:space="preserve">n proseguirse seguirán siendo objeto de examen e informe en el contexto de la </w:t>
      </w:r>
      <w:r w:rsidRPr="00B32CC5">
        <w:rPr>
          <w:rFonts w:ascii="Arial" w:hAnsi="Arial" w:cs="Arial"/>
          <w:b/>
          <w:bCs/>
          <w:sz w:val="22"/>
          <w:szCs w:val="22"/>
          <w:lang w:val="es-ES"/>
        </w:rPr>
        <w:t>consulta</w:t>
      </w:r>
      <w:r w:rsidRPr="006E0C74">
        <w:rPr>
          <w:rFonts w:ascii="Arial" w:hAnsi="Arial" w:cs="Arial"/>
          <w:sz w:val="22"/>
          <w:szCs w:val="22"/>
          <w:lang w:val="es-ES"/>
        </w:rPr>
        <w:t xml:space="preserve"> </w:t>
      </w:r>
      <w:r>
        <w:rPr>
          <w:rFonts w:ascii="Arial" w:hAnsi="Arial" w:cs="Arial"/>
          <w:sz w:val="22"/>
          <w:szCs w:val="22"/>
          <w:lang w:val="es-ES"/>
        </w:rPr>
        <w:t>“</w:t>
      </w:r>
      <w:r w:rsidRPr="006E0C74">
        <w:rPr>
          <w:rFonts w:ascii="Arial" w:hAnsi="Arial" w:cs="Arial"/>
          <w:b/>
          <w:bCs/>
          <w:sz w:val="22"/>
          <w:szCs w:val="22"/>
          <w:lang w:val="es-ES"/>
        </w:rPr>
        <w:t>La COI y el futuro del océano</w:t>
      </w:r>
      <w:r>
        <w:rPr>
          <w:rFonts w:ascii="Arial" w:hAnsi="Arial" w:cs="Arial"/>
          <w:sz w:val="22"/>
          <w:szCs w:val="22"/>
          <w:lang w:val="es-ES"/>
        </w:rPr>
        <w:t>”</w:t>
      </w:r>
      <w:r w:rsidRPr="006E0C74">
        <w:rPr>
          <w:rFonts w:ascii="Arial" w:hAnsi="Arial" w:cs="Arial"/>
          <w:sz w:val="22"/>
          <w:szCs w:val="22"/>
          <w:lang w:val="es-ES"/>
        </w:rPr>
        <w:t>.</w:t>
      </w:r>
    </w:p>
    <w:p w14:paraId="549EE454" w14:textId="77777777" w:rsidR="00EE2BEC" w:rsidRDefault="00EE2BEC" w:rsidP="00E04B7F">
      <w:pPr>
        <w:pStyle w:val="Marge"/>
        <w:jc w:val="center"/>
        <w:rPr>
          <w:rFonts w:ascii="Arial" w:hAnsi="Arial" w:cs="Arial"/>
          <w:bCs/>
          <w:i/>
          <w:sz w:val="22"/>
          <w:szCs w:val="22"/>
          <w:lang w:val="es-ES"/>
        </w:rPr>
        <w:sectPr w:rsidR="00EE2BEC" w:rsidSect="00137882">
          <w:headerReference w:type="even" r:id="rId15"/>
          <w:headerReference w:type="default" r:id="rId16"/>
          <w:footerReference w:type="default" r:id="rId17"/>
          <w:headerReference w:type="first" r:id="rId18"/>
          <w:pgSz w:w="11906" w:h="16838" w:code="9"/>
          <w:pgMar w:top="1418" w:right="1134" w:bottom="1134" w:left="1134" w:header="680" w:footer="0" w:gutter="0"/>
          <w:cols w:space="708"/>
          <w:titlePg/>
          <w:docGrid w:linePitch="360"/>
        </w:sectPr>
      </w:pPr>
    </w:p>
    <w:p w14:paraId="4656F2B1" w14:textId="77777777" w:rsidR="00101B97" w:rsidRPr="006E0C74" w:rsidRDefault="00101B97" w:rsidP="00101B97">
      <w:pPr>
        <w:tabs>
          <w:tab w:val="clear" w:pos="567"/>
        </w:tabs>
        <w:spacing w:after="240"/>
        <w:jc w:val="center"/>
        <w:rPr>
          <w:rFonts w:ascii="Arial" w:eastAsia="Times New Roman" w:hAnsi="Arial" w:cs="Arial"/>
          <w:b/>
          <w:bCs/>
          <w:caps/>
          <w:sz w:val="22"/>
          <w:szCs w:val="22"/>
          <w:lang w:val="es-ES"/>
        </w:rPr>
      </w:pPr>
      <w:r w:rsidRPr="006E0C74">
        <w:rPr>
          <w:rFonts w:ascii="Arial" w:hAnsi="Arial" w:cs="Arial"/>
          <w:b/>
          <w:bCs/>
          <w:sz w:val="22"/>
          <w:szCs w:val="22"/>
          <w:lang w:val="es-ES"/>
        </w:rPr>
        <w:lastRenderedPageBreak/>
        <w:t>RESUMEN DE LAS MEDIDAS E INFORMACIÓN ACTUALIZADA SOBRE LOS PROGRESOS REALIZADOS</w:t>
      </w:r>
      <w:r>
        <w:rPr>
          <w:rFonts w:ascii="Arial" w:hAnsi="Arial" w:cs="Arial"/>
          <w:b/>
          <w:bCs/>
          <w:sz w:val="22"/>
          <w:szCs w:val="22"/>
          <w:lang w:val="es-ES"/>
        </w:rPr>
        <w:t xml:space="preserve"> EN SU APLICACIÓN</w:t>
      </w:r>
    </w:p>
    <w:tbl>
      <w:tblPr>
        <w:tblStyle w:val="TableGrid1"/>
        <w:tblW w:w="14737" w:type="dxa"/>
        <w:tblInd w:w="-5" w:type="dxa"/>
        <w:tblLayout w:type="fixed"/>
        <w:tblCellMar>
          <w:top w:w="108" w:type="dxa"/>
          <w:bottom w:w="108" w:type="dxa"/>
        </w:tblCellMar>
        <w:tblLook w:val="01E0" w:firstRow="1" w:lastRow="1" w:firstColumn="1" w:lastColumn="1" w:noHBand="0" w:noVBand="0"/>
      </w:tblPr>
      <w:tblGrid>
        <w:gridCol w:w="2977"/>
        <w:gridCol w:w="3827"/>
        <w:gridCol w:w="4390"/>
        <w:gridCol w:w="1701"/>
        <w:gridCol w:w="1842"/>
      </w:tblGrid>
      <w:tr w:rsidR="00101B97" w:rsidRPr="006E0C74" w14:paraId="2A7BF663" w14:textId="77777777" w:rsidTr="00A95FCC">
        <w:trPr>
          <w:cantSplit/>
          <w:trHeight w:val="566"/>
          <w:tblHeader/>
        </w:trPr>
        <w:tc>
          <w:tcPr>
            <w:tcW w:w="2977" w:type="dxa"/>
            <w:shd w:val="clear" w:color="auto" w:fill="E6E6E6"/>
            <w:vAlign w:val="center"/>
          </w:tcPr>
          <w:p w14:paraId="10A95A2D" w14:textId="77777777" w:rsidR="00101B97" w:rsidRPr="006E0C74" w:rsidRDefault="00101B97" w:rsidP="00A95FCC">
            <w:pPr>
              <w:tabs>
                <w:tab w:val="clear" w:pos="567"/>
              </w:tabs>
              <w:jc w:val="center"/>
              <w:rPr>
                <w:rFonts w:ascii="Arial" w:hAnsi="Arial" w:cs="Arial"/>
                <w:b/>
                <w:sz w:val="18"/>
                <w:szCs w:val="18"/>
                <w:lang w:val="es-ES"/>
              </w:rPr>
            </w:pPr>
          </w:p>
        </w:tc>
        <w:tc>
          <w:tcPr>
            <w:tcW w:w="3827" w:type="dxa"/>
            <w:shd w:val="clear" w:color="auto" w:fill="E6E6E6"/>
            <w:vAlign w:val="center"/>
          </w:tcPr>
          <w:p w14:paraId="4BF53D13" w14:textId="77777777" w:rsidR="00101B97" w:rsidRPr="006E0C74" w:rsidRDefault="00101B97" w:rsidP="00A95FCC">
            <w:pPr>
              <w:tabs>
                <w:tab w:val="clear" w:pos="567"/>
              </w:tabs>
              <w:jc w:val="center"/>
              <w:rPr>
                <w:rFonts w:ascii="Arial" w:hAnsi="Arial" w:cs="Arial"/>
                <w:b/>
                <w:sz w:val="18"/>
                <w:szCs w:val="18"/>
                <w:lang w:val="es-ES"/>
              </w:rPr>
            </w:pPr>
            <w:r w:rsidRPr="006E0C74">
              <w:rPr>
                <w:rFonts w:ascii="Arial" w:hAnsi="Arial" w:cs="Arial"/>
                <w:b/>
                <w:bCs/>
                <w:sz w:val="18"/>
                <w:szCs w:val="18"/>
                <w:lang w:val="es-ES"/>
              </w:rPr>
              <w:t>Medidas previstas</w:t>
            </w:r>
          </w:p>
        </w:tc>
        <w:tc>
          <w:tcPr>
            <w:tcW w:w="4390" w:type="dxa"/>
            <w:shd w:val="clear" w:color="auto" w:fill="E6E6E6"/>
            <w:vAlign w:val="center"/>
          </w:tcPr>
          <w:p w14:paraId="1A34DBBE" w14:textId="77777777" w:rsidR="00101B97" w:rsidRPr="006E0C74" w:rsidRDefault="00101B97" w:rsidP="00A95FCC">
            <w:pPr>
              <w:tabs>
                <w:tab w:val="clear" w:pos="567"/>
              </w:tabs>
              <w:jc w:val="center"/>
              <w:rPr>
                <w:rFonts w:ascii="Arial" w:hAnsi="Arial" w:cs="Arial"/>
                <w:b/>
                <w:sz w:val="18"/>
                <w:szCs w:val="18"/>
                <w:lang w:val="es-ES"/>
              </w:rPr>
            </w:pPr>
            <w:r w:rsidRPr="006E0C74">
              <w:rPr>
                <w:rFonts w:ascii="Arial" w:hAnsi="Arial" w:cs="Arial"/>
                <w:b/>
                <w:bCs/>
                <w:sz w:val="18"/>
                <w:szCs w:val="18"/>
                <w:lang w:val="es-ES"/>
              </w:rPr>
              <w:t>Progresos realizados en abril de 2025</w:t>
            </w:r>
          </w:p>
        </w:tc>
        <w:tc>
          <w:tcPr>
            <w:tcW w:w="1701" w:type="dxa"/>
            <w:shd w:val="clear" w:color="auto" w:fill="E6E6E6"/>
            <w:vAlign w:val="center"/>
          </w:tcPr>
          <w:p w14:paraId="78DED9B1" w14:textId="77777777" w:rsidR="00101B97" w:rsidRPr="006E0C74" w:rsidRDefault="00101B97" w:rsidP="00A95FCC">
            <w:pPr>
              <w:tabs>
                <w:tab w:val="clear" w:pos="567"/>
              </w:tabs>
              <w:jc w:val="center"/>
              <w:rPr>
                <w:rFonts w:ascii="Arial" w:hAnsi="Arial" w:cs="Arial"/>
                <w:b/>
                <w:sz w:val="18"/>
                <w:szCs w:val="18"/>
                <w:lang w:val="es-ES"/>
              </w:rPr>
            </w:pPr>
            <w:r w:rsidRPr="006E0C74">
              <w:rPr>
                <w:rFonts w:ascii="Arial" w:hAnsi="Arial" w:cs="Arial"/>
                <w:b/>
                <w:bCs/>
                <w:sz w:val="18"/>
                <w:szCs w:val="18"/>
                <w:lang w:val="es-ES"/>
              </w:rPr>
              <w:t>Unidad(es) responsable(s)</w:t>
            </w:r>
          </w:p>
        </w:tc>
        <w:tc>
          <w:tcPr>
            <w:tcW w:w="1842" w:type="dxa"/>
            <w:shd w:val="clear" w:color="auto" w:fill="E6E6E6"/>
            <w:vAlign w:val="center"/>
          </w:tcPr>
          <w:p w14:paraId="18525B0E" w14:textId="77777777" w:rsidR="00101B97" w:rsidRPr="006E0C74" w:rsidRDefault="00101B97" w:rsidP="00A95FCC">
            <w:pPr>
              <w:tabs>
                <w:tab w:val="clear" w:pos="567"/>
              </w:tabs>
              <w:jc w:val="center"/>
              <w:rPr>
                <w:rFonts w:ascii="Arial" w:hAnsi="Arial" w:cs="Arial"/>
                <w:b/>
                <w:bCs/>
                <w:sz w:val="18"/>
                <w:szCs w:val="18"/>
                <w:lang w:val="es-ES"/>
              </w:rPr>
            </w:pPr>
            <w:r w:rsidRPr="006E0C74">
              <w:rPr>
                <w:rFonts w:ascii="Arial" w:hAnsi="Arial" w:cs="Arial"/>
                <w:b/>
                <w:bCs/>
                <w:sz w:val="18"/>
                <w:szCs w:val="18"/>
                <w:lang w:val="es-ES"/>
              </w:rPr>
              <w:t>Fecha estimada de finalización</w:t>
            </w:r>
          </w:p>
        </w:tc>
      </w:tr>
      <w:tr w:rsidR="008901CD" w:rsidRPr="00ED4D59" w14:paraId="4D31CFE2" w14:textId="77777777" w:rsidTr="00A95FCC">
        <w:trPr>
          <w:cantSplit/>
          <w:trHeight w:val="1603"/>
        </w:trPr>
        <w:tc>
          <w:tcPr>
            <w:tcW w:w="2977" w:type="dxa"/>
            <w:vMerge w:val="restart"/>
          </w:tcPr>
          <w:p w14:paraId="70A806AF" w14:textId="77777777" w:rsidR="008901CD" w:rsidRPr="006E0C74" w:rsidRDefault="008901CD" w:rsidP="00A95FCC">
            <w:pPr>
              <w:tabs>
                <w:tab w:val="clear" w:pos="567"/>
              </w:tabs>
              <w:spacing w:after="120"/>
              <w:rPr>
                <w:rFonts w:ascii="Arial" w:hAnsi="Arial" w:cs="Arial"/>
                <w:b/>
                <w:bCs/>
                <w:sz w:val="18"/>
                <w:szCs w:val="18"/>
                <w:lang w:val="es-ES"/>
              </w:rPr>
            </w:pPr>
            <w:r w:rsidRPr="006E0C74">
              <w:rPr>
                <w:rFonts w:ascii="Arial" w:hAnsi="Arial" w:cs="Arial"/>
                <w:b/>
                <w:bCs/>
                <w:sz w:val="18"/>
                <w:szCs w:val="18"/>
                <w:lang w:val="es-ES"/>
              </w:rPr>
              <w:t>Recomendación 1:</w:t>
            </w:r>
          </w:p>
          <w:p w14:paraId="791555CA" w14:textId="77777777" w:rsidR="008901CD" w:rsidRPr="006E0C74" w:rsidRDefault="008901CD" w:rsidP="00A95FCC">
            <w:pPr>
              <w:pStyle w:val="Numberedbodytext"/>
              <w:widowControl/>
              <w:numPr>
                <w:ilvl w:val="0"/>
                <w:numId w:val="0"/>
              </w:numPr>
              <w:snapToGrid w:val="0"/>
              <w:spacing w:before="0" w:after="0" w:line="240" w:lineRule="auto"/>
              <w:ind w:right="0"/>
              <w:jc w:val="left"/>
              <w:rPr>
                <w:rFonts w:cs="Arial"/>
                <w:sz w:val="18"/>
                <w:szCs w:val="18"/>
                <w:lang w:val="es-ES"/>
              </w:rPr>
            </w:pPr>
            <w:r w:rsidRPr="006E0C74">
              <w:rPr>
                <w:rFonts w:cs="Arial"/>
                <w:sz w:val="18"/>
                <w:szCs w:val="18"/>
                <w:lang w:val="es-ES"/>
              </w:rPr>
              <w:t>De aquí a septiembre de 2022 – responder a la solicitud formulada por la Asamblea de la COI en su 30</w:t>
            </w:r>
            <w:r w:rsidRPr="006E0C74">
              <w:rPr>
                <w:rFonts w:cs="Arial"/>
                <w:sz w:val="18"/>
                <w:szCs w:val="18"/>
                <w:vertAlign w:val="superscript"/>
                <w:lang w:val="es-ES"/>
              </w:rPr>
              <w:t>a</w:t>
            </w:r>
            <w:r w:rsidRPr="006E0C74">
              <w:rPr>
                <w:rFonts w:cs="Arial"/>
                <w:sz w:val="18"/>
                <w:szCs w:val="18"/>
                <w:lang w:val="es-ES"/>
              </w:rPr>
              <w:t xml:space="preserve"> reunión, calculando los recursos necesarios y acelerando la aplicación de las disposiciones del artículo 10.4 de los Estatutos de la Comisión, de tal modo que se optimice el funcionamiento de la COI y se defina el marco organizativo más adecuado, habida cuenta del papel mundial previsto para la COI en la gestión de los océanos basada en la ciencia y en el liderazgo del Decenio del Océano de las Naciones Unidas.</w:t>
            </w:r>
          </w:p>
        </w:tc>
        <w:tc>
          <w:tcPr>
            <w:tcW w:w="3827" w:type="dxa"/>
            <w:shd w:val="clear" w:color="auto" w:fill="auto"/>
          </w:tcPr>
          <w:p w14:paraId="42892E14"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1.1 Obtener asesoramiento jurídico profesional sobre las implicaciones de utilizar el artículo 10.4 de los Estatutos de la COI para atraer fondos adicionales para la Comisión y así garantizar la ejecución eficaz y continua de sus programas mundiales y regionales, incluido el Decenio del Océano.</w:t>
            </w:r>
          </w:p>
        </w:tc>
        <w:tc>
          <w:tcPr>
            <w:tcW w:w="4390" w:type="dxa"/>
            <w:shd w:val="clear" w:color="auto" w:fill="auto"/>
          </w:tcPr>
          <w:p w14:paraId="23B98D4F"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1.1 La decisión adoptada por el Consejo Ejecutivo de la COI en su 55</w:t>
            </w:r>
            <w:r w:rsidRPr="006E0C74">
              <w:rPr>
                <w:rFonts w:ascii="Arial" w:hAnsi="Arial" w:cs="Arial"/>
                <w:sz w:val="18"/>
                <w:szCs w:val="18"/>
                <w:vertAlign w:val="superscript"/>
                <w:lang w:val="es-ES"/>
              </w:rPr>
              <w:t>a</w:t>
            </w:r>
            <w:r w:rsidRPr="006E0C74">
              <w:rPr>
                <w:rFonts w:ascii="Arial" w:hAnsi="Arial" w:cs="Arial"/>
                <w:sz w:val="18"/>
                <w:szCs w:val="18"/>
                <w:lang w:val="es-ES"/>
              </w:rPr>
              <w:t xml:space="preserve"> reunión, en la que se pedía al Secretario Ejecutivo que proporcionara </w:t>
            </w:r>
            <w:r>
              <w:rPr>
                <w:rFonts w:ascii="Arial" w:hAnsi="Arial" w:cs="Arial"/>
                <w:sz w:val="18"/>
                <w:szCs w:val="18"/>
                <w:lang w:val="es-ES"/>
              </w:rPr>
              <w:t>“</w:t>
            </w:r>
            <w:r w:rsidRPr="006E0C74">
              <w:rPr>
                <w:rFonts w:ascii="Arial" w:hAnsi="Arial" w:cs="Arial"/>
                <w:sz w:val="18"/>
                <w:szCs w:val="18"/>
                <w:lang w:val="es-ES"/>
              </w:rPr>
              <w:t xml:space="preserve">una estimación del presupuesto necesario </w:t>
            </w:r>
            <w:r w:rsidRPr="006E0C74">
              <w:rPr>
                <w:rFonts w:ascii="Arial" w:hAnsi="Arial" w:cs="Arial"/>
                <w:sz w:val="18"/>
                <w:szCs w:val="18"/>
                <w:lang w:val="es-ES"/>
              </w:rPr>
              <w:br/>
              <w:t>—incluidas las necesidades de recursos humanos— para ejecutar de manera sostenible los programas básicos de la COI y ampliar sus actividades en respuesta a las crecientes demandas de los Estados Miembros y otras partes interesadas</w:t>
            </w:r>
            <w:r>
              <w:rPr>
                <w:rFonts w:ascii="Arial" w:hAnsi="Arial" w:cs="Arial"/>
                <w:sz w:val="18"/>
                <w:szCs w:val="18"/>
                <w:lang w:val="es-ES"/>
              </w:rPr>
              <w:t>”</w:t>
            </w:r>
            <w:r w:rsidRPr="006E0C74">
              <w:rPr>
                <w:rFonts w:ascii="Arial" w:hAnsi="Arial" w:cs="Arial"/>
                <w:sz w:val="18"/>
                <w:szCs w:val="18"/>
                <w:lang w:val="es-ES"/>
              </w:rPr>
              <w:t xml:space="preserve"> (véase la resolución IOC</w:t>
            </w:r>
            <w:r w:rsidRPr="006E0C74">
              <w:rPr>
                <w:rFonts w:ascii="Arial" w:hAnsi="Arial" w:cs="Arial"/>
                <w:sz w:val="18"/>
                <w:szCs w:val="18"/>
                <w:lang w:val="es-ES"/>
              </w:rPr>
              <w:noBreakHyphen/>
              <w:t>XXX.3 y la resolución EC</w:t>
            </w:r>
            <w:r w:rsidRPr="006E0C74">
              <w:rPr>
                <w:rFonts w:ascii="Arial" w:hAnsi="Arial" w:cs="Arial"/>
                <w:sz w:val="18"/>
                <w:szCs w:val="18"/>
                <w:lang w:val="es-ES"/>
              </w:rPr>
              <w:noBreakHyphen/>
              <w:t xml:space="preserve">55/2), se aplicó mediante la circular </w:t>
            </w:r>
            <w:proofErr w:type="spellStart"/>
            <w:r w:rsidRPr="006E0C74">
              <w:rPr>
                <w:rFonts w:ascii="Arial" w:hAnsi="Arial" w:cs="Arial"/>
                <w:sz w:val="18"/>
                <w:szCs w:val="18"/>
                <w:lang w:val="es-ES"/>
              </w:rPr>
              <w:t>nº</w:t>
            </w:r>
            <w:proofErr w:type="spellEnd"/>
            <w:r w:rsidRPr="006E0C74">
              <w:rPr>
                <w:rFonts w:ascii="Arial" w:hAnsi="Arial" w:cs="Arial"/>
                <w:sz w:val="18"/>
                <w:szCs w:val="18"/>
                <w:lang w:val="es-ES"/>
              </w:rPr>
              <w:t xml:space="preserve"> 2912. Habida cuenta del alcance programático estratégico y de la ambición a medio y largo plazo de la propuesta, es preciso que los Estados Miembros la sigan examinando, por lo que se incluirá en el amplio proceso de consulta sobre </w:t>
            </w:r>
            <w:r>
              <w:rPr>
                <w:rFonts w:ascii="Arial" w:hAnsi="Arial" w:cs="Arial"/>
                <w:sz w:val="18"/>
                <w:szCs w:val="18"/>
                <w:lang w:val="es-ES"/>
              </w:rPr>
              <w:t>“</w:t>
            </w:r>
            <w:r w:rsidRPr="006E0C74">
              <w:rPr>
                <w:rFonts w:ascii="Arial" w:hAnsi="Arial" w:cs="Arial"/>
                <w:sz w:val="18"/>
                <w:szCs w:val="18"/>
                <w:lang w:val="es-ES"/>
              </w:rPr>
              <w:t>La COI y el futuro del océano</w:t>
            </w:r>
            <w:r>
              <w:rPr>
                <w:rFonts w:ascii="Arial" w:hAnsi="Arial" w:cs="Arial"/>
                <w:sz w:val="18"/>
                <w:szCs w:val="18"/>
                <w:lang w:val="es-ES"/>
              </w:rPr>
              <w:t>”</w:t>
            </w:r>
            <w:r w:rsidRPr="006E0C74">
              <w:rPr>
                <w:rFonts w:ascii="Arial" w:hAnsi="Arial" w:cs="Arial"/>
                <w:sz w:val="18"/>
                <w:szCs w:val="18"/>
                <w:lang w:val="es-ES"/>
              </w:rPr>
              <w:t>.</w:t>
            </w:r>
          </w:p>
          <w:p w14:paraId="206ED396" w14:textId="77777777" w:rsidR="008901CD" w:rsidRPr="006E0C74" w:rsidRDefault="008901CD" w:rsidP="00A95FCC">
            <w:pPr>
              <w:tabs>
                <w:tab w:val="clear" w:pos="567"/>
              </w:tabs>
              <w:rPr>
                <w:rFonts w:ascii="Arial" w:hAnsi="Arial" w:cs="Arial"/>
                <w:bCs/>
                <w:iCs/>
                <w:sz w:val="18"/>
                <w:szCs w:val="18"/>
                <w:lang w:val="es-ES"/>
              </w:rPr>
            </w:pPr>
          </w:p>
        </w:tc>
        <w:tc>
          <w:tcPr>
            <w:tcW w:w="1701" w:type="dxa"/>
          </w:tcPr>
          <w:p w14:paraId="56B7EAB2" w14:textId="77777777" w:rsidR="008901CD" w:rsidRPr="006E0C74" w:rsidRDefault="008901CD" w:rsidP="00A95FCC">
            <w:pPr>
              <w:tabs>
                <w:tab w:val="clear" w:pos="567"/>
              </w:tabs>
              <w:rPr>
                <w:rFonts w:ascii="Arial" w:hAnsi="Arial" w:cs="Arial"/>
                <w:bCs/>
                <w:iCs/>
                <w:sz w:val="18"/>
                <w:szCs w:val="18"/>
                <w:lang w:val="es-ES"/>
              </w:rPr>
            </w:pPr>
            <w:r w:rsidRPr="006E0C74">
              <w:rPr>
                <w:rFonts w:ascii="Arial" w:hAnsi="Arial" w:cs="Arial"/>
                <w:sz w:val="18"/>
                <w:szCs w:val="18"/>
                <w:lang w:val="es-ES"/>
              </w:rPr>
              <w:t>Secretario Ejecutivo de la COI en consulta con BSP y LA.</w:t>
            </w:r>
          </w:p>
        </w:tc>
        <w:tc>
          <w:tcPr>
            <w:tcW w:w="1842" w:type="dxa"/>
            <w:shd w:val="clear" w:color="auto" w:fill="auto"/>
          </w:tcPr>
          <w:p w14:paraId="68B39A42" w14:textId="77777777" w:rsidR="008901CD" w:rsidRPr="006E0C74" w:rsidRDefault="008901CD" w:rsidP="00A95FCC">
            <w:pPr>
              <w:tabs>
                <w:tab w:val="clear" w:pos="567"/>
              </w:tabs>
              <w:rPr>
                <w:rFonts w:ascii="Arial" w:hAnsi="Arial" w:cs="Arial"/>
                <w:bCs/>
                <w:iCs/>
                <w:sz w:val="18"/>
                <w:szCs w:val="18"/>
                <w:lang w:val="es-ES"/>
              </w:rPr>
            </w:pPr>
            <w:r w:rsidRPr="006E0C74">
              <w:rPr>
                <w:rFonts w:ascii="Arial" w:hAnsi="Arial" w:cs="Arial"/>
                <w:sz w:val="18"/>
                <w:szCs w:val="18"/>
                <w:lang w:val="es-ES"/>
              </w:rPr>
              <w:t>Segundo trimestre de 2025 - se ha de presentar un documento a la Asamblea de la COI en su 33</w:t>
            </w:r>
            <w:r w:rsidRPr="006E0C74">
              <w:rPr>
                <w:rFonts w:ascii="Arial" w:hAnsi="Arial" w:cs="Arial"/>
                <w:position w:val="3"/>
                <w:sz w:val="18"/>
                <w:szCs w:val="18"/>
                <w:vertAlign w:val="superscript"/>
                <w:lang w:val="es-ES"/>
              </w:rPr>
              <w:t>a</w:t>
            </w:r>
            <w:r w:rsidRPr="006E0C74">
              <w:rPr>
                <w:rFonts w:ascii="Arial" w:hAnsi="Arial" w:cs="Arial"/>
                <w:sz w:val="18"/>
                <w:szCs w:val="18"/>
                <w:lang w:val="es-ES"/>
              </w:rPr>
              <w:t xml:space="preserve"> reunión.</w:t>
            </w:r>
          </w:p>
        </w:tc>
      </w:tr>
      <w:tr w:rsidR="008901CD" w:rsidRPr="006E0C74" w14:paraId="63FA33B6" w14:textId="77777777" w:rsidTr="00A95FCC">
        <w:trPr>
          <w:cantSplit/>
          <w:trHeight w:val="1602"/>
        </w:trPr>
        <w:tc>
          <w:tcPr>
            <w:tcW w:w="2977" w:type="dxa"/>
            <w:vMerge/>
          </w:tcPr>
          <w:p w14:paraId="0B00FF40" w14:textId="77777777" w:rsidR="008901CD" w:rsidRPr="006E0C74" w:rsidRDefault="008901CD" w:rsidP="00A95FCC">
            <w:pPr>
              <w:tabs>
                <w:tab w:val="clear" w:pos="567"/>
              </w:tabs>
              <w:spacing w:after="120"/>
              <w:rPr>
                <w:rFonts w:ascii="Arial" w:hAnsi="Arial" w:cs="Arial"/>
                <w:b/>
                <w:bCs/>
                <w:sz w:val="18"/>
                <w:szCs w:val="18"/>
                <w:lang w:val="es-ES"/>
              </w:rPr>
            </w:pPr>
          </w:p>
        </w:tc>
        <w:tc>
          <w:tcPr>
            <w:tcW w:w="3827" w:type="dxa"/>
            <w:shd w:val="clear" w:color="auto" w:fill="auto"/>
          </w:tcPr>
          <w:p w14:paraId="404CEE2D"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1.2 En colaboración con la Oficina de Planificación Estratégica (BSP) de la UNESCO, establecer un diálogo estructurado sobre financiación con el fin de atraer a nuevos donantes. Para ello, habría que escoger un pequeño grupo de Estados Miembros, quizás los principales contribuyentes actuales, para cumplir la función de promotores y </w:t>
            </w:r>
            <w:r>
              <w:rPr>
                <w:rFonts w:ascii="Arial" w:hAnsi="Arial" w:cs="Arial"/>
                <w:sz w:val="18"/>
                <w:szCs w:val="18"/>
                <w:lang w:val="es-ES"/>
              </w:rPr>
              <w:t>mantener conversaciones con homólogos</w:t>
            </w:r>
            <w:r w:rsidRPr="006E0C74">
              <w:rPr>
                <w:rFonts w:ascii="Arial" w:hAnsi="Arial" w:cs="Arial"/>
                <w:sz w:val="18"/>
                <w:szCs w:val="18"/>
                <w:lang w:val="es-ES"/>
              </w:rPr>
              <w:t xml:space="preserve"> sobre movilización de recursos y participación.</w:t>
            </w:r>
          </w:p>
        </w:tc>
        <w:tc>
          <w:tcPr>
            <w:tcW w:w="4390" w:type="dxa"/>
            <w:shd w:val="clear" w:color="auto" w:fill="auto"/>
          </w:tcPr>
          <w:p w14:paraId="625A0977"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b/>
                <w:bCs/>
                <w:sz w:val="18"/>
                <w:szCs w:val="18"/>
                <w:lang w:val="es-ES"/>
              </w:rPr>
              <w:t>1.2</w:t>
            </w:r>
            <w:r w:rsidRPr="006E0C74">
              <w:rPr>
                <w:rFonts w:ascii="Arial" w:hAnsi="Arial" w:cs="Arial"/>
                <w:sz w:val="18"/>
                <w:szCs w:val="18"/>
                <w:lang w:val="es-ES"/>
              </w:rPr>
              <w:t xml:space="preserve"> </w:t>
            </w:r>
            <w:r w:rsidRPr="006E0C74">
              <w:rPr>
                <w:rFonts w:ascii="Arial" w:hAnsi="Arial" w:cs="Arial"/>
                <w:b/>
                <w:bCs/>
                <w:sz w:val="18"/>
                <w:szCs w:val="18"/>
                <w:lang w:val="es-ES"/>
              </w:rPr>
              <w:t>El último diálogo estructurado sobre financiación de la UNESCO tuvo lugar en junio de 2024.</w:t>
            </w:r>
            <w:r w:rsidRPr="006E0C74">
              <w:rPr>
                <w:rFonts w:ascii="Arial" w:hAnsi="Arial" w:cs="Arial"/>
                <w:sz w:val="18"/>
                <w:szCs w:val="18"/>
                <w:lang w:val="es-ES"/>
              </w:rPr>
              <w:t xml:space="preserve"> </w:t>
            </w:r>
            <w:r w:rsidRPr="006E0C74">
              <w:rPr>
                <w:rFonts w:ascii="Arial" w:hAnsi="Arial" w:cs="Arial"/>
                <w:b/>
                <w:bCs/>
                <w:sz w:val="18"/>
                <w:szCs w:val="18"/>
                <w:lang w:val="es-ES"/>
              </w:rPr>
              <w:t>La COI seguirá participando en él cuando sea necesario.</w:t>
            </w:r>
            <w:r w:rsidRPr="006E0C74">
              <w:rPr>
                <w:rFonts w:ascii="Arial" w:hAnsi="Arial" w:cs="Arial"/>
                <w:sz w:val="18"/>
                <w:szCs w:val="18"/>
                <w:lang w:val="es-ES"/>
              </w:rPr>
              <w:t xml:space="preserve"> </w:t>
            </w:r>
            <w:r w:rsidRPr="006E0C74">
              <w:rPr>
                <w:rFonts w:ascii="Arial" w:hAnsi="Arial" w:cs="Arial"/>
                <w:b/>
                <w:bCs/>
                <w:sz w:val="18"/>
                <w:szCs w:val="18"/>
                <w:lang w:val="es-ES"/>
              </w:rPr>
              <w:t xml:space="preserve">A más largo plazo, también se elaborará la estrategia de movilización de recursos y comunicación de la COI </w:t>
            </w:r>
            <w:r>
              <w:rPr>
                <w:rFonts w:ascii="Arial" w:hAnsi="Arial" w:cs="Arial"/>
                <w:b/>
                <w:bCs/>
                <w:sz w:val="18"/>
                <w:szCs w:val="18"/>
                <w:lang w:val="es-ES"/>
              </w:rPr>
              <w:t>para facilitar</w:t>
            </w:r>
            <w:r w:rsidRPr="006E0C74">
              <w:rPr>
                <w:rFonts w:ascii="Arial" w:hAnsi="Arial" w:cs="Arial"/>
                <w:b/>
                <w:bCs/>
                <w:sz w:val="18"/>
                <w:szCs w:val="18"/>
                <w:lang w:val="es-ES"/>
              </w:rPr>
              <w:t xml:space="preserve"> la aplicación de la Estrategia a Plazo Medio en el marco del proceso de consulta </w:t>
            </w:r>
            <w:r>
              <w:rPr>
                <w:rFonts w:ascii="Arial" w:hAnsi="Arial" w:cs="Arial"/>
                <w:b/>
                <w:bCs/>
                <w:sz w:val="18"/>
                <w:szCs w:val="18"/>
                <w:lang w:val="es-ES"/>
              </w:rPr>
              <w:t>“</w:t>
            </w:r>
            <w:r w:rsidRPr="006E0C74">
              <w:rPr>
                <w:rFonts w:ascii="Arial" w:hAnsi="Arial" w:cs="Arial"/>
                <w:b/>
                <w:bCs/>
                <w:sz w:val="18"/>
                <w:szCs w:val="18"/>
                <w:lang w:val="es-ES"/>
              </w:rPr>
              <w:t>La COI y el futuro del océano</w:t>
            </w:r>
            <w:r>
              <w:rPr>
                <w:rFonts w:ascii="Arial" w:hAnsi="Arial" w:cs="Arial"/>
                <w:b/>
                <w:bCs/>
                <w:sz w:val="18"/>
                <w:szCs w:val="18"/>
                <w:lang w:val="es-ES"/>
              </w:rPr>
              <w:t>”</w:t>
            </w:r>
            <w:r w:rsidRPr="006E0C74">
              <w:rPr>
                <w:rFonts w:ascii="Arial" w:hAnsi="Arial" w:cs="Arial"/>
                <w:b/>
                <w:bCs/>
                <w:sz w:val="18"/>
                <w:szCs w:val="18"/>
                <w:lang w:val="es-ES"/>
              </w:rPr>
              <w:t>.</w:t>
            </w:r>
          </w:p>
          <w:p w14:paraId="332A0142" w14:textId="77777777" w:rsidR="008901CD" w:rsidRPr="006E0C74" w:rsidRDefault="008901CD" w:rsidP="00A95FCC">
            <w:pPr>
              <w:tabs>
                <w:tab w:val="clear" w:pos="567"/>
              </w:tabs>
              <w:rPr>
                <w:rFonts w:ascii="Arial" w:hAnsi="Arial" w:cs="Arial"/>
                <w:sz w:val="18"/>
                <w:szCs w:val="18"/>
                <w:lang w:val="es-ES"/>
              </w:rPr>
            </w:pPr>
          </w:p>
        </w:tc>
        <w:tc>
          <w:tcPr>
            <w:tcW w:w="1701" w:type="dxa"/>
          </w:tcPr>
          <w:p w14:paraId="6D7F1172"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de la COI</w:t>
            </w:r>
            <w:r>
              <w:rPr>
                <w:rFonts w:ascii="Arial" w:hAnsi="Arial" w:cs="Arial"/>
                <w:sz w:val="18"/>
                <w:szCs w:val="18"/>
                <w:lang w:val="es-ES"/>
              </w:rPr>
              <w:t>,</w:t>
            </w:r>
            <w:r w:rsidRPr="006E0C74">
              <w:rPr>
                <w:rFonts w:ascii="Arial" w:hAnsi="Arial" w:cs="Arial"/>
                <w:sz w:val="18"/>
                <w:szCs w:val="18"/>
                <w:lang w:val="es-ES"/>
              </w:rPr>
              <w:t xml:space="preserve"> en consulta con BSP y la Mesa de la COI.</w:t>
            </w:r>
          </w:p>
        </w:tc>
        <w:tc>
          <w:tcPr>
            <w:tcW w:w="1842" w:type="dxa"/>
            <w:shd w:val="clear" w:color="auto" w:fill="auto"/>
          </w:tcPr>
          <w:p w14:paraId="3ECD45C4" w14:textId="77777777" w:rsidR="008901CD" w:rsidRPr="006E0C74" w:rsidRDefault="008901CD" w:rsidP="00A95FCC">
            <w:pPr>
              <w:tabs>
                <w:tab w:val="clear" w:pos="567"/>
              </w:tabs>
              <w:rPr>
                <w:rFonts w:ascii="Arial" w:hAnsi="Arial" w:cs="Arial"/>
                <w:b/>
                <w:bCs/>
                <w:sz w:val="18"/>
                <w:szCs w:val="18"/>
                <w:lang w:val="es-ES"/>
              </w:rPr>
            </w:pPr>
            <w:r w:rsidRPr="006E0C74">
              <w:rPr>
                <w:rFonts w:ascii="Arial" w:hAnsi="Arial" w:cs="Arial"/>
                <w:b/>
                <w:bCs/>
                <w:sz w:val="18"/>
                <w:szCs w:val="18"/>
                <w:lang w:val="es-ES"/>
              </w:rPr>
              <w:t>Finalizada.</w:t>
            </w:r>
          </w:p>
        </w:tc>
      </w:tr>
      <w:tr w:rsidR="008901CD" w:rsidRPr="00ED4D59" w14:paraId="40FC854B" w14:textId="77777777" w:rsidTr="00A95FCC">
        <w:trPr>
          <w:cantSplit/>
        </w:trPr>
        <w:tc>
          <w:tcPr>
            <w:tcW w:w="2977" w:type="dxa"/>
            <w:vMerge/>
          </w:tcPr>
          <w:p w14:paraId="109EC036" w14:textId="77777777" w:rsidR="008901CD" w:rsidRPr="006E0C74" w:rsidRDefault="008901CD" w:rsidP="00A95FCC">
            <w:pPr>
              <w:keepLines/>
              <w:widowControl w:val="0"/>
              <w:tabs>
                <w:tab w:val="clear" w:pos="567"/>
              </w:tabs>
              <w:rPr>
                <w:rFonts w:ascii="Arial" w:hAnsi="Arial" w:cs="Arial"/>
                <w:sz w:val="18"/>
                <w:szCs w:val="18"/>
                <w:lang w:val="es-ES"/>
              </w:rPr>
            </w:pPr>
          </w:p>
        </w:tc>
        <w:tc>
          <w:tcPr>
            <w:tcW w:w="3827" w:type="dxa"/>
            <w:shd w:val="clear" w:color="auto" w:fill="auto"/>
          </w:tcPr>
          <w:p w14:paraId="35408B18" w14:textId="77777777" w:rsidR="008901CD" w:rsidRPr="006E0C74" w:rsidRDefault="008901CD" w:rsidP="00A95FCC">
            <w:pPr>
              <w:keepLines/>
              <w:widowControl w:val="0"/>
              <w:tabs>
                <w:tab w:val="clear" w:pos="567"/>
              </w:tabs>
              <w:rPr>
                <w:rFonts w:ascii="Arial" w:hAnsi="Arial" w:cs="Arial"/>
                <w:sz w:val="18"/>
                <w:szCs w:val="18"/>
                <w:lang w:val="es-ES"/>
              </w:rPr>
            </w:pPr>
            <w:r w:rsidRPr="006E0C74">
              <w:rPr>
                <w:rFonts w:ascii="Arial" w:hAnsi="Arial" w:cs="Arial"/>
                <w:sz w:val="18"/>
                <w:szCs w:val="18"/>
                <w:lang w:val="es-ES"/>
              </w:rPr>
              <w:t xml:space="preserve">1.3 Analizar opciones para convocar un foro de alto nivel de </w:t>
            </w:r>
            <w:r>
              <w:rPr>
                <w:rFonts w:ascii="Arial" w:hAnsi="Arial" w:cs="Arial"/>
                <w:sz w:val="18"/>
                <w:szCs w:val="18"/>
                <w:lang w:val="es-ES"/>
              </w:rPr>
              <w:t>adopción</w:t>
            </w:r>
            <w:r w:rsidRPr="006E0C74">
              <w:rPr>
                <w:rFonts w:ascii="Arial" w:hAnsi="Arial" w:cs="Arial"/>
                <w:sz w:val="18"/>
                <w:szCs w:val="18"/>
                <w:lang w:val="es-ES"/>
              </w:rPr>
              <w:t xml:space="preserve"> de decisiones cada cuatro años, posiblemente en relación con la Asamblea de la COI.</w:t>
            </w:r>
          </w:p>
        </w:tc>
        <w:tc>
          <w:tcPr>
            <w:tcW w:w="4390" w:type="dxa"/>
          </w:tcPr>
          <w:p w14:paraId="0824E965" w14:textId="77777777" w:rsidR="008901CD" w:rsidRPr="006E0C74" w:rsidRDefault="008901CD" w:rsidP="00A95FCC">
            <w:pPr>
              <w:keepLines/>
              <w:widowControl w:val="0"/>
              <w:tabs>
                <w:tab w:val="clear" w:pos="567"/>
              </w:tabs>
              <w:rPr>
                <w:rFonts w:ascii="Arial" w:hAnsi="Arial" w:cs="Arial"/>
                <w:sz w:val="18"/>
                <w:szCs w:val="18"/>
                <w:lang w:val="es-ES"/>
              </w:rPr>
            </w:pPr>
            <w:r w:rsidRPr="006E0C74">
              <w:rPr>
                <w:rFonts w:ascii="Arial" w:hAnsi="Arial" w:cs="Arial"/>
                <w:sz w:val="18"/>
                <w:szCs w:val="18"/>
                <w:lang w:val="es-ES"/>
              </w:rPr>
              <w:t xml:space="preserve">Se aplazará a la espera del inicio y los resultados de la consulta a los Estados Miembros sobre </w:t>
            </w:r>
            <w:r>
              <w:rPr>
                <w:rFonts w:ascii="Arial" w:hAnsi="Arial" w:cs="Arial"/>
                <w:sz w:val="18"/>
                <w:szCs w:val="18"/>
                <w:lang w:val="es-ES"/>
              </w:rPr>
              <w:t>“</w:t>
            </w:r>
            <w:r w:rsidRPr="006E0C74">
              <w:rPr>
                <w:rFonts w:ascii="Arial" w:hAnsi="Arial" w:cs="Arial"/>
                <w:sz w:val="18"/>
                <w:szCs w:val="18"/>
                <w:lang w:val="es-ES"/>
              </w:rPr>
              <w:t>La COI y el futuro del océano</w:t>
            </w:r>
            <w:r>
              <w:rPr>
                <w:rFonts w:ascii="Arial" w:hAnsi="Arial" w:cs="Arial"/>
                <w:sz w:val="18"/>
                <w:szCs w:val="18"/>
                <w:lang w:val="es-ES"/>
              </w:rPr>
              <w:t>”</w:t>
            </w:r>
            <w:r w:rsidRPr="006E0C74">
              <w:rPr>
                <w:rFonts w:ascii="Arial" w:hAnsi="Arial" w:cs="Arial"/>
                <w:sz w:val="18"/>
                <w:szCs w:val="18"/>
                <w:lang w:val="es-ES"/>
              </w:rPr>
              <w:t>, que determinará las lagunas de conocimientos y la adecuación de la inclusión de la ciencia en los marcos multilaterales sobre el océano, que se llevará a cabo entre junio de 2024 y junio de 2027.</w:t>
            </w:r>
          </w:p>
        </w:tc>
        <w:tc>
          <w:tcPr>
            <w:tcW w:w="1701" w:type="dxa"/>
            <w:shd w:val="clear" w:color="auto" w:fill="auto"/>
          </w:tcPr>
          <w:p w14:paraId="0B1A7AB9" w14:textId="77777777" w:rsidR="008901CD" w:rsidRPr="006E0C74" w:rsidRDefault="008901CD" w:rsidP="00A95FCC">
            <w:pPr>
              <w:keepLines/>
              <w:widowControl w:val="0"/>
              <w:tabs>
                <w:tab w:val="clear" w:pos="567"/>
              </w:tabs>
              <w:rPr>
                <w:rFonts w:ascii="Arial" w:hAnsi="Arial" w:cs="Arial"/>
                <w:sz w:val="18"/>
                <w:szCs w:val="18"/>
                <w:lang w:val="es-ES"/>
              </w:rPr>
            </w:pPr>
            <w:r w:rsidRPr="006E0C74">
              <w:rPr>
                <w:rFonts w:ascii="Arial" w:hAnsi="Arial" w:cs="Arial"/>
                <w:sz w:val="18"/>
                <w:szCs w:val="18"/>
                <w:lang w:val="es-ES"/>
              </w:rPr>
              <w:t>Secretario Ejecutivo de la COI y Coordinador del Decenio.</w:t>
            </w:r>
          </w:p>
        </w:tc>
        <w:tc>
          <w:tcPr>
            <w:tcW w:w="1842" w:type="dxa"/>
            <w:shd w:val="clear" w:color="auto" w:fill="auto"/>
          </w:tcPr>
          <w:p w14:paraId="11E2B312" w14:textId="77777777" w:rsidR="008901CD" w:rsidRPr="006E0C74" w:rsidRDefault="008901CD" w:rsidP="00A95FCC">
            <w:pPr>
              <w:keepLines/>
              <w:widowControl w:val="0"/>
              <w:tabs>
                <w:tab w:val="clear" w:pos="567"/>
              </w:tabs>
              <w:rPr>
                <w:rFonts w:ascii="Arial" w:hAnsi="Arial" w:cs="Arial"/>
                <w:sz w:val="18"/>
                <w:szCs w:val="18"/>
                <w:lang w:val="es-ES"/>
              </w:rPr>
            </w:pPr>
            <w:r w:rsidRPr="006E0C74">
              <w:rPr>
                <w:rFonts w:ascii="Arial" w:hAnsi="Arial" w:cs="Arial"/>
                <w:sz w:val="18"/>
                <w:szCs w:val="18"/>
                <w:lang w:val="es-ES"/>
              </w:rPr>
              <w:t>Segundo trimestre</w:t>
            </w:r>
            <w:r>
              <w:rPr>
                <w:rFonts w:ascii="Arial" w:hAnsi="Arial" w:cs="Arial"/>
                <w:sz w:val="18"/>
                <w:szCs w:val="18"/>
                <w:lang w:val="es-ES"/>
              </w:rPr>
              <w:t xml:space="preserve"> de</w:t>
            </w:r>
            <w:r w:rsidRPr="006E0C74">
              <w:rPr>
                <w:rFonts w:ascii="Arial" w:hAnsi="Arial" w:cs="Arial"/>
                <w:sz w:val="18"/>
                <w:szCs w:val="18"/>
                <w:lang w:val="es-ES"/>
              </w:rPr>
              <w:t xml:space="preserve"> 2027 </w:t>
            </w:r>
            <w:r w:rsidRPr="006E0C74">
              <w:rPr>
                <w:rFonts w:ascii="Arial" w:hAnsi="Arial" w:cs="Arial"/>
                <w:b/>
                <w:bCs/>
                <w:sz w:val="18"/>
                <w:szCs w:val="18"/>
                <w:lang w:val="es-ES"/>
              </w:rPr>
              <w:t>(34</w:t>
            </w:r>
            <w:r>
              <w:rPr>
                <w:rFonts w:ascii="Arial" w:hAnsi="Arial" w:cs="Arial"/>
                <w:b/>
                <w:bCs/>
                <w:sz w:val="18"/>
                <w:szCs w:val="18"/>
                <w:lang w:val="es-ES"/>
              </w:rPr>
              <w:t>ª reunión de la Asamblea</w:t>
            </w:r>
            <w:r w:rsidRPr="006E0C74">
              <w:rPr>
                <w:rFonts w:ascii="Arial" w:hAnsi="Arial" w:cs="Arial"/>
                <w:b/>
                <w:bCs/>
                <w:sz w:val="18"/>
                <w:szCs w:val="18"/>
                <w:lang w:val="es-ES"/>
              </w:rPr>
              <w:t>).</w:t>
            </w:r>
          </w:p>
        </w:tc>
      </w:tr>
      <w:tr w:rsidR="00101B97" w:rsidRPr="0042465A" w14:paraId="36641FAE" w14:textId="77777777" w:rsidTr="00A95FCC">
        <w:trPr>
          <w:cantSplit/>
        </w:trPr>
        <w:tc>
          <w:tcPr>
            <w:tcW w:w="2977" w:type="dxa"/>
          </w:tcPr>
          <w:p w14:paraId="32925A39" w14:textId="77777777" w:rsidR="00101B97" w:rsidRPr="006E0C74" w:rsidRDefault="00101B97" w:rsidP="00A95FCC">
            <w:pPr>
              <w:keepLines/>
              <w:widowControl w:val="0"/>
              <w:tabs>
                <w:tab w:val="clear" w:pos="567"/>
              </w:tabs>
              <w:rPr>
                <w:rFonts w:ascii="Arial" w:hAnsi="Arial" w:cs="Arial"/>
                <w:sz w:val="18"/>
                <w:szCs w:val="18"/>
                <w:lang w:val="es-ES"/>
              </w:rPr>
            </w:pPr>
          </w:p>
        </w:tc>
        <w:tc>
          <w:tcPr>
            <w:tcW w:w="3827" w:type="dxa"/>
            <w:shd w:val="clear" w:color="auto" w:fill="auto"/>
          </w:tcPr>
          <w:p w14:paraId="339C1D97" w14:textId="77777777" w:rsidR="00101B97" w:rsidRPr="006E0C74" w:rsidRDefault="00101B97" w:rsidP="00A95FCC">
            <w:pPr>
              <w:keepLines/>
              <w:widowControl w:val="0"/>
              <w:tabs>
                <w:tab w:val="clear" w:pos="567"/>
              </w:tabs>
              <w:rPr>
                <w:rFonts w:ascii="Arial" w:hAnsi="Arial" w:cs="Arial"/>
                <w:sz w:val="18"/>
                <w:szCs w:val="18"/>
                <w:lang w:val="es-ES"/>
              </w:rPr>
            </w:pPr>
            <w:r w:rsidRPr="006E0C74">
              <w:rPr>
                <w:rFonts w:ascii="Arial" w:hAnsi="Arial" w:cs="Arial"/>
                <w:sz w:val="18"/>
                <w:szCs w:val="18"/>
                <w:lang w:val="es-ES"/>
              </w:rPr>
              <w:t>1.4. Preparar mensajes estratégicos en torno a un marco rector de planificación y gestión sostenibles de los océanos de toda la COI e integrar firmemente ese marco en el Decenio del Océano.</w:t>
            </w:r>
          </w:p>
        </w:tc>
        <w:tc>
          <w:tcPr>
            <w:tcW w:w="4390" w:type="dxa"/>
          </w:tcPr>
          <w:p w14:paraId="0727FE61" w14:textId="77777777" w:rsidR="00101B97" w:rsidRPr="006E0C74" w:rsidRDefault="00101B97" w:rsidP="00A95FCC">
            <w:pPr>
              <w:keepLines/>
              <w:widowControl w:val="0"/>
              <w:tabs>
                <w:tab w:val="clear" w:pos="567"/>
              </w:tabs>
              <w:rPr>
                <w:rFonts w:ascii="Arial" w:hAnsi="Arial" w:cs="Arial"/>
                <w:sz w:val="18"/>
                <w:szCs w:val="18"/>
                <w:lang w:val="es-ES"/>
              </w:rPr>
            </w:pPr>
            <w:r w:rsidRPr="006E0C74">
              <w:rPr>
                <w:rFonts w:ascii="Arial" w:hAnsi="Arial" w:cs="Arial"/>
                <w:b/>
                <w:bCs/>
                <w:sz w:val="18"/>
                <w:szCs w:val="18"/>
                <w:lang w:val="es-ES"/>
              </w:rPr>
              <w:t xml:space="preserve">El Consejo Ejecutivo, en su 57ª reunión, aportó contribuciones al proyecto de estrategia sobre planificación y gestión sostenibles del océano, en </w:t>
            </w:r>
            <w:r>
              <w:rPr>
                <w:rFonts w:ascii="Arial" w:hAnsi="Arial" w:cs="Arial"/>
                <w:b/>
                <w:bCs/>
                <w:sz w:val="18"/>
                <w:szCs w:val="18"/>
                <w:lang w:val="es-ES"/>
              </w:rPr>
              <w:t>el</w:t>
            </w:r>
            <w:r w:rsidRPr="006E0C74">
              <w:rPr>
                <w:rFonts w:ascii="Arial" w:hAnsi="Arial" w:cs="Arial"/>
                <w:b/>
                <w:bCs/>
                <w:sz w:val="18"/>
                <w:szCs w:val="18"/>
                <w:lang w:val="es-ES"/>
              </w:rPr>
              <w:t xml:space="preserve"> que se definen objetivos y mensajes estratégicos, y decidió crear un grupo de trabajo para el periodo entre reuniones con miras a finalizar la estrategia y el plan de ejecución correspondiente.</w:t>
            </w:r>
            <w:r w:rsidRPr="006E0C74">
              <w:rPr>
                <w:rFonts w:ascii="Arial" w:hAnsi="Arial" w:cs="Arial"/>
                <w:sz w:val="18"/>
                <w:szCs w:val="18"/>
                <w:lang w:val="es-ES"/>
              </w:rPr>
              <w:t xml:space="preserve"> </w:t>
            </w:r>
            <w:r w:rsidRPr="006E0C74">
              <w:rPr>
                <w:rFonts w:ascii="Arial" w:hAnsi="Arial" w:cs="Arial"/>
                <w:b/>
                <w:bCs/>
                <w:sz w:val="18"/>
                <w:szCs w:val="18"/>
                <w:lang w:val="es-ES"/>
              </w:rPr>
              <w:t>El grupo de trabajo se reunió una vez de forma presencial y dos de forma telemática en 2025.</w:t>
            </w:r>
            <w:r w:rsidRPr="006E0C74">
              <w:rPr>
                <w:rFonts w:ascii="Arial" w:hAnsi="Arial" w:cs="Arial"/>
                <w:sz w:val="18"/>
                <w:szCs w:val="18"/>
                <w:lang w:val="es-ES"/>
              </w:rPr>
              <w:t xml:space="preserve"> </w:t>
            </w:r>
            <w:r w:rsidRPr="006E0C74">
              <w:rPr>
                <w:rFonts w:ascii="Arial" w:hAnsi="Arial" w:cs="Arial"/>
                <w:b/>
                <w:bCs/>
                <w:sz w:val="18"/>
                <w:szCs w:val="18"/>
                <w:lang w:val="es-ES"/>
              </w:rPr>
              <w:t>El proyecto de estrategia resultante para toda la COI se somete al examen de la Asamblea de la COI en su 33ª reunión.</w:t>
            </w:r>
            <w:r w:rsidRPr="006E0C74">
              <w:rPr>
                <w:rFonts w:ascii="Arial" w:hAnsi="Arial" w:cs="Arial"/>
                <w:sz w:val="18"/>
                <w:szCs w:val="18"/>
                <w:lang w:val="es-ES"/>
              </w:rPr>
              <w:t xml:space="preserve"> </w:t>
            </w:r>
            <w:r w:rsidRPr="006E0C74">
              <w:rPr>
                <w:rFonts w:ascii="Arial" w:hAnsi="Arial" w:cs="Arial"/>
                <w:b/>
                <w:bCs/>
                <w:sz w:val="18"/>
                <w:szCs w:val="18"/>
                <w:lang w:val="es-ES"/>
              </w:rPr>
              <w:t xml:space="preserve">También se </w:t>
            </w:r>
            <w:r>
              <w:rPr>
                <w:rFonts w:ascii="Arial" w:hAnsi="Arial" w:cs="Arial"/>
                <w:b/>
                <w:bCs/>
                <w:sz w:val="18"/>
                <w:szCs w:val="18"/>
                <w:lang w:val="es-ES"/>
              </w:rPr>
              <w:t>presenta</w:t>
            </w:r>
            <w:r w:rsidRPr="006E0C74">
              <w:rPr>
                <w:rFonts w:ascii="Arial" w:hAnsi="Arial" w:cs="Arial"/>
                <w:b/>
                <w:bCs/>
                <w:sz w:val="18"/>
                <w:szCs w:val="18"/>
                <w:lang w:val="es-ES"/>
              </w:rPr>
              <w:t xml:space="preserve"> un proyecto de mandato para establecer un grupo de trabajo sobre planificación y gestión sostenibles del océano al término de la Asamblea, con el fin de orientar la ejecución de la Estrategia para 2025-2030 y </w:t>
            </w:r>
            <w:r>
              <w:rPr>
                <w:rFonts w:ascii="Arial" w:hAnsi="Arial" w:cs="Arial"/>
                <w:b/>
                <w:bCs/>
                <w:sz w:val="18"/>
                <w:szCs w:val="18"/>
                <w:lang w:val="es-ES"/>
              </w:rPr>
              <w:t xml:space="preserve">de </w:t>
            </w:r>
            <w:r w:rsidRPr="006E0C74">
              <w:rPr>
                <w:rFonts w:ascii="Arial" w:hAnsi="Arial" w:cs="Arial"/>
                <w:b/>
                <w:bCs/>
                <w:sz w:val="18"/>
                <w:szCs w:val="18"/>
                <w:lang w:val="es-ES"/>
              </w:rPr>
              <w:t xml:space="preserve">atender toda necesidad de actualización en relación con el proceso de consulta </w:t>
            </w:r>
            <w:r>
              <w:rPr>
                <w:rFonts w:ascii="Arial" w:hAnsi="Arial" w:cs="Arial"/>
                <w:b/>
                <w:bCs/>
                <w:sz w:val="18"/>
                <w:szCs w:val="18"/>
                <w:lang w:val="es-ES"/>
              </w:rPr>
              <w:t>“</w:t>
            </w:r>
            <w:r w:rsidRPr="006E0C74">
              <w:rPr>
                <w:rFonts w:ascii="Arial" w:hAnsi="Arial" w:cs="Arial"/>
                <w:b/>
                <w:bCs/>
                <w:sz w:val="18"/>
                <w:szCs w:val="18"/>
                <w:lang w:val="es-ES"/>
              </w:rPr>
              <w:t>La COI y el futuro del océano</w:t>
            </w:r>
            <w:r>
              <w:rPr>
                <w:rFonts w:ascii="Arial" w:hAnsi="Arial" w:cs="Arial"/>
                <w:b/>
                <w:bCs/>
                <w:sz w:val="18"/>
                <w:szCs w:val="18"/>
                <w:lang w:val="es-ES"/>
              </w:rPr>
              <w:t>”</w:t>
            </w:r>
            <w:r w:rsidRPr="006E0C74">
              <w:rPr>
                <w:rFonts w:ascii="Arial" w:hAnsi="Arial" w:cs="Arial"/>
                <w:b/>
                <w:bCs/>
                <w:sz w:val="18"/>
                <w:szCs w:val="18"/>
                <w:lang w:val="es-ES"/>
              </w:rPr>
              <w:t>, en lo que respecta a la planificación y gestión sostenibles del océano.</w:t>
            </w:r>
            <w:r w:rsidRPr="006E0C74">
              <w:rPr>
                <w:rFonts w:ascii="Arial" w:hAnsi="Arial" w:cs="Arial"/>
                <w:sz w:val="18"/>
                <w:szCs w:val="18"/>
                <w:lang w:val="es-ES"/>
              </w:rPr>
              <w:t xml:space="preserve"> </w:t>
            </w:r>
            <w:r w:rsidRPr="006E0C74">
              <w:rPr>
                <w:rFonts w:ascii="Arial" w:hAnsi="Arial" w:cs="Arial"/>
                <w:b/>
                <w:bCs/>
                <w:sz w:val="18"/>
                <w:szCs w:val="18"/>
                <w:lang w:val="es-ES"/>
              </w:rPr>
              <w:t>Los resultados</w:t>
            </w:r>
            <w:r>
              <w:rPr>
                <w:rFonts w:ascii="Arial" w:hAnsi="Arial" w:cs="Arial"/>
                <w:b/>
                <w:bCs/>
                <w:sz w:val="18"/>
                <w:szCs w:val="18"/>
                <w:lang w:val="es-ES"/>
              </w:rPr>
              <w:t xml:space="preserve"> </w:t>
            </w:r>
            <w:r w:rsidRPr="006E0C74">
              <w:rPr>
                <w:rFonts w:ascii="Arial" w:hAnsi="Arial" w:cs="Arial"/>
                <w:b/>
                <w:bCs/>
                <w:sz w:val="18"/>
                <w:szCs w:val="18"/>
                <w:lang w:val="es-ES"/>
              </w:rPr>
              <w:t xml:space="preserve">de la estrategia de la COI en materia de planificación y gestión sostenibles del océano se </w:t>
            </w:r>
            <w:r>
              <w:rPr>
                <w:rFonts w:ascii="Arial" w:hAnsi="Arial" w:cs="Arial"/>
                <w:b/>
                <w:bCs/>
                <w:sz w:val="18"/>
                <w:szCs w:val="18"/>
                <w:lang w:val="es-ES"/>
              </w:rPr>
              <w:t>tienen</w:t>
            </w:r>
            <w:r w:rsidRPr="006E0C74">
              <w:rPr>
                <w:rFonts w:ascii="Arial" w:hAnsi="Arial" w:cs="Arial"/>
                <w:b/>
                <w:bCs/>
                <w:sz w:val="18"/>
                <w:szCs w:val="18"/>
                <w:lang w:val="es-ES"/>
              </w:rPr>
              <w:t xml:space="preserve"> en cuenta en el plan de ejecución del programa del Decenio sobre la planificación sostenible del océano, que se puso en marcha en la Conferencia de Barcelona, para el que se ha creado un comité consultivo provisional con el fin de proseguir la elaboración de los elementos estructurales del programa.</w:t>
            </w:r>
          </w:p>
        </w:tc>
        <w:tc>
          <w:tcPr>
            <w:tcW w:w="1701" w:type="dxa"/>
            <w:shd w:val="clear" w:color="auto" w:fill="auto"/>
          </w:tcPr>
          <w:p w14:paraId="24567E85" w14:textId="77777777" w:rsidR="00101B97" w:rsidRPr="006E0C74" w:rsidRDefault="00101B97" w:rsidP="00A95FCC">
            <w:pPr>
              <w:keepLines/>
              <w:widowControl w:val="0"/>
              <w:tabs>
                <w:tab w:val="clear" w:pos="567"/>
              </w:tabs>
              <w:rPr>
                <w:rFonts w:ascii="Arial" w:hAnsi="Arial" w:cs="Arial"/>
                <w:sz w:val="18"/>
                <w:szCs w:val="18"/>
                <w:lang w:val="es-ES"/>
              </w:rPr>
            </w:pPr>
            <w:r w:rsidRPr="006E0C74">
              <w:rPr>
                <w:rFonts w:ascii="Arial" w:hAnsi="Arial" w:cs="Arial"/>
                <w:sz w:val="18"/>
                <w:szCs w:val="18"/>
                <w:lang w:val="es-ES"/>
              </w:rPr>
              <w:t>Secretario Ejecutivo de la COI y Coordinador del Decenio.</w:t>
            </w:r>
          </w:p>
        </w:tc>
        <w:tc>
          <w:tcPr>
            <w:tcW w:w="1842" w:type="dxa"/>
            <w:shd w:val="clear" w:color="auto" w:fill="auto"/>
          </w:tcPr>
          <w:p w14:paraId="25407F66" w14:textId="77777777" w:rsidR="00101B97" w:rsidRPr="006E0C74" w:rsidRDefault="00101B97" w:rsidP="00A95FCC">
            <w:pPr>
              <w:keepLines/>
              <w:widowControl w:val="0"/>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101B97" w:rsidRPr="0042465A" w14:paraId="73C88B43" w14:textId="77777777" w:rsidTr="00A95FCC">
        <w:trPr>
          <w:cantSplit/>
        </w:trPr>
        <w:tc>
          <w:tcPr>
            <w:tcW w:w="2977" w:type="dxa"/>
            <w:vMerge w:val="restart"/>
          </w:tcPr>
          <w:p w14:paraId="3A2035D2" w14:textId="77777777" w:rsidR="00101B97" w:rsidRPr="006E0C74" w:rsidRDefault="00101B97" w:rsidP="00A95FCC">
            <w:pPr>
              <w:keepNext/>
              <w:tabs>
                <w:tab w:val="clear" w:pos="567"/>
              </w:tabs>
              <w:spacing w:after="120"/>
              <w:rPr>
                <w:rFonts w:ascii="Arial" w:hAnsi="Arial" w:cs="Arial"/>
                <w:b/>
                <w:bCs/>
                <w:sz w:val="18"/>
                <w:szCs w:val="18"/>
                <w:lang w:val="es-ES"/>
              </w:rPr>
            </w:pPr>
            <w:r w:rsidRPr="006E0C74">
              <w:rPr>
                <w:rFonts w:ascii="Arial" w:hAnsi="Arial" w:cs="Arial"/>
                <w:b/>
                <w:bCs/>
                <w:sz w:val="18"/>
                <w:szCs w:val="18"/>
                <w:lang w:val="es-ES"/>
              </w:rPr>
              <w:lastRenderedPageBreak/>
              <w:t>Recomendación 2:</w:t>
            </w:r>
          </w:p>
          <w:p w14:paraId="00BD8A71" w14:textId="77777777" w:rsidR="00101B97" w:rsidRPr="006E0C74" w:rsidRDefault="00101B97" w:rsidP="00A95FCC">
            <w:pPr>
              <w:keepNext/>
              <w:tabs>
                <w:tab w:val="clear" w:pos="567"/>
              </w:tabs>
              <w:rPr>
                <w:rFonts w:ascii="Arial" w:hAnsi="Arial" w:cs="Arial"/>
                <w:sz w:val="18"/>
                <w:szCs w:val="18"/>
                <w:lang w:val="es-ES"/>
              </w:rPr>
            </w:pPr>
            <w:r w:rsidRPr="006E0C74">
              <w:rPr>
                <w:rFonts w:ascii="Arial" w:hAnsi="Arial" w:cs="Arial"/>
                <w:sz w:val="18"/>
                <w:szCs w:val="18"/>
                <w:lang w:val="es-ES"/>
              </w:rPr>
              <w:t>De aquí a junio de 2022 – elaborar, en colaboración con otros organismos, un marco de resultados para el Decenio de las Naciones Unidas de las Ciencias Oceánicas para el Desarrollo Sostenible, definiendo claramente los objetivos, los objetivos intermedios, los indicadores y los responsables en el sistema de las Naciones Unidas y fuera de él con el fin de supervisar y evaluar los progresos realizados en relación con los objetivos del Decenio.</w:t>
            </w:r>
          </w:p>
        </w:tc>
        <w:tc>
          <w:tcPr>
            <w:tcW w:w="3827" w:type="dxa"/>
            <w:shd w:val="clear" w:color="auto" w:fill="auto"/>
          </w:tcPr>
          <w:p w14:paraId="0274B9AA" w14:textId="77777777" w:rsidR="00101B97" w:rsidRPr="006E0C74" w:rsidRDefault="00101B97" w:rsidP="00A95FCC">
            <w:pPr>
              <w:keepNext/>
              <w:tabs>
                <w:tab w:val="clear" w:pos="567"/>
              </w:tabs>
              <w:rPr>
                <w:rFonts w:ascii="Arial" w:hAnsi="Arial" w:cs="Arial"/>
                <w:sz w:val="18"/>
                <w:szCs w:val="18"/>
                <w:lang w:val="es-ES"/>
              </w:rPr>
            </w:pPr>
            <w:r w:rsidRPr="006E0C74">
              <w:rPr>
                <w:rFonts w:ascii="Arial" w:hAnsi="Arial" w:cs="Arial"/>
                <w:sz w:val="18"/>
                <w:szCs w:val="18"/>
                <w:lang w:val="es-ES"/>
              </w:rPr>
              <w:t>2.1 Comenzar a aplicar la primera versión del marco de resultados para el Decenio del Océano a más tardar a mediados de 2022. El marco de resultados debe incluir un número mínimo de resultados, resultados intermedios, productos, bases de referencia y responsables.</w:t>
            </w:r>
          </w:p>
        </w:tc>
        <w:tc>
          <w:tcPr>
            <w:tcW w:w="4390" w:type="dxa"/>
          </w:tcPr>
          <w:p w14:paraId="53037378" w14:textId="77777777" w:rsidR="00101B97" w:rsidRPr="006E0C74" w:rsidRDefault="00101B97" w:rsidP="00A95FCC">
            <w:pPr>
              <w:keepNext/>
              <w:tabs>
                <w:tab w:val="clear" w:pos="567"/>
              </w:tabs>
              <w:rPr>
                <w:rFonts w:ascii="Arial" w:hAnsi="Arial" w:cs="Arial"/>
                <w:sz w:val="18"/>
                <w:szCs w:val="18"/>
                <w:lang w:val="es-ES"/>
              </w:rPr>
            </w:pPr>
            <w:r w:rsidRPr="006E0C74">
              <w:rPr>
                <w:rFonts w:ascii="Arial" w:hAnsi="Arial" w:cs="Arial"/>
                <w:sz w:val="18"/>
                <w:szCs w:val="18"/>
                <w:lang w:val="es-ES"/>
              </w:rPr>
              <w:t>Aplicación finalizada en enero de 2023.</w:t>
            </w:r>
          </w:p>
        </w:tc>
        <w:tc>
          <w:tcPr>
            <w:tcW w:w="1701" w:type="dxa"/>
            <w:shd w:val="clear" w:color="auto" w:fill="auto"/>
          </w:tcPr>
          <w:p w14:paraId="46719739" w14:textId="77777777" w:rsidR="00101B97" w:rsidRPr="006E0C74" w:rsidRDefault="00101B97" w:rsidP="00A95FCC">
            <w:pPr>
              <w:keepNext/>
              <w:tabs>
                <w:tab w:val="clear" w:pos="567"/>
              </w:tabs>
              <w:rPr>
                <w:rFonts w:ascii="Arial" w:hAnsi="Arial" w:cs="Arial"/>
                <w:sz w:val="18"/>
                <w:szCs w:val="18"/>
                <w:lang w:val="es-ES"/>
              </w:rPr>
            </w:pPr>
            <w:r w:rsidRPr="006E0C74">
              <w:rPr>
                <w:rFonts w:ascii="Arial" w:hAnsi="Arial" w:cs="Arial"/>
                <w:sz w:val="18"/>
                <w:szCs w:val="18"/>
                <w:lang w:val="es-ES"/>
              </w:rPr>
              <w:t>Secretario Ejecutivo de la COI y Unidad de Coordinación del Decenio.</w:t>
            </w:r>
          </w:p>
        </w:tc>
        <w:tc>
          <w:tcPr>
            <w:tcW w:w="1842" w:type="dxa"/>
            <w:shd w:val="clear" w:color="auto" w:fill="auto"/>
          </w:tcPr>
          <w:p w14:paraId="0EC34206" w14:textId="77777777" w:rsidR="00101B97" w:rsidRPr="006E0C74" w:rsidRDefault="00101B97" w:rsidP="00A95FCC">
            <w:pPr>
              <w:keepNext/>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101B97" w:rsidRPr="00ED4D59" w14:paraId="4029A109" w14:textId="77777777" w:rsidTr="00A95FCC">
        <w:trPr>
          <w:cantSplit/>
        </w:trPr>
        <w:tc>
          <w:tcPr>
            <w:tcW w:w="2977" w:type="dxa"/>
            <w:vMerge/>
            <w:shd w:val="clear" w:color="auto" w:fill="auto"/>
          </w:tcPr>
          <w:p w14:paraId="6F93742F" w14:textId="77777777" w:rsidR="00101B97" w:rsidRPr="006E0C74" w:rsidRDefault="00101B97" w:rsidP="00A95FCC">
            <w:pPr>
              <w:pStyle w:val="ListParagraph"/>
              <w:tabs>
                <w:tab w:val="clear" w:pos="567"/>
              </w:tabs>
              <w:ind w:left="0"/>
              <w:contextualSpacing w:val="0"/>
              <w:rPr>
                <w:rFonts w:ascii="Arial" w:eastAsiaTheme="minorHAnsi" w:hAnsi="Arial" w:cs="Arial"/>
                <w:color w:val="000000"/>
                <w:sz w:val="18"/>
                <w:szCs w:val="18"/>
                <w:lang w:val="es-ES"/>
              </w:rPr>
            </w:pPr>
          </w:p>
        </w:tc>
        <w:tc>
          <w:tcPr>
            <w:tcW w:w="3827" w:type="dxa"/>
            <w:shd w:val="clear" w:color="auto" w:fill="auto"/>
          </w:tcPr>
          <w:p w14:paraId="06DD302E"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2.2 Establecer un proceso para definir colectivamente con los asociados de </w:t>
            </w:r>
            <w:proofErr w:type="gramStart"/>
            <w:r w:rsidRPr="006E0C74">
              <w:rPr>
                <w:rFonts w:ascii="Arial" w:hAnsi="Arial" w:cs="Arial"/>
                <w:sz w:val="18"/>
                <w:szCs w:val="18"/>
                <w:lang w:val="es-ES"/>
              </w:rPr>
              <w:t>ONU</w:t>
            </w:r>
            <w:proofErr w:type="gramEnd"/>
            <w:r w:rsidRPr="006E0C74">
              <w:rPr>
                <w:rFonts w:ascii="Arial" w:hAnsi="Arial" w:cs="Arial"/>
                <w:sz w:val="18"/>
                <w:szCs w:val="18"/>
                <w:lang w:val="es-ES"/>
              </w:rPr>
              <w:t>-Océanos y todas las partes interesadas pertinentes ambiciones y objetivos estratégicos para los 10 desafíos del Decenio del Océano e integrarlos progresivamente en el marco de resultados del Decenio del Océano.</w:t>
            </w:r>
          </w:p>
        </w:tc>
        <w:tc>
          <w:tcPr>
            <w:tcW w:w="4390" w:type="dxa"/>
          </w:tcPr>
          <w:p w14:paraId="6E8E06FC"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 aplicarán las recomendaciones del proceso de evaluación de mitad de periodo en materia de seguimiento, evaluación y aprendizaje relativas a esta cuestión y se informará al respecto a los órganos rectores de la COI.</w:t>
            </w:r>
          </w:p>
        </w:tc>
        <w:tc>
          <w:tcPr>
            <w:tcW w:w="1701" w:type="dxa"/>
            <w:shd w:val="clear" w:color="auto" w:fill="auto"/>
          </w:tcPr>
          <w:p w14:paraId="59AEED2D"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de la COI y Unidad de Coordinación del Decenio.</w:t>
            </w:r>
          </w:p>
        </w:tc>
        <w:tc>
          <w:tcPr>
            <w:tcW w:w="1842" w:type="dxa"/>
            <w:shd w:val="clear" w:color="auto" w:fill="auto"/>
          </w:tcPr>
          <w:p w14:paraId="26CDCC76"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Segundo trimestre de 2025</w:t>
            </w:r>
            <w:r>
              <w:rPr>
                <w:rFonts w:ascii="Arial" w:hAnsi="Arial" w:cs="Arial"/>
                <w:sz w:val="18"/>
                <w:szCs w:val="18"/>
                <w:lang w:val="es-ES"/>
              </w:rPr>
              <w:t xml:space="preserve"> -</w:t>
            </w:r>
            <w:r w:rsidRPr="006E0C74">
              <w:rPr>
                <w:rFonts w:ascii="Arial" w:hAnsi="Arial" w:cs="Arial"/>
                <w:sz w:val="18"/>
                <w:szCs w:val="18"/>
                <w:lang w:val="es-ES"/>
              </w:rPr>
              <w:t xml:space="preserve"> </w:t>
            </w:r>
            <w:r>
              <w:rPr>
                <w:rFonts w:ascii="Arial" w:hAnsi="Arial" w:cs="Arial"/>
                <w:sz w:val="18"/>
                <w:szCs w:val="18"/>
                <w:lang w:val="es-ES"/>
              </w:rPr>
              <w:t>I</w:t>
            </w:r>
            <w:r w:rsidRPr="006E0C74">
              <w:rPr>
                <w:rFonts w:ascii="Arial" w:hAnsi="Arial" w:cs="Arial"/>
                <w:sz w:val="18"/>
                <w:szCs w:val="18"/>
                <w:lang w:val="es-ES"/>
              </w:rPr>
              <w:t>nforme al Consejo Ejecutivo en su 59ª reunión</w:t>
            </w:r>
            <w:r>
              <w:rPr>
                <w:rFonts w:ascii="Arial" w:hAnsi="Arial" w:cs="Arial"/>
                <w:sz w:val="18"/>
                <w:szCs w:val="18"/>
                <w:lang w:val="es-ES"/>
              </w:rPr>
              <w:t>.</w:t>
            </w:r>
          </w:p>
        </w:tc>
      </w:tr>
      <w:tr w:rsidR="00101B97" w:rsidRPr="006E0C74" w14:paraId="04C7665B" w14:textId="77777777" w:rsidTr="00A95FCC">
        <w:trPr>
          <w:cantSplit/>
        </w:trPr>
        <w:tc>
          <w:tcPr>
            <w:tcW w:w="2977" w:type="dxa"/>
            <w:vMerge/>
            <w:shd w:val="clear" w:color="auto" w:fill="auto"/>
          </w:tcPr>
          <w:p w14:paraId="1813ABC4" w14:textId="77777777" w:rsidR="00101B97" w:rsidRPr="006E0C74" w:rsidRDefault="00101B97" w:rsidP="00101B97">
            <w:pPr>
              <w:pStyle w:val="ListParagraph"/>
              <w:numPr>
                <w:ilvl w:val="0"/>
                <w:numId w:val="38"/>
              </w:numPr>
              <w:tabs>
                <w:tab w:val="clear" w:pos="567"/>
              </w:tabs>
              <w:ind w:left="0" w:firstLine="0"/>
              <w:contextualSpacing w:val="0"/>
              <w:rPr>
                <w:rFonts w:ascii="Arial" w:eastAsiaTheme="minorHAnsi" w:hAnsi="Arial" w:cs="Arial"/>
                <w:color w:val="000000"/>
                <w:sz w:val="18"/>
                <w:szCs w:val="18"/>
                <w:lang w:val="es-ES"/>
              </w:rPr>
            </w:pPr>
          </w:p>
        </w:tc>
        <w:tc>
          <w:tcPr>
            <w:tcW w:w="3827" w:type="dxa"/>
            <w:shd w:val="clear" w:color="auto" w:fill="auto"/>
          </w:tcPr>
          <w:p w14:paraId="45B13B58"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2.3 Poner en práctica los mecanismos de examen previstos en el plan de ejecución del Decenio del Océano, incluida la serie de conferencias internacionales y regionales del Decenio del Océano cada tres años, que ofrecerán una plataforma para hacer un balance y realizar una gestión adaptable de las prioridades del Decenio.</w:t>
            </w:r>
          </w:p>
        </w:tc>
        <w:tc>
          <w:tcPr>
            <w:tcW w:w="4390" w:type="dxa"/>
          </w:tcPr>
          <w:p w14:paraId="3B3E8133"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Realizad</w:t>
            </w:r>
            <w:r>
              <w:rPr>
                <w:rFonts w:ascii="Arial" w:hAnsi="Arial" w:cs="Arial"/>
                <w:sz w:val="18"/>
                <w:szCs w:val="18"/>
                <w:lang w:val="es-ES"/>
              </w:rPr>
              <w:t>o</w:t>
            </w:r>
            <w:r w:rsidRPr="006E0C74">
              <w:rPr>
                <w:rFonts w:ascii="Arial" w:hAnsi="Arial" w:cs="Arial"/>
                <w:sz w:val="18"/>
                <w:szCs w:val="18"/>
                <w:lang w:val="es-ES"/>
              </w:rPr>
              <w:t>. Se ha confirmado la celebración de la Conferencia del Decenio del Océano en abril de 2024 en España. Se ha completado la implantación del marco de seguimiento y evaluación. Se ha puesto en marcha el proceso Visión 2030.</w:t>
            </w:r>
          </w:p>
        </w:tc>
        <w:tc>
          <w:tcPr>
            <w:tcW w:w="1701" w:type="dxa"/>
            <w:shd w:val="clear" w:color="auto" w:fill="auto"/>
          </w:tcPr>
          <w:p w14:paraId="67EF6062"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de la COI y Unidad de Coordinación del Decenio.</w:t>
            </w:r>
          </w:p>
        </w:tc>
        <w:tc>
          <w:tcPr>
            <w:tcW w:w="1842" w:type="dxa"/>
            <w:shd w:val="clear" w:color="auto" w:fill="auto"/>
          </w:tcPr>
          <w:p w14:paraId="65518E27" w14:textId="77777777" w:rsidR="00101B97" w:rsidRPr="006E0C74" w:rsidRDefault="00101B97" w:rsidP="00A95FCC">
            <w:pPr>
              <w:tabs>
                <w:tab w:val="clear" w:pos="567"/>
              </w:tabs>
              <w:rPr>
                <w:rFonts w:ascii="Arial" w:hAnsi="Arial" w:cs="Arial"/>
                <w:b/>
                <w:bCs/>
                <w:sz w:val="18"/>
                <w:szCs w:val="18"/>
                <w:lang w:val="es-ES"/>
              </w:rPr>
            </w:pPr>
            <w:r w:rsidRPr="006E0C74">
              <w:rPr>
                <w:rFonts w:ascii="Arial" w:hAnsi="Arial" w:cs="Arial"/>
                <w:b/>
                <w:bCs/>
                <w:sz w:val="18"/>
                <w:szCs w:val="18"/>
                <w:lang w:val="es-ES"/>
              </w:rPr>
              <w:t>Finalizada.</w:t>
            </w:r>
          </w:p>
        </w:tc>
      </w:tr>
      <w:tr w:rsidR="00101B97" w:rsidRPr="006E0C74" w14:paraId="60DC4471" w14:textId="77777777" w:rsidTr="00A95FCC">
        <w:trPr>
          <w:cantSplit/>
        </w:trPr>
        <w:tc>
          <w:tcPr>
            <w:tcW w:w="2977" w:type="dxa"/>
            <w:vMerge w:val="restart"/>
            <w:shd w:val="clear" w:color="auto" w:fill="auto"/>
          </w:tcPr>
          <w:p w14:paraId="70AE7205" w14:textId="77777777" w:rsidR="00101B97" w:rsidRPr="006E0C74" w:rsidRDefault="00101B97" w:rsidP="00A95FCC">
            <w:pPr>
              <w:tabs>
                <w:tab w:val="clear" w:pos="567"/>
              </w:tabs>
              <w:spacing w:after="120"/>
              <w:rPr>
                <w:rFonts w:ascii="Arial" w:hAnsi="Arial" w:cs="Arial"/>
                <w:b/>
                <w:bCs/>
                <w:sz w:val="18"/>
                <w:szCs w:val="18"/>
                <w:lang w:val="es-ES"/>
              </w:rPr>
            </w:pPr>
            <w:r w:rsidRPr="006E0C74">
              <w:rPr>
                <w:rFonts w:ascii="Arial" w:hAnsi="Arial" w:cs="Arial"/>
                <w:b/>
                <w:bCs/>
                <w:sz w:val="18"/>
                <w:szCs w:val="18"/>
                <w:lang w:val="es-ES"/>
              </w:rPr>
              <w:t>Recomendación 3:</w:t>
            </w:r>
          </w:p>
          <w:p w14:paraId="6F591629" w14:textId="77777777" w:rsidR="00101B97" w:rsidRPr="006E0C74" w:rsidRDefault="00101B97" w:rsidP="00A95FCC">
            <w:pPr>
              <w:pStyle w:val="CommentText"/>
              <w:tabs>
                <w:tab w:val="clear" w:pos="567"/>
              </w:tabs>
              <w:rPr>
                <w:rFonts w:ascii="Arial" w:hAnsi="Arial" w:cs="Arial"/>
                <w:sz w:val="18"/>
                <w:szCs w:val="18"/>
                <w:lang w:val="es-ES"/>
              </w:rPr>
            </w:pPr>
            <w:r w:rsidRPr="006E0C74">
              <w:rPr>
                <w:rFonts w:ascii="Arial" w:hAnsi="Arial" w:cs="Arial"/>
                <w:sz w:val="18"/>
                <w:szCs w:val="18"/>
                <w:lang w:val="es-ES"/>
              </w:rPr>
              <w:t xml:space="preserve">De aquí a junio de 2022 – determinar </w:t>
            </w:r>
            <w:r>
              <w:rPr>
                <w:rFonts w:ascii="Arial" w:hAnsi="Arial" w:cs="Arial"/>
                <w:sz w:val="18"/>
                <w:szCs w:val="18"/>
                <w:lang w:val="es-ES"/>
              </w:rPr>
              <w:t>la manera en que</w:t>
            </w:r>
            <w:r w:rsidRPr="006E0C74">
              <w:rPr>
                <w:rFonts w:ascii="Arial" w:hAnsi="Arial" w:cs="Arial"/>
                <w:sz w:val="18"/>
                <w:szCs w:val="18"/>
                <w:lang w:val="es-ES"/>
              </w:rPr>
              <w:t xml:space="preserve"> la UNESCO puede apoyar el Decenio.</w:t>
            </w:r>
          </w:p>
        </w:tc>
        <w:tc>
          <w:tcPr>
            <w:tcW w:w="3827" w:type="dxa"/>
            <w:shd w:val="clear" w:color="auto" w:fill="auto"/>
          </w:tcPr>
          <w:p w14:paraId="47B415E9"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3.1 Elaborar mensajes claros y específicos para diferentes grupos de donantes sobre los beneficios de invertir en el Decenio del Océano y los modos de hacerlo.</w:t>
            </w:r>
          </w:p>
        </w:tc>
        <w:tc>
          <w:tcPr>
            <w:tcW w:w="4390" w:type="dxa"/>
          </w:tcPr>
          <w:p w14:paraId="62B95E97"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El proceso de evaluación de mitad de periodo del Decenio del Océano se presentó a la Asamblea de la COI en su 33ª reunión, con recomendaciones específicas adicionales sobre la participación de los donantes.</w:t>
            </w:r>
            <w:r w:rsidRPr="006E0C74">
              <w:rPr>
                <w:rFonts w:ascii="Arial" w:hAnsi="Arial" w:cs="Arial"/>
                <w:sz w:val="18"/>
                <w:szCs w:val="18"/>
                <w:lang w:val="es-ES"/>
              </w:rPr>
              <w:t xml:space="preserve"> </w:t>
            </w:r>
            <w:r w:rsidRPr="006E0C74">
              <w:rPr>
                <w:rFonts w:ascii="Arial" w:hAnsi="Arial" w:cs="Arial"/>
                <w:b/>
                <w:bCs/>
                <w:sz w:val="18"/>
                <w:szCs w:val="18"/>
                <w:lang w:val="es-ES"/>
              </w:rPr>
              <w:t>A lo largo del Decenio se informará a los órganos rectores de los progresos realizados.</w:t>
            </w:r>
          </w:p>
        </w:tc>
        <w:tc>
          <w:tcPr>
            <w:tcW w:w="1701" w:type="dxa"/>
            <w:shd w:val="clear" w:color="auto" w:fill="auto"/>
          </w:tcPr>
          <w:p w14:paraId="7C6EA39D"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Unidad de Coordinación del Decenio en consulta con el equipo de dirección de la COI.</w:t>
            </w:r>
          </w:p>
        </w:tc>
        <w:tc>
          <w:tcPr>
            <w:tcW w:w="1842" w:type="dxa"/>
            <w:shd w:val="clear" w:color="auto" w:fill="auto"/>
          </w:tcPr>
          <w:p w14:paraId="3B87B94B" w14:textId="77777777" w:rsidR="00101B97" w:rsidRPr="006E0C74" w:rsidRDefault="00101B97" w:rsidP="00A95FCC">
            <w:pPr>
              <w:tabs>
                <w:tab w:val="clear" w:pos="567"/>
              </w:tabs>
              <w:rPr>
                <w:rFonts w:ascii="Arial" w:hAnsi="Arial" w:cs="Arial"/>
                <w:b/>
                <w:bCs/>
                <w:sz w:val="18"/>
                <w:szCs w:val="18"/>
                <w:lang w:val="es-ES"/>
              </w:rPr>
            </w:pPr>
            <w:r w:rsidRPr="006E0C74">
              <w:rPr>
                <w:rFonts w:ascii="Arial" w:hAnsi="Arial" w:cs="Arial"/>
                <w:b/>
                <w:bCs/>
                <w:sz w:val="18"/>
                <w:szCs w:val="18"/>
                <w:lang w:val="es-ES"/>
              </w:rPr>
              <w:t>Finalizada.</w:t>
            </w:r>
          </w:p>
        </w:tc>
      </w:tr>
      <w:tr w:rsidR="00101B97" w:rsidRPr="006E0C74" w14:paraId="279E16D8" w14:textId="77777777" w:rsidTr="00A95FCC">
        <w:trPr>
          <w:cantSplit/>
        </w:trPr>
        <w:tc>
          <w:tcPr>
            <w:tcW w:w="2977" w:type="dxa"/>
            <w:vMerge/>
            <w:shd w:val="clear" w:color="auto" w:fill="auto"/>
          </w:tcPr>
          <w:p w14:paraId="7D3A86DA"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4954574D"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3.2 Seguir evaluando las necesidades de recursos de los programas y estructuras de la COI para apoyar eficazmente la ejecución del Decenio (</w:t>
            </w:r>
            <w:r>
              <w:rPr>
                <w:rFonts w:ascii="Arial" w:hAnsi="Arial" w:cs="Arial"/>
                <w:sz w:val="18"/>
                <w:szCs w:val="18"/>
                <w:lang w:val="es-ES"/>
              </w:rPr>
              <w:t>al margen</w:t>
            </w:r>
            <w:r w:rsidRPr="006E0C74">
              <w:rPr>
                <w:rFonts w:ascii="Arial" w:hAnsi="Arial" w:cs="Arial"/>
                <w:sz w:val="18"/>
                <w:szCs w:val="18"/>
                <w:lang w:val="es-ES"/>
              </w:rPr>
              <w:t xml:space="preserve"> de las funciones de coordinación del Decenio asumidas por la Unidad de Coordinación del Decenio).</w:t>
            </w:r>
          </w:p>
        </w:tc>
        <w:tc>
          <w:tcPr>
            <w:tcW w:w="4390" w:type="dxa"/>
          </w:tcPr>
          <w:p w14:paraId="43A5F36C"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Se han preparado y actualizado las estimaciones de las necesidades presupuestarias y de recursos para las oficinas de coordinación del Decenio albergadas por la COI, en particular en lo que respecta al intercambio de datos, las observaciones oceánicas, la cultura oceánica, África y la región de América Tropical y el Caribe. Campaña activa de movilización de recursos para apoyar estas estructuras. </w:t>
            </w:r>
            <w:r w:rsidRPr="006E0C74">
              <w:rPr>
                <w:rFonts w:ascii="Arial" w:hAnsi="Arial" w:cs="Arial"/>
                <w:b/>
                <w:bCs/>
                <w:sz w:val="18"/>
                <w:szCs w:val="18"/>
                <w:lang w:val="es-ES"/>
              </w:rPr>
              <w:t>Se deberá informar a los órganos rectores de la COI sobre los progresos realizados.</w:t>
            </w:r>
          </w:p>
        </w:tc>
        <w:tc>
          <w:tcPr>
            <w:tcW w:w="1701" w:type="dxa"/>
            <w:shd w:val="clear" w:color="auto" w:fill="auto"/>
          </w:tcPr>
          <w:p w14:paraId="507856E4"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de la COI en consulta con el equipo de dirección de la COI.</w:t>
            </w:r>
          </w:p>
        </w:tc>
        <w:tc>
          <w:tcPr>
            <w:tcW w:w="1842" w:type="dxa"/>
            <w:shd w:val="clear" w:color="auto" w:fill="auto"/>
          </w:tcPr>
          <w:p w14:paraId="33AA4ECE"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101B97" w:rsidRPr="006E0C74" w14:paraId="607E7861" w14:textId="77777777" w:rsidTr="00A95FCC">
        <w:trPr>
          <w:cantSplit/>
        </w:trPr>
        <w:tc>
          <w:tcPr>
            <w:tcW w:w="2977" w:type="dxa"/>
            <w:vMerge/>
            <w:shd w:val="clear" w:color="auto" w:fill="auto"/>
          </w:tcPr>
          <w:p w14:paraId="76DF266C"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69D1E1C9"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3.3 Tomando como base la decisión 214 EX/29 del Consejo Ejecutivo de la UNESCO, adoptada en su 214ª reunión, trabajar con otros sectores de la Organización para hacer del océano un tema prioritario transversal y convertir el Decenio del Océano en el principal vehículo para que los Estados Miembros lo apoyen.</w:t>
            </w:r>
          </w:p>
        </w:tc>
        <w:tc>
          <w:tcPr>
            <w:tcW w:w="4390" w:type="dxa"/>
          </w:tcPr>
          <w:p w14:paraId="33CFD33B" w14:textId="77777777" w:rsidR="00101B97" w:rsidRPr="006E0C74" w:rsidRDefault="00101B97" w:rsidP="00A95FCC">
            <w:pPr>
              <w:tabs>
                <w:tab w:val="clear" w:pos="567"/>
              </w:tabs>
              <w:rPr>
                <w:rFonts w:ascii="Arial" w:hAnsi="Arial" w:cs="Arial"/>
                <w:sz w:val="18"/>
                <w:szCs w:val="18"/>
                <w:lang w:val="es-ES"/>
              </w:rPr>
            </w:pPr>
            <w:r>
              <w:rPr>
                <w:rFonts w:ascii="Arial" w:hAnsi="Arial" w:cs="Arial"/>
                <w:sz w:val="18"/>
                <w:szCs w:val="18"/>
                <w:lang w:val="es-ES"/>
              </w:rPr>
              <w:t>Finalizada</w:t>
            </w:r>
            <w:r w:rsidRPr="006E0C74">
              <w:rPr>
                <w:rFonts w:ascii="Arial" w:hAnsi="Arial" w:cs="Arial"/>
                <w:sz w:val="18"/>
                <w:szCs w:val="18"/>
                <w:lang w:val="es-ES"/>
              </w:rPr>
              <w:t xml:space="preserve">. El primer informe sobre los aspectos más destacados de la cooperación intersectorial en el marco del Decenio del Océano se presentó al Consejo Ejecutivo de la UNESCO en el documento 217 EX/4.I.B. </w:t>
            </w:r>
            <w:r w:rsidRPr="006E0C74">
              <w:rPr>
                <w:rFonts w:ascii="Arial" w:hAnsi="Arial" w:cs="Arial"/>
                <w:b/>
                <w:bCs/>
                <w:sz w:val="18"/>
                <w:szCs w:val="18"/>
                <w:lang w:val="es-ES"/>
              </w:rPr>
              <w:t xml:space="preserve">Se deberá </w:t>
            </w:r>
            <w:r>
              <w:rPr>
                <w:rFonts w:ascii="Arial" w:hAnsi="Arial" w:cs="Arial"/>
                <w:b/>
                <w:bCs/>
                <w:sz w:val="18"/>
                <w:szCs w:val="18"/>
                <w:lang w:val="es-ES"/>
              </w:rPr>
              <w:t>reproducir</w:t>
            </w:r>
            <w:r w:rsidRPr="006E0C74">
              <w:rPr>
                <w:rFonts w:ascii="Arial" w:hAnsi="Arial" w:cs="Arial"/>
                <w:b/>
                <w:bCs/>
                <w:sz w:val="18"/>
                <w:szCs w:val="18"/>
                <w:lang w:val="es-ES"/>
              </w:rPr>
              <w:t xml:space="preserve"> </w:t>
            </w:r>
            <w:r>
              <w:rPr>
                <w:rFonts w:ascii="Arial" w:hAnsi="Arial" w:cs="Arial"/>
                <w:b/>
                <w:bCs/>
                <w:sz w:val="18"/>
                <w:szCs w:val="18"/>
                <w:lang w:val="es-ES"/>
              </w:rPr>
              <w:t>dos veces al año</w:t>
            </w:r>
            <w:r w:rsidRPr="006E0C74">
              <w:rPr>
                <w:rFonts w:ascii="Arial" w:hAnsi="Arial" w:cs="Arial"/>
                <w:b/>
                <w:bCs/>
                <w:sz w:val="18"/>
                <w:szCs w:val="18"/>
                <w:lang w:val="es-ES"/>
              </w:rPr>
              <w:t xml:space="preserve"> y someter a los órganos rectores de la COI en el marco de los puntos del orden del día relativos a los informes reglamentarios.</w:t>
            </w:r>
          </w:p>
        </w:tc>
        <w:tc>
          <w:tcPr>
            <w:tcW w:w="1701" w:type="dxa"/>
            <w:shd w:val="clear" w:color="auto" w:fill="auto"/>
          </w:tcPr>
          <w:p w14:paraId="46E757E6"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de la COI y Unidad de Coordinación del Decenio.</w:t>
            </w:r>
          </w:p>
        </w:tc>
        <w:tc>
          <w:tcPr>
            <w:tcW w:w="1842" w:type="dxa"/>
            <w:shd w:val="clear" w:color="auto" w:fill="auto"/>
          </w:tcPr>
          <w:p w14:paraId="3423E7C0"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101B97" w:rsidRPr="006E0C74" w14:paraId="18F6AF38" w14:textId="77777777" w:rsidTr="00A95FCC">
        <w:trPr>
          <w:cantSplit/>
        </w:trPr>
        <w:tc>
          <w:tcPr>
            <w:tcW w:w="2977" w:type="dxa"/>
            <w:vMerge/>
            <w:shd w:val="clear" w:color="auto" w:fill="auto"/>
          </w:tcPr>
          <w:p w14:paraId="6EDD13F3"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32535501" w14:textId="77777777" w:rsidR="00101B97" w:rsidRPr="006E0C74" w:rsidRDefault="00101B97" w:rsidP="00A95FCC">
            <w:pPr>
              <w:tabs>
                <w:tab w:val="clear" w:pos="567"/>
              </w:tabs>
              <w:spacing w:after="120"/>
              <w:rPr>
                <w:rFonts w:ascii="Arial" w:hAnsi="Arial" w:cs="Arial"/>
                <w:i/>
                <w:iCs/>
                <w:sz w:val="18"/>
                <w:szCs w:val="18"/>
                <w:u w:val="single"/>
                <w:lang w:val="es-ES"/>
              </w:rPr>
            </w:pPr>
            <w:r w:rsidRPr="006E0C74">
              <w:rPr>
                <w:rFonts w:ascii="Arial" w:hAnsi="Arial" w:cs="Arial"/>
                <w:i/>
                <w:iCs/>
                <w:sz w:val="18"/>
                <w:szCs w:val="18"/>
                <w:u w:val="single"/>
                <w:lang w:val="es-ES"/>
              </w:rPr>
              <w:t>Medidas de apoyo en todo el sistema de las Naciones Unidas:</w:t>
            </w:r>
          </w:p>
          <w:p w14:paraId="41F0C76D"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3.4. Elaborar una </w:t>
            </w:r>
            <w:r>
              <w:rPr>
                <w:rFonts w:ascii="Arial" w:hAnsi="Arial" w:cs="Arial"/>
                <w:sz w:val="18"/>
                <w:szCs w:val="18"/>
                <w:lang w:val="es-ES"/>
              </w:rPr>
              <w:t>“</w:t>
            </w:r>
            <w:r w:rsidRPr="006E0C74">
              <w:rPr>
                <w:rFonts w:ascii="Arial" w:hAnsi="Arial" w:cs="Arial"/>
                <w:sz w:val="18"/>
                <w:szCs w:val="18"/>
                <w:lang w:val="es-ES"/>
              </w:rPr>
              <w:t>petición</w:t>
            </w:r>
            <w:r>
              <w:rPr>
                <w:rFonts w:ascii="Arial" w:hAnsi="Arial" w:cs="Arial"/>
                <w:sz w:val="18"/>
                <w:szCs w:val="18"/>
                <w:lang w:val="es-ES"/>
              </w:rPr>
              <w:t>”</w:t>
            </w:r>
            <w:r w:rsidRPr="006E0C74">
              <w:rPr>
                <w:rFonts w:ascii="Arial" w:hAnsi="Arial" w:cs="Arial"/>
                <w:sz w:val="18"/>
                <w:szCs w:val="18"/>
                <w:lang w:val="es-ES"/>
              </w:rPr>
              <w:t xml:space="preserve"> clara y estructurada de recursos financieros o en especie para que los asociados respalden la Unidad de Coordinación del Decenio. </w:t>
            </w:r>
          </w:p>
        </w:tc>
        <w:tc>
          <w:tcPr>
            <w:tcW w:w="4390" w:type="dxa"/>
          </w:tcPr>
          <w:p w14:paraId="4D1F860D"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Elaboración y actualización de las estimaciones presupuestarias de la Unidad de Coordinación del Decenio.</w:t>
            </w:r>
          </w:p>
        </w:tc>
        <w:tc>
          <w:tcPr>
            <w:tcW w:w="1701" w:type="dxa"/>
            <w:shd w:val="clear" w:color="auto" w:fill="auto"/>
          </w:tcPr>
          <w:p w14:paraId="4D667850"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Unidad de Coordinación del Decenio</w:t>
            </w:r>
          </w:p>
        </w:tc>
        <w:tc>
          <w:tcPr>
            <w:tcW w:w="1842" w:type="dxa"/>
            <w:shd w:val="clear" w:color="auto" w:fill="auto"/>
          </w:tcPr>
          <w:p w14:paraId="6F227BDD"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101B97" w:rsidRPr="006E0C74" w14:paraId="0C7AADF7" w14:textId="77777777" w:rsidTr="00A95FCC">
        <w:trPr>
          <w:cantSplit/>
        </w:trPr>
        <w:tc>
          <w:tcPr>
            <w:tcW w:w="2977" w:type="dxa"/>
            <w:vMerge/>
            <w:shd w:val="clear" w:color="auto" w:fill="auto"/>
          </w:tcPr>
          <w:p w14:paraId="4AACBA67"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5F77F10F"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3.5. Realizar una descripción y análisis detallados de las actividades e intereses de los asociados de </w:t>
            </w:r>
            <w:proofErr w:type="gramStart"/>
            <w:r w:rsidRPr="006E0C74">
              <w:rPr>
                <w:rFonts w:ascii="Arial" w:hAnsi="Arial" w:cs="Arial"/>
                <w:sz w:val="18"/>
                <w:szCs w:val="18"/>
                <w:lang w:val="es-ES"/>
              </w:rPr>
              <w:t>ONU</w:t>
            </w:r>
            <w:proofErr w:type="gramEnd"/>
            <w:r w:rsidRPr="006E0C74">
              <w:rPr>
                <w:rFonts w:ascii="Arial" w:hAnsi="Arial" w:cs="Arial"/>
                <w:sz w:val="18"/>
                <w:szCs w:val="18"/>
                <w:lang w:val="es-ES"/>
              </w:rPr>
              <w:noBreakHyphen/>
              <w:t xml:space="preserve">Océanos para encontrar iniciativas existentes o potenciales relativas al Decenio, detectar las lagunas y formular recomendaciones para </w:t>
            </w:r>
            <w:r>
              <w:rPr>
                <w:rFonts w:ascii="Arial" w:hAnsi="Arial" w:cs="Arial"/>
                <w:sz w:val="18"/>
                <w:szCs w:val="18"/>
                <w:lang w:val="es-ES"/>
              </w:rPr>
              <w:t>reforza</w:t>
            </w:r>
            <w:r w:rsidRPr="006E0C74">
              <w:rPr>
                <w:rFonts w:ascii="Arial" w:hAnsi="Arial" w:cs="Arial"/>
                <w:sz w:val="18"/>
                <w:szCs w:val="18"/>
                <w:lang w:val="es-ES"/>
              </w:rPr>
              <w:t xml:space="preserve">r el compromiso y proveer recursos. </w:t>
            </w:r>
          </w:p>
        </w:tc>
        <w:tc>
          <w:tcPr>
            <w:tcW w:w="4390" w:type="dxa"/>
          </w:tcPr>
          <w:p w14:paraId="1767BF04"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color w:val="000000"/>
                <w:sz w:val="18"/>
                <w:szCs w:val="18"/>
                <w:lang w:val="es-ES"/>
              </w:rPr>
              <w:t xml:space="preserve">Los resultados del proceso de evaluación de mitad de periodo comprenden recomendaciones específicas </w:t>
            </w:r>
            <w:r>
              <w:rPr>
                <w:rFonts w:ascii="Arial" w:hAnsi="Arial" w:cs="Arial"/>
                <w:b/>
                <w:bCs/>
                <w:color w:val="000000"/>
                <w:sz w:val="18"/>
                <w:szCs w:val="18"/>
                <w:lang w:val="es-ES"/>
              </w:rPr>
              <w:t>sobre</w:t>
            </w:r>
            <w:r w:rsidRPr="006E0C74">
              <w:rPr>
                <w:rFonts w:ascii="Arial" w:hAnsi="Arial" w:cs="Arial"/>
                <w:b/>
                <w:bCs/>
                <w:color w:val="000000"/>
                <w:sz w:val="18"/>
                <w:szCs w:val="18"/>
                <w:lang w:val="es-ES"/>
              </w:rPr>
              <w:t xml:space="preserve"> la participación de los organismos de las Naciones Unidas.</w:t>
            </w:r>
            <w:r w:rsidRPr="006E0C74">
              <w:rPr>
                <w:rFonts w:ascii="Arial" w:hAnsi="Arial" w:cs="Arial"/>
                <w:color w:val="000000"/>
                <w:sz w:val="18"/>
                <w:szCs w:val="18"/>
                <w:lang w:val="es-ES"/>
              </w:rPr>
              <w:t xml:space="preserve"> </w:t>
            </w:r>
            <w:r w:rsidRPr="006E0C74">
              <w:rPr>
                <w:rFonts w:ascii="Arial" w:hAnsi="Arial" w:cs="Arial"/>
                <w:b/>
                <w:bCs/>
                <w:color w:val="000000"/>
                <w:sz w:val="18"/>
                <w:szCs w:val="18"/>
                <w:lang w:val="es-ES"/>
              </w:rPr>
              <w:t>Se deberá informar a los órganos rectores de la COI sobre los progresos realizados.</w:t>
            </w:r>
          </w:p>
        </w:tc>
        <w:tc>
          <w:tcPr>
            <w:tcW w:w="1701" w:type="dxa"/>
            <w:shd w:val="clear" w:color="auto" w:fill="auto"/>
          </w:tcPr>
          <w:p w14:paraId="0217CBE2"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Unidad de Coordinación del Decenio. </w:t>
            </w:r>
          </w:p>
        </w:tc>
        <w:tc>
          <w:tcPr>
            <w:tcW w:w="1842" w:type="dxa"/>
            <w:shd w:val="clear" w:color="auto" w:fill="auto"/>
          </w:tcPr>
          <w:p w14:paraId="65F53EE4"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101B97" w:rsidRPr="006E0C74" w14:paraId="091F27EC" w14:textId="77777777" w:rsidTr="00A95FCC">
        <w:trPr>
          <w:cantSplit/>
        </w:trPr>
        <w:tc>
          <w:tcPr>
            <w:tcW w:w="2977" w:type="dxa"/>
            <w:vMerge/>
            <w:shd w:val="clear" w:color="auto" w:fill="auto"/>
          </w:tcPr>
          <w:p w14:paraId="59708DE2"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4DFFF6EF"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3.6. Alentar a los asociados de las Naciones Unidas a establecer oficinas de coordinación del Decenio y dotarlas de recursos para que se encarguen de la coordinación en torno a prioridades regionales o temáticas. </w:t>
            </w:r>
          </w:p>
        </w:tc>
        <w:tc>
          <w:tcPr>
            <w:tcW w:w="4390" w:type="dxa"/>
          </w:tcPr>
          <w:p w14:paraId="6FB114E0"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En curso. La Convocatoria de Acciones del Decenio </w:t>
            </w:r>
            <w:proofErr w:type="spellStart"/>
            <w:r w:rsidRPr="006E0C74">
              <w:rPr>
                <w:rFonts w:ascii="Arial" w:hAnsi="Arial" w:cs="Arial"/>
                <w:sz w:val="18"/>
                <w:szCs w:val="18"/>
                <w:lang w:val="es-ES"/>
              </w:rPr>
              <w:t>nº</w:t>
            </w:r>
            <w:proofErr w:type="spellEnd"/>
            <w:r>
              <w:rPr>
                <w:rFonts w:ascii="Arial" w:hAnsi="Arial" w:cs="Arial"/>
                <w:sz w:val="18"/>
                <w:szCs w:val="18"/>
                <w:lang w:val="es-ES"/>
              </w:rPr>
              <w:t> </w:t>
            </w:r>
            <w:r w:rsidRPr="006E0C74">
              <w:rPr>
                <w:rFonts w:ascii="Arial" w:hAnsi="Arial" w:cs="Arial"/>
                <w:sz w:val="18"/>
                <w:szCs w:val="18"/>
                <w:lang w:val="es-ES"/>
              </w:rPr>
              <w:t xml:space="preserve">07/2024 incluye una solicitud para que las oficinas de coordinación del Decenio y los centros de colaboración del Decenio colmen las lagunas temáticas y geográficas críticas. </w:t>
            </w:r>
            <w:r w:rsidRPr="006E0C74">
              <w:rPr>
                <w:rFonts w:ascii="Arial" w:hAnsi="Arial" w:cs="Arial"/>
                <w:b/>
                <w:bCs/>
                <w:sz w:val="18"/>
                <w:szCs w:val="18"/>
                <w:lang w:val="es-ES"/>
              </w:rPr>
              <w:t>Esa labor se proseguirá a lo largo del Decenio, basándose en las recomendaciones dimanantes de la evaluación de mitad de periodo y presentando informes sobre los progresos realizados a los órganos rectores de la COI.</w:t>
            </w:r>
          </w:p>
        </w:tc>
        <w:tc>
          <w:tcPr>
            <w:tcW w:w="1701" w:type="dxa"/>
            <w:shd w:val="clear" w:color="auto" w:fill="auto"/>
          </w:tcPr>
          <w:p w14:paraId="777ABE59"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Unidad de Coordinación del Decenio.</w:t>
            </w:r>
          </w:p>
        </w:tc>
        <w:tc>
          <w:tcPr>
            <w:tcW w:w="1842" w:type="dxa"/>
            <w:shd w:val="clear" w:color="auto" w:fill="auto"/>
          </w:tcPr>
          <w:p w14:paraId="3AE5489B"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101B97" w:rsidRPr="006E0C74" w14:paraId="289A1E41" w14:textId="77777777" w:rsidTr="00A95FCC">
        <w:trPr>
          <w:cantSplit/>
        </w:trPr>
        <w:tc>
          <w:tcPr>
            <w:tcW w:w="2977" w:type="dxa"/>
            <w:vMerge/>
            <w:shd w:val="clear" w:color="auto" w:fill="auto"/>
          </w:tcPr>
          <w:p w14:paraId="0B4B3266"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5ED9263B" w14:textId="77777777" w:rsidR="00101B97" w:rsidRPr="006E0C74" w:rsidRDefault="00101B97" w:rsidP="00A95FCC">
            <w:pPr>
              <w:tabs>
                <w:tab w:val="clear" w:pos="567"/>
              </w:tabs>
              <w:rPr>
                <w:rFonts w:ascii="Arial" w:hAnsi="Arial" w:cs="Arial"/>
                <w:i/>
                <w:sz w:val="18"/>
                <w:szCs w:val="18"/>
                <w:u w:val="single"/>
                <w:lang w:val="es-ES"/>
              </w:rPr>
            </w:pPr>
            <w:r w:rsidRPr="006E0C74">
              <w:rPr>
                <w:rFonts w:ascii="Arial" w:hAnsi="Arial" w:cs="Arial"/>
                <w:sz w:val="18"/>
                <w:szCs w:val="18"/>
                <w:lang w:val="es-ES"/>
              </w:rPr>
              <w:t>3.7. Garantizar que el apoyo financiero o en especie para la Unidad de Coordinación del Decenio sea un requisito para formar parte de la Alianza para el Decenio del Océano.</w:t>
            </w:r>
          </w:p>
        </w:tc>
        <w:tc>
          <w:tcPr>
            <w:tcW w:w="4390" w:type="dxa"/>
          </w:tcPr>
          <w:p w14:paraId="4B9C8198"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El proceso de examen de los miembros actuales de la Alianza para el Decenio del Océano se está llevando a cabo</w:t>
            </w:r>
            <w:r w:rsidRPr="006E0C74">
              <w:rPr>
                <w:rFonts w:ascii="Arial" w:hAnsi="Arial" w:cs="Arial"/>
                <w:sz w:val="18"/>
                <w:szCs w:val="18"/>
                <w:lang w:val="es-ES"/>
              </w:rPr>
              <w:t xml:space="preserve"> </w:t>
            </w:r>
            <w:r>
              <w:rPr>
                <w:rFonts w:ascii="Arial" w:hAnsi="Arial" w:cs="Arial"/>
                <w:sz w:val="18"/>
                <w:szCs w:val="18"/>
                <w:lang w:val="es-ES"/>
              </w:rPr>
              <w:t>con</w:t>
            </w:r>
            <w:r w:rsidRPr="006E0C74">
              <w:rPr>
                <w:rFonts w:ascii="Arial" w:hAnsi="Arial" w:cs="Arial"/>
                <w:sz w:val="18"/>
                <w:szCs w:val="18"/>
                <w:lang w:val="es-ES"/>
              </w:rPr>
              <w:t xml:space="preserve"> la identificación de nuevas contribuciones de recursos financieros o en especie. </w:t>
            </w:r>
            <w:r w:rsidRPr="006E0C74">
              <w:rPr>
                <w:rFonts w:ascii="Arial" w:hAnsi="Arial" w:cs="Arial"/>
                <w:b/>
                <w:bCs/>
                <w:sz w:val="18"/>
                <w:szCs w:val="18"/>
                <w:lang w:val="es-ES"/>
              </w:rPr>
              <w:t>Esa labor se proseguirá a lo largo del proceso de examen y admisión, y se informará al respecto a los órganos rectores de la COI.</w:t>
            </w:r>
          </w:p>
        </w:tc>
        <w:tc>
          <w:tcPr>
            <w:tcW w:w="1701" w:type="dxa"/>
            <w:shd w:val="clear" w:color="auto" w:fill="auto"/>
          </w:tcPr>
          <w:p w14:paraId="4E248E18"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Unidad de Coordinación del Decenio, Secretario Ejecutivo y equipo de dirección de la COI.</w:t>
            </w:r>
          </w:p>
        </w:tc>
        <w:tc>
          <w:tcPr>
            <w:tcW w:w="1842" w:type="dxa"/>
            <w:shd w:val="clear" w:color="auto" w:fill="auto"/>
          </w:tcPr>
          <w:p w14:paraId="6B6BFB71"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101B97" w:rsidRPr="006E0C74" w14:paraId="427F77E4" w14:textId="77777777" w:rsidTr="00A95FCC">
        <w:trPr>
          <w:cantSplit/>
        </w:trPr>
        <w:tc>
          <w:tcPr>
            <w:tcW w:w="2977" w:type="dxa"/>
            <w:vMerge w:val="restart"/>
            <w:shd w:val="clear" w:color="auto" w:fill="auto"/>
          </w:tcPr>
          <w:p w14:paraId="3B87755C" w14:textId="77777777" w:rsidR="00101B97" w:rsidRPr="006E0C74" w:rsidRDefault="00101B97" w:rsidP="00A95FCC">
            <w:pPr>
              <w:tabs>
                <w:tab w:val="clear" w:pos="567"/>
              </w:tabs>
              <w:spacing w:after="120"/>
              <w:rPr>
                <w:rFonts w:ascii="Arial" w:hAnsi="Arial" w:cs="Arial"/>
                <w:b/>
                <w:bCs/>
                <w:sz w:val="18"/>
                <w:szCs w:val="18"/>
                <w:lang w:val="es-ES"/>
              </w:rPr>
            </w:pPr>
            <w:r w:rsidRPr="006E0C74">
              <w:rPr>
                <w:rFonts w:ascii="Arial" w:hAnsi="Arial" w:cs="Arial"/>
                <w:b/>
                <w:bCs/>
                <w:sz w:val="18"/>
                <w:szCs w:val="18"/>
                <w:lang w:val="es-ES"/>
              </w:rPr>
              <w:t>Recomendación 4:</w:t>
            </w:r>
          </w:p>
          <w:p w14:paraId="56AE2AC7"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De aquí a junio de 2024 – estudiar opciones para aprovechar en mayor medida la base de datos y conocimientos de la COI. </w:t>
            </w:r>
          </w:p>
        </w:tc>
        <w:tc>
          <w:tcPr>
            <w:tcW w:w="3827" w:type="dxa"/>
            <w:shd w:val="clear" w:color="auto" w:fill="auto"/>
          </w:tcPr>
          <w:p w14:paraId="72AC04C2"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4.1 Constituir un grupo de trabajo que agrupe a las secciones de la Comisión para confeccionar una lista de indicadores socioeconómicos que sirvan, por ejemplo, para el </w:t>
            </w:r>
            <w:r w:rsidRPr="006E0C74">
              <w:rPr>
                <w:rFonts w:ascii="Arial" w:hAnsi="Arial" w:cs="Arial"/>
                <w:i/>
                <w:iCs/>
                <w:sz w:val="18"/>
                <w:szCs w:val="18"/>
                <w:lang w:val="es-ES"/>
              </w:rPr>
              <w:t>Informe sobre el estado del océano</w:t>
            </w:r>
            <w:r w:rsidRPr="006E0C74">
              <w:rPr>
                <w:rFonts w:ascii="Arial" w:hAnsi="Arial" w:cs="Arial"/>
                <w:sz w:val="18"/>
                <w:szCs w:val="18"/>
                <w:lang w:val="es-ES"/>
              </w:rPr>
              <w:t xml:space="preserve">. De ser necesario, ampliar el grupo de trabajo para que participen otros agentes, como los organismos de </w:t>
            </w:r>
            <w:proofErr w:type="gramStart"/>
            <w:r w:rsidRPr="006E0C74">
              <w:rPr>
                <w:rFonts w:ascii="Arial" w:hAnsi="Arial" w:cs="Arial"/>
                <w:sz w:val="18"/>
                <w:szCs w:val="18"/>
                <w:lang w:val="es-ES"/>
              </w:rPr>
              <w:t>ONU</w:t>
            </w:r>
            <w:proofErr w:type="gramEnd"/>
            <w:r w:rsidRPr="006E0C74">
              <w:rPr>
                <w:rFonts w:ascii="Arial" w:hAnsi="Arial" w:cs="Arial"/>
                <w:sz w:val="18"/>
                <w:szCs w:val="18"/>
                <w:lang w:val="es-ES"/>
              </w:rPr>
              <w:noBreakHyphen/>
              <w:t>Océanos.</w:t>
            </w:r>
          </w:p>
        </w:tc>
        <w:tc>
          <w:tcPr>
            <w:tcW w:w="4390" w:type="dxa"/>
          </w:tcPr>
          <w:p w14:paraId="4C3F78F7"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En curso: elaboración de un primer conjunto de indicadores sobre el océano por un grupo de trabajo integrado por los grupos de expertos del GOOS, secciones de la COI y organismos asociados.</w:t>
            </w:r>
            <w:r w:rsidRPr="006E0C74">
              <w:rPr>
                <w:rFonts w:ascii="Arial" w:hAnsi="Arial" w:cs="Arial"/>
                <w:sz w:val="18"/>
                <w:szCs w:val="18"/>
                <w:lang w:val="es-ES"/>
              </w:rPr>
              <w:t xml:space="preserve"> </w:t>
            </w:r>
            <w:r w:rsidRPr="006E0C74">
              <w:rPr>
                <w:rFonts w:ascii="Arial" w:hAnsi="Arial" w:cs="Arial"/>
                <w:b/>
                <w:bCs/>
                <w:sz w:val="18"/>
                <w:szCs w:val="18"/>
                <w:lang w:val="es-ES"/>
              </w:rPr>
              <w:t xml:space="preserve">El comité editorial del </w:t>
            </w:r>
            <w:r w:rsidRPr="006E0C74">
              <w:rPr>
                <w:rFonts w:ascii="Arial" w:hAnsi="Arial" w:cs="Arial"/>
                <w:b/>
                <w:bCs/>
                <w:i/>
                <w:iCs/>
                <w:sz w:val="18"/>
                <w:szCs w:val="18"/>
                <w:lang w:val="es-ES"/>
              </w:rPr>
              <w:t>Informe mundial sobre las ciencias oceánicas</w:t>
            </w:r>
            <w:r w:rsidRPr="006E0C74">
              <w:rPr>
                <w:rFonts w:ascii="Arial" w:hAnsi="Arial" w:cs="Arial"/>
                <w:b/>
                <w:bCs/>
                <w:sz w:val="18"/>
                <w:szCs w:val="18"/>
                <w:lang w:val="es-ES"/>
              </w:rPr>
              <w:t xml:space="preserve"> sigue afinando los indicadores/índices cuantitativos y cualitativos de los componentes económicos de la ciencia y la educación relativas al océano.</w:t>
            </w:r>
            <w:r w:rsidRPr="006E0C74">
              <w:rPr>
                <w:rFonts w:ascii="Arial" w:hAnsi="Arial" w:cs="Arial"/>
                <w:sz w:val="18"/>
                <w:szCs w:val="18"/>
                <w:lang w:val="es-ES"/>
              </w:rPr>
              <w:t xml:space="preserve"> </w:t>
            </w:r>
            <w:r w:rsidRPr="006E0C74">
              <w:rPr>
                <w:rFonts w:ascii="Arial" w:hAnsi="Arial" w:cs="Arial"/>
                <w:b/>
                <w:bCs/>
                <w:sz w:val="18"/>
                <w:szCs w:val="18"/>
                <w:lang w:val="es-ES"/>
              </w:rPr>
              <w:t>Se está creando el consejo consultivo</w:t>
            </w:r>
            <w:r>
              <w:rPr>
                <w:rFonts w:ascii="Arial" w:hAnsi="Arial" w:cs="Arial"/>
                <w:b/>
                <w:bCs/>
                <w:sz w:val="18"/>
                <w:szCs w:val="18"/>
                <w:lang w:val="es-ES"/>
              </w:rPr>
              <w:t xml:space="preserve"> d</w:t>
            </w:r>
            <w:r w:rsidRPr="006E0C74">
              <w:rPr>
                <w:rFonts w:ascii="Arial" w:hAnsi="Arial" w:cs="Arial"/>
                <w:b/>
                <w:bCs/>
                <w:sz w:val="18"/>
                <w:szCs w:val="18"/>
                <w:lang w:val="es-ES"/>
              </w:rPr>
              <w:t xml:space="preserve">el </w:t>
            </w:r>
            <w:r w:rsidRPr="006E0C74">
              <w:rPr>
                <w:rFonts w:ascii="Arial" w:hAnsi="Arial" w:cs="Arial"/>
                <w:b/>
                <w:bCs/>
                <w:i/>
                <w:iCs/>
                <w:sz w:val="18"/>
                <w:szCs w:val="18"/>
                <w:lang w:val="es-ES"/>
              </w:rPr>
              <w:t>Informe sobre el estado del océano</w:t>
            </w:r>
            <w:r w:rsidRPr="006E0C74">
              <w:rPr>
                <w:rFonts w:ascii="Arial" w:hAnsi="Arial" w:cs="Arial"/>
                <w:b/>
                <w:bCs/>
                <w:sz w:val="18"/>
                <w:szCs w:val="18"/>
                <w:lang w:val="es-ES"/>
              </w:rPr>
              <w:t xml:space="preserve"> de 2026 (</w:t>
            </w:r>
            <w:r>
              <w:rPr>
                <w:rFonts w:ascii="Arial" w:hAnsi="Arial" w:cs="Arial"/>
                <w:b/>
                <w:bCs/>
                <w:sz w:val="18"/>
                <w:szCs w:val="18"/>
                <w:lang w:val="es-ES"/>
              </w:rPr>
              <w:t xml:space="preserve">véase la </w:t>
            </w:r>
            <w:r w:rsidRPr="006E0C74">
              <w:rPr>
                <w:rFonts w:ascii="Arial" w:hAnsi="Arial" w:cs="Arial"/>
                <w:b/>
                <w:bCs/>
                <w:sz w:val="18"/>
                <w:szCs w:val="18"/>
                <w:lang w:val="es-ES"/>
              </w:rPr>
              <w:t>circular de la COI nº</w:t>
            </w:r>
            <w:hyperlink r:id="rId19" w:history="1">
              <w:r w:rsidRPr="009C416F">
                <w:rPr>
                  <w:rStyle w:val="Hyperlink"/>
                  <w:rFonts w:ascii="Arial" w:hAnsi="Arial" w:cs="Arial"/>
                  <w:b/>
                  <w:bCs/>
                  <w:sz w:val="18"/>
                  <w:szCs w:val="18"/>
                  <w:lang w:val="es-ES"/>
                </w:rPr>
                <w:t>3032</w:t>
              </w:r>
            </w:hyperlink>
            <w:r w:rsidRPr="006E0C74">
              <w:rPr>
                <w:rFonts w:ascii="Arial" w:hAnsi="Arial" w:cs="Arial"/>
                <w:b/>
                <w:bCs/>
                <w:sz w:val="18"/>
                <w:szCs w:val="18"/>
                <w:lang w:val="es-ES"/>
              </w:rPr>
              <w:t xml:space="preserve">). </w:t>
            </w:r>
            <w:r>
              <w:rPr>
                <w:rFonts w:ascii="Arial" w:hAnsi="Arial" w:cs="Arial"/>
                <w:b/>
                <w:bCs/>
                <w:sz w:val="18"/>
                <w:szCs w:val="18"/>
                <w:lang w:val="es-ES"/>
              </w:rPr>
              <w:t>C</w:t>
            </w:r>
            <w:r w:rsidRPr="006E0C74">
              <w:rPr>
                <w:rFonts w:ascii="Arial" w:hAnsi="Arial" w:cs="Arial"/>
                <w:b/>
                <w:bCs/>
                <w:sz w:val="18"/>
                <w:szCs w:val="18"/>
                <w:lang w:val="es-ES"/>
              </w:rPr>
              <w:t xml:space="preserve">omenzará sus trabajos mediante la elaboración de un </w:t>
            </w:r>
            <w:r>
              <w:rPr>
                <w:rFonts w:ascii="Arial" w:hAnsi="Arial" w:cs="Arial"/>
                <w:b/>
                <w:bCs/>
                <w:sz w:val="18"/>
                <w:szCs w:val="18"/>
                <w:lang w:val="es-ES"/>
              </w:rPr>
              <w:t>plan</w:t>
            </w:r>
            <w:r w:rsidRPr="006E0C74">
              <w:rPr>
                <w:rFonts w:ascii="Arial" w:hAnsi="Arial" w:cs="Arial"/>
                <w:b/>
                <w:bCs/>
                <w:sz w:val="18"/>
                <w:szCs w:val="18"/>
                <w:lang w:val="es-ES"/>
              </w:rPr>
              <w:t>, comprendido el examen de posibles indicadores</w:t>
            </w:r>
            <w:r>
              <w:rPr>
                <w:rFonts w:ascii="Arial" w:hAnsi="Arial" w:cs="Arial"/>
                <w:b/>
                <w:bCs/>
                <w:sz w:val="18"/>
                <w:szCs w:val="18"/>
                <w:lang w:val="es-ES"/>
              </w:rPr>
              <w:t>, e</w:t>
            </w:r>
            <w:r w:rsidRPr="006E0C74">
              <w:rPr>
                <w:rFonts w:ascii="Arial" w:hAnsi="Arial" w:cs="Arial"/>
                <w:b/>
                <w:bCs/>
                <w:sz w:val="18"/>
                <w:szCs w:val="18"/>
                <w:lang w:val="es-ES"/>
              </w:rPr>
              <w:t>n mayo de 2025.</w:t>
            </w:r>
          </w:p>
        </w:tc>
        <w:tc>
          <w:tcPr>
            <w:tcW w:w="1701" w:type="dxa"/>
            <w:shd w:val="clear" w:color="auto" w:fill="auto"/>
          </w:tcPr>
          <w:p w14:paraId="3A108A8D"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y equipo de dirección de la COI.</w:t>
            </w:r>
          </w:p>
        </w:tc>
        <w:tc>
          <w:tcPr>
            <w:tcW w:w="1842" w:type="dxa"/>
            <w:shd w:val="clear" w:color="auto" w:fill="auto"/>
          </w:tcPr>
          <w:p w14:paraId="27A00F80"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Tercer trimestre de 2025.</w:t>
            </w:r>
          </w:p>
        </w:tc>
      </w:tr>
      <w:tr w:rsidR="00101B97" w:rsidRPr="006E0C74" w14:paraId="08F53CA4" w14:textId="77777777" w:rsidTr="00A95FCC">
        <w:trPr>
          <w:cantSplit/>
        </w:trPr>
        <w:tc>
          <w:tcPr>
            <w:tcW w:w="2977" w:type="dxa"/>
            <w:vMerge/>
            <w:shd w:val="clear" w:color="auto" w:fill="auto"/>
          </w:tcPr>
          <w:p w14:paraId="2F27503A"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123D9837"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4.2 Concebir procesos para simplificar y racionalizar los canales de datos de la Comisión, de modo que puedan respaldar la elaboración de los indicadores propuestos.</w:t>
            </w:r>
          </w:p>
        </w:tc>
        <w:tc>
          <w:tcPr>
            <w:tcW w:w="4390" w:type="dxa"/>
          </w:tcPr>
          <w:p w14:paraId="600532F8"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 xml:space="preserve">En curso: presentación de una propuesta de arquitectura de datos de la COI a la Asamblea de la COI, en su 33ª reunión, y </w:t>
            </w:r>
            <w:r>
              <w:rPr>
                <w:rFonts w:ascii="Arial" w:hAnsi="Arial" w:cs="Arial"/>
                <w:b/>
                <w:bCs/>
                <w:sz w:val="18"/>
                <w:szCs w:val="18"/>
                <w:lang w:val="es-ES"/>
              </w:rPr>
              <w:t xml:space="preserve">labor de </w:t>
            </w:r>
            <w:r w:rsidRPr="006E0C74">
              <w:rPr>
                <w:rFonts w:ascii="Arial" w:hAnsi="Arial" w:cs="Arial"/>
                <w:b/>
                <w:bCs/>
                <w:sz w:val="18"/>
                <w:szCs w:val="18"/>
                <w:lang w:val="es-ES"/>
              </w:rPr>
              <w:t>planificación en apoyo de la recopilación de datos sobre la acidificación del océano en el marco de los ODS (indicador 14.3.1) en curso.</w:t>
            </w:r>
          </w:p>
        </w:tc>
        <w:tc>
          <w:tcPr>
            <w:tcW w:w="1701" w:type="dxa"/>
            <w:shd w:val="clear" w:color="auto" w:fill="auto"/>
          </w:tcPr>
          <w:p w14:paraId="42814EC0"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y equipo de dirección de la COI.</w:t>
            </w:r>
          </w:p>
        </w:tc>
        <w:tc>
          <w:tcPr>
            <w:tcW w:w="1842" w:type="dxa"/>
            <w:shd w:val="clear" w:color="auto" w:fill="auto"/>
          </w:tcPr>
          <w:p w14:paraId="75B702D9"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Tercer trimestre de 2025.</w:t>
            </w:r>
          </w:p>
        </w:tc>
      </w:tr>
      <w:tr w:rsidR="00101B97" w:rsidRPr="006E0C74" w14:paraId="2078C998" w14:textId="77777777" w:rsidTr="00A95FCC">
        <w:trPr>
          <w:cantSplit/>
          <w:trHeight w:val="1250"/>
        </w:trPr>
        <w:tc>
          <w:tcPr>
            <w:tcW w:w="2977" w:type="dxa"/>
            <w:vMerge/>
            <w:shd w:val="clear" w:color="auto" w:fill="auto"/>
          </w:tcPr>
          <w:p w14:paraId="43241228"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59D9534F"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4.3 Acelerar el establecimiento del Sistema de Datos e Información Oceanográficos (ODIS) y su contribución al Decenio del Océano de las Naciones Unidas.</w:t>
            </w:r>
          </w:p>
        </w:tc>
        <w:tc>
          <w:tcPr>
            <w:tcW w:w="4390" w:type="dxa"/>
          </w:tcPr>
          <w:p w14:paraId="015DE22F"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Un programa denominado </w:t>
            </w:r>
            <w:r>
              <w:rPr>
                <w:rFonts w:ascii="Arial" w:hAnsi="Arial" w:cs="Arial"/>
                <w:sz w:val="18"/>
                <w:szCs w:val="18"/>
                <w:lang w:val="es-ES"/>
              </w:rPr>
              <w:t>“</w:t>
            </w:r>
            <w:r w:rsidRPr="006E0C74">
              <w:rPr>
                <w:rFonts w:ascii="Arial" w:hAnsi="Arial" w:cs="Arial"/>
                <w:sz w:val="18"/>
                <w:szCs w:val="18"/>
                <w:lang w:val="es-ES"/>
              </w:rPr>
              <w:t>El Sistema de Datos e Información Oceanográficos en apoyo del Decenio de las Naciones Unidas de las Ciencias Oceánicas para el Desarrollo Sostenible</w:t>
            </w:r>
            <w:r>
              <w:rPr>
                <w:rFonts w:ascii="Arial" w:hAnsi="Arial" w:cs="Arial"/>
                <w:sz w:val="18"/>
                <w:szCs w:val="18"/>
                <w:lang w:val="es-ES"/>
              </w:rPr>
              <w:t>”</w:t>
            </w:r>
            <w:r w:rsidRPr="006E0C74">
              <w:rPr>
                <w:rFonts w:ascii="Arial" w:hAnsi="Arial" w:cs="Arial"/>
                <w:sz w:val="18"/>
                <w:szCs w:val="18"/>
                <w:lang w:val="es-ES"/>
              </w:rPr>
              <w:t xml:space="preserve"> (</w:t>
            </w:r>
            <w:proofErr w:type="spellStart"/>
            <w:r w:rsidRPr="006E0C74">
              <w:rPr>
                <w:rFonts w:ascii="Arial" w:hAnsi="Arial" w:cs="Arial"/>
                <w:sz w:val="18"/>
                <w:szCs w:val="18"/>
                <w:lang w:val="es-ES"/>
              </w:rPr>
              <w:t>OceanData</w:t>
            </w:r>
            <w:proofErr w:type="spellEnd"/>
            <w:r w:rsidRPr="006E0C74">
              <w:rPr>
                <w:rFonts w:ascii="Arial" w:hAnsi="Arial" w:cs="Arial"/>
                <w:sz w:val="18"/>
                <w:szCs w:val="18"/>
                <w:lang w:val="es-ES"/>
              </w:rPr>
              <w:t xml:space="preserve"> 2030) se ha registrado en el marco del Decenio del Océano. </w:t>
            </w:r>
            <w:r w:rsidRPr="006E0C74">
              <w:rPr>
                <w:rFonts w:ascii="Arial" w:hAnsi="Arial" w:cs="Arial"/>
                <w:b/>
                <w:bCs/>
                <w:sz w:val="18"/>
                <w:szCs w:val="18"/>
                <w:lang w:val="es-ES"/>
              </w:rPr>
              <w:t>Esa labor se proseguirá y se facilitará periódicamente a los órganos rectores de la COI información actualizada sobre los progresos realizados.</w:t>
            </w:r>
          </w:p>
        </w:tc>
        <w:tc>
          <w:tcPr>
            <w:tcW w:w="1701" w:type="dxa"/>
            <w:shd w:val="clear" w:color="auto" w:fill="auto"/>
          </w:tcPr>
          <w:p w14:paraId="09BAC872"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Jefe de la Oficina de Proyectos UNESCO/COI en Ostende y equipo de dirección de la COI.</w:t>
            </w:r>
          </w:p>
        </w:tc>
        <w:tc>
          <w:tcPr>
            <w:tcW w:w="1842" w:type="dxa"/>
            <w:shd w:val="clear" w:color="auto" w:fill="auto"/>
          </w:tcPr>
          <w:p w14:paraId="5DA866B3"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101B97" w:rsidRPr="006E0C74" w14:paraId="420204D3" w14:textId="77777777" w:rsidTr="00A95FCC">
        <w:trPr>
          <w:cantSplit/>
        </w:trPr>
        <w:tc>
          <w:tcPr>
            <w:tcW w:w="2977" w:type="dxa"/>
            <w:vMerge/>
            <w:shd w:val="clear" w:color="auto" w:fill="auto"/>
          </w:tcPr>
          <w:p w14:paraId="54DA7EDF"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5D4202C2"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4.4 Buscar financiación para redactar el primer </w:t>
            </w:r>
            <w:r w:rsidRPr="006E0C74">
              <w:rPr>
                <w:rFonts w:ascii="Arial" w:hAnsi="Arial" w:cs="Arial"/>
                <w:i/>
                <w:iCs/>
                <w:sz w:val="18"/>
                <w:szCs w:val="18"/>
                <w:lang w:val="es-ES"/>
              </w:rPr>
              <w:t>informe sobre el estado del océano</w:t>
            </w:r>
            <w:r w:rsidRPr="006E0C74">
              <w:rPr>
                <w:rFonts w:ascii="Arial" w:hAnsi="Arial" w:cs="Arial"/>
                <w:sz w:val="18"/>
                <w:szCs w:val="18"/>
                <w:lang w:val="es-ES"/>
              </w:rPr>
              <w:t xml:space="preserve"> antes de la 32ª reunión de la Asamblea en 2023.</w:t>
            </w:r>
          </w:p>
        </w:tc>
        <w:tc>
          <w:tcPr>
            <w:tcW w:w="4390" w:type="dxa"/>
          </w:tcPr>
          <w:p w14:paraId="4870ACD6" w14:textId="77777777" w:rsidR="00101B97" w:rsidRPr="006E0C74" w:rsidRDefault="00101B97" w:rsidP="00A95FCC">
            <w:pPr>
              <w:tabs>
                <w:tab w:val="clear" w:pos="567"/>
              </w:tabs>
              <w:rPr>
                <w:rFonts w:ascii="Arial" w:hAnsi="Arial" w:cs="Arial"/>
                <w:sz w:val="18"/>
                <w:szCs w:val="18"/>
                <w:lang w:val="es-ES"/>
              </w:rPr>
            </w:pPr>
          </w:p>
        </w:tc>
        <w:tc>
          <w:tcPr>
            <w:tcW w:w="1701" w:type="dxa"/>
            <w:shd w:val="clear" w:color="auto" w:fill="auto"/>
          </w:tcPr>
          <w:p w14:paraId="25A357D9"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y equipo de dirección de la COI.</w:t>
            </w:r>
          </w:p>
        </w:tc>
        <w:tc>
          <w:tcPr>
            <w:tcW w:w="1842" w:type="dxa"/>
            <w:shd w:val="clear" w:color="auto" w:fill="auto"/>
          </w:tcPr>
          <w:p w14:paraId="066DEBF7"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101B97" w:rsidRPr="00ED4D59" w14:paraId="7A41A4AA" w14:textId="77777777" w:rsidTr="00A95FCC">
        <w:trPr>
          <w:cantSplit/>
        </w:trPr>
        <w:tc>
          <w:tcPr>
            <w:tcW w:w="2977" w:type="dxa"/>
            <w:vMerge w:val="restart"/>
            <w:shd w:val="clear" w:color="auto" w:fill="auto"/>
          </w:tcPr>
          <w:p w14:paraId="627FDEED" w14:textId="77777777" w:rsidR="00101B97" w:rsidRPr="006E0C74" w:rsidRDefault="00101B97" w:rsidP="00A95FCC">
            <w:pPr>
              <w:tabs>
                <w:tab w:val="clear" w:pos="567"/>
              </w:tabs>
              <w:spacing w:after="120"/>
              <w:rPr>
                <w:rFonts w:ascii="Arial" w:hAnsi="Arial" w:cs="Arial"/>
                <w:b/>
                <w:bCs/>
                <w:sz w:val="18"/>
                <w:szCs w:val="18"/>
                <w:lang w:val="es-ES"/>
              </w:rPr>
            </w:pPr>
            <w:r w:rsidRPr="00A961D7">
              <w:rPr>
                <w:rFonts w:ascii="Arial" w:hAnsi="Arial" w:cs="Arial"/>
                <w:b/>
                <w:bCs/>
                <w:sz w:val="18"/>
                <w:szCs w:val="18"/>
                <w:lang w:val="es-ES"/>
              </w:rPr>
              <w:t>Recomendación 5:</w:t>
            </w:r>
          </w:p>
          <w:p w14:paraId="5E9826DA" w14:textId="77777777" w:rsidR="00101B97" w:rsidRPr="006E0C74" w:rsidRDefault="00101B97" w:rsidP="00A95FCC">
            <w:pPr>
              <w:pStyle w:val="NormalWeb"/>
              <w:rPr>
                <w:rFonts w:ascii="Arial" w:hAnsi="Arial" w:cs="Arial"/>
                <w:sz w:val="18"/>
                <w:szCs w:val="18"/>
                <w:lang w:val="es-ES"/>
              </w:rPr>
            </w:pPr>
            <w:r w:rsidRPr="006E0C74">
              <w:rPr>
                <w:rFonts w:ascii="Arial" w:hAnsi="Arial" w:cs="Arial"/>
                <w:sz w:val="18"/>
                <w:szCs w:val="18"/>
                <w:lang w:val="es-ES"/>
              </w:rPr>
              <w:t xml:space="preserve">De aquí a junio de 2022 – estudiar medios para conseguir una mayor participación de </w:t>
            </w:r>
            <w:r>
              <w:rPr>
                <w:rFonts w:ascii="Arial" w:hAnsi="Arial" w:cs="Arial"/>
                <w:sz w:val="18"/>
                <w:szCs w:val="18"/>
                <w:lang w:val="es-ES"/>
              </w:rPr>
              <w:t>responsables de la formulación de políticas</w:t>
            </w:r>
            <w:r w:rsidRPr="006E0C74">
              <w:rPr>
                <w:rFonts w:ascii="Arial" w:hAnsi="Arial" w:cs="Arial"/>
                <w:sz w:val="18"/>
                <w:szCs w:val="18"/>
                <w:lang w:val="es-ES"/>
              </w:rPr>
              <w:t xml:space="preserve"> de alto nivel en las actividades de la COI. </w:t>
            </w:r>
          </w:p>
        </w:tc>
        <w:tc>
          <w:tcPr>
            <w:tcW w:w="3827" w:type="dxa"/>
            <w:shd w:val="clear" w:color="auto" w:fill="auto"/>
          </w:tcPr>
          <w:p w14:paraId="0E176399"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5.1 Llevar a cabo un análisis con las principales organizaciones nacionales y regionales de diversos sectores que desempeñan un papel en la formulación de políticas a fin de determinar los puntos de partida prioritarios para fortalecer la participación por medio del Decenio del Océano y la labor programática de la COI.</w:t>
            </w:r>
          </w:p>
        </w:tc>
        <w:tc>
          <w:tcPr>
            <w:tcW w:w="4390" w:type="dxa"/>
          </w:tcPr>
          <w:p w14:paraId="3254955D"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sz w:val="18"/>
                <w:szCs w:val="18"/>
                <w:lang w:val="es-ES"/>
              </w:rPr>
              <w:t xml:space="preserve">Se llevará a cabo en el marco de la fase 2 del proceso de consulta </w:t>
            </w:r>
            <w:r>
              <w:rPr>
                <w:rFonts w:ascii="Arial" w:hAnsi="Arial" w:cs="Arial"/>
                <w:b/>
                <w:bCs/>
                <w:sz w:val="18"/>
                <w:szCs w:val="18"/>
                <w:lang w:val="es-ES"/>
              </w:rPr>
              <w:t>“</w:t>
            </w:r>
            <w:r w:rsidRPr="006E0C74">
              <w:rPr>
                <w:rFonts w:ascii="Arial" w:hAnsi="Arial" w:cs="Arial"/>
                <w:b/>
                <w:bCs/>
                <w:sz w:val="18"/>
                <w:szCs w:val="18"/>
                <w:lang w:val="es-ES"/>
              </w:rPr>
              <w:t>La COI y el futuro del océano</w:t>
            </w:r>
            <w:r>
              <w:rPr>
                <w:rFonts w:ascii="Arial" w:hAnsi="Arial" w:cs="Arial"/>
                <w:b/>
                <w:bCs/>
                <w:sz w:val="18"/>
                <w:szCs w:val="18"/>
                <w:lang w:val="es-ES"/>
              </w:rPr>
              <w:t>”</w:t>
            </w:r>
            <w:r w:rsidRPr="006E0C74">
              <w:rPr>
                <w:rFonts w:ascii="Arial" w:hAnsi="Arial" w:cs="Arial"/>
                <w:b/>
                <w:bCs/>
                <w:sz w:val="18"/>
                <w:szCs w:val="18"/>
                <w:lang w:val="es-ES"/>
              </w:rPr>
              <w:t>.</w:t>
            </w:r>
          </w:p>
        </w:tc>
        <w:tc>
          <w:tcPr>
            <w:tcW w:w="1701" w:type="dxa"/>
            <w:shd w:val="clear" w:color="auto" w:fill="auto"/>
          </w:tcPr>
          <w:p w14:paraId="71F2CDC6"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y equipo de dirección de la COI.</w:t>
            </w:r>
          </w:p>
        </w:tc>
        <w:tc>
          <w:tcPr>
            <w:tcW w:w="1842" w:type="dxa"/>
            <w:shd w:val="clear" w:color="auto" w:fill="auto"/>
          </w:tcPr>
          <w:p w14:paraId="0ACD1F97"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Segundo trimestre de </w:t>
            </w:r>
            <w:r w:rsidRPr="006E0C74">
              <w:rPr>
                <w:rFonts w:ascii="Arial" w:hAnsi="Arial" w:cs="Arial"/>
                <w:b/>
                <w:bCs/>
                <w:sz w:val="18"/>
                <w:szCs w:val="18"/>
                <w:lang w:val="es-ES"/>
              </w:rPr>
              <w:t>2026 - Los resultados se presentarán al Consejo Ejecutivo en su 59ª reunión.</w:t>
            </w:r>
          </w:p>
        </w:tc>
      </w:tr>
      <w:tr w:rsidR="00101B97" w:rsidRPr="00ED4D59" w14:paraId="33562EC5" w14:textId="77777777" w:rsidTr="00A95FCC">
        <w:trPr>
          <w:cantSplit/>
        </w:trPr>
        <w:tc>
          <w:tcPr>
            <w:tcW w:w="2977" w:type="dxa"/>
            <w:vMerge/>
            <w:shd w:val="clear" w:color="auto" w:fill="auto"/>
          </w:tcPr>
          <w:p w14:paraId="43571288"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7E6EC026"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5.2 Efectuar una mejora decisiva de la eficacia de las comunicaciones, comenzando por elaborar una estrategia de comunicación de la COI con la ayuda de un experto en comunicaciones. El proceso debe ser participativo e incluir a los miembros del equipo de dirección con miras a llegar a un acuerdo sobre la declaración de la visión de la Comisión y los temas, públicos y canales prioritarios para la comunicación, respetando el hecho de que la COI sea un componente de la UNESCO.</w:t>
            </w:r>
          </w:p>
        </w:tc>
        <w:tc>
          <w:tcPr>
            <w:tcW w:w="4390" w:type="dxa"/>
          </w:tcPr>
          <w:p w14:paraId="79CE5C59"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b/>
                <w:bCs/>
                <w:color w:val="000000"/>
                <w:sz w:val="18"/>
                <w:szCs w:val="18"/>
                <w:lang w:val="es-ES"/>
              </w:rPr>
              <w:t xml:space="preserve">La estrategia de comunicación de la COI se elaborará como complemento del Plan de Ejecución de la Estrategia a Plazo Medio, que está preparando la Secretaría de la COI, y que también se inspira en el proceso de consulta </w:t>
            </w:r>
            <w:r>
              <w:rPr>
                <w:rFonts w:ascii="Arial" w:hAnsi="Arial" w:cs="Arial"/>
                <w:b/>
                <w:bCs/>
                <w:color w:val="000000"/>
                <w:sz w:val="18"/>
                <w:szCs w:val="18"/>
                <w:lang w:val="es-ES"/>
              </w:rPr>
              <w:t>“</w:t>
            </w:r>
            <w:r w:rsidRPr="006E0C74">
              <w:rPr>
                <w:rFonts w:ascii="Arial" w:hAnsi="Arial" w:cs="Arial"/>
                <w:b/>
                <w:bCs/>
                <w:color w:val="000000"/>
                <w:sz w:val="18"/>
                <w:szCs w:val="18"/>
                <w:lang w:val="es-ES"/>
              </w:rPr>
              <w:t>La COI y el futuro del océano</w:t>
            </w:r>
            <w:r>
              <w:rPr>
                <w:rFonts w:ascii="Arial" w:hAnsi="Arial" w:cs="Arial"/>
                <w:b/>
                <w:bCs/>
                <w:color w:val="000000"/>
                <w:sz w:val="18"/>
                <w:szCs w:val="18"/>
                <w:lang w:val="es-ES"/>
              </w:rPr>
              <w:t>”</w:t>
            </w:r>
            <w:r w:rsidRPr="006E0C74">
              <w:rPr>
                <w:rFonts w:ascii="Arial" w:hAnsi="Arial" w:cs="Arial"/>
                <w:b/>
                <w:bCs/>
                <w:color w:val="000000"/>
                <w:sz w:val="18"/>
                <w:szCs w:val="18"/>
                <w:lang w:val="es-ES"/>
              </w:rPr>
              <w:t>.</w:t>
            </w:r>
            <w:r w:rsidRPr="006E0C74">
              <w:rPr>
                <w:rFonts w:ascii="Arial" w:hAnsi="Arial" w:cs="Arial"/>
                <w:color w:val="000000"/>
                <w:sz w:val="18"/>
                <w:szCs w:val="18"/>
                <w:lang w:val="es-ES"/>
              </w:rPr>
              <w:t xml:space="preserve"> </w:t>
            </w:r>
            <w:r w:rsidRPr="006E0C74">
              <w:rPr>
                <w:rFonts w:ascii="Arial" w:hAnsi="Arial" w:cs="Arial"/>
                <w:b/>
                <w:bCs/>
                <w:color w:val="000000"/>
                <w:sz w:val="18"/>
                <w:szCs w:val="18"/>
                <w:lang w:val="es-ES"/>
              </w:rPr>
              <w:t>La estrategia de comunicación se elaborará mediante un proceso participativo que incluye entrevistas con las partes interesadas, en particular los miembros del equipo de dirección</w:t>
            </w:r>
            <w:r>
              <w:rPr>
                <w:rFonts w:ascii="Arial" w:hAnsi="Arial" w:cs="Arial"/>
                <w:b/>
                <w:bCs/>
                <w:color w:val="000000"/>
                <w:sz w:val="18"/>
                <w:szCs w:val="18"/>
                <w:lang w:val="es-ES"/>
              </w:rPr>
              <w:t>,</w:t>
            </w:r>
            <w:r w:rsidRPr="006E0C74">
              <w:rPr>
                <w:rFonts w:ascii="Arial" w:hAnsi="Arial" w:cs="Arial"/>
                <w:b/>
                <w:bCs/>
                <w:color w:val="000000"/>
                <w:sz w:val="18"/>
                <w:szCs w:val="18"/>
                <w:lang w:val="es-ES"/>
              </w:rPr>
              <w:t xml:space="preserve"> para determinar los temas, públicos y canales prioritarios para la comunicación.</w:t>
            </w:r>
          </w:p>
        </w:tc>
        <w:tc>
          <w:tcPr>
            <w:tcW w:w="1701" w:type="dxa"/>
            <w:shd w:val="clear" w:color="auto" w:fill="auto"/>
          </w:tcPr>
          <w:p w14:paraId="7CB9CDEC"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y equipo de dirección de la COI.</w:t>
            </w:r>
          </w:p>
        </w:tc>
        <w:tc>
          <w:tcPr>
            <w:tcW w:w="1842" w:type="dxa"/>
            <w:shd w:val="clear" w:color="auto" w:fill="auto"/>
          </w:tcPr>
          <w:p w14:paraId="7F1DBFDB"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Segundo trimestre de </w:t>
            </w:r>
            <w:r w:rsidRPr="006E0C74">
              <w:rPr>
                <w:rFonts w:ascii="Arial" w:hAnsi="Arial" w:cs="Arial"/>
                <w:b/>
                <w:bCs/>
                <w:sz w:val="18"/>
                <w:szCs w:val="18"/>
                <w:lang w:val="es-ES"/>
              </w:rPr>
              <w:t>2026 - La estrategia de comunicación de la COI se presentará al Consejo Ejecutivo en su 59ª reunión.</w:t>
            </w:r>
          </w:p>
        </w:tc>
      </w:tr>
      <w:tr w:rsidR="00101B97" w:rsidRPr="006E0C74" w14:paraId="479C3FBB" w14:textId="77777777" w:rsidTr="00A95FCC">
        <w:trPr>
          <w:cantSplit/>
        </w:trPr>
        <w:tc>
          <w:tcPr>
            <w:tcW w:w="2977" w:type="dxa"/>
            <w:vMerge/>
            <w:shd w:val="clear" w:color="auto" w:fill="auto"/>
          </w:tcPr>
          <w:p w14:paraId="0C4CF8F0"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7FF6B998"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5.3 Preparar un boletín anual o bianual sobre los </w:t>
            </w:r>
            <w:r>
              <w:rPr>
                <w:rFonts w:ascii="Arial" w:hAnsi="Arial" w:cs="Arial"/>
                <w:sz w:val="18"/>
                <w:szCs w:val="18"/>
                <w:lang w:val="es-ES"/>
              </w:rPr>
              <w:t>“</w:t>
            </w:r>
            <w:r w:rsidRPr="006E0C74">
              <w:rPr>
                <w:rFonts w:ascii="Arial" w:hAnsi="Arial" w:cs="Arial"/>
                <w:sz w:val="18"/>
                <w:szCs w:val="18"/>
                <w:lang w:val="es-ES"/>
              </w:rPr>
              <w:t>principales resultados</w:t>
            </w:r>
            <w:r>
              <w:rPr>
                <w:rFonts w:ascii="Arial" w:hAnsi="Arial" w:cs="Arial"/>
                <w:sz w:val="18"/>
                <w:szCs w:val="18"/>
                <w:lang w:val="es-ES"/>
              </w:rPr>
              <w:t>”</w:t>
            </w:r>
            <w:r w:rsidRPr="006E0C74">
              <w:rPr>
                <w:rFonts w:ascii="Arial" w:hAnsi="Arial" w:cs="Arial"/>
                <w:sz w:val="18"/>
                <w:szCs w:val="18"/>
                <w:lang w:val="es-ES"/>
              </w:rPr>
              <w:t xml:space="preserve"> de la Comisión que destaque sus principales logros y demuestre su valor permanente.</w:t>
            </w:r>
          </w:p>
        </w:tc>
        <w:tc>
          <w:tcPr>
            <w:tcW w:w="4390" w:type="dxa"/>
          </w:tcPr>
          <w:p w14:paraId="373AF514"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El equipo de comunicación de la COI está elaborando actualmente una propuesta de boletín anual o bianual, que se someterá a la consideración del personal directivo superior para su examen en el marco de la nueva estrategia de comunicación de la COI que se elaborará en 2025.</w:t>
            </w:r>
          </w:p>
        </w:tc>
        <w:tc>
          <w:tcPr>
            <w:tcW w:w="1701" w:type="dxa"/>
            <w:shd w:val="clear" w:color="auto" w:fill="auto"/>
          </w:tcPr>
          <w:p w14:paraId="6BD8D9A7"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y equipo de comunicación de la COI.</w:t>
            </w:r>
          </w:p>
        </w:tc>
        <w:tc>
          <w:tcPr>
            <w:tcW w:w="1842" w:type="dxa"/>
            <w:shd w:val="clear" w:color="auto" w:fill="auto"/>
          </w:tcPr>
          <w:p w14:paraId="7922D041" w14:textId="77777777" w:rsidR="00101B97" w:rsidRPr="006E0C74" w:rsidRDefault="00101B97" w:rsidP="00A95FCC">
            <w:pPr>
              <w:tabs>
                <w:tab w:val="clear" w:pos="567"/>
              </w:tabs>
              <w:rPr>
                <w:rFonts w:ascii="Arial" w:hAnsi="Arial" w:cs="Arial"/>
                <w:sz w:val="18"/>
                <w:szCs w:val="18"/>
                <w:lang w:val="es-ES"/>
              </w:rPr>
            </w:pPr>
            <w:r>
              <w:rPr>
                <w:rFonts w:ascii="Arial" w:hAnsi="Arial" w:cs="Arial"/>
                <w:sz w:val="18"/>
                <w:szCs w:val="18"/>
                <w:lang w:val="es-ES"/>
              </w:rPr>
              <w:t>Tercer</w:t>
            </w:r>
            <w:r w:rsidRPr="006E0C74">
              <w:rPr>
                <w:rFonts w:ascii="Arial" w:hAnsi="Arial" w:cs="Arial"/>
                <w:sz w:val="18"/>
                <w:szCs w:val="18"/>
                <w:lang w:val="es-ES"/>
              </w:rPr>
              <w:t xml:space="preserve"> trimestre de 2025.</w:t>
            </w:r>
          </w:p>
        </w:tc>
      </w:tr>
      <w:tr w:rsidR="00101B97" w:rsidRPr="006E0C74" w14:paraId="080E9787" w14:textId="77777777" w:rsidTr="00A95FCC">
        <w:trPr>
          <w:cantSplit/>
        </w:trPr>
        <w:tc>
          <w:tcPr>
            <w:tcW w:w="2977" w:type="dxa"/>
            <w:vMerge/>
            <w:shd w:val="clear" w:color="auto" w:fill="auto"/>
          </w:tcPr>
          <w:p w14:paraId="5045B4FC" w14:textId="77777777" w:rsidR="00101B97" w:rsidRPr="006E0C74" w:rsidRDefault="00101B97" w:rsidP="00A95FCC">
            <w:pPr>
              <w:pStyle w:val="NormalWeb"/>
              <w:rPr>
                <w:rFonts w:ascii="Arial" w:hAnsi="Arial" w:cs="Arial"/>
                <w:sz w:val="18"/>
                <w:szCs w:val="18"/>
                <w:lang w:val="es-ES"/>
              </w:rPr>
            </w:pPr>
          </w:p>
        </w:tc>
        <w:tc>
          <w:tcPr>
            <w:tcW w:w="3827" w:type="dxa"/>
            <w:shd w:val="clear" w:color="auto" w:fill="auto"/>
          </w:tcPr>
          <w:p w14:paraId="1D3D0F66"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5.4. Aclarar la política de logotipos de la COI para garantizar la coherencia de su marca.</w:t>
            </w:r>
          </w:p>
        </w:tc>
        <w:tc>
          <w:tcPr>
            <w:tcW w:w="4390" w:type="dxa"/>
          </w:tcPr>
          <w:p w14:paraId="4A848C74"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Este proceso se ha </w:t>
            </w:r>
            <w:r>
              <w:rPr>
                <w:rFonts w:ascii="Arial" w:hAnsi="Arial" w:cs="Arial"/>
                <w:sz w:val="18"/>
                <w:szCs w:val="18"/>
                <w:lang w:val="es-ES"/>
              </w:rPr>
              <w:t>finaliz</w:t>
            </w:r>
            <w:r w:rsidRPr="006E0C74">
              <w:rPr>
                <w:rFonts w:ascii="Arial" w:hAnsi="Arial" w:cs="Arial"/>
                <w:sz w:val="18"/>
                <w:szCs w:val="18"/>
                <w:lang w:val="es-ES"/>
              </w:rPr>
              <w:t>ado parcialmente mediante la aplicación por la COI, en todos sus programas, órganos regionales y diversos proyectos, de las directrices de la marca UNESCO, aprobadas por el Consejo Ejecutivo y la Conferencia General de la UNESCO. La política unificada de la UNESCO establece un logotipo específico para la COI de la UNESCO (necesario para reforzar la marca de la Comisión entre sus principales comunidades y Estados Miembros) que, sin embargo, es totalmente coherente con las directrices generales de la marca UNESCO, la paleta de colores y la política de uso del logotipo. La política se aplica a los documentos impresos y digitales, los medios sociales, la comunicación del programa y los proyectos, las alianzas y la creación de marcas en torno a eventos específicos. Los Estados Miembros pueden solicitar directamente a la División de Comunicación y Participación Pública (UNESCO/CPE) los documentos normativos relativos al logotipo. El siguiente paso consistirá en elaborar y aplicar directrices para la marca de los programas, órganos subsidiarios y proyectos de la COI, de conformidad con la política global relativa al logotipo.</w:t>
            </w:r>
          </w:p>
        </w:tc>
        <w:tc>
          <w:tcPr>
            <w:tcW w:w="1701" w:type="dxa"/>
            <w:shd w:val="clear" w:color="auto" w:fill="auto"/>
          </w:tcPr>
          <w:p w14:paraId="5A0D1428" w14:textId="77777777" w:rsidR="00101B97" w:rsidRPr="006E0C74" w:rsidRDefault="00101B97"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y equipo de comunicación de la COI.</w:t>
            </w:r>
          </w:p>
        </w:tc>
        <w:tc>
          <w:tcPr>
            <w:tcW w:w="1842" w:type="dxa"/>
            <w:shd w:val="clear" w:color="auto" w:fill="auto"/>
          </w:tcPr>
          <w:p w14:paraId="42CB3074" w14:textId="77777777" w:rsidR="00101B97" w:rsidRPr="006E0C74" w:rsidRDefault="00101B97" w:rsidP="00A95FCC">
            <w:pPr>
              <w:tabs>
                <w:tab w:val="clear" w:pos="567"/>
              </w:tabs>
              <w:rPr>
                <w:rFonts w:ascii="Arial" w:hAnsi="Arial" w:cs="Arial"/>
                <w:b/>
                <w:bCs/>
                <w:sz w:val="18"/>
                <w:szCs w:val="18"/>
                <w:lang w:val="es-ES"/>
              </w:rPr>
            </w:pPr>
            <w:r w:rsidRPr="006E0C74">
              <w:rPr>
                <w:rFonts w:ascii="Arial" w:hAnsi="Arial" w:cs="Arial"/>
                <w:b/>
                <w:bCs/>
                <w:sz w:val="18"/>
                <w:szCs w:val="18"/>
                <w:lang w:val="es-ES"/>
              </w:rPr>
              <w:t>Tercer trimestre de 2025.</w:t>
            </w:r>
          </w:p>
        </w:tc>
      </w:tr>
      <w:tr w:rsidR="008901CD" w:rsidRPr="006E0C74" w14:paraId="0B8C29C6" w14:textId="77777777" w:rsidTr="00A95FCC">
        <w:trPr>
          <w:cantSplit/>
        </w:trPr>
        <w:tc>
          <w:tcPr>
            <w:tcW w:w="2977" w:type="dxa"/>
            <w:vMerge w:val="restart"/>
          </w:tcPr>
          <w:p w14:paraId="32D7D12A" w14:textId="77777777" w:rsidR="008901CD" w:rsidRPr="006E0C74" w:rsidRDefault="008901CD" w:rsidP="00A95FCC">
            <w:pPr>
              <w:tabs>
                <w:tab w:val="clear" w:pos="567"/>
              </w:tabs>
              <w:spacing w:after="120"/>
              <w:rPr>
                <w:rFonts w:ascii="Arial" w:hAnsi="Arial" w:cs="Arial"/>
                <w:b/>
                <w:bCs/>
                <w:sz w:val="18"/>
                <w:szCs w:val="18"/>
                <w:lang w:val="es-ES"/>
              </w:rPr>
            </w:pPr>
            <w:r w:rsidRPr="006E0C74">
              <w:rPr>
                <w:rFonts w:ascii="Arial" w:hAnsi="Arial" w:cs="Arial"/>
                <w:b/>
                <w:bCs/>
                <w:sz w:val="18"/>
                <w:szCs w:val="18"/>
                <w:lang w:val="es-ES"/>
              </w:rPr>
              <w:t>Recomendación 6:</w:t>
            </w:r>
          </w:p>
          <w:p w14:paraId="1C7FF7CD" w14:textId="77777777" w:rsidR="008901CD" w:rsidRPr="006E0C74" w:rsidRDefault="008901CD" w:rsidP="00A95FCC">
            <w:pPr>
              <w:pStyle w:val="NormalWeb"/>
              <w:rPr>
                <w:rFonts w:ascii="Arial" w:hAnsi="Arial" w:cs="Arial"/>
                <w:sz w:val="18"/>
                <w:szCs w:val="18"/>
                <w:lang w:val="es-ES"/>
              </w:rPr>
            </w:pPr>
            <w:r w:rsidRPr="006E0C74">
              <w:rPr>
                <w:rFonts w:ascii="Arial" w:hAnsi="Arial" w:cs="Arial"/>
                <w:sz w:val="18"/>
                <w:szCs w:val="18"/>
                <w:lang w:val="es-ES"/>
              </w:rPr>
              <w:t xml:space="preserve">De aquí a junio de 2022 – asumir un papel de liderazgo en el ámbito de la igualdad de género y el </w:t>
            </w:r>
            <w:r w:rsidRPr="006E0C74">
              <w:rPr>
                <w:rFonts w:ascii="Arial" w:hAnsi="Arial" w:cs="Arial"/>
                <w:sz w:val="18"/>
                <w:szCs w:val="18"/>
                <w:lang w:val="es-ES"/>
              </w:rPr>
              <w:lastRenderedPageBreak/>
              <w:t xml:space="preserve">empoderamiento de la mujer en las ciencias del mar, respaldando sus actividades existentes en materia de datos, como el </w:t>
            </w:r>
            <w:r w:rsidRPr="006E0C74">
              <w:rPr>
                <w:rFonts w:ascii="Arial" w:hAnsi="Arial" w:cs="Arial"/>
                <w:i/>
                <w:iCs/>
                <w:sz w:val="18"/>
                <w:szCs w:val="18"/>
                <w:lang w:val="es-ES"/>
              </w:rPr>
              <w:t>Informe mundial sobre las ciencias oceánicas</w:t>
            </w:r>
            <w:r w:rsidRPr="006E0C74">
              <w:rPr>
                <w:rFonts w:ascii="Arial" w:hAnsi="Arial" w:cs="Arial"/>
                <w:sz w:val="18"/>
                <w:szCs w:val="18"/>
                <w:lang w:val="es-ES"/>
              </w:rPr>
              <w:t>, con medidas específicas.</w:t>
            </w:r>
          </w:p>
        </w:tc>
        <w:tc>
          <w:tcPr>
            <w:tcW w:w="3827" w:type="dxa"/>
            <w:shd w:val="clear" w:color="auto" w:fill="auto"/>
          </w:tcPr>
          <w:p w14:paraId="74522825"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lastRenderedPageBreak/>
              <w:t xml:space="preserve">6.1 Solicitar el asesoramiento de la División de Igualdad de Género de la UNESCO con el fin de elaborar directrices de género para los comités de expertos de la COI y otros órganos, según corresponda. </w:t>
            </w:r>
          </w:p>
        </w:tc>
        <w:tc>
          <w:tcPr>
            <w:tcW w:w="4390" w:type="dxa"/>
            <w:shd w:val="clear" w:color="auto" w:fill="auto"/>
          </w:tcPr>
          <w:p w14:paraId="0EDB07E2"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b/>
                <w:bCs/>
                <w:sz w:val="18"/>
                <w:szCs w:val="18"/>
                <w:lang w:val="es-ES"/>
              </w:rPr>
              <w:t>Presentación del documento INF-1547 a la Asamblea en el marco de este punto del orden del día.</w:t>
            </w:r>
          </w:p>
        </w:tc>
        <w:tc>
          <w:tcPr>
            <w:tcW w:w="1701" w:type="dxa"/>
          </w:tcPr>
          <w:p w14:paraId="03CA2712"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Coordinador de cuestiones de género de la COI y funcionario ejecutivo.</w:t>
            </w:r>
          </w:p>
        </w:tc>
        <w:tc>
          <w:tcPr>
            <w:tcW w:w="1842" w:type="dxa"/>
            <w:shd w:val="clear" w:color="auto" w:fill="auto"/>
          </w:tcPr>
          <w:p w14:paraId="7D499954"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8901CD" w:rsidRPr="006E0C74" w14:paraId="4EEB8C1B" w14:textId="77777777" w:rsidTr="00A95FCC">
        <w:trPr>
          <w:cantSplit/>
        </w:trPr>
        <w:tc>
          <w:tcPr>
            <w:tcW w:w="2977" w:type="dxa"/>
            <w:vMerge/>
            <w:shd w:val="clear" w:color="auto" w:fill="auto"/>
          </w:tcPr>
          <w:p w14:paraId="1B2B46F5" w14:textId="77777777" w:rsidR="008901CD" w:rsidRPr="006E0C74" w:rsidRDefault="008901CD" w:rsidP="00A95FCC">
            <w:pPr>
              <w:pStyle w:val="NormalWeb"/>
              <w:rPr>
                <w:rFonts w:ascii="Arial" w:hAnsi="Arial" w:cs="Arial"/>
                <w:sz w:val="18"/>
                <w:szCs w:val="18"/>
                <w:lang w:val="es-ES"/>
              </w:rPr>
            </w:pPr>
          </w:p>
        </w:tc>
        <w:tc>
          <w:tcPr>
            <w:tcW w:w="3827" w:type="dxa"/>
            <w:shd w:val="clear" w:color="auto" w:fill="auto"/>
          </w:tcPr>
          <w:p w14:paraId="664DD70E"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6.2 Seguir alentando a los Estados Miembros de la COI a que garanticen la igualdad de género en sus delegaciones en los órganos rectores de la COI. Proporcionar estadísticas después de cada reunión para </w:t>
            </w:r>
            <w:r>
              <w:rPr>
                <w:rFonts w:ascii="Arial" w:hAnsi="Arial" w:cs="Arial"/>
                <w:sz w:val="18"/>
                <w:szCs w:val="18"/>
                <w:lang w:val="es-ES"/>
              </w:rPr>
              <w:t>seguir de cerca los</w:t>
            </w:r>
            <w:r w:rsidRPr="006E0C74">
              <w:rPr>
                <w:rFonts w:ascii="Arial" w:hAnsi="Arial" w:cs="Arial"/>
                <w:sz w:val="18"/>
                <w:szCs w:val="18"/>
                <w:lang w:val="es-ES"/>
              </w:rPr>
              <w:t xml:space="preserve"> progreso</w:t>
            </w:r>
            <w:r>
              <w:rPr>
                <w:rFonts w:ascii="Arial" w:hAnsi="Arial" w:cs="Arial"/>
                <w:sz w:val="18"/>
                <w:szCs w:val="18"/>
                <w:lang w:val="es-ES"/>
              </w:rPr>
              <w:t>s</w:t>
            </w:r>
            <w:r w:rsidRPr="006E0C74">
              <w:rPr>
                <w:rFonts w:ascii="Arial" w:hAnsi="Arial" w:cs="Arial"/>
                <w:sz w:val="18"/>
                <w:szCs w:val="18"/>
                <w:lang w:val="es-ES"/>
              </w:rPr>
              <w:t>.</w:t>
            </w:r>
          </w:p>
        </w:tc>
        <w:tc>
          <w:tcPr>
            <w:tcW w:w="4390" w:type="dxa"/>
          </w:tcPr>
          <w:p w14:paraId="53401AD0"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b/>
                <w:bCs/>
                <w:sz w:val="18"/>
                <w:szCs w:val="18"/>
                <w:lang w:val="es-ES"/>
              </w:rPr>
              <w:t>Considerada concluida por la Asamblea en su 32ª reunión.</w:t>
            </w:r>
          </w:p>
        </w:tc>
        <w:tc>
          <w:tcPr>
            <w:tcW w:w="1701" w:type="dxa"/>
            <w:shd w:val="clear" w:color="auto" w:fill="auto"/>
          </w:tcPr>
          <w:p w14:paraId="5D517886"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coordinador de cuestiones de género de la COI y funcionario ejecutivo.</w:t>
            </w:r>
          </w:p>
        </w:tc>
        <w:tc>
          <w:tcPr>
            <w:tcW w:w="1842" w:type="dxa"/>
            <w:shd w:val="clear" w:color="auto" w:fill="auto"/>
          </w:tcPr>
          <w:p w14:paraId="19899A27"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8901CD" w:rsidRPr="006E0C74" w14:paraId="44463B2B" w14:textId="77777777" w:rsidTr="00A95FCC">
        <w:trPr>
          <w:cantSplit/>
        </w:trPr>
        <w:tc>
          <w:tcPr>
            <w:tcW w:w="2977" w:type="dxa"/>
            <w:vMerge/>
            <w:shd w:val="clear" w:color="auto" w:fill="auto"/>
          </w:tcPr>
          <w:p w14:paraId="3D6ABBA7" w14:textId="77777777" w:rsidR="008901CD" w:rsidRPr="006E0C74" w:rsidRDefault="008901CD" w:rsidP="00A95FCC">
            <w:pPr>
              <w:pStyle w:val="NormalWeb"/>
              <w:rPr>
                <w:rFonts w:ascii="Arial" w:hAnsi="Arial" w:cs="Arial"/>
                <w:sz w:val="18"/>
                <w:szCs w:val="18"/>
                <w:lang w:val="es-ES"/>
              </w:rPr>
            </w:pPr>
          </w:p>
        </w:tc>
        <w:tc>
          <w:tcPr>
            <w:tcW w:w="3827" w:type="dxa"/>
            <w:shd w:val="clear" w:color="auto" w:fill="auto"/>
          </w:tcPr>
          <w:p w14:paraId="42ADD953"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6.3 Crear un grupo de trabajo (que incluya a expertos en cuestiones de género homólogos de la Comisión de </w:t>
            </w:r>
            <w:proofErr w:type="gramStart"/>
            <w:r w:rsidRPr="006E0C74">
              <w:rPr>
                <w:rFonts w:ascii="Arial" w:hAnsi="Arial" w:cs="Arial"/>
                <w:sz w:val="18"/>
                <w:szCs w:val="18"/>
                <w:lang w:val="es-ES"/>
              </w:rPr>
              <w:t>ONU</w:t>
            </w:r>
            <w:proofErr w:type="gramEnd"/>
            <w:r w:rsidRPr="006E0C74">
              <w:rPr>
                <w:rFonts w:ascii="Arial" w:hAnsi="Arial" w:cs="Arial"/>
                <w:sz w:val="18"/>
                <w:szCs w:val="18"/>
                <w:lang w:val="es-ES"/>
              </w:rPr>
              <w:t>-Océanos, así como de la UNESCO) para elaborar una hoja de ruta que permita integrar mejor la igualdad de género en todo el Decenio del Océano.</w:t>
            </w:r>
          </w:p>
        </w:tc>
        <w:tc>
          <w:tcPr>
            <w:tcW w:w="4390" w:type="dxa"/>
          </w:tcPr>
          <w:p w14:paraId="22770EF5"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b/>
                <w:bCs/>
                <w:sz w:val="18"/>
                <w:szCs w:val="18"/>
                <w:lang w:val="es-ES"/>
              </w:rPr>
              <w:t>Se creó el Grupo de Trabajo sobre Género del Decenio del Océano</w:t>
            </w:r>
            <w:r>
              <w:rPr>
                <w:rFonts w:ascii="Arial" w:hAnsi="Arial" w:cs="Arial"/>
                <w:b/>
                <w:bCs/>
                <w:sz w:val="18"/>
                <w:szCs w:val="18"/>
                <w:lang w:val="es-ES"/>
              </w:rPr>
              <w:t>. El Grupo</w:t>
            </w:r>
            <w:r w:rsidRPr="006E0C74">
              <w:rPr>
                <w:rFonts w:ascii="Arial" w:hAnsi="Arial" w:cs="Arial"/>
                <w:b/>
                <w:bCs/>
                <w:sz w:val="18"/>
                <w:szCs w:val="18"/>
                <w:lang w:val="es-ES"/>
              </w:rPr>
              <w:t xml:space="preserve"> ha empezado a elaborar una hoja de ruta del Decenio en materia de género sobre la base de los resultados prioritarios del proceso Visión 2030.</w:t>
            </w:r>
            <w:r w:rsidRPr="006E0C74">
              <w:rPr>
                <w:rFonts w:ascii="Arial" w:hAnsi="Arial" w:cs="Arial"/>
                <w:sz w:val="18"/>
                <w:szCs w:val="18"/>
                <w:lang w:val="es-ES"/>
              </w:rPr>
              <w:t xml:space="preserve"> </w:t>
            </w:r>
            <w:r w:rsidRPr="006E0C74">
              <w:rPr>
                <w:rFonts w:ascii="Arial" w:hAnsi="Arial" w:cs="Arial"/>
                <w:b/>
                <w:bCs/>
                <w:sz w:val="18"/>
                <w:szCs w:val="18"/>
                <w:lang w:val="es-ES"/>
              </w:rPr>
              <w:t>Se informará de los progresos a los órganos rectores de la COI.</w:t>
            </w:r>
          </w:p>
        </w:tc>
        <w:tc>
          <w:tcPr>
            <w:tcW w:w="1701" w:type="dxa"/>
            <w:shd w:val="clear" w:color="auto" w:fill="auto"/>
          </w:tcPr>
          <w:p w14:paraId="4C85A39F"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Unidad de Coordinación del Decenio y coordinador de cuestiones de género de la COI.</w:t>
            </w:r>
          </w:p>
        </w:tc>
        <w:tc>
          <w:tcPr>
            <w:tcW w:w="1842" w:type="dxa"/>
            <w:shd w:val="clear" w:color="auto" w:fill="auto"/>
          </w:tcPr>
          <w:p w14:paraId="3DE2E3B4"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8901CD" w:rsidRPr="006E0C74" w14:paraId="646218B3" w14:textId="77777777" w:rsidTr="00A95FCC">
        <w:trPr>
          <w:cantSplit/>
        </w:trPr>
        <w:tc>
          <w:tcPr>
            <w:tcW w:w="2977" w:type="dxa"/>
            <w:vMerge/>
            <w:shd w:val="clear" w:color="auto" w:fill="auto"/>
          </w:tcPr>
          <w:p w14:paraId="5558C519" w14:textId="77777777" w:rsidR="008901CD" w:rsidRPr="006E0C74" w:rsidRDefault="008901CD" w:rsidP="00A95FCC">
            <w:pPr>
              <w:pStyle w:val="NormalWeb"/>
              <w:rPr>
                <w:rFonts w:ascii="Arial" w:hAnsi="Arial" w:cs="Arial"/>
                <w:sz w:val="18"/>
                <w:szCs w:val="18"/>
                <w:lang w:val="es-ES"/>
              </w:rPr>
            </w:pPr>
          </w:p>
        </w:tc>
        <w:tc>
          <w:tcPr>
            <w:tcW w:w="3827" w:type="dxa"/>
            <w:shd w:val="clear" w:color="auto" w:fill="auto"/>
          </w:tcPr>
          <w:p w14:paraId="498E402D"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6.4. Buscar asociados que puedan estar interesados en respaldar un premio sobre la mujer y las ciencias oceánicas, en especial por conducto del Pacto Mundial de las Naciones Unidas.</w:t>
            </w:r>
          </w:p>
        </w:tc>
        <w:tc>
          <w:tcPr>
            <w:tcW w:w="4390" w:type="dxa"/>
          </w:tcPr>
          <w:p w14:paraId="7140CDFE"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b/>
                <w:bCs/>
                <w:sz w:val="18"/>
                <w:szCs w:val="18"/>
                <w:lang w:val="es-ES"/>
              </w:rPr>
              <w:t xml:space="preserve">La Secretaría propone que esta recomendación se considere </w:t>
            </w:r>
            <w:r>
              <w:rPr>
                <w:rFonts w:ascii="Arial" w:hAnsi="Arial" w:cs="Arial"/>
                <w:b/>
                <w:bCs/>
                <w:sz w:val="18"/>
                <w:szCs w:val="18"/>
                <w:lang w:val="es-ES"/>
              </w:rPr>
              <w:t>finalizada</w:t>
            </w:r>
            <w:r w:rsidRPr="006E0C74">
              <w:rPr>
                <w:rFonts w:ascii="Arial" w:hAnsi="Arial" w:cs="Arial"/>
                <w:b/>
                <w:bCs/>
                <w:sz w:val="18"/>
                <w:szCs w:val="18"/>
                <w:lang w:val="es-ES"/>
              </w:rPr>
              <w:t xml:space="preserve"> en el contexto del presente Plan de Acción.</w:t>
            </w:r>
            <w:r w:rsidRPr="006E0C74">
              <w:rPr>
                <w:rFonts w:ascii="Arial" w:hAnsi="Arial" w:cs="Arial"/>
                <w:sz w:val="18"/>
                <w:szCs w:val="18"/>
                <w:lang w:val="es-ES"/>
              </w:rPr>
              <w:t xml:space="preserve"> </w:t>
            </w:r>
            <w:r w:rsidRPr="006E0C74">
              <w:rPr>
                <w:rFonts w:ascii="Arial" w:hAnsi="Arial" w:cs="Arial"/>
                <w:b/>
                <w:bCs/>
                <w:sz w:val="18"/>
                <w:szCs w:val="18"/>
                <w:lang w:val="es-ES"/>
              </w:rPr>
              <w:t>La cuestión de la mejor manera de integrar la igualdad de género se tendrá en cuenta en la hoja de ruta del Decenio en la materia y se informará al respecto a los órganos rectores de la COI.</w:t>
            </w:r>
          </w:p>
        </w:tc>
        <w:tc>
          <w:tcPr>
            <w:tcW w:w="1701" w:type="dxa"/>
            <w:shd w:val="clear" w:color="auto" w:fill="auto"/>
          </w:tcPr>
          <w:p w14:paraId="5E2B8CB2" w14:textId="77777777" w:rsidR="008901CD" w:rsidRPr="006E0C74" w:rsidRDefault="008901CD" w:rsidP="00A95FCC">
            <w:pPr>
              <w:tabs>
                <w:tab w:val="clear" w:pos="567"/>
              </w:tabs>
              <w:rPr>
                <w:rFonts w:ascii="Arial" w:hAnsi="Arial" w:cs="Arial"/>
                <w:sz w:val="18"/>
                <w:szCs w:val="18"/>
                <w:lang w:val="es-ES"/>
              </w:rPr>
            </w:pPr>
          </w:p>
        </w:tc>
        <w:tc>
          <w:tcPr>
            <w:tcW w:w="1842" w:type="dxa"/>
            <w:shd w:val="clear" w:color="auto" w:fill="auto"/>
          </w:tcPr>
          <w:p w14:paraId="47C17995"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r w:rsidR="008901CD" w:rsidRPr="006E0C74" w14:paraId="228F1D4E" w14:textId="77777777" w:rsidTr="00A95FCC">
        <w:trPr>
          <w:cantSplit/>
        </w:trPr>
        <w:tc>
          <w:tcPr>
            <w:tcW w:w="2977" w:type="dxa"/>
            <w:vMerge/>
            <w:shd w:val="clear" w:color="auto" w:fill="auto"/>
          </w:tcPr>
          <w:p w14:paraId="225A877C" w14:textId="77777777" w:rsidR="008901CD" w:rsidRPr="006E0C74" w:rsidRDefault="008901CD" w:rsidP="00A95FCC">
            <w:pPr>
              <w:pStyle w:val="NormalWeb"/>
              <w:rPr>
                <w:rFonts w:ascii="Arial" w:hAnsi="Arial" w:cs="Arial"/>
                <w:sz w:val="18"/>
                <w:szCs w:val="18"/>
                <w:lang w:val="es-ES"/>
              </w:rPr>
            </w:pPr>
          </w:p>
        </w:tc>
        <w:tc>
          <w:tcPr>
            <w:tcW w:w="3827" w:type="dxa"/>
            <w:shd w:val="clear" w:color="auto" w:fill="auto"/>
          </w:tcPr>
          <w:p w14:paraId="060C6E93"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 xml:space="preserve">6.5. Trabajar con expertos </w:t>
            </w:r>
            <w:r>
              <w:rPr>
                <w:rFonts w:ascii="Arial" w:hAnsi="Arial" w:cs="Arial"/>
                <w:sz w:val="18"/>
                <w:szCs w:val="18"/>
                <w:lang w:val="es-ES"/>
              </w:rPr>
              <w:t>en</w:t>
            </w:r>
            <w:r w:rsidRPr="006E0C74">
              <w:rPr>
                <w:rFonts w:ascii="Arial" w:hAnsi="Arial" w:cs="Arial"/>
                <w:sz w:val="18"/>
                <w:szCs w:val="18"/>
                <w:lang w:val="es-ES"/>
              </w:rPr>
              <w:t xml:space="preserve"> </w:t>
            </w:r>
            <w:r>
              <w:rPr>
                <w:rFonts w:ascii="Arial" w:hAnsi="Arial" w:cs="Arial"/>
                <w:sz w:val="18"/>
                <w:szCs w:val="18"/>
                <w:lang w:val="es-ES"/>
              </w:rPr>
              <w:t>r</w:t>
            </w:r>
            <w:r w:rsidRPr="006E0C74">
              <w:rPr>
                <w:rFonts w:ascii="Arial" w:hAnsi="Arial" w:cs="Arial"/>
                <w:sz w:val="18"/>
                <w:szCs w:val="18"/>
                <w:lang w:val="es-ES"/>
              </w:rPr>
              <w:t xml:space="preserve">ecursos </w:t>
            </w:r>
            <w:r>
              <w:rPr>
                <w:rFonts w:ascii="Arial" w:hAnsi="Arial" w:cs="Arial"/>
                <w:sz w:val="18"/>
                <w:szCs w:val="18"/>
                <w:lang w:val="es-ES"/>
              </w:rPr>
              <w:t>h</w:t>
            </w:r>
            <w:r w:rsidRPr="006E0C74">
              <w:rPr>
                <w:rFonts w:ascii="Arial" w:hAnsi="Arial" w:cs="Arial"/>
                <w:sz w:val="18"/>
                <w:szCs w:val="18"/>
                <w:lang w:val="es-ES"/>
              </w:rPr>
              <w:t>umanos para seleccionar a candidatas cualificadas para puestos de alta dirección en la Comisión y mejorar la distribución geográfica.</w:t>
            </w:r>
          </w:p>
        </w:tc>
        <w:tc>
          <w:tcPr>
            <w:tcW w:w="4390" w:type="dxa"/>
          </w:tcPr>
          <w:p w14:paraId="25FABEAB" w14:textId="77777777" w:rsidR="008901CD" w:rsidRPr="006E0C74" w:rsidRDefault="008901CD" w:rsidP="00A95FCC">
            <w:pPr>
              <w:tabs>
                <w:tab w:val="clear" w:pos="567"/>
              </w:tabs>
              <w:spacing w:after="120"/>
              <w:rPr>
                <w:rFonts w:ascii="Arial" w:hAnsi="Arial" w:cs="Arial"/>
                <w:sz w:val="18"/>
                <w:szCs w:val="18"/>
                <w:lang w:val="es-ES"/>
              </w:rPr>
            </w:pPr>
            <w:r w:rsidRPr="006E0C74">
              <w:rPr>
                <w:rFonts w:ascii="Arial" w:hAnsi="Arial" w:cs="Arial"/>
                <w:b/>
                <w:bCs/>
                <w:sz w:val="18"/>
                <w:szCs w:val="18"/>
                <w:lang w:val="es-ES"/>
              </w:rPr>
              <w:t>Aplicada mediante la contratación reciente de dos puestos de responsabilidad.</w:t>
            </w:r>
          </w:p>
        </w:tc>
        <w:tc>
          <w:tcPr>
            <w:tcW w:w="1701" w:type="dxa"/>
            <w:shd w:val="clear" w:color="auto" w:fill="auto"/>
          </w:tcPr>
          <w:p w14:paraId="1F71619E"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sz w:val="18"/>
                <w:szCs w:val="18"/>
                <w:lang w:val="es-ES"/>
              </w:rPr>
              <w:t>Secretario Ejecutivo y funcionario ejecutivo.</w:t>
            </w:r>
          </w:p>
        </w:tc>
        <w:tc>
          <w:tcPr>
            <w:tcW w:w="1842" w:type="dxa"/>
            <w:shd w:val="clear" w:color="auto" w:fill="auto"/>
          </w:tcPr>
          <w:p w14:paraId="5BBAA66A" w14:textId="77777777" w:rsidR="008901CD" w:rsidRPr="006E0C74" w:rsidRDefault="008901CD" w:rsidP="00A95FCC">
            <w:pPr>
              <w:tabs>
                <w:tab w:val="clear" w:pos="567"/>
              </w:tabs>
              <w:rPr>
                <w:rFonts w:ascii="Arial" w:hAnsi="Arial" w:cs="Arial"/>
                <w:sz w:val="18"/>
                <w:szCs w:val="18"/>
                <w:lang w:val="es-ES"/>
              </w:rPr>
            </w:pPr>
            <w:r w:rsidRPr="006E0C74">
              <w:rPr>
                <w:rFonts w:ascii="Arial" w:hAnsi="Arial" w:cs="Arial"/>
                <w:b/>
                <w:bCs/>
                <w:sz w:val="18"/>
                <w:szCs w:val="18"/>
                <w:lang w:val="es-ES"/>
              </w:rPr>
              <w:t>Finalizada.</w:t>
            </w:r>
          </w:p>
        </w:tc>
      </w:tr>
    </w:tbl>
    <w:p w14:paraId="67640948" w14:textId="77777777" w:rsidR="00101B97" w:rsidRPr="006E0C74" w:rsidRDefault="00101B97" w:rsidP="00101B97">
      <w:pPr>
        <w:tabs>
          <w:tab w:val="clear" w:pos="567"/>
        </w:tabs>
        <w:spacing w:after="240"/>
        <w:ind w:left="1134" w:hanging="567"/>
        <w:jc w:val="both"/>
        <w:rPr>
          <w:rFonts w:ascii="Arial" w:hAnsi="Arial" w:cs="Arial"/>
          <w:b/>
          <w:bCs/>
          <w:sz w:val="22"/>
          <w:szCs w:val="22"/>
          <w:lang w:val="es-ES"/>
        </w:rPr>
      </w:pPr>
    </w:p>
    <w:p w14:paraId="03C50818" w14:textId="77777777" w:rsidR="00101B97" w:rsidRPr="00EE2BEC" w:rsidRDefault="00101B97" w:rsidP="00101B97">
      <w:pPr>
        <w:pStyle w:val="Marge"/>
        <w:jc w:val="center"/>
        <w:rPr>
          <w:rFonts w:ascii="Arial" w:hAnsi="Arial" w:cs="Arial"/>
          <w:bCs/>
          <w:i/>
          <w:sz w:val="22"/>
          <w:szCs w:val="22"/>
          <w:lang w:val="es-ES"/>
        </w:rPr>
      </w:pPr>
    </w:p>
    <w:p w14:paraId="38D43AA4" w14:textId="77777777" w:rsidR="00101B97" w:rsidRDefault="00101B97" w:rsidP="00101B97"/>
    <w:p w14:paraId="3AEA56A5" w14:textId="77B0CAE0" w:rsidR="00F62B21" w:rsidRPr="00EE2BEC" w:rsidRDefault="00F62B21" w:rsidP="00101B97">
      <w:pPr>
        <w:tabs>
          <w:tab w:val="clear" w:pos="567"/>
        </w:tabs>
        <w:spacing w:after="240"/>
        <w:jc w:val="center"/>
        <w:rPr>
          <w:rFonts w:ascii="Arial" w:hAnsi="Arial" w:cs="Arial"/>
          <w:bCs/>
          <w:i/>
          <w:sz w:val="22"/>
          <w:szCs w:val="22"/>
          <w:lang w:val="es-ES"/>
        </w:rPr>
      </w:pPr>
    </w:p>
    <w:sectPr w:rsidR="00F62B21" w:rsidRPr="00EE2BEC" w:rsidSect="00101B97">
      <w:headerReference w:type="even" r:id="rId20"/>
      <w:headerReference w:type="default" r:id="rId21"/>
      <w:footerReference w:type="default" r:id="rId22"/>
      <w:headerReference w:type="first" r:id="rId23"/>
      <w:type w:val="oddPage"/>
      <w:pgSz w:w="16838" w:h="11906" w:orient="landscape" w:code="9"/>
      <w:pgMar w:top="1134" w:right="1418" w:bottom="1134" w:left="1134" w:header="680" w:footer="0"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5A18" w14:textId="77777777" w:rsidR="00EE64AC" w:rsidRDefault="00EE64AC">
      <w:r>
        <w:separator/>
      </w:r>
    </w:p>
  </w:endnote>
  <w:endnote w:type="continuationSeparator" w:id="0">
    <w:p w14:paraId="6DB8A145" w14:textId="77777777" w:rsidR="00EE64AC" w:rsidRDefault="00EE64AC">
      <w:r>
        <w:continuationSeparator/>
      </w:r>
    </w:p>
  </w:endnote>
  <w:endnote w:type="continuationNotice" w:id="1">
    <w:p w14:paraId="7CC812D0" w14:textId="77777777" w:rsidR="00EE64AC" w:rsidRDefault="00EE6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10FD" w14:textId="216B12C0" w:rsidR="00EE2BEC" w:rsidRDefault="00EE2BEC">
    <w:pPr>
      <w:pStyle w:val="Footer"/>
    </w:pPr>
    <w:r>
      <w:rPr>
        <w:noProof/>
      </w:rPr>
      <mc:AlternateContent>
        <mc:Choice Requires="wps">
          <w:drawing>
            <wp:anchor distT="45720" distB="45720" distL="114300" distR="114300" simplePos="0" relativeHeight="251664384" behindDoc="0" locked="0" layoutInCell="1" allowOverlap="1" wp14:anchorId="53EB23EF" wp14:editId="0CB0C1A6">
              <wp:simplePos x="0" y="0"/>
              <wp:positionH relativeFrom="column">
                <wp:posOffset>8820328</wp:posOffset>
              </wp:positionH>
              <wp:positionV relativeFrom="paragraph">
                <wp:posOffset>-2094357</wp:posOffset>
              </wp:positionV>
              <wp:extent cx="2360930" cy="1404620"/>
              <wp:effectExtent l="2222" t="0" r="3493" b="3492"/>
              <wp:wrapNone/>
              <wp:docPr id="16945736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solidFill>
                        <a:srgbClr val="FFFFFF"/>
                      </a:solidFill>
                      <a:ln w="9525">
                        <a:noFill/>
                        <a:miter lim="800000"/>
                        <a:headEnd/>
                        <a:tailEnd/>
                      </a:ln>
                    </wps:spPr>
                    <wps:txbx>
                      <w:txbxContent>
                        <w:p w14:paraId="45E47840" w14:textId="42F855EA" w:rsidR="00EE2BEC" w:rsidRDefault="00EE2BEC" w:rsidP="00EE2BEC">
                          <w:r w:rsidRPr="00453900">
                            <w:t xml:space="preserve">IOC/A-33/5.3.Doc(2) – </w:t>
                          </w:r>
                          <w:r>
                            <w:t>pág.</w:t>
                          </w:r>
                          <w:r w:rsidR="00807E4C">
                            <w:t>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EB23EF" id="_x0000_t202" coordsize="21600,21600" o:spt="202" path="m,l,21600r21600,l21600,xe">
              <v:stroke joinstyle="miter"/>
              <v:path gradientshapeok="t" o:connecttype="rect"/>
            </v:shapetype>
            <v:shape id="_x0000_s1027" type="#_x0000_t202" style="position:absolute;margin-left:694.5pt;margin-top:-164.9pt;width:185.9pt;height:110.6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" stroked="f">
              <v:textbox style="mso-fit-shape-to-text:t">
                <w:txbxContent>
                  <w:p w14:paraId="45E47840" w14:textId="42F855EA" w:rsidR="00EE2BEC" w:rsidRDefault="00EE2BEC" w:rsidP="00EE2BEC">
                    <w:r w:rsidRPr="00453900">
                      <w:t xml:space="preserve">IOC/A-33/5.3.Doc(2) – </w:t>
                    </w:r>
                    <w:r>
                      <w:t>pág.</w:t>
                    </w:r>
                    <w:r w:rsidR="00807E4C">
                      <w:t>75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F1B7" w14:textId="77777777" w:rsidR="00007827" w:rsidRDefault="004751DB">
    <w:pPr>
      <w:pStyle w:val="Footer"/>
    </w:pPr>
    <w:r>
      <w:rPr>
        <w:noProof/>
      </w:rPr>
      <mc:AlternateContent>
        <mc:Choice Requires="wps">
          <w:drawing>
            <wp:anchor distT="45720" distB="45720" distL="114300" distR="114300" simplePos="0" relativeHeight="251670528" behindDoc="0" locked="0" layoutInCell="1" allowOverlap="1" wp14:anchorId="1D65A0E5" wp14:editId="5EDA2FE8">
              <wp:simplePos x="0" y="0"/>
              <wp:positionH relativeFrom="column">
                <wp:posOffset>8894572</wp:posOffset>
              </wp:positionH>
              <wp:positionV relativeFrom="paragraph">
                <wp:posOffset>-2131415</wp:posOffset>
              </wp:positionV>
              <wp:extent cx="2360930" cy="1404620"/>
              <wp:effectExtent l="2222" t="0" r="3493" b="3492"/>
              <wp:wrapNone/>
              <wp:docPr id="3604747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solidFill>
                        <a:srgbClr val="FFFFFF"/>
                      </a:solidFill>
                      <a:ln w="9525">
                        <a:noFill/>
                        <a:miter lim="800000"/>
                        <a:headEnd/>
                        <a:tailEnd/>
                      </a:ln>
                    </wps:spPr>
                    <wps:txbx>
                      <w:txbxContent>
                        <w:p w14:paraId="15F004BB" w14:textId="77777777" w:rsidR="00007827" w:rsidRPr="00101B97" w:rsidRDefault="004751DB" w:rsidP="007D7F4C">
                          <w:pPr>
                            <w:rPr>
                              <w:rFonts w:ascii="Arial" w:hAnsi="Arial" w:cs="Arial"/>
                              <w:sz w:val="22"/>
                              <w:szCs w:val="22"/>
                            </w:rPr>
                          </w:pPr>
                          <w:r w:rsidRPr="00101B97">
                            <w:rPr>
                              <w:rFonts w:ascii="Arial" w:hAnsi="Arial" w:cs="Arial"/>
                              <w:sz w:val="22"/>
                              <w:szCs w:val="22"/>
                            </w:rPr>
                            <w:t xml:space="preserve">IOC/A-33/5.3.Doc(2) – pág. </w:t>
                          </w:r>
                          <w:r w:rsidRPr="00101B97">
                            <w:rPr>
                              <w:rFonts w:ascii="Arial" w:hAnsi="Arial" w:cs="Arial"/>
                              <w:sz w:val="22"/>
                              <w:szCs w:val="22"/>
                            </w:rPr>
                            <w:fldChar w:fldCharType="begin"/>
                          </w:r>
                          <w:r w:rsidRPr="00101B97">
                            <w:rPr>
                              <w:rFonts w:ascii="Arial" w:hAnsi="Arial" w:cs="Arial"/>
                              <w:sz w:val="22"/>
                              <w:szCs w:val="22"/>
                            </w:rPr>
                            <w:instrText>PAGE   \* MERGEFORMAT</w:instrText>
                          </w:r>
                          <w:r w:rsidRPr="00101B97">
                            <w:rPr>
                              <w:rFonts w:ascii="Arial" w:hAnsi="Arial" w:cs="Arial"/>
                              <w:sz w:val="22"/>
                              <w:szCs w:val="22"/>
                            </w:rPr>
                            <w:fldChar w:fldCharType="separate"/>
                          </w:r>
                          <w:r w:rsidRPr="00101B97">
                            <w:rPr>
                              <w:rFonts w:ascii="Arial" w:hAnsi="Arial" w:cs="Arial"/>
                              <w:sz w:val="22"/>
                              <w:szCs w:val="22"/>
                            </w:rPr>
                            <w:t>1</w:t>
                          </w:r>
                          <w:r w:rsidRPr="00101B97">
                            <w:rPr>
                              <w:rFonts w:ascii="Arial" w:hAnsi="Arial" w:cs="Arial"/>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D65A0E5" id="_x0000_t202" coordsize="21600,21600" o:spt="202" path="m,l,21600r21600,l21600,xe">
              <v:stroke joinstyle="miter"/>
              <v:path gradientshapeok="t" o:connecttype="rect"/>
            </v:shapetype>
            <v:shape id="_x0000_s1029" type="#_x0000_t202" style="position:absolute;margin-left:700.35pt;margin-top:-167.85pt;width:185.9pt;height:110.6pt;rotation:90;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" stroked="f">
              <v:textbox style="mso-fit-shape-to-text:t">
                <w:txbxContent>
                  <w:p w14:paraId="15F004BB" w14:textId="77777777" w:rsidR="00007827" w:rsidRPr="00101B97" w:rsidRDefault="004751DB" w:rsidP="007D7F4C">
                    <w:pPr>
                      <w:rPr>
                        <w:rFonts w:ascii="Arial" w:hAnsi="Arial" w:cs="Arial"/>
                        <w:sz w:val="22"/>
                        <w:szCs w:val="22"/>
                      </w:rPr>
                    </w:pPr>
                    <w:r w:rsidRPr="00101B97">
                      <w:rPr>
                        <w:rFonts w:ascii="Arial" w:hAnsi="Arial" w:cs="Arial"/>
                        <w:sz w:val="22"/>
                        <w:szCs w:val="22"/>
                      </w:rPr>
                      <w:t xml:space="preserve">IOC/A-33/5.3.Doc(2) – pág. </w:t>
                    </w:r>
                    <w:r w:rsidRPr="00101B97">
                      <w:rPr>
                        <w:rFonts w:ascii="Arial" w:hAnsi="Arial" w:cs="Arial"/>
                        <w:sz w:val="22"/>
                        <w:szCs w:val="22"/>
                      </w:rPr>
                      <w:fldChar w:fldCharType="begin"/>
                    </w:r>
                    <w:r w:rsidRPr="00101B97">
                      <w:rPr>
                        <w:rFonts w:ascii="Arial" w:hAnsi="Arial" w:cs="Arial"/>
                        <w:sz w:val="22"/>
                        <w:szCs w:val="22"/>
                      </w:rPr>
                      <w:instrText>PAGE   \* MERGEFORMAT</w:instrText>
                    </w:r>
                    <w:r w:rsidRPr="00101B97">
                      <w:rPr>
                        <w:rFonts w:ascii="Arial" w:hAnsi="Arial" w:cs="Arial"/>
                        <w:sz w:val="22"/>
                        <w:szCs w:val="22"/>
                      </w:rPr>
                      <w:fldChar w:fldCharType="separate"/>
                    </w:r>
                    <w:r w:rsidRPr="00101B97">
                      <w:rPr>
                        <w:rFonts w:ascii="Arial" w:hAnsi="Arial" w:cs="Arial"/>
                        <w:sz w:val="22"/>
                        <w:szCs w:val="22"/>
                      </w:rPr>
                      <w:t>1</w:t>
                    </w:r>
                    <w:r w:rsidRPr="00101B97">
                      <w:rPr>
                        <w:rFonts w:ascii="Arial" w:hAnsi="Arial" w:cs="Arial"/>
                        <w:sz w:val="22"/>
                        <w:szCs w:val="2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BA65" w14:textId="77777777" w:rsidR="00EE64AC" w:rsidRDefault="00EE64AC">
      <w:r>
        <w:separator/>
      </w:r>
    </w:p>
  </w:footnote>
  <w:footnote w:type="continuationSeparator" w:id="0">
    <w:p w14:paraId="15585E59" w14:textId="77777777" w:rsidR="00EE64AC" w:rsidRDefault="00EE64AC">
      <w:r>
        <w:continuationSeparator/>
      </w:r>
    </w:p>
  </w:footnote>
  <w:footnote w:type="continuationNotice" w:id="1">
    <w:p w14:paraId="73294515" w14:textId="77777777" w:rsidR="00EE64AC" w:rsidRDefault="00EE6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745D" w14:textId="7FE78A04" w:rsidR="003B6FC5" w:rsidRPr="00061D38" w:rsidRDefault="00ED4D59" w:rsidP="00061D38">
    <w:pPr>
      <w:pStyle w:val="Header"/>
      <w:rPr>
        <w:rFonts w:ascii="Arial" w:hAnsi="Arial" w:cs="Arial"/>
        <w:bCs/>
        <w:sz w:val="22"/>
        <w:szCs w:val="22"/>
        <w:lang w:val="fr-FR"/>
      </w:rPr>
    </w:pPr>
    <w:r w:rsidRPr="00771277">
      <w:rPr>
        <w:rFonts w:ascii="Arial" w:hAnsi="Arial" w:cs="Arial"/>
        <w:bCs/>
        <w:sz w:val="22"/>
        <w:szCs w:val="22"/>
        <w:lang w:val="fr-FR"/>
      </w:rPr>
      <w:t>IOC</w:t>
    </w:r>
    <w:r>
      <w:rPr>
        <w:rFonts w:ascii="Arial" w:hAnsi="Arial" w:cs="Arial"/>
        <w:bCs/>
        <w:sz w:val="22"/>
        <w:szCs w:val="22"/>
        <w:lang w:val="fr-FR"/>
      </w:rPr>
      <w:t>/A</w:t>
    </w:r>
    <w:r w:rsidRPr="00771277">
      <w:rPr>
        <w:rFonts w:ascii="Arial" w:hAnsi="Arial" w:cs="Arial"/>
        <w:bCs/>
        <w:sz w:val="22"/>
        <w:szCs w:val="22"/>
        <w:lang w:val="fr-FR"/>
      </w:rPr>
      <w:t>-</w:t>
    </w:r>
    <w:r>
      <w:rPr>
        <w:rFonts w:ascii="Arial" w:hAnsi="Arial" w:cs="Arial"/>
        <w:bCs/>
        <w:sz w:val="22"/>
        <w:szCs w:val="22"/>
        <w:lang w:val="fr-FR"/>
      </w:rPr>
      <w:t>33</w:t>
    </w:r>
    <w:r w:rsidRPr="00771277">
      <w:rPr>
        <w:rFonts w:ascii="Arial" w:hAnsi="Arial" w:cs="Arial"/>
        <w:bCs/>
        <w:sz w:val="22"/>
        <w:szCs w:val="22"/>
        <w:lang w:val="fr-FR"/>
      </w:rPr>
      <w:t>/5.</w:t>
    </w:r>
    <w:proofErr w:type="gramStart"/>
    <w:r>
      <w:rPr>
        <w:rFonts w:ascii="Arial" w:hAnsi="Arial" w:cs="Arial"/>
        <w:bCs/>
        <w:sz w:val="22"/>
        <w:szCs w:val="22"/>
        <w:lang w:val="fr-FR"/>
      </w:rPr>
      <w:t>3</w:t>
    </w:r>
    <w:r w:rsidRPr="00771277">
      <w:rPr>
        <w:rFonts w:ascii="Arial" w:hAnsi="Arial" w:cs="Arial"/>
        <w:bCs/>
        <w:sz w:val="22"/>
        <w:szCs w:val="22"/>
        <w:lang w:val="fr-FR"/>
      </w:rPr>
      <w:t>.Doc</w:t>
    </w:r>
    <w:proofErr w:type="gramEnd"/>
    <w:r w:rsidRPr="00771277">
      <w:rPr>
        <w:rFonts w:ascii="Arial" w:hAnsi="Arial" w:cs="Arial"/>
        <w:bCs/>
        <w:sz w:val="22"/>
        <w:szCs w:val="22"/>
        <w:lang w:val="fr-FR"/>
      </w:rPr>
      <w:t>(</w:t>
    </w:r>
    <w:r>
      <w:rPr>
        <w:rFonts w:ascii="Arial" w:hAnsi="Arial" w:cs="Arial"/>
        <w:bCs/>
        <w:sz w:val="22"/>
        <w:szCs w:val="22"/>
        <w:lang w:val="fr-FR"/>
      </w:rPr>
      <w:t>2</w:t>
    </w:r>
    <w:r w:rsidRPr="00771277">
      <w:rPr>
        <w:rFonts w:ascii="Arial" w:hAnsi="Arial" w:cs="Arial"/>
        <w:bCs/>
        <w:sz w:val="22"/>
        <w:szCs w:val="22"/>
        <w:lang w:val="fr-FR"/>
      </w:rPr>
      <w:t>)</w:t>
    </w:r>
    <w:r>
      <w:rPr>
        <w:rFonts w:ascii="Arial" w:hAnsi="Arial" w:cs="Arial"/>
        <w:bCs/>
        <w:sz w:val="22"/>
        <w:szCs w:val="22"/>
      </w:rPr>
      <w:t xml:space="preserve"> – </w:t>
    </w:r>
    <w:proofErr w:type="spellStart"/>
    <w:r>
      <w:rPr>
        <w:rFonts w:ascii="Arial" w:hAnsi="Arial" w:cs="Arial"/>
        <w:bCs/>
        <w:sz w:val="22"/>
        <w:szCs w:val="22"/>
      </w:rPr>
      <w:t>pág</w:t>
    </w:r>
    <w:proofErr w:type="spellEnd"/>
    <w:r>
      <w:rPr>
        <w:rFonts w:ascii="Arial" w:hAnsi="Arial" w:cs="Arial"/>
        <w:bCs/>
        <w:sz w:val="22"/>
        <w:szCs w:val="22"/>
      </w:rPr>
      <w:t xml:space="preserve">. 2 </w:t>
    </w:r>
    <w:r w:rsidR="00EE2BEC">
      <w:rPr>
        <w:noProof/>
      </w:rPr>
      <mc:AlternateContent>
        <mc:Choice Requires="wps">
          <w:drawing>
            <wp:anchor distT="45720" distB="45720" distL="114300" distR="114300" simplePos="0" relativeHeight="251662336" behindDoc="0" locked="0" layoutInCell="1" allowOverlap="1" wp14:anchorId="36E824AF" wp14:editId="21F43A07">
              <wp:simplePos x="0" y="0"/>
              <wp:positionH relativeFrom="column">
                <wp:posOffset>8885860</wp:posOffset>
              </wp:positionH>
              <wp:positionV relativeFrom="paragraph">
                <wp:posOffset>738733</wp:posOffset>
              </wp:positionV>
              <wp:extent cx="2360930" cy="1404620"/>
              <wp:effectExtent l="2222" t="0" r="3493" b="3492"/>
              <wp:wrapNone/>
              <wp:docPr id="5423646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solidFill>
                        <a:srgbClr val="FFFFFF"/>
                      </a:solidFill>
                      <a:ln w="9525">
                        <a:noFill/>
                        <a:miter lim="800000"/>
                        <a:headEnd/>
                        <a:tailEnd/>
                      </a:ln>
                    </wps:spPr>
                    <wps:txbx>
                      <w:txbxContent>
                        <w:p w14:paraId="61E2626C" w14:textId="77777777" w:rsidR="00EE2BEC" w:rsidRDefault="00EE2BEC" w:rsidP="00EE2BEC">
                          <w:r w:rsidRPr="00453900">
                            <w:t>IOC/A-33/5.3.Doc(2) – p</w:t>
                          </w:r>
                          <w:r>
                            <w:t>ág.</w:t>
                          </w:r>
                          <w:r w:rsidRPr="00453900">
                            <w:t xml:space="preserve"> </w:t>
                          </w:r>
                          <w:r>
                            <w:fldChar w:fldCharType="begin"/>
                          </w:r>
                          <w:r>
                            <w:instrText>PAGE   \* MERGEFORMAT</w:instrText>
                          </w:r>
                          <w:r>
                            <w:fldChar w:fldCharType="separate"/>
                          </w:r>
                          <w:r>
                            <w:t>1</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6E824AF" id="_x0000_t202" coordsize="21600,21600" o:spt="202" path="m,l,21600r21600,l21600,xe">
              <v:stroke joinstyle="miter"/>
              <v:path gradientshapeok="t" o:connecttype="rect"/>
            </v:shapetype>
            <v:shape id="Zone de texte 2" o:spid="_x0000_s1026" type="#_x0000_t202" style="position:absolute;margin-left:699.65pt;margin-top:58.15pt;width:185.9pt;height:110.6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" stroked="f">
              <v:textbox style="mso-fit-shape-to-text:t">
                <w:txbxContent>
                  <w:p w14:paraId="61E2626C" w14:textId="77777777" w:rsidR="00EE2BEC" w:rsidRDefault="00EE2BEC" w:rsidP="00EE2BEC">
                    <w:r w:rsidRPr="00453900">
                      <w:t>IOC/A-33/5.3.Doc(2) – p</w:t>
                    </w:r>
                    <w:r>
                      <w:t>ág.</w:t>
                    </w:r>
                    <w:r w:rsidRPr="00453900">
                      <w:t xml:space="preserve"> </w:t>
                    </w:r>
                    <w:r>
                      <w:fldChar w:fldCharType="begin"/>
                    </w:r>
                    <w:r>
                      <w:instrText>PAGE   \* MERGEFORMAT</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0040" w14:textId="31E46107" w:rsidR="00FF54F5" w:rsidRPr="00DD55DA" w:rsidRDefault="00FF54F5" w:rsidP="00061D38">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2890" w14:textId="4C1999B8" w:rsidR="00F62C19" w:rsidRPr="00F41A1F" w:rsidRDefault="008B77EB" w:rsidP="008F2D3D">
    <w:pPr>
      <w:pStyle w:val="Marge"/>
      <w:tabs>
        <w:tab w:val="left" w:pos="6237"/>
        <w:tab w:val="left" w:pos="7088"/>
      </w:tabs>
      <w:spacing w:after="0"/>
      <w:rPr>
        <w:rFonts w:ascii="Arial" w:hAnsi="Arial" w:cs="Arial"/>
        <w:b/>
        <w:sz w:val="36"/>
        <w:szCs w:val="36"/>
        <w:lang w:val="es-ES_tradnl"/>
      </w:rPr>
    </w:pPr>
    <w:r w:rsidRPr="00F41A1F">
      <w:rPr>
        <w:rFonts w:ascii="Arial" w:hAnsi="Arial" w:cs="Arial"/>
        <w:sz w:val="22"/>
        <w:szCs w:val="22"/>
        <w:lang w:val="es-ES_tradnl"/>
      </w:rPr>
      <w:t>Distribución limitada</w:t>
    </w:r>
    <w:r>
      <w:rPr>
        <w:lang w:val="es-ES"/>
      </w:rPr>
      <w:tab/>
    </w:r>
    <w:r w:rsidRPr="00F41A1F">
      <w:rPr>
        <w:rFonts w:ascii="Arial" w:hAnsi="Arial" w:cs="Arial"/>
        <w:b/>
        <w:sz w:val="36"/>
        <w:szCs w:val="36"/>
        <w:lang w:val="es-ES_tradnl"/>
      </w:rPr>
      <w:t>IOC/A-33/</w:t>
    </w:r>
    <w:r w:rsidR="00EE2BEC">
      <w:rPr>
        <w:rFonts w:ascii="Arial" w:hAnsi="Arial" w:cs="Arial"/>
        <w:b/>
        <w:sz w:val="36"/>
        <w:szCs w:val="36"/>
        <w:lang w:val="es-ES_tradnl"/>
      </w:rPr>
      <w:t>5.3</w:t>
    </w:r>
    <w:r w:rsidRPr="00F41A1F">
      <w:rPr>
        <w:rFonts w:ascii="Arial" w:hAnsi="Arial" w:cs="Arial"/>
        <w:b/>
        <w:sz w:val="36"/>
        <w:szCs w:val="36"/>
        <w:lang w:val="es-ES_tradnl"/>
      </w:rPr>
      <w:t>.Doc(</w:t>
    </w:r>
    <w:r w:rsidR="00ED4D59">
      <w:rPr>
        <w:rFonts w:ascii="Arial" w:hAnsi="Arial" w:cs="Arial"/>
        <w:b/>
        <w:sz w:val="36"/>
        <w:szCs w:val="36"/>
        <w:lang w:val="es-ES_tradnl"/>
      </w:rPr>
      <w:t>2</w:t>
    </w:r>
    <w:r w:rsidRPr="00F41A1F">
      <w:rPr>
        <w:rFonts w:ascii="Arial" w:hAnsi="Arial" w:cs="Arial"/>
        <w:b/>
        <w:sz w:val="36"/>
        <w:szCs w:val="36"/>
        <w:lang w:val="es-ES_tradnl"/>
      </w:rPr>
      <w:t>)</w:t>
    </w:r>
    <w:bookmarkStart w:id="0" w:name="_Hlk54263549"/>
    <w:bookmarkEnd w:id="0"/>
  </w:p>
  <w:p w14:paraId="4FD70AD5" w14:textId="41B12682" w:rsidR="004B7754" w:rsidRPr="00F41A1F" w:rsidRDefault="008B77EB" w:rsidP="008F2D3D">
    <w:pPr>
      <w:pStyle w:val="Marge"/>
      <w:tabs>
        <w:tab w:val="left" w:pos="6237"/>
      </w:tabs>
      <w:spacing w:after="0"/>
      <w:rPr>
        <w:rFonts w:ascii="Arial" w:hAnsi="Arial" w:cs="Arial"/>
        <w:sz w:val="22"/>
        <w:szCs w:val="22"/>
        <w:lang w:val="es-ES_tradnl"/>
      </w:rPr>
    </w:pPr>
    <w:r>
      <w:rPr>
        <w:rFonts w:cs="Arial"/>
        <w:b/>
        <w:noProof/>
        <w:snapToGrid/>
        <w:szCs w:val="22"/>
        <w:lang w:val="es-ES"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lang w:val="es-ES"/>
      </w:rPr>
      <w:tab/>
    </w:r>
    <w:r w:rsidRPr="00F41A1F">
      <w:rPr>
        <w:rFonts w:ascii="Arial" w:hAnsi="Arial" w:cs="Arial"/>
        <w:sz w:val="22"/>
        <w:szCs w:val="22"/>
        <w:lang w:val="es-ES_tradnl"/>
      </w:rPr>
      <w:t>París,</w:t>
    </w:r>
    <w:r w:rsidR="00B412E8">
      <w:rPr>
        <w:rFonts w:ascii="Arial" w:hAnsi="Arial" w:cs="Arial"/>
        <w:sz w:val="22"/>
        <w:szCs w:val="22"/>
        <w:lang w:val="es-ES_tradnl"/>
      </w:rPr>
      <w:t xml:space="preserve"> </w:t>
    </w:r>
    <w:r w:rsidR="00EE2BEC">
      <w:rPr>
        <w:rFonts w:ascii="Arial" w:hAnsi="Arial" w:cs="Arial"/>
        <w:sz w:val="22"/>
        <w:szCs w:val="22"/>
        <w:lang w:val="es-ES_tradnl"/>
      </w:rPr>
      <w:t>24</w:t>
    </w:r>
    <w:r w:rsidRPr="00F41A1F">
      <w:rPr>
        <w:rFonts w:ascii="Arial" w:hAnsi="Arial" w:cs="Arial"/>
        <w:sz w:val="22"/>
        <w:szCs w:val="22"/>
        <w:lang w:val="es-ES_tradnl"/>
      </w:rPr>
      <w:t xml:space="preserve"> de </w:t>
    </w:r>
    <w:r w:rsidR="00EE2BEC">
      <w:rPr>
        <w:rFonts w:ascii="Arial" w:hAnsi="Arial" w:cs="Arial"/>
        <w:sz w:val="22"/>
        <w:szCs w:val="22"/>
        <w:lang w:val="es-ES_tradnl"/>
      </w:rPr>
      <w:t>marzo</w:t>
    </w:r>
    <w:r w:rsidRPr="00F41A1F">
      <w:rPr>
        <w:rFonts w:ascii="Arial" w:hAnsi="Arial" w:cs="Arial"/>
        <w:sz w:val="22"/>
        <w:szCs w:val="22"/>
        <w:lang w:val="es-ES_tradnl"/>
      </w:rPr>
      <w:t xml:space="preserve"> de 2025</w:t>
    </w:r>
  </w:p>
  <w:p w14:paraId="07C76426" w14:textId="18A2F05C" w:rsidR="004B7754" w:rsidRPr="000748C0" w:rsidRDefault="004B7754" w:rsidP="00471FFE">
    <w:pPr>
      <w:pStyle w:val="Marge"/>
      <w:tabs>
        <w:tab w:val="left" w:pos="6237"/>
      </w:tabs>
      <w:spacing w:after="0"/>
      <w:rPr>
        <w:rFonts w:ascii="Arial" w:hAnsi="Arial" w:cs="Arial"/>
        <w:sz w:val="22"/>
        <w:szCs w:val="22"/>
        <w:lang w:val="es-ES"/>
      </w:rPr>
    </w:pPr>
    <w:r w:rsidRPr="00F41A1F">
      <w:rPr>
        <w:rFonts w:ascii="Arial" w:hAnsi="Arial" w:cs="Arial"/>
        <w:sz w:val="22"/>
        <w:szCs w:val="22"/>
        <w:lang w:val="es-ES_tradnl"/>
      </w:rPr>
      <w:tab/>
      <w:t>Original: inglés</w:t>
    </w:r>
  </w:p>
  <w:p w14:paraId="0759C652" w14:textId="6ACD3015" w:rsidR="004B7754" w:rsidRPr="000748C0" w:rsidRDefault="004B77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es-ES"/>
      </w:rPr>
    </w:pPr>
  </w:p>
  <w:p w14:paraId="5CBA7A2E" w14:textId="7CD94594" w:rsidR="00B17054" w:rsidRPr="000748C0"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es-ES"/>
      </w:rPr>
    </w:pPr>
  </w:p>
  <w:p w14:paraId="364F293E" w14:textId="4E082054" w:rsidR="00B17054" w:rsidRPr="000748C0" w:rsidRDefault="00B17054" w:rsidP="004D74B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cs="Arial"/>
        <w:b/>
        <w:szCs w:val="22"/>
        <w:lang w:val="es-ES"/>
      </w:rPr>
    </w:pPr>
  </w:p>
  <w:p w14:paraId="1D868DB4" w14:textId="77777777" w:rsidR="00B17054" w:rsidRDefault="00B17054" w:rsidP="004D74B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cs="Arial"/>
        <w:b/>
        <w:szCs w:val="22"/>
        <w:lang w:val="es-ES"/>
      </w:rPr>
    </w:pPr>
  </w:p>
  <w:p w14:paraId="124237C1" w14:textId="77777777" w:rsidR="00471FFE" w:rsidRPr="000748C0" w:rsidRDefault="00471FFE" w:rsidP="004D74B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cs="Arial"/>
        <w:b/>
        <w:szCs w:val="22"/>
        <w:lang w:val="es-ES"/>
      </w:rPr>
    </w:pPr>
  </w:p>
  <w:p w14:paraId="71A52761" w14:textId="56DB973C" w:rsidR="004B7754" w:rsidRPr="00EE2BEC" w:rsidRDefault="004B7754" w:rsidP="004D74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before="480"/>
      <w:jc w:val="center"/>
      <w:rPr>
        <w:rFonts w:asciiTheme="minorBidi" w:hAnsiTheme="minorBidi" w:cstheme="minorBidi"/>
        <w:b/>
        <w:sz w:val="22"/>
        <w:szCs w:val="22"/>
        <w:lang w:val="es-ES"/>
      </w:rPr>
    </w:pPr>
    <w:r w:rsidRPr="00EE2BEC">
      <w:rPr>
        <w:rFonts w:asciiTheme="minorBidi" w:hAnsiTheme="minorBidi" w:cstheme="minorBidi"/>
        <w:b/>
        <w:bCs/>
        <w:sz w:val="22"/>
        <w:szCs w:val="22"/>
        <w:lang w:val="es-ES"/>
      </w:rPr>
      <w:t>COMISIÓN OCEANOGRÁFICA INTERGUBERNAMENTAL</w:t>
    </w:r>
  </w:p>
  <w:p w14:paraId="4872ECD5" w14:textId="1BE81C30" w:rsidR="004B7754" w:rsidRPr="00EE2BEC" w:rsidRDefault="004B7754" w:rsidP="004D74B0">
    <w:pPr>
      <w:tabs>
        <w:tab w:val="left" w:pos="-1440"/>
        <w:tab w:val="left" w:pos="-720"/>
        <w:tab w:val="left" w:pos="720"/>
        <w:tab w:val="left" w:pos="2160"/>
        <w:tab w:val="left" w:pos="3600"/>
        <w:tab w:val="left" w:pos="4320"/>
        <w:tab w:val="left" w:pos="5040"/>
        <w:tab w:val="left" w:pos="5523"/>
        <w:tab w:val="left" w:pos="6480"/>
      </w:tabs>
      <w:spacing w:after="240"/>
      <w:jc w:val="center"/>
      <w:rPr>
        <w:rFonts w:asciiTheme="minorBidi" w:hAnsiTheme="minorBidi" w:cstheme="minorBidi"/>
        <w:bCs/>
        <w:sz w:val="22"/>
        <w:szCs w:val="22"/>
        <w:lang w:val="es-ES"/>
      </w:rPr>
    </w:pPr>
    <w:r w:rsidRPr="00EE2BEC">
      <w:rPr>
        <w:rFonts w:asciiTheme="minorBidi" w:hAnsiTheme="minorBidi" w:cstheme="minorBidi"/>
        <w:sz w:val="22"/>
        <w:szCs w:val="22"/>
        <w:lang w:val="es-ES"/>
      </w:rPr>
      <w:t>(de la UNESCO)</w:t>
    </w:r>
  </w:p>
  <w:p w14:paraId="7BF4961F" w14:textId="1CB20E39" w:rsidR="004B7754" w:rsidRPr="00EE2BEC" w:rsidRDefault="005B06F3"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sz w:val="22"/>
        <w:szCs w:val="22"/>
        <w:lang w:val="es-ES"/>
      </w:rPr>
    </w:pPr>
    <w:r w:rsidRPr="00EE2BEC">
      <w:rPr>
        <w:rFonts w:asciiTheme="minorBidi" w:hAnsiTheme="minorBidi" w:cstheme="minorBidi"/>
        <w:b/>
        <w:bCs/>
        <w:sz w:val="22"/>
        <w:szCs w:val="22"/>
        <w:lang w:val="es-ES"/>
      </w:rPr>
      <w:t>33ª reunión de la Asamblea</w:t>
    </w:r>
  </w:p>
  <w:p w14:paraId="003DCA37" w14:textId="4D502736" w:rsidR="004B7754" w:rsidRPr="00EE2BEC" w:rsidRDefault="004B7754" w:rsidP="004D74B0">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480"/>
      <w:jc w:val="center"/>
      <w:rPr>
        <w:rFonts w:asciiTheme="minorBidi" w:hAnsiTheme="minorBidi" w:cstheme="minorBidi"/>
        <w:b/>
        <w:sz w:val="22"/>
        <w:szCs w:val="22"/>
        <w:lang w:val="es-ES"/>
      </w:rPr>
    </w:pPr>
    <w:r w:rsidRPr="00EE2BEC">
      <w:rPr>
        <w:rFonts w:asciiTheme="minorBidi" w:hAnsiTheme="minorBidi" w:cstheme="minorBidi"/>
        <w:sz w:val="22"/>
        <w:szCs w:val="22"/>
        <w:lang w:val="es-ES"/>
      </w:rPr>
      <w:t>UNESCO, París, 25 de junio-3 de julio de 2025</w:t>
    </w:r>
  </w:p>
  <w:p w14:paraId="78CE1720" w14:textId="00E50415" w:rsidR="00FA68D9" w:rsidRPr="00EE2BEC" w:rsidRDefault="00FA68D9" w:rsidP="004D74B0">
    <w:pPr>
      <w:keepNext/>
      <w:widowControl w:val="0"/>
      <w:tabs>
        <w:tab w:val="right" w:pos="9540"/>
      </w:tabs>
      <w:adjustRightInd w:val="0"/>
      <w:spacing w:after="480"/>
      <w:jc w:val="both"/>
      <w:textAlignment w:val="baseline"/>
      <w:outlineLvl w:val="6"/>
      <w:rPr>
        <w:rFonts w:asciiTheme="minorBidi" w:eastAsia="Times New Roman" w:hAnsiTheme="minorBidi" w:cstheme="minorBidi"/>
        <w:sz w:val="22"/>
        <w:szCs w:val="22"/>
        <w:lang w:val="es-ES"/>
      </w:rPr>
    </w:pPr>
    <w:r w:rsidRPr="00EE2BEC">
      <w:rPr>
        <w:rFonts w:asciiTheme="minorBidi" w:hAnsiTheme="minorBidi" w:cstheme="minorBidi"/>
        <w:sz w:val="22"/>
        <w:szCs w:val="22"/>
        <w:u w:val="single"/>
        <w:lang w:val="es-ES"/>
      </w:rPr>
      <w:t xml:space="preserve">Punto </w:t>
    </w:r>
    <w:r w:rsidR="00EE2BEC" w:rsidRPr="00EE2BEC">
      <w:rPr>
        <w:rFonts w:asciiTheme="minorBidi" w:hAnsiTheme="minorBidi" w:cstheme="minorBidi"/>
        <w:b/>
        <w:bCs/>
        <w:sz w:val="22"/>
        <w:szCs w:val="22"/>
        <w:u w:val="single"/>
        <w:lang w:val="es-ES"/>
      </w:rPr>
      <w:t>5.3 y 5.4</w:t>
    </w:r>
    <w:r w:rsidRPr="00EE2BEC">
      <w:rPr>
        <w:rFonts w:asciiTheme="minorBidi" w:hAnsiTheme="minorBidi" w:cstheme="minorBidi"/>
        <w:sz w:val="22"/>
        <w:szCs w:val="22"/>
        <w:u w:val="single"/>
        <w:lang w:val="es-ES"/>
      </w:rPr>
      <w:t xml:space="preserve"> del orden del día provisional</w:t>
    </w:r>
  </w:p>
  <w:p w14:paraId="5F53C7C4" w14:textId="1225FF9A" w:rsidR="004B7754" w:rsidRPr="00EE2BEC" w:rsidRDefault="00EE2BEC" w:rsidP="00EE2BEC">
    <w:pPr>
      <w:pStyle w:val="b"/>
      <w:ind w:left="567" w:firstLine="0"/>
      <w:jc w:val="center"/>
      <w:rPr>
        <w:rFonts w:asciiTheme="minorBidi" w:hAnsiTheme="minorBidi" w:cstheme="minorBidi"/>
        <w:b/>
        <w:bCs/>
        <w:sz w:val="22"/>
        <w:szCs w:val="22"/>
        <w:lang w:val="es-ES"/>
      </w:rPr>
    </w:pPr>
    <w:r w:rsidRPr="00EE2BEC">
      <w:rPr>
        <w:rFonts w:asciiTheme="minorBidi" w:hAnsiTheme="minorBidi" w:cstheme="minorBidi"/>
        <w:b/>
        <w:bCs/>
        <w:sz w:val="22"/>
        <w:szCs w:val="22"/>
        <w:lang w:val="es-ES"/>
      </w:rPr>
      <w:t>PLAN DE ACCIÓN EN RESPUESTA A LA EVALUACIÓN POR LA IOS</w:t>
    </w:r>
    <w:r>
      <w:rPr>
        <w:rFonts w:asciiTheme="minorBidi" w:hAnsiTheme="minorBidi" w:cstheme="minorBidi"/>
        <w:b/>
        <w:bCs/>
        <w:sz w:val="22"/>
        <w:szCs w:val="22"/>
        <w:lang w:val="es-ES"/>
      </w:rPr>
      <w:br/>
    </w:r>
    <w:r w:rsidRPr="00EE2BEC">
      <w:rPr>
        <w:rFonts w:asciiTheme="minorBidi" w:hAnsiTheme="minorBidi" w:cstheme="minorBidi"/>
        <w:b/>
        <w:bCs/>
        <w:sz w:val="22"/>
        <w:szCs w:val="22"/>
        <w:lang w:val="es-ES"/>
      </w:rPr>
      <w:t>DEL POSICIONAMIENTO ESTRATÉGICO DE LA COI</w:t>
    </w:r>
  </w:p>
  <w:p w14:paraId="5BDBBE0E" w14:textId="77777777" w:rsidR="00EE2BEC" w:rsidRPr="00EE2BEC" w:rsidRDefault="00EE2BEC" w:rsidP="00EE2BEC">
    <w:pPr>
      <w:pStyle w:val="Marge"/>
      <w:spacing w:after="360"/>
      <w:jc w:val="center"/>
      <w:rPr>
        <w:rFonts w:ascii="Arial" w:hAnsi="Arial"/>
        <w:b/>
        <w:sz w:val="22"/>
        <w:szCs w:val="22"/>
        <w:lang w:val="fr-FR"/>
      </w:rPr>
    </w:pPr>
    <w:r w:rsidRPr="00EE2BEC">
      <w:rPr>
        <w:rFonts w:ascii="Arial" w:hAnsi="Arial"/>
        <w:b/>
        <w:sz w:val="22"/>
        <w:szCs w:val="22"/>
        <w:lang w:val="fr-FR"/>
      </w:rPr>
      <w:t>INFORMACIÓN ACTUALIZADA SOBRE LA EJECUCIÓN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793F" w14:textId="77777777" w:rsidR="00007827" w:rsidRDefault="004751DB">
    <w:pPr>
      <w:pStyle w:val="Header"/>
    </w:pPr>
    <w:r>
      <w:rPr>
        <w:noProof/>
      </w:rPr>
      <mc:AlternateContent>
        <mc:Choice Requires="wps">
          <w:drawing>
            <wp:anchor distT="45720" distB="45720" distL="114300" distR="114300" simplePos="0" relativeHeight="251669504" behindDoc="0" locked="0" layoutInCell="1" allowOverlap="1" wp14:anchorId="2CA6224C" wp14:editId="7C7E8949">
              <wp:simplePos x="0" y="0"/>
              <wp:positionH relativeFrom="column">
                <wp:posOffset>8902600</wp:posOffset>
              </wp:positionH>
              <wp:positionV relativeFrom="paragraph">
                <wp:posOffset>761974</wp:posOffset>
              </wp:positionV>
              <wp:extent cx="2360930" cy="1404620"/>
              <wp:effectExtent l="2222" t="0" r="3493" b="3492"/>
              <wp:wrapNone/>
              <wp:docPr id="5210756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solidFill>
                        <a:srgbClr val="FFFFFF"/>
                      </a:solidFill>
                      <a:ln w="9525">
                        <a:noFill/>
                        <a:miter lim="800000"/>
                        <a:headEnd/>
                        <a:tailEnd/>
                      </a:ln>
                    </wps:spPr>
                    <wps:txbx>
                      <w:txbxContent>
                        <w:p w14:paraId="40DA68B7" w14:textId="77777777" w:rsidR="00007827" w:rsidRPr="00101B97" w:rsidRDefault="004751DB" w:rsidP="007D7F4C">
                          <w:pPr>
                            <w:rPr>
                              <w:rFonts w:ascii="Arial" w:hAnsi="Arial" w:cs="Arial"/>
                              <w:sz w:val="22"/>
                              <w:szCs w:val="22"/>
                            </w:rPr>
                          </w:pPr>
                          <w:r w:rsidRPr="00101B97">
                            <w:rPr>
                              <w:rFonts w:ascii="Arial" w:hAnsi="Arial" w:cs="Arial"/>
                              <w:sz w:val="22"/>
                              <w:szCs w:val="22"/>
                            </w:rPr>
                            <w:t xml:space="preserve">IOC/A-33/5.3.Doc(2) – pág. </w:t>
                          </w:r>
                          <w:r w:rsidRPr="00101B97">
                            <w:rPr>
                              <w:rFonts w:ascii="Arial" w:hAnsi="Arial" w:cs="Arial"/>
                              <w:sz w:val="22"/>
                              <w:szCs w:val="22"/>
                            </w:rPr>
                            <w:fldChar w:fldCharType="begin"/>
                          </w:r>
                          <w:r w:rsidRPr="00101B97">
                            <w:rPr>
                              <w:rFonts w:ascii="Arial" w:hAnsi="Arial" w:cs="Arial"/>
                              <w:sz w:val="22"/>
                              <w:szCs w:val="22"/>
                            </w:rPr>
                            <w:instrText>PAGE   \* MERGEFORMAT</w:instrText>
                          </w:r>
                          <w:r w:rsidRPr="00101B97">
                            <w:rPr>
                              <w:rFonts w:ascii="Arial" w:hAnsi="Arial" w:cs="Arial"/>
                              <w:sz w:val="22"/>
                              <w:szCs w:val="22"/>
                            </w:rPr>
                            <w:fldChar w:fldCharType="separate"/>
                          </w:r>
                          <w:r w:rsidRPr="00101B97">
                            <w:rPr>
                              <w:rFonts w:ascii="Arial" w:hAnsi="Arial" w:cs="Arial"/>
                              <w:sz w:val="22"/>
                              <w:szCs w:val="22"/>
                            </w:rPr>
                            <w:t>1</w:t>
                          </w:r>
                          <w:r w:rsidRPr="00101B97">
                            <w:rPr>
                              <w:rFonts w:ascii="Arial" w:hAnsi="Arial" w:cs="Arial"/>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A6224C" id="_x0000_t202" coordsize="21600,21600" o:spt="202" path="m,l,21600r21600,l21600,xe">
              <v:stroke joinstyle="miter"/>
              <v:path gradientshapeok="t" o:connecttype="rect"/>
            </v:shapetype>
            <v:shape id="_x0000_s1028" type="#_x0000_t202" style="position:absolute;margin-left:701pt;margin-top:60pt;width:185.9pt;height:110.6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" stroked="f">
              <v:textbox style="mso-fit-shape-to-text:t">
                <w:txbxContent>
                  <w:p w14:paraId="40DA68B7" w14:textId="77777777" w:rsidR="00007827" w:rsidRPr="00101B97" w:rsidRDefault="004751DB" w:rsidP="007D7F4C">
                    <w:pPr>
                      <w:rPr>
                        <w:rFonts w:ascii="Arial" w:hAnsi="Arial" w:cs="Arial"/>
                        <w:sz w:val="22"/>
                        <w:szCs w:val="22"/>
                      </w:rPr>
                    </w:pPr>
                    <w:r w:rsidRPr="00101B97">
                      <w:rPr>
                        <w:rFonts w:ascii="Arial" w:hAnsi="Arial" w:cs="Arial"/>
                        <w:sz w:val="22"/>
                        <w:szCs w:val="22"/>
                      </w:rPr>
                      <w:t xml:space="preserve">IOC/A-33/5.3.Doc(2) – pág. </w:t>
                    </w:r>
                    <w:r w:rsidRPr="00101B97">
                      <w:rPr>
                        <w:rFonts w:ascii="Arial" w:hAnsi="Arial" w:cs="Arial"/>
                        <w:sz w:val="22"/>
                        <w:szCs w:val="22"/>
                      </w:rPr>
                      <w:fldChar w:fldCharType="begin"/>
                    </w:r>
                    <w:r w:rsidRPr="00101B97">
                      <w:rPr>
                        <w:rFonts w:ascii="Arial" w:hAnsi="Arial" w:cs="Arial"/>
                        <w:sz w:val="22"/>
                        <w:szCs w:val="22"/>
                      </w:rPr>
                      <w:instrText>PAGE   \* MERGEFORMAT</w:instrText>
                    </w:r>
                    <w:r w:rsidRPr="00101B97">
                      <w:rPr>
                        <w:rFonts w:ascii="Arial" w:hAnsi="Arial" w:cs="Arial"/>
                        <w:sz w:val="22"/>
                        <w:szCs w:val="22"/>
                      </w:rPr>
                      <w:fldChar w:fldCharType="separate"/>
                    </w:r>
                    <w:r w:rsidRPr="00101B97">
                      <w:rPr>
                        <w:rFonts w:ascii="Arial" w:hAnsi="Arial" w:cs="Arial"/>
                        <w:sz w:val="22"/>
                        <w:szCs w:val="22"/>
                      </w:rPr>
                      <w:t>1</w:t>
                    </w:r>
                    <w:r w:rsidRPr="00101B97">
                      <w:rPr>
                        <w:rFonts w:ascii="Arial" w:hAnsi="Arial" w:cs="Arial"/>
                        <w:sz w:val="22"/>
                        <w:szCs w:val="22"/>
                      </w:rPr>
                      <w:fldChar w:fldCharType="end"/>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FAE5" w14:textId="77777777" w:rsidR="00807E4C" w:rsidRPr="00DD55DA" w:rsidRDefault="00807E4C" w:rsidP="00061D38">
    <w:pPr>
      <w:pStyle w:val="Header"/>
      <w:jc w:val="right"/>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6658" w14:textId="77777777" w:rsidR="00007827" w:rsidRPr="00FA68D9" w:rsidRDefault="004751DB" w:rsidP="00DD448F">
    <w:pPr>
      <w:pStyle w:val="Header"/>
      <w:jc w:val="right"/>
      <w:rPr>
        <w:lang w:val="en-US"/>
      </w:rPr>
    </w:pPr>
    <w:r>
      <w:rPr>
        <w:noProof/>
      </w:rPr>
      <mc:AlternateContent>
        <mc:Choice Requires="wps">
          <w:drawing>
            <wp:anchor distT="45720" distB="45720" distL="114300" distR="114300" simplePos="0" relativeHeight="251668480" behindDoc="0" locked="0" layoutInCell="1" allowOverlap="1" wp14:anchorId="736CB264" wp14:editId="2C04A1BD">
              <wp:simplePos x="0" y="0"/>
              <wp:positionH relativeFrom="column">
                <wp:posOffset>8931861</wp:posOffset>
              </wp:positionH>
              <wp:positionV relativeFrom="paragraph">
                <wp:posOffset>1032637</wp:posOffset>
              </wp:positionV>
              <wp:extent cx="2360930" cy="1404620"/>
              <wp:effectExtent l="2222" t="0" r="3493" b="3492"/>
              <wp:wrapNone/>
              <wp:docPr id="9027942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solidFill>
                        <a:srgbClr val="FFFFFF"/>
                      </a:solidFill>
                      <a:ln w="9525">
                        <a:noFill/>
                        <a:miter lim="800000"/>
                        <a:headEnd/>
                        <a:tailEnd/>
                      </a:ln>
                    </wps:spPr>
                    <wps:txbx>
                      <w:txbxContent>
                        <w:p w14:paraId="33F24204" w14:textId="77777777" w:rsidR="00007827" w:rsidRDefault="004751DB" w:rsidP="007D7F4C">
                          <w:r w:rsidRPr="00453900">
                            <w:t>IOC/A-33/5.3.Doc(2) – p</w:t>
                          </w:r>
                          <w:r>
                            <w:t>ág.</w:t>
                          </w:r>
                          <w:r w:rsidRPr="00453900">
                            <w:t xml:space="preserve"> </w:t>
                          </w:r>
                          <w:r>
                            <w:fldChar w:fldCharType="begin"/>
                          </w:r>
                          <w:r>
                            <w:instrText>PAGE   \* MERGEFORMAT</w:instrText>
                          </w:r>
                          <w:r>
                            <w:fldChar w:fldCharType="separate"/>
                          </w:r>
                          <w:r>
                            <w:t>1</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36CB264" id="_x0000_t202" coordsize="21600,21600" o:spt="202" path="m,l,21600r21600,l21600,xe">
              <v:stroke joinstyle="miter"/>
              <v:path gradientshapeok="t" o:connecttype="rect"/>
            </v:shapetype>
            <v:shape id="_x0000_s1030" type="#_x0000_t202" style="position:absolute;left:0;text-align:left;margin-left:703.3pt;margin-top:81.3pt;width:185.9pt;height:110.6pt;rotation:90;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" stroked="f">
              <v:textbox style="mso-fit-shape-to-text:t">
                <w:txbxContent>
                  <w:p w14:paraId="33F24204" w14:textId="77777777" w:rsidR="00007827" w:rsidRDefault="004751DB" w:rsidP="007D7F4C">
                    <w:r w:rsidRPr="00453900">
                      <w:t>IOC/A-33/5.3.Doc(2) – p</w:t>
                    </w:r>
                    <w:r>
                      <w:t>ág.</w:t>
                    </w:r>
                    <w:r w:rsidRPr="00453900">
                      <w:t xml:space="preserve"> </w:t>
                    </w:r>
                    <w:r>
                      <w:fldChar w:fldCharType="begin"/>
                    </w:r>
                    <w:r>
                      <w:instrText>PAGE   \* MERGEFORMAT</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1C9"/>
    <w:multiLevelType w:val="hybridMultilevel"/>
    <w:tmpl w:val="43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D2690"/>
    <w:multiLevelType w:val="hybridMultilevel"/>
    <w:tmpl w:val="547A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1802D2"/>
    <w:multiLevelType w:val="hybridMultilevel"/>
    <w:tmpl w:val="E392079E"/>
    <w:lvl w:ilvl="0" w:tplc="9CD2B4FE">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57DC"/>
    <w:multiLevelType w:val="hybridMultilevel"/>
    <w:tmpl w:val="92A4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A4CDB"/>
    <w:multiLevelType w:val="hybridMultilevel"/>
    <w:tmpl w:val="5A06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F92397"/>
    <w:multiLevelType w:val="multilevel"/>
    <w:tmpl w:val="11FC4440"/>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89B6A12"/>
    <w:multiLevelType w:val="multilevel"/>
    <w:tmpl w:val="E782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E652D"/>
    <w:multiLevelType w:val="hybridMultilevel"/>
    <w:tmpl w:val="DCE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4"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36CB5A35"/>
    <w:multiLevelType w:val="hybridMultilevel"/>
    <w:tmpl w:val="A912CC4A"/>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0430DC1"/>
    <w:multiLevelType w:val="hybridMultilevel"/>
    <w:tmpl w:val="F9B63CB0"/>
    <w:lvl w:ilvl="0" w:tplc="BB02EE46">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62CA19AD"/>
    <w:multiLevelType w:val="hybridMultilevel"/>
    <w:tmpl w:val="37B2F36E"/>
    <w:lvl w:ilvl="0" w:tplc="ACF6DFC2">
      <w:start w:val="1"/>
      <w:numFmt w:val="decimal"/>
      <w:pStyle w:val="Numberedbodytext"/>
      <w:lvlText w:val="%1."/>
      <w:lvlJc w:val="left"/>
      <w:pPr>
        <w:ind w:left="3960" w:hanging="360"/>
      </w:pPr>
      <w:rPr>
        <w:rFonts w:ascii="Arial" w:hAnsi="Arial"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A27C49"/>
    <w:multiLevelType w:val="hybridMultilevel"/>
    <w:tmpl w:val="46BCF0A6"/>
    <w:lvl w:ilvl="0" w:tplc="96F6DF7C">
      <w:start w:val="1"/>
      <w:numFmt w:val="decimal"/>
      <w:lvlText w:val="%1."/>
      <w:lvlJc w:val="left"/>
      <w:pPr>
        <w:ind w:left="2770" w:hanging="360"/>
      </w:pPr>
      <w:rPr>
        <w:rFonts w:hint="default"/>
        <w:b w:val="0"/>
        <w:bCs w:val="0"/>
      </w:rPr>
    </w:lvl>
    <w:lvl w:ilvl="1" w:tplc="040C0019" w:tentative="1">
      <w:start w:val="1"/>
      <w:numFmt w:val="lowerLetter"/>
      <w:lvlText w:val="%2."/>
      <w:lvlJc w:val="left"/>
      <w:pPr>
        <w:ind w:left="3490" w:hanging="360"/>
      </w:pPr>
    </w:lvl>
    <w:lvl w:ilvl="2" w:tplc="040C001B" w:tentative="1">
      <w:start w:val="1"/>
      <w:numFmt w:val="lowerRoman"/>
      <w:lvlText w:val="%3."/>
      <w:lvlJc w:val="right"/>
      <w:pPr>
        <w:ind w:left="4210" w:hanging="180"/>
      </w:pPr>
    </w:lvl>
    <w:lvl w:ilvl="3" w:tplc="040C000F" w:tentative="1">
      <w:start w:val="1"/>
      <w:numFmt w:val="decimal"/>
      <w:lvlText w:val="%4."/>
      <w:lvlJc w:val="left"/>
      <w:pPr>
        <w:ind w:left="4930" w:hanging="360"/>
      </w:pPr>
    </w:lvl>
    <w:lvl w:ilvl="4" w:tplc="040C0019" w:tentative="1">
      <w:start w:val="1"/>
      <w:numFmt w:val="lowerLetter"/>
      <w:lvlText w:val="%5."/>
      <w:lvlJc w:val="left"/>
      <w:pPr>
        <w:ind w:left="5650" w:hanging="360"/>
      </w:pPr>
    </w:lvl>
    <w:lvl w:ilvl="5" w:tplc="040C001B" w:tentative="1">
      <w:start w:val="1"/>
      <w:numFmt w:val="lowerRoman"/>
      <w:lvlText w:val="%6."/>
      <w:lvlJc w:val="right"/>
      <w:pPr>
        <w:ind w:left="6370" w:hanging="180"/>
      </w:pPr>
    </w:lvl>
    <w:lvl w:ilvl="6" w:tplc="040C000F" w:tentative="1">
      <w:start w:val="1"/>
      <w:numFmt w:val="decimal"/>
      <w:lvlText w:val="%7."/>
      <w:lvlJc w:val="left"/>
      <w:pPr>
        <w:ind w:left="7090" w:hanging="360"/>
      </w:pPr>
    </w:lvl>
    <w:lvl w:ilvl="7" w:tplc="040C0019" w:tentative="1">
      <w:start w:val="1"/>
      <w:numFmt w:val="lowerLetter"/>
      <w:lvlText w:val="%8."/>
      <w:lvlJc w:val="left"/>
      <w:pPr>
        <w:ind w:left="7810" w:hanging="360"/>
      </w:pPr>
    </w:lvl>
    <w:lvl w:ilvl="8" w:tplc="040C001B" w:tentative="1">
      <w:start w:val="1"/>
      <w:numFmt w:val="lowerRoman"/>
      <w:lvlText w:val="%9."/>
      <w:lvlJc w:val="right"/>
      <w:pPr>
        <w:ind w:left="8530" w:hanging="180"/>
      </w:pPr>
    </w:lvl>
  </w:abstractNum>
  <w:abstractNum w:abstractNumId="22" w15:restartNumberingAfterBreak="0">
    <w:nsid w:val="72B0295F"/>
    <w:multiLevelType w:val="hybridMultilevel"/>
    <w:tmpl w:val="0084405A"/>
    <w:lvl w:ilvl="0" w:tplc="29920C36">
      <w:start w:val="1"/>
      <w:numFmt w:val="decimal"/>
      <w:lvlText w:val="%1."/>
      <w:lvlJc w:val="left"/>
      <w:pPr>
        <w:ind w:left="371" w:hanging="360"/>
      </w:pPr>
      <w:rPr>
        <w:rFonts w:asciiTheme="minorBidi" w:eastAsia="Times New Roman" w:hAnsiTheme="minorBidi" w:cstheme="minorBidi" w:hint="default"/>
        <w:b/>
        <w:color w:val="auto"/>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3"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4" w15:restartNumberingAfterBreak="0">
    <w:nsid w:val="796F6D96"/>
    <w:multiLevelType w:val="hybridMultilevel"/>
    <w:tmpl w:val="E5B8525C"/>
    <w:lvl w:ilvl="0" w:tplc="9CD2B4FE">
      <w:start w:val="10"/>
      <w:numFmt w:val="bullet"/>
      <w:lvlText w:val="-"/>
      <w:lvlJc w:val="left"/>
      <w:pPr>
        <w:ind w:left="1434" w:hanging="360"/>
      </w:pPr>
      <w:rPr>
        <w:rFonts w:ascii="Calibri" w:eastAsiaTheme="minorEastAsia" w:hAnsi="Calibri" w:cs="Calibri"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5" w15:restartNumberingAfterBreak="0">
    <w:nsid w:val="7A5739A3"/>
    <w:multiLevelType w:val="multilevel"/>
    <w:tmpl w:val="E242B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B83776"/>
    <w:multiLevelType w:val="hybridMultilevel"/>
    <w:tmpl w:val="8FFC3CD4"/>
    <w:lvl w:ilvl="0" w:tplc="EA06A68A">
      <w:start w:val="3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B91A9C"/>
    <w:multiLevelType w:val="hybridMultilevel"/>
    <w:tmpl w:val="68D2A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600CAB"/>
    <w:multiLevelType w:val="hybridMultilevel"/>
    <w:tmpl w:val="2C60E9B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2031298982">
    <w:abstractNumId w:val="13"/>
  </w:num>
  <w:num w:numId="2" w16cid:durableId="1699811291">
    <w:abstractNumId w:val="13"/>
  </w:num>
  <w:num w:numId="3" w16cid:durableId="1970621381">
    <w:abstractNumId w:val="13"/>
  </w:num>
  <w:num w:numId="4" w16cid:durableId="693723901">
    <w:abstractNumId w:val="13"/>
  </w:num>
  <w:num w:numId="5" w16cid:durableId="1813250800">
    <w:abstractNumId w:val="13"/>
  </w:num>
  <w:num w:numId="6" w16cid:durableId="1646934865">
    <w:abstractNumId w:val="13"/>
  </w:num>
  <w:num w:numId="7" w16cid:durableId="1350449107">
    <w:abstractNumId w:val="13"/>
  </w:num>
  <w:num w:numId="8" w16cid:durableId="684399999">
    <w:abstractNumId w:val="13"/>
  </w:num>
  <w:num w:numId="9" w16cid:durableId="1777603927">
    <w:abstractNumId w:val="13"/>
  </w:num>
  <w:num w:numId="10" w16cid:durableId="2013993393">
    <w:abstractNumId w:val="13"/>
  </w:num>
  <w:num w:numId="11" w16cid:durableId="1173229065">
    <w:abstractNumId w:val="23"/>
  </w:num>
  <w:num w:numId="12" w16cid:durableId="1276713161">
    <w:abstractNumId w:val="13"/>
  </w:num>
  <w:num w:numId="13" w16cid:durableId="2115131009">
    <w:abstractNumId w:val="8"/>
  </w:num>
  <w:num w:numId="14" w16cid:durableId="668600115">
    <w:abstractNumId w:val="14"/>
  </w:num>
  <w:num w:numId="15" w16cid:durableId="977077173">
    <w:abstractNumId w:val="6"/>
  </w:num>
  <w:num w:numId="16" w16cid:durableId="608782025">
    <w:abstractNumId w:val="17"/>
  </w:num>
  <w:num w:numId="17" w16cid:durableId="1838960873">
    <w:abstractNumId w:val="12"/>
  </w:num>
  <w:num w:numId="18" w16cid:durableId="797146683">
    <w:abstractNumId w:val="5"/>
  </w:num>
  <w:num w:numId="19" w16cid:durableId="462621768">
    <w:abstractNumId w:val="18"/>
  </w:num>
  <w:num w:numId="20" w16cid:durableId="45876611">
    <w:abstractNumId w:val="20"/>
  </w:num>
  <w:num w:numId="21" w16cid:durableId="88739958">
    <w:abstractNumId w:val="2"/>
  </w:num>
  <w:num w:numId="22" w16cid:durableId="1877040686">
    <w:abstractNumId w:val="3"/>
  </w:num>
  <w:num w:numId="23" w16cid:durableId="1661738578">
    <w:abstractNumId w:val="0"/>
  </w:num>
  <w:num w:numId="24" w16cid:durableId="1123234602">
    <w:abstractNumId w:val="27"/>
  </w:num>
  <w:num w:numId="25" w16cid:durableId="1261060821">
    <w:abstractNumId w:val="11"/>
  </w:num>
  <w:num w:numId="26" w16cid:durableId="811144487">
    <w:abstractNumId w:val="9"/>
  </w:num>
  <w:num w:numId="27" w16cid:durableId="1406027359">
    <w:abstractNumId w:val="15"/>
  </w:num>
  <w:num w:numId="28" w16cid:durableId="1559441171">
    <w:abstractNumId w:val="28"/>
  </w:num>
  <w:num w:numId="29" w16cid:durableId="777335300">
    <w:abstractNumId w:val="4"/>
  </w:num>
  <w:num w:numId="30" w16cid:durableId="780301365">
    <w:abstractNumId w:val="1"/>
  </w:num>
  <w:num w:numId="31" w16cid:durableId="1446999065">
    <w:abstractNumId w:val="7"/>
  </w:num>
  <w:num w:numId="32" w16cid:durableId="181089448">
    <w:abstractNumId w:val="10"/>
  </w:num>
  <w:num w:numId="33" w16cid:durableId="10571605">
    <w:abstractNumId w:val="26"/>
  </w:num>
  <w:num w:numId="34" w16cid:durableId="1758088749">
    <w:abstractNumId w:val="25"/>
  </w:num>
  <w:num w:numId="35" w16cid:durableId="2002073749">
    <w:abstractNumId w:val="16"/>
  </w:num>
  <w:num w:numId="36" w16cid:durableId="1935822731">
    <w:abstractNumId w:val="24"/>
  </w:num>
  <w:num w:numId="37" w16cid:durableId="1923025946">
    <w:abstractNumId w:val="21"/>
  </w:num>
  <w:num w:numId="38" w16cid:durableId="564803411">
    <w:abstractNumId w:val="22"/>
  </w:num>
  <w:num w:numId="39" w16cid:durableId="5203577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F05"/>
    <w:rsid w:val="000031EF"/>
    <w:rsid w:val="00004725"/>
    <w:rsid w:val="000055C3"/>
    <w:rsid w:val="00006C25"/>
    <w:rsid w:val="00007827"/>
    <w:rsid w:val="00010B89"/>
    <w:rsid w:val="000118CD"/>
    <w:rsid w:val="00013390"/>
    <w:rsid w:val="00017E4B"/>
    <w:rsid w:val="00025A88"/>
    <w:rsid w:val="00026782"/>
    <w:rsid w:val="00027122"/>
    <w:rsid w:val="0002731D"/>
    <w:rsid w:val="000319A1"/>
    <w:rsid w:val="00032C8E"/>
    <w:rsid w:val="00033544"/>
    <w:rsid w:val="0003449B"/>
    <w:rsid w:val="00034C53"/>
    <w:rsid w:val="00034C70"/>
    <w:rsid w:val="000370E1"/>
    <w:rsid w:val="000431C5"/>
    <w:rsid w:val="000445B8"/>
    <w:rsid w:val="0004582F"/>
    <w:rsid w:val="00060399"/>
    <w:rsid w:val="000606E3"/>
    <w:rsid w:val="00060718"/>
    <w:rsid w:val="00061D38"/>
    <w:rsid w:val="000658F2"/>
    <w:rsid w:val="00065DEB"/>
    <w:rsid w:val="0006619A"/>
    <w:rsid w:val="0006675E"/>
    <w:rsid w:val="00067605"/>
    <w:rsid w:val="00067E0B"/>
    <w:rsid w:val="000719A5"/>
    <w:rsid w:val="000748A0"/>
    <w:rsid w:val="000748C0"/>
    <w:rsid w:val="00075DC0"/>
    <w:rsid w:val="00080B76"/>
    <w:rsid w:val="00080CDD"/>
    <w:rsid w:val="00081592"/>
    <w:rsid w:val="000816BD"/>
    <w:rsid w:val="00082162"/>
    <w:rsid w:val="00083369"/>
    <w:rsid w:val="00085FE9"/>
    <w:rsid w:val="00086071"/>
    <w:rsid w:val="0009246D"/>
    <w:rsid w:val="0009256F"/>
    <w:rsid w:val="00092830"/>
    <w:rsid w:val="00097CDF"/>
    <w:rsid w:val="000A472D"/>
    <w:rsid w:val="000A6D08"/>
    <w:rsid w:val="000A780B"/>
    <w:rsid w:val="000B1B44"/>
    <w:rsid w:val="000B40F3"/>
    <w:rsid w:val="000B629D"/>
    <w:rsid w:val="000C1BCF"/>
    <w:rsid w:val="000C3BB5"/>
    <w:rsid w:val="000D387D"/>
    <w:rsid w:val="000D6EB3"/>
    <w:rsid w:val="000D719C"/>
    <w:rsid w:val="000E0533"/>
    <w:rsid w:val="000E05C8"/>
    <w:rsid w:val="000E188E"/>
    <w:rsid w:val="000E368B"/>
    <w:rsid w:val="000E55FB"/>
    <w:rsid w:val="000E7E22"/>
    <w:rsid w:val="000F4768"/>
    <w:rsid w:val="000F4909"/>
    <w:rsid w:val="000F4DDB"/>
    <w:rsid w:val="000F7203"/>
    <w:rsid w:val="000F78B3"/>
    <w:rsid w:val="001002FF"/>
    <w:rsid w:val="00101B97"/>
    <w:rsid w:val="001026BE"/>
    <w:rsid w:val="00104894"/>
    <w:rsid w:val="00104EE2"/>
    <w:rsid w:val="001056F8"/>
    <w:rsid w:val="00105E15"/>
    <w:rsid w:val="00105EA4"/>
    <w:rsid w:val="00110568"/>
    <w:rsid w:val="00110D3A"/>
    <w:rsid w:val="001127D2"/>
    <w:rsid w:val="00113090"/>
    <w:rsid w:val="00113997"/>
    <w:rsid w:val="00113F97"/>
    <w:rsid w:val="001151A6"/>
    <w:rsid w:val="001164EA"/>
    <w:rsid w:val="00122F8A"/>
    <w:rsid w:val="0012374E"/>
    <w:rsid w:val="00123F7E"/>
    <w:rsid w:val="00131529"/>
    <w:rsid w:val="0013238B"/>
    <w:rsid w:val="00134711"/>
    <w:rsid w:val="0013649D"/>
    <w:rsid w:val="00137882"/>
    <w:rsid w:val="00141A44"/>
    <w:rsid w:val="00143B1A"/>
    <w:rsid w:val="0014529C"/>
    <w:rsid w:val="0015046B"/>
    <w:rsid w:val="001506C7"/>
    <w:rsid w:val="001524A3"/>
    <w:rsid w:val="0015561D"/>
    <w:rsid w:val="001579AB"/>
    <w:rsid w:val="00157D42"/>
    <w:rsid w:val="00160284"/>
    <w:rsid w:val="00160C37"/>
    <w:rsid w:val="0016592F"/>
    <w:rsid w:val="001659AA"/>
    <w:rsid w:val="00165CBD"/>
    <w:rsid w:val="0017022A"/>
    <w:rsid w:val="001728F6"/>
    <w:rsid w:val="00172CD5"/>
    <w:rsid w:val="00173972"/>
    <w:rsid w:val="0017604F"/>
    <w:rsid w:val="001766F9"/>
    <w:rsid w:val="00180AA0"/>
    <w:rsid w:val="00182096"/>
    <w:rsid w:val="0018253D"/>
    <w:rsid w:val="00182632"/>
    <w:rsid w:val="00183FEA"/>
    <w:rsid w:val="00185B54"/>
    <w:rsid w:val="00185D28"/>
    <w:rsid w:val="001875EC"/>
    <w:rsid w:val="0019010A"/>
    <w:rsid w:val="001917AD"/>
    <w:rsid w:val="00192400"/>
    <w:rsid w:val="00192AAB"/>
    <w:rsid w:val="00196759"/>
    <w:rsid w:val="001A033E"/>
    <w:rsid w:val="001A071C"/>
    <w:rsid w:val="001A25ED"/>
    <w:rsid w:val="001A2943"/>
    <w:rsid w:val="001A6261"/>
    <w:rsid w:val="001A6DDA"/>
    <w:rsid w:val="001A7261"/>
    <w:rsid w:val="001A73F8"/>
    <w:rsid w:val="001B2228"/>
    <w:rsid w:val="001B2807"/>
    <w:rsid w:val="001B4D2C"/>
    <w:rsid w:val="001B5075"/>
    <w:rsid w:val="001B64AC"/>
    <w:rsid w:val="001C18CF"/>
    <w:rsid w:val="001C20FE"/>
    <w:rsid w:val="001C4F30"/>
    <w:rsid w:val="001C53DD"/>
    <w:rsid w:val="001C6221"/>
    <w:rsid w:val="001C6842"/>
    <w:rsid w:val="001C6D83"/>
    <w:rsid w:val="001D11E8"/>
    <w:rsid w:val="001D69B3"/>
    <w:rsid w:val="001E441E"/>
    <w:rsid w:val="001E5FF2"/>
    <w:rsid w:val="001F65B3"/>
    <w:rsid w:val="001F65D5"/>
    <w:rsid w:val="001F6BA5"/>
    <w:rsid w:val="001F6CF5"/>
    <w:rsid w:val="001F7EF6"/>
    <w:rsid w:val="00200519"/>
    <w:rsid w:val="0020169B"/>
    <w:rsid w:val="00201904"/>
    <w:rsid w:val="00203E48"/>
    <w:rsid w:val="0020573A"/>
    <w:rsid w:val="00207581"/>
    <w:rsid w:val="00215B28"/>
    <w:rsid w:val="00216228"/>
    <w:rsid w:val="00216DA9"/>
    <w:rsid w:val="00225B52"/>
    <w:rsid w:val="00226F65"/>
    <w:rsid w:val="00231994"/>
    <w:rsid w:val="00232596"/>
    <w:rsid w:val="00232FAE"/>
    <w:rsid w:val="0023308D"/>
    <w:rsid w:val="00237FCC"/>
    <w:rsid w:val="00240B92"/>
    <w:rsid w:val="00243536"/>
    <w:rsid w:val="00251980"/>
    <w:rsid w:val="002524C4"/>
    <w:rsid w:val="00255764"/>
    <w:rsid w:val="00257045"/>
    <w:rsid w:val="002571D5"/>
    <w:rsid w:val="00257562"/>
    <w:rsid w:val="00257884"/>
    <w:rsid w:val="00260244"/>
    <w:rsid w:val="0026233A"/>
    <w:rsid w:val="002627C7"/>
    <w:rsid w:val="00262EC1"/>
    <w:rsid w:val="00265371"/>
    <w:rsid w:val="00265C91"/>
    <w:rsid w:val="00265E4E"/>
    <w:rsid w:val="002660A1"/>
    <w:rsid w:val="0027043E"/>
    <w:rsid w:val="002721B0"/>
    <w:rsid w:val="00272866"/>
    <w:rsid w:val="00273C68"/>
    <w:rsid w:val="00274D0A"/>
    <w:rsid w:val="0028078A"/>
    <w:rsid w:val="00282456"/>
    <w:rsid w:val="00282FBC"/>
    <w:rsid w:val="00283515"/>
    <w:rsid w:val="00283B06"/>
    <w:rsid w:val="00284AF8"/>
    <w:rsid w:val="002854CA"/>
    <w:rsid w:val="00286B3B"/>
    <w:rsid w:val="00292113"/>
    <w:rsid w:val="00292B27"/>
    <w:rsid w:val="002A05D9"/>
    <w:rsid w:val="002A3623"/>
    <w:rsid w:val="002A364B"/>
    <w:rsid w:val="002A3D8C"/>
    <w:rsid w:val="002B0438"/>
    <w:rsid w:val="002B0B65"/>
    <w:rsid w:val="002B2870"/>
    <w:rsid w:val="002B2FB7"/>
    <w:rsid w:val="002B3CB5"/>
    <w:rsid w:val="002B58F5"/>
    <w:rsid w:val="002C2700"/>
    <w:rsid w:val="002C3482"/>
    <w:rsid w:val="002C6A49"/>
    <w:rsid w:val="002D2062"/>
    <w:rsid w:val="002D41F6"/>
    <w:rsid w:val="002D4B35"/>
    <w:rsid w:val="002E0A07"/>
    <w:rsid w:val="002E3B10"/>
    <w:rsid w:val="002E524A"/>
    <w:rsid w:val="002E558B"/>
    <w:rsid w:val="002E5A7D"/>
    <w:rsid w:val="002E6FCC"/>
    <w:rsid w:val="002E7C4A"/>
    <w:rsid w:val="002F0BE9"/>
    <w:rsid w:val="002F0EB7"/>
    <w:rsid w:val="002F11B4"/>
    <w:rsid w:val="002F27AC"/>
    <w:rsid w:val="002F335A"/>
    <w:rsid w:val="002F37FA"/>
    <w:rsid w:val="002F53C8"/>
    <w:rsid w:val="002F577C"/>
    <w:rsid w:val="002F58A0"/>
    <w:rsid w:val="002F6710"/>
    <w:rsid w:val="00302D4A"/>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3BCB"/>
    <w:rsid w:val="0033582A"/>
    <w:rsid w:val="00335848"/>
    <w:rsid w:val="0033741E"/>
    <w:rsid w:val="00337F0B"/>
    <w:rsid w:val="00340533"/>
    <w:rsid w:val="00341FD0"/>
    <w:rsid w:val="0034392B"/>
    <w:rsid w:val="00344E00"/>
    <w:rsid w:val="00344F11"/>
    <w:rsid w:val="003456A3"/>
    <w:rsid w:val="003511A2"/>
    <w:rsid w:val="003515AD"/>
    <w:rsid w:val="00352423"/>
    <w:rsid w:val="00352574"/>
    <w:rsid w:val="00354A10"/>
    <w:rsid w:val="00355A56"/>
    <w:rsid w:val="003563D2"/>
    <w:rsid w:val="003570B3"/>
    <w:rsid w:val="00360F32"/>
    <w:rsid w:val="00361AD3"/>
    <w:rsid w:val="0036266E"/>
    <w:rsid w:val="00362BBA"/>
    <w:rsid w:val="00363711"/>
    <w:rsid w:val="00365177"/>
    <w:rsid w:val="00365ED5"/>
    <w:rsid w:val="00366C04"/>
    <w:rsid w:val="003718F9"/>
    <w:rsid w:val="003774D6"/>
    <w:rsid w:val="00380185"/>
    <w:rsid w:val="00382463"/>
    <w:rsid w:val="00383E50"/>
    <w:rsid w:val="00385003"/>
    <w:rsid w:val="003909F0"/>
    <w:rsid w:val="003917C6"/>
    <w:rsid w:val="00393704"/>
    <w:rsid w:val="0039512E"/>
    <w:rsid w:val="00395A11"/>
    <w:rsid w:val="003B2CC9"/>
    <w:rsid w:val="003B3349"/>
    <w:rsid w:val="003B390E"/>
    <w:rsid w:val="003B4C5D"/>
    <w:rsid w:val="003B64CB"/>
    <w:rsid w:val="003B6DA1"/>
    <w:rsid w:val="003B6ECA"/>
    <w:rsid w:val="003B6FC5"/>
    <w:rsid w:val="003B70B4"/>
    <w:rsid w:val="003C15F6"/>
    <w:rsid w:val="003C240D"/>
    <w:rsid w:val="003C2BCD"/>
    <w:rsid w:val="003C309A"/>
    <w:rsid w:val="003C3CC6"/>
    <w:rsid w:val="003C4A99"/>
    <w:rsid w:val="003C55DB"/>
    <w:rsid w:val="003D27BD"/>
    <w:rsid w:val="003D31F1"/>
    <w:rsid w:val="003D4548"/>
    <w:rsid w:val="003D7CC3"/>
    <w:rsid w:val="003E08F0"/>
    <w:rsid w:val="003E26AB"/>
    <w:rsid w:val="003E331B"/>
    <w:rsid w:val="003E52CB"/>
    <w:rsid w:val="003E5A89"/>
    <w:rsid w:val="003E5DA0"/>
    <w:rsid w:val="003E7B79"/>
    <w:rsid w:val="003F5299"/>
    <w:rsid w:val="003F66AA"/>
    <w:rsid w:val="003F74E5"/>
    <w:rsid w:val="003F78BC"/>
    <w:rsid w:val="0040117F"/>
    <w:rsid w:val="0040323D"/>
    <w:rsid w:val="004032DB"/>
    <w:rsid w:val="00403EB2"/>
    <w:rsid w:val="0040453C"/>
    <w:rsid w:val="004047AA"/>
    <w:rsid w:val="00404945"/>
    <w:rsid w:val="00405201"/>
    <w:rsid w:val="00407FC3"/>
    <w:rsid w:val="004119A8"/>
    <w:rsid w:val="00416FCE"/>
    <w:rsid w:val="00417106"/>
    <w:rsid w:val="00425E51"/>
    <w:rsid w:val="0042612F"/>
    <w:rsid w:val="00431123"/>
    <w:rsid w:val="004359DF"/>
    <w:rsid w:val="00437DB1"/>
    <w:rsid w:val="004414C3"/>
    <w:rsid w:val="00441F29"/>
    <w:rsid w:val="00441FE3"/>
    <w:rsid w:val="00447262"/>
    <w:rsid w:val="00450AA6"/>
    <w:rsid w:val="004521AC"/>
    <w:rsid w:val="00452512"/>
    <w:rsid w:val="00452CFD"/>
    <w:rsid w:val="00453CE0"/>
    <w:rsid w:val="00454762"/>
    <w:rsid w:val="00455465"/>
    <w:rsid w:val="00463AB2"/>
    <w:rsid w:val="00464514"/>
    <w:rsid w:val="00471FFE"/>
    <w:rsid w:val="004750C1"/>
    <w:rsid w:val="004751DB"/>
    <w:rsid w:val="004768E8"/>
    <w:rsid w:val="00476A0C"/>
    <w:rsid w:val="00477409"/>
    <w:rsid w:val="0048045D"/>
    <w:rsid w:val="0048119B"/>
    <w:rsid w:val="00481C77"/>
    <w:rsid w:val="0048289E"/>
    <w:rsid w:val="00485772"/>
    <w:rsid w:val="00485AA9"/>
    <w:rsid w:val="00486080"/>
    <w:rsid w:val="0049319A"/>
    <w:rsid w:val="00494DB3"/>
    <w:rsid w:val="004952D4"/>
    <w:rsid w:val="00495A2B"/>
    <w:rsid w:val="00495A69"/>
    <w:rsid w:val="004966AD"/>
    <w:rsid w:val="004A0A6B"/>
    <w:rsid w:val="004A0F6A"/>
    <w:rsid w:val="004A202F"/>
    <w:rsid w:val="004A2A54"/>
    <w:rsid w:val="004B3408"/>
    <w:rsid w:val="004B389C"/>
    <w:rsid w:val="004B3D01"/>
    <w:rsid w:val="004B5787"/>
    <w:rsid w:val="004B7754"/>
    <w:rsid w:val="004B7E8C"/>
    <w:rsid w:val="004C14DD"/>
    <w:rsid w:val="004C255E"/>
    <w:rsid w:val="004C4469"/>
    <w:rsid w:val="004C586B"/>
    <w:rsid w:val="004C6065"/>
    <w:rsid w:val="004C6FFD"/>
    <w:rsid w:val="004C74F4"/>
    <w:rsid w:val="004C78C5"/>
    <w:rsid w:val="004D3AC6"/>
    <w:rsid w:val="004D4484"/>
    <w:rsid w:val="004D5B62"/>
    <w:rsid w:val="004D5D5D"/>
    <w:rsid w:val="004D74B0"/>
    <w:rsid w:val="004D785E"/>
    <w:rsid w:val="004D7B7C"/>
    <w:rsid w:val="004E084D"/>
    <w:rsid w:val="004E2D89"/>
    <w:rsid w:val="004E3446"/>
    <w:rsid w:val="004E4A23"/>
    <w:rsid w:val="004E5E1F"/>
    <w:rsid w:val="004E6B90"/>
    <w:rsid w:val="004E7C8D"/>
    <w:rsid w:val="004F0BEC"/>
    <w:rsid w:val="004F2658"/>
    <w:rsid w:val="004F49AF"/>
    <w:rsid w:val="004F4AC5"/>
    <w:rsid w:val="004F5686"/>
    <w:rsid w:val="004F67A7"/>
    <w:rsid w:val="005066B5"/>
    <w:rsid w:val="005105CB"/>
    <w:rsid w:val="005117BF"/>
    <w:rsid w:val="00514AC0"/>
    <w:rsid w:val="00515020"/>
    <w:rsid w:val="00523B29"/>
    <w:rsid w:val="00523DF2"/>
    <w:rsid w:val="00524D94"/>
    <w:rsid w:val="00530113"/>
    <w:rsid w:val="00534733"/>
    <w:rsid w:val="00536075"/>
    <w:rsid w:val="0053720B"/>
    <w:rsid w:val="00537C43"/>
    <w:rsid w:val="005443C0"/>
    <w:rsid w:val="005462A1"/>
    <w:rsid w:val="00552D23"/>
    <w:rsid w:val="00554184"/>
    <w:rsid w:val="00554688"/>
    <w:rsid w:val="005548B0"/>
    <w:rsid w:val="00554A87"/>
    <w:rsid w:val="00554DD5"/>
    <w:rsid w:val="00555D7F"/>
    <w:rsid w:val="00556410"/>
    <w:rsid w:val="005616DE"/>
    <w:rsid w:val="00561F97"/>
    <w:rsid w:val="00562F4C"/>
    <w:rsid w:val="0056655B"/>
    <w:rsid w:val="00570881"/>
    <w:rsid w:val="00572116"/>
    <w:rsid w:val="00572534"/>
    <w:rsid w:val="005745C6"/>
    <w:rsid w:val="00574F2F"/>
    <w:rsid w:val="00575B63"/>
    <w:rsid w:val="00576EF7"/>
    <w:rsid w:val="005829FE"/>
    <w:rsid w:val="005830E7"/>
    <w:rsid w:val="00583320"/>
    <w:rsid w:val="0058628A"/>
    <w:rsid w:val="00587822"/>
    <w:rsid w:val="005878F6"/>
    <w:rsid w:val="00591549"/>
    <w:rsid w:val="00593EC9"/>
    <w:rsid w:val="00594902"/>
    <w:rsid w:val="00596959"/>
    <w:rsid w:val="005A1932"/>
    <w:rsid w:val="005A1B75"/>
    <w:rsid w:val="005A1EED"/>
    <w:rsid w:val="005A7E87"/>
    <w:rsid w:val="005B0510"/>
    <w:rsid w:val="005B06F3"/>
    <w:rsid w:val="005B09E3"/>
    <w:rsid w:val="005B0F21"/>
    <w:rsid w:val="005B2606"/>
    <w:rsid w:val="005B6674"/>
    <w:rsid w:val="005B670F"/>
    <w:rsid w:val="005C2768"/>
    <w:rsid w:val="005C565B"/>
    <w:rsid w:val="005C5B67"/>
    <w:rsid w:val="005C6245"/>
    <w:rsid w:val="005C76B4"/>
    <w:rsid w:val="005D0557"/>
    <w:rsid w:val="005D05AB"/>
    <w:rsid w:val="005D0CC4"/>
    <w:rsid w:val="005D36CA"/>
    <w:rsid w:val="005D51BA"/>
    <w:rsid w:val="005D5313"/>
    <w:rsid w:val="005D5B40"/>
    <w:rsid w:val="005E0A00"/>
    <w:rsid w:val="005E2BCD"/>
    <w:rsid w:val="005E325F"/>
    <w:rsid w:val="005E4C90"/>
    <w:rsid w:val="005E5050"/>
    <w:rsid w:val="005E661A"/>
    <w:rsid w:val="005F2B83"/>
    <w:rsid w:val="005F39DB"/>
    <w:rsid w:val="005F55BE"/>
    <w:rsid w:val="00600999"/>
    <w:rsid w:val="00602C02"/>
    <w:rsid w:val="0060360F"/>
    <w:rsid w:val="00605C6A"/>
    <w:rsid w:val="00606699"/>
    <w:rsid w:val="006122F2"/>
    <w:rsid w:val="00612A3E"/>
    <w:rsid w:val="00613F3F"/>
    <w:rsid w:val="006140DB"/>
    <w:rsid w:val="00615D71"/>
    <w:rsid w:val="00615F33"/>
    <w:rsid w:val="0062187D"/>
    <w:rsid w:val="00621F4D"/>
    <w:rsid w:val="00625EE0"/>
    <w:rsid w:val="00625FE6"/>
    <w:rsid w:val="00630580"/>
    <w:rsid w:val="00631C7D"/>
    <w:rsid w:val="006327B2"/>
    <w:rsid w:val="006331C8"/>
    <w:rsid w:val="00637621"/>
    <w:rsid w:val="006406D0"/>
    <w:rsid w:val="006408BF"/>
    <w:rsid w:val="00645699"/>
    <w:rsid w:val="00646F26"/>
    <w:rsid w:val="006502B2"/>
    <w:rsid w:val="00650A87"/>
    <w:rsid w:val="00654AA1"/>
    <w:rsid w:val="0065705B"/>
    <w:rsid w:val="00657AC1"/>
    <w:rsid w:val="00657EB5"/>
    <w:rsid w:val="006644A7"/>
    <w:rsid w:val="00666085"/>
    <w:rsid w:val="0067098E"/>
    <w:rsid w:val="00671A70"/>
    <w:rsid w:val="00672A6F"/>
    <w:rsid w:val="00674E88"/>
    <w:rsid w:val="0067544A"/>
    <w:rsid w:val="00676F63"/>
    <w:rsid w:val="00681D60"/>
    <w:rsid w:val="00682998"/>
    <w:rsid w:val="00683AA3"/>
    <w:rsid w:val="0068477F"/>
    <w:rsid w:val="006858D6"/>
    <w:rsid w:val="00694BEE"/>
    <w:rsid w:val="00697CE4"/>
    <w:rsid w:val="006A1ED7"/>
    <w:rsid w:val="006A2412"/>
    <w:rsid w:val="006A2C9D"/>
    <w:rsid w:val="006A3196"/>
    <w:rsid w:val="006B1566"/>
    <w:rsid w:val="006B2C23"/>
    <w:rsid w:val="006B7AA9"/>
    <w:rsid w:val="006C2500"/>
    <w:rsid w:val="006C46A8"/>
    <w:rsid w:val="006C48C7"/>
    <w:rsid w:val="006C6875"/>
    <w:rsid w:val="006C6EB1"/>
    <w:rsid w:val="006C7AE8"/>
    <w:rsid w:val="006E0BCF"/>
    <w:rsid w:val="006E33FC"/>
    <w:rsid w:val="006E3403"/>
    <w:rsid w:val="006E3CA0"/>
    <w:rsid w:val="006E5A90"/>
    <w:rsid w:val="006F53F4"/>
    <w:rsid w:val="006F6B09"/>
    <w:rsid w:val="0070039C"/>
    <w:rsid w:val="00702D44"/>
    <w:rsid w:val="00702EB4"/>
    <w:rsid w:val="007033D9"/>
    <w:rsid w:val="00704AD8"/>
    <w:rsid w:val="00705DFD"/>
    <w:rsid w:val="00705F29"/>
    <w:rsid w:val="007069A8"/>
    <w:rsid w:val="00713AE4"/>
    <w:rsid w:val="007156EF"/>
    <w:rsid w:val="007169AF"/>
    <w:rsid w:val="007206CD"/>
    <w:rsid w:val="00723B40"/>
    <w:rsid w:val="00725251"/>
    <w:rsid w:val="00727C74"/>
    <w:rsid w:val="00727EEF"/>
    <w:rsid w:val="00730172"/>
    <w:rsid w:val="00731536"/>
    <w:rsid w:val="00732AF2"/>
    <w:rsid w:val="0073314B"/>
    <w:rsid w:val="007331F8"/>
    <w:rsid w:val="00733682"/>
    <w:rsid w:val="0073415E"/>
    <w:rsid w:val="00735534"/>
    <w:rsid w:val="00735E52"/>
    <w:rsid w:val="00740EFB"/>
    <w:rsid w:val="00741CC9"/>
    <w:rsid w:val="007443CA"/>
    <w:rsid w:val="00745B9E"/>
    <w:rsid w:val="007464AB"/>
    <w:rsid w:val="00747591"/>
    <w:rsid w:val="00750F05"/>
    <w:rsid w:val="00753BD3"/>
    <w:rsid w:val="00754815"/>
    <w:rsid w:val="00755DEA"/>
    <w:rsid w:val="00756E80"/>
    <w:rsid w:val="007577B2"/>
    <w:rsid w:val="007628BE"/>
    <w:rsid w:val="00762B2E"/>
    <w:rsid w:val="00766688"/>
    <w:rsid w:val="00770EC7"/>
    <w:rsid w:val="00771425"/>
    <w:rsid w:val="00771A2C"/>
    <w:rsid w:val="00771ABF"/>
    <w:rsid w:val="00774083"/>
    <w:rsid w:val="007746A7"/>
    <w:rsid w:val="00774FDF"/>
    <w:rsid w:val="007756DF"/>
    <w:rsid w:val="00775C54"/>
    <w:rsid w:val="00782F36"/>
    <w:rsid w:val="007867DE"/>
    <w:rsid w:val="007869BC"/>
    <w:rsid w:val="00787155"/>
    <w:rsid w:val="00787C77"/>
    <w:rsid w:val="00787E05"/>
    <w:rsid w:val="00790644"/>
    <w:rsid w:val="0079161F"/>
    <w:rsid w:val="007933BA"/>
    <w:rsid w:val="00794357"/>
    <w:rsid w:val="00795D13"/>
    <w:rsid w:val="007A264F"/>
    <w:rsid w:val="007A4866"/>
    <w:rsid w:val="007B032D"/>
    <w:rsid w:val="007B0677"/>
    <w:rsid w:val="007B267F"/>
    <w:rsid w:val="007B312F"/>
    <w:rsid w:val="007B4E4D"/>
    <w:rsid w:val="007B5C46"/>
    <w:rsid w:val="007B70CA"/>
    <w:rsid w:val="007B79DB"/>
    <w:rsid w:val="007C23B2"/>
    <w:rsid w:val="007C2552"/>
    <w:rsid w:val="007C2C0B"/>
    <w:rsid w:val="007C4C1D"/>
    <w:rsid w:val="007C5399"/>
    <w:rsid w:val="007C58F2"/>
    <w:rsid w:val="007C60C1"/>
    <w:rsid w:val="007C6427"/>
    <w:rsid w:val="007C6D7C"/>
    <w:rsid w:val="007D0222"/>
    <w:rsid w:val="007D02E1"/>
    <w:rsid w:val="007D14B6"/>
    <w:rsid w:val="007D3990"/>
    <w:rsid w:val="007D4781"/>
    <w:rsid w:val="007D5683"/>
    <w:rsid w:val="007D5C6F"/>
    <w:rsid w:val="007D72B0"/>
    <w:rsid w:val="007E2E19"/>
    <w:rsid w:val="007E331D"/>
    <w:rsid w:val="007E3BE2"/>
    <w:rsid w:val="007E6267"/>
    <w:rsid w:val="007E6585"/>
    <w:rsid w:val="007E6930"/>
    <w:rsid w:val="007F02F5"/>
    <w:rsid w:val="007F0FB9"/>
    <w:rsid w:val="007F1A39"/>
    <w:rsid w:val="007F77F4"/>
    <w:rsid w:val="00800665"/>
    <w:rsid w:val="00801A83"/>
    <w:rsid w:val="00806CD3"/>
    <w:rsid w:val="008074BE"/>
    <w:rsid w:val="00807E4C"/>
    <w:rsid w:val="00811963"/>
    <w:rsid w:val="0081272A"/>
    <w:rsid w:val="00813DF5"/>
    <w:rsid w:val="008148FD"/>
    <w:rsid w:val="008203FC"/>
    <w:rsid w:val="00821ABA"/>
    <w:rsid w:val="0082240E"/>
    <w:rsid w:val="008234DD"/>
    <w:rsid w:val="00823535"/>
    <w:rsid w:val="00825797"/>
    <w:rsid w:val="0082581A"/>
    <w:rsid w:val="0083349A"/>
    <w:rsid w:val="008334C8"/>
    <w:rsid w:val="00835997"/>
    <w:rsid w:val="00835F4D"/>
    <w:rsid w:val="0084267A"/>
    <w:rsid w:val="008426CA"/>
    <w:rsid w:val="00843E81"/>
    <w:rsid w:val="00845462"/>
    <w:rsid w:val="0084556C"/>
    <w:rsid w:val="008457C1"/>
    <w:rsid w:val="00847517"/>
    <w:rsid w:val="00851937"/>
    <w:rsid w:val="008521AC"/>
    <w:rsid w:val="00855825"/>
    <w:rsid w:val="00855CEB"/>
    <w:rsid w:val="00856ABB"/>
    <w:rsid w:val="008602F3"/>
    <w:rsid w:val="008608E0"/>
    <w:rsid w:val="0086422A"/>
    <w:rsid w:val="00864ABF"/>
    <w:rsid w:val="00866274"/>
    <w:rsid w:val="00866366"/>
    <w:rsid w:val="00867B04"/>
    <w:rsid w:val="0087160D"/>
    <w:rsid w:val="00873AFD"/>
    <w:rsid w:val="00873C36"/>
    <w:rsid w:val="0087409D"/>
    <w:rsid w:val="00875F83"/>
    <w:rsid w:val="00876067"/>
    <w:rsid w:val="0087618D"/>
    <w:rsid w:val="00877500"/>
    <w:rsid w:val="00883987"/>
    <w:rsid w:val="008840C0"/>
    <w:rsid w:val="008840E6"/>
    <w:rsid w:val="00884332"/>
    <w:rsid w:val="008901AA"/>
    <w:rsid w:val="008901CD"/>
    <w:rsid w:val="00890255"/>
    <w:rsid w:val="0089179C"/>
    <w:rsid w:val="00895E0F"/>
    <w:rsid w:val="00896575"/>
    <w:rsid w:val="008967F5"/>
    <w:rsid w:val="008972D8"/>
    <w:rsid w:val="008A05D0"/>
    <w:rsid w:val="008A0C1C"/>
    <w:rsid w:val="008A23E5"/>
    <w:rsid w:val="008A327C"/>
    <w:rsid w:val="008A6D88"/>
    <w:rsid w:val="008A7D5D"/>
    <w:rsid w:val="008B033A"/>
    <w:rsid w:val="008B19BD"/>
    <w:rsid w:val="008B4407"/>
    <w:rsid w:val="008B544A"/>
    <w:rsid w:val="008B672E"/>
    <w:rsid w:val="008B6773"/>
    <w:rsid w:val="008B77EB"/>
    <w:rsid w:val="008C15AF"/>
    <w:rsid w:val="008C2BBD"/>
    <w:rsid w:val="008C49BE"/>
    <w:rsid w:val="008C74FA"/>
    <w:rsid w:val="008D11BE"/>
    <w:rsid w:val="008D49F0"/>
    <w:rsid w:val="008D5C30"/>
    <w:rsid w:val="008D7D82"/>
    <w:rsid w:val="008D7F24"/>
    <w:rsid w:val="008E02B7"/>
    <w:rsid w:val="008E0DC5"/>
    <w:rsid w:val="008E24F7"/>
    <w:rsid w:val="008E280C"/>
    <w:rsid w:val="008E363D"/>
    <w:rsid w:val="008E3972"/>
    <w:rsid w:val="008E4F1B"/>
    <w:rsid w:val="008E5F82"/>
    <w:rsid w:val="008F0135"/>
    <w:rsid w:val="008F2D3D"/>
    <w:rsid w:val="008F4611"/>
    <w:rsid w:val="008F67D5"/>
    <w:rsid w:val="00900C89"/>
    <w:rsid w:val="00900FD7"/>
    <w:rsid w:val="00902205"/>
    <w:rsid w:val="009028D9"/>
    <w:rsid w:val="00903B13"/>
    <w:rsid w:val="00904ACB"/>
    <w:rsid w:val="00906E3C"/>
    <w:rsid w:val="00907F08"/>
    <w:rsid w:val="00910C59"/>
    <w:rsid w:val="00911834"/>
    <w:rsid w:val="00912C72"/>
    <w:rsid w:val="00914204"/>
    <w:rsid w:val="0091479B"/>
    <w:rsid w:val="009173E5"/>
    <w:rsid w:val="00920270"/>
    <w:rsid w:val="009205B6"/>
    <w:rsid w:val="009205FF"/>
    <w:rsid w:val="00922194"/>
    <w:rsid w:val="00923FC3"/>
    <w:rsid w:val="0092487E"/>
    <w:rsid w:val="009263CA"/>
    <w:rsid w:val="00926737"/>
    <w:rsid w:val="009278CB"/>
    <w:rsid w:val="00930078"/>
    <w:rsid w:val="0093392C"/>
    <w:rsid w:val="00935F8E"/>
    <w:rsid w:val="00937C26"/>
    <w:rsid w:val="00940BCB"/>
    <w:rsid w:val="00941FC7"/>
    <w:rsid w:val="00942E2B"/>
    <w:rsid w:val="0094308D"/>
    <w:rsid w:val="00943E62"/>
    <w:rsid w:val="00943FAE"/>
    <w:rsid w:val="00945D12"/>
    <w:rsid w:val="00952B4D"/>
    <w:rsid w:val="009531A0"/>
    <w:rsid w:val="009533B4"/>
    <w:rsid w:val="00953F37"/>
    <w:rsid w:val="009541DC"/>
    <w:rsid w:val="00955047"/>
    <w:rsid w:val="009551D2"/>
    <w:rsid w:val="00957207"/>
    <w:rsid w:val="00957CB2"/>
    <w:rsid w:val="0096155D"/>
    <w:rsid w:val="00963C14"/>
    <w:rsid w:val="0096678C"/>
    <w:rsid w:val="009675E0"/>
    <w:rsid w:val="00970D2E"/>
    <w:rsid w:val="0097327C"/>
    <w:rsid w:val="009736C0"/>
    <w:rsid w:val="0097668F"/>
    <w:rsid w:val="009778D3"/>
    <w:rsid w:val="0098096C"/>
    <w:rsid w:val="00980AA0"/>
    <w:rsid w:val="00981A92"/>
    <w:rsid w:val="009827C6"/>
    <w:rsid w:val="009832EB"/>
    <w:rsid w:val="00985E78"/>
    <w:rsid w:val="0098794B"/>
    <w:rsid w:val="009905D6"/>
    <w:rsid w:val="009911AA"/>
    <w:rsid w:val="0099223E"/>
    <w:rsid w:val="0099468E"/>
    <w:rsid w:val="00995DD1"/>
    <w:rsid w:val="0099674A"/>
    <w:rsid w:val="00996EE4"/>
    <w:rsid w:val="00997EEE"/>
    <w:rsid w:val="009A03DB"/>
    <w:rsid w:val="009A1B60"/>
    <w:rsid w:val="009A1DDC"/>
    <w:rsid w:val="009A2925"/>
    <w:rsid w:val="009A6570"/>
    <w:rsid w:val="009A6B84"/>
    <w:rsid w:val="009A7F76"/>
    <w:rsid w:val="009B2FB5"/>
    <w:rsid w:val="009B33B9"/>
    <w:rsid w:val="009B4B8B"/>
    <w:rsid w:val="009B7ED9"/>
    <w:rsid w:val="009C32D0"/>
    <w:rsid w:val="009C3751"/>
    <w:rsid w:val="009C5BA0"/>
    <w:rsid w:val="009D460D"/>
    <w:rsid w:val="009E05CD"/>
    <w:rsid w:val="009E135D"/>
    <w:rsid w:val="009E4F85"/>
    <w:rsid w:val="009E511B"/>
    <w:rsid w:val="009E51C9"/>
    <w:rsid w:val="009F1EFE"/>
    <w:rsid w:val="009F2C37"/>
    <w:rsid w:val="009F2CE4"/>
    <w:rsid w:val="009F42B8"/>
    <w:rsid w:val="009F42E1"/>
    <w:rsid w:val="009F49EA"/>
    <w:rsid w:val="009F5659"/>
    <w:rsid w:val="009F673B"/>
    <w:rsid w:val="00A01A8F"/>
    <w:rsid w:val="00A02887"/>
    <w:rsid w:val="00A02E57"/>
    <w:rsid w:val="00A031C3"/>
    <w:rsid w:val="00A03BA7"/>
    <w:rsid w:val="00A057C4"/>
    <w:rsid w:val="00A05A4D"/>
    <w:rsid w:val="00A05AB4"/>
    <w:rsid w:val="00A070D7"/>
    <w:rsid w:val="00A07AF6"/>
    <w:rsid w:val="00A126FC"/>
    <w:rsid w:val="00A12E09"/>
    <w:rsid w:val="00A14C22"/>
    <w:rsid w:val="00A25EB2"/>
    <w:rsid w:val="00A265E3"/>
    <w:rsid w:val="00A26DA5"/>
    <w:rsid w:val="00A27FB7"/>
    <w:rsid w:val="00A30AC2"/>
    <w:rsid w:val="00A33828"/>
    <w:rsid w:val="00A403AD"/>
    <w:rsid w:val="00A40E60"/>
    <w:rsid w:val="00A41B9A"/>
    <w:rsid w:val="00A421A7"/>
    <w:rsid w:val="00A45588"/>
    <w:rsid w:val="00A4607A"/>
    <w:rsid w:val="00A529FA"/>
    <w:rsid w:val="00A52B09"/>
    <w:rsid w:val="00A52E04"/>
    <w:rsid w:val="00A54730"/>
    <w:rsid w:val="00A54BD1"/>
    <w:rsid w:val="00A55994"/>
    <w:rsid w:val="00A56096"/>
    <w:rsid w:val="00A56440"/>
    <w:rsid w:val="00A572A8"/>
    <w:rsid w:val="00A62E0B"/>
    <w:rsid w:val="00A63491"/>
    <w:rsid w:val="00A652CF"/>
    <w:rsid w:val="00A6553E"/>
    <w:rsid w:val="00A7029E"/>
    <w:rsid w:val="00A7062A"/>
    <w:rsid w:val="00A7097D"/>
    <w:rsid w:val="00A72488"/>
    <w:rsid w:val="00A7294C"/>
    <w:rsid w:val="00A74B98"/>
    <w:rsid w:val="00A75239"/>
    <w:rsid w:val="00A7623D"/>
    <w:rsid w:val="00A820F1"/>
    <w:rsid w:val="00A90788"/>
    <w:rsid w:val="00A9222A"/>
    <w:rsid w:val="00A9632B"/>
    <w:rsid w:val="00AA2D84"/>
    <w:rsid w:val="00AA3077"/>
    <w:rsid w:val="00AA36BB"/>
    <w:rsid w:val="00AA6564"/>
    <w:rsid w:val="00AA6FCA"/>
    <w:rsid w:val="00AB2387"/>
    <w:rsid w:val="00AB346C"/>
    <w:rsid w:val="00AB37B5"/>
    <w:rsid w:val="00AB5A78"/>
    <w:rsid w:val="00AC333C"/>
    <w:rsid w:val="00AC65C5"/>
    <w:rsid w:val="00AC7D27"/>
    <w:rsid w:val="00AD035C"/>
    <w:rsid w:val="00AD1EB6"/>
    <w:rsid w:val="00AD2EC9"/>
    <w:rsid w:val="00AD3E6C"/>
    <w:rsid w:val="00AD64A4"/>
    <w:rsid w:val="00AD6B3B"/>
    <w:rsid w:val="00AD78A2"/>
    <w:rsid w:val="00AE018F"/>
    <w:rsid w:val="00AE0B67"/>
    <w:rsid w:val="00AE187B"/>
    <w:rsid w:val="00AE26F5"/>
    <w:rsid w:val="00AE3537"/>
    <w:rsid w:val="00AE3F49"/>
    <w:rsid w:val="00B00B27"/>
    <w:rsid w:val="00B012D9"/>
    <w:rsid w:val="00B0184D"/>
    <w:rsid w:val="00B02B0A"/>
    <w:rsid w:val="00B046E5"/>
    <w:rsid w:val="00B046EA"/>
    <w:rsid w:val="00B04D6D"/>
    <w:rsid w:val="00B14DDB"/>
    <w:rsid w:val="00B14E7A"/>
    <w:rsid w:val="00B154B8"/>
    <w:rsid w:val="00B1623C"/>
    <w:rsid w:val="00B17054"/>
    <w:rsid w:val="00B201CC"/>
    <w:rsid w:val="00B228B0"/>
    <w:rsid w:val="00B2296C"/>
    <w:rsid w:val="00B24A6D"/>
    <w:rsid w:val="00B26B8D"/>
    <w:rsid w:val="00B302AD"/>
    <w:rsid w:val="00B308C0"/>
    <w:rsid w:val="00B344A6"/>
    <w:rsid w:val="00B35143"/>
    <w:rsid w:val="00B35F7A"/>
    <w:rsid w:val="00B36DD4"/>
    <w:rsid w:val="00B40033"/>
    <w:rsid w:val="00B412E8"/>
    <w:rsid w:val="00B42578"/>
    <w:rsid w:val="00B436A8"/>
    <w:rsid w:val="00B44A64"/>
    <w:rsid w:val="00B45538"/>
    <w:rsid w:val="00B4577E"/>
    <w:rsid w:val="00B45A77"/>
    <w:rsid w:val="00B461D5"/>
    <w:rsid w:val="00B47ADF"/>
    <w:rsid w:val="00B502FA"/>
    <w:rsid w:val="00B53C2C"/>
    <w:rsid w:val="00B5440A"/>
    <w:rsid w:val="00B57FE6"/>
    <w:rsid w:val="00B6146B"/>
    <w:rsid w:val="00B639E3"/>
    <w:rsid w:val="00B64733"/>
    <w:rsid w:val="00B64CA2"/>
    <w:rsid w:val="00B64DE3"/>
    <w:rsid w:val="00B6717D"/>
    <w:rsid w:val="00B72CB5"/>
    <w:rsid w:val="00B75F3E"/>
    <w:rsid w:val="00B777B1"/>
    <w:rsid w:val="00B820A7"/>
    <w:rsid w:val="00B84521"/>
    <w:rsid w:val="00B848E4"/>
    <w:rsid w:val="00B87A2E"/>
    <w:rsid w:val="00B905CA"/>
    <w:rsid w:val="00B91A3E"/>
    <w:rsid w:val="00B91BFA"/>
    <w:rsid w:val="00B91EC7"/>
    <w:rsid w:val="00B961F7"/>
    <w:rsid w:val="00BA0180"/>
    <w:rsid w:val="00BA1457"/>
    <w:rsid w:val="00BA29B9"/>
    <w:rsid w:val="00BA3009"/>
    <w:rsid w:val="00BA3846"/>
    <w:rsid w:val="00BA5602"/>
    <w:rsid w:val="00BA6559"/>
    <w:rsid w:val="00BA7AF7"/>
    <w:rsid w:val="00BA7B80"/>
    <w:rsid w:val="00BB080A"/>
    <w:rsid w:val="00BB37B9"/>
    <w:rsid w:val="00BB3C67"/>
    <w:rsid w:val="00BB3D08"/>
    <w:rsid w:val="00BB66E8"/>
    <w:rsid w:val="00BB7EC3"/>
    <w:rsid w:val="00BC05DD"/>
    <w:rsid w:val="00BC07E0"/>
    <w:rsid w:val="00BC135C"/>
    <w:rsid w:val="00BC1D30"/>
    <w:rsid w:val="00BC3737"/>
    <w:rsid w:val="00BC4EF8"/>
    <w:rsid w:val="00BC5A68"/>
    <w:rsid w:val="00BC7AE6"/>
    <w:rsid w:val="00BD1F89"/>
    <w:rsid w:val="00BE1951"/>
    <w:rsid w:val="00BE2960"/>
    <w:rsid w:val="00BE2EC4"/>
    <w:rsid w:val="00BE4A26"/>
    <w:rsid w:val="00BE4F56"/>
    <w:rsid w:val="00BE5450"/>
    <w:rsid w:val="00BE76AB"/>
    <w:rsid w:val="00BF1A5F"/>
    <w:rsid w:val="00BF4C6D"/>
    <w:rsid w:val="00C00AC4"/>
    <w:rsid w:val="00C00FF3"/>
    <w:rsid w:val="00C01CF5"/>
    <w:rsid w:val="00C021AC"/>
    <w:rsid w:val="00C0443B"/>
    <w:rsid w:val="00C0560F"/>
    <w:rsid w:val="00C073F3"/>
    <w:rsid w:val="00C102F3"/>
    <w:rsid w:val="00C11112"/>
    <w:rsid w:val="00C161F8"/>
    <w:rsid w:val="00C16A4A"/>
    <w:rsid w:val="00C200DD"/>
    <w:rsid w:val="00C23624"/>
    <w:rsid w:val="00C26F58"/>
    <w:rsid w:val="00C31173"/>
    <w:rsid w:val="00C34EE6"/>
    <w:rsid w:val="00C373AB"/>
    <w:rsid w:val="00C37980"/>
    <w:rsid w:val="00C40B1F"/>
    <w:rsid w:val="00C4149E"/>
    <w:rsid w:val="00C45D23"/>
    <w:rsid w:val="00C46D98"/>
    <w:rsid w:val="00C47727"/>
    <w:rsid w:val="00C47D39"/>
    <w:rsid w:val="00C50747"/>
    <w:rsid w:val="00C50AE6"/>
    <w:rsid w:val="00C51DE8"/>
    <w:rsid w:val="00C55047"/>
    <w:rsid w:val="00C552B8"/>
    <w:rsid w:val="00C571DF"/>
    <w:rsid w:val="00C57455"/>
    <w:rsid w:val="00C57ED9"/>
    <w:rsid w:val="00C6051B"/>
    <w:rsid w:val="00C61B6B"/>
    <w:rsid w:val="00C62EFC"/>
    <w:rsid w:val="00C6503F"/>
    <w:rsid w:val="00C65B88"/>
    <w:rsid w:val="00C662E9"/>
    <w:rsid w:val="00C67243"/>
    <w:rsid w:val="00C67E4A"/>
    <w:rsid w:val="00C7087B"/>
    <w:rsid w:val="00C71CFC"/>
    <w:rsid w:val="00C71E7A"/>
    <w:rsid w:val="00C72A49"/>
    <w:rsid w:val="00C74028"/>
    <w:rsid w:val="00C742E6"/>
    <w:rsid w:val="00C75E37"/>
    <w:rsid w:val="00C818D1"/>
    <w:rsid w:val="00C81A70"/>
    <w:rsid w:val="00C849C1"/>
    <w:rsid w:val="00C90C4E"/>
    <w:rsid w:val="00C9174B"/>
    <w:rsid w:val="00C96485"/>
    <w:rsid w:val="00C969D7"/>
    <w:rsid w:val="00C96BBC"/>
    <w:rsid w:val="00CA03C6"/>
    <w:rsid w:val="00CA2306"/>
    <w:rsid w:val="00CA2BE4"/>
    <w:rsid w:val="00CA3640"/>
    <w:rsid w:val="00CA5270"/>
    <w:rsid w:val="00CA5EBC"/>
    <w:rsid w:val="00CA6856"/>
    <w:rsid w:val="00CA69F1"/>
    <w:rsid w:val="00CA7799"/>
    <w:rsid w:val="00CB0125"/>
    <w:rsid w:val="00CB0FC2"/>
    <w:rsid w:val="00CB1845"/>
    <w:rsid w:val="00CB2350"/>
    <w:rsid w:val="00CB30FB"/>
    <w:rsid w:val="00CB5F9B"/>
    <w:rsid w:val="00CB6E5F"/>
    <w:rsid w:val="00CB74DA"/>
    <w:rsid w:val="00CC4847"/>
    <w:rsid w:val="00CC7C0D"/>
    <w:rsid w:val="00CD31B6"/>
    <w:rsid w:val="00CD41C5"/>
    <w:rsid w:val="00CD50AB"/>
    <w:rsid w:val="00CD7729"/>
    <w:rsid w:val="00CE11E4"/>
    <w:rsid w:val="00CE43C1"/>
    <w:rsid w:val="00CE4E66"/>
    <w:rsid w:val="00CF2D0C"/>
    <w:rsid w:val="00D00C86"/>
    <w:rsid w:val="00D02605"/>
    <w:rsid w:val="00D039D9"/>
    <w:rsid w:val="00D078CC"/>
    <w:rsid w:val="00D110FE"/>
    <w:rsid w:val="00D1130C"/>
    <w:rsid w:val="00D12711"/>
    <w:rsid w:val="00D1662F"/>
    <w:rsid w:val="00D171E1"/>
    <w:rsid w:val="00D204B7"/>
    <w:rsid w:val="00D2050E"/>
    <w:rsid w:val="00D21EBF"/>
    <w:rsid w:val="00D23C52"/>
    <w:rsid w:val="00D32A15"/>
    <w:rsid w:val="00D352B6"/>
    <w:rsid w:val="00D36C3E"/>
    <w:rsid w:val="00D42366"/>
    <w:rsid w:val="00D428B3"/>
    <w:rsid w:val="00D43FD3"/>
    <w:rsid w:val="00D45B02"/>
    <w:rsid w:val="00D473EA"/>
    <w:rsid w:val="00D50B1A"/>
    <w:rsid w:val="00D512DE"/>
    <w:rsid w:val="00D56566"/>
    <w:rsid w:val="00D57367"/>
    <w:rsid w:val="00D61A37"/>
    <w:rsid w:val="00D62E6D"/>
    <w:rsid w:val="00D64782"/>
    <w:rsid w:val="00D647F8"/>
    <w:rsid w:val="00D67278"/>
    <w:rsid w:val="00D67B8D"/>
    <w:rsid w:val="00D74196"/>
    <w:rsid w:val="00D74D8F"/>
    <w:rsid w:val="00D7566D"/>
    <w:rsid w:val="00D76B00"/>
    <w:rsid w:val="00D76E20"/>
    <w:rsid w:val="00D8125F"/>
    <w:rsid w:val="00D81B40"/>
    <w:rsid w:val="00D83AA4"/>
    <w:rsid w:val="00D86D5E"/>
    <w:rsid w:val="00D90453"/>
    <w:rsid w:val="00D91F62"/>
    <w:rsid w:val="00D922B1"/>
    <w:rsid w:val="00D923CC"/>
    <w:rsid w:val="00D96547"/>
    <w:rsid w:val="00DA1523"/>
    <w:rsid w:val="00DA5F08"/>
    <w:rsid w:val="00DB22A5"/>
    <w:rsid w:val="00DB5D91"/>
    <w:rsid w:val="00DB7370"/>
    <w:rsid w:val="00DC139D"/>
    <w:rsid w:val="00DC2C8A"/>
    <w:rsid w:val="00DC2FF8"/>
    <w:rsid w:val="00DC4666"/>
    <w:rsid w:val="00DC4D2A"/>
    <w:rsid w:val="00DC571F"/>
    <w:rsid w:val="00DC71F3"/>
    <w:rsid w:val="00DD3EE9"/>
    <w:rsid w:val="00DD3F5E"/>
    <w:rsid w:val="00DD55DA"/>
    <w:rsid w:val="00DD5ADB"/>
    <w:rsid w:val="00DE0399"/>
    <w:rsid w:val="00DE271E"/>
    <w:rsid w:val="00DE35A0"/>
    <w:rsid w:val="00DE569D"/>
    <w:rsid w:val="00DE6571"/>
    <w:rsid w:val="00DE75FC"/>
    <w:rsid w:val="00DE7784"/>
    <w:rsid w:val="00DE7992"/>
    <w:rsid w:val="00DF0410"/>
    <w:rsid w:val="00DF2A2A"/>
    <w:rsid w:val="00DF39D8"/>
    <w:rsid w:val="00DF419A"/>
    <w:rsid w:val="00DF70D6"/>
    <w:rsid w:val="00DF7F7A"/>
    <w:rsid w:val="00E00185"/>
    <w:rsid w:val="00E01AA5"/>
    <w:rsid w:val="00E01FDA"/>
    <w:rsid w:val="00E03C5A"/>
    <w:rsid w:val="00E04B7F"/>
    <w:rsid w:val="00E0531A"/>
    <w:rsid w:val="00E066FE"/>
    <w:rsid w:val="00E102E2"/>
    <w:rsid w:val="00E10342"/>
    <w:rsid w:val="00E117F3"/>
    <w:rsid w:val="00E13E5B"/>
    <w:rsid w:val="00E154A0"/>
    <w:rsid w:val="00E15729"/>
    <w:rsid w:val="00E179CF"/>
    <w:rsid w:val="00E202A8"/>
    <w:rsid w:val="00E229C2"/>
    <w:rsid w:val="00E232D1"/>
    <w:rsid w:val="00E24168"/>
    <w:rsid w:val="00E2459C"/>
    <w:rsid w:val="00E24C1A"/>
    <w:rsid w:val="00E2523D"/>
    <w:rsid w:val="00E255B3"/>
    <w:rsid w:val="00E26643"/>
    <w:rsid w:val="00E267E0"/>
    <w:rsid w:val="00E32C35"/>
    <w:rsid w:val="00E369CE"/>
    <w:rsid w:val="00E417D3"/>
    <w:rsid w:val="00E41948"/>
    <w:rsid w:val="00E45331"/>
    <w:rsid w:val="00E45A2F"/>
    <w:rsid w:val="00E46978"/>
    <w:rsid w:val="00E46DA5"/>
    <w:rsid w:val="00E50A52"/>
    <w:rsid w:val="00E50CAC"/>
    <w:rsid w:val="00E53A10"/>
    <w:rsid w:val="00E564DA"/>
    <w:rsid w:val="00E574F6"/>
    <w:rsid w:val="00E608F3"/>
    <w:rsid w:val="00E60D6A"/>
    <w:rsid w:val="00E60FEA"/>
    <w:rsid w:val="00E63E82"/>
    <w:rsid w:val="00E65FAA"/>
    <w:rsid w:val="00E665DE"/>
    <w:rsid w:val="00E673A2"/>
    <w:rsid w:val="00E67743"/>
    <w:rsid w:val="00E71709"/>
    <w:rsid w:val="00E71F49"/>
    <w:rsid w:val="00E75460"/>
    <w:rsid w:val="00E7594A"/>
    <w:rsid w:val="00E777DA"/>
    <w:rsid w:val="00E7794D"/>
    <w:rsid w:val="00E77BC6"/>
    <w:rsid w:val="00E77DE7"/>
    <w:rsid w:val="00E81929"/>
    <w:rsid w:val="00E83E68"/>
    <w:rsid w:val="00E84A3B"/>
    <w:rsid w:val="00E903F8"/>
    <w:rsid w:val="00E913BA"/>
    <w:rsid w:val="00E93CAB"/>
    <w:rsid w:val="00E94F30"/>
    <w:rsid w:val="00E95B86"/>
    <w:rsid w:val="00E95F76"/>
    <w:rsid w:val="00EA4749"/>
    <w:rsid w:val="00EA56D7"/>
    <w:rsid w:val="00EA7FE0"/>
    <w:rsid w:val="00EB362B"/>
    <w:rsid w:val="00EB56CD"/>
    <w:rsid w:val="00EC22AC"/>
    <w:rsid w:val="00EC2B26"/>
    <w:rsid w:val="00EC5BB8"/>
    <w:rsid w:val="00EC5F29"/>
    <w:rsid w:val="00EC68AC"/>
    <w:rsid w:val="00ED11D0"/>
    <w:rsid w:val="00ED1508"/>
    <w:rsid w:val="00ED324B"/>
    <w:rsid w:val="00ED4D59"/>
    <w:rsid w:val="00EE171A"/>
    <w:rsid w:val="00EE2BEC"/>
    <w:rsid w:val="00EE2F00"/>
    <w:rsid w:val="00EE61D1"/>
    <w:rsid w:val="00EE64AC"/>
    <w:rsid w:val="00EE7052"/>
    <w:rsid w:val="00EF088D"/>
    <w:rsid w:val="00EF0BFF"/>
    <w:rsid w:val="00EF225C"/>
    <w:rsid w:val="00EF2790"/>
    <w:rsid w:val="00EF50BC"/>
    <w:rsid w:val="00EF5E12"/>
    <w:rsid w:val="00EF6431"/>
    <w:rsid w:val="00EF661D"/>
    <w:rsid w:val="00EF748B"/>
    <w:rsid w:val="00F002FE"/>
    <w:rsid w:val="00F01066"/>
    <w:rsid w:val="00F051B9"/>
    <w:rsid w:val="00F13454"/>
    <w:rsid w:val="00F15E89"/>
    <w:rsid w:val="00F17FBE"/>
    <w:rsid w:val="00F2236C"/>
    <w:rsid w:val="00F22DBF"/>
    <w:rsid w:val="00F23E09"/>
    <w:rsid w:val="00F2704F"/>
    <w:rsid w:val="00F2742F"/>
    <w:rsid w:val="00F32E45"/>
    <w:rsid w:val="00F34A3F"/>
    <w:rsid w:val="00F3686B"/>
    <w:rsid w:val="00F36D40"/>
    <w:rsid w:val="00F37DA1"/>
    <w:rsid w:val="00F37E9A"/>
    <w:rsid w:val="00F40E3D"/>
    <w:rsid w:val="00F41A1F"/>
    <w:rsid w:val="00F4275D"/>
    <w:rsid w:val="00F450E2"/>
    <w:rsid w:val="00F459B3"/>
    <w:rsid w:val="00F469C0"/>
    <w:rsid w:val="00F47515"/>
    <w:rsid w:val="00F51365"/>
    <w:rsid w:val="00F53B1F"/>
    <w:rsid w:val="00F54707"/>
    <w:rsid w:val="00F54E57"/>
    <w:rsid w:val="00F57317"/>
    <w:rsid w:val="00F615EE"/>
    <w:rsid w:val="00F625D4"/>
    <w:rsid w:val="00F62B21"/>
    <w:rsid w:val="00F62C19"/>
    <w:rsid w:val="00F6596B"/>
    <w:rsid w:val="00F65E15"/>
    <w:rsid w:val="00F70B94"/>
    <w:rsid w:val="00F7261E"/>
    <w:rsid w:val="00F74E91"/>
    <w:rsid w:val="00F76CC9"/>
    <w:rsid w:val="00F77F91"/>
    <w:rsid w:val="00F80390"/>
    <w:rsid w:val="00F82600"/>
    <w:rsid w:val="00F8262B"/>
    <w:rsid w:val="00F834B4"/>
    <w:rsid w:val="00F83DB4"/>
    <w:rsid w:val="00F850EB"/>
    <w:rsid w:val="00F90174"/>
    <w:rsid w:val="00F9085A"/>
    <w:rsid w:val="00F91FD6"/>
    <w:rsid w:val="00F92D39"/>
    <w:rsid w:val="00F92EBD"/>
    <w:rsid w:val="00F94A51"/>
    <w:rsid w:val="00F95414"/>
    <w:rsid w:val="00F96614"/>
    <w:rsid w:val="00F97256"/>
    <w:rsid w:val="00FA1BE4"/>
    <w:rsid w:val="00FA5456"/>
    <w:rsid w:val="00FA5B2A"/>
    <w:rsid w:val="00FA68D9"/>
    <w:rsid w:val="00FA6FB3"/>
    <w:rsid w:val="00FA7D18"/>
    <w:rsid w:val="00FB10B3"/>
    <w:rsid w:val="00FB3FD8"/>
    <w:rsid w:val="00FB44DD"/>
    <w:rsid w:val="00FB4EDC"/>
    <w:rsid w:val="00FC0980"/>
    <w:rsid w:val="00FC2702"/>
    <w:rsid w:val="00FC2A2B"/>
    <w:rsid w:val="00FC2BEC"/>
    <w:rsid w:val="00FC58B3"/>
    <w:rsid w:val="00FC65BB"/>
    <w:rsid w:val="00FD08CC"/>
    <w:rsid w:val="00FD12DC"/>
    <w:rsid w:val="00FD65AE"/>
    <w:rsid w:val="00FE0520"/>
    <w:rsid w:val="00FE33E1"/>
    <w:rsid w:val="00FE6ADA"/>
    <w:rsid w:val="00FF2ACD"/>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uiPriority w:val="99"/>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link w:val="MargeChar"/>
    <w:uiPriority w:val="99"/>
    <w:qFormat/>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aliases w:val="IT Kommentartext"/>
    <w:basedOn w:val="Normal"/>
    <w:link w:val="CommentTextChar"/>
    <w:qFormat/>
    <w:rsid w:val="008F4611"/>
    <w:rPr>
      <w:sz w:val="20"/>
      <w:szCs w:val="20"/>
    </w:rPr>
  </w:style>
  <w:style w:type="character" w:customStyle="1" w:styleId="CommentTextChar">
    <w:name w:val="Comment Text Char"/>
    <w:aliases w:val="IT Kommentartext Char"/>
    <w:basedOn w:val="DefaultParagraphFont"/>
    <w:link w:val="CommentText"/>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
    <w:basedOn w:val="Normal"/>
    <w:link w:val="ListParagraphChar"/>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paragraph" w:styleId="Revision">
    <w:name w:val="Revision"/>
    <w:hidden/>
    <w:uiPriority w:val="99"/>
    <w:semiHidden/>
    <w:rsid w:val="00141A44"/>
    <w:rPr>
      <w:snapToGrid w:val="0"/>
      <w:sz w:val="24"/>
      <w:szCs w:val="24"/>
      <w:lang w:val="en-GB"/>
    </w:rPr>
  </w:style>
  <w:style w:type="character" w:styleId="UnresolvedMention">
    <w:name w:val="Unresolved Mention"/>
    <w:basedOn w:val="DefaultParagraphFont"/>
    <w:uiPriority w:val="99"/>
    <w:semiHidden/>
    <w:unhideWhenUsed/>
    <w:rsid w:val="00730172"/>
    <w:rPr>
      <w:color w:val="605E5C"/>
      <w:shd w:val="clear" w:color="auto" w:fill="E1DFDD"/>
    </w:rPr>
  </w:style>
  <w:style w:type="character" w:customStyle="1" w:styleId="apple-converted-space">
    <w:name w:val="apple-converted-space"/>
    <w:basedOn w:val="DefaultParagraphFont"/>
    <w:rsid w:val="00C9174B"/>
  </w:style>
  <w:style w:type="paragraph" w:customStyle="1" w:styleId="xmsonormal">
    <w:name w:val="x_msonormal"/>
    <w:basedOn w:val="Normal"/>
    <w:rsid w:val="002660A1"/>
    <w:pPr>
      <w:tabs>
        <w:tab w:val="clear" w:pos="567"/>
      </w:tabs>
      <w:snapToGrid/>
    </w:pPr>
    <w:rPr>
      <w:rFonts w:ascii="Calibri" w:eastAsiaTheme="minorEastAsia" w:hAnsi="Calibri" w:cs="Calibri"/>
      <w:snapToGrid/>
      <w:sz w:val="20"/>
      <w:szCs w:val="20"/>
      <w:lang w:val="en-US"/>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link w:val="ListParagraph"/>
    <w:uiPriority w:val="34"/>
    <w:locked/>
    <w:rsid w:val="005D5B40"/>
    <w:rPr>
      <w:snapToGrid w:val="0"/>
      <w:sz w:val="24"/>
      <w:szCs w:val="24"/>
      <w:lang w:val="en-GB"/>
    </w:rPr>
  </w:style>
  <w:style w:type="paragraph" w:styleId="NormalWeb">
    <w:name w:val="Normal (Web)"/>
    <w:basedOn w:val="Normal"/>
    <w:unhideWhenUsed/>
    <w:rsid w:val="007867DE"/>
  </w:style>
  <w:style w:type="character" w:customStyle="1" w:styleId="MargeChar">
    <w:name w:val="Marge Char"/>
    <w:link w:val="Marge"/>
    <w:uiPriority w:val="99"/>
    <w:rsid w:val="00EE2BEC"/>
    <w:rPr>
      <w:rFonts w:eastAsia="Times New Roman"/>
      <w:snapToGrid w:val="0"/>
      <w:sz w:val="24"/>
      <w:szCs w:val="24"/>
      <w:lang w:val="en-GB" w:eastAsia="en-US"/>
    </w:rPr>
  </w:style>
  <w:style w:type="table" w:customStyle="1" w:styleId="TableGrid1">
    <w:name w:val="Table Grid1"/>
    <w:basedOn w:val="TableNormal"/>
    <w:next w:val="TableGrid"/>
    <w:rsid w:val="00EE2BEC"/>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bodytext">
    <w:name w:val="Numbered body text"/>
    <w:basedOn w:val="BodyText"/>
    <w:uiPriority w:val="1"/>
    <w:qFormat/>
    <w:rsid w:val="00EE2BEC"/>
    <w:pPr>
      <w:widowControl w:val="0"/>
      <w:numPr>
        <w:numId w:val="39"/>
      </w:numPr>
      <w:tabs>
        <w:tab w:val="clear" w:pos="567"/>
        <w:tab w:val="num" w:pos="644"/>
      </w:tabs>
      <w:autoSpaceDE w:val="0"/>
      <w:autoSpaceDN w:val="0"/>
      <w:snapToGrid/>
      <w:spacing w:before="120" w:line="271" w:lineRule="auto"/>
      <w:ind w:left="567" w:right="141" w:hanging="361"/>
      <w:jc w:val="both"/>
    </w:pPr>
    <w:rPr>
      <w:rFonts w:ascii="Arial" w:eastAsia="Arial" w:hAnsi="Arial"/>
      <w:snapToGrid/>
      <w:sz w:val="20"/>
      <w:szCs w:val="20"/>
      <w:lang w:eastAsia="x-none"/>
    </w:rPr>
  </w:style>
  <w:style w:type="paragraph" w:styleId="BodyText">
    <w:name w:val="Body Text"/>
    <w:basedOn w:val="Normal"/>
    <w:link w:val="BodyTextChar"/>
    <w:semiHidden/>
    <w:unhideWhenUsed/>
    <w:rsid w:val="00EE2BEC"/>
    <w:pPr>
      <w:spacing w:after="120"/>
    </w:pPr>
  </w:style>
  <w:style w:type="character" w:customStyle="1" w:styleId="BodyTextChar">
    <w:name w:val="Body Text Char"/>
    <w:basedOn w:val="DefaultParagraphFont"/>
    <w:link w:val="BodyText"/>
    <w:semiHidden/>
    <w:rsid w:val="00EE2BEC"/>
    <w:rPr>
      <w:snapToGrid w:val="0"/>
      <w:sz w:val="24"/>
      <w:szCs w:val="24"/>
      <w:lang w:val="en-GB"/>
    </w:rPr>
  </w:style>
  <w:style w:type="character" w:customStyle="1" w:styleId="FooterChar">
    <w:name w:val="Footer Char"/>
    <w:basedOn w:val="DefaultParagraphFont"/>
    <w:link w:val="Footer"/>
    <w:uiPriority w:val="99"/>
    <w:rsid w:val="00101B97"/>
    <w:rPr>
      <w:rFonts w:eastAsia="Times New Roman"/>
      <w:snapToGrid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335690884">
      <w:bodyDiv w:val="1"/>
      <w:marLeft w:val="0"/>
      <w:marRight w:val="0"/>
      <w:marTop w:val="0"/>
      <w:marBottom w:val="0"/>
      <w:divBdr>
        <w:top w:val="none" w:sz="0" w:space="0" w:color="auto"/>
        <w:left w:val="none" w:sz="0" w:space="0" w:color="auto"/>
        <w:bottom w:val="none" w:sz="0" w:space="0" w:color="auto"/>
        <w:right w:val="none" w:sz="0" w:space="0" w:color="auto"/>
      </w:divBdr>
    </w:div>
    <w:div w:id="438456386">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540628511">
      <w:bodyDiv w:val="1"/>
      <w:marLeft w:val="0"/>
      <w:marRight w:val="0"/>
      <w:marTop w:val="0"/>
      <w:marBottom w:val="0"/>
      <w:divBdr>
        <w:top w:val="none" w:sz="0" w:space="0" w:color="auto"/>
        <w:left w:val="none" w:sz="0" w:space="0" w:color="auto"/>
        <w:bottom w:val="none" w:sz="0" w:space="0" w:color="auto"/>
        <w:right w:val="none" w:sz="0" w:space="0" w:color="auto"/>
      </w:divBdr>
    </w:div>
    <w:div w:id="541555638">
      <w:bodyDiv w:val="1"/>
      <w:marLeft w:val="0"/>
      <w:marRight w:val="0"/>
      <w:marTop w:val="0"/>
      <w:marBottom w:val="0"/>
      <w:divBdr>
        <w:top w:val="none" w:sz="0" w:space="0" w:color="auto"/>
        <w:left w:val="none" w:sz="0" w:space="0" w:color="auto"/>
        <w:bottom w:val="none" w:sz="0" w:space="0" w:color="auto"/>
        <w:right w:val="none" w:sz="0" w:space="0" w:color="auto"/>
      </w:divBdr>
    </w:div>
    <w:div w:id="61082208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1846237731">
      <w:bodyDiv w:val="1"/>
      <w:marLeft w:val="0"/>
      <w:marRight w:val="0"/>
      <w:marTop w:val="0"/>
      <w:marBottom w:val="0"/>
      <w:divBdr>
        <w:top w:val="none" w:sz="0" w:space="0" w:color="auto"/>
        <w:left w:val="none" w:sz="0" w:space="0" w:color="auto"/>
        <w:bottom w:val="none" w:sz="0" w:space="0" w:color="auto"/>
        <w:right w:val="none" w:sz="0" w:space="0" w:color="auto"/>
      </w:divBdr>
    </w:div>
    <w:div w:id="1891067012">
      <w:bodyDiv w:val="1"/>
      <w:marLeft w:val="0"/>
      <w:marRight w:val="0"/>
      <w:marTop w:val="0"/>
      <w:marBottom w:val="0"/>
      <w:divBdr>
        <w:top w:val="none" w:sz="0" w:space="0" w:color="auto"/>
        <w:left w:val="none" w:sz="0" w:space="0" w:color="auto"/>
        <w:bottom w:val="none" w:sz="0" w:space="0" w:color="auto"/>
        <w:right w:val="none" w:sz="0" w:space="0" w:color="auto"/>
      </w:divBdr>
    </w:div>
    <w:div w:id="1987735218">
      <w:bodyDiv w:val="1"/>
      <w:marLeft w:val="0"/>
      <w:marRight w:val="0"/>
      <w:marTop w:val="0"/>
      <w:marBottom w:val="0"/>
      <w:divBdr>
        <w:top w:val="none" w:sz="0" w:space="0" w:color="auto"/>
        <w:left w:val="none" w:sz="0" w:space="0" w:color="auto"/>
        <w:bottom w:val="none" w:sz="0" w:space="0" w:color="auto"/>
        <w:right w:val="none" w:sz="0" w:space="0" w:color="auto"/>
      </w:divBdr>
    </w:div>
    <w:div w:id="2041928298">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hyperlink" Target="https://oceanexpert.org/document/342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oceanexpert.org/document/31196"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4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s://unesdoc.unesco.org/ark:/48223/pf0000378557_spa" TargetMode="External"/><Relationship Id="rId19" Type="http://schemas.openxmlformats.org/officeDocument/2006/relationships/hyperlink" Target="https://oceanexpert.org/document/35845" TargetMode="External"/><Relationship Id="rId4" Type="http://schemas.openxmlformats.org/officeDocument/2006/relationships/settings" Target="settings.xml"/><Relationship Id="rId9" Type="http://schemas.openxmlformats.org/officeDocument/2006/relationships/hyperlink" Target="https://unesdoc.unesco.org/ark:/48223/pf0000379054.locale=fr" TargetMode="External"/><Relationship Id="rId14" Type="http://schemas.openxmlformats.org/officeDocument/2006/relationships/hyperlink" Target="https://unesdoc.unesco.org/ark:/48223/pf0000390822_spa"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2D727-7186-A44D-9658-2F200787A3E7}">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3786</Words>
  <Characters>20130</Characters>
  <Application>Microsoft Office Word</Application>
  <DocSecurity>4</DocSecurity>
  <Lines>167</Lines>
  <Paragraphs>47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Informe del Secretario Ejecutivo sobre la labor realizada desde la 32a reunión de la Asamblea (junio de 2023-mayo de 2025)</vt:lpstr>
      <vt:lpstr>Informe del Secretario Ejecutivo sobre la labor realizada desde la 32a reunión de la Asamblea (junio de 2023-mayo de 2025)</vt:lpstr>
      <vt:lpstr>Revised provisional agenda of the forty-seventh session of the Executive Council of the Intergovernmental Oceanographic Commission</vt:lpstr>
    </vt:vector>
  </TitlesOfParts>
  <Company>UNESCO</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acción en respuesta a la evaluación por la IOS del posicionamiento estratégico de la COI_x000d_
Información actualizada sobre la ejecución</dc:title>
  <dc:subject>IOC/A-33/5.3.Doc(2)</dc:subject>
  <dc:creator>UNESCO</dc:creator>
  <cp:keywords>1210.14E</cp:keywords>
  <dc:description/>
  <cp:lastModifiedBy>Boned, Patrice</cp:lastModifiedBy>
  <cp:revision>2</cp:revision>
  <cp:lastPrinted>2025-03-27T11:35:00Z</cp:lastPrinted>
  <dcterms:created xsi:type="dcterms:W3CDTF">2025-04-23T10:23:00Z</dcterms:created>
  <dcterms:modified xsi:type="dcterms:W3CDTF">2025-04-23T10:23:00Z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S</vt:lpwstr>
  </property>
  <property fmtid="{D5CDD505-2E9C-101B-9397-08002B2CF9AE}" pid="5" name="JobNumber">
    <vt:lpwstr>2500260S</vt:lpwstr>
  </property>
  <property fmtid="{D5CDD505-2E9C-101B-9397-08002B2CF9AE}" pid="6" name="ForceJobNumber">
    <vt:bool>true</vt:bool>
  </property>
  <property fmtid="{D5CDD505-2E9C-101B-9397-08002B2CF9AE}" pid="7" name="TranslatedWith">
    <vt:lpwstr>Mercury</vt:lpwstr>
  </property>
  <property fmtid="{D5CDD505-2E9C-101B-9397-08002B2CF9AE}" pid="8" name="GeneratedBy">
    <vt:lpwstr>k.bou-habib@unesco.org</vt:lpwstr>
  </property>
  <property fmtid="{D5CDD505-2E9C-101B-9397-08002B2CF9AE}" pid="9" name="GeneratedDate">
    <vt:lpwstr>04/10/2025 14:48:30</vt:lpwstr>
  </property>
  <property fmtid="{D5CDD505-2E9C-101B-9397-08002B2CF9AE}" pid="10" name="OriginalDocID">
    <vt:lpwstr>b4226b36-9fc9-499c-9064-05b38bcf460b</vt:lpwstr>
  </property>
</Properties>
</file>