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0EE29" w14:textId="77777777" w:rsidR="00E84FFB" w:rsidRDefault="00E84FFB" w:rsidP="00C656A3">
      <w:pPr>
        <w:jc w:val="center"/>
        <w:rPr>
          <w:b/>
          <w:color w:val="000000" w:themeColor="text1"/>
          <w:sz w:val="32"/>
          <w:szCs w:val="32"/>
          <w:lang w:val="en-US"/>
        </w:rPr>
      </w:pPr>
    </w:p>
    <w:p w14:paraId="124D11C4" w14:textId="77777777" w:rsidR="00E84FFB" w:rsidRPr="00601A2A" w:rsidRDefault="00E84FFB" w:rsidP="00E84FFB">
      <w:pPr>
        <w:pStyle w:val="ListParagraph"/>
        <w:numPr>
          <w:ilvl w:val="0"/>
          <w:numId w:val="10"/>
        </w:numPr>
        <w:jc w:val="center"/>
        <w:rPr>
          <w:rFonts w:ascii="Calibri" w:hAnsi="Calibri" w:cs="Calibri"/>
          <w:b/>
          <w:color w:val="C00000"/>
          <w:sz w:val="32"/>
          <w:szCs w:val="32"/>
          <w:lang w:val="en-US"/>
        </w:rPr>
      </w:pPr>
      <w:r w:rsidRPr="00601A2A">
        <w:rPr>
          <w:rFonts w:ascii="Calibri" w:hAnsi="Calibri" w:cs="Calibri"/>
          <w:b/>
          <w:color w:val="C00000"/>
          <w:sz w:val="32"/>
          <w:szCs w:val="32"/>
          <w:lang w:val="en-US"/>
        </w:rPr>
        <w:t>DRAFT – 09/04/25</w:t>
      </w:r>
    </w:p>
    <w:p w14:paraId="5B39848A" w14:textId="1837E086" w:rsidR="00E84FFB" w:rsidRPr="00E84FFB" w:rsidRDefault="00E84FFB" w:rsidP="00E84FFB">
      <w:pPr>
        <w:ind w:left="360"/>
        <w:jc w:val="center"/>
        <w:rPr>
          <w:rFonts w:ascii="Calibri" w:hAnsi="Calibri" w:cs="Calibri"/>
          <w:b/>
          <w:color w:val="C00000"/>
          <w:sz w:val="32"/>
          <w:szCs w:val="32"/>
          <w:lang w:val="en-US"/>
        </w:rPr>
      </w:pPr>
      <w:r w:rsidRPr="00601A2A">
        <w:rPr>
          <w:rFonts w:ascii="Calibri" w:hAnsi="Calibri" w:cs="Calibri"/>
          <w:b/>
          <w:color w:val="C00000"/>
          <w:sz w:val="32"/>
          <w:szCs w:val="32"/>
          <w:lang w:val="en-US"/>
        </w:rPr>
        <w:t>Under consideration by the IOC WG on SOPM</w:t>
      </w:r>
    </w:p>
    <w:p w14:paraId="66BA4099" w14:textId="77777777" w:rsidR="00E84FFB" w:rsidRDefault="00E84FFB" w:rsidP="00C656A3">
      <w:pPr>
        <w:jc w:val="center"/>
        <w:rPr>
          <w:b/>
          <w:color w:val="000000" w:themeColor="text1"/>
          <w:sz w:val="32"/>
          <w:szCs w:val="32"/>
          <w:lang w:val="en-US"/>
        </w:rPr>
      </w:pPr>
    </w:p>
    <w:p w14:paraId="589AB14B" w14:textId="42A2483E" w:rsidR="00D96204" w:rsidRPr="00C656A3" w:rsidRDefault="00B33CBD" w:rsidP="00C656A3">
      <w:pPr>
        <w:jc w:val="center"/>
        <w:rPr>
          <w:b/>
          <w:color w:val="000000" w:themeColor="text1"/>
          <w:sz w:val="32"/>
          <w:szCs w:val="32"/>
          <w:lang w:val="en-US"/>
        </w:rPr>
      </w:pPr>
      <w:r w:rsidRPr="00C656A3">
        <w:rPr>
          <w:b/>
          <w:color w:val="000000" w:themeColor="text1"/>
          <w:sz w:val="32"/>
          <w:szCs w:val="32"/>
          <w:lang w:val="en-US"/>
        </w:rPr>
        <w:t>Implementation Plan for the IOC-SOPM Strategy</w:t>
      </w:r>
    </w:p>
    <w:p w14:paraId="31671EEB" w14:textId="49AC54FB" w:rsidR="00B33CBD" w:rsidRPr="00C656A3" w:rsidRDefault="00B33CBD" w:rsidP="00C656A3">
      <w:pPr>
        <w:pBdr>
          <w:bottom w:val="single" w:sz="4" w:space="1" w:color="auto"/>
        </w:pBdr>
        <w:jc w:val="center"/>
        <w:rPr>
          <w:b/>
          <w:color w:val="000000" w:themeColor="text1"/>
          <w:sz w:val="32"/>
          <w:szCs w:val="32"/>
          <w:lang w:val="en-US"/>
        </w:rPr>
      </w:pPr>
      <w:r w:rsidRPr="00C656A3">
        <w:rPr>
          <w:b/>
          <w:color w:val="000000" w:themeColor="text1"/>
          <w:sz w:val="32"/>
          <w:szCs w:val="32"/>
          <w:lang w:val="en-US"/>
        </w:rPr>
        <w:t>Timeframe: 2025-2027</w:t>
      </w:r>
    </w:p>
    <w:p w14:paraId="7344F3FA" w14:textId="3750B302" w:rsidR="00B33CBD" w:rsidRDefault="00B33CBD">
      <w:pPr>
        <w:rPr>
          <w:b/>
          <w:color w:val="000000" w:themeColor="text1"/>
          <w:sz w:val="28"/>
          <w:szCs w:val="28"/>
          <w:lang w:val="en-US"/>
        </w:rPr>
      </w:pPr>
    </w:p>
    <w:p w14:paraId="51CF143F" w14:textId="7D6BCEA0" w:rsidR="006F3009" w:rsidRPr="006F3009" w:rsidRDefault="006F3009" w:rsidP="006F3009">
      <w:pPr>
        <w:jc w:val="both"/>
        <w:rPr>
          <w:b/>
          <w:color w:val="000000" w:themeColor="text1"/>
          <w:sz w:val="28"/>
          <w:szCs w:val="28"/>
          <w:lang w:val="en-US"/>
        </w:rPr>
      </w:pPr>
      <w:r>
        <w:rPr>
          <w:b/>
          <w:color w:val="000000" w:themeColor="text1"/>
          <w:sz w:val="28"/>
          <w:szCs w:val="28"/>
          <w:lang w:val="en-US"/>
        </w:rPr>
        <w:t>Timeframe and expected outcomes</w:t>
      </w:r>
    </w:p>
    <w:p w14:paraId="49C670AF" w14:textId="77777777" w:rsidR="006F3009" w:rsidRPr="006F3009" w:rsidRDefault="006F3009" w:rsidP="006F3009">
      <w:pPr>
        <w:jc w:val="both"/>
        <w:rPr>
          <w:b/>
          <w:sz w:val="28"/>
          <w:szCs w:val="28"/>
          <w:lang w:val="en-US"/>
        </w:rPr>
      </w:pPr>
    </w:p>
    <w:p w14:paraId="00866D34" w14:textId="74691A30" w:rsidR="00FE5192" w:rsidRPr="009638AD" w:rsidRDefault="00BD6D6A" w:rsidP="009638AD">
      <w:pPr>
        <w:pStyle w:val="ListParagraph"/>
        <w:numPr>
          <w:ilvl w:val="0"/>
          <w:numId w:val="7"/>
        </w:numPr>
        <w:jc w:val="both"/>
        <w:rPr>
          <w:lang w:val="en-US"/>
        </w:rPr>
      </w:pPr>
      <w:r w:rsidRPr="009638AD">
        <w:rPr>
          <w:lang w:val="en-US"/>
        </w:rPr>
        <w:t xml:space="preserve">This </w:t>
      </w:r>
      <w:r w:rsidRPr="00A11C82">
        <w:rPr>
          <w:strike/>
          <w:highlight w:val="yellow"/>
          <w:lang w:val="en-US"/>
        </w:rPr>
        <w:t>Implementation Plan sets out</w:t>
      </w:r>
      <w:r w:rsidRPr="00A11C82">
        <w:rPr>
          <w:highlight w:val="yellow"/>
          <w:lang w:val="en-US"/>
        </w:rPr>
        <w:t xml:space="preserve"> </w:t>
      </w:r>
      <w:r w:rsidR="00A11C82" w:rsidRPr="00A11C82">
        <w:rPr>
          <w:highlight w:val="yellow"/>
          <w:lang w:val="en-US"/>
        </w:rPr>
        <w:t>document presents</w:t>
      </w:r>
      <w:r w:rsidR="00A11C82">
        <w:rPr>
          <w:lang w:val="en-US"/>
        </w:rPr>
        <w:t xml:space="preserve"> </w:t>
      </w:r>
      <w:r w:rsidRPr="009638AD">
        <w:rPr>
          <w:lang w:val="en-US"/>
        </w:rPr>
        <w:t xml:space="preserve">the </w:t>
      </w:r>
      <w:r w:rsidR="00A11C82" w:rsidRPr="00A11C82">
        <w:rPr>
          <w:highlight w:val="yellow"/>
          <w:lang w:val="en-US"/>
        </w:rPr>
        <w:t>proposed</w:t>
      </w:r>
      <w:r w:rsidR="00A11C82">
        <w:rPr>
          <w:lang w:val="en-US"/>
        </w:rPr>
        <w:t xml:space="preserve"> </w:t>
      </w:r>
      <w:r w:rsidRPr="006F3009">
        <w:rPr>
          <w:lang w:val="en-US"/>
        </w:rPr>
        <w:t>act</w:t>
      </w:r>
      <w:r w:rsidR="00C656A3" w:rsidRPr="006F3009">
        <w:rPr>
          <w:lang w:val="en-US"/>
        </w:rPr>
        <w:t>ivities</w:t>
      </w:r>
      <w:r w:rsidRPr="006F3009">
        <w:rPr>
          <w:lang w:val="en-US"/>
        </w:rPr>
        <w:t xml:space="preserve">, deliverables, timeframes, partners </w:t>
      </w:r>
      <w:r w:rsidR="006F3009">
        <w:rPr>
          <w:lang w:val="en-US"/>
        </w:rPr>
        <w:t>and</w:t>
      </w:r>
      <w:r w:rsidRPr="006F3009">
        <w:rPr>
          <w:lang w:val="en-US"/>
        </w:rPr>
        <w:t xml:space="preserve"> budget requirements</w:t>
      </w:r>
      <w:r w:rsidRPr="009638AD">
        <w:rPr>
          <w:lang w:val="en-US"/>
        </w:rPr>
        <w:t xml:space="preserve"> </w:t>
      </w:r>
      <w:r w:rsidRPr="00A11C82">
        <w:rPr>
          <w:strike/>
          <w:highlight w:val="yellow"/>
          <w:lang w:val="en-US"/>
        </w:rPr>
        <w:t xml:space="preserve">through </w:t>
      </w:r>
      <w:r w:rsidR="009638AD" w:rsidRPr="00A11C82">
        <w:rPr>
          <w:strike/>
          <w:highlight w:val="yellow"/>
          <w:lang w:val="en-US"/>
        </w:rPr>
        <w:t xml:space="preserve">which the </w:t>
      </w:r>
      <w:r w:rsidRPr="00A11C82">
        <w:rPr>
          <w:strike/>
          <w:highlight w:val="yellow"/>
          <w:lang w:val="en-US"/>
        </w:rPr>
        <w:t xml:space="preserve">expected outcomes of the </w:t>
      </w:r>
      <w:r w:rsidR="00C656A3" w:rsidRPr="00A11C82">
        <w:rPr>
          <w:strike/>
          <w:highlight w:val="yellow"/>
          <w:lang w:val="en-US"/>
        </w:rPr>
        <w:t>IOC-</w:t>
      </w:r>
      <w:r w:rsidRPr="00A11C82">
        <w:rPr>
          <w:strike/>
          <w:highlight w:val="yellow"/>
          <w:lang w:val="en-US"/>
        </w:rPr>
        <w:t>SOPM strategy will be delivered</w:t>
      </w:r>
      <w:r w:rsidR="009638AD" w:rsidRPr="00A11C82">
        <w:rPr>
          <w:strike/>
          <w:highlight w:val="yellow"/>
          <w:lang w:val="en-US"/>
        </w:rPr>
        <w:t xml:space="preserve"> for the </w:t>
      </w:r>
      <w:r w:rsidRPr="00A11C82">
        <w:rPr>
          <w:strike/>
          <w:highlight w:val="yellow"/>
          <w:lang w:val="en-US"/>
        </w:rPr>
        <w:t>first</w:t>
      </w:r>
      <w:r w:rsidR="00A11C82" w:rsidRPr="00A11C82">
        <w:rPr>
          <w:strike/>
          <w:highlight w:val="yellow"/>
          <w:lang w:val="en-US"/>
        </w:rPr>
        <w:t xml:space="preserve"> </w:t>
      </w:r>
      <w:r w:rsidR="00A11C82" w:rsidRPr="00A11C82">
        <w:rPr>
          <w:highlight w:val="yellow"/>
          <w:lang w:val="en-US"/>
        </w:rPr>
        <w:t>to start implementing the IOC-SOPM Strategy</w:t>
      </w:r>
      <w:r w:rsidR="00A11C82" w:rsidRPr="00A11C82">
        <w:rPr>
          <w:strike/>
          <w:highlight w:val="yellow"/>
          <w:lang w:val="en-US"/>
        </w:rPr>
        <w:t xml:space="preserve"> </w:t>
      </w:r>
      <w:r w:rsidRPr="00A11C82">
        <w:rPr>
          <w:b/>
          <w:strike/>
          <w:highlight w:val="yellow"/>
          <w:lang w:val="en-US"/>
        </w:rPr>
        <w:t>period</w:t>
      </w:r>
      <w:r w:rsidRPr="006F3009">
        <w:rPr>
          <w:b/>
          <w:lang w:val="en-US"/>
        </w:rPr>
        <w:t xml:space="preserve"> from mid-2025 until end 2027</w:t>
      </w:r>
      <w:r>
        <w:rPr>
          <w:rStyle w:val="FootnoteReference"/>
          <w:lang w:val="en-US"/>
        </w:rPr>
        <w:footnoteReference w:id="1"/>
      </w:r>
      <w:r w:rsidR="00A11C82">
        <w:rPr>
          <w:lang w:val="en-US"/>
        </w:rPr>
        <w:t xml:space="preserve">, and </w:t>
      </w:r>
      <w:r w:rsidR="00A11C82" w:rsidRPr="00A11C82">
        <w:rPr>
          <w:highlight w:val="yellow"/>
          <w:lang w:val="en-US"/>
        </w:rPr>
        <w:t>progress towards its</w:t>
      </w:r>
      <w:r w:rsidR="00A11C82">
        <w:rPr>
          <w:lang w:val="en-US"/>
        </w:rPr>
        <w:t xml:space="preserve"> five </w:t>
      </w:r>
      <w:r w:rsidR="00FE5192" w:rsidRPr="009638AD">
        <w:rPr>
          <w:lang w:val="en-US"/>
        </w:rPr>
        <w:t xml:space="preserve">expected outcomes </w:t>
      </w:r>
      <w:r w:rsidR="00A11C82" w:rsidRPr="00A11C82">
        <w:rPr>
          <w:highlight w:val="yellow"/>
          <w:lang w:val="en-US"/>
        </w:rPr>
        <w:t>by 2030 (FR)</w:t>
      </w:r>
      <w:r w:rsidR="00FE5192" w:rsidRPr="00A11C82">
        <w:rPr>
          <w:highlight w:val="yellow"/>
          <w:lang w:val="en-US"/>
        </w:rPr>
        <w:t>:</w:t>
      </w:r>
    </w:p>
    <w:p w14:paraId="08870736" w14:textId="3F2C4B74" w:rsidR="00FE5192" w:rsidRDefault="00FE5192" w:rsidP="00BD6D6A">
      <w:pPr>
        <w:jc w:val="both"/>
        <w:rPr>
          <w:lang w:val="en-US"/>
        </w:rPr>
      </w:pPr>
    </w:p>
    <w:p w14:paraId="545AF07A" w14:textId="77777777" w:rsidR="00FE5192" w:rsidRPr="00BD51BB" w:rsidRDefault="00FE5192" w:rsidP="009638AD">
      <w:pPr>
        <w:ind w:firstLine="720"/>
        <w:jc w:val="both"/>
        <w:rPr>
          <w:b/>
          <w:u w:val="single"/>
          <w:lang w:val="en-US"/>
        </w:rPr>
      </w:pPr>
      <w:r w:rsidRPr="00BD51BB">
        <w:rPr>
          <w:b/>
          <w:u w:val="single"/>
          <w:lang w:val="en-US"/>
        </w:rPr>
        <w:t xml:space="preserve">Outcome 1: </w:t>
      </w:r>
    </w:p>
    <w:p w14:paraId="3FC85036" w14:textId="77777777" w:rsidR="00FE5192" w:rsidRPr="00BD51BB" w:rsidRDefault="00FE5192" w:rsidP="009638AD">
      <w:pPr>
        <w:ind w:left="720"/>
        <w:jc w:val="both"/>
        <w:rPr>
          <w:lang w:val="en-US"/>
        </w:rPr>
      </w:pPr>
      <w:r w:rsidRPr="3F24A4AB">
        <w:rPr>
          <w:lang w:val="en-US"/>
        </w:rPr>
        <w:t>Strengthened ocean planning and management policy approaches underpinned by science-based tools and evidence</w:t>
      </w:r>
    </w:p>
    <w:p w14:paraId="0423FF33" w14:textId="77777777" w:rsidR="00FE5192" w:rsidRPr="00BD51BB" w:rsidRDefault="00FE5192" w:rsidP="009638AD">
      <w:pPr>
        <w:ind w:firstLine="720"/>
        <w:jc w:val="both"/>
        <w:rPr>
          <w:rFonts w:cstheme="minorHAnsi"/>
          <w:b/>
          <w:u w:val="single"/>
          <w:lang w:val="en-US"/>
        </w:rPr>
      </w:pPr>
      <w:r w:rsidRPr="00BD51BB">
        <w:rPr>
          <w:rFonts w:cstheme="minorHAnsi"/>
          <w:b/>
          <w:u w:val="single"/>
          <w:lang w:val="en-US"/>
        </w:rPr>
        <w:t>Outcome 2:</w:t>
      </w:r>
    </w:p>
    <w:p w14:paraId="740205DD" w14:textId="77777777" w:rsidR="00FE5192" w:rsidRPr="00BD51BB" w:rsidRDefault="00FE5192" w:rsidP="009638AD">
      <w:pPr>
        <w:ind w:firstLine="720"/>
        <w:jc w:val="both"/>
        <w:rPr>
          <w:rFonts w:cstheme="minorHAnsi"/>
          <w:lang w:val="en-US"/>
        </w:rPr>
      </w:pPr>
      <w:r w:rsidRPr="00BD51BB">
        <w:rPr>
          <w:rFonts w:cstheme="minorHAnsi"/>
          <w:lang w:val="en-US"/>
        </w:rPr>
        <w:t xml:space="preserve">Enhanced integration of ocean observation, data and knowledge in decision-making </w:t>
      </w:r>
    </w:p>
    <w:p w14:paraId="21577AC2" w14:textId="510465C0" w:rsidR="00FE5192" w:rsidRPr="00FE5192" w:rsidRDefault="00FE5192" w:rsidP="009638AD">
      <w:pPr>
        <w:ind w:firstLine="720"/>
        <w:jc w:val="both"/>
        <w:rPr>
          <w:b/>
          <w:u w:val="single"/>
          <w:lang w:val="en-US"/>
        </w:rPr>
      </w:pPr>
      <w:r w:rsidRPr="00FE5192">
        <w:rPr>
          <w:b/>
          <w:u w:val="single"/>
          <w:lang w:val="en-US"/>
        </w:rPr>
        <w:t>Outcome 3:</w:t>
      </w:r>
    </w:p>
    <w:p w14:paraId="57F8DF6D" w14:textId="77777777" w:rsidR="00FE5192" w:rsidRPr="00FE5192" w:rsidRDefault="00FE5192" w:rsidP="009638AD">
      <w:pPr>
        <w:ind w:left="720"/>
        <w:jc w:val="both"/>
        <w:rPr>
          <w:rFonts w:cstheme="minorHAnsi"/>
          <w:lang w:val="en-US"/>
        </w:rPr>
      </w:pPr>
      <w:r w:rsidRPr="00FE5192">
        <w:rPr>
          <w:rFonts w:cstheme="minorHAnsi"/>
          <w:lang w:val="en-US"/>
        </w:rPr>
        <w:t>Elevated coherence and consistency across sectors, boundaries and the land-sea interface</w:t>
      </w:r>
    </w:p>
    <w:p w14:paraId="77DF2EDF" w14:textId="4B070EDF" w:rsidR="00FE5192" w:rsidRPr="00FE5192" w:rsidRDefault="00FE5192" w:rsidP="009638AD">
      <w:pPr>
        <w:ind w:firstLine="720"/>
        <w:jc w:val="both"/>
        <w:rPr>
          <w:rFonts w:cstheme="minorHAnsi"/>
          <w:b/>
          <w:u w:val="single"/>
          <w:lang w:val="en-US"/>
        </w:rPr>
      </w:pPr>
      <w:r w:rsidRPr="00FE5192">
        <w:rPr>
          <w:rFonts w:cstheme="minorHAnsi"/>
          <w:b/>
          <w:u w:val="single"/>
          <w:lang w:val="en-US"/>
        </w:rPr>
        <w:t>Outcome 4:</w:t>
      </w:r>
    </w:p>
    <w:p w14:paraId="609237FA" w14:textId="68D265F0" w:rsidR="00FE5192" w:rsidRDefault="00FE5192" w:rsidP="009638AD">
      <w:pPr>
        <w:ind w:firstLine="720"/>
        <w:jc w:val="both"/>
        <w:rPr>
          <w:rFonts w:cstheme="minorHAnsi"/>
          <w:lang w:val="en-US"/>
        </w:rPr>
      </w:pPr>
      <w:r w:rsidRPr="00FE5192">
        <w:rPr>
          <w:rFonts w:cstheme="minorHAnsi"/>
          <w:lang w:val="en-US"/>
        </w:rPr>
        <w:t xml:space="preserve">Increased knowledge and capacity of stakeholders </w:t>
      </w:r>
    </w:p>
    <w:p w14:paraId="6A9D9BBA" w14:textId="6080672F" w:rsidR="00FE5192" w:rsidRPr="00FE5192" w:rsidRDefault="00FE5192" w:rsidP="009638AD">
      <w:pPr>
        <w:ind w:firstLine="720"/>
        <w:jc w:val="both"/>
        <w:rPr>
          <w:rFonts w:cstheme="minorHAnsi"/>
          <w:b/>
          <w:u w:val="single"/>
          <w:lang w:val="en-US"/>
        </w:rPr>
      </w:pPr>
      <w:r w:rsidRPr="00FE5192">
        <w:rPr>
          <w:rFonts w:cstheme="minorHAnsi"/>
          <w:b/>
          <w:u w:val="single"/>
          <w:lang w:val="en-US"/>
        </w:rPr>
        <w:t>Outcome 5:</w:t>
      </w:r>
    </w:p>
    <w:p w14:paraId="69DA9108" w14:textId="77777777" w:rsidR="00FE5192" w:rsidRDefault="00FE5192" w:rsidP="009638AD">
      <w:pPr>
        <w:ind w:left="720"/>
        <w:jc w:val="both"/>
        <w:rPr>
          <w:rFonts w:cstheme="minorHAnsi"/>
          <w:lang w:val="en-US"/>
        </w:rPr>
      </w:pPr>
      <w:r w:rsidRPr="00FE5192">
        <w:rPr>
          <w:rFonts w:cstheme="minorHAnsi"/>
          <w:lang w:val="en-US"/>
        </w:rPr>
        <w:t xml:space="preserve">Improved integration of climate change adaptation, mitigation and coastal resilience, and biodiversity conservation </w:t>
      </w:r>
    </w:p>
    <w:p w14:paraId="53B83080" w14:textId="77777777" w:rsidR="00A11C82" w:rsidRDefault="00A11C82" w:rsidP="009638AD">
      <w:pPr>
        <w:ind w:left="720"/>
        <w:jc w:val="both"/>
        <w:rPr>
          <w:rFonts w:cstheme="minorHAnsi"/>
          <w:lang w:val="en-US"/>
        </w:rPr>
      </w:pPr>
    </w:p>
    <w:p w14:paraId="3D92F7EF" w14:textId="1A6640A7" w:rsidR="00A11C82" w:rsidRPr="00FE5192" w:rsidRDefault="00A11C82" w:rsidP="009638AD">
      <w:pPr>
        <w:ind w:left="720"/>
        <w:jc w:val="both"/>
        <w:rPr>
          <w:rFonts w:cstheme="minorHAnsi"/>
          <w:lang w:val="en-US"/>
        </w:rPr>
      </w:pPr>
      <w:r w:rsidRPr="00A11C82">
        <w:rPr>
          <w:rFonts w:cstheme="minorHAnsi"/>
          <w:highlight w:val="yellow"/>
          <w:lang w:val="en-US"/>
        </w:rPr>
        <w:t xml:space="preserve">An overview of the activities, deliverables, timeframes, partnerships and resources </w:t>
      </w:r>
      <w:r w:rsidR="00995E4C">
        <w:rPr>
          <w:rFonts w:cstheme="minorHAnsi"/>
          <w:highlight w:val="yellow"/>
          <w:lang w:val="en-US"/>
        </w:rPr>
        <w:t>needed</w:t>
      </w:r>
      <w:r w:rsidRPr="00A11C82">
        <w:rPr>
          <w:rFonts w:cstheme="minorHAnsi"/>
          <w:highlight w:val="yellow"/>
          <w:lang w:val="en-US"/>
        </w:rPr>
        <w:t>, and their linkage to the five expected outcomes is provided in Table 1. (FR)</w:t>
      </w:r>
    </w:p>
    <w:p w14:paraId="201CE306" w14:textId="6805B0C2" w:rsidR="00C656A3" w:rsidRDefault="00C656A3" w:rsidP="00BD6D6A">
      <w:pPr>
        <w:jc w:val="both"/>
        <w:rPr>
          <w:lang w:val="en-US"/>
        </w:rPr>
      </w:pPr>
    </w:p>
    <w:p w14:paraId="1548555E" w14:textId="26FD34A9" w:rsidR="006F3009" w:rsidRPr="006F3009" w:rsidRDefault="006F3009" w:rsidP="00BD6D6A">
      <w:pPr>
        <w:jc w:val="both"/>
        <w:rPr>
          <w:b/>
          <w:sz w:val="28"/>
          <w:szCs w:val="28"/>
          <w:lang w:val="en-US"/>
        </w:rPr>
      </w:pPr>
      <w:r w:rsidRPr="006F3009">
        <w:rPr>
          <w:b/>
          <w:sz w:val="28"/>
          <w:szCs w:val="28"/>
          <w:lang w:val="en-US"/>
        </w:rPr>
        <w:t>Activities</w:t>
      </w:r>
    </w:p>
    <w:p w14:paraId="7538EE2F" w14:textId="77777777" w:rsidR="006F3009" w:rsidRDefault="006F3009" w:rsidP="00BD6D6A">
      <w:pPr>
        <w:jc w:val="both"/>
        <w:rPr>
          <w:lang w:val="en-US"/>
        </w:rPr>
      </w:pPr>
    </w:p>
    <w:p w14:paraId="02C51548" w14:textId="27DD1704" w:rsidR="00172111" w:rsidRPr="00A11C82" w:rsidRDefault="009638AD" w:rsidP="00172111">
      <w:pPr>
        <w:pStyle w:val="ListParagraph"/>
        <w:numPr>
          <w:ilvl w:val="0"/>
          <w:numId w:val="7"/>
        </w:numPr>
        <w:jc w:val="both"/>
        <w:rPr>
          <w:lang w:val="en-US"/>
        </w:rPr>
      </w:pPr>
      <w:r w:rsidRPr="41189A25">
        <w:rPr>
          <w:lang w:val="en-US"/>
        </w:rPr>
        <w:t xml:space="preserve">For each of the expected outcomes, a set of </w:t>
      </w:r>
      <w:r w:rsidRPr="41189A25">
        <w:rPr>
          <w:b/>
          <w:bCs/>
          <w:lang w:val="en-US"/>
        </w:rPr>
        <w:t xml:space="preserve">activities </w:t>
      </w:r>
      <w:r w:rsidRPr="41189A25">
        <w:rPr>
          <w:lang w:val="en-US"/>
        </w:rPr>
        <w:t xml:space="preserve">has been identified that are designed to </w:t>
      </w:r>
      <w:r w:rsidRPr="41189A25">
        <w:rPr>
          <w:b/>
          <w:bCs/>
          <w:lang w:val="en-US"/>
        </w:rPr>
        <w:t>serve as actionable steps towards meaningful progress</w:t>
      </w:r>
      <w:r w:rsidRPr="41189A25">
        <w:rPr>
          <w:lang w:val="en-US"/>
        </w:rPr>
        <w:t xml:space="preserve">. Building on the strengths of the IOC, the outcomes and activities </w:t>
      </w:r>
      <w:r w:rsidR="00995E4C">
        <w:rPr>
          <w:lang w:val="en-US"/>
        </w:rPr>
        <w:t xml:space="preserve">for 2025-2027 </w:t>
      </w:r>
      <w:r w:rsidRPr="41189A25">
        <w:rPr>
          <w:lang w:val="en-US"/>
        </w:rPr>
        <w:t xml:space="preserve">are closely linked to existing programmes and </w:t>
      </w:r>
      <w:proofErr w:type="gramStart"/>
      <w:r w:rsidRPr="41189A25">
        <w:rPr>
          <w:lang w:val="en-US"/>
        </w:rPr>
        <w:t>projects, and</w:t>
      </w:r>
      <w:proofErr w:type="gramEnd"/>
      <w:r w:rsidRPr="41189A25">
        <w:rPr>
          <w:lang w:val="en-US"/>
        </w:rPr>
        <w:t xml:space="preserve"> will be strategically aligned to contribute to SOPM by ensuring efforts are</w:t>
      </w:r>
      <w:r w:rsidR="00172111" w:rsidRPr="41189A25">
        <w:rPr>
          <w:lang w:val="en-US"/>
        </w:rPr>
        <w:t xml:space="preserve"> not</w:t>
      </w:r>
      <w:r w:rsidRPr="41189A25">
        <w:rPr>
          <w:lang w:val="en-US"/>
        </w:rPr>
        <w:t xml:space="preserve"> isolated </w:t>
      </w:r>
      <w:r w:rsidR="16DD7CE9" w:rsidRPr="41189A25">
        <w:rPr>
          <w:lang w:val="en-US"/>
        </w:rPr>
        <w:t>but</w:t>
      </w:r>
      <w:r w:rsidRPr="41189A25">
        <w:rPr>
          <w:lang w:val="en-US"/>
        </w:rPr>
        <w:t xml:space="preserve"> part of a coherent and integrated effort. </w:t>
      </w:r>
      <w:r w:rsidR="00172111" w:rsidRPr="00A11C82">
        <w:rPr>
          <w:strike/>
          <w:highlight w:val="yellow"/>
          <w:lang w:val="en-US"/>
        </w:rPr>
        <w:t>An overview of the activities, deliverables, timing, partners, resources and their linkage to the 5 expected outcomes is provided in Table 1.</w:t>
      </w:r>
      <w:r w:rsidR="00A11C82" w:rsidRPr="00A11C82">
        <w:rPr>
          <w:strike/>
          <w:highlight w:val="yellow"/>
          <w:lang w:val="en-US"/>
        </w:rPr>
        <w:t xml:space="preserve"> </w:t>
      </w:r>
      <w:r w:rsidR="00A11C82" w:rsidRPr="00A11C82">
        <w:rPr>
          <w:highlight w:val="yellow"/>
          <w:lang w:val="en-US"/>
        </w:rPr>
        <w:t>(FR)</w:t>
      </w:r>
    </w:p>
    <w:p w14:paraId="557D2F26" w14:textId="77777777" w:rsidR="006F3009" w:rsidRDefault="006F3009" w:rsidP="006F3009">
      <w:pPr>
        <w:jc w:val="both"/>
        <w:rPr>
          <w:bCs/>
          <w:iCs/>
          <w:sz w:val="21"/>
          <w:szCs w:val="21"/>
          <w:lang w:val="en-US"/>
        </w:rPr>
      </w:pPr>
    </w:p>
    <w:p w14:paraId="57154FAE" w14:textId="07B10EC5" w:rsidR="006F3009" w:rsidRPr="006F3009" w:rsidRDefault="006F3009" w:rsidP="006F3009">
      <w:pPr>
        <w:jc w:val="both"/>
        <w:rPr>
          <w:b/>
          <w:sz w:val="28"/>
          <w:szCs w:val="28"/>
          <w:lang w:val="en-US"/>
        </w:rPr>
      </w:pPr>
      <w:r w:rsidRPr="006F3009">
        <w:rPr>
          <w:b/>
          <w:bCs/>
          <w:iCs/>
          <w:sz w:val="28"/>
          <w:szCs w:val="28"/>
          <w:lang w:val="en-US"/>
        </w:rPr>
        <w:t>Collaborative partnerships</w:t>
      </w:r>
    </w:p>
    <w:p w14:paraId="7B2EEAB6" w14:textId="77777777" w:rsidR="009638AD" w:rsidRDefault="009638AD" w:rsidP="00BD6D6A">
      <w:pPr>
        <w:jc w:val="both"/>
        <w:rPr>
          <w:lang w:val="en-US"/>
        </w:rPr>
      </w:pPr>
    </w:p>
    <w:p w14:paraId="79E48C4F" w14:textId="52DD83F0" w:rsidR="00CF115B" w:rsidRDefault="25963726" w:rsidP="009638AD">
      <w:pPr>
        <w:pStyle w:val="ListParagraph"/>
        <w:numPr>
          <w:ilvl w:val="0"/>
          <w:numId w:val="7"/>
        </w:numPr>
        <w:jc w:val="both"/>
        <w:rPr>
          <w:lang w:val="en-US"/>
        </w:rPr>
      </w:pPr>
      <w:r w:rsidRPr="41189A25">
        <w:rPr>
          <w:b/>
          <w:bCs/>
          <w:lang w:val="en-US"/>
        </w:rPr>
        <w:t>P</w:t>
      </w:r>
      <w:r w:rsidR="00CF115B" w:rsidRPr="41189A25">
        <w:rPr>
          <w:b/>
          <w:bCs/>
          <w:lang w:val="en-US"/>
        </w:rPr>
        <w:t>artnerships</w:t>
      </w:r>
      <w:r w:rsidR="00CF115B" w:rsidRPr="41189A25">
        <w:rPr>
          <w:lang w:val="en-US"/>
        </w:rPr>
        <w:t xml:space="preserve"> are central to achieving the outcomes of the IOC-SOPM Strategy. The IOC’s extensive network of experts and its commitment to global and regional cooperation offer Member States valuable support for capacity development in various aspects of SOPM. The IOC-SOPM Strategy’s Implementation Plan will build </w:t>
      </w:r>
      <w:r w:rsidR="003B0DD9" w:rsidRPr="41189A25">
        <w:rPr>
          <w:lang w:val="en-US"/>
        </w:rPr>
        <w:t xml:space="preserve">and foster collaborative partnerships with </w:t>
      </w:r>
      <w:r w:rsidR="3791AA76" w:rsidRPr="41189A25">
        <w:rPr>
          <w:lang w:val="en-US"/>
        </w:rPr>
        <w:t xml:space="preserve">multilateral </w:t>
      </w:r>
      <w:r w:rsidR="003B0DD9" w:rsidRPr="41189A25">
        <w:rPr>
          <w:lang w:val="en-US"/>
        </w:rPr>
        <w:t xml:space="preserve">regional and </w:t>
      </w:r>
      <w:r w:rsidR="05209B9C" w:rsidRPr="41189A25">
        <w:rPr>
          <w:lang w:val="en-US"/>
        </w:rPr>
        <w:t xml:space="preserve">sectoral </w:t>
      </w:r>
      <w:r w:rsidR="003B0DD9" w:rsidRPr="41189A25">
        <w:rPr>
          <w:lang w:val="en-US"/>
        </w:rPr>
        <w:t>bodies as well as initiatives such as the High</w:t>
      </w:r>
      <w:r w:rsidR="006F3009" w:rsidRPr="41189A25">
        <w:rPr>
          <w:lang w:val="en-US"/>
        </w:rPr>
        <w:t>-L</w:t>
      </w:r>
      <w:r w:rsidR="003B0DD9" w:rsidRPr="41189A25">
        <w:rPr>
          <w:lang w:val="en-US"/>
        </w:rPr>
        <w:t>evel Panel for a Sustainable Ocean Economy</w:t>
      </w:r>
      <w:r w:rsidR="007E2480">
        <w:rPr>
          <w:lang w:val="en-US"/>
        </w:rPr>
        <w:t xml:space="preserve"> or the UN Global Compact</w:t>
      </w:r>
      <w:r w:rsidR="003B0DD9" w:rsidRPr="41189A25">
        <w:rPr>
          <w:lang w:val="en-US"/>
        </w:rPr>
        <w:t>, with a focus on technical support and the articulation of efforts to support common objectives. The</w:t>
      </w:r>
      <w:r w:rsidR="00A11C82">
        <w:rPr>
          <w:lang w:val="en-US"/>
        </w:rPr>
        <w:t xml:space="preserve"> </w:t>
      </w:r>
      <w:r w:rsidR="00A11C82" w:rsidRPr="00A11C82">
        <w:rPr>
          <w:highlight w:val="yellow"/>
          <w:lang w:val="en-US"/>
        </w:rPr>
        <w:t>successful (FR)</w:t>
      </w:r>
      <w:r w:rsidR="003B0DD9" w:rsidRPr="41189A25">
        <w:rPr>
          <w:lang w:val="en-US"/>
        </w:rPr>
        <w:t xml:space="preserve"> implementation of the IOC-SOPM Strategy requires the following:</w:t>
      </w:r>
    </w:p>
    <w:p w14:paraId="26299B5C" w14:textId="77777777" w:rsidR="003B0DD9" w:rsidRPr="003B0DD9" w:rsidRDefault="003B0DD9" w:rsidP="003B0DD9">
      <w:pPr>
        <w:pStyle w:val="ListParagraph"/>
        <w:rPr>
          <w:lang w:val="en-US"/>
        </w:rPr>
      </w:pPr>
    </w:p>
    <w:p w14:paraId="0A7ADAD4" w14:textId="1F41AB62" w:rsidR="003B0DD9" w:rsidRDefault="003B0DD9" w:rsidP="004314BD">
      <w:pPr>
        <w:ind w:left="1440"/>
        <w:jc w:val="both"/>
        <w:rPr>
          <w:lang w:val="en-US"/>
        </w:rPr>
      </w:pPr>
      <w:r w:rsidRPr="00A678E8">
        <w:rPr>
          <w:b/>
          <w:bCs/>
          <w:lang w:val="en-US"/>
        </w:rPr>
        <w:t>Regional Engagement</w:t>
      </w:r>
      <w:r w:rsidR="00A11C82" w:rsidRPr="00A678E8">
        <w:rPr>
          <w:b/>
          <w:bCs/>
          <w:lang w:val="en-US"/>
        </w:rPr>
        <w:t xml:space="preserve"> </w:t>
      </w:r>
      <w:r w:rsidR="00A11C82" w:rsidRPr="00A678E8">
        <w:rPr>
          <w:b/>
          <w:bCs/>
          <w:highlight w:val="yellow"/>
          <w:lang w:val="en-US"/>
        </w:rPr>
        <w:t>through</w:t>
      </w:r>
      <w:r w:rsidR="005E2BBE" w:rsidRPr="00A678E8">
        <w:rPr>
          <w:highlight w:val="yellow"/>
          <w:lang w:val="en-US"/>
        </w:rPr>
        <w:t xml:space="preserve"> </w:t>
      </w:r>
      <w:r w:rsidR="00A11C82" w:rsidRPr="00A678E8">
        <w:rPr>
          <w:b/>
          <w:bCs/>
          <w:highlight w:val="yellow"/>
          <w:lang w:val="en-US"/>
        </w:rPr>
        <w:t>four</w:t>
      </w:r>
      <w:r w:rsidR="00A11C82" w:rsidRPr="00A678E8">
        <w:rPr>
          <w:highlight w:val="yellow"/>
          <w:lang w:val="en-US"/>
        </w:rPr>
        <w:t xml:space="preserve"> </w:t>
      </w:r>
      <w:r w:rsidR="00A678E8" w:rsidRPr="00A678E8">
        <w:rPr>
          <w:b/>
          <w:bCs/>
          <w:lang w:val="en-US"/>
        </w:rPr>
        <w:t>IOC</w:t>
      </w:r>
      <w:r w:rsidR="00A678E8" w:rsidRPr="00A678E8">
        <w:rPr>
          <w:lang w:val="en-US"/>
        </w:rPr>
        <w:t xml:space="preserve"> </w:t>
      </w:r>
      <w:r w:rsidR="005E2BBE" w:rsidRPr="00A678E8">
        <w:rPr>
          <w:b/>
          <w:bCs/>
          <w:lang w:val="en-US"/>
        </w:rPr>
        <w:t>sub-regional commissions</w:t>
      </w:r>
      <w:r w:rsidR="00A678E8" w:rsidRPr="00A678E8">
        <w:rPr>
          <w:b/>
          <w:bCs/>
          <w:highlight w:val="yellow"/>
          <w:lang w:val="en-US"/>
        </w:rPr>
        <w:t>:</w:t>
      </w:r>
      <w:r w:rsidR="6E75249C" w:rsidRPr="00A678E8">
        <w:rPr>
          <w:highlight w:val="yellow"/>
          <w:lang w:val="en-US"/>
        </w:rPr>
        <w:t xml:space="preserve"> </w:t>
      </w:r>
      <w:r w:rsidR="00A678E8" w:rsidRPr="00A678E8">
        <w:rPr>
          <w:highlight w:val="yellow"/>
          <w:lang w:val="en-US"/>
        </w:rPr>
        <w:t>Including</w:t>
      </w:r>
      <w:r w:rsidR="005E2BBE" w:rsidRPr="41189A25">
        <w:rPr>
          <w:lang w:val="en-US"/>
        </w:rPr>
        <w:t xml:space="preserve"> </w:t>
      </w:r>
      <w:r w:rsidR="00A678E8" w:rsidRPr="00A678E8">
        <w:rPr>
          <w:highlight w:val="yellow"/>
          <w:lang w:val="en-US"/>
        </w:rPr>
        <w:t>(FR)</w:t>
      </w:r>
      <w:r w:rsidR="00A678E8">
        <w:rPr>
          <w:lang w:val="en-US"/>
        </w:rPr>
        <w:t xml:space="preserve"> </w:t>
      </w:r>
      <w:r w:rsidR="005E2BBE" w:rsidRPr="41189A25">
        <w:rPr>
          <w:lang w:val="en-US"/>
        </w:rPr>
        <w:t>IOCARIBE for the Caribbean, IOCAFRICA for Africa, WESTPAC for the Western Pacific and IOCINDIO for the Indian Ocean</w:t>
      </w:r>
      <w:r w:rsidR="00A678E8">
        <w:rPr>
          <w:lang w:val="en-US"/>
        </w:rPr>
        <w:t xml:space="preserve">, </w:t>
      </w:r>
      <w:r w:rsidR="00A678E8" w:rsidRPr="00A678E8">
        <w:rPr>
          <w:highlight w:val="yellow"/>
          <w:lang w:val="en-US"/>
        </w:rPr>
        <w:t>these commissions (FR)</w:t>
      </w:r>
      <w:r w:rsidR="0A1F26FD" w:rsidRPr="41189A25">
        <w:rPr>
          <w:lang w:val="en-US"/>
        </w:rPr>
        <w:t xml:space="preserve"> </w:t>
      </w:r>
      <w:r w:rsidR="005E2BBE" w:rsidRPr="41189A25">
        <w:rPr>
          <w:lang w:val="en-US"/>
        </w:rPr>
        <w:t xml:space="preserve">have been instrumental in facilitating regional cooperation and knowledge sharing with IOC </w:t>
      </w:r>
      <w:r w:rsidR="4AAFBF63" w:rsidRPr="41189A25">
        <w:rPr>
          <w:lang w:val="en-US"/>
        </w:rPr>
        <w:t xml:space="preserve">Member States </w:t>
      </w:r>
      <w:r w:rsidR="005E2BBE" w:rsidRPr="41189A25">
        <w:rPr>
          <w:lang w:val="en-US"/>
        </w:rPr>
        <w:t xml:space="preserve">for decades. They primarily </w:t>
      </w:r>
      <w:r w:rsidR="00593ACA">
        <w:rPr>
          <w:lang w:val="en-US"/>
        </w:rPr>
        <w:t>encourage</w:t>
      </w:r>
      <w:r w:rsidR="005E2BBE" w:rsidRPr="41189A25">
        <w:rPr>
          <w:lang w:val="en-US"/>
        </w:rPr>
        <w:t xml:space="preserve"> cooperation at the regional level to address ocean issues that are common to Member States in each region, in alignment with global </w:t>
      </w:r>
      <w:r w:rsidR="00A678E8" w:rsidRPr="00A678E8">
        <w:rPr>
          <w:highlight w:val="yellow"/>
          <w:lang w:val="en-US"/>
        </w:rPr>
        <w:t>IOC</w:t>
      </w:r>
      <w:r w:rsidR="00A678E8">
        <w:rPr>
          <w:lang w:val="en-US"/>
        </w:rPr>
        <w:t xml:space="preserve"> </w:t>
      </w:r>
      <w:r w:rsidR="005E2BBE" w:rsidRPr="41189A25">
        <w:rPr>
          <w:lang w:val="en-US"/>
        </w:rPr>
        <w:t>programmes</w:t>
      </w:r>
      <w:r w:rsidR="00593ACA">
        <w:rPr>
          <w:lang w:val="en-US"/>
        </w:rPr>
        <w:t xml:space="preserve"> and commitments</w:t>
      </w:r>
      <w:r w:rsidR="00D85AEB">
        <w:rPr>
          <w:lang w:val="en-US"/>
        </w:rPr>
        <w:t xml:space="preserve">. </w:t>
      </w:r>
      <w:r w:rsidR="00FE4A86" w:rsidRPr="41189A25">
        <w:rPr>
          <w:lang w:val="en-US"/>
        </w:rPr>
        <w:t>The</w:t>
      </w:r>
      <w:r w:rsidR="00593ACA">
        <w:rPr>
          <w:lang w:val="en-US"/>
        </w:rPr>
        <w:t xml:space="preserve"> </w:t>
      </w:r>
      <w:r w:rsidR="005E2BBE" w:rsidRPr="41189A25">
        <w:rPr>
          <w:lang w:val="en-US"/>
        </w:rPr>
        <w:t xml:space="preserve">IOC-SOPM Strategy will </w:t>
      </w:r>
      <w:r w:rsidR="00FE4A86" w:rsidRPr="41189A25">
        <w:rPr>
          <w:lang w:val="en-US"/>
        </w:rPr>
        <w:t>operate</w:t>
      </w:r>
      <w:r w:rsidR="00AA68D7" w:rsidRPr="41189A25">
        <w:rPr>
          <w:lang w:val="en-US"/>
        </w:rPr>
        <w:t xml:space="preserve"> on regional and national levels</w:t>
      </w:r>
      <w:r w:rsidR="00FE4A86" w:rsidRPr="41189A25">
        <w:rPr>
          <w:lang w:val="en-US"/>
        </w:rPr>
        <w:t>, requiring engagement across regions and other regional ocean-related groups to define region-specific priorities and actionable steps, ensuring regional responsiveness to local needs</w:t>
      </w:r>
      <w:r w:rsidR="2A61A582" w:rsidRPr="41189A25">
        <w:rPr>
          <w:lang w:val="en-US"/>
        </w:rPr>
        <w:t xml:space="preserve"> and contexts</w:t>
      </w:r>
      <w:r w:rsidR="00FE4A86" w:rsidRPr="41189A25">
        <w:rPr>
          <w:lang w:val="en-US"/>
        </w:rPr>
        <w:t xml:space="preserve">. </w:t>
      </w:r>
    </w:p>
    <w:p w14:paraId="70E190A5" w14:textId="77777777" w:rsidR="004314BD" w:rsidRPr="005E2BBE" w:rsidRDefault="004314BD" w:rsidP="004314BD">
      <w:pPr>
        <w:ind w:left="1440"/>
        <w:jc w:val="both"/>
        <w:rPr>
          <w:lang w:val="en-US"/>
        </w:rPr>
      </w:pPr>
    </w:p>
    <w:p w14:paraId="0D952C97" w14:textId="154DD009" w:rsidR="003B0DD9" w:rsidRDefault="00A678E8" w:rsidP="00833DA8">
      <w:pPr>
        <w:ind w:left="1440"/>
        <w:jc w:val="both"/>
        <w:rPr>
          <w:lang w:val="en-US"/>
        </w:rPr>
      </w:pPr>
      <w:r w:rsidRPr="00A678E8">
        <w:rPr>
          <w:b/>
          <w:bCs/>
          <w:highlight w:val="yellow"/>
          <w:lang w:val="en-US"/>
        </w:rPr>
        <w:t>Integration of efforts across (FR)</w:t>
      </w:r>
      <w:r>
        <w:rPr>
          <w:b/>
          <w:bCs/>
          <w:lang w:val="en-US"/>
        </w:rPr>
        <w:t xml:space="preserve"> </w:t>
      </w:r>
      <w:r w:rsidR="003B0DD9" w:rsidRPr="41189A25">
        <w:rPr>
          <w:b/>
          <w:bCs/>
          <w:lang w:val="en-US"/>
        </w:rPr>
        <w:t xml:space="preserve">IOC </w:t>
      </w:r>
      <w:r w:rsidR="00593ACA">
        <w:rPr>
          <w:b/>
          <w:bCs/>
          <w:lang w:val="en-US"/>
        </w:rPr>
        <w:t xml:space="preserve">and UNESCO </w:t>
      </w:r>
      <w:r w:rsidR="003B0DD9" w:rsidRPr="41189A25">
        <w:rPr>
          <w:b/>
          <w:bCs/>
          <w:lang w:val="en-US"/>
        </w:rPr>
        <w:t>Programme</w:t>
      </w:r>
      <w:r w:rsidR="00593ACA">
        <w:rPr>
          <w:b/>
          <w:bCs/>
          <w:lang w:val="en-US"/>
        </w:rPr>
        <w:t>s</w:t>
      </w:r>
      <w:r w:rsidR="003B0DD9" w:rsidRPr="41189A25">
        <w:rPr>
          <w:b/>
          <w:bCs/>
          <w:lang w:val="en-US"/>
        </w:rPr>
        <w:t>:</w:t>
      </w:r>
      <w:r w:rsidR="00FE4A86" w:rsidRPr="41189A25">
        <w:rPr>
          <w:b/>
          <w:bCs/>
          <w:lang w:val="en-US"/>
        </w:rPr>
        <w:t xml:space="preserve"> </w:t>
      </w:r>
      <w:r w:rsidR="00FE4A86" w:rsidRPr="41189A25">
        <w:rPr>
          <w:lang w:val="en-US"/>
        </w:rPr>
        <w:t>The IOC-SOPM Strategy aims to provide comprehensive guidance to IOC programmes and projects, to ensure cohesive alignment in SOPM efforts</w:t>
      </w:r>
      <w:r w:rsidR="00402627">
        <w:rPr>
          <w:lang w:val="en-US"/>
        </w:rPr>
        <w:t xml:space="preserve">, </w:t>
      </w:r>
      <w:r w:rsidR="00402627" w:rsidRPr="00402627">
        <w:rPr>
          <w:highlight w:val="yellow"/>
          <w:lang w:val="en-US"/>
        </w:rPr>
        <w:t>while IOC programmes and initiatives will</w:t>
      </w:r>
      <w:r w:rsidR="00402627">
        <w:rPr>
          <w:highlight w:val="yellow"/>
          <w:lang w:val="en-US"/>
        </w:rPr>
        <w:t xml:space="preserve"> also</w:t>
      </w:r>
      <w:r w:rsidR="00402627" w:rsidRPr="00402627">
        <w:rPr>
          <w:highlight w:val="yellow"/>
          <w:lang w:val="en-US"/>
        </w:rPr>
        <w:t xml:space="preserve"> inform the IOC-SOPM Strategy and its implementation (CA).</w:t>
      </w:r>
      <w:r w:rsidR="00402627">
        <w:rPr>
          <w:lang w:val="en-US"/>
        </w:rPr>
        <w:t xml:space="preserve"> </w:t>
      </w:r>
      <w:r>
        <w:rPr>
          <w:lang w:val="en-US"/>
        </w:rPr>
        <w:t>L</w:t>
      </w:r>
      <w:r w:rsidR="00FE4A86" w:rsidRPr="41189A25">
        <w:rPr>
          <w:lang w:val="en-US"/>
        </w:rPr>
        <w:t>everaging existing initiatives and expert advice from collaborati</w:t>
      </w:r>
      <w:r w:rsidR="00FE4A86" w:rsidRPr="00A678E8">
        <w:rPr>
          <w:strike/>
          <w:highlight w:val="yellow"/>
          <w:lang w:val="en-US"/>
        </w:rPr>
        <w:t>ons</w:t>
      </w:r>
      <w:r w:rsidRPr="00A678E8">
        <w:rPr>
          <w:highlight w:val="yellow"/>
          <w:lang w:val="en-US"/>
        </w:rPr>
        <w:t>ve</w:t>
      </w:r>
      <w:r w:rsidRPr="00A678E8">
        <w:rPr>
          <w:lang w:val="en-US"/>
        </w:rPr>
        <w:t xml:space="preserve"> networks</w:t>
      </w:r>
      <w:r w:rsidR="00FE4A86" w:rsidRPr="41189A25">
        <w:rPr>
          <w:lang w:val="en-US"/>
        </w:rPr>
        <w:t xml:space="preserve"> like GESAMP</w:t>
      </w:r>
      <w:r w:rsidRPr="00A678E8">
        <w:rPr>
          <w:highlight w:val="yellow"/>
          <w:lang w:val="en-US"/>
        </w:rPr>
        <w:t>,</w:t>
      </w:r>
      <w:r w:rsidR="00FE4A86" w:rsidRPr="00A678E8">
        <w:rPr>
          <w:highlight w:val="yellow"/>
          <w:lang w:val="en-US"/>
        </w:rPr>
        <w:t xml:space="preserve"> </w:t>
      </w:r>
      <w:r w:rsidR="00FE4A86" w:rsidRPr="00A678E8">
        <w:rPr>
          <w:strike/>
          <w:highlight w:val="yellow"/>
          <w:lang w:val="en-US"/>
        </w:rPr>
        <w:t xml:space="preserve">and </w:t>
      </w:r>
      <w:r w:rsidR="00FE4A86" w:rsidRPr="00A678E8">
        <w:rPr>
          <w:highlight w:val="yellow"/>
          <w:lang w:val="en-US"/>
        </w:rPr>
        <w:t>GOOS</w:t>
      </w:r>
      <w:r w:rsidRPr="00A678E8">
        <w:rPr>
          <w:highlight w:val="yellow"/>
          <w:lang w:val="en-US"/>
        </w:rPr>
        <w:t xml:space="preserve"> and IODE</w:t>
      </w:r>
      <w:r w:rsidR="00FE4A86" w:rsidRPr="00A678E8">
        <w:rPr>
          <w:highlight w:val="yellow"/>
          <w:lang w:val="en-US"/>
        </w:rPr>
        <w:t xml:space="preserve">, </w:t>
      </w:r>
      <w:r w:rsidR="00FE4A86" w:rsidRPr="00A678E8">
        <w:rPr>
          <w:strike/>
          <w:highlight w:val="yellow"/>
          <w:lang w:val="en-US"/>
        </w:rPr>
        <w:t>coordination</w:t>
      </w:r>
      <w:r w:rsidR="00FE4A86" w:rsidRPr="41189A25">
        <w:rPr>
          <w:lang w:val="en-US"/>
        </w:rPr>
        <w:t xml:space="preserve"> will </w:t>
      </w:r>
      <w:r w:rsidR="00FE4A86" w:rsidRPr="00A678E8">
        <w:rPr>
          <w:strike/>
          <w:highlight w:val="yellow"/>
          <w:lang w:val="en-US"/>
        </w:rPr>
        <w:t>be</w:t>
      </w:r>
      <w:r w:rsidRPr="00A678E8">
        <w:rPr>
          <w:strike/>
          <w:highlight w:val="yellow"/>
          <w:lang w:val="en-US"/>
        </w:rPr>
        <w:t xml:space="preserve"> </w:t>
      </w:r>
      <w:proofErr w:type="gramStart"/>
      <w:r w:rsidR="00FE4A86" w:rsidRPr="00A678E8">
        <w:rPr>
          <w:highlight w:val="yellow"/>
          <w:lang w:val="en-US"/>
        </w:rPr>
        <w:t>enhance</w:t>
      </w:r>
      <w:proofErr w:type="gramEnd"/>
      <w:r w:rsidRPr="00A678E8">
        <w:rPr>
          <w:highlight w:val="yellow"/>
          <w:lang w:val="en-US"/>
        </w:rPr>
        <w:t xml:space="preserve"> coordination of ocean observations, ocean knowledge gathering and marine environmental protection efforts worldwide (FR)</w:t>
      </w:r>
      <w:r w:rsidR="00FE4A86" w:rsidRPr="00A678E8">
        <w:rPr>
          <w:highlight w:val="yellow"/>
          <w:lang w:val="en-US"/>
        </w:rPr>
        <w:t>.</w:t>
      </w:r>
      <w:r w:rsidR="00FE4A86" w:rsidRPr="41189A25">
        <w:rPr>
          <w:lang w:val="en-US"/>
        </w:rPr>
        <w:t xml:space="preserve"> Resources and data will be made accessible through </w:t>
      </w:r>
      <w:r>
        <w:rPr>
          <w:lang w:val="en-US"/>
        </w:rPr>
        <w:t xml:space="preserve">IOC </w:t>
      </w:r>
      <w:r w:rsidR="00FE4A86" w:rsidRPr="41189A25">
        <w:rPr>
          <w:lang w:val="en-US"/>
        </w:rPr>
        <w:t>open-access platforms like the Ocean Literacy Portal, ODIS, and OBIS. The IOC-SOPM Strategy will also promote collaboration and capacity development th</w:t>
      </w:r>
      <w:r w:rsidR="00833DA8">
        <w:rPr>
          <w:lang w:val="en-US"/>
        </w:rPr>
        <w:t>r</w:t>
      </w:r>
      <w:r w:rsidR="00FE4A86" w:rsidRPr="41189A25">
        <w:rPr>
          <w:lang w:val="en-US"/>
        </w:rPr>
        <w:t xml:space="preserve">ough initiatives such as the Ocean Teacher Global Academy, Ocean CD-Hub and the ECOP Network. </w:t>
      </w:r>
      <w:r w:rsidR="00833DA8" w:rsidRPr="41189A25">
        <w:rPr>
          <w:lang w:val="en-US"/>
        </w:rPr>
        <w:t xml:space="preserve">The IOC-SOPM Strategy’s implementation will build on the crucial work of MSP Global as </w:t>
      </w:r>
      <w:r w:rsidR="00833DA8">
        <w:rPr>
          <w:lang w:val="en-US"/>
        </w:rPr>
        <w:t xml:space="preserve">an </w:t>
      </w:r>
      <w:r w:rsidR="00833DA8" w:rsidRPr="41189A25">
        <w:rPr>
          <w:lang w:val="en-US"/>
        </w:rPr>
        <w:t>IOC-run project given the established good practices and will extend and adapt these resources to encompass the broader scope of SOPM.</w:t>
      </w:r>
      <w:r w:rsidR="00833DA8">
        <w:rPr>
          <w:lang w:val="en-US"/>
        </w:rPr>
        <w:t xml:space="preserve"> </w:t>
      </w:r>
      <w:r w:rsidR="00833DA8" w:rsidRPr="00402627">
        <w:rPr>
          <w:highlight w:val="yellow"/>
          <w:lang w:val="en-US"/>
        </w:rPr>
        <w:t>Further, IOC</w:t>
      </w:r>
      <w:r w:rsidR="00FE4A86" w:rsidRPr="00402627">
        <w:rPr>
          <w:highlight w:val="yellow"/>
          <w:lang w:val="en-US"/>
        </w:rPr>
        <w:t xml:space="preserve"> will</w:t>
      </w:r>
      <w:r w:rsidR="00833DA8" w:rsidRPr="00402627">
        <w:rPr>
          <w:highlight w:val="yellow"/>
          <w:lang w:val="en-US"/>
        </w:rPr>
        <w:t xml:space="preserve"> </w:t>
      </w:r>
      <w:r w:rsidR="00402627" w:rsidRPr="00402627">
        <w:rPr>
          <w:highlight w:val="yellow"/>
          <w:lang w:val="en-US"/>
        </w:rPr>
        <w:t xml:space="preserve">be able </w:t>
      </w:r>
      <w:r w:rsidR="00833DA8" w:rsidRPr="00402627">
        <w:rPr>
          <w:highlight w:val="yellow"/>
          <w:lang w:val="en-US"/>
        </w:rPr>
        <w:t>to leverage the expertise of UNESCO in other areas (e.g., biodiversity conservation, indigenous and local knowledge systems, hydrology, World Heritage, Geoparks, Biosphere Reserves) to implement the IOC-SOPM Strategy and offer a unique inter-disciplinary approach to ocean management within the UN.</w:t>
      </w:r>
      <w:r w:rsidR="00402627" w:rsidRPr="00402627">
        <w:rPr>
          <w:highlight w:val="yellow"/>
          <w:lang w:val="en-US"/>
        </w:rPr>
        <w:t xml:space="preserve"> (GE)</w:t>
      </w:r>
      <w:r w:rsidR="00833DA8">
        <w:rPr>
          <w:lang w:val="en-US"/>
        </w:rPr>
        <w:t xml:space="preserve"> </w:t>
      </w:r>
    </w:p>
    <w:p w14:paraId="1C7ECF2D" w14:textId="77777777" w:rsidR="00D85AEB" w:rsidRPr="008404E4" w:rsidRDefault="00D85AEB" w:rsidP="00D85AEB">
      <w:pPr>
        <w:ind w:left="1440"/>
        <w:jc w:val="both"/>
        <w:rPr>
          <w:lang w:val="en-US"/>
        </w:rPr>
      </w:pPr>
    </w:p>
    <w:p w14:paraId="280F7329" w14:textId="17AAE651" w:rsidR="004314BD" w:rsidRPr="00FE4A86" w:rsidRDefault="00A678E8" w:rsidP="00BA7EB3">
      <w:pPr>
        <w:ind w:left="1440"/>
        <w:jc w:val="both"/>
        <w:rPr>
          <w:lang w:val="en-US"/>
        </w:rPr>
      </w:pPr>
      <w:r w:rsidRPr="00A678E8">
        <w:rPr>
          <w:b/>
          <w:bCs/>
          <w:highlight w:val="yellow"/>
          <w:lang w:val="en-US"/>
        </w:rPr>
        <w:t>Leveraging efforts within the UN (FR)</w:t>
      </w:r>
      <w:r>
        <w:rPr>
          <w:b/>
          <w:bCs/>
          <w:lang w:val="en-US"/>
        </w:rPr>
        <w:t xml:space="preserve"> </w:t>
      </w:r>
      <w:r w:rsidR="00D85AEB" w:rsidRPr="41189A25">
        <w:rPr>
          <w:b/>
          <w:bCs/>
          <w:lang w:val="en-US"/>
        </w:rPr>
        <w:t xml:space="preserve">Ocean Decade: </w:t>
      </w:r>
      <w:r w:rsidR="00D85AEB" w:rsidRPr="41189A25">
        <w:rPr>
          <w:lang w:val="en-US"/>
        </w:rPr>
        <w:t xml:space="preserve">A task of the IOC is to </w:t>
      </w:r>
      <w:r w:rsidR="00D85AEB" w:rsidRPr="00A678E8">
        <w:rPr>
          <w:strike/>
          <w:highlight w:val="yellow"/>
          <w:lang w:val="en-US"/>
        </w:rPr>
        <w:t>assist and enable</w:t>
      </w:r>
      <w:r w:rsidRPr="00A678E8">
        <w:rPr>
          <w:highlight w:val="yellow"/>
          <w:lang w:val="en-US"/>
        </w:rPr>
        <w:t xml:space="preserve"> coordinate (FR)</w:t>
      </w:r>
      <w:r w:rsidR="00D85AEB" w:rsidRPr="41189A25">
        <w:rPr>
          <w:lang w:val="en-US"/>
        </w:rPr>
        <w:t xml:space="preserve"> the implementation of the UN Ocean Decade. </w:t>
      </w:r>
      <w:r w:rsidRPr="00A678E8">
        <w:rPr>
          <w:highlight w:val="yellow"/>
          <w:lang w:val="en-US"/>
        </w:rPr>
        <w:t>Therefore,</w:t>
      </w:r>
      <w:r>
        <w:rPr>
          <w:lang w:val="en-US"/>
        </w:rPr>
        <w:t xml:space="preserve"> t</w:t>
      </w:r>
      <w:r w:rsidR="00D85AEB" w:rsidRPr="41189A25">
        <w:rPr>
          <w:lang w:val="en-US"/>
        </w:rPr>
        <w:t xml:space="preserve">he IOC-SOPM Strategy and its </w:t>
      </w:r>
      <w:r w:rsidR="00D85AEB" w:rsidRPr="000838FB">
        <w:rPr>
          <w:highlight w:val="yellow"/>
          <w:lang w:val="en-US"/>
        </w:rPr>
        <w:t xml:space="preserve">implementation </w:t>
      </w:r>
      <w:r w:rsidRPr="000838FB">
        <w:rPr>
          <w:highlight w:val="yellow"/>
          <w:lang w:val="en-US"/>
        </w:rPr>
        <w:t xml:space="preserve">will both build on </w:t>
      </w:r>
      <w:r w:rsidRPr="000838FB">
        <w:rPr>
          <w:highlight w:val="yellow"/>
          <w:lang w:val="en-US"/>
        </w:rPr>
        <w:lastRenderedPageBreak/>
        <w:t xml:space="preserve">and feed the activities of several </w:t>
      </w:r>
      <w:r w:rsidR="00D85AEB" w:rsidRPr="000838FB">
        <w:rPr>
          <w:strike/>
          <w:highlight w:val="yellow"/>
          <w:lang w:val="en-US"/>
        </w:rPr>
        <w:t>complements the</w:t>
      </w:r>
      <w:r w:rsidR="00D85AEB" w:rsidRPr="000838FB">
        <w:rPr>
          <w:highlight w:val="yellow"/>
          <w:lang w:val="en-US"/>
        </w:rPr>
        <w:t xml:space="preserve"> Ocean Decade Programme</w:t>
      </w:r>
      <w:r w:rsidRPr="000838FB">
        <w:rPr>
          <w:highlight w:val="yellow"/>
          <w:lang w:val="en-US"/>
        </w:rPr>
        <w:t xml:space="preserve">s. </w:t>
      </w:r>
      <w:proofErr w:type="gramStart"/>
      <w:r w:rsidRPr="000838FB">
        <w:rPr>
          <w:highlight w:val="yellow"/>
          <w:lang w:val="en-US"/>
        </w:rPr>
        <w:t>In particular, alignment</w:t>
      </w:r>
      <w:proofErr w:type="gramEnd"/>
      <w:r w:rsidRPr="000838FB">
        <w:rPr>
          <w:highlight w:val="yellow"/>
          <w:lang w:val="en-US"/>
        </w:rPr>
        <w:t xml:space="preserve"> with the </w:t>
      </w:r>
      <w:r w:rsidR="005351B1" w:rsidRPr="000838FB">
        <w:rPr>
          <w:highlight w:val="yellow"/>
          <w:lang w:val="en-US"/>
        </w:rPr>
        <w:t xml:space="preserve">Ocean Decade Programme on </w:t>
      </w:r>
      <w:r w:rsidR="00D85AEB" w:rsidRPr="000838FB">
        <w:rPr>
          <w:highlight w:val="yellow"/>
          <w:lang w:val="en-US"/>
        </w:rPr>
        <w:t xml:space="preserve">Sustainable Ocean Planning </w:t>
      </w:r>
      <w:r w:rsidR="000838FB" w:rsidRPr="000838FB">
        <w:rPr>
          <w:highlight w:val="yellow"/>
          <w:lang w:val="en-US"/>
        </w:rPr>
        <w:t xml:space="preserve">(SOP) will be key to </w:t>
      </w:r>
      <w:r w:rsidR="00D85AEB" w:rsidRPr="000838FB">
        <w:rPr>
          <w:strike/>
          <w:highlight w:val="yellow"/>
          <w:lang w:val="en-US"/>
        </w:rPr>
        <w:t>by</w:t>
      </w:r>
      <w:r w:rsidR="00D85AEB" w:rsidRPr="000838FB">
        <w:rPr>
          <w:highlight w:val="yellow"/>
          <w:lang w:val="en-US"/>
        </w:rPr>
        <w:t xml:space="preserve"> provid</w:t>
      </w:r>
      <w:r w:rsidR="000838FB" w:rsidRPr="000838FB">
        <w:rPr>
          <w:highlight w:val="yellow"/>
          <w:lang w:val="en-US"/>
        </w:rPr>
        <w:t>e</w:t>
      </w:r>
      <w:r w:rsidR="00D85AEB" w:rsidRPr="000838FB">
        <w:rPr>
          <w:strike/>
          <w:highlight w:val="yellow"/>
          <w:lang w:val="en-US"/>
        </w:rPr>
        <w:t>ing</w:t>
      </w:r>
      <w:r w:rsidR="00D85AEB" w:rsidRPr="000838FB">
        <w:rPr>
          <w:highlight w:val="yellow"/>
          <w:lang w:val="en-US"/>
        </w:rPr>
        <w:t xml:space="preserve"> a supportive tool to enable and operationalize </w:t>
      </w:r>
      <w:r w:rsidR="000838FB">
        <w:rPr>
          <w:highlight w:val="yellow"/>
          <w:lang w:val="en-US"/>
        </w:rPr>
        <w:t xml:space="preserve">Member States’ </w:t>
      </w:r>
      <w:r w:rsidR="00D85AEB" w:rsidRPr="000838FB">
        <w:rPr>
          <w:strike/>
          <w:highlight w:val="yellow"/>
          <w:lang w:val="en-US"/>
        </w:rPr>
        <w:t>national strategies in</w:t>
      </w:r>
      <w:r w:rsidR="00D85AEB" w:rsidRPr="000838FB">
        <w:rPr>
          <w:highlight w:val="yellow"/>
          <w:lang w:val="en-US"/>
        </w:rPr>
        <w:t xml:space="preserve"> SOPM</w:t>
      </w:r>
      <w:r w:rsidR="000838FB">
        <w:rPr>
          <w:highlight w:val="yellow"/>
          <w:lang w:val="en-US"/>
        </w:rPr>
        <w:t xml:space="preserve"> activities</w:t>
      </w:r>
      <w:r w:rsidR="00D85AEB" w:rsidRPr="000838FB">
        <w:rPr>
          <w:highlight w:val="yellow"/>
          <w:lang w:val="en-US"/>
        </w:rPr>
        <w:t>.</w:t>
      </w:r>
      <w:r w:rsidR="000838FB">
        <w:rPr>
          <w:lang w:val="en-US"/>
        </w:rPr>
        <w:t xml:space="preserve"> </w:t>
      </w:r>
      <w:r w:rsidR="000838FB" w:rsidRPr="000838FB">
        <w:rPr>
          <w:highlight w:val="yellow"/>
          <w:lang w:val="en-US"/>
        </w:rPr>
        <w:t>(FR)</w:t>
      </w:r>
      <w:r w:rsidR="00D85AEB" w:rsidRPr="41189A25">
        <w:rPr>
          <w:lang w:val="en-US"/>
        </w:rPr>
        <w:t xml:space="preserve"> </w:t>
      </w:r>
      <w:r w:rsidR="00D85AEB" w:rsidRPr="000838FB">
        <w:rPr>
          <w:strike/>
          <w:lang w:val="en-US"/>
        </w:rPr>
        <w:t>The</w:t>
      </w:r>
      <w:r w:rsidR="00D85AEB" w:rsidRPr="41189A25">
        <w:rPr>
          <w:lang w:val="en-US"/>
        </w:rPr>
        <w:t xml:space="preserve"> </w:t>
      </w:r>
      <w:r w:rsidR="000838FB">
        <w:rPr>
          <w:lang w:val="en-US"/>
        </w:rPr>
        <w:t xml:space="preserve">Building on the </w:t>
      </w:r>
      <w:r w:rsidR="00D85AEB" w:rsidRPr="41189A25">
        <w:rPr>
          <w:lang w:val="en-US"/>
        </w:rPr>
        <w:t xml:space="preserve">programme’s </w:t>
      </w:r>
      <w:r w:rsidR="000838FB">
        <w:rPr>
          <w:lang w:val="en-US"/>
        </w:rPr>
        <w:t xml:space="preserve">initiatives to </w:t>
      </w:r>
      <w:r w:rsidR="00D85AEB" w:rsidRPr="41189A25">
        <w:rPr>
          <w:lang w:val="en-US"/>
        </w:rPr>
        <w:t>co-design</w:t>
      </w:r>
      <w:r w:rsidR="000838FB" w:rsidRPr="000838FB">
        <w:rPr>
          <w:strike/>
          <w:lang w:val="en-US"/>
        </w:rPr>
        <w:t>ed</w:t>
      </w:r>
      <w:r w:rsidR="00D85AEB" w:rsidRPr="41189A25">
        <w:rPr>
          <w:lang w:val="en-US"/>
        </w:rPr>
        <w:t xml:space="preserve"> and co-deliver</w:t>
      </w:r>
      <w:r w:rsidR="00D85AEB" w:rsidRPr="007178E6">
        <w:rPr>
          <w:strike/>
          <w:lang w:val="en-US"/>
        </w:rPr>
        <w:t>ed</w:t>
      </w:r>
      <w:r w:rsidR="00D85AEB" w:rsidRPr="41189A25">
        <w:rPr>
          <w:lang w:val="en-US"/>
        </w:rPr>
        <w:t xml:space="preserve"> actions will ensure that </w:t>
      </w:r>
      <w:r w:rsidR="00593ACA" w:rsidRPr="007178E6">
        <w:rPr>
          <w:strike/>
          <w:highlight w:val="yellow"/>
          <w:lang w:val="en-US"/>
        </w:rPr>
        <w:t>initiatives</w:t>
      </w:r>
      <w:r w:rsidR="00593ACA" w:rsidRPr="007178E6">
        <w:rPr>
          <w:highlight w:val="yellow"/>
          <w:lang w:val="en-US"/>
        </w:rPr>
        <w:t xml:space="preserve"> </w:t>
      </w:r>
      <w:r w:rsidR="007178E6" w:rsidRPr="007178E6">
        <w:rPr>
          <w:highlight w:val="yellow"/>
          <w:lang w:val="en-US"/>
        </w:rPr>
        <w:t>activities within the IOC</w:t>
      </w:r>
      <w:r w:rsidR="007178E6">
        <w:rPr>
          <w:lang w:val="en-US"/>
        </w:rPr>
        <w:t xml:space="preserve"> </w:t>
      </w:r>
      <w:r w:rsidR="00D85AEB" w:rsidRPr="41189A25">
        <w:rPr>
          <w:lang w:val="en-US"/>
        </w:rPr>
        <w:t xml:space="preserve">address critical gaps </w:t>
      </w:r>
      <w:r w:rsidR="00593ACA">
        <w:rPr>
          <w:lang w:val="en-US"/>
        </w:rPr>
        <w:t xml:space="preserve">in </w:t>
      </w:r>
      <w:r w:rsidR="00593ACA" w:rsidRPr="41189A25">
        <w:rPr>
          <w:lang w:val="en-US"/>
        </w:rPr>
        <w:t xml:space="preserve">science, knowledge, capacity and action </w:t>
      </w:r>
      <w:r w:rsidR="00593ACA">
        <w:rPr>
          <w:lang w:val="en-US"/>
        </w:rPr>
        <w:t>for</w:t>
      </w:r>
      <w:r w:rsidR="00D85AEB" w:rsidRPr="41189A25">
        <w:rPr>
          <w:lang w:val="en-US"/>
        </w:rPr>
        <w:t xml:space="preserve"> Member States</w:t>
      </w:r>
      <w:r w:rsidR="00593ACA">
        <w:rPr>
          <w:lang w:val="en-US"/>
        </w:rPr>
        <w:t xml:space="preserve">, as well as </w:t>
      </w:r>
      <w:r w:rsidR="00D85AEB" w:rsidRPr="41189A25">
        <w:rPr>
          <w:lang w:val="en-US"/>
        </w:rPr>
        <w:t xml:space="preserve">adaptation and refinement of priorities to meet emerging challenges. </w:t>
      </w:r>
      <w:r w:rsidR="007178E6" w:rsidRPr="007178E6">
        <w:rPr>
          <w:highlight w:val="yellow"/>
          <w:lang w:val="en-US"/>
        </w:rPr>
        <w:t>It will also help align the activities of other Ocean Decade programmes (and the projects under their umbrellas) with IOC endeavors to implement its SOPM strategy, to maximize the overall effort to monitor the state of the ocean and seas and advance their sustainable and equitable management at all scales.</w:t>
      </w:r>
      <w:r w:rsidR="007178E6">
        <w:rPr>
          <w:lang w:val="en-US"/>
        </w:rPr>
        <w:t xml:space="preserve"> </w:t>
      </w:r>
      <w:r w:rsidR="007178E6" w:rsidRPr="007178E6">
        <w:rPr>
          <w:highlight w:val="yellow"/>
          <w:lang w:val="en-US"/>
        </w:rPr>
        <w:t>(FR)</w:t>
      </w:r>
      <w:r w:rsidR="007178E6">
        <w:rPr>
          <w:lang w:val="en-US"/>
        </w:rPr>
        <w:t xml:space="preserve"> </w:t>
      </w:r>
      <w:r w:rsidR="00D85AEB" w:rsidRPr="41189A25">
        <w:rPr>
          <w:lang w:val="en-US"/>
        </w:rPr>
        <w:t>These synergies are essential for achieving the objectives of the IOC-SOPM Strategy, fostering integrated, adaptive, and resilient SOPM that enhance global and regional cooperation and contribute to the long-term sustainability and equity of ocean economies.</w:t>
      </w:r>
    </w:p>
    <w:p w14:paraId="69B7C6E4" w14:textId="77777777" w:rsidR="004314BD" w:rsidRPr="00D04E18" w:rsidRDefault="004314BD" w:rsidP="00BA7EB3">
      <w:pPr>
        <w:jc w:val="both"/>
        <w:rPr>
          <w:lang w:val="en-US"/>
        </w:rPr>
      </w:pPr>
    </w:p>
    <w:p w14:paraId="0F1B34B2" w14:textId="38188318" w:rsidR="003B0DD9" w:rsidRDefault="003B0DD9" w:rsidP="00BA7EB3">
      <w:pPr>
        <w:ind w:left="1440"/>
        <w:jc w:val="both"/>
        <w:rPr>
          <w:lang w:val="en-US"/>
        </w:rPr>
      </w:pPr>
      <w:r w:rsidRPr="41189A25">
        <w:rPr>
          <w:b/>
          <w:bCs/>
          <w:lang w:val="en-US"/>
        </w:rPr>
        <w:t>Collaboration with External Actors</w:t>
      </w:r>
      <w:r w:rsidR="007D49B8" w:rsidRPr="41189A25">
        <w:rPr>
          <w:b/>
          <w:bCs/>
          <w:lang w:val="en-US"/>
        </w:rPr>
        <w:t>:</w:t>
      </w:r>
      <w:r w:rsidR="008404E4" w:rsidRPr="41189A25">
        <w:rPr>
          <w:b/>
          <w:bCs/>
          <w:lang w:val="en-US"/>
        </w:rPr>
        <w:t xml:space="preserve"> </w:t>
      </w:r>
      <w:r w:rsidR="00BA7EB3" w:rsidRPr="41189A25">
        <w:rPr>
          <w:lang w:val="en-US"/>
        </w:rPr>
        <w:t xml:space="preserve">Building on existing partnership, the IOC will use the IOC-SOPM Strategy implementation to engage with various UN, and non-UN organizations, including the United Nations Environment Programme (UNEP), the World Meteorological Organization (WMO), the Convention on Biological Diversity (CBD), the United Nations Development Programme (UNDP), the International Seabed Authority (ISA), the Food and Agriculture Organization (FAO,) the European </w:t>
      </w:r>
      <w:r w:rsidR="00C9712E">
        <w:rPr>
          <w:lang w:val="en-US"/>
        </w:rPr>
        <w:t>Union</w:t>
      </w:r>
      <w:r w:rsidR="00BA7EB3" w:rsidRPr="41189A25">
        <w:rPr>
          <w:lang w:val="en-US"/>
        </w:rPr>
        <w:t xml:space="preserve"> (EU), the Ocean Action Coalition 2030, </w:t>
      </w:r>
      <w:r w:rsidR="00C9712E">
        <w:rPr>
          <w:lang w:val="en-US"/>
        </w:rPr>
        <w:t xml:space="preserve">the UN Global Compact </w:t>
      </w:r>
      <w:r w:rsidR="00BA7EB3" w:rsidRPr="41189A25">
        <w:rPr>
          <w:lang w:val="en-US"/>
        </w:rPr>
        <w:t xml:space="preserve">and the High Level Panel for a Sustainable Ocean Economy. </w:t>
      </w:r>
      <w:r w:rsidR="008404E4" w:rsidRPr="41189A25">
        <w:rPr>
          <w:lang w:val="en-US"/>
        </w:rPr>
        <w:t>Collaboration with non-governmental organi</w:t>
      </w:r>
      <w:r w:rsidR="00C9712E">
        <w:rPr>
          <w:lang w:val="en-US"/>
        </w:rPr>
        <w:t>z</w:t>
      </w:r>
      <w:r w:rsidR="008404E4" w:rsidRPr="41189A25">
        <w:rPr>
          <w:lang w:val="en-US"/>
        </w:rPr>
        <w:t>ations (NGOs)</w:t>
      </w:r>
      <w:r w:rsidR="006713A6" w:rsidRPr="41189A25">
        <w:rPr>
          <w:lang w:val="en-US"/>
        </w:rPr>
        <w:t xml:space="preserve"> will bring expertise in advocacy, community engagement, and</w:t>
      </w:r>
      <w:r w:rsidR="00D85AEB">
        <w:rPr>
          <w:lang w:val="en-US"/>
        </w:rPr>
        <w:t xml:space="preserve"> I</w:t>
      </w:r>
      <w:r w:rsidR="006713A6" w:rsidRPr="41189A25">
        <w:rPr>
          <w:lang w:val="en-US"/>
        </w:rPr>
        <w:t xml:space="preserve">ndigenous and local knowledge for more inclusive and equitable SOPM. Engagement with academic institutions will drive scientific progress, foster evidence-based decision-making, and provide training for </w:t>
      </w:r>
      <w:r w:rsidR="006713A6" w:rsidRPr="00402627">
        <w:rPr>
          <w:strike/>
          <w:highlight w:val="yellow"/>
          <w:lang w:val="en-US"/>
        </w:rPr>
        <w:t>future</w:t>
      </w:r>
      <w:r w:rsidR="00402627" w:rsidRPr="00402627">
        <w:rPr>
          <w:lang w:val="en-US"/>
        </w:rPr>
        <w:t xml:space="preserve"> </w:t>
      </w:r>
      <w:r w:rsidR="00402627" w:rsidRPr="00402627">
        <w:rPr>
          <w:highlight w:val="yellow"/>
          <w:lang w:val="en-US"/>
        </w:rPr>
        <w:t>(CA)</w:t>
      </w:r>
      <w:r w:rsidR="006713A6" w:rsidRPr="00402627">
        <w:rPr>
          <w:lang w:val="en-US"/>
        </w:rPr>
        <w:t xml:space="preserve"> </w:t>
      </w:r>
      <w:r w:rsidR="364BCAF9" w:rsidRPr="41189A25">
        <w:rPr>
          <w:lang w:val="en-US"/>
        </w:rPr>
        <w:t xml:space="preserve">SOPM </w:t>
      </w:r>
      <w:r w:rsidR="006713A6" w:rsidRPr="41189A25">
        <w:rPr>
          <w:lang w:val="en-US"/>
        </w:rPr>
        <w:t xml:space="preserve">practitioners. Partnering with the private sector will </w:t>
      </w:r>
      <w:r w:rsidR="00BA7EB3">
        <w:rPr>
          <w:lang w:val="en-US"/>
        </w:rPr>
        <w:t xml:space="preserve">help </w:t>
      </w:r>
      <w:r w:rsidR="006713A6" w:rsidRPr="41189A25">
        <w:rPr>
          <w:lang w:val="en-US"/>
        </w:rPr>
        <w:t>leverage resources, innovation, and industry expertise. Collaboration with communication outlets will help raise awareness, promote public engagement, and communicate the importance of SOPM. The</w:t>
      </w:r>
      <w:r w:rsidR="00BA7EB3">
        <w:rPr>
          <w:lang w:val="en-US"/>
        </w:rPr>
        <w:t>se</w:t>
      </w:r>
      <w:r w:rsidR="006713A6" w:rsidRPr="41189A25">
        <w:rPr>
          <w:lang w:val="en-US"/>
        </w:rPr>
        <w:t xml:space="preserve"> partnerships will cataly</w:t>
      </w:r>
      <w:r w:rsidR="00C9712E">
        <w:rPr>
          <w:lang w:val="en-US"/>
        </w:rPr>
        <w:t>z</w:t>
      </w:r>
      <w:r w:rsidR="006713A6" w:rsidRPr="41189A25">
        <w:rPr>
          <w:lang w:val="en-US"/>
        </w:rPr>
        <w:t xml:space="preserve">e research, innovation, and knowledge exchange, leading to cutting-edge tools and methodologies for effective SOPM. </w:t>
      </w:r>
    </w:p>
    <w:p w14:paraId="7B7F8D0F" w14:textId="77777777" w:rsidR="006F3009" w:rsidRPr="006F3009" w:rsidRDefault="006F3009" w:rsidP="006F3009">
      <w:pPr>
        <w:jc w:val="both"/>
        <w:rPr>
          <w:b/>
          <w:sz w:val="28"/>
          <w:szCs w:val="28"/>
          <w:lang w:val="en-US"/>
        </w:rPr>
      </w:pPr>
    </w:p>
    <w:p w14:paraId="3426EF69" w14:textId="4FF639C7" w:rsidR="006F3009" w:rsidRPr="007D49B8" w:rsidRDefault="006F3009" w:rsidP="006F3009">
      <w:pPr>
        <w:jc w:val="both"/>
        <w:rPr>
          <w:b/>
          <w:sz w:val="28"/>
          <w:szCs w:val="28"/>
          <w:lang w:val="en-US"/>
        </w:rPr>
      </w:pPr>
      <w:r w:rsidRPr="007D49B8">
        <w:rPr>
          <w:b/>
          <w:sz w:val="28"/>
          <w:szCs w:val="28"/>
          <w:lang w:val="en-US"/>
        </w:rPr>
        <w:t>Budget requirements</w:t>
      </w:r>
    </w:p>
    <w:p w14:paraId="34136CAC" w14:textId="0A95CA0A" w:rsidR="00874F6A" w:rsidRPr="007D49B8" w:rsidRDefault="00874F6A" w:rsidP="00874F6A">
      <w:pPr>
        <w:jc w:val="both"/>
        <w:rPr>
          <w:lang w:val="en-US"/>
        </w:rPr>
      </w:pPr>
    </w:p>
    <w:p w14:paraId="7DC6A7E9" w14:textId="411899DF" w:rsidR="00C30C18" w:rsidRPr="00E94EF3" w:rsidRDefault="00D31E3E" w:rsidP="00E94EF3">
      <w:pPr>
        <w:pStyle w:val="ListParagraph"/>
        <w:numPr>
          <w:ilvl w:val="0"/>
          <w:numId w:val="7"/>
        </w:numPr>
        <w:jc w:val="both"/>
        <w:rPr>
          <w:highlight w:val="yellow"/>
          <w:lang w:val="en-US"/>
        </w:rPr>
      </w:pPr>
      <w:r>
        <w:rPr>
          <w:highlight w:val="yellow"/>
          <w:lang w:val="en-US"/>
        </w:rPr>
        <w:t>Whilst t</w:t>
      </w:r>
      <w:r w:rsidR="00A47607" w:rsidRPr="00E94EF3">
        <w:rPr>
          <w:highlight w:val="yellow"/>
          <w:lang w:val="en-US"/>
        </w:rPr>
        <w:t>he</w:t>
      </w:r>
      <w:r w:rsidR="006414A2" w:rsidRPr="00E94EF3">
        <w:rPr>
          <w:highlight w:val="yellow"/>
          <w:lang w:val="en-US"/>
        </w:rPr>
        <w:t xml:space="preserve"> initial phase </w:t>
      </w:r>
      <w:r w:rsidR="00A47607" w:rsidRPr="00E94EF3">
        <w:rPr>
          <w:highlight w:val="yellow"/>
          <w:lang w:val="en-US"/>
        </w:rPr>
        <w:t>of implementing the</w:t>
      </w:r>
      <w:r w:rsidR="00995E4C" w:rsidRPr="00E94EF3">
        <w:rPr>
          <w:highlight w:val="yellow"/>
          <w:lang w:val="en-US"/>
        </w:rPr>
        <w:t xml:space="preserve"> IOC-SOPM Strategy </w:t>
      </w:r>
      <w:r>
        <w:rPr>
          <w:highlight w:val="yellow"/>
          <w:lang w:val="en-US"/>
        </w:rPr>
        <w:t>will</w:t>
      </w:r>
      <w:r w:rsidRPr="00E94EF3">
        <w:rPr>
          <w:highlight w:val="yellow"/>
          <w:lang w:val="en-US"/>
        </w:rPr>
        <w:t xml:space="preserve"> </w:t>
      </w:r>
      <w:r>
        <w:rPr>
          <w:highlight w:val="yellow"/>
          <w:lang w:val="en-US"/>
        </w:rPr>
        <w:t>be supported through seed funding provided under the IOC ICAM/MSP regular programme allocation</w:t>
      </w:r>
      <w:r w:rsidR="00BD2096">
        <w:rPr>
          <w:highlight w:val="yellow"/>
          <w:lang w:val="en-US"/>
        </w:rPr>
        <w:t xml:space="preserve"> (Function E: Sustainable management and governance)</w:t>
      </w:r>
      <w:r>
        <w:rPr>
          <w:highlight w:val="yellow"/>
          <w:lang w:val="en-US"/>
        </w:rPr>
        <w:t xml:space="preserve">, the </w:t>
      </w:r>
      <w:r w:rsidR="00DB4245" w:rsidRPr="00E94EF3">
        <w:rPr>
          <w:b/>
          <w:bCs/>
          <w:highlight w:val="yellow"/>
          <w:lang w:val="en-US"/>
        </w:rPr>
        <w:t>deliver</w:t>
      </w:r>
      <w:r w:rsidR="00A47607" w:rsidRPr="00E94EF3">
        <w:rPr>
          <w:b/>
          <w:bCs/>
          <w:highlight w:val="yellow"/>
          <w:lang w:val="en-US"/>
        </w:rPr>
        <w:t>ing</w:t>
      </w:r>
      <w:r w:rsidR="00DB4245" w:rsidRPr="00E94EF3">
        <w:rPr>
          <w:b/>
          <w:bCs/>
          <w:highlight w:val="yellow"/>
          <w:lang w:val="en-US"/>
        </w:rPr>
        <w:t xml:space="preserve"> </w:t>
      </w:r>
      <w:r>
        <w:rPr>
          <w:b/>
          <w:bCs/>
          <w:highlight w:val="yellow"/>
          <w:lang w:val="en-US"/>
        </w:rPr>
        <w:t xml:space="preserve">of </w:t>
      </w:r>
      <w:r w:rsidR="00DB4245" w:rsidRPr="00E94EF3">
        <w:rPr>
          <w:b/>
          <w:bCs/>
          <w:highlight w:val="yellow"/>
          <w:lang w:val="en-US"/>
        </w:rPr>
        <w:t>meaningful progress</w:t>
      </w:r>
      <w:r w:rsidR="00995E4C" w:rsidRPr="00E94EF3">
        <w:rPr>
          <w:b/>
          <w:bCs/>
          <w:highlight w:val="yellow"/>
          <w:lang w:val="en-US"/>
        </w:rPr>
        <w:t xml:space="preserve"> </w:t>
      </w:r>
      <w:r>
        <w:rPr>
          <w:b/>
          <w:bCs/>
          <w:highlight w:val="yellow"/>
          <w:lang w:val="en-US"/>
        </w:rPr>
        <w:t xml:space="preserve">will </w:t>
      </w:r>
      <w:r w:rsidR="00A47607" w:rsidRPr="00E94EF3">
        <w:rPr>
          <w:b/>
          <w:bCs/>
          <w:highlight w:val="yellow"/>
          <w:lang w:val="en-US"/>
        </w:rPr>
        <w:t>require additional</w:t>
      </w:r>
      <w:r w:rsidR="006414A2" w:rsidRPr="00E94EF3">
        <w:rPr>
          <w:b/>
          <w:bCs/>
          <w:highlight w:val="yellow"/>
          <w:lang w:val="en-US"/>
        </w:rPr>
        <w:t xml:space="preserve"> financing</w:t>
      </w:r>
      <w:r>
        <w:rPr>
          <w:b/>
          <w:bCs/>
          <w:highlight w:val="yellow"/>
          <w:lang w:val="en-US"/>
        </w:rPr>
        <w:t xml:space="preserve"> through voluntary contributions</w:t>
      </w:r>
      <w:r w:rsidR="00DB4245" w:rsidRPr="00E94EF3">
        <w:rPr>
          <w:highlight w:val="yellow"/>
          <w:lang w:val="en-US"/>
        </w:rPr>
        <w:t xml:space="preserve">. </w:t>
      </w:r>
      <w:r w:rsidR="00A47607" w:rsidRPr="00E94EF3">
        <w:rPr>
          <w:highlight w:val="yellow"/>
          <w:lang w:val="en-US"/>
        </w:rPr>
        <w:t>A key priority of the Implementation Plan</w:t>
      </w:r>
      <w:r w:rsidR="00803584" w:rsidRPr="00E94EF3">
        <w:rPr>
          <w:highlight w:val="yellow"/>
          <w:lang w:val="en-US"/>
        </w:rPr>
        <w:t>’s activities between 2025-2027</w:t>
      </w:r>
      <w:r w:rsidR="00A47607" w:rsidRPr="00E94EF3">
        <w:rPr>
          <w:highlight w:val="yellow"/>
          <w:lang w:val="en-US"/>
        </w:rPr>
        <w:t xml:space="preserve"> is identifying and engaging </w:t>
      </w:r>
      <w:r w:rsidR="00C0217A" w:rsidRPr="00E94EF3">
        <w:rPr>
          <w:highlight w:val="yellow"/>
          <w:lang w:val="en-US"/>
        </w:rPr>
        <w:t xml:space="preserve">decision-makers and professionals responsible for SOPM across IOC Member States who </w:t>
      </w:r>
      <w:r w:rsidR="00A47607" w:rsidRPr="00E94EF3">
        <w:rPr>
          <w:highlight w:val="yellow"/>
          <w:lang w:val="en-US"/>
        </w:rPr>
        <w:t xml:space="preserve">are the </w:t>
      </w:r>
      <w:r w:rsidR="00C0217A" w:rsidRPr="00E94EF3">
        <w:rPr>
          <w:highlight w:val="yellow"/>
          <w:lang w:val="en-US"/>
        </w:rPr>
        <w:t>end-user in the IOC value chain (Activity 1 in Table 1)</w:t>
      </w:r>
      <w:r>
        <w:rPr>
          <w:highlight w:val="yellow"/>
          <w:lang w:val="en-US"/>
        </w:rPr>
        <w:t xml:space="preserve">, as well as to co-design activities and deliverables with IOC Programmes </w:t>
      </w:r>
      <w:r>
        <w:rPr>
          <w:highlight w:val="yellow"/>
          <w:lang w:val="en-US"/>
        </w:rPr>
        <w:lastRenderedPageBreak/>
        <w:t>and Regional Sub-Commissions</w:t>
      </w:r>
      <w:r w:rsidR="00C0217A" w:rsidRPr="00E94EF3">
        <w:rPr>
          <w:highlight w:val="yellow"/>
          <w:lang w:val="en-US"/>
        </w:rPr>
        <w:t>.</w:t>
      </w:r>
      <w:r w:rsidR="00E64AD0" w:rsidRPr="00E94EF3">
        <w:rPr>
          <w:highlight w:val="yellow"/>
          <w:lang w:val="en-US"/>
        </w:rPr>
        <w:t xml:space="preserve"> </w:t>
      </w:r>
      <w:r w:rsidR="00A47607" w:rsidRPr="00E94EF3">
        <w:rPr>
          <w:highlight w:val="yellow"/>
          <w:lang w:val="en-US"/>
        </w:rPr>
        <w:t xml:space="preserve">The </w:t>
      </w:r>
      <w:r w:rsidR="00C0217A" w:rsidRPr="00E94EF3">
        <w:rPr>
          <w:b/>
          <w:bCs/>
          <w:highlight w:val="yellow"/>
          <w:lang w:val="en-US"/>
        </w:rPr>
        <w:t>benefit of investing</w:t>
      </w:r>
      <w:r w:rsidR="00C0217A" w:rsidRPr="00E94EF3">
        <w:rPr>
          <w:highlight w:val="yellow"/>
          <w:lang w:val="en-US"/>
        </w:rPr>
        <w:t xml:space="preserve"> in the IOC-SOPM Strategy</w:t>
      </w:r>
      <w:r w:rsidR="00A47607" w:rsidRPr="00E94EF3">
        <w:rPr>
          <w:highlight w:val="yellow"/>
          <w:lang w:val="en-US"/>
        </w:rPr>
        <w:t xml:space="preserve"> is that</w:t>
      </w:r>
      <w:r w:rsidR="00803584" w:rsidRPr="00E94EF3">
        <w:rPr>
          <w:highlight w:val="yellow"/>
          <w:lang w:val="en-US"/>
        </w:rPr>
        <w:t xml:space="preserve"> </w:t>
      </w:r>
      <w:r w:rsidR="00803584" w:rsidRPr="00E94EF3">
        <w:rPr>
          <w:b/>
          <w:bCs/>
          <w:highlight w:val="yellow"/>
          <w:lang w:val="en-US"/>
        </w:rPr>
        <w:t>it will enable</w:t>
      </w:r>
      <w:r w:rsidR="00C0217A" w:rsidRPr="00E94EF3">
        <w:rPr>
          <w:b/>
          <w:bCs/>
          <w:highlight w:val="yellow"/>
          <w:lang w:val="en-US"/>
        </w:rPr>
        <w:t xml:space="preserve"> IOC-programmes</w:t>
      </w:r>
      <w:r w:rsidR="00E64AD0" w:rsidRPr="00E94EF3">
        <w:rPr>
          <w:b/>
          <w:bCs/>
          <w:highlight w:val="yellow"/>
          <w:lang w:val="en-US"/>
        </w:rPr>
        <w:t xml:space="preserve">, </w:t>
      </w:r>
      <w:r w:rsidR="00E64AD0" w:rsidRPr="00E94EF3">
        <w:rPr>
          <w:highlight w:val="yellow"/>
          <w:lang w:val="en-US"/>
        </w:rPr>
        <w:t>particularly GOOS, IODE and OBIS,</w:t>
      </w:r>
      <w:r w:rsidR="00C0217A" w:rsidRPr="00E94EF3">
        <w:rPr>
          <w:b/>
          <w:bCs/>
          <w:highlight w:val="yellow"/>
          <w:lang w:val="en-US"/>
        </w:rPr>
        <w:t xml:space="preserve"> to </w:t>
      </w:r>
      <w:r>
        <w:rPr>
          <w:b/>
          <w:bCs/>
          <w:highlight w:val="yellow"/>
          <w:lang w:val="en-US"/>
        </w:rPr>
        <w:t xml:space="preserve">respond to SOPM </w:t>
      </w:r>
      <w:r w:rsidR="00E64AD0" w:rsidRPr="00E94EF3">
        <w:rPr>
          <w:b/>
          <w:bCs/>
          <w:highlight w:val="yellow"/>
          <w:lang w:val="en-US"/>
        </w:rPr>
        <w:t>end-user</w:t>
      </w:r>
      <w:r>
        <w:rPr>
          <w:b/>
          <w:bCs/>
          <w:highlight w:val="yellow"/>
          <w:lang w:val="en-US"/>
        </w:rPr>
        <w:t xml:space="preserve">s by enhancing the relevance of their services, knowledge products and skills for this </w:t>
      </w:r>
      <w:proofErr w:type="gramStart"/>
      <w:r>
        <w:rPr>
          <w:b/>
          <w:bCs/>
          <w:highlight w:val="yellow"/>
          <w:lang w:val="en-US"/>
        </w:rPr>
        <w:t>particular community</w:t>
      </w:r>
      <w:proofErr w:type="gramEnd"/>
      <w:r w:rsidR="00E64AD0" w:rsidRPr="00E94EF3">
        <w:rPr>
          <w:b/>
          <w:bCs/>
          <w:highlight w:val="yellow"/>
          <w:lang w:val="en-US"/>
        </w:rPr>
        <w:t xml:space="preserve">. </w:t>
      </w:r>
      <w:r w:rsidR="00A47607" w:rsidRPr="00E94EF3">
        <w:rPr>
          <w:highlight w:val="yellow"/>
          <w:lang w:val="en-US"/>
        </w:rPr>
        <w:t>This</w:t>
      </w:r>
      <w:r w:rsidR="00E64AD0" w:rsidRPr="00E94EF3">
        <w:rPr>
          <w:highlight w:val="yellow"/>
          <w:lang w:val="en-US"/>
        </w:rPr>
        <w:t xml:space="preserve"> user-centric approach </w:t>
      </w:r>
      <w:r w:rsidR="00A6169B" w:rsidRPr="00E94EF3">
        <w:rPr>
          <w:highlight w:val="yellow"/>
          <w:lang w:val="en-US"/>
        </w:rPr>
        <w:t xml:space="preserve">to </w:t>
      </w:r>
      <w:r w:rsidR="00A47607" w:rsidRPr="00E94EF3">
        <w:rPr>
          <w:highlight w:val="yellow"/>
          <w:lang w:val="en-US"/>
        </w:rPr>
        <w:t>data</w:t>
      </w:r>
      <w:r w:rsidR="00A6169B" w:rsidRPr="00E94EF3">
        <w:rPr>
          <w:highlight w:val="yellow"/>
          <w:lang w:val="en-US"/>
        </w:rPr>
        <w:t xml:space="preserve"> collection</w:t>
      </w:r>
      <w:r w:rsidR="00803584" w:rsidRPr="00E94EF3">
        <w:rPr>
          <w:highlight w:val="yellow"/>
          <w:lang w:val="en-US"/>
        </w:rPr>
        <w:t>, coordination</w:t>
      </w:r>
      <w:r w:rsidR="00A6169B" w:rsidRPr="00E94EF3">
        <w:rPr>
          <w:highlight w:val="yellow"/>
          <w:lang w:val="en-US"/>
        </w:rPr>
        <w:t xml:space="preserve"> and use </w:t>
      </w:r>
      <w:r w:rsidR="00A47607" w:rsidRPr="00E94EF3">
        <w:rPr>
          <w:highlight w:val="yellow"/>
          <w:lang w:val="en-US"/>
        </w:rPr>
        <w:t>can</w:t>
      </w:r>
      <w:r w:rsidR="00E64AD0" w:rsidRPr="00E94EF3">
        <w:rPr>
          <w:highlight w:val="yellow"/>
          <w:lang w:val="en-US"/>
        </w:rPr>
        <w:t xml:space="preserve"> </w:t>
      </w:r>
      <w:r w:rsidR="00C0217A" w:rsidRPr="00E94EF3">
        <w:rPr>
          <w:highlight w:val="yellow"/>
          <w:lang w:val="en-US"/>
        </w:rPr>
        <w:t xml:space="preserve">optimize IOC’s </w:t>
      </w:r>
      <w:r w:rsidR="00A47607" w:rsidRPr="00E94EF3">
        <w:rPr>
          <w:highlight w:val="yellow"/>
          <w:lang w:val="en-US"/>
        </w:rPr>
        <w:t xml:space="preserve">overall </w:t>
      </w:r>
      <w:r w:rsidR="00C0217A" w:rsidRPr="00E94EF3">
        <w:rPr>
          <w:highlight w:val="yellow"/>
          <w:lang w:val="en-US"/>
        </w:rPr>
        <w:t xml:space="preserve">delivery </w:t>
      </w:r>
      <w:r w:rsidR="00A47607" w:rsidRPr="00E94EF3">
        <w:rPr>
          <w:highlight w:val="yellow"/>
          <w:lang w:val="en-US"/>
        </w:rPr>
        <w:t>and enhance the ability to</w:t>
      </w:r>
      <w:r w:rsidR="00C0217A" w:rsidRPr="00E94EF3">
        <w:rPr>
          <w:highlight w:val="yellow"/>
          <w:lang w:val="en-US"/>
        </w:rPr>
        <w:t xml:space="preserve"> </w:t>
      </w:r>
      <w:r w:rsidR="00A47607" w:rsidRPr="00E94EF3">
        <w:rPr>
          <w:highlight w:val="yellow"/>
          <w:lang w:val="en-US"/>
        </w:rPr>
        <w:t>attract</w:t>
      </w:r>
      <w:r w:rsidR="00C0217A" w:rsidRPr="00E94EF3">
        <w:rPr>
          <w:highlight w:val="yellow"/>
          <w:lang w:val="en-US"/>
        </w:rPr>
        <w:t xml:space="preserve"> </w:t>
      </w:r>
      <w:r w:rsidR="00A6169B" w:rsidRPr="00E94EF3">
        <w:rPr>
          <w:highlight w:val="yellow"/>
          <w:lang w:val="en-US"/>
        </w:rPr>
        <w:t xml:space="preserve">cross-programmatic </w:t>
      </w:r>
      <w:r w:rsidR="00C0217A" w:rsidRPr="00E94EF3">
        <w:rPr>
          <w:highlight w:val="yellow"/>
          <w:lang w:val="en-US"/>
        </w:rPr>
        <w:t>extra-budgetary financing</w:t>
      </w:r>
      <w:r w:rsidR="00E64AD0" w:rsidRPr="00E94EF3">
        <w:rPr>
          <w:highlight w:val="yellow"/>
          <w:lang w:val="en-US"/>
        </w:rPr>
        <w:t xml:space="preserve"> </w:t>
      </w:r>
      <w:r w:rsidR="00A6169B" w:rsidRPr="00E94EF3">
        <w:rPr>
          <w:highlight w:val="yellow"/>
          <w:lang w:val="en-US"/>
        </w:rPr>
        <w:t xml:space="preserve">that </w:t>
      </w:r>
      <w:r w:rsidR="00A47607" w:rsidRPr="00E94EF3">
        <w:rPr>
          <w:highlight w:val="yellow"/>
          <w:lang w:val="en-US"/>
        </w:rPr>
        <w:t xml:space="preserve">can </w:t>
      </w:r>
      <w:r w:rsidR="00803584" w:rsidRPr="00E94EF3">
        <w:rPr>
          <w:highlight w:val="yellow"/>
          <w:lang w:val="en-US"/>
        </w:rPr>
        <w:t xml:space="preserve">further </w:t>
      </w:r>
      <w:r w:rsidR="00A47607" w:rsidRPr="00E94EF3">
        <w:rPr>
          <w:highlight w:val="yellow"/>
          <w:lang w:val="en-US"/>
        </w:rPr>
        <w:t>strengthen delivery of IOC’s mandate</w:t>
      </w:r>
      <w:r w:rsidR="00A6169B" w:rsidRPr="00E94EF3">
        <w:rPr>
          <w:highlight w:val="yellow"/>
          <w:lang w:val="en-US"/>
        </w:rPr>
        <w:t xml:space="preserve">. </w:t>
      </w:r>
      <w:r w:rsidR="00C30C18" w:rsidRPr="00E94EF3">
        <w:rPr>
          <w:highlight w:val="yellow"/>
          <w:lang w:val="en-US"/>
        </w:rPr>
        <w:t xml:space="preserve">Consultations with IOC programmes and regional sub-commissions will identify deliverables from existing portfolios and strategies for leveraging new funding. Resources for the IOC-SOPM Strategy are expected to remain decentralized, with each programme </w:t>
      </w:r>
      <w:r w:rsidR="0074654D" w:rsidRPr="00E94EF3">
        <w:rPr>
          <w:highlight w:val="yellow"/>
          <w:lang w:val="en-US"/>
        </w:rPr>
        <w:t xml:space="preserve">defining </w:t>
      </w:r>
      <w:r w:rsidR="00C30C18" w:rsidRPr="00E94EF3">
        <w:rPr>
          <w:highlight w:val="yellow"/>
          <w:lang w:val="en-US"/>
        </w:rPr>
        <w:t xml:space="preserve">its contribution based on allocated budgets. </w:t>
      </w:r>
      <w:r w:rsidR="0074654D" w:rsidRPr="00E94EF3">
        <w:rPr>
          <w:highlight w:val="yellow"/>
          <w:lang w:val="en-US"/>
        </w:rPr>
        <w:t>New f</w:t>
      </w:r>
      <w:r w:rsidR="00C30C18" w:rsidRPr="00E94EF3">
        <w:rPr>
          <w:highlight w:val="yellow"/>
          <w:lang w:val="en-US"/>
        </w:rPr>
        <w:t>inancial needs will be in</w:t>
      </w:r>
      <w:r w:rsidR="0074654D" w:rsidRPr="00E94EF3">
        <w:rPr>
          <w:highlight w:val="yellow"/>
          <w:lang w:val="en-US"/>
        </w:rPr>
        <w:t>corporated</w:t>
      </w:r>
      <w:r w:rsidR="00C30C18" w:rsidRPr="00E94EF3">
        <w:rPr>
          <w:highlight w:val="yellow"/>
          <w:lang w:val="en-US"/>
        </w:rPr>
        <w:t xml:space="preserve"> in the </w:t>
      </w:r>
      <w:r w:rsidR="0074654D" w:rsidRPr="00E94EF3">
        <w:rPr>
          <w:highlight w:val="yellow"/>
          <w:lang w:val="en-US"/>
        </w:rPr>
        <w:t>broader</w:t>
      </w:r>
      <w:r w:rsidR="00C30C18" w:rsidRPr="00E94EF3">
        <w:rPr>
          <w:highlight w:val="yellow"/>
          <w:lang w:val="en-US"/>
        </w:rPr>
        <w:t xml:space="preserve"> IOC resource mobilization strategy. </w:t>
      </w:r>
      <w:r w:rsidR="0074654D" w:rsidRPr="00E94EF3">
        <w:rPr>
          <w:highlight w:val="yellow"/>
          <w:lang w:val="en-US"/>
        </w:rPr>
        <w:t>(IOC Secretariat)</w:t>
      </w:r>
    </w:p>
    <w:p w14:paraId="59D496C7" w14:textId="2FB1C65A" w:rsidR="00D93174" w:rsidRDefault="00D93174" w:rsidP="00D93174">
      <w:pPr>
        <w:jc w:val="both"/>
        <w:rPr>
          <w:lang w:val="en-US"/>
        </w:rPr>
      </w:pPr>
    </w:p>
    <w:p w14:paraId="2721A7E8" w14:textId="77777777" w:rsidR="00F16AA2" w:rsidRDefault="00F16AA2" w:rsidP="00D93174">
      <w:pPr>
        <w:jc w:val="both"/>
        <w:rPr>
          <w:b/>
          <w:sz w:val="28"/>
          <w:szCs w:val="28"/>
          <w:lang w:val="en-US"/>
        </w:rPr>
      </w:pPr>
    </w:p>
    <w:p w14:paraId="52132836" w14:textId="7069D51D" w:rsidR="00D93174" w:rsidRPr="00F16AA2" w:rsidRDefault="00F16AA2" w:rsidP="00D93174">
      <w:pPr>
        <w:jc w:val="both"/>
        <w:rPr>
          <w:b/>
          <w:sz w:val="28"/>
          <w:szCs w:val="28"/>
          <w:lang w:val="en-US"/>
        </w:rPr>
      </w:pPr>
      <w:r w:rsidRPr="00F16AA2">
        <w:rPr>
          <w:b/>
          <w:sz w:val="28"/>
          <w:szCs w:val="28"/>
          <w:lang w:val="en-US"/>
        </w:rPr>
        <w:t xml:space="preserve">Table 1: </w:t>
      </w:r>
      <w:r w:rsidRPr="00F16AA2">
        <w:rPr>
          <w:b/>
          <w:iCs/>
          <w:sz w:val="28"/>
          <w:szCs w:val="28"/>
          <w:lang w:val="en-US"/>
        </w:rPr>
        <w:t>Activities, deliverables, responsible partner, timing and resources for the implementation of the IOC-wide Strategy during the period mid 2025–end 2027</w:t>
      </w:r>
    </w:p>
    <w:p w14:paraId="4806F565" w14:textId="51333830" w:rsidR="00F16AA2" w:rsidRDefault="00F16AA2" w:rsidP="00F16AA2">
      <w:pPr>
        <w:jc w:val="both"/>
        <w:rPr>
          <w:i/>
          <w:iCs/>
          <w:sz w:val="21"/>
          <w:szCs w:val="21"/>
          <w:lang w:val="en-US"/>
        </w:rPr>
      </w:pPr>
      <w:r w:rsidRPr="2026F5BE">
        <w:rPr>
          <w:i/>
          <w:iCs/>
          <w:sz w:val="21"/>
          <w:szCs w:val="21"/>
          <w:lang w:val="en-US"/>
        </w:rPr>
        <w:t xml:space="preserve"> </w:t>
      </w:r>
    </w:p>
    <w:p w14:paraId="1DB24D07" w14:textId="4940B139" w:rsidR="001B648B" w:rsidRPr="001B648B" w:rsidRDefault="001B648B" w:rsidP="00F16AA2">
      <w:pPr>
        <w:jc w:val="both"/>
        <w:rPr>
          <w:sz w:val="21"/>
          <w:szCs w:val="21"/>
          <w:lang w:val="en-US"/>
        </w:rPr>
      </w:pPr>
      <w:r w:rsidRPr="001B648B">
        <w:rPr>
          <w:sz w:val="21"/>
          <w:szCs w:val="21"/>
          <w:highlight w:val="yellow"/>
          <w:lang w:val="en-US"/>
        </w:rPr>
        <w:t xml:space="preserve">The order of activities has been re-arranged to better reflect </w:t>
      </w:r>
      <w:r>
        <w:rPr>
          <w:sz w:val="21"/>
          <w:szCs w:val="21"/>
          <w:highlight w:val="yellow"/>
          <w:lang w:val="en-US"/>
        </w:rPr>
        <w:t xml:space="preserve">work </w:t>
      </w:r>
      <w:r w:rsidRPr="001B648B">
        <w:rPr>
          <w:sz w:val="21"/>
          <w:szCs w:val="21"/>
          <w:highlight w:val="yellow"/>
          <w:lang w:val="en-US"/>
        </w:rPr>
        <w:t>priorities</w:t>
      </w:r>
    </w:p>
    <w:p w14:paraId="5C6A8CE3" w14:textId="77777777" w:rsidR="001B648B" w:rsidRPr="00593D04" w:rsidRDefault="001B648B" w:rsidP="00F16AA2">
      <w:pPr>
        <w:jc w:val="both"/>
        <w:rPr>
          <w:i/>
          <w:iCs/>
          <w:sz w:val="21"/>
          <w:szCs w:val="21"/>
          <w:lang w:val="en-US"/>
        </w:rPr>
      </w:pPr>
    </w:p>
    <w:tbl>
      <w:tblPr>
        <w:tblStyle w:val="TableGrid"/>
        <w:tblW w:w="10065" w:type="dxa"/>
        <w:tblInd w:w="-147" w:type="dxa"/>
        <w:tblLayout w:type="fixed"/>
        <w:tblLook w:val="04A0" w:firstRow="1" w:lastRow="0" w:firstColumn="1" w:lastColumn="0" w:noHBand="0" w:noVBand="1"/>
      </w:tblPr>
      <w:tblGrid>
        <w:gridCol w:w="2410"/>
        <w:gridCol w:w="2268"/>
        <w:gridCol w:w="993"/>
        <w:gridCol w:w="1842"/>
        <w:gridCol w:w="1276"/>
        <w:gridCol w:w="1276"/>
      </w:tblGrid>
      <w:tr w:rsidR="00F16AA2" w:rsidRPr="00E73EC8" w14:paraId="4D314DC4" w14:textId="77777777" w:rsidTr="00EE11CD">
        <w:tc>
          <w:tcPr>
            <w:tcW w:w="2410" w:type="dxa"/>
          </w:tcPr>
          <w:p w14:paraId="4E00FF07" w14:textId="77777777" w:rsidR="00F16AA2" w:rsidRPr="00E73EC8" w:rsidRDefault="00F16AA2" w:rsidP="00EE11CD">
            <w:pPr>
              <w:jc w:val="both"/>
              <w:rPr>
                <w:b/>
                <w:bCs/>
                <w:iCs/>
                <w:sz w:val="20"/>
                <w:szCs w:val="20"/>
                <w:lang w:val="en-US"/>
              </w:rPr>
            </w:pPr>
            <w:r w:rsidRPr="00E73EC8">
              <w:rPr>
                <w:b/>
                <w:bCs/>
                <w:iCs/>
                <w:sz w:val="20"/>
                <w:szCs w:val="20"/>
                <w:lang w:val="en-US"/>
              </w:rPr>
              <w:t>Activities</w:t>
            </w:r>
          </w:p>
        </w:tc>
        <w:tc>
          <w:tcPr>
            <w:tcW w:w="2268" w:type="dxa"/>
          </w:tcPr>
          <w:p w14:paraId="1744997F" w14:textId="77777777" w:rsidR="00F16AA2" w:rsidRPr="00E73EC8" w:rsidRDefault="00F16AA2" w:rsidP="00EE11CD">
            <w:pPr>
              <w:jc w:val="both"/>
              <w:rPr>
                <w:b/>
                <w:bCs/>
                <w:iCs/>
                <w:sz w:val="20"/>
                <w:szCs w:val="20"/>
                <w:lang w:val="en-US"/>
              </w:rPr>
            </w:pPr>
            <w:r w:rsidRPr="00E73EC8">
              <w:rPr>
                <w:b/>
                <w:bCs/>
                <w:iCs/>
                <w:sz w:val="20"/>
                <w:szCs w:val="20"/>
                <w:lang w:val="en-US"/>
              </w:rPr>
              <w:t>Deliverables</w:t>
            </w:r>
          </w:p>
        </w:tc>
        <w:tc>
          <w:tcPr>
            <w:tcW w:w="993" w:type="dxa"/>
          </w:tcPr>
          <w:p w14:paraId="3DC14A78" w14:textId="77777777" w:rsidR="00F16AA2" w:rsidRPr="00E73EC8" w:rsidRDefault="00F16AA2" w:rsidP="00EE11CD">
            <w:pPr>
              <w:jc w:val="both"/>
              <w:rPr>
                <w:b/>
                <w:bCs/>
                <w:iCs/>
                <w:sz w:val="20"/>
                <w:szCs w:val="20"/>
                <w:lang w:val="en-US"/>
              </w:rPr>
            </w:pPr>
            <w:r w:rsidRPr="00E73EC8">
              <w:rPr>
                <w:b/>
                <w:bCs/>
                <w:iCs/>
                <w:sz w:val="20"/>
                <w:szCs w:val="20"/>
                <w:lang w:val="en-US"/>
              </w:rPr>
              <w:t>Timing</w:t>
            </w:r>
          </w:p>
        </w:tc>
        <w:tc>
          <w:tcPr>
            <w:tcW w:w="1842" w:type="dxa"/>
          </w:tcPr>
          <w:p w14:paraId="3B52B350" w14:textId="77777777" w:rsidR="00F16AA2" w:rsidRPr="00E73EC8" w:rsidRDefault="00F16AA2" w:rsidP="00EE11CD">
            <w:pPr>
              <w:jc w:val="both"/>
              <w:rPr>
                <w:b/>
                <w:bCs/>
                <w:iCs/>
                <w:sz w:val="20"/>
                <w:szCs w:val="20"/>
                <w:lang w:val="en-US"/>
              </w:rPr>
            </w:pPr>
            <w:r w:rsidRPr="00E73EC8">
              <w:rPr>
                <w:b/>
                <w:bCs/>
                <w:iCs/>
                <w:sz w:val="20"/>
                <w:szCs w:val="20"/>
                <w:lang w:val="en-US"/>
              </w:rPr>
              <w:t>Main Partners</w:t>
            </w:r>
          </w:p>
        </w:tc>
        <w:tc>
          <w:tcPr>
            <w:tcW w:w="1276" w:type="dxa"/>
          </w:tcPr>
          <w:p w14:paraId="6EB5D61B" w14:textId="77777777" w:rsidR="00F16AA2" w:rsidRPr="00E73EC8" w:rsidRDefault="00F16AA2" w:rsidP="00EE11CD">
            <w:pPr>
              <w:jc w:val="both"/>
              <w:rPr>
                <w:b/>
                <w:bCs/>
                <w:iCs/>
                <w:sz w:val="20"/>
                <w:szCs w:val="20"/>
                <w:lang w:val="en-US"/>
              </w:rPr>
            </w:pPr>
            <w:r w:rsidRPr="00E73EC8">
              <w:rPr>
                <w:b/>
                <w:bCs/>
                <w:iCs/>
                <w:sz w:val="20"/>
                <w:szCs w:val="20"/>
                <w:lang w:val="en-US"/>
              </w:rPr>
              <w:t xml:space="preserve">Resources </w:t>
            </w:r>
          </w:p>
        </w:tc>
        <w:tc>
          <w:tcPr>
            <w:tcW w:w="1276" w:type="dxa"/>
          </w:tcPr>
          <w:p w14:paraId="50E3C60A" w14:textId="77777777" w:rsidR="00F16AA2" w:rsidRPr="00E73EC8" w:rsidRDefault="00F16AA2" w:rsidP="00EE11CD">
            <w:pPr>
              <w:jc w:val="both"/>
              <w:rPr>
                <w:b/>
                <w:bCs/>
                <w:iCs/>
                <w:sz w:val="20"/>
                <w:szCs w:val="20"/>
                <w:lang w:val="en-US"/>
              </w:rPr>
            </w:pPr>
            <w:r w:rsidRPr="00E73EC8">
              <w:rPr>
                <w:b/>
                <w:bCs/>
                <w:iCs/>
                <w:sz w:val="20"/>
                <w:szCs w:val="20"/>
                <w:lang w:val="en-US"/>
              </w:rPr>
              <w:t>Expected Outcome</w:t>
            </w:r>
          </w:p>
        </w:tc>
      </w:tr>
      <w:tr w:rsidR="001B648B" w:rsidRPr="00E73EC8" w14:paraId="0DBEB2B2" w14:textId="77777777" w:rsidTr="00EE11CD">
        <w:tc>
          <w:tcPr>
            <w:tcW w:w="2410" w:type="dxa"/>
          </w:tcPr>
          <w:p w14:paraId="4BBAD3F5" w14:textId="5F757357" w:rsidR="001B648B" w:rsidRDefault="001B648B" w:rsidP="001B648B">
            <w:pPr>
              <w:rPr>
                <w:b/>
                <w:bCs/>
                <w:iCs/>
                <w:sz w:val="20"/>
                <w:szCs w:val="20"/>
                <w:u w:val="single"/>
                <w:lang w:val="en-US"/>
              </w:rPr>
            </w:pPr>
            <w:r w:rsidRPr="00E73EC8">
              <w:rPr>
                <w:b/>
                <w:bCs/>
                <w:iCs/>
                <w:sz w:val="20"/>
                <w:szCs w:val="20"/>
                <w:u w:val="single"/>
                <w:lang w:val="en-US"/>
              </w:rPr>
              <w:t xml:space="preserve">Activity </w:t>
            </w:r>
            <w:r w:rsidRPr="00B9389C">
              <w:rPr>
                <w:b/>
                <w:bCs/>
                <w:iCs/>
                <w:strike/>
                <w:sz w:val="20"/>
                <w:szCs w:val="20"/>
                <w:u w:val="single"/>
                <w:lang w:val="en-US"/>
              </w:rPr>
              <w:t>3</w:t>
            </w:r>
            <w:r w:rsidR="00B9389C" w:rsidRPr="00B9389C">
              <w:rPr>
                <w:b/>
                <w:bCs/>
                <w:iCs/>
                <w:sz w:val="20"/>
                <w:szCs w:val="20"/>
                <w:u w:val="single"/>
                <w:lang w:val="en-US"/>
              </w:rPr>
              <w:t xml:space="preserve"> </w:t>
            </w:r>
            <w:r w:rsidR="00B9389C" w:rsidRPr="00B9389C">
              <w:rPr>
                <w:b/>
                <w:bCs/>
                <w:iCs/>
                <w:sz w:val="20"/>
                <w:szCs w:val="20"/>
                <w:highlight w:val="yellow"/>
                <w:u w:val="single"/>
                <w:lang w:val="en-US"/>
              </w:rPr>
              <w:t>1</w:t>
            </w:r>
            <w:r w:rsidRPr="00B9389C">
              <w:rPr>
                <w:b/>
                <w:bCs/>
                <w:iCs/>
                <w:sz w:val="20"/>
                <w:szCs w:val="20"/>
                <w:highlight w:val="yellow"/>
                <w:u w:val="single"/>
                <w:lang w:val="en-US"/>
              </w:rPr>
              <w:t>:</w:t>
            </w:r>
            <w:r w:rsidRPr="00B9389C">
              <w:rPr>
                <w:b/>
                <w:bCs/>
                <w:iCs/>
                <w:sz w:val="20"/>
                <w:szCs w:val="20"/>
                <w:u w:val="single"/>
                <w:lang w:val="en-US"/>
              </w:rPr>
              <w:t xml:space="preserve"> </w:t>
            </w:r>
          </w:p>
          <w:p w14:paraId="73F21CA2" w14:textId="3AFFFC3B" w:rsidR="001B648B" w:rsidRPr="00B9389C" w:rsidRDefault="001B648B" w:rsidP="001B648B">
            <w:pPr>
              <w:rPr>
                <w:iCs/>
                <w:sz w:val="20"/>
                <w:szCs w:val="20"/>
                <w:u w:val="single"/>
                <w:lang w:val="en-US"/>
              </w:rPr>
            </w:pPr>
            <w:r w:rsidRPr="00B9389C">
              <w:rPr>
                <w:iCs/>
                <w:sz w:val="20"/>
                <w:szCs w:val="20"/>
                <w:highlight w:val="yellow"/>
                <w:u w:val="single"/>
                <w:lang w:val="en-US"/>
              </w:rPr>
              <w:t xml:space="preserve">Identify </w:t>
            </w:r>
            <w:r w:rsidR="00B9389C" w:rsidRPr="00B9389C">
              <w:rPr>
                <w:iCs/>
                <w:sz w:val="20"/>
                <w:szCs w:val="20"/>
                <w:highlight w:val="yellow"/>
                <w:u w:val="single"/>
                <w:lang w:val="en-US"/>
              </w:rPr>
              <w:t xml:space="preserve">decision-makers and professionals responsible for SOPM across IOC Member States and </w:t>
            </w:r>
            <w:r w:rsidR="00CF127D">
              <w:rPr>
                <w:iCs/>
                <w:sz w:val="20"/>
                <w:szCs w:val="20"/>
                <w:highlight w:val="yellow"/>
                <w:u w:val="single"/>
                <w:lang w:val="en-US"/>
              </w:rPr>
              <w:t>create</w:t>
            </w:r>
            <w:r w:rsidR="00B9389C" w:rsidRPr="00B9389C">
              <w:rPr>
                <w:iCs/>
                <w:sz w:val="20"/>
                <w:szCs w:val="20"/>
                <w:highlight w:val="yellow"/>
                <w:u w:val="single"/>
                <w:lang w:val="en-US"/>
              </w:rPr>
              <w:t xml:space="preserve"> suitable mechanisms for their engagement as end-users in the IOC-value chain</w:t>
            </w:r>
            <w:r w:rsidR="00DC1EA9">
              <w:rPr>
                <w:iCs/>
                <w:sz w:val="20"/>
                <w:szCs w:val="20"/>
                <w:u w:val="single"/>
                <w:lang w:val="en-US"/>
              </w:rPr>
              <w:t xml:space="preserve"> </w:t>
            </w:r>
            <w:r w:rsidR="00DC1EA9" w:rsidRPr="00DC1EA9">
              <w:rPr>
                <w:iCs/>
                <w:sz w:val="20"/>
                <w:szCs w:val="20"/>
                <w:highlight w:val="yellow"/>
                <w:u w:val="single"/>
                <w:lang w:val="en-US"/>
              </w:rPr>
              <w:t>(IOC secr)</w:t>
            </w:r>
          </w:p>
          <w:p w14:paraId="29698E8B" w14:textId="77777777" w:rsidR="001B648B" w:rsidRDefault="001B648B" w:rsidP="001B648B">
            <w:pPr>
              <w:rPr>
                <w:b/>
                <w:bCs/>
                <w:iCs/>
                <w:sz w:val="20"/>
                <w:szCs w:val="20"/>
                <w:u w:val="single"/>
                <w:lang w:val="en-US"/>
              </w:rPr>
            </w:pPr>
          </w:p>
          <w:p w14:paraId="59FA47C0" w14:textId="77777777" w:rsidR="001B648B" w:rsidRPr="00E73EC8" w:rsidRDefault="001B648B" w:rsidP="001B648B">
            <w:pPr>
              <w:rPr>
                <w:b/>
                <w:bCs/>
                <w:iCs/>
                <w:sz w:val="20"/>
                <w:szCs w:val="20"/>
                <w:u w:val="single"/>
                <w:lang w:val="en-US"/>
              </w:rPr>
            </w:pPr>
          </w:p>
          <w:p w14:paraId="59624687" w14:textId="77777777" w:rsidR="001B648B" w:rsidRPr="00B9389C" w:rsidRDefault="001B648B" w:rsidP="001B648B">
            <w:pPr>
              <w:rPr>
                <w:rFonts w:cstheme="minorHAnsi"/>
                <w:strike/>
                <w:sz w:val="20"/>
                <w:szCs w:val="20"/>
                <w:lang w:val="en-US"/>
              </w:rPr>
            </w:pPr>
            <w:r w:rsidRPr="00B9389C">
              <w:rPr>
                <w:rFonts w:eastAsia="Calibri" w:cstheme="minorHAnsi"/>
                <w:strike/>
                <w:sz w:val="20"/>
                <w:szCs w:val="20"/>
                <w:lang w:val="en-US"/>
              </w:rPr>
              <w:t>Identify key SOPM target groups within Member States and IOC programme networks while enhancing dialogue processes within the IOC and other UN agencies focused on climate change, coastal resilience, biodiversity conservation, and emerging issues.</w:t>
            </w:r>
          </w:p>
          <w:p w14:paraId="33B5DECA" w14:textId="77777777" w:rsidR="001B648B" w:rsidRPr="00E73EC8" w:rsidRDefault="001B648B" w:rsidP="001B648B">
            <w:pPr>
              <w:rPr>
                <w:b/>
                <w:bCs/>
                <w:color w:val="000000" w:themeColor="text1"/>
                <w:sz w:val="20"/>
                <w:szCs w:val="20"/>
                <w:u w:val="single"/>
                <w:lang w:val="en-US"/>
              </w:rPr>
            </w:pPr>
          </w:p>
        </w:tc>
        <w:tc>
          <w:tcPr>
            <w:tcW w:w="2268" w:type="dxa"/>
          </w:tcPr>
          <w:p w14:paraId="6330BD47" w14:textId="24C5257B" w:rsidR="001B648B" w:rsidRPr="004F1A9F" w:rsidRDefault="001B648B" w:rsidP="001B648B">
            <w:pPr>
              <w:shd w:val="clear" w:color="auto" w:fill="FFFFFF" w:themeFill="background1"/>
              <w:rPr>
                <w:rFonts w:cstheme="minorHAnsi"/>
                <w:sz w:val="20"/>
                <w:szCs w:val="20"/>
                <w:lang w:val="en-GB"/>
              </w:rPr>
            </w:pPr>
            <w:r w:rsidRPr="004F1A9F">
              <w:rPr>
                <w:rFonts w:cstheme="minorHAnsi"/>
                <w:sz w:val="20"/>
                <w:szCs w:val="20"/>
                <w:highlight w:val="yellow"/>
                <w:lang w:val="en-GB"/>
              </w:rPr>
              <w:t xml:space="preserve">Establishment </w:t>
            </w:r>
            <w:r w:rsidR="004F1A9F" w:rsidRPr="004F1A9F">
              <w:rPr>
                <w:rFonts w:cstheme="minorHAnsi"/>
                <w:sz w:val="20"/>
                <w:szCs w:val="20"/>
                <w:highlight w:val="yellow"/>
                <w:lang w:val="en-GB"/>
              </w:rPr>
              <w:t xml:space="preserve">of </w:t>
            </w:r>
            <w:r w:rsidRPr="004F1A9F">
              <w:rPr>
                <w:rFonts w:cstheme="minorHAnsi"/>
                <w:sz w:val="20"/>
                <w:szCs w:val="20"/>
                <w:highlight w:val="yellow"/>
                <w:lang w:val="en-GB"/>
              </w:rPr>
              <w:t xml:space="preserve">global network of </w:t>
            </w:r>
            <w:r w:rsidR="004F1A9F" w:rsidRPr="004F1A9F">
              <w:rPr>
                <w:rFonts w:cstheme="minorHAnsi"/>
                <w:sz w:val="20"/>
                <w:szCs w:val="20"/>
                <w:highlight w:val="yellow"/>
                <w:lang w:val="en-GB"/>
              </w:rPr>
              <w:t xml:space="preserve">decision-makers and professionals responsible for SOPM across IOC Member States who are actively engaging through suitable mechanisms in view of </w:t>
            </w:r>
            <w:r w:rsidRPr="004F1A9F">
              <w:rPr>
                <w:rFonts w:cstheme="minorHAnsi"/>
                <w:sz w:val="20"/>
                <w:szCs w:val="20"/>
                <w:highlight w:val="yellow"/>
                <w:lang w:val="en-GB"/>
              </w:rPr>
              <w:t>fine-tun</w:t>
            </w:r>
            <w:r w:rsidR="004F1A9F" w:rsidRPr="004F1A9F">
              <w:rPr>
                <w:rFonts w:cstheme="minorHAnsi"/>
                <w:sz w:val="20"/>
                <w:szCs w:val="20"/>
                <w:highlight w:val="yellow"/>
                <w:lang w:val="en-GB"/>
              </w:rPr>
              <w:t>ing</w:t>
            </w:r>
            <w:r w:rsidRPr="004F1A9F">
              <w:rPr>
                <w:rFonts w:cstheme="minorHAnsi"/>
                <w:sz w:val="20"/>
                <w:szCs w:val="20"/>
                <w:highlight w:val="yellow"/>
                <w:lang w:val="en-GB"/>
              </w:rPr>
              <w:t xml:space="preserve"> </w:t>
            </w:r>
            <w:r w:rsidR="004F1A9F" w:rsidRPr="004F1A9F">
              <w:rPr>
                <w:rFonts w:cstheme="minorHAnsi"/>
                <w:sz w:val="20"/>
                <w:szCs w:val="20"/>
                <w:highlight w:val="yellow"/>
                <w:lang w:val="en-GB"/>
              </w:rPr>
              <w:t>IOC programme delivery for SOPM</w:t>
            </w:r>
          </w:p>
        </w:tc>
        <w:tc>
          <w:tcPr>
            <w:tcW w:w="993" w:type="dxa"/>
          </w:tcPr>
          <w:p w14:paraId="5FDA3B16" w14:textId="573DF009" w:rsidR="001B648B" w:rsidRPr="00E73EC8" w:rsidRDefault="001B648B" w:rsidP="001B648B">
            <w:pPr>
              <w:jc w:val="both"/>
              <w:rPr>
                <w:rFonts w:cstheme="minorHAnsi"/>
                <w:sz w:val="20"/>
                <w:szCs w:val="20"/>
                <w:lang w:val="en-GB"/>
              </w:rPr>
            </w:pPr>
            <w:r w:rsidRPr="00E73EC8">
              <w:rPr>
                <w:bCs/>
                <w:iCs/>
                <w:sz w:val="20"/>
                <w:szCs w:val="20"/>
                <w:lang w:val="en-US"/>
              </w:rPr>
              <w:t>Year 1+2</w:t>
            </w:r>
          </w:p>
        </w:tc>
        <w:tc>
          <w:tcPr>
            <w:tcW w:w="1842" w:type="dxa"/>
          </w:tcPr>
          <w:p w14:paraId="7E2E7A8F" w14:textId="248DAD86" w:rsidR="001B648B" w:rsidRDefault="001B648B" w:rsidP="001B648B">
            <w:pPr>
              <w:rPr>
                <w:rFonts w:cstheme="minorHAnsi"/>
                <w:sz w:val="20"/>
                <w:szCs w:val="20"/>
                <w:lang w:val="en-US"/>
              </w:rPr>
            </w:pPr>
            <w:r w:rsidRPr="00A472A8">
              <w:rPr>
                <w:rFonts w:cstheme="minorHAnsi"/>
                <w:sz w:val="20"/>
                <w:szCs w:val="20"/>
                <w:lang w:val="en-US"/>
              </w:rPr>
              <w:t xml:space="preserve">IOC Regional </w:t>
            </w:r>
            <w:r w:rsidR="008C2FA4">
              <w:rPr>
                <w:rFonts w:cstheme="minorHAnsi"/>
                <w:sz w:val="20"/>
                <w:szCs w:val="20"/>
                <w:lang w:val="en-US"/>
              </w:rPr>
              <w:t>sub c</w:t>
            </w:r>
            <w:r w:rsidRPr="00A472A8">
              <w:rPr>
                <w:rFonts w:cstheme="minorHAnsi"/>
                <w:sz w:val="20"/>
                <w:szCs w:val="20"/>
                <w:lang w:val="en-US"/>
              </w:rPr>
              <w:t>ommissions</w:t>
            </w:r>
          </w:p>
          <w:p w14:paraId="796781B5" w14:textId="77777777" w:rsidR="001B648B" w:rsidRPr="00A472A8" w:rsidRDefault="001B648B" w:rsidP="001B648B">
            <w:pPr>
              <w:rPr>
                <w:rFonts w:cstheme="minorHAnsi"/>
                <w:sz w:val="20"/>
                <w:szCs w:val="20"/>
                <w:lang w:val="en-US"/>
              </w:rPr>
            </w:pPr>
            <w:r w:rsidRPr="00A472A8">
              <w:rPr>
                <w:rFonts w:cstheme="minorHAnsi"/>
                <w:sz w:val="20"/>
                <w:szCs w:val="20"/>
                <w:lang w:val="en-US"/>
              </w:rPr>
              <w:t>All IOC programmes</w:t>
            </w:r>
          </w:p>
          <w:p w14:paraId="12E7FA7D" w14:textId="77777777" w:rsidR="001B648B" w:rsidRPr="00A472A8" w:rsidRDefault="001B648B" w:rsidP="001B648B">
            <w:pPr>
              <w:rPr>
                <w:rFonts w:cstheme="minorHAnsi"/>
                <w:sz w:val="20"/>
                <w:szCs w:val="20"/>
                <w:lang w:val="en-US"/>
              </w:rPr>
            </w:pPr>
            <w:r w:rsidRPr="00A472A8">
              <w:rPr>
                <w:rFonts w:cstheme="minorHAnsi"/>
                <w:sz w:val="20"/>
                <w:szCs w:val="20"/>
                <w:lang w:val="en-US"/>
              </w:rPr>
              <w:t>MSP Global</w:t>
            </w:r>
          </w:p>
          <w:p w14:paraId="40782396" w14:textId="77777777" w:rsidR="001B648B" w:rsidRDefault="001B648B" w:rsidP="001B648B">
            <w:pPr>
              <w:rPr>
                <w:sz w:val="20"/>
                <w:szCs w:val="20"/>
                <w:lang w:val="en-US"/>
              </w:rPr>
            </w:pPr>
            <w:r w:rsidRPr="00A7018C">
              <w:rPr>
                <w:sz w:val="20"/>
                <w:szCs w:val="20"/>
                <w:highlight w:val="yellow"/>
                <w:lang w:val="en-US"/>
              </w:rPr>
              <w:t>Ocean Decade Programmes, including SOP Programme</w:t>
            </w:r>
          </w:p>
          <w:p w14:paraId="6C1735CB" w14:textId="6ABF4A43" w:rsidR="004F1A9F" w:rsidRDefault="004F1A9F" w:rsidP="004F1A9F">
            <w:pPr>
              <w:rPr>
                <w:rFonts w:cstheme="minorHAnsi"/>
                <w:sz w:val="20"/>
                <w:szCs w:val="20"/>
                <w:lang w:val="en-US"/>
              </w:rPr>
            </w:pPr>
            <w:r w:rsidRPr="00A472A8">
              <w:rPr>
                <w:rFonts w:cstheme="minorHAnsi"/>
                <w:sz w:val="20"/>
                <w:szCs w:val="20"/>
                <w:lang w:val="en-US"/>
              </w:rPr>
              <w:t>Other UN Agencies</w:t>
            </w:r>
            <w:r>
              <w:rPr>
                <w:rFonts w:cstheme="minorHAnsi"/>
                <w:sz w:val="20"/>
                <w:szCs w:val="20"/>
                <w:lang w:val="en-US"/>
              </w:rPr>
              <w:t xml:space="preserve"> and relevant external partners</w:t>
            </w:r>
          </w:p>
          <w:p w14:paraId="10BADF5A" w14:textId="77777777" w:rsidR="004F1A9F" w:rsidRPr="00A7018C" w:rsidRDefault="004F1A9F" w:rsidP="001B648B">
            <w:pPr>
              <w:rPr>
                <w:sz w:val="20"/>
                <w:szCs w:val="20"/>
                <w:lang w:val="en-US"/>
              </w:rPr>
            </w:pPr>
          </w:p>
          <w:p w14:paraId="5219A337" w14:textId="77777777" w:rsidR="001B648B" w:rsidRPr="00E73EC8" w:rsidRDefault="001B648B" w:rsidP="001B648B">
            <w:pPr>
              <w:rPr>
                <w:bCs/>
                <w:iCs/>
                <w:sz w:val="20"/>
                <w:szCs w:val="20"/>
                <w:lang w:val="en-US"/>
              </w:rPr>
            </w:pPr>
          </w:p>
        </w:tc>
        <w:tc>
          <w:tcPr>
            <w:tcW w:w="1276" w:type="dxa"/>
          </w:tcPr>
          <w:p w14:paraId="212E697B" w14:textId="77777777" w:rsidR="00BD2096" w:rsidRDefault="001150ED" w:rsidP="001B648B">
            <w:pPr>
              <w:jc w:val="both"/>
              <w:rPr>
                <w:bCs/>
                <w:iCs/>
                <w:sz w:val="20"/>
                <w:szCs w:val="20"/>
                <w:lang w:val="en-US"/>
              </w:rPr>
            </w:pPr>
            <w:r w:rsidRPr="00E73EC8">
              <w:rPr>
                <w:bCs/>
                <w:iCs/>
                <w:sz w:val="20"/>
                <w:szCs w:val="20"/>
                <w:lang w:val="en-US"/>
              </w:rPr>
              <w:t>Existing resources/</w:t>
            </w:r>
          </w:p>
          <w:p w14:paraId="3C976839" w14:textId="5A7DA4F6" w:rsidR="001B648B" w:rsidRPr="00E73EC8" w:rsidRDefault="001150ED" w:rsidP="001B648B">
            <w:pPr>
              <w:jc w:val="both"/>
              <w:rPr>
                <w:bCs/>
                <w:iCs/>
                <w:sz w:val="20"/>
                <w:szCs w:val="20"/>
                <w:lang w:val="en-US"/>
              </w:rPr>
            </w:pPr>
            <w:r w:rsidRPr="00E73EC8">
              <w:rPr>
                <w:bCs/>
                <w:iCs/>
                <w:sz w:val="20"/>
                <w:szCs w:val="20"/>
                <w:lang w:val="en-US"/>
              </w:rPr>
              <w:t>New resources to be raised</w:t>
            </w:r>
          </w:p>
        </w:tc>
        <w:tc>
          <w:tcPr>
            <w:tcW w:w="1276" w:type="dxa"/>
          </w:tcPr>
          <w:p w14:paraId="1786141F" w14:textId="237D42F3" w:rsidR="001B648B" w:rsidRPr="00E73EC8" w:rsidRDefault="001B648B" w:rsidP="001B648B">
            <w:pPr>
              <w:jc w:val="both"/>
              <w:rPr>
                <w:bCs/>
                <w:iCs/>
                <w:sz w:val="20"/>
                <w:szCs w:val="20"/>
                <w:lang w:val="en-US"/>
              </w:rPr>
            </w:pPr>
            <w:r w:rsidRPr="00E73EC8">
              <w:rPr>
                <w:bCs/>
                <w:iCs/>
                <w:sz w:val="20"/>
                <w:szCs w:val="20"/>
                <w:lang w:val="en-US"/>
              </w:rPr>
              <w:t>1, 3, 5</w:t>
            </w:r>
          </w:p>
        </w:tc>
      </w:tr>
      <w:tr w:rsidR="001B648B" w:rsidRPr="00E73EC8" w14:paraId="7B21A745" w14:textId="77777777" w:rsidTr="00EE11CD">
        <w:tc>
          <w:tcPr>
            <w:tcW w:w="2410" w:type="dxa"/>
          </w:tcPr>
          <w:p w14:paraId="778133C3" w14:textId="59732549" w:rsidR="001B648B" w:rsidRPr="00E73EC8" w:rsidRDefault="001B648B" w:rsidP="001B648B">
            <w:pPr>
              <w:rPr>
                <w:b/>
                <w:bCs/>
                <w:color w:val="000000" w:themeColor="text1"/>
                <w:sz w:val="20"/>
                <w:szCs w:val="20"/>
                <w:u w:val="single"/>
                <w:lang w:val="en-US"/>
              </w:rPr>
            </w:pPr>
            <w:r w:rsidRPr="00E73EC8">
              <w:rPr>
                <w:b/>
                <w:bCs/>
                <w:color w:val="000000" w:themeColor="text1"/>
                <w:sz w:val="20"/>
                <w:szCs w:val="20"/>
                <w:u w:val="single"/>
                <w:lang w:val="en-US"/>
              </w:rPr>
              <w:t xml:space="preserve">Activity </w:t>
            </w:r>
            <w:r w:rsidR="00DC1EA9">
              <w:rPr>
                <w:b/>
                <w:bCs/>
                <w:color w:val="000000" w:themeColor="text1"/>
                <w:sz w:val="20"/>
                <w:szCs w:val="20"/>
                <w:u w:val="single"/>
                <w:lang w:val="en-US"/>
              </w:rPr>
              <w:t>2</w:t>
            </w:r>
            <w:r w:rsidRPr="00E73EC8">
              <w:rPr>
                <w:b/>
                <w:bCs/>
                <w:color w:val="000000" w:themeColor="text1"/>
                <w:sz w:val="20"/>
                <w:szCs w:val="20"/>
                <w:u w:val="single"/>
                <w:lang w:val="en-US"/>
              </w:rPr>
              <w:t>:</w:t>
            </w:r>
          </w:p>
          <w:p w14:paraId="32ABBEB2" w14:textId="65E460BF" w:rsidR="001B648B" w:rsidRPr="00E73EC8" w:rsidRDefault="001B648B" w:rsidP="001B648B">
            <w:pPr>
              <w:rPr>
                <w:rFonts w:cstheme="minorHAnsi"/>
                <w:sz w:val="20"/>
                <w:szCs w:val="20"/>
                <w:lang w:val="en-US"/>
              </w:rPr>
            </w:pPr>
            <w:r w:rsidRPr="00E73EC8">
              <w:rPr>
                <w:rFonts w:eastAsia="Segoe UI" w:cstheme="minorHAnsi"/>
                <w:color w:val="000000" w:themeColor="text1"/>
                <w:sz w:val="20"/>
                <w:szCs w:val="20"/>
                <w:lang w:val="en-US"/>
              </w:rPr>
              <w:t>De</w:t>
            </w:r>
            <w:r w:rsidR="002F375C">
              <w:rPr>
                <w:rFonts w:eastAsia="Segoe UI" w:cstheme="minorHAnsi"/>
                <w:color w:val="000000" w:themeColor="text1"/>
                <w:sz w:val="20"/>
                <w:szCs w:val="20"/>
                <w:lang w:val="en-US"/>
              </w:rPr>
              <w:t xml:space="preserve">velop </w:t>
            </w:r>
            <w:r w:rsidRPr="002F375C">
              <w:rPr>
                <w:rFonts w:eastAsia="Segoe UI" w:cstheme="minorHAnsi"/>
                <w:strike/>
                <w:color w:val="000000" w:themeColor="text1"/>
                <w:sz w:val="20"/>
                <w:szCs w:val="20"/>
                <w:lang w:val="en-US"/>
              </w:rPr>
              <w:t>fine</w:t>
            </w:r>
            <w:r w:rsidRPr="00E73EC8">
              <w:rPr>
                <w:rFonts w:eastAsia="Segoe UI" w:cstheme="minorHAnsi"/>
                <w:color w:val="000000" w:themeColor="text1"/>
                <w:sz w:val="20"/>
                <w:szCs w:val="20"/>
                <w:lang w:val="en-US"/>
              </w:rPr>
              <w:t xml:space="preserve"> a communication plan and materials to raise global awareness on SOPM</w:t>
            </w:r>
            <w:r w:rsidR="00CF127D">
              <w:rPr>
                <w:rFonts w:eastAsia="Segoe UI" w:cstheme="minorHAnsi"/>
                <w:color w:val="000000" w:themeColor="text1"/>
                <w:sz w:val="20"/>
                <w:szCs w:val="20"/>
                <w:lang w:val="en-US"/>
              </w:rPr>
              <w:t xml:space="preserve"> </w:t>
            </w:r>
            <w:r w:rsidR="00DC1EA9" w:rsidRPr="00DC1EA9">
              <w:rPr>
                <w:rFonts w:eastAsia="Segoe UI" w:cstheme="minorHAnsi"/>
                <w:color w:val="000000" w:themeColor="text1"/>
                <w:sz w:val="20"/>
                <w:szCs w:val="20"/>
                <w:highlight w:val="yellow"/>
                <w:lang w:val="en-US"/>
              </w:rPr>
              <w:t xml:space="preserve">and the in-country frameworks </w:t>
            </w:r>
            <w:r w:rsidR="00DC1EA9" w:rsidRPr="00DC1EA9">
              <w:rPr>
                <w:rFonts w:eastAsia="Segoe UI" w:cstheme="minorHAnsi"/>
                <w:color w:val="000000" w:themeColor="text1"/>
                <w:sz w:val="20"/>
                <w:szCs w:val="20"/>
                <w:highlight w:val="yellow"/>
                <w:lang w:val="en-US"/>
              </w:rPr>
              <w:lastRenderedPageBreak/>
              <w:t>needed for successful SOPM development</w:t>
            </w:r>
            <w:r w:rsidR="00DC1EA9">
              <w:rPr>
                <w:rFonts w:eastAsia="Segoe UI" w:cstheme="minorHAnsi"/>
                <w:color w:val="000000" w:themeColor="text1"/>
                <w:sz w:val="20"/>
                <w:szCs w:val="20"/>
                <w:lang w:val="en-US"/>
              </w:rPr>
              <w:t xml:space="preserve"> </w:t>
            </w:r>
          </w:p>
        </w:tc>
        <w:tc>
          <w:tcPr>
            <w:tcW w:w="2268" w:type="dxa"/>
          </w:tcPr>
          <w:p w14:paraId="01BF7A13" w14:textId="77777777" w:rsidR="001B648B" w:rsidRPr="00E73EC8" w:rsidRDefault="001B648B" w:rsidP="001B648B">
            <w:pPr>
              <w:shd w:val="clear" w:color="auto" w:fill="FFFFFF" w:themeFill="background1"/>
              <w:rPr>
                <w:rFonts w:cstheme="minorHAnsi"/>
                <w:sz w:val="20"/>
                <w:szCs w:val="20"/>
                <w:lang w:val="en-GB"/>
              </w:rPr>
            </w:pPr>
            <w:r w:rsidRPr="00E73EC8">
              <w:rPr>
                <w:rFonts w:eastAsia="Segoe UI" w:cstheme="minorHAnsi"/>
                <w:color w:val="333333"/>
                <w:sz w:val="20"/>
                <w:szCs w:val="20"/>
                <w:lang w:val="en-GB"/>
              </w:rPr>
              <w:lastRenderedPageBreak/>
              <w:t>- C</w:t>
            </w:r>
            <w:r w:rsidRPr="00E73EC8">
              <w:rPr>
                <w:rFonts w:eastAsiaTheme="minorEastAsia" w:cstheme="minorHAnsi"/>
                <w:sz w:val="20"/>
                <w:szCs w:val="20"/>
                <w:lang w:val="en-GB"/>
              </w:rPr>
              <w:t xml:space="preserve">ommunication plan </w:t>
            </w:r>
            <w:r w:rsidRPr="00E73EC8">
              <w:rPr>
                <w:rFonts w:eastAsia="Segoe UI" w:cstheme="minorHAnsi"/>
                <w:color w:val="333333"/>
                <w:sz w:val="20"/>
                <w:szCs w:val="20"/>
                <w:lang w:val="en-US"/>
              </w:rPr>
              <w:t>on SOPM's why, what, how, where and the role of IOC</w:t>
            </w:r>
          </w:p>
          <w:p w14:paraId="29BAE25A" w14:textId="77777777" w:rsidR="001B648B" w:rsidRPr="00E73EC8" w:rsidRDefault="001B648B" w:rsidP="001B648B">
            <w:pPr>
              <w:shd w:val="clear" w:color="auto" w:fill="FFFFFF" w:themeFill="background1"/>
              <w:rPr>
                <w:rFonts w:eastAsiaTheme="minorEastAsia" w:cstheme="minorHAnsi"/>
                <w:sz w:val="20"/>
                <w:szCs w:val="20"/>
                <w:lang w:val="en-GB"/>
              </w:rPr>
            </w:pPr>
          </w:p>
          <w:p w14:paraId="018A5A10" w14:textId="77777777" w:rsidR="001B648B" w:rsidRPr="00E73EC8" w:rsidRDefault="001B648B" w:rsidP="001B648B">
            <w:pPr>
              <w:shd w:val="clear" w:color="auto" w:fill="FFFFFF" w:themeFill="background1"/>
              <w:rPr>
                <w:rFonts w:cstheme="minorHAnsi"/>
                <w:sz w:val="20"/>
                <w:szCs w:val="20"/>
                <w:lang w:val="en-GB"/>
              </w:rPr>
            </w:pPr>
            <w:r w:rsidRPr="00E73EC8">
              <w:rPr>
                <w:rFonts w:eastAsiaTheme="minorEastAsia" w:cstheme="minorHAnsi"/>
                <w:sz w:val="20"/>
                <w:szCs w:val="20"/>
                <w:lang w:val="en-GB"/>
              </w:rPr>
              <w:lastRenderedPageBreak/>
              <w:t>- Multi-lingual communication materials for awareness raising on SOPM and the IOC-SOPM Strategy</w:t>
            </w:r>
          </w:p>
          <w:p w14:paraId="33ADC73E" w14:textId="77777777" w:rsidR="001B648B" w:rsidRPr="00E73EC8" w:rsidRDefault="001B648B" w:rsidP="001B648B">
            <w:pPr>
              <w:shd w:val="clear" w:color="auto" w:fill="FFFFFF" w:themeFill="background1"/>
              <w:rPr>
                <w:rFonts w:eastAsiaTheme="minorEastAsia" w:cstheme="minorHAnsi"/>
                <w:sz w:val="20"/>
                <w:szCs w:val="20"/>
                <w:lang w:val="en-GB"/>
              </w:rPr>
            </w:pPr>
          </w:p>
          <w:p w14:paraId="2CC16E8A" w14:textId="77777777" w:rsidR="001B648B" w:rsidRPr="00E73EC8" w:rsidRDefault="001B648B" w:rsidP="001B648B">
            <w:pPr>
              <w:rPr>
                <w:bCs/>
                <w:sz w:val="20"/>
                <w:szCs w:val="20"/>
                <w:lang w:val="en-GB"/>
              </w:rPr>
            </w:pPr>
            <w:r w:rsidRPr="00E73EC8">
              <w:rPr>
                <w:rFonts w:eastAsiaTheme="minorEastAsia" w:cstheme="minorHAnsi"/>
                <w:sz w:val="20"/>
                <w:szCs w:val="20"/>
                <w:lang w:val="en-GB"/>
              </w:rPr>
              <w:t>- Side events at international venues to showcase IOC-SOPM Strategy and concepts</w:t>
            </w:r>
          </w:p>
        </w:tc>
        <w:tc>
          <w:tcPr>
            <w:tcW w:w="993" w:type="dxa"/>
          </w:tcPr>
          <w:p w14:paraId="13BA8162" w14:textId="77777777" w:rsidR="001B648B" w:rsidRPr="00E73EC8" w:rsidRDefault="001B648B" w:rsidP="001B648B">
            <w:pPr>
              <w:jc w:val="both"/>
              <w:rPr>
                <w:rFonts w:cstheme="minorHAnsi"/>
                <w:sz w:val="20"/>
                <w:szCs w:val="20"/>
                <w:lang w:val="en-GB"/>
              </w:rPr>
            </w:pPr>
            <w:r w:rsidRPr="00E73EC8">
              <w:rPr>
                <w:rFonts w:cstheme="minorHAnsi"/>
                <w:sz w:val="20"/>
                <w:szCs w:val="20"/>
                <w:lang w:val="en-GB"/>
              </w:rPr>
              <w:lastRenderedPageBreak/>
              <w:t>Year 1</w:t>
            </w:r>
          </w:p>
          <w:p w14:paraId="7502553E" w14:textId="77777777" w:rsidR="001B648B" w:rsidRPr="00E73EC8" w:rsidRDefault="001B648B" w:rsidP="001B648B">
            <w:pPr>
              <w:jc w:val="both"/>
              <w:rPr>
                <w:rFonts w:cstheme="minorHAnsi"/>
                <w:sz w:val="20"/>
                <w:szCs w:val="20"/>
                <w:lang w:val="en-GB"/>
              </w:rPr>
            </w:pPr>
          </w:p>
          <w:p w14:paraId="758D1C66" w14:textId="77777777" w:rsidR="001B648B" w:rsidRPr="00E73EC8" w:rsidRDefault="001B648B" w:rsidP="001B648B">
            <w:pPr>
              <w:jc w:val="both"/>
              <w:rPr>
                <w:rFonts w:cstheme="minorHAnsi"/>
                <w:sz w:val="20"/>
                <w:szCs w:val="20"/>
                <w:lang w:val="en-GB"/>
              </w:rPr>
            </w:pPr>
          </w:p>
          <w:p w14:paraId="41877ACD" w14:textId="77777777" w:rsidR="001B648B" w:rsidRPr="00E73EC8" w:rsidRDefault="001B648B" w:rsidP="001B648B">
            <w:pPr>
              <w:jc w:val="both"/>
              <w:rPr>
                <w:rFonts w:cstheme="minorHAnsi"/>
                <w:sz w:val="20"/>
                <w:szCs w:val="20"/>
                <w:lang w:val="en-GB"/>
              </w:rPr>
            </w:pPr>
          </w:p>
          <w:p w14:paraId="057EED28" w14:textId="77777777" w:rsidR="001B648B" w:rsidRPr="00E73EC8" w:rsidRDefault="001B648B" w:rsidP="001B648B">
            <w:pPr>
              <w:jc w:val="both"/>
              <w:rPr>
                <w:rFonts w:cstheme="minorHAnsi"/>
                <w:sz w:val="20"/>
                <w:szCs w:val="20"/>
                <w:lang w:val="en-GB"/>
              </w:rPr>
            </w:pPr>
          </w:p>
          <w:p w14:paraId="715CD379" w14:textId="77777777" w:rsidR="001B648B" w:rsidRPr="00E73EC8" w:rsidRDefault="001B648B" w:rsidP="001B648B">
            <w:pPr>
              <w:jc w:val="both"/>
              <w:rPr>
                <w:rFonts w:cstheme="minorHAnsi"/>
                <w:sz w:val="20"/>
                <w:szCs w:val="20"/>
                <w:lang w:val="en-GB"/>
              </w:rPr>
            </w:pPr>
            <w:r w:rsidRPr="00E73EC8">
              <w:rPr>
                <w:rFonts w:cstheme="minorHAnsi"/>
                <w:sz w:val="20"/>
                <w:szCs w:val="20"/>
                <w:lang w:val="en-GB"/>
              </w:rPr>
              <w:t>Year 1</w:t>
            </w:r>
          </w:p>
          <w:p w14:paraId="1129AECA" w14:textId="77777777" w:rsidR="001B648B" w:rsidRPr="00E73EC8" w:rsidRDefault="001B648B" w:rsidP="001B648B">
            <w:pPr>
              <w:jc w:val="both"/>
              <w:rPr>
                <w:rFonts w:cstheme="minorHAnsi"/>
                <w:sz w:val="20"/>
                <w:szCs w:val="20"/>
                <w:lang w:val="en-GB"/>
              </w:rPr>
            </w:pPr>
          </w:p>
          <w:p w14:paraId="0723292B" w14:textId="77777777" w:rsidR="001B648B" w:rsidRPr="00E73EC8" w:rsidRDefault="001B648B" w:rsidP="001B648B">
            <w:pPr>
              <w:jc w:val="both"/>
              <w:rPr>
                <w:rFonts w:cstheme="minorHAnsi"/>
                <w:sz w:val="20"/>
                <w:szCs w:val="20"/>
                <w:lang w:val="en-GB"/>
              </w:rPr>
            </w:pPr>
          </w:p>
          <w:p w14:paraId="6AEF096C" w14:textId="77777777" w:rsidR="001B648B" w:rsidRPr="00E73EC8" w:rsidRDefault="001B648B" w:rsidP="001B648B">
            <w:pPr>
              <w:jc w:val="both"/>
              <w:rPr>
                <w:rFonts w:cstheme="minorHAnsi"/>
                <w:sz w:val="20"/>
                <w:szCs w:val="20"/>
                <w:lang w:val="en-GB"/>
              </w:rPr>
            </w:pPr>
          </w:p>
          <w:p w14:paraId="6F4953EA" w14:textId="77777777" w:rsidR="001B648B" w:rsidRPr="00E73EC8" w:rsidRDefault="001B648B" w:rsidP="001B648B">
            <w:pPr>
              <w:jc w:val="both"/>
              <w:rPr>
                <w:rFonts w:cstheme="minorHAnsi"/>
                <w:sz w:val="20"/>
                <w:szCs w:val="20"/>
                <w:lang w:val="en-GB"/>
              </w:rPr>
            </w:pPr>
          </w:p>
          <w:p w14:paraId="6B25368F" w14:textId="77777777" w:rsidR="001B648B" w:rsidRPr="00E73EC8" w:rsidRDefault="001B648B" w:rsidP="001B648B">
            <w:pPr>
              <w:jc w:val="both"/>
              <w:rPr>
                <w:rFonts w:cstheme="minorHAnsi"/>
                <w:sz w:val="20"/>
                <w:szCs w:val="20"/>
                <w:lang w:val="en-GB"/>
              </w:rPr>
            </w:pPr>
          </w:p>
          <w:p w14:paraId="0DAB0436" w14:textId="77777777" w:rsidR="001B648B" w:rsidRPr="00E73EC8" w:rsidRDefault="001B648B" w:rsidP="001B648B">
            <w:pPr>
              <w:jc w:val="both"/>
              <w:rPr>
                <w:rFonts w:cstheme="minorHAnsi"/>
                <w:sz w:val="20"/>
                <w:szCs w:val="20"/>
                <w:lang w:val="en-GB"/>
              </w:rPr>
            </w:pPr>
            <w:r w:rsidRPr="00E73EC8">
              <w:rPr>
                <w:rFonts w:cstheme="minorHAnsi"/>
                <w:sz w:val="20"/>
                <w:szCs w:val="20"/>
                <w:lang w:val="en-GB"/>
              </w:rPr>
              <w:t>Year 1+2</w:t>
            </w:r>
          </w:p>
          <w:p w14:paraId="74CD539F" w14:textId="77777777" w:rsidR="001B648B" w:rsidRPr="00E73EC8" w:rsidRDefault="001B648B" w:rsidP="001B648B">
            <w:pPr>
              <w:jc w:val="both"/>
              <w:rPr>
                <w:bCs/>
                <w:iCs/>
                <w:sz w:val="20"/>
                <w:szCs w:val="20"/>
                <w:lang w:val="en-GB"/>
              </w:rPr>
            </w:pPr>
          </w:p>
        </w:tc>
        <w:tc>
          <w:tcPr>
            <w:tcW w:w="1842" w:type="dxa"/>
          </w:tcPr>
          <w:p w14:paraId="31D13451" w14:textId="13E9C29D" w:rsidR="008C2FA4" w:rsidRPr="008C2FA4" w:rsidRDefault="008C2FA4" w:rsidP="001B648B">
            <w:pPr>
              <w:rPr>
                <w:rFonts w:cstheme="minorHAnsi"/>
                <w:sz w:val="20"/>
                <w:szCs w:val="20"/>
                <w:lang w:val="en-US"/>
              </w:rPr>
            </w:pPr>
            <w:r w:rsidRPr="008C2FA4">
              <w:rPr>
                <w:rFonts w:cstheme="minorHAnsi"/>
                <w:sz w:val="20"/>
                <w:szCs w:val="20"/>
                <w:highlight w:val="yellow"/>
                <w:lang w:val="en-US"/>
              </w:rPr>
              <w:lastRenderedPageBreak/>
              <w:t xml:space="preserve">IOC Regional </w:t>
            </w:r>
            <w:r>
              <w:rPr>
                <w:rFonts w:cstheme="minorHAnsi"/>
                <w:sz w:val="20"/>
                <w:szCs w:val="20"/>
                <w:highlight w:val="yellow"/>
                <w:lang w:val="en-US"/>
              </w:rPr>
              <w:t>sub-c</w:t>
            </w:r>
            <w:r w:rsidRPr="008C2FA4">
              <w:rPr>
                <w:rFonts w:cstheme="minorHAnsi"/>
                <w:sz w:val="20"/>
                <w:szCs w:val="20"/>
                <w:highlight w:val="yellow"/>
                <w:lang w:val="en-US"/>
              </w:rPr>
              <w:t>ommissions</w:t>
            </w:r>
          </w:p>
          <w:p w14:paraId="040DE9F6" w14:textId="24216FF8" w:rsidR="001B648B" w:rsidRPr="00E73EC8" w:rsidRDefault="001B648B" w:rsidP="001B648B">
            <w:pPr>
              <w:rPr>
                <w:bCs/>
                <w:iCs/>
                <w:sz w:val="20"/>
                <w:szCs w:val="20"/>
                <w:lang w:val="en-US"/>
              </w:rPr>
            </w:pPr>
            <w:r w:rsidRPr="00E73EC8">
              <w:rPr>
                <w:bCs/>
                <w:iCs/>
                <w:sz w:val="20"/>
                <w:szCs w:val="20"/>
                <w:lang w:val="en-US"/>
              </w:rPr>
              <w:t>All IOC programmes</w:t>
            </w:r>
            <w:r>
              <w:rPr>
                <w:bCs/>
                <w:iCs/>
                <w:sz w:val="20"/>
                <w:szCs w:val="20"/>
                <w:lang w:val="en-US"/>
              </w:rPr>
              <w:t xml:space="preserve"> and initiatives</w:t>
            </w:r>
          </w:p>
          <w:p w14:paraId="24D524C3" w14:textId="77777777" w:rsidR="001B648B" w:rsidRPr="00E73EC8" w:rsidRDefault="001B648B" w:rsidP="001B648B">
            <w:pPr>
              <w:rPr>
                <w:bCs/>
                <w:iCs/>
                <w:sz w:val="20"/>
                <w:szCs w:val="20"/>
                <w:lang w:val="en-US"/>
              </w:rPr>
            </w:pPr>
            <w:r w:rsidRPr="00E73EC8">
              <w:rPr>
                <w:bCs/>
                <w:iCs/>
                <w:sz w:val="20"/>
                <w:szCs w:val="20"/>
                <w:lang w:val="en-US"/>
              </w:rPr>
              <w:t>OGTA</w:t>
            </w:r>
          </w:p>
          <w:p w14:paraId="1FF00EA1" w14:textId="77777777" w:rsidR="001B648B" w:rsidRPr="00E73EC8" w:rsidRDefault="001B648B" w:rsidP="001B648B">
            <w:pPr>
              <w:rPr>
                <w:sz w:val="20"/>
                <w:szCs w:val="20"/>
                <w:lang w:val="en-US"/>
              </w:rPr>
            </w:pPr>
            <w:r w:rsidRPr="00E73EC8">
              <w:rPr>
                <w:sz w:val="20"/>
                <w:szCs w:val="20"/>
                <w:lang w:val="en-US"/>
              </w:rPr>
              <w:lastRenderedPageBreak/>
              <w:t>High Level Panel for Sustainable Ocean Economy</w:t>
            </w:r>
          </w:p>
          <w:p w14:paraId="576DFC65" w14:textId="77777777" w:rsidR="001B648B" w:rsidRDefault="001B648B" w:rsidP="001B648B">
            <w:pPr>
              <w:rPr>
                <w:sz w:val="20"/>
                <w:szCs w:val="20"/>
              </w:rPr>
            </w:pPr>
            <w:r w:rsidRPr="00E73EC8">
              <w:rPr>
                <w:sz w:val="20"/>
                <w:szCs w:val="20"/>
              </w:rPr>
              <w:t>IPOS</w:t>
            </w:r>
          </w:p>
          <w:p w14:paraId="6B51A7EE" w14:textId="4F36A9BB" w:rsidR="001B648B" w:rsidRPr="00E73EC8" w:rsidRDefault="001B648B" w:rsidP="001B648B">
            <w:pPr>
              <w:rPr>
                <w:sz w:val="20"/>
                <w:szCs w:val="20"/>
              </w:rPr>
            </w:pPr>
            <w:r w:rsidRPr="00A7018C">
              <w:rPr>
                <w:sz w:val="20"/>
                <w:szCs w:val="20"/>
                <w:highlight w:val="yellow"/>
              </w:rPr>
              <w:t>Ocean Decade SOP Programme</w:t>
            </w:r>
          </w:p>
          <w:p w14:paraId="31789A97" w14:textId="77777777" w:rsidR="001B648B" w:rsidRPr="00E73EC8" w:rsidRDefault="001B648B" w:rsidP="001B648B">
            <w:pPr>
              <w:rPr>
                <w:bCs/>
                <w:iCs/>
                <w:sz w:val="20"/>
                <w:szCs w:val="20"/>
                <w:lang w:val="en-US"/>
              </w:rPr>
            </w:pPr>
          </w:p>
        </w:tc>
        <w:tc>
          <w:tcPr>
            <w:tcW w:w="1276" w:type="dxa"/>
          </w:tcPr>
          <w:p w14:paraId="682E98AF" w14:textId="77777777" w:rsidR="00BD2096" w:rsidRDefault="001150ED" w:rsidP="001B648B">
            <w:pPr>
              <w:jc w:val="both"/>
              <w:rPr>
                <w:bCs/>
                <w:iCs/>
                <w:sz w:val="20"/>
                <w:szCs w:val="20"/>
                <w:lang w:val="en-US"/>
              </w:rPr>
            </w:pPr>
            <w:r w:rsidRPr="00E73EC8">
              <w:rPr>
                <w:bCs/>
                <w:iCs/>
                <w:sz w:val="20"/>
                <w:szCs w:val="20"/>
                <w:lang w:val="en-US"/>
              </w:rPr>
              <w:lastRenderedPageBreak/>
              <w:t>Existing resources/</w:t>
            </w:r>
          </w:p>
          <w:p w14:paraId="7ACF5BE8" w14:textId="11BBAED3" w:rsidR="001B648B" w:rsidRPr="00E73EC8" w:rsidRDefault="001150ED" w:rsidP="001B648B">
            <w:pPr>
              <w:jc w:val="both"/>
              <w:rPr>
                <w:bCs/>
                <w:iCs/>
                <w:sz w:val="20"/>
                <w:szCs w:val="20"/>
                <w:lang w:val="en-US"/>
              </w:rPr>
            </w:pPr>
            <w:r w:rsidRPr="00E73EC8">
              <w:rPr>
                <w:bCs/>
                <w:iCs/>
                <w:sz w:val="20"/>
                <w:szCs w:val="20"/>
                <w:lang w:val="en-US"/>
              </w:rPr>
              <w:t>New resources to be raised</w:t>
            </w:r>
          </w:p>
        </w:tc>
        <w:tc>
          <w:tcPr>
            <w:tcW w:w="1276" w:type="dxa"/>
          </w:tcPr>
          <w:p w14:paraId="0005D74F" w14:textId="77777777" w:rsidR="001B648B" w:rsidRPr="00E73EC8" w:rsidRDefault="001B648B" w:rsidP="001B648B">
            <w:pPr>
              <w:jc w:val="both"/>
              <w:rPr>
                <w:bCs/>
                <w:iCs/>
                <w:sz w:val="20"/>
                <w:szCs w:val="20"/>
                <w:lang w:val="en-US"/>
              </w:rPr>
            </w:pPr>
            <w:r w:rsidRPr="00E73EC8">
              <w:rPr>
                <w:bCs/>
                <w:iCs/>
                <w:sz w:val="20"/>
                <w:szCs w:val="20"/>
                <w:lang w:val="en-US"/>
              </w:rPr>
              <w:t>2, 4, 5</w:t>
            </w:r>
          </w:p>
        </w:tc>
      </w:tr>
      <w:tr w:rsidR="001B648B" w:rsidRPr="00E73EC8" w14:paraId="3C6FC9E0" w14:textId="77777777" w:rsidTr="00EE11CD">
        <w:tc>
          <w:tcPr>
            <w:tcW w:w="2410" w:type="dxa"/>
          </w:tcPr>
          <w:p w14:paraId="551AFD66" w14:textId="7F92093A" w:rsidR="001B648B" w:rsidRPr="00E73EC8" w:rsidRDefault="001B648B" w:rsidP="001B648B">
            <w:pPr>
              <w:rPr>
                <w:b/>
                <w:bCs/>
                <w:iCs/>
                <w:sz w:val="20"/>
                <w:szCs w:val="20"/>
                <w:u w:val="single"/>
                <w:lang w:val="en-US"/>
              </w:rPr>
            </w:pPr>
            <w:r w:rsidRPr="00E73EC8">
              <w:rPr>
                <w:b/>
                <w:bCs/>
                <w:iCs/>
                <w:sz w:val="20"/>
                <w:szCs w:val="20"/>
                <w:u w:val="single"/>
                <w:lang w:val="en-US"/>
              </w:rPr>
              <w:t xml:space="preserve">Activity </w:t>
            </w:r>
            <w:r w:rsidR="00DC1EA9">
              <w:rPr>
                <w:b/>
                <w:bCs/>
                <w:iCs/>
                <w:sz w:val="20"/>
                <w:szCs w:val="20"/>
                <w:u w:val="single"/>
                <w:lang w:val="en-US"/>
              </w:rPr>
              <w:t>3</w:t>
            </w:r>
            <w:r w:rsidRPr="00E73EC8">
              <w:rPr>
                <w:b/>
                <w:bCs/>
                <w:iCs/>
                <w:sz w:val="20"/>
                <w:szCs w:val="20"/>
                <w:u w:val="single"/>
                <w:lang w:val="en-US"/>
              </w:rPr>
              <w:t>:</w:t>
            </w:r>
          </w:p>
          <w:p w14:paraId="06B361E7" w14:textId="77777777" w:rsidR="001B648B" w:rsidRDefault="00740DC1" w:rsidP="001B648B">
            <w:pPr>
              <w:rPr>
                <w:rFonts w:cstheme="minorHAnsi"/>
                <w:sz w:val="20"/>
                <w:szCs w:val="20"/>
                <w:lang w:val="en-US"/>
              </w:rPr>
            </w:pPr>
            <w:r w:rsidRPr="00740DC1">
              <w:rPr>
                <w:rFonts w:cstheme="minorHAnsi"/>
                <w:sz w:val="20"/>
                <w:szCs w:val="20"/>
                <w:highlight w:val="yellow"/>
                <w:lang w:val="en-US"/>
              </w:rPr>
              <w:t>Create</w:t>
            </w:r>
            <w:r w:rsidR="00CF127D" w:rsidRPr="00740DC1">
              <w:rPr>
                <w:rFonts w:cstheme="minorHAnsi"/>
                <w:sz w:val="20"/>
                <w:szCs w:val="20"/>
                <w:highlight w:val="yellow"/>
                <w:lang w:val="en-US"/>
              </w:rPr>
              <w:t xml:space="preserve"> SOPM end-user consultation</w:t>
            </w:r>
            <w:r w:rsidRPr="00740DC1">
              <w:rPr>
                <w:rFonts w:cstheme="minorHAnsi"/>
                <w:sz w:val="20"/>
                <w:szCs w:val="20"/>
                <w:highlight w:val="yellow"/>
                <w:lang w:val="en-US"/>
              </w:rPr>
              <w:t xml:space="preserve">s to map national data needs for SOPM development, </w:t>
            </w:r>
            <w:r>
              <w:rPr>
                <w:rFonts w:cstheme="minorHAnsi"/>
                <w:sz w:val="20"/>
                <w:szCs w:val="20"/>
                <w:highlight w:val="yellow"/>
                <w:lang w:val="en-US"/>
              </w:rPr>
              <w:t xml:space="preserve">incl. </w:t>
            </w:r>
            <w:proofErr w:type="gramStart"/>
            <w:r w:rsidRPr="00740DC1">
              <w:rPr>
                <w:rFonts w:cstheme="minorHAnsi"/>
                <w:sz w:val="20"/>
                <w:szCs w:val="20"/>
                <w:highlight w:val="yellow"/>
                <w:lang w:val="en-US"/>
              </w:rPr>
              <w:t>identify</w:t>
            </w:r>
            <w:proofErr w:type="gramEnd"/>
            <w:r w:rsidRPr="00740DC1">
              <w:rPr>
                <w:rFonts w:cstheme="minorHAnsi"/>
                <w:sz w:val="20"/>
                <w:szCs w:val="20"/>
                <w:highlight w:val="yellow"/>
                <w:lang w:val="en-US"/>
              </w:rPr>
              <w:t xml:space="preserve"> availability and gaps in IOC</w:t>
            </w:r>
            <w:r>
              <w:rPr>
                <w:rFonts w:cstheme="minorHAnsi"/>
                <w:sz w:val="20"/>
                <w:szCs w:val="20"/>
                <w:highlight w:val="yellow"/>
                <w:lang w:val="en-US"/>
              </w:rPr>
              <w:t xml:space="preserve"> data</w:t>
            </w:r>
            <w:r w:rsidRPr="00740DC1">
              <w:rPr>
                <w:rFonts w:cstheme="minorHAnsi"/>
                <w:sz w:val="20"/>
                <w:szCs w:val="20"/>
                <w:highlight w:val="yellow"/>
                <w:lang w:val="en-US"/>
              </w:rPr>
              <w:t>, and design/promote</w:t>
            </w:r>
            <w:r w:rsidR="00CF127D" w:rsidRPr="00740DC1">
              <w:rPr>
                <w:rFonts w:cstheme="minorHAnsi"/>
                <w:sz w:val="20"/>
                <w:szCs w:val="20"/>
                <w:highlight w:val="yellow"/>
                <w:lang w:val="en-US"/>
              </w:rPr>
              <w:t xml:space="preserve"> </w:t>
            </w:r>
            <w:r w:rsidR="00CF127D" w:rsidRPr="00740DC1">
              <w:rPr>
                <w:rFonts w:cstheme="minorHAnsi"/>
                <w:strike/>
                <w:sz w:val="20"/>
                <w:szCs w:val="20"/>
                <w:highlight w:val="yellow"/>
                <w:lang w:val="en-US"/>
              </w:rPr>
              <w:t>ou</w:t>
            </w:r>
            <w:r w:rsidR="00CF127D" w:rsidRPr="00740DC1">
              <w:rPr>
                <w:rFonts w:cstheme="minorHAnsi"/>
                <w:sz w:val="20"/>
                <w:szCs w:val="20"/>
                <w:highlight w:val="yellow"/>
                <w:lang w:val="en-US"/>
              </w:rPr>
              <w:t>t</w:t>
            </w:r>
            <w:r w:rsidR="001B648B" w:rsidRPr="00740DC1">
              <w:rPr>
                <w:rFonts w:cstheme="minorHAnsi"/>
                <w:sz w:val="20"/>
                <w:szCs w:val="20"/>
                <w:highlight w:val="yellow"/>
                <w:lang w:val="en-US"/>
              </w:rPr>
              <w:t xml:space="preserve"> multi-lingual communication materials</w:t>
            </w:r>
            <w:r w:rsidR="00CF127D" w:rsidRPr="00740DC1">
              <w:rPr>
                <w:rFonts w:cstheme="minorHAnsi"/>
                <w:sz w:val="20"/>
                <w:szCs w:val="20"/>
                <w:highlight w:val="yellow"/>
                <w:lang w:val="en-US"/>
              </w:rPr>
              <w:t xml:space="preserve"> </w:t>
            </w:r>
            <w:r w:rsidRPr="00740DC1">
              <w:rPr>
                <w:rFonts w:cstheme="minorHAnsi"/>
                <w:sz w:val="20"/>
                <w:szCs w:val="20"/>
                <w:highlight w:val="yellow"/>
                <w:lang w:val="en-US"/>
              </w:rPr>
              <w:t xml:space="preserve">in function of the above </w:t>
            </w:r>
          </w:p>
          <w:p w14:paraId="132AFA54" w14:textId="77777777" w:rsidR="00DA5268" w:rsidRDefault="00DA5268" w:rsidP="001B648B">
            <w:pPr>
              <w:rPr>
                <w:rFonts w:cstheme="minorHAnsi"/>
                <w:sz w:val="20"/>
                <w:szCs w:val="20"/>
                <w:lang w:val="en-US"/>
              </w:rPr>
            </w:pPr>
          </w:p>
          <w:p w14:paraId="07781916" w14:textId="72D2359D" w:rsidR="00DA5268" w:rsidRPr="00DA5268" w:rsidRDefault="00DA5268" w:rsidP="001B648B">
            <w:pPr>
              <w:rPr>
                <w:strike/>
                <w:sz w:val="20"/>
                <w:szCs w:val="20"/>
                <w:lang w:val="en-US"/>
              </w:rPr>
            </w:pPr>
            <w:r w:rsidRPr="00DA5268">
              <w:rPr>
                <w:rFonts w:cstheme="minorHAnsi"/>
                <w:strike/>
                <w:sz w:val="20"/>
                <w:szCs w:val="20"/>
                <w:lang w:val="en-US"/>
              </w:rPr>
              <w:t>Map existing IOC data for SOPM and design/promote multi-lingual communication materials on SOPM-related data and information</w:t>
            </w:r>
          </w:p>
        </w:tc>
        <w:tc>
          <w:tcPr>
            <w:tcW w:w="2268" w:type="dxa"/>
          </w:tcPr>
          <w:p w14:paraId="25670B1B" w14:textId="4FF7F3D2" w:rsidR="001B648B" w:rsidRPr="00DC1EA9" w:rsidRDefault="001B648B" w:rsidP="001B648B">
            <w:pPr>
              <w:rPr>
                <w:rFonts w:cstheme="minorHAnsi"/>
                <w:strike/>
                <w:sz w:val="20"/>
                <w:szCs w:val="20"/>
                <w:lang w:val="en-US"/>
              </w:rPr>
            </w:pPr>
            <w:r w:rsidRPr="00E73EC8">
              <w:rPr>
                <w:rFonts w:cstheme="minorHAnsi"/>
                <w:sz w:val="20"/>
                <w:szCs w:val="20"/>
                <w:lang w:val="en-US"/>
              </w:rPr>
              <w:t xml:space="preserve">- Develop a report </w:t>
            </w:r>
            <w:r w:rsidR="00DC1EA9" w:rsidRPr="00DC1EA9">
              <w:rPr>
                <w:rFonts w:cstheme="minorHAnsi"/>
                <w:sz w:val="20"/>
                <w:szCs w:val="20"/>
                <w:highlight w:val="yellow"/>
                <w:lang w:val="en-US"/>
              </w:rPr>
              <w:t>on the essential data and information end-users need for SOPM development</w:t>
            </w:r>
            <w:r w:rsidR="00744CB1">
              <w:rPr>
                <w:rFonts w:cstheme="minorHAnsi"/>
                <w:sz w:val="20"/>
                <w:szCs w:val="20"/>
                <w:lang w:val="en-US"/>
              </w:rPr>
              <w:t xml:space="preserve">, </w:t>
            </w:r>
            <w:r w:rsidR="00744CB1" w:rsidRPr="00744CB1">
              <w:rPr>
                <w:rFonts w:cstheme="minorHAnsi"/>
                <w:sz w:val="20"/>
                <w:szCs w:val="20"/>
                <w:highlight w:val="yellow"/>
                <w:lang w:val="en-US"/>
              </w:rPr>
              <w:t>including opportunities and gaps regarding existing IOC data and networks</w:t>
            </w:r>
            <w:r w:rsidR="00DC1EA9">
              <w:rPr>
                <w:rFonts w:cstheme="minorHAnsi"/>
                <w:sz w:val="20"/>
                <w:szCs w:val="20"/>
                <w:lang w:val="en-US"/>
              </w:rPr>
              <w:t xml:space="preserve"> </w:t>
            </w:r>
            <w:r w:rsidRPr="00DC1EA9">
              <w:rPr>
                <w:rFonts w:cstheme="minorHAnsi"/>
                <w:strike/>
                <w:sz w:val="20"/>
                <w:szCs w:val="20"/>
                <w:lang w:val="en-US"/>
              </w:rPr>
              <w:t xml:space="preserve">on existing IOC data for SOPM </w:t>
            </w:r>
          </w:p>
          <w:p w14:paraId="7D21C16E" w14:textId="77777777" w:rsidR="001B648B" w:rsidRPr="00E73EC8" w:rsidRDefault="001B648B" w:rsidP="001B648B">
            <w:pPr>
              <w:rPr>
                <w:rFonts w:cstheme="minorHAnsi"/>
                <w:sz w:val="20"/>
                <w:szCs w:val="20"/>
                <w:lang w:val="en-US"/>
              </w:rPr>
            </w:pPr>
          </w:p>
          <w:p w14:paraId="130682C3" w14:textId="77777777" w:rsidR="001B648B" w:rsidRPr="00E73EC8" w:rsidRDefault="001B648B" w:rsidP="001B648B">
            <w:pPr>
              <w:rPr>
                <w:rFonts w:cstheme="minorHAnsi"/>
                <w:sz w:val="20"/>
                <w:szCs w:val="20"/>
                <w:lang w:val="en-US"/>
              </w:rPr>
            </w:pPr>
            <w:r w:rsidRPr="00E73EC8">
              <w:rPr>
                <w:rFonts w:cstheme="minorHAnsi"/>
                <w:sz w:val="20"/>
                <w:szCs w:val="20"/>
                <w:lang w:val="en-US"/>
              </w:rPr>
              <w:t>- Develop and disseminate multi-lingual communication materials destined for decision-makers to improve access to SOPM-related data/information</w:t>
            </w:r>
          </w:p>
          <w:p w14:paraId="7BD33898" w14:textId="77777777" w:rsidR="001B648B" w:rsidRPr="00E73EC8" w:rsidRDefault="001B648B" w:rsidP="001B648B">
            <w:pPr>
              <w:rPr>
                <w:rFonts w:cstheme="minorHAnsi"/>
                <w:sz w:val="20"/>
                <w:szCs w:val="20"/>
                <w:lang w:val="en-US"/>
              </w:rPr>
            </w:pPr>
          </w:p>
          <w:p w14:paraId="712F238A" w14:textId="77777777" w:rsidR="001B648B" w:rsidRPr="00E73EC8" w:rsidRDefault="001B648B" w:rsidP="001B648B">
            <w:pPr>
              <w:rPr>
                <w:sz w:val="20"/>
                <w:szCs w:val="20"/>
                <w:lang w:val="en-US"/>
              </w:rPr>
            </w:pPr>
          </w:p>
        </w:tc>
        <w:tc>
          <w:tcPr>
            <w:tcW w:w="993" w:type="dxa"/>
          </w:tcPr>
          <w:p w14:paraId="38735CF2" w14:textId="77777777" w:rsidR="001B648B" w:rsidRDefault="001B648B" w:rsidP="001B648B">
            <w:pPr>
              <w:jc w:val="both"/>
              <w:rPr>
                <w:bCs/>
                <w:iCs/>
                <w:sz w:val="20"/>
                <w:szCs w:val="20"/>
                <w:lang w:val="en-GB"/>
              </w:rPr>
            </w:pPr>
            <w:r w:rsidRPr="00E73EC8">
              <w:rPr>
                <w:bCs/>
                <w:iCs/>
                <w:sz w:val="20"/>
                <w:szCs w:val="20"/>
                <w:lang w:val="en-GB"/>
              </w:rPr>
              <w:t>Year 1</w:t>
            </w:r>
          </w:p>
          <w:p w14:paraId="3CC17479" w14:textId="77777777" w:rsidR="001B648B" w:rsidRDefault="001B648B" w:rsidP="001B648B">
            <w:pPr>
              <w:jc w:val="both"/>
              <w:rPr>
                <w:bCs/>
                <w:iCs/>
                <w:sz w:val="20"/>
                <w:szCs w:val="20"/>
                <w:lang w:val="en-GB"/>
              </w:rPr>
            </w:pPr>
          </w:p>
          <w:p w14:paraId="649E2783" w14:textId="77777777" w:rsidR="001B648B" w:rsidRDefault="001B648B" w:rsidP="001B648B">
            <w:pPr>
              <w:jc w:val="both"/>
              <w:rPr>
                <w:bCs/>
                <w:iCs/>
                <w:sz w:val="20"/>
                <w:szCs w:val="20"/>
                <w:lang w:val="en-GB"/>
              </w:rPr>
            </w:pPr>
          </w:p>
          <w:p w14:paraId="225EB976" w14:textId="77777777" w:rsidR="001B648B" w:rsidRDefault="001B648B" w:rsidP="001B648B">
            <w:pPr>
              <w:jc w:val="both"/>
              <w:rPr>
                <w:bCs/>
                <w:iCs/>
                <w:sz w:val="20"/>
                <w:szCs w:val="20"/>
                <w:lang w:val="en-GB"/>
              </w:rPr>
            </w:pPr>
          </w:p>
          <w:p w14:paraId="26FDBAC9" w14:textId="77777777" w:rsidR="001B648B" w:rsidRPr="00E73EC8" w:rsidRDefault="001B648B" w:rsidP="001B648B">
            <w:pPr>
              <w:jc w:val="both"/>
              <w:rPr>
                <w:bCs/>
                <w:iCs/>
                <w:sz w:val="20"/>
                <w:szCs w:val="20"/>
                <w:lang w:val="en-GB"/>
              </w:rPr>
            </w:pPr>
            <w:r>
              <w:rPr>
                <w:bCs/>
                <w:iCs/>
                <w:sz w:val="20"/>
                <w:szCs w:val="20"/>
                <w:lang w:val="en-GB"/>
              </w:rPr>
              <w:t>Year 1+2</w:t>
            </w:r>
          </w:p>
        </w:tc>
        <w:tc>
          <w:tcPr>
            <w:tcW w:w="1842" w:type="dxa"/>
          </w:tcPr>
          <w:p w14:paraId="54E6357D" w14:textId="2A3AFFD4" w:rsidR="008C2FA4" w:rsidRDefault="008C2FA4" w:rsidP="008C2FA4">
            <w:pPr>
              <w:rPr>
                <w:rFonts w:cstheme="minorHAnsi"/>
                <w:sz w:val="20"/>
                <w:szCs w:val="20"/>
                <w:lang w:val="en-US"/>
              </w:rPr>
            </w:pPr>
            <w:r w:rsidRPr="008C2FA4">
              <w:rPr>
                <w:rFonts w:cstheme="minorHAnsi"/>
                <w:sz w:val="20"/>
                <w:szCs w:val="20"/>
                <w:highlight w:val="yellow"/>
                <w:lang w:val="en-US"/>
              </w:rPr>
              <w:t xml:space="preserve">IOC Regional </w:t>
            </w:r>
            <w:r>
              <w:rPr>
                <w:rFonts w:cstheme="minorHAnsi"/>
                <w:sz w:val="20"/>
                <w:szCs w:val="20"/>
                <w:highlight w:val="yellow"/>
                <w:lang w:val="en-US"/>
              </w:rPr>
              <w:t>sub-c</w:t>
            </w:r>
            <w:r w:rsidRPr="008C2FA4">
              <w:rPr>
                <w:rFonts w:cstheme="minorHAnsi"/>
                <w:sz w:val="20"/>
                <w:szCs w:val="20"/>
                <w:highlight w:val="yellow"/>
                <w:lang w:val="en-US"/>
              </w:rPr>
              <w:t>ommissions</w:t>
            </w:r>
          </w:p>
          <w:p w14:paraId="4D51C458" w14:textId="77777777" w:rsidR="008C2FA4" w:rsidRDefault="008C2FA4" w:rsidP="001B648B">
            <w:pPr>
              <w:jc w:val="both"/>
              <w:rPr>
                <w:rFonts w:cstheme="minorHAnsi"/>
                <w:sz w:val="20"/>
                <w:szCs w:val="20"/>
                <w:lang w:val="en-US"/>
              </w:rPr>
            </w:pPr>
          </w:p>
          <w:p w14:paraId="6EF37F78" w14:textId="4272E897" w:rsidR="001B648B" w:rsidRPr="00A472A8" w:rsidRDefault="001B648B" w:rsidP="001B648B">
            <w:pPr>
              <w:jc w:val="both"/>
              <w:rPr>
                <w:rFonts w:cstheme="minorHAnsi"/>
                <w:sz w:val="20"/>
                <w:szCs w:val="20"/>
                <w:lang w:val="en-US"/>
              </w:rPr>
            </w:pPr>
            <w:r w:rsidRPr="00A472A8">
              <w:rPr>
                <w:rFonts w:cstheme="minorHAnsi"/>
                <w:sz w:val="20"/>
                <w:szCs w:val="20"/>
                <w:lang w:val="en-US"/>
              </w:rPr>
              <w:t>GOOS</w:t>
            </w:r>
          </w:p>
          <w:p w14:paraId="0E6DFF41" w14:textId="77777777" w:rsidR="001B648B" w:rsidRPr="00A472A8" w:rsidRDefault="001B648B" w:rsidP="001B648B">
            <w:pPr>
              <w:jc w:val="both"/>
              <w:rPr>
                <w:rFonts w:cstheme="minorHAnsi"/>
                <w:sz w:val="20"/>
                <w:szCs w:val="20"/>
                <w:lang w:val="en-US"/>
              </w:rPr>
            </w:pPr>
            <w:r w:rsidRPr="00A472A8">
              <w:rPr>
                <w:rFonts w:cstheme="minorHAnsi"/>
                <w:sz w:val="20"/>
                <w:szCs w:val="20"/>
                <w:lang w:val="en-US"/>
              </w:rPr>
              <w:t>OBIS</w:t>
            </w:r>
          </w:p>
          <w:p w14:paraId="2CE62061" w14:textId="77777777" w:rsidR="001B648B" w:rsidRPr="00A472A8" w:rsidRDefault="001B648B" w:rsidP="001B648B">
            <w:pPr>
              <w:jc w:val="both"/>
              <w:rPr>
                <w:rFonts w:cstheme="minorHAnsi"/>
                <w:sz w:val="20"/>
                <w:szCs w:val="20"/>
                <w:lang w:val="en-US"/>
              </w:rPr>
            </w:pPr>
            <w:r w:rsidRPr="00A472A8">
              <w:rPr>
                <w:rFonts w:cstheme="minorHAnsi"/>
                <w:sz w:val="20"/>
                <w:szCs w:val="20"/>
                <w:lang w:val="en-US"/>
              </w:rPr>
              <w:t>ODIS</w:t>
            </w:r>
          </w:p>
          <w:p w14:paraId="1374F2D2" w14:textId="77777777" w:rsidR="001B648B" w:rsidRPr="00A472A8" w:rsidRDefault="001B648B" w:rsidP="001B648B">
            <w:pPr>
              <w:jc w:val="both"/>
              <w:rPr>
                <w:rFonts w:cstheme="minorHAnsi"/>
                <w:sz w:val="20"/>
                <w:szCs w:val="20"/>
                <w:lang w:val="en-US"/>
              </w:rPr>
            </w:pPr>
            <w:r w:rsidRPr="00A472A8">
              <w:rPr>
                <w:rFonts w:cstheme="minorHAnsi"/>
                <w:sz w:val="20"/>
                <w:szCs w:val="20"/>
                <w:lang w:val="en-US"/>
              </w:rPr>
              <w:t>MSP Global</w:t>
            </w:r>
          </w:p>
          <w:p w14:paraId="08942401" w14:textId="77777777" w:rsidR="001B648B" w:rsidRPr="00A472A8" w:rsidRDefault="001B648B" w:rsidP="001B648B">
            <w:pPr>
              <w:jc w:val="both"/>
              <w:rPr>
                <w:rFonts w:cstheme="minorHAnsi"/>
                <w:sz w:val="20"/>
                <w:szCs w:val="20"/>
                <w:lang w:val="en-US"/>
              </w:rPr>
            </w:pPr>
            <w:r w:rsidRPr="00A472A8">
              <w:rPr>
                <w:rFonts w:cstheme="minorHAnsi"/>
                <w:sz w:val="20"/>
                <w:szCs w:val="20"/>
                <w:lang w:val="en-US"/>
              </w:rPr>
              <w:t>Tsunami</w:t>
            </w:r>
          </w:p>
          <w:p w14:paraId="3635F94E" w14:textId="77777777" w:rsidR="001B648B" w:rsidRPr="00A472A8" w:rsidRDefault="001B648B" w:rsidP="001B648B">
            <w:pPr>
              <w:jc w:val="both"/>
              <w:rPr>
                <w:rFonts w:cstheme="minorHAnsi"/>
                <w:sz w:val="20"/>
                <w:szCs w:val="20"/>
                <w:lang w:val="en-US"/>
              </w:rPr>
            </w:pPr>
            <w:r w:rsidRPr="00A472A8">
              <w:rPr>
                <w:rFonts w:cstheme="minorHAnsi"/>
                <w:sz w:val="20"/>
                <w:szCs w:val="20"/>
                <w:lang w:val="en-US"/>
              </w:rPr>
              <w:t>Science Section</w:t>
            </w:r>
          </w:p>
          <w:p w14:paraId="4FA9EEFD" w14:textId="77777777" w:rsidR="001B648B" w:rsidRPr="00A472A8" w:rsidRDefault="001B648B" w:rsidP="001B648B">
            <w:pPr>
              <w:jc w:val="both"/>
              <w:rPr>
                <w:rFonts w:cstheme="minorHAnsi"/>
                <w:sz w:val="20"/>
                <w:szCs w:val="20"/>
                <w:lang w:val="en-US"/>
              </w:rPr>
            </w:pPr>
            <w:r w:rsidRPr="00A472A8">
              <w:rPr>
                <w:rFonts w:cstheme="minorHAnsi"/>
                <w:sz w:val="20"/>
                <w:szCs w:val="20"/>
                <w:lang w:val="en-US"/>
              </w:rPr>
              <w:t>GESAMP &amp; other networks</w:t>
            </w:r>
          </w:p>
          <w:p w14:paraId="45424EF4" w14:textId="77777777" w:rsidR="001B648B" w:rsidRPr="00A472A8" w:rsidRDefault="001B648B" w:rsidP="001B648B">
            <w:pPr>
              <w:jc w:val="both"/>
              <w:rPr>
                <w:rFonts w:cstheme="minorHAnsi"/>
                <w:sz w:val="20"/>
                <w:szCs w:val="20"/>
                <w:lang w:val="en-US"/>
              </w:rPr>
            </w:pPr>
            <w:r w:rsidRPr="00A472A8">
              <w:rPr>
                <w:rFonts w:cstheme="minorHAnsi"/>
                <w:sz w:val="20"/>
                <w:szCs w:val="20"/>
                <w:lang w:val="en-US"/>
              </w:rPr>
              <w:t>OGTA</w:t>
            </w:r>
          </w:p>
          <w:p w14:paraId="20735D6C" w14:textId="77777777" w:rsidR="001B648B" w:rsidRPr="00E73EC8" w:rsidRDefault="001B648B" w:rsidP="001B648B">
            <w:pPr>
              <w:rPr>
                <w:sz w:val="20"/>
                <w:szCs w:val="20"/>
              </w:rPr>
            </w:pPr>
            <w:r w:rsidRPr="00A7018C">
              <w:rPr>
                <w:sz w:val="20"/>
                <w:szCs w:val="20"/>
                <w:highlight w:val="yellow"/>
              </w:rPr>
              <w:t>Ocean Decade SOP Programme</w:t>
            </w:r>
          </w:p>
          <w:p w14:paraId="1BDBC7D3" w14:textId="77777777" w:rsidR="001B648B" w:rsidRPr="00A472A8" w:rsidRDefault="001B648B" w:rsidP="001B648B">
            <w:pPr>
              <w:jc w:val="both"/>
              <w:rPr>
                <w:bCs/>
                <w:iCs/>
                <w:sz w:val="20"/>
                <w:szCs w:val="20"/>
                <w:lang w:val="en-US"/>
              </w:rPr>
            </w:pPr>
          </w:p>
        </w:tc>
        <w:tc>
          <w:tcPr>
            <w:tcW w:w="1276" w:type="dxa"/>
          </w:tcPr>
          <w:p w14:paraId="67CBCF1E" w14:textId="77777777" w:rsidR="00BD2096" w:rsidRDefault="001150ED" w:rsidP="001B648B">
            <w:pPr>
              <w:jc w:val="both"/>
              <w:rPr>
                <w:bCs/>
                <w:iCs/>
                <w:sz w:val="20"/>
                <w:szCs w:val="20"/>
                <w:lang w:val="en-US"/>
              </w:rPr>
            </w:pPr>
            <w:r w:rsidRPr="00E73EC8">
              <w:rPr>
                <w:bCs/>
                <w:iCs/>
                <w:sz w:val="20"/>
                <w:szCs w:val="20"/>
                <w:lang w:val="en-US"/>
              </w:rPr>
              <w:t>Existing resources/</w:t>
            </w:r>
          </w:p>
          <w:p w14:paraId="598DB3AE" w14:textId="6D08059A" w:rsidR="001B648B" w:rsidRPr="001150ED" w:rsidRDefault="001150ED" w:rsidP="001B648B">
            <w:pPr>
              <w:jc w:val="both"/>
              <w:rPr>
                <w:bCs/>
                <w:iCs/>
                <w:sz w:val="20"/>
                <w:szCs w:val="20"/>
                <w:lang w:val="en-US"/>
              </w:rPr>
            </w:pPr>
            <w:r w:rsidRPr="00E73EC8">
              <w:rPr>
                <w:bCs/>
                <w:iCs/>
                <w:sz w:val="20"/>
                <w:szCs w:val="20"/>
                <w:lang w:val="en-US"/>
              </w:rPr>
              <w:t>New resources to be raised</w:t>
            </w:r>
          </w:p>
        </w:tc>
        <w:tc>
          <w:tcPr>
            <w:tcW w:w="1276" w:type="dxa"/>
          </w:tcPr>
          <w:p w14:paraId="2C3305BC" w14:textId="77777777" w:rsidR="001B648B" w:rsidRPr="00E73EC8" w:rsidRDefault="001B648B" w:rsidP="001B648B">
            <w:pPr>
              <w:jc w:val="both"/>
              <w:rPr>
                <w:bCs/>
                <w:iCs/>
                <w:sz w:val="20"/>
                <w:szCs w:val="20"/>
                <w:lang w:val="en-US"/>
              </w:rPr>
            </w:pPr>
            <w:r w:rsidRPr="00E73EC8">
              <w:rPr>
                <w:bCs/>
                <w:iCs/>
                <w:sz w:val="20"/>
                <w:szCs w:val="20"/>
                <w:lang w:val="en-US"/>
              </w:rPr>
              <w:t>2, 4</w:t>
            </w:r>
          </w:p>
        </w:tc>
      </w:tr>
      <w:tr w:rsidR="001B648B" w:rsidRPr="00E73EC8" w14:paraId="4E4E4520" w14:textId="77777777" w:rsidTr="00EE11CD">
        <w:tc>
          <w:tcPr>
            <w:tcW w:w="2410" w:type="dxa"/>
          </w:tcPr>
          <w:p w14:paraId="12855366" w14:textId="77777777" w:rsidR="001B648B" w:rsidRPr="00E73EC8" w:rsidRDefault="001B648B" w:rsidP="001B648B">
            <w:pPr>
              <w:rPr>
                <w:bCs/>
                <w:iCs/>
                <w:sz w:val="20"/>
                <w:szCs w:val="20"/>
                <w:lang w:val="en-US"/>
              </w:rPr>
            </w:pPr>
          </w:p>
        </w:tc>
        <w:tc>
          <w:tcPr>
            <w:tcW w:w="2268" w:type="dxa"/>
          </w:tcPr>
          <w:p w14:paraId="1FDD1EF6" w14:textId="298C375A" w:rsidR="001B648B" w:rsidRPr="00E73EC8" w:rsidRDefault="001B648B" w:rsidP="001B648B">
            <w:pPr>
              <w:rPr>
                <w:sz w:val="20"/>
                <w:szCs w:val="20"/>
                <w:lang w:val="en-GB"/>
              </w:rPr>
            </w:pPr>
          </w:p>
        </w:tc>
        <w:tc>
          <w:tcPr>
            <w:tcW w:w="993" w:type="dxa"/>
          </w:tcPr>
          <w:p w14:paraId="00F991F9" w14:textId="2E05A4B3" w:rsidR="001B648B" w:rsidRPr="00E73EC8" w:rsidRDefault="001B648B" w:rsidP="001B648B">
            <w:pPr>
              <w:jc w:val="both"/>
              <w:rPr>
                <w:bCs/>
                <w:iCs/>
                <w:sz w:val="20"/>
                <w:szCs w:val="20"/>
                <w:lang w:val="en-US"/>
              </w:rPr>
            </w:pPr>
          </w:p>
        </w:tc>
        <w:tc>
          <w:tcPr>
            <w:tcW w:w="1842" w:type="dxa"/>
          </w:tcPr>
          <w:p w14:paraId="32F8EDC4" w14:textId="77777777" w:rsidR="001B648B" w:rsidRPr="00A472A8" w:rsidRDefault="001B648B" w:rsidP="001B648B">
            <w:pPr>
              <w:rPr>
                <w:bCs/>
                <w:iCs/>
                <w:sz w:val="20"/>
                <w:szCs w:val="20"/>
                <w:lang w:val="en-US"/>
              </w:rPr>
            </w:pPr>
          </w:p>
        </w:tc>
        <w:tc>
          <w:tcPr>
            <w:tcW w:w="1276" w:type="dxa"/>
          </w:tcPr>
          <w:p w14:paraId="12C63D11" w14:textId="15A31FBF" w:rsidR="001B648B" w:rsidRPr="00E73EC8" w:rsidRDefault="001B648B" w:rsidP="001B648B">
            <w:pPr>
              <w:jc w:val="both"/>
              <w:rPr>
                <w:bCs/>
                <w:iCs/>
                <w:sz w:val="20"/>
                <w:szCs w:val="20"/>
                <w:lang w:val="en-US"/>
              </w:rPr>
            </w:pPr>
          </w:p>
        </w:tc>
        <w:tc>
          <w:tcPr>
            <w:tcW w:w="1276" w:type="dxa"/>
          </w:tcPr>
          <w:p w14:paraId="5A2165E1" w14:textId="0C7C3FAA" w:rsidR="001B648B" w:rsidRPr="00E73EC8" w:rsidRDefault="001B648B" w:rsidP="001B648B">
            <w:pPr>
              <w:jc w:val="both"/>
              <w:rPr>
                <w:bCs/>
                <w:iCs/>
                <w:sz w:val="20"/>
                <w:szCs w:val="20"/>
                <w:lang w:val="en-US"/>
              </w:rPr>
            </w:pPr>
          </w:p>
        </w:tc>
      </w:tr>
      <w:tr w:rsidR="001B648B" w:rsidRPr="00E73EC8" w14:paraId="0A071E1F" w14:textId="77777777" w:rsidTr="00EE11CD">
        <w:tc>
          <w:tcPr>
            <w:tcW w:w="2410" w:type="dxa"/>
          </w:tcPr>
          <w:p w14:paraId="2BBEB50B" w14:textId="77777777" w:rsidR="001B648B" w:rsidRPr="00E73EC8" w:rsidRDefault="001B648B" w:rsidP="001B648B">
            <w:pPr>
              <w:jc w:val="both"/>
              <w:rPr>
                <w:b/>
                <w:bCs/>
                <w:iCs/>
                <w:sz w:val="20"/>
                <w:szCs w:val="20"/>
                <w:u w:val="single"/>
                <w:lang w:val="en-US"/>
              </w:rPr>
            </w:pPr>
            <w:r w:rsidRPr="00E73EC8">
              <w:rPr>
                <w:b/>
                <w:bCs/>
                <w:iCs/>
                <w:sz w:val="20"/>
                <w:szCs w:val="20"/>
                <w:u w:val="single"/>
                <w:lang w:val="en-US"/>
              </w:rPr>
              <w:t xml:space="preserve">Activity 4: </w:t>
            </w:r>
          </w:p>
          <w:p w14:paraId="4E34275C" w14:textId="09B7E713" w:rsidR="001B648B" w:rsidRPr="00E73EC8" w:rsidRDefault="001B648B" w:rsidP="001B648B">
            <w:pPr>
              <w:rPr>
                <w:sz w:val="20"/>
                <w:szCs w:val="20"/>
                <w:lang w:val="en-US"/>
              </w:rPr>
            </w:pPr>
            <w:r w:rsidRPr="00E73EC8">
              <w:rPr>
                <w:rFonts w:eastAsia="Calibri" w:cstheme="minorHAnsi"/>
                <w:sz w:val="20"/>
                <w:szCs w:val="20"/>
                <w:lang w:val="en-US"/>
              </w:rPr>
              <w:t xml:space="preserve">Review existing SOPM initiatives </w:t>
            </w:r>
            <w:r w:rsidR="004F1A9F" w:rsidRPr="004F1A9F">
              <w:rPr>
                <w:rFonts w:eastAsia="Calibri" w:cstheme="minorHAnsi"/>
                <w:sz w:val="20"/>
                <w:szCs w:val="20"/>
                <w:highlight w:val="yellow"/>
                <w:lang w:val="en-US"/>
              </w:rPr>
              <w:t>and in-country policy legal frameworks for SOPM</w:t>
            </w:r>
            <w:r w:rsidR="004F1A9F">
              <w:rPr>
                <w:rFonts w:eastAsia="Calibri" w:cstheme="minorHAnsi"/>
                <w:sz w:val="20"/>
                <w:szCs w:val="20"/>
                <w:lang w:val="en-US"/>
              </w:rPr>
              <w:t xml:space="preserve"> </w:t>
            </w:r>
            <w:r w:rsidRPr="00E73EC8">
              <w:rPr>
                <w:rFonts w:eastAsia="Calibri" w:cstheme="minorHAnsi"/>
                <w:sz w:val="20"/>
                <w:szCs w:val="20"/>
                <w:lang w:val="en-US"/>
              </w:rPr>
              <w:t xml:space="preserve">to identify good practices and develop technical guidance, </w:t>
            </w:r>
            <w:r w:rsidR="004F1A9F">
              <w:rPr>
                <w:rFonts w:eastAsia="Calibri" w:cstheme="minorHAnsi"/>
                <w:sz w:val="20"/>
                <w:szCs w:val="20"/>
                <w:lang w:val="en-US"/>
              </w:rPr>
              <w:t xml:space="preserve">capacity, </w:t>
            </w:r>
            <w:r w:rsidRPr="00E73EC8">
              <w:rPr>
                <w:rFonts w:eastAsia="Calibri" w:cstheme="minorHAnsi"/>
                <w:sz w:val="20"/>
                <w:szCs w:val="20"/>
                <w:lang w:val="en-US"/>
              </w:rPr>
              <w:t>learning frameworks, and resources where gaps exist</w:t>
            </w:r>
            <w:r w:rsidR="00520859">
              <w:rPr>
                <w:rFonts w:eastAsia="Calibri" w:cstheme="minorHAnsi"/>
                <w:sz w:val="20"/>
                <w:szCs w:val="20"/>
                <w:lang w:val="en-US"/>
              </w:rPr>
              <w:t xml:space="preserve">, </w:t>
            </w:r>
            <w:r w:rsidR="00520859" w:rsidRPr="00520859">
              <w:rPr>
                <w:rFonts w:eastAsia="Calibri" w:cstheme="minorHAnsi"/>
                <w:sz w:val="20"/>
                <w:szCs w:val="20"/>
                <w:highlight w:val="yellow"/>
                <w:lang w:val="en-US"/>
              </w:rPr>
              <w:t>particularly for least developed Member States</w:t>
            </w:r>
          </w:p>
        </w:tc>
        <w:tc>
          <w:tcPr>
            <w:tcW w:w="2268" w:type="dxa"/>
          </w:tcPr>
          <w:p w14:paraId="41D6CF63" w14:textId="77777777" w:rsidR="001B648B" w:rsidRPr="00E73EC8" w:rsidRDefault="001B648B" w:rsidP="001B648B">
            <w:pPr>
              <w:rPr>
                <w:rFonts w:cstheme="minorHAnsi"/>
                <w:sz w:val="20"/>
                <w:szCs w:val="20"/>
                <w:lang w:val="en-GB"/>
              </w:rPr>
            </w:pPr>
            <w:r w:rsidRPr="00E73EC8">
              <w:rPr>
                <w:rFonts w:cstheme="minorHAnsi"/>
                <w:sz w:val="20"/>
                <w:szCs w:val="20"/>
                <w:lang w:val="en-GB"/>
              </w:rPr>
              <w:t xml:space="preserve">- </w:t>
            </w:r>
            <w:r w:rsidRPr="00E73EC8">
              <w:rPr>
                <w:rFonts w:eastAsia="Calibri" w:cstheme="minorHAnsi"/>
                <w:sz w:val="20"/>
                <w:szCs w:val="20"/>
                <w:lang w:val="en-GB"/>
              </w:rPr>
              <w:t>Develop and disseminate a technical guide on good practices and the IOC's role in SOPM, focusing on data, science, and tools.</w:t>
            </w:r>
          </w:p>
          <w:p w14:paraId="68DED012" w14:textId="77777777" w:rsidR="001B648B" w:rsidRPr="00E73EC8" w:rsidRDefault="001B648B" w:rsidP="001B648B">
            <w:pPr>
              <w:rPr>
                <w:rFonts w:cstheme="minorHAnsi"/>
                <w:sz w:val="20"/>
                <w:szCs w:val="20"/>
                <w:lang w:val="en-GB"/>
              </w:rPr>
            </w:pPr>
          </w:p>
          <w:p w14:paraId="46E12AD7" w14:textId="77777777" w:rsidR="001B648B" w:rsidRPr="00E73EC8" w:rsidRDefault="001B648B" w:rsidP="001B648B">
            <w:pPr>
              <w:rPr>
                <w:rFonts w:cstheme="minorHAnsi"/>
                <w:sz w:val="20"/>
                <w:szCs w:val="20"/>
                <w:lang w:val="en-GB"/>
              </w:rPr>
            </w:pPr>
            <w:r w:rsidRPr="00E73EC8">
              <w:rPr>
                <w:rFonts w:cstheme="minorHAnsi"/>
                <w:sz w:val="20"/>
                <w:szCs w:val="20"/>
                <w:lang w:val="en-GB"/>
              </w:rPr>
              <w:t>- Develop and implement a capacity development plan for SOPM</w:t>
            </w:r>
          </w:p>
          <w:p w14:paraId="47354DF3" w14:textId="77777777" w:rsidR="001B648B" w:rsidRPr="00E73EC8" w:rsidRDefault="001B648B" w:rsidP="001B648B">
            <w:pPr>
              <w:rPr>
                <w:bCs/>
                <w:iCs/>
                <w:sz w:val="20"/>
                <w:szCs w:val="20"/>
                <w:lang w:val="en-GB"/>
              </w:rPr>
            </w:pPr>
          </w:p>
        </w:tc>
        <w:tc>
          <w:tcPr>
            <w:tcW w:w="993" w:type="dxa"/>
          </w:tcPr>
          <w:p w14:paraId="62FC46EE" w14:textId="77777777" w:rsidR="001B648B" w:rsidRPr="00E73EC8" w:rsidRDefault="001B648B" w:rsidP="001B648B">
            <w:pPr>
              <w:jc w:val="both"/>
              <w:rPr>
                <w:bCs/>
                <w:iCs/>
                <w:sz w:val="20"/>
                <w:szCs w:val="20"/>
                <w:lang w:val="en-GB"/>
              </w:rPr>
            </w:pPr>
            <w:r w:rsidRPr="00E73EC8">
              <w:rPr>
                <w:bCs/>
                <w:iCs/>
                <w:sz w:val="20"/>
                <w:szCs w:val="20"/>
                <w:lang w:val="en-GB"/>
              </w:rPr>
              <w:t>Year 1+2</w:t>
            </w:r>
          </w:p>
        </w:tc>
        <w:tc>
          <w:tcPr>
            <w:tcW w:w="1842" w:type="dxa"/>
          </w:tcPr>
          <w:p w14:paraId="033A08A2" w14:textId="626C9F09" w:rsidR="001B648B" w:rsidRPr="00A472A8" w:rsidRDefault="001B648B" w:rsidP="001B648B">
            <w:pPr>
              <w:rPr>
                <w:rFonts w:cstheme="minorHAnsi"/>
                <w:sz w:val="20"/>
                <w:szCs w:val="20"/>
                <w:lang w:val="en-US"/>
              </w:rPr>
            </w:pPr>
            <w:r w:rsidRPr="00A472A8">
              <w:rPr>
                <w:rFonts w:cstheme="minorHAnsi"/>
                <w:sz w:val="20"/>
                <w:szCs w:val="20"/>
                <w:lang w:val="en-US"/>
              </w:rPr>
              <w:t>IOC</w:t>
            </w:r>
            <w:r>
              <w:rPr>
                <w:rFonts w:cstheme="minorHAnsi"/>
                <w:sz w:val="20"/>
                <w:szCs w:val="20"/>
                <w:lang w:val="en-US"/>
              </w:rPr>
              <w:t xml:space="preserve"> </w:t>
            </w:r>
            <w:r w:rsidRPr="00A472A8">
              <w:rPr>
                <w:rFonts w:cstheme="minorHAnsi"/>
                <w:sz w:val="20"/>
                <w:szCs w:val="20"/>
                <w:lang w:val="en-US"/>
              </w:rPr>
              <w:t xml:space="preserve">Regional </w:t>
            </w:r>
            <w:r w:rsidR="00C358BF">
              <w:rPr>
                <w:rFonts w:cstheme="minorHAnsi"/>
                <w:sz w:val="20"/>
                <w:szCs w:val="20"/>
                <w:lang w:val="en-US"/>
              </w:rPr>
              <w:t>sub-c</w:t>
            </w:r>
            <w:r w:rsidRPr="00A472A8">
              <w:rPr>
                <w:rFonts w:cstheme="minorHAnsi"/>
                <w:sz w:val="20"/>
                <w:szCs w:val="20"/>
                <w:lang w:val="en-US"/>
              </w:rPr>
              <w:t>ommissions</w:t>
            </w:r>
          </w:p>
          <w:p w14:paraId="6469DF1A" w14:textId="77777777" w:rsidR="001B648B" w:rsidRDefault="001B648B" w:rsidP="001B648B">
            <w:pPr>
              <w:rPr>
                <w:rFonts w:cstheme="minorHAnsi"/>
                <w:sz w:val="20"/>
                <w:szCs w:val="20"/>
                <w:lang w:val="en-US"/>
              </w:rPr>
            </w:pPr>
            <w:r w:rsidRPr="00A472A8">
              <w:rPr>
                <w:rFonts w:cstheme="minorHAnsi"/>
                <w:sz w:val="20"/>
                <w:szCs w:val="20"/>
                <w:lang w:val="en-US"/>
              </w:rPr>
              <w:t>MSP Global</w:t>
            </w:r>
          </w:p>
          <w:p w14:paraId="38B01222" w14:textId="1D0B0806" w:rsidR="001B648B" w:rsidRPr="00A472A8" w:rsidRDefault="001B648B" w:rsidP="001B648B">
            <w:pPr>
              <w:rPr>
                <w:rFonts w:cstheme="minorHAnsi"/>
                <w:sz w:val="20"/>
                <w:szCs w:val="20"/>
                <w:lang w:val="en-US"/>
              </w:rPr>
            </w:pPr>
            <w:r w:rsidRPr="00A7018C">
              <w:rPr>
                <w:rFonts w:cstheme="minorHAnsi"/>
                <w:sz w:val="20"/>
                <w:szCs w:val="20"/>
                <w:highlight w:val="yellow"/>
                <w:lang w:val="en-US"/>
              </w:rPr>
              <w:t>GOOS</w:t>
            </w:r>
          </w:p>
          <w:p w14:paraId="4CA0E7C0" w14:textId="77777777" w:rsidR="001B648B" w:rsidRPr="00A472A8" w:rsidRDefault="001B648B" w:rsidP="001B648B">
            <w:pPr>
              <w:rPr>
                <w:rFonts w:cstheme="minorHAnsi"/>
                <w:sz w:val="20"/>
                <w:szCs w:val="20"/>
                <w:lang w:val="en-US"/>
              </w:rPr>
            </w:pPr>
            <w:r w:rsidRPr="00A472A8">
              <w:rPr>
                <w:rFonts w:cstheme="minorHAnsi"/>
                <w:sz w:val="20"/>
                <w:szCs w:val="20"/>
                <w:lang w:val="en-US"/>
              </w:rPr>
              <w:t>OGTA</w:t>
            </w:r>
          </w:p>
          <w:p w14:paraId="629F4AB0" w14:textId="77777777" w:rsidR="001B648B" w:rsidRPr="001150ED" w:rsidRDefault="001B648B" w:rsidP="001B648B">
            <w:pPr>
              <w:rPr>
                <w:sz w:val="20"/>
                <w:szCs w:val="20"/>
                <w:lang w:val="en-US"/>
              </w:rPr>
            </w:pPr>
            <w:r w:rsidRPr="001150ED">
              <w:rPr>
                <w:sz w:val="20"/>
                <w:szCs w:val="20"/>
                <w:highlight w:val="yellow"/>
                <w:lang w:val="en-US"/>
              </w:rPr>
              <w:t>Ocean Decade SOP Programme</w:t>
            </w:r>
          </w:p>
          <w:p w14:paraId="53E79288" w14:textId="77777777" w:rsidR="001B648B" w:rsidRPr="00A472A8" w:rsidRDefault="001B648B" w:rsidP="001B648B">
            <w:pPr>
              <w:jc w:val="both"/>
              <w:rPr>
                <w:bCs/>
                <w:iCs/>
                <w:sz w:val="20"/>
                <w:szCs w:val="20"/>
                <w:lang w:val="en-US"/>
              </w:rPr>
            </w:pPr>
          </w:p>
        </w:tc>
        <w:tc>
          <w:tcPr>
            <w:tcW w:w="1276" w:type="dxa"/>
          </w:tcPr>
          <w:p w14:paraId="2B079661" w14:textId="77777777" w:rsidR="00BD2096" w:rsidRDefault="001B648B" w:rsidP="001B648B">
            <w:pPr>
              <w:rPr>
                <w:bCs/>
                <w:iCs/>
                <w:sz w:val="20"/>
                <w:szCs w:val="20"/>
                <w:lang w:val="en-US"/>
              </w:rPr>
            </w:pPr>
            <w:r w:rsidRPr="00E73EC8">
              <w:rPr>
                <w:bCs/>
                <w:iCs/>
                <w:sz w:val="20"/>
                <w:szCs w:val="20"/>
                <w:lang w:val="en-US"/>
              </w:rPr>
              <w:t>Existing resources/</w:t>
            </w:r>
          </w:p>
          <w:p w14:paraId="75ED46D1" w14:textId="2A842837" w:rsidR="001B648B" w:rsidRPr="00E73EC8" w:rsidRDefault="001B648B" w:rsidP="001B648B">
            <w:pPr>
              <w:rPr>
                <w:bCs/>
                <w:iCs/>
                <w:sz w:val="20"/>
                <w:szCs w:val="20"/>
                <w:lang w:val="en-US"/>
              </w:rPr>
            </w:pPr>
            <w:r w:rsidRPr="00E73EC8">
              <w:rPr>
                <w:bCs/>
                <w:iCs/>
                <w:sz w:val="20"/>
                <w:szCs w:val="20"/>
                <w:lang w:val="en-US"/>
              </w:rPr>
              <w:t>New resources to be raised</w:t>
            </w:r>
          </w:p>
        </w:tc>
        <w:tc>
          <w:tcPr>
            <w:tcW w:w="1276" w:type="dxa"/>
          </w:tcPr>
          <w:p w14:paraId="2AC2B0D8" w14:textId="77777777" w:rsidR="001B648B" w:rsidRPr="00E73EC8" w:rsidRDefault="001B648B" w:rsidP="001B648B">
            <w:pPr>
              <w:jc w:val="both"/>
              <w:rPr>
                <w:bCs/>
                <w:iCs/>
                <w:sz w:val="20"/>
                <w:szCs w:val="20"/>
                <w:lang w:val="en-US"/>
              </w:rPr>
            </w:pPr>
            <w:r w:rsidRPr="00E73EC8">
              <w:rPr>
                <w:bCs/>
                <w:iCs/>
                <w:sz w:val="20"/>
                <w:szCs w:val="20"/>
                <w:lang w:val="en-US"/>
              </w:rPr>
              <w:t>1, 2, 3</w:t>
            </w:r>
          </w:p>
        </w:tc>
      </w:tr>
      <w:tr w:rsidR="001B648B" w:rsidRPr="00E73EC8" w14:paraId="3335609F" w14:textId="77777777" w:rsidTr="00EE11CD">
        <w:tc>
          <w:tcPr>
            <w:tcW w:w="2410" w:type="dxa"/>
          </w:tcPr>
          <w:p w14:paraId="4E1B41F5" w14:textId="77777777" w:rsidR="001B648B" w:rsidRPr="00E73EC8" w:rsidRDefault="001B648B" w:rsidP="001B648B">
            <w:pPr>
              <w:jc w:val="both"/>
              <w:rPr>
                <w:bCs/>
                <w:iCs/>
                <w:sz w:val="20"/>
                <w:szCs w:val="20"/>
                <w:lang w:val="en-US"/>
              </w:rPr>
            </w:pPr>
            <w:r w:rsidRPr="00E73EC8">
              <w:rPr>
                <w:b/>
                <w:bCs/>
                <w:iCs/>
                <w:sz w:val="20"/>
                <w:szCs w:val="20"/>
                <w:u w:val="single"/>
                <w:lang w:val="en-US"/>
              </w:rPr>
              <w:t>Activity 5:</w:t>
            </w:r>
            <w:r w:rsidRPr="00E73EC8">
              <w:rPr>
                <w:bCs/>
                <w:iCs/>
                <w:sz w:val="20"/>
                <w:szCs w:val="20"/>
                <w:lang w:val="en-US"/>
              </w:rPr>
              <w:t xml:space="preserve"> </w:t>
            </w:r>
          </w:p>
          <w:p w14:paraId="06BE44C6" w14:textId="0ABE3CAC" w:rsidR="001B648B" w:rsidRPr="00E73EC8" w:rsidRDefault="001B648B" w:rsidP="001B648B">
            <w:pPr>
              <w:jc w:val="both"/>
              <w:rPr>
                <w:sz w:val="20"/>
                <w:szCs w:val="20"/>
                <w:lang w:val="en-US"/>
              </w:rPr>
            </w:pPr>
            <w:r w:rsidRPr="00E73EC8">
              <w:rPr>
                <w:rFonts w:cstheme="minorHAnsi"/>
                <w:sz w:val="20"/>
                <w:szCs w:val="20"/>
                <w:lang w:val="en-US"/>
              </w:rPr>
              <w:t xml:space="preserve">Initiate concept and raise funding for </w:t>
            </w:r>
            <w:r w:rsidRPr="00A7018C">
              <w:rPr>
                <w:rFonts w:cstheme="minorHAnsi"/>
                <w:sz w:val="20"/>
                <w:szCs w:val="20"/>
                <w:highlight w:val="yellow"/>
                <w:lang w:val="en-US"/>
              </w:rPr>
              <w:t>a</w:t>
            </w:r>
            <w:r>
              <w:rPr>
                <w:rFonts w:cstheme="minorHAnsi"/>
                <w:sz w:val="20"/>
                <w:szCs w:val="20"/>
                <w:lang w:val="en-US"/>
              </w:rPr>
              <w:t xml:space="preserve"> </w:t>
            </w:r>
            <w:r w:rsidRPr="00E73EC8">
              <w:rPr>
                <w:rFonts w:cstheme="minorHAnsi"/>
                <w:sz w:val="20"/>
                <w:szCs w:val="20"/>
                <w:lang w:val="en-US"/>
              </w:rPr>
              <w:t>SOPM pilot project</w:t>
            </w:r>
            <w:r>
              <w:rPr>
                <w:rFonts w:cstheme="minorHAnsi"/>
                <w:sz w:val="20"/>
                <w:szCs w:val="20"/>
                <w:lang w:val="en-US"/>
              </w:rPr>
              <w:t xml:space="preserve"> </w:t>
            </w:r>
            <w:r w:rsidRPr="00A7018C">
              <w:rPr>
                <w:rFonts w:cstheme="minorHAnsi"/>
                <w:sz w:val="20"/>
                <w:szCs w:val="20"/>
                <w:highlight w:val="yellow"/>
                <w:lang w:val="en-US"/>
              </w:rPr>
              <w:t xml:space="preserve">making full use of the expertise, data and </w:t>
            </w:r>
            <w:r w:rsidR="00DC1EA9">
              <w:rPr>
                <w:rFonts w:cstheme="minorHAnsi"/>
                <w:sz w:val="20"/>
                <w:szCs w:val="20"/>
                <w:highlight w:val="yellow"/>
                <w:lang w:val="en-US"/>
              </w:rPr>
              <w:t>tools</w:t>
            </w:r>
            <w:r w:rsidRPr="00A7018C">
              <w:rPr>
                <w:rFonts w:cstheme="minorHAnsi"/>
                <w:sz w:val="20"/>
                <w:szCs w:val="20"/>
                <w:highlight w:val="yellow"/>
                <w:lang w:val="en-US"/>
              </w:rPr>
              <w:t xml:space="preserve"> of the IOC and its partners, from knowledge gathering to decision-making (FR)</w:t>
            </w:r>
          </w:p>
        </w:tc>
        <w:tc>
          <w:tcPr>
            <w:tcW w:w="2268" w:type="dxa"/>
          </w:tcPr>
          <w:p w14:paraId="4C612191" w14:textId="77777777" w:rsidR="001B648B" w:rsidRPr="00E73EC8" w:rsidRDefault="001B648B" w:rsidP="001B648B">
            <w:pPr>
              <w:rPr>
                <w:rFonts w:cstheme="minorHAnsi"/>
                <w:sz w:val="20"/>
                <w:szCs w:val="20"/>
                <w:lang w:val="en-US"/>
              </w:rPr>
            </w:pPr>
            <w:r w:rsidRPr="00E73EC8">
              <w:rPr>
                <w:rFonts w:cstheme="minorHAnsi"/>
                <w:sz w:val="20"/>
                <w:szCs w:val="20"/>
                <w:lang w:val="en-US"/>
              </w:rPr>
              <w:t xml:space="preserve">- Concept and ToR for a pilot project with 1-3 Member States across different IOC regions </w:t>
            </w:r>
          </w:p>
          <w:p w14:paraId="45519603" w14:textId="77777777" w:rsidR="001B648B" w:rsidRPr="00E73EC8" w:rsidRDefault="001B648B" w:rsidP="001B648B">
            <w:pPr>
              <w:rPr>
                <w:sz w:val="20"/>
                <w:szCs w:val="20"/>
                <w:lang w:val="en-US"/>
              </w:rPr>
            </w:pPr>
          </w:p>
        </w:tc>
        <w:tc>
          <w:tcPr>
            <w:tcW w:w="993" w:type="dxa"/>
          </w:tcPr>
          <w:p w14:paraId="65F4BEDD" w14:textId="77777777" w:rsidR="001B648B" w:rsidRPr="00E73EC8" w:rsidRDefault="001B648B" w:rsidP="001B648B">
            <w:pPr>
              <w:jc w:val="both"/>
              <w:rPr>
                <w:bCs/>
                <w:iCs/>
                <w:sz w:val="20"/>
                <w:szCs w:val="20"/>
                <w:lang w:val="en-US"/>
              </w:rPr>
            </w:pPr>
            <w:r w:rsidRPr="00E73EC8">
              <w:rPr>
                <w:bCs/>
                <w:iCs/>
                <w:sz w:val="20"/>
                <w:szCs w:val="20"/>
                <w:lang w:val="en-US"/>
              </w:rPr>
              <w:t>Year 2</w:t>
            </w:r>
          </w:p>
        </w:tc>
        <w:tc>
          <w:tcPr>
            <w:tcW w:w="1842" w:type="dxa"/>
          </w:tcPr>
          <w:p w14:paraId="09CBEBE2" w14:textId="77777777" w:rsidR="00C358BF" w:rsidRPr="00C358BF" w:rsidRDefault="00C358BF" w:rsidP="00C358BF">
            <w:pPr>
              <w:rPr>
                <w:rFonts w:cstheme="minorHAnsi"/>
                <w:sz w:val="20"/>
                <w:szCs w:val="20"/>
                <w:highlight w:val="yellow"/>
                <w:lang w:val="en-US"/>
              </w:rPr>
            </w:pPr>
            <w:r w:rsidRPr="00C358BF">
              <w:rPr>
                <w:rFonts w:cstheme="minorHAnsi"/>
                <w:sz w:val="20"/>
                <w:szCs w:val="20"/>
                <w:highlight w:val="yellow"/>
                <w:lang w:val="en-US"/>
              </w:rPr>
              <w:t>IOC Regional sub-commissions</w:t>
            </w:r>
          </w:p>
          <w:p w14:paraId="796755D4" w14:textId="77777777" w:rsidR="00C358BF" w:rsidRPr="00E73EC8" w:rsidRDefault="00C358BF" w:rsidP="00C358BF">
            <w:pPr>
              <w:rPr>
                <w:bCs/>
                <w:iCs/>
                <w:sz w:val="20"/>
                <w:szCs w:val="20"/>
                <w:lang w:val="en-US"/>
              </w:rPr>
            </w:pPr>
            <w:r w:rsidRPr="00C358BF">
              <w:rPr>
                <w:bCs/>
                <w:iCs/>
                <w:sz w:val="20"/>
                <w:szCs w:val="20"/>
                <w:highlight w:val="yellow"/>
                <w:lang w:val="en-US"/>
              </w:rPr>
              <w:t>All IOC programmes and initiatives</w:t>
            </w:r>
          </w:p>
          <w:p w14:paraId="24DB96B7" w14:textId="77777777" w:rsidR="00C358BF" w:rsidRPr="001150ED" w:rsidRDefault="00C358BF" w:rsidP="00C358BF">
            <w:pPr>
              <w:rPr>
                <w:sz w:val="20"/>
                <w:szCs w:val="20"/>
                <w:lang w:val="en-US"/>
              </w:rPr>
            </w:pPr>
            <w:r w:rsidRPr="001150ED">
              <w:rPr>
                <w:sz w:val="20"/>
                <w:szCs w:val="20"/>
                <w:highlight w:val="yellow"/>
                <w:lang w:val="en-US"/>
              </w:rPr>
              <w:t>Ocean Decade SOP Programme</w:t>
            </w:r>
          </w:p>
          <w:p w14:paraId="29E0E383" w14:textId="77777777" w:rsidR="00C358BF" w:rsidRDefault="00C358BF" w:rsidP="001B648B">
            <w:pPr>
              <w:rPr>
                <w:sz w:val="20"/>
                <w:szCs w:val="20"/>
                <w:lang w:val="en-US"/>
              </w:rPr>
            </w:pPr>
          </w:p>
          <w:p w14:paraId="794B12F3" w14:textId="7C1E1A38" w:rsidR="001B648B" w:rsidRPr="00E73EC8" w:rsidRDefault="001B648B" w:rsidP="001B648B">
            <w:pPr>
              <w:rPr>
                <w:sz w:val="20"/>
                <w:szCs w:val="20"/>
                <w:lang w:val="en-US"/>
              </w:rPr>
            </w:pPr>
            <w:r w:rsidRPr="00E73EC8">
              <w:rPr>
                <w:sz w:val="20"/>
                <w:szCs w:val="20"/>
                <w:lang w:val="en-US"/>
              </w:rPr>
              <w:t xml:space="preserve">Public or philanthropic donors </w:t>
            </w:r>
          </w:p>
          <w:p w14:paraId="5022FF58" w14:textId="77777777" w:rsidR="001B648B" w:rsidRPr="00E73EC8" w:rsidRDefault="001B648B" w:rsidP="001B648B">
            <w:pPr>
              <w:rPr>
                <w:bCs/>
                <w:iCs/>
                <w:sz w:val="20"/>
                <w:szCs w:val="20"/>
                <w:lang w:val="en-US"/>
              </w:rPr>
            </w:pPr>
            <w:r w:rsidRPr="00E73EC8">
              <w:rPr>
                <w:bCs/>
                <w:iCs/>
                <w:sz w:val="20"/>
                <w:szCs w:val="20"/>
                <w:lang w:val="en-US"/>
              </w:rPr>
              <w:t>Other UN Agencies</w:t>
            </w:r>
          </w:p>
          <w:p w14:paraId="69AAB19A" w14:textId="77777777" w:rsidR="001B648B" w:rsidRPr="00E73EC8" w:rsidRDefault="001B648B" w:rsidP="001B648B">
            <w:pPr>
              <w:rPr>
                <w:bCs/>
                <w:iCs/>
                <w:sz w:val="20"/>
                <w:szCs w:val="20"/>
                <w:lang w:val="en-US"/>
              </w:rPr>
            </w:pPr>
            <w:r w:rsidRPr="00E73EC8">
              <w:rPr>
                <w:bCs/>
                <w:iCs/>
                <w:sz w:val="20"/>
                <w:szCs w:val="20"/>
                <w:lang w:val="en-US"/>
              </w:rPr>
              <w:t>World Bank</w:t>
            </w:r>
          </w:p>
        </w:tc>
        <w:tc>
          <w:tcPr>
            <w:tcW w:w="1276" w:type="dxa"/>
          </w:tcPr>
          <w:p w14:paraId="552AFB52" w14:textId="77777777" w:rsidR="00BD2096" w:rsidRDefault="001B648B" w:rsidP="001B648B">
            <w:pPr>
              <w:rPr>
                <w:bCs/>
                <w:iCs/>
                <w:sz w:val="20"/>
                <w:szCs w:val="20"/>
                <w:lang w:val="en-US"/>
              </w:rPr>
            </w:pPr>
            <w:r>
              <w:rPr>
                <w:bCs/>
                <w:iCs/>
                <w:sz w:val="20"/>
                <w:szCs w:val="20"/>
                <w:lang w:val="en-US"/>
              </w:rPr>
              <w:t>Existing resources/</w:t>
            </w:r>
          </w:p>
          <w:p w14:paraId="546C4A98" w14:textId="5D4FB04A" w:rsidR="001B648B" w:rsidRPr="00E73EC8" w:rsidRDefault="001B648B" w:rsidP="001B648B">
            <w:pPr>
              <w:rPr>
                <w:bCs/>
                <w:iCs/>
                <w:sz w:val="20"/>
                <w:szCs w:val="20"/>
                <w:lang w:val="en-US"/>
              </w:rPr>
            </w:pPr>
            <w:r w:rsidRPr="00E73EC8">
              <w:rPr>
                <w:bCs/>
                <w:iCs/>
                <w:sz w:val="20"/>
                <w:szCs w:val="20"/>
                <w:lang w:val="en-US"/>
              </w:rPr>
              <w:t>New resources to be raised</w:t>
            </w:r>
            <w:r>
              <w:rPr>
                <w:bCs/>
                <w:iCs/>
                <w:sz w:val="20"/>
                <w:szCs w:val="20"/>
                <w:lang w:val="en-US"/>
              </w:rPr>
              <w:t xml:space="preserve"> for pilot implementation</w:t>
            </w:r>
          </w:p>
        </w:tc>
        <w:tc>
          <w:tcPr>
            <w:tcW w:w="1276" w:type="dxa"/>
          </w:tcPr>
          <w:p w14:paraId="59768767" w14:textId="77777777" w:rsidR="001B648B" w:rsidRPr="00E73EC8" w:rsidRDefault="001B648B" w:rsidP="001B648B">
            <w:pPr>
              <w:jc w:val="both"/>
              <w:rPr>
                <w:bCs/>
                <w:iCs/>
                <w:sz w:val="20"/>
                <w:szCs w:val="20"/>
                <w:lang w:val="en-US"/>
              </w:rPr>
            </w:pPr>
            <w:r w:rsidRPr="00E73EC8">
              <w:rPr>
                <w:bCs/>
                <w:iCs/>
                <w:sz w:val="20"/>
                <w:szCs w:val="20"/>
                <w:lang w:val="en-US"/>
              </w:rPr>
              <w:t>2</w:t>
            </w:r>
          </w:p>
        </w:tc>
      </w:tr>
    </w:tbl>
    <w:p w14:paraId="21C88450" w14:textId="77777777" w:rsidR="00F16AA2" w:rsidRDefault="00F16AA2" w:rsidP="00F16AA2">
      <w:pPr>
        <w:jc w:val="both"/>
        <w:rPr>
          <w:bCs/>
          <w:iCs/>
          <w:sz w:val="21"/>
          <w:szCs w:val="21"/>
          <w:lang w:val="en-US"/>
        </w:rPr>
      </w:pPr>
    </w:p>
    <w:p w14:paraId="2488AEA8" w14:textId="77777777" w:rsidR="00F16AA2" w:rsidRDefault="00F16AA2" w:rsidP="00F16AA2">
      <w:pPr>
        <w:jc w:val="both"/>
        <w:rPr>
          <w:lang w:val="en-US"/>
        </w:rPr>
      </w:pPr>
    </w:p>
    <w:p w14:paraId="2EC846C2" w14:textId="5E3D885E" w:rsidR="2026F5BE" w:rsidRDefault="2026F5BE"/>
    <w:sectPr w:rsidR="2026F5BE" w:rsidSect="00DD0EBF">
      <w:footerReference w:type="even"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06098" w14:textId="77777777" w:rsidR="00CA186A" w:rsidRDefault="00CA186A" w:rsidP="00BD6D6A">
      <w:r>
        <w:separator/>
      </w:r>
    </w:p>
  </w:endnote>
  <w:endnote w:type="continuationSeparator" w:id="0">
    <w:p w14:paraId="53CF4429" w14:textId="77777777" w:rsidR="00CA186A" w:rsidRDefault="00CA186A" w:rsidP="00BD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5543844"/>
      <w:docPartObj>
        <w:docPartGallery w:val="Page Numbers (Bottom of Page)"/>
        <w:docPartUnique/>
      </w:docPartObj>
    </w:sdtPr>
    <w:sdtContent>
      <w:p w14:paraId="5859BA67" w14:textId="0E3C9382" w:rsidR="006F3009" w:rsidRDefault="006F3009" w:rsidP="004877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C8906E" w14:textId="77777777" w:rsidR="006F3009" w:rsidRDefault="006F3009" w:rsidP="006F30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1609611"/>
      <w:docPartObj>
        <w:docPartGallery w:val="Page Numbers (Bottom of Page)"/>
        <w:docPartUnique/>
      </w:docPartObj>
    </w:sdtPr>
    <w:sdtContent>
      <w:p w14:paraId="53FCCC77" w14:textId="5B0AE137" w:rsidR="006F3009" w:rsidRDefault="006F3009" w:rsidP="004877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F11698" w14:textId="77777777" w:rsidR="006F3009" w:rsidRDefault="006F3009" w:rsidP="006F30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C9461" w14:textId="77777777" w:rsidR="00CA186A" w:rsidRDefault="00CA186A" w:rsidP="00BD6D6A">
      <w:r>
        <w:separator/>
      </w:r>
    </w:p>
  </w:footnote>
  <w:footnote w:type="continuationSeparator" w:id="0">
    <w:p w14:paraId="0DACE51F" w14:textId="77777777" w:rsidR="00CA186A" w:rsidRDefault="00CA186A" w:rsidP="00BD6D6A">
      <w:r>
        <w:continuationSeparator/>
      </w:r>
    </w:p>
  </w:footnote>
  <w:footnote w:id="1">
    <w:p w14:paraId="37B2DA84" w14:textId="77777777" w:rsidR="00BD6D6A" w:rsidRPr="00537B8E" w:rsidRDefault="00BD6D6A" w:rsidP="00BD6D6A">
      <w:pPr>
        <w:pStyle w:val="FootnoteText"/>
        <w:rPr>
          <w:lang w:val="en-US"/>
        </w:rPr>
      </w:pPr>
      <w:r>
        <w:rPr>
          <w:rStyle w:val="FootnoteReference"/>
        </w:rPr>
        <w:footnoteRef/>
      </w:r>
      <w:r w:rsidRPr="00537B8E">
        <w:rPr>
          <w:lang w:val="en-US"/>
        </w:rPr>
        <w:t xml:space="preserve"> The 2,5year timeframe is chosen for consisten</w:t>
      </w:r>
      <w:r>
        <w:rPr>
          <w:lang w:val="en-US"/>
        </w:rPr>
        <w:t>cy with IOC’s biennial budget cycles.</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95537"/>
    <w:multiLevelType w:val="hybridMultilevel"/>
    <w:tmpl w:val="EA348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E78FC"/>
    <w:multiLevelType w:val="hybridMultilevel"/>
    <w:tmpl w:val="EA3489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E6A9D9"/>
    <w:multiLevelType w:val="hybridMultilevel"/>
    <w:tmpl w:val="0BEA52BC"/>
    <w:lvl w:ilvl="0" w:tplc="82A2274E">
      <w:start w:val="1"/>
      <w:numFmt w:val="bullet"/>
      <w:lvlText w:val="-"/>
      <w:lvlJc w:val="left"/>
      <w:pPr>
        <w:ind w:left="720" w:hanging="360"/>
      </w:pPr>
      <w:rPr>
        <w:rFonts w:ascii="Aptos" w:hAnsi="Aptos" w:hint="default"/>
      </w:rPr>
    </w:lvl>
    <w:lvl w:ilvl="1" w:tplc="1ECCD660">
      <w:start w:val="1"/>
      <w:numFmt w:val="bullet"/>
      <w:lvlText w:val="o"/>
      <w:lvlJc w:val="left"/>
      <w:pPr>
        <w:ind w:left="1440" w:hanging="360"/>
      </w:pPr>
      <w:rPr>
        <w:rFonts w:ascii="Courier New" w:hAnsi="Courier New" w:hint="default"/>
      </w:rPr>
    </w:lvl>
    <w:lvl w:ilvl="2" w:tplc="D4320174">
      <w:start w:val="1"/>
      <w:numFmt w:val="bullet"/>
      <w:lvlText w:val=""/>
      <w:lvlJc w:val="left"/>
      <w:pPr>
        <w:ind w:left="2160" w:hanging="360"/>
      </w:pPr>
      <w:rPr>
        <w:rFonts w:ascii="Wingdings" w:hAnsi="Wingdings" w:hint="default"/>
      </w:rPr>
    </w:lvl>
    <w:lvl w:ilvl="3" w:tplc="359C279C">
      <w:start w:val="1"/>
      <w:numFmt w:val="bullet"/>
      <w:lvlText w:val=""/>
      <w:lvlJc w:val="left"/>
      <w:pPr>
        <w:ind w:left="2880" w:hanging="360"/>
      </w:pPr>
      <w:rPr>
        <w:rFonts w:ascii="Symbol" w:hAnsi="Symbol" w:hint="default"/>
      </w:rPr>
    </w:lvl>
    <w:lvl w:ilvl="4" w:tplc="0BEA8300">
      <w:start w:val="1"/>
      <w:numFmt w:val="bullet"/>
      <w:lvlText w:val="o"/>
      <w:lvlJc w:val="left"/>
      <w:pPr>
        <w:ind w:left="3600" w:hanging="360"/>
      </w:pPr>
      <w:rPr>
        <w:rFonts w:ascii="Courier New" w:hAnsi="Courier New" w:hint="default"/>
      </w:rPr>
    </w:lvl>
    <w:lvl w:ilvl="5" w:tplc="2BD86466">
      <w:start w:val="1"/>
      <w:numFmt w:val="bullet"/>
      <w:lvlText w:val=""/>
      <w:lvlJc w:val="left"/>
      <w:pPr>
        <w:ind w:left="4320" w:hanging="360"/>
      </w:pPr>
      <w:rPr>
        <w:rFonts w:ascii="Wingdings" w:hAnsi="Wingdings" w:hint="default"/>
      </w:rPr>
    </w:lvl>
    <w:lvl w:ilvl="6" w:tplc="3764418C">
      <w:start w:val="1"/>
      <w:numFmt w:val="bullet"/>
      <w:lvlText w:val=""/>
      <w:lvlJc w:val="left"/>
      <w:pPr>
        <w:ind w:left="5040" w:hanging="360"/>
      </w:pPr>
      <w:rPr>
        <w:rFonts w:ascii="Symbol" w:hAnsi="Symbol" w:hint="default"/>
      </w:rPr>
    </w:lvl>
    <w:lvl w:ilvl="7" w:tplc="2572D5F8">
      <w:start w:val="1"/>
      <w:numFmt w:val="bullet"/>
      <w:lvlText w:val="o"/>
      <w:lvlJc w:val="left"/>
      <w:pPr>
        <w:ind w:left="5760" w:hanging="360"/>
      </w:pPr>
      <w:rPr>
        <w:rFonts w:ascii="Courier New" w:hAnsi="Courier New" w:hint="default"/>
      </w:rPr>
    </w:lvl>
    <w:lvl w:ilvl="8" w:tplc="3B882880">
      <w:start w:val="1"/>
      <w:numFmt w:val="bullet"/>
      <w:lvlText w:val=""/>
      <w:lvlJc w:val="left"/>
      <w:pPr>
        <w:ind w:left="6480" w:hanging="360"/>
      </w:pPr>
      <w:rPr>
        <w:rFonts w:ascii="Wingdings" w:hAnsi="Wingdings" w:hint="default"/>
      </w:rPr>
    </w:lvl>
  </w:abstractNum>
  <w:abstractNum w:abstractNumId="3" w15:restartNumberingAfterBreak="0">
    <w:nsid w:val="374750E8"/>
    <w:multiLevelType w:val="hybridMultilevel"/>
    <w:tmpl w:val="323CAE62"/>
    <w:lvl w:ilvl="0" w:tplc="B17439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0414FD"/>
    <w:multiLevelType w:val="hybridMultilevel"/>
    <w:tmpl w:val="30FC9E0E"/>
    <w:lvl w:ilvl="0" w:tplc="FCACD774">
      <w:start w:val="1"/>
      <w:numFmt w:val="bullet"/>
      <w:lvlText w:val="-"/>
      <w:lvlJc w:val="left"/>
      <w:pPr>
        <w:ind w:left="720" w:hanging="360"/>
      </w:pPr>
      <w:rPr>
        <w:rFonts w:ascii="Aptos" w:hAnsi="Aptos" w:hint="default"/>
      </w:rPr>
    </w:lvl>
    <w:lvl w:ilvl="1" w:tplc="2E7CB464">
      <w:start w:val="1"/>
      <w:numFmt w:val="bullet"/>
      <w:lvlText w:val="o"/>
      <w:lvlJc w:val="left"/>
      <w:pPr>
        <w:ind w:left="1440" w:hanging="360"/>
      </w:pPr>
      <w:rPr>
        <w:rFonts w:ascii="Courier New" w:hAnsi="Courier New" w:hint="default"/>
      </w:rPr>
    </w:lvl>
    <w:lvl w:ilvl="2" w:tplc="ED7092B4">
      <w:start w:val="1"/>
      <w:numFmt w:val="bullet"/>
      <w:lvlText w:val=""/>
      <w:lvlJc w:val="left"/>
      <w:pPr>
        <w:ind w:left="2160" w:hanging="360"/>
      </w:pPr>
      <w:rPr>
        <w:rFonts w:ascii="Wingdings" w:hAnsi="Wingdings" w:hint="default"/>
      </w:rPr>
    </w:lvl>
    <w:lvl w:ilvl="3" w:tplc="77DC9908">
      <w:start w:val="1"/>
      <w:numFmt w:val="bullet"/>
      <w:lvlText w:val=""/>
      <w:lvlJc w:val="left"/>
      <w:pPr>
        <w:ind w:left="2880" w:hanging="360"/>
      </w:pPr>
      <w:rPr>
        <w:rFonts w:ascii="Symbol" w:hAnsi="Symbol" w:hint="default"/>
      </w:rPr>
    </w:lvl>
    <w:lvl w:ilvl="4" w:tplc="43FEBDC4">
      <w:start w:val="1"/>
      <w:numFmt w:val="bullet"/>
      <w:lvlText w:val="o"/>
      <w:lvlJc w:val="left"/>
      <w:pPr>
        <w:ind w:left="3600" w:hanging="360"/>
      </w:pPr>
      <w:rPr>
        <w:rFonts w:ascii="Courier New" w:hAnsi="Courier New" w:hint="default"/>
      </w:rPr>
    </w:lvl>
    <w:lvl w:ilvl="5" w:tplc="97EA6E78">
      <w:start w:val="1"/>
      <w:numFmt w:val="bullet"/>
      <w:lvlText w:val=""/>
      <w:lvlJc w:val="left"/>
      <w:pPr>
        <w:ind w:left="4320" w:hanging="360"/>
      </w:pPr>
      <w:rPr>
        <w:rFonts w:ascii="Wingdings" w:hAnsi="Wingdings" w:hint="default"/>
      </w:rPr>
    </w:lvl>
    <w:lvl w:ilvl="6" w:tplc="85F69D2A">
      <w:start w:val="1"/>
      <w:numFmt w:val="bullet"/>
      <w:lvlText w:val=""/>
      <w:lvlJc w:val="left"/>
      <w:pPr>
        <w:ind w:left="5040" w:hanging="360"/>
      </w:pPr>
      <w:rPr>
        <w:rFonts w:ascii="Symbol" w:hAnsi="Symbol" w:hint="default"/>
      </w:rPr>
    </w:lvl>
    <w:lvl w:ilvl="7" w:tplc="C232AF6E">
      <w:start w:val="1"/>
      <w:numFmt w:val="bullet"/>
      <w:lvlText w:val="o"/>
      <w:lvlJc w:val="left"/>
      <w:pPr>
        <w:ind w:left="5760" w:hanging="360"/>
      </w:pPr>
      <w:rPr>
        <w:rFonts w:ascii="Courier New" w:hAnsi="Courier New" w:hint="default"/>
      </w:rPr>
    </w:lvl>
    <w:lvl w:ilvl="8" w:tplc="9336E2B0">
      <w:start w:val="1"/>
      <w:numFmt w:val="bullet"/>
      <w:lvlText w:val=""/>
      <w:lvlJc w:val="left"/>
      <w:pPr>
        <w:ind w:left="6480" w:hanging="360"/>
      </w:pPr>
      <w:rPr>
        <w:rFonts w:ascii="Wingdings" w:hAnsi="Wingdings" w:hint="default"/>
      </w:rPr>
    </w:lvl>
  </w:abstractNum>
  <w:abstractNum w:abstractNumId="5" w15:restartNumberingAfterBreak="0">
    <w:nsid w:val="39561286"/>
    <w:multiLevelType w:val="hybridMultilevel"/>
    <w:tmpl w:val="2EEA2AE4"/>
    <w:lvl w:ilvl="0" w:tplc="BF40A4D0">
      <w:start w:val="1"/>
      <w:numFmt w:val="bullet"/>
      <w:lvlText w:val="-"/>
      <w:lvlJc w:val="left"/>
      <w:pPr>
        <w:ind w:left="720" w:hanging="360"/>
      </w:pPr>
      <w:rPr>
        <w:rFonts w:ascii="Aptos" w:hAnsi="Aptos" w:hint="default"/>
      </w:rPr>
    </w:lvl>
    <w:lvl w:ilvl="1" w:tplc="5652EFDA">
      <w:start w:val="1"/>
      <w:numFmt w:val="bullet"/>
      <w:lvlText w:val="o"/>
      <w:lvlJc w:val="left"/>
      <w:pPr>
        <w:ind w:left="1440" w:hanging="360"/>
      </w:pPr>
      <w:rPr>
        <w:rFonts w:ascii="Courier New" w:hAnsi="Courier New" w:hint="default"/>
      </w:rPr>
    </w:lvl>
    <w:lvl w:ilvl="2" w:tplc="1244FB12">
      <w:start w:val="1"/>
      <w:numFmt w:val="bullet"/>
      <w:lvlText w:val=""/>
      <w:lvlJc w:val="left"/>
      <w:pPr>
        <w:ind w:left="2160" w:hanging="360"/>
      </w:pPr>
      <w:rPr>
        <w:rFonts w:ascii="Wingdings" w:hAnsi="Wingdings" w:hint="default"/>
      </w:rPr>
    </w:lvl>
    <w:lvl w:ilvl="3" w:tplc="933011B8">
      <w:start w:val="1"/>
      <w:numFmt w:val="bullet"/>
      <w:lvlText w:val=""/>
      <w:lvlJc w:val="left"/>
      <w:pPr>
        <w:ind w:left="2880" w:hanging="360"/>
      </w:pPr>
      <w:rPr>
        <w:rFonts w:ascii="Symbol" w:hAnsi="Symbol" w:hint="default"/>
      </w:rPr>
    </w:lvl>
    <w:lvl w:ilvl="4" w:tplc="362CAC16">
      <w:start w:val="1"/>
      <w:numFmt w:val="bullet"/>
      <w:lvlText w:val="o"/>
      <w:lvlJc w:val="left"/>
      <w:pPr>
        <w:ind w:left="3600" w:hanging="360"/>
      </w:pPr>
      <w:rPr>
        <w:rFonts w:ascii="Courier New" w:hAnsi="Courier New" w:hint="default"/>
      </w:rPr>
    </w:lvl>
    <w:lvl w:ilvl="5" w:tplc="426A5D32">
      <w:start w:val="1"/>
      <w:numFmt w:val="bullet"/>
      <w:lvlText w:val=""/>
      <w:lvlJc w:val="left"/>
      <w:pPr>
        <w:ind w:left="4320" w:hanging="360"/>
      </w:pPr>
      <w:rPr>
        <w:rFonts w:ascii="Wingdings" w:hAnsi="Wingdings" w:hint="default"/>
      </w:rPr>
    </w:lvl>
    <w:lvl w:ilvl="6" w:tplc="C884E6B4">
      <w:start w:val="1"/>
      <w:numFmt w:val="bullet"/>
      <w:lvlText w:val=""/>
      <w:lvlJc w:val="left"/>
      <w:pPr>
        <w:ind w:left="5040" w:hanging="360"/>
      </w:pPr>
      <w:rPr>
        <w:rFonts w:ascii="Symbol" w:hAnsi="Symbol" w:hint="default"/>
      </w:rPr>
    </w:lvl>
    <w:lvl w:ilvl="7" w:tplc="09F20E2A">
      <w:start w:val="1"/>
      <w:numFmt w:val="bullet"/>
      <w:lvlText w:val="o"/>
      <w:lvlJc w:val="left"/>
      <w:pPr>
        <w:ind w:left="5760" w:hanging="360"/>
      </w:pPr>
      <w:rPr>
        <w:rFonts w:ascii="Courier New" w:hAnsi="Courier New" w:hint="default"/>
      </w:rPr>
    </w:lvl>
    <w:lvl w:ilvl="8" w:tplc="C6B46962">
      <w:start w:val="1"/>
      <w:numFmt w:val="bullet"/>
      <w:lvlText w:val=""/>
      <w:lvlJc w:val="left"/>
      <w:pPr>
        <w:ind w:left="6480" w:hanging="360"/>
      </w:pPr>
      <w:rPr>
        <w:rFonts w:ascii="Wingdings" w:hAnsi="Wingdings" w:hint="default"/>
      </w:rPr>
    </w:lvl>
  </w:abstractNum>
  <w:abstractNum w:abstractNumId="6" w15:restartNumberingAfterBreak="0">
    <w:nsid w:val="4B860759"/>
    <w:multiLevelType w:val="hybridMultilevel"/>
    <w:tmpl w:val="8EBE777A"/>
    <w:lvl w:ilvl="0" w:tplc="00646094">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FF663A"/>
    <w:multiLevelType w:val="hybridMultilevel"/>
    <w:tmpl w:val="CF44E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DA7A4E"/>
    <w:multiLevelType w:val="hybridMultilevel"/>
    <w:tmpl w:val="7384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5D22ED"/>
    <w:multiLevelType w:val="hybridMultilevel"/>
    <w:tmpl w:val="6972D44A"/>
    <w:lvl w:ilvl="0" w:tplc="705CD55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666193">
    <w:abstractNumId w:val="5"/>
  </w:num>
  <w:num w:numId="2" w16cid:durableId="1473718727">
    <w:abstractNumId w:val="4"/>
  </w:num>
  <w:num w:numId="3" w16cid:durableId="400906393">
    <w:abstractNumId w:val="2"/>
  </w:num>
  <w:num w:numId="4" w16cid:durableId="488905261">
    <w:abstractNumId w:val="8"/>
  </w:num>
  <w:num w:numId="5" w16cid:durableId="1264069804">
    <w:abstractNumId w:val="7"/>
  </w:num>
  <w:num w:numId="6" w16cid:durableId="26563472">
    <w:abstractNumId w:val="6"/>
  </w:num>
  <w:num w:numId="7" w16cid:durableId="171185580">
    <w:abstractNumId w:val="0"/>
  </w:num>
  <w:num w:numId="8" w16cid:durableId="205992755">
    <w:abstractNumId w:val="3"/>
  </w:num>
  <w:num w:numId="9" w16cid:durableId="682827695">
    <w:abstractNumId w:val="1"/>
  </w:num>
  <w:num w:numId="10" w16cid:durableId="5838772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hideSpellingErrors/>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CBD"/>
    <w:rsid w:val="0001458F"/>
    <w:rsid w:val="00032E83"/>
    <w:rsid w:val="00034D88"/>
    <w:rsid w:val="000602E1"/>
    <w:rsid w:val="000753B6"/>
    <w:rsid w:val="000765F7"/>
    <w:rsid w:val="000838FB"/>
    <w:rsid w:val="000927DF"/>
    <w:rsid w:val="000A53C0"/>
    <w:rsid w:val="000B056D"/>
    <w:rsid w:val="001150ED"/>
    <w:rsid w:val="0015571F"/>
    <w:rsid w:val="00172111"/>
    <w:rsid w:val="001B3D91"/>
    <w:rsid w:val="001B648B"/>
    <w:rsid w:val="001C6A9A"/>
    <w:rsid w:val="001F10E7"/>
    <w:rsid w:val="00201C72"/>
    <w:rsid w:val="00252197"/>
    <w:rsid w:val="00257037"/>
    <w:rsid w:val="002649B4"/>
    <w:rsid w:val="002D3A30"/>
    <w:rsid w:val="002E5E8F"/>
    <w:rsid w:val="002F375C"/>
    <w:rsid w:val="00347308"/>
    <w:rsid w:val="0035385C"/>
    <w:rsid w:val="003544CA"/>
    <w:rsid w:val="003931F2"/>
    <w:rsid w:val="003A52A6"/>
    <w:rsid w:val="003B0DD9"/>
    <w:rsid w:val="003B5FC7"/>
    <w:rsid w:val="003D615B"/>
    <w:rsid w:val="00402627"/>
    <w:rsid w:val="0041522E"/>
    <w:rsid w:val="0042611A"/>
    <w:rsid w:val="004314BD"/>
    <w:rsid w:val="00433724"/>
    <w:rsid w:val="00473F70"/>
    <w:rsid w:val="004F1A9F"/>
    <w:rsid w:val="00520859"/>
    <w:rsid w:val="00532341"/>
    <w:rsid w:val="00534E07"/>
    <w:rsid w:val="005351B1"/>
    <w:rsid w:val="005510A0"/>
    <w:rsid w:val="00553F4D"/>
    <w:rsid w:val="00571337"/>
    <w:rsid w:val="00593ACA"/>
    <w:rsid w:val="00593D04"/>
    <w:rsid w:val="005C7241"/>
    <w:rsid w:val="005D6F76"/>
    <w:rsid w:val="005D7B40"/>
    <w:rsid w:val="005E2BBE"/>
    <w:rsid w:val="005F4301"/>
    <w:rsid w:val="006100B4"/>
    <w:rsid w:val="00611B5C"/>
    <w:rsid w:val="00622A9D"/>
    <w:rsid w:val="006414A2"/>
    <w:rsid w:val="00643FA9"/>
    <w:rsid w:val="006513F4"/>
    <w:rsid w:val="006713A6"/>
    <w:rsid w:val="006A78A2"/>
    <w:rsid w:val="006C3233"/>
    <w:rsid w:val="006D4BA4"/>
    <w:rsid w:val="006F3009"/>
    <w:rsid w:val="007178E6"/>
    <w:rsid w:val="00740DC1"/>
    <w:rsid w:val="00744CB1"/>
    <w:rsid w:val="0074654D"/>
    <w:rsid w:val="00765B59"/>
    <w:rsid w:val="007D49B8"/>
    <w:rsid w:val="007E2480"/>
    <w:rsid w:val="007F0095"/>
    <w:rsid w:val="008014AC"/>
    <w:rsid w:val="00803584"/>
    <w:rsid w:val="00833DA8"/>
    <w:rsid w:val="008404E4"/>
    <w:rsid w:val="00871AC8"/>
    <w:rsid w:val="00874F6A"/>
    <w:rsid w:val="008B2099"/>
    <w:rsid w:val="008C2FA4"/>
    <w:rsid w:val="008F4CDB"/>
    <w:rsid w:val="00935988"/>
    <w:rsid w:val="009566BB"/>
    <w:rsid w:val="009638AD"/>
    <w:rsid w:val="00982F33"/>
    <w:rsid w:val="00995E4C"/>
    <w:rsid w:val="00A00415"/>
    <w:rsid w:val="00A11C82"/>
    <w:rsid w:val="00A472A8"/>
    <w:rsid w:val="00A47607"/>
    <w:rsid w:val="00A6169B"/>
    <w:rsid w:val="00A678E8"/>
    <w:rsid w:val="00A7018C"/>
    <w:rsid w:val="00AA63D1"/>
    <w:rsid w:val="00AA68D7"/>
    <w:rsid w:val="00AB26AC"/>
    <w:rsid w:val="00AC1C80"/>
    <w:rsid w:val="00B33CBD"/>
    <w:rsid w:val="00B5250B"/>
    <w:rsid w:val="00B61233"/>
    <w:rsid w:val="00B7314F"/>
    <w:rsid w:val="00B82AC5"/>
    <w:rsid w:val="00B9389C"/>
    <w:rsid w:val="00B975B3"/>
    <w:rsid w:val="00BA5C67"/>
    <w:rsid w:val="00BA7EB3"/>
    <w:rsid w:val="00BD2096"/>
    <w:rsid w:val="00BD2B0F"/>
    <w:rsid w:val="00BD357C"/>
    <w:rsid w:val="00BD51BB"/>
    <w:rsid w:val="00BD6D6A"/>
    <w:rsid w:val="00C0217A"/>
    <w:rsid w:val="00C30C18"/>
    <w:rsid w:val="00C311C3"/>
    <w:rsid w:val="00C358BF"/>
    <w:rsid w:val="00C55DCF"/>
    <w:rsid w:val="00C656A3"/>
    <w:rsid w:val="00C80EF9"/>
    <w:rsid w:val="00C9712E"/>
    <w:rsid w:val="00CA186A"/>
    <w:rsid w:val="00CA1B79"/>
    <w:rsid w:val="00CB4667"/>
    <w:rsid w:val="00CF115B"/>
    <w:rsid w:val="00CF127D"/>
    <w:rsid w:val="00D04E18"/>
    <w:rsid w:val="00D31E3E"/>
    <w:rsid w:val="00D654DA"/>
    <w:rsid w:val="00D7511F"/>
    <w:rsid w:val="00D85AEB"/>
    <w:rsid w:val="00D93174"/>
    <w:rsid w:val="00D96204"/>
    <w:rsid w:val="00DA5268"/>
    <w:rsid w:val="00DB38A3"/>
    <w:rsid w:val="00DB4245"/>
    <w:rsid w:val="00DB5629"/>
    <w:rsid w:val="00DB6513"/>
    <w:rsid w:val="00DC1EA9"/>
    <w:rsid w:val="00DD0EBF"/>
    <w:rsid w:val="00E24BDC"/>
    <w:rsid w:val="00E5615E"/>
    <w:rsid w:val="00E64AD0"/>
    <w:rsid w:val="00E73EC8"/>
    <w:rsid w:val="00E84FFB"/>
    <w:rsid w:val="00E94EF3"/>
    <w:rsid w:val="00EE2B78"/>
    <w:rsid w:val="00F13872"/>
    <w:rsid w:val="00F16AA2"/>
    <w:rsid w:val="00F31A98"/>
    <w:rsid w:val="00F32711"/>
    <w:rsid w:val="00F75562"/>
    <w:rsid w:val="00F81452"/>
    <w:rsid w:val="00FC5E59"/>
    <w:rsid w:val="00FE4A86"/>
    <w:rsid w:val="00FE5192"/>
    <w:rsid w:val="01C9CDFB"/>
    <w:rsid w:val="01FBB4C2"/>
    <w:rsid w:val="02F738B9"/>
    <w:rsid w:val="05209B9C"/>
    <w:rsid w:val="05557C22"/>
    <w:rsid w:val="0596D09F"/>
    <w:rsid w:val="063B593B"/>
    <w:rsid w:val="06741F4E"/>
    <w:rsid w:val="06B41446"/>
    <w:rsid w:val="079F3993"/>
    <w:rsid w:val="07E556D6"/>
    <w:rsid w:val="0A1F26FD"/>
    <w:rsid w:val="0AC41394"/>
    <w:rsid w:val="0D4D5CFF"/>
    <w:rsid w:val="0DE84695"/>
    <w:rsid w:val="0E77D3E0"/>
    <w:rsid w:val="0E8980DC"/>
    <w:rsid w:val="0F1E2442"/>
    <w:rsid w:val="0FDF2D2A"/>
    <w:rsid w:val="122ADCD1"/>
    <w:rsid w:val="132BCEEC"/>
    <w:rsid w:val="137B9CA2"/>
    <w:rsid w:val="152D938A"/>
    <w:rsid w:val="154868E8"/>
    <w:rsid w:val="15F279BC"/>
    <w:rsid w:val="16CAC168"/>
    <w:rsid w:val="16DD7CE9"/>
    <w:rsid w:val="19F7D6A1"/>
    <w:rsid w:val="1A804F1B"/>
    <w:rsid w:val="1B192BEA"/>
    <w:rsid w:val="1C213C39"/>
    <w:rsid w:val="1D994E83"/>
    <w:rsid w:val="1E9F4638"/>
    <w:rsid w:val="1F97DEFB"/>
    <w:rsid w:val="2026F5BE"/>
    <w:rsid w:val="202A2558"/>
    <w:rsid w:val="20D86312"/>
    <w:rsid w:val="219355C6"/>
    <w:rsid w:val="21B22CE3"/>
    <w:rsid w:val="2349EC7D"/>
    <w:rsid w:val="243B50D5"/>
    <w:rsid w:val="254CE131"/>
    <w:rsid w:val="25963726"/>
    <w:rsid w:val="26E80FE9"/>
    <w:rsid w:val="29421C96"/>
    <w:rsid w:val="298644D9"/>
    <w:rsid w:val="2A111F84"/>
    <w:rsid w:val="2A61A582"/>
    <w:rsid w:val="2A66FEC3"/>
    <w:rsid w:val="2AA72B38"/>
    <w:rsid w:val="2B1305B3"/>
    <w:rsid w:val="2BA1D68C"/>
    <w:rsid w:val="2E1AD4ED"/>
    <w:rsid w:val="2EBF5B64"/>
    <w:rsid w:val="2F44889D"/>
    <w:rsid w:val="30A12389"/>
    <w:rsid w:val="316888F3"/>
    <w:rsid w:val="34DB3D91"/>
    <w:rsid w:val="352DA039"/>
    <w:rsid w:val="35A9AB9D"/>
    <w:rsid w:val="364BCAF9"/>
    <w:rsid w:val="3791AA76"/>
    <w:rsid w:val="3885172D"/>
    <w:rsid w:val="388EAC37"/>
    <w:rsid w:val="394F9144"/>
    <w:rsid w:val="39660535"/>
    <w:rsid w:val="3B288DFB"/>
    <w:rsid w:val="3B4D1EEC"/>
    <w:rsid w:val="3C756C52"/>
    <w:rsid w:val="3CB1DA39"/>
    <w:rsid w:val="3DC75E1B"/>
    <w:rsid w:val="3E154351"/>
    <w:rsid w:val="3E252102"/>
    <w:rsid w:val="3E2FBF98"/>
    <w:rsid w:val="3E4CD4B6"/>
    <w:rsid w:val="3F24A4AB"/>
    <w:rsid w:val="3FA01C3F"/>
    <w:rsid w:val="3FFBBD08"/>
    <w:rsid w:val="40A0C63A"/>
    <w:rsid w:val="41189A25"/>
    <w:rsid w:val="42C24E3E"/>
    <w:rsid w:val="42F1A17A"/>
    <w:rsid w:val="4376E858"/>
    <w:rsid w:val="43C96617"/>
    <w:rsid w:val="485BBD01"/>
    <w:rsid w:val="48EC4F5B"/>
    <w:rsid w:val="4A0E499B"/>
    <w:rsid w:val="4AAFBF63"/>
    <w:rsid w:val="4C0EA984"/>
    <w:rsid w:val="4C93DFDF"/>
    <w:rsid w:val="4D981E2E"/>
    <w:rsid w:val="4F460D89"/>
    <w:rsid w:val="515F4F59"/>
    <w:rsid w:val="520F2170"/>
    <w:rsid w:val="523A4E58"/>
    <w:rsid w:val="535C8239"/>
    <w:rsid w:val="541CC31D"/>
    <w:rsid w:val="552765F5"/>
    <w:rsid w:val="59AB6BD9"/>
    <w:rsid w:val="59FF7736"/>
    <w:rsid w:val="5BE20603"/>
    <w:rsid w:val="5C871CFB"/>
    <w:rsid w:val="5D08F22D"/>
    <w:rsid w:val="5DB8FC7D"/>
    <w:rsid w:val="5ECFB517"/>
    <w:rsid w:val="616ABCFC"/>
    <w:rsid w:val="63BDAE15"/>
    <w:rsid w:val="661798B4"/>
    <w:rsid w:val="66E2B81F"/>
    <w:rsid w:val="67037DE5"/>
    <w:rsid w:val="67280976"/>
    <w:rsid w:val="6763179E"/>
    <w:rsid w:val="6783BBAF"/>
    <w:rsid w:val="6AEEB1FC"/>
    <w:rsid w:val="6AFC13A8"/>
    <w:rsid w:val="6C7892E6"/>
    <w:rsid w:val="6CA2011A"/>
    <w:rsid w:val="6CD47E57"/>
    <w:rsid w:val="6D62BD41"/>
    <w:rsid w:val="6DD45BB1"/>
    <w:rsid w:val="6E75249C"/>
    <w:rsid w:val="70661046"/>
    <w:rsid w:val="71C9EEED"/>
    <w:rsid w:val="72BAF6D5"/>
    <w:rsid w:val="730F5AF0"/>
    <w:rsid w:val="733B10D9"/>
    <w:rsid w:val="7389039A"/>
    <w:rsid w:val="73CDD39A"/>
    <w:rsid w:val="743B4657"/>
    <w:rsid w:val="761E6D7C"/>
    <w:rsid w:val="7640BDC4"/>
    <w:rsid w:val="76493851"/>
    <w:rsid w:val="7713E3E3"/>
    <w:rsid w:val="77C1EBB2"/>
    <w:rsid w:val="794A6763"/>
    <w:rsid w:val="79D5DF1B"/>
    <w:rsid w:val="7A287E7D"/>
    <w:rsid w:val="7B44ECDF"/>
    <w:rsid w:val="7B55E8D0"/>
    <w:rsid w:val="7BB6C768"/>
    <w:rsid w:val="7CA41240"/>
    <w:rsid w:val="7CB65E83"/>
    <w:rsid w:val="7D74A73A"/>
    <w:rsid w:val="7DDF79BF"/>
    <w:rsid w:val="7EBDECA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EBA33"/>
  <w15:chartTrackingRefBased/>
  <w15:docId w15:val="{585B201E-9836-2E44-BBD6-F97EFC6A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solistparagraph">
    <w:name w:val="gmail-msolistparagraph"/>
    <w:basedOn w:val="Normal"/>
    <w:rsid w:val="00B33CB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33CBD"/>
  </w:style>
  <w:style w:type="paragraph" w:styleId="FootnoteText">
    <w:name w:val="footnote text"/>
    <w:basedOn w:val="Normal"/>
    <w:link w:val="FootnoteTextChar"/>
    <w:uiPriority w:val="99"/>
    <w:semiHidden/>
    <w:unhideWhenUsed/>
    <w:rsid w:val="00BD6D6A"/>
    <w:rPr>
      <w:sz w:val="20"/>
      <w:szCs w:val="20"/>
    </w:rPr>
  </w:style>
  <w:style w:type="character" w:customStyle="1" w:styleId="FootnoteTextChar">
    <w:name w:val="Footnote Text Char"/>
    <w:basedOn w:val="DefaultParagraphFont"/>
    <w:link w:val="FootnoteText"/>
    <w:uiPriority w:val="99"/>
    <w:semiHidden/>
    <w:rsid w:val="00BD6D6A"/>
    <w:rPr>
      <w:sz w:val="20"/>
      <w:szCs w:val="20"/>
    </w:rPr>
  </w:style>
  <w:style w:type="character" w:styleId="FootnoteReference">
    <w:name w:val="footnote reference"/>
    <w:basedOn w:val="DefaultParagraphFont"/>
    <w:uiPriority w:val="99"/>
    <w:semiHidden/>
    <w:unhideWhenUsed/>
    <w:rsid w:val="00BD6D6A"/>
    <w:rPr>
      <w:vertAlign w:val="superscript"/>
    </w:rPr>
  </w:style>
  <w:style w:type="paragraph" w:styleId="ListParagraph">
    <w:name w:val="List Paragraph"/>
    <w:basedOn w:val="Normal"/>
    <w:uiPriority w:val="34"/>
    <w:qFormat/>
    <w:rsid w:val="00C656A3"/>
    <w:pPr>
      <w:ind w:left="720"/>
      <w:contextualSpacing/>
    </w:pPr>
  </w:style>
  <w:style w:type="table" w:styleId="TableGrid">
    <w:name w:val="Table Grid"/>
    <w:basedOn w:val="TableNormal"/>
    <w:uiPriority w:val="39"/>
    <w:rsid w:val="00C65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F3009"/>
    <w:pPr>
      <w:tabs>
        <w:tab w:val="center" w:pos="4536"/>
        <w:tab w:val="right" w:pos="9072"/>
      </w:tabs>
    </w:pPr>
  </w:style>
  <w:style w:type="character" w:customStyle="1" w:styleId="FooterChar">
    <w:name w:val="Footer Char"/>
    <w:basedOn w:val="DefaultParagraphFont"/>
    <w:link w:val="Footer"/>
    <w:uiPriority w:val="99"/>
    <w:rsid w:val="006F3009"/>
  </w:style>
  <w:style w:type="character" w:styleId="PageNumber">
    <w:name w:val="page number"/>
    <w:basedOn w:val="DefaultParagraphFont"/>
    <w:uiPriority w:val="99"/>
    <w:semiHidden/>
    <w:unhideWhenUsed/>
    <w:rsid w:val="006F3009"/>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85AE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85AEB"/>
    <w:rPr>
      <w:rFonts w:ascii="Times New Roman" w:hAnsi="Times New Roman" w:cs="Times New Roman"/>
      <w:sz w:val="18"/>
      <w:szCs w:val="18"/>
    </w:rPr>
  </w:style>
  <w:style w:type="paragraph" w:styleId="Revision">
    <w:name w:val="Revision"/>
    <w:hidden/>
    <w:uiPriority w:val="99"/>
    <w:semiHidden/>
    <w:rsid w:val="00D31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82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2" ma:contentTypeDescription="Create a new document." ma:contentTypeScope="" ma:versionID="deae0e9b409368037fac89b9a3fe2bc7">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29c59fc3a5ae995c2510332e94a411bc"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31D52A-218C-46C6-9F27-EA9180D41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BFBCA-4ADB-4BFC-819D-90AE00506D07}">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customXml/itemProps3.xml><?xml version="1.0" encoding="utf-8"?>
<ds:datastoreItem xmlns:ds="http://schemas.openxmlformats.org/officeDocument/2006/customXml" ds:itemID="{4D64A404-D750-4E73-8E7B-AD088EDF18B7}">
  <ds:schemaRefs>
    <ds:schemaRef ds:uri="http://schemas.microsoft.com/sharepoint/v3/contenttype/forms"/>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1942</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Douvere, Fanny</dc:creator>
  <cp:keywords/>
  <dc:description/>
  <cp:lastModifiedBy>Julian Barbiere</cp:lastModifiedBy>
  <cp:revision>3</cp:revision>
  <dcterms:created xsi:type="dcterms:W3CDTF">2025-04-11T14:28:00Z</dcterms:created>
  <dcterms:modified xsi:type="dcterms:W3CDTF">2025-04-11T15:16:00Z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MediaServiceImageTags">
    <vt:lpwstr/>
  </property>
</Properties>
</file>