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D43C" w14:textId="77777777" w:rsidR="001636E8" w:rsidRPr="00E31511" w:rsidRDefault="001636E8" w:rsidP="001636E8">
      <w:pPr>
        <w:tabs>
          <w:tab w:val="clear" w:pos="567"/>
          <w:tab w:val="left" w:pos="-1440"/>
        </w:tabs>
        <w:spacing w:before="480"/>
        <w:ind w:right="-22"/>
        <w:jc w:val="center"/>
        <w:rPr>
          <w:rFonts w:cs="Arial"/>
          <w:b/>
          <w:szCs w:val="22"/>
        </w:rPr>
      </w:pPr>
      <w:r w:rsidRPr="00E31511">
        <w:rPr>
          <w:rFonts w:cs="Arial"/>
          <w:b/>
          <w:szCs w:val="22"/>
        </w:rPr>
        <w:t>COMMISSION OCÉANOGRAPHIQUE INTERGOUVERNEMENTALE</w:t>
      </w:r>
    </w:p>
    <w:p w14:paraId="3866C289" w14:textId="77777777" w:rsidR="001636E8" w:rsidRPr="00FC4C71" w:rsidRDefault="001636E8" w:rsidP="001636E8">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l’UNESCO)</w:t>
      </w:r>
    </w:p>
    <w:p w14:paraId="5941D936" w14:textId="66153BA9" w:rsidR="001636E8" w:rsidRPr="00FC4C71" w:rsidRDefault="001636E8" w:rsidP="001636E8">
      <w:pPr>
        <w:tabs>
          <w:tab w:val="clear" w:pos="567"/>
          <w:tab w:val="left" w:pos="-1440"/>
          <w:tab w:val="left" w:pos="-720"/>
          <w:tab w:val="left" w:pos="3600"/>
          <w:tab w:val="left" w:pos="4320"/>
          <w:tab w:val="left" w:pos="5040"/>
          <w:tab w:val="left" w:pos="5523"/>
          <w:tab w:val="left" w:pos="6480"/>
        </w:tabs>
        <w:jc w:val="center"/>
        <w:rPr>
          <w:rFonts w:cs="Arial"/>
          <w:b/>
          <w:szCs w:val="22"/>
        </w:rPr>
      </w:pPr>
      <w:r>
        <w:rPr>
          <w:rFonts w:cs="Arial"/>
          <w:b/>
          <w:szCs w:val="22"/>
        </w:rPr>
        <w:t>Trente</w:t>
      </w:r>
      <w:r w:rsidRPr="00FC4C71">
        <w:rPr>
          <w:rFonts w:cs="Arial"/>
          <w:b/>
          <w:szCs w:val="22"/>
        </w:rPr>
        <w:t>-</w:t>
      </w:r>
      <w:r w:rsidR="00356366">
        <w:rPr>
          <w:rFonts w:cs="Arial"/>
          <w:b/>
          <w:szCs w:val="22"/>
        </w:rPr>
        <w:t>trois</w:t>
      </w:r>
      <w:r>
        <w:rPr>
          <w:rFonts w:cs="Arial"/>
          <w:b/>
          <w:szCs w:val="22"/>
        </w:rPr>
        <w:t>i</w:t>
      </w:r>
      <w:r w:rsidRPr="00FC4C71">
        <w:rPr>
          <w:rFonts w:cs="Arial"/>
          <w:b/>
          <w:szCs w:val="22"/>
        </w:rPr>
        <w:t>ème session d</w:t>
      </w:r>
      <w:r>
        <w:rPr>
          <w:rFonts w:cs="Arial"/>
          <w:b/>
          <w:szCs w:val="22"/>
        </w:rPr>
        <w:t>e l’Assemblée</w:t>
      </w:r>
    </w:p>
    <w:p w14:paraId="4E36DC7C" w14:textId="12EBECC9" w:rsidR="001636E8" w:rsidRPr="00FC4C71" w:rsidRDefault="001636E8" w:rsidP="001636E8">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 xml:space="preserve">UNESCO, Paris, </w:t>
      </w:r>
      <w:r w:rsidR="00356366">
        <w:rPr>
          <w:rFonts w:cs="Arial"/>
          <w:szCs w:val="22"/>
        </w:rPr>
        <w:t>25</w:t>
      </w:r>
      <w:r>
        <w:rPr>
          <w:rFonts w:cs="Arial"/>
          <w:szCs w:val="22"/>
        </w:rPr>
        <w:t> </w:t>
      </w:r>
      <w:r w:rsidRPr="00FC4C71">
        <w:rPr>
          <w:rFonts w:cs="Arial"/>
          <w:szCs w:val="22"/>
        </w:rPr>
        <w:t>juin</w:t>
      </w:r>
      <w:r w:rsidR="00356366">
        <w:rPr>
          <w:rFonts w:cs="Arial"/>
          <w:szCs w:val="22"/>
        </w:rPr>
        <w:t>-3 juillet</w:t>
      </w:r>
      <w:r w:rsidRPr="00FC4C71">
        <w:rPr>
          <w:rFonts w:cs="Arial"/>
          <w:szCs w:val="22"/>
        </w:rPr>
        <w:t xml:space="preserve"> 202</w:t>
      </w:r>
      <w:r w:rsidR="00356366">
        <w:rPr>
          <w:rFonts w:cs="Arial"/>
          <w:szCs w:val="22"/>
        </w:rPr>
        <w:t>5</w:t>
      </w:r>
    </w:p>
    <w:p w14:paraId="29B56228" w14:textId="5E4BC886" w:rsidR="001636E8" w:rsidRPr="00FC4C71" w:rsidRDefault="001636E8" w:rsidP="00BD0D00">
      <w:pPr>
        <w:tabs>
          <w:tab w:val="clear" w:pos="567"/>
          <w:tab w:val="left" w:pos="-1440"/>
          <w:tab w:val="left" w:pos="-720"/>
          <w:tab w:val="left" w:pos="2160"/>
          <w:tab w:val="left" w:pos="2880"/>
          <w:tab w:val="left" w:pos="3600"/>
          <w:tab w:val="left" w:pos="4320"/>
          <w:tab w:val="left" w:pos="5040"/>
          <w:tab w:val="left" w:pos="5523"/>
          <w:tab w:val="left" w:pos="6480"/>
        </w:tabs>
        <w:spacing w:after="480"/>
        <w:jc w:val="both"/>
        <w:rPr>
          <w:rFonts w:cs="Arial"/>
          <w:szCs w:val="22"/>
          <w:u w:val="single"/>
        </w:rPr>
      </w:pPr>
      <w:r w:rsidRPr="00FC4C71">
        <w:rPr>
          <w:rFonts w:cs="Arial"/>
          <w:szCs w:val="22"/>
          <w:u w:val="single"/>
        </w:rPr>
        <w:t>Point</w:t>
      </w:r>
      <w:r>
        <w:rPr>
          <w:rFonts w:cs="Arial"/>
          <w:szCs w:val="22"/>
          <w:u w:val="single"/>
        </w:rPr>
        <w:t>s</w:t>
      </w:r>
      <w:r w:rsidRPr="00FC4C71">
        <w:rPr>
          <w:rFonts w:cs="Arial"/>
          <w:szCs w:val="22"/>
          <w:u w:val="single"/>
        </w:rPr>
        <w:t xml:space="preserve"> </w:t>
      </w:r>
      <w:r w:rsidR="00356366">
        <w:rPr>
          <w:rFonts w:cs="Arial"/>
          <w:b/>
          <w:bCs/>
          <w:szCs w:val="22"/>
          <w:u w:val="single"/>
        </w:rPr>
        <w:t>5.3</w:t>
      </w:r>
      <w:r w:rsidRPr="00FC4C71">
        <w:rPr>
          <w:rFonts w:cs="Arial"/>
          <w:szCs w:val="22"/>
          <w:u w:val="single"/>
        </w:rPr>
        <w:t xml:space="preserve"> </w:t>
      </w:r>
      <w:r>
        <w:rPr>
          <w:rFonts w:cs="Arial"/>
          <w:szCs w:val="22"/>
          <w:u w:val="single"/>
        </w:rPr>
        <w:t xml:space="preserve">et </w:t>
      </w:r>
      <w:r w:rsidR="00356366">
        <w:rPr>
          <w:rFonts w:cs="Arial"/>
          <w:b/>
          <w:bCs/>
          <w:szCs w:val="22"/>
          <w:u w:val="single"/>
        </w:rPr>
        <w:t>5</w:t>
      </w:r>
      <w:r w:rsidRPr="00720D5C">
        <w:rPr>
          <w:rFonts w:cs="Arial"/>
          <w:b/>
          <w:bCs/>
          <w:szCs w:val="22"/>
          <w:u w:val="single"/>
        </w:rPr>
        <w:t>.</w:t>
      </w:r>
      <w:r>
        <w:rPr>
          <w:rFonts w:cs="Arial"/>
          <w:b/>
          <w:bCs/>
          <w:szCs w:val="22"/>
          <w:u w:val="single"/>
        </w:rPr>
        <w:t>4</w:t>
      </w:r>
      <w:r>
        <w:rPr>
          <w:rFonts w:cs="Arial"/>
          <w:szCs w:val="22"/>
          <w:u w:val="single"/>
        </w:rPr>
        <w:t xml:space="preserve"> </w:t>
      </w:r>
      <w:r w:rsidRPr="00FC4C71">
        <w:rPr>
          <w:rFonts w:cs="Arial"/>
          <w:szCs w:val="22"/>
          <w:u w:val="single"/>
        </w:rPr>
        <w:t>de l’ordre du jour provisoire</w:t>
      </w:r>
    </w:p>
    <w:p w14:paraId="0809BF4E" w14:textId="5F7C0F38" w:rsidR="001636E8" w:rsidRDefault="00356366" w:rsidP="00BF2E0D">
      <w:pPr>
        <w:pStyle w:val="Heading1"/>
      </w:pPr>
      <w:r w:rsidRPr="00356366">
        <w:t xml:space="preserve">PLAN D’ACTION EN RÉPONSE À L’ÉVALUATION PAR IOS </w:t>
      </w:r>
      <w:r w:rsidR="00EA1332">
        <w:br/>
      </w:r>
      <w:r w:rsidRPr="00356366">
        <w:t>DU POSITIONNEMENT STRATÉGIQUE DE LA COI</w:t>
      </w:r>
    </w:p>
    <w:p w14:paraId="3C4D94B6" w14:textId="4EA3D108" w:rsidR="00BF2E0D" w:rsidRPr="00BF2E0D" w:rsidRDefault="00BF2E0D" w:rsidP="00BD0D00">
      <w:pPr>
        <w:pStyle w:val="Marge"/>
        <w:spacing w:after="360"/>
        <w:jc w:val="center"/>
        <w:rPr>
          <w:b/>
        </w:rPr>
      </w:pPr>
      <w:r w:rsidRPr="00BF2E0D">
        <w:rPr>
          <w:b/>
        </w:rPr>
        <w:t xml:space="preserve">INFORMATIONS ACTUALISÉES SUR LA MISE EN </w:t>
      </w:r>
      <w:r>
        <w:rPr>
          <w:b/>
        </w:rPr>
        <w:t xml:space="preserve">ŒUVRE </w:t>
      </w:r>
    </w:p>
    <w:tbl>
      <w:tblPr>
        <w:tblStyle w:val="TableGrid"/>
        <w:tblW w:w="7508" w:type="dxa"/>
        <w:jc w:val="center"/>
        <w:tblLayout w:type="fixed"/>
        <w:tblLook w:val="04A0" w:firstRow="1" w:lastRow="0" w:firstColumn="1" w:lastColumn="0" w:noHBand="0" w:noVBand="1"/>
      </w:tblPr>
      <w:tblGrid>
        <w:gridCol w:w="7508"/>
      </w:tblGrid>
      <w:tr w:rsidR="006A5AED" w:rsidRPr="001E6B5E" w14:paraId="1A4612E9" w14:textId="77777777" w:rsidTr="00BD0D00">
        <w:trPr>
          <w:trHeight w:val="3218"/>
          <w:jc w:val="center"/>
        </w:trPr>
        <w:tc>
          <w:tcPr>
            <w:tcW w:w="7508" w:type="dxa"/>
          </w:tcPr>
          <w:p w14:paraId="1B888B8D" w14:textId="57AFA2EA" w:rsidR="006A5AED" w:rsidRPr="001E6B5E" w:rsidRDefault="006A5AED" w:rsidP="00206BC1">
            <w:pPr>
              <w:tabs>
                <w:tab w:val="clear" w:pos="567"/>
              </w:tabs>
              <w:snapToGrid/>
              <w:spacing w:before="120" w:after="240"/>
              <w:jc w:val="center"/>
              <w:rPr>
                <w:rFonts w:cs="Arial"/>
                <w:bCs/>
                <w:szCs w:val="22"/>
                <w:u w:val="single"/>
              </w:rPr>
            </w:pPr>
            <w:r w:rsidRPr="001E6B5E">
              <w:rPr>
                <w:u w:val="single"/>
              </w:rPr>
              <w:t>Résumé</w:t>
            </w:r>
          </w:p>
          <w:p w14:paraId="20EBAEE7" w14:textId="13E541FB" w:rsidR="00416F54" w:rsidRPr="001E6B5E" w:rsidRDefault="00356366" w:rsidP="00416F54">
            <w:pPr>
              <w:tabs>
                <w:tab w:val="clear" w:pos="567"/>
              </w:tabs>
              <w:snapToGrid/>
              <w:spacing w:after="240"/>
              <w:ind w:left="283" w:right="283"/>
              <w:jc w:val="both"/>
              <w:rPr>
                <w:rFonts w:cs="Arial"/>
                <w:szCs w:val="22"/>
              </w:rPr>
            </w:pPr>
            <w:r w:rsidRPr="001E6B5E">
              <w:rPr>
                <w:rFonts w:cs="Arial"/>
                <w:szCs w:val="22"/>
              </w:rPr>
              <w:t>Conformément</w:t>
            </w:r>
            <w:r w:rsidR="00BF2E0D" w:rsidRPr="001E6B5E">
              <w:t xml:space="preserve"> </w:t>
            </w:r>
            <w:r w:rsidR="00BF2E0D" w:rsidRPr="001E6B5E">
              <w:rPr>
                <w:rFonts w:cs="Arial"/>
                <w:szCs w:val="22"/>
              </w:rPr>
              <w:t xml:space="preserve">à la résolution EC-57/2 (2024) de la COI, le présent document soumet à l'examen des États membres une proposition actualisée </w:t>
            </w:r>
            <w:r w:rsidR="008F73EB" w:rsidRPr="001E6B5E">
              <w:rPr>
                <w:rFonts w:cs="Arial"/>
                <w:szCs w:val="22"/>
              </w:rPr>
              <w:t>de la synthèse</w:t>
            </w:r>
            <w:r w:rsidR="00BF2E0D" w:rsidRPr="001E6B5E">
              <w:rPr>
                <w:rFonts w:cs="Arial"/>
                <w:szCs w:val="22"/>
              </w:rPr>
              <w:t xml:space="preserve"> </w:t>
            </w:r>
            <w:r w:rsidR="009C7D45" w:rsidRPr="001E6B5E">
              <w:rPr>
                <w:rFonts w:cs="Arial"/>
                <w:szCs w:val="22"/>
              </w:rPr>
              <w:t xml:space="preserve">des actions </w:t>
            </w:r>
            <w:r w:rsidR="008F73EB" w:rsidRPr="001E6B5E">
              <w:rPr>
                <w:rFonts w:cs="Arial"/>
                <w:szCs w:val="22"/>
              </w:rPr>
              <w:t>à mener</w:t>
            </w:r>
            <w:r w:rsidR="00BF2E0D" w:rsidRPr="001E6B5E">
              <w:rPr>
                <w:rFonts w:cs="Arial"/>
                <w:szCs w:val="22"/>
              </w:rPr>
              <w:t xml:space="preserve"> en réponse à l'évaluation</w:t>
            </w:r>
            <w:r w:rsidR="009C7D45" w:rsidRPr="001E6B5E">
              <w:rPr>
                <w:rFonts w:cs="Arial"/>
                <w:szCs w:val="22"/>
              </w:rPr>
              <w:t>,</w:t>
            </w:r>
            <w:r w:rsidR="00BF2E0D" w:rsidRPr="001E6B5E">
              <w:rPr>
                <w:rFonts w:cs="Arial"/>
                <w:szCs w:val="22"/>
              </w:rPr>
              <w:t xml:space="preserve"> par la Division des services de contrôle interne de l'UNESCO</w:t>
            </w:r>
            <w:r w:rsidR="009C7D45" w:rsidRPr="001E6B5E">
              <w:rPr>
                <w:rFonts w:cs="Arial"/>
                <w:szCs w:val="22"/>
              </w:rPr>
              <w:t>,</w:t>
            </w:r>
            <w:r w:rsidR="00BF2E0D" w:rsidRPr="001E6B5E">
              <w:rPr>
                <w:rFonts w:cs="Arial"/>
                <w:szCs w:val="22"/>
              </w:rPr>
              <w:t xml:space="preserve"> du positionnement stratégique de la COI</w:t>
            </w:r>
            <w:r w:rsidR="00416F54" w:rsidRPr="001E6B5E">
              <w:rPr>
                <w:rFonts w:cs="Arial"/>
                <w:szCs w:val="22"/>
              </w:rPr>
              <w:t>.</w:t>
            </w:r>
          </w:p>
          <w:p w14:paraId="40410ABF" w14:textId="6CEAE884" w:rsidR="006A5AED" w:rsidRPr="001E6B5E" w:rsidRDefault="00416F54" w:rsidP="00416F54">
            <w:pPr>
              <w:tabs>
                <w:tab w:val="clear" w:pos="567"/>
              </w:tabs>
              <w:snapToGrid/>
              <w:spacing w:after="240"/>
              <w:ind w:left="283" w:right="283"/>
              <w:jc w:val="both"/>
              <w:rPr>
                <w:rFonts w:cs="Arial"/>
                <w:b/>
                <w:bCs/>
                <w:szCs w:val="22"/>
              </w:rPr>
            </w:pPr>
            <w:r w:rsidRPr="001E6B5E">
              <w:rPr>
                <w:rFonts w:cs="Arial"/>
                <w:szCs w:val="22"/>
                <w:u w:val="single"/>
              </w:rPr>
              <w:t>Décision proposée</w:t>
            </w:r>
            <w:r w:rsidR="003768B8" w:rsidRPr="001E6B5E">
              <w:rPr>
                <w:rFonts w:cs="Arial"/>
                <w:szCs w:val="22"/>
              </w:rPr>
              <w:t> </w:t>
            </w:r>
            <w:r w:rsidRPr="001E6B5E">
              <w:rPr>
                <w:rFonts w:cs="Arial"/>
                <w:szCs w:val="22"/>
              </w:rPr>
              <w:t xml:space="preserve">: </w:t>
            </w:r>
            <w:r w:rsidR="00BF2E0D" w:rsidRPr="001E6B5E">
              <w:rPr>
                <w:rFonts w:cs="Arial"/>
                <w:szCs w:val="22"/>
              </w:rPr>
              <w:t>Le projet de décision proposé porte la cote Déc.,</w:t>
            </w:r>
            <w:r w:rsidR="009C7D45" w:rsidRPr="001E6B5E">
              <w:rPr>
                <w:rFonts w:cs="Arial"/>
                <w:szCs w:val="22"/>
              </w:rPr>
              <w:t> </w:t>
            </w:r>
            <w:r w:rsidR="00BF2E0D" w:rsidRPr="001E6B5E">
              <w:rPr>
                <w:rFonts w:cs="Arial"/>
                <w:szCs w:val="22"/>
              </w:rPr>
              <w:t>IOC-33/5.2 et figure dans le Document provisoire relatif aux décisions à adopter (document IOC</w:t>
            </w:r>
            <w:r w:rsidR="001E6B5E" w:rsidRPr="001E6B5E">
              <w:rPr>
                <w:rFonts w:cs="Arial"/>
                <w:szCs w:val="22"/>
              </w:rPr>
              <w:t>-</w:t>
            </w:r>
            <w:r w:rsidR="00BF2E0D" w:rsidRPr="001E6B5E">
              <w:rPr>
                <w:rFonts w:cs="Arial"/>
                <w:szCs w:val="22"/>
              </w:rPr>
              <w:t xml:space="preserve">33/AP). La </w:t>
            </w:r>
            <w:r w:rsidRPr="001E6B5E">
              <w:rPr>
                <w:rFonts w:cs="Arial"/>
                <w:szCs w:val="22"/>
              </w:rPr>
              <w:t xml:space="preserve">décision sera intégrée dans le projet de résolution que </w:t>
            </w:r>
            <w:r w:rsidR="009C7D45" w:rsidRPr="001E6B5E">
              <w:rPr>
                <w:rFonts w:cs="Arial"/>
                <w:szCs w:val="22"/>
              </w:rPr>
              <w:t>le Comité financier</w:t>
            </w:r>
            <w:r w:rsidRPr="001E6B5E">
              <w:rPr>
                <w:rFonts w:cs="Arial"/>
                <w:szCs w:val="22"/>
              </w:rPr>
              <w:t xml:space="preserve"> soumettra à l’Assemblée pour adoption au titre du point </w:t>
            </w:r>
            <w:r w:rsidR="009C7D45" w:rsidRPr="001E6B5E">
              <w:rPr>
                <w:rFonts w:cs="Arial"/>
                <w:szCs w:val="22"/>
              </w:rPr>
              <w:t>5</w:t>
            </w:r>
            <w:r w:rsidRPr="001E6B5E">
              <w:rPr>
                <w:rFonts w:cs="Arial"/>
                <w:szCs w:val="22"/>
              </w:rPr>
              <w:t>.4, conformément au paragraphe 15 du projet de Directives révisées pour la préparation et l’examen des projets de résolution (</w:t>
            </w:r>
            <w:hyperlink r:id="rId8" w:history="1">
              <w:r w:rsidRPr="001E6B5E">
                <w:rPr>
                  <w:rStyle w:val="Hyperlink"/>
                  <w:rFonts w:cs="Arial"/>
                  <w:szCs w:val="22"/>
                </w:rPr>
                <w:t>IOC/INF-1315</w:t>
              </w:r>
            </w:hyperlink>
            <w:r w:rsidRPr="001E6B5E">
              <w:rPr>
                <w:rFonts w:cs="Arial"/>
                <w:szCs w:val="22"/>
              </w:rPr>
              <w:t>).</w:t>
            </w:r>
          </w:p>
        </w:tc>
      </w:tr>
    </w:tbl>
    <w:p w14:paraId="7D6F8BD3" w14:textId="0D207223" w:rsidR="00BF2E0D" w:rsidRPr="001E6B5E" w:rsidRDefault="00BF2E0D" w:rsidP="00BD0D00">
      <w:pPr>
        <w:spacing w:before="240" w:after="240"/>
        <w:jc w:val="both"/>
      </w:pPr>
      <w:r w:rsidRPr="001E6B5E">
        <w:t>1.</w:t>
      </w:r>
      <w:r w:rsidRPr="001E6B5E">
        <w:tab/>
      </w:r>
      <w:r w:rsidR="00356366" w:rsidRPr="001E6B5E">
        <w:t>En septembre 2021,</w:t>
      </w:r>
      <w:r w:rsidRPr="001E6B5E">
        <w:t xml:space="preserve"> la Division des services de contrôle interne de l’UNESCO a publié son </w:t>
      </w:r>
      <w:r w:rsidR="009C7D45" w:rsidRPr="001E6B5E">
        <w:rPr>
          <w:i/>
        </w:rPr>
        <w:t>É</w:t>
      </w:r>
      <w:r w:rsidRPr="001E6B5E">
        <w:rPr>
          <w:i/>
        </w:rPr>
        <w:t>valuation du positionnement stratégique de la COI-UNESCO</w:t>
      </w:r>
      <w:r w:rsidRPr="001E6B5E">
        <w:t xml:space="preserve"> (</w:t>
      </w:r>
      <w:hyperlink r:id="rId9" w:history="1">
        <w:r w:rsidRPr="001E6B5E">
          <w:rPr>
            <w:rStyle w:val="Hyperlink"/>
          </w:rPr>
          <w:t>IOS/EVS/PI/197</w:t>
        </w:r>
      </w:hyperlink>
      <w:r w:rsidRPr="001E6B5E">
        <w:t xml:space="preserve">) (ci-après </w:t>
      </w:r>
      <w:r w:rsidR="009C7D45" w:rsidRPr="001E6B5E">
        <w:t>« </w:t>
      </w:r>
      <w:r w:rsidRPr="001E6B5E">
        <w:t>l’évaluation</w:t>
      </w:r>
      <w:r w:rsidR="009C7D45" w:rsidRPr="001E6B5E">
        <w:t> »</w:t>
      </w:r>
      <w:r w:rsidRPr="001E6B5E">
        <w:t>). Ce document comprenait un ensemble de six recommandations et des propositions d’action. Ses principales conclusions et la réponse de l’équipe dirigeante ont été présentées au Conseil exécutif de l’UNESCO à sa 212</w:t>
      </w:r>
      <w:r w:rsidRPr="001E6B5E">
        <w:rPr>
          <w:vertAlign w:val="superscript"/>
        </w:rPr>
        <w:t>e</w:t>
      </w:r>
      <w:r w:rsidR="009C7D45" w:rsidRPr="001E6B5E">
        <w:t> </w:t>
      </w:r>
      <w:r w:rsidRPr="001E6B5E">
        <w:t>session (</w:t>
      </w:r>
      <w:hyperlink r:id="rId10" w:history="1">
        <w:r w:rsidRPr="001E6B5E">
          <w:rPr>
            <w:rStyle w:val="Hyperlink"/>
          </w:rPr>
          <w:t>212 EX/9</w:t>
        </w:r>
      </w:hyperlink>
      <w:r w:rsidRPr="001E6B5E">
        <w:t>).</w:t>
      </w:r>
    </w:p>
    <w:p w14:paraId="3B5408CD" w14:textId="68673316" w:rsidR="00BF2E0D" w:rsidRPr="001E6B5E" w:rsidRDefault="00BF2E0D" w:rsidP="00AA3870">
      <w:pPr>
        <w:spacing w:after="240"/>
        <w:jc w:val="both"/>
      </w:pPr>
      <w:r w:rsidRPr="001E6B5E">
        <w:t>2.</w:t>
      </w:r>
      <w:r w:rsidRPr="001E6B5E">
        <w:tab/>
        <w:t>Le premier projet de plan d’action a été présenté au Conseil exécutif de la COI à sa 55</w:t>
      </w:r>
      <w:r w:rsidRPr="001E6B5E">
        <w:rPr>
          <w:vertAlign w:val="superscript"/>
        </w:rPr>
        <w:t>e</w:t>
      </w:r>
      <w:r w:rsidR="009C7D45" w:rsidRPr="001E6B5E">
        <w:t> </w:t>
      </w:r>
      <w:r w:rsidRPr="001E6B5E">
        <w:t xml:space="preserve">session, en juin 2022, dans le document </w:t>
      </w:r>
      <w:hyperlink r:id="rId11" w:history="1">
        <w:r w:rsidRPr="001E6B5E">
          <w:rPr>
            <w:rStyle w:val="Hyperlink"/>
          </w:rPr>
          <w:t>IOC/EC-55/3.2.Doc(1)</w:t>
        </w:r>
      </w:hyperlink>
      <w:r w:rsidRPr="001E6B5E">
        <w:t xml:space="preserve">. </w:t>
      </w:r>
      <w:r w:rsidR="009C7D45" w:rsidRPr="001E6B5E">
        <w:t>À</w:t>
      </w:r>
      <w:r w:rsidRPr="001E6B5E">
        <w:t xml:space="preserve"> la suite des conclusions positives du Conseil exécutif de la COI et de la consultation des États membres par le biais de la Lettre circulaire de la COI n°</w:t>
      </w:r>
      <w:r w:rsidR="00071482" w:rsidRPr="001E6B5E">
        <w:t> </w:t>
      </w:r>
      <w:hyperlink r:id="rId12" w:history="1">
        <w:r w:rsidRPr="001E6B5E">
          <w:rPr>
            <w:rStyle w:val="Hyperlink"/>
          </w:rPr>
          <w:t>2912</w:t>
        </w:r>
      </w:hyperlink>
      <w:r w:rsidRPr="001E6B5E">
        <w:t>, le plan d’action (IOC/A-32/6.3.Doc(1)) a été examiné par l’Assemblée de la COI à sa 32</w:t>
      </w:r>
      <w:r w:rsidRPr="001E6B5E">
        <w:rPr>
          <w:vertAlign w:val="superscript"/>
        </w:rPr>
        <w:t>e</w:t>
      </w:r>
      <w:r w:rsidR="006878E5" w:rsidRPr="001E6B5E">
        <w:t> </w:t>
      </w:r>
      <w:r w:rsidRPr="001E6B5E">
        <w:t>session</w:t>
      </w:r>
      <w:r w:rsidR="004135FA" w:rsidRPr="001E6B5E">
        <w:t>,</w:t>
      </w:r>
      <w:r w:rsidRPr="001E6B5E">
        <w:t xml:space="preserve"> en juin 2023. Par sa résolution A-32/4, l’Assemblée de la COI a prié le Secrétaire exécutif de la COI </w:t>
      </w:r>
      <w:r w:rsidR="006878E5" w:rsidRPr="001E6B5E">
        <w:t>« </w:t>
      </w:r>
      <w:r w:rsidRPr="001E6B5E">
        <w:rPr>
          <w:i/>
        </w:rPr>
        <w:t xml:space="preserve">d’entamer la mise en œuvre du projet de plan d’action en tenant compte de l’évolution de la situation de la Commission, y compris des ressources </w:t>
      </w:r>
      <w:r w:rsidRPr="001E6B5E">
        <w:rPr>
          <w:i/>
        </w:rPr>
        <w:lastRenderedPageBreak/>
        <w:t>disponibles, en proposant les ajustements nécessaires et en rendant compte des progrès accomplis aux organes directeurs de la COI et de l’UNESCO</w:t>
      </w:r>
      <w:r w:rsidR="006878E5" w:rsidRPr="001E6B5E">
        <w:rPr>
          <w:i/>
        </w:rPr>
        <w:t> </w:t>
      </w:r>
      <w:r w:rsidR="006878E5" w:rsidRPr="001E6B5E">
        <w:rPr>
          <w:iCs/>
        </w:rPr>
        <w:t>»</w:t>
      </w:r>
      <w:r w:rsidRPr="001E6B5E">
        <w:t>. Le Conseil exécutif de la COI, à sa 57</w:t>
      </w:r>
      <w:r w:rsidRPr="001E6B5E">
        <w:rPr>
          <w:vertAlign w:val="superscript"/>
        </w:rPr>
        <w:t>e</w:t>
      </w:r>
      <w:r w:rsidR="006878E5" w:rsidRPr="001E6B5E">
        <w:t> </w:t>
      </w:r>
      <w:r w:rsidRPr="001E6B5E">
        <w:t xml:space="preserve">session, a examiné le document </w:t>
      </w:r>
      <w:hyperlink r:id="rId13" w:history="1">
        <w:r w:rsidRPr="001E6B5E">
          <w:rPr>
            <w:rStyle w:val="Hyperlink"/>
          </w:rPr>
          <w:t>IOC/EC-57/5.2.Doc(1)</w:t>
        </w:r>
      </w:hyperlink>
      <w:r w:rsidRPr="001E6B5E">
        <w:t xml:space="preserve"> et a estimé que, </w:t>
      </w:r>
      <w:r w:rsidR="00191465" w:rsidRPr="001E6B5E">
        <w:t>« </w:t>
      </w:r>
      <w:r w:rsidRPr="001E6B5E">
        <w:rPr>
          <w:i/>
        </w:rPr>
        <w:t xml:space="preserve">bien que certaines actions aient déjà été mises en œuvre et que les efforts se poursuivent pour d’autres, un certain nombre d’actions stratégiques nécessiteront davantage de réflexion et de discussions avec les États membres dans le cadre de la nouvelle phase de la consultation </w:t>
      </w:r>
      <w:r w:rsidR="00191465" w:rsidRPr="001E6B5E">
        <w:rPr>
          <w:iCs/>
        </w:rPr>
        <w:t>«</w:t>
      </w:r>
      <w:r w:rsidR="00191465" w:rsidRPr="001E6B5E">
        <w:rPr>
          <w:i/>
        </w:rPr>
        <w:t> </w:t>
      </w:r>
      <w:r w:rsidRPr="001E6B5E">
        <w:rPr>
          <w:i/>
        </w:rPr>
        <w:t>La COI et l’avenir de l’océan</w:t>
      </w:r>
      <w:r w:rsidR="00191465" w:rsidRPr="001E6B5E">
        <w:rPr>
          <w:i/>
        </w:rPr>
        <w:t> </w:t>
      </w:r>
      <w:r w:rsidR="00191465" w:rsidRPr="001E6B5E">
        <w:rPr>
          <w:iCs/>
        </w:rPr>
        <w:t>» »</w:t>
      </w:r>
      <w:r w:rsidR="009C7D45" w:rsidRPr="001E6B5E">
        <w:t>.</w:t>
      </w:r>
    </w:p>
    <w:p w14:paraId="61A4DFC1" w14:textId="610F91E6" w:rsidR="0047625D" w:rsidRPr="001E6B5E" w:rsidRDefault="00BF2E0D" w:rsidP="008F73EB">
      <w:pPr>
        <w:spacing w:after="240"/>
        <w:jc w:val="both"/>
        <w:rPr>
          <w:bCs/>
          <w:szCs w:val="22"/>
        </w:rPr>
      </w:pPr>
      <w:r w:rsidRPr="001E6B5E">
        <w:t>3.</w:t>
      </w:r>
      <w:r w:rsidRPr="001E6B5E">
        <w:tab/>
        <w:t xml:space="preserve">Conformément à la </w:t>
      </w:r>
      <w:hyperlink r:id="rId14" w:history="1">
        <w:r w:rsidRPr="001E6B5E">
          <w:rPr>
            <w:rStyle w:val="Hyperlink"/>
          </w:rPr>
          <w:t>résolution EC-57/2</w:t>
        </w:r>
      </w:hyperlink>
      <w:r w:rsidRPr="001E6B5E">
        <w:t xml:space="preserve"> de la COI, le présent document contient une proposition actualisée </w:t>
      </w:r>
      <w:r w:rsidR="008F73EB" w:rsidRPr="001E6B5E">
        <w:t>de la synthèse des actions, sous forme de tableau (en gras),</w:t>
      </w:r>
      <w:r w:rsidRPr="001E6B5E">
        <w:t xml:space="preserve"> </w:t>
      </w:r>
      <w:r w:rsidR="008F73EB" w:rsidRPr="001E6B5E">
        <w:t xml:space="preserve">pour </w:t>
      </w:r>
      <w:r w:rsidRPr="001E6B5E">
        <w:t xml:space="preserve">examen </w:t>
      </w:r>
      <w:r w:rsidR="008F73EB" w:rsidRPr="001E6B5E">
        <w:t>par les</w:t>
      </w:r>
      <w:r w:rsidRPr="001E6B5E">
        <w:t xml:space="preserve"> États membres. </w:t>
      </w:r>
      <w:r w:rsidR="009C7D45" w:rsidRPr="001E6B5E">
        <w:t xml:space="preserve">Les actions nécessitant d’être poursuivies continueront d’être examinées et à faire l’objet </w:t>
      </w:r>
      <w:r w:rsidR="008F73EB" w:rsidRPr="001E6B5E">
        <w:t>d’un rapport</w:t>
      </w:r>
      <w:r w:rsidR="009C7D45" w:rsidRPr="001E6B5E">
        <w:t xml:space="preserve"> dans le cadre de la consultation « </w:t>
      </w:r>
      <w:r w:rsidR="009C7D45" w:rsidRPr="001E6B5E">
        <w:rPr>
          <w:b/>
          <w:bCs/>
        </w:rPr>
        <w:t>La COI et l’avenir de l’océan</w:t>
      </w:r>
      <w:r w:rsidR="009C7D45" w:rsidRPr="001E6B5E">
        <w:t xml:space="preserve"> ». </w:t>
      </w:r>
    </w:p>
    <w:p w14:paraId="021C6C50" w14:textId="1773DB28" w:rsidR="00356366" w:rsidRPr="001E6B5E" w:rsidRDefault="00356366" w:rsidP="0047625D">
      <w:pPr>
        <w:tabs>
          <w:tab w:val="clear" w:pos="567"/>
        </w:tabs>
        <w:snapToGrid/>
        <w:spacing w:after="240"/>
        <w:rPr>
          <w:rFonts w:cs="Arial"/>
          <w:bCs/>
          <w:szCs w:val="22"/>
        </w:rPr>
      </w:pPr>
    </w:p>
    <w:p w14:paraId="7E6A6DD7" w14:textId="77777777" w:rsidR="00356366" w:rsidRPr="001E6B5E" w:rsidRDefault="00356366" w:rsidP="0047625D">
      <w:pPr>
        <w:tabs>
          <w:tab w:val="clear" w:pos="567"/>
        </w:tabs>
        <w:snapToGrid/>
        <w:spacing w:after="240"/>
        <w:rPr>
          <w:rFonts w:cs="Arial"/>
          <w:bCs/>
          <w:szCs w:val="22"/>
        </w:rPr>
        <w:sectPr w:rsidR="00356366" w:rsidRPr="001E6B5E" w:rsidSect="002637CA">
          <w:headerReference w:type="even" r:id="rId15"/>
          <w:headerReference w:type="default" r:id="rId16"/>
          <w:headerReference w:type="first" r:id="rId17"/>
          <w:pgSz w:w="11920" w:h="16840"/>
          <w:pgMar w:top="1216" w:right="1210" w:bottom="1152" w:left="1267" w:header="630" w:footer="288" w:gutter="0"/>
          <w:pgNumType w:start="1"/>
          <w:cols w:space="720"/>
          <w:titlePg/>
          <w:docGrid w:linePitch="299"/>
        </w:sectPr>
      </w:pPr>
    </w:p>
    <w:p w14:paraId="6B5B7F1B" w14:textId="548DE8B7" w:rsidR="00356366" w:rsidRPr="001E6B5E" w:rsidRDefault="00356366" w:rsidP="00356366">
      <w:pPr>
        <w:keepNext/>
        <w:keepLines/>
        <w:adjustRightInd w:val="0"/>
        <w:spacing w:after="240"/>
        <w:ind w:left="567" w:hanging="567"/>
        <w:jc w:val="both"/>
        <w:textAlignment w:val="baseline"/>
        <w:outlineLvl w:val="1"/>
        <w:rPr>
          <w:rFonts w:cs="Arial"/>
          <w:b/>
          <w:bCs/>
          <w:caps/>
          <w:szCs w:val="22"/>
        </w:rPr>
      </w:pPr>
      <w:r w:rsidRPr="001E6B5E">
        <w:rPr>
          <w:rFonts w:cs="Arial"/>
          <w:b/>
          <w:bCs/>
          <w:caps/>
          <w:szCs w:val="22"/>
        </w:rPr>
        <w:lastRenderedPageBreak/>
        <w:t>SYNTHÈSE DES ACTIONS et informations actualisÉes sur leur État d’avancement</w:t>
      </w:r>
    </w:p>
    <w:tbl>
      <w:tblPr>
        <w:tblStyle w:val="Grilledutableau11"/>
        <w:tblW w:w="14454" w:type="dxa"/>
        <w:tblLook w:val="01E0" w:firstRow="1" w:lastRow="1" w:firstColumn="1" w:lastColumn="1" w:noHBand="0" w:noVBand="0"/>
      </w:tblPr>
      <w:tblGrid>
        <w:gridCol w:w="3095"/>
        <w:gridCol w:w="3786"/>
        <w:gridCol w:w="3604"/>
        <w:gridCol w:w="1843"/>
        <w:gridCol w:w="2126"/>
      </w:tblGrid>
      <w:tr w:rsidR="00356366" w:rsidRPr="001E6B5E" w14:paraId="4879754C" w14:textId="77777777" w:rsidTr="00453900">
        <w:trPr>
          <w:tblHeader/>
        </w:trPr>
        <w:tc>
          <w:tcPr>
            <w:tcW w:w="3095" w:type="dxa"/>
            <w:shd w:val="clear" w:color="auto" w:fill="D9D9D9"/>
            <w:vAlign w:val="center"/>
          </w:tcPr>
          <w:p w14:paraId="30281E14" w14:textId="77777777" w:rsidR="00356366" w:rsidRPr="001E6B5E" w:rsidRDefault="00356366" w:rsidP="00453900">
            <w:pPr>
              <w:adjustRightInd w:val="0"/>
              <w:spacing w:before="100" w:after="100"/>
              <w:jc w:val="center"/>
              <w:textAlignment w:val="baseline"/>
              <w:rPr>
                <w:sz w:val="18"/>
                <w:szCs w:val="18"/>
                <w:lang w:val="fr-FR"/>
              </w:rPr>
            </w:pPr>
            <w:bookmarkStart w:id="1" w:name="_Hlk104964973"/>
          </w:p>
        </w:tc>
        <w:tc>
          <w:tcPr>
            <w:tcW w:w="3786" w:type="dxa"/>
            <w:shd w:val="clear" w:color="auto" w:fill="D9D9D9"/>
            <w:vAlign w:val="center"/>
          </w:tcPr>
          <w:p w14:paraId="0E16B511" w14:textId="77777777" w:rsidR="00356366" w:rsidRPr="001E6B5E" w:rsidRDefault="00356366" w:rsidP="00453900">
            <w:pPr>
              <w:adjustRightInd w:val="0"/>
              <w:spacing w:before="100" w:after="100"/>
              <w:jc w:val="center"/>
              <w:textAlignment w:val="baseline"/>
              <w:rPr>
                <w:b/>
                <w:bCs/>
                <w:sz w:val="18"/>
                <w:szCs w:val="18"/>
                <w:lang w:val="fr-FR"/>
              </w:rPr>
            </w:pPr>
            <w:r w:rsidRPr="001E6B5E">
              <w:rPr>
                <w:b/>
                <w:bCs/>
                <w:sz w:val="18"/>
                <w:szCs w:val="18"/>
                <w:lang w:val="fr-FR"/>
              </w:rPr>
              <w:t>Actions prévues</w:t>
            </w:r>
          </w:p>
        </w:tc>
        <w:tc>
          <w:tcPr>
            <w:tcW w:w="3604" w:type="dxa"/>
            <w:shd w:val="clear" w:color="auto" w:fill="D9D9D9"/>
            <w:vAlign w:val="center"/>
          </w:tcPr>
          <w:p w14:paraId="182D11D0" w14:textId="0D45AA66" w:rsidR="00356366" w:rsidRPr="001E6B5E" w:rsidRDefault="00356366" w:rsidP="00453900">
            <w:pPr>
              <w:adjustRightInd w:val="0"/>
              <w:spacing w:before="100" w:after="100"/>
              <w:jc w:val="center"/>
              <w:textAlignment w:val="baseline"/>
              <w:rPr>
                <w:b/>
                <w:bCs/>
                <w:sz w:val="18"/>
                <w:szCs w:val="18"/>
                <w:lang w:val="fr-FR"/>
              </w:rPr>
            </w:pPr>
            <w:r w:rsidRPr="001E6B5E">
              <w:rPr>
                <w:b/>
                <w:bCs/>
                <w:sz w:val="18"/>
                <w:szCs w:val="18"/>
                <w:lang w:val="fr-FR"/>
              </w:rPr>
              <w:t>État d’avancement en avril 202</w:t>
            </w:r>
            <w:r w:rsidR="00500129" w:rsidRPr="001E6B5E">
              <w:rPr>
                <w:b/>
                <w:bCs/>
                <w:sz w:val="18"/>
                <w:szCs w:val="18"/>
                <w:lang w:val="fr-FR"/>
              </w:rPr>
              <w:t>5</w:t>
            </w:r>
          </w:p>
        </w:tc>
        <w:tc>
          <w:tcPr>
            <w:tcW w:w="1843" w:type="dxa"/>
            <w:shd w:val="clear" w:color="auto" w:fill="D9D9D9"/>
            <w:vAlign w:val="center"/>
          </w:tcPr>
          <w:p w14:paraId="14111ABA" w14:textId="77777777" w:rsidR="00356366" w:rsidRPr="001E6B5E" w:rsidRDefault="00356366" w:rsidP="00453900">
            <w:pPr>
              <w:adjustRightInd w:val="0"/>
              <w:spacing w:before="100" w:after="100"/>
              <w:jc w:val="center"/>
              <w:textAlignment w:val="baseline"/>
              <w:rPr>
                <w:b/>
                <w:bCs/>
                <w:sz w:val="18"/>
                <w:szCs w:val="18"/>
                <w:lang w:val="fr-FR"/>
              </w:rPr>
            </w:pPr>
            <w:r w:rsidRPr="001E6B5E">
              <w:rPr>
                <w:b/>
                <w:bCs/>
                <w:sz w:val="18"/>
                <w:szCs w:val="18"/>
                <w:lang w:val="fr-FR"/>
              </w:rPr>
              <w:t>Unité(s) responsable(s)</w:t>
            </w:r>
          </w:p>
        </w:tc>
        <w:tc>
          <w:tcPr>
            <w:tcW w:w="2126" w:type="dxa"/>
            <w:shd w:val="clear" w:color="auto" w:fill="D9D9D9"/>
            <w:vAlign w:val="center"/>
          </w:tcPr>
          <w:p w14:paraId="6F3B13F4" w14:textId="77777777" w:rsidR="00356366" w:rsidRPr="001E6B5E" w:rsidRDefault="00356366" w:rsidP="00453900">
            <w:pPr>
              <w:adjustRightInd w:val="0"/>
              <w:spacing w:before="100" w:after="100"/>
              <w:jc w:val="center"/>
              <w:textAlignment w:val="baseline"/>
              <w:rPr>
                <w:b/>
                <w:bCs/>
                <w:sz w:val="18"/>
                <w:szCs w:val="18"/>
                <w:lang w:val="fr-FR"/>
              </w:rPr>
            </w:pPr>
            <w:r w:rsidRPr="001E6B5E">
              <w:rPr>
                <w:b/>
                <w:bCs/>
                <w:sz w:val="18"/>
                <w:szCs w:val="18"/>
                <w:lang w:val="fr-FR"/>
              </w:rPr>
              <w:t>Date d’achèvement estimée</w:t>
            </w:r>
          </w:p>
        </w:tc>
      </w:tr>
      <w:tr w:rsidR="00356366" w:rsidRPr="001E6B5E" w14:paraId="4EE552C3" w14:textId="77777777" w:rsidTr="001E6B5E">
        <w:tc>
          <w:tcPr>
            <w:tcW w:w="3095" w:type="dxa"/>
            <w:tcMar>
              <w:right w:w="57" w:type="dxa"/>
            </w:tcMar>
          </w:tcPr>
          <w:p w14:paraId="7695AF9C" w14:textId="77777777" w:rsidR="00356366" w:rsidRPr="001E6B5E" w:rsidRDefault="00356366" w:rsidP="001E6B5E">
            <w:pPr>
              <w:adjustRightInd w:val="0"/>
              <w:spacing w:before="40" w:after="120"/>
              <w:textAlignment w:val="baseline"/>
              <w:rPr>
                <w:b/>
                <w:bCs/>
                <w:sz w:val="18"/>
                <w:szCs w:val="18"/>
                <w:lang w:val="fr-FR"/>
              </w:rPr>
            </w:pPr>
            <w:r w:rsidRPr="001E6B5E">
              <w:rPr>
                <w:b/>
                <w:bCs/>
                <w:sz w:val="18"/>
                <w:szCs w:val="18"/>
                <w:lang w:val="fr-FR"/>
              </w:rPr>
              <w:t>Recommandation 1 :</w:t>
            </w:r>
          </w:p>
          <w:p w14:paraId="677EED0E" w14:textId="77777777" w:rsidR="00356366" w:rsidRPr="001E6B5E" w:rsidRDefault="00356366" w:rsidP="00F04CD6">
            <w:pPr>
              <w:adjustRightInd w:val="0"/>
              <w:spacing w:before="120" w:after="80"/>
              <w:textAlignment w:val="baseline"/>
              <w:rPr>
                <w:spacing w:val="-4"/>
                <w:sz w:val="18"/>
                <w:szCs w:val="18"/>
                <w:lang w:val="fr-FR"/>
              </w:rPr>
            </w:pPr>
            <w:r w:rsidRPr="001E6B5E">
              <w:rPr>
                <w:spacing w:val="-4"/>
                <w:sz w:val="18"/>
                <w:szCs w:val="18"/>
                <w:lang w:val="fr-FR"/>
              </w:rPr>
              <w:t>D’ici à septembre 2022 – Donner suite à la demande exprimée par l’Assemblée de la COI à sa 30</w:t>
            </w:r>
            <w:r w:rsidRPr="001E6B5E">
              <w:rPr>
                <w:spacing w:val="-4"/>
                <w:sz w:val="18"/>
                <w:szCs w:val="18"/>
                <w:vertAlign w:val="superscript"/>
                <w:lang w:val="fr-FR"/>
              </w:rPr>
              <w:t>e</w:t>
            </w:r>
            <w:r w:rsidRPr="001E6B5E">
              <w:rPr>
                <w:spacing w:val="-4"/>
                <w:sz w:val="18"/>
                <w:szCs w:val="18"/>
                <w:lang w:val="fr-FR"/>
              </w:rPr>
              <w:t> session, en estimant les ressources nécessaires et en accélérant l’application des dispositions de l’article 10.4 des Statuts de la Commission de façon à optimiser le fonctionnement de la COI et à déterminer le cadre organisationnel le plus approprié au regard du rôle mondial qui est envisagé pour la COI dans la gestion de l’océan sur des bases scientifiques, ainsi que de ses attributions de chef de file de la Décennie pour les sciences océaniques.</w:t>
            </w:r>
          </w:p>
        </w:tc>
        <w:tc>
          <w:tcPr>
            <w:tcW w:w="3786" w:type="dxa"/>
            <w:tcMar>
              <w:left w:w="85" w:type="dxa"/>
              <w:right w:w="85" w:type="dxa"/>
            </w:tcMar>
          </w:tcPr>
          <w:p w14:paraId="0B5915D2" w14:textId="77777777" w:rsidR="00356366" w:rsidRPr="001E6B5E" w:rsidRDefault="00356366" w:rsidP="001E6B5E">
            <w:pPr>
              <w:adjustRightInd w:val="0"/>
              <w:spacing w:before="40" w:after="120"/>
              <w:textAlignment w:val="baseline"/>
              <w:rPr>
                <w:sz w:val="18"/>
                <w:szCs w:val="18"/>
                <w:lang w:val="fr-FR"/>
              </w:rPr>
            </w:pPr>
            <w:r w:rsidRPr="001E6B5E">
              <w:rPr>
                <w:sz w:val="18"/>
                <w:szCs w:val="18"/>
                <w:lang w:val="fr-FR"/>
              </w:rPr>
              <w:t>1.1 Obtenir des conseils juridiques professionnels sur les incidences de l’application de l’article 10.4 des Statuts de la COI pour mobiliser des fonds supplémentaires en faveur de la Commission afin d’assurer la mise en œuvre efficace et continue de ses programmes mondiaux et régionaux, y compris la Décennie de l’Océan ;</w:t>
            </w:r>
          </w:p>
        </w:tc>
        <w:tc>
          <w:tcPr>
            <w:tcW w:w="3604" w:type="dxa"/>
            <w:tcMar>
              <w:left w:w="85" w:type="dxa"/>
              <w:right w:w="85" w:type="dxa"/>
            </w:tcMar>
          </w:tcPr>
          <w:p w14:paraId="73A6C3B2" w14:textId="2A0053A0" w:rsidR="00356366" w:rsidRPr="001E6B5E" w:rsidRDefault="009C09A2" w:rsidP="001E6B5E">
            <w:pPr>
              <w:adjustRightInd w:val="0"/>
              <w:spacing w:before="40" w:after="80"/>
              <w:textAlignment w:val="baseline"/>
              <w:rPr>
                <w:spacing w:val="-3"/>
                <w:sz w:val="18"/>
                <w:szCs w:val="18"/>
                <w:lang w:val="fr-FR"/>
              </w:rPr>
            </w:pPr>
            <w:r w:rsidRPr="001E6B5E">
              <w:rPr>
                <w:spacing w:val="-3"/>
                <w:sz w:val="18"/>
                <w:szCs w:val="18"/>
                <w:lang w:val="fr-FR"/>
              </w:rPr>
              <w:t xml:space="preserve">1.1 </w:t>
            </w:r>
            <w:r w:rsidR="00356366" w:rsidRPr="001E6B5E">
              <w:rPr>
                <w:spacing w:val="-3"/>
                <w:sz w:val="18"/>
                <w:szCs w:val="18"/>
                <w:lang w:val="fr-FR"/>
              </w:rPr>
              <w:t>La Lettre circulaire n°2912 a permis de mettre en œuvre la décision du Conseil exécutif de la COI à sa 55</w:t>
            </w:r>
            <w:r w:rsidR="00356366" w:rsidRPr="001E6B5E">
              <w:rPr>
                <w:spacing w:val="-3"/>
                <w:sz w:val="18"/>
                <w:szCs w:val="18"/>
                <w:vertAlign w:val="superscript"/>
                <w:lang w:val="fr-FR"/>
              </w:rPr>
              <w:t>e</w:t>
            </w:r>
            <w:r w:rsidR="00356366" w:rsidRPr="001E6B5E">
              <w:rPr>
                <w:spacing w:val="-3"/>
                <w:sz w:val="18"/>
                <w:szCs w:val="18"/>
                <w:lang w:val="fr-FR"/>
              </w:rPr>
              <w:t> session, dans laquelle il prie le Secrétaire exécutif d’élaborer « une estimation du budget nécessaire, y compris des besoins en ressources humaines, pour exécuter dans la durée les programmes fondamentaux de la COI et développer les activités de la Commission en réponse au nombre croissant de demandes des États membres et d’autres parties prenantes » (voir résolutions IOC-XXX-3 et EC-55/2). Compte tenu de sa portée stratégique et de son ambition à moyen et long termes, la proposition doit être examinée plus avant par les États membres et s’inscrira dans le cadre du vaste processus de consultation sur « La COI et l’avenir de l’océan ».</w:t>
            </w:r>
          </w:p>
        </w:tc>
        <w:tc>
          <w:tcPr>
            <w:tcW w:w="1843" w:type="dxa"/>
          </w:tcPr>
          <w:p w14:paraId="5FAE7C86" w14:textId="77777777" w:rsidR="00356366" w:rsidRPr="001E6B5E" w:rsidRDefault="00356366" w:rsidP="001E6B5E">
            <w:pPr>
              <w:adjustRightInd w:val="0"/>
              <w:spacing w:before="40" w:after="120"/>
              <w:textAlignment w:val="baseline"/>
              <w:rPr>
                <w:sz w:val="18"/>
                <w:szCs w:val="18"/>
                <w:lang w:val="fr-FR"/>
              </w:rPr>
            </w:pPr>
            <w:r w:rsidRPr="001E6B5E">
              <w:rPr>
                <w:sz w:val="18"/>
                <w:szCs w:val="18"/>
                <w:lang w:val="fr-FR"/>
              </w:rPr>
              <w:t>Secrétaire exécutif de la COI, en consultation avec BSP et LA</w:t>
            </w:r>
          </w:p>
        </w:tc>
        <w:tc>
          <w:tcPr>
            <w:tcW w:w="2126" w:type="dxa"/>
          </w:tcPr>
          <w:p w14:paraId="43EBFA12" w14:textId="4A98C951" w:rsidR="00356366" w:rsidRPr="001E6B5E" w:rsidRDefault="009C09A2" w:rsidP="001E6B5E">
            <w:pPr>
              <w:adjustRightInd w:val="0"/>
              <w:spacing w:before="40" w:after="120"/>
              <w:textAlignment w:val="baseline"/>
              <w:rPr>
                <w:sz w:val="18"/>
                <w:szCs w:val="18"/>
                <w:lang w:val="fr-FR"/>
              </w:rPr>
            </w:pPr>
            <w:r w:rsidRPr="001E6B5E">
              <w:rPr>
                <w:sz w:val="18"/>
                <w:szCs w:val="18"/>
                <w:lang w:val="fr-FR"/>
              </w:rPr>
              <w:t>4</w:t>
            </w:r>
            <w:r w:rsidR="00356366" w:rsidRPr="001E6B5E">
              <w:rPr>
                <w:sz w:val="18"/>
                <w:szCs w:val="18"/>
                <w:vertAlign w:val="superscript"/>
                <w:lang w:val="fr-FR"/>
              </w:rPr>
              <w:t>e</w:t>
            </w:r>
            <w:r w:rsidR="00356366" w:rsidRPr="001E6B5E">
              <w:rPr>
                <w:sz w:val="18"/>
                <w:szCs w:val="18"/>
                <w:lang w:val="fr-FR"/>
              </w:rPr>
              <w:t xml:space="preserve"> trimestre 2025 – document </w:t>
            </w:r>
            <w:r w:rsidRPr="001E6B5E">
              <w:rPr>
                <w:sz w:val="18"/>
                <w:szCs w:val="18"/>
                <w:lang w:val="fr-FR"/>
              </w:rPr>
              <w:t>à soumettre à l’examen du Groupe consultatif financier intersessions et</w:t>
            </w:r>
            <w:r w:rsidR="00857C68" w:rsidRPr="001E6B5E">
              <w:rPr>
                <w:sz w:val="18"/>
                <w:szCs w:val="18"/>
                <w:lang w:val="fr-FR"/>
              </w:rPr>
              <w:t xml:space="preserve"> à</w:t>
            </w:r>
            <w:r w:rsidR="00356366" w:rsidRPr="001E6B5E">
              <w:rPr>
                <w:sz w:val="18"/>
                <w:szCs w:val="18"/>
                <w:lang w:val="fr-FR"/>
              </w:rPr>
              <w:t xml:space="preserve"> la </w:t>
            </w:r>
            <w:r w:rsidRPr="001E6B5E">
              <w:rPr>
                <w:sz w:val="18"/>
                <w:szCs w:val="18"/>
                <w:lang w:val="fr-FR"/>
              </w:rPr>
              <w:t>59</w:t>
            </w:r>
            <w:r w:rsidR="00356366" w:rsidRPr="001E6B5E">
              <w:rPr>
                <w:sz w:val="18"/>
                <w:szCs w:val="18"/>
                <w:vertAlign w:val="superscript"/>
                <w:lang w:val="fr-FR"/>
              </w:rPr>
              <w:t>e</w:t>
            </w:r>
            <w:r w:rsidR="00356366" w:rsidRPr="001E6B5E">
              <w:rPr>
                <w:sz w:val="18"/>
                <w:szCs w:val="18"/>
                <w:lang w:val="fr-FR"/>
              </w:rPr>
              <w:t xml:space="preserve"> session </w:t>
            </w:r>
            <w:r w:rsidRPr="001E6B5E">
              <w:rPr>
                <w:sz w:val="18"/>
                <w:szCs w:val="18"/>
                <w:lang w:val="fr-FR"/>
              </w:rPr>
              <w:t>du Conseil exécutif</w:t>
            </w:r>
            <w:r w:rsidR="00356366" w:rsidRPr="001E6B5E">
              <w:rPr>
                <w:sz w:val="18"/>
                <w:szCs w:val="18"/>
                <w:lang w:val="fr-FR"/>
              </w:rPr>
              <w:t xml:space="preserve"> de la COI</w:t>
            </w:r>
          </w:p>
        </w:tc>
      </w:tr>
      <w:tr w:rsidR="00356366" w:rsidRPr="001E6B5E" w14:paraId="0BBCB7C8" w14:textId="77777777" w:rsidTr="001E6B5E">
        <w:tc>
          <w:tcPr>
            <w:tcW w:w="3095" w:type="dxa"/>
          </w:tcPr>
          <w:p w14:paraId="4EA4F4F4" w14:textId="77777777" w:rsidR="00356366" w:rsidRPr="001E6B5E" w:rsidRDefault="00356366" w:rsidP="00F04CD6">
            <w:pPr>
              <w:adjustRightInd w:val="0"/>
              <w:spacing w:before="60" w:after="120"/>
              <w:textAlignment w:val="baseline"/>
              <w:rPr>
                <w:sz w:val="18"/>
                <w:szCs w:val="18"/>
                <w:lang w:val="fr-FR"/>
              </w:rPr>
            </w:pPr>
          </w:p>
        </w:tc>
        <w:tc>
          <w:tcPr>
            <w:tcW w:w="3786" w:type="dxa"/>
            <w:tcMar>
              <w:left w:w="85" w:type="dxa"/>
              <w:right w:w="85" w:type="dxa"/>
            </w:tcMar>
          </w:tcPr>
          <w:p w14:paraId="295626FC" w14:textId="77777777" w:rsidR="00356366" w:rsidRPr="001E6B5E" w:rsidRDefault="00356366" w:rsidP="001E6B5E">
            <w:pPr>
              <w:adjustRightInd w:val="0"/>
              <w:spacing w:before="40" w:after="80"/>
              <w:textAlignment w:val="baseline"/>
              <w:rPr>
                <w:sz w:val="18"/>
                <w:szCs w:val="18"/>
                <w:lang w:val="fr-FR"/>
              </w:rPr>
            </w:pPr>
            <w:r w:rsidRPr="001E6B5E">
              <w:rPr>
                <w:sz w:val="18"/>
                <w:szCs w:val="18"/>
                <w:lang w:val="fr-FR"/>
              </w:rPr>
              <w:t>1.2 En coopération avec le Bureau de la planification stratégique (BSP) de l’UNESCO, mettre en place un dialogue structuré sur le financement en vue d’attirer de nouveaux donateurs ; pour y parvenir, former un petit groupe d’États membres, peut</w:t>
            </w:r>
            <w:r w:rsidRPr="001E6B5E">
              <w:rPr>
                <w:sz w:val="18"/>
                <w:szCs w:val="18"/>
                <w:lang w:val="fr-FR"/>
              </w:rPr>
              <w:noBreakHyphen/>
              <w:t>être les principaux contributeurs actuels, qui pourraient servir d’agents de plaidoyer et mener des discussions avec leurs homologues sur la mobilisation de ressources et l’engagement ;</w:t>
            </w:r>
          </w:p>
        </w:tc>
        <w:tc>
          <w:tcPr>
            <w:tcW w:w="3604" w:type="dxa"/>
            <w:tcMar>
              <w:left w:w="85" w:type="dxa"/>
              <w:right w:w="85" w:type="dxa"/>
            </w:tcMar>
          </w:tcPr>
          <w:p w14:paraId="69224C10" w14:textId="222279D1" w:rsidR="00356366" w:rsidRPr="001E6B5E" w:rsidRDefault="00356366" w:rsidP="001E6B5E">
            <w:pPr>
              <w:adjustRightInd w:val="0"/>
              <w:spacing w:before="40" w:after="80"/>
              <w:textAlignment w:val="baseline"/>
              <w:rPr>
                <w:b/>
                <w:sz w:val="18"/>
                <w:szCs w:val="18"/>
                <w:lang w:val="fr-FR"/>
              </w:rPr>
            </w:pPr>
            <w:r w:rsidRPr="001E6B5E">
              <w:rPr>
                <w:b/>
                <w:sz w:val="18"/>
                <w:szCs w:val="18"/>
                <w:lang w:val="fr-FR"/>
              </w:rPr>
              <w:t xml:space="preserve">1.2 </w:t>
            </w:r>
            <w:r w:rsidR="00857C68" w:rsidRPr="001E6B5E">
              <w:rPr>
                <w:b/>
                <w:sz w:val="18"/>
                <w:szCs w:val="18"/>
                <w:lang w:val="fr-FR"/>
              </w:rPr>
              <w:t>L</w:t>
            </w:r>
            <w:r w:rsidR="005A17BD" w:rsidRPr="001E6B5E">
              <w:rPr>
                <w:b/>
                <w:sz w:val="18"/>
                <w:szCs w:val="18"/>
                <w:lang w:val="fr-FR"/>
              </w:rPr>
              <w:t>e dernier</w:t>
            </w:r>
            <w:r w:rsidR="00857C68" w:rsidRPr="001E6B5E">
              <w:rPr>
                <w:b/>
                <w:sz w:val="18"/>
                <w:szCs w:val="18"/>
                <w:lang w:val="fr-FR"/>
              </w:rPr>
              <w:t xml:space="preserve"> </w:t>
            </w:r>
            <w:r w:rsidR="005A17BD" w:rsidRPr="001E6B5E">
              <w:rPr>
                <w:b/>
                <w:sz w:val="18"/>
                <w:szCs w:val="18"/>
                <w:lang w:val="fr-FR"/>
              </w:rPr>
              <w:t>d</w:t>
            </w:r>
            <w:r w:rsidR="00857C68" w:rsidRPr="001E6B5E">
              <w:rPr>
                <w:b/>
                <w:sz w:val="18"/>
                <w:szCs w:val="18"/>
                <w:lang w:val="fr-FR"/>
              </w:rPr>
              <w:t>ialogue structuré sur le financement de l’UNESCO a eu lieu en juin 2024. La COI continuera d’y participer selon les besoins. À plus long terme, la stratégie de mobilisation de ressources et de communication de la COI à l’appui de la mise en œuvre de la Stratégie à moyen</w:t>
            </w:r>
            <w:r w:rsidR="004C5804" w:rsidRPr="001E6B5E">
              <w:rPr>
                <w:b/>
                <w:sz w:val="18"/>
                <w:szCs w:val="18"/>
                <w:lang w:val="fr-FR"/>
              </w:rPr>
              <w:t xml:space="preserve"> </w:t>
            </w:r>
            <w:r w:rsidR="00857C68" w:rsidRPr="001E6B5E">
              <w:rPr>
                <w:b/>
                <w:sz w:val="18"/>
                <w:szCs w:val="18"/>
                <w:lang w:val="fr-FR"/>
              </w:rPr>
              <w:t>terme sera également élaborée dans le cadre du processus de consultation « La COI et l’avenir de l’océan ».</w:t>
            </w:r>
          </w:p>
        </w:tc>
        <w:tc>
          <w:tcPr>
            <w:tcW w:w="1843" w:type="dxa"/>
          </w:tcPr>
          <w:p w14:paraId="63CCFCB1" w14:textId="77777777" w:rsidR="00356366" w:rsidRPr="001E6B5E" w:rsidRDefault="00356366" w:rsidP="001E6B5E">
            <w:pPr>
              <w:adjustRightInd w:val="0"/>
              <w:spacing w:before="40" w:after="120"/>
              <w:textAlignment w:val="baseline"/>
              <w:rPr>
                <w:sz w:val="18"/>
                <w:szCs w:val="18"/>
                <w:lang w:val="fr-FR"/>
              </w:rPr>
            </w:pPr>
            <w:r w:rsidRPr="001E6B5E">
              <w:rPr>
                <w:sz w:val="18"/>
                <w:szCs w:val="18"/>
                <w:lang w:val="fr-FR"/>
              </w:rPr>
              <w:t>Secrétaire exécutif de la COI, en consultation avec BSP et le Bureau de la COI</w:t>
            </w:r>
          </w:p>
        </w:tc>
        <w:tc>
          <w:tcPr>
            <w:tcW w:w="2126" w:type="dxa"/>
          </w:tcPr>
          <w:p w14:paraId="4A070E4F" w14:textId="53CDEA3E" w:rsidR="00356366" w:rsidRPr="001E6B5E" w:rsidRDefault="003E7932" w:rsidP="001E6B5E">
            <w:pPr>
              <w:adjustRightInd w:val="0"/>
              <w:spacing w:before="40" w:after="120"/>
              <w:textAlignment w:val="baseline"/>
              <w:rPr>
                <w:b/>
                <w:sz w:val="18"/>
                <w:szCs w:val="18"/>
                <w:lang w:val="fr-FR"/>
              </w:rPr>
            </w:pPr>
            <w:r w:rsidRPr="001E6B5E">
              <w:rPr>
                <w:b/>
                <w:sz w:val="18"/>
                <w:szCs w:val="18"/>
                <w:lang w:val="fr-FR"/>
              </w:rPr>
              <w:t>Achevée</w:t>
            </w:r>
          </w:p>
        </w:tc>
      </w:tr>
      <w:tr w:rsidR="00356366" w:rsidRPr="001E6B5E" w14:paraId="194CAD4C" w14:textId="77777777" w:rsidTr="001E6B5E">
        <w:tc>
          <w:tcPr>
            <w:tcW w:w="3095" w:type="dxa"/>
          </w:tcPr>
          <w:p w14:paraId="61E32748" w14:textId="77777777" w:rsidR="00356366" w:rsidRPr="001E6B5E" w:rsidRDefault="00356366" w:rsidP="00F04CD6">
            <w:pPr>
              <w:adjustRightInd w:val="0"/>
              <w:spacing w:before="60" w:after="120"/>
              <w:textAlignment w:val="baseline"/>
              <w:rPr>
                <w:sz w:val="18"/>
                <w:szCs w:val="18"/>
                <w:lang w:val="fr-FR"/>
              </w:rPr>
            </w:pPr>
          </w:p>
        </w:tc>
        <w:tc>
          <w:tcPr>
            <w:tcW w:w="3786" w:type="dxa"/>
            <w:tcMar>
              <w:left w:w="85" w:type="dxa"/>
              <w:right w:w="85" w:type="dxa"/>
            </w:tcMar>
          </w:tcPr>
          <w:p w14:paraId="6266D4C3" w14:textId="77777777" w:rsidR="00356366" w:rsidRPr="001E6B5E" w:rsidRDefault="00356366" w:rsidP="001E6B5E">
            <w:pPr>
              <w:adjustRightInd w:val="0"/>
              <w:spacing w:before="40" w:after="120"/>
              <w:textAlignment w:val="baseline"/>
              <w:rPr>
                <w:sz w:val="18"/>
                <w:szCs w:val="18"/>
                <w:lang w:val="fr-FR"/>
              </w:rPr>
            </w:pPr>
            <w:r w:rsidRPr="001E6B5E">
              <w:rPr>
                <w:sz w:val="18"/>
                <w:szCs w:val="18"/>
                <w:lang w:val="fr-FR"/>
              </w:rPr>
              <w:t>1.3 Étudier les possibilités d’organiser tous les quatre ans un forum de haut niveau sur la prise de décisions, éventuellement en liaison avec l’Assemblée de la COI ;</w:t>
            </w:r>
          </w:p>
        </w:tc>
        <w:tc>
          <w:tcPr>
            <w:tcW w:w="3604" w:type="dxa"/>
            <w:tcMar>
              <w:left w:w="85" w:type="dxa"/>
              <w:right w:w="85" w:type="dxa"/>
            </w:tcMar>
          </w:tcPr>
          <w:p w14:paraId="1DFD345A" w14:textId="77777777" w:rsidR="00356366" w:rsidRPr="001E6B5E" w:rsidRDefault="00356366" w:rsidP="001E6B5E">
            <w:pPr>
              <w:adjustRightInd w:val="0"/>
              <w:spacing w:before="40" w:after="60"/>
              <w:textAlignment w:val="baseline"/>
              <w:rPr>
                <w:sz w:val="18"/>
                <w:szCs w:val="18"/>
                <w:lang w:val="fr-FR"/>
              </w:rPr>
            </w:pPr>
            <w:r w:rsidRPr="001E6B5E">
              <w:rPr>
                <w:sz w:val="18"/>
                <w:szCs w:val="18"/>
                <w:lang w:val="fr-FR"/>
              </w:rPr>
              <w:t>À reporter en attendant le lancement et les résultats de la consultation des États membres sur « La COI et l’avenir de l’océan », qui permettra d’identifier les lacunes en matière de connaissances et de déterminer dans quelle mesure la science est bien intégrée dans les cadres multilatéraux relatifs à l’océan, à mettre en œuvre de juin 2024 à juin 2027.</w:t>
            </w:r>
          </w:p>
        </w:tc>
        <w:tc>
          <w:tcPr>
            <w:tcW w:w="1843" w:type="dxa"/>
          </w:tcPr>
          <w:p w14:paraId="15CE2FAC" w14:textId="1AD77F4C" w:rsidR="00356366" w:rsidRPr="001E6B5E" w:rsidRDefault="00356366" w:rsidP="001E6B5E">
            <w:pPr>
              <w:adjustRightInd w:val="0"/>
              <w:spacing w:before="40" w:after="120"/>
              <w:textAlignment w:val="baseline"/>
              <w:rPr>
                <w:sz w:val="18"/>
                <w:szCs w:val="18"/>
                <w:lang w:val="fr-FR"/>
              </w:rPr>
            </w:pPr>
            <w:r w:rsidRPr="001E6B5E">
              <w:rPr>
                <w:sz w:val="18"/>
                <w:szCs w:val="18"/>
                <w:lang w:val="fr-FR"/>
              </w:rPr>
              <w:t>Secrétaire exécutif de la COI et coordonnateur de la Décennie</w:t>
            </w:r>
          </w:p>
        </w:tc>
        <w:tc>
          <w:tcPr>
            <w:tcW w:w="2126" w:type="dxa"/>
            <w:tcMar>
              <w:right w:w="57" w:type="dxa"/>
            </w:tcMar>
          </w:tcPr>
          <w:p w14:paraId="22079E32" w14:textId="5A55123F" w:rsidR="00356366" w:rsidRPr="001E6B5E" w:rsidRDefault="00356366" w:rsidP="001E6B5E">
            <w:pPr>
              <w:adjustRightInd w:val="0"/>
              <w:spacing w:before="40" w:after="120"/>
              <w:textAlignment w:val="baseline"/>
              <w:rPr>
                <w:sz w:val="18"/>
                <w:szCs w:val="18"/>
                <w:lang w:val="fr-FR"/>
              </w:rPr>
            </w:pPr>
            <w:r w:rsidRPr="001E6B5E">
              <w:rPr>
                <w:sz w:val="18"/>
                <w:szCs w:val="18"/>
                <w:lang w:val="fr-FR"/>
              </w:rPr>
              <w:t>2</w:t>
            </w:r>
            <w:r w:rsidRPr="001E6B5E">
              <w:rPr>
                <w:sz w:val="18"/>
                <w:szCs w:val="18"/>
                <w:vertAlign w:val="superscript"/>
                <w:lang w:val="fr-FR"/>
              </w:rPr>
              <w:t>e</w:t>
            </w:r>
            <w:r w:rsidRPr="001E6B5E">
              <w:rPr>
                <w:sz w:val="18"/>
                <w:szCs w:val="18"/>
                <w:lang w:val="fr-FR"/>
              </w:rPr>
              <w:t> trimestre 2027</w:t>
            </w:r>
            <w:r w:rsidR="003E7932" w:rsidRPr="001E6B5E">
              <w:rPr>
                <w:sz w:val="18"/>
                <w:szCs w:val="18"/>
                <w:lang w:val="fr-FR"/>
              </w:rPr>
              <w:t xml:space="preserve"> </w:t>
            </w:r>
            <w:r w:rsidR="003E7932" w:rsidRPr="001E6B5E">
              <w:rPr>
                <w:b/>
                <w:sz w:val="18"/>
                <w:szCs w:val="18"/>
                <w:lang w:val="fr-FR"/>
              </w:rPr>
              <w:t>(A-34)</w:t>
            </w:r>
          </w:p>
        </w:tc>
      </w:tr>
      <w:tr w:rsidR="00356366" w:rsidRPr="00E61196" w14:paraId="4A2403E6" w14:textId="77777777" w:rsidTr="001E6B5E">
        <w:tc>
          <w:tcPr>
            <w:tcW w:w="3095" w:type="dxa"/>
          </w:tcPr>
          <w:p w14:paraId="2DA0FAE0" w14:textId="77777777" w:rsidR="00356366" w:rsidRPr="001E6B5E" w:rsidRDefault="00356366" w:rsidP="00F04CD6">
            <w:pPr>
              <w:adjustRightInd w:val="0"/>
              <w:spacing w:before="60" w:after="120"/>
              <w:textAlignment w:val="baseline"/>
              <w:rPr>
                <w:sz w:val="18"/>
                <w:szCs w:val="18"/>
                <w:lang w:val="fr-FR"/>
              </w:rPr>
            </w:pPr>
          </w:p>
        </w:tc>
        <w:tc>
          <w:tcPr>
            <w:tcW w:w="3786" w:type="dxa"/>
            <w:tcMar>
              <w:left w:w="85" w:type="dxa"/>
              <w:right w:w="85" w:type="dxa"/>
            </w:tcMar>
          </w:tcPr>
          <w:p w14:paraId="13C53B0B" w14:textId="77777777" w:rsidR="00356366" w:rsidRPr="001E6B5E" w:rsidRDefault="00356366" w:rsidP="00F04CD6">
            <w:pPr>
              <w:adjustRightInd w:val="0"/>
              <w:spacing w:before="80" w:after="120"/>
              <w:textAlignment w:val="baseline"/>
              <w:rPr>
                <w:sz w:val="18"/>
                <w:szCs w:val="18"/>
                <w:lang w:val="fr-FR"/>
              </w:rPr>
            </w:pPr>
            <w:r w:rsidRPr="001E6B5E">
              <w:rPr>
                <w:sz w:val="18"/>
                <w:szCs w:val="18"/>
                <w:lang w:val="fr-FR"/>
              </w:rPr>
              <w:t>1.4 Produire un message stratégique autour d’un cadre directeur à l’échelle de la COI pour la planification et la gestion durables des océans et ancrer solidement ce cadre dans la Décennie de l’Océan.</w:t>
            </w:r>
          </w:p>
        </w:tc>
        <w:tc>
          <w:tcPr>
            <w:tcW w:w="3604" w:type="dxa"/>
            <w:tcMar>
              <w:left w:w="85" w:type="dxa"/>
              <w:right w:w="85" w:type="dxa"/>
            </w:tcMar>
          </w:tcPr>
          <w:p w14:paraId="1076DC68" w14:textId="2B2862A5" w:rsidR="00356366" w:rsidRPr="001E6B5E" w:rsidRDefault="00B24258" w:rsidP="00453900">
            <w:pPr>
              <w:adjustRightInd w:val="0"/>
              <w:spacing w:before="80" w:after="60"/>
              <w:textAlignment w:val="baseline"/>
              <w:rPr>
                <w:spacing w:val="-2"/>
                <w:sz w:val="18"/>
                <w:szCs w:val="18"/>
                <w:lang w:val="fr-FR"/>
              </w:rPr>
            </w:pPr>
            <w:r w:rsidRPr="001E6B5E">
              <w:rPr>
                <w:b/>
                <w:spacing w:val="-2"/>
                <w:sz w:val="18"/>
                <w:szCs w:val="18"/>
                <w:lang w:val="fr-FR"/>
              </w:rPr>
              <w:t>Le Conseil exécutif, à sa 57</w:t>
            </w:r>
            <w:r w:rsidRPr="001E6B5E">
              <w:rPr>
                <w:b/>
                <w:spacing w:val="-2"/>
                <w:sz w:val="18"/>
                <w:szCs w:val="18"/>
                <w:vertAlign w:val="superscript"/>
                <w:lang w:val="fr-FR"/>
              </w:rPr>
              <w:t>e</w:t>
            </w:r>
            <w:r w:rsidRPr="001E6B5E">
              <w:rPr>
                <w:b/>
                <w:spacing w:val="-2"/>
                <w:sz w:val="18"/>
                <w:szCs w:val="18"/>
                <w:lang w:val="fr-FR"/>
              </w:rPr>
              <w:t xml:space="preserve"> session, a </w:t>
            </w:r>
            <w:r w:rsidR="005A17BD" w:rsidRPr="001E6B5E">
              <w:rPr>
                <w:b/>
                <w:spacing w:val="-2"/>
                <w:sz w:val="18"/>
                <w:szCs w:val="18"/>
                <w:lang w:val="fr-FR"/>
              </w:rPr>
              <w:t>apporté des contributions</w:t>
            </w:r>
            <w:r w:rsidRPr="001E6B5E">
              <w:rPr>
                <w:b/>
                <w:spacing w:val="-2"/>
                <w:sz w:val="18"/>
                <w:szCs w:val="18"/>
                <w:lang w:val="fr-FR"/>
              </w:rPr>
              <w:t xml:space="preserve"> au projet de stratégie sur la planification et la gestion durables de l’océan, qui définit des objectifs et des messages stratégiques, et a décidé d’établir un groupe de travail intersessions </w:t>
            </w:r>
            <w:r w:rsidR="002B5713" w:rsidRPr="001E6B5E">
              <w:rPr>
                <w:b/>
                <w:spacing w:val="-2"/>
                <w:sz w:val="18"/>
                <w:szCs w:val="18"/>
                <w:lang w:val="fr-FR"/>
              </w:rPr>
              <w:t>chargé de</w:t>
            </w:r>
            <w:r w:rsidRPr="001E6B5E">
              <w:rPr>
                <w:b/>
                <w:spacing w:val="-2"/>
                <w:sz w:val="18"/>
                <w:szCs w:val="18"/>
                <w:lang w:val="fr-FR"/>
              </w:rPr>
              <w:t xml:space="preserve"> finaliser la Stratégie et le plan de mise en œuvre correspondant. Le groupe de travail s’est réuni une fois en présentiel et deux fois en ligne en 2025.</w:t>
            </w:r>
            <w:r w:rsidR="002B5713" w:rsidRPr="001E6B5E">
              <w:rPr>
                <w:b/>
                <w:spacing w:val="-2"/>
                <w:sz w:val="18"/>
                <w:szCs w:val="18"/>
                <w:lang w:val="fr-FR"/>
              </w:rPr>
              <w:t xml:space="preserve"> Le projet de stratégie à l’échelle de la COI qui en a découlé est </w:t>
            </w:r>
            <w:r w:rsidR="00235E02" w:rsidRPr="001E6B5E">
              <w:rPr>
                <w:b/>
                <w:spacing w:val="-2"/>
                <w:sz w:val="18"/>
                <w:szCs w:val="18"/>
                <w:lang w:val="fr-FR"/>
              </w:rPr>
              <w:t xml:space="preserve">soumis à l’examen </w:t>
            </w:r>
            <w:r w:rsidR="002B5713" w:rsidRPr="001E6B5E">
              <w:rPr>
                <w:b/>
                <w:spacing w:val="-2"/>
                <w:sz w:val="18"/>
                <w:szCs w:val="18"/>
                <w:lang w:val="fr-FR"/>
              </w:rPr>
              <w:t>de l’Assemblée de la COI à sa 33</w:t>
            </w:r>
            <w:r w:rsidR="002B5713" w:rsidRPr="001E6B5E">
              <w:rPr>
                <w:b/>
                <w:spacing w:val="-2"/>
                <w:sz w:val="18"/>
                <w:szCs w:val="18"/>
                <w:vertAlign w:val="superscript"/>
                <w:lang w:val="fr-FR"/>
              </w:rPr>
              <w:t>e</w:t>
            </w:r>
            <w:r w:rsidR="002B5713" w:rsidRPr="001E6B5E">
              <w:rPr>
                <w:b/>
                <w:spacing w:val="-2"/>
                <w:sz w:val="18"/>
                <w:szCs w:val="18"/>
                <w:lang w:val="fr-FR"/>
              </w:rPr>
              <w:t xml:space="preserve"> session.</w:t>
            </w:r>
            <w:r w:rsidR="00235E02" w:rsidRPr="001E6B5E">
              <w:rPr>
                <w:b/>
                <w:spacing w:val="-2"/>
                <w:sz w:val="18"/>
                <w:szCs w:val="18"/>
                <w:lang w:val="fr-FR"/>
              </w:rPr>
              <w:t xml:space="preserve"> Un projet de mandat </w:t>
            </w:r>
            <w:r w:rsidR="001E6B5E">
              <w:rPr>
                <w:b/>
                <w:spacing w:val="-2"/>
                <w:sz w:val="18"/>
                <w:szCs w:val="18"/>
                <w:lang w:val="fr-FR"/>
              </w:rPr>
              <w:t>visant à établir un</w:t>
            </w:r>
            <w:r w:rsidR="00235E02" w:rsidRPr="001E6B5E">
              <w:rPr>
                <w:b/>
                <w:spacing w:val="-2"/>
                <w:sz w:val="18"/>
                <w:szCs w:val="18"/>
                <w:lang w:val="fr-FR"/>
              </w:rPr>
              <w:t xml:space="preserve"> groupe de travail sur la planification et la gestion durables de l’océan </w:t>
            </w:r>
            <w:r w:rsidR="004135FA" w:rsidRPr="001E6B5E">
              <w:rPr>
                <w:b/>
                <w:spacing w:val="-2"/>
                <w:sz w:val="18"/>
                <w:szCs w:val="18"/>
                <w:lang w:val="fr-FR"/>
              </w:rPr>
              <w:t>à l’issue de</w:t>
            </w:r>
            <w:r w:rsidR="009168C7" w:rsidRPr="001E6B5E">
              <w:rPr>
                <w:b/>
                <w:spacing w:val="-2"/>
                <w:sz w:val="18"/>
                <w:szCs w:val="18"/>
                <w:lang w:val="fr-FR"/>
              </w:rPr>
              <w:t xml:space="preserve"> l’</w:t>
            </w:r>
            <w:r w:rsidR="00235E02" w:rsidRPr="001E6B5E">
              <w:rPr>
                <w:b/>
                <w:spacing w:val="-2"/>
                <w:sz w:val="18"/>
                <w:szCs w:val="18"/>
                <w:lang w:val="fr-FR"/>
              </w:rPr>
              <w:t>assemblée, est également présenté afin de guider la mise en œuvre de la Stratégie pour 2025-2030 et de répondre à tout besoin d’actualisation concernant le processus de consultation « La COI et l’avenir de l’océan »</w:t>
            </w:r>
            <w:r w:rsidR="00E37908" w:rsidRPr="001E6B5E">
              <w:rPr>
                <w:b/>
                <w:spacing w:val="-2"/>
                <w:sz w:val="18"/>
                <w:szCs w:val="18"/>
                <w:lang w:val="fr-FR"/>
              </w:rPr>
              <w:t xml:space="preserve">, pour ce qui touche la planification et la gestion durables de l’océan. Les résultats </w:t>
            </w:r>
            <w:r w:rsidR="000269E0" w:rsidRPr="001E6B5E">
              <w:rPr>
                <w:b/>
                <w:spacing w:val="-2"/>
                <w:sz w:val="18"/>
                <w:szCs w:val="18"/>
                <w:lang w:val="fr-FR"/>
              </w:rPr>
              <w:t xml:space="preserve">escomptés </w:t>
            </w:r>
            <w:r w:rsidR="00E37908" w:rsidRPr="001E6B5E">
              <w:rPr>
                <w:b/>
                <w:spacing w:val="-2"/>
                <w:sz w:val="18"/>
                <w:szCs w:val="18"/>
                <w:lang w:val="fr-FR"/>
              </w:rPr>
              <w:t xml:space="preserve">de la Stratégie de la COI en matière de planification et de gestion durables de l’océan sont </w:t>
            </w:r>
            <w:r w:rsidR="000269E0" w:rsidRPr="001E6B5E">
              <w:rPr>
                <w:b/>
                <w:spacing w:val="-2"/>
                <w:sz w:val="18"/>
                <w:szCs w:val="18"/>
                <w:lang w:val="fr-FR"/>
              </w:rPr>
              <w:t>pris en compte</w:t>
            </w:r>
            <w:r w:rsidR="00E37908" w:rsidRPr="001E6B5E">
              <w:rPr>
                <w:b/>
                <w:spacing w:val="-2"/>
                <w:sz w:val="18"/>
                <w:szCs w:val="18"/>
                <w:lang w:val="fr-FR"/>
              </w:rPr>
              <w:t xml:space="preserve"> dans le plan </w:t>
            </w:r>
            <w:r w:rsidR="000269E0" w:rsidRPr="001E6B5E">
              <w:rPr>
                <w:b/>
                <w:spacing w:val="-2"/>
                <w:sz w:val="18"/>
                <w:szCs w:val="18"/>
                <w:lang w:val="fr-FR"/>
              </w:rPr>
              <w:t>de mise en œuvre</w:t>
            </w:r>
            <w:r w:rsidR="00E37908" w:rsidRPr="001E6B5E">
              <w:rPr>
                <w:b/>
                <w:spacing w:val="-2"/>
                <w:sz w:val="18"/>
                <w:szCs w:val="18"/>
                <w:lang w:val="fr-FR"/>
              </w:rPr>
              <w:t xml:space="preserve"> du Programme de la Décennie sur la planification durable de l’océan lancé lors de la Conférence de Barcelone, </w:t>
            </w:r>
            <w:r w:rsidR="00137187" w:rsidRPr="001E6B5E">
              <w:rPr>
                <w:b/>
                <w:spacing w:val="-2"/>
                <w:sz w:val="18"/>
                <w:szCs w:val="18"/>
                <w:lang w:val="fr-FR"/>
              </w:rPr>
              <w:t xml:space="preserve">pour lequel un comité consultatif intérimaire a été </w:t>
            </w:r>
            <w:r w:rsidR="000269E0" w:rsidRPr="001E6B5E">
              <w:rPr>
                <w:b/>
                <w:spacing w:val="-2"/>
                <w:sz w:val="18"/>
                <w:szCs w:val="18"/>
                <w:lang w:val="fr-FR"/>
              </w:rPr>
              <w:t>mis en place</w:t>
            </w:r>
            <w:r w:rsidR="00137187" w:rsidRPr="001E6B5E">
              <w:rPr>
                <w:b/>
                <w:spacing w:val="-2"/>
                <w:sz w:val="18"/>
                <w:szCs w:val="18"/>
                <w:lang w:val="fr-FR"/>
              </w:rPr>
              <w:t xml:space="preserve"> et chargé de poursuivre l’élaboration des éléments structurels du programme.</w:t>
            </w:r>
            <w:r w:rsidRPr="001E6B5E">
              <w:rPr>
                <w:spacing w:val="-2"/>
                <w:sz w:val="18"/>
                <w:szCs w:val="18"/>
                <w:lang w:val="fr-FR"/>
              </w:rPr>
              <w:t xml:space="preserve"> </w:t>
            </w:r>
          </w:p>
        </w:tc>
        <w:tc>
          <w:tcPr>
            <w:tcW w:w="1843" w:type="dxa"/>
          </w:tcPr>
          <w:p w14:paraId="3AF2393B" w14:textId="18F5F6B3" w:rsidR="00356366" w:rsidRPr="001E6B5E" w:rsidRDefault="00356366" w:rsidP="00F04CD6">
            <w:pPr>
              <w:adjustRightInd w:val="0"/>
              <w:spacing w:before="80" w:after="120"/>
              <w:textAlignment w:val="baseline"/>
              <w:rPr>
                <w:sz w:val="18"/>
                <w:szCs w:val="18"/>
                <w:lang w:val="fr-FR"/>
              </w:rPr>
            </w:pPr>
            <w:r w:rsidRPr="001E6B5E">
              <w:rPr>
                <w:sz w:val="18"/>
                <w:szCs w:val="18"/>
                <w:lang w:val="fr-FR"/>
              </w:rPr>
              <w:t>Secrétaire exécutif de la COI et coordonnateur de la Décennie</w:t>
            </w:r>
          </w:p>
        </w:tc>
        <w:tc>
          <w:tcPr>
            <w:tcW w:w="2126" w:type="dxa"/>
          </w:tcPr>
          <w:p w14:paraId="798A4FCA" w14:textId="5908F0B3" w:rsidR="00356366" w:rsidRPr="003E7932" w:rsidRDefault="003E7932" w:rsidP="00F04CD6">
            <w:pPr>
              <w:adjustRightInd w:val="0"/>
              <w:spacing w:before="80" w:after="120"/>
              <w:textAlignment w:val="baseline"/>
              <w:rPr>
                <w:b/>
                <w:sz w:val="18"/>
                <w:szCs w:val="18"/>
                <w:lang w:val="fr-FR"/>
              </w:rPr>
            </w:pPr>
            <w:r w:rsidRPr="001E6B5E">
              <w:rPr>
                <w:b/>
                <w:sz w:val="18"/>
                <w:szCs w:val="18"/>
                <w:lang w:val="fr-FR"/>
              </w:rPr>
              <w:t>Achevée</w:t>
            </w:r>
          </w:p>
        </w:tc>
      </w:tr>
      <w:tr w:rsidR="00356366" w:rsidRPr="00E61196" w14:paraId="16053B48" w14:textId="77777777" w:rsidTr="001E6B5E">
        <w:tc>
          <w:tcPr>
            <w:tcW w:w="3095" w:type="dxa"/>
          </w:tcPr>
          <w:p w14:paraId="62B670C9" w14:textId="77777777" w:rsidR="00356366" w:rsidRPr="00E61196" w:rsidRDefault="00356366" w:rsidP="00453900">
            <w:pPr>
              <w:adjustRightInd w:val="0"/>
              <w:spacing w:before="40" w:after="120"/>
              <w:textAlignment w:val="baseline"/>
              <w:rPr>
                <w:b/>
                <w:bCs/>
                <w:sz w:val="18"/>
                <w:szCs w:val="18"/>
                <w:lang w:val="fr-FR"/>
              </w:rPr>
            </w:pPr>
            <w:r w:rsidRPr="00E61196">
              <w:rPr>
                <w:b/>
                <w:bCs/>
                <w:sz w:val="18"/>
                <w:szCs w:val="18"/>
                <w:lang w:val="fr-FR"/>
              </w:rPr>
              <w:t xml:space="preserve">Recommandation 2 : </w:t>
            </w:r>
          </w:p>
          <w:p w14:paraId="0C11ADE2" w14:textId="77777777" w:rsidR="00356366" w:rsidRPr="00E61196" w:rsidRDefault="00356366" w:rsidP="00F04CD6">
            <w:pPr>
              <w:adjustRightInd w:val="0"/>
              <w:spacing w:before="120" w:after="120"/>
              <w:textAlignment w:val="baseline"/>
              <w:rPr>
                <w:sz w:val="18"/>
                <w:szCs w:val="18"/>
                <w:lang w:val="fr-FR"/>
              </w:rPr>
            </w:pPr>
            <w:r w:rsidRPr="00E61196">
              <w:rPr>
                <w:sz w:val="18"/>
                <w:szCs w:val="18"/>
                <w:lang w:val="fr-FR"/>
              </w:rPr>
              <w:t xml:space="preserve">D’ici à juin 2022 – Élaborer, en partenariat avec d’autres entités, un cadre de résultats de la Décennie des Nations Unies pour les sciences océaniques au service </w:t>
            </w:r>
            <w:r w:rsidRPr="00E61196">
              <w:rPr>
                <w:sz w:val="18"/>
                <w:szCs w:val="18"/>
                <w:lang w:val="fr-FR"/>
              </w:rPr>
              <w:lastRenderedPageBreak/>
              <w:t>du développement durable, en définissant clairement les objectifs, les objectifs intermédiaires, les indicateurs et les responsables au sein du système des Nations Unies et au-delà, aux fins du suivi et de l’évaluation des progrès accomplis par rapport aux objectifs de la Décennie.</w:t>
            </w:r>
          </w:p>
        </w:tc>
        <w:tc>
          <w:tcPr>
            <w:tcW w:w="3786" w:type="dxa"/>
            <w:tcMar>
              <w:left w:w="85" w:type="dxa"/>
              <w:right w:w="85" w:type="dxa"/>
            </w:tcMar>
          </w:tcPr>
          <w:p w14:paraId="1D4868EE" w14:textId="77777777" w:rsidR="00356366" w:rsidRPr="00E61196" w:rsidRDefault="00356366" w:rsidP="00453900">
            <w:pPr>
              <w:adjustRightInd w:val="0"/>
              <w:spacing w:before="40" w:after="40"/>
              <w:textAlignment w:val="baseline"/>
              <w:rPr>
                <w:sz w:val="18"/>
                <w:szCs w:val="18"/>
                <w:lang w:val="fr-FR"/>
              </w:rPr>
            </w:pPr>
            <w:r w:rsidRPr="00E61196">
              <w:rPr>
                <w:sz w:val="18"/>
                <w:szCs w:val="18"/>
                <w:lang w:val="fr-FR"/>
              </w:rPr>
              <w:lastRenderedPageBreak/>
              <w:t>2.1 Commencer à déployer la première mouture du cadre de résultats pour la Décennie de l’Océan d’ici à mi-2022 au plus tard. Le cadre de résultats doit au moins comprendre des résultats, des résultats intermédiaires, des produits, des données de référence et des responsables indicatifs ;</w:t>
            </w:r>
          </w:p>
        </w:tc>
        <w:tc>
          <w:tcPr>
            <w:tcW w:w="3604" w:type="dxa"/>
            <w:tcMar>
              <w:left w:w="85" w:type="dxa"/>
              <w:right w:w="85" w:type="dxa"/>
            </w:tcMar>
          </w:tcPr>
          <w:p w14:paraId="7DEE4447" w14:textId="77777777" w:rsidR="00356366" w:rsidRPr="00E61196" w:rsidRDefault="00356366" w:rsidP="00453900">
            <w:pPr>
              <w:adjustRightInd w:val="0"/>
              <w:spacing w:before="40" w:after="120"/>
              <w:textAlignment w:val="baseline"/>
              <w:rPr>
                <w:sz w:val="18"/>
                <w:szCs w:val="18"/>
                <w:lang w:val="fr-FR"/>
              </w:rPr>
            </w:pPr>
            <w:r w:rsidRPr="00E61196">
              <w:rPr>
                <w:sz w:val="18"/>
                <w:szCs w:val="18"/>
                <w:lang w:val="fr-FR"/>
              </w:rPr>
              <w:t>Déploiement achevé en janvier 2023.</w:t>
            </w:r>
          </w:p>
        </w:tc>
        <w:tc>
          <w:tcPr>
            <w:tcW w:w="1843" w:type="dxa"/>
          </w:tcPr>
          <w:p w14:paraId="38BE657C" w14:textId="77777777" w:rsidR="00356366" w:rsidRPr="001E6B5E" w:rsidRDefault="00356366" w:rsidP="00453900">
            <w:pPr>
              <w:adjustRightInd w:val="0"/>
              <w:spacing w:before="40" w:after="120"/>
              <w:textAlignment w:val="baseline"/>
              <w:rPr>
                <w:sz w:val="18"/>
                <w:szCs w:val="18"/>
                <w:lang w:val="fr-FR"/>
              </w:rPr>
            </w:pPr>
            <w:r w:rsidRPr="001E6B5E">
              <w:rPr>
                <w:sz w:val="18"/>
                <w:szCs w:val="18"/>
                <w:lang w:val="fr-FR"/>
              </w:rPr>
              <w:t>Secrétaire exécutif de la COI et Unité de coordination de la Décennie</w:t>
            </w:r>
          </w:p>
        </w:tc>
        <w:tc>
          <w:tcPr>
            <w:tcW w:w="2126" w:type="dxa"/>
          </w:tcPr>
          <w:p w14:paraId="7B480C1A" w14:textId="4706E69B" w:rsidR="00356366" w:rsidRPr="001E6B5E" w:rsidRDefault="00356366" w:rsidP="00453900">
            <w:pPr>
              <w:adjustRightInd w:val="0"/>
              <w:spacing w:before="40" w:after="120"/>
              <w:textAlignment w:val="baseline"/>
              <w:rPr>
                <w:b/>
                <w:sz w:val="18"/>
                <w:szCs w:val="18"/>
                <w:lang w:val="fr-FR"/>
              </w:rPr>
            </w:pPr>
            <w:r w:rsidRPr="001E6B5E">
              <w:rPr>
                <w:b/>
                <w:sz w:val="18"/>
                <w:szCs w:val="18"/>
                <w:lang w:val="fr-FR"/>
              </w:rPr>
              <w:t>Achevée</w:t>
            </w:r>
          </w:p>
        </w:tc>
      </w:tr>
      <w:tr w:rsidR="00356366" w:rsidRPr="001E6B5E" w14:paraId="3A95DFDE" w14:textId="77777777" w:rsidTr="001E6B5E">
        <w:tc>
          <w:tcPr>
            <w:tcW w:w="3095" w:type="dxa"/>
          </w:tcPr>
          <w:p w14:paraId="61BFFA1E" w14:textId="77777777" w:rsidR="00356366" w:rsidRPr="00E61196"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1CEB3D3F"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2.2 Mettre en place un processus pour fixer collectivement, avec les partenaires d’ONU</w:t>
            </w:r>
            <w:r w:rsidRPr="001E6B5E">
              <w:rPr>
                <w:sz w:val="18"/>
                <w:szCs w:val="18"/>
                <w:lang w:val="fr-FR"/>
              </w:rPr>
              <w:noBreakHyphen/>
              <w:t>Océans et toutes les parties prenantes concernées, des ambitions et des objectifs stratégiques pour les 10 défis de la Décennie de l’Océan et les intégrer progressivement au cadre de résultats de la Décennie ;</w:t>
            </w:r>
          </w:p>
        </w:tc>
        <w:tc>
          <w:tcPr>
            <w:tcW w:w="3604" w:type="dxa"/>
            <w:tcMar>
              <w:left w:w="85" w:type="dxa"/>
              <w:right w:w="85" w:type="dxa"/>
            </w:tcMar>
          </w:tcPr>
          <w:p w14:paraId="22F9CF44" w14:textId="4BDC5F14" w:rsidR="00356366" w:rsidRPr="001E6B5E" w:rsidRDefault="00295595" w:rsidP="00F04CD6">
            <w:pPr>
              <w:adjustRightInd w:val="0"/>
              <w:spacing w:before="120" w:after="120"/>
              <w:textAlignment w:val="baseline"/>
              <w:rPr>
                <w:sz w:val="18"/>
                <w:szCs w:val="18"/>
                <w:lang w:val="fr-FR"/>
              </w:rPr>
            </w:pPr>
            <w:r w:rsidRPr="001E6B5E">
              <w:rPr>
                <w:sz w:val="18"/>
                <w:szCs w:val="18"/>
                <w:lang w:val="fr-FR"/>
              </w:rPr>
              <w:t>Les recommandations du processus d'évaluation à mi-parcours en matière de suivi, d'évaluation et d'apprentissage concernant cette question seront mises en œuvre et il en sera rendu compte aux organes directeurs de la COI.</w:t>
            </w:r>
          </w:p>
        </w:tc>
        <w:tc>
          <w:tcPr>
            <w:tcW w:w="1843" w:type="dxa"/>
          </w:tcPr>
          <w:p w14:paraId="64911B5F"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Secrétaire exécutif de la COI et Unité de coordination de la Décennie</w:t>
            </w:r>
          </w:p>
        </w:tc>
        <w:tc>
          <w:tcPr>
            <w:tcW w:w="2126" w:type="dxa"/>
          </w:tcPr>
          <w:p w14:paraId="2DD40A24" w14:textId="758FED48" w:rsidR="00356366" w:rsidRPr="001E6B5E" w:rsidRDefault="00934147" w:rsidP="00F04CD6">
            <w:pPr>
              <w:adjustRightInd w:val="0"/>
              <w:spacing w:before="120" w:after="120"/>
              <w:textAlignment w:val="baseline"/>
              <w:rPr>
                <w:sz w:val="18"/>
                <w:szCs w:val="18"/>
                <w:lang w:val="fr-FR"/>
              </w:rPr>
            </w:pPr>
            <w:r w:rsidRPr="001E6B5E">
              <w:rPr>
                <w:sz w:val="18"/>
                <w:szCs w:val="18"/>
                <w:lang w:val="fr-FR"/>
              </w:rPr>
              <w:t>2</w:t>
            </w:r>
            <w:r w:rsidRPr="001E6B5E">
              <w:rPr>
                <w:sz w:val="18"/>
                <w:szCs w:val="18"/>
                <w:vertAlign w:val="superscript"/>
                <w:lang w:val="fr-FR"/>
              </w:rPr>
              <w:t>e</w:t>
            </w:r>
            <w:r w:rsidRPr="001E6B5E">
              <w:rPr>
                <w:sz w:val="18"/>
                <w:szCs w:val="18"/>
                <w:lang w:val="fr-FR"/>
              </w:rPr>
              <w:t xml:space="preserve"> trimestre 2025, rapport au Conseil exécutif à sa 59</w:t>
            </w:r>
            <w:r w:rsidRPr="001E6B5E">
              <w:rPr>
                <w:sz w:val="18"/>
                <w:szCs w:val="18"/>
                <w:vertAlign w:val="superscript"/>
                <w:lang w:val="fr-FR"/>
              </w:rPr>
              <w:t>e </w:t>
            </w:r>
            <w:r w:rsidRPr="001E6B5E">
              <w:rPr>
                <w:sz w:val="18"/>
                <w:szCs w:val="18"/>
                <w:lang w:val="fr-FR"/>
              </w:rPr>
              <w:t>session</w:t>
            </w:r>
          </w:p>
        </w:tc>
      </w:tr>
      <w:tr w:rsidR="00356366" w:rsidRPr="001E6B5E" w14:paraId="0E296D0A" w14:textId="77777777" w:rsidTr="001E6B5E">
        <w:tc>
          <w:tcPr>
            <w:tcW w:w="3095" w:type="dxa"/>
          </w:tcPr>
          <w:p w14:paraId="22BA2ADB"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5B0AD9EA"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2.3 Donner effet aux mécanismes d’examen prévus dans le Plan de mise en œuvre de la Décennie de l’Océan, notamment la série de conférences internationales et régionales sur la Décennie, qui se tiendront tous les trois ans et qui serviront de plate</w:t>
            </w:r>
            <w:r w:rsidRPr="001E6B5E">
              <w:rPr>
                <w:sz w:val="18"/>
                <w:szCs w:val="18"/>
                <w:lang w:val="fr-FR"/>
              </w:rPr>
              <w:noBreakHyphen/>
              <w:t>forme pour dresser l’état des lieux des priorités de la Décennie et les gérer de façon évolutive.</w:t>
            </w:r>
          </w:p>
        </w:tc>
        <w:tc>
          <w:tcPr>
            <w:tcW w:w="3604" w:type="dxa"/>
            <w:tcMar>
              <w:left w:w="85" w:type="dxa"/>
              <w:right w:w="85" w:type="dxa"/>
            </w:tcMar>
          </w:tcPr>
          <w:p w14:paraId="4A56D55A"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 xml:space="preserve">Réalisée. L’édition 2024 de la Conférence de la Décennie de l’Océan est confirmée pour avril 2024 et aura lieu en Espagne. Déploiement du cadre de suivi et d’évaluation achevé. Processus Vision pour 2030 mis en œuvre. </w:t>
            </w:r>
          </w:p>
        </w:tc>
        <w:tc>
          <w:tcPr>
            <w:tcW w:w="1843" w:type="dxa"/>
          </w:tcPr>
          <w:p w14:paraId="0043B464"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Secrétaire exécutif de la COI et Unité de coordination de la Décennie</w:t>
            </w:r>
          </w:p>
        </w:tc>
        <w:tc>
          <w:tcPr>
            <w:tcW w:w="2126" w:type="dxa"/>
          </w:tcPr>
          <w:p w14:paraId="406C19E0" w14:textId="24EA19C6" w:rsidR="00356366" w:rsidRPr="001E6B5E" w:rsidRDefault="00500129" w:rsidP="00F04CD6">
            <w:pPr>
              <w:adjustRightInd w:val="0"/>
              <w:spacing w:before="120" w:after="120"/>
              <w:textAlignment w:val="baseline"/>
              <w:rPr>
                <w:sz w:val="18"/>
                <w:szCs w:val="18"/>
                <w:lang w:val="fr-FR"/>
              </w:rPr>
            </w:pPr>
            <w:r w:rsidRPr="001E6B5E">
              <w:rPr>
                <w:b/>
                <w:sz w:val="18"/>
                <w:szCs w:val="18"/>
                <w:lang w:val="fr-FR"/>
              </w:rPr>
              <w:t>Achevée</w:t>
            </w:r>
          </w:p>
        </w:tc>
      </w:tr>
      <w:tr w:rsidR="00356366" w:rsidRPr="001E6B5E" w14:paraId="7C4BDC41" w14:textId="77777777" w:rsidTr="001E6B5E">
        <w:tc>
          <w:tcPr>
            <w:tcW w:w="3095" w:type="dxa"/>
          </w:tcPr>
          <w:p w14:paraId="6648BF25" w14:textId="77777777" w:rsidR="00356366" w:rsidRPr="001E6B5E" w:rsidRDefault="00356366" w:rsidP="00F04CD6">
            <w:pPr>
              <w:adjustRightInd w:val="0"/>
              <w:spacing w:before="120" w:after="120"/>
              <w:textAlignment w:val="baseline"/>
              <w:rPr>
                <w:b/>
                <w:bCs/>
                <w:sz w:val="18"/>
                <w:szCs w:val="18"/>
                <w:lang w:val="fr-FR"/>
              </w:rPr>
            </w:pPr>
            <w:r w:rsidRPr="001E6B5E">
              <w:rPr>
                <w:b/>
                <w:bCs/>
                <w:sz w:val="18"/>
                <w:szCs w:val="18"/>
                <w:lang w:val="fr-FR"/>
              </w:rPr>
              <w:t xml:space="preserve">Recommandation 3 : </w:t>
            </w:r>
          </w:p>
          <w:p w14:paraId="0FD9D638"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D’ici à juin 2022 – Déterminer comment l’UNESCO peut soutenir la Décennie</w:t>
            </w:r>
          </w:p>
        </w:tc>
        <w:tc>
          <w:tcPr>
            <w:tcW w:w="3786" w:type="dxa"/>
            <w:tcMar>
              <w:left w:w="85" w:type="dxa"/>
              <w:right w:w="85" w:type="dxa"/>
            </w:tcMar>
          </w:tcPr>
          <w:p w14:paraId="32FBEBC6"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3.1 Élaborer des messages clairs et ciblés à l’intention des différents groupes de donateurs sur les avantages et les moyens d’investir dans la Décennie de l’Océan ;</w:t>
            </w:r>
          </w:p>
        </w:tc>
        <w:tc>
          <w:tcPr>
            <w:tcW w:w="3604" w:type="dxa"/>
            <w:tcMar>
              <w:left w:w="85" w:type="dxa"/>
              <w:right w:w="85" w:type="dxa"/>
            </w:tcMar>
          </w:tcPr>
          <w:p w14:paraId="0590E513" w14:textId="4AB49AE6" w:rsidR="00356366" w:rsidRPr="001E6B5E" w:rsidRDefault="00934147" w:rsidP="00F04CD6">
            <w:pPr>
              <w:adjustRightInd w:val="0"/>
              <w:spacing w:before="120" w:after="120"/>
              <w:textAlignment w:val="baseline"/>
              <w:rPr>
                <w:sz w:val="18"/>
                <w:szCs w:val="18"/>
                <w:lang w:val="fr-FR"/>
              </w:rPr>
            </w:pPr>
            <w:r w:rsidRPr="001E6B5E">
              <w:rPr>
                <w:b/>
                <w:sz w:val="18"/>
                <w:szCs w:val="18"/>
                <w:lang w:val="fr-FR"/>
              </w:rPr>
              <w:t>Le processus d’évaluation à mi</w:t>
            </w:r>
            <w:r w:rsidR="00FD6BA9" w:rsidRPr="001E6B5E">
              <w:rPr>
                <w:b/>
                <w:sz w:val="18"/>
                <w:szCs w:val="18"/>
                <w:lang w:val="fr-FR"/>
              </w:rPr>
              <w:noBreakHyphen/>
            </w:r>
            <w:r w:rsidRPr="001E6B5E">
              <w:rPr>
                <w:b/>
                <w:sz w:val="18"/>
                <w:szCs w:val="18"/>
                <w:lang w:val="fr-FR"/>
              </w:rPr>
              <w:t>parcours de la Décennie de l’Océan est présenté à l’Assemblée de la COI à sa 33</w:t>
            </w:r>
            <w:r w:rsidRPr="001E6B5E">
              <w:rPr>
                <w:b/>
                <w:sz w:val="18"/>
                <w:szCs w:val="18"/>
                <w:vertAlign w:val="superscript"/>
                <w:lang w:val="fr-FR"/>
              </w:rPr>
              <w:t>e</w:t>
            </w:r>
            <w:r w:rsidRPr="001E6B5E">
              <w:rPr>
                <w:b/>
                <w:sz w:val="18"/>
                <w:szCs w:val="18"/>
                <w:lang w:val="fr-FR"/>
              </w:rPr>
              <w:t xml:space="preserve"> session</w:t>
            </w:r>
            <w:r w:rsidR="00295595" w:rsidRPr="001E6B5E">
              <w:rPr>
                <w:b/>
                <w:sz w:val="18"/>
                <w:szCs w:val="18"/>
                <w:lang w:val="fr-FR"/>
              </w:rPr>
              <w:t xml:space="preserve">, assorti de recommandations supplémentaires spécifiques </w:t>
            </w:r>
            <w:r w:rsidR="00BD5AFF" w:rsidRPr="001E6B5E">
              <w:rPr>
                <w:b/>
                <w:sz w:val="18"/>
                <w:szCs w:val="18"/>
                <w:lang w:val="fr-FR"/>
              </w:rPr>
              <w:t>concernant</w:t>
            </w:r>
            <w:r w:rsidR="00295595" w:rsidRPr="001E6B5E">
              <w:rPr>
                <w:b/>
                <w:sz w:val="18"/>
                <w:szCs w:val="18"/>
                <w:lang w:val="fr-FR"/>
              </w:rPr>
              <w:t xml:space="preserve"> la mobilisation des donateurs. Il sera rendu compte des progrès réalisés aux organes directeurs de la COI tout au long de la Décennie.</w:t>
            </w:r>
            <w:r w:rsidRPr="001E6B5E">
              <w:rPr>
                <w:sz w:val="18"/>
                <w:szCs w:val="18"/>
                <w:lang w:val="fr-FR"/>
              </w:rPr>
              <w:t xml:space="preserve"> </w:t>
            </w:r>
          </w:p>
        </w:tc>
        <w:tc>
          <w:tcPr>
            <w:tcW w:w="1843" w:type="dxa"/>
          </w:tcPr>
          <w:p w14:paraId="22B0AAB9"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Unité de coordination de la Décennie, en consultation avec l’équipe dirigeante de la COI</w:t>
            </w:r>
          </w:p>
        </w:tc>
        <w:tc>
          <w:tcPr>
            <w:tcW w:w="2126" w:type="dxa"/>
          </w:tcPr>
          <w:p w14:paraId="6E92441C" w14:textId="3DD8B91E" w:rsidR="00356366" w:rsidRPr="001E6B5E" w:rsidRDefault="00500129" w:rsidP="00F04CD6">
            <w:pPr>
              <w:adjustRightInd w:val="0"/>
              <w:spacing w:before="120" w:after="120"/>
              <w:textAlignment w:val="baseline"/>
              <w:rPr>
                <w:sz w:val="18"/>
                <w:szCs w:val="18"/>
                <w:lang w:val="fr-FR"/>
              </w:rPr>
            </w:pPr>
            <w:r w:rsidRPr="001E6B5E">
              <w:rPr>
                <w:b/>
                <w:sz w:val="18"/>
                <w:szCs w:val="18"/>
                <w:lang w:val="fr-FR"/>
              </w:rPr>
              <w:t>Achevée</w:t>
            </w:r>
          </w:p>
        </w:tc>
      </w:tr>
      <w:tr w:rsidR="00356366" w:rsidRPr="001E6B5E" w14:paraId="48FA0A23" w14:textId="77777777" w:rsidTr="001E6B5E">
        <w:tc>
          <w:tcPr>
            <w:tcW w:w="3095" w:type="dxa"/>
          </w:tcPr>
          <w:p w14:paraId="054DB402" w14:textId="77777777" w:rsidR="00356366" w:rsidRPr="001E6B5E" w:rsidRDefault="00356366" w:rsidP="00453900">
            <w:pPr>
              <w:keepNext/>
              <w:keepLines/>
              <w:adjustRightInd w:val="0"/>
              <w:spacing w:before="120" w:after="120"/>
              <w:textAlignment w:val="baseline"/>
              <w:rPr>
                <w:sz w:val="18"/>
                <w:szCs w:val="18"/>
                <w:lang w:val="fr-FR"/>
              </w:rPr>
            </w:pPr>
          </w:p>
        </w:tc>
        <w:tc>
          <w:tcPr>
            <w:tcW w:w="3786" w:type="dxa"/>
            <w:tcMar>
              <w:left w:w="85" w:type="dxa"/>
              <w:right w:w="85" w:type="dxa"/>
            </w:tcMar>
          </w:tcPr>
          <w:p w14:paraId="10FF7716" w14:textId="77777777" w:rsidR="00356366" w:rsidRPr="001E6B5E" w:rsidRDefault="00356366" w:rsidP="00453900">
            <w:pPr>
              <w:keepNext/>
              <w:keepLines/>
              <w:adjustRightInd w:val="0"/>
              <w:spacing w:before="120" w:after="120"/>
              <w:textAlignment w:val="baseline"/>
              <w:rPr>
                <w:sz w:val="18"/>
                <w:szCs w:val="18"/>
                <w:lang w:val="fr-FR"/>
              </w:rPr>
            </w:pPr>
            <w:r w:rsidRPr="001E6B5E">
              <w:rPr>
                <w:sz w:val="18"/>
                <w:szCs w:val="18"/>
                <w:lang w:val="fr-FR"/>
              </w:rPr>
              <w:t>3.2 Évaluer de manière plus approfondie les besoins en ressources des programmes et des structures de la COI pour soutenir efficacement la mise en œuvre de la Décennie (au-delà des fonctions de coordination de la Décennie assurées par l’Unité de coordination de la Décennie (DCU)) ;</w:t>
            </w:r>
          </w:p>
        </w:tc>
        <w:tc>
          <w:tcPr>
            <w:tcW w:w="3604" w:type="dxa"/>
            <w:tcMar>
              <w:left w:w="85" w:type="dxa"/>
              <w:right w:w="85" w:type="dxa"/>
            </w:tcMar>
          </w:tcPr>
          <w:p w14:paraId="33884FF9" w14:textId="423B8469" w:rsidR="00356366" w:rsidRPr="001E6B5E" w:rsidRDefault="00356366" w:rsidP="00453900">
            <w:pPr>
              <w:keepNext/>
              <w:keepLines/>
              <w:adjustRightInd w:val="0"/>
              <w:spacing w:before="120" w:after="120"/>
              <w:textAlignment w:val="baseline"/>
              <w:rPr>
                <w:sz w:val="18"/>
                <w:szCs w:val="18"/>
                <w:lang w:val="fr-FR"/>
              </w:rPr>
            </w:pPr>
            <w:r w:rsidRPr="001E6B5E">
              <w:rPr>
                <w:sz w:val="18"/>
                <w:szCs w:val="18"/>
                <w:lang w:val="fr-FR"/>
              </w:rPr>
              <w:t>Élaboration et tenue à jour des prévisions budgétaires et des besoins en ressources pour les bureaux de coordination de la Décennie hébergés par la COI, notamment en ce qui concerne le partage de données, les observations océaniques, l’initiation à l’océan,</w:t>
            </w:r>
            <w:r w:rsidRPr="001E6B5E">
              <w:rPr>
                <w:lang w:val="fr-FR"/>
              </w:rPr>
              <w:t xml:space="preserve"> </w:t>
            </w:r>
            <w:r w:rsidRPr="001E6B5E">
              <w:rPr>
                <w:sz w:val="18"/>
                <w:szCs w:val="18"/>
                <w:lang w:val="fr-FR"/>
              </w:rPr>
              <w:t>l’Afrique et l’Amérique tropicale, ainsi que la région des Caraïbes. Campagne active de mobilisation de ressources pour soutenir ces structures.</w:t>
            </w:r>
            <w:r w:rsidR="00934147" w:rsidRPr="001E6B5E">
              <w:rPr>
                <w:sz w:val="18"/>
                <w:szCs w:val="18"/>
                <w:lang w:val="fr-FR"/>
              </w:rPr>
              <w:t xml:space="preserve"> </w:t>
            </w:r>
            <w:r w:rsidR="00934147" w:rsidRPr="001E6B5E">
              <w:rPr>
                <w:b/>
                <w:sz w:val="18"/>
                <w:szCs w:val="18"/>
                <w:lang w:val="fr-FR"/>
              </w:rPr>
              <w:t>Progrès réalisés à présenter aux organes directeurs de la COI.</w:t>
            </w:r>
          </w:p>
        </w:tc>
        <w:tc>
          <w:tcPr>
            <w:tcW w:w="1843" w:type="dxa"/>
          </w:tcPr>
          <w:p w14:paraId="0F70DA27" w14:textId="77777777" w:rsidR="00356366" w:rsidRPr="001E6B5E" w:rsidRDefault="00356366" w:rsidP="00453900">
            <w:pPr>
              <w:keepNext/>
              <w:keepLines/>
              <w:adjustRightInd w:val="0"/>
              <w:spacing w:before="120" w:after="120"/>
              <w:textAlignment w:val="baseline"/>
              <w:rPr>
                <w:sz w:val="18"/>
                <w:szCs w:val="18"/>
                <w:lang w:val="fr-FR"/>
              </w:rPr>
            </w:pPr>
            <w:r w:rsidRPr="001E6B5E">
              <w:rPr>
                <w:sz w:val="18"/>
                <w:szCs w:val="18"/>
                <w:lang w:val="fr-FR"/>
              </w:rPr>
              <w:t>Secrétaire exécutif de la COI, en consultation avec l’équipe dirigeante de la COI</w:t>
            </w:r>
          </w:p>
        </w:tc>
        <w:tc>
          <w:tcPr>
            <w:tcW w:w="2126" w:type="dxa"/>
          </w:tcPr>
          <w:p w14:paraId="776DC3B6" w14:textId="1A137F88" w:rsidR="00356366" w:rsidRPr="001E6B5E" w:rsidRDefault="00500129" w:rsidP="00453900">
            <w:pPr>
              <w:keepNext/>
              <w:keepLines/>
              <w:adjustRightInd w:val="0"/>
              <w:spacing w:before="120" w:after="120"/>
              <w:textAlignment w:val="baseline"/>
              <w:rPr>
                <w:sz w:val="18"/>
                <w:szCs w:val="18"/>
                <w:lang w:val="fr-FR"/>
              </w:rPr>
            </w:pPr>
            <w:r w:rsidRPr="001E6B5E">
              <w:rPr>
                <w:b/>
                <w:sz w:val="18"/>
                <w:szCs w:val="18"/>
                <w:lang w:val="fr-FR"/>
              </w:rPr>
              <w:t>Achevée</w:t>
            </w:r>
          </w:p>
        </w:tc>
      </w:tr>
      <w:tr w:rsidR="00356366" w:rsidRPr="001E6B5E" w14:paraId="39990A83" w14:textId="77777777" w:rsidTr="001E6B5E">
        <w:tc>
          <w:tcPr>
            <w:tcW w:w="3095" w:type="dxa"/>
          </w:tcPr>
          <w:p w14:paraId="3B63C5A5" w14:textId="77777777" w:rsidR="00356366" w:rsidRPr="001E6B5E" w:rsidRDefault="00356366" w:rsidP="00F04CD6">
            <w:pPr>
              <w:keepNext/>
              <w:keepLines/>
              <w:adjustRightInd w:val="0"/>
              <w:spacing w:before="120" w:after="120"/>
              <w:textAlignment w:val="baseline"/>
              <w:rPr>
                <w:sz w:val="18"/>
                <w:szCs w:val="18"/>
                <w:lang w:val="fr-FR"/>
              </w:rPr>
            </w:pPr>
          </w:p>
        </w:tc>
        <w:tc>
          <w:tcPr>
            <w:tcW w:w="3786" w:type="dxa"/>
            <w:tcMar>
              <w:left w:w="85" w:type="dxa"/>
              <w:right w:w="85" w:type="dxa"/>
            </w:tcMar>
          </w:tcPr>
          <w:p w14:paraId="7DA2181D" w14:textId="77777777" w:rsidR="00356366" w:rsidRPr="001E6B5E" w:rsidRDefault="00356366" w:rsidP="00F04CD6">
            <w:pPr>
              <w:keepNext/>
              <w:keepLines/>
              <w:adjustRightInd w:val="0"/>
              <w:spacing w:before="120" w:after="120"/>
              <w:textAlignment w:val="baseline"/>
              <w:rPr>
                <w:sz w:val="18"/>
                <w:szCs w:val="18"/>
                <w:lang w:val="fr-FR"/>
              </w:rPr>
            </w:pPr>
            <w:r w:rsidRPr="001E6B5E">
              <w:rPr>
                <w:sz w:val="18"/>
                <w:szCs w:val="18"/>
                <w:lang w:val="fr-FR"/>
              </w:rPr>
              <w:t xml:space="preserve">3.3 </w:t>
            </w:r>
            <w:r w:rsidRPr="001E6B5E">
              <w:rPr>
                <w:spacing w:val="-2"/>
                <w:sz w:val="18"/>
                <w:szCs w:val="18"/>
                <w:lang w:val="fr-FR"/>
              </w:rPr>
              <w:t>En se fondant sur la décision 214 EX/29 du Conseil exécutif de l’UNESCO, travailler avec d’autres secteurs de l’Organisation pour faire des océans un thème prioritaire transversal et positionner la Décennie de l’Océan en tant que principal moyen pour les États membres d’y contribuer ;</w:t>
            </w:r>
          </w:p>
        </w:tc>
        <w:tc>
          <w:tcPr>
            <w:tcW w:w="3604" w:type="dxa"/>
            <w:tcMar>
              <w:left w:w="85" w:type="dxa"/>
              <w:right w:w="85" w:type="dxa"/>
            </w:tcMar>
          </w:tcPr>
          <w:p w14:paraId="4E84142F" w14:textId="06A7B3B1" w:rsidR="00356366" w:rsidRPr="001E6B5E" w:rsidRDefault="00356366" w:rsidP="00F04CD6">
            <w:pPr>
              <w:keepNext/>
              <w:keepLines/>
              <w:adjustRightInd w:val="0"/>
              <w:spacing w:before="120" w:after="120"/>
              <w:textAlignment w:val="baseline"/>
              <w:rPr>
                <w:sz w:val="18"/>
                <w:szCs w:val="18"/>
                <w:lang w:val="fr-FR"/>
              </w:rPr>
            </w:pPr>
            <w:r w:rsidRPr="001E6B5E">
              <w:rPr>
                <w:sz w:val="18"/>
                <w:szCs w:val="18"/>
                <w:lang w:val="fr-FR"/>
              </w:rPr>
              <w:t xml:space="preserve">Achevée. Le premier rapport sur les faits marquants de la coopération intersectorielle dans le cadre de la Décennie de l’Océan a été présenté au Conseil exécutif de l’UNESCO dans le document 217 EX/4.I.B. </w:t>
            </w:r>
            <w:r w:rsidR="00BD5AFF" w:rsidRPr="001E6B5E">
              <w:rPr>
                <w:b/>
                <w:sz w:val="18"/>
                <w:szCs w:val="18"/>
                <w:lang w:val="fr-FR"/>
              </w:rPr>
              <w:t>À reproduire deux fois par an et à soumettre aux organes directeurs de la COI au titre des points de l’ordre du jour relatifs aux rapports statutaires.</w:t>
            </w:r>
            <w:r w:rsidRPr="001E6B5E">
              <w:rPr>
                <w:sz w:val="18"/>
                <w:szCs w:val="18"/>
                <w:lang w:val="fr-FR"/>
              </w:rPr>
              <w:t xml:space="preserve"> </w:t>
            </w:r>
          </w:p>
        </w:tc>
        <w:tc>
          <w:tcPr>
            <w:tcW w:w="1843" w:type="dxa"/>
          </w:tcPr>
          <w:p w14:paraId="3C072E75" w14:textId="77777777" w:rsidR="00356366" w:rsidRPr="001E6B5E" w:rsidRDefault="00356366" w:rsidP="00F04CD6">
            <w:pPr>
              <w:keepNext/>
              <w:keepLines/>
              <w:adjustRightInd w:val="0"/>
              <w:spacing w:before="120" w:after="120"/>
              <w:textAlignment w:val="baseline"/>
              <w:rPr>
                <w:sz w:val="18"/>
                <w:szCs w:val="18"/>
                <w:lang w:val="fr-FR"/>
              </w:rPr>
            </w:pPr>
            <w:r w:rsidRPr="001E6B5E">
              <w:rPr>
                <w:sz w:val="18"/>
                <w:szCs w:val="18"/>
                <w:lang w:val="fr-FR"/>
              </w:rPr>
              <w:t>Secrétaire exécutif de la COI et Unité de coordination de la Décennie</w:t>
            </w:r>
          </w:p>
        </w:tc>
        <w:tc>
          <w:tcPr>
            <w:tcW w:w="2126" w:type="dxa"/>
          </w:tcPr>
          <w:p w14:paraId="7A8E211B" w14:textId="1F8B1E1A" w:rsidR="00356366" w:rsidRPr="001E6B5E" w:rsidRDefault="00356366" w:rsidP="00F04CD6">
            <w:pPr>
              <w:keepNext/>
              <w:keepLines/>
              <w:adjustRightInd w:val="0"/>
              <w:spacing w:before="120" w:after="120"/>
              <w:textAlignment w:val="baseline"/>
              <w:rPr>
                <w:sz w:val="18"/>
                <w:szCs w:val="18"/>
                <w:lang w:val="fr-FR"/>
              </w:rPr>
            </w:pPr>
            <w:r w:rsidRPr="001E6B5E">
              <w:rPr>
                <w:b/>
                <w:sz w:val="18"/>
                <w:szCs w:val="18"/>
                <w:lang w:val="fr-FR"/>
              </w:rPr>
              <w:t>Achevée</w:t>
            </w:r>
          </w:p>
        </w:tc>
      </w:tr>
      <w:tr w:rsidR="00356366" w:rsidRPr="001E6B5E" w14:paraId="25606A79" w14:textId="77777777" w:rsidTr="001E6B5E">
        <w:tc>
          <w:tcPr>
            <w:tcW w:w="3095" w:type="dxa"/>
          </w:tcPr>
          <w:p w14:paraId="3F350740"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7063FCE9" w14:textId="77777777" w:rsidR="00356366" w:rsidRPr="001E6B5E" w:rsidRDefault="00356366" w:rsidP="00F04CD6">
            <w:pPr>
              <w:adjustRightInd w:val="0"/>
              <w:spacing w:before="120" w:after="120"/>
              <w:textAlignment w:val="baseline"/>
              <w:rPr>
                <w:i/>
                <w:iCs/>
                <w:sz w:val="18"/>
                <w:szCs w:val="18"/>
                <w:lang w:val="fr-FR"/>
              </w:rPr>
            </w:pPr>
            <w:r w:rsidRPr="001E6B5E">
              <w:rPr>
                <w:i/>
                <w:iCs/>
                <w:sz w:val="18"/>
                <w:szCs w:val="18"/>
                <w:u w:val="single"/>
                <w:lang w:val="fr-FR"/>
              </w:rPr>
              <w:t>Actions de soutien à l’échelle des Nations Unies</w:t>
            </w:r>
            <w:r w:rsidRPr="001E6B5E">
              <w:rPr>
                <w:i/>
                <w:iCs/>
                <w:sz w:val="18"/>
                <w:szCs w:val="18"/>
                <w:lang w:val="fr-FR"/>
              </w:rPr>
              <w:t> :</w:t>
            </w:r>
          </w:p>
          <w:p w14:paraId="46EA6E9B"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3.4 Élaborer une « demande » claire et structurée de ressources financières ou en nature destinée à rallier le soutien de partenaires en faveur de la DCU ;</w:t>
            </w:r>
          </w:p>
        </w:tc>
        <w:tc>
          <w:tcPr>
            <w:tcW w:w="3604" w:type="dxa"/>
            <w:tcMar>
              <w:left w:w="85" w:type="dxa"/>
              <w:right w:w="85" w:type="dxa"/>
            </w:tcMar>
          </w:tcPr>
          <w:p w14:paraId="2AA202CE" w14:textId="7AA09634" w:rsidR="00356366" w:rsidRPr="001E6B5E" w:rsidRDefault="00BD5AFF" w:rsidP="00F04CD6">
            <w:pPr>
              <w:adjustRightInd w:val="0"/>
              <w:spacing w:before="120" w:after="120"/>
              <w:textAlignment w:val="baseline"/>
              <w:rPr>
                <w:b/>
                <w:sz w:val="18"/>
                <w:szCs w:val="18"/>
                <w:lang w:val="fr-FR"/>
              </w:rPr>
            </w:pPr>
            <w:r w:rsidRPr="001E6B5E">
              <w:rPr>
                <w:b/>
                <w:sz w:val="18"/>
                <w:szCs w:val="18"/>
                <w:lang w:val="fr-FR"/>
              </w:rPr>
              <w:t>Élaboration et tenue à jour des prévisions budgétaires de l’Unité de coordination de la Décennie</w:t>
            </w:r>
          </w:p>
        </w:tc>
        <w:tc>
          <w:tcPr>
            <w:tcW w:w="1843" w:type="dxa"/>
          </w:tcPr>
          <w:p w14:paraId="24527227"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Unité de coordination de la Décennie</w:t>
            </w:r>
          </w:p>
        </w:tc>
        <w:tc>
          <w:tcPr>
            <w:tcW w:w="2126" w:type="dxa"/>
          </w:tcPr>
          <w:p w14:paraId="09F2096E" w14:textId="1922C3CE" w:rsidR="00356366" w:rsidRPr="001E6B5E" w:rsidRDefault="00500129" w:rsidP="00F04CD6">
            <w:pPr>
              <w:adjustRightInd w:val="0"/>
              <w:spacing w:before="120" w:after="120"/>
              <w:textAlignment w:val="baseline"/>
              <w:rPr>
                <w:sz w:val="18"/>
                <w:szCs w:val="18"/>
                <w:lang w:val="fr-FR"/>
              </w:rPr>
            </w:pPr>
            <w:r w:rsidRPr="001E6B5E">
              <w:rPr>
                <w:b/>
                <w:sz w:val="18"/>
                <w:szCs w:val="18"/>
                <w:lang w:val="fr-FR"/>
              </w:rPr>
              <w:t>Achevée</w:t>
            </w:r>
          </w:p>
        </w:tc>
      </w:tr>
      <w:tr w:rsidR="00356366" w:rsidRPr="001E6B5E" w14:paraId="7D475261" w14:textId="77777777" w:rsidTr="001E6B5E">
        <w:tc>
          <w:tcPr>
            <w:tcW w:w="3095" w:type="dxa"/>
          </w:tcPr>
          <w:p w14:paraId="7EE16F8E"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2981A55B" w14:textId="77777777" w:rsidR="00356366" w:rsidRPr="001E6B5E" w:rsidRDefault="00356366" w:rsidP="00F04CD6">
            <w:pPr>
              <w:adjustRightInd w:val="0"/>
              <w:spacing w:before="120" w:after="100"/>
              <w:textAlignment w:val="baseline"/>
              <w:rPr>
                <w:sz w:val="18"/>
                <w:szCs w:val="18"/>
                <w:lang w:val="fr-FR"/>
              </w:rPr>
            </w:pPr>
            <w:r w:rsidRPr="001E6B5E">
              <w:rPr>
                <w:sz w:val="18"/>
                <w:szCs w:val="18"/>
                <w:lang w:val="fr-FR"/>
              </w:rPr>
              <w:t>3.5 Entreprendre une cartographie et une analyse détaillées des activités et des intérêts des partenaires d’ONU</w:t>
            </w:r>
            <w:r w:rsidRPr="001E6B5E">
              <w:rPr>
                <w:sz w:val="18"/>
                <w:szCs w:val="18"/>
                <w:lang w:val="fr-FR"/>
              </w:rPr>
              <w:noBreakHyphen/>
              <w:t>Océans pour repérer les initiatives existantes ou potentielles liées à la Décennie, cerner les lacunes et formuler des recommandations pour renforcer l’engagement et mobiliser des ressources ;</w:t>
            </w:r>
          </w:p>
        </w:tc>
        <w:tc>
          <w:tcPr>
            <w:tcW w:w="3604" w:type="dxa"/>
            <w:tcMar>
              <w:left w:w="85" w:type="dxa"/>
              <w:right w:w="85" w:type="dxa"/>
            </w:tcMar>
          </w:tcPr>
          <w:p w14:paraId="6DB156D1" w14:textId="329D3B9E" w:rsidR="00356366" w:rsidRPr="001E6B5E" w:rsidRDefault="00051EE6" w:rsidP="00F04CD6">
            <w:pPr>
              <w:adjustRightInd w:val="0"/>
              <w:spacing w:before="120" w:after="120"/>
              <w:textAlignment w:val="baseline"/>
              <w:rPr>
                <w:sz w:val="18"/>
                <w:szCs w:val="18"/>
                <w:lang w:val="fr-FR"/>
              </w:rPr>
            </w:pPr>
            <w:r w:rsidRPr="001E6B5E">
              <w:rPr>
                <w:b/>
                <w:bCs/>
                <w:sz w:val="18"/>
                <w:szCs w:val="18"/>
                <w:lang w:val="fr-FR"/>
              </w:rPr>
              <w:t xml:space="preserve">Les résultats du processus d’évaluation à mi-parcours comprennent des recommandations spécifiques relatives à la mobilisation des organismes des Nations Unies. Les progrès réalisés seront présentés aux organes directeurs de la COI. </w:t>
            </w:r>
            <w:r w:rsidRPr="001E6B5E">
              <w:rPr>
                <w:sz w:val="18"/>
                <w:szCs w:val="18"/>
                <w:lang w:val="fr-FR"/>
              </w:rPr>
              <w:t xml:space="preserve">  </w:t>
            </w:r>
          </w:p>
        </w:tc>
        <w:tc>
          <w:tcPr>
            <w:tcW w:w="1843" w:type="dxa"/>
          </w:tcPr>
          <w:p w14:paraId="475C8A0F"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Unité de coordination de la Décennie</w:t>
            </w:r>
          </w:p>
        </w:tc>
        <w:tc>
          <w:tcPr>
            <w:tcW w:w="2126" w:type="dxa"/>
          </w:tcPr>
          <w:p w14:paraId="44293E49" w14:textId="54932DF8" w:rsidR="00356366" w:rsidRPr="001E6B5E" w:rsidRDefault="00500129" w:rsidP="00F04CD6">
            <w:pPr>
              <w:adjustRightInd w:val="0"/>
              <w:spacing w:before="120" w:after="120"/>
              <w:textAlignment w:val="baseline"/>
              <w:rPr>
                <w:sz w:val="18"/>
                <w:szCs w:val="18"/>
                <w:lang w:val="fr-FR"/>
              </w:rPr>
            </w:pPr>
            <w:r w:rsidRPr="001E6B5E">
              <w:rPr>
                <w:b/>
                <w:sz w:val="18"/>
                <w:szCs w:val="18"/>
                <w:lang w:val="fr-FR"/>
              </w:rPr>
              <w:t>Achevée</w:t>
            </w:r>
          </w:p>
        </w:tc>
      </w:tr>
      <w:tr w:rsidR="00356366" w:rsidRPr="001E6B5E" w14:paraId="6AB1BCC4" w14:textId="77777777" w:rsidTr="001E6B5E">
        <w:tc>
          <w:tcPr>
            <w:tcW w:w="3095" w:type="dxa"/>
          </w:tcPr>
          <w:p w14:paraId="3430479A"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3B37BC3B" w14:textId="77777777" w:rsidR="00356366" w:rsidRPr="001E6B5E" w:rsidRDefault="00356366" w:rsidP="00453900">
            <w:pPr>
              <w:adjustRightInd w:val="0"/>
              <w:spacing w:before="60" w:after="120"/>
              <w:textAlignment w:val="baseline"/>
              <w:rPr>
                <w:sz w:val="18"/>
                <w:szCs w:val="18"/>
                <w:lang w:val="fr-FR"/>
              </w:rPr>
            </w:pPr>
            <w:r w:rsidRPr="001E6B5E">
              <w:rPr>
                <w:sz w:val="18"/>
                <w:szCs w:val="18"/>
                <w:lang w:val="fr-FR"/>
              </w:rPr>
              <w:t>3.6 Encourager les partenaires des Nations Unies à mettre en place et à financer des bureaux de coordination de la Décennie afin d’assurer la coordination des priorités régionales ou thématiques ;</w:t>
            </w:r>
          </w:p>
        </w:tc>
        <w:tc>
          <w:tcPr>
            <w:tcW w:w="3604" w:type="dxa"/>
            <w:tcMar>
              <w:left w:w="85" w:type="dxa"/>
              <w:right w:w="85" w:type="dxa"/>
            </w:tcMar>
          </w:tcPr>
          <w:p w14:paraId="643D02BE" w14:textId="2FB3A0C5" w:rsidR="00356366" w:rsidRPr="001E6B5E" w:rsidRDefault="00356366" w:rsidP="00453900">
            <w:pPr>
              <w:adjustRightInd w:val="0"/>
              <w:spacing w:before="60" w:after="120"/>
              <w:textAlignment w:val="baseline"/>
              <w:rPr>
                <w:sz w:val="18"/>
                <w:szCs w:val="18"/>
                <w:lang w:val="fr-FR"/>
              </w:rPr>
            </w:pPr>
            <w:r w:rsidRPr="001E6B5E">
              <w:rPr>
                <w:sz w:val="18"/>
                <w:szCs w:val="18"/>
                <w:lang w:val="fr-FR"/>
              </w:rPr>
              <w:t>En cours. L’Appel à l’action de la Décennie n° 07/2024 prévoit de solliciter les bureaux de coordination et les centres de collaboration de la Décennie pour combler des lacunes thématiques et géographiques critiques.</w:t>
            </w:r>
            <w:r w:rsidR="00051EE6" w:rsidRPr="001E6B5E">
              <w:rPr>
                <w:sz w:val="18"/>
                <w:szCs w:val="18"/>
                <w:lang w:val="fr-FR"/>
              </w:rPr>
              <w:t xml:space="preserve"> </w:t>
            </w:r>
            <w:r w:rsidR="0041586E" w:rsidRPr="001E6B5E">
              <w:rPr>
                <w:b/>
                <w:bCs/>
                <w:sz w:val="18"/>
                <w:szCs w:val="18"/>
                <w:lang w:val="fr-FR"/>
              </w:rPr>
              <w:t>Ces travaux</w:t>
            </w:r>
            <w:r w:rsidR="00051EE6" w:rsidRPr="001E6B5E">
              <w:rPr>
                <w:b/>
                <w:bCs/>
                <w:sz w:val="18"/>
                <w:szCs w:val="18"/>
                <w:lang w:val="fr-FR"/>
              </w:rPr>
              <w:t xml:space="preserve"> se poursuivr</w:t>
            </w:r>
            <w:r w:rsidR="0041586E" w:rsidRPr="001E6B5E">
              <w:rPr>
                <w:b/>
                <w:bCs/>
                <w:sz w:val="18"/>
                <w:szCs w:val="18"/>
                <w:lang w:val="fr-FR"/>
              </w:rPr>
              <w:t>ont</w:t>
            </w:r>
            <w:r w:rsidR="00051EE6" w:rsidRPr="001E6B5E">
              <w:rPr>
                <w:b/>
                <w:bCs/>
                <w:sz w:val="18"/>
                <w:szCs w:val="18"/>
                <w:lang w:val="fr-FR"/>
              </w:rPr>
              <w:t xml:space="preserve"> tout au long de la Décennie, en s’appuyant sur les recommandations issues de l’évaluation à mi-parcours et en soumettant des rapports d’étape aux organes directeurs de la COI.</w:t>
            </w:r>
          </w:p>
        </w:tc>
        <w:tc>
          <w:tcPr>
            <w:tcW w:w="1843" w:type="dxa"/>
          </w:tcPr>
          <w:p w14:paraId="139F0EAA" w14:textId="77777777" w:rsidR="00356366" w:rsidRPr="001E6B5E" w:rsidRDefault="00356366" w:rsidP="00453900">
            <w:pPr>
              <w:adjustRightInd w:val="0"/>
              <w:spacing w:before="60" w:after="120"/>
              <w:textAlignment w:val="baseline"/>
              <w:rPr>
                <w:sz w:val="18"/>
                <w:szCs w:val="18"/>
                <w:lang w:val="fr-FR"/>
              </w:rPr>
            </w:pPr>
            <w:r w:rsidRPr="001E6B5E">
              <w:rPr>
                <w:sz w:val="18"/>
                <w:szCs w:val="18"/>
                <w:lang w:val="fr-FR"/>
              </w:rPr>
              <w:t>Unité de coordination de la Décennie</w:t>
            </w:r>
          </w:p>
        </w:tc>
        <w:tc>
          <w:tcPr>
            <w:tcW w:w="2126" w:type="dxa"/>
          </w:tcPr>
          <w:p w14:paraId="580248DA" w14:textId="0E18F188" w:rsidR="00356366" w:rsidRPr="001E6B5E" w:rsidRDefault="00500129" w:rsidP="00453900">
            <w:pPr>
              <w:adjustRightInd w:val="0"/>
              <w:spacing w:before="60" w:after="100"/>
              <w:textAlignment w:val="baseline"/>
              <w:rPr>
                <w:sz w:val="18"/>
                <w:szCs w:val="18"/>
                <w:lang w:val="fr-FR"/>
              </w:rPr>
            </w:pPr>
            <w:r w:rsidRPr="001E6B5E">
              <w:rPr>
                <w:b/>
                <w:sz w:val="18"/>
                <w:szCs w:val="18"/>
                <w:lang w:val="fr-FR"/>
              </w:rPr>
              <w:t>Achevée</w:t>
            </w:r>
          </w:p>
        </w:tc>
      </w:tr>
      <w:tr w:rsidR="00356366" w:rsidRPr="001E6B5E" w14:paraId="7C79BE6E" w14:textId="77777777" w:rsidTr="001E6B5E">
        <w:tc>
          <w:tcPr>
            <w:tcW w:w="3095" w:type="dxa"/>
          </w:tcPr>
          <w:p w14:paraId="3FA3A8C9" w14:textId="77777777" w:rsidR="00356366" w:rsidRPr="001E6B5E" w:rsidRDefault="00356366" w:rsidP="00F04CD6">
            <w:pPr>
              <w:keepNext/>
              <w:keepLines/>
              <w:adjustRightInd w:val="0"/>
              <w:spacing w:before="120" w:after="120"/>
              <w:textAlignment w:val="baseline"/>
              <w:rPr>
                <w:sz w:val="18"/>
                <w:szCs w:val="18"/>
                <w:lang w:val="fr-FR"/>
              </w:rPr>
            </w:pPr>
          </w:p>
        </w:tc>
        <w:tc>
          <w:tcPr>
            <w:tcW w:w="3786" w:type="dxa"/>
            <w:tcMar>
              <w:left w:w="85" w:type="dxa"/>
              <w:right w:w="85" w:type="dxa"/>
            </w:tcMar>
          </w:tcPr>
          <w:p w14:paraId="048EEAFC" w14:textId="77777777" w:rsidR="00356366" w:rsidRPr="001E6B5E" w:rsidRDefault="00356366" w:rsidP="00453900">
            <w:pPr>
              <w:keepNext/>
              <w:keepLines/>
              <w:adjustRightInd w:val="0"/>
              <w:spacing w:before="60" w:after="100"/>
              <w:textAlignment w:val="baseline"/>
              <w:rPr>
                <w:sz w:val="18"/>
                <w:szCs w:val="18"/>
                <w:lang w:val="fr-FR"/>
              </w:rPr>
            </w:pPr>
            <w:r w:rsidRPr="001E6B5E">
              <w:rPr>
                <w:sz w:val="18"/>
                <w:szCs w:val="18"/>
                <w:lang w:val="fr-FR"/>
              </w:rPr>
              <w:t>3.7 Faire en sorte que le soutien financier ou en nature à la DCU soit une condition préalable à l’adhésion à l’Alliance pour la Décennie de l’Océan.</w:t>
            </w:r>
          </w:p>
        </w:tc>
        <w:tc>
          <w:tcPr>
            <w:tcW w:w="3604" w:type="dxa"/>
            <w:tcMar>
              <w:left w:w="85" w:type="dxa"/>
              <w:right w:w="85" w:type="dxa"/>
            </w:tcMar>
          </w:tcPr>
          <w:p w14:paraId="79D96F5B" w14:textId="6E2333B3" w:rsidR="00356366" w:rsidRPr="001E6B5E" w:rsidRDefault="00356366" w:rsidP="00453900">
            <w:pPr>
              <w:keepNext/>
              <w:keepLines/>
              <w:adjustRightInd w:val="0"/>
              <w:spacing w:before="60" w:after="120"/>
              <w:textAlignment w:val="baseline"/>
              <w:rPr>
                <w:sz w:val="18"/>
                <w:szCs w:val="18"/>
                <w:lang w:val="fr-FR"/>
              </w:rPr>
            </w:pPr>
            <w:r w:rsidRPr="001E6B5E">
              <w:rPr>
                <w:b/>
                <w:bCs/>
                <w:sz w:val="18"/>
                <w:szCs w:val="18"/>
                <w:lang w:val="fr-FR"/>
              </w:rPr>
              <w:t>Le processus de réexamen des membres existants de l’Alliance pour la Décennie de l’Océan</w:t>
            </w:r>
            <w:r w:rsidR="0041586E" w:rsidRPr="001E6B5E">
              <w:rPr>
                <w:b/>
                <w:bCs/>
                <w:sz w:val="18"/>
                <w:szCs w:val="18"/>
                <w:lang w:val="fr-FR"/>
              </w:rPr>
              <w:t xml:space="preserve"> se déroule au fur et à mesure</w:t>
            </w:r>
            <w:r w:rsidRPr="001E6B5E">
              <w:rPr>
                <w:sz w:val="18"/>
                <w:szCs w:val="18"/>
                <w:lang w:val="fr-FR"/>
              </w:rPr>
              <w:t xml:space="preserve"> avec l’identification de nouvelles contributions de ressources financières ou en nature.</w:t>
            </w:r>
            <w:r w:rsidR="0041586E" w:rsidRPr="001E6B5E">
              <w:rPr>
                <w:sz w:val="18"/>
                <w:szCs w:val="18"/>
                <w:lang w:val="fr-FR"/>
              </w:rPr>
              <w:t xml:space="preserve"> </w:t>
            </w:r>
            <w:r w:rsidR="005560D9" w:rsidRPr="001E6B5E">
              <w:rPr>
                <w:b/>
                <w:bCs/>
                <w:sz w:val="18"/>
                <w:szCs w:val="18"/>
                <w:lang w:val="fr-FR"/>
              </w:rPr>
              <w:t>Cette action s</w:t>
            </w:r>
            <w:r w:rsidR="0041586E" w:rsidRPr="001E6B5E">
              <w:rPr>
                <w:b/>
                <w:bCs/>
                <w:sz w:val="18"/>
                <w:szCs w:val="18"/>
                <w:lang w:val="fr-FR"/>
              </w:rPr>
              <w:t xml:space="preserve">e poursuivra tout au long du processus de réexamen et d’adhésion, et </w:t>
            </w:r>
            <w:r w:rsidR="005560D9" w:rsidRPr="001E6B5E">
              <w:rPr>
                <w:b/>
                <w:bCs/>
                <w:sz w:val="18"/>
                <w:szCs w:val="18"/>
                <w:lang w:val="fr-FR"/>
              </w:rPr>
              <w:t>il en sera rendu compte</w:t>
            </w:r>
            <w:r w:rsidR="0041586E" w:rsidRPr="001E6B5E">
              <w:rPr>
                <w:b/>
                <w:bCs/>
                <w:sz w:val="18"/>
                <w:szCs w:val="18"/>
                <w:lang w:val="fr-FR"/>
              </w:rPr>
              <w:t xml:space="preserve"> aux organes directeurs de la COI.</w:t>
            </w:r>
          </w:p>
        </w:tc>
        <w:tc>
          <w:tcPr>
            <w:tcW w:w="1843" w:type="dxa"/>
          </w:tcPr>
          <w:p w14:paraId="2591DD89" w14:textId="77777777" w:rsidR="00356366" w:rsidRPr="001E6B5E" w:rsidRDefault="00356366" w:rsidP="00453900">
            <w:pPr>
              <w:keepNext/>
              <w:keepLines/>
              <w:adjustRightInd w:val="0"/>
              <w:spacing w:before="60" w:after="100"/>
              <w:textAlignment w:val="baseline"/>
              <w:rPr>
                <w:sz w:val="18"/>
                <w:szCs w:val="18"/>
                <w:lang w:val="fr-FR"/>
              </w:rPr>
            </w:pPr>
            <w:r w:rsidRPr="001E6B5E">
              <w:rPr>
                <w:sz w:val="18"/>
                <w:szCs w:val="18"/>
                <w:lang w:val="fr-FR"/>
              </w:rPr>
              <w:t>Secrétaire exécutif de la DCU et équipe dirigeante de la COI</w:t>
            </w:r>
          </w:p>
        </w:tc>
        <w:tc>
          <w:tcPr>
            <w:tcW w:w="2126" w:type="dxa"/>
          </w:tcPr>
          <w:p w14:paraId="67ECA4C3" w14:textId="293FF1B1" w:rsidR="00356366" w:rsidRPr="001E6B5E" w:rsidRDefault="00500129" w:rsidP="00453900">
            <w:pPr>
              <w:keepNext/>
              <w:keepLines/>
              <w:adjustRightInd w:val="0"/>
              <w:spacing w:before="60" w:after="120"/>
              <w:textAlignment w:val="baseline"/>
              <w:rPr>
                <w:sz w:val="18"/>
                <w:szCs w:val="18"/>
                <w:lang w:val="fr-FR"/>
              </w:rPr>
            </w:pPr>
            <w:r w:rsidRPr="001E6B5E">
              <w:rPr>
                <w:b/>
                <w:sz w:val="18"/>
                <w:szCs w:val="18"/>
                <w:lang w:val="fr-FR"/>
              </w:rPr>
              <w:t>Achevée</w:t>
            </w:r>
          </w:p>
        </w:tc>
      </w:tr>
      <w:tr w:rsidR="00356366" w:rsidRPr="001E6B5E" w14:paraId="09170620" w14:textId="77777777" w:rsidTr="001E6B5E">
        <w:tc>
          <w:tcPr>
            <w:tcW w:w="3095" w:type="dxa"/>
          </w:tcPr>
          <w:p w14:paraId="658B69E2" w14:textId="77777777" w:rsidR="00356366" w:rsidRPr="001E6B5E" w:rsidRDefault="00356366" w:rsidP="00453900">
            <w:pPr>
              <w:adjustRightInd w:val="0"/>
              <w:spacing w:before="60" w:after="120"/>
              <w:textAlignment w:val="baseline"/>
              <w:rPr>
                <w:b/>
                <w:bCs/>
                <w:sz w:val="18"/>
                <w:szCs w:val="18"/>
                <w:lang w:val="fr-FR"/>
              </w:rPr>
            </w:pPr>
            <w:r w:rsidRPr="001E6B5E">
              <w:rPr>
                <w:b/>
                <w:bCs/>
                <w:sz w:val="18"/>
                <w:szCs w:val="18"/>
                <w:lang w:val="fr-FR"/>
              </w:rPr>
              <w:t xml:space="preserve">Recommandation 4 : </w:t>
            </w:r>
          </w:p>
          <w:p w14:paraId="306A00E8"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D’ici à juin 2024 – Examiner les options pour une plus ample utilisation de la base de données et de connaissances de la COI</w:t>
            </w:r>
          </w:p>
          <w:p w14:paraId="6DB19D25"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51E67E9D" w14:textId="77777777" w:rsidR="00356366" w:rsidRPr="001E6B5E" w:rsidRDefault="00356366" w:rsidP="00453900">
            <w:pPr>
              <w:adjustRightInd w:val="0"/>
              <w:spacing w:before="60" w:after="100"/>
              <w:textAlignment w:val="baseline"/>
              <w:rPr>
                <w:sz w:val="18"/>
                <w:szCs w:val="18"/>
                <w:lang w:val="fr-FR"/>
              </w:rPr>
            </w:pPr>
            <w:r w:rsidRPr="001E6B5E">
              <w:rPr>
                <w:sz w:val="18"/>
                <w:szCs w:val="18"/>
                <w:lang w:val="fr-FR"/>
              </w:rPr>
              <w:t>4.1 Instituer un groupe de travail rassemblant les sections de la Commission afin d’établir une liste d’indicateurs socioéconomiques, par exemple en vue de leur utilisation dans le Rapport sur l’état de l’océan ; si nécessaire, élargir le groupe de travail pour y associer d’autres acteurs, tels que des organismes partenaires d’ONU</w:t>
            </w:r>
            <w:r w:rsidRPr="001E6B5E">
              <w:rPr>
                <w:sz w:val="18"/>
                <w:szCs w:val="18"/>
                <w:lang w:val="fr-FR"/>
              </w:rPr>
              <w:noBreakHyphen/>
              <w:t>Océans ;</w:t>
            </w:r>
          </w:p>
        </w:tc>
        <w:tc>
          <w:tcPr>
            <w:tcW w:w="3604" w:type="dxa"/>
            <w:tcMar>
              <w:left w:w="85" w:type="dxa"/>
              <w:right w:w="85" w:type="dxa"/>
            </w:tcMar>
          </w:tcPr>
          <w:p w14:paraId="129435B7" w14:textId="2F745545" w:rsidR="00356366" w:rsidRPr="001E6B5E" w:rsidRDefault="00E53A66" w:rsidP="00453900">
            <w:pPr>
              <w:adjustRightInd w:val="0"/>
              <w:spacing w:before="60" w:after="120"/>
              <w:textAlignment w:val="baseline"/>
              <w:rPr>
                <w:sz w:val="18"/>
                <w:szCs w:val="18"/>
                <w:lang w:val="fr-FR"/>
              </w:rPr>
            </w:pPr>
            <w:r w:rsidRPr="001E6B5E">
              <w:rPr>
                <w:b/>
                <w:bCs/>
                <w:sz w:val="18"/>
                <w:szCs w:val="18"/>
                <w:lang w:val="fr-FR"/>
              </w:rPr>
              <w:t xml:space="preserve">En cours : élaboration d’un premier ensemble d’indicateurs sur l’océan par un groupe de travail composé des groupes d’experts du GOOS, des sections de la COI et d’organismes partenaires. Le Conseil de rédaction du Rapport mondial sur l’état de l’océan continue à affiner les indicateurs/indices quantitatifs et qualitatifs concernant les volets économiques des sciences océaniques et de l’éducation relatives à l’océan. La </w:t>
            </w:r>
            <w:r w:rsidR="00CA28E1" w:rsidRPr="001E6B5E">
              <w:rPr>
                <w:b/>
                <w:bCs/>
                <w:sz w:val="18"/>
                <w:szCs w:val="18"/>
                <w:lang w:val="fr-FR"/>
              </w:rPr>
              <w:t>constitution</w:t>
            </w:r>
            <w:r w:rsidRPr="001E6B5E">
              <w:rPr>
                <w:b/>
                <w:bCs/>
                <w:sz w:val="18"/>
                <w:szCs w:val="18"/>
                <w:lang w:val="fr-FR"/>
              </w:rPr>
              <w:t xml:space="preserve"> du Comité consultatif sur le </w:t>
            </w:r>
            <w:r w:rsidRPr="001E6B5E">
              <w:rPr>
                <w:b/>
                <w:bCs/>
                <w:i/>
                <w:iCs/>
                <w:sz w:val="18"/>
                <w:szCs w:val="18"/>
                <w:lang w:val="fr-FR"/>
              </w:rPr>
              <w:t>Rapport sur l’état de l’océan</w:t>
            </w:r>
            <w:r w:rsidR="003729A1" w:rsidRPr="001E6B5E">
              <w:rPr>
                <w:b/>
                <w:bCs/>
                <w:sz w:val="18"/>
                <w:szCs w:val="18"/>
                <w:lang w:val="fr-FR"/>
              </w:rPr>
              <w:t xml:space="preserve"> de 2026</w:t>
            </w:r>
            <w:r w:rsidRPr="001E6B5E">
              <w:rPr>
                <w:b/>
                <w:bCs/>
                <w:sz w:val="18"/>
                <w:szCs w:val="18"/>
                <w:lang w:val="fr-FR"/>
              </w:rPr>
              <w:t xml:space="preserve"> est en cours (réf. Lettre circulaire de la COI n</w:t>
            </w:r>
            <w:r w:rsidR="00655FE1" w:rsidRPr="001E6B5E">
              <w:rPr>
                <w:b/>
                <w:bCs/>
                <w:sz w:val="18"/>
                <w:szCs w:val="18"/>
                <w:lang w:val="fr-FR"/>
              </w:rPr>
              <w:t>° </w:t>
            </w:r>
            <w:hyperlink r:id="rId18" w:history="1">
              <w:r w:rsidR="00655FE1" w:rsidRPr="001E6B5E">
                <w:rPr>
                  <w:rStyle w:val="Hyperlink"/>
                  <w:b/>
                  <w:bCs/>
                  <w:sz w:val="18"/>
                  <w:szCs w:val="18"/>
                  <w:lang w:val="fr-FR"/>
                </w:rPr>
                <w:t>3032</w:t>
              </w:r>
            </w:hyperlink>
            <w:r w:rsidR="00655FE1" w:rsidRPr="001E6B5E">
              <w:rPr>
                <w:b/>
                <w:bCs/>
                <w:sz w:val="18"/>
                <w:szCs w:val="18"/>
                <w:lang w:val="fr-FR"/>
              </w:rPr>
              <w:t xml:space="preserve">). </w:t>
            </w:r>
            <w:r w:rsidR="00CA28E1" w:rsidRPr="001E6B5E">
              <w:rPr>
                <w:b/>
                <w:bCs/>
                <w:sz w:val="18"/>
                <w:szCs w:val="18"/>
                <w:lang w:val="fr-FR"/>
              </w:rPr>
              <w:t>Il</w:t>
            </w:r>
            <w:r w:rsidR="00655FE1" w:rsidRPr="001E6B5E">
              <w:rPr>
                <w:b/>
                <w:bCs/>
                <w:sz w:val="18"/>
                <w:szCs w:val="18"/>
                <w:lang w:val="fr-FR"/>
              </w:rPr>
              <w:t xml:space="preserve"> </w:t>
            </w:r>
            <w:r w:rsidR="003729A1" w:rsidRPr="001E6B5E">
              <w:rPr>
                <w:b/>
                <w:bCs/>
                <w:sz w:val="18"/>
                <w:szCs w:val="18"/>
                <w:lang w:val="fr-FR"/>
              </w:rPr>
              <w:t xml:space="preserve">commencera </w:t>
            </w:r>
            <w:r w:rsidR="005560D9" w:rsidRPr="001E6B5E">
              <w:rPr>
                <w:b/>
                <w:bCs/>
                <w:sz w:val="18"/>
                <w:szCs w:val="18"/>
                <w:lang w:val="fr-FR"/>
              </w:rPr>
              <w:t>ses travaux par l’élaboration d’</w:t>
            </w:r>
            <w:r w:rsidR="003729A1" w:rsidRPr="001E6B5E">
              <w:rPr>
                <w:b/>
                <w:bCs/>
                <w:sz w:val="18"/>
                <w:szCs w:val="18"/>
                <w:lang w:val="fr-FR"/>
              </w:rPr>
              <w:t>un plan</w:t>
            </w:r>
            <w:r w:rsidR="00655FE1" w:rsidRPr="001E6B5E">
              <w:rPr>
                <w:b/>
                <w:bCs/>
                <w:sz w:val="18"/>
                <w:szCs w:val="18"/>
                <w:lang w:val="fr-FR"/>
              </w:rPr>
              <w:t>, y compris l’examen</w:t>
            </w:r>
            <w:r w:rsidR="003729A1" w:rsidRPr="001E6B5E">
              <w:rPr>
                <w:b/>
                <w:bCs/>
                <w:sz w:val="18"/>
                <w:szCs w:val="18"/>
                <w:lang w:val="fr-FR"/>
              </w:rPr>
              <w:t xml:space="preserve"> d</w:t>
            </w:r>
            <w:r w:rsidR="005560D9" w:rsidRPr="001E6B5E">
              <w:rPr>
                <w:b/>
                <w:bCs/>
                <w:sz w:val="18"/>
                <w:szCs w:val="18"/>
                <w:lang w:val="fr-FR"/>
              </w:rPr>
              <w:t>’</w:t>
            </w:r>
            <w:r w:rsidR="003729A1" w:rsidRPr="001E6B5E">
              <w:rPr>
                <w:b/>
                <w:bCs/>
                <w:sz w:val="18"/>
                <w:szCs w:val="18"/>
                <w:lang w:val="fr-FR"/>
              </w:rPr>
              <w:t>indicateurs potentiels, en mai 2025.</w:t>
            </w:r>
            <w:r w:rsidRPr="001E6B5E">
              <w:rPr>
                <w:b/>
                <w:bCs/>
                <w:sz w:val="18"/>
                <w:szCs w:val="18"/>
                <w:lang w:val="fr-FR"/>
              </w:rPr>
              <w:t xml:space="preserve"> </w:t>
            </w:r>
            <w:r w:rsidRPr="001E6B5E">
              <w:rPr>
                <w:sz w:val="18"/>
                <w:szCs w:val="18"/>
                <w:lang w:val="fr-FR"/>
              </w:rPr>
              <w:t xml:space="preserve"> </w:t>
            </w:r>
          </w:p>
        </w:tc>
        <w:tc>
          <w:tcPr>
            <w:tcW w:w="1843" w:type="dxa"/>
            <w:tcMar>
              <w:right w:w="28" w:type="dxa"/>
            </w:tcMar>
          </w:tcPr>
          <w:p w14:paraId="5ADD5770" w14:textId="4D26C315" w:rsidR="00356366" w:rsidRPr="001E6B5E" w:rsidRDefault="00356366" w:rsidP="00453900">
            <w:pPr>
              <w:adjustRightInd w:val="0"/>
              <w:spacing w:before="60" w:after="120"/>
              <w:textAlignment w:val="baseline"/>
              <w:rPr>
                <w:sz w:val="18"/>
                <w:szCs w:val="18"/>
                <w:lang w:val="fr-FR"/>
              </w:rPr>
            </w:pPr>
            <w:r w:rsidRPr="001E6B5E">
              <w:rPr>
                <w:sz w:val="18"/>
                <w:szCs w:val="18"/>
                <w:lang w:val="fr-FR"/>
              </w:rPr>
              <w:t xml:space="preserve">Secrétaire exécutif et équipe dirigeante de </w:t>
            </w:r>
            <w:r w:rsidR="00E53A66" w:rsidRPr="001E6B5E">
              <w:rPr>
                <w:sz w:val="18"/>
                <w:szCs w:val="18"/>
                <w:lang w:val="fr-FR"/>
              </w:rPr>
              <w:t xml:space="preserve">la </w:t>
            </w:r>
            <w:r w:rsidRPr="001E6B5E">
              <w:rPr>
                <w:sz w:val="18"/>
                <w:szCs w:val="18"/>
                <w:lang w:val="fr-FR"/>
              </w:rPr>
              <w:t>COI</w:t>
            </w:r>
          </w:p>
        </w:tc>
        <w:tc>
          <w:tcPr>
            <w:tcW w:w="2126" w:type="dxa"/>
          </w:tcPr>
          <w:p w14:paraId="78705919" w14:textId="77777777" w:rsidR="00356366" w:rsidRPr="001E6B5E" w:rsidRDefault="00356366" w:rsidP="00453900">
            <w:pPr>
              <w:adjustRightInd w:val="0"/>
              <w:spacing w:before="60" w:after="120"/>
              <w:textAlignment w:val="baseline"/>
              <w:rPr>
                <w:sz w:val="18"/>
                <w:szCs w:val="18"/>
                <w:lang w:val="fr-FR"/>
              </w:rPr>
            </w:pPr>
            <w:r w:rsidRPr="001E6B5E">
              <w:rPr>
                <w:sz w:val="18"/>
                <w:szCs w:val="18"/>
                <w:lang w:val="fr-FR"/>
              </w:rPr>
              <w:t>3</w:t>
            </w:r>
            <w:r w:rsidRPr="001E6B5E">
              <w:rPr>
                <w:sz w:val="18"/>
                <w:szCs w:val="18"/>
                <w:vertAlign w:val="superscript"/>
                <w:lang w:val="fr-FR"/>
              </w:rPr>
              <w:t>e</w:t>
            </w:r>
            <w:r w:rsidRPr="001E6B5E">
              <w:rPr>
                <w:sz w:val="18"/>
                <w:szCs w:val="18"/>
                <w:lang w:val="fr-FR"/>
              </w:rPr>
              <w:t> trimestre 2025</w:t>
            </w:r>
          </w:p>
        </w:tc>
      </w:tr>
      <w:tr w:rsidR="00356366" w:rsidRPr="001E6B5E" w14:paraId="37F6FC12" w14:textId="77777777" w:rsidTr="001E6B5E">
        <w:tc>
          <w:tcPr>
            <w:tcW w:w="3095" w:type="dxa"/>
          </w:tcPr>
          <w:p w14:paraId="5352BEC8"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286DF199"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4.2 Concevoir des processus pour rationaliser et simplifier le pipeline de données de la Commission afin que celui</w:t>
            </w:r>
            <w:r w:rsidRPr="001E6B5E">
              <w:rPr>
                <w:sz w:val="18"/>
                <w:szCs w:val="18"/>
                <w:lang w:val="fr-FR"/>
              </w:rPr>
              <w:noBreakHyphen/>
              <w:t>ci puisse contribuer à l’élaboration des indicateurs proposés ci-dessus ;</w:t>
            </w:r>
          </w:p>
        </w:tc>
        <w:tc>
          <w:tcPr>
            <w:tcW w:w="3604" w:type="dxa"/>
            <w:tcMar>
              <w:left w:w="85" w:type="dxa"/>
              <w:right w:w="85" w:type="dxa"/>
            </w:tcMar>
          </w:tcPr>
          <w:p w14:paraId="1CDA467D" w14:textId="1CF7F86F" w:rsidR="00356366" w:rsidRPr="001E6B5E" w:rsidRDefault="00CA28E1" w:rsidP="00453900">
            <w:pPr>
              <w:adjustRightInd w:val="0"/>
              <w:spacing w:before="80" w:after="120"/>
              <w:textAlignment w:val="baseline"/>
              <w:rPr>
                <w:sz w:val="18"/>
                <w:szCs w:val="18"/>
                <w:lang w:val="fr-FR"/>
              </w:rPr>
            </w:pPr>
            <w:r w:rsidRPr="001E6B5E">
              <w:rPr>
                <w:b/>
                <w:bCs/>
                <w:sz w:val="18"/>
                <w:szCs w:val="18"/>
                <w:lang w:val="fr-FR"/>
              </w:rPr>
              <w:t xml:space="preserve">En cours : </w:t>
            </w:r>
            <w:r w:rsidR="00CB6E7B" w:rsidRPr="001E6B5E">
              <w:rPr>
                <w:b/>
                <w:bCs/>
                <w:sz w:val="18"/>
                <w:szCs w:val="18"/>
                <w:lang w:val="fr-FR"/>
              </w:rPr>
              <w:t xml:space="preserve">Proposition d’architecture de données de la COI soumise </w:t>
            </w:r>
            <w:r w:rsidRPr="001E6B5E">
              <w:rPr>
                <w:b/>
                <w:bCs/>
                <w:sz w:val="18"/>
                <w:szCs w:val="18"/>
                <w:lang w:val="fr-FR"/>
              </w:rPr>
              <w:t>à l’Assemblée de la COI à sa 33</w:t>
            </w:r>
            <w:r w:rsidRPr="001E6B5E">
              <w:rPr>
                <w:b/>
                <w:bCs/>
                <w:sz w:val="18"/>
                <w:szCs w:val="18"/>
                <w:vertAlign w:val="superscript"/>
                <w:lang w:val="fr-FR"/>
              </w:rPr>
              <w:t>e</w:t>
            </w:r>
            <w:r w:rsidRPr="001E6B5E">
              <w:rPr>
                <w:b/>
                <w:bCs/>
                <w:sz w:val="18"/>
                <w:szCs w:val="18"/>
                <w:lang w:val="fr-FR"/>
              </w:rPr>
              <w:t xml:space="preserve"> session, et planification à l’appui de la collecte de données relatives à l’acidification de l’océan dans le cadre des ODD </w:t>
            </w:r>
            <w:r w:rsidR="00CB6E7B" w:rsidRPr="001E6B5E">
              <w:rPr>
                <w:b/>
                <w:bCs/>
                <w:sz w:val="18"/>
                <w:szCs w:val="18"/>
                <w:lang w:val="fr-FR"/>
              </w:rPr>
              <w:t xml:space="preserve">(indicateur 14.3.1) </w:t>
            </w:r>
            <w:r w:rsidRPr="001E6B5E">
              <w:rPr>
                <w:b/>
                <w:bCs/>
                <w:sz w:val="18"/>
                <w:szCs w:val="18"/>
                <w:lang w:val="fr-FR"/>
              </w:rPr>
              <w:t xml:space="preserve">en cours.  </w:t>
            </w:r>
          </w:p>
        </w:tc>
        <w:tc>
          <w:tcPr>
            <w:tcW w:w="1843" w:type="dxa"/>
            <w:tcMar>
              <w:right w:w="28" w:type="dxa"/>
            </w:tcMar>
          </w:tcPr>
          <w:p w14:paraId="7CCEDCF5"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Secrétaire exécutif et équipe dirigeante de la COI</w:t>
            </w:r>
          </w:p>
        </w:tc>
        <w:tc>
          <w:tcPr>
            <w:tcW w:w="2126" w:type="dxa"/>
          </w:tcPr>
          <w:p w14:paraId="26FFA202"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3</w:t>
            </w:r>
            <w:r w:rsidRPr="001E6B5E">
              <w:rPr>
                <w:sz w:val="18"/>
                <w:szCs w:val="18"/>
                <w:vertAlign w:val="superscript"/>
                <w:lang w:val="fr-FR"/>
              </w:rPr>
              <w:t>e</w:t>
            </w:r>
            <w:r w:rsidRPr="001E6B5E">
              <w:rPr>
                <w:sz w:val="18"/>
                <w:szCs w:val="18"/>
                <w:lang w:val="fr-FR"/>
              </w:rPr>
              <w:t> trimestre 2025</w:t>
            </w:r>
          </w:p>
        </w:tc>
      </w:tr>
      <w:tr w:rsidR="00356366" w:rsidRPr="001E6B5E" w14:paraId="51DFDD23" w14:textId="77777777" w:rsidTr="001E6B5E">
        <w:tc>
          <w:tcPr>
            <w:tcW w:w="3095" w:type="dxa"/>
          </w:tcPr>
          <w:p w14:paraId="1931141C"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0ADD3A49"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4.3 Accélérer la mise en place de l’ODIS et renforcer sa contribution à la Décennie de l’Océan ;</w:t>
            </w:r>
          </w:p>
        </w:tc>
        <w:tc>
          <w:tcPr>
            <w:tcW w:w="3604" w:type="dxa"/>
            <w:tcMar>
              <w:left w:w="85" w:type="dxa"/>
              <w:right w:w="85" w:type="dxa"/>
            </w:tcMar>
          </w:tcPr>
          <w:p w14:paraId="6411BA44" w14:textId="256D3EF0" w:rsidR="00356366" w:rsidRPr="001E6B5E" w:rsidRDefault="00356366" w:rsidP="00453900">
            <w:pPr>
              <w:adjustRightInd w:val="0"/>
              <w:spacing w:before="80" w:after="80"/>
              <w:textAlignment w:val="baseline"/>
              <w:rPr>
                <w:sz w:val="18"/>
                <w:szCs w:val="18"/>
                <w:lang w:val="fr-FR"/>
              </w:rPr>
            </w:pPr>
            <w:r w:rsidRPr="001E6B5E">
              <w:rPr>
                <w:sz w:val="18"/>
                <w:szCs w:val="18"/>
                <w:lang w:val="fr-FR"/>
              </w:rPr>
              <w:t>Un programme intitulé « Système de données et d’informations océanographiques à l’appui de la Décennie des Nations Unies pour les sciences océaniques au service du développement durable » (OceanData</w:t>
            </w:r>
            <w:r w:rsidRPr="001E6B5E">
              <w:rPr>
                <w:sz w:val="18"/>
                <w:szCs w:val="18"/>
                <w:lang w:val="fr-FR"/>
              </w:rPr>
              <w:noBreakHyphen/>
              <w:t>2030) a été enregistré auprès de la Décennie de l’Océan.</w:t>
            </w:r>
            <w:r w:rsidR="00CB6E7B" w:rsidRPr="001E6B5E">
              <w:rPr>
                <w:sz w:val="18"/>
                <w:szCs w:val="18"/>
                <w:lang w:val="fr-FR"/>
              </w:rPr>
              <w:t xml:space="preserve"> </w:t>
            </w:r>
            <w:r w:rsidR="00CB6E7B" w:rsidRPr="001E6B5E">
              <w:rPr>
                <w:b/>
                <w:bCs/>
                <w:sz w:val="18"/>
                <w:szCs w:val="18"/>
                <w:lang w:val="fr-FR"/>
              </w:rPr>
              <w:t>Ces travaux se poursuivront, et des informations actualisées sur les progrès accomplis seront régulièrement présentés aux organes directeurs de la COI</w:t>
            </w:r>
            <w:r w:rsidR="00D41CBC" w:rsidRPr="001E6B5E">
              <w:rPr>
                <w:b/>
                <w:bCs/>
                <w:sz w:val="18"/>
                <w:szCs w:val="18"/>
                <w:lang w:val="fr-FR"/>
              </w:rPr>
              <w:t>.</w:t>
            </w:r>
          </w:p>
        </w:tc>
        <w:tc>
          <w:tcPr>
            <w:tcW w:w="1843" w:type="dxa"/>
            <w:tcMar>
              <w:right w:w="28" w:type="dxa"/>
            </w:tcMar>
          </w:tcPr>
          <w:p w14:paraId="1723A1F1"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Chef de l’IOC/OST et équipe dirigeante de la COI</w:t>
            </w:r>
          </w:p>
        </w:tc>
        <w:tc>
          <w:tcPr>
            <w:tcW w:w="2126" w:type="dxa"/>
          </w:tcPr>
          <w:p w14:paraId="4D0848DB" w14:textId="32690D4F" w:rsidR="00356366" w:rsidRPr="001E6B5E" w:rsidRDefault="00500129" w:rsidP="00453900">
            <w:pPr>
              <w:adjustRightInd w:val="0"/>
              <w:spacing w:before="80" w:after="120"/>
              <w:textAlignment w:val="baseline"/>
              <w:rPr>
                <w:sz w:val="18"/>
                <w:szCs w:val="18"/>
                <w:lang w:val="fr-FR"/>
              </w:rPr>
            </w:pPr>
            <w:r w:rsidRPr="001E6B5E">
              <w:rPr>
                <w:b/>
                <w:sz w:val="18"/>
                <w:szCs w:val="18"/>
                <w:lang w:val="fr-FR"/>
              </w:rPr>
              <w:t>Achevée</w:t>
            </w:r>
          </w:p>
        </w:tc>
      </w:tr>
      <w:tr w:rsidR="00356366" w:rsidRPr="001E6B5E" w14:paraId="22FC0129" w14:textId="77777777" w:rsidTr="001E6B5E">
        <w:tc>
          <w:tcPr>
            <w:tcW w:w="3095" w:type="dxa"/>
          </w:tcPr>
          <w:p w14:paraId="143370EB" w14:textId="77777777" w:rsidR="00356366" w:rsidRPr="001E6B5E" w:rsidRDefault="00356366" w:rsidP="00F04CD6">
            <w:pPr>
              <w:keepNext/>
              <w:keepLines/>
              <w:adjustRightInd w:val="0"/>
              <w:spacing w:before="120" w:after="120"/>
              <w:textAlignment w:val="baseline"/>
              <w:rPr>
                <w:sz w:val="18"/>
                <w:szCs w:val="18"/>
                <w:lang w:val="fr-FR"/>
              </w:rPr>
            </w:pPr>
          </w:p>
        </w:tc>
        <w:tc>
          <w:tcPr>
            <w:tcW w:w="3786" w:type="dxa"/>
            <w:tcMar>
              <w:left w:w="85" w:type="dxa"/>
              <w:right w:w="85" w:type="dxa"/>
            </w:tcMar>
          </w:tcPr>
          <w:p w14:paraId="147F9BC0" w14:textId="77777777" w:rsidR="00356366" w:rsidRPr="001E6B5E" w:rsidRDefault="00356366" w:rsidP="00453900">
            <w:pPr>
              <w:keepNext/>
              <w:keepLines/>
              <w:adjustRightInd w:val="0"/>
              <w:spacing w:before="80" w:after="120"/>
              <w:textAlignment w:val="baseline"/>
              <w:rPr>
                <w:sz w:val="18"/>
                <w:szCs w:val="18"/>
                <w:lang w:val="fr-FR"/>
              </w:rPr>
            </w:pPr>
            <w:r w:rsidRPr="001E6B5E">
              <w:rPr>
                <w:sz w:val="18"/>
                <w:szCs w:val="18"/>
                <w:lang w:val="fr-FR"/>
              </w:rPr>
              <w:t>4.4 Rechercher des financements pour préparer le premier Rapport sur l’état de l’océan d’ici à la 32</w:t>
            </w:r>
            <w:r w:rsidRPr="001E6B5E">
              <w:rPr>
                <w:sz w:val="18"/>
                <w:szCs w:val="18"/>
                <w:vertAlign w:val="superscript"/>
                <w:lang w:val="fr-FR"/>
              </w:rPr>
              <w:t>e</w:t>
            </w:r>
            <w:r w:rsidRPr="001E6B5E">
              <w:rPr>
                <w:sz w:val="18"/>
                <w:szCs w:val="18"/>
                <w:lang w:val="fr-FR"/>
              </w:rPr>
              <w:t> session de l’Assemblée en 2023.</w:t>
            </w:r>
          </w:p>
        </w:tc>
        <w:tc>
          <w:tcPr>
            <w:tcW w:w="3604" w:type="dxa"/>
            <w:tcMar>
              <w:left w:w="85" w:type="dxa"/>
              <w:right w:w="85" w:type="dxa"/>
            </w:tcMar>
          </w:tcPr>
          <w:p w14:paraId="7E86C6F3" w14:textId="5BC7CB3A" w:rsidR="00356366" w:rsidRPr="001E6B5E" w:rsidRDefault="00356366" w:rsidP="00453900">
            <w:pPr>
              <w:keepNext/>
              <w:keepLines/>
              <w:adjustRightInd w:val="0"/>
              <w:spacing w:before="80" w:after="120"/>
              <w:textAlignment w:val="baseline"/>
              <w:rPr>
                <w:sz w:val="18"/>
                <w:szCs w:val="18"/>
                <w:lang w:val="fr-FR"/>
              </w:rPr>
            </w:pPr>
          </w:p>
        </w:tc>
        <w:tc>
          <w:tcPr>
            <w:tcW w:w="1843" w:type="dxa"/>
            <w:tcMar>
              <w:right w:w="28" w:type="dxa"/>
            </w:tcMar>
          </w:tcPr>
          <w:p w14:paraId="138B4CF2" w14:textId="77777777" w:rsidR="00356366" w:rsidRPr="001E6B5E" w:rsidRDefault="00356366" w:rsidP="00453900">
            <w:pPr>
              <w:keepNext/>
              <w:keepLines/>
              <w:adjustRightInd w:val="0"/>
              <w:spacing w:before="80" w:after="120"/>
              <w:textAlignment w:val="baseline"/>
              <w:rPr>
                <w:sz w:val="18"/>
                <w:szCs w:val="18"/>
                <w:lang w:val="fr-FR"/>
              </w:rPr>
            </w:pPr>
            <w:r w:rsidRPr="001E6B5E">
              <w:rPr>
                <w:sz w:val="18"/>
                <w:szCs w:val="18"/>
                <w:lang w:val="fr-FR"/>
              </w:rPr>
              <w:t>Secrétaire exécutif et équipe dirigeante de la COI</w:t>
            </w:r>
          </w:p>
        </w:tc>
        <w:tc>
          <w:tcPr>
            <w:tcW w:w="2126" w:type="dxa"/>
          </w:tcPr>
          <w:p w14:paraId="62138C58" w14:textId="73FFDCC9" w:rsidR="00356366" w:rsidRPr="001E6B5E" w:rsidRDefault="00500129" w:rsidP="00453900">
            <w:pPr>
              <w:keepNext/>
              <w:keepLines/>
              <w:adjustRightInd w:val="0"/>
              <w:spacing w:before="80" w:after="120"/>
              <w:textAlignment w:val="baseline"/>
              <w:rPr>
                <w:sz w:val="18"/>
                <w:szCs w:val="18"/>
                <w:lang w:val="fr-FR"/>
              </w:rPr>
            </w:pPr>
            <w:r w:rsidRPr="001E6B5E">
              <w:rPr>
                <w:b/>
                <w:sz w:val="18"/>
                <w:szCs w:val="18"/>
                <w:lang w:val="fr-FR"/>
              </w:rPr>
              <w:t>Achevée</w:t>
            </w:r>
          </w:p>
        </w:tc>
      </w:tr>
      <w:tr w:rsidR="00356366" w:rsidRPr="001E6B5E" w14:paraId="2796F380" w14:textId="77777777" w:rsidTr="001E6B5E">
        <w:tc>
          <w:tcPr>
            <w:tcW w:w="3095" w:type="dxa"/>
          </w:tcPr>
          <w:p w14:paraId="38C538AB" w14:textId="77777777" w:rsidR="00356366" w:rsidRPr="001E6B5E" w:rsidRDefault="00356366" w:rsidP="00453900">
            <w:pPr>
              <w:adjustRightInd w:val="0"/>
              <w:spacing w:before="80" w:after="120"/>
              <w:textAlignment w:val="baseline"/>
              <w:rPr>
                <w:b/>
                <w:bCs/>
                <w:sz w:val="18"/>
                <w:szCs w:val="18"/>
                <w:lang w:val="fr-FR"/>
              </w:rPr>
            </w:pPr>
            <w:r w:rsidRPr="001E6B5E">
              <w:rPr>
                <w:b/>
                <w:bCs/>
                <w:sz w:val="18"/>
                <w:szCs w:val="18"/>
                <w:lang w:val="fr-FR"/>
              </w:rPr>
              <w:t xml:space="preserve">Recommandation 5 : </w:t>
            </w:r>
          </w:p>
          <w:p w14:paraId="011BC97F"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D’ici à juin 2022 – Explorer les moyens de s’assurer le concours additionnel de décideurs de haut niveau aux activités de la COI</w:t>
            </w:r>
          </w:p>
        </w:tc>
        <w:tc>
          <w:tcPr>
            <w:tcW w:w="3786" w:type="dxa"/>
            <w:tcMar>
              <w:left w:w="85" w:type="dxa"/>
              <w:right w:w="85" w:type="dxa"/>
            </w:tcMar>
          </w:tcPr>
          <w:p w14:paraId="220DCAA8"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5.1 Dresser un état des lieux avec les principales organisations nationales et régionales issues de différents secteurs et jouant un rôle dans la formulation de politiques afin de mettre en évidence les points d’entrée prioritaires pour renforcer l’engagement par le biais de la Décennie de l’Océan et des activités de programme de la COI ;</w:t>
            </w:r>
          </w:p>
        </w:tc>
        <w:tc>
          <w:tcPr>
            <w:tcW w:w="3604" w:type="dxa"/>
            <w:tcMar>
              <w:left w:w="85" w:type="dxa"/>
              <w:right w:w="85" w:type="dxa"/>
            </w:tcMar>
          </w:tcPr>
          <w:p w14:paraId="06244762" w14:textId="03B9D22B" w:rsidR="00356366" w:rsidRPr="001E6B5E" w:rsidRDefault="00356366" w:rsidP="00453900">
            <w:pPr>
              <w:adjustRightInd w:val="0"/>
              <w:spacing w:before="80" w:after="120"/>
              <w:textAlignment w:val="baseline"/>
              <w:rPr>
                <w:b/>
                <w:bCs/>
                <w:sz w:val="18"/>
                <w:szCs w:val="18"/>
                <w:lang w:val="fr-FR"/>
              </w:rPr>
            </w:pPr>
            <w:r w:rsidRPr="001E6B5E">
              <w:rPr>
                <w:b/>
                <w:bCs/>
                <w:sz w:val="18"/>
                <w:szCs w:val="18"/>
                <w:lang w:val="fr-FR"/>
              </w:rPr>
              <w:t xml:space="preserve">À </w:t>
            </w:r>
            <w:r w:rsidR="00242126" w:rsidRPr="001E6B5E">
              <w:rPr>
                <w:b/>
                <w:bCs/>
                <w:sz w:val="18"/>
                <w:szCs w:val="18"/>
                <w:lang w:val="fr-FR"/>
              </w:rPr>
              <w:t xml:space="preserve">mener à bien dans le cadre de la phase 2 du processus de consultation </w:t>
            </w:r>
            <w:r w:rsidRPr="001E6B5E">
              <w:rPr>
                <w:b/>
                <w:bCs/>
                <w:sz w:val="18"/>
                <w:szCs w:val="18"/>
                <w:lang w:val="fr-FR"/>
              </w:rPr>
              <w:t>« La COI et l’avenir de l’océan ».</w:t>
            </w:r>
          </w:p>
        </w:tc>
        <w:tc>
          <w:tcPr>
            <w:tcW w:w="1843" w:type="dxa"/>
            <w:tcMar>
              <w:right w:w="28" w:type="dxa"/>
            </w:tcMar>
          </w:tcPr>
          <w:p w14:paraId="38D329FF"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Secrétaire exécutif et équipe dirigeante de la COI</w:t>
            </w:r>
          </w:p>
        </w:tc>
        <w:tc>
          <w:tcPr>
            <w:tcW w:w="2126" w:type="dxa"/>
          </w:tcPr>
          <w:p w14:paraId="17FEDDFD" w14:textId="14C39EEC" w:rsidR="00356366" w:rsidRPr="001E6B5E" w:rsidRDefault="00356366" w:rsidP="00453900">
            <w:pPr>
              <w:adjustRightInd w:val="0"/>
              <w:spacing w:before="80" w:after="120"/>
              <w:textAlignment w:val="baseline"/>
              <w:rPr>
                <w:b/>
                <w:sz w:val="18"/>
                <w:szCs w:val="18"/>
                <w:lang w:val="fr-FR"/>
              </w:rPr>
            </w:pPr>
            <w:r w:rsidRPr="001E6B5E">
              <w:rPr>
                <w:sz w:val="18"/>
                <w:szCs w:val="18"/>
                <w:lang w:val="fr-FR"/>
              </w:rPr>
              <w:t>2</w:t>
            </w:r>
            <w:r w:rsidRPr="001E6B5E">
              <w:rPr>
                <w:sz w:val="18"/>
                <w:szCs w:val="18"/>
                <w:vertAlign w:val="superscript"/>
                <w:lang w:val="fr-FR"/>
              </w:rPr>
              <w:t>e</w:t>
            </w:r>
            <w:r w:rsidRPr="001E6B5E">
              <w:rPr>
                <w:sz w:val="18"/>
                <w:szCs w:val="18"/>
                <w:lang w:val="fr-FR"/>
              </w:rPr>
              <w:t xml:space="preserve"> trimestre </w:t>
            </w:r>
            <w:r w:rsidRPr="001E6B5E">
              <w:rPr>
                <w:b/>
                <w:sz w:val="18"/>
                <w:szCs w:val="18"/>
                <w:lang w:val="fr-FR"/>
              </w:rPr>
              <w:t>202</w:t>
            </w:r>
            <w:r w:rsidR="00500129" w:rsidRPr="001E6B5E">
              <w:rPr>
                <w:b/>
                <w:sz w:val="18"/>
                <w:szCs w:val="18"/>
                <w:lang w:val="fr-FR"/>
              </w:rPr>
              <w:t xml:space="preserve">6, résultats à présenter </w:t>
            </w:r>
            <w:r w:rsidR="00242126" w:rsidRPr="001E6B5E">
              <w:rPr>
                <w:b/>
                <w:sz w:val="18"/>
                <w:szCs w:val="18"/>
                <w:lang w:val="fr-FR"/>
              </w:rPr>
              <w:t xml:space="preserve">au Conseil exécutif de la COI </w:t>
            </w:r>
            <w:r w:rsidR="00500129" w:rsidRPr="001E6B5E">
              <w:rPr>
                <w:b/>
                <w:sz w:val="18"/>
                <w:szCs w:val="18"/>
                <w:lang w:val="fr-FR"/>
              </w:rPr>
              <w:t xml:space="preserve">à </w:t>
            </w:r>
            <w:r w:rsidR="00242126" w:rsidRPr="001E6B5E">
              <w:rPr>
                <w:b/>
                <w:sz w:val="18"/>
                <w:szCs w:val="18"/>
                <w:lang w:val="fr-FR"/>
              </w:rPr>
              <w:t>s</w:t>
            </w:r>
            <w:r w:rsidR="00500129" w:rsidRPr="001E6B5E">
              <w:rPr>
                <w:b/>
                <w:sz w:val="18"/>
                <w:szCs w:val="18"/>
                <w:lang w:val="fr-FR"/>
              </w:rPr>
              <w:t>a 59</w:t>
            </w:r>
            <w:r w:rsidR="00500129" w:rsidRPr="001E6B5E">
              <w:rPr>
                <w:b/>
                <w:sz w:val="18"/>
                <w:szCs w:val="18"/>
                <w:vertAlign w:val="superscript"/>
                <w:lang w:val="fr-FR"/>
              </w:rPr>
              <w:t>e</w:t>
            </w:r>
            <w:r w:rsidR="00242126" w:rsidRPr="001E6B5E">
              <w:rPr>
                <w:b/>
                <w:sz w:val="18"/>
                <w:szCs w:val="18"/>
                <w:vertAlign w:val="superscript"/>
                <w:lang w:val="fr-FR"/>
              </w:rPr>
              <w:t> </w:t>
            </w:r>
            <w:r w:rsidR="00500129" w:rsidRPr="001E6B5E">
              <w:rPr>
                <w:b/>
                <w:sz w:val="18"/>
                <w:szCs w:val="18"/>
                <w:lang w:val="fr-FR"/>
              </w:rPr>
              <w:t>session</w:t>
            </w:r>
          </w:p>
        </w:tc>
      </w:tr>
      <w:tr w:rsidR="00356366" w:rsidRPr="001E6B5E" w14:paraId="5D5E5304" w14:textId="77777777" w:rsidTr="001E6B5E">
        <w:tc>
          <w:tcPr>
            <w:tcW w:w="3095" w:type="dxa"/>
          </w:tcPr>
          <w:p w14:paraId="65083F01"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0865EA79"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 xml:space="preserve">5.2 Améliorer radicalement l’efficacité des communications en commençant par élaborer une </w:t>
            </w:r>
            <w:r w:rsidRPr="001E6B5E">
              <w:rPr>
                <w:i/>
                <w:iCs/>
                <w:sz w:val="18"/>
                <w:szCs w:val="18"/>
                <w:lang w:val="fr-FR"/>
              </w:rPr>
              <w:t>stratégie de communication pour la COI</w:t>
            </w:r>
            <w:r w:rsidRPr="001E6B5E">
              <w:rPr>
                <w:sz w:val="18"/>
                <w:szCs w:val="18"/>
                <w:lang w:val="fr-FR"/>
              </w:rPr>
              <w:t xml:space="preserve"> avec l’aide d’un spécialiste en communication. Ce processus doit être participatif et inclure les membres de l’équipe </w:t>
            </w:r>
            <w:r w:rsidRPr="001E6B5E">
              <w:rPr>
                <w:sz w:val="18"/>
                <w:szCs w:val="18"/>
                <w:lang w:val="fr-FR"/>
              </w:rPr>
              <w:lastRenderedPageBreak/>
              <w:t>dirigeante afin de décider de l’énoncé de la vision de la Commission, des thèmes de communication, des publics et des canaux prioritaires, tout en tenant compte du fait que la COI est une composante de l’UNESCO ;</w:t>
            </w:r>
          </w:p>
        </w:tc>
        <w:tc>
          <w:tcPr>
            <w:tcW w:w="3604" w:type="dxa"/>
            <w:tcMar>
              <w:left w:w="85" w:type="dxa"/>
              <w:right w:w="85" w:type="dxa"/>
            </w:tcMar>
          </w:tcPr>
          <w:p w14:paraId="48E0E705" w14:textId="6600FCD3" w:rsidR="00356366" w:rsidRPr="001E6B5E" w:rsidRDefault="00E04DE3" w:rsidP="00453900">
            <w:pPr>
              <w:adjustRightInd w:val="0"/>
              <w:spacing w:before="80" w:after="120"/>
              <w:textAlignment w:val="baseline"/>
              <w:rPr>
                <w:sz w:val="18"/>
                <w:szCs w:val="18"/>
                <w:lang w:val="fr-FR"/>
              </w:rPr>
            </w:pPr>
            <w:r w:rsidRPr="001E6B5E">
              <w:rPr>
                <w:b/>
                <w:bCs/>
                <w:sz w:val="18"/>
                <w:szCs w:val="18"/>
                <w:lang w:val="fr-FR"/>
              </w:rPr>
              <w:lastRenderedPageBreak/>
              <w:t xml:space="preserve">La stratégie de communication pour la COI sera élaborée en complément du Plan de mise en œuvre de la Stratégie à moyen-terme, qui est actuellement mis au point par le Secrétariat de la COI et également étayé par le processus de </w:t>
            </w:r>
            <w:r w:rsidRPr="001E6B5E">
              <w:rPr>
                <w:b/>
                <w:bCs/>
                <w:sz w:val="18"/>
                <w:szCs w:val="18"/>
                <w:lang w:val="fr-FR"/>
              </w:rPr>
              <w:lastRenderedPageBreak/>
              <w:t>consultation « La COI et l’avenir de l’océan ». La stratégie de communication sera élaborée dans le cadre d’</w:t>
            </w:r>
            <w:r w:rsidR="00356366" w:rsidRPr="001E6B5E">
              <w:rPr>
                <w:b/>
                <w:bCs/>
                <w:sz w:val="18"/>
                <w:szCs w:val="18"/>
                <w:lang w:val="fr-FR"/>
              </w:rPr>
              <w:t>un processus participatif comprenant des entretiens avec les parties prenantes, y compris des membres de l’équipe de direction, afin d’identifier les thèmes, les publics et les canaux de communication prioritaires.</w:t>
            </w:r>
          </w:p>
        </w:tc>
        <w:tc>
          <w:tcPr>
            <w:tcW w:w="1843" w:type="dxa"/>
            <w:tcMar>
              <w:right w:w="28" w:type="dxa"/>
            </w:tcMar>
          </w:tcPr>
          <w:p w14:paraId="770B7418"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lastRenderedPageBreak/>
              <w:t>Secrétaire exécutif et équipe dirigeante de la COI</w:t>
            </w:r>
          </w:p>
        </w:tc>
        <w:tc>
          <w:tcPr>
            <w:tcW w:w="2126" w:type="dxa"/>
          </w:tcPr>
          <w:p w14:paraId="0D71AF4A" w14:textId="7F63A970" w:rsidR="00356366" w:rsidRPr="001E6B5E" w:rsidRDefault="00356366" w:rsidP="00453900">
            <w:pPr>
              <w:adjustRightInd w:val="0"/>
              <w:spacing w:before="80" w:after="120"/>
              <w:textAlignment w:val="baseline"/>
              <w:rPr>
                <w:sz w:val="18"/>
                <w:szCs w:val="18"/>
                <w:lang w:val="fr-FR"/>
              </w:rPr>
            </w:pPr>
            <w:r w:rsidRPr="001E6B5E">
              <w:rPr>
                <w:sz w:val="18"/>
                <w:szCs w:val="18"/>
                <w:lang w:val="fr-FR"/>
              </w:rPr>
              <w:t>2</w:t>
            </w:r>
            <w:r w:rsidRPr="001E6B5E">
              <w:rPr>
                <w:sz w:val="18"/>
                <w:szCs w:val="18"/>
                <w:vertAlign w:val="superscript"/>
                <w:lang w:val="fr-FR"/>
              </w:rPr>
              <w:t>e</w:t>
            </w:r>
            <w:r w:rsidRPr="001E6B5E">
              <w:rPr>
                <w:sz w:val="18"/>
                <w:szCs w:val="18"/>
                <w:lang w:val="fr-FR"/>
              </w:rPr>
              <w:t xml:space="preserve"> trimestre </w:t>
            </w:r>
            <w:r w:rsidRPr="001E6B5E">
              <w:rPr>
                <w:b/>
                <w:sz w:val="18"/>
                <w:szCs w:val="18"/>
                <w:lang w:val="fr-FR"/>
              </w:rPr>
              <w:t>202</w:t>
            </w:r>
            <w:r w:rsidR="00500129" w:rsidRPr="001E6B5E">
              <w:rPr>
                <w:b/>
                <w:sz w:val="18"/>
                <w:szCs w:val="18"/>
                <w:lang w:val="fr-FR"/>
              </w:rPr>
              <w:t>6</w:t>
            </w:r>
            <w:r w:rsidRPr="001E6B5E">
              <w:rPr>
                <w:b/>
                <w:sz w:val="18"/>
                <w:szCs w:val="18"/>
                <w:lang w:val="fr-FR"/>
              </w:rPr>
              <w:t xml:space="preserve"> – stratégie de communication de la COI à présenter</w:t>
            </w:r>
            <w:r w:rsidRPr="001E6B5E">
              <w:rPr>
                <w:sz w:val="18"/>
                <w:szCs w:val="18"/>
                <w:lang w:val="fr-FR"/>
              </w:rPr>
              <w:t xml:space="preserve"> </w:t>
            </w:r>
            <w:r w:rsidR="00242126" w:rsidRPr="001E6B5E">
              <w:rPr>
                <w:b/>
                <w:sz w:val="18"/>
                <w:szCs w:val="18"/>
                <w:lang w:val="fr-FR"/>
              </w:rPr>
              <w:t>au Conseil exécutif de la COI à sa 59</w:t>
            </w:r>
            <w:r w:rsidR="00242126" w:rsidRPr="001E6B5E">
              <w:rPr>
                <w:b/>
                <w:sz w:val="18"/>
                <w:szCs w:val="18"/>
                <w:vertAlign w:val="superscript"/>
                <w:lang w:val="fr-FR"/>
              </w:rPr>
              <w:t>e </w:t>
            </w:r>
            <w:r w:rsidR="00242126" w:rsidRPr="001E6B5E">
              <w:rPr>
                <w:b/>
                <w:sz w:val="18"/>
                <w:szCs w:val="18"/>
                <w:lang w:val="fr-FR"/>
              </w:rPr>
              <w:t>session</w:t>
            </w:r>
          </w:p>
        </w:tc>
      </w:tr>
      <w:tr w:rsidR="00356366" w:rsidRPr="001E6B5E" w14:paraId="6D8150EA" w14:textId="77777777" w:rsidTr="001E6B5E">
        <w:tc>
          <w:tcPr>
            <w:tcW w:w="3095" w:type="dxa"/>
          </w:tcPr>
          <w:p w14:paraId="06A3B5F2"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5187B132"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5.3 Publier un bulletin annuel ou semestriel sur les « meilleurs résultats » de la Commission, qui met en évidence ses principales réalisations et démontre sa valeur renouvelée ;</w:t>
            </w:r>
          </w:p>
        </w:tc>
        <w:tc>
          <w:tcPr>
            <w:tcW w:w="3604" w:type="dxa"/>
            <w:tcMar>
              <w:left w:w="85" w:type="dxa"/>
              <w:right w:w="85" w:type="dxa"/>
            </w:tcMar>
          </w:tcPr>
          <w:p w14:paraId="5DA5B26A" w14:textId="77777777" w:rsidR="00356366" w:rsidRPr="001E6B5E" w:rsidRDefault="00356366" w:rsidP="00453900">
            <w:pPr>
              <w:adjustRightInd w:val="0"/>
              <w:spacing w:before="80" w:after="120"/>
              <w:textAlignment w:val="baseline"/>
              <w:rPr>
                <w:spacing w:val="-3"/>
                <w:sz w:val="18"/>
                <w:szCs w:val="18"/>
                <w:lang w:val="fr-FR"/>
              </w:rPr>
            </w:pPr>
            <w:r w:rsidRPr="001E6B5E">
              <w:rPr>
                <w:spacing w:val="-3"/>
                <w:sz w:val="18"/>
                <w:szCs w:val="18"/>
                <w:lang w:val="fr-FR"/>
              </w:rPr>
              <w:t>Une proposition de bulletin annuel ou semestriel est en cours d’élaboration par l’équipe chargée de la communication de la COI et sera soumise aux hauts responsables pour examen dans le cadre de la nouvelle stratégie de communication de la COI qui sera mise au point en 2025.</w:t>
            </w:r>
          </w:p>
        </w:tc>
        <w:tc>
          <w:tcPr>
            <w:tcW w:w="1843" w:type="dxa"/>
          </w:tcPr>
          <w:p w14:paraId="38BA71E3"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 xml:space="preserve">Secrétaire exécutif et équipe chargée de la communication </w:t>
            </w:r>
            <w:r w:rsidRPr="001E6B5E">
              <w:rPr>
                <w:sz w:val="18"/>
                <w:szCs w:val="18"/>
                <w:lang w:val="fr-FR"/>
              </w:rPr>
              <w:br/>
              <w:t>de la COI</w:t>
            </w:r>
          </w:p>
        </w:tc>
        <w:tc>
          <w:tcPr>
            <w:tcW w:w="2126" w:type="dxa"/>
          </w:tcPr>
          <w:p w14:paraId="63AFE216" w14:textId="5062A409" w:rsidR="00356366" w:rsidRPr="001E6B5E" w:rsidRDefault="00D56164" w:rsidP="00453900">
            <w:pPr>
              <w:adjustRightInd w:val="0"/>
              <w:spacing w:before="80" w:after="120"/>
              <w:textAlignment w:val="baseline"/>
              <w:rPr>
                <w:sz w:val="18"/>
                <w:szCs w:val="18"/>
                <w:lang w:val="fr-FR"/>
              </w:rPr>
            </w:pPr>
            <w:r w:rsidRPr="001E6B5E">
              <w:rPr>
                <w:sz w:val="18"/>
                <w:szCs w:val="18"/>
                <w:lang w:val="fr-FR"/>
              </w:rPr>
              <w:t>3</w:t>
            </w:r>
            <w:r w:rsidR="00356366" w:rsidRPr="001E6B5E">
              <w:rPr>
                <w:sz w:val="18"/>
                <w:szCs w:val="18"/>
                <w:vertAlign w:val="superscript"/>
                <w:lang w:val="fr-FR"/>
              </w:rPr>
              <w:t>e</w:t>
            </w:r>
            <w:r w:rsidR="00356366" w:rsidRPr="001E6B5E">
              <w:rPr>
                <w:sz w:val="18"/>
                <w:szCs w:val="18"/>
                <w:lang w:val="fr-FR"/>
              </w:rPr>
              <w:t> trimestre 2025</w:t>
            </w:r>
          </w:p>
        </w:tc>
      </w:tr>
      <w:tr w:rsidR="00356366" w:rsidRPr="001E6B5E" w14:paraId="72B805DE" w14:textId="77777777" w:rsidTr="001E6B5E">
        <w:tc>
          <w:tcPr>
            <w:tcW w:w="3095" w:type="dxa"/>
          </w:tcPr>
          <w:p w14:paraId="150A0291" w14:textId="77777777" w:rsidR="00356366" w:rsidRPr="001E6B5E" w:rsidRDefault="00356366" w:rsidP="00F04CD6">
            <w:pPr>
              <w:adjustRightInd w:val="0"/>
              <w:spacing w:before="80" w:after="120"/>
              <w:textAlignment w:val="baseline"/>
              <w:rPr>
                <w:sz w:val="18"/>
                <w:szCs w:val="18"/>
                <w:lang w:val="fr-FR"/>
              </w:rPr>
            </w:pPr>
          </w:p>
        </w:tc>
        <w:tc>
          <w:tcPr>
            <w:tcW w:w="3786" w:type="dxa"/>
            <w:tcMar>
              <w:left w:w="85" w:type="dxa"/>
              <w:right w:w="85" w:type="dxa"/>
            </w:tcMar>
          </w:tcPr>
          <w:p w14:paraId="3C113B55" w14:textId="77777777" w:rsidR="00356366" w:rsidRPr="001E6B5E" w:rsidRDefault="00356366" w:rsidP="00F04CD6">
            <w:pPr>
              <w:adjustRightInd w:val="0"/>
              <w:spacing w:before="80" w:after="120"/>
              <w:textAlignment w:val="baseline"/>
              <w:rPr>
                <w:sz w:val="18"/>
                <w:szCs w:val="18"/>
                <w:lang w:val="fr-FR"/>
              </w:rPr>
            </w:pPr>
            <w:r w:rsidRPr="001E6B5E">
              <w:rPr>
                <w:sz w:val="18"/>
                <w:szCs w:val="18"/>
                <w:lang w:val="fr-FR"/>
              </w:rPr>
              <w:t xml:space="preserve">5.4 Clarifier la </w:t>
            </w:r>
            <w:r w:rsidRPr="001E6B5E">
              <w:rPr>
                <w:i/>
                <w:iCs/>
                <w:sz w:val="18"/>
                <w:szCs w:val="18"/>
                <w:lang w:val="fr-FR"/>
              </w:rPr>
              <w:t>politique relative à l’utilisation du logo</w:t>
            </w:r>
            <w:r w:rsidRPr="001E6B5E">
              <w:rPr>
                <w:sz w:val="18"/>
                <w:szCs w:val="18"/>
                <w:lang w:val="fr-FR"/>
              </w:rPr>
              <w:t xml:space="preserve"> de la COI afin de garantir la cohérence de l’image de marque de la Commission.</w:t>
            </w:r>
          </w:p>
        </w:tc>
        <w:tc>
          <w:tcPr>
            <w:tcW w:w="3604" w:type="dxa"/>
            <w:tcMar>
              <w:left w:w="85" w:type="dxa"/>
              <w:right w:w="85" w:type="dxa"/>
            </w:tcMar>
          </w:tcPr>
          <w:p w14:paraId="7C1E10BB" w14:textId="77777777" w:rsidR="00356366" w:rsidRPr="001E6B5E" w:rsidRDefault="00356366" w:rsidP="00F04CD6">
            <w:pPr>
              <w:adjustRightInd w:val="0"/>
              <w:spacing w:before="80" w:after="80"/>
              <w:textAlignment w:val="baseline"/>
              <w:rPr>
                <w:sz w:val="18"/>
                <w:szCs w:val="18"/>
                <w:lang w:val="fr-FR"/>
              </w:rPr>
            </w:pPr>
            <w:r w:rsidRPr="001E6B5E">
              <w:rPr>
                <w:sz w:val="18"/>
                <w:szCs w:val="18"/>
                <w:lang w:val="fr-FR"/>
              </w:rPr>
              <w:t>Ce processus a été en partie achevé grâce à l’application par la COI, dans l'ensemble de ses programmes, organismes régionaux et divers projets, des principes directeurs de l’UNESCO en matière de gestion de l’image de marque, approuvés par le Conseil exécutif et la Conférence générale de l’UNESCO.</w:t>
            </w:r>
            <w:r w:rsidRPr="001E6B5E">
              <w:rPr>
                <w:rFonts w:eastAsia="Times New Roman"/>
                <w:color w:val="333333"/>
                <w:sz w:val="23"/>
                <w:szCs w:val="23"/>
                <w:shd w:val="clear" w:color="auto" w:fill="FFFFFF"/>
                <w:lang w:val="fr-FR"/>
              </w:rPr>
              <w:t xml:space="preserve"> </w:t>
            </w:r>
            <w:r w:rsidRPr="001E6B5E">
              <w:rPr>
                <w:sz w:val="18"/>
                <w:szCs w:val="18"/>
                <w:lang w:val="fr-FR"/>
              </w:rPr>
              <w:t>Cette politique unifiée de l’UNESCO établit un logo propre à la COI</w:t>
            </w:r>
            <w:r w:rsidRPr="001E6B5E">
              <w:rPr>
                <w:sz w:val="18"/>
                <w:szCs w:val="18"/>
                <w:lang w:val="fr-FR"/>
              </w:rPr>
              <w:noBreakHyphen/>
              <w:t>UNESCO (nécessaire pour renforcer l’image de marque de la Commission auprès de ses principales communautés et de ses États membres) qui reste néanmoins en pleine adéquation avec les principes directeurs généraux de l’UNESCO en matière de gestion de la marque, de palette de couleurs et d’utilisation du logo.</w:t>
            </w:r>
            <w:r w:rsidRPr="001E6B5E">
              <w:rPr>
                <w:rFonts w:eastAsia="Times New Roman"/>
                <w:color w:val="333333"/>
                <w:sz w:val="23"/>
                <w:szCs w:val="23"/>
                <w:shd w:val="clear" w:color="auto" w:fill="FFFFFF"/>
                <w:lang w:val="fr-FR"/>
              </w:rPr>
              <w:t xml:space="preserve"> </w:t>
            </w:r>
            <w:r w:rsidRPr="001E6B5E">
              <w:rPr>
                <w:sz w:val="18"/>
                <w:szCs w:val="18"/>
                <w:lang w:val="fr-FR"/>
              </w:rPr>
              <w:t>La politique s’applique aux documents imprimés et numériques, aux médias sociaux, à la communication sur les programmes et les projets, aux partenariats, ainsi qu’à la gestion de la marque dans le cadre d’événements spécifiques.</w:t>
            </w:r>
            <w:r w:rsidRPr="001E6B5E">
              <w:rPr>
                <w:rFonts w:eastAsia="Times New Roman"/>
                <w:color w:val="333333"/>
                <w:sz w:val="23"/>
                <w:szCs w:val="23"/>
                <w:shd w:val="clear" w:color="auto" w:fill="FFFFFF"/>
                <w:lang w:val="fr-FR"/>
              </w:rPr>
              <w:t xml:space="preserve"> </w:t>
            </w:r>
            <w:r w:rsidRPr="001E6B5E">
              <w:rPr>
                <w:sz w:val="18"/>
                <w:szCs w:val="18"/>
                <w:lang w:val="fr-FR"/>
              </w:rPr>
              <w:t xml:space="preserve">Les documents relatifs à la </w:t>
            </w:r>
            <w:r w:rsidRPr="001E6B5E">
              <w:rPr>
                <w:sz w:val="18"/>
                <w:szCs w:val="18"/>
                <w:lang w:val="fr-FR"/>
              </w:rPr>
              <w:lastRenderedPageBreak/>
              <w:t>politique d’utilisation du logo peuvent être demandés par les États membres directement auprès de la Direction de la communication (UNESCO/CPE).</w:t>
            </w:r>
            <w:r w:rsidRPr="001E6B5E">
              <w:rPr>
                <w:rFonts w:eastAsia="Times New Roman"/>
                <w:color w:val="333333"/>
                <w:sz w:val="23"/>
                <w:szCs w:val="23"/>
                <w:shd w:val="clear" w:color="auto" w:fill="FFFFFF"/>
                <w:lang w:val="fr-FR"/>
              </w:rPr>
              <w:t xml:space="preserve"> </w:t>
            </w:r>
            <w:r w:rsidRPr="001E6B5E">
              <w:rPr>
                <w:sz w:val="18"/>
                <w:szCs w:val="18"/>
                <w:lang w:val="fr-FR"/>
              </w:rPr>
              <w:t>La prochaine étape consistera à élaborer et à mettre en œuvre des principes directeurs pour la gestion de la marque des programmes, des organes subsidiaires et des projets de la COI, en adéquation avec la politique générale en matière d’utilisation du logo,</w:t>
            </w:r>
          </w:p>
        </w:tc>
        <w:tc>
          <w:tcPr>
            <w:tcW w:w="1843" w:type="dxa"/>
          </w:tcPr>
          <w:p w14:paraId="2874C282" w14:textId="77777777" w:rsidR="00356366" w:rsidRPr="001E6B5E" w:rsidRDefault="00356366" w:rsidP="00F04CD6">
            <w:pPr>
              <w:adjustRightInd w:val="0"/>
              <w:spacing w:before="80" w:after="120"/>
              <w:textAlignment w:val="baseline"/>
              <w:rPr>
                <w:sz w:val="18"/>
                <w:szCs w:val="18"/>
                <w:lang w:val="fr-FR"/>
              </w:rPr>
            </w:pPr>
            <w:r w:rsidRPr="001E6B5E">
              <w:rPr>
                <w:sz w:val="18"/>
                <w:szCs w:val="18"/>
                <w:lang w:val="fr-FR"/>
              </w:rPr>
              <w:lastRenderedPageBreak/>
              <w:t xml:space="preserve">Secrétaire exécutif et équipe chargée de la communication </w:t>
            </w:r>
            <w:r w:rsidRPr="001E6B5E">
              <w:rPr>
                <w:sz w:val="18"/>
                <w:szCs w:val="18"/>
                <w:lang w:val="fr-FR"/>
              </w:rPr>
              <w:br/>
              <w:t>de la COI</w:t>
            </w:r>
          </w:p>
        </w:tc>
        <w:tc>
          <w:tcPr>
            <w:tcW w:w="2126" w:type="dxa"/>
          </w:tcPr>
          <w:p w14:paraId="2256B059" w14:textId="447DC31D" w:rsidR="00356366" w:rsidRPr="001E6B5E" w:rsidRDefault="00500129" w:rsidP="00F04CD6">
            <w:pPr>
              <w:adjustRightInd w:val="0"/>
              <w:spacing w:before="80" w:after="120"/>
              <w:textAlignment w:val="baseline"/>
              <w:rPr>
                <w:b/>
                <w:sz w:val="18"/>
                <w:szCs w:val="18"/>
                <w:lang w:val="fr-FR"/>
              </w:rPr>
            </w:pPr>
            <w:r w:rsidRPr="001E6B5E">
              <w:rPr>
                <w:b/>
                <w:sz w:val="18"/>
                <w:szCs w:val="18"/>
                <w:lang w:val="fr-FR"/>
              </w:rPr>
              <w:t>3</w:t>
            </w:r>
            <w:r w:rsidR="00356366" w:rsidRPr="001E6B5E">
              <w:rPr>
                <w:b/>
                <w:sz w:val="18"/>
                <w:szCs w:val="18"/>
                <w:vertAlign w:val="superscript"/>
                <w:lang w:val="fr-FR"/>
              </w:rPr>
              <w:t>e</w:t>
            </w:r>
            <w:r w:rsidR="00356366" w:rsidRPr="001E6B5E">
              <w:rPr>
                <w:b/>
                <w:sz w:val="18"/>
                <w:szCs w:val="18"/>
                <w:lang w:val="fr-FR"/>
              </w:rPr>
              <w:t xml:space="preserve"> trimestre 2025 </w:t>
            </w:r>
          </w:p>
        </w:tc>
      </w:tr>
      <w:tr w:rsidR="00356366" w:rsidRPr="001E6B5E" w14:paraId="53546C37" w14:textId="77777777" w:rsidTr="001E6B5E">
        <w:tc>
          <w:tcPr>
            <w:tcW w:w="3095" w:type="dxa"/>
          </w:tcPr>
          <w:p w14:paraId="18C6170D" w14:textId="77777777" w:rsidR="00356366" w:rsidRPr="001E6B5E" w:rsidRDefault="00356366" w:rsidP="00F04CD6">
            <w:pPr>
              <w:adjustRightInd w:val="0"/>
              <w:spacing w:before="80" w:after="120"/>
              <w:textAlignment w:val="baseline"/>
              <w:rPr>
                <w:b/>
                <w:bCs/>
                <w:sz w:val="18"/>
                <w:szCs w:val="18"/>
                <w:lang w:val="fr-FR"/>
              </w:rPr>
            </w:pPr>
            <w:r w:rsidRPr="001E6B5E">
              <w:rPr>
                <w:b/>
                <w:bCs/>
                <w:sz w:val="18"/>
                <w:szCs w:val="18"/>
                <w:lang w:val="fr-FR"/>
              </w:rPr>
              <w:t xml:space="preserve">Recommandation 6 : </w:t>
            </w:r>
          </w:p>
          <w:p w14:paraId="026F1BE0"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D’ici à juin 2022 – Jouer un rôle moteur en ce qui concerne l’égalité des genres et l’avancement des femmes dans les sciences marines, en appuyant les efforts existants en matière de données, tels que le Rapport mondial sur les sciences océaniques, par des actions spécifiques</w:t>
            </w:r>
          </w:p>
        </w:tc>
        <w:tc>
          <w:tcPr>
            <w:tcW w:w="3786" w:type="dxa"/>
            <w:tcMar>
              <w:left w:w="85" w:type="dxa"/>
              <w:right w:w="85" w:type="dxa"/>
            </w:tcMar>
          </w:tcPr>
          <w:p w14:paraId="7B8D2528" w14:textId="77777777" w:rsidR="00356366" w:rsidRPr="001E6B5E" w:rsidRDefault="00356366" w:rsidP="00F04CD6">
            <w:pPr>
              <w:adjustRightInd w:val="0"/>
              <w:spacing w:before="80" w:after="80"/>
              <w:textAlignment w:val="baseline"/>
              <w:rPr>
                <w:sz w:val="18"/>
                <w:szCs w:val="18"/>
                <w:lang w:val="fr-FR"/>
              </w:rPr>
            </w:pPr>
            <w:r w:rsidRPr="001E6B5E">
              <w:rPr>
                <w:sz w:val="18"/>
                <w:szCs w:val="18"/>
                <w:lang w:val="fr-FR"/>
              </w:rPr>
              <w:t>6.1 Demander conseil à la Division pour l’égalité des genres de l’UNESCO afin d’élaborer des directives sur l’égalité des genres à l’intention des comités d’experts de la COI et d’autres organes, selon que de besoin ;</w:t>
            </w:r>
          </w:p>
        </w:tc>
        <w:tc>
          <w:tcPr>
            <w:tcW w:w="3604" w:type="dxa"/>
            <w:tcMar>
              <w:left w:w="85" w:type="dxa"/>
              <w:right w:w="85" w:type="dxa"/>
            </w:tcMar>
          </w:tcPr>
          <w:p w14:paraId="70D765FE" w14:textId="5144B6D4" w:rsidR="00356366" w:rsidRPr="001E6B5E" w:rsidRDefault="00500129" w:rsidP="00F04CD6">
            <w:pPr>
              <w:adjustRightInd w:val="0"/>
              <w:spacing w:before="80" w:after="120"/>
              <w:textAlignment w:val="baseline"/>
              <w:rPr>
                <w:b/>
                <w:sz w:val="18"/>
                <w:szCs w:val="18"/>
                <w:lang w:val="fr-FR"/>
              </w:rPr>
            </w:pPr>
            <w:r w:rsidRPr="001E6B5E">
              <w:rPr>
                <w:b/>
                <w:sz w:val="18"/>
                <w:szCs w:val="18"/>
                <w:lang w:val="fr-FR"/>
              </w:rPr>
              <w:t>Document INF-1547 présenté à l’Assemblée au titre de ce point de l’ordre du jour</w:t>
            </w:r>
          </w:p>
        </w:tc>
        <w:tc>
          <w:tcPr>
            <w:tcW w:w="1843" w:type="dxa"/>
          </w:tcPr>
          <w:p w14:paraId="1270B8CA" w14:textId="77777777" w:rsidR="00356366" w:rsidRPr="001E6B5E" w:rsidRDefault="00356366" w:rsidP="00F04CD6">
            <w:pPr>
              <w:adjustRightInd w:val="0"/>
              <w:spacing w:before="80" w:after="120"/>
              <w:textAlignment w:val="baseline"/>
              <w:rPr>
                <w:sz w:val="18"/>
                <w:szCs w:val="18"/>
                <w:lang w:val="fr-FR"/>
              </w:rPr>
            </w:pPr>
            <w:r w:rsidRPr="001E6B5E">
              <w:rPr>
                <w:sz w:val="18"/>
                <w:szCs w:val="18"/>
                <w:lang w:val="fr-FR"/>
              </w:rPr>
              <w:t>Point focal pour le genre de la COI et Bureau exécutif</w:t>
            </w:r>
          </w:p>
        </w:tc>
        <w:tc>
          <w:tcPr>
            <w:tcW w:w="2126" w:type="dxa"/>
          </w:tcPr>
          <w:p w14:paraId="096DC613" w14:textId="0EB6E0B5" w:rsidR="00356366" w:rsidRPr="001E6B5E" w:rsidRDefault="00500129" w:rsidP="00F04CD6">
            <w:pPr>
              <w:adjustRightInd w:val="0"/>
              <w:spacing w:before="80" w:after="120"/>
              <w:textAlignment w:val="baseline"/>
              <w:rPr>
                <w:sz w:val="18"/>
                <w:szCs w:val="18"/>
                <w:lang w:val="fr-FR"/>
              </w:rPr>
            </w:pPr>
            <w:r w:rsidRPr="001E6B5E">
              <w:rPr>
                <w:b/>
                <w:sz w:val="18"/>
                <w:szCs w:val="18"/>
                <w:lang w:val="fr-FR"/>
              </w:rPr>
              <w:t>Achevée</w:t>
            </w:r>
          </w:p>
        </w:tc>
      </w:tr>
      <w:tr w:rsidR="00356366" w:rsidRPr="001E6B5E" w14:paraId="62DE3849" w14:textId="77777777" w:rsidTr="001E6B5E">
        <w:tc>
          <w:tcPr>
            <w:tcW w:w="3095" w:type="dxa"/>
          </w:tcPr>
          <w:p w14:paraId="68C8655A"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6AE512B2"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6.2 Continuer d’encourager les États membres de la COI à assurer l’égalité des genres dans leurs délégations auprès des organes directeurs de la Commission ; fournir des statistiques à l’issue de chaque session pour suivre les progrès réalisés ;</w:t>
            </w:r>
          </w:p>
        </w:tc>
        <w:tc>
          <w:tcPr>
            <w:tcW w:w="3604" w:type="dxa"/>
            <w:tcMar>
              <w:left w:w="85" w:type="dxa"/>
              <w:right w:w="85" w:type="dxa"/>
            </w:tcMar>
          </w:tcPr>
          <w:p w14:paraId="710B312B" w14:textId="1401AB5F" w:rsidR="00356366" w:rsidRPr="001E6B5E" w:rsidRDefault="00500129" w:rsidP="00453900">
            <w:pPr>
              <w:adjustRightInd w:val="0"/>
              <w:spacing w:before="80" w:after="120"/>
              <w:textAlignment w:val="baseline"/>
              <w:rPr>
                <w:b/>
                <w:sz w:val="18"/>
                <w:szCs w:val="18"/>
                <w:lang w:val="fr-FR"/>
              </w:rPr>
            </w:pPr>
            <w:r w:rsidRPr="001E6B5E">
              <w:rPr>
                <w:b/>
                <w:sz w:val="18"/>
                <w:szCs w:val="18"/>
                <w:lang w:val="fr-FR"/>
              </w:rPr>
              <w:t>Considéré</w:t>
            </w:r>
            <w:r w:rsidR="00D56164" w:rsidRPr="001E6B5E">
              <w:rPr>
                <w:b/>
                <w:sz w:val="18"/>
                <w:szCs w:val="18"/>
                <w:lang w:val="fr-FR"/>
              </w:rPr>
              <w:t>e</w:t>
            </w:r>
            <w:r w:rsidRPr="001E6B5E">
              <w:rPr>
                <w:b/>
                <w:sz w:val="18"/>
                <w:szCs w:val="18"/>
                <w:lang w:val="fr-FR"/>
              </w:rPr>
              <w:t xml:space="preserve"> comme clôturé</w:t>
            </w:r>
            <w:r w:rsidR="008F2123" w:rsidRPr="001E6B5E">
              <w:rPr>
                <w:b/>
                <w:sz w:val="18"/>
                <w:szCs w:val="18"/>
                <w:lang w:val="fr-FR"/>
              </w:rPr>
              <w:t>e</w:t>
            </w:r>
            <w:r w:rsidRPr="001E6B5E">
              <w:rPr>
                <w:b/>
                <w:sz w:val="18"/>
                <w:szCs w:val="18"/>
                <w:lang w:val="fr-FR"/>
              </w:rPr>
              <w:t xml:space="preserve"> par l’Assemblée à sa 32</w:t>
            </w:r>
            <w:r w:rsidRPr="001E6B5E">
              <w:rPr>
                <w:b/>
                <w:sz w:val="18"/>
                <w:szCs w:val="18"/>
                <w:vertAlign w:val="superscript"/>
                <w:lang w:val="fr-FR"/>
              </w:rPr>
              <w:t>e</w:t>
            </w:r>
            <w:r w:rsidRPr="001E6B5E">
              <w:rPr>
                <w:b/>
                <w:sz w:val="18"/>
                <w:szCs w:val="18"/>
                <w:lang w:val="fr-FR"/>
              </w:rPr>
              <w:t xml:space="preserve"> session.</w:t>
            </w:r>
          </w:p>
        </w:tc>
        <w:tc>
          <w:tcPr>
            <w:tcW w:w="1843" w:type="dxa"/>
          </w:tcPr>
          <w:p w14:paraId="556A3E39"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Secrétaire exécutif, point focal pour le genre de la COI et Bureau exécutif</w:t>
            </w:r>
          </w:p>
        </w:tc>
        <w:tc>
          <w:tcPr>
            <w:tcW w:w="2126" w:type="dxa"/>
          </w:tcPr>
          <w:p w14:paraId="67E1F76E" w14:textId="15F44C28" w:rsidR="00356366" w:rsidRPr="001E6B5E" w:rsidRDefault="00500129" w:rsidP="00453900">
            <w:pPr>
              <w:adjustRightInd w:val="0"/>
              <w:spacing w:before="80" w:after="120"/>
              <w:textAlignment w:val="baseline"/>
              <w:rPr>
                <w:sz w:val="18"/>
                <w:szCs w:val="18"/>
                <w:lang w:val="fr-FR"/>
              </w:rPr>
            </w:pPr>
            <w:r w:rsidRPr="001E6B5E">
              <w:rPr>
                <w:b/>
                <w:sz w:val="18"/>
                <w:szCs w:val="18"/>
                <w:lang w:val="fr-FR"/>
              </w:rPr>
              <w:t>Achevée</w:t>
            </w:r>
          </w:p>
        </w:tc>
      </w:tr>
      <w:tr w:rsidR="00356366" w:rsidRPr="001E6B5E" w14:paraId="75D2D599" w14:textId="77777777" w:rsidTr="001E6B5E">
        <w:tc>
          <w:tcPr>
            <w:tcW w:w="3095" w:type="dxa"/>
          </w:tcPr>
          <w:p w14:paraId="022235FE"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757E1335"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6.3 Créer un groupe de travail (comprenant des spécialistes en égalité des genres choisis parmi les homologues de la Commission au sein d’ONU-Océans ainsi qu’à l’UNESCO) afin d’élaborer une feuille de route permettant de mieux intégrer l’égalité des genres tout au long de la Décennie de l’Océan ;</w:t>
            </w:r>
          </w:p>
        </w:tc>
        <w:tc>
          <w:tcPr>
            <w:tcW w:w="3604" w:type="dxa"/>
            <w:tcMar>
              <w:left w:w="85" w:type="dxa"/>
              <w:right w:w="85" w:type="dxa"/>
            </w:tcMar>
          </w:tcPr>
          <w:p w14:paraId="00B3D278" w14:textId="454B64BF" w:rsidR="00356366" w:rsidRPr="001E6B5E" w:rsidRDefault="008F2123" w:rsidP="00453900">
            <w:pPr>
              <w:adjustRightInd w:val="0"/>
              <w:spacing w:before="80" w:after="120"/>
              <w:textAlignment w:val="baseline"/>
              <w:rPr>
                <w:b/>
                <w:sz w:val="18"/>
                <w:szCs w:val="18"/>
                <w:lang w:val="fr-FR"/>
              </w:rPr>
            </w:pPr>
            <w:r w:rsidRPr="001E6B5E">
              <w:rPr>
                <w:b/>
                <w:sz w:val="18"/>
                <w:szCs w:val="18"/>
                <w:lang w:val="fr-FR"/>
              </w:rPr>
              <w:t>Le</w:t>
            </w:r>
            <w:r w:rsidR="00356366" w:rsidRPr="001E6B5E">
              <w:rPr>
                <w:b/>
                <w:sz w:val="18"/>
                <w:szCs w:val="18"/>
                <w:lang w:val="fr-FR"/>
              </w:rPr>
              <w:t xml:space="preserve"> Groupe de travail </w:t>
            </w:r>
            <w:r w:rsidRPr="001E6B5E">
              <w:rPr>
                <w:b/>
                <w:sz w:val="18"/>
                <w:szCs w:val="18"/>
                <w:lang w:val="fr-FR"/>
              </w:rPr>
              <w:t xml:space="preserve">de la Décennie de l’Océan </w:t>
            </w:r>
            <w:r w:rsidR="00D56164" w:rsidRPr="001E6B5E">
              <w:rPr>
                <w:b/>
                <w:sz w:val="18"/>
                <w:szCs w:val="18"/>
                <w:lang w:val="fr-FR"/>
              </w:rPr>
              <w:t>sur l</w:t>
            </w:r>
            <w:r w:rsidRPr="001E6B5E">
              <w:rPr>
                <w:b/>
                <w:sz w:val="18"/>
                <w:szCs w:val="18"/>
                <w:lang w:val="fr-FR"/>
              </w:rPr>
              <w:t xml:space="preserve">’égalité des genres a été établi et a commencé à </w:t>
            </w:r>
            <w:r w:rsidR="00356366" w:rsidRPr="001E6B5E">
              <w:rPr>
                <w:b/>
                <w:sz w:val="18"/>
                <w:szCs w:val="18"/>
                <w:lang w:val="fr-FR"/>
              </w:rPr>
              <w:t>élaborer une feuille de route de la Décennie de l’Océan en matière d’égalité des genres sur la base des résultats prioritaires du processus Vision pour 2030.</w:t>
            </w:r>
            <w:r w:rsidRPr="001E6B5E">
              <w:rPr>
                <w:b/>
                <w:sz w:val="18"/>
                <w:szCs w:val="18"/>
                <w:lang w:val="fr-FR"/>
              </w:rPr>
              <w:t xml:space="preserve"> Progrès à</w:t>
            </w:r>
            <w:r w:rsidR="00D41CBC" w:rsidRPr="001E6B5E">
              <w:rPr>
                <w:b/>
                <w:sz w:val="18"/>
                <w:szCs w:val="18"/>
                <w:lang w:val="fr-FR"/>
              </w:rPr>
              <w:t> </w:t>
            </w:r>
            <w:r w:rsidRPr="001E6B5E">
              <w:rPr>
                <w:b/>
                <w:sz w:val="18"/>
                <w:szCs w:val="18"/>
                <w:lang w:val="fr-FR"/>
              </w:rPr>
              <w:t>présenter aux organes directeurs de</w:t>
            </w:r>
            <w:r w:rsidR="00D41CBC" w:rsidRPr="001E6B5E">
              <w:rPr>
                <w:b/>
                <w:sz w:val="18"/>
                <w:szCs w:val="18"/>
                <w:lang w:val="fr-FR"/>
              </w:rPr>
              <w:t> </w:t>
            </w:r>
            <w:r w:rsidRPr="001E6B5E">
              <w:rPr>
                <w:b/>
                <w:sz w:val="18"/>
                <w:szCs w:val="18"/>
                <w:lang w:val="fr-FR"/>
              </w:rPr>
              <w:t>la COI</w:t>
            </w:r>
          </w:p>
        </w:tc>
        <w:tc>
          <w:tcPr>
            <w:tcW w:w="1843" w:type="dxa"/>
          </w:tcPr>
          <w:p w14:paraId="0D9DF387" w14:textId="77777777" w:rsidR="00356366" w:rsidRPr="001E6B5E" w:rsidRDefault="00356366" w:rsidP="00453900">
            <w:pPr>
              <w:adjustRightInd w:val="0"/>
              <w:spacing w:before="80" w:after="120"/>
              <w:textAlignment w:val="baseline"/>
              <w:rPr>
                <w:sz w:val="18"/>
                <w:szCs w:val="18"/>
                <w:lang w:val="fr-FR"/>
              </w:rPr>
            </w:pPr>
            <w:r w:rsidRPr="001E6B5E">
              <w:rPr>
                <w:sz w:val="18"/>
                <w:szCs w:val="18"/>
                <w:lang w:val="fr-FR"/>
              </w:rPr>
              <w:t>Unité de coordination de la Décennie et point focal pour le genre de la COI</w:t>
            </w:r>
          </w:p>
        </w:tc>
        <w:tc>
          <w:tcPr>
            <w:tcW w:w="2126" w:type="dxa"/>
          </w:tcPr>
          <w:p w14:paraId="7F9442C7" w14:textId="04E76C20" w:rsidR="00356366" w:rsidRPr="001E6B5E" w:rsidRDefault="00500129" w:rsidP="00453900">
            <w:pPr>
              <w:adjustRightInd w:val="0"/>
              <w:spacing w:before="80" w:after="120"/>
              <w:textAlignment w:val="baseline"/>
              <w:rPr>
                <w:sz w:val="18"/>
                <w:szCs w:val="18"/>
                <w:lang w:val="fr-FR"/>
              </w:rPr>
            </w:pPr>
            <w:r w:rsidRPr="001E6B5E">
              <w:rPr>
                <w:b/>
                <w:sz w:val="18"/>
                <w:szCs w:val="18"/>
                <w:lang w:val="fr-FR"/>
              </w:rPr>
              <w:t>Achevée</w:t>
            </w:r>
          </w:p>
        </w:tc>
      </w:tr>
      <w:tr w:rsidR="00356366" w:rsidRPr="001E6B5E" w14:paraId="431E9F25" w14:textId="77777777" w:rsidTr="001E6B5E">
        <w:tc>
          <w:tcPr>
            <w:tcW w:w="3095" w:type="dxa"/>
          </w:tcPr>
          <w:p w14:paraId="34593635" w14:textId="77777777" w:rsidR="00356366" w:rsidRPr="001E6B5E" w:rsidRDefault="00356366" w:rsidP="00453900">
            <w:pPr>
              <w:keepNext/>
              <w:keepLines/>
              <w:adjustRightInd w:val="0"/>
              <w:spacing w:before="120" w:after="120"/>
              <w:textAlignment w:val="baseline"/>
              <w:rPr>
                <w:sz w:val="18"/>
                <w:szCs w:val="18"/>
                <w:lang w:val="fr-FR"/>
              </w:rPr>
            </w:pPr>
          </w:p>
        </w:tc>
        <w:tc>
          <w:tcPr>
            <w:tcW w:w="3786" w:type="dxa"/>
            <w:tcMar>
              <w:left w:w="85" w:type="dxa"/>
              <w:right w:w="85" w:type="dxa"/>
            </w:tcMar>
          </w:tcPr>
          <w:p w14:paraId="5D81712F" w14:textId="77777777" w:rsidR="00356366" w:rsidRPr="001E6B5E" w:rsidRDefault="00356366" w:rsidP="00453900">
            <w:pPr>
              <w:keepNext/>
              <w:keepLines/>
              <w:adjustRightInd w:val="0"/>
              <w:spacing w:before="80" w:after="120"/>
              <w:textAlignment w:val="baseline"/>
              <w:rPr>
                <w:sz w:val="18"/>
                <w:szCs w:val="18"/>
                <w:lang w:val="fr-FR"/>
              </w:rPr>
            </w:pPr>
            <w:r w:rsidRPr="001E6B5E">
              <w:rPr>
                <w:sz w:val="18"/>
                <w:szCs w:val="18"/>
                <w:lang w:val="fr-FR"/>
              </w:rPr>
              <w:t>6.4 Rechercher des partenaires qui pourraient vouloir apporter leur soutien à un Prix pour les femmes dans le domaine des sciences océaniques, notamment par le biais du Pacte mondial des Nations Unies ;</w:t>
            </w:r>
          </w:p>
        </w:tc>
        <w:tc>
          <w:tcPr>
            <w:tcW w:w="3604" w:type="dxa"/>
            <w:tcMar>
              <w:left w:w="85" w:type="dxa"/>
              <w:right w:w="85" w:type="dxa"/>
            </w:tcMar>
          </w:tcPr>
          <w:p w14:paraId="49E0016C" w14:textId="782B0DA4" w:rsidR="00356366" w:rsidRPr="001E6B5E" w:rsidRDefault="008F2123" w:rsidP="00453900">
            <w:pPr>
              <w:keepNext/>
              <w:keepLines/>
              <w:adjustRightInd w:val="0"/>
              <w:spacing w:before="80" w:after="120"/>
              <w:textAlignment w:val="baseline"/>
              <w:rPr>
                <w:b/>
                <w:sz w:val="18"/>
                <w:szCs w:val="18"/>
                <w:lang w:val="fr-FR"/>
              </w:rPr>
            </w:pPr>
            <w:r w:rsidRPr="001E6B5E">
              <w:rPr>
                <w:b/>
                <w:sz w:val="18"/>
                <w:szCs w:val="18"/>
                <w:lang w:val="fr-FR"/>
              </w:rPr>
              <w:t xml:space="preserve">Le Secrétariat propose de considérer cette recommandation comme achevée </w:t>
            </w:r>
            <w:r w:rsidR="00480529" w:rsidRPr="001E6B5E">
              <w:rPr>
                <w:b/>
                <w:sz w:val="18"/>
                <w:szCs w:val="18"/>
                <w:lang w:val="fr-FR"/>
              </w:rPr>
              <w:t>dans le cadre</w:t>
            </w:r>
            <w:r w:rsidRPr="001E6B5E">
              <w:rPr>
                <w:b/>
                <w:sz w:val="18"/>
                <w:szCs w:val="18"/>
                <w:lang w:val="fr-FR"/>
              </w:rPr>
              <w:t xml:space="preserve"> du présent plan d’action.</w:t>
            </w:r>
            <w:r w:rsidR="009C09A2" w:rsidRPr="001E6B5E">
              <w:rPr>
                <w:b/>
                <w:sz w:val="18"/>
                <w:szCs w:val="18"/>
                <w:lang w:val="fr-FR"/>
              </w:rPr>
              <w:t xml:space="preserve"> La question du meilleur moyen d’intégrer l’égalité des genres sera </w:t>
            </w:r>
            <w:r w:rsidR="00480529" w:rsidRPr="001E6B5E">
              <w:rPr>
                <w:b/>
                <w:sz w:val="18"/>
                <w:szCs w:val="18"/>
                <w:lang w:val="fr-FR"/>
              </w:rPr>
              <w:t>prise en compte dans</w:t>
            </w:r>
            <w:r w:rsidR="009C09A2" w:rsidRPr="001E6B5E">
              <w:rPr>
                <w:b/>
                <w:sz w:val="18"/>
                <w:szCs w:val="18"/>
                <w:lang w:val="fr-FR"/>
              </w:rPr>
              <w:t xml:space="preserve"> la feuille de route de la Décennie en la matière et il sera fait rapport à cet égard aux organes directeurs de la COI.</w:t>
            </w:r>
          </w:p>
        </w:tc>
        <w:tc>
          <w:tcPr>
            <w:tcW w:w="1843" w:type="dxa"/>
          </w:tcPr>
          <w:p w14:paraId="31A374E9" w14:textId="589A4A3E" w:rsidR="00356366" w:rsidRPr="001E6B5E" w:rsidRDefault="00356366" w:rsidP="00453900">
            <w:pPr>
              <w:keepNext/>
              <w:keepLines/>
              <w:adjustRightInd w:val="0"/>
              <w:spacing w:before="80" w:after="120"/>
              <w:textAlignment w:val="baseline"/>
              <w:rPr>
                <w:sz w:val="18"/>
                <w:szCs w:val="18"/>
                <w:lang w:val="fr-FR"/>
              </w:rPr>
            </w:pPr>
          </w:p>
        </w:tc>
        <w:tc>
          <w:tcPr>
            <w:tcW w:w="2126" w:type="dxa"/>
          </w:tcPr>
          <w:p w14:paraId="66C8DEF7" w14:textId="525C5E9E" w:rsidR="00356366" w:rsidRPr="001E6B5E" w:rsidRDefault="00500129" w:rsidP="00453900">
            <w:pPr>
              <w:keepNext/>
              <w:keepLines/>
              <w:adjustRightInd w:val="0"/>
              <w:spacing w:before="80" w:after="120"/>
              <w:textAlignment w:val="baseline"/>
              <w:rPr>
                <w:sz w:val="18"/>
                <w:szCs w:val="18"/>
                <w:lang w:val="fr-FR"/>
              </w:rPr>
            </w:pPr>
            <w:r w:rsidRPr="001E6B5E">
              <w:rPr>
                <w:b/>
                <w:sz w:val="18"/>
                <w:szCs w:val="18"/>
                <w:lang w:val="fr-FR"/>
              </w:rPr>
              <w:t>Achevée</w:t>
            </w:r>
          </w:p>
        </w:tc>
      </w:tr>
      <w:tr w:rsidR="00356366" w:rsidRPr="00E61196" w14:paraId="2562BA58" w14:textId="77777777" w:rsidTr="001E6B5E">
        <w:tc>
          <w:tcPr>
            <w:tcW w:w="3095" w:type="dxa"/>
          </w:tcPr>
          <w:p w14:paraId="08CC1A1F" w14:textId="77777777" w:rsidR="00356366" w:rsidRPr="001E6B5E" w:rsidRDefault="00356366" w:rsidP="00F04CD6">
            <w:pPr>
              <w:adjustRightInd w:val="0"/>
              <w:spacing w:before="120" w:after="120"/>
              <w:textAlignment w:val="baseline"/>
              <w:rPr>
                <w:sz w:val="18"/>
                <w:szCs w:val="18"/>
                <w:lang w:val="fr-FR"/>
              </w:rPr>
            </w:pPr>
          </w:p>
        </w:tc>
        <w:tc>
          <w:tcPr>
            <w:tcW w:w="3786" w:type="dxa"/>
            <w:tcMar>
              <w:left w:w="85" w:type="dxa"/>
              <w:right w:w="85" w:type="dxa"/>
            </w:tcMar>
          </w:tcPr>
          <w:p w14:paraId="1912DC46"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6.5 Travailler avec des spécialistes en ressources humaines afin de cibler des candidates qualifiées pour les postes de direction au sein de la Commission et d’équilibrer la répartition géographique.</w:t>
            </w:r>
          </w:p>
        </w:tc>
        <w:tc>
          <w:tcPr>
            <w:tcW w:w="3604" w:type="dxa"/>
            <w:tcMar>
              <w:left w:w="85" w:type="dxa"/>
              <w:right w:w="85" w:type="dxa"/>
            </w:tcMar>
          </w:tcPr>
          <w:p w14:paraId="03992813" w14:textId="0D2D0D7F" w:rsidR="00356366" w:rsidRPr="001E6B5E" w:rsidRDefault="008F2123" w:rsidP="00F04CD6">
            <w:pPr>
              <w:adjustRightInd w:val="0"/>
              <w:spacing w:before="120" w:after="120"/>
              <w:textAlignment w:val="baseline"/>
              <w:rPr>
                <w:b/>
                <w:sz w:val="18"/>
                <w:szCs w:val="18"/>
                <w:lang w:val="fr-FR"/>
              </w:rPr>
            </w:pPr>
            <w:r w:rsidRPr="001E6B5E">
              <w:rPr>
                <w:b/>
                <w:sz w:val="18"/>
                <w:szCs w:val="18"/>
                <w:lang w:val="fr-FR"/>
              </w:rPr>
              <w:t>Mise en œuvre avec le recrutement récent de deux postes à responsabilité</w:t>
            </w:r>
            <w:r w:rsidR="00356366" w:rsidRPr="001E6B5E">
              <w:rPr>
                <w:b/>
                <w:sz w:val="18"/>
                <w:szCs w:val="18"/>
                <w:lang w:val="fr-FR"/>
              </w:rPr>
              <w:t>.</w:t>
            </w:r>
          </w:p>
        </w:tc>
        <w:tc>
          <w:tcPr>
            <w:tcW w:w="1843" w:type="dxa"/>
          </w:tcPr>
          <w:p w14:paraId="25A30EAF" w14:textId="77777777" w:rsidR="00356366" w:rsidRPr="001E6B5E" w:rsidRDefault="00356366" w:rsidP="00F04CD6">
            <w:pPr>
              <w:adjustRightInd w:val="0"/>
              <w:spacing w:before="120" w:after="120"/>
              <w:textAlignment w:val="baseline"/>
              <w:rPr>
                <w:sz w:val="18"/>
                <w:szCs w:val="18"/>
                <w:lang w:val="fr-FR"/>
              </w:rPr>
            </w:pPr>
            <w:r w:rsidRPr="001E6B5E">
              <w:rPr>
                <w:sz w:val="18"/>
                <w:szCs w:val="18"/>
                <w:lang w:val="fr-FR"/>
              </w:rPr>
              <w:t>Secrétaire exécutif et Bureau exécutif</w:t>
            </w:r>
          </w:p>
        </w:tc>
        <w:tc>
          <w:tcPr>
            <w:tcW w:w="2126" w:type="dxa"/>
          </w:tcPr>
          <w:p w14:paraId="7B7728BC" w14:textId="5FEC5EDE" w:rsidR="00356366" w:rsidRPr="00E61196" w:rsidRDefault="00500129" w:rsidP="00F04CD6">
            <w:pPr>
              <w:adjustRightInd w:val="0"/>
              <w:spacing w:before="120" w:after="120"/>
              <w:textAlignment w:val="baseline"/>
              <w:rPr>
                <w:sz w:val="18"/>
                <w:szCs w:val="18"/>
                <w:lang w:val="fr-FR"/>
              </w:rPr>
            </w:pPr>
            <w:r w:rsidRPr="001E6B5E">
              <w:rPr>
                <w:b/>
                <w:sz w:val="18"/>
                <w:szCs w:val="18"/>
                <w:lang w:val="fr-FR"/>
              </w:rPr>
              <w:t>Achevée</w:t>
            </w:r>
          </w:p>
        </w:tc>
      </w:tr>
      <w:bookmarkEnd w:id="1"/>
    </w:tbl>
    <w:p w14:paraId="57939A29" w14:textId="77777777" w:rsidR="00356366" w:rsidRPr="00E61196" w:rsidRDefault="00356366" w:rsidP="00356366">
      <w:pPr>
        <w:spacing w:after="240"/>
        <w:jc w:val="both"/>
      </w:pPr>
    </w:p>
    <w:p w14:paraId="53F3EBF1" w14:textId="77777777" w:rsidR="00356366" w:rsidRDefault="00356366">
      <w:pPr>
        <w:tabs>
          <w:tab w:val="clear" w:pos="567"/>
        </w:tabs>
        <w:snapToGrid/>
        <w:rPr>
          <w:rFonts w:cs="Arial"/>
          <w:bCs/>
          <w:szCs w:val="22"/>
        </w:rPr>
      </w:pPr>
    </w:p>
    <w:p w14:paraId="135308BF" w14:textId="77777777" w:rsidR="00356366" w:rsidRDefault="00356366">
      <w:pPr>
        <w:tabs>
          <w:tab w:val="clear" w:pos="567"/>
        </w:tabs>
        <w:snapToGrid/>
        <w:rPr>
          <w:rFonts w:cs="Arial"/>
          <w:bCs/>
          <w:szCs w:val="22"/>
        </w:rPr>
      </w:pPr>
    </w:p>
    <w:p w14:paraId="0B3CB00F" w14:textId="77777777" w:rsidR="00356366" w:rsidRDefault="00356366">
      <w:pPr>
        <w:tabs>
          <w:tab w:val="clear" w:pos="567"/>
        </w:tabs>
        <w:snapToGrid/>
        <w:rPr>
          <w:rFonts w:cs="Arial"/>
          <w:bCs/>
          <w:szCs w:val="22"/>
        </w:rPr>
      </w:pPr>
    </w:p>
    <w:p w14:paraId="573B6396" w14:textId="7780E601" w:rsidR="00A82923" w:rsidRPr="004135FA" w:rsidRDefault="00A82923" w:rsidP="004135FA">
      <w:pPr>
        <w:tabs>
          <w:tab w:val="clear" w:pos="567"/>
        </w:tabs>
        <w:snapToGrid/>
        <w:rPr>
          <w:rFonts w:cs="Arial"/>
          <w:bCs/>
          <w:szCs w:val="22"/>
        </w:rPr>
      </w:pPr>
    </w:p>
    <w:sectPr w:rsidR="00A82923" w:rsidRPr="004135FA" w:rsidSect="001E6B5E">
      <w:headerReference w:type="even" r:id="rId19"/>
      <w:headerReference w:type="default" r:id="rId20"/>
      <w:footerReference w:type="even" r:id="rId21"/>
      <w:footerReference w:type="default" r:id="rId22"/>
      <w:headerReference w:type="first" r:id="rId23"/>
      <w:footerReference w:type="first" r:id="rId24"/>
      <w:type w:val="oddPage"/>
      <w:pgSz w:w="16840" w:h="11920" w:orient="landscape"/>
      <w:pgMar w:top="1210" w:right="1152" w:bottom="1135" w:left="1216"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ABBA" w14:textId="77777777" w:rsidR="00DE2F6D" w:rsidRDefault="00DE2F6D" w:rsidP="00200D03">
      <w:r>
        <w:separator/>
      </w:r>
    </w:p>
  </w:endnote>
  <w:endnote w:type="continuationSeparator" w:id="0">
    <w:p w14:paraId="7702326A" w14:textId="77777777" w:rsidR="00DE2F6D" w:rsidRDefault="00DE2F6D"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6D76" w14:textId="77777777" w:rsidR="002637CA" w:rsidRDefault="00263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81A6" w14:textId="2CA36EAC" w:rsidR="002637CA" w:rsidRDefault="00453900">
    <w:pPr>
      <w:pStyle w:val="Footer"/>
    </w:pPr>
    <w:r>
      <w:rPr>
        <w:noProof/>
      </w:rPr>
      <mc:AlternateContent>
        <mc:Choice Requires="wps">
          <w:drawing>
            <wp:anchor distT="45720" distB="45720" distL="114300" distR="114300" simplePos="0" relativeHeight="251667456" behindDoc="0" locked="0" layoutInCell="1" allowOverlap="1" wp14:anchorId="5C8F1676" wp14:editId="628A5274">
              <wp:simplePos x="0" y="0"/>
              <wp:positionH relativeFrom="column">
                <wp:posOffset>8838663</wp:posOffset>
              </wp:positionH>
              <wp:positionV relativeFrom="paragraph">
                <wp:posOffset>-1868462</wp:posOffset>
              </wp:positionV>
              <wp:extent cx="2360930" cy="1404620"/>
              <wp:effectExtent l="2222" t="0" r="3493" b="3492"/>
              <wp:wrapNone/>
              <wp:docPr id="16945736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3F3D23C5" w14:textId="77777777" w:rsidR="00453900" w:rsidRDefault="00453900" w:rsidP="00453900">
                          <w:r w:rsidRPr="00453900">
                            <w:t xml:space="preserve">IOC/A-33/5.3.Doc(2) – page </w:t>
                          </w: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8F1676" id="_x0000_t202" coordsize="21600,21600" o:spt="202" path="m,l,21600r21600,l21600,xe">
              <v:stroke joinstyle="miter"/>
              <v:path gradientshapeok="t" o:connecttype="rect"/>
            </v:shapetype>
            <v:shape id="_x0000_s1027" type="#_x0000_t202" style="position:absolute;margin-left:695.95pt;margin-top:-147.1pt;width:185.9pt;height:110.6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" stroked="f">
              <v:textbox style="mso-fit-shape-to-text:t">
                <w:txbxContent>
                  <w:p w14:paraId="3F3D23C5" w14:textId="77777777" w:rsidR="00453900" w:rsidRDefault="00453900" w:rsidP="00453900">
                    <w:r w:rsidRPr="00453900">
                      <w:t xml:space="preserve">IOC/A-33/5.3.Doc(2) – page </w:t>
                    </w:r>
                    <w:r>
                      <w:fldChar w:fldCharType="begin"/>
                    </w:r>
                    <w:r>
                      <w:instrText>PAGE   \* MERGEFORMAT</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EC64" w14:textId="400CB818" w:rsidR="0047625D" w:rsidRDefault="00453900">
    <w:pPr>
      <w:pStyle w:val="Footer"/>
    </w:pPr>
    <w:r>
      <w:rPr>
        <w:noProof/>
      </w:rPr>
      <mc:AlternateContent>
        <mc:Choice Requires="wps">
          <w:drawing>
            <wp:anchor distT="45720" distB="45720" distL="114300" distR="114300" simplePos="0" relativeHeight="251663360" behindDoc="0" locked="0" layoutInCell="1" allowOverlap="1" wp14:anchorId="11D60A3B" wp14:editId="1CA21FC7">
              <wp:simplePos x="0" y="0"/>
              <wp:positionH relativeFrom="column">
                <wp:posOffset>8817170</wp:posOffset>
              </wp:positionH>
              <wp:positionV relativeFrom="paragraph">
                <wp:posOffset>-1870709</wp:posOffset>
              </wp:positionV>
              <wp:extent cx="2360930" cy="1404620"/>
              <wp:effectExtent l="2222" t="0" r="3493" b="3492"/>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111C7A10" w14:textId="3C90BBE7" w:rsidR="00453900" w:rsidRDefault="00453900">
                          <w:r w:rsidRPr="00453900">
                            <w:t xml:space="preserve">IOC/A-33/5.3.Doc(2) – page </w:t>
                          </w: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1D60A3B" id="_x0000_t202" coordsize="21600,21600" o:spt="202" path="m,l,21600r21600,l21600,xe">
              <v:stroke joinstyle="miter"/>
              <v:path gradientshapeok="t" o:connecttype="rect"/>
            </v:shapetype>
            <v:shape id="_x0000_s1028" type="#_x0000_t202" style="position:absolute;margin-left:694.25pt;margin-top:-147.3pt;width:185.9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" stroked="f">
              <v:textbox style="mso-fit-shape-to-text:t">
                <w:txbxContent>
                  <w:p w14:paraId="111C7A10" w14:textId="3C90BBE7" w:rsidR="00453900" w:rsidRDefault="00453900">
                    <w:r w:rsidRPr="00453900">
                      <w:t xml:space="preserve">IOC/A-33/5.3.Doc(2) – page </w:t>
                    </w: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B0F7" w14:textId="77777777" w:rsidR="00DE2F6D" w:rsidRDefault="00DE2F6D" w:rsidP="00200D03">
      <w:r>
        <w:separator/>
      </w:r>
    </w:p>
  </w:footnote>
  <w:footnote w:type="continuationSeparator" w:id="0">
    <w:p w14:paraId="483B16E8" w14:textId="77777777" w:rsidR="00DE2F6D" w:rsidRDefault="00DE2F6D"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0BA0" w14:textId="72086D34" w:rsidR="00376476" w:rsidRPr="00376476" w:rsidRDefault="00376476" w:rsidP="00376476">
    <w:pPr>
      <w:pStyle w:val="Header"/>
      <w:rPr>
        <w:rFonts w:cs="Arial"/>
        <w:bCs/>
        <w:sz w:val="22"/>
        <w:szCs w:val="22"/>
      </w:rPr>
    </w:pPr>
    <w:r w:rsidRPr="00352423">
      <w:rPr>
        <w:rFonts w:cs="Arial"/>
        <w:bCs/>
        <w:sz w:val="22"/>
        <w:szCs w:val="22"/>
      </w:rPr>
      <w:t>IOC</w:t>
    </w:r>
    <w:r w:rsidR="005C65F7">
      <w:rPr>
        <w:rFonts w:cs="Arial"/>
        <w:bCs/>
        <w:sz w:val="22"/>
        <w:szCs w:val="22"/>
      </w:rPr>
      <w:t>/A</w:t>
    </w:r>
    <w:r w:rsidR="00416F54" w:rsidRPr="00352423">
      <w:rPr>
        <w:rFonts w:cs="Arial"/>
        <w:bCs/>
        <w:sz w:val="22"/>
        <w:szCs w:val="22"/>
      </w:rPr>
      <w:t>-</w:t>
    </w:r>
    <w:r w:rsidR="00416F54">
      <w:rPr>
        <w:rFonts w:cs="Arial"/>
        <w:bCs/>
        <w:sz w:val="22"/>
        <w:szCs w:val="22"/>
      </w:rPr>
      <w:t>3</w:t>
    </w:r>
    <w:r w:rsidR="00BF2E0D">
      <w:rPr>
        <w:rFonts w:cs="Arial"/>
        <w:bCs/>
        <w:sz w:val="22"/>
        <w:szCs w:val="22"/>
      </w:rPr>
      <w:t>3</w:t>
    </w:r>
    <w:r w:rsidR="00416F54">
      <w:rPr>
        <w:rFonts w:cs="Arial"/>
        <w:bCs/>
        <w:sz w:val="22"/>
        <w:szCs w:val="22"/>
      </w:rPr>
      <w:t>/</w:t>
    </w:r>
    <w:r w:rsidR="00BF2E0D">
      <w:rPr>
        <w:rFonts w:cs="Arial"/>
        <w:bCs/>
        <w:sz w:val="22"/>
        <w:szCs w:val="22"/>
      </w:rPr>
      <w:t>5.3</w:t>
    </w:r>
    <w:r w:rsidR="00416F54">
      <w:rPr>
        <w:rFonts w:cs="Arial"/>
        <w:bCs/>
        <w:sz w:val="22"/>
        <w:szCs w:val="22"/>
      </w:rPr>
      <w:t>.</w:t>
    </w:r>
    <w:r w:rsidR="00416F54" w:rsidRPr="00352423">
      <w:rPr>
        <w:rFonts w:cs="Arial"/>
        <w:bCs/>
        <w:sz w:val="22"/>
        <w:szCs w:val="22"/>
      </w:rPr>
      <w:t>Doc</w:t>
    </w:r>
    <w:sdt>
      <w:sdtPr>
        <w:rPr>
          <w:rFonts w:cs="Arial"/>
          <w:bCs/>
          <w:sz w:val="22"/>
          <w:szCs w:val="22"/>
        </w:rPr>
        <w:id w:val="497312836"/>
        <w:docPartObj>
          <w:docPartGallery w:val="Page Numbers (Top of Page)"/>
          <w:docPartUnique/>
        </w:docPartObj>
      </w:sdtPr>
      <w:sdtEndPr/>
      <w:sdtContent>
        <w:r>
          <w:rPr>
            <w:rFonts w:cs="Arial"/>
            <w:bCs/>
            <w:sz w:val="22"/>
            <w:szCs w:val="22"/>
          </w:rPr>
          <w:t>(</w:t>
        </w:r>
        <w:r w:rsidR="00BF2E0D">
          <w:rPr>
            <w:rFonts w:cs="Arial"/>
            <w:bCs/>
            <w:sz w:val="22"/>
            <w:szCs w:val="22"/>
          </w:rPr>
          <w:t>2</w:t>
        </w:r>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7685" w14:textId="00C0A264" w:rsidR="00200D03" w:rsidRPr="00376476" w:rsidRDefault="00376476" w:rsidP="00376476">
    <w:pPr>
      <w:pStyle w:val="Header"/>
      <w:ind w:left="6096"/>
      <w:rPr>
        <w:rFonts w:cs="Arial"/>
        <w:bCs/>
        <w:sz w:val="22"/>
        <w:szCs w:val="22"/>
      </w:rPr>
    </w:pPr>
    <w:r w:rsidRPr="00352423">
      <w:rPr>
        <w:rFonts w:cs="Arial"/>
        <w:bCs/>
        <w:sz w:val="22"/>
        <w:szCs w:val="22"/>
      </w:rPr>
      <w:t>IOC</w:t>
    </w:r>
    <w:r w:rsidR="00311767">
      <w:rPr>
        <w:rFonts w:cs="Arial"/>
        <w:bCs/>
        <w:sz w:val="22"/>
        <w:szCs w:val="22"/>
      </w:rPr>
      <w:t>/A</w:t>
    </w:r>
    <w:r w:rsidR="00416F54" w:rsidRPr="00352423">
      <w:rPr>
        <w:rFonts w:cs="Arial"/>
        <w:bCs/>
        <w:sz w:val="22"/>
        <w:szCs w:val="22"/>
      </w:rPr>
      <w:t>-</w:t>
    </w:r>
    <w:r w:rsidR="00416F54">
      <w:rPr>
        <w:rFonts w:cs="Arial"/>
        <w:bCs/>
        <w:sz w:val="22"/>
        <w:szCs w:val="22"/>
      </w:rPr>
      <w:t>32/3</w:t>
    </w:r>
    <w:r w:rsidR="00416F54" w:rsidRPr="00352423">
      <w:rPr>
        <w:rFonts w:cs="Arial"/>
        <w:bCs/>
        <w:sz w:val="22"/>
        <w:szCs w:val="22"/>
      </w:rPr>
      <w:t>.</w:t>
    </w:r>
    <w:r w:rsidR="00416F54">
      <w:rPr>
        <w:rFonts w:cs="Arial"/>
        <w:bCs/>
        <w:sz w:val="22"/>
        <w:szCs w:val="22"/>
      </w:rPr>
      <w:t>2.</w:t>
    </w:r>
    <w:r w:rsidR="00416F54" w:rsidRPr="00352423">
      <w:rPr>
        <w:rFonts w:cs="Arial"/>
        <w:bCs/>
        <w:sz w:val="22"/>
        <w:szCs w:val="22"/>
      </w:rPr>
      <w:t>Doc</w:t>
    </w:r>
    <w:sdt>
      <w:sdtPr>
        <w:rPr>
          <w:rFonts w:cs="Arial"/>
          <w:bCs/>
          <w:sz w:val="22"/>
          <w:szCs w:val="22"/>
        </w:rPr>
        <w:id w:val="554519101"/>
        <w:docPartObj>
          <w:docPartGallery w:val="Page Numbers (Top of Page)"/>
          <w:docPartUnique/>
        </w:docPartObj>
      </w:sdtPr>
      <w:sdtEndPr/>
      <w:sdtContent>
        <w:r>
          <w:rPr>
            <w:rFonts w:cs="Arial"/>
            <w:bCs/>
            <w:sz w:val="22"/>
            <w:szCs w:val="22"/>
          </w:rPr>
          <w:t>(</w:t>
        </w:r>
        <w:r w:rsidR="00720D5C">
          <w:rPr>
            <w:rFonts w:cs="Arial"/>
            <w:bCs/>
            <w:sz w:val="22"/>
            <w:szCs w:val="22"/>
          </w:rPr>
          <w:t>3</w:t>
        </w:r>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rPr>
          <w:t>2</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36EF" w14:textId="5F5B9418" w:rsidR="00E90F6F" w:rsidRPr="00665B6A" w:rsidRDefault="00E90F6F" w:rsidP="001636E8">
    <w:pPr>
      <w:tabs>
        <w:tab w:val="left" w:pos="6237"/>
      </w:tabs>
      <w:spacing w:before="120"/>
      <w:ind w:right="-196"/>
      <w:jc w:val="both"/>
      <w:rPr>
        <w:rFonts w:cs="Arial"/>
        <w:b/>
      </w:rPr>
    </w:pPr>
    <w:r w:rsidRPr="00665B6A">
      <w:rPr>
        <w:rFonts w:cs="Arial"/>
      </w:rPr>
      <w:t xml:space="preserve">Distribution </w:t>
    </w:r>
    <w:r w:rsidRPr="00B32D34">
      <w:rPr>
        <w:rFonts w:cs="Arial"/>
      </w:rPr>
      <w:t>limitée</w:t>
    </w:r>
    <w:r w:rsidRPr="00665B6A">
      <w:rPr>
        <w:rFonts w:cs="Arial"/>
      </w:rPr>
      <w:tab/>
    </w:r>
    <w:bookmarkStart w:id="0" w:name="_Hlk54263549"/>
    <w:r w:rsidR="00416F54" w:rsidRPr="0042612F">
      <w:rPr>
        <w:rFonts w:cs="Arial"/>
        <w:b/>
        <w:sz w:val="36"/>
        <w:szCs w:val="36"/>
      </w:rPr>
      <w:t>IOC</w:t>
    </w:r>
    <w:r w:rsidR="001636E8">
      <w:rPr>
        <w:rFonts w:cs="Arial"/>
        <w:b/>
        <w:sz w:val="36"/>
        <w:szCs w:val="36"/>
      </w:rPr>
      <w:t>/A</w:t>
    </w:r>
    <w:r w:rsidR="00416F54" w:rsidRPr="0042612F">
      <w:rPr>
        <w:rFonts w:cs="Arial"/>
        <w:b/>
        <w:sz w:val="36"/>
        <w:szCs w:val="36"/>
      </w:rPr>
      <w:t>-</w:t>
    </w:r>
    <w:r w:rsidR="00356366">
      <w:rPr>
        <w:rFonts w:cs="Arial"/>
        <w:b/>
        <w:sz w:val="36"/>
        <w:szCs w:val="36"/>
      </w:rPr>
      <w:t>33</w:t>
    </w:r>
    <w:r w:rsidR="00416F54" w:rsidRPr="0042612F">
      <w:rPr>
        <w:rFonts w:cs="Arial"/>
        <w:b/>
        <w:sz w:val="36"/>
        <w:szCs w:val="36"/>
      </w:rPr>
      <w:t>/</w:t>
    </w:r>
    <w:bookmarkEnd w:id="0"/>
    <w:r w:rsidR="00356366">
      <w:rPr>
        <w:rFonts w:cs="Arial"/>
        <w:b/>
        <w:sz w:val="36"/>
        <w:szCs w:val="36"/>
      </w:rPr>
      <w:t>5.3</w:t>
    </w:r>
    <w:r w:rsidR="00416F54">
      <w:rPr>
        <w:rFonts w:cs="Arial"/>
        <w:b/>
        <w:sz w:val="36"/>
        <w:szCs w:val="36"/>
      </w:rPr>
      <w:t>.</w:t>
    </w:r>
    <w:r>
      <w:rPr>
        <w:rFonts w:cs="Arial"/>
        <w:b/>
        <w:sz w:val="36"/>
        <w:szCs w:val="36"/>
      </w:rPr>
      <w:t>Doc(</w:t>
    </w:r>
    <w:r w:rsidR="00356366">
      <w:rPr>
        <w:rFonts w:cs="Arial"/>
        <w:b/>
        <w:sz w:val="36"/>
        <w:szCs w:val="36"/>
      </w:rPr>
      <w:t>2</w:t>
    </w:r>
    <w:r>
      <w:rPr>
        <w:rFonts w:cs="Arial"/>
        <w:b/>
        <w:sz w:val="36"/>
        <w:szCs w:val="36"/>
      </w:rPr>
      <w:t>)</w:t>
    </w:r>
  </w:p>
  <w:p w14:paraId="69EF4909" w14:textId="291FCD07" w:rsidR="00E90F6F" w:rsidRPr="00665B6A" w:rsidRDefault="00577CF2" w:rsidP="001636E8">
    <w:pPr>
      <w:tabs>
        <w:tab w:val="left" w:pos="2295"/>
        <w:tab w:val="left" w:pos="6096"/>
      </w:tabs>
      <w:ind w:left="6237"/>
      <w:jc w:val="both"/>
      <w:rPr>
        <w:rFonts w:cs="Arial"/>
      </w:rPr>
    </w:pPr>
    <w:r>
      <w:rPr>
        <w:rFonts w:cs="Arial"/>
        <w:b/>
        <w:noProof/>
        <w:snapToGrid/>
        <w:szCs w:val="22"/>
        <w:lang w:eastAsia="fr-FR"/>
      </w:rPr>
      <w:drawing>
        <wp:anchor distT="0" distB="0" distL="114300" distR="114300" simplePos="0" relativeHeight="251661312" behindDoc="0" locked="0" layoutInCell="1" allowOverlap="1" wp14:anchorId="5B308F75" wp14:editId="042F9D21">
          <wp:simplePos x="0" y="0"/>
          <wp:positionH relativeFrom="margin">
            <wp:posOffset>-88201</wp:posOffset>
          </wp:positionH>
          <wp:positionV relativeFrom="paragraph">
            <wp:posOffset>27940</wp:posOffset>
          </wp:positionV>
          <wp:extent cx="1578610" cy="1047115"/>
          <wp:effectExtent l="0" t="0" r="2540" b="635"/>
          <wp:wrapSquare wrapText="bothSides"/>
          <wp:docPr id="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Pr>
        <w:rFonts w:cs="Arial"/>
      </w:rPr>
      <w:t xml:space="preserve">Paris, le </w:t>
    </w:r>
    <w:r w:rsidR="00356366">
      <w:rPr>
        <w:rFonts w:cs="Arial"/>
      </w:rPr>
      <w:t>24 mars</w:t>
    </w:r>
    <w:r w:rsidR="00E90F6F" w:rsidRPr="00665B6A">
      <w:rPr>
        <w:rFonts w:cs="Arial"/>
      </w:rPr>
      <w:t xml:space="preserve"> 20</w:t>
    </w:r>
    <w:r w:rsidR="00E90F6F">
      <w:rPr>
        <w:rFonts w:cs="Arial"/>
      </w:rPr>
      <w:t>2</w:t>
    </w:r>
    <w:r w:rsidR="00356366">
      <w:rPr>
        <w:rFonts w:cs="Arial"/>
      </w:rPr>
      <w:t>5</w:t>
    </w:r>
  </w:p>
  <w:p w14:paraId="684BF9F7" w14:textId="099B1349" w:rsidR="00E90F6F" w:rsidRDefault="00E90F6F" w:rsidP="001636E8">
    <w:pPr>
      <w:tabs>
        <w:tab w:val="left" w:pos="2295"/>
        <w:tab w:val="left" w:pos="6096"/>
      </w:tabs>
      <w:spacing w:after="600"/>
      <w:ind w:left="6237"/>
      <w:jc w:val="both"/>
      <w:rPr>
        <w:rFonts w:cs="Arial"/>
      </w:rPr>
    </w:pPr>
    <w:r w:rsidRPr="00665B6A">
      <w:rPr>
        <w:rFonts w:cs="Arial"/>
      </w:rPr>
      <w:t>Original anglais</w:t>
    </w:r>
  </w:p>
  <w:p w14:paraId="5F8B3EE0" w14:textId="77777777" w:rsidR="001636E8" w:rsidRPr="001636E8" w:rsidRDefault="001636E8" w:rsidP="001636E8">
    <w:pPr>
      <w:tabs>
        <w:tab w:val="left" w:pos="2295"/>
      </w:tabs>
      <w:spacing w:after="600"/>
      <w:ind w:left="5954"/>
      <w:jc w:val="both"/>
      <w:rPr>
        <w:rFonts w:cs="Arial"/>
      </w:rPr>
    </w:pPr>
  </w:p>
  <w:p w14:paraId="00DDA19B" w14:textId="77777777" w:rsidR="00F23C58" w:rsidRDefault="00F23C5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FB17" w14:textId="7DC0CC58" w:rsidR="002637CA" w:rsidRPr="00453900" w:rsidRDefault="00453900" w:rsidP="00453900">
    <w:pPr>
      <w:pStyle w:val="Header"/>
    </w:pPr>
    <w:r>
      <w:rPr>
        <w:noProof/>
      </w:rPr>
      <mc:AlternateContent>
        <mc:Choice Requires="wps">
          <w:drawing>
            <wp:anchor distT="45720" distB="45720" distL="114300" distR="114300" simplePos="0" relativeHeight="251665408" behindDoc="0" locked="0" layoutInCell="1" allowOverlap="1" wp14:anchorId="686C571C" wp14:editId="7510B5E3">
              <wp:simplePos x="0" y="0"/>
              <wp:positionH relativeFrom="column">
                <wp:posOffset>8839202</wp:posOffset>
              </wp:positionH>
              <wp:positionV relativeFrom="paragraph">
                <wp:posOffset>760828</wp:posOffset>
              </wp:positionV>
              <wp:extent cx="2360930" cy="1404620"/>
              <wp:effectExtent l="2222" t="0" r="3493" b="3492"/>
              <wp:wrapNone/>
              <wp:docPr id="5423646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45EFE7BE" w14:textId="77777777" w:rsidR="00453900" w:rsidRDefault="00453900" w:rsidP="00453900">
                          <w:r w:rsidRPr="00453900">
                            <w:t xml:space="preserve">IOC/A-33/5.3.Doc(2) – page </w:t>
                          </w: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6C571C" id="_x0000_t202" coordsize="21600,21600" o:spt="202" path="m,l,21600r21600,l21600,xe">
              <v:stroke joinstyle="miter"/>
              <v:path gradientshapeok="t" o:connecttype="rect"/>
            </v:shapetype>
            <v:shape id="Zone de texte 2" o:spid="_x0000_s1026" type="#_x0000_t202" style="position:absolute;margin-left:696pt;margin-top:59.9pt;width:185.9pt;height:110.6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" stroked="f">
              <v:textbox style="mso-fit-shape-to-text:t">
                <w:txbxContent>
                  <w:p w14:paraId="45EFE7BE" w14:textId="77777777" w:rsidR="00453900" w:rsidRDefault="00453900" w:rsidP="00453900">
                    <w:r w:rsidRPr="00453900">
                      <w:t xml:space="preserve">IOC/A-33/5.3.Doc(2) – page </w:t>
                    </w:r>
                    <w:r>
                      <w:fldChar w:fldCharType="begin"/>
                    </w:r>
                    <w:r>
                      <w:instrText>PAGE   \* MERGEFORMAT</w:instrText>
                    </w:r>
                    <w:r>
                      <w:fldChar w:fldCharType="separate"/>
                    </w:r>
                    <w:r>
                      <w:t>1</w:t>
                    </w:r>
                    <w: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7C10" w14:textId="07ADABC6" w:rsidR="002637CA" w:rsidRPr="00453900" w:rsidRDefault="002637CA" w:rsidP="004539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AD7A" w14:textId="46AEEED2" w:rsidR="0047625D" w:rsidRPr="00453900" w:rsidRDefault="0047625D" w:rsidP="00453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4"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CA7FC5"/>
    <w:multiLevelType w:val="hybridMultilevel"/>
    <w:tmpl w:val="F2FC657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801560">
    <w:abstractNumId w:val="13"/>
  </w:num>
  <w:num w:numId="2" w16cid:durableId="213859663">
    <w:abstractNumId w:val="29"/>
  </w:num>
  <w:num w:numId="3" w16cid:durableId="1767387111">
    <w:abstractNumId w:val="6"/>
  </w:num>
  <w:num w:numId="4" w16cid:durableId="1146162522">
    <w:abstractNumId w:val="21"/>
  </w:num>
  <w:num w:numId="5" w16cid:durableId="1670979281">
    <w:abstractNumId w:val="22"/>
  </w:num>
  <w:num w:numId="6" w16cid:durableId="1261790898">
    <w:abstractNumId w:val="17"/>
  </w:num>
  <w:num w:numId="7" w16cid:durableId="1213617237">
    <w:abstractNumId w:val="28"/>
  </w:num>
  <w:num w:numId="8" w16cid:durableId="1526291074">
    <w:abstractNumId w:val="32"/>
  </w:num>
  <w:num w:numId="9" w16cid:durableId="802650968">
    <w:abstractNumId w:val="3"/>
  </w:num>
  <w:num w:numId="10" w16cid:durableId="192815686">
    <w:abstractNumId w:val="7"/>
  </w:num>
  <w:num w:numId="11" w16cid:durableId="393898779">
    <w:abstractNumId w:val="4"/>
  </w:num>
  <w:num w:numId="12" w16cid:durableId="113446486">
    <w:abstractNumId w:val="5"/>
  </w:num>
  <w:num w:numId="13" w16cid:durableId="1699231344">
    <w:abstractNumId w:val="23"/>
    <w:lvlOverride w:ilvl="0">
      <w:lvl w:ilvl="0" w:tplc="040C0001">
        <w:start w:val="1"/>
        <w:numFmt w:val="bullet"/>
        <w:lvlText w:val=""/>
        <w:lvlJc w:val="left"/>
        <w:pPr>
          <w:ind w:left="720" w:hanging="360"/>
        </w:pPr>
        <w:rPr>
          <w:rFonts w:ascii="Symbol" w:hAnsi="Symbol" w:hint="default"/>
        </w:rPr>
      </w:lvl>
    </w:lvlOverride>
  </w:num>
  <w:num w:numId="14" w16cid:durableId="668757424">
    <w:abstractNumId w:val="26"/>
    <w:lvlOverride w:ilvl="0">
      <w:lvl w:ilvl="0">
        <w:start w:val="1"/>
        <w:numFmt w:val="bullet"/>
        <w:lvlText w:val=""/>
        <w:lvlJc w:val="left"/>
        <w:pPr>
          <w:ind w:left="720" w:hanging="360"/>
        </w:pPr>
        <w:rPr>
          <w:rFonts w:ascii="Symbol" w:hAnsi="Symbol" w:hint="default"/>
          <w:u w:val="none"/>
        </w:rPr>
      </w:lvl>
    </w:lvlOverride>
  </w:num>
  <w:num w:numId="15" w16cid:durableId="74400159">
    <w:abstractNumId w:val="16"/>
  </w:num>
  <w:num w:numId="16" w16cid:durableId="1841462780">
    <w:abstractNumId w:val="11"/>
  </w:num>
  <w:num w:numId="17" w16cid:durableId="944464315">
    <w:abstractNumId w:val="20"/>
  </w:num>
  <w:num w:numId="18" w16cid:durableId="648284434">
    <w:abstractNumId w:val="10"/>
    <w:lvlOverride w:ilvl="0">
      <w:lvl w:ilvl="0" w:tplc="04090001">
        <w:start w:val="1"/>
        <w:numFmt w:val="bullet"/>
        <w:lvlText w:val=""/>
        <w:lvlJc w:val="left"/>
        <w:pPr>
          <w:ind w:left="1800" w:hanging="360"/>
        </w:pPr>
        <w:rPr>
          <w:rFonts w:ascii="Symbol" w:hAnsi="Symbol" w:hint="default"/>
        </w:rPr>
      </w:lvl>
    </w:lvlOverride>
  </w:num>
  <w:num w:numId="19" w16cid:durableId="2085685950">
    <w:abstractNumId w:val="18"/>
  </w:num>
  <w:num w:numId="20" w16cid:durableId="977029366">
    <w:abstractNumId w:val="33"/>
    <w:lvlOverride w:ilvl="0">
      <w:lvl w:ilvl="0" w:tplc="04090001">
        <w:start w:val="1"/>
        <w:numFmt w:val="bullet"/>
        <w:lvlText w:val=""/>
        <w:lvlJc w:val="left"/>
        <w:pPr>
          <w:ind w:left="720" w:hanging="360"/>
        </w:pPr>
        <w:rPr>
          <w:rFonts w:ascii="Symbol" w:hAnsi="Symbol" w:hint="default"/>
        </w:rPr>
      </w:lvl>
    </w:lvlOverride>
  </w:num>
  <w:num w:numId="21" w16cid:durableId="596526446">
    <w:abstractNumId w:val="19"/>
    <w:lvlOverride w:ilvl="0">
      <w:lvl w:ilvl="0" w:tplc="04090001">
        <w:start w:val="1"/>
        <w:numFmt w:val="bullet"/>
        <w:lvlText w:val=""/>
        <w:lvlJc w:val="left"/>
        <w:pPr>
          <w:ind w:left="360" w:hanging="360"/>
        </w:pPr>
        <w:rPr>
          <w:rFonts w:ascii="Symbol" w:hAnsi="Symbol" w:hint="default"/>
        </w:rPr>
      </w:lvl>
    </w:lvlOverride>
  </w:num>
  <w:num w:numId="22" w16cid:durableId="1625847739">
    <w:abstractNumId w:val="9"/>
    <w:lvlOverride w:ilvl="0">
      <w:lvl w:ilvl="0" w:tplc="04090001">
        <w:start w:val="1"/>
        <w:numFmt w:val="bullet"/>
        <w:lvlText w:val=""/>
        <w:lvlJc w:val="left"/>
        <w:pPr>
          <w:ind w:left="360" w:hanging="360"/>
        </w:pPr>
        <w:rPr>
          <w:rFonts w:ascii="Symbol" w:hAnsi="Symbol" w:hint="default"/>
        </w:rPr>
      </w:lvl>
    </w:lvlOverride>
  </w:num>
  <w:num w:numId="23" w16cid:durableId="628710074">
    <w:abstractNumId w:val="14"/>
    <w:lvlOverride w:ilvl="0">
      <w:lvl w:ilvl="0" w:tplc="04090001">
        <w:start w:val="1"/>
        <w:numFmt w:val="bullet"/>
        <w:lvlText w:val=""/>
        <w:lvlJc w:val="left"/>
        <w:pPr>
          <w:ind w:left="360" w:hanging="360"/>
        </w:pPr>
        <w:rPr>
          <w:rFonts w:ascii="Symbol" w:hAnsi="Symbol" w:hint="default"/>
        </w:rPr>
      </w:lvl>
    </w:lvlOverride>
  </w:num>
  <w:num w:numId="24" w16cid:durableId="922762040">
    <w:abstractNumId w:val="2"/>
  </w:num>
  <w:num w:numId="25" w16cid:durableId="505510999">
    <w:abstractNumId w:val="15"/>
  </w:num>
  <w:num w:numId="26" w16cid:durableId="2023898130">
    <w:abstractNumId w:val="25"/>
  </w:num>
  <w:num w:numId="27" w16cid:durableId="452752564">
    <w:abstractNumId w:val="27"/>
  </w:num>
  <w:num w:numId="28" w16cid:durableId="1138451335">
    <w:abstractNumId w:val="31"/>
  </w:num>
  <w:num w:numId="29" w16cid:durableId="8458940">
    <w:abstractNumId w:val="12"/>
  </w:num>
  <w:num w:numId="30" w16cid:durableId="1361275275">
    <w:abstractNumId w:val="0"/>
  </w:num>
  <w:num w:numId="31" w16cid:durableId="1485049281">
    <w:abstractNumId w:val="30"/>
  </w:num>
  <w:num w:numId="32" w16cid:durableId="550966477">
    <w:abstractNumId w:val="8"/>
  </w:num>
  <w:num w:numId="33" w16cid:durableId="1894845258">
    <w:abstractNumId w:val="1"/>
  </w:num>
  <w:num w:numId="34" w16cid:durableId="11597282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269E0"/>
    <w:rsid w:val="00034000"/>
    <w:rsid w:val="00046C31"/>
    <w:rsid w:val="00051EE6"/>
    <w:rsid w:val="00053075"/>
    <w:rsid w:val="00071482"/>
    <w:rsid w:val="00074005"/>
    <w:rsid w:val="00094412"/>
    <w:rsid w:val="000B1F0F"/>
    <w:rsid w:val="000C2907"/>
    <w:rsid w:val="000D3043"/>
    <w:rsid w:val="000E79DE"/>
    <w:rsid w:val="000F3433"/>
    <w:rsid w:val="00101CC2"/>
    <w:rsid w:val="00121F48"/>
    <w:rsid w:val="00127F99"/>
    <w:rsid w:val="00135480"/>
    <w:rsid w:val="00137187"/>
    <w:rsid w:val="001636E8"/>
    <w:rsid w:val="001862A1"/>
    <w:rsid w:val="00191465"/>
    <w:rsid w:val="001A489B"/>
    <w:rsid w:val="001D2A9B"/>
    <w:rsid w:val="001E6B5E"/>
    <w:rsid w:val="00200D03"/>
    <w:rsid w:val="00205BAA"/>
    <w:rsid w:val="00206BC1"/>
    <w:rsid w:val="0021613E"/>
    <w:rsid w:val="00224F50"/>
    <w:rsid w:val="00235E02"/>
    <w:rsid w:val="00242126"/>
    <w:rsid w:val="002606EC"/>
    <w:rsid w:val="00262FCE"/>
    <w:rsid w:val="002637CA"/>
    <w:rsid w:val="00267B24"/>
    <w:rsid w:val="00271640"/>
    <w:rsid w:val="00295595"/>
    <w:rsid w:val="002A347F"/>
    <w:rsid w:val="002A38C9"/>
    <w:rsid w:val="002B0CD0"/>
    <w:rsid w:val="002B5713"/>
    <w:rsid w:val="002C1EF6"/>
    <w:rsid w:val="002C2D6E"/>
    <w:rsid w:val="002C6133"/>
    <w:rsid w:val="002F13F1"/>
    <w:rsid w:val="00311767"/>
    <w:rsid w:val="003117C2"/>
    <w:rsid w:val="00312004"/>
    <w:rsid w:val="00313C37"/>
    <w:rsid w:val="00330169"/>
    <w:rsid w:val="003321BC"/>
    <w:rsid w:val="00344601"/>
    <w:rsid w:val="00344693"/>
    <w:rsid w:val="00345602"/>
    <w:rsid w:val="00356366"/>
    <w:rsid w:val="00357923"/>
    <w:rsid w:val="003729A1"/>
    <w:rsid w:val="00376476"/>
    <w:rsid w:val="003768B8"/>
    <w:rsid w:val="003845BA"/>
    <w:rsid w:val="003A533E"/>
    <w:rsid w:val="003B4C80"/>
    <w:rsid w:val="003D15AC"/>
    <w:rsid w:val="003E7932"/>
    <w:rsid w:val="0040445C"/>
    <w:rsid w:val="004135FA"/>
    <w:rsid w:val="0041586E"/>
    <w:rsid w:val="00416F54"/>
    <w:rsid w:val="00430207"/>
    <w:rsid w:val="00441968"/>
    <w:rsid w:val="00453900"/>
    <w:rsid w:val="00457A93"/>
    <w:rsid w:val="00470E98"/>
    <w:rsid w:val="004710D3"/>
    <w:rsid w:val="004724A8"/>
    <w:rsid w:val="0047625D"/>
    <w:rsid w:val="00480529"/>
    <w:rsid w:val="004A59F9"/>
    <w:rsid w:val="004A6984"/>
    <w:rsid w:val="004A6D7D"/>
    <w:rsid w:val="004C5804"/>
    <w:rsid w:val="004C5CD0"/>
    <w:rsid w:val="004D53DD"/>
    <w:rsid w:val="00500129"/>
    <w:rsid w:val="005006FE"/>
    <w:rsid w:val="00516103"/>
    <w:rsid w:val="0051668C"/>
    <w:rsid w:val="00555F22"/>
    <w:rsid w:val="005560D9"/>
    <w:rsid w:val="005742DC"/>
    <w:rsid w:val="00575917"/>
    <w:rsid w:val="00577CF2"/>
    <w:rsid w:val="0059001E"/>
    <w:rsid w:val="005A015D"/>
    <w:rsid w:val="005A17BD"/>
    <w:rsid w:val="005B6C0B"/>
    <w:rsid w:val="005C65F7"/>
    <w:rsid w:val="005D09E2"/>
    <w:rsid w:val="005D1B2B"/>
    <w:rsid w:val="005D2E07"/>
    <w:rsid w:val="005E1D48"/>
    <w:rsid w:val="00605660"/>
    <w:rsid w:val="006236E0"/>
    <w:rsid w:val="00653F1F"/>
    <w:rsid w:val="00655FE1"/>
    <w:rsid w:val="00684810"/>
    <w:rsid w:val="006878E5"/>
    <w:rsid w:val="00694384"/>
    <w:rsid w:val="006A5AED"/>
    <w:rsid w:val="006C4D3B"/>
    <w:rsid w:val="006C6203"/>
    <w:rsid w:val="006F3D07"/>
    <w:rsid w:val="006F49B2"/>
    <w:rsid w:val="007179A8"/>
    <w:rsid w:val="00720640"/>
    <w:rsid w:val="00720D5C"/>
    <w:rsid w:val="00747EDE"/>
    <w:rsid w:val="00777D88"/>
    <w:rsid w:val="007A5A44"/>
    <w:rsid w:val="007B1F5A"/>
    <w:rsid w:val="007C6AD8"/>
    <w:rsid w:val="007E045D"/>
    <w:rsid w:val="007E79BA"/>
    <w:rsid w:val="007F231B"/>
    <w:rsid w:val="00800C77"/>
    <w:rsid w:val="00813036"/>
    <w:rsid w:val="0082714C"/>
    <w:rsid w:val="00827780"/>
    <w:rsid w:val="008339ED"/>
    <w:rsid w:val="008411EE"/>
    <w:rsid w:val="00847E04"/>
    <w:rsid w:val="00857C68"/>
    <w:rsid w:val="00862A71"/>
    <w:rsid w:val="00862D5F"/>
    <w:rsid w:val="008737E9"/>
    <w:rsid w:val="00875057"/>
    <w:rsid w:val="008A403D"/>
    <w:rsid w:val="008F2123"/>
    <w:rsid w:val="008F5A58"/>
    <w:rsid w:val="008F73EB"/>
    <w:rsid w:val="009168C7"/>
    <w:rsid w:val="00920EDE"/>
    <w:rsid w:val="00924B2B"/>
    <w:rsid w:val="00925BD5"/>
    <w:rsid w:val="00934147"/>
    <w:rsid w:val="009567A2"/>
    <w:rsid w:val="0096278E"/>
    <w:rsid w:val="00966490"/>
    <w:rsid w:val="00967534"/>
    <w:rsid w:val="00981124"/>
    <w:rsid w:val="00982DCA"/>
    <w:rsid w:val="0099117D"/>
    <w:rsid w:val="009B59CC"/>
    <w:rsid w:val="009C09A2"/>
    <w:rsid w:val="009C7D45"/>
    <w:rsid w:val="009F0D1E"/>
    <w:rsid w:val="009F7E7E"/>
    <w:rsid w:val="00A14EF6"/>
    <w:rsid w:val="00A36127"/>
    <w:rsid w:val="00A82923"/>
    <w:rsid w:val="00AA3592"/>
    <w:rsid w:val="00AA3870"/>
    <w:rsid w:val="00AB2D24"/>
    <w:rsid w:val="00AC01E1"/>
    <w:rsid w:val="00AC7CE6"/>
    <w:rsid w:val="00AD0CE1"/>
    <w:rsid w:val="00AE01F9"/>
    <w:rsid w:val="00AE17A0"/>
    <w:rsid w:val="00B1128C"/>
    <w:rsid w:val="00B14A39"/>
    <w:rsid w:val="00B2175E"/>
    <w:rsid w:val="00B24258"/>
    <w:rsid w:val="00B60D5E"/>
    <w:rsid w:val="00B77EF1"/>
    <w:rsid w:val="00B80E02"/>
    <w:rsid w:val="00B94DD9"/>
    <w:rsid w:val="00B957E1"/>
    <w:rsid w:val="00BB2441"/>
    <w:rsid w:val="00BC22F5"/>
    <w:rsid w:val="00BC5869"/>
    <w:rsid w:val="00BC72DA"/>
    <w:rsid w:val="00BD0D00"/>
    <w:rsid w:val="00BD5AFF"/>
    <w:rsid w:val="00BE0628"/>
    <w:rsid w:val="00BE4327"/>
    <w:rsid w:val="00BF2E0D"/>
    <w:rsid w:val="00C06BAE"/>
    <w:rsid w:val="00C52F4C"/>
    <w:rsid w:val="00C56EBB"/>
    <w:rsid w:val="00C63308"/>
    <w:rsid w:val="00C66B3D"/>
    <w:rsid w:val="00CA28E1"/>
    <w:rsid w:val="00CB6B75"/>
    <w:rsid w:val="00CB6E7B"/>
    <w:rsid w:val="00CC6934"/>
    <w:rsid w:val="00CE2F8A"/>
    <w:rsid w:val="00CE5163"/>
    <w:rsid w:val="00CE5487"/>
    <w:rsid w:val="00CE6BE3"/>
    <w:rsid w:val="00D23DE5"/>
    <w:rsid w:val="00D41CBC"/>
    <w:rsid w:val="00D42EBE"/>
    <w:rsid w:val="00D553C0"/>
    <w:rsid w:val="00D56164"/>
    <w:rsid w:val="00D56F25"/>
    <w:rsid w:val="00D7032A"/>
    <w:rsid w:val="00D76B00"/>
    <w:rsid w:val="00D80E0F"/>
    <w:rsid w:val="00D95A0A"/>
    <w:rsid w:val="00DA03CE"/>
    <w:rsid w:val="00DB10F4"/>
    <w:rsid w:val="00DB4C83"/>
    <w:rsid w:val="00DC1042"/>
    <w:rsid w:val="00DC42CB"/>
    <w:rsid w:val="00DD1FF9"/>
    <w:rsid w:val="00DD5308"/>
    <w:rsid w:val="00DE2F6D"/>
    <w:rsid w:val="00DE458F"/>
    <w:rsid w:val="00DF0F58"/>
    <w:rsid w:val="00DF798C"/>
    <w:rsid w:val="00E04DE3"/>
    <w:rsid w:val="00E27A19"/>
    <w:rsid w:val="00E31511"/>
    <w:rsid w:val="00E37908"/>
    <w:rsid w:val="00E44C76"/>
    <w:rsid w:val="00E53A66"/>
    <w:rsid w:val="00E872C7"/>
    <w:rsid w:val="00E90F6F"/>
    <w:rsid w:val="00EA1332"/>
    <w:rsid w:val="00EA63C3"/>
    <w:rsid w:val="00EA7314"/>
    <w:rsid w:val="00EC294E"/>
    <w:rsid w:val="00EC78BA"/>
    <w:rsid w:val="00EE3DF2"/>
    <w:rsid w:val="00F10028"/>
    <w:rsid w:val="00F2294C"/>
    <w:rsid w:val="00F22BF7"/>
    <w:rsid w:val="00F23C58"/>
    <w:rsid w:val="00F53789"/>
    <w:rsid w:val="00F74BF3"/>
    <w:rsid w:val="00F757BD"/>
    <w:rsid w:val="00FC097D"/>
    <w:rsid w:val="00FC3783"/>
    <w:rsid w:val="00FC4C71"/>
    <w:rsid w:val="00FD46F5"/>
    <w:rsid w:val="00FD6BA9"/>
    <w:rsid w:val="00FF58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qFormat/>
    <w:pPr>
      <w:keepNext/>
      <w:keepLines/>
      <w:spacing w:after="240"/>
      <w:ind w:left="567" w:hanging="567"/>
      <w:outlineLvl w:val="2"/>
    </w:pPr>
    <w:rPr>
      <w:b/>
      <w:bC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FootnoteText">
    <w:name w:val="footnote text"/>
    <w:basedOn w:val="Normal"/>
    <w:link w:val="FootnoteTextChar"/>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UnresolvedMention1">
    <w:name w:val="Unresolved Mention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 w:type="character" w:customStyle="1" w:styleId="MargeChar">
    <w:name w:val="Marge Char"/>
    <w:link w:val="Marge"/>
    <w:uiPriority w:val="99"/>
    <w:rsid w:val="00344693"/>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0E79DE"/>
    <w:rPr>
      <w:color w:val="605E5C"/>
      <w:shd w:val="clear" w:color="auto" w:fill="E1DFDD"/>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47625D"/>
    <w:pPr>
      <w:tabs>
        <w:tab w:val="clear" w:pos="567"/>
      </w:tabs>
      <w:snapToGrid/>
      <w:spacing w:before="120" w:after="160" w:line="240" w:lineRule="exact"/>
    </w:pPr>
    <w:rPr>
      <w:rFonts w:ascii="Times New Roman" w:hAnsi="Times New Roman"/>
      <w:snapToGrid/>
      <w:sz w:val="20"/>
      <w:szCs w:val="20"/>
      <w:vertAlign w:val="superscript"/>
      <w:lang w:eastAsia="fr-FR"/>
    </w:rPr>
  </w:style>
  <w:style w:type="character" w:customStyle="1" w:styleId="FootnoteTextChar">
    <w:name w:val="Footnote Text Char"/>
    <w:basedOn w:val="DefaultParagraphFont"/>
    <w:link w:val="FootnoteText"/>
    <w:semiHidden/>
    <w:rsid w:val="00094412"/>
    <w:rPr>
      <w:rFonts w:ascii="Arial" w:hAnsi="Arial"/>
      <w:snapToGrid w:val="0"/>
      <w:lang w:eastAsia="en-US"/>
    </w:rPr>
  </w:style>
  <w:style w:type="table" w:customStyle="1" w:styleId="Grilledutableau11">
    <w:name w:val="Grille du tableau11"/>
    <w:basedOn w:val="TableNormal"/>
    <w:next w:val="TableGrid"/>
    <w:uiPriority w:val="39"/>
    <w:rsid w:val="00356366"/>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3789"/>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yperlink" Target="https://oceanexpert.org/document/34201" TargetMode="External"/><Relationship Id="rId18" Type="http://schemas.openxmlformats.org/officeDocument/2006/relationships/hyperlink" Target="https://oceanexpert.org/document/358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ceanexpert.org/document/31196"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1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s://unesdoc.unesco.org/ark:/48223/pf0000378557.locale=f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nesdoc.unesco.org/ark:/48223/pf0000379054.locale=fr" TargetMode="External"/><Relationship Id="rId14" Type="http://schemas.openxmlformats.org/officeDocument/2006/relationships/hyperlink" Target="https://unesdoc.unesco.org/ark:/48223/pf0000390822_fre"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06FC-844B-8746-89EA-416AC9D5385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Template>
  <TotalTime>2</TotalTime>
  <Pages>11</Pages>
  <Words>3870</Words>
  <Characters>20749</Characters>
  <Application>Microsoft Office Word</Application>
  <DocSecurity>4</DocSecurity>
  <Lines>172</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Plan d’action en réponse à l’évaluation par ios du positionnement stratégique de la COI - Informations actualisées sur la mise en œuvre _x000d_
</vt:lpstr>
      <vt:lpstr/>
    </vt:vector>
  </TitlesOfParts>
  <Company>Unesco</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d’action en réponse à l’évaluation par ios du positionnement stratégique de la COI - Informations actualisées sur la mise en œuvre</dc:title>
  <dc:subject>IOC/A-33/5.3.Doc(2)</dc:subject>
  <dc:creator>Obradovic, Aleksandra</dc:creator>
  <cp:keywords/>
  <dc:description/>
  <cp:lastModifiedBy>Boned, Patrice</cp:lastModifiedBy>
  <cp:revision>2</cp:revision>
  <cp:lastPrinted>2022-05-04T08:19:00Z</cp:lastPrinted>
  <dcterms:created xsi:type="dcterms:W3CDTF">2025-04-03T18:05:00Z</dcterms:created>
  <dcterms:modified xsi:type="dcterms:W3CDTF">2025-04-03T18:05:00Z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202301715</vt:lpwstr>
  </property>
  <property fmtid="{D5CDD505-2E9C-101B-9397-08002B2CF9AE}" pid="3" name="Language">
    <vt:lpwstr>F</vt:lpwstr>
  </property>
  <property fmtid="{D5CDD505-2E9C-101B-9397-08002B2CF9AE}" pid="4" name="JobNumber">
    <vt:lpwstr>2500260F</vt:lpwstr>
  </property>
  <property fmtid="{D5CDD505-2E9C-101B-9397-08002B2CF9AE}" pid="5" name="ForceJobNumber">
    <vt:bool>true</vt:bool>
  </property>
</Properties>
</file>