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E26B3" w14:textId="77777777" w:rsidR="00DC7D73" w:rsidRPr="005C239B" w:rsidRDefault="00DC7D73">
      <w:pPr>
        <w:rPr>
          <w:rFonts w:ascii="Arial" w:hAnsi="Arial" w:cs="Arial"/>
          <w:lang w:val="en-US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5C239B" w:rsidRPr="005C239B" w14:paraId="14CF2520" w14:textId="77777777" w:rsidTr="001B377A">
        <w:tc>
          <w:tcPr>
            <w:tcW w:w="7796" w:type="dxa"/>
            <w:shd w:val="clear" w:color="auto" w:fill="auto"/>
          </w:tcPr>
          <w:p w14:paraId="5679AC2D" w14:textId="2E2DD4DE" w:rsidR="005C239B" w:rsidRPr="005C239B" w:rsidRDefault="00EB35C9" w:rsidP="004D3520">
            <w:pPr>
              <w:spacing w:before="120" w:after="120"/>
              <w:ind w:left="60" w:right="14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В н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>астоящ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ем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 xml:space="preserve"> документ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е содержится описание дискуссий,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 xml:space="preserve"> подготовлен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н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>о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е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 xml:space="preserve"> Секретариатом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в ходе сессии 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>и докладчиком</w:t>
            </w:r>
            <w:r w:rsidR="007F4A29" w:rsidRPr="004D3520">
              <w:rPr>
                <w:rFonts w:ascii="Arial" w:hAnsi="Arial"/>
                <w:color w:val="000000"/>
                <w:sz w:val="22"/>
                <w:szCs w:val="22"/>
              </w:rPr>
              <w:t>,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 xml:space="preserve"> и включено в проект краткого доклада. 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Содержащиеся в настоящем докладе 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>решени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я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 xml:space="preserve"> и резолюци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и были приняты на пленарной сессии</w:t>
            </w:r>
            <w:r w:rsidR="005C239B">
              <w:rPr>
                <w:rFonts w:ascii="Arial" w:hAnsi="Arial"/>
                <w:color w:val="000000"/>
                <w:sz w:val="22"/>
                <w:szCs w:val="22"/>
              </w:rPr>
              <w:t xml:space="preserve">. </w:t>
            </w:r>
          </w:p>
        </w:tc>
      </w:tr>
    </w:tbl>
    <w:p w14:paraId="69CFE9E1" w14:textId="77777777" w:rsidR="005C239B" w:rsidRPr="00A141A8" w:rsidRDefault="005C239B" w:rsidP="005C239B">
      <w:pPr>
        <w:rPr>
          <w:rFonts w:ascii="Arial" w:hAnsi="Arial" w:cs="Arial"/>
          <w:color w:val="000000"/>
          <w:sz w:val="22"/>
          <w:szCs w:val="22"/>
        </w:rPr>
      </w:pPr>
    </w:p>
    <w:p w14:paraId="684C51D9" w14:textId="77777777" w:rsidR="005C239B" w:rsidRPr="00A141A8" w:rsidRDefault="005C239B" w:rsidP="005C239B">
      <w:pPr>
        <w:rPr>
          <w:rFonts w:ascii="Arial" w:hAnsi="Arial" w:cs="Arial"/>
          <w:color w:val="000000"/>
          <w:sz w:val="22"/>
          <w:szCs w:val="22"/>
        </w:rPr>
      </w:pPr>
    </w:p>
    <w:p w14:paraId="52ECEE5D" w14:textId="77777777" w:rsidR="005C239B" w:rsidRPr="00A141A8" w:rsidRDefault="005C239B" w:rsidP="005C239B">
      <w:pPr>
        <w:rPr>
          <w:rFonts w:ascii="Arial" w:hAnsi="Arial" w:cs="Arial"/>
          <w:color w:val="000000"/>
          <w:sz w:val="22"/>
          <w:szCs w:val="22"/>
        </w:rPr>
      </w:pPr>
    </w:p>
    <w:p w14:paraId="66813B47" w14:textId="77777777" w:rsidR="005C239B" w:rsidRPr="00A141A8" w:rsidRDefault="005C239B" w:rsidP="005C239B">
      <w:pPr>
        <w:rPr>
          <w:rFonts w:ascii="Arial" w:hAnsi="Arial" w:cs="Arial"/>
          <w:color w:val="000000"/>
          <w:sz w:val="22"/>
          <w:szCs w:val="22"/>
        </w:rPr>
      </w:pPr>
    </w:p>
    <w:p w14:paraId="06CBF64D" w14:textId="77777777" w:rsidR="005C239B" w:rsidRPr="00A141A8" w:rsidRDefault="005C239B" w:rsidP="005C239B">
      <w:pPr>
        <w:jc w:val="center"/>
        <w:rPr>
          <w:rFonts w:ascii="Arial" w:hAnsi="Arial" w:cs="Arial"/>
          <w:b/>
          <w:color w:val="000000"/>
          <w:kern w:val="28"/>
          <w:sz w:val="22"/>
          <w:szCs w:val="22"/>
        </w:rPr>
        <w:sectPr w:rsidR="005C239B" w:rsidRPr="00A141A8" w:rsidSect="002914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134" w:bottom="1134" w:left="1134" w:header="680" w:footer="680" w:gutter="0"/>
          <w:pgNumType w:start="1"/>
          <w:cols w:space="708"/>
          <w:docGrid w:linePitch="360"/>
        </w:sectPr>
      </w:pPr>
    </w:p>
    <w:p w14:paraId="59B4A3D7" w14:textId="77777777" w:rsidR="005C239B" w:rsidRPr="005C239B" w:rsidRDefault="005C239B" w:rsidP="005C239B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lastRenderedPageBreak/>
        <w:t>СОДЕРЖАНИЕ</w:t>
      </w:r>
    </w:p>
    <w:p w14:paraId="01FE4DF8" w14:textId="535F34E3" w:rsidR="005C239B" w:rsidRPr="005C239B" w:rsidRDefault="00A141A8" w:rsidP="00A141A8">
      <w:pPr>
        <w:pStyle w:val="Marge"/>
        <w:tabs>
          <w:tab w:val="left" w:pos="3179"/>
          <w:tab w:val="right" w:pos="9000"/>
        </w:tabs>
        <w:spacing w:after="0"/>
        <w:jc w:val="left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ab/>
      </w:r>
      <w:r>
        <w:rPr>
          <w:rFonts w:ascii="Arial" w:hAnsi="Arial" w:cs="Arial"/>
          <w:color w:val="000000"/>
          <w:sz w:val="22"/>
          <w:szCs w:val="22"/>
          <w:lang w:val="en-GB"/>
        </w:rPr>
        <w:tab/>
      </w:r>
    </w:p>
    <w:p w14:paraId="1401D4ED" w14:textId="77777777" w:rsidR="005C239B" w:rsidRPr="005C239B" w:rsidRDefault="005C239B" w:rsidP="005C239B">
      <w:pPr>
        <w:pStyle w:val="Marge"/>
        <w:spacing w:after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Стр.</w:t>
      </w:r>
      <w:bookmarkStart w:id="2" w:name="_Toc38080237"/>
      <w:bookmarkStart w:id="3" w:name="_Toc100506249"/>
      <w:bookmarkStart w:id="4" w:name="_Toc135143448"/>
      <w:bookmarkStart w:id="5" w:name="_Toc135143700"/>
      <w:bookmarkStart w:id="6" w:name="_Toc162671327"/>
      <w:bookmarkStart w:id="7" w:name="_Toc164651221"/>
    </w:p>
    <w:p w14:paraId="2BA2E79A" w14:textId="06ACA1EA" w:rsidR="00B35349" w:rsidRDefault="005C239B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fr-FR" w:eastAsia="zh-CN"/>
          <w14:ligatures w14:val="standardContextual"/>
        </w:rPr>
      </w:pPr>
      <w:r w:rsidRPr="005C239B">
        <w:fldChar w:fldCharType="begin"/>
      </w:r>
      <w:r w:rsidRPr="005C239B">
        <w:instrText xml:space="preserve"> TOC \o "1-3" \h \z \u </w:instrText>
      </w:r>
      <w:r w:rsidRPr="005C239B">
        <w:fldChar w:fldCharType="separate"/>
      </w:r>
      <w:hyperlink w:anchor="_Toc177658019" w:history="1">
        <w:r w:rsidR="00B35349" w:rsidRPr="005B054E">
          <w:rPr>
            <w:rStyle w:val="Hyperlink"/>
          </w:rPr>
          <w:t>1.</w:t>
        </w:r>
        <w:r w:rsidR="00B35349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ОТКРЫТИЕ СЕССИИ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_Toc177658019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1</w:t>
        </w:r>
        <w:r w:rsidR="00B35349">
          <w:rPr>
            <w:webHidden/>
          </w:rPr>
          <w:fldChar w:fldCharType="end"/>
        </w:r>
      </w:hyperlink>
    </w:p>
    <w:p w14:paraId="239BBC51" w14:textId="6007BA17" w:rsidR="00B35349" w:rsidRDefault="0021145E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20" w:history="1">
        <w:r w:rsidR="00B35349" w:rsidRPr="005B054E">
          <w:rPr>
            <w:rStyle w:val="Hyperlink"/>
          </w:rPr>
          <w:t>2.</w:t>
        </w:r>
        <w:r w:rsidR="00B35349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ОРГАНИЗАЦИЯ РАБОТЫ СЕССИИ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_Toc177658020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1</w:t>
        </w:r>
        <w:r w:rsidR="00B35349">
          <w:rPr>
            <w:webHidden/>
          </w:rPr>
          <w:fldChar w:fldCharType="end"/>
        </w:r>
      </w:hyperlink>
    </w:p>
    <w:p w14:paraId="28942557" w14:textId="3EF52FF2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21" w:history="1">
        <w:r w:rsidR="00B35349" w:rsidRPr="005B054E">
          <w:rPr>
            <w:rStyle w:val="Hyperlink"/>
          </w:rPr>
          <w:t>2.1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УТВЕРЖДЕНИЕ ПОВЕСТКИ ДНЯ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_Toc177658021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1</w:t>
        </w:r>
        <w:r w:rsidR="00B35349">
          <w:rPr>
            <w:webHidden/>
          </w:rPr>
          <w:fldChar w:fldCharType="end"/>
        </w:r>
      </w:hyperlink>
    </w:p>
    <w:p w14:paraId="56693563" w14:textId="46B86DFD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22" w:history="1">
        <w:r w:rsidR="00B35349" w:rsidRPr="005B054E">
          <w:rPr>
            <w:rStyle w:val="Hyperlink"/>
          </w:rPr>
          <w:t>2.2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НАЗНАЧЕНИЕ ДОКЛАДЧИКА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_Toc177658022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1</w:t>
        </w:r>
        <w:r w:rsidR="00B35349">
          <w:rPr>
            <w:webHidden/>
          </w:rPr>
          <w:fldChar w:fldCharType="end"/>
        </w:r>
      </w:hyperlink>
    </w:p>
    <w:p w14:paraId="1D31F0B2" w14:textId="064EF4E2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23" w:history="1">
        <w:r w:rsidR="00B35349" w:rsidRPr="005B054E">
          <w:rPr>
            <w:rStyle w:val="Hyperlink"/>
          </w:rPr>
          <w:t>2.3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УЧРЕЖДЕНИЕ СЕССИОННЫХ КОМИТЕТОВ И РАБОЧИХ ГРУПП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_Toc177658023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1</w:t>
        </w:r>
        <w:r w:rsidR="00B35349">
          <w:rPr>
            <w:webHidden/>
          </w:rPr>
          <w:fldChar w:fldCharType="end"/>
        </w:r>
      </w:hyperlink>
    </w:p>
    <w:p w14:paraId="1FEB90AB" w14:textId="3186BFFA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24" w:history="1">
        <w:r w:rsidR="00B35349" w:rsidRPr="005B054E">
          <w:rPr>
            <w:rStyle w:val="Hyperlink"/>
            <w:kern w:val="28"/>
          </w:rPr>
          <w:t>2.4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ПРЕДСТАВЛЕНИЕ РАСПИСАНИЯ РАБОТЫ И ДОКУМЕНТОВ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_Toc177658024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2</w:t>
        </w:r>
        <w:r w:rsidR="00B35349">
          <w:rPr>
            <w:webHidden/>
          </w:rPr>
          <w:fldChar w:fldCharType="end"/>
        </w:r>
      </w:hyperlink>
    </w:p>
    <w:p w14:paraId="2B19A5D9" w14:textId="53418A62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25" w:history="1">
        <w:r w:rsidR="00B35349" w:rsidRPr="005B054E">
          <w:rPr>
            <w:rStyle w:val="Hyperlink"/>
          </w:rPr>
          <w:t>2.5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ЛЕКЦИЯ, ПОСВЯЩЕННАЯ ПАМЯТИ РОДЖЕРА РЕВЕЛЛА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_Toc177658025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3</w:t>
        </w:r>
        <w:r w:rsidR="00B35349">
          <w:rPr>
            <w:webHidden/>
          </w:rPr>
          <w:fldChar w:fldCharType="end"/>
        </w:r>
      </w:hyperlink>
    </w:p>
    <w:p w14:paraId="11FC3261" w14:textId="4532D889" w:rsidR="00B35349" w:rsidRDefault="0021145E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26" w:history="1">
        <w:r w:rsidR="00B35349" w:rsidRPr="005B054E">
          <w:rPr>
            <w:rStyle w:val="Hyperlink"/>
          </w:rPr>
          <w:t>3.</w:t>
        </w:r>
        <w:r w:rsidR="00B35349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ДОКЛАДЫ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_Toc177658026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4</w:t>
        </w:r>
        <w:r w:rsidR="00B35349">
          <w:rPr>
            <w:webHidden/>
          </w:rPr>
          <w:fldChar w:fldCharType="end"/>
        </w:r>
      </w:hyperlink>
    </w:p>
    <w:p w14:paraId="13255DBA" w14:textId="7394CA3E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27" w:history="1">
        <w:r w:rsidR="00B35349" w:rsidRPr="005B054E">
          <w:rPr>
            <w:rStyle w:val="Hyperlink"/>
          </w:rPr>
          <w:t>3.1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ДОКЛАД ИСПОЛНИТЕЛЬНОГО СЕКРЕТАРЯ О РАБОТЕ, ПРОДЕЛАННОЙ ПОСЛЕ 32</w:t>
        </w:r>
        <w:r w:rsidR="00B35349" w:rsidRPr="005B054E">
          <w:rPr>
            <w:rStyle w:val="Hyperlink"/>
          </w:rPr>
          <w:noBreakHyphen/>
          <w:t>й СЕССИИ АССАМБЛЕИ (июль 2023 г. – май 2024 г.)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_Toc177658027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4</w:t>
        </w:r>
        <w:r w:rsidR="00B35349">
          <w:rPr>
            <w:webHidden/>
          </w:rPr>
          <w:fldChar w:fldCharType="end"/>
        </w:r>
      </w:hyperlink>
    </w:p>
    <w:p w14:paraId="1B895BAD" w14:textId="0F26D96C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28" w:history="1">
        <w:r w:rsidR="00B35349" w:rsidRPr="005B054E">
          <w:rPr>
            <w:rStyle w:val="Hyperlink"/>
          </w:rPr>
          <w:t>3.2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ДОКЛАДЫ ВСПОМОГАТЕЛЬНЫХ ОРГАНОВ МОК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_Toc177658028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6</w:t>
        </w:r>
        <w:r w:rsidR="00B35349">
          <w:rPr>
            <w:webHidden/>
          </w:rPr>
          <w:fldChar w:fldCharType="end"/>
        </w:r>
      </w:hyperlink>
    </w:p>
    <w:p w14:paraId="7F8EAAAD" w14:textId="45B2D5BD" w:rsidR="00B35349" w:rsidRDefault="0021145E">
      <w:pPr>
        <w:pStyle w:val="TOC3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val="fr-FR" w:eastAsia="zh-CN"/>
          <w14:ligatures w14:val="standardContextual"/>
        </w:rPr>
      </w:pPr>
      <w:hyperlink w:anchor="_Toc177658029" w:history="1">
        <w:r w:rsidR="00B35349" w:rsidRPr="005B054E">
          <w:rPr>
            <w:rStyle w:val="Hyperlink"/>
          </w:rPr>
          <w:t>3.5.1</w:t>
        </w:r>
        <w:r w:rsidR="00B35349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 xml:space="preserve"> Системы предупреждения об опасных океанических явлениях и </w:t>
        </w:r>
        <w:r w:rsidR="00B35349">
          <w:rPr>
            <w:rStyle w:val="Hyperlink"/>
            <w:lang w:val="en-US"/>
          </w:rPr>
          <w:br/>
        </w:r>
        <w:r w:rsidR="00B35349" w:rsidRPr="005B054E">
          <w:rPr>
            <w:rStyle w:val="Hyperlink"/>
          </w:rPr>
          <w:t>смягчения их последствий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_Toc177658029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6</w:t>
        </w:r>
        <w:r w:rsidR="00B35349">
          <w:rPr>
            <w:webHidden/>
          </w:rPr>
          <w:fldChar w:fldCharType="end"/>
        </w:r>
      </w:hyperlink>
    </w:p>
    <w:p w14:paraId="1F369CD8" w14:textId="340ED5A4" w:rsidR="00B35349" w:rsidRDefault="0021145E">
      <w:pPr>
        <w:pStyle w:val="TOC3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val="fr-FR" w:eastAsia="zh-CN"/>
          <w14:ligatures w14:val="standardContextual"/>
        </w:rPr>
      </w:pPr>
      <w:hyperlink w:anchor="_Toc177658030" w:history="1">
        <w:r w:rsidR="00B35349" w:rsidRPr="005B054E">
          <w:rPr>
            <w:rStyle w:val="Hyperlink"/>
            <w:i/>
            <w:iCs/>
          </w:rPr>
          <w:t>3.2.1.1</w:t>
        </w:r>
        <w:r w:rsidR="00B35349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  <w:i/>
            <w:iCs/>
          </w:rPr>
          <w:t>Региональные службы раннего предупреждения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_Toc177658030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6</w:t>
        </w:r>
        <w:r w:rsidR="00B35349">
          <w:rPr>
            <w:webHidden/>
          </w:rPr>
          <w:fldChar w:fldCharType="end"/>
        </w:r>
      </w:hyperlink>
    </w:p>
    <w:p w14:paraId="0D2BD6D3" w14:textId="78BE83AE" w:rsidR="00B35349" w:rsidRDefault="0021145E">
      <w:pPr>
        <w:pStyle w:val="TOC3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val="fr-FR" w:eastAsia="zh-CN"/>
          <w14:ligatures w14:val="standardContextual"/>
        </w:rPr>
      </w:pPr>
      <w:hyperlink w:anchor="_Toc177658031" w:history="1">
        <w:r w:rsidR="00B35349" w:rsidRPr="005B054E">
          <w:rPr>
            <w:rStyle w:val="Hyperlink"/>
            <w:i/>
            <w:iCs/>
          </w:rPr>
          <w:t>3.2.1.2</w:t>
        </w:r>
        <w:r w:rsidR="00B35349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  <w:i/>
            <w:iCs/>
          </w:rPr>
          <w:t xml:space="preserve">Глобальная координация систем предупреждения об опасных </w:t>
        </w:r>
        <w:r w:rsidR="00B35349">
          <w:rPr>
            <w:rStyle w:val="Hyperlink"/>
            <w:i/>
            <w:iCs/>
            <w:lang w:val="en-US"/>
          </w:rPr>
          <w:br/>
        </w:r>
        <w:r w:rsidR="00B35349" w:rsidRPr="005B054E">
          <w:rPr>
            <w:rStyle w:val="Hyperlink"/>
            <w:i/>
            <w:iCs/>
          </w:rPr>
          <w:t>океанических явлениях и смягчения их последствий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_Toc177658031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7</w:t>
        </w:r>
        <w:r w:rsidR="00B35349">
          <w:rPr>
            <w:webHidden/>
          </w:rPr>
          <w:fldChar w:fldCharType="end"/>
        </w:r>
      </w:hyperlink>
    </w:p>
    <w:p w14:paraId="65DD13A6" w14:textId="0D829EE2" w:rsidR="00B35349" w:rsidRDefault="0021145E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32" w:history="1">
        <w:r w:rsidR="00B35349" w:rsidRPr="005B054E">
          <w:rPr>
            <w:rStyle w:val="Hyperlink"/>
          </w:rPr>
          <w:t>4.</w:t>
        </w:r>
        <w:r w:rsidR="00B35349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ВОПРОСЫ ПРОГРАММЫ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_Toc177658032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16</w:t>
        </w:r>
        <w:r w:rsidR="00B35349">
          <w:rPr>
            <w:webHidden/>
          </w:rPr>
          <w:fldChar w:fldCharType="end"/>
        </w:r>
      </w:hyperlink>
    </w:p>
    <w:p w14:paraId="6D47AD94" w14:textId="5054BF9C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33" w:history="1">
        <w:r w:rsidR="00B35349" w:rsidRPr="005B054E">
          <w:rPr>
            <w:rStyle w:val="Hyperlink"/>
          </w:rPr>
          <w:t>4.1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УПРАВЛЕНИЕ ГЛОБАЛЬНОЙ СИСТЕМОЙ НАБЛЮДЕНИЙ ЗА ОКЕАНОМ (ГСНО)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_Toc177658033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16</w:t>
        </w:r>
        <w:r w:rsidR="00B35349">
          <w:rPr>
            <w:webHidden/>
          </w:rPr>
          <w:fldChar w:fldCharType="end"/>
        </w:r>
      </w:hyperlink>
    </w:p>
    <w:p w14:paraId="71DB04A4" w14:textId="7E162960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34" w:history="1">
        <w:r w:rsidR="00B35349" w:rsidRPr="005B054E">
          <w:rPr>
            <w:rStyle w:val="Hyperlink"/>
          </w:rPr>
          <w:t>4.2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ДОКЛАД О ХОДЕ РАБОТЫ ПО НАБЛЮДЕНИЯМ ЗА ОКЕАНОМ В РАЙОНАХ, НАХОДЯЩИХСЯ ПОД НАЦИОНАЛЬНОЙ ЮРИСДИКЦИЕЙ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_Toc177658034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18</w:t>
        </w:r>
        <w:r w:rsidR="00B35349">
          <w:rPr>
            <w:webHidden/>
          </w:rPr>
          <w:fldChar w:fldCharType="end"/>
        </w:r>
      </w:hyperlink>
    </w:p>
    <w:p w14:paraId="7A4E0DC5" w14:textId="792064D6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35" w:history="1">
        <w:r w:rsidR="00B35349" w:rsidRPr="005B054E">
          <w:rPr>
            <w:rStyle w:val="Hyperlink"/>
          </w:rPr>
          <w:t>4.3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ПРОЕКТ СТРАТЕГИИ ПО УСТОЙЧИВОМУ ПЛАНИРОВАНИЮ И УПРАВЛЕНИЮ В СФЕРЕ ОКЕАНА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_Toc177658035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19</w:t>
        </w:r>
        <w:r w:rsidR="00B35349">
          <w:rPr>
            <w:webHidden/>
          </w:rPr>
          <w:fldChar w:fldCharType="end"/>
        </w:r>
      </w:hyperlink>
    </w:p>
    <w:p w14:paraId="1F734B0F" w14:textId="47F78DAA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36" w:history="1">
        <w:r w:rsidR="00B35349" w:rsidRPr="005B054E">
          <w:rPr>
            <w:rStyle w:val="Hyperlink"/>
          </w:rPr>
          <w:t>4.4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ОБЗОР МЕХАНИЗМОВ УПРАВЛЕНИЯ ГЕБКО (2023 г.) И ТРЕХЛЕТНИЙ ОБЗОР ПОТРЕБНОСТЕЙ ПОЛЬЗОВАТЕЛЕЙ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_Toc177658036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21</w:t>
        </w:r>
        <w:r w:rsidR="00B35349">
          <w:rPr>
            <w:webHidden/>
          </w:rPr>
          <w:fldChar w:fldCharType="end"/>
        </w:r>
      </w:hyperlink>
    </w:p>
    <w:p w14:paraId="2513481B" w14:textId="1E0CAFF3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37" w:history="1">
        <w:r w:rsidR="00B35349" w:rsidRPr="005B054E">
          <w:rPr>
            <w:rStyle w:val="Hyperlink"/>
          </w:rPr>
          <w:t>4.5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ОТЧЕТ РЕДАКЦИОННОГО СОВЕТА О ПОДГОТОВКЕ ВТОРОГО ДОКЛАДА МОК О СОСТОЯНИИ МИРОВОГО ОКЕАНА (ДСМО)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_Toc177658037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24</w:t>
        </w:r>
        <w:r w:rsidR="00B35349">
          <w:rPr>
            <w:webHidden/>
          </w:rPr>
          <w:fldChar w:fldCharType="end"/>
        </w:r>
      </w:hyperlink>
    </w:p>
    <w:p w14:paraId="6FC1FC7D" w14:textId="4D8021E3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38" w:history="1">
        <w:r w:rsidR="00B35349" w:rsidRPr="005B054E">
          <w:rPr>
            <w:rStyle w:val="Hyperlink"/>
          </w:rPr>
          <w:t>4.6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ОСУЩЕСТВЛЕНИЕ СТРАТЕГИИ МОК В ОБЛАСТИ РАЗВИТИЯ ПОТЕНЦИАЛА НА 2023-2030 гг.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_Toc177658038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26</w:t>
        </w:r>
        <w:r w:rsidR="00B35349">
          <w:rPr>
            <w:webHidden/>
          </w:rPr>
          <w:fldChar w:fldCharType="end"/>
        </w:r>
      </w:hyperlink>
    </w:p>
    <w:p w14:paraId="00002899" w14:textId="01A54A07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39" w:history="1">
        <w:r w:rsidR="00B35349" w:rsidRPr="005B054E">
          <w:rPr>
            <w:rStyle w:val="Hyperlink"/>
          </w:rPr>
          <w:t>4.7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ДОКЛАД О ПРОВЕДЕНИИ ДЕСЯТИЛЕТИЯ ОРГАНИЗАЦИИ ОБЪЕДИНЕННЫХ НАЦИЙ, ПОСВЯЩЕННОГО НАУКЕ ОБ ОКЕАНЕ В ИНТЕРЕСАХ УСТОЙЧИВОГО РАЗВИТИЯ (2021-2030 гг.)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_Toc177658039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29</w:t>
        </w:r>
        <w:r w:rsidR="00B35349">
          <w:rPr>
            <w:webHidden/>
          </w:rPr>
          <w:fldChar w:fldCharType="end"/>
        </w:r>
      </w:hyperlink>
    </w:p>
    <w:p w14:paraId="21221953" w14:textId="03095F14" w:rsidR="00B35349" w:rsidRDefault="0021145E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40" w:history="1">
        <w:r w:rsidR="00B35349" w:rsidRPr="005B054E">
          <w:rPr>
            <w:rStyle w:val="Hyperlink"/>
          </w:rPr>
          <w:t>5.</w:t>
        </w:r>
        <w:r w:rsidR="00B35349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УПРАВЛЕНИЕ И ПОДГОТОВКА ПРОГРАММЫ И БЮДЖЕТА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_Toc177658040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35</w:t>
        </w:r>
        <w:r w:rsidR="00B35349">
          <w:rPr>
            <w:webHidden/>
          </w:rPr>
          <w:fldChar w:fldCharType="end"/>
        </w:r>
      </w:hyperlink>
    </w:p>
    <w:p w14:paraId="34325148" w14:textId="72A22D60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41" w:history="1">
        <w:r w:rsidR="00B35349" w:rsidRPr="005B054E">
          <w:rPr>
            <w:rStyle w:val="Hyperlink"/>
          </w:rPr>
          <w:t>5.1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ПЕРЕСМОТРЕННЫЕ ПРОГРАММА И БЮДЖЕТ НА 2024-2025 гг. (42 С/5) И ПРЕДВАРИТЕЛЬНЫЕ ПРЕДЛОЖЕНИЯ НА 2026-2027 гг. (ПРОЕКТ 43 С/5)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_Toc177658041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35</w:t>
        </w:r>
        <w:r w:rsidR="00B35349">
          <w:rPr>
            <w:webHidden/>
          </w:rPr>
          <w:fldChar w:fldCharType="end"/>
        </w:r>
      </w:hyperlink>
    </w:p>
    <w:p w14:paraId="09650D67" w14:textId="00E7D46A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42" w:history="1">
        <w:r w:rsidR="00B35349" w:rsidRPr="005B054E">
          <w:rPr>
            <w:rStyle w:val="Hyperlink"/>
          </w:rPr>
          <w:t>5.2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 xml:space="preserve">ПЛАН ДЕЙСТВИЙ В СВЯЗИ С ПРОВЕДЕННОЙ IOS ОЦЕНКОЙ </w:t>
        </w:r>
        <w:r w:rsidR="00B35349">
          <w:rPr>
            <w:rStyle w:val="Hyperlink"/>
            <w:lang w:val="en-US"/>
          </w:rPr>
          <w:br/>
        </w:r>
        <w:r w:rsidR="00B35349" w:rsidRPr="005B054E">
          <w:rPr>
            <w:rStyle w:val="Hyperlink"/>
          </w:rPr>
          <w:t>СТРАТЕГИЧЕСКОГО ПОЗИЦИОНИРОВАНИЯ МОК – ОБНОВЛЕННАЯ ИНФОРМАЦИЯ ОБ ОСУЩЕСТВЛЕНИИ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_Toc177658042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38</w:t>
        </w:r>
        <w:r w:rsidR="00B35349">
          <w:rPr>
            <w:webHidden/>
          </w:rPr>
          <w:fldChar w:fldCharType="end"/>
        </w:r>
      </w:hyperlink>
    </w:p>
    <w:p w14:paraId="04BFDE85" w14:textId="3FCEAA1D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43" w:history="1">
        <w:r w:rsidR="00B35349" w:rsidRPr="005B054E">
          <w:rPr>
            <w:rStyle w:val="Hyperlink"/>
          </w:rPr>
          <w:t>5.3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 xml:space="preserve">ВЫПОЛНЕНИЕ РЕЗОЛЮЦИИ A-32/4 ПО ВОПРОСАМ УПРАВЛЕНИЯ И </w:t>
        </w:r>
        <w:r w:rsidR="00B35349">
          <w:rPr>
            <w:rStyle w:val="Hyperlink"/>
            <w:lang w:val="en-US"/>
          </w:rPr>
          <w:br/>
        </w:r>
        <w:r w:rsidR="00B35349" w:rsidRPr="005B054E">
          <w:rPr>
            <w:rStyle w:val="Hyperlink"/>
          </w:rPr>
          <w:t>ПОДГОТОВКИ ПРОГРАММЫ И БЮДЖЕТА КОМИССИИ – Проект руководящих принципов подготовки и участия государств-членов в проводимых раз в два года выборах должностныХ лиц Комиссии и государств-членов Исполнительного совета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_Toc177658043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39</w:t>
        </w:r>
        <w:r w:rsidR="00B35349">
          <w:rPr>
            <w:webHidden/>
          </w:rPr>
          <w:fldChar w:fldCharType="end"/>
        </w:r>
      </w:hyperlink>
    </w:p>
    <w:p w14:paraId="4FC84D56" w14:textId="18E683A4" w:rsidR="00B35349" w:rsidRDefault="0021145E">
      <w:pPr>
        <w:pStyle w:val="TOC2"/>
        <w:rPr>
          <w:rFonts w:asciiTheme="minorHAnsi" w:eastAsiaTheme="minorEastAsia" w:hAnsiTheme="minorHAnsi" w:cstheme="minorBidi"/>
          <w:bCs w:val="0"/>
          <w:iCs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44" w:history="1">
        <w:r w:rsidR="00B35349" w:rsidRPr="005B054E">
          <w:rPr>
            <w:rStyle w:val="Hyperlink"/>
          </w:rPr>
          <w:t>5.4</w:t>
        </w:r>
        <w:r w:rsidR="00B35349">
          <w:rPr>
            <w:rFonts w:asciiTheme="minorHAnsi" w:eastAsiaTheme="minorEastAsia" w:hAnsiTheme="minorHAnsi" w:cstheme="minorBidi"/>
            <w:bCs w:val="0"/>
            <w:iCs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ДОКЛАД ПРЕДСЕДАТЕЛЯ КОМИТЕТА ПО ФИНАНСОВЫМ ВОПРОСАМ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_Toc177658044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39</w:t>
        </w:r>
        <w:r w:rsidR="00B35349">
          <w:rPr>
            <w:webHidden/>
          </w:rPr>
          <w:fldChar w:fldCharType="end"/>
        </w:r>
      </w:hyperlink>
    </w:p>
    <w:p w14:paraId="524BBED9" w14:textId="7A501FD0" w:rsidR="00B35349" w:rsidRDefault="0021145E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45" w:history="1">
        <w:r w:rsidR="00B35349" w:rsidRPr="005B054E">
          <w:rPr>
            <w:rStyle w:val="Hyperlink"/>
          </w:rPr>
          <w:t>6.</w:t>
        </w:r>
        <w:r w:rsidR="00B35349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ПОДГОТОВКА СЛЕДУЮЩИХ СЕССИЙ АССАМБЛЕИ И ИСПОЛНИТЕЛЬНОГО СОВЕТА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_Toc177658045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44</w:t>
        </w:r>
        <w:r w:rsidR="00B35349">
          <w:rPr>
            <w:webHidden/>
          </w:rPr>
          <w:fldChar w:fldCharType="end"/>
        </w:r>
      </w:hyperlink>
    </w:p>
    <w:p w14:paraId="3EE5662C" w14:textId="7660F6C5" w:rsidR="00B35349" w:rsidRDefault="0021145E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46" w:history="1">
        <w:r w:rsidR="00B35349" w:rsidRPr="005B054E">
          <w:rPr>
            <w:rStyle w:val="Hyperlink"/>
          </w:rPr>
          <w:t>7.</w:t>
        </w:r>
        <w:r w:rsidR="00B35349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 xml:space="preserve">ПРИНЯТИЕ РЕЗОЛЮЦИЙ И ПОРЯДОК ЗАВЕРШЕНИЯ РАБОТЫ </w:t>
        </w:r>
        <w:r w:rsidR="00B35349">
          <w:rPr>
            <w:rStyle w:val="Hyperlink"/>
            <w:lang w:val="en-US"/>
          </w:rPr>
          <w:br/>
        </w:r>
        <w:r w:rsidR="00B35349" w:rsidRPr="005B054E">
          <w:rPr>
            <w:rStyle w:val="Hyperlink"/>
          </w:rPr>
          <w:t>НАД ДОКЛАДОМ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_Toc177658046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45</w:t>
        </w:r>
        <w:r w:rsidR="00B35349">
          <w:rPr>
            <w:webHidden/>
          </w:rPr>
          <w:fldChar w:fldCharType="end"/>
        </w:r>
      </w:hyperlink>
    </w:p>
    <w:p w14:paraId="018D6993" w14:textId="0CDAEC95" w:rsidR="00B35349" w:rsidRDefault="0021145E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val="fr-FR" w:eastAsia="zh-CN"/>
          <w14:ligatures w14:val="standardContextual"/>
        </w:rPr>
      </w:pPr>
      <w:hyperlink w:anchor="_Toc177658047" w:history="1">
        <w:r w:rsidR="00B35349" w:rsidRPr="005B054E">
          <w:rPr>
            <w:rStyle w:val="Hyperlink"/>
          </w:rPr>
          <w:t>8.</w:t>
        </w:r>
        <w:r w:rsidR="00B35349">
          <w:rPr>
            <w:rFonts w:asciiTheme="minorHAnsi" w:eastAsiaTheme="minorEastAsia" w:hAnsiTheme="minorHAnsi" w:cstheme="minorBidi"/>
            <w:b w:val="0"/>
            <w:kern w:val="2"/>
            <w:sz w:val="24"/>
            <w:szCs w:val="24"/>
            <w:lang w:val="fr-FR" w:eastAsia="zh-CN"/>
            <w14:ligatures w14:val="standardContextual"/>
          </w:rPr>
          <w:tab/>
        </w:r>
        <w:r w:rsidR="00B35349" w:rsidRPr="005B054E">
          <w:rPr>
            <w:rStyle w:val="Hyperlink"/>
          </w:rPr>
          <w:t>ЗАКРЫТИЕ СЕССИИ</w:t>
        </w:r>
        <w:r w:rsidR="00B35349">
          <w:rPr>
            <w:webHidden/>
          </w:rPr>
          <w:tab/>
        </w:r>
        <w:r w:rsidR="00B35349">
          <w:rPr>
            <w:webHidden/>
          </w:rPr>
          <w:fldChar w:fldCharType="begin"/>
        </w:r>
        <w:r w:rsidR="00B35349">
          <w:rPr>
            <w:webHidden/>
          </w:rPr>
          <w:instrText xml:space="preserve"> PAGEREF _Toc177658047 \h </w:instrText>
        </w:r>
        <w:r w:rsidR="00B35349">
          <w:rPr>
            <w:webHidden/>
          </w:rPr>
        </w:r>
        <w:r w:rsidR="00B35349">
          <w:rPr>
            <w:webHidden/>
          </w:rPr>
          <w:fldChar w:fldCharType="separate"/>
        </w:r>
        <w:r w:rsidR="00B35349">
          <w:rPr>
            <w:webHidden/>
          </w:rPr>
          <w:t>46</w:t>
        </w:r>
        <w:r w:rsidR="00B35349">
          <w:rPr>
            <w:webHidden/>
          </w:rPr>
          <w:fldChar w:fldCharType="end"/>
        </w:r>
      </w:hyperlink>
    </w:p>
    <w:p w14:paraId="077FCC91" w14:textId="2917D9BC" w:rsidR="005C239B" w:rsidRPr="005C239B" w:rsidRDefault="005C239B" w:rsidP="005C239B">
      <w:pPr>
        <w:rPr>
          <w:rFonts w:ascii="Arial" w:hAnsi="Arial" w:cs="Arial"/>
          <w:sz w:val="22"/>
          <w:szCs w:val="22"/>
        </w:rPr>
      </w:pPr>
      <w:r w:rsidRPr="005C239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4CD77CBD" w14:textId="77777777" w:rsidR="005C239B" w:rsidRPr="005C239B" w:rsidRDefault="005C239B" w:rsidP="005C239B">
      <w:pPr>
        <w:rPr>
          <w:rFonts w:ascii="Arial" w:hAnsi="Arial" w:cs="Arial"/>
          <w:sz w:val="22"/>
          <w:szCs w:val="22"/>
          <w:lang w:val="en-GB"/>
        </w:rPr>
      </w:pPr>
    </w:p>
    <w:p w14:paraId="01D942FE" w14:textId="77777777" w:rsidR="005C239B" w:rsidRPr="005C239B" w:rsidRDefault="005C239B" w:rsidP="005C239B">
      <w:pPr>
        <w:tabs>
          <w:tab w:val="right" w:leader="dot" w:pos="9351"/>
        </w:tabs>
        <w:spacing w:after="240"/>
        <w:rPr>
          <w:rFonts w:ascii="Arial" w:hAnsi="Arial" w:cs="Arial"/>
          <w:sz w:val="22"/>
          <w:szCs w:val="22"/>
          <w:lang w:val="en-GB"/>
        </w:rPr>
      </w:pPr>
    </w:p>
    <w:p w14:paraId="06EBC612" w14:textId="77777777" w:rsidR="005C239B" w:rsidRPr="005C239B" w:rsidRDefault="005C239B" w:rsidP="005C239B">
      <w:pPr>
        <w:pStyle w:val="Heading2"/>
        <w:spacing w:before="120"/>
        <w:ind w:left="720" w:hanging="720"/>
        <w:rPr>
          <w:rFonts w:cs="Arial"/>
          <w:color w:val="000000"/>
          <w:szCs w:val="22"/>
        </w:rPr>
        <w:sectPr w:rsidR="005C239B" w:rsidRPr="005C239B" w:rsidSect="00B129D7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40" w:code="9"/>
          <w:pgMar w:top="1418" w:right="1134" w:bottom="1389" w:left="1134" w:header="851" w:footer="737" w:gutter="0"/>
          <w:pgNumType w:fmt="lowerRoman" w:start="1"/>
          <w:cols w:space="708"/>
          <w:titlePg/>
          <w:docGrid w:linePitch="360"/>
        </w:sectPr>
      </w:pPr>
      <w:bookmarkStart w:id="8" w:name="_Toc196145691"/>
      <w:bookmarkStart w:id="9" w:name="_Toc199912183"/>
      <w:bookmarkStart w:id="10" w:name="_Toc225590790"/>
      <w:bookmarkStart w:id="11" w:name="_Toc225660251"/>
      <w:bookmarkStart w:id="12" w:name="_Toc227580615"/>
      <w:bookmarkStart w:id="13" w:name="_Toc289696419"/>
      <w:bookmarkStart w:id="14" w:name="_Toc357517544"/>
      <w:bookmarkStart w:id="15" w:name="_Toc358657257"/>
    </w:p>
    <w:p w14:paraId="1E1A5212" w14:textId="77777777" w:rsidR="005C239B" w:rsidRPr="005C239B" w:rsidRDefault="005C239B" w:rsidP="004D3520">
      <w:pPr>
        <w:pStyle w:val="Heading1"/>
        <w:numPr>
          <w:ilvl w:val="0"/>
          <w:numId w:val="9"/>
        </w:numPr>
        <w:tabs>
          <w:tab w:val="left" w:pos="709"/>
        </w:tabs>
        <w:ind w:left="709" w:hanging="720"/>
        <w:rPr>
          <w:rFonts w:cs="Arial"/>
          <w:szCs w:val="22"/>
        </w:rPr>
      </w:pPr>
      <w:bookmarkStart w:id="16" w:name="_Toc415051548"/>
      <w:bookmarkStart w:id="17" w:name="_Toc445908043"/>
      <w:bookmarkStart w:id="18" w:name="_Toc57369044"/>
      <w:bookmarkStart w:id="19" w:name="_Toc85469052"/>
      <w:bookmarkStart w:id="20" w:name="_Toc92752482"/>
      <w:bookmarkStart w:id="21" w:name="_Toc177658019"/>
      <w:r>
        <w:lastRenderedPageBreak/>
        <w:t>ОТКРЫТИЕ СЕССИИ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2CB497A" w14:textId="77777777" w:rsidR="005C239B" w:rsidRPr="00DA5AE7" w:rsidRDefault="005C239B" w:rsidP="00CF7F0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Председатель МОК д-р Ютака Мичида открыл 57-ю сессию Исполнительного совета МОК в 10.00 в зале XI Штаб-квартиры ЮНЕСКО. Перед приветственным обращением и отчетом о своей работе и работе, проделанной другими членами Президиума в период после 32-й сессии Ассамблеи, Председатель МОК от имени государств-членов обратился с кратким приветственным словом к д-ру Видару Хельгесену, новому Исполнительному секретарю МОК, вступившему в эту должность 1 марта текущего года.</w:t>
      </w:r>
    </w:p>
    <w:p w14:paraId="248EFB2F" w14:textId="188DD1B2" w:rsidR="00DA5AE7" w:rsidRPr="005C239B" w:rsidRDefault="00DA5AE7" w:rsidP="00CF7F0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Председатель МОК представил краткий обзор работы, проведенной за последние несколько лет, на протяжении которых Комиссия пережила серьезный бюджетный кризис и пандемию </w:t>
      </w:r>
      <w:r>
        <w:rPr>
          <w:lang w:val="en-US"/>
        </w:rPr>
        <w:t>COVID</w:t>
      </w:r>
      <w:r w:rsidRPr="00096DD5">
        <w:t xml:space="preserve">-19 </w:t>
      </w:r>
      <w:r>
        <w:t>и в то же время приступила к работе в рамках Десятилетия океана Организации Объединенных Наций и значительно пополнила свой бюджет в результате возвращения в сообщество ЮНЕСКО Соединенных Штатов Америки. Председатель Комиссии д-р Мичида выразил свою уверенность в том, что МОК способна вырабатывать конкретные меры в связи с поднимаемыми в мировой повестке дня проблемами, касающимися Мирового океана (см.</w:t>
      </w:r>
      <w:r w:rsidR="00636274">
        <w:t> </w:t>
      </w:r>
      <w:r>
        <w:t>полный текст выступления в приложении).</w:t>
      </w:r>
    </w:p>
    <w:p w14:paraId="7BCED32D" w14:textId="434F74BE" w:rsidR="005C239B" w:rsidRPr="00CC39D2" w:rsidRDefault="005C239B" w:rsidP="00CF7F0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Д-р Мичида предложил Исполнительному совету воздать должное памяти выдающихся личностей, участвовавших ранее в работе Комиссии и недавно ушедших из жизни. Участвующие почтили минутой молчания память Раймонда Мохаммеда (Фиджи, 1978-</w:t>
      </w:r>
      <w:r w:rsidRPr="005C4EF1">
        <w:t>20</w:t>
      </w:r>
      <w:r w:rsidR="005C4EF1" w:rsidRPr="005C4EF1">
        <w:t>2</w:t>
      </w:r>
      <w:r w:rsidRPr="005C4EF1">
        <w:t>3</w:t>
      </w:r>
      <w:r w:rsidR="00DF63D2">
        <w:t xml:space="preserve"> гг.</w:t>
      </w:r>
      <w:r>
        <w:t>)</w:t>
      </w:r>
      <w:r w:rsidR="00DA5AE7">
        <w:t xml:space="preserve"> и Рона Уилсона (Джона Рональда</w:t>
      </w:r>
      <w:r w:rsidR="00DF63D2">
        <w:t>, Канада, 1939-2024 гг.)</w:t>
      </w:r>
      <w:r>
        <w:t xml:space="preserve">. </w:t>
      </w:r>
    </w:p>
    <w:p w14:paraId="2E3AD492" w14:textId="6C2045B3" w:rsidR="00CC39D2" w:rsidRPr="005C239B" w:rsidRDefault="00CC39D2" w:rsidP="00CF7F0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Члены Исполнительного совета тепло приветствовали нового Председателя Комиссии и нового Исполнительного секретаря и пожелали им успехов на их руководящих постах.</w:t>
      </w:r>
    </w:p>
    <w:p w14:paraId="488865B3" w14:textId="6FF9062B" w:rsidR="005C239B" w:rsidRPr="005C239B" w:rsidRDefault="005C239B" w:rsidP="00CF7F0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Выступили представители </w:t>
      </w:r>
      <w:r w:rsidR="00CC39D2">
        <w:t>восьми</w:t>
      </w:r>
      <w:r>
        <w:t xml:space="preserve"> государств-членов. 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</w:t>
      </w:r>
      <w:r w:rsidR="00CC39D2">
        <w:t xml:space="preserve"> и страна-наблюдатель</w:t>
      </w:r>
      <w:r>
        <w:t xml:space="preserve">: </w:t>
      </w:r>
      <w:r w:rsidR="00CC39D2">
        <w:t>Бразилия, США, Южная Африка и Япония, а также Маврикий в качестве наблюдателя</w:t>
      </w:r>
      <w:r>
        <w:t>.</w:t>
      </w:r>
    </w:p>
    <w:p w14:paraId="33B263B6" w14:textId="77777777" w:rsidR="005C239B" w:rsidRPr="005C239B" w:rsidRDefault="005C239B" w:rsidP="004D3520">
      <w:pPr>
        <w:pStyle w:val="Heading1"/>
        <w:numPr>
          <w:ilvl w:val="0"/>
          <w:numId w:val="9"/>
        </w:numPr>
        <w:tabs>
          <w:tab w:val="left" w:pos="709"/>
        </w:tabs>
        <w:ind w:left="709" w:hanging="720"/>
        <w:rPr>
          <w:rFonts w:cs="Arial"/>
          <w:szCs w:val="22"/>
        </w:rPr>
      </w:pPr>
      <w:bookmarkStart w:id="22" w:name="_Toc38080238"/>
      <w:bookmarkStart w:id="23" w:name="_Toc100506250"/>
      <w:bookmarkStart w:id="24" w:name="_Toc135143449"/>
      <w:bookmarkStart w:id="25" w:name="_Toc135143701"/>
      <w:bookmarkStart w:id="26" w:name="_Toc162671328"/>
      <w:bookmarkStart w:id="27" w:name="_Toc164651222"/>
      <w:bookmarkStart w:id="28" w:name="_Toc196145692"/>
      <w:bookmarkStart w:id="29" w:name="_Toc199912184"/>
      <w:bookmarkStart w:id="30" w:name="_Toc225590791"/>
      <w:bookmarkStart w:id="31" w:name="_Toc225660252"/>
      <w:bookmarkStart w:id="32" w:name="_Toc227580616"/>
      <w:bookmarkStart w:id="33" w:name="_Toc289696420"/>
      <w:bookmarkStart w:id="34" w:name="_Toc357517545"/>
      <w:bookmarkStart w:id="35" w:name="_Toc358657258"/>
      <w:bookmarkStart w:id="36" w:name="_Toc415051549"/>
      <w:bookmarkStart w:id="37" w:name="_Toc445908044"/>
      <w:bookmarkStart w:id="38" w:name="_Toc57369045"/>
      <w:bookmarkStart w:id="39" w:name="_Toc85469053"/>
      <w:bookmarkStart w:id="40" w:name="_Toc92752483"/>
      <w:bookmarkStart w:id="41" w:name="_Toc177658020"/>
      <w:r>
        <w:t>ОРГАНИЗАЦИЯ РАБОТЫ СЕССИИ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5DA8153B" w14:textId="16162F9F" w:rsidR="005C239B" w:rsidRPr="005C239B" w:rsidRDefault="005C239B" w:rsidP="00CF7F0C">
      <w:pPr>
        <w:pStyle w:val="Heading2"/>
        <w:numPr>
          <w:ilvl w:val="1"/>
          <w:numId w:val="12"/>
        </w:numPr>
        <w:tabs>
          <w:tab w:val="left" w:pos="709"/>
        </w:tabs>
        <w:ind w:left="709" w:hanging="709"/>
        <w:rPr>
          <w:rFonts w:cs="Arial"/>
          <w:b/>
          <w:caps w:val="0"/>
          <w:szCs w:val="22"/>
        </w:rPr>
      </w:pPr>
      <w:bookmarkStart w:id="42" w:name="_Toc38080239"/>
      <w:bookmarkStart w:id="43" w:name="_Toc289696421"/>
      <w:bookmarkStart w:id="44" w:name="_Toc357517546"/>
      <w:bookmarkStart w:id="45" w:name="_Toc358657259"/>
      <w:bookmarkStart w:id="46" w:name="_Toc415051550"/>
      <w:bookmarkStart w:id="47" w:name="_Toc445908045"/>
      <w:bookmarkStart w:id="48" w:name="_Toc57369046"/>
      <w:bookmarkStart w:id="49" w:name="_Toc85469054"/>
      <w:bookmarkStart w:id="50" w:name="_Toc92752484"/>
      <w:bookmarkStart w:id="51" w:name="_Toc177658021"/>
      <w:bookmarkEnd w:id="42"/>
      <w:r>
        <w:t>УТВЕРЖДЕНИЕ ПОВЕСТКИ ДНЯ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A0228D2" w14:textId="77777777" w:rsidR="005C239B" w:rsidRPr="00CC39D2" w:rsidRDefault="005C239B" w:rsidP="00CF7F0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представил Председатель МОК. </w:t>
      </w:r>
    </w:p>
    <w:p w14:paraId="68928B28" w14:textId="22AC3D4B" w:rsidR="00CC39D2" w:rsidRPr="005C239B" w:rsidRDefault="00CC39D2" w:rsidP="00CF7F0C">
      <w:pPr>
        <w:pStyle w:val="Style2"/>
        <w:numPr>
          <w:ilvl w:val="0"/>
          <w:numId w:val="8"/>
        </w:numPr>
        <w:tabs>
          <w:tab w:val="left" w:pos="709"/>
        </w:tabs>
        <w:ind w:left="0" w:hanging="709"/>
        <w:rPr>
          <w:rFonts w:cs="Arial"/>
        </w:rPr>
      </w:pPr>
      <w:r>
        <w:t>Изменения в предварительную повестку дня не вносились, была предложена только одна небольшая поправка к предварительному расписанию работы сессии, которая касалась расписания работы комитета по резолюциям.</w:t>
      </w:r>
    </w:p>
    <w:p w14:paraId="16EF94DC" w14:textId="16D76B06" w:rsidR="00CC39D2" w:rsidRDefault="00637C51" w:rsidP="00CF7F0C">
      <w:pPr>
        <w:pStyle w:val="Heading2"/>
        <w:numPr>
          <w:ilvl w:val="1"/>
          <w:numId w:val="12"/>
        </w:numPr>
        <w:tabs>
          <w:tab w:val="clear" w:pos="737"/>
          <w:tab w:val="left" w:pos="709"/>
        </w:tabs>
        <w:ind w:left="709" w:hanging="709"/>
      </w:pPr>
      <w:bookmarkStart w:id="52" w:name="_Toc100506252"/>
      <w:bookmarkStart w:id="53" w:name="_Toc177658022"/>
      <w:bookmarkEnd w:id="52"/>
      <w:r>
        <w:t>НАЗНАЧЕНИЕ ДОКЛАДЧИКА</w:t>
      </w:r>
      <w:bookmarkEnd w:id="53"/>
    </w:p>
    <w:p w14:paraId="13CCACC1" w14:textId="440B5AC2" w:rsidR="00CC39D2" w:rsidRPr="00353800" w:rsidRDefault="00CC39D2" w:rsidP="004D3520">
      <w:pPr>
        <w:pStyle w:val="Style2"/>
        <w:numPr>
          <w:ilvl w:val="0"/>
          <w:numId w:val="42"/>
        </w:numPr>
        <w:ind w:left="0" w:hanging="709"/>
        <w:rPr>
          <w:rFonts w:cs="Arial"/>
        </w:rPr>
      </w:pPr>
      <w:r>
        <w:t xml:space="preserve">Выступили представители </w:t>
      </w:r>
      <w:r w:rsidR="00353800">
        <w:t>девяти</w:t>
      </w:r>
      <w:r>
        <w:t xml:space="preserve"> государств-членов. </w:t>
      </w:r>
    </w:p>
    <w:p w14:paraId="5DBCFCF8" w14:textId="61FB0D24" w:rsidR="00353800" w:rsidRPr="005C239B" w:rsidRDefault="00353800" w:rsidP="004D3520">
      <w:pPr>
        <w:pStyle w:val="Style2"/>
        <w:numPr>
          <w:ilvl w:val="0"/>
          <w:numId w:val="42"/>
        </w:numPr>
        <w:ind w:left="0" w:hanging="709"/>
        <w:rPr>
          <w:rFonts w:cs="Arial"/>
        </w:rPr>
      </w:pPr>
      <w:r>
        <w:t>По предложению Колумбии, поддержанному Аргентиной, Гренадой, Италией, Коста-Рикой, Перу, Чили, Эквадором и Южной Африкой, докладчиком сессии был назначен г-н Фредерику Антониу Сарайва Ногейра.</w:t>
      </w:r>
    </w:p>
    <w:p w14:paraId="6414D68D" w14:textId="3899AF23" w:rsidR="005C239B" w:rsidRPr="005C239B" w:rsidRDefault="005C239B" w:rsidP="004D3520">
      <w:pPr>
        <w:pStyle w:val="Heading2"/>
        <w:numPr>
          <w:ilvl w:val="1"/>
          <w:numId w:val="12"/>
        </w:numPr>
        <w:tabs>
          <w:tab w:val="clear" w:pos="737"/>
          <w:tab w:val="left" w:pos="709"/>
        </w:tabs>
        <w:ind w:left="709" w:hanging="709"/>
        <w:rPr>
          <w:rFonts w:cs="Arial"/>
          <w:caps w:val="0"/>
          <w:szCs w:val="22"/>
        </w:rPr>
      </w:pPr>
      <w:bookmarkStart w:id="54" w:name="_Toc289696423"/>
      <w:bookmarkStart w:id="55" w:name="_Toc357517548"/>
      <w:bookmarkStart w:id="56" w:name="_Toc358657261"/>
      <w:bookmarkStart w:id="57" w:name="_Toc415051552"/>
      <w:bookmarkStart w:id="58" w:name="_Toc445908047"/>
      <w:bookmarkStart w:id="59" w:name="_Toc57369048"/>
      <w:bookmarkStart w:id="60" w:name="_Toc85469056"/>
      <w:bookmarkStart w:id="61" w:name="_Toc92752486"/>
      <w:bookmarkStart w:id="62" w:name="_Toc177658023"/>
      <w:r>
        <w:rPr>
          <w:caps w:val="0"/>
          <w:szCs w:val="22"/>
        </w:rPr>
        <w:t>УЧРЕЖДЕНИЕ СЕССИОННЫХ КОМИТЕТОВ И РАБОЧИХ ГРУПП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0E77C581" w14:textId="01DCF3F7" w:rsidR="005C239B" w:rsidRPr="00353800" w:rsidRDefault="005C239B" w:rsidP="00CF7F0C">
      <w:pPr>
        <w:pStyle w:val="Style2"/>
        <w:numPr>
          <w:ilvl w:val="0"/>
          <w:numId w:val="42"/>
        </w:numPr>
        <w:tabs>
          <w:tab w:val="left" w:pos="812"/>
        </w:tabs>
        <w:ind w:left="0" w:hanging="709"/>
        <w:rPr>
          <w:rFonts w:cs="Arial"/>
        </w:rPr>
      </w:pPr>
      <w:r>
        <w:t>Председатель предложил Исполнительному совету сформировать два сессионных комитета</w:t>
      </w:r>
      <w:r w:rsidR="00353800">
        <w:t xml:space="preserve"> открытого состава</w:t>
      </w:r>
      <w:r>
        <w:t xml:space="preserve">: </w:t>
      </w:r>
      <w:r w:rsidR="004C478F">
        <w:t>к</w:t>
      </w:r>
      <w:r>
        <w:t xml:space="preserve">омитет по резолюциям и </w:t>
      </w:r>
      <w:r w:rsidR="004C478F">
        <w:t>к</w:t>
      </w:r>
      <w:r>
        <w:t xml:space="preserve">омитет по финансовым вопросам. </w:t>
      </w:r>
    </w:p>
    <w:p w14:paraId="66301BE9" w14:textId="38DF4693" w:rsidR="00353800" w:rsidRDefault="00353800" w:rsidP="00CF7F0C">
      <w:pPr>
        <w:pStyle w:val="Style2"/>
        <w:numPr>
          <w:ilvl w:val="0"/>
          <w:numId w:val="42"/>
        </w:numPr>
        <w:tabs>
          <w:tab w:val="left" w:pos="812"/>
        </w:tabs>
        <w:ind w:left="0" w:hanging="709"/>
        <w:rPr>
          <w:rFonts w:cs="Arial"/>
        </w:rPr>
      </w:pPr>
      <w:r>
        <w:t xml:space="preserve">Совет рекомендовал также поручить комитету по финансовым вопросам рассмотрение части доклада Исполнительного секретаря </w:t>
      </w:r>
      <w:r>
        <w:rPr>
          <w:rFonts w:cs="Arial"/>
        </w:rPr>
        <w:t xml:space="preserve">(пункт 3.1), касающейся </w:t>
      </w:r>
      <w:r>
        <w:t xml:space="preserve">процесса консультаций «МОК </w:t>
      </w:r>
      <w:r w:rsidRPr="00353800">
        <w:t xml:space="preserve">и </w:t>
      </w:r>
      <w:r w:rsidRPr="00353800">
        <w:lastRenderedPageBreak/>
        <w:t>будущее Мирового океана: устойчивое осуществление и расширение деятельности МОК</w:t>
      </w:r>
      <w:r>
        <w:t xml:space="preserve">» (документ </w:t>
      </w:r>
      <w:r w:rsidRPr="00C928D7">
        <w:rPr>
          <w:rFonts w:cs="Arial"/>
          <w:lang w:val="en-GB"/>
        </w:rPr>
        <w:t>IOC</w:t>
      </w:r>
      <w:r w:rsidRPr="00096DD5">
        <w:rPr>
          <w:rFonts w:cs="Arial"/>
        </w:rPr>
        <w:t>/</w:t>
      </w:r>
      <w:r w:rsidRPr="00C928D7">
        <w:rPr>
          <w:rFonts w:cs="Arial"/>
          <w:lang w:val="en-GB"/>
        </w:rPr>
        <w:t>EC</w:t>
      </w:r>
      <w:r w:rsidRPr="00096DD5">
        <w:rPr>
          <w:rFonts w:cs="Arial"/>
        </w:rPr>
        <w:t>-57/3.1.</w:t>
      </w:r>
      <w:r w:rsidRPr="00C928D7">
        <w:rPr>
          <w:rFonts w:cs="Arial"/>
          <w:lang w:val="en-GB"/>
        </w:rPr>
        <w:t>Doc</w:t>
      </w:r>
      <w:r w:rsidRPr="00096DD5">
        <w:rPr>
          <w:rFonts w:cs="Arial"/>
        </w:rPr>
        <w:t>(4))</w:t>
      </w:r>
      <w:r>
        <w:rPr>
          <w:rFonts w:cs="Arial"/>
        </w:rPr>
        <w:t>.</w:t>
      </w:r>
    </w:p>
    <w:p w14:paraId="02695D97" w14:textId="21F62B7B" w:rsidR="00353800" w:rsidRPr="005C239B" w:rsidRDefault="00353800" w:rsidP="00CF7F0C">
      <w:pPr>
        <w:pStyle w:val="Style2"/>
        <w:numPr>
          <w:ilvl w:val="0"/>
          <w:numId w:val="42"/>
        </w:numPr>
        <w:tabs>
          <w:tab w:val="left" w:pos="812"/>
        </w:tabs>
        <w:ind w:left="0" w:hanging="709"/>
        <w:rPr>
          <w:rFonts w:cs="Arial"/>
        </w:rPr>
      </w:pPr>
      <w:r>
        <w:t>Предложений в отношении учреждения сессионных рабочих групп не поступало.</w:t>
      </w:r>
    </w:p>
    <w:p w14:paraId="2B8D389D" w14:textId="7AE0B478" w:rsidR="005C239B" w:rsidRPr="005C239B" w:rsidRDefault="005C239B" w:rsidP="00CF7F0C">
      <w:pPr>
        <w:pStyle w:val="Heading2"/>
        <w:numPr>
          <w:ilvl w:val="1"/>
          <w:numId w:val="12"/>
        </w:numPr>
        <w:tabs>
          <w:tab w:val="clear" w:pos="737"/>
          <w:tab w:val="left" w:pos="709"/>
        </w:tabs>
        <w:ind w:left="709" w:hanging="709"/>
        <w:rPr>
          <w:rFonts w:cs="Arial"/>
          <w:caps w:val="0"/>
          <w:kern w:val="28"/>
          <w:szCs w:val="22"/>
        </w:rPr>
      </w:pPr>
      <w:bookmarkStart w:id="63" w:name="_Toc38080242"/>
      <w:bookmarkStart w:id="64" w:name="_Toc100506254"/>
      <w:bookmarkStart w:id="65" w:name="_Toc135143453"/>
      <w:bookmarkStart w:id="66" w:name="_Toc135143705"/>
      <w:bookmarkStart w:id="67" w:name="_Toc162671332"/>
      <w:bookmarkStart w:id="68" w:name="_Toc164651226"/>
      <w:bookmarkStart w:id="69" w:name="_Toc196145696"/>
      <w:bookmarkStart w:id="70" w:name="_Toc199912188"/>
      <w:bookmarkStart w:id="71" w:name="_Toc225590795"/>
      <w:bookmarkStart w:id="72" w:name="_Toc225660256"/>
      <w:bookmarkStart w:id="73" w:name="_Toc227580620"/>
      <w:bookmarkStart w:id="74" w:name="_Toc289696424"/>
      <w:bookmarkStart w:id="75" w:name="_Toc357517549"/>
      <w:bookmarkStart w:id="76" w:name="_Toc358657262"/>
      <w:bookmarkStart w:id="77" w:name="_Toc415051553"/>
      <w:bookmarkStart w:id="78" w:name="_Toc445908048"/>
      <w:bookmarkStart w:id="79" w:name="_Toc57369049"/>
      <w:bookmarkStart w:id="80" w:name="_Toc85469057"/>
      <w:bookmarkStart w:id="81" w:name="_Toc92752487"/>
      <w:bookmarkStart w:id="82" w:name="_Toc177658024"/>
      <w:bookmarkEnd w:id="63"/>
      <w:r>
        <w:t>ПРЕДСТАВЛЕНИЕ РАСПИСАНИЯ РАБОТЫ И ДОКУМЕНТОВ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48AF6473" w14:textId="118F4FA0" w:rsidR="005323BD" w:rsidRPr="005323BD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Этот пункт повестки дня представил</w:t>
      </w:r>
      <w:r w:rsidR="00353800">
        <w:t xml:space="preserve"> Секретариат</w:t>
      </w:r>
      <w:r>
        <w:t xml:space="preserve">. Он напомнил, что проекты решений будут утверждаться по итогам обсуждения каждого пункта повестки дня. Документ о принятых и предлагаемых мерах был намеренно подготовлен в форме предварительного проекта доклада, с тем чтобы упростить работу над этим документом в ходе сессии. </w:t>
      </w:r>
      <w:r w:rsidR="005323BD">
        <w:t xml:space="preserve">Представитель Секретариата предложил делегатам регулярно просматривать сайт сессии для ознакомления с сессионными документами. На сайте сообщается о появлении обновленной информации и публикации любых новых документов. Он также напомнил делегатам, что сессия проводится без использования печатных документов. </w:t>
      </w:r>
    </w:p>
    <w:p w14:paraId="573B89C8" w14:textId="249A8789" w:rsidR="005323BD" w:rsidRPr="005323BD" w:rsidRDefault="005323BD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Секретариат </w:t>
      </w:r>
      <w:r w:rsidR="005C239B">
        <w:t xml:space="preserve">отметил, что </w:t>
      </w:r>
      <w:r>
        <w:t xml:space="preserve">до </w:t>
      </w:r>
      <w:r w:rsidR="005C239B">
        <w:t>20 июня 2024 г. был</w:t>
      </w:r>
      <w:r>
        <w:t>и</w:t>
      </w:r>
      <w:r w:rsidR="005C239B">
        <w:t xml:space="preserve"> получен</w:t>
      </w:r>
      <w:r>
        <w:t>ы</w:t>
      </w:r>
      <w:r w:rsidR="005C239B">
        <w:t xml:space="preserve"> </w:t>
      </w:r>
      <w:r>
        <w:t>три</w:t>
      </w:r>
      <w:r w:rsidR="005C239B">
        <w:t xml:space="preserve"> проект</w:t>
      </w:r>
      <w:r>
        <w:t>а</w:t>
      </w:r>
      <w:r w:rsidR="005C239B">
        <w:t xml:space="preserve"> резолюции</w:t>
      </w:r>
      <w:r>
        <w:t>, и Секретариат в настоящее время изучает вопрос его приемлемости с точки зрения «Руководства по подготовке проектов резолюций» и возможности включения затронутой в нем темы в проект решения по пункту 4.1</w:t>
      </w:r>
      <w:r w:rsidR="005C239B">
        <w:t xml:space="preserve">. </w:t>
      </w:r>
    </w:p>
    <w:p w14:paraId="404F4AEA" w14:textId="574E517C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Все представленные к утверждению проекты резолюций были рассмотрены в рамках пункта 7 повестки дня. В соответствии с установившейся в ЮНЕСКО практикой пакет принятых решений и резолюций будет в полном объеме доступен к концу сессии на всех четырех языках. По согласованию с докладчиком нынешней сессии описательная часть доклада </w:t>
      </w:r>
      <w:r w:rsidR="005323BD">
        <w:t xml:space="preserve">была </w:t>
      </w:r>
      <w:r>
        <w:t>подготовлена Секретариатом в ходе сессии на английском языке. Полный вариант описательной части доклада, переведенный в установленном порядке, будет доведен до сведения членов Исполнительного совета после завершения сессии. Государствам-членам, пожелавшим, чтобы в докладе были отражены их конкретные, наиболее важные выступления на пленарном заседании, было предложено направить тексты своих выступлений по следующему адресу электронной почты (</w:t>
      </w:r>
      <w:hyperlink r:id="rId18" w:history="1">
        <w:r>
          <w:rPr>
            <w:rStyle w:val="Hyperlink"/>
          </w:rPr>
          <w:t>iocgovbody@unesco.org</w:t>
        </w:r>
      </w:hyperlink>
      <w:r>
        <w:t>), воспользовавшись специально разработанным для этих целей формуляром.</w:t>
      </w:r>
    </w:p>
    <w:p w14:paraId="3CF9D96F" w14:textId="54EC4580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Касательно расписания работы </w:t>
      </w:r>
      <w:r w:rsidR="005323BD">
        <w:t xml:space="preserve">представитель Секретариата </w:t>
      </w:r>
      <w:r>
        <w:t xml:space="preserve">напомнил, что пленарная сессия </w:t>
      </w:r>
      <w:r w:rsidR="005323BD">
        <w:t xml:space="preserve">в исключительном порядке </w:t>
      </w:r>
      <w:r>
        <w:t>продлится 3,5 дня, включая 1,5-часовое параллельное мероприятие в зале пленарных заседаний, посвященное 20-летию цунами на Суматре. Это мероприятие транслирова</w:t>
      </w:r>
      <w:r w:rsidR="005323BD">
        <w:t xml:space="preserve">лось </w:t>
      </w:r>
      <w:r>
        <w:t xml:space="preserve">в прямом эфире, как и все </w:t>
      </w:r>
      <w:r w:rsidR="005323BD">
        <w:t xml:space="preserve">пленарное </w:t>
      </w:r>
      <w:r>
        <w:t>заседание, для участия в котором в Париж прие</w:t>
      </w:r>
      <w:r w:rsidR="005323BD">
        <w:t>хали</w:t>
      </w:r>
      <w:r>
        <w:t xml:space="preserve"> некоторые очевидцы и лица, пережившие эту трагедию. Проект «Цунами устами очевидцев и выживших» включа</w:t>
      </w:r>
      <w:r w:rsidR="005323BD">
        <w:t>е</w:t>
      </w:r>
      <w:r>
        <w:t xml:space="preserve">т такие мероприятия, как выездная выставка, показ документального фильма, параллельные мероприятия в рамках глобальных конференций по проблемам океана и встречи в течение 2024 г. с очевидцами цунами. </w:t>
      </w:r>
    </w:p>
    <w:p w14:paraId="22DD30DA" w14:textId="0F6EC037" w:rsidR="005C239B" w:rsidRPr="005323BD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Пожелание представить тексты своих выступлений на пленарном заседании по пункту </w:t>
      </w:r>
      <w:r w:rsidR="005323BD">
        <w:t xml:space="preserve">2 </w:t>
      </w:r>
      <w:r>
        <w:t>повестки дня для включения в информационное приложение к докладу настоящей сессии выразил</w:t>
      </w:r>
      <w:r w:rsidR="005323BD">
        <w:t>о</w:t>
      </w:r>
      <w:r>
        <w:t xml:space="preserve"> следующ</w:t>
      </w:r>
      <w:r w:rsidR="005323BD">
        <w:t>е</w:t>
      </w:r>
      <w:r>
        <w:t>е государств</w:t>
      </w:r>
      <w:r w:rsidR="005323BD">
        <w:t>о</w:t>
      </w:r>
      <w:r>
        <w:t>-член:</w:t>
      </w:r>
      <w:r w:rsidR="00DA5F61" w:rsidRPr="004D3520">
        <w:t xml:space="preserve"> </w:t>
      </w:r>
      <w:r w:rsidR="005323BD">
        <w:t>США</w:t>
      </w:r>
      <w:r>
        <w:t>.</w:t>
      </w:r>
    </w:p>
    <w:p w14:paraId="34E44375" w14:textId="192511E6" w:rsidR="005323BD" w:rsidRPr="00096DD5" w:rsidRDefault="005323BD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IOC</w:t>
      </w:r>
      <w:r w:rsidRPr="00096DD5">
        <w:rPr>
          <w:rFonts w:cs="Arial"/>
          <w:u w:val="single"/>
        </w:rPr>
        <w:t>/</w:t>
      </w:r>
      <w:r w:rsidRPr="00C928D7">
        <w:rPr>
          <w:rFonts w:cs="Arial"/>
          <w:u w:val="single"/>
          <w:lang w:val="en-GB"/>
        </w:rPr>
        <w:t>EC</w:t>
      </w:r>
      <w:r w:rsidRPr="00096DD5">
        <w:rPr>
          <w:rFonts w:cs="Arial"/>
          <w:u w:val="single"/>
        </w:rPr>
        <w:t>-57/2</w:t>
      </w:r>
      <w:r>
        <w:rPr>
          <w:rFonts w:cs="Arial"/>
          <w:u w:val="single"/>
        </w:rPr>
        <w:t>.</w:t>
      </w:r>
    </w:p>
    <w:p w14:paraId="51A02B49" w14:textId="77777777" w:rsidR="005323BD" w:rsidRPr="005323BD" w:rsidRDefault="005323BD" w:rsidP="004D3520">
      <w:pPr>
        <w:pStyle w:val="ListParagraph"/>
        <w:spacing w:after="240"/>
        <w:contextualSpacing w:val="0"/>
        <w:jc w:val="center"/>
        <w:rPr>
          <w:rFonts w:ascii="Arial" w:eastAsia="Calibri" w:hAnsi="Arial" w:cs="Arial"/>
          <w:b/>
          <w:sz w:val="22"/>
          <w:szCs w:val="22"/>
        </w:rPr>
      </w:pPr>
      <w:r w:rsidRPr="005323BD">
        <w:rPr>
          <w:rFonts w:ascii="Arial" w:hAnsi="Arial"/>
          <w:b/>
          <w:sz w:val="22"/>
          <w:szCs w:val="22"/>
        </w:rPr>
        <w:t>Организация работы сессии</w:t>
      </w:r>
    </w:p>
    <w:p w14:paraId="08A9761A" w14:textId="37C2EBE8" w:rsidR="005323BD" w:rsidRPr="005323BD" w:rsidRDefault="005323BD" w:rsidP="004D3520">
      <w:pPr>
        <w:pStyle w:val="ListParagraph"/>
        <w:spacing w:after="240"/>
        <w:contextualSpacing w:val="0"/>
        <w:rPr>
          <w:rFonts w:ascii="Arial" w:hAnsi="Arial" w:cs="Arial"/>
          <w:sz w:val="22"/>
          <w:szCs w:val="22"/>
        </w:rPr>
      </w:pPr>
      <w:r w:rsidRPr="005323BD">
        <w:rPr>
          <w:rFonts w:ascii="Arial" w:hAnsi="Arial"/>
          <w:sz w:val="22"/>
          <w:szCs w:val="22"/>
        </w:rPr>
        <w:t>Исполнительный совет</w:t>
      </w:r>
    </w:p>
    <w:p w14:paraId="68246A1B" w14:textId="05250837" w:rsidR="005323BD" w:rsidRDefault="005323BD" w:rsidP="004D3520">
      <w:pPr>
        <w:pStyle w:val="ListParagraph"/>
        <w:spacing w:after="240"/>
        <w:contextualSpacing w:val="0"/>
        <w:jc w:val="center"/>
        <w:rPr>
          <w:rFonts w:ascii="Arial" w:hAnsi="Arial"/>
          <w:b/>
          <w:sz w:val="22"/>
          <w:szCs w:val="22"/>
        </w:rPr>
      </w:pPr>
      <w:r w:rsidRPr="005323BD">
        <w:rPr>
          <w:rFonts w:ascii="Arial" w:hAnsi="Arial"/>
          <w:b/>
          <w:sz w:val="22"/>
          <w:szCs w:val="22"/>
        </w:rPr>
        <w:t>I.</w:t>
      </w:r>
      <w:r w:rsidRPr="005323BD">
        <w:rPr>
          <w:rFonts w:ascii="Arial" w:hAnsi="Arial"/>
          <w:b/>
          <w:sz w:val="22"/>
          <w:szCs w:val="22"/>
        </w:rPr>
        <w:tab/>
        <w:t>Повестка дня</w:t>
      </w:r>
    </w:p>
    <w:p w14:paraId="58078385" w14:textId="77777777" w:rsidR="005323BD" w:rsidRDefault="005323BD" w:rsidP="004D3520">
      <w:pPr>
        <w:pStyle w:val="ListParagraph"/>
        <w:spacing w:after="240"/>
        <w:contextualSpacing w:val="0"/>
        <w:jc w:val="both"/>
        <w:rPr>
          <w:rFonts w:ascii="Arial" w:hAnsi="Arial"/>
          <w:color w:val="000000"/>
          <w:sz w:val="22"/>
          <w:szCs w:val="22"/>
        </w:rPr>
      </w:pPr>
      <w:r w:rsidRPr="005323BD">
        <w:rPr>
          <w:rFonts w:ascii="Arial" w:hAnsi="Arial"/>
          <w:color w:val="000000"/>
          <w:sz w:val="22"/>
          <w:szCs w:val="22"/>
          <w:u w:val="single"/>
        </w:rPr>
        <w:t>утверждает</w:t>
      </w:r>
      <w:r w:rsidRPr="005323BD">
        <w:rPr>
          <w:rFonts w:ascii="Arial" w:hAnsi="Arial"/>
          <w:color w:val="000000"/>
          <w:sz w:val="22"/>
          <w:szCs w:val="22"/>
        </w:rPr>
        <w:t xml:space="preserve"> повестку дня и расписание работы, содержащиеся в документе IOC/EC</w:t>
      </w:r>
      <w:r w:rsidRPr="005323BD">
        <w:rPr>
          <w:rFonts w:ascii="Arial" w:hAnsi="Arial"/>
          <w:color w:val="000000"/>
          <w:sz w:val="22"/>
          <w:szCs w:val="22"/>
        </w:rPr>
        <w:noBreakHyphen/>
        <w:t xml:space="preserve">57/2.1.Doc. и Add.; </w:t>
      </w:r>
    </w:p>
    <w:p w14:paraId="334D6CDE" w14:textId="77777777" w:rsidR="005323BD" w:rsidRDefault="005323BD" w:rsidP="004D3520">
      <w:pPr>
        <w:pStyle w:val="ListParagraph"/>
        <w:spacing w:after="240"/>
        <w:contextualSpacing w:val="0"/>
        <w:jc w:val="center"/>
        <w:rPr>
          <w:rFonts w:ascii="Arial" w:hAnsi="Arial"/>
          <w:b/>
          <w:sz w:val="22"/>
          <w:szCs w:val="22"/>
        </w:rPr>
      </w:pPr>
      <w:r w:rsidRPr="005323BD">
        <w:rPr>
          <w:rFonts w:ascii="Arial" w:hAnsi="Arial"/>
          <w:b/>
          <w:sz w:val="22"/>
          <w:szCs w:val="22"/>
        </w:rPr>
        <w:lastRenderedPageBreak/>
        <w:t>II.</w:t>
      </w:r>
      <w:r w:rsidRPr="005323BD">
        <w:rPr>
          <w:rFonts w:ascii="Arial" w:hAnsi="Arial"/>
          <w:b/>
          <w:sz w:val="22"/>
          <w:szCs w:val="22"/>
        </w:rPr>
        <w:tab/>
        <w:t>Докладчик</w:t>
      </w:r>
    </w:p>
    <w:p w14:paraId="3C565B89" w14:textId="77777777" w:rsidR="005323BD" w:rsidRDefault="005323BD" w:rsidP="004D3520">
      <w:pPr>
        <w:pStyle w:val="ListParagraph"/>
        <w:spacing w:after="240"/>
        <w:contextualSpacing w:val="0"/>
        <w:jc w:val="both"/>
        <w:rPr>
          <w:rFonts w:ascii="Arial" w:hAnsi="Arial"/>
          <w:bCs/>
          <w:color w:val="000000"/>
          <w:sz w:val="22"/>
          <w:szCs w:val="22"/>
        </w:rPr>
      </w:pPr>
      <w:r w:rsidRPr="005323BD">
        <w:rPr>
          <w:rFonts w:ascii="Arial" w:hAnsi="Arial"/>
          <w:bCs/>
          <w:color w:val="000000"/>
          <w:sz w:val="22"/>
          <w:szCs w:val="22"/>
        </w:rPr>
        <w:t>по предложению Колумбии, поддержанному Аргентиной, Гренадой, Италией, Коста-Рикой, Перу, Чили, Эквадором и Южной Африкой,</w:t>
      </w:r>
    </w:p>
    <w:p w14:paraId="58027D45" w14:textId="77777777" w:rsidR="005323BD" w:rsidRPr="005323BD" w:rsidRDefault="005323BD" w:rsidP="004D3520">
      <w:pPr>
        <w:pStyle w:val="ListParagraph"/>
        <w:spacing w:after="240"/>
        <w:contextualSpacing w:val="0"/>
        <w:jc w:val="both"/>
        <w:rPr>
          <w:rFonts w:ascii="Arial" w:hAnsi="Arial"/>
          <w:color w:val="000000"/>
          <w:sz w:val="22"/>
          <w:szCs w:val="22"/>
        </w:rPr>
      </w:pPr>
      <w:r w:rsidRPr="005323BD">
        <w:rPr>
          <w:rFonts w:ascii="Arial" w:hAnsi="Arial"/>
          <w:color w:val="000000"/>
          <w:sz w:val="22"/>
          <w:szCs w:val="22"/>
          <w:u w:val="single"/>
        </w:rPr>
        <w:t>назначает</w:t>
      </w:r>
      <w:r w:rsidRPr="005323BD">
        <w:rPr>
          <w:rFonts w:ascii="Arial" w:hAnsi="Arial"/>
          <w:color w:val="000000"/>
          <w:sz w:val="22"/>
          <w:szCs w:val="22"/>
        </w:rPr>
        <w:t xml:space="preserve"> г-на Фредерику Антониу Сарайва Ногейру, представителя Бразилии, докладчиком нынешней сессии с задачей оказания содействия Председателю и Исполнительному секретарю в подготовке проекта предварительного доклада сессии;</w:t>
      </w:r>
    </w:p>
    <w:p w14:paraId="728CAC7C" w14:textId="35E4D54A" w:rsidR="005323BD" w:rsidRDefault="005323BD" w:rsidP="004D3520">
      <w:pPr>
        <w:pStyle w:val="ListParagraph"/>
        <w:spacing w:after="240"/>
        <w:contextualSpacing w:val="0"/>
        <w:jc w:val="center"/>
        <w:rPr>
          <w:rFonts w:ascii="Arial" w:hAnsi="Arial"/>
          <w:b/>
          <w:sz w:val="22"/>
          <w:szCs w:val="22"/>
        </w:rPr>
      </w:pPr>
      <w:r w:rsidRPr="005323BD">
        <w:rPr>
          <w:rFonts w:ascii="Arial" w:hAnsi="Arial"/>
          <w:b/>
          <w:sz w:val="22"/>
          <w:szCs w:val="22"/>
        </w:rPr>
        <w:t>III.</w:t>
      </w:r>
      <w:r w:rsidRPr="005323BD">
        <w:rPr>
          <w:rFonts w:ascii="Arial" w:hAnsi="Arial"/>
          <w:b/>
          <w:sz w:val="22"/>
          <w:szCs w:val="22"/>
        </w:rPr>
        <w:tab/>
        <w:t>Сессионные комитеты</w:t>
      </w:r>
    </w:p>
    <w:p w14:paraId="19C20AE2" w14:textId="77777777" w:rsidR="005323BD" w:rsidRDefault="005323BD" w:rsidP="004D3520">
      <w:pPr>
        <w:pStyle w:val="ListParagraph"/>
        <w:spacing w:after="240"/>
        <w:contextualSpacing w:val="0"/>
        <w:jc w:val="both"/>
        <w:rPr>
          <w:rFonts w:ascii="Arial" w:hAnsi="Arial"/>
          <w:bCs/>
          <w:color w:val="000000"/>
          <w:sz w:val="22"/>
          <w:szCs w:val="22"/>
        </w:rPr>
      </w:pPr>
      <w:r w:rsidRPr="005323BD">
        <w:rPr>
          <w:rFonts w:ascii="Arial" w:hAnsi="Arial"/>
          <w:bCs/>
          <w:color w:val="000000"/>
          <w:sz w:val="22"/>
          <w:szCs w:val="22"/>
          <w:u w:val="single"/>
        </w:rPr>
        <w:t>учреждает</w:t>
      </w:r>
      <w:r w:rsidRPr="005323BD">
        <w:rPr>
          <w:rFonts w:ascii="Arial" w:hAnsi="Arial"/>
          <w:bCs/>
          <w:color w:val="000000"/>
          <w:sz w:val="22"/>
          <w:szCs w:val="22"/>
        </w:rPr>
        <w:t xml:space="preserve"> следующие сессионные комитеты открытого состава и поручает им рассмотрение следующих пунктов повестки дня и выполнение следующих задач:</w:t>
      </w:r>
    </w:p>
    <w:p w14:paraId="44284111" w14:textId="77777777" w:rsidR="005323BD" w:rsidRDefault="005323BD" w:rsidP="004D3520">
      <w:pPr>
        <w:pStyle w:val="ListParagraph"/>
        <w:spacing w:after="240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5323BD">
        <w:rPr>
          <w:rFonts w:ascii="Arial" w:hAnsi="Arial"/>
          <w:bCs/>
          <w:i/>
          <w:color w:val="000000"/>
          <w:sz w:val="22"/>
          <w:szCs w:val="22"/>
        </w:rPr>
        <w:t>комитет по финансовым вопросам</w:t>
      </w:r>
      <w:r w:rsidRPr="005323BD">
        <w:rPr>
          <w:rFonts w:ascii="Arial" w:hAnsi="Arial"/>
          <w:bCs/>
          <w:color w:val="000000"/>
          <w:sz w:val="22"/>
          <w:szCs w:val="22"/>
        </w:rPr>
        <w:t>: доработка резолюции по пунктам 3.1, 5.1, 5.2 и 5.3 под руководством г-на Хуана Камило Фореро Хаузера (Колумбия, заместитель Председателя) и с участием следующих государств-членов</w:t>
      </w:r>
      <w:r w:rsidRPr="005323BD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Pr="005323BD">
        <w:rPr>
          <w:rStyle w:val="ezkurwreuab5ozgtqnkl"/>
          <w:rFonts w:ascii="Arial" w:hAnsi="Arial" w:cs="Arial"/>
          <w:sz w:val="22"/>
          <w:szCs w:val="22"/>
        </w:rPr>
        <w:t>Бразилии,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Египта,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Соединенных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Штатов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Америки, Франции и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Японии</w:t>
      </w:r>
      <w:r w:rsidRPr="005323BD">
        <w:rPr>
          <w:rFonts w:ascii="Arial" w:hAnsi="Arial" w:cs="Arial"/>
          <w:bCs/>
          <w:color w:val="000000"/>
          <w:sz w:val="22"/>
          <w:szCs w:val="22"/>
        </w:rPr>
        <w:t>. Секретариатскую поддержку работе комитета по финансовым вопросам оказывала г-жа Ксения Ивинек;</w:t>
      </w:r>
    </w:p>
    <w:p w14:paraId="5754EF28" w14:textId="77777777" w:rsidR="005323BD" w:rsidRPr="00E05DB3" w:rsidRDefault="005323BD" w:rsidP="004D3520">
      <w:pPr>
        <w:pStyle w:val="ListParagraph"/>
        <w:spacing w:after="240"/>
        <w:contextualSpacing w:val="0"/>
        <w:jc w:val="both"/>
      </w:pPr>
      <w:r w:rsidRPr="005323BD">
        <w:rPr>
          <w:rFonts w:ascii="Arial" w:hAnsi="Arial"/>
          <w:bCs/>
          <w:i/>
          <w:color w:val="000000"/>
          <w:sz w:val="22"/>
          <w:szCs w:val="22"/>
        </w:rPr>
        <w:t>комитет по резолюциям</w:t>
      </w:r>
      <w:r w:rsidRPr="005323BD">
        <w:rPr>
          <w:rFonts w:ascii="Arial" w:hAnsi="Arial"/>
          <w:bCs/>
          <w:color w:val="000000"/>
          <w:sz w:val="22"/>
          <w:szCs w:val="22"/>
        </w:rPr>
        <w:t xml:space="preserve">: информирование обо всех проектах резолюций, должным образом представленных до 20 июня для рассмотрения в ходе нынешней сессии, а также о подготовленном в ходе сессии проекте резолюции, касающейся финансовых аспектов деятельности Комиссии, под руководством г-на Джозефа Нотона (Соединенные Штаты Америки) и с участием следующих государств-членов: </w:t>
      </w:r>
      <w:r w:rsidRPr="005323BD">
        <w:rPr>
          <w:rStyle w:val="ezkurwreuab5ozgtqnkl"/>
          <w:rFonts w:ascii="Arial" w:hAnsi="Arial" w:cs="Arial"/>
          <w:sz w:val="22"/>
          <w:szCs w:val="22"/>
        </w:rPr>
        <w:t>Австралии,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Бангладеш,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Бразилии,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Германии,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Индии,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Испании,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Италии,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Канады,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Китая,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Колумбии</w:t>
      </w:r>
      <w:r w:rsidRPr="005323BD">
        <w:rPr>
          <w:rFonts w:ascii="Arial" w:hAnsi="Arial" w:cs="Arial"/>
          <w:sz w:val="22"/>
          <w:szCs w:val="22"/>
        </w:rPr>
        <w:t xml:space="preserve">, </w:t>
      </w:r>
      <w:r w:rsidRPr="005323BD">
        <w:rPr>
          <w:rStyle w:val="ezkurwreuab5ozgtqnkl"/>
          <w:rFonts w:ascii="Arial" w:hAnsi="Arial" w:cs="Arial"/>
          <w:sz w:val="22"/>
          <w:szCs w:val="22"/>
        </w:rPr>
        <w:t>Пакистана,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Португалии</w:t>
      </w:r>
      <w:r w:rsidRPr="005323BD">
        <w:rPr>
          <w:rFonts w:ascii="Arial" w:hAnsi="Arial" w:cs="Arial"/>
          <w:sz w:val="22"/>
          <w:szCs w:val="22"/>
        </w:rPr>
        <w:t xml:space="preserve">, </w:t>
      </w:r>
      <w:r w:rsidRPr="005323BD">
        <w:rPr>
          <w:rStyle w:val="ezkurwreuab5ozgtqnkl"/>
          <w:rFonts w:ascii="Arial" w:hAnsi="Arial" w:cs="Arial"/>
          <w:sz w:val="22"/>
          <w:szCs w:val="22"/>
        </w:rPr>
        <w:t>Таиланда,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Соединенного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Королевства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Великобритании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и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Северной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Ирландии,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Соединенных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Штатов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Америки,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Франции,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Южной</w:t>
      </w:r>
      <w:r w:rsidRPr="005323BD">
        <w:rPr>
          <w:rFonts w:ascii="Arial" w:hAnsi="Arial" w:cs="Arial"/>
          <w:sz w:val="22"/>
          <w:szCs w:val="22"/>
        </w:rPr>
        <w:t xml:space="preserve"> </w:t>
      </w:r>
      <w:r w:rsidRPr="005323BD">
        <w:rPr>
          <w:rStyle w:val="ezkurwreuab5ozgtqnkl"/>
          <w:rFonts w:ascii="Arial" w:hAnsi="Arial" w:cs="Arial"/>
          <w:sz w:val="22"/>
          <w:szCs w:val="22"/>
        </w:rPr>
        <w:t>Африки</w:t>
      </w:r>
      <w:r w:rsidRPr="005323BD">
        <w:rPr>
          <w:rFonts w:ascii="Arial" w:hAnsi="Arial" w:cs="Arial"/>
          <w:sz w:val="22"/>
          <w:szCs w:val="22"/>
        </w:rPr>
        <w:t xml:space="preserve"> и Японии</w:t>
      </w:r>
      <w:r w:rsidRPr="005323BD">
        <w:rPr>
          <w:rFonts w:ascii="Arial" w:hAnsi="Arial" w:cs="Arial"/>
          <w:bCs/>
          <w:color w:val="000000"/>
          <w:sz w:val="22"/>
          <w:szCs w:val="22"/>
        </w:rPr>
        <w:t>. Се</w:t>
      </w:r>
      <w:r w:rsidRPr="005323BD">
        <w:rPr>
          <w:rFonts w:ascii="Arial" w:hAnsi="Arial"/>
          <w:bCs/>
          <w:color w:val="000000"/>
          <w:sz w:val="22"/>
          <w:szCs w:val="22"/>
        </w:rPr>
        <w:t>кретариатскую поддержку работе комитета по резолюциям оказывал г-н Жюлиан Барбьер.</w:t>
      </w:r>
    </w:p>
    <w:p w14:paraId="1AA7DE2F" w14:textId="77777777" w:rsidR="005C239B" w:rsidRPr="005C239B" w:rsidRDefault="005C239B" w:rsidP="00CF7F0C">
      <w:pPr>
        <w:pStyle w:val="Heading2"/>
        <w:ind w:left="728" w:hanging="728"/>
        <w:rPr>
          <w:rFonts w:cs="Arial"/>
          <w:szCs w:val="22"/>
        </w:rPr>
      </w:pPr>
      <w:bookmarkStart w:id="83" w:name="_Toc177658025"/>
      <w:r>
        <w:t>2.5</w:t>
      </w:r>
      <w:r>
        <w:tab/>
        <w:t>ЛЕКЦИЯ, ПОСВЯЩЕННАЯ ПАМЯТИ РОДЖЕРА РЕВЕЛЛА</w:t>
      </w:r>
      <w:bookmarkEnd w:id="83"/>
    </w:p>
    <w:p w14:paraId="13455705" w14:textId="0CC5980A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Председатель представил этот пункт повестки дня и напомнил, что традиция проведения лекций памяти Роджера Ревелла была заложена МОК в 1991 г. как дань признания выдающегося вклада в морские научные исследования, связанные с климатом, исследователей-энтузиастов, продолжающих делиться с нами своими знаниями и стратегическим видением проблем, стоящих перед нашей планетой, в целях построения лучшего будущего для человечества. Данная лекция была посвящена Роджеру Ревеллу (1909-1991</w:t>
      </w:r>
      <w:r w:rsidR="00B078F9" w:rsidRPr="004D3520">
        <w:t xml:space="preserve"> </w:t>
      </w:r>
      <w:r w:rsidR="00B078F9">
        <w:t>гг.</w:t>
      </w:r>
      <w:r>
        <w:t>), одному из первых ученых, начавших изучать проблему антропогенного глобального потепления. Он же был одним из отцов-основателей МОК.</w:t>
      </w:r>
    </w:p>
    <w:p w14:paraId="66280898" w14:textId="324BF937" w:rsidR="005C239B" w:rsidRPr="006F486A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Style w:val="Emphasis"/>
          <w:rFonts w:cs="Arial"/>
          <w:i w:val="0"/>
          <w:iCs/>
        </w:rPr>
      </w:pPr>
      <w:r>
        <w:t xml:space="preserve">Эмиль А. Окал из Северо-Западного Университета (США) прочел лекцию МОК памяти Роджера Ревелла 2024 г., посвященную тематике смягчения негативных последствий цунами спустя 20 лет после катастрофического цунами, случившегося в Индийском океане 26 декабря 2004 г. </w:t>
      </w:r>
      <w:r w:rsidR="006F486A">
        <w:t xml:space="preserve">После </w:t>
      </w:r>
      <w:r>
        <w:rPr>
          <w:rStyle w:val="Emphasis"/>
          <w:i w:val="0"/>
          <w:iCs/>
        </w:rPr>
        <w:t>стихийного бедствия на о. Суматра в 2004</w:t>
      </w:r>
      <w:r w:rsidR="006F486A">
        <w:rPr>
          <w:rStyle w:val="Emphasis"/>
          <w:i w:val="0"/>
          <w:iCs/>
        </w:rPr>
        <w:t> </w:t>
      </w:r>
      <w:r>
        <w:rPr>
          <w:rStyle w:val="Emphasis"/>
          <w:i w:val="0"/>
          <w:iCs/>
        </w:rPr>
        <w:t>г.</w:t>
      </w:r>
      <w:r w:rsidR="006F486A">
        <w:rPr>
          <w:rStyle w:val="Emphasis"/>
          <w:i w:val="0"/>
          <w:iCs/>
        </w:rPr>
        <w:t xml:space="preserve"> </w:t>
      </w:r>
      <w:r>
        <w:rPr>
          <w:rStyle w:val="Emphasis"/>
          <w:i w:val="0"/>
          <w:iCs/>
        </w:rPr>
        <w:t>слово «цунами» стало нарицательным. Это бедствие стало, наверное, самым смертоносным в истории человечества. В связи с этим вопросам минимизации рисков, связанных с цунами, в мире стало уделяться существенное внимание. В ходе лекции был представлен анализ положительных изменений, произошедших в ряде областей.</w:t>
      </w:r>
    </w:p>
    <w:p w14:paraId="2193B106" w14:textId="6735CB87" w:rsidR="006F486A" w:rsidRPr="005C239B" w:rsidRDefault="006F486A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rPr>
          <w:rStyle w:val="Emphasis"/>
          <w:i w:val="0"/>
          <w:iCs/>
        </w:rPr>
        <w:t xml:space="preserve">В ходе лекции проф. Окал осветил события последних 20 лет и сохраняющиеся научные, практические и социальные  проблемы в области смягчения риска цунами, а также опыт, полученный в ходе реагирования на крупные цунами, произошедшие за последние 20 лет. Он отдельно отметил необходимость пристального внимания к предупреждению и смягчению последствий цунами, вызванных оползнями (в том числе вулканического происхождения), что </w:t>
      </w:r>
      <w:r>
        <w:rPr>
          <w:rStyle w:val="Emphasis"/>
          <w:i w:val="0"/>
          <w:iCs/>
        </w:rPr>
        <w:lastRenderedPageBreak/>
        <w:t>вызывает дополнительные проблемы по сравнению с цунами, вызванными землетрясениями. После лекции проф. Окал ответил на вопросы, заданные представителями Чили, Франции и председателем МКГ-СПЦТО. Затем проф. Окалу была вручена медаль Роджера Ревелла.</w:t>
      </w:r>
    </w:p>
    <w:p w14:paraId="28DEAEC0" w14:textId="77777777" w:rsidR="005C239B" w:rsidRPr="005C239B" w:rsidRDefault="005C239B" w:rsidP="004D3520">
      <w:pPr>
        <w:pStyle w:val="Heading1"/>
        <w:numPr>
          <w:ilvl w:val="0"/>
          <w:numId w:val="9"/>
        </w:numPr>
        <w:tabs>
          <w:tab w:val="left" w:pos="709"/>
        </w:tabs>
        <w:ind w:left="709" w:hanging="720"/>
        <w:rPr>
          <w:rFonts w:cs="Arial"/>
          <w:szCs w:val="22"/>
        </w:rPr>
      </w:pPr>
      <w:bookmarkStart w:id="84" w:name="_Toc31634891"/>
      <w:bookmarkStart w:id="85" w:name="_Toc57369050"/>
      <w:bookmarkStart w:id="86" w:name="_Toc85469058"/>
      <w:bookmarkStart w:id="87" w:name="_Toc92752489"/>
      <w:bookmarkStart w:id="88" w:name="_Toc177658026"/>
      <w:r>
        <w:t>ДОКЛАДЫ</w:t>
      </w:r>
      <w:bookmarkEnd w:id="84"/>
      <w:bookmarkEnd w:id="85"/>
      <w:bookmarkEnd w:id="86"/>
      <w:bookmarkEnd w:id="87"/>
      <w:bookmarkEnd w:id="88"/>
    </w:p>
    <w:p w14:paraId="01E2B513" w14:textId="1FCA8C67" w:rsidR="005C239B" w:rsidRPr="00A30690" w:rsidRDefault="005C239B" w:rsidP="00CF7F0C">
      <w:pPr>
        <w:pStyle w:val="Heading2"/>
        <w:ind w:left="709" w:hanging="709"/>
        <w:rPr>
          <w:rFonts w:cs="Arial"/>
          <w:szCs w:val="22"/>
        </w:rPr>
      </w:pPr>
      <w:bookmarkStart w:id="89" w:name="_Toc85469059"/>
      <w:bookmarkStart w:id="90" w:name="_Toc92752490"/>
      <w:bookmarkStart w:id="91" w:name="_Toc177658027"/>
      <w:r>
        <w:t>3.1</w:t>
      </w:r>
      <w:r>
        <w:tab/>
        <w:t>ДОКЛАД ИСПОЛНИТЕЛЬНОГО СЕКРЕТАРЯ О РАБОТЕ, ПРОДЕЛАННОЙ ПОСЛЕ 32</w:t>
      </w:r>
      <w:r w:rsidR="002C0618" w:rsidRPr="002C0618">
        <w:noBreakHyphen/>
      </w:r>
      <w:r>
        <w:t>й СЕССИИ АССАМБЛЕИ (июль 2023 г. – май 2024 г.)</w:t>
      </w:r>
      <w:bookmarkEnd w:id="89"/>
      <w:bookmarkEnd w:id="90"/>
      <w:bookmarkEnd w:id="91"/>
    </w:p>
    <w:p w14:paraId="6EBEAD9F" w14:textId="77777777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bookmarkStart w:id="92" w:name="_Hlk101797503"/>
      <w:bookmarkStart w:id="93" w:name="_Hlk101797204"/>
      <w:r>
        <w:t>Этот пункт повестки дня представил Исполнительный секретарь МОК.</w:t>
      </w:r>
    </w:p>
    <w:p w14:paraId="2417B25C" w14:textId="15C2FFB4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rPr>
          <w:rStyle w:val="Ingen"/>
        </w:rPr>
        <w:t>Он поблагодарил государства-члены за доверие, оказанное ему в прошлом году при выдвижении кандидатур, а также за теплый прием со стороны Организации, в том числе многочисленные теплые письменные поздравления. Он поблагодарил за существенные результаты, которых удалось достичь несмотря на ограниченное число штатных сотрудников МОК, и подчеркнул важность сетевого характера МОК, а также опоры на активную вовлеченность и коллективные усилия учреждений и частных лиц государств-членов.</w:t>
      </w:r>
    </w:p>
    <w:p w14:paraId="3C22482B" w14:textId="32531B7C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В связи с увеличением бюджетной сметы на 2024-2025 гг., утвержденной благодаря реальной заинтересованности и поддержке государств</w:t>
      </w:r>
      <w:r w:rsidR="00F73A57" w:rsidRPr="00F73A57">
        <w:t xml:space="preserve"> </w:t>
      </w:r>
      <w:r w:rsidR="00F73A57">
        <w:t>–</w:t>
      </w:r>
      <w:r w:rsidR="00F73A57" w:rsidRPr="00F73A57">
        <w:t xml:space="preserve"> </w:t>
      </w:r>
      <w:r>
        <w:t>членов МОК, осуществление программ Комиссии активизировалось во всех ее функциональных областях и по всей цепочке создания добавленной стоимости. В особенности это коснулось долгосрочных устойчивых наблюдений и систем управления данными и информацией, а также деятельности региональных вспомогательных органов  МОК и мероприятий, касающихся укрепления потенциала государств-членов.</w:t>
      </w:r>
    </w:p>
    <w:p w14:paraId="0A375DCF" w14:textId="77777777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Проведение 10-12 апреля 2024 г. в Барселоне международной конференции, посвященной Десятилетию науки об океане, позволило собрать представителей глобального мореведческого сообщества для представления результатов, достигнутых в последние три года, а также для их критической оценки и формулирования коллективной стратегии на период до 2030 г. («Стратегия-2030»). Исполнительный секретарь дал высокую оценку работе сопредседателей и членов десяти рабочих групп, созданных в рамках механизма «На пути к 2030 году».</w:t>
      </w:r>
    </w:p>
    <w:p w14:paraId="09168CEB" w14:textId="77777777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Эти новые направления работы в рамках Десятилетия станут важным вкладом в подготовку Конференции ООН по проблемам океана (2025 г.), организуемую совместно Францией и Коста-Рикой, и позволят определить области, требующие принятия дополнительных усилий на национальном и международном уровнях для реализации ЦУР 14.</w:t>
      </w:r>
    </w:p>
    <w:p w14:paraId="4128C81F" w14:textId="5F357B14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Вместе с тем, несмотря на важность проводимых в настоящее время международных конференций, посвященных проблематике Мирового океана, Исполнительный секретарь подчеркнул необходимость принятия на основе накопленного опыта более энергичных мер на национальном уровне для минимизации последствий и реагирования на критические изменения, происходящие сегодня в морской среде и имеющие серьезные и одновременно </w:t>
      </w:r>
      <w:r w:rsidR="00A13994">
        <w:t xml:space="preserve">непредсказуемые </w:t>
      </w:r>
      <w:r>
        <w:t>последствия для Мирового океана, нашей планеты и всего человечества.</w:t>
      </w:r>
    </w:p>
    <w:p w14:paraId="26C8738C" w14:textId="4EFA2145" w:rsidR="00A13994" w:rsidRPr="00A13994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Напомнив о решении IOC/А-32/5 Ассамблеи МОК (2023 г.), Исполнительный секретарь предложил государствам-членам начать новый процесс консультаций по теме «МОК и будущее Мирового океана». На фоне серьезных изменений в состоянии Мирового океана и возросшего внимания к связанным с этим проблемам Ассамблея МОК в своем решении указала, каким образом МОК могла бы на основе сформулированных в ее Уставе целей оказать государствам-членам и другим заинтересованным сторонам содействие </w:t>
      </w:r>
      <w:bookmarkStart w:id="94" w:name="_Hlk177382307"/>
      <w:r>
        <w:t xml:space="preserve">в вопросах </w:t>
      </w:r>
      <w:r w:rsidR="00A13994">
        <w:t xml:space="preserve">научно обоснованного устойчивого </w:t>
      </w:r>
      <w:r>
        <w:t>планирования</w:t>
      </w:r>
      <w:r w:rsidR="00A13994">
        <w:t xml:space="preserve"> в сфере океана</w:t>
      </w:r>
      <w:bookmarkEnd w:id="94"/>
      <w:r>
        <w:t>, осуществления природоохранных конвенций и рамочных программ ООН с опорой на результаты морских научных исследований, а также в вопросах устойчивого развития морского хозяйства.</w:t>
      </w:r>
    </w:p>
    <w:p w14:paraId="5492224E" w14:textId="0CBF34E1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lastRenderedPageBreak/>
        <w:t>Указанный консультационный процесс будет осуществляться поэтапно и обеспечит методологическую основу при разработке следующей четырех</w:t>
      </w:r>
      <w:r w:rsidR="00A13994">
        <w:t>летней</w:t>
      </w:r>
      <w:r>
        <w:t xml:space="preserve"> программы МОК на 2026-2029</w:t>
      </w:r>
      <w:r w:rsidR="00DA5F61">
        <w:rPr>
          <w:lang w:val="en-US"/>
        </w:rPr>
        <w:t> </w:t>
      </w:r>
      <w:r>
        <w:t>гг., а также базовые положения следующей среднесрочной стратегии на период с 2030</w:t>
      </w:r>
      <w:r w:rsidR="004A0465">
        <w:rPr>
          <w:lang w:val="en-US"/>
        </w:rPr>
        <w:t> </w:t>
      </w:r>
      <w:r>
        <w:t>г. и далее.</w:t>
      </w:r>
    </w:p>
    <w:bookmarkEnd w:id="92"/>
    <w:bookmarkEnd w:id="93"/>
    <w:p w14:paraId="11B46073" w14:textId="76BE16FD" w:rsidR="00A13994" w:rsidRPr="00A13994" w:rsidRDefault="005C239B" w:rsidP="00CF7F0C">
      <w:pPr>
        <w:pStyle w:val="Style2"/>
        <w:numPr>
          <w:ilvl w:val="0"/>
          <w:numId w:val="42"/>
        </w:numPr>
        <w:tabs>
          <w:tab w:val="left" w:pos="714"/>
        </w:tabs>
        <w:ind w:left="0" w:hanging="686"/>
        <w:rPr>
          <w:rFonts w:cs="Arial"/>
        </w:rPr>
      </w:pPr>
      <w:r>
        <w:t xml:space="preserve">Выступили представители </w:t>
      </w:r>
      <w:r w:rsidR="00A13994">
        <w:t>25</w:t>
      </w:r>
      <w:r>
        <w:t xml:space="preserve"> государств-членов</w:t>
      </w:r>
      <w:r w:rsidR="00A13994">
        <w:t xml:space="preserve"> и шести наблюдателей</w:t>
      </w:r>
      <w:r>
        <w:t xml:space="preserve">. </w:t>
      </w:r>
    </w:p>
    <w:p w14:paraId="36C8CE00" w14:textId="77777777" w:rsidR="00A13994" w:rsidRPr="00A13994" w:rsidRDefault="00A13994" w:rsidP="00CF7F0C">
      <w:pPr>
        <w:pStyle w:val="Style2"/>
        <w:numPr>
          <w:ilvl w:val="0"/>
          <w:numId w:val="42"/>
        </w:numPr>
        <w:tabs>
          <w:tab w:val="left" w:pos="714"/>
        </w:tabs>
        <w:ind w:left="0" w:hanging="686"/>
        <w:rPr>
          <w:rFonts w:cs="Arial"/>
        </w:rPr>
      </w:pPr>
      <w:r>
        <w:t xml:space="preserve">Государства-члены поздравили Исполнительного секретаря с назначением на этот пост и поблагодарили его за весьма содержательный и полный доклад. </w:t>
      </w:r>
    </w:p>
    <w:p w14:paraId="0319A6C0" w14:textId="77777777" w:rsidR="00DB4A3E" w:rsidRPr="00DB4A3E" w:rsidRDefault="00A13994" w:rsidP="00CF7F0C">
      <w:pPr>
        <w:pStyle w:val="Style2"/>
        <w:numPr>
          <w:ilvl w:val="0"/>
          <w:numId w:val="42"/>
        </w:numPr>
        <w:tabs>
          <w:tab w:val="left" w:pos="714"/>
        </w:tabs>
        <w:ind w:left="0" w:hanging="686"/>
        <w:rPr>
          <w:rFonts w:cs="Arial"/>
        </w:rPr>
      </w:pPr>
      <w:r>
        <w:t xml:space="preserve">Они выразили удовлетворение тем фактом, что увеличение бюджета на 2024-2025 гг. позволит укрепить работу по всем функциям МОК и уделить особое внимание программам наблюдений, управлению данными, укреплению потенциала, а также мероприятиям на региональном уровне, в особенности в Африке и МОСРГ, в соответствии с указаниями, сформулированными Ассамблеей МОК на ее 32-й сессии в 2023 г. Государства-члены подчеркнули важность обеспечения всех подкомиссий МОК, которые являются ключевыми </w:t>
      </w:r>
      <w:r w:rsidR="00DB4A3E">
        <w:t>органами, отвечающими за работу на местах, достаточными для выполнения их целей</w:t>
      </w:r>
      <w:r w:rsidR="00DB4A3E" w:rsidRPr="00DB4A3E">
        <w:t xml:space="preserve"> кадровыми и бюджетными ресурсами</w:t>
      </w:r>
      <w:r w:rsidR="00DB4A3E">
        <w:t xml:space="preserve">. </w:t>
      </w:r>
    </w:p>
    <w:p w14:paraId="6FA6F3D0" w14:textId="77777777" w:rsidR="00DB4A3E" w:rsidRPr="00DB4A3E" w:rsidRDefault="00DB4A3E" w:rsidP="00CF7F0C">
      <w:pPr>
        <w:pStyle w:val="Style2"/>
        <w:numPr>
          <w:ilvl w:val="0"/>
          <w:numId w:val="42"/>
        </w:numPr>
        <w:tabs>
          <w:tab w:val="left" w:pos="714"/>
        </w:tabs>
        <w:ind w:left="0" w:hanging="686"/>
        <w:rPr>
          <w:rFonts w:cs="Arial"/>
        </w:rPr>
      </w:pPr>
      <w:r>
        <w:t>Члены Исполнительного совета высоко оценили активное участие МОК на высоком уровне в недавних международных конференциях по тематике Мирового океана, а также поддержку текущих программ в рамках Десятилетия океана ООН. Посвященная Десятилетию океана конференция, проходившая в апреле 2024 г. в Барселоне, предоставила отличную возможность для краткого представления среднесрочных результатов Десятилетия океана ООН и обсуждения будущих направлений работы.</w:t>
      </w:r>
    </w:p>
    <w:p w14:paraId="001C9004" w14:textId="77777777" w:rsidR="00185564" w:rsidRPr="00185564" w:rsidRDefault="00DB4A3E" w:rsidP="00CF7F0C">
      <w:pPr>
        <w:pStyle w:val="Style2"/>
        <w:numPr>
          <w:ilvl w:val="0"/>
          <w:numId w:val="42"/>
        </w:numPr>
        <w:tabs>
          <w:tab w:val="left" w:pos="714"/>
        </w:tabs>
        <w:ind w:left="0" w:hanging="686"/>
        <w:rPr>
          <w:rFonts w:cs="Arial"/>
        </w:rPr>
      </w:pPr>
      <w:r>
        <w:t xml:space="preserve">Государства-члены приветствовали инициативу проведения консультаций </w:t>
      </w:r>
      <w:r w:rsidR="0094763F">
        <w:t xml:space="preserve">по теме </w:t>
      </w:r>
      <w:r w:rsidR="00185564">
        <w:t xml:space="preserve">«МОК и будущее Мирового океана», отметив их взаимосвязь с планом действий в связи с проведенной </w:t>
      </w:r>
      <w:r w:rsidR="00185564">
        <w:rPr>
          <w:lang w:val="en-US"/>
        </w:rPr>
        <w:t>IOS</w:t>
      </w:r>
      <w:r w:rsidR="00185564" w:rsidRPr="00096DD5">
        <w:t xml:space="preserve"> </w:t>
      </w:r>
      <w:r w:rsidR="00185564">
        <w:t xml:space="preserve">оценкой стратегического позиционирования МОК и важность разработки четкой методики их проведения и круга ведения, с тем чтобы государства-члены были действительно активными участниками этого процесса. Они также отметили своевременность проведения именно на этом этапе оценки процессов руководства и управления в МОК в целях упорядочения ее функционирования и оптимизации использования ресурсов, благодаря чему Комиссия будет в полной мере соответствовать требованиям, связанным с быстро изменяющейся повесткой дня в области океана, и сможет удовлетворять растущие потребности государств-членов. </w:t>
      </w:r>
    </w:p>
    <w:p w14:paraId="484CC21B" w14:textId="382CE634" w:rsidR="005C239B" w:rsidRPr="00281FE9" w:rsidRDefault="005C239B" w:rsidP="00CF7F0C">
      <w:pPr>
        <w:pStyle w:val="Style2"/>
        <w:numPr>
          <w:ilvl w:val="0"/>
          <w:numId w:val="42"/>
        </w:numPr>
        <w:tabs>
          <w:tab w:val="left" w:pos="714"/>
        </w:tabs>
        <w:ind w:left="0" w:hanging="686"/>
        <w:rPr>
          <w:rFonts w:cs="Arial"/>
        </w:rPr>
      </w:pPr>
      <w:r>
        <w:t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</w:t>
      </w:r>
      <w:r w:rsidR="00185564">
        <w:t xml:space="preserve"> и три наблюдателя</w:t>
      </w:r>
      <w:r>
        <w:t xml:space="preserve">: </w:t>
      </w:r>
      <w:r w:rsidR="00185564">
        <w:t xml:space="preserve">Австралия, Бразилия, Германия, Индия, Исландия, </w:t>
      </w:r>
      <w:r w:rsidR="00281FE9">
        <w:t xml:space="preserve">Испания, </w:t>
      </w:r>
      <w:r w:rsidR="00185564">
        <w:t>Италия, Канада, Колумбия</w:t>
      </w:r>
      <w:r w:rsidR="00281FE9">
        <w:t>, Португалия, Республика Корея, Соединенное Королевство Великобритании и Северной Ирландии, Соединенные Штаты Америки, Таиланд, Южная Африка, Япония, а также Маврикий, Российская Федерация и ВМО в качестве наблюдателей</w:t>
      </w:r>
      <w:r>
        <w:t>.</w:t>
      </w:r>
    </w:p>
    <w:p w14:paraId="5F190B7B" w14:textId="06EDF6AE" w:rsidR="00281FE9" w:rsidRPr="00096DD5" w:rsidRDefault="00281FE9" w:rsidP="00CF7F0C">
      <w:pPr>
        <w:pStyle w:val="Style2"/>
        <w:numPr>
          <w:ilvl w:val="0"/>
          <w:numId w:val="42"/>
        </w:numPr>
        <w:tabs>
          <w:tab w:val="left" w:pos="714"/>
        </w:tabs>
        <w:ind w:left="0" w:hanging="686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EC</w:t>
      </w:r>
      <w:r w:rsidRPr="00096DD5">
        <w:rPr>
          <w:rFonts w:cs="Arial"/>
          <w:u w:val="single"/>
        </w:rPr>
        <w:t>-57/3.1</w:t>
      </w:r>
      <w:r>
        <w:rPr>
          <w:rFonts w:cs="Arial"/>
          <w:u w:val="single"/>
        </w:rPr>
        <w:t>.</w:t>
      </w:r>
    </w:p>
    <w:p w14:paraId="171E3900" w14:textId="77777777" w:rsidR="00281FE9" w:rsidRDefault="00281FE9" w:rsidP="004D3520">
      <w:pPr>
        <w:pStyle w:val="ListParagraph"/>
        <w:spacing w:after="240"/>
        <w:contextualSpacing w:val="0"/>
        <w:jc w:val="center"/>
        <w:rPr>
          <w:rFonts w:ascii="Arial" w:hAnsi="Arial"/>
          <w:b/>
          <w:bCs/>
          <w:iCs/>
          <w:sz w:val="22"/>
          <w:szCs w:val="22"/>
        </w:rPr>
      </w:pPr>
      <w:r w:rsidRPr="00281FE9">
        <w:rPr>
          <w:rFonts w:ascii="Arial" w:hAnsi="Arial"/>
          <w:b/>
          <w:bCs/>
          <w:iCs/>
          <w:sz w:val="22"/>
          <w:szCs w:val="22"/>
        </w:rPr>
        <w:t>Доклад Исполнительного секретаря</w:t>
      </w:r>
    </w:p>
    <w:p w14:paraId="7D7D7450" w14:textId="77777777" w:rsidR="00281FE9" w:rsidRDefault="00281FE9" w:rsidP="004D3520">
      <w:pPr>
        <w:pStyle w:val="ListParagraph"/>
        <w:spacing w:after="240"/>
        <w:contextualSpacing w:val="0"/>
        <w:rPr>
          <w:rFonts w:ascii="Arial" w:hAnsi="Arial"/>
          <w:iCs/>
          <w:sz w:val="22"/>
          <w:szCs w:val="22"/>
        </w:rPr>
      </w:pPr>
      <w:r w:rsidRPr="00281FE9">
        <w:rPr>
          <w:rFonts w:ascii="Arial" w:hAnsi="Arial"/>
          <w:iCs/>
          <w:sz w:val="22"/>
          <w:szCs w:val="22"/>
        </w:rPr>
        <w:t>Исполнительный совет,</w:t>
      </w:r>
    </w:p>
    <w:p w14:paraId="50E42490" w14:textId="77777777" w:rsidR="00281FE9" w:rsidRDefault="00281FE9" w:rsidP="004D3520">
      <w:pPr>
        <w:pStyle w:val="ListParagraph"/>
        <w:spacing w:after="240"/>
        <w:contextualSpacing w:val="0"/>
        <w:rPr>
          <w:rFonts w:ascii="Arial" w:hAnsi="Arial"/>
          <w:sz w:val="22"/>
          <w:szCs w:val="22"/>
        </w:rPr>
      </w:pPr>
      <w:r w:rsidRPr="00281FE9">
        <w:rPr>
          <w:rFonts w:ascii="Arial" w:hAnsi="Arial"/>
          <w:sz w:val="22"/>
          <w:szCs w:val="22"/>
          <w:u w:val="single"/>
        </w:rPr>
        <w:t>рассмотрев</w:t>
      </w:r>
      <w:r w:rsidRPr="00281FE9">
        <w:rPr>
          <w:rFonts w:ascii="Arial" w:hAnsi="Arial"/>
          <w:sz w:val="22"/>
          <w:szCs w:val="22"/>
        </w:rPr>
        <w:t xml:space="preserve"> документы IOC/EC-57/3.1.Doc(1), IOC/EC-57/3.1.Doc(2) Part 2 и IOC/EC-57/3.1.Doc(3),</w:t>
      </w:r>
    </w:p>
    <w:p w14:paraId="5B5B79C2" w14:textId="77777777" w:rsidR="00281FE9" w:rsidRPr="00281FE9" w:rsidRDefault="00281FE9" w:rsidP="004D3520">
      <w:pPr>
        <w:pStyle w:val="ListParagraph"/>
        <w:spacing w:after="24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281FE9">
        <w:rPr>
          <w:rFonts w:ascii="Arial" w:hAnsi="Arial"/>
          <w:color w:val="000000"/>
          <w:sz w:val="22"/>
          <w:szCs w:val="22"/>
          <w:u w:val="single"/>
        </w:rPr>
        <w:t>благодарит</w:t>
      </w:r>
      <w:r w:rsidRPr="00281FE9">
        <w:rPr>
          <w:rFonts w:ascii="Arial" w:hAnsi="Arial"/>
          <w:color w:val="000000"/>
          <w:sz w:val="22"/>
          <w:szCs w:val="22"/>
        </w:rPr>
        <w:t xml:space="preserve"> Исполнительного секретаря за весьма исчерпывающий доклад;</w:t>
      </w:r>
    </w:p>
    <w:p w14:paraId="2717761C" w14:textId="5F5AF253" w:rsidR="00281FE9" w:rsidRPr="005C239B" w:rsidRDefault="00281FE9" w:rsidP="00CF7F0C">
      <w:pPr>
        <w:pStyle w:val="Style2"/>
        <w:tabs>
          <w:tab w:val="clear" w:pos="1400"/>
          <w:tab w:val="left" w:pos="714"/>
        </w:tabs>
        <w:rPr>
          <w:rFonts w:cs="Arial"/>
        </w:rPr>
      </w:pPr>
      <w:r w:rsidRPr="00E05DB3">
        <w:rPr>
          <w:u w:val="single"/>
        </w:rPr>
        <w:lastRenderedPageBreak/>
        <w:t>принимает к сведению</w:t>
      </w:r>
      <w:r w:rsidRPr="00E05DB3">
        <w:t xml:space="preserve"> представленную информацию, с удовлетворением отмечая значимые положительные изменения во многих областях программной деятельности.</w:t>
      </w:r>
    </w:p>
    <w:p w14:paraId="43BF73CE" w14:textId="71D20535" w:rsidR="005C239B" w:rsidRPr="00A30690" w:rsidRDefault="005C239B" w:rsidP="00CF7F0C">
      <w:pPr>
        <w:pStyle w:val="Heading2"/>
        <w:tabs>
          <w:tab w:val="clear" w:pos="737"/>
        </w:tabs>
        <w:ind w:left="709" w:hanging="709"/>
        <w:rPr>
          <w:rFonts w:cs="Arial"/>
          <w:szCs w:val="22"/>
        </w:rPr>
      </w:pPr>
      <w:bookmarkStart w:id="95" w:name="_Toc85469063"/>
      <w:bookmarkStart w:id="96" w:name="_Toc92752494"/>
      <w:bookmarkStart w:id="97" w:name="_Toc177658028"/>
      <w:bookmarkStart w:id="98" w:name="_Toc38080253"/>
      <w:bookmarkStart w:id="99" w:name="_Toc100506265"/>
      <w:bookmarkStart w:id="100" w:name="_Toc135143714"/>
      <w:bookmarkStart w:id="101" w:name="_Toc164651235"/>
      <w:bookmarkStart w:id="102" w:name="_Toc199912196"/>
      <w:bookmarkStart w:id="103" w:name="_Toc225590804"/>
      <w:bookmarkStart w:id="104" w:name="_Toc225660265"/>
      <w:r>
        <w:t>3.2</w:t>
      </w:r>
      <w:r>
        <w:tab/>
        <w:t>ДОКЛАДЫ ВСПОМОГАТЕЛЬНЫХ ОРГАНОВ МОК</w:t>
      </w:r>
      <w:bookmarkEnd w:id="95"/>
      <w:bookmarkEnd w:id="96"/>
      <w:bookmarkEnd w:id="97"/>
    </w:p>
    <w:p w14:paraId="22CA7231" w14:textId="7BD115FD" w:rsidR="005C239B" w:rsidRPr="005C239B" w:rsidRDefault="005C239B" w:rsidP="00CF7F0C">
      <w:pPr>
        <w:pStyle w:val="Heading3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970"/>
        </w:tabs>
        <w:ind w:left="709" w:hanging="709"/>
        <w:rPr>
          <w:rFonts w:cs="Arial"/>
          <w:szCs w:val="22"/>
        </w:rPr>
      </w:pPr>
      <w:bookmarkStart w:id="105" w:name="_Toc85469064"/>
      <w:bookmarkStart w:id="106" w:name="_Toc92752495"/>
      <w:bookmarkStart w:id="107" w:name="_Toc177658029"/>
      <w:r>
        <w:t>3.5.1</w:t>
      </w:r>
      <w:r>
        <w:tab/>
      </w:r>
      <w:r w:rsidR="00B23265" w:rsidRPr="00E06DA0">
        <w:tab/>
      </w:r>
      <w:r>
        <w:t>Системы предупреждения об опасных океанических явлениях и смягчения их последствий</w:t>
      </w:r>
      <w:bookmarkEnd w:id="105"/>
      <w:bookmarkEnd w:id="106"/>
      <w:bookmarkEnd w:id="107"/>
    </w:p>
    <w:p w14:paraId="4B8B78CC" w14:textId="77777777" w:rsidR="005C239B" w:rsidRPr="005C239B" w:rsidRDefault="005C239B" w:rsidP="00CF7F0C">
      <w:pPr>
        <w:pStyle w:val="Heading3"/>
        <w:ind w:left="1560" w:hanging="851"/>
        <w:rPr>
          <w:rFonts w:cs="Arial"/>
          <w:b w:val="0"/>
          <w:bCs w:val="0"/>
          <w:i/>
          <w:iCs/>
          <w:szCs w:val="22"/>
        </w:rPr>
      </w:pPr>
      <w:bookmarkStart w:id="108" w:name="_Toc85469065"/>
      <w:bookmarkStart w:id="109" w:name="_Toc92752496"/>
      <w:bookmarkStart w:id="110" w:name="_Toc177658030"/>
      <w:r>
        <w:rPr>
          <w:b w:val="0"/>
          <w:bCs w:val="0"/>
          <w:i/>
          <w:iCs/>
          <w:szCs w:val="22"/>
        </w:rPr>
        <w:t>3.2.1.1</w:t>
      </w:r>
      <w:r>
        <w:rPr>
          <w:b w:val="0"/>
          <w:bCs w:val="0"/>
          <w:i/>
          <w:iCs/>
          <w:szCs w:val="22"/>
        </w:rPr>
        <w:tab/>
        <w:t>Региональные службы раннего предупреждения</w:t>
      </w:r>
      <w:bookmarkEnd w:id="108"/>
      <w:bookmarkEnd w:id="109"/>
      <w:bookmarkEnd w:id="110"/>
    </w:p>
    <w:p w14:paraId="5E5E00AD" w14:textId="77777777" w:rsidR="005C239B" w:rsidRPr="005C239B" w:rsidRDefault="005C239B" w:rsidP="004D3520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Со вступительным словом по этому пункту повестки дня выступил Председатель МОК, который сообщил Совету о том, что в межсессионный период свои совещания провели три координационные группы региональных служб раннего оповещения, планирующие представить соответствующую информацию Исполнительному совету на текущей сессии. Он приветствовал участвующих в работе сессии председателей МКГ/КАРИБ-СРП, МКГ/СПЦСВАСМ и МКГ/СПЦТО.</w:t>
      </w:r>
    </w:p>
    <w:p w14:paraId="574CC5F0" w14:textId="42034B5B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Доклад 1</w:t>
      </w:r>
      <w:r w:rsidR="004417C0">
        <w:t>7</w:t>
      </w:r>
      <w:r>
        <w:t>-й сессии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регионах представил</w:t>
      </w:r>
      <w:r w:rsidR="00E46E42">
        <w:t>а</w:t>
      </w:r>
      <w:r>
        <w:t xml:space="preserve"> </w:t>
      </w:r>
      <w:r w:rsidR="00E46E42">
        <w:t xml:space="preserve">заместитель </w:t>
      </w:r>
      <w:r>
        <w:t>председател</w:t>
      </w:r>
      <w:r w:rsidR="00E46E42">
        <w:t>я</w:t>
      </w:r>
      <w:r w:rsidR="00E46E42" w:rsidRPr="00E46E42">
        <w:rPr>
          <w:rFonts w:ascii="Times New Roman" w:hAnsi="Times New Roman"/>
          <w:iCs w:val="0"/>
          <w:color w:val="000000"/>
          <w:sz w:val="27"/>
          <w:szCs w:val="27"/>
          <w:shd w:val="clear" w:color="auto" w:fill="FFFFE0"/>
        </w:rPr>
        <w:t xml:space="preserve"> </w:t>
      </w:r>
      <w:r w:rsidR="00E46E42" w:rsidRPr="00E46E42">
        <w:t>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регионах</w:t>
      </w:r>
      <w:r>
        <w:t xml:space="preserve"> </w:t>
      </w:r>
      <w:r w:rsidR="00E46E42">
        <w:t>(</w:t>
      </w:r>
      <w:r>
        <w:t>МКГ/КАРИБ-СРП</w:t>
      </w:r>
      <w:r w:rsidR="00E46E42">
        <w:t>)</w:t>
      </w:r>
      <w:r>
        <w:t xml:space="preserve"> г</w:t>
      </w:r>
      <w:r w:rsidR="0043648F">
        <w:noBreakHyphen/>
      </w:r>
      <w:r w:rsidR="00E46E42">
        <w:t>жа</w:t>
      </w:r>
      <w:r w:rsidR="0043648F">
        <w:t> </w:t>
      </w:r>
      <w:r w:rsidR="00E46E42">
        <w:t xml:space="preserve">Реджина Браун </w:t>
      </w:r>
      <w:r>
        <w:t>(</w:t>
      </w:r>
      <w:r w:rsidR="00E46E42">
        <w:t>США – Виргинские о-ва</w:t>
      </w:r>
      <w:r>
        <w:t>). О</w:t>
      </w:r>
      <w:r w:rsidR="00E46E42">
        <w:t>т имени председателя МКГ/КАРИБ-СРП г</w:t>
      </w:r>
      <w:r w:rsidR="0043648F">
        <w:noBreakHyphen/>
      </w:r>
      <w:r w:rsidR="00E46E42">
        <w:t>на</w:t>
      </w:r>
      <w:r w:rsidR="0043648F">
        <w:t> </w:t>
      </w:r>
      <w:r w:rsidR="00E46E42">
        <w:t>Жерара Метайе (Гаити) о</w:t>
      </w:r>
      <w:r>
        <w:t>н</w:t>
      </w:r>
      <w:r w:rsidR="00E46E42">
        <w:t>а</w:t>
      </w:r>
      <w:r>
        <w:t xml:space="preserve"> информировал</w:t>
      </w:r>
      <w:r w:rsidR="00E46E42">
        <w:t>а</w:t>
      </w:r>
      <w:r>
        <w:t xml:space="preserve"> Совет об основных результатах учений «Карибская волна-2024», проведенных 21 марта 2024 г. с участием в общей сложности более 400</w:t>
      </w:r>
      <w:r w:rsidR="0043648F">
        <w:t> </w:t>
      </w:r>
      <w:r>
        <w:t>тыс. человек. Он</w:t>
      </w:r>
      <w:r w:rsidR="00E46E42">
        <w:t>а</w:t>
      </w:r>
      <w:r>
        <w:t xml:space="preserve"> рассказал</w:t>
      </w:r>
      <w:r w:rsidR="00E46E42">
        <w:t>а</w:t>
      </w:r>
      <w:r>
        <w:t xml:space="preserve"> также об итогах проходившей с 6 по 9 мая 2024 г. в Манагуа, Никарагуа, 1</w:t>
      </w:r>
      <w:r w:rsidR="004417C0">
        <w:t>7</w:t>
      </w:r>
      <w:r>
        <w:t xml:space="preserve">-й сессии МКГ/КАРИБ-СРП, </w:t>
      </w:r>
      <w:r w:rsidR="004417C0">
        <w:t xml:space="preserve">таких как: </w:t>
      </w:r>
      <w:r w:rsidR="004417C0" w:rsidRPr="00826A42">
        <w:t>(</w:t>
      </w:r>
      <w:r w:rsidR="004417C0">
        <w:rPr>
          <w:lang w:val="en-US"/>
        </w:rPr>
        <w:t>i</w:t>
      </w:r>
      <w:r w:rsidR="004417C0" w:rsidRPr="00826A42">
        <w:t>)</w:t>
      </w:r>
      <w:r w:rsidR="004417C0">
        <w:rPr>
          <w:lang w:val="en-US"/>
        </w:rPr>
        <w:t> </w:t>
      </w:r>
      <w:r w:rsidR="004417C0">
        <w:t xml:space="preserve">учреждение руководящего комитета МКГ/КАРИБ-СРП; </w:t>
      </w:r>
      <w:r w:rsidR="004417C0" w:rsidRPr="00826A42">
        <w:t>(</w:t>
      </w:r>
      <w:r w:rsidR="004417C0">
        <w:rPr>
          <w:lang w:val="en-US"/>
        </w:rPr>
        <w:t>ii</w:t>
      </w:r>
      <w:r w:rsidR="004417C0" w:rsidRPr="00826A42">
        <w:t>)</w:t>
      </w:r>
      <w:r w:rsidR="004417C0">
        <w:t xml:space="preserve"> принятие рекомендации в отношении </w:t>
      </w:r>
      <w:r w:rsidR="004417C0" w:rsidRPr="004417C0">
        <w:t>продолж</w:t>
      </w:r>
      <w:r w:rsidR="004417C0">
        <w:t xml:space="preserve">ения </w:t>
      </w:r>
      <w:r w:rsidR="004417C0" w:rsidRPr="004417C0">
        <w:t>полноценно</w:t>
      </w:r>
      <w:r w:rsidR="004417C0">
        <w:t>го</w:t>
      </w:r>
      <w:r w:rsidR="004417C0" w:rsidRPr="004417C0">
        <w:t xml:space="preserve"> функционировани</w:t>
      </w:r>
      <w:r w:rsidR="004417C0">
        <w:t>я</w:t>
      </w:r>
      <w:r w:rsidR="004417C0" w:rsidRPr="004417C0">
        <w:t xml:space="preserve"> КЦЦЦА на временной основе</w:t>
      </w:r>
      <w:r w:rsidR="004417C0">
        <w:t xml:space="preserve">; </w:t>
      </w:r>
      <w:r w:rsidR="004417C0" w:rsidRPr="00826A42">
        <w:t>(</w:t>
      </w:r>
      <w:r w:rsidR="004417C0">
        <w:rPr>
          <w:lang w:val="en-US"/>
        </w:rPr>
        <w:t>iii</w:t>
      </w:r>
      <w:r w:rsidR="004417C0" w:rsidRPr="00826A42">
        <w:t>)</w:t>
      </w:r>
      <w:r w:rsidR="004417C0">
        <w:t> </w:t>
      </w:r>
      <w:r w:rsidR="004417C0" w:rsidRPr="004417C0">
        <w:t>запланированное проведение учений «Карибская волна-2025»</w:t>
      </w:r>
      <w:r w:rsidR="004417C0">
        <w:t xml:space="preserve">; </w:t>
      </w:r>
      <w:r w:rsidR="004417C0" w:rsidRPr="004417C0">
        <w:t xml:space="preserve"> </w:t>
      </w:r>
      <w:r w:rsidR="004417C0" w:rsidRPr="00826A42">
        <w:t>(</w:t>
      </w:r>
      <w:r w:rsidR="004417C0">
        <w:rPr>
          <w:lang w:val="en-US"/>
        </w:rPr>
        <w:t>iv</w:t>
      </w:r>
      <w:r w:rsidR="004417C0" w:rsidRPr="00826A42">
        <w:t>)</w:t>
      </w:r>
      <w:r w:rsidR="004417C0">
        <w:t> </w:t>
      </w:r>
      <w:r w:rsidR="004417C0" w:rsidRPr="004417C0">
        <w:t>создание целевой группы по сертификации готовности к цунами</w:t>
      </w:r>
      <w:r w:rsidR="00BE18E4">
        <w:t>;</w:t>
      </w:r>
      <w:r w:rsidR="00BE18E4" w:rsidRPr="00826A42">
        <w:t xml:space="preserve"> (</w:t>
      </w:r>
      <w:r w:rsidR="00BE18E4">
        <w:rPr>
          <w:lang w:val="en-US"/>
        </w:rPr>
        <w:t>v</w:t>
      </w:r>
      <w:r w:rsidR="00BE18E4" w:rsidRPr="00826A42">
        <w:t>)</w:t>
      </w:r>
      <w:r w:rsidR="00BE18E4">
        <w:rPr>
          <w:lang w:val="en-US"/>
        </w:rPr>
        <w:t> </w:t>
      </w:r>
      <w:r w:rsidR="00BE18E4">
        <w:t xml:space="preserve">рассмотрение </w:t>
      </w:r>
      <w:r w:rsidR="00BE18E4" w:rsidRPr="00826A42">
        <w:t>во</w:t>
      </w:r>
      <w:r w:rsidR="00BE18E4">
        <w:t>проса о</w:t>
      </w:r>
      <w:r w:rsidR="00BE18E4" w:rsidRPr="00826A42">
        <w:t xml:space="preserve"> проведени</w:t>
      </w:r>
      <w:r w:rsidR="00BE18E4">
        <w:t>и</w:t>
      </w:r>
      <w:r w:rsidR="00BE18E4" w:rsidRPr="00826A42">
        <w:t xml:space="preserve"> МКГ/КАРИБ-СРП </w:t>
      </w:r>
      <w:bookmarkStart w:id="111" w:name="_Hlk177395326"/>
      <w:r w:rsidR="00BE18E4" w:rsidRPr="00826A42">
        <w:t xml:space="preserve">начиная </w:t>
      </w:r>
      <w:r w:rsidR="00FC77F8">
        <w:t xml:space="preserve">с </w:t>
      </w:r>
      <w:r w:rsidR="00BE18E4" w:rsidRPr="00826A42">
        <w:t xml:space="preserve">2026 г. и в последующий период своих сессий в очном формате </w:t>
      </w:r>
      <w:r w:rsidR="00FC77F8">
        <w:t xml:space="preserve">по четным годам </w:t>
      </w:r>
      <w:r w:rsidR="00BE18E4" w:rsidRPr="00826A42">
        <w:t xml:space="preserve">и в онлайновом </w:t>
      </w:r>
      <w:r w:rsidR="00BE18E4">
        <w:t>формате</w:t>
      </w:r>
      <w:bookmarkEnd w:id="111"/>
      <w:r w:rsidR="00FC77F8">
        <w:t xml:space="preserve"> – по нечетным</w:t>
      </w:r>
      <w:r>
        <w:t>.</w:t>
      </w:r>
    </w:p>
    <w:p w14:paraId="375260E7" w14:textId="41DEFC4F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Д-р Алессандро Амато (Италия), председатель Межправительственной координационной группы по системе раннего предупреждения о цунами и смягчения их последствий в Северо-Восточной Атлантике, Средиземном и прилегающих морях, информировал Совет об итогах 18-й сессии МКГ/СПЦСВАСМ, состоявшейся в Штаб-квартире ЮНЕСКО в Париже 6-8 февраля 2024 г. Он отметил, что муниципалитет г. Канны (Франция) стал первым признанным административно-территориальным образованием в регионе СВАСМ, прошедшим программу сертификации готовности к цунами. </w:t>
      </w:r>
      <w:r w:rsidR="00D913E4">
        <w:t xml:space="preserve">Сертификат готовности к цунами получили также четыре населенных пункта в Египте, Греции, Испании и Турции. </w:t>
      </w:r>
      <w:r>
        <w:t>Кроме того, он отметил, что в ходе сессии МКГ/СПЦСВАСМ с удовлетворением приняла к сведению информацию о завершении подготовки и публикации стратегии деятельности МКГ/СПЦСВАСМ на 2021-2030 гг., а также об успешном проведении учений по проверке готовности к цунами «СВАСМ/Волна-23» и об утверждении финансирования Генеральным директоратом Европейской комиссии по вопросам защиты гражданского населения и гуманитарной помощи второго этапа проекта «Прибрежная волна» на очередной двухлетний период.</w:t>
      </w:r>
    </w:p>
    <w:p w14:paraId="6E5C5A27" w14:textId="142D8C7B" w:rsidR="005C239B" w:rsidRPr="00647328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Доклад 30-й сессии Межправительственной координационной группы по системе предупреждения о цунами и смягчения их последствий в Тихом океане, проходившей с 11 по 15 сентября 2023 г. в Нукуалофа, Тонга, представил председатель МКГ/СПЦТО г-н Ю</w:t>
      </w:r>
      <w:r w:rsidR="00647328">
        <w:t>дз</w:t>
      </w:r>
      <w:r>
        <w:t>и Ни</w:t>
      </w:r>
      <w:r w:rsidR="00647328">
        <w:t>с</w:t>
      </w:r>
      <w:r>
        <w:t xml:space="preserve">имаэ. По его словам, в работе сессии приняли участие более 80 делегатов из 17 стран. Участники </w:t>
      </w:r>
      <w:r w:rsidR="00BE18E4">
        <w:t xml:space="preserve">избрали председателя и трех его заместителей и </w:t>
      </w:r>
      <w:r>
        <w:t xml:space="preserve">выступили с инициативой укрепления потенциала Руководящего комитета в соответствии с целями Десятилетия ООН, посвященного науке об океане в интересах устойчивого развития (2021-2030 гг.), и учредили </w:t>
      </w:r>
      <w:r>
        <w:lastRenderedPageBreak/>
        <w:t>три новые рабочие группы: по обеспечению готовности к цунами, вызванным извержением вулканов; по передовым методам моделирования прогнозов и по повышению уровня готовности на уровне общин. МКГ постановила провести учения по проверке готовности к цунами («Тихоокеанская волна-2024»), которые пройдут в сентябре-ноябре 2024 г. и будут приурочены к проведению Международного дня по уменьшению опасности стихийных бедствий (13 октября) и Всемирного дня распространения информации о проблеме цунами (5 ноября).</w:t>
      </w:r>
    </w:p>
    <w:p w14:paraId="245A4154" w14:textId="7F63E5B9" w:rsidR="00647328" w:rsidRPr="00647328" w:rsidRDefault="00647328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Выступили представители 12 государств-членов и двух стран-наблюдателей.</w:t>
      </w:r>
    </w:p>
    <w:p w14:paraId="01846768" w14:textId="25F4BF83" w:rsidR="00975FB2" w:rsidRPr="00975FB2" w:rsidRDefault="00647328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Государства-члены приветствовали результаты осуществления программы МОК ЮНЕСКО по сертификации готовности к цунами, которых добились во всех МКГ, подчеркнули необходимость дальнейшего усовершенствования совместных проектов с ВМО по вопросам, связанным с затоплением береговых районов, дали высокую оценку работе секции повышения устойчивости к цунами МОК ЮНЕСКО и отметили ее роль в реализации инициативы Генерального секретаря ООН</w:t>
      </w:r>
      <w:r w:rsidR="006A694A">
        <w:t xml:space="preserve"> </w:t>
      </w:r>
      <w:r w:rsidR="006A694A" w:rsidRPr="006A694A">
        <w:t>«Раннее оповещение для всех»</w:t>
      </w:r>
      <w:r w:rsidR="006A694A">
        <w:t xml:space="preserve"> и ее важное значение для спасения человеческих жизней. Аргентина отметила необходимость проведения более широких консультаций по вопросам, связанным с программой МОК по цунами, в частности, по вопросам, касающимся предложения о расширении зоны мониторинга землетрясений СПЦТО, отдельно подчеркнув необходимость более тесной координации направления всем координаторам </w:t>
      </w:r>
      <w:r w:rsidR="006A694A">
        <w:rPr>
          <w:lang w:val="en-US"/>
        </w:rPr>
        <w:t>NAVAREA</w:t>
      </w:r>
      <w:r w:rsidR="006A694A" w:rsidRPr="00096DD5">
        <w:t xml:space="preserve"> </w:t>
      </w:r>
      <w:r w:rsidR="006A694A" w:rsidRPr="006A694A">
        <w:t>специальны</w:t>
      </w:r>
      <w:r w:rsidR="006A694A">
        <w:t>х</w:t>
      </w:r>
      <w:r w:rsidR="006A694A" w:rsidRPr="006A694A">
        <w:t xml:space="preserve"> сообщени</w:t>
      </w:r>
      <w:r w:rsidR="006A694A">
        <w:t>й</w:t>
      </w:r>
      <w:r w:rsidR="006A694A" w:rsidRPr="006A694A">
        <w:t xml:space="preserve"> для судов относительно безопасности на море</w:t>
      </w:r>
      <w:r w:rsidR="006A694A">
        <w:t xml:space="preserve">. В этом отношении Аргентина приветствовала учебный курс </w:t>
      </w:r>
      <w:r w:rsidR="00975FB2">
        <w:t>МЦИЦ по системам раннего оповещения о цунами и усовершенствованные продукты ТЦПЦ, учебный курс по планированию эвакуации в случае цунами и обеспечению готовности к цунами (МПЦ-СРОЦ-Чили), который был запланирован на 19-30 августа 2024 г. в Вальпараисо, Чили, и предоставляет прекрасную возможность укрепления сотрудничества между государствами-членами.</w:t>
      </w:r>
    </w:p>
    <w:p w14:paraId="10AAB82A" w14:textId="136EB635" w:rsidR="00647328" w:rsidRPr="005C239B" w:rsidRDefault="00975FB2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 и две страны-наблюдателя: Аргентина, Республика Корея, Соединенные Штаты Америки, Франция и Чили, а также Маврикий и Российская Федерация в качестве наблюдателей</w:t>
      </w:r>
      <w:r w:rsidR="00CE2B2C">
        <w:t>.</w:t>
      </w:r>
    </w:p>
    <w:p w14:paraId="67FB7B02" w14:textId="77777777" w:rsidR="005C239B" w:rsidRPr="005C239B" w:rsidRDefault="005C239B" w:rsidP="00CF7F0C">
      <w:pPr>
        <w:pStyle w:val="Heading3"/>
        <w:ind w:left="1560" w:hanging="851"/>
        <w:rPr>
          <w:rFonts w:cs="Arial"/>
          <w:b w:val="0"/>
          <w:bCs w:val="0"/>
          <w:i/>
          <w:iCs/>
          <w:szCs w:val="22"/>
        </w:rPr>
      </w:pPr>
      <w:bookmarkStart w:id="112" w:name="_Toc85469066"/>
      <w:bookmarkStart w:id="113" w:name="_Toc92752497"/>
      <w:bookmarkStart w:id="114" w:name="_Toc177658031"/>
      <w:r>
        <w:rPr>
          <w:b w:val="0"/>
          <w:bCs w:val="0"/>
          <w:i/>
          <w:iCs/>
          <w:szCs w:val="22"/>
        </w:rPr>
        <w:t>3.2.1.2</w:t>
      </w:r>
      <w:r>
        <w:rPr>
          <w:b w:val="0"/>
          <w:bCs w:val="0"/>
          <w:i/>
          <w:iCs/>
          <w:szCs w:val="22"/>
        </w:rPr>
        <w:tab/>
        <w:t>Глобальная координация систем предупреждения об опасных океанических явлениях и смягчения их последствий</w:t>
      </w:r>
      <w:bookmarkEnd w:id="112"/>
      <w:bookmarkEnd w:id="113"/>
      <w:bookmarkEnd w:id="114"/>
    </w:p>
    <w:p w14:paraId="3AA0CB90" w14:textId="1950C20F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представил д-р </w:t>
      </w:r>
      <w:r w:rsidR="00490693">
        <w:t xml:space="preserve">Шриниваса </w:t>
      </w:r>
      <w:r>
        <w:t xml:space="preserve">Кумар Туммала (Индия), председатель Рабочей группы по системам предупреждения о цунами и других опасных явлениях, связанных с изменением уровня моря, и смягчения их последствий (РГ-СПЦО). Он проинформировал Совет о последних изменениях, связанных с развитием систем предупреждения о цунами и смягчения их последствий, а также об итогах </w:t>
      </w:r>
      <w:r w:rsidR="00490693">
        <w:t xml:space="preserve">17-го </w:t>
      </w:r>
      <w:r>
        <w:t>совещания РГ-СПЦО (</w:t>
      </w:r>
      <w:r w:rsidR="00FB6DD0">
        <w:t>РГ-СПЦО-</w:t>
      </w:r>
      <w:r w:rsidR="00FB6DD0">
        <w:rPr>
          <w:lang w:val="en-US"/>
        </w:rPr>
        <w:t>XVII</w:t>
      </w:r>
      <w:r w:rsidR="00FB6DD0" w:rsidRPr="00096DD5">
        <w:t xml:space="preserve">, </w:t>
      </w:r>
      <w:r>
        <w:t>22</w:t>
      </w:r>
      <w:r w:rsidR="00CE2B2C">
        <w:noBreakHyphen/>
      </w:r>
      <w:r>
        <w:t>23 февраля 2024 г., Сендай, Япония. В числе основных рекомендаций РГ-СПЦО-XVII была подчеркнута актуальность более тесного сотрудничества МОК</w:t>
      </w:r>
      <w:r w:rsidR="00490693">
        <w:t xml:space="preserve"> </w:t>
      </w:r>
      <w:r>
        <w:t xml:space="preserve">ЮНЕСКО и Всемирной метеорологической организации (ВМО) с целью увязки деятельности, касающейся цунами, с такими инициативами, как «Раннее </w:t>
      </w:r>
      <w:r w:rsidR="00FB6DD0">
        <w:t xml:space="preserve">оповещение </w:t>
      </w:r>
      <w:r>
        <w:t>для всех» (Р</w:t>
      </w:r>
      <w:r w:rsidR="00FB6DD0">
        <w:t>О</w:t>
      </w:r>
      <w:r>
        <w:t>ДВ), направленной на обеспечение надлежащей готовности к стихийным бедствиям. Кроме того, группа постановила ускорить подготовку докладов и организацию вебинаров для распространения среди соответствующих заинтересованных сторон критически важной информации о вулканах, способных вызвать цунами, и связанных с ними опасных природных явлениях.</w:t>
      </w:r>
    </w:p>
    <w:p w14:paraId="45AE2F79" w14:textId="38FEFCAB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Р</w:t>
      </w:r>
      <w:r w:rsidR="00FB6DD0">
        <w:t xml:space="preserve">абочая группа </w:t>
      </w:r>
      <w:r>
        <w:t xml:space="preserve"> подтвердила и одобрила проведение в Индонезии Национальным агентством по метеорологии, климатологии и геофизике (АМКГ) международного симпозиума МОК по планированию деятельности, связанной с цунами, который пройдет в рамках мероприятий, приуроченных к 20-летию со дня цунами, </w:t>
      </w:r>
      <w:r w:rsidR="00FB6DD0">
        <w:t xml:space="preserve">произошедшего </w:t>
      </w:r>
      <w:r>
        <w:t xml:space="preserve">в 2004 г. в Индийском океане. </w:t>
      </w:r>
      <w:r w:rsidR="00FB6DD0">
        <w:lastRenderedPageBreak/>
        <w:t>Рабочая г</w:t>
      </w:r>
      <w:r>
        <w:t>руппа приняла к сведению информацию о подготовке комплекта методических материалов по вопросам готовности к цунами, который поможет государствам участвовать в программе сертификации готовности к цунами при поддержке экспертов в области социальных наук, что призвано стимулировать вовлеченность общин на местном уровне и способствовать решению сложных задач по обеспечению готовности к цунами.</w:t>
      </w:r>
    </w:p>
    <w:p w14:paraId="46601ED5" w14:textId="31842A00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Д-р Туммала сообщил, что благодаря партнерству с УСРБ ООН в рамках проведения Всемирного дня распространения информации о проблеме цунами информационно-просветительская кампания #GetToHighGround («Доберись до возвышенности») получила распространение по всему миру. Тема этого </w:t>
      </w:r>
      <w:r w:rsidR="00FB6DD0">
        <w:t>В</w:t>
      </w:r>
      <w:r>
        <w:t>семирного дня в 2024 г. – «Поощрение самостоятельности детей и молодежи» – является наглядной иллюстрацией важнейшей роли просветительской работы среди молодежи в отношении потенциальной угрозы цунами. Наряду с этим РГ-СПЦО выразила признательность Японскому агентству по международному сотрудничеству (ЯАМС) за финансовую поддержку, оказываемую им развивающимся странам на цели предупреждения и ликвидации последствий стихийных бедствий, а также приняла к сведению, что МОК продолжит сотрудничать и обмениваться опытом с экспертами ЯАМС, когда представится такая возможность.</w:t>
      </w:r>
    </w:p>
    <w:p w14:paraId="75CE88C2" w14:textId="5A3D44BE" w:rsidR="00FB6DD0" w:rsidRPr="00FB6DD0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 xml:space="preserve">Выступили представители </w:t>
      </w:r>
      <w:r w:rsidR="00FB6DD0">
        <w:t>трех</w:t>
      </w:r>
      <w:r>
        <w:t xml:space="preserve"> государств-членов</w:t>
      </w:r>
      <w:r w:rsidR="00FB6DD0">
        <w:t>, одной страны-наблюдателя и одной организации</w:t>
      </w:r>
      <w:r>
        <w:t xml:space="preserve">. </w:t>
      </w:r>
    </w:p>
    <w:p w14:paraId="4C5AC2FF" w14:textId="660CC7AE" w:rsidR="0052747D" w:rsidRPr="0052747D" w:rsidRDefault="00FB6DD0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>Индия сообщила, что она активно готовится к созданию кабельного наблюдательного центра для отслеживания различных параметров, связанных с цунами, и проведения других глубоководных измерений, и также отметила, что совместно с Советом по изучению природной среды</w:t>
      </w:r>
      <w:r w:rsidR="00CE2B2C">
        <w:t> </w:t>
      </w:r>
      <w:r>
        <w:t xml:space="preserve">(НЕРК) и Центром научных исследований и инноваций (ЦНИИ) Великобритании работает над проектом «Ориентированное на </w:t>
      </w:r>
      <w:r w:rsidR="00BD64FA">
        <w:t xml:space="preserve">потребности людей </w:t>
      </w:r>
      <w:r>
        <w:t>раннее оповещение о цунами в прибрежных районах Индии</w:t>
      </w:r>
      <w:r w:rsidR="00BD64FA">
        <w:t>»</w:t>
      </w:r>
      <w:r>
        <w:t xml:space="preserve">. </w:t>
      </w:r>
      <w:r w:rsidR="00BD64FA">
        <w:t xml:space="preserve">Перу отметила серьезное воздействие таких природных явлений, как Эль-Ниньо и Ла-Нинья и призвала МОК рассмотреть возможность выдвижения инициативы, направленной на их более глубокое изучение. ВМО сообщила, что она приветствует обсуждение опасных явлений в прибрежных районах, обусловленных частыми длинными приливными волнами, вызванными внешним воздействием на атмосферу, в рамках </w:t>
      </w:r>
      <w:r w:rsidR="00BD64FA" w:rsidRPr="00BD64FA">
        <w:t>Совместного совета по сотрудничеству между ВМО и МОК</w:t>
      </w:r>
      <w:r w:rsidR="00BD64FA">
        <w:t xml:space="preserve"> (ССС), результаты которого должны способствовать </w:t>
      </w:r>
      <w:r w:rsidR="0052747D">
        <w:t>более четкому пониманию этих явлений и повышению общественной безопасности. Председатель РГ-СПЦО принял к сведению эти конструктивные сообщения и отметил, что Рабочая группа приветствует инициативы по повышению устойчивости прибрежных районов.</w:t>
      </w:r>
      <w:r w:rsidR="00BD64FA">
        <w:t xml:space="preserve"> </w:t>
      </w:r>
    </w:p>
    <w:p w14:paraId="693A0A6F" w14:textId="6F9F1BF1" w:rsidR="005C239B" w:rsidRPr="0052747D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</w:t>
      </w:r>
      <w:r w:rsidR="0052747D">
        <w:t xml:space="preserve"> Индия и Япония</w:t>
      </w:r>
      <w:r>
        <w:t>.</w:t>
      </w:r>
    </w:p>
    <w:p w14:paraId="6EAF5EA7" w14:textId="7AFB726A" w:rsidR="002335FA" w:rsidRDefault="0052747D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EC</w:t>
      </w:r>
      <w:r w:rsidRPr="00096DD5">
        <w:rPr>
          <w:rFonts w:cs="Arial"/>
          <w:u w:val="single"/>
        </w:rPr>
        <w:t>-57/3.2.1</w:t>
      </w:r>
      <w:r w:rsidRPr="00096DD5">
        <w:rPr>
          <w:rFonts w:cs="Arial"/>
        </w:rPr>
        <w:t>.</w:t>
      </w:r>
    </w:p>
    <w:p w14:paraId="6572C976" w14:textId="13554F6E" w:rsidR="002335FA" w:rsidRPr="00E05DB3" w:rsidRDefault="002335FA" w:rsidP="004D3520">
      <w:pPr>
        <w:spacing w:after="240"/>
        <w:ind w:left="709" w:hanging="9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05DB3">
        <w:rPr>
          <w:rFonts w:ascii="Arial" w:hAnsi="Arial"/>
          <w:b/>
          <w:bCs/>
          <w:iCs/>
          <w:sz w:val="22"/>
          <w:szCs w:val="22"/>
        </w:rPr>
        <w:t>Системы предупреждения об опасных явлениях в океане и</w:t>
      </w:r>
      <w:r w:rsidR="00DA5F61" w:rsidRPr="00A30690">
        <w:rPr>
          <w:rFonts w:ascii="Arial" w:hAnsi="Arial"/>
          <w:b/>
          <w:bCs/>
          <w:iCs/>
          <w:sz w:val="22"/>
          <w:szCs w:val="22"/>
        </w:rPr>
        <w:br/>
      </w:r>
      <w:r w:rsidRPr="00E05DB3">
        <w:rPr>
          <w:rFonts w:ascii="Arial" w:hAnsi="Arial"/>
          <w:b/>
          <w:bCs/>
          <w:iCs/>
          <w:sz w:val="22"/>
          <w:szCs w:val="22"/>
        </w:rPr>
        <w:t>смягчения их последствий</w:t>
      </w:r>
    </w:p>
    <w:p w14:paraId="7FA7A2FB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</w:rPr>
        <w:t>Исполнительный совет,</w:t>
      </w:r>
    </w:p>
    <w:p w14:paraId="5D2485B2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рассмотрев</w:t>
      </w:r>
      <w:r w:rsidRPr="00E05DB3">
        <w:rPr>
          <w:rFonts w:ascii="Arial" w:hAnsi="Arial"/>
          <w:iCs/>
          <w:sz w:val="22"/>
          <w:szCs w:val="22"/>
        </w:rPr>
        <w:t xml:space="preserve"> основные выводы докладов по итогам состоявшихся в последнее время сессий Межправительственной координационной группы по системе предупреждения о цунами и опасности других бедствий в прибрежных районах Карибского бассейна и прилегающих регионах (ICG/CARIBE-EWS-XVII/3s), Межправительственной координационной группы по системе предупреждения о цунами и смягчения их последствий в Северо-Восточной Атлантике, Средиземном и прилегающих морях (ICG/NEAMTWS-XVII/3s), Межправительственной координационной группы по системе предупреждения о цунами и смягчения их последствий в Тихом океане (ICG/PTWS-</w:t>
      </w:r>
      <w:r w:rsidRPr="00E05DB3">
        <w:rPr>
          <w:rFonts w:ascii="Arial" w:hAnsi="Arial"/>
          <w:iCs/>
          <w:sz w:val="22"/>
          <w:szCs w:val="22"/>
        </w:rPr>
        <w:lastRenderedPageBreak/>
        <w:t>XXX/3s), а также доклад Рабочей группы по системам предупреждения о цунами и других опасных явлениях, связанных с изменением уровня моря, и смягчения их последствий (TOWS-WG-XVII),</w:t>
      </w:r>
    </w:p>
    <w:p w14:paraId="5D29EA15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выражает</w:t>
      </w:r>
      <w:r w:rsidRPr="00E05DB3">
        <w:rPr>
          <w:rFonts w:ascii="Arial" w:hAnsi="Arial"/>
          <w:iCs/>
          <w:sz w:val="22"/>
          <w:szCs w:val="22"/>
        </w:rPr>
        <w:t xml:space="preserve"> солидарность с людьми, которые пострадали в результате землетрясения и цунами, произошедших 1 января 2024 г. в районе полуострова Ното (Япония);</w:t>
      </w:r>
    </w:p>
    <w:p w14:paraId="2C062177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утверждает</w:t>
      </w:r>
      <w:r w:rsidRPr="00E05DB3">
        <w:rPr>
          <w:rFonts w:ascii="Arial" w:hAnsi="Arial"/>
          <w:iCs/>
          <w:sz w:val="22"/>
          <w:szCs w:val="22"/>
        </w:rPr>
        <w:t xml:space="preserve"> доклады, представленные МКГ/МОК и РГ-СПЦО;</w:t>
      </w:r>
    </w:p>
    <w:p w14:paraId="023E930C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принимает к сведению с удовлетворением</w:t>
      </w:r>
      <w:r w:rsidRPr="00E05DB3">
        <w:rPr>
          <w:rFonts w:ascii="Arial" w:hAnsi="Arial"/>
          <w:iCs/>
          <w:sz w:val="22"/>
          <w:szCs w:val="22"/>
        </w:rPr>
        <w:t xml:space="preserve"> результаты работы, проделанной в межсессионный период, такие как:</w:t>
      </w:r>
    </w:p>
    <w:p w14:paraId="359BEB68" w14:textId="77777777" w:rsidR="002335FA" w:rsidRPr="00E05DB3" w:rsidRDefault="002335FA" w:rsidP="004D3520">
      <w:pPr>
        <w:numPr>
          <w:ilvl w:val="0"/>
          <w:numId w:val="35"/>
        </w:numPr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 xml:space="preserve">проведение в 2022 г., 2023 г. и 2024 г. учений по проверке готовности к цунами: с октября по декабрь 2022 г. – «Тихоокеанская волна», 23 марта 2023 г. – в Карибском бассейне («Карибская волна-23»), 4, 11, 18 и 25 октября 2023 г. – в Индийском океане («Индийская волна-23»), 6-7 ноября 2023 г. – в Северо-Восточной Атлантике, Средиземном и прилегающих морях  («СВАСМ/Волна-23»), а также 23 марта 2024 г. в Карибском бассейне («Карибская волна-24»); </w:t>
      </w:r>
    </w:p>
    <w:p w14:paraId="39A2C987" w14:textId="77777777" w:rsidR="002335FA" w:rsidRPr="00E05DB3" w:rsidRDefault="002335FA" w:rsidP="004D3520">
      <w:pPr>
        <w:numPr>
          <w:ilvl w:val="0"/>
          <w:numId w:val="35"/>
        </w:numPr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продолжение деятельности научного комитета Программы по цунами в рамках Десятилетия океана (НК-ПЦДО);</w:t>
      </w:r>
    </w:p>
    <w:p w14:paraId="351A1B3B" w14:textId="77777777" w:rsidR="002335FA" w:rsidRPr="00E05DB3" w:rsidRDefault="002335FA" w:rsidP="004D3520">
      <w:pPr>
        <w:numPr>
          <w:ilvl w:val="0"/>
          <w:numId w:val="35"/>
        </w:numPr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 xml:space="preserve">публикация </w:t>
      </w:r>
      <w:r w:rsidRPr="00E05DB3">
        <w:rPr>
          <w:rFonts w:ascii="Arial" w:hAnsi="Arial" w:cs="Arial"/>
          <w:i/>
          <w:sz w:val="22"/>
          <w:szCs w:val="22"/>
        </w:rPr>
        <w:t>плана исследовательской работы, развертывания и осуществления Программы по цунами в рамках Десятилетия океана (ПИРО-ПЦДО)</w:t>
      </w:r>
      <w:r w:rsidRPr="00E05DB3">
        <w:rPr>
          <w:rFonts w:ascii="Arial" w:hAnsi="Arial" w:cs="Arial"/>
          <w:sz w:val="22"/>
          <w:szCs w:val="22"/>
        </w:rPr>
        <w:t xml:space="preserve"> (</w:t>
      </w:r>
      <w:r w:rsidRPr="00E05DB3">
        <w:rPr>
          <w:rFonts w:ascii="Arial" w:eastAsia="Arial" w:hAnsi="Arial" w:cs="Arial"/>
          <w:sz w:val="22"/>
          <w:szCs w:val="22"/>
        </w:rPr>
        <w:t>IOC/2023/TS/180</w:t>
      </w:r>
      <w:r w:rsidRPr="00E05DB3">
        <w:rPr>
          <w:rFonts w:ascii="Arial" w:hAnsi="Arial" w:cs="Arial"/>
          <w:sz w:val="22"/>
          <w:szCs w:val="22"/>
        </w:rPr>
        <w:t>);</w:t>
      </w:r>
    </w:p>
    <w:p w14:paraId="45938272" w14:textId="77777777" w:rsidR="002335FA" w:rsidRPr="00E05DB3" w:rsidRDefault="002335FA" w:rsidP="004D3520">
      <w:pPr>
        <w:numPr>
          <w:ilvl w:val="0"/>
          <w:numId w:val="35"/>
        </w:numPr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 xml:space="preserve">публикация доклада </w:t>
      </w:r>
      <w:r w:rsidRPr="00E05DB3">
        <w:rPr>
          <w:rFonts w:ascii="Arial" w:hAnsi="Arial" w:cs="Arial"/>
          <w:i/>
          <w:sz w:val="22"/>
          <w:szCs w:val="22"/>
        </w:rPr>
        <w:t>«Мониторинг и предупреждение в отношении цунами вулканического происхождения»</w:t>
      </w:r>
      <w:r w:rsidRPr="00E05DB3">
        <w:rPr>
          <w:rFonts w:ascii="Arial" w:hAnsi="Arial" w:cs="Arial"/>
          <w:sz w:val="22"/>
          <w:szCs w:val="22"/>
        </w:rPr>
        <w:t xml:space="preserve"> </w:t>
      </w:r>
      <w:r w:rsidRPr="00E05DB3">
        <w:rPr>
          <w:rFonts w:ascii="Arial" w:hAnsi="Arial" w:cs="Arial"/>
          <w:color w:val="000000"/>
          <w:sz w:val="22"/>
          <w:szCs w:val="22"/>
        </w:rPr>
        <w:t>(</w:t>
      </w:r>
      <w:r w:rsidRPr="00E05DB3">
        <w:rPr>
          <w:rFonts w:ascii="Arial" w:eastAsia="Arial" w:hAnsi="Arial" w:cs="Arial"/>
          <w:sz w:val="22"/>
          <w:szCs w:val="22"/>
        </w:rPr>
        <w:t>IOC/2024/TS/183</w:t>
      </w:r>
      <w:r w:rsidRPr="00E05DB3">
        <w:rPr>
          <w:rFonts w:ascii="Arial" w:hAnsi="Arial" w:cs="Arial"/>
          <w:color w:val="000000"/>
          <w:sz w:val="22"/>
          <w:szCs w:val="22"/>
        </w:rPr>
        <w:t>)</w:t>
      </w:r>
      <w:r w:rsidRPr="00E05DB3">
        <w:rPr>
          <w:rFonts w:ascii="Arial" w:hAnsi="Arial" w:cs="Arial"/>
          <w:sz w:val="22"/>
          <w:szCs w:val="22"/>
        </w:rPr>
        <w:t>, подготовленного специальной группой ЦГ-НЦ по цунами, вызванным извержением вулканов;</w:t>
      </w:r>
    </w:p>
    <w:p w14:paraId="47002B5A" w14:textId="66A335F7" w:rsidR="002335FA" w:rsidRPr="00E05DB3" w:rsidRDefault="002335FA" w:rsidP="004D3520">
      <w:pPr>
        <w:numPr>
          <w:ilvl w:val="0"/>
          <w:numId w:val="35"/>
        </w:numPr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представление обновленной информации о совещаниях МГГС, организованных в 2023-2024 гг., в том числе об участии членов МГГС в заседании НК-ПЦДО (25</w:t>
      </w:r>
      <w:r w:rsidR="002A5B55">
        <w:rPr>
          <w:rFonts w:ascii="Arial" w:hAnsi="Arial" w:cs="Arial"/>
          <w:sz w:val="22"/>
          <w:szCs w:val="22"/>
        </w:rPr>
        <w:t> </w:t>
      </w:r>
      <w:r w:rsidRPr="00E05DB3">
        <w:rPr>
          <w:rFonts w:ascii="Arial" w:hAnsi="Arial" w:cs="Arial"/>
          <w:sz w:val="22"/>
          <w:szCs w:val="22"/>
        </w:rPr>
        <w:t xml:space="preserve">января 2024 г.), о сотрудничестве в организации 11 сентября 2023 г. в ходе 30-й сессии МКГ/СПЦТО восьмого технического семинара МКГ/СПЦТО и Совместной комиссии МСГГ по цунами, посвященного осмыслению и обобщению уроков, извлеченных в связи с цунами, вызванным извержением вулкана Хунга-Тонга-Хунга-Хаапай 15 января 2022 г., о планируемом участии МГГС во </w:t>
      </w:r>
      <w:r w:rsidRPr="00E05DB3">
        <w:rPr>
          <w:rFonts w:ascii="Arial" w:eastAsia="Arial" w:hAnsi="Arial" w:cs="Arial"/>
          <w:sz w:val="22"/>
          <w:szCs w:val="22"/>
        </w:rPr>
        <w:t>втором международном симпозиуме ЮНЕСКО-МОК по цунами на тему «Осмысление двух десятилетий по прошествии цунами 2004 г. в Индийском океане»</w:t>
      </w:r>
      <w:r w:rsidRPr="00E05DB3">
        <w:rPr>
          <w:rFonts w:ascii="Arial" w:hAnsi="Arial" w:cs="Arial"/>
          <w:sz w:val="22"/>
          <w:szCs w:val="22"/>
        </w:rPr>
        <w:t xml:space="preserve"> (11-14</w:t>
      </w:r>
      <w:r w:rsidR="002A5B55">
        <w:rPr>
          <w:rFonts w:ascii="Arial" w:hAnsi="Arial" w:cs="Arial"/>
          <w:sz w:val="22"/>
          <w:szCs w:val="22"/>
        </w:rPr>
        <w:t> </w:t>
      </w:r>
      <w:r w:rsidRPr="00E05DB3">
        <w:rPr>
          <w:rFonts w:ascii="Arial" w:hAnsi="Arial" w:cs="Arial"/>
          <w:sz w:val="22"/>
          <w:szCs w:val="22"/>
        </w:rPr>
        <w:t xml:space="preserve">ноября 2024 г.), и об участии МГГС в подготовке ряда докладов, в том числе доклада  </w:t>
      </w:r>
      <w:r w:rsidRPr="00E05DB3">
        <w:rPr>
          <w:rFonts w:ascii="Arial" w:eastAsia="Arial" w:hAnsi="Arial" w:cs="Arial"/>
          <w:sz w:val="22"/>
          <w:szCs w:val="22"/>
        </w:rPr>
        <w:t>IOC/2024/TS/183</w:t>
      </w:r>
      <w:r w:rsidRPr="00E05DB3">
        <w:rPr>
          <w:rFonts w:ascii="Arial" w:hAnsi="Arial" w:cs="Arial"/>
          <w:sz w:val="22"/>
          <w:szCs w:val="22"/>
        </w:rPr>
        <w:t>;</w:t>
      </w:r>
    </w:p>
    <w:p w14:paraId="6C8BF0A9" w14:textId="77777777" w:rsidR="002335FA" w:rsidRPr="00E05DB3" w:rsidRDefault="002335FA" w:rsidP="004D3520">
      <w:pPr>
        <w:numPr>
          <w:ilvl w:val="0"/>
          <w:numId w:val="35"/>
        </w:numPr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color w:val="000000"/>
          <w:sz w:val="22"/>
          <w:szCs w:val="22"/>
        </w:rPr>
        <w:t xml:space="preserve">взаимодействие МЦИЦ и МКГ/СПЦТО в ходе разработки для СПЦТО </w:t>
      </w:r>
      <w:r w:rsidRPr="00E05DB3">
        <w:rPr>
          <w:rFonts w:ascii="Arial" w:eastAsia="Arial" w:hAnsi="Arial" w:cs="Arial"/>
          <w:sz w:val="22"/>
          <w:szCs w:val="22"/>
        </w:rPr>
        <w:t>рамочных требований к уровню компетентности сотрудников НЦПЦ</w:t>
      </w:r>
      <w:r w:rsidRPr="00E05DB3">
        <w:rPr>
          <w:rFonts w:ascii="Arial" w:hAnsi="Arial" w:cs="Arial"/>
          <w:sz w:val="22"/>
          <w:szCs w:val="22"/>
        </w:rPr>
        <w:t xml:space="preserve"> и работа, проведенная МЦИЦ с целью составления и тестирования учебного курса по минимальным требованиям к уровню компетенции сотрудников НЦПЦ</w:t>
      </w:r>
      <w:r w:rsidRPr="00E05DB3">
        <w:rPr>
          <w:rFonts w:ascii="Arial" w:hAnsi="Arial" w:cs="Arial"/>
          <w:color w:val="000000"/>
          <w:sz w:val="22"/>
          <w:szCs w:val="22"/>
        </w:rPr>
        <w:t>;</w:t>
      </w:r>
    </w:p>
    <w:p w14:paraId="4F9C82D9" w14:textId="77777777" w:rsidR="002335FA" w:rsidRPr="00E05DB3" w:rsidRDefault="002335FA" w:rsidP="004D3520">
      <w:pPr>
        <w:numPr>
          <w:ilvl w:val="0"/>
          <w:numId w:val="35"/>
        </w:numPr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color w:val="000000"/>
          <w:sz w:val="22"/>
          <w:szCs w:val="22"/>
        </w:rPr>
        <w:t xml:space="preserve">большая подготовительная работа и оказание поддержки Агентству по метеорологии, климатологии и геофизике (АМКГ) Индонезии в проведении </w:t>
      </w:r>
      <w:r w:rsidRPr="00E05DB3">
        <w:rPr>
          <w:rFonts w:ascii="Arial" w:eastAsia="Arial" w:hAnsi="Arial" w:cs="Arial"/>
          <w:sz w:val="22"/>
          <w:szCs w:val="22"/>
        </w:rPr>
        <w:t>второго международного симпозиума МОК/ЮНЕСКО по проблематике цунами</w:t>
      </w:r>
      <w:r w:rsidRPr="00E05DB3">
        <w:rPr>
          <w:rFonts w:ascii="Arial" w:hAnsi="Arial" w:cs="Arial"/>
          <w:color w:val="000000"/>
          <w:sz w:val="22"/>
          <w:szCs w:val="22"/>
        </w:rPr>
        <w:t xml:space="preserve"> (11-14 ноября 2024 г., Банда-Ачех, Индонезия);</w:t>
      </w:r>
    </w:p>
    <w:p w14:paraId="4254979F" w14:textId="77777777" w:rsidR="002335FA" w:rsidRPr="00E05DB3" w:rsidRDefault="002335FA" w:rsidP="004D3520">
      <w:pPr>
        <w:numPr>
          <w:ilvl w:val="0"/>
          <w:numId w:val="35"/>
        </w:numPr>
        <w:tabs>
          <w:tab w:val="left" w:pos="1418"/>
        </w:tabs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усилия ЦГ-НЦ по разработке адаптированных бюллетеней ПДСЦ для морского сообщества в консультации с подкомитетом Международной гидрографической организации (МГО) по всемирной службе навигационных предупреждений (Пк-ВСНП);</w:t>
      </w:r>
    </w:p>
    <w:p w14:paraId="424991F8" w14:textId="77777777" w:rsidR="002335FA" w:rsidRPr="00E05DB3" w:rsidRDefault="002335FA" w:rsidP="004D3520">
      <w:pPr>
        <w:numPr>
          <w:ilvl w:val="0"/>
          <w:numId w:val="35"/>
        </w:numPr>
        <w:tabs>
          <w:tab w:val="left" w:pos="1418"/>
        </w:tabs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lastRenderedPageBreak/>
        <w:t>активное участие центров информации о цунами (ЦИЦ) в деятельности целевой группы по ликвидации последствий стихийных бедствий и обеспечению готовности к ним (ЦГ-ЛПГ) и целевой группы по наблюдению за цунами (ЦГ-НЦ);</w:t>
      </w:r>
    </w:p>
    <w:p w14:paraId="1B719D74" w14:textId="77777777" w:rsidR="002335FA" w:rsidRPr="00E05DB3" w:rsidRDefault="002335FA" w:rsidP="004D3520">
      <w:pPr>
        <w:numPr>
          <w:ilvl w:val="0"/>
          <w:numId w:val="35"/>
        </w:numPr>
        <w:tabs>
          <w:tab w:val="left" w:pos="1418"/>
        </w:tabs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активное участие центров информации о цунами (ЦИЦ) в  повышении осведомленности и готовности населения в целях эффективного реагирования на предупреж</w:t>
      </w:r>
      <w:r w:rsidRPr="00E05DB3">
        <w:rPr>
          <w:rFonts w:ascii="Arial" w:hAnsi="Arial" w:cs="Arial"/>
          <w:sz w:val="22"/>
          <w:szCs w:val="22"/>
        </w:rPr>
        <w:softHyphen/>
        <w:t>дения о цунами, критически важная поддержка, оказанная государствам-членам в вопросах содействия в обеспечении готовности к цунами и устойчивости к их воздействию, а также последовательное осуществление планов работы РГ-СПЦО и ее целевых групп в составе общей целевой группы;</w:t>
      </w:r>
    </w:p>
    <w:p w14:paraId="70B2341E" w14:textId="77777777" w:rsidR="002335FA" w:rsidRPr="00E05DB3" w:rsidRDefault="002335FA" w:rsidP="004D3520">
      <w:pPr>
        <w:numPr>
          <w:ilvl w:val="0"/>
          <w:numId w:val="35"/>
        </w:numPr>
        <w:tabs>
          <w:tab w:val="left" w:pos="1418"/>
        </w:tabs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устойчивый прогресс в осуществлении Программы МОК/ЮНЕСКО по сертификации готовности к цунами (ПСГЦ) в Карибском бассейне, Индийском океане, Тихоокеанском регионе и в регионе СВАСМ, а также проведенная МЦИЦ работа с целью размещения на его сервере сайта ПСГЦ;</w:t>
      </w:r>
    </w:p>
    <w:p w14:paraId="7F865FF3" w14:textId="77777777" w:rsidR="002335FA" w:rsidRPr="00E05DB3" w:rsidRDefault="002335FA" w:rsidP="004D3520">
      <w:pPr>
        <w:numPr>
          <w:ilvl w:val="0"/>
          <w:numId w:val="35"/>
        </w:numPr>
        <w:tabs>
          <w:tab w:val="left" w:pos="1418"/>
        </w:tabs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в регионе Северо-Восточной Атлантики, Средиземного и прилегающих морей сертификат «К цунами готов» впервые во Франции получил муниципалитет г. Канны (департамент Приморские Альпы), в регионе Индийского океана им были удостоены муниципальные образования Нагари и Тапаких (Индонезия), в Карибском бассейне – Крайст-Черч-Уэст (Барбадос), Кауита (центральный округ Сент-Джеймс, Коста-Рика), Портсмут (Доминика), Дешайес (Гваделупа), Лабори (Сент-Люсия) и Сент-Джордж (Сент-Винсент и Гренадины), в Тихоокеанском регионе – Доминикаль, Доминикалито и Бару, Плайя Эрмоса, Пуэрто-Хименес и Тививес (Коста-Рика), Навуэву и Сила (Фиджи), муниципалитет Вено и штат Понпеи (Федеративные Штаты Микронезии);</w:t>
      </w:r>
    </w:p>
    <w:p w14:paraId="611BF39F" w14:textId="77777777" w:rsidR="002335FA" w:rsidRPr="00E05DB3" w:rsidRDefault="002335FA" w:rsidP="004D3520">
      <w:pPr>
        <w:numPr>
          <w:ilvl w:val="0"/>
          <w:numId w:val="35"/>
        </w:numPr>
        <w:tabs>
          <w:tab w:val="left" w:pos="1418"/>
        </w:tabs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успехи, достигнутые МКГ/СПЦТО в отношении изыскания возможностей включения национальных проектов и инициатив, связанных с обеспечением подготовки и готовности к цунами, в программу Десятилетия океана ООН, а также то, что вариант использования эквивалентов сертификата «К цунами готов», предусмотренный в рамках других аналогичных инициатив, призван обеспечить возможность представления отчетности о готовности к цунами в соответствии с Программой МОК ЮНЕСКО по сертификации готовности к цунами (ПСГЦ) на основе действующих в государствах рамочных положений и требований;</w:t>
      </w:r>
    </w:p>
    <w:p w14:paraId="085E0ED4" w14:textId="77777777" w:rsidR="002335FA" w:rsidRPr="00E05DB3" w:rsidRDefault="002335FA" w:rsidP="004D3520">
      <w:pPr>
        <w:numPr>
          <w:ilvl w:val="0"/>
          <w:numId w:val="35"/>
        </w:numPr>
        <w:tabs>
          <w:tab w:val="left" w:pos="1418"/>
        </w:tabs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продолжившееся в 2023 г. сотрудничество между УСРБ ООН и МОК ЮНЕСКО в организации мероприятий, приуроченных ко Всемирному дню распространения информации о проблеме цунами (ВДИПЦ), а также успехи в расширении информационно-просветительской кампании #GetToHighGround («Доберись до возвышенности») с принятием практических мер по всему миру;</w:t>
      </w:r>
    </w:p>
    <w:p w14:paraId="1B6B9C5B" w14:textId="1E5A3B1F" w:rsidR="002335FA" w:rsidRPr="00E05DB3" w:rsidRDefault="002335FA" w:rsidP="004D3520">
      <w:pPr>
        <w:numPr>
          <w:ilvl w:val="0"/>
          <w:numId w:val="35"/>
        </w:numPr>
        <w:tabs>
          <w:tab w:val="left" w:pos="1418"/>
        </w:tabs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работа, проведенная в Индонезии на нескольких видах объектов критической инфраструктуры: (1) обеспечение готовности к цунами международного аэропорта Джокьякарты, (2) обеспечение готовности к цунами гостиницы на о. Бали и (3) учет потребностей промышленной зоны в плане готовности к цунами, на основе опыта промышленной зоны г. Чилегон. Проведенная работа может послужить основой для разработки методического руководства по вопросам обеспечения готовности к цунами объектов критической инфраструктуры в рамках усилий по достижению цели № 2 ПЦДО, предусматривающей обеспечить к 2030</w:t>
      </w:r>
      <w:r w:rsidR="002A5B55">
        <w:rPr>
          <w:rFonts w:ascii="Arial" w:hAnsi="Arial" w:cs="Arial"/>
          <w:sz w:val="22"/>
          <w:szCs w:val="22"/>
        </w:rPr>
        <w:t> </w:t>
      </w:r>
      <w:r w:rsidRPr="00E05DB3">
        <w:rPr>
          <w:rFonts w:ascii="Arial" w:hAnsi="Arial" w:cs="Arial"/>
          <w:sz w:val="22"/>
          <w:szCs w:val="22"/>
        </w:rPr>
        <w:t>г. 100-процентную готовность населения, проживающего в зонах риска, к цунами и их последствиям;</w:t>
      </w:r>
    </w:p>
    <w:p w14:paraId="0A5A1186" w14:textId="069AC771" w:rsidR="002335FA" w:rsidRPr="00E05DB3" w:rsidRDefault="002335FA" w:rsidP="004D3520">
      <w:pPr>
        <w:numPr>
          <w:ilvl w:val="0"/>
          <w:numId w:val="35"/>
        </w:numPr>
        <w:tabs>
          <w:tab w:val="left" w:pos="1418"/>
        </w:tabs>
        <w:spacing w:after="240"/>
        <w:ind w:left="1416" w:hanging="716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lastRenderedPageBreak/>
        <w:t>существенное улучшение положения дел и соответствие стандарту ISO 22328</w:t>
      </w:r>
      <w:r w:rsidR="002A5B55">
        <w:rPr>
          <w:rFonts w:ascii="Arial" w:hAnsi="Arial" w:cs="Arial"/>
          <w:sz w:val="22"/>
          <w:szCs w:val="22"/>
        </w:rPr>
        <w:noBreakHyphen/>
      </w:r>
      <w:r w:rsidRPr="00E05DB3">
        <w:rPr>
          <w:rFonts w:ascii="Arial" w:hAnsi="Arial" w:cs="Arial"/>
          <w:sz w:val="22"/>
          <w:szCs w:val="22"/>
        </w:rPr>
        <w:t>3 в Индонезии (Наличие на местах систем раннего предупреждения о цунами) с ориентацией на обеспечение готовности к цунами крупных предприятий частного сектора;</w:t>
      </w:r>
    </w:p>
    <w:p w14:paraId="3C5EF994" w14:textId="64BE7DBF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  <w:u w:val="single"/>
        </w:rPr>
        <w:t>принимает также к сведению с удовлетворением</w:t>
      </w:r>
      <w:r w:rsidRPr="00E05DB3">
        <w:rPr>
          <w:rFonts w:ascii="Arial" w:hAnsi="Arial" w:cs="Arial"/>
          <w:sz w:val="22"/>
          <w:szCs w:val="22"/>
        </w:rPr>
        <w:t xml:space="preserve"> деятельность Японского агентства по международному сотрудничеству (ЯАМС), направленную на уменьшение потенци</w:t>
      </w:r>
      <w:r w:rsidR="00DA5F61" w:rsidRPr="004D3520">
        <w:rPr>
          <w:rFonts w:ascii="Arial" w:hAnsi="Arial" w:cs="Arial"/>
          <w:sz w:val="22"/>
          <w:szCs w:val="22"/>
        </w:rPr>
        <w:softHyphen/>
      </w:r>
      <w:r w:rsidRPr="00E05DB3">
        <w:rPr>
          <w:rFonts w:ascii="Arial" w:hAnsi="Arial" w:cs="Arial"/>
          <w:sz w:val="22"/>
          <w:szCs w:val="22"/>
        </w:rPr>
        <w:t xml:space="preserve">альной опасности стихийных бедствий (УОБ) и создание систем раннего предупреждения о цунами и смягчения их последствий, и </w:t>
      </w:r>
      <w:r w:rsidRPr="00E05DB3">
        <w:rPr>
          <w:rFonts w:ascii="Arial" w:hAnsi="Arial" w:cs="Arial"/>
          <w:sz w:val="22"/>
          <w:szCs w:val="22"/>
          <w:u w:val="single"/>
        </w:rPr>
        <w:t>призывает</w:t>
      </w:r>
      <w:r w:rsidRPr="00E05DB3">
        <w:rPr>
          <w:rFonts w:ascii="Arial" w:hAnsi="Arial" w:cs="Arial"/>
          <w:sz w:val="22"/>
          <w:szCs w:val="22"/>
        </w:rPr>
        <w:t xml:space="preserve"> к более тесному сотрудничеству с ЯАМС;</w:t>
      </w:r>
    </w:p>
    <w:p w14:paraId="22996993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  <w:u w:val="single"/>
        </w:rPr>
        <w:t>принимает далее к сведению с удовлетворением</w:t>
      </w:r>
      <w:r w:rsidRPr="00E05DB3">
        <w:rPr>
          <w:rFonts w:ascii="Arial" w:hAnsi="Arial" w:cs="Arial"/>
          <w:sz w:val="22"/>
          <w:szCs w:val="22"/>
        </w:rPr>
        <w:t xml:space="preserve"> важные обязательства, взятые на себя Барбадосом, Индонезией и США, по размещению у себя КЦИЦ, ЦИЦИО и МЦИЦ в поддержку усилий МКГ, а также обязательство Австралии стать страной местонахождения офиса секретариата МКГ/СПЦСПИО;</w:t>
      </w:r>
    </w:p>
    <w:p w14:paraId="7273F8D4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b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  <w:u w:val="single"/>
        </w:rPr>
        <w:t>приветствует</w:t>
      </w:r>
      <w:r w:rsidRPr="00E05DB3">
        <w:rPr>
          <w:rFonts w:ascii="Arial" w:hAnsi="Arial" w:cs="Arial"/>
          <w:sz w:val="22"/>
          <w:szCs w:val="22"/>
        </w:rPr>
        <w:t xml:space="preserve"> назначение новых должностных лиц в состав МКГ/СПЦСВАСМ и МКГ/СПЦТО на двухлетний период соответственно 2024-2025 гг. и 2023-2025 гг.;</w:t>
      </w:r>
    </w:p>
    <w:p w14:paraId="661DC158" w14:textId="77777777" w:rsidR="002335FA" w:rsidRPr="00E05DB3" w:rsidRDefault="002335FA" w:rsidP="004D3520">
      <w:pPr>
        <w:spacing w:after="240"/>
        <w:ind w:left="709" w:hanging="9"/>
        <w:jc w:val="center"/>
        <w:rPr>
          <w:rFonts w:ascii="Arial" w:hAnsi="Arial"/>
          <w:b/>
          <w:color w:val="0E101A"/>
          <w:sz w:val="22"/>
          <w:szCs w:val="22"/>
        </w:rPr>
      </w:pPr>
      <w:r w:rsidRPr="00E05DB3">
        <w:rPr>
          <w:rFonts w:ascii="Arial" w:hAnsi="Arial"/>
          <w:b/>
          <w:color w:val="0E101A"/>
          <w:sz w:val="22"/>
          <w:szCs w:val="22"/>
        </w:rPr>
        <w:t>Часть I:</w:t>
      </w:r>
    </w:p>
    <w:p w14:paraId="1E8F2F34" w14:textId="77777777" w:rsidR="002335FA" w:rsidRPr="00E05DB3" w:rsidRDefault="002335FA" w:rsidP="004D3520">
      <w:pPr>
        <w:spacing w:after="240"/>
        <w:ind w:left="709" w:hanging="9"/>
        <w:jc w:val="center"/>
        <w:rPr>
          <w:rFonts w:ascii="Arial" w:hAnsi="Arial" w:cs="Arial"/>
          <w:b/>
          <w:color w:val="0E101A"/>
          <w:sz w:val="22"/>
          <w:szCs w:val="22"/>
        </w:rPr>
      </w:pPr>
      <w:r w:rsidRPr="00E05DB3">
        <w:rPr>
          <w:rFonts w:ascii="Arial" w:hAnsi="Arial"/>
          <w:b/>
          <w:sz w:val="22"/>
          <w:szCs w:val="22"/>
        </w:rPr>
        <w:t xml:space="preserve">Межправительственная координационная группа по системе предупреждения о </w:t>
      </w:r>
      <w:r w:rsidRPr="00E05DB3">
        <w:rPr>
          <w:rFonts w:ascii="Arial" w:hAnsi="Arial"/>
          <w:b/>
          <w:sz w:val="22"/>
          <w:szCs w:val="22"/>
        </w:rPr>
        <w:br/>
        <w:t xml:space="preserve">цунами и опасности других бедствий в прибрежных районах Карибского </w:t>
      </w:r>
      <w:r w:rsidRPr="00E05DB3">
        <w:rPr>
          <w:rFonts w:ascii="Arial" w:hAnsi="Arial"/>
          <w:b/>
          <w:sz w:val="22"/>
          <w:szCs w:val="22"/>
        </w:rPr>
        <w:br/>
        <w:t xml:space="preserve">бассейна и </w:t>
      </w:r>
      <w:r w:rsidRPr="00E05DB3">
        <w:rPr>
          <w:rFonts w:ascii="Arial" w:hAnsi="Arial" w:cs="Arial"/>
          <w:b/>
          <w:sz w:val="22"/>
          <w:szCs w:val="22"/>
        </w:rPr>
        <w:t>прилегающих регионах (МКГ/КАРИБ-СРП)</w:t>
      </w:r>
    </w:p>
    <w:p w14:paraId="76129662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b/>
          <w:color w:val="0E101A"/>
          <w:sz w:val="22"/>
          <w:szCs w:val="22"/>
        </w:rPr>
      </w:pPr>
      <w:r w:rsidRPr="00E05DB3">
        <w:rPr>
          <w:rFonts w:ascii="Arial" w:hAnsi="Arial" w:cs="Arial"/>
          <w:color w:val="000000"/>
          <w:sz w:val="22"/>
          <w:szCs w:val="22"/>
          <w:u w:val="single"/>
        </w:rPr>
        <w:t>принимает к сведению с удовлетворением</w:t>
      </w:r>
      <w:r w:rsidRPr="00E05DB3">
        <w:rPr>
          <w:rFonts w:ascii="Arial" w:hAnsi="Arial" w:cs="Arial"/>
          <w:color w:val="000000"/>
          <w:sz w:val="22"/>
          <w:szCs w:val="22"/>
        </w:rPr>
        <w:t>:</w:t>
      </w:r>
    </w:p>
    <w:p w14:paraId="42202C28" w14:textId="77777777" w:rsidR="002335FA" w:rsidRPr="00E05DB3" w:rsidRDefault="002335FA" w:rsidP="004D3520">
      <w:pPr>
        <w:numPr>
          <w:ilvl w:val="0"/>
          <w:numId w:val="40"/>
        </w:numPr>
        <w:spacing w:after="240"/>
        <w:ind w:left="1416" w:hanging="716"/>
        <w:jc w:val="both"/>
        <w:rPr>
          <w:rFonts w:ascii="Arial" w:hAnsi="Arial" w:cs="Arial"/>
          <w:bCs/>
          <w:color w:val="0E101A"/>
          <w:sz w:val="22"/>
          <w:szCs w:val="22"/>
        </w:rPr>
      </w:pPr>
      <w:r w:rsidRPr="00E05DB3">
        <w:rPr>
          <w:rFonts w:ascii="Arial" w:hAnsi="Arial" w:cs="Arial"/>
          <w:bCs/>
          <w:color w:val="0E101A"/>
          <w:sz w:val="22"/>
          <w:szCs w:val="22"/>
        </w:rPr>
        <w:t>создание руководящего комитета МКГ/КАРИБ-СРП в качестве эффективного инструмента управления, ориентированного на результат, в частности в отношении обеспечения надзора за выполнением его решений и рекомендаций, представляющее собой в числе прочего шаг в направлении унификации глобальных структур управления МКГ;</w:t>
      </w:r>
    </w:p>
    <w:p w14:paraId="674ACC6D" w14:textId="77777777" w:rsidR="002335FA" w:rsidRPr="00E05DB3" w:rsidRDefault="002335FA" w:rsidP="004D3520">
      <w:pPr>
        <w:numPr>
          <w:ilvl w:val="0"/>
          <w:numId w:val="40"/>
        </w:numPr>
        <w:spacing w:after="240"/>
        <w:ind w:left="1416" w:hanging="716"/>
        <w:jc w:val="both"/>
        <w:rPr>
          <w:rFonts w:ascii="Arial" w:hAnsi="Arial" w:cs="Arial"/>
          <w:bCs/>
          <w:color w:val="0E101A"/>
          <w:sz w:val="22"/>
          <w:szCs w:val="22"/>
        </w:rPr>
      </w:pPr>
      <w:r w:rsidRPr="00E05DB3">
        <w:rPr>
          <w:rFonts w:ascii="Arial" w:hAnsi="Arial" w:cs="Arial"/>
          <w:bCs/>
          <w:color w:val="0E101A"/>
          <w:sz w:val="22"/>
          <w:szCs w:val="22"/>
        </w:rPr>
        <w:t>продолжающееся полноценное функционирование на временной основе Консультативного центра по цунами для региона Центральной Америки (КЦЦЦА) и решение МКГ/КАРИБ-СРП о том, чтобы рассмотреть на своей 18-й сессии в 2025 г. вопрос об использовании КЦЦЦА в качестве провайдера данных слежения за цунами (ПДСЦ), с тем чтобы в июне 2025 г. Ассамблея МОК могла принять окончательное решение по этому вопросу;</w:t>
      </w:r>
    </w:p>
    <w:p w14:paraId="3B915FE5" w14:textId="77777777" w:rsidR="002335FA" w:rsidRPr="00E05DB3" w:rsidRDefault="002335FA" w:rsidP="004D3520">
      <w:pPr>
        <w:numPr>
          <w:ilvl w:val="0"/>
          <w:numId w:val="40"/>
        </w:numPr>
        <w:spacing w:after="240"/>
        <w:ind w:left="1416" w:hanging="716"/>
        <w:jc w:val="both"/>
        <w:rPr>
          <w:rFonts w:ascii="Arial" w:hAnsi="Arial" w:cs="Arial"/>
          <w:bCs/>
          <w:color w:val="0E101A"/>
          <w:sz w:val="22"/>
          <w:szCs w:val="22"/>
        </w:rPr>
      </w:pPr>
      <w:r w:rsidRPr="00E05DB3">
        <w:rPr>
          <w:rFonts w:ascii="Arial" w:hAnsi="Arial" w:cs="Arial"/>
          <w:bCs/>
          <w:color w:val="0E101A"/>
          <w:sz w:val="22"/>
          <w:szCs w:val="22"/>
        </w:rPr>
        <w:t>запланированное проведение учений «Карибская волна-2025»;</w:t>
      </w:r>
    </w:p>
    <w:p w14:paraId="5318960D" w14:textId="77777777" w:rsidR="002335FA" w:rsidRPr="00E05DB3" w:rsidRDefault="002335FA" w:rsidP="004D3520">
      <w:pPr>
        <w:numPr>
          <w:ilvl w:val="0"/>
          <w:numId w:val="40"/>
        </w:numPr>
        <w:spacing w:after="240"/>
        <w:ind w:left="1416" w:hanging="716"/>
        <w:jc w:val="both"/>
        <w:rPr>
          <w:rFonts w:ascii="Arial" w:hAnsi="Arial" w:cs="Arial"/>
          <w:bCs/>
          <w:color w:val="0E101A"/>
          <w:sz w:val="22"/>
          <w:szCs w:val="22"/>
        </w:rPr>
      </w:pPr>
      <w:r w:rsidRPr="00E05DB3">
        <w:rPr>
          <w:rFonts w:ascii="Arial" w:hAnsi="Arial" w:cs="Arial"/>
          <w:bCs/>
          <w:color w:val="0E101A"/>
          <w:sz w:val="22"/>
          <w:szCs w:val="22"/>
        </w:rPr>
        <w:t>создание целевой группы по сертификации готовности к цунами с учетом актуальности продолжения ориентации усилий на выявлении и использовании соответствующих стратегий в Карибском бассейне и прилегающих регионах для достижения второй цели Программы ООН по цунами в рамках Десятилетия, посвященного науке об океане, предусматривающей, что к 2030 г. 100% подверженных риску цунами территориальных сообществ будут подготовлены и способны противостоять такой угрозе посредством  реализации инициатив, подобных Программе сертификации готовности к цунами (ПСГЦ);</w:t>
      </w:r>
    </w:p>
    <w:p w14:paraId="714163F6" w14:textId="77777777" w:rsidR="002335FA" w:rsidRPr="00E05DB3" w:rsidRDefault="002335FA" w:rsidP="004D3520">
      <w:pPr>
        <w:numPr>
          <w:ilvl w:val="0"/>
          <w:numId w:val="40"/>
        </w:numPr>
        <w:spacing w:after="240"/>
        <w:ind w:left="1416" w:hanging="716"/>
        <w:jc w:val="both"/>
        <w:rPr>
          <w:rFonts w:ascii="Arial" w:hAnsi="Arial" w:cs="Arial"/>
          <w:bCs/>
          <w:color w:val="0E101A"/>
          <w:sz w:val="22"/>
          <w:szCs w:val="22"/>
        </w:rPr>
      </w:pPr>
      <w:r w:rsidRPr="00E05DB3">
        <w:rPr>
          <w:rFonts w:ascii="Arial" w:hAnsi="Arial" w:cs="Arial"/>
          <w:bCs/>
          <w:color w:val="0E101A"/>
          <w:sz w:val="22"/>
          <w:szCs w:val="22"/>
        </w:rPr>
        <w:t>возможность проведения МКГ/КАРИБ-СРП начиная с 2026 г. и в последующий период своих сессий в очном формате только один раз в два года и один раз в два года проводить их в онлайновом режиме, отмечая при этом стремление ЮНЕСКО уменьшить свой углеродный след для достижения целевого показателя снижения к 2030 г. объема выбросов углерода в атмосферу на 31% в соответствии с целями, установленными в Парижском соглашении;</w:t>
      </w:r>
    </w:p>
    <w:p w14:paraId="74A4BC24" w14:textId="77777777" w:rsidR="002335FA" w:rsidRPr="00E05DB3" w:rsidRDefault="002335FA" w:rsidP="004D3520">
      <w:pPr>
        <w:spacing w:after="240"/>
        <w:ind w:left="709" w:hanging="9"/>
        <w:jc w:val="center"/>
        <w:rPr>
          <w:rFonts w:ascii="Arial" w:hAnsi="Arial" w:cs="Arial"/>
          <w:b/>
          <w:color w:val="0E101A"/>
          <w:sz w:val="22"/>
          <w:szCs w:val="22"/>
        </w:rPr>
      </w:pPr>
      <w:r w:rsidRPr="00E05DB3">
        <w:rPr>
          <w:rFonts w:ascii="Arial" w:hAnsi="Arial" w:cs="Arial"/>
          <w:b/>
          <w:color w:val="0E101A"/>
          <w:sz w:val="22"/>
          <w:szCs w:val="22"/>
        </w:rPr>
        <w:lastRenderedPageBreak/>
        <w:t>Часть II:</w:t>
      </w:r>
    </w:p>
    <w:p w14:paraId="6ED2A0F2" w14:textId="77777777" w:rsidR="002335FA" w:rsidRPr="00E05DB3" w:rsidRDefault="002335FA" w:rsidP="004D3520">
      <w:pPr>
        <w:spacing w:after="240"/>
        <w:ind w:left="709" w:hanging="9"/>
        <w:jc w:val="center"/>
        <w:rPr>
          <w:rFonts w:ascii="Arial" w:hAnsi="Arial" w:cs="Arial"/>
          <w:b/>
          <w:color w:val="0E101A"/>
          <w:sz w:val="22"/>
          <w:szCs w:val="22"/>
        </w:rPr>
      </w:pPr>
      <w:r w:rsidRPr="00E05DB3">
        <w:rPr>
          <w:rFonts w:ascii="Arial" w:hAnsi="Arial" w:cs="Arial"/>
          <w:b/>
          <w:sz w:val="22"/>
          <w:szCs w:val="22"/>
        </w:rPr>
        <w:t xml:space="preserve">Межправительственная координационная группа по системе раннего </w:t>
      </w:r>
      <w:r w:rsidRPr="00E05DB3">
        <w:rPr>
          <w:rFonts w:ascii="Arial" w:hAnsi="Arial" w:cs="Arial"/>
          <w:b/>
          <w:sz w:val="22"/>
          <w:szCs w:val="22"/>
        </w:rPr>
        <w:br/>
        <w:t xml:space="preserve">предупреждения о цунами и смягчения их последствий в Северо-Восточной </w:t>
      </w:r>
      <w:r w:rsidRPr="00E05DB3">
        <w:rPr>
          <w:rFonts w:ascii="Arial" w:hAnsi="Arial" w:cs="Arial"/>
          <w:b/>
          <w:sz w:val="22"/>
          <w:szCs w:val="22"/>
        </w:rPr>
        <w:br/>
        <w:t>Атлантике, Средиземном и прилегающих морях (МКГ/СПЦСВАСМ)</w:t>
      </w:r>
    </w:p>
    <w:p w14:paraId="21754519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 w:cs="Arial"/>
          <w:iCs/>
          <w:sz w:val="22"/>
          <w:szCs w:val="22"/>
          <w:u w:val="single"/>
        </w:rPr>
        <w:t>принимает к сведению с удовлетворением</w:t>
      </w:r>
      <w:r w:rsidRPr="00E05DB3">
        <w:rPr>
          <w:rFonts w:ascii="Arial" w:hAnsi="Arial" w:cs="Arial"/>
          <w:iCs/>
          <w:sz w:val="22"/>
          <w:szCs w:val="22"/>
        </w:rPr>
        <w:t>:</w:t>
      </w:r>
    </w:p>
    <w:p w14:paraId="2AE89A30" w14:textId="77777777" w:rsidR="002335FA" w:rsidRPr="00E05DB3" w:rsidRDefault="002335FA" w:rsidP="004D3520">
      <w:pPr>
        <w:numPr>
          <w:ilvl w:val="0"/>
          <w:numId w:val="36"/>
        </w:numPr>
        <w:spacing w:after="240"/>
        <w:ind w:left="1416" w:hanging="716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 w:cs="Arial"/>
          <w:iCs/>
          <w:sz w:val="22"/>
          <w:szCs w:val="22"/>
        </w:rPr>
        <w:t>положительные результаты пятых учений по проверке готовности к цунами «СВАСМ/Волна-23», проведенных 6-7 ноября 2023 г. в регионе Северо-Восточной Атлантики, Средиземного и прилегающих морей;</w:t>
      </w:r>
    </w:p>
    <w:p w14:paraId="386FEF91" w14:textId="77777777" w:rsidR="002335FA" w:rsidRPr="00E05DB3" w:rsidRDefault="002335FA" w:rsidP="004D3520">
      <w:pPr>
        <w:numPr>
          <w:ilvl w:val="0"/>
          <w:numId w:val="36"/>
        </w:numPr>
        <w:spacing w:after="240"/>
        <w:ind w:left="1416" w:hanging="716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 w:cs="Arial"/>
          <w:iCs/>
          <w:sz w:val="22"/>
          <w:szCs w:val="22"/>
        </w:rPr>
        <w:t>информацию о выдаче муниципалитету г. Канны (департамент Приморские Альпы), Франция, впервые на территории материковой части Франции и в регионе Северо-Восточной Атлантики, Средиземного и прилегающих морей, сертификата МОК/ЮНЕСКО «К цунами готов» и об организованной по этому случаю церемонии, состоявшейся в Каннах 19 января 2024 г.;</w:t>
      </w:r>
    </w:p>
    <w:p w14:paraId="39465622" w14:textId="77777777" w:rsidR="002335FA" w:rsidRPr="00E05DB3" w:rsidRDefault="002335FA" w:rsidP="004D3520">
      <w:pPr>
        <w:numPr>
          <w:ilvl w:val="0"/>
          <w:numId w:val="36"/>
        </w:numPr>
        <w:spacing w:after="240"/>
        <w:ind w:left="1416" w:hanging="716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 w:cs="Arial"/>
          <w:iCs/>
          <w:sz w:val="22"/>
          <w:szCs w:val="22"/>
        </w:rPr>
        <w:t>недавнее продление на два года начиная с 1 июля 2024 г. финансирования по линии Генерального директората Европейской комиссии по вопросам защиты гражданского населения и гуманитарной помощи на цели реализации второй фазы проекта «Прибрежная волна 2.0», предусматривающей масштабирование проекта и повышение потенциала устойчивости прибрежных населенных пунктов в регионе Северо-Восточной Атлантики и Средиземноморья к негативным последствиям цунами и других опасных природных явлений, связанных с изменением уровня моря»;</w:t>
      </w:r>
    </w:p>
    <w:p w14:paraId="5A6322A1" w14:textId="77777777" w:rsidR="002335FA" w:rsidRPr="00E05DB3" w:rsidRDefault="002335FA" w:rsidP="004D3520">
      <w:pPr>
        <w:numPr>
          <w:ilvl w:val="0"/>
          <w:numId w:val="36"/>
        </w:numPr>
        <w:spacing w:after="240"/>
        <w:ind w:left="1416" w:hanging="716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 w:cs="Arial"/>
          <w:iCs/>
          <w:sz w:val="22"/>
          <w:szCs w:val="22"/>
        </w:rPr>
        <w:t>предложение Египта провести в октябре 2024 г. на своей территории 19</w:t>
      </w:r>
      <w:r w:rsidRPr="00E05DB3">
        <w:rPr>
          <w:rFonts w:ascii="Arial" w:hAnsi="Arial" w:cs="Arial"/>
          <w:iCs/>
          <w:sz w:val="22"/>
          <w:szCs w:val="22"/>
        </w:rPr>
        <w:noBreakHyphen/>
        <w:t>ю сессию МКГ/СПЦСВАСМ и намерение Италии принять у себя 20</w:t>
      </w:r>
      <w:r w:rsidRPr="00E05DB3">
        <w:rPr>
          <w:rFonts w:ascii="Arial" w:hAnsi="Arial" w:cs="Arial"/>
          <w:iCs/>
          <w:sz w:val="22"/>
          <w:szCs w:val="22"/>
        </w:rPr>
        <w:noBreakHyphen/>
        <w:t>ю сессию МКГ/СПЦСВАСМ;</w:t>
      </w:r>
    </w:p>
    <w:p w14:paraId="283450E2" w14:textId="77777777" w:rsidR="002335FA" w:rsidRPr="00E05DB3" w:rsidRDefault="002335FA" w:rsidP="004D3520">
      <w:pPr>
        <w:spacing w:after="240"/>
        <w:ind w:left="709" w:hanging="9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05DB3">
        <w:rPr>
          <w:rFonts w:ascii="Arial" w:hAnsi="Arial" w:cs="Arial"/>
          <w:b/>
          <w:bCs/>
          <w:iCs/>
          <w:sz w:val="22"/>
          <w:szCs w:val="22"/>
        </w:rPr>
        <w:t>Часть III:</w:t>
      </w:r>
    </w:p>
    <w:p w14:paraId="7A0FB222" w14:textId="77777777" w:rsidR="002335FA" w:rsidRPr="00E05DB3" w:rsidRDefault="002335FA" w:rsidP="004D3520">
      <w:pPr>
        <w:spacing w:after="240"/>
        <w:ind w:left="709" w:hanging="9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05DB3">
        <w:rPr>
          <w:rFonts w:ascii="Arial" w:hAnsi="Arial" w:cs="Arial"/>
          <w:b/>
          <w:bCs/>
          <w:iCs/>
          <w:sz w:val="22"/>
          <w:szCs w:val="22"/>
        </w:rPr>
        <w:t xml:space="preserve">Межправительственная координационная группа по системе предупреждения о </w:t>
      </w:r>
      <w:r w:rsidRPr="00E05DB3">
        <w:rPr>
          <w:rFonts w:ascii="Arial" w:hAnsi="Arial" w:cs="Arial"/>
          <w:b/>
          <w:bCs/>
          <w:iCs/>
          <w:sz w:val="22"/>
          <w:szCs w:val="22"/>
        </w:rPr>
        <w:br/>
        <w:t>цунами и смягчения их последствий в Тихом океане (МКГ/СПЦТО)</w:t>
      </w:r>
    </w:p>
    <w:p w14:paraId="4731BFDB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iCs/>
          <w:sz w:val="22"/>
          <w:szCs w:val="22"/>
          <w:u w:val="single"/>
        </w:rPr>
        <w:t>принимает к сведению с удовлетворением</w:t>
      </w:r>
      <w:r w:rsidRPr="00E05DB3">
        <w:rPr>
          <w:rFonts w:ascii="Arial" w:hAnsi="Arial" w:cs="Arial"/>
          <w:iCs/>
          <w:sz w:val="22"/>
          <w:szCs w:val="22"/>
        </w:rPr>
        <w:t>:</w:t>
      </w:r>
    </w:p>
    <w:p w14:paraId="5A9A17FD" w14:textId="52D4898E" w:rsidR="002335FA" w:rsidRPr="00E05DB3" w:rsidRDefault="002335FA" w:rsidP="004D3520">
      <w:pPr>
        <w:numPr>
          <w:ilvl w:val="0"/>
          <w:numId w:val="37"/>
        </w:numPr>
        <w:snapToGrid w:val="0"/>
        <w:spacing w:after="240"/>
        <w:ind w:left="1416" w:hanging="716"/>
        <w:jc w:val="both"/>
        <w:rPr>
          <w:rFonts w:ascii="Arial" w:hAnsi="Arial" w:cs="Arial"/>
          <w:bCs/>
          <w:sz w:val="22"/>
          <w:szCs w:val="22"/>
        </w:rPr>
      </w:pPr>
      <w:r w:rsidRPr="00E05DB3">
        <w:rPr>
          <w:rFonts w:ascii="Arial" w:hAnsi="Arial" w:cs="Arial"/>
          <w:bCs/>
          <w:sz w:val="22"/>
          <w:szCs w:val="22"/>
        </w:rPr>
        <w:t>информацию о запланированном на сентябрь-ноябрь 2024 г. проведении 11</w:t>
      </w:r>
      <w:r w:rsidR="002A5B55">
        <w:rPr>
          <w:rFonts w:ascii="Arial" w:hAnsi="Arial" w:cs="Arial"/>
          <w:bCs/>
          <w:sz w:val="22"/>
          <w:szCs w:val="22"/>
        </w:rPr>
        <w:noBreakHyphen/>
      </w:r>
      <w:r w:rsidRPr="00E05DB3">
        <w:rPr>
          <w:rFonts w:ascii="Arial" w:hAnsi="Arial" w:cs="Arial"/>
          <w:bCs/>
          <w:sz w:val="22"/>
          <w:szCs w:val="22"/>
        </w:rPr>
        <w:t>х</w:t>
      </w:r>
      <w:r w:rsidR="002A5B55">
        <w:rPr>
          <w:rFonts w:ascii="Arial" w:hAnsi="Arial" w:cs="Arial"/>
          <w:bCs/>
          <w:sz w:val="22"/>
          <w:szCs w:val="22"/>
        </w:rPr>
        <w:t> </w:t>
      </w:r>
      <w:r w:rsidRPr="00E05DB3">
        <w:rPr>
          <w:rFonts w:ascii="Arial" w:hAnsi="Arial" w:cs="Arial"/>
          <w:bCs/>
          <w:sz w:val="22"/>
          <w:szCs w:val="22"/>
        </w:rPr>
        <w:t>учений по проверке готовности к цунами («Тихоокеанская волна-24»), приуроченных к Международному дню по уменьшению опасности бедствий (13 октября) и Всемирному дню распространения информации о проблеме цунами (5</w:t>
      </w:r>
      <w:r w:rsidR="002A5B55">
        <w:rPr>
          <w:rFonts w:ascii="Arial" w:hAnsi="Arial" w:cs="Arial"/>
          <w:bCs/>
          <w:sz w:val="22"/>
          <w:szCs w:val="22"/>
        </w:rPr>
        <w:t> </w:t>
      </w:r>
      <w:r w:rsidRPr="00E05DB3">
        <w:rPr>
          <w:rFonts w:ascii="Arial" w:hAnsi="Arial" w:cs="Arial"/>
          <w:bCs/>
          <w:sz w:val="22"/>
          <w:szCs w:val="22"/>
        </w:rPr>
        <w:t>ноября), в соответствии с утвержденным Кругом ведения;</w:t>
      </w:r>
    </w:p>
    <w:p w14:paraId="6497202C" w14:textId="77777777" w:rsidR="002335FA" w:rsidRPr="00E05DB3" w:rsidRDefault="002335FA" w:rsidP="004D3520">
      <w:pPr>
        <w:numPr>
          <w:ilvl w:val="0"/>
          <w:numId w:val="37"/>
        </w:numPr>
        <w:snapToGrid w:val="0"/>
        <w:spacing w:after="240"/>
        <w:ind w:left="1416" w:hanging="716"/>
        <w:jc w:val="both"/>
        <w:rPr>
          <w:rFonts w:ascii="Arial" w:hAnsi="Arial" w:cs="Arial"/>
          <w:bCs/>
          <w:sz w:val="22"/>
          <w:szCs w:val="22"/>
        </w:rPr>
      </w:pPr>
      <w:r w:rsidRPr="00E05DB3">
        <w:rPr>
          <w:rFonts w:ascii="Arial" w:hAnsi="Arial" w:cs="Arial"/>
          <w:bCs/>
          <w:sz w:val="22"/>
          <w:szCs w:val="22"/>
        </w:rPr>
        <w:t>предложение Китая провести в 2025 г. 31-ю сессию МКГ/СПЦТО в Пекине и предложение Франции провести в 2027 г. 32-ю сессию МКГ/СПЦТО в Нумеа, Новая Каледония;</w:t>
      </w:r>
    </w:p>
    <w:p w14:paraId="14BA1AF8" w14:textId="77777777" w:rsidR="002335FA" w:rsidRPr="00E05DB3" w:rsidRDefault="002335FA" w:rsidP="004D3520">
      <w:pPr>
        <w:numPr>
          <w:ilvl w:val="0"/>
          <w:numId w:val="37"/>
        </w:numPr>
        <w:snapToGrid w:val="0"/>
        <w:spacing w:after="240"/>
        <w:ind w:left="1416" w:hanging="716"/>
        <w:jc w:val="both"/>
        <w:rPr>
          <w:rFonts w:ascii="Arial" w:hAnsi="Arial" w:cs="Arial"/>
          <w:bCs/>
          <w:sz w:val="22"/>
          <w:szCs w:val="22"/>
        </w:rPr>
      </w:pPr>
      <w:r w:rsidRPr="00E05DB3">
        <w:rPr>
          <w:rFonts w:ascii="Arial" w:hAnsi="Arial" w:cs="Arial"/>
          <w:bCs/>
          <w:sz w:val="22"/>
          <w:szCs w:val="22"/>
        </w:rPr>
        <w:t>информацию о проведении 14-17 мая 2024 г. в Вануату совещания экспертов, посвященного источникам происхождения цунами, опасным природным явлениям, потенциальным угрозам и факторам неопределенности, связанным с зонами субдукции Вануату, Сан-Кристобаля и Новой Британии;</w:t>
      </w:r>
    </w:p>
    <w:p w14:paraId="42A94D8C" w14:textId="77777777" w:rsidR="002335FA" w:rsidRPr="00E05DB3" w:rsidRDefault="002335FA" w:rsidP="004D3520">
      <w:pPr>
        <w:numPr>
          <w:ilvl w:val="0"/>
          <w:numId w:val="37"/>
        </w:numPr>
        <w:snapToGrid w:val="0"/>
        <w:spacing w:after="240"/>
        <w:ind w:left="1416" w:hanging="716"/>
        <w:jc w:val="both"/>
        <w:rPr>
          <w:rFonts w:ascii="Arial" w:hAnsi="Arial" w:cs="Arial"/>
          <w:bCs/>
          <w:sz w:val="22"/>
          <w:szCs w:val="22"/>
        </w:rPr>
      </w:pPr>
      <w:r w:rsidRPr="00E05DB3">
        <w:rPr>
          <w:rFonts w:ascii="Arial" w:hAnsi="Arial" w:cs="Arial"/>
          <w:bCs/>
          <w:sz w:val="22"/>
          <w:szCs w:val="22"/>
        </w:rPr>
        <w:t>решение МКГ/СПЦТО официально объявить о начале полноценного функционирования Консультативного центра по цунами для региона Центральной Америки (КЦЦЦА), конкретная дата которого будет определена после согласования с МКГ/КАРИБ-СРП;</w:t>
      </w:r>
    </w:p>
    <w:p w14:paraId="7410C933" w14:textId="77777777" w:rsidR="002335FA" w:rsidRPr="00E05DB3" w:rsidRDefault="002335FA" w:rsidP="004D3520">
      <w:pPr>
        <w:numPr>
          <w:ilvl w:val="0"/>
          <w:numId w:val="37"/>
        </w:numPr>
        <w:spacing w:after="240"/>
        <w:ind w:left="1416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bCs/>
          <w:sz w:val="22"/>
          <w:szCs w:val="22"/>
        </w:rPr>
        <w:lastRenderedPageBreak/>
        <w:t>утверждение требований к уровню компетентности, общих принципов деятельности и потребностей в области профессиональной подготовки национальных цент</w:t>
      </w:r>
      <w:r w:rsidRPr="00E05DB3">
        <w:rPr>
          <w:rFonts w:ascii="Arial" w:hAnsi="Arial" w:cs="Arial"/>
          <w:bCs/>
          <w:sz w:val="22"/>
          <w:szCs w:val="22"/>
        </w:rPr>
        <w:softHyphen/>
        <w:t xml:space="preserve">ров предупреждения о цунами СПЦТО, изложенных в рабочем документе IOC/ICG/PTWS-XXX: </w:t>
      </w:r>
      <w:r w:rsidRPr="00E05DB3">
        <w:rPr>
          <w:rFonts w:ascii="Arial" w:hAnsi="Arial" w:cs="Arial"/>
          <w:bCs/>
          <w:i/>
          <w:sz w:val="22"/>
          <w:szCs w:val="22"/>
        </w:rPr>
        <w:t>«Доклад целевой группы о минимальных требованиях к квалификации сотрудников национального центра предупреждения о цунами (НЦПЦ)</w:t>
      </w:r>
      <w:r w:rsidRPr="00E05DB3">
        <w:rPr>
          <w:rFonts w:ascii="Arial" w:hAnsi="Arial" w:cs="Arial"/>
          <w:bCs/>
          <w:sz w:val="22"/>
          <w:szCs w:val="22"/>
        </w:rPr>
        <w:t xml:space="preserve">; </w:t>
      </w:r>
    </w:p>
    <w:p w14:paraId="4303A575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sz w:val="22"/>
          <w:szCs w:val="22"/>
          <w:u w:val="single"/>
        </w:rPr>
      </w:pPr>
      <w:r w:rsidRPr="00E05DB3">
        <w:rPr>
          <w:rFonts w:ascii="Arial" w:hAnsi="Arial" w:cs="Arial"/>
          <w:sz w:val="22"/>
          <w:szCs w:val="22"/>
          <w:u w:val="single"/>
        </w:rPr>
        <w:t>принимает к сведению:</w:t>
      </w:r>
    </w:p>
    <w:p w14:paraId="7DEF6420" w14:textId="77777777" w:rsidR="002335FA" w:rsidRPr="00E05DB3" w:rsidRDefault="002335FA" w:rsidP="004D3520">
      <w:pPr>
        <w:pStyle w:val="ListParagraph"/>
        <w:numPr>
          <w:ilvl w:val="0"/>
          <w:numId w:val="43"/>
        </w:numPr>
        <w:spacing w:after="240"/>
        <w:ind w:left="1416" w:hanging="716"/>
        <w:contextualSpacing w:val="0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обеспокоенность МКГ/СПЦТО в связи с сейсмической активностью в регионе Южно-Антильского хребта, которая отражена в кратком докладе 30-й сессии МКГ/СПЦТО (IOC/ICG/PTWS-XXX/3s);</w:t>
      </w:r>
    </w:p>
    <w:p w14:paraId="63E10BAB" w14:textId="77777777" w:rsidR="002335FA" w:rsidRPr="00E05DB3" w:rsidRDefault="002335FA" w:rsidP="004D3520">
      <w:pPr>
        <w:pStyle w:val="ListParagraph"/>
        <w:numPr>
          <w:ilvl w:val="0"/>
          <w:numId w:val="43"/>
        </w:numPr>
        <w:spacing w:after="240"/>
        <w:ind w:left="1416" w:hanging="716"/>
        <w:contextualSpacing w:val="0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выпуск ТЦПЦ бюллетеней по цунами для МКГ/КАРИБ-СРП и МКГ/СПЦТО в связи с землетрясениями в регионе Южно-Антильского хребта и прилегающих к нему сейсмических зонах в случаях, когда происходящие там события отвечают определенным критериям, сформулированным в документе «Операции по наблюдению за цунами: определение глобальных услуг» (Серия технических документов МОК, № 130);</w:t>
      </w:r>
    </w:p>
    <w:p w14:paraId="4B899CA0" w14:textId="77777777" w:rsidR="002335FA" w:rsidRPr="00E05DB3" w:rsidRDefault="002335FA" w:rsidP="004D3520">
      <w:pPr>
        <w:pStyle w:val="ListParagraph"/>
        <w:numPr>
          <w:ilvl w:val="0"/>
          <w:numId w:val="43"/>
        </w:numPr>
        <w:spacing w:after="240"/>
        <w:ind w:left="1416" w:hanging="716"/>
        <w:contextualSpacing w:val="0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необходимость активного взаимодействия Аргентины с МКГ/КАРИБ-СРП и МКГ/СПЦТО по функциям координации Аргентинской поисково-спасательной службы и NAVAREA VI;</w:t>
      </w:r>
    </w:p>
    <w:p w14:paraId="794A897A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  <w:u w:val="single"/>
        </w:rPr>
        <w:t>просит</w:t>
      </w:r>
      <w:r w:rsidRPr="00E05DB3">
        <w:rPr>
          <w:rFonts w:ascii="Arial" w:hAnsi="Arial" w:cs="Arial"/>
          <w:sz w:val="22"/>
          <w:szCs w:val="22"/>
        </w:rPr>
        <w:t xml:space="preserve"> ТЦПЦ завершить необходимые приготовления для обеспечения всех координаторов NAVAREA в Тихом океане и Юго-Западной Атлантике (в частности, координаторов районов NAVAREA VI, X, XI, XII, XIII, XIV, XV и XVI) специальными сообщениями для судов относительно безопасности на море в связи с цунами, которые будут передаваться в НЦПЦ с последующим их препровождением национальным координаторам NAVAREA, либо в отсутствие НЦПЦ непосредственно национальным координаторам NAVAREA по их запросу;</w:t>
      </w:r>
    </w:p>
    <w:p w14:paraId="3B8907FB" w14:textId="77777777" w:rsidR="002335FA" w:rsidRPr="00E05DB3" w:rsidRDefault="002335FA" w:rsidP="004D3520">
      <w:pPr>
        <w:spacing w:after="240"/>
        <w:ind w:left="709" w:hanging="9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05DB3">
        <w:rPr>
          <w:rFonts w:ascii="Arial" w:hAnsi="Arial" w:cs="Arial"/>
          <w:b/>
          <w:bCs/>
          <w:iCs/>
          <w:sz w:val="22"/>
          <w:szCs w:val="22"/>
        </w:rPr>
        <w:t>Часть IV:</w:t>
      </w:r>
    </w:p>
    <w:p w14:paraId="1303E900" w14:textId="3EADED65" w:rsidR="002335FA" w:rsidRPr="00E05DB3" w:rsidRDefault="002335FA" w:rsidP="004D3520">
      <w:pPr>
        <w:spacing w:after="240"/>
        <w:ind w:left="709" w:hanging="9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E05DB3">
        <w:rPr>
          <w:rFonts w:ascii="Arial" w:hAnsi="Arial" w:cs="Arial"/>
          <w:b/>
          <w:bCs/>
          <w:iCs/>
          <w:sz w:val="22"/>
          <w:szCs w:val="22"/>
        </w:rPr>
        <w:t>Рабочая группа по системам предупреждения о цунами и других опасных</w:t>
      </w:r>
      <w:r w:rsidR="00DA5F61" w:rsidRPr="00A30690">
        <w:rPr>
          <w:rFonts w:ascii="Arial" w:hAnsi="Arial" w:cs="Arial"/>
          <w:b/>
          <w:bCs/>
          <w:iCs/>
          <w:sz w:val="22"/>
          <w:szCs w:val="22"/>
        </w:rPr>
        <w:br/>
      </w:r>
      <w:r w:rsidRPr="00E05DB3">
        <w:rPr>
          <w:rFonts w:ascii="Arial" w:hAnsi="Arial" w:cs="Arial"/>
          <w:b/>
          <w:bCs/>
          <w:iCs/>
          <w:sz w:val="22"/>
          <w:szCs w:val="22"/>
        </w:rPr>
        <w:t>явлениях, связанных с изменением уровня моря, и смягчения их последствий (РГ-СПЦО)</w:t>
      </w:r>
    </w:p>
    <w:p w14:paraId="180E5D0D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  <w:u w:val="single"/>
        </w:rPr>
        <w:t>постановляет</w:t>
      </w:r>
      <w:r w:rsidRPr="00E05DB3">
        <w:rPr>
          <w:rFonts w:ascii="Arial" w:hAnsi="Arial" w:cs="Arial"/>
          <w:sz w:val="22"/>
          <w:szCs w:val="22"/>
        </w:rPr>
        <w:t>, что МОК следует более тесно сотрудничать с ВМО в целях увязки своей деятельности, касающейся цунами, с деятельностью служб раннего предупреждения о многофакторных опасных явлениях (СРПМОЯ) и инициативой Генерального секретаря ООН «Раннее оповещение для всех» (ЗПДВ), в частности, с инициативой ВМО по прогнозированию наводнений в прибрежной зоне (ИПНПЗ), которая является примером многосторонней деятельности по решению проблемы затопления прибрежных районов, вне зависимости от причины такого затопления;</w:t>
      </w:r>
    </w:p>
    <w:p w14:paraId="7A146A1A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  <w:u w:val="single"/>
        </w:rPr>
        <w:t>приветствует</w:t>
      </w:r>
      <w:r w:rsidRPr="00E05DB3">
        <w:rPr>
          <w:rFonts w:ascii="Arial" w:hAnsi="Arial" w:cs="Arial"/>
          <w:sz w:val="22"/>
          <w:szCs w:val="22"/>
        </w:rPr>
        <w:t xml:space="preserve"> обращенную к Совместному совету по сотрудничеству между ВМО и МОК просьбу ВМО рассмотреть связанные с цунами проблемные аспекты в отношении цунами метеорологического происхождения, уточнить функции и сферы ответственности ВМО и МОК/ЮНЕСКО, а также определить наиболее эффективные возможности укрепления сотрудничества в деле поддержки государств-членов;</w:t>
      </w:r>
    </w:p>
    <w:p w14:paraId="7C3751FD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  <w:u w:val="single"/>
        </w:rPr>
        <w:t>поручает</w:t>
      </w:r>
      <w:r w:rsidRPr="00E05DB3">
        <w:rPr>
          <w:rFonts w:ascii="Arial" w:hAnsi="Arial" w:cs="Arial"/>
          <w:sz w:val="22"/>
          <w:szCs w:val="22"/>
        </w:rPr>
        <w:t xml:space="preserve"> региональным межправительственным координационным группам (МКГ):</w:t>
      </w:r>
    </w:p>
    <w:p w14:paraId="71516280" w14:textId="77777777" w:rsidR="002335FA" w:rsidRPr="00E05DB3" w:rsidRDefault="002335FA" w:rsidP="004D3520">
      <w:pPr>
        <w:pStyle w:val="ListParagraph"/>
        <w:numPr>
          <w:ilvl w:val="0"/>
          <w:numId w:val="34"/>
        </w:numPr>
        <w:snapToGrid w:val="0"/>
        <w:spacing w:after="240"/>
        <w:ind w:left="1416" w:hanging="716"/>
        <w:contextualSpacing w:val="0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 xml:space="preserve">рассмотреть возможность проведения учений по проверке готовности к цунами в нерабочее время, в том числе ночью, позаботившись о том, чтобы учесть </w:t>
      </w:r>
      <w:r w:rsidRPr="00E05DB3">
        <w:rPr>
          <w:rFonts w:ascii="Arial" w:hAnsi="Arial" w:cs="Arial"/>
          <w:sz w:val="22"/>
          <w:szCs w:val="22"/>
        </w:rPr>
        <w:lastRenderedPageBreak/>
        <w:t>трудности и возможные проблемы, связанные с привлечением населения к ночным учениям;</w:t>
      </w:r>
    </w:p>
    <w:p w14:paraId="5A3CB1A0" w14:textId="77777777" w:rsidR="002335FA" w:rsidRPr="00E05DB3" w:rsidRDefault="002335FA" w:rsidP="004D3520">
      <w:pPr>
        <w:pStyle w:val="ListParagraph"/>
        <w:numPr>
          <w:ilvl w:val="0"/>
          <w:numId w:val="34"/>
        </w:numPr>
        <w:snapToGrid w:val="0"/>
        <w:spacing w:after="240"/>
        <w:ind w:left="1416" w:hanging="716"/>
        <w:contextualSpacing w:val="0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рассмотреть вопрос о том, что провайдерам данных слежения за цунами (ПДСЦ), возможно, необходимо также обеспечить оказание услуг в ситуациях, когда цунами вулканического происхождения может затронуть несколько государств-членов;</w:t>
      </w:r>
    </w:p>
    <w:p w14:paraId="65771AF8" w14:textId="77777777" w:rsidR="002335FA" w:rsidRPr="00E05DB3" w:rsidRDefault="002335FA" w:rsidP="004D3520">
      <w:pPr>
        <w:pStyle w:val="ListParagraph"/>
        <w:numPr>
          <w:ilvl w:val="0"/>
          <w:numId w:val="34"/>
        </w:numPr>
        <w:snapToGrid w:val="0"/>
        <w:spacing w:after="240"/>
        <w:ind w:left="1416" w:hanging="716"/>
        <w:contextualSpacing w:val="0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использовать учения по проверке готовности к цунами и тестирование систем оповещения населения в числе прочего как возможность контроля наличия и качества имеющихся данных;</w:t>
      </w:r>
    </w:p>
    <w:p w14:paraId="25527FC0" w14:textId="77777777" w:rsidR="002335FA" w:rsidRPr="00E05DB3" w:rsidRDefault="002335FA" w:rsidP="004D3520">
      <w:pPr>
        <w:pStyle w:val="ListParagraph"/>
        <w:numPr>
          <w:ilvl w:val="0"/>
          <w:numId w:val="34"/>
        </w:numPr>
        <w:snapToGrid w:val="0"/>
        <w:spacing w:after="240"/>
        <w:ind w:left="1416" w:hanging="716"/>
        <w:contextualSpacing w:val="0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использовать и поощрять использование многоцелевых станций мониторинга уровня моря в поддержку СРПМОЯ для расширения зоны охвата данными и снижения затрат;</w:t>
      </w:r>
    </w:p>
    <w:p w14:paraId="68FBB28D" w14:textId="77777777" w:rsidR="002335FA" w:rsidRPr="00E05DB3" w:rsidRDefault="002335FA" w:rsidP="004D3520">
      <w:pPr>
        <w:pStyle w:val="ListParagraph"/>
        <w:numPr>
          <w:ilvl w:val="0"/>
          <w:numId w:val="34"/>
        </w:numPr>
        <w:snapToGrid w:val="0"/>
        <w:spacing w:after="240"/>
        <w:ind w:left="1416" w:hanging="716"/>
        <w:contextualSpacing w:val="0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делиться информацией и методами, касающимися развертывания новых технических средств для мониторинга колебаний уровня моря, используемых для целей предупреждения о цунами, таких как текущий проект прокладки подводного кабеля у берегов Португалии (проект CAM SMART), проект TAM TAM SMART по прокладке подводного кабеля между Новой Каледонией и Вануату, подводные кабельные сети, развертываемые Индонезией и Индией, и прокладка интеллектуального кабеля в Ионическом море у берегов Сицилии (проект InSEA Wet Demo);</w:t>
      </w:r>
    </w:p>
    <w:p w14:paraId="1AFDC835" w14:textId="77777777" w:rsidR="002335FA" w:rsidRPr="00E05DB3" w:rsidRDefault="002335FA" w:rsidP="004D3520">
      <w:pPr>
        <w:pStyle w:val="ListParagraph"/>
        <w:numPr>
          <w:ilvl w:val="0"/>
          <w:numId w:val="34"/>
        </w:numPr>
        <w:snapToGrid w:val="0"/>
        <w:spacing w:after="240"/>
        <w:ind w:left="1416" w:hanging="716"/>
        <w:contextualSpacing w:val="0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предложить ПДСЦ, относящимся к каждой МКГ, провести во второй половине 2024 г. тестовую рассылку навигационных бюллетеней среди соответствующих операторов NAVAREA в их районах обслуживания с прицелом на полноценное внедрение этой услуги в 2025 г.;</w:t>
      </w:r>
    </w:p>
    <w:p w14:paraId="14F64BD5" w14:textId="77777777" w:rsidR="002335FA" w:rsidRPr="00E05DB3" w:rsidRDefault="002335FA" w:rsidP="004D3520">
      <w:pPr>
        <w:pStyle w:val="ListParagraph"/>
        <w:numPr>
          <w:ilvl w:val="0"/>
          <w:numId w:val="34"/>
        </w:numPr>
        <w:snapToGrid w:val="0"/>
        <w:spacing w:after="240"/>
        <w:ind w:left="1416" w:hanging="716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предложить целевой группе МКГ/СПЦТО по сертификации готовности к цунами распространить практические рекомендации МКГ/СПЦТО в отношении использования эквивалентов сертификата «К цунами готов» для дальнейшего рассмотрения ЦГ-ЛПГ в качестве возможного механизма отчетности в рамках достижения этой цели;</w:t>
      </w:r>
    </w:p>
    <w:p w14:paraId="47C7F528" w14:textId="77777777" w:rsidR="002335FA" w:rsidRPr="00E05DB3" w:rsidRDefault="002335FA" w:rsidP="004D3520">
      <w:pPr>
        <w:pStyle w:val="ListParagraph"/>
        <w:numPr>
          <w:ilvl w:val="0"/>
          <w:numId w:val="34"/>
        </w:numPr>
        <w:snapToGrid w:val="0"/>
        <w:spacing w:after="240"/>
        <w:ind w:left="1416" w:hanging="716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предложить рабочим группам 1 и 3 МКГ/СПЦСПИО разработать и распространить методическое руководство по обеспечению готовности критической инфраструктуры к цунами;</w:t>
      </w:r>
    </w:p>
    <w:p w14:paraId="5D14E402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  <w:u w:val="single"/>
        </w:rPr>
        <w:t>призывает</w:t>
      </w:r>
      <w:r w:rsidRPr="00E05DB3">
        <w:rPr>
          <w:rFonts w:ascii="Arial" w:hAnsi="Arial" w:cs="Arial"/>
          <w:sz w:val="22"/>
          <w:szCs w:val="22"/>
        </w:rPr>
        <w:t xml:space="preserve"> государства-члены вносить добровольные финансовые взносы на специальный счет МОК и взносы в натуральной форме для содействия осуществлению программы по цунами в рамках Десятилетия, посвященного науке об океане, и программы МОК ЮНЕСКО по сертификации готовности к цунами;</w:t>
      </w:r>
    </w:p>
    <w:p w14:paraId="057C10D3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  <w:u w:val="single"/>
        </w:rPr>
        <w:t>рекомендует</w:t>
      </w:r>
      <w:r w:rsidRPr="00E05DB3">
        <w:rPr>
          <w:rFonts w:ascii="Arial" w:hAnsi="Arial" w:cs="Arial"/>
          <w:sz w:val="22"/>
          <w:szCs w:val="22"/>
        </w:rPr>
        <w:t xml:space="preserve"> для районов, где землетрясение не будет ощущаться, использовать стандартный текст информационного указателя, предусмотренного в рамках программы МОК ЮНЕСКО по сертификации готовности к цунами, а именно: </w:t>
      </w:r>
      <w:r w:rsidRPr="00E05DB3">
        <w:rPr>
          <w:rFonts w:ascii="Arial" w:hAnsi="Arial" w:cs="Arial"/>
          <w:i/>
          <w:sz w:val="22"/>
          <w:szCs w:val="22"/>
        </w:rPr>
        <w:t>«В случае официального сообщения об опасности цунами поднимитесь на возвышенность или направляйтесь в противоположную от моря сторону»</w:t>
      </w:r>
      <w:r w:rsidRPr="00E05DB3">
        <w:rPr>
          <w:rFonts w:ascii="Arial" w:hAnsi="Arial" w:cs="Arial"/>
          <w:sz w:val="22"/>
          <w:szCs w:val="22"/>
        </w:rPr>
        <w:t xml:space="preserve"> в качестве альтернативы варианту </w:t>
      </w:r>
      <w:r w:rsidRPr="00E05DB3">
        <w:rPr>
          <w:rFonts w:ascii="Arial" w:hAnsi="Arial" w:cs="Arial"/>
          <w:i/>
          <w:sz w:val="22"/>
          <w:szCs w:val="22"/>
        </w:rPr>
        <w:t>«В случае сильного или продолжительного землетрясения, либо официального сообщения об опасности цунами поднимитесь на возвышенность или направляйтесь в противоположную от моря сторону»</w:t>
      </w:r>
      <w:r w:rsidRPr="00E05DB3">
        <w:rPr>
          <w:rFonts w:ascii="Arial" w:hAnsi="Arial" w:cs="Arial"/>
          <w:sz w:val="22"/>
          <w:szCs w:val="22"/>
        </w:rPr>
        <w:t>;</w:t>
      </w:r>
    </w:p>
    <w:p w14:paraId="039E17F1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  <w:u w:val="single"/>
        </w:rPr>
        <w:t>просит</w:t>
      </w:r>
      <w:r w:rsidRPr="00E05DB3">
        <w:rPr>
          <w:rFonts w:ascii="Arial" w:hAnsi="Arial" w:cs="Arial"/>
          <w:sz w:val="22"/>
          <w:szCs w:val="22"/>
        </w:rPr>
        <w:t xml:space="preserve"> Секретариат МОК:</w:t>
      </w:r>
    </w:p>
    <w:p w14:paraId="63092F3F" w14:textId="77777777" w:rsidR="002335FA" w:rsidRPr="00E05DB3" w:rsidRDefault="002335FA" w:rsidP="004D3520">
      <w:pPr>
        <w:numPr>
          <w:ilvl w:val="0"/>
          <w:numId w:val="38"/>
        </w:numPr>
        <w:spacing w:after="240"/>
        <w:ind w:left="1416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lastRenderedPageBreak/>
        <w:t>уведомить все государства-члены посредством циркулярного письма о том, что факсимильная передача ПДСЦ информационных сообщений об опасности цунами будет прекращена через шесть месяцев с даты направления циркулярного письма, если только в течение трех месяцев государства-члены не сообщат о том, что факсимильная передача информационных сообщений об опасности цунами имеет важное значение для функционирования их национальных центров предупреждения о цунами (НЦПЦ) и что у них нет другого резервного средства на этот случай;</w:t>
      </w:r>
    </w:p>
    <w:p w14:paraId="726674A7" w14:textId="77777777" w:rsidR="002335FA" w:rsidRPr="00E05DB3" w:rsidRDefault="002335FA" w:rsidP="004D3520">
      <w:pPr>
        <w:numPr>
          <w:ilvl w:val="0"/>
          <w:numId w:val="38"/>
        </w:numPr>
        <w:spacing w:after="240"/>
        <w:ind w:left="1416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разработать механизм отчетности, позволяющий МКГ информировать о ходе реализации соответствующих проектов в рамках Десятилетия науки об океане и о достижении ключевых показателей эффективности (КПЭ), предусмотренных в ПИРО-ПЦДО, согласовав его с предложенной глобальной системой КПЭ для программы МОК/ЮНЕСКО по цунами;</w:t>
      </w:r>
    </w:p>
    <w:p w14:paraId="5F9612AB" w14:textId="77777777" w:rsidR="002335FA" w:rsidRPr="00E05DB3" w:rsidRDefault="002335FA" w:rsidP="004D3520">
      <w:pPr>
        <w:numPr>
          <w:ilvl w:val="0"/>
          <w:numId w:val="38"/>
        </w:numPr>
        <w:spacing w:after="240"/>
        <w:ind w:left="1416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 xml:space="preserve">распространить среди вулканологических обсерваторий и государств – членов МОК/ЮНЕСКО доклад </w:t>
      </w:r>
      <w:r w:rsidRPr="00E05DB3">
        <w:rPr>
          <w:rFonts w:ascii="Arial" w:hAnsi="Arial" w:cs="Arial"/>
          <w:i/>
          <w:sz w:val="22"/>
          <w:szCs w:val="22"/>
        </w:rPr>
        <w:t>«Мониторинг и предупреждение в отношении цунами вулканического происхождения»</w:t>
      </w:r>
      <w:r w:rsidRPr="00E05DB3">
        <w:rPr>
          <w:rFonts w:ascii="Arial" w:hAnsi="Arial" w:cs="Arial"/>
          <w:sz w:val="22"/>
          <w:szCs w:val="22"/>
        </w:rPr>
        <w:t xml:space="preserve"> (</w:t>
      </w:r>
      <w:r w:rsidRPr="00E05DB3">
        <w:rPr>
          <w:rFonts w:ascii="Arial" w:eastAsia="Arial" w:hAnsi="Arial" w:cs="Arial"/>
          <w:sz w:val="22"/>
          <w:szCs w:val="22"/>
        </w:rPr>
        <w:t>IOC/2024/TS/183</w:t>
      </w:r>
      <w:r w:rsidRPr="00E05DB3">
        <w:rPr>
          <w:rFonts w:ascii="Arial" w:hAnsi="Arial" w:cs="Arial"/>
          <w:sz w:val="22"/>
          <w:szCs w:val="22"/>
        </w:rPr>
        <w:t>), включая Список вулканов, способных вызвать цунами;</w:t>
      </w:r>
    </w:p>
    <w:p w14:paraId="1B570875" w14:textId="77777777" w:rsidR="002335FA" w:rsidRPr="00E05DB3" w:rsidRDefault="002335FA" w:rsidP="004D3520">
      <w:pPr>
        <w:numPr>
          <w:ilvl w:val="0"/>
          <w:numId w:val="38"/>
        </w:numPr>
        <w:spacing w:after="240"/>
        <w:ind w:left="1416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организовать для каждой МКГ онлайновые вебинары с участием соответствующих вулканологических обсерваторий и консультативных центров по вулканическому пеплу (КЦВП), с тем чтобы:</w:t>
      </w:r>
    </w:p>
    <w:p w14:paraId="74EC3E47" w14:textId="77777777" w:rsidR="002335FA" w:rsidRPr="00E05DB3" w:rsidRDefault="002335FA" w:rsidP="004D3520">
      <w:pPr>
        <w:numPr>
          <w:ilvl w:val="0"/>
          <w:numId w:val="39"/>
        </w:numPr>
        <w:spacing w:after="240"/>
        <w:ind w:left="2127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 xml:space="preserve">кратко ознакомить с содержанием доклада </w:t>
      </w:r>
      <w:r w:rsidRPr="00E05DB3">
        <w:rPr>
          <w:rFonts w:ascii="Arial" w:hAnsi="Arial" w:cs="Arial"/>
          <w:i/>
          <w:sz w:val="22"/>
          <w:szCs w:val="22"/>
        </w:rPr>
        <w:t>«Мониторинг и предупреждение в отношении цунами вулканического происхождения»</w:t>
      </w:r>
      <w:r w:rsidRPr="00E05DB3">
        <w:rPr>
          <w:rFonts w:ascii="Arial" w:hAnsi="Arial" w:cs="Arial"/>
          <w:sz w:val="22"/>
          <w:szCs w:val="22"/>
        </w:rPr>
        <w:t xml:space="preserve"> (</w:t>
      </w:r>
      <w:r w:rsidRPr="00E05DB3">
        <w:rPr>
          <w:rFonts w:ascii="Arial" w:eastAsia="Arial" w:hAnsi="Arial" w:cs="Arial"/>
          <w:sz w:val="22"/>
          <w:szCs w:val="22"/>
        </w:rPr>
        <w:t>IOC/2024/TS/183</w:t>
      </w:r>
      <w:r w:rsidRPr="00E05DB3">
        <w:rPr>
          <w:rFonts w:ascii="Arial" w:hAnsi="Arial" w:cs="Arial"/>
          <w:sz w:val="22"/>
          <w:szCs w:val="22"/>
        </w:rPr>
        <w:t>) и сформулированными в нем рекомендациями,</w:t>
      </w:r>
    </w:p>
    <w:p w14:paraId="261E1877" w14:textId="77777777" w:rsidR="002335FA" w:rsidRPr="00E05DB3" w:rsidRDefault="002335FA" w:rsidP="004D3520">
      <w:pPr>
        <w:numPr>
          <w:ilvl w:val="0"/>
          <w:numId w:val="39"/>
        </w:numPr>
        <w:spacing w:after="240"/>
        <w:ind w:left="2127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осветить тему этого опасного природного явления и определить уязвимые государства-члены,</w:t>
      </w:r>
    </w:p>
    <w:p w14:paraId="6B9D4BA5" w14:textId="77777777" w:rsidR="002335FA" w:rsidRPr="00E05DB3" w:rsidRDefault="002335FA" w:rsidP="004D3520">
      <w:pPr>
        <w:numPr>
          <w:ilvl w:val="0"/>
          <w:numId w:val="39"/>
        </w:numPr>
        <w:spacing w:after="240"/>
        <w:ind w:left="2127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инициировать необходимое партнерское взаимодействие между НЦПЦ, вулканологическими обсерваториями и КЦВП,</w:t>
      </w:r>
    </w:p>
    <w:p w14:paraId="0C6BDE8C" w14:textId="77777777" w:rsidR="002335FA" w:rsidRPr="00E05DB3" w:rsidRDefault="002335FA" w:rsidP="004D3520">
      <w:pPr>
        <w:numPr>
          <w:ilvl w:val="0"/>
          <w:numId w:val="39"/>
        </w:numPr>
        <w:spacing w:after="240"/>
        <w:ind w:left="2127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инициировать рассмотрение вопроса о том, что ПДСЦ, возможно, следует также обеспечить оказание услуг в ситуациях, когда цунами вулканического происхождения может затронуть несколько государств-членов;</w:t>
      </w:r>
    </w:p>
    <w:p w14:paraId="21456007" w14:textId="77777777" w:rsidR="002335FA" w:rsidRPr="00E05DB3" w:rsidRDefault="002335FA" w:rsidP="004D3520">
      <w:pPr>
        <w:numPr>
          <w:ilvl w:val="0"/>
          <w:numId w:val="38"/>
        </w:numPr>
        <w:spacing w:after="240"/>
        <w:ind w:left="1416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организовать в 2024 г. в координации с МГО вебинары для операторов системы NAVAREA и резервных операторов METAREA с целью ознакомления морского сообщества с новыми услугами и информационными продуктами, а также получения и передачи ПДСЦ контактной информации об их соответствующих операторах NAVAREA и METAREA для внедрения новых навигационных бюллетеней;</w:t>
      </w:r>
    </w:p>
    <w:p w14:paraId="7D81A4BC" w14:textId="77777777" w:rsidR="002335FA" w:rsidRPr="00E05DB3" w:rsidRDefault="002335FA" w:rsidP="004D3520">
      <w:pPr>
        <w:numPr>
          <w:ilvl w:val="0"/>
          <w:numId w:val="38"/>
        </w:numPr>
        <w:spacing w:after="240"/>
        <w:ind w:left="1416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под руководством ЦИЦ подготовить и распространить комплект методических материалов по вопросам готовности к цунами, который поможет государствам участвовать в реализации ПСГЦ. Указанный комплект методических материалов может включать описание стандартной и понятной процедуры, формата и способа подачи заявки на получение сертификата «К цунами готов» и вспомогательные документы, в том числе разъяснение в отношении термина «сообщество» применительно к программе МОК/ЮНЕСКО по сертификации готовности к цунами;</w:t>
      </w:r>
    </w:p>
    <w:p w14:paraId="7199C957" w14:textId="77777777" w:rsidR="002335FA" w:rsidRPr="00E05DB3" w:rsidRDefault="002335FA" w:rsidP="004D3520">
      <w:pPr>
        <w:numPr>
          <w:ilvl w:val="0"/>
          <w:numId w:val="38"/>
        </w:numPr>
        <w:spacing w:after="240"/>
        <w:ind w:left="1416" w:hanging="716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lastRenderedPageBreak/>
        <w:t xml:space="preserve">информировать государства-члены о возможности использования комплекта методических материалов по вопросам готовности к цунами посредством направления циркулярного письма МОК в адрес национальных контактов по цунами и национальных советов по обеспечению готовности к цунами, а также путем его широкого распространения в качестве приложения к </w:t>
      </w:r>
      <w:r w:rsidRPr="00E05DB3">
        <w:rPr>
          <w:rFonts w:ascii="Arial" w:hAnsi="Arial" w:cs="Arial"/>
          <w:i/>
          <w:sz w:val="22"/>
          <w:szCs w:val="22"/>
        </w:rPr>
        <w:t>Типовым руководящим принципам участия в Программе сертификации готовности к цунами</w:t>
      </w:r>
      <w:r w:rsidRPr="00E05DB3">
        <w:rPr>
          <w:rFonts w:ascii="Arial" w:hAnsi="Arial" w:cs="Arial"/>
          <w:sz w:val="22"/>
          <w:szCs w:val="22"/>
        </w:rPr>
        <w:t xml:space="preserve"> (</w:t>
      </w:r>
      <w:r w:rsidRPr="00E05DB3">
        <w:rPr>
          <w:rFonts w:ascii="Arial" w:eastAsia="Arial" w:hAnsi="Arial" w:cs="Arial"/>
          <w:sz w:val="22"/>
          <w:szCs w:val="22"/>
        </w:rPr>
        <w:t>IOC/2022/MG/74</w:t>
      </w:r>
      <w:r w:rsidRPr="00E05DB3">
        <w:rPr>
          <w:rFonts w:ascii="Arial" w:hAnsi="Arial" w:cs="Arial"/>
          <w:sz w:val="22"/>
          <w:szCs w:val="22"/>
        </w:rPr>
        <w:t>);</w:t>
      </w:r>
    </w:p>
    <w:p w14:paraId="33CDF0FD" w14:textId="3179093E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sz w:val="22"/>
          <w:szCs w:val="22"/>
          <w:u w:val="single"/>
        </w:rPr>
        <w:t>продлевает</w:t>
      </w:r>
      <w:r w:rsidRPr="00E05DB3">
        <w:rPr>
          <w:rFonts w:ascii="Arial" w:hAnsi="Arial" w:cs="Arial"/>
          <w:sz w:val="22"/>
          <w:szCs w:val="22"/>
        </w:rPr>
        <w:t xml:space="preserve"> срок полномочий Рабочей группы по системам предупреждения о цунами и других опасных явлениях, связанных с изменением уровня моря, и смягчения их последствий, а также полномочий следующих ее целевых групп: (i) целевая группа по ликвидации последствий стихийных бедствий и обеспечению готовности к ним (ЦГ</w:t>
      </w:r>
      <w:r w:rsidR="002A5B55">
        <w:rPr>
          <w:rFonts w:ascii="Arial" w:hAnsi="Arial" w:cs="Arial"/>
          <w:sz w:val="22"/>
          <w:szCs w:val="22"/>
        </w:rPr>
        <w:noBreakHyphen/>
      </w:r>
      <w:r w:rsidRPr="00E05DB3">
        <w:rPr>
          <w:rFonts w:ascii="Arial" w:hAnsi="Arial" w:cs="Arial"/>
          <w:sz w:val="22"/>
          <w:szCs w:val="22"/>
        </w:rPr>
        <w:t>ЛПГ) и (ii) целевая группа по наблюдению за цунами (ЦГ</w:t>
      </w:r>
      <w:r w:rsidRPr="00E05DB3">
        <w:rPr>
          <w:rFonts w:ascii="Arial" w:hAnsi="Arial" w:cs="Arial"/>
          <w:sz w:val="22"/>
          <w:szCs w:val="22"/>
        </w:rPr>
        <w:noBreakHyphen/>
        <w:t>НЦ) с сохранением за ними полномочий, изложенных в резолюции МОК XXIV-14 (для РГ-СПЦО), в докладе IOC/TOWS-WG-VI/3, приложение II (для ЦГ</w:t>
      </w:r>
      <w:r w:rsidRPr="00E05DB3">
        <w:rPr>
          <w:rFonts w:ascii="Arial" w:hAnsi="Arial" w:cs="Arial"/>
          <w:sz w:val="22"/>
          <w:szCs w:val="22"/>
        </w:rPr>
        <w:noBreakHyphen/>
        <w:t>ЛПГ) и докладе IOC/TOWS-WG-X/3, приложение II, добавление 1 (для ЦГ</w:t>
      </w:r>
      <w:r w:rsidRPr="00E05DB3">
        <w:rPr>
          <w:rFonts w:ascii="Arial" w:hAnsi="Arial" w:cs="Arial"/>
          <w:sz w:val="22"/>
          <w:szCs w:val="22"/>
        </w:rPr>
        <w:noBreakHyphen/>
        <w:t>НЦ);</w:t>
      </w:r>
    </w:p>
    <w:p w14:paraId="7EA2E06A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iCs/>
          <w:sz w:val="22"/>
          <w:szCs w:val="22"/>
          <w:u w:val="single"/>
        </w:rPr>
        <w:t>принимает к сведению</w:t>
      </w:r>
      <w:r w:rsidRPr="00E05DB3">
        <w:rPr>
          <w:rFonts w:ascii="Arial" w:hAnsi="Arial" w:cs="Arial"/>
          <w:iCs/>
          <w:sz w:val="22"/>
          <w:szCs w:val="22"/>
        </w:rPr>
        <w:t>, что РГ-СПЦО проведет оценку на предмет актуальности и пересмотр круга ведения ЦГ-ЛПГ и ЦГ-НЦ для их утверждения на следующей сессии Ассамблеи МОК в 2025 г.;</w:t>
      </w:r>
    </w:p>
    <w:p w14:paraId="49883FCA" w14:textId="77777777" w:rsidR="002335FA" w:rsidRPr="00E05DB3" w:rsidRDefault="002335FA" w:rsidP="004D3520">
      <w:pPr>
        <w:spacing w:after="240"/>
        <w:ind w:left="709" w:hanging="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 w:cs="Arial"/>
          <w:iCs/>
          <w:sz w:val="22"/>
          <w:szCs w:val="22"/>
          <w:u w:val="single"/>
        </w:rPr>
        <w:t>принимает к сведению также</w:t>
      </w:r>
      <w:r w:rsidRPr="00E05DB3">
        <w:rPr>
          <w:rFonts w:ascii="Arial" w:hAnsi="Arial" w:cs="Arial"/>
          <w:iCs/>
          <w:sz w:val="22"/>
          <w:szCs w:val="22"/>
        </w:rPr>
        <w:t xml:space="preserve">, что объем ассигнований по линии бюджета обычной программы на цели осуществления указанных мероприятий будет определен в рамках резолюции, касающейся управления, разработки программ и планирования бюджета Комиссии. </w:t>
      </w:r>
    </w:p>
    <w:p w14:paraId="72AF2A99" w14:textId="77777777" w:rsidR="005C239B" w:rsidRPr="005C239B" w:rsidRDefault="005C239B" w:rsidP="004D3520">
      <w:pPr>
        <w:pStyle w:val="Heading1"/>
        <w:numPr>
          <w:ilvl w:val="0"/>
          <w:numId w:val="9"/>
        </w:numPr>
        <w:tabs>
          <w:tab w:val="left" w:pos="709"/>
        </w:tabs>
        <w:ind w:left="709" w:hanging="720"/>
        <w:rPr>
          <w:rFonts w:cs="Arial"/>
          <w:szCs w:val="22"/>
        </w:rPr>
      </w:pPr>
      <w:bookmarkStart w:id="115" w:name="_Toc177658032"/>
      <w:r>
        <w:t>ВОПРОСЫ ПРОГРАММЫ</w:t>
      </w:r>
      <w:bookmarkEnd w:id="115"/>
    </w:p>
    <w:p w14:paraId="45022D76" w14:textId="0B64694B" w:rsidR="005C239B" w:rsidRPr="00A30690" w:rsidRDefault="005C239B" w:rsidP="00CF7F0C">
      <w:pPr>
        <w:pStyle w:val="Heading2"/>
        <w:ind w:left="709" w:hanging="709"/>
        <w:rPr>
          <w:rFonts w:cs="Arial"/>
          <w:szCs w:val="22"/>
        </w:rPr>
      </w:pPr>
      <w:bookmarkStart w:id="116" w:name="_Toc85469070"/>
      <w:bookmarkStart w:id="117" w:name="_Toc92752500"/>
      <w:bookmarkStart w:id="118" w:name="_Toc177658033"/>
      <w:r>
        <w:t>4.1</w:t>
      </w:r>
      <w:r>
        <w:tab/>
        <w:t>УПРАВЛЕНИЕ ГЛОБАЛЬНОЙ СИСТЕМОЙ НАБЛЮДЕНИЙ ЗА ОКЕАНОМ (ГСНО)</w:t>
      </w:r>
      <w:bookmarkEnd w:id="116"/>
      <w:bookmarkEnd w:id="117"/>
      <w:bookmarkEnd w:id="118"/>
    </w:p>
    <w:p w14:paraId="538C01AF" w14:textId="44AC8963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представила руководитель секции наблюдений за океаном и океанографического обслуживания г-жа Джоанна Поуст. Она </w:t>
      </w:r>
      <w:r w:rsidR="002335FA">
        <w:t xml:space="preserve">представила современную структуру ГСНО и </w:t>
      </w:r>
      <w:r>
        <w:t>рассказала об успехах, достигнутых в области наблюдений за океаном, в том числе в рамках реализации Стратегии развития ГСНО на период до 2030 г. В мире растет понимание настоятельной необходимости последовательного развития глобальной системы наблюдений за океаном и приведения ее в соответствие конкретным потребностям. При этом подчеркивается важность наличия на национальном и глобальном уровнях необходимой инфраструктуры океанографических наблюдений, а также экосистемы данных, удовлетворяющей требованиям конечных потребителей и актуальной с точки зрения оценки и контроля рисков, связанных с океаном, рационального планирования в сфере морепользования, оперативного прогнозирования состояния морской среды и научного понимания происходящих в океане процессов.</w:t>
      </w:r>
    </w:p>
    <w:p w14:paraId="3D298744" w14:textId="352B70F4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Г-жа Поуст кратко информировала о ходе реформы системы управления ГСНО после принятия Ассамблеей МОК </w:t>
      </w:r>
      <w:hyperlink r:id="rId19" w:history="1">
        <w:r>
          <w:rPr>
            <w:rStyle w:val="Hyperlink"/>
          </w:rPr>
          <w:t>решения A-32/4.8.1</w:t>
        </w:r>
      </w:hyperlink>
      <w:r>
        <w:t xml:space="preserve">. Она напомнила задачи и функции ГСНО и круг ведения руководящего комитета ГСНО, сформулированный в резолюции XXVI-8 (2011 г.). В соответствии с ним в состав руководящего комитета ГСНО входит 15 экспертов: пять из них назначаются избирательными группами государств-членов в ходе Ассамблеи МОК, остальные десять экспертов, специализирующихся в научно-технических областях знаний, назначаются Исполнительным секретарем в консультации с должностными лицами МОК и организациями соучредителями. В работе РК-ГСНО участвуют, кроме того, лица, входящие в него по должности, а также приглашенные эксперты. В своем </w:t>
      </w:r>
      <w:hyperlink r:id="rId20" w:history="1">
        <w:r>
          <w:rPr>
            <w:rStyle w:val="Hyperlink"/>
          </w:rPr>
          <w:t>решении A-32/4.8.1</w:t>
        </w:r>
      </w:hyperlink>
      <w:r>
        <w:t xml:space="preserve"> Ассамблея приняла к сведению назначение избирательными группами государств-членов, представляющими пять регионов МОК, пяти региональных экспертов на период 2024-2025 гг. В свете истечения срока полномочий предыдущего состава комитета, о чем сообщалось в январском 2024 г. циркулярном письме МОК </w:t>
      </w:r>
      <w:hyperlink r:id="rId21" w:history="1">
        <w:r>
          <w:rPr>
            <w:rStyle w:val="Hyperlink"/>
          </w:rPr>
          <w:t>№ 2983</w:t>
        </w:r>
      </w:hyperlink>
      <w:r>
        <w:t xml:space="preserve">, Исполнительный секретарь по </w:t>
      </w:r>
      <w:r>
        <w:lastRenderedPageBreak/>
        <w:t>согласованию с должностными лицами МОК и организациями соучредителями назначил в мае 2024 г. десять новых технических и научных экспертов для содействия ГСНО в выполнении ее мандата.</w:t>
      </w:r>
    </w:p>
    <w:p w14:paraId="7D371CBB" w14:textId="77777777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Коснувшись документа IOC/EC-57/41.Doc(1), г-жа Поуст рассказала о планируемых дальнейших шагах. По ее словам, для обеспечения управления ГСНО в соответствии с поставленными задачами указанный документ следует рассматривать как очередной шаг на пути усовершенствования механизмов управления ГСНО с участием МОК, ВМО и других соучредителей в соответствии с потребностями и приоритетами государств-членов. Эта работа должна вестись с учетом сферы компетенций соучредителей ГСНО и ее экспертных групп, меняющихся условий, в том числе в контексте проведения Десятилетия науки об океане и создания механизма «На пути к 2030 году», актуальности коллективного подхода в вопросах изучения систем Земли/разработки проектов, стратегического позиционирования МОК и продуманного планирования ее деятельности, а также с учетом полномочий, предусмотренных в соответствующих многосторонних соглашениях.</w:t>
      </w:r>
    </w:p>
    <w:p w14:paraId="7E23A5D4" w14:textId="1ED57686" w:rsidR="00E34FF8" w:rsidRPr="00E34FF8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Выступили представители </w:t>
      </w:r>
      <w:r w:rsidR="00E34FF8" w:rsidRPr="00096DD5">
        <w:t>24</w:t>
      </w:r>
      <w:r>
        <w:t xml:space="preserve"> государств-членов</w:t>
      </w:r>
      <w:r w:rsidR="00E34FF8" w:rsidRPr="00096DD5">
        <w:t xml:space="preserve"> </w:t>
      </w:r>
      <w:r w:rsidR="00E34FF8">
        <w:t>и трех наблюдателей</w:t>
      </w:r>
      <w:r>
        <w:t xml:space="preserve">. </w:t>
      </w:r>
    </w:p>
    <w:p w14:paraId="09457A28" w14:textId="77777777" w:rsidR="00B334BE" w:rsidRPr="00B334BE" w:rsidRDefault="00B334BE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Члены Совета МОК поблагодарили Секретариат за презентацию и высоко оценили работу руководства ГСНО и ее руководящего комитета по адаптации структуры управления ГСНО к потребностям государств-членов. Ряд государств-членов предложили оказать содействие в подготовке предложения, упомянутого в рабочем документе </w:t>
      </w:r>
      <w:r w:rsidRPr="00C928D7">
        <w:rPr>
          <w:lang w:val="en-GB"/>
        </w:rPr>
        <w:t>IOC</w:t>
      </w:r>
      <w:r w:rsidRPr="00096DD5">
        <w:t>/</w:t>
      </w:r>
      <w:r w:rsidRPr="00C928D7">
        <w:rPr>
          <w:lang w:val="en-GB"/>
        </w:rPr>
        <w:t>EC</w:t>
      </w:r>
      <w:r w:rsidRPr="00096DD5">
        <w:t>-57/4.1.</w:t>
      </w:r>
      <w:r w:rsidRPr="00C928D7">
        <w:rPr>
          <w:lang w:val="en-GB"/>
        </w:rPr>
        <w:t>Doc</w:t>
      </w:r>
      <w:r w:rsidRPr="00096DD5">
        <w:t>(1)</w:t>
      </w:r>
      <w:r>
        <w:t>.</w:t>
      </w:r>
    </w:p>
    <w:p w14:paraId="561D5F5D" w14:textId="26280697" w:rsidR="00BF07EA" w:rsidRPr="00BF07EA" w:rsidRDefault="00B334BE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Многие государства-члены подчеркнули необходимость </w:t>
      </w:r>
      <w:r w:rsidR="00BF07EA">
        <w:t xml:space="preserve">укрепления </w:t>
      </w:r>
      <w:r>
        <w:t xml:space="preserve">поддержки региональных альянсов ГСНО и взаимодействия с ними. В отношении ГСНО-Африка Секретариат отметил, а государства-члены его поддержали, что следует </w:t>
      </w:r>
      <w:r w:rsidR="00BF07EA">
        <w:t xml:space="preserve">более четко сформулировать </w:t>
      </w:r>
      <w:r>
        <w:t>круг ведения ГСНО-Африка, в том числе ег</w:t>
      </w:r>
      <w:r w:rsidR="00BF07EA">
        <w:t>о координационного комитета, вместе с государствами</w:t>
      </w:r>
      <w:r w:rsidR="002A5B55">
        <w:t xml:space="preserve"> – </w:t>
      </w:r>
      <w:r w:rsidR="00BF07EA">
        <w:t>членами МОКАФРИКА, с тем чтобы создать прочную основу для превращения ГСНО-Африка в функциональный орган в соответствии с Правилами процедуры МОК.</w:t>
      </w:r>
    </w:p>
    <w:p w14:paraId="65D36437" w14:textId="4DF7FB05" w:rsidR="00BF07EA" w:rsidRPr="00BF07EA" w:rsidRDefault="00BF07EA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Государства-члены подняли также ряд других вопросов, касающиеся, в частности, решающей роли ГСНО в содействии проведению наблюдений, создания прочной координационной структуры, выявления пробелов и тенденций и определения достижимых целей и средств измерения прогресса, поощрение координации между государствами и регионами, соответствия предлагаемых изменений региональным приоритетам и потребностям и адаптации программы работы к потребностям в рамках Десятилетия океана.  </w:t>
      </w:r>
    </w:p>
    <w:p w14:paraId="31854081" w14:textId="18776F98" w:rsidR="005C239B" w:rsidRPr="00844C6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</w:t>
      </w:r>
      <w:r w:rsidR="00BF07EA">
        <w:t xml:space="preserve">16 </w:t>
      </w:r>
      <w:r>
        <w:t>государств-член</w:t>
      </w:r>
      <w:r w:rsidR="00BF07EA">
        <w:t>ов и три наблюдателя</w:t>
      </w:r>
      <w:r>
        <w:t xml:space="preserve">: </w:t>
      </w:r>
      <w:r w:rsidR="00BF07EA">
        <w:t>Австралия, Аргентина, Бразилия, Германия, Индия, Испания, Италия, Канада, Кения, Колумбия, Республика Корея, Соединенное Королевство Великобритании и Северной Ирландии, Соединенные Штаты Америки, Франция, Южная Африка и Япония, а также Маврикий, Российская Федерация и ВМО в качестве наблюдателей</w:t>
      </w:r>
      <w:r>
        <w:t>.</w:t>
      </w:r>
    </w:p>
    <w:p w14:paraId="728808C3" w14:textId="7810489E" w:rsidR="00844C6B" w:rsidRDefault="00844C6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EC</w:t>
      </w:r>
      <w:r w:rsidRPr="00096DD5">
        <w:rPr>
          <w:rFonts w:cs="Arial"/>
          <w:u w:val="single"/>
        </w:rPr>
        <w:t>-57/4.1</w:t>
      </w:r>
      <w:r w:rsidRPr="00096DD5">
        <w:rPr>
          <w:rFonts w:cs="Arial"/>
        </w:rPr>
        <w:t>.</w:t>
      </w:r>
    </w:p>
    <w:p w14:paraId="15404BED" w14:textId="77777777" w:rsidR="00844C6B" w:rsidRPr="00844C6B" w:rsidRDefault="00844C6B" w:rsidP="004D3520">
      <w:pPr>
        <w:pStyle w:val="ListParagraph"/>
        <w:keepNext/>
        <w:spacing w:after="24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44C6B">
        <w:rPr>
          <w:rFonts w:ascii="Arial" w:hAnsi="Arial"/>
          <w:b/>
          <w:bCs/>
          <w:sz w:val="22"/>
          <w:szCs w:val="22"/>
        </w:rPr>
        <w:t>Управление глобальной системой наблюдений за океаном (ГСНО)</w:t>
      </w:r>
    </w:p>
    <w:p w14:paraId="5EAD8362" w14:textId="332EAB38" w:rsidR="00844C6B" w:rsidRPr="00844C6B" w:rsidRDefault="00844C6B" w:rsidP="004D3520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44C6B">
        <w:rPr>
          <w:rFonts w:ascii="Arial" w:hAnsi="Arial"/>
          <w:sz w:val="22"/>
          <w:szCs w:val="22"/>
        </w:rPr>
        <w:t>Исполнительный совет,</w:t>
      </w:r>
    </w:p>
    <w:p w14:paraId="419640F6" w14:textId="349E4FC6" w:rsidR="00844C6B" w:rsidRPr="00844C6B" w:rsidRDefault="00844C6B" w:rsidP="004D3520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44C6B">
        <w:rPr>
          <w:rFonts w:ascii="Arial" w:hAnsi="Arial"/>
          <w:sz w:val="22"/>
          <w:szCs w:val="22"/>
          <w:u w:val="single"/>
        </w:rPr>
        <w:t>рассмотрев</w:t>
      </w:r>
      <w:r w:rsidRPr="00844C6B">
        <w:rPr>
          <w:rFonts w:ascii="Arial" w:hAnsi="Arial"/>
          <w:sz w:val="22"/>
          <w:szCs w:val="22"/>
        </w:rPr>
        <w:t xml:space="preserve"> документ IOC/EC-57/4.1.Doc(1),</w:t>
      </w:r>
    </w:p>
    <w:p w14:paraId="3C46E899" w14:textId="467344D7" w:rsidR="00844C6B" w:rsidRPr="00844C6B" w:rsidRDefault="00844C6B" w:rsidP="004D3520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44C6B">
        <w:rPr>
          <w:rFonts w:ascii="Arial" w:hAnsi="Arial"/>
          <w:sz w:val="22"/>
          <w:szCs w:val="22"/>
          <w:u w:val="single"/>
        </w:rPr>
        <w:t>подтверждая</w:t>
      </w:r>
      <w:r w:rsidRPr="00844C6B">
        <w:rPr>
          <w:rFonts w:ascii="Arial" w:hAnsi="Arial"/>
          <w:sz w:val="22"/>
          <w:szCs w:val="22"/>
        </w:rPr>
        <w:t>, что развитие ГСНО является приоритетной задачей МОК,</w:t>
      </w:r>
    </w:p>
    <w:p w14:paraId="0755F726" w14:textId="7DDBBF51" w:rsidR="00844C6B" w:rsidRPr="00844C6B" w:rsidRDefault="00844C6B" w:rsidP="004D3520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44C6B">
        <w:rPr>
          <w:rFonts w:ascii="Arial" w:hAnsi="Arial"/>
          <w:sz w:val="22"/>
          <w:szCs w:val="22"/>
          <w:u w:val="single"/>
        </w:rPr>
        <w:lastRenderedPageBreak/>
        <w:t>ссылаясь</w:t>
      </w:r>
      <w:r w:rsidRPr="00844C6B">
        <w:rPr>
          <w:rFonts w:ascii="Arial" w:hAnsi="Arial"/>
          <w:sz w:val="22"/>
          <w:szCs w:val="22"/>
        </w:rPr>
        <w:t xml:space="preserve"> на Стратегию развития ГСНО на период до 2030 г. и </w:t>
      </w:r>
      <w:r w:rsidRPr="00844C6B">
        <w:rPr>
          <w:rFonts w:ascii="Arial" w:hAnsi="Arial"/>
          <w:sz w:val="22"/>
          <w:szCs w:val="22"/>
          <w:u w:val="single"/>
        </w:rPr>
        <w:t>принимая к сведению</w:t>
      </w:r>
      <w:r w:rsidRPr="00844C6B">
        <w:rPr>
          <w:rFonts w:ascii="Arial" w:hAnsi="Arial"/>
          <w:sz w:val="22"/>
          <w:szCs w:val="22"/>
        </w:rPr>
        <w:t xml:space="preserve"> экспертный доклад «На пути к 2030 году», посвященный реализации приоритетной задачи 7 Десятилетия – </w:t>
      </w:r>
      <w:r w:rsidRPr="00844C6B">
        <w:rPr>
          <w:rFonts w:ascii="Arial" w:hAnsi="Arial"/>
          <w:i/>
          <w:sz w:val="22"/>
          <w:szCs w:val="22"/>
        </w:rPr>
        <w:t>Развитие глобальной системы наблюдений за океаном</w:t>
      </w:r>
      <w:r w:rsidRPr="00844C6B">
        <w:rPr>
          <w:rFonts w:ascii="Arial" w:hAnsi="Arial"/>
          <w:sz w:val="22"/>
          <w:szCs w:val="22"/>
        </w:rPr>
        <w:t>,</w:t>
      </w:r>
    </w:p>
    <w:p w14:paraId="07F71DD0" w14:textId="7E799605" w:rsidR="00844C6B" w:rsidRPr="00844C6B" w:rsidRDefault="00844C6B" w:rsidP="004D3520">
      <w:pPr>
        <w:pStyle w:val="ListParagraph"/>
        <w:spacing w:after="240"/>
        <w:contextualSpacing w:val="0"/>
        <w:jc w:val="both"/>
        <w:rPr>
          <w:rFonts w:ascii="Arial" w:eastAsia="Arial" w:hAnsi="Arial" w:cs="Arial"/>
          <w:sz w:val="22"/>
          <w:szCs w:val="22"/>
        </w:rPr>
      </w:pPr>
      <w:r w:rsidRPr="00844C6B">
        <w:rPr>
          <w:rFonts w:ascii="Arial" w:hAnsi="Arial"/>
          <w:sz w:val="22"/>
          <w:szCs w:val="22"/>
          <w:u w:val="single"/>
        </w:rPr>
        <w:t>памятуя</w:t>
      </w:r>
      <w:r w:rsidRPr="00844C6B">
        <w:rPr>
          <w:rFonts w:ascii="Arial" w:hAnsi="Arial"/>
          <w:sz w:val="22"/>
          <w:szCs w:val="22"/>
        </w:rPr>
        <w:t xml:space="preserve"> о решении A-32/4.7,</w:t>
      </w:r>
    </w:p>
    <w:p w14:paraId="2E3F6019" w14:textId="5A254967" w:rsidR="00844C6B" w:rsidRPr="00844C6B" w:rsidRDefault="00844C6B" w:rsidP="004D3520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844C6B">
        <w:rPr>
          <w:rFonts w:ascii="Arial" w:hAnsi="Arial"/>
          <w:sz w:val="22"/>
          <w:szCs w:val="22"/>
          <w:u w:val="single"/>
        </w:rPr>
        <w:t>с удовлетворением принимает к сведению</w:t>
      </w:r>
      <w:r w:rsidRPr="00844C6B">
        <w:rPr>
          <w:rFonts w:ascii="Arial" w:hAnsi="Arial"/>
          <w:sz w:val="22"/>
          <w:szCs w:val="22"/>
        </w:rPr>
        <w:t xml:space="preserve"> информацию и меры, представленные в документе IOC/EC-57/4.1.Doc(1);</w:t>
      </w:r>
    </w:p>
    <w:p w14:paraId="066E3D00" w14:textId="50566703" w:rsidR="00844C6B" w:rsidRPr="005C239B" w:rsidRDefault="00844C6B" w:rsidP="006A02B9">
      <w:pPr>
        <w:pStyle w:val="Style2"/>
        <w:tabs>
          <w:tab w:val="clear" w:pos="1400"/>
          <w:tab w:val="left" w:pos="709"/>
        </w:tabs>
        <w:rPr>
          <w:rFonts w:cs="Arial"/>
        </w:rPr>
      </w:pPr>
      <w:r w:rsidRPr="00E05DB3">
        <w:rPr>
          <w:u w:val="single"/>
        </w:rPr>
        <w:t>одобряет</w:t>
      </w:r>
      <w:r w:rsidRPr="00E05DB3">
        <w:t xml:space="preserve"> предлагаемые меры по совершенствованию механизмов управления ГСНО, в том виде, как они сформулированы в документе IOC/EC-57/4.1.Doc(1), а также любые поправки, которые, возможно, потребуется в них внести по просьбе государств-членов.</w:t>
      </w:r>
    </w:p>
    <w:p w14:paraId="60086689" w14:textId="68918600" w:rsidR="005C239B" w:rsidRPr="00A30690" w:rsidRDefault="005C239B" w:rsidP="00CF7F0C">
      <w:pPr>
        <w:pStyle w:val="Heading2"/>
        <w:ind w:left="709" w:hanging="709"/>
        <w:rPr>
          <w:rFonts w:cs="Arial"/>
          <w:szCs w:val="22"/>
        </w:rPr>
      </w:pPr>
      <w:bookmarkStart w:id="119" w:name="_Toc92752501"/>
      <w:bookmarkStart w:id="120" w:name="_Toc177658034"/>
      <w:r>
        <w:t>4.2</w:t>
      </w:r>
      <w:r>
        <w:tab/>
      </w:r>
      <w:bookmarkStart w:id="121" w:name="_Toc85469071"/>
      <w:r>
        <w:t>ДОКЛАД О ХОДЕ РАБОТЫ ПО НАБЛЮДЕНИЯМ ЗА ОКЕАНОМ В РАЙОНАХ, НАХОДЯЩИХСЯ ПОД НАЦИОНАЛЬНОЙ ЮРИСДИКЦИЕЙ</w:t>
      </w:r>
      <w:bookmarkEnd w:id="119"/>
      <w:bookmarkEnd w:id="120"/>
      <w:bookmarkEnd w:id="121"/>
    </w:p>
    <w:p w14:paraId="2C20129E" w14:textId="18818933" w:rsidR="005C239B" w:rsidRPr="005C239B" w:rsidRDefault="00F10F1A" w:rsidP="004D3520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textDirection w:val="btLr"/>
        <w:rPr>
          <w:rFonts w:eastAsia="Arial" w:cs="Arial"/>
        </w:rPr>
      </w:pPr>
      <w:r>
        <w:t>Г</w:t>
      </w:r>
      <w:r w:rsidR="005C239B">
        <w:t>-жа Сюзан М. эль-Гарабауи, сопредседатель специальной межсессионной рабочей группы МОК по наблюдениям за океаном в районах, находящихся под национальной юрисдикцией</w:t>
      </w:r>
      <w:r>
        <w:t>, не смогла присутствовать на сессии, поэтому данный пункт повестки дня представила г</w:t>
      </w:r>
      <w:r w:rsidR="002A5B55">
        <w:noBreakHyphen/>
      </w:r>
      <w:r>
        <w:t>жа</w:t>
      </w:r>
      <w:r w:rsidR="002A5B55">
        <w:t> </w:t>
      </w:r>
      <w:r>
        <w:t xml:space="preserve">Эмили Смит из Секретариата. </w:t>
      </w:r>
      <w:r w:rsidR="005C239B">
        <w:t>О</w:t>
      </w:r>
      <w:r>
        <w:t xml:space="preserve">т имени сопредседателей МРГ г-жа Смит рассказала о </w:t>
      </w:r>
      <w:r w:rsidR="005C239B">
        <w:t>результат</w:t>
      </w:r>
      <w:r>
        <w:t>ах</w:t>
      </w:r>
      <w:r w:rsidR="005C239B">
        <w:t xml:space="preserve"> деятельности рабочей группы, созданной в соответствии с решением A-32/4.8.2, отметив, что в составе группы </w:t>
      </w:r>
      <w:r>
        <w:t xml:space="preserve">в настоящее время </w:t>
      </w:r>
      <w:r w:rsidR="005C239B">
        <w:t>представлены 25 государств-членов.</w:t>
      </w:r>
    </w:p>
    <w:p w14:paraId="657712E2" w14:textId="70ABC4E9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Рабочая группа </w:t>
      </w:r>
      <w:r w:rsidR="00263A38">
        <w:t xml:space="preserve">систематически </w:t>
      </w:r>
      <w:r>
        <w:t>использует в своей деятельности предоставляемую информацию и стремится при необходимости опираться на содействие экспертов. В соответствии с утвержденным кругом ведения результаты работы группы и практические рекомендации будут представлены в июне 2025 г. на очередной сессии Ассамблеи МОК.</w:t>
      </w:r>
    </w:p>
    <w:p w14:paraId="375F55A2" w14:textId="0BA051E2" w:rsidR="00263A38" w:rsidRPr="00263A38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Выступили представители </w:t>
      </w:r>
      <w:r w:rsidR="00263A38">
        <w:t>17</w:t>
      </w:r>
      <w:r>
        <w:t xml:space="preserve"> государств-членов</w:t>
      </w:r>
      <w:r w:rsidR="00263A38">
        <w:t xml:space="preserve"> и одного наблюдателя</w:t>
      </w:r>
      <w:r>
        <w:t xml:space="preserve">. </w:t>
      </w:r>
    </w:p>
    <w:p w14:paraId="2A6EA9B3" w14:textId="6A6E6A7A" w:rsidR="00263A38" w:rsidRPr="00263A38" w:rsidRDefault="00263A38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Целый ряд государств-членов выразили признательность рабочей группе за проделанную работу и сопредседателям – за руководство ее деятельностью. Несколько государств-членов также призвали другие государства-члены ответить на вопросник, разосланный циркулярным письмом № 2938, и дать свое согласие на направление их ответов рабочей группе для содействия в ее дальнейшей работе.</w:t>
      </w:r>
    </w:p>
    <w:p w14:paraId="259EC07C" w14:textId="77777777" w:rsidR="00263A38" w:rsidRPr="00263A38" w:rsidRDefault="00263A38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Два государства-члена высказали пожелание присоединиться к рабочей группе. </w:t>
      </w:r>
    </w:p>
    <w:p w14:paraId="7B4464CE" w14:textId="207210DD" w:rsidR="005C239B" w:rsidRPr="00263A38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</w:t>
      </w:r>
      <w:r w:rsidR="00263A38">
        <w:t xml:space="preserve"> и два наблюдателя</w:t>
      </w:r>
      <w:r>
        <w:t xml:space="preserve">: </w:t>
      </w:r>
      <w:r w:rsidR="00263A38">
        <w:t>Аргентина, Бразилия, Германия, Кения, Португалия, Соединенное Королевство Великобритании и Северной Ирландии, Соединенные Штаты Америки, Франция и Чили, а также Российская Федерация и ВМО в качестве наблюдателей</w:t>
      </w:r>
      <w:r>
        <w:t>.</w:t>
      </w:r>
    </w:p>
    <w:p w14:paraId="48B6CDEF" w14:textId="6A93C763" w:rsidR="00263A38" w:rsidRDefault="00263A38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EC</w:t>
      </w:r>
      <w:r w:rsidRPr="00096DD5">
        <w:rPr>
          <w:rFonts w:cs="Arial"/>
          <w:u w:val="single"/>
        </w:rPr>
        <w:t>-57/4.2</w:t>
      </w:r>
      <w:r w:rsidRPr="00096DD5">
        <w:rPr>
          <w:rFonts w:cs="Arial"/>
        </w:rPr>
        <w:t>.</w:t>
      </w:r>
    </w:p>
    <w:p w14:paraId="4DCC1D27" w14:textId="0E20D81D" w:rsidR="00EC5972" w:rsidRPr="00EC5972" w:rsidRDefault="00EC5972" w:rsidP="004D3520">
      <w:pPr>
        <w:pStyle w:val="ListParagraph"/>
        <w:spacing w:after="24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C5972">
        <w:rPr>
          <w:rFonts w:ascii="Arial" w:hAnsi="Arial"/>
          <w:b/>
          <w:bCs/>
          <w:sz w:val="22"/>
          <w:szCs w:val="22"/>
        </w:rPr>
        <w:t>Доклад о результатах работы специальной межсессионной рабочей</w:t>
      </w:r>
      <w:r w:rsidR="006A02B9" w:rsidRPr="00A30690">
        <w:rPr>
          <w:rFonts w:ascii="Arial" w:hAnsi="Arial"/>
          <w:b/>
          <w:bCs/>
          <w:sz w:val="22"/>
          <w:szCs w:val="22"/>
        </w:rPr>
        <w:br/>
      </w:r>
      <w:r w:rsidRPr="00EC5972">
        <w:rPr>
          <w:rFonts w:ascii="Arial" w:hAnsi="Arial"/>
          <w:b/>
          <w:bCs/>
          <w:sz w:val="22"/>
          <w:szCs w:val="22"/>
        </w:rPr>
        <w:t>группы МОК по наблюдениям за океаном в районах,</w:t>
      </w:r>
      <w:r w:rsidR="006A02B9" w:rsidRPr="00A30690">
        <w:rPr>
          <w:rFonts w:ascii="Arial" w:hAnsi="Arial"/>
          <w:b/>
          <w:bCs/>
          <w:sz w:val="22"/>
          <w:szCs w:val="22"/>
        </w:rPr>
        <w:br/>
      </w:r>
      <w:r w:rsidRPr="00EC5972">
        <w:rPr>
          <w:rFonts w:ascii="Arial" w:hAnsi="Arial"/>
          <w:b/>
          <w:bCs/>
          <w:sz w:val="22"/>
          <w:szCs w:val="22"/>
        </w:rPr>
        <w:t>находящихся под национальной юрисдикцией</w:t>
      </w:r>
    </w:p>
    <w:p w14:paraId="2A87505D" w14:textId="7CE24AD7" w:rsidR="00EC5972" w:rsidRPr="00EC5972" w:rsidRDefault="00EC5972" w:rsidP="004D3520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EC5972">
        <w:rPr>
          <w:rFonts w:ascii="Arial" w:hAnsi="Arial"/>
          <w:sz w:val="22"/>
          <w:szCs w:val="22"/>
        </w:rPr>
        <w:t>Исполнительный совет,</w:t>
      </w:r>
    </w:p>
    <w:p w14:paraId="2422C88B" w14:textId="69C4638F" w:rsidR="00EC5972" w:rsidRPr="00EC5972" w:rsidRDefault="00EC5972" w:rsidP="004D3520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EC5972">
        <w:rPr>
          <w:rFonts w:ascii="Arial" w:hAnsi="Arial"/>
          <w:sz w:val="22"/>
          <w:szCs w:val="22"/>
          <w:u w:val="single"/>
        </w:rPr>
        <w:t>ссылаясь</w:t>
      </w:r>
      <w:r w:rsidRPr="00EC5972">
        <w:rPr>
          <w:rFonts w:ascii="Arial" w:hAnsi="Arial"/>
          <w:sz w:val="22"/>
          <w:szCs w:val="22"/>
        </w:rPr>
        <w:t xml:space="preserve"> на решение Ассамблеи МОК A-32/4.8.2,</w:t>
      </w:r>
    </w:p>
    <w:p w14:paraId="65743E48" w14:textId="295262B9" w:rsidR="00EC5972" w:rsidRPr="00EC5972" w:rsidRDefault="00EC5972" w:rsidP="004D3520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EC5972">
        <w:rPr>
          <w:rFonts w:ascii="Arial" w:hAnsi="Arial"/>
          <w:sz w:val="22"/>
          <w:szCs w:val="22"/>
          <w:u w:val="single"/>
        </w:rPr>
        <w:t>приветствует</w:t>
      </w:r>
      <w:r w:rsidRPr="00EC5972">
        <w:rPr>
          <w:rFonts w:ascii="Arial" w:hAnsi="Arial"/>
          <w:sz w:val="22"/>
          <w:szCs w:val="22"/>
        </w:rPr>
        <w:t xml:space="preserve"> учреждение рабочей группы и избрание ее сопредседателей;</w:t>
      </w:r>
    </w:p>
    <w:p w14:paraId="37863C6E" w14:textId="30341E11" w:rsidR="00EC5972" w:rsidRPr="00EC5972" w:rsidRDefault="00EC5972" w:rsidP="004D3520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EC5972">
        <w:rPr>
          <w:rFonts w:ascii="Arial" w:hAnsi="Arial"/>
          <w:sz w:val="22"/>
          <w:szCs w:val="22"/>
          <w:u w:val="single"/>
        </w:rPr>
        <w:lastRenderedPageBreak/>
        <w:t>рассмотрев</w:t>
      </w:r>
      <w:r w:rsidRPr="00EC5972">
        <w:rPr>
          <w:rFonts w:ascii="Arial" w:hAnsi="Arial"/>
          <w:sz w:val="22"/>
          <w:szCs w:val="22"/>
        </w:rPr>
        <w:t xml:space="preserve"> документ IOC/EC-57/4.2.Doc(1),</w:t>
      </w:r>
    </w:p>
    <w:p w14:paraId="33C90D7F" w14:textId="6F4BA928" w:rsidR="00EC5972" w:rsidRPr="00EC5972" w:rsidRDefault="00EC5972" w:rsidP="004D3520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EC5972">
        <w:rPr>
          <w:rFonts w:ascii="Arial" w:hAnsi="Arial"/>
          <w:sz w:val="22"/>
          <w:szCs w:val="22"/>
          <w:u w:val="single"/>
        </w:rPr>
        <w:t>призывает</w:t>
      </w:r>
      <w:r w:rsidRPr="00EC5972">
        <w:rPr>
          <w:rFonts w:ascii="Arial" w:hAnsi="Arial"/>
          <w:sz w:val="22"/>
          <w:szCs w:val="22"/>
        </w:rPr>
        <w:t xml:space="preserve"> рабочую группу продолжить ее деятельность, в том числе рассмотрение любых новых документов, которые могут содержать соответствующую информацию в поддержку ее работы;</w:t>
      </w:r>
    </w:p>
    <w:p w14:paraId="43178A31" w14:textId="1861AB27" w:rsidR="00EC5972" w:rsidRPr="00EC5972" w:rsidRDefault="00EC5972" w:rsidP="004D3520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EC5972">
        <w:rPr>
          <w:rFonts w:ascii="Arial" w:hAnsi="Arial"/>
          <w:sz w:val="22"/>
          <w:szCs w:val="22"/>
          <w:u w:val="single"/>
        </w:rPr>
        <w:t>призывает</w:t>
      </w:r>
      <w:r w:rsidRPr="00EC5972">
        <w:rPr>
          <w:rFonts w:ascii="Arial" w:hAnsi="Arial"/>
          <w:sz w:val="22"/>
          <w:szCs w:val="22"/>
        </w:rPr>
        <w:t xml:space="preserve"> большее число государств-членов содействовать деятельности группы посредством ответа на циркулярное письмо МОК № 2938, а также разрешить рабочей группе ознакомиться с их ответами.</w:t>
      </w:r>
    </w:p>
    <w:p w14:paraId="09DC1A51" w14:textId="1D0F9A1E" w:rsidR="005C239B" w:rsidRPr="00A30690" w:rsidRDefault="005C239B" w:rsidP="00CF7F0C">
      <w:pPr>
        <w:pStyle w:val="Heading2"/>
        <w:ind w:left="709" w:hanging="709"/>
        <w:rPr>
          <w:rFonts w:cs="Arial"/>
          <w:szCs w:val="22"/>
        </w:rPr>
      </w:pPr>
      <w:bookmarkStart w:id="122" w:name="_Toc177658035"/>
      <w:r>
        <w:t>4.3</w:t>
      </w:r>
      <w:r>
        <w:tab/>
      </w:r>
      <w:r w:rsidRPr="004C478F">
        <w:t xml:space="preserve">ПРОЕКТ СТРАТЕГИИ </w:t>
      </w:r>
      <w:r w:rsidR="00AA4843">
        <w:t xml:space="preserve">ПО УСТОЙЧИВОМУ </w:t>
      </w:r>
      <w:r w:rsidRPr="004C478F">
        <w:t>ПЛАНИРОВАНИ</w:t>
      </w:r>
      <w:r w:rsidR="00AA4843">
        <w:t>Ю</w:t>
      </w:r>
      <w:r w:rsidRPr="004C478F">
        <w:t xml:space="preserve"> И УПРАВЛЕНИ</w:t>
      </w:r>
      <w:r w:rsidR="00AA4843">
        <w:t>Ю</w:t>
      </w:r>
      <w:r w:rsidRPr="004C478F">
        <w:t xml:space="preserve"> </w:t>
      </w:r>
      <w:r w:rsidR="007C5FE0">
        <w:t xml:space="preserve">В СФЕРЕ </w:t>
      </w:r>
      <w:r w:rsidR="00AA4843">
        <w:t>ОКЕАНА</w:t>
      </w:r>
      <w:bookmarkEnd w:id="122"/>
    </w:p>
    <w:p w14:paraId="0F0B1324" w14:textId="6123B21C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Этот пункт повестки дня представил руководитель секции морской политики и региональной координации г-н Жюлиан Барбьер. Он кратко рассказал о новых успехах, достигнутых в сфере управления ресурсами Мирового океана, напомнил о целях Среднесрочной стратегии МОК (2022-2029 гг.), уделив особое внимание вопросам устойчивости морской экономики и морского планирования, а также рекомендациям проведенной IOS оценки позиционирования МОК, в которой в числе прочего содержится призыв определить «наиболее подходящую организационную структуру в свете предусмотренного возложения на МОК глобальной роли в вопросах устойчивого управлени</w:t>
      </w:r>
      <w:r w:rsidR="00DD6B0C" w:rsidRPr="005C7858">
        <w:t>я</w:t>
      </w:r>
      <w:r>
        <w:t xml:space="preserve"> ресурсами Мирового океана на основе научного подхода» и которая послужила основой для разработки общесистемной стратегии МОК по рациональному планированию морской деятельности и управлению ресурсами океана. Указанная стратегия соответствует Уставу МОК, в котором, в частности, содержится призыв использовать получаемые МОК знания об океане «для совершенствования управления, обеспечения устойчивого развития, охраны морской среды и повышения эффективности принятия решений ее государствами-членами» (статья 2, «Цель»).</w:t>
      </w:r>
    </w:p>
    <w:p w14:paraId="36EA0DDE" w14:textId="77777777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Таким образом, стратегия призвана направлять усилия Комиссии в таких аспектах ее программной деятельности, как морские научные исследования, наблюдения за океаном и сбор океанографических данных, раннее оповещение об угрозах и оценка состояния океана, посредством оказания специализированных и основанных на научном подходе услуг, разработки инструментов управления и оценки на основе экосистемного подхода, а также распространения соответствующих информационных материалов, развития потенциала в интересах устойчивого управления ресурсами Мирового океана. Г-н Барбьер напомнил, что первоначальные общие параметры, касающиеся сферы охвата стратегии и процесса ее разработки, были обсуждены Ассамблеей на ее 32-й сессии (см. документ </w:t>
      </w:r>
      <w:hyperlink r:id="rId22" w:history="1">
        <w:r>
          <w:rPr>
            <w:rStyle w:val="Hyperlink"/>
          </w:rPr>
          <w:t>IOC/A-32/4.7.Doc(1)</w:t>
        </w:r>
      </w:hyperlink>
      <w:r>
        <w:t>).</w:t>
      </w:r>
    </w:p>
    <w:p w14:paraId="4C22C38E" w14:textId="2E139BC9" w:rsidR="005C239B" w:rsidRPr="005C239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Направление в ноябре 2023 г. циркулярного письма МОК </w:t>
      </w:r>
      <w:hyperlink r:id="rId23" w:history="1">
        <w:r>
          <w:rPr>
            <w:rStyle w:val="Hyperlink"/>
          </w:rPr>
          <w:t>№ 2968</w:t>
        </w:r>
      </w:hyperlink>
      <w:r>
        <w:t xml:space="preserve"> позволило Секретариату получить от государств-членов, программ и технических органов МОК дополнительные комментарии и предложения по документу IOC/A-32/4.7.Doc(1) с целью представления Исполнительному совету МОК на его 57-й сессии предварительного проекта стратегии. Для расширения фактологической базы, используемой при формулировании стратегии, был подготовлен и проведен опрос, призванный улучшить понимание существующего положения дел с точки зрения рационального планирования морской деятельности и управления ресурсами океана, а также выявить потребности заинтересованных сторон в методологической и научной поддержке. Цель опроса заключалась в том, чтобы проанализировать различные точки зрения участников сообщества МОК и партнеров (как входящих, так и не входящих в систему ООН), а также других международных участников соответствующей деятельности по всей цепочке создания добавленной стоимости, начиная с исследовательской деятельности, наблюдений за океаном, сбора данных, предоставления океанографических услуг и соответствующих информационных продуктов и заканчивая формулированием политики/управленческих мер и развитием потенциала. Итоги этой работы послужили основой для подготовки первоначального проекта стратегии, который был представлен и обсужден государствами</w:t>
      </w:r>
      <w:r w:rsidR="005C7858" w:rsidRPr="005C7858">
        <w:t xml:space="preserve"> – </w:t>
      </w:r>
      <w:r>
        <w:t xml:space="preserve">членами МОК в ходе двух онлайновых </w:t>
      </w:r>
      <w:r>
        <w:lastRenderedPageBreak/>
        <w:t>консультативных совещаний, организованных в мае 2024 г. Представленны</w:t>
      </w:r>
      <w:r w:rsidR="005C7858" w:rsidRPr="003F3F1F">
        <w:t>е</w:t>
      </w:r>
      <w:r>
        <w:t xml:space="preserve"> в ходе совещаний дополнительные идеи и предложения нашли отражение в окончательной версии проекта стратегии рационального планирования морской деятельности и управления ресурсами океана, представленной в качестве документа IOC/EC-57/43.Doc(1)</w:t>
      </w:r>
      <w:r w:rsidR="00AA4843">
        <w:t xml:space="preserve"> </w:t>
      </w:r>
      <w:r w:rsidR="00AA4843">
        <w:rPr>
          <w:lang w:val="en-US"/>
        </w:rPr>
        <w:t>Rev</w:t>
      </w:r>
      <w:r>
        <w:t xml:space="preserve">. </w:t>
      </w:r>
    </w:p>
    <w:p w14:paraId="3FFE8C43" w14:textId="468CB82C" w:rsidR="005C773B" w:rsidRPr="005C773B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Выступили представители </w:t>
      </w:r>
      <w:r w:rsidR="00AA4843">
        <w:t>21</w:t>
      </w:r>
      <w:r>
        <w:t xml:space="preserve"> государств</w:t>
      </w:r>
      <w:r w:rsidR="00AA4843">
        <w:t>а</w:t>
      </w:r>
      <w:r>
        <w:t>-член</w:t>
      </w:r>
      <w:r w:rsidR="00AA4843">
        <w:t>а и трех наблюдателей</w:t>
      </w:r>
      <w:r>
        <w:t xml:space="preserve">. </w:t>
      </w:r>
    </w:p>
    <w:p w14:paraId="63EAB019" w14:textId="4EF55BEC" w:rsidR="00B93826" w:rsidRPr="00B93826" w:rsidRDefault="005C773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Члены Исполнительного совета признали важное значение устойчивого планирования и управления в сфере океана и необходимость его поддержки с помощью работы МОК в области науки, наблюдений за океаном и данных. </w:t>
      </w:r>
      <w:r w:rsidR="00B93826">
        <w:t>Государства-члены также высоко оценили доработанный по итогам консультаций проект стратегии, а также его презентацию в ходе интернет-семинаров за месяц до 57-й сессии Исполнительного совета.</w:t>
      </w:r>
    </w:p>
    <w:p w14:paraId="39E0B4B2" w14:textId="02D6961C" w:rsidR="00B93826" w:rsidRPr="00B93826" w:rsidRDefault="00B93826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Государства-члены положительно откликнулись на предложение о создании рабочей группы МОК по устойчивому планированию и управлению в сфере океана (РГ-УПУО), многие из них выразили желание войти в ее состав.</w:t>
      </w:r>
    </w:p>
    <w:p w14:paraId="3DA0A941" w14:textId="7A98329B" w:rsidR="00B93826" w:rsidRPr="00B93826" w:rsidRDefault="00B93826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rPr>
          <w:rFonts w:cs="Arial"/>
        </w:rPr>
        <w:t>Мнения членов Исполнительного совета относительно принятия проекта стратегии (на этой сессии Совета или на сессии Ассамблеи МОК) разделились, с учетом необходимости получения максимально широкой поддержки со стороны всех государств</w:t>
      </w:r>
      <w:r w:rsidR="008779B7">
        <w:rPr>
          <w:rFonts w:cs="Arial"/>
        </w:rPr>
        <w:t xml:space="preserve"> – </w:t>
      </w:r>
      <w:r>
        <w:rPr>
          <w:rFonts w:cs="Arial"/>
        </w:rPr>
        <w:t>членов МОК. Были также высказаны опасения и просьба дать разъяснения относительно возможного дублирования и потенциального расширения существующих программ МОК, а также последствий для кадровых и финансовых ресурсов Секретариата.</w:t>
      </w:r>
    </w:p>
    <w:p w14:paraId="68FFD592" w14:textId="4606937A" w:rsidR="003327B9" w:rsidRDefault="003327B9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Была создана редакционная группа открытого состава для пересмотра проекта решения </w:t>
      </w:r>
      <w:r w:rsidRPr="00C928D7">
        <w:rPr>
          <w:rFonts w:cs="Arial"/>
          <w:lang w:val="en-GB"/>
        </w:rPr>
        <w:t>EC</w:t>
      </w:r>
      <w:r w:rsidR="008779B7">
        <w:rPr>
          <w:rFonts w:cs="Arial"/>
        </w:rPr>
        <w:noBreakHyphen/>
      </w:r>
      <w:r w:rsidRPr="00096DD5">
        <w:rPr>
          <w:rFonts w:cs="Arial"/>
        </w:rPr>
        <w:t>57/4.3.</w:t>
      </w:r>
      <w:r>
        <w:rPr>
          <w:rFonts w:cs="Arial"/>
        </w:rPr>
        <w:t xml:space="preserve"> Ее заседание прошло под председательством Германии, в работе группы также приняли участие Австралия, Бразилия, Исландия, Испания, Канада, Китай, Соединенное Королевство Великобритании и Северной Ирландии, Соединенные Штаты Америки и Турция, а также Норвегия и Российская Федерация в качестве наблюдателей.</w:t>
      </w:r>
    </w:p>
    <w:p w14:paraId="41BB1617" w14:textId="1F824B40" w:rsidR="005C239B" w:rsidRPr="003327B9" w:rsidRDefault="005C239B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</w:t>
      </w:r>
      <w:r w:rsidR="003327B9">
        <w:t xml:space="preserve"> и три наблюдателя</w:t>
      </w:r>
      <w:r>
        <w:t xml:space="preserve">: </w:t>
      </w:r>
      <w:r w:rsidR="003327B9">
        <w:rPr>
          <w:rFonts w:cs="Arial"/>
        </w:rPr>
        <w:t>Австралия, Бразилия, Германия, Исландия, Италия, Испания, Канада, Кения, Колумбия, Республика Корея, Соединенное Королевство Великобритании и Северной Ирландии, Соединенные Штаты Америки, Таиланд, Франция и Япония, а также Маврикий, Норвегия и Российская Федерация в качестве наблюдателей</w:t>
      </w:r>
      <w:r>
        <w:t>.</w:t>
      </w:r>
    </w:p>
    <w:p w14:paraId="0AEA47B2" w14:textId="4D673012" w:rsidR="00D93B00" w:rsidRPr="00096DD5" w:rsidRDefault="003327B9" w:rsidP="00CF7F0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EC</w:t>
      </w:r>
      <w:r w:rsidRPr="00096DD5">
        <w:rPr>
          <w:rFonts w:cs="Arial"/>
          <w:u w:val="single"/>
        </w:rPr>
        <w:t>-57/4.3</w:t>
      </w:r>
      <w:r w:rsidRPr="00096DD5">
        <w:rPr>
          <w:rFonts w:cs="Arial"/>
        </w:rPr>
        <w:t>.</w:t>
      </w:r>
    </w:p>
    <w:p w14:paraId="5278F1F1" w14:textId="77777777" w:rsidR="00D93B00" w:rsidRPr="00E05DB3" w:rsidRDefault="00D93B00" w:rsidP="004D3520">
      <w:pPr>
        <w:spacing w:after="240"/>
        <w:ind w:left="709"/>
        <w:jc w:val="center"/>
        <w:rPr>
          <w:rFonts w:ascii="Arial" w:hAnsi="Arial" w:cs="Arial"/>
          <w:b/>
          <w:bCs/>
          <w:sz w:val="22"/>
          <w:szCs w:val="22"/>
        </w:rPr>
      </w:pPr>
      <w:r w:rsidRPr="00E05DB3">
        <w:rPr>
          <w:rFonts w:ascii="Arial" w:hAnsi="Arial"/>
          <w:b/>
          <w:bCs/>
          <w:sz w:val="22"/>
          <w:szCs w:val="22"/>
        </w:rPr>
        <w:t xml:space="preserve">Проект общей стратегии МОК по устойчивому планированию и </w:t>
      </w:r>
      <w:r w:rsidRPr="00E05DB3">
        <w:rPr>
          <w:rFonts w:ascii="Arial" w:hAnsi="Arial"/>
          <w:b/>
          <w:bCs/>
          <w:sz w:val="22"/>
          <w:szCs w:val="22"/>
        </w:rPr>
        <w:br/>
        <w:t>управлению в сфере океана (2024-2030 гг.)</w:t>
      </w:r>
    </w:p>
    <w:p w14:paraId="04E6794E" w14:textId="77777777" w:rsidR="00D93B00" w:rsidRPr="00E05DB3" w:rsidRDefault="00D93B00" w:rsidP="004D3520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Исполнительный совет,</w:t>
      </w:r>
    </w:p>
    <w:p w14:paraId="18C85525" w14:textId="77777777" w:rsidR="00D93B00" w:rsidRPr="00E05DB3" w:rsidRDefault="00D93B00" w:rsidP="004D3520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рассмотрев</w:t>
      </w:r>
      <w:r w:rsidRPr="00E05DB3">
        <w:rPr>
          <w:rFonts w:ascii="Arial" w:hAnsi="Arial"/>
          <w:sz w:val="22"/>
          <w:szCs w:val="22"/>
        </w:rPr>
        <w:t xml:space="preserve"> документ IOC/EC-57/4.3.Doc(1) </w:t>
      </w:r>
      <w:r w:rsidRPr="00E05DB3">
        <w:rPr>
          <w:rFonts w:ascii="Arial" w:hAnsi="Arial"/>
          <w:color w:val="000000"/>
          <w:sz w:val="22"/>
          <w:szCs w:val="22"/>
        </w:rPr>
        <w:t>Rev.</w:t>
      </w:r>
      <w:r w:rsidRPr="00E05DB3">
        <w:rPr>
          <w:rFonts w:ascii="Arial" w:hAnsi="Arial"/>
          <w:sz w:val="22"/>
          <w:szCs w:val="22"/>
        </w:rPr>
        <w:t xml:space="preserve">, </w:t>
      </w:r>
    </w:p>
    <w:p w14:paraId="58771B92" w14:textId="148C792F" w:rsidR="00D93B00" w:rsidRPr="00E05DB3" w:rsidRDefault="00D93B00" w:rsidP="004D3520">
      <w:pPr>
        <w:spacing w:after="240"/>
        <w:ind w:left="709"/>
        <w:jc w:val="both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учитывая</w:t>
      </w:r>
      <w:r w:rsidRPr="00E05DB3">
        <w:rPr>
          <w:rFonts w:ascii="Arial" w:hAnsi="Arial"/>
          <w:iCs/>
          <w:sz w:val="22"/>
          <w:szCs w:val="22"/>
        </w:rPr>
        <w:t xml:space="preserve"> значение, которое МОК придает разработке всеобъемлющих рамочных принципов деятельности, направленной на формирование базы научных знаний и создание потенциала в интересах удовлетворения потребностей государств – членов МОК в области устойчивого планирования и управления в сфере океана, в соответствии со своим Уставом и в поддержку реализации среднесрочной стратегии МОК на 2022-2029</w:t>
      </w:r>
      <w:r w:rsidR="00356D98">
        <w:rPr>
          <w:rFonts w:ascii="Arial" w:hAnsi="Arial"/>
          <w:iCs/>
          <w:sz w:val="22"/>
          <w:szCs w:val="22"/>
          <w:lang w:val="en-US"/>
        </w:rPr>
        <w:t> </w:t>
      </w:r>
      <w:r w:rsidRPr="00E05DB3">
        <w:rPr>
          <w:rFonts w:ascii="Arial" w:hAnsi="Arial"/>
          <w:iCs/>
          <w:sz w:val="22"/>
          <w:szCs w:val="22"/>
        </w:rPr>
        <w:t>гг., а также программы и бюджета на 2024-2025 гг., утвержденных в документе 42</w:t>
      </w:r>
      <w:r w:rsidR="00356D98">
        <w:rPr>
          <w:rFonts w:ascii="Arial" w:hAnsi="Arial"/>
          <w:iCs/>
          <w:sz w:val="22"/>
          <w:szCs w:val="22"/>
          <w:lang w:val="en-US"/>
        </w:rPr>
        <w:t> </w:t>
      </w:r>
      <w:r w:rsidRPr="00E05DB3">
        <w:rPr>
          <w:rFonts w:ascii="Arial" w:hAnsi="Arial"/>
          <w:iCs/>
          <w:sz w:val="22"/>
          <w:szCs w:val="22"/>
        </w:rPr>
        <w:t>С/5,</w:t>
      </w:r>
    </w:p>
    <w:p w14:paraId="6C69938B" w14:textId="77777777" w:rsidR="00D93B00" w:rsidRPr="00E05DB3" w:rsidRDefault="00D93B00" w:rsidP="004D3520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приветствует</w:t>
      </w:r>
      <w:r w:rsidRPr="00E05DB3">
        <w:rPr>
          <w:rFonts w:ascii="Arial" w:hAnsi="Arial"/>
          <w:sz w:val="22"/>
          <w:szCs w:val="22"/>
        </w:rPr>
        <w:t xml:space="preserve"> проект общей стратегии МОК по устойчивому планированию и управлению в сфере океана;</w:t>
      </w:r>
    </w:p>
    <w:p w14:paraId="294E1DBB" w14:textId="77777777" w:rsidR="00D93B00" w:rsidRPr="00E05DB3" w:rsidRDefault="00D93B00" w:rsidP="004D3520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lastRenderedPageBreak/>
        <w:t>постановляет</w:t>
      </w:r>
      <w:r w:rsidRPr="00E05DB3">
        <w:rPr>
          <w:rFonts w:ascii="Arial" w:hAnsi="Arial"/>
          <w:sz w:val="22"/>
          <w:szCs w:val="22"/>
        </w:rPr>
        <w:t xml:space="preserve"> создать рабочую группу МОК по устойчивому планированию и управлению в сфере океана, круг ведения которой приводится в приложении к настоящему решению; </w:t>
      </w:r>
    </w:p>
    <w:p w14:paraId="34D74781" w14:textId="77777777" w:rsidR="00D93B00" w:rsidRPr="00E05DB3" w:rsidRDefault="00D93B00" w:rsidP="004D3520">
      <w:pPr>
        <w:spacing w:after="240"/>
        <w:ind w:left="709"/>
        <w:jc w:val="both"/>
        <w:rPr>
          <w:rFonts w:ascii="Arial" w:hAnsi="Arial" w:cs="Arial"/>
        </w:rPr>
      </w:pPr>
      <w:r w:rsidRPr="00E05DB3">
        <w:rPr>
          <w:rFonts w:ascii="Arial" w:hAnsi="Arial"/>
          <w:sz w:val="22"/>
          <w:szCs w:val="22"/>
          <w:u w:val="single"/>
        </w:rPr>
        <w:t>просит</w:t>
      </w:r>
      <w:r w:rsidRPr="00E05DB3">
        <w:rPr>
          <w:rFonts w:ascii="Arial" w:hAnsi="Arial"/>
          <w:sz w:val="22"/>
          <w:szCs w:val="22"/>
        </w:rPr>
        <w:t xml:space="preserve"> рабочую группу представить Ассамблее МОК на ее 33-й сессии соответствующий доклад.</w:t>
      </w:r>
    </w:p>
    <w:p w14:paraId="41DEFF06" w14:textId="77777777" w:rsidR="00D93B00" w:rsidRPr="00E05DB3" w:rsidRDefault="00D93B00" w:rsidP="004D3520">
      <w:pPr>
        <w:keepNext/>
        <w:spacing w:after="240"/>
        <w:ind w:left="709"/>
        <w:jc w:val="center"/>
        <w:rPr>
          <w:rFonts w:ascii="Arial" w:hAnsi="Arial" w:cs="Arial"/>
          <w:sz w:val="22"/>
          <w:szCs w:val="22"/>
          <w:u w:val="single"/>
        </w:rPr>
      </w:pPr>
      <w:r w:rsidRPr="00E05DB3">
        <w:rPr>
          <w:rFonts w:ascii="Arial" w:hAnsi="Arial"/>
          <w:sz w:val="22"/>
          <w:szCs w:val="22"/>
        </w:rPr>
        <w:t xml:space="preserve">Приложение к </w:t>
      </w:r>
      <w:r w:rsidRPr="00E05DB3">
        <w:rPr>
          <w:rFonts w:ascii="Arial" w:hAnsi="Arial"/>
          <w:sz w:val="22"/>
          <w:szCs w:val="22"/>
          <w:u w:val="single"/>
        </w:rPr>
        <w:t>решению EC-57/4.3</w:t>
      </w:r>
    </w:p>
    <w:p w14:paraId="22EA56E2" w14:textId="6C11CA1A" w:rsidR="00D93B00" w:rsidRPr="00E05DB3" w:rsidRDefault="00D93B00" w:rsidP="004D3520">
      <w:pPr>
        <w:spacing w:after="240"/>
        <w:ind w:left="709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05DB3">
        <w:rPr>
          <w:rFonts w:ascii="Arial" w:hAnsi="Arial"/>
          <w:b/>
          <w:bCs/>
          <w:sz w:val="22"/>
          <w:szCs w:val="22"/>
        </w:rPr>
        <w:t>Круг ведения рабочей группы МОК по устойчивому планированию и</w:t>
      </w:r>
      <w:r w:rsidR="00356D98" w:rsidRPr="00A30690">
        <w:rPr>
          <w:rFonts w:ascii="Arial" w:hAnsi="Arial"/>
          <w:b/>
          <w:bCs/>
          <w:sz w:val="22"/>
          <w:szCs w:val="22"/>
        </w:rPr>
        <w:br/>
      </w:r>
      <w:r w:rsidRPr="00E05DB3">
        <w:rPr>
          <w:rFonts w:ascii="Arial" w:hAnsi="Arial"/>
          <w:b/>
          <w:bCs/>
          <w:sz w:val="22"/>
          <w:szCs w:val="22"/>
        </w:rPr>
        <w:t>управлению в сфере океана (РГ-УПУО)</w:t>
      </w:r>
    </w:p>
    <w:p w14:paraId="1313DD71" w14:textId="77777777" w:rsidR="00D93B00" w:rsidRPr="00E05DB3" w:rsidRDefault="00D93B00" w:rsidP="004D3520">
      <w:pPr>
        <w:spacing w:after="240"/>
        <w:ind w:left="709"/>
        <w:jc w:val="both"/>
        <w:rPr>
          <w:rFonts w:ascii="Arial" w:hAnsi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В состав рабочей группы МОК по устойчивому планированию и управлению в сфере океана входят специалисты, назначенные государствами – членами МОК в соответствии с просьбой, сформулированной в циркулярном письме, а также представители региональных вспомогательных органов МОК и (в соответствующих случаях) руководящих органов программ МОК.</w:t>
      </w:r>
    </w:p>
    <w:p w14:paraId="7C22FA82" w14:textId="77777777" w:rsidR="00D93B00" w:rsidRPr="00E05DB3" w:rsidRDefault="00D93B00" w:rsidP="004D3520">
      <w:pPr>
        <w:spacing w:after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Рабочая группа избирает двух сопредседателей из числа своих членов.</w:t>
      </w:r>
    </w:p>
    <w:p w14:paraId="64F151D9" w14:textId="77777777" w:rsidR="00D93B00" w:rsidRPr="00E05DB3" w:rsidRDefault="00D93B00" w:rsidP="004D3520">
      <w:pPr>
        <w:spacing w:after="240"/>
        <w:ind w:left="709"/>
        <w:jc w:val="both"/>
        <w:rPr>
          <w:rFonts w:ascii="Arial" w:eastAsia="Yu Mincho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 xml:space="preserve">Рабочая группа МОК по устойчивому планированию и управлению в сфере океана (РГ-УПУО) отвечает за выполнение следующих задач: </w:t>
      </w:r>
    </w:p>
    <w:p w14:paraId="18DDDF28" w14:textId="77777777" w:rsidR="00D93B00" w:rsidRPr="00E05DB3" w:rsidRDefault="00D93B00" w:rsidP="004D3520">
      <w:pPr>
        <w:pStyle w:val="ListParagraph"/>
        <w:numPr>
          <w:ilvl w:val="0"/>
          <w:numId w:val="41"/>
        </w:numPr>
        <w:spacing w:after="240"/>
        <w:ind w:left="1276" w:hanging="567"/>
        <w:contextualSpacing w:val="0"/>
        <w:jc w:val="both"/>
        <w:rPr>
          <w:rFonts w:ascii="Arial" w:hAnsi="Arial" w:cs="Arial"/>
          <w:color w:val="0D0D0D"/>
          <w:sz w:val="22"/>
          <w:szCs w:val="22"/>
        </w:rPr>
      </w:pPr>
      <w:r w:rsidRPr="00E05DB3">
        <w:rPr>
          <w:rFonts w:ascii="Arial" w:hAnsi="Arial" w:cs="Arial"/>
          <w:color w:val="0D0D0D"/>
          <w:sz w:val="22"/>
          <w:szCs w:val="22"/>
        </w:rPr>
        <w:t>Пересмотр проекта стратегии по УПУО с учетом его обсуждения на 57-й сессии Исполнительного совета МОК, результаты которого отражены в докладе о сессии и приложениях к нему, и представить пересмотренный вариант стратегии на рассмотрение Ассамблеи МОК на ее 33-й сессии;</w:t>
      </w:r>
    </w:p>
    <w:p w14:paraId="12C6B589" w14:textId="77777777" w:rsidR="00D93B00" w:rsidRPr="00E05DB3" w:rsidRDefault="00D93B00" w:rsidP="004D3520">
      <w:pPr>
        <w:pStyle w:val="ListParagraph"/>
        <w:numPr>
          <w:ilvl w:val="0"/>
          <w:numId w:val="41"/>
        </w:numPr>
        <w:spacing w:after="240"/>
        <w:ind w:left="1276" w:hanging="567"/>
        <w:contextualSpacing w:val="0"/>
        <w:jc w:val="both"/>
        <w:rPr>
          <w:rFonts w:ascii="Arial" w:hAnsi="Arial" w:cs="Arial"/>
          <w:color w:val="0D0D0D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Определение мероприятий, связанных с планированием и управлением в сфере океана, в рамках всего спектра программ МОК, содействие в решении конкретных вопросов, связанных с программой, а также возникающих проблем;</w:t>
      </w:r>
      <w:r w:rsidRPr="00E05DB3">
        <w:rPr>
          <w:rFonts w:ascii="Arial" w:hAnsi="Arial"/>
          <w:color w:val="0D0D0D"/>
          <w:sz w:val="22"/>
          <w:szCs w:val="22"/>
        </w:rPr>
        <w:t xml:space="preserve"> </w:t>
      </w:r>
    </w:p>
    <w:p w14:paraId="6C2EFE7E" w14:textId="77777777" w:rsidR="00D93B00" w:rsidRPr="00E05DB3" w:rsidRDefault="00D93B00" w:rsidP="004D3520">
      <w:pPr>
        <w:pStyle w:val="ListParagraph"/>
        <w:numPr>
          <w:ilvl w:val="0"/>
          <w:numId w:val="41"/>
        </w:numPr>
        <w:spacing w:after="240"/>
        <w:ind w:left="1276" w:hanging="567"/>
        <w:contextualSpacing w:val="0"/>
        <w:jc w:val="both"/>
        <w:rPr>
          <w:rFonts w:ascii="Arial" w:hAnsi="Arial" w:cs="Arial"/>
          <w:color w:val="0D0D0D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Подготовка проекта плана осуществления стратегии по УПУО для его рассмотрения Ассамблеей МОК на ее 33-й сессии;</w:t>
      </w:r>
    </w:p>
    <w:p w14:paraId="61E60AAD" w14:textId="77777777" w:rsidR="00D93B00" w:rsidRPr="00E05DB3" w:rsidRDefault="00D93B00" w:rsidP="004D3520">
      <w:pPr>
        <w:numPr>
          <w:ilvl w:val="0"/>
          <w:numId w:val="41"/>
        </w:numPr>
        <w:spacing w:after="240"/>
        <w:ind w:left="1276" w:hanging="567"/>
        <w:jc w:val="both"/>
        <w:rPr>
          <w:rFonts w:ascii="Arial" w:eastAsia="Yu Mincho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Обеспечение координации с программой Десятилетия по устойчивому планированию в сфере океана и ее временной консультативной группой.</w:t>
      </w:r>
    </w:p>
    <w:p w14:paraId="55D8B1DB" w14:textId="77777777" w:rsidR="003202CC" w:rsidRPr="003202CC" w:rsidRDefault="003202CC" w:rsidP="003202CC">
      <w:pPr>
        <w:pStyle w:val="Heading2"/>
        <w:ind w:left="709" w:hanging="709"/>
        <w:rPr>
          <w:rFonts w:cs="Arial"/>
          <w:szCs w:val="22"/>
        </w:rPr>
      </w:pPr>
      <w:bookmarkStart w:id="123" w:name="_Toc177658036"/>
      <w:r w:rsidRPr="00377233">
        <w:t>4.4</w:t>
      </w:r>
      <w:r w:rsidRPr="00377233">
        <w:tab/>
        <w:t>ОБЗОР МЕХАНИЗМОВ УПРАВЛЕНИЯ ГЕБКО (2023 г.) И ТРЕХ</w:t>
      </w:r>
      <w:r>
        <w:t>ЛЕТНИ</w:t>
      </w:r>
      <w:r w:rsidRPr="00377233">
        <w:t>Й ОБЗОР ПОТРЕБНОСТЕЙ ПОЛЬЗОВАТЕЛЕЙ</w:t>
      </w:r>
      <w:bookmarkEnd w:id="123"/>
    </w:p>
    <w:p w14:paraId="752C1504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в качестве председателя рабочей группы МОК по потребностям пользователей и их участии в создании продуктов ГЕБКО представил заместитель председателя рабочей группы г-н Хуан Фореро Хаузер. Он напомнил полномочия рабочей группы, учрежденной в 2016 г. в соответствии с решением Исполнительного совета ЕС-XLIX/4.4, предусматривающие, в частности: (i) сбор, обобщение и анализ информации о потребностях пользователей с целью учета этих потребностей при создании существующих на сегодняшний день и будущих продуктов ГЕБКО; (ii) изучение путей повышения вклада от осуществления программ МОК и деятельности ее государств-членов в создание наборов батиметрических данных и продуктов ГЕБКО. В соответствии с кругом ведения рабочей группы в ее состав входят представители государств – членов МОК, а также по одному эксперту от руководящего комитета ГЕБКО и соответствующих технических и региональных вспомогательных органов МОК (ГЛОСС, РК-ГСНО, МООД, РГ-СПЦО, МОКАФРИКА, МОКАРИБ, ИОСИНДИО, МГВЦВ, ВЕСТПАК и региональные альянсы ГСНО). Деятельность рабочей группы была возобновлена на основании циркулярного письма МОК </w:t>
      </w:r>
      <w:hyperlink r:id="rId24" w:history="1">
        <w:r>
          <w:rPr>
            <w:rStyle w:val="Hyperlink"/>
          </w:rPr>
          <w:t>№ 2981</w:t>
        </w:r>
      </w:hyperlink>
      <w:r>
        <w:t xml:space="preserve">, опубликованного в декабре 2023 г. в свете итогов предыдущей оценки, проведенной в 2021 г. В состав группы входят эксперты, назначенные председателями соответствующих </w:t>
      </w:r>
      <w:r>
        <w:lastRenderedPageBreak/>
        <w:t>технических и региональных вспомогательных органов МОК и региональных альянсов ГСНО, а также национальные эксперты. Заместитель председателя рабочей группы подчеркнул, что представленные предложения и замечания были собраны с помощью вопросника, разосланного государствам</w:t>
      </w:r>
      <w:r w:rsidRPr="00B26D04">
        <w:t xml:space="preserve"> </w:t>
      </w:r>
      <w:r>
        <w:t>–</w:t>
      </w:r>
      <w:r w:rsidRPr="00B26D04">
        <w:t xml:space="preserve"> </w:t>
      </w:r>
      <w:r>
        <w:t xml:space="preserve">членам МОК вместе с циркулярным письмом МОК </w:t>
      </w:r>
      <w:hyperlink r:id="rId25" w:history="1">
        <w:r>
          <w:rPr>
            <w:rStyle w:val="Hyperlink"/>
          </w:rPr>
          <w:t>№ 2989</w:t>
        </w:r>
      </w:hyperlink>
      <w:r>
        <w:t xml:space="preserve">. </w:t>
      </w:r>
      <w:r>
        <w:rPr>
          <w:color w:val="000000"/>
        </w:rPr>
        <w:t>Благодаря проекту «Морское дно-2030», осуществляемому совместно фондом «Ниппон» и ГЕБКО, вопросник был распространен также в рамках морепользовательского сообщества, включая отраслевые учреждения и организации гражданского общества. Далее заместитель председателя представил основные выводы и рекомендации рабочей группы, содержащиеся в документе IOC/EC-57/4.4.Doc(2).</w:t>
      </w:r>
    </w:p>
    <w:p w14:paraId="372F4153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Г-н Сэм Харпер, технический секретарь МГО и председатель группы по обзору механизмов управления ГЕБКО, сообщил, что доклад об обзоре механизмов управления (документ IOC/EC-57/4.4.Doc(1)) содержит детальный анализ управленческой структуры и практических подходов, используемых в рамках программы ГЕБКО, призванный содействовать повышению ее эффективности и согласованности с стратегическими целями организаций-учредителей – Международной гидрографической организации (МГО) и МОК. Проведение обзора было продиктовано осознанием быстрых изменений в области морских научных исследований и картирования морского дна, что требует укрепления механизмов управления ГЕБКО и постоянного совершенствования используемых в рамках программы подходов. В числе основных аспектов обзора – изучение организационных и управленческих механизмов программы ГЕБКО, эффективность работы ее комитетов и взаимодействие с внешними органами. В обзоре подчеркнута важная роль ГЕБКО в контексте Десятилетия Организации Объединенных Наций, посвященного науке об океане в интересах устойчивого развития, а также необходимость повышения координации международных усилий в вопросах сбора океанографических данных. Сформулированные в документе выводы и рекомендации подчеркивают потребность в более четкой структуре управления, актуальность расширения взаимодействия с заинтересованными сторонами, а также необходимость повышения эффективности управления рисками и формирования культуры непрерывного совершенствования. Отдельно в обзоре была подчеркнута важность приведения деятельности в рамках ГЕБКО в соответствие с </w:t>
      </w:r>
      <w:r w:rsidRPr="00355FF3">
        <w:t>новой</w:t>
      </w:r>
      <w:r>
        <w:t xml:space="preserve"> стратегией программы (документ IOC/INF-1538), которая была разработана параллельно с подготовкой данного обзора.</w:t>
      </w:r>
    </w:p>
    <w:p w14:paraId="2AE9E532" w14:textId="77777777" w:rsidR="003202CC" w:rsidRPr="00D93B00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Выступили представители восьми государств-членов и двух наблюдателей. </w:t>
      </w:r>
    </w:p>
    <w:p w14:paraId="6A0A730C" w14:textId="77777777" w:rsidR="003202CC" w:rsidRPr="00135F0E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Ряд государств-членов и наблюдателей приветствовали полезный, по их мнению, обзор требований пользователей с учетом важного значения батиметрических данных для реализации различных программ МОК в таких областях как готовность к цунами, морское пространственное планирование, управление на основе экосистемного подхода и многие другие. Государства-члены одобрили сформулированные рабочей группой рекомендации и заявили о необходимости более подробного изучения потребностей государств-членов в развитии потенциала по вопросам картирования океана при проведении обзора потребностей пользователей в будущем. </w:t>
      </w:r>
    </w:p>
    <w:p w14:paraId="2DEC82EE" w14:textId="77777777" w:rsidR="003202CC" w:rsidRPr="00135F0E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В отношении выводов обзора механизмов управления ГЕБКО государства-члены поддержали вынесенные рекомендации и предложили Руководящему комитету ГЕБКО принять надлежащие меры и представить доклад о выполнении рекомендаций соответствующим руководящим органам МГО и МОК.</w:t>
      </w:r>
    </w:p>
    <w:p w14:paraId="6567A9B1" w14:textId="77777777" w:rsidR="003202CC" w:rsidRPr="00135F0E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Отвечая на вопросы, заместитель председателя рабочей группы Хуан Фореро Хаузер отметил, что государства-члены придают важное значение получению актуальных, подробных и своевременных данных, которые используются для решения весьма широкого круга практических задач. Он призвал Секретариат налаживать совместную работу, особенно в области развития потенциала, с опорой на существующую инфраструктуру, в частности на проект Глобальная академия «Океан-инструктор»</w:t>
      </w:r>
    </w:p>
    <w:p w14:paraId="54E5E535" w14:textId="77777777" w:rsidR="003202CC" w:rsidRPr="00AE7BE9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lastRenderedPageBreak/>
        <w:t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 и два наблюдателя: Бразилия, Португалия, Франция, Чили и Япония, а также Маврикий и ВМО в качестве наблюдателей.</w:t>
      </w:r>
    </w:p>
    <w:p w14:paraId="12971067" w14:textId="77777777" w:rsidR="003202CC" w:rsidRPr="00AE7BE9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EC</w:t>
      </w:r>
      <w:r w:rsidRPr="00AE7BE9">
        <w:rPr>
          <w:rFonts w:cs="Arial"/>
          <w:u w:val="single"/>
        </w:rPr>
        <w:t>-57/4.4</w:t>
      </w:r>
      <w:r w:rsidRPr="00AE7BE9">
        <w:t>.</w:t>
      </w:r>
    </w:p>
    <w:p w14:paraId="485CF358" w14:textId="77777777" w:rsidR="003202CC" w:rsidRPr="00E05DB3" w:rsidRDefault="003202CC" w:rsidP="003202CC">
      <w:pPr>
        <w:spacing w:after="240"/>
        <w:ind w:left="709"/>
        <w:jc w:val="center"/>
        <w:rPr>
          <w:rFonts w:ascii="Arial" w:hAnsi="Arial" w:cs="Arial"/>
          <w:b/>
          <w:bCs/>
          <w:sz w:val="22"/>
          <w:szCs w:val="22"/>
        </w:rPr>
      </w:pPr>
      <w:r w:rsidRPr="00E05DB3">
        <w:rPr>
          <w:rFonts w:ascii="Arial" w:hAnsi="Arial"/>
          <w:b/>
          <w:bCs/>
          <w:sz w:val="22"/>
          <w:szCs w:val="22"/>
        </w:rPr>
        <w:t xml:space="preserve">Обзор механизмов управления ГЕБКО (2023 г.) и трехлетний обзор </w:t>
      </w:r>
      <w:r w:rsidRPr="00E05DB3">
        <w:rPr>
          <w:rFonts w:ascii="Arial" w:hAnsi="Arial"/>
          <w:b/>
          <w:bCs/>
          <w:sz w:val="22"/>
          <w:szCs w:val="22"/>
        </w:rPr>
        <w:br/>
        <w:t>потребностей пользователей</w:t>
      </w:r>
    </w:p>
    <w:p w14:paraId="30F04C17" w14:textId="77777777" w:rsidR="003202CC" w:rsidRPr="00E05DB3" w:rsidRDefault="003202CC" w:rsidP="003202CC">
      <w:pPr>
        <w:spacing w:after="240"/>
        <w:ind w:left="709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Исполнительный совет,</w:t>
      </w:r>
    </w:p>
    <w:p w14:paraId="0DA3CF06" w14:textId="77777777" w:rsidR="003202CC" w:rsidRPr="00E05DB3" w:rsidRDefault="003202CC" w:rsidP="003202CC">
      <w:pPr>
        <w:spacing w:after="240"/>
        <w:ind w:left="709"/>
        <w:jc w:val="center"/>
        <w:rPr>
          <w:rFonts w:ascii="Arial" w:hAnsi="Arial" w:cs="Arial"/>
          <w:b/>
          <w:bCs/>
          <w:sz w:val="22"/>
          <w:szCs w:val="22"/>
        </w:rPr>
      </w:pPr>
      <w:r w:rsidRPr="00E05DB3">
        <w:rPr>
          <w:rFonts w:ascii="Arial" w:hAnsi="Arial"/>
          <w:b/>
          <w:bCs/>
          <w:sz w:val="22"/>
          <w:szCs w:val="22"/>
        </w:rPr>
        <w:t>I – Трехлетний обзор потребностей пользователей</w:t>
      </w:r>
    </w:p>
    <w:p w14:paraId="6049C34A" w14:textId="77777777" w:rsidR="003202CC" w:rsidRPr="00E05DB3" w:rsidRDefault="003202CC" w:rsidP="003202CC">
      <w:pPr>
        <w:spacing w:after="240"/>
        <w:ind w:left="709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ссылаясь</w:t>
      </w:r>
      <w:r w:rsidRPr="00E05DB3">
        <w:rPr>
          <w:rFonts w:ascii="Arial" w:hAnsi="Arial"/>
          <w:sz w:val="22"/>
          <w:szCs w:val="22"/>
        </w:rPr>
        <w:t xml:space="preserve"> на решение А-32/3.5.1, в котором предлагается, в частности, проводить обзор в отношении потребностей пользователей и их участия в создании продуктов ГЕБКО на двухгодичной основе,</w:t>
      </w:r>
    </w:p>
    <w:p w14:paraId="08D5CADF" w14:textId="77777777" w:rsidR="003202CC" w:rsidRPr="00E05DB3" w:rsidRDefault="003202CC" w:rsidP="003202CC">
      <w:pPr>
        <w:spacing w:after="240"/>
        <w:ind w:left="709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рассмотрев</w:t>
      </w:r>
      <w:r w:rsidRPr="00E05DB3">
        <w:rPr>
          <w:rFonts w:ascii="Arial" w:hAnsi="Arial"/>
          <w:iCs/>
          <w:sz w:val="22"/>
          <w:szCs w:val="22"/>
        </w:rPr>
        <w:t xml:space="preserve"> доклад рабочей группы по потребностям пользователей и их участии в создании продуктов ГЕБКО, представленный в документе IOC/EC-57/4.4.Doc(2),</w:t>
      </w:r>
    </w:p>
    <w:p w14:paraId="0CD49073" w14:textId="77777777" w:rsidR="003202CC" w:rsidRPr="00E05DB3" w:rsidRDefault="003202CC" w:rsidP="003202CC">
      <w:pPr>
        <w:spacing w:after="240"/>
        <w:ind w:left="709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учитывая</w:t>
      </w:r>
      <w:r w:rsidRPr="00E05DB3">
        <w:rPr>
          <w:rFonts w:ascii="Arial" w:hAnsi="Arial"/>
          <w:iCs/>
          <w:sz w:val="22"/>
          <w:szCs w:val="22"/>
        </w:rPr>
        <w:t xml:space="preserve"> постоянную потребность научного сообщества МОК в батиметрических продуктах и тот факт, что доступ к качественным батиметрическим данным важен не только для обеспечения навигации, но и для других целей, таких как предупреждение о цунами и обеспечение готовности к ним, сохранение морских экосистем и биоразнообразия, морского пространственного планирования, расширенных исследований континентального шельфа, а также для морского и климатического моделирования,</w:t>
      </w:r>
    </w:p>
    <w:p w14:paraId="51B65189" w14:textId="77777777" w:rsidR="003202CC" w:rsidRPr="00E05DB3" w:rsidRDefault="003202CC" w:rsidP="003202CC">
      <w:pPr>
        <w:spacing w:after="240"/>
        <w:ind w:left="709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отмечая</w:t>
      </w:r>
      <w:r w:rsidRPr="00E05DB3">
        <w:rPr>
          <w:rFonts w:ascii="Arial" w:hAnsi="Arial"/>
          <w:iCs/>
          <w:sz w:val="22"/>
          <w:szCs w:val="22"/>
        </w:rPr>
        <w:t>, что значительные объемы батиметрических данных собираются научным и коммерческим секторами для целей, не связанных с усовершенствованием карты, но их нелегко найти или обеспечить к ним доступ для вторичных целей,</w:t>
      </w:r>
    </w:p>
    <w:p w14:paraId="5A62D2BA" w14:textId="77777777" w:rsidR="003202CC" w:rsidRPr="00E05DB3" w:rsidRDefault="003202CC" w:rsidP="003202CC">
      <w:pPr>
        <w:spacing w:after="240"/>
        <w:ind w:left="709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принимает к сведению</w:t>
      </w:r>
      <w:r w:rsidRPr="00E05DB3">
        <w:rPr>
          <w:rFonts w:ascii="Arial" w:hAnsi="Arial"/>
          <w:iCs/>
          <w:sz w:val="22"/>
          <w:szCs w:val="22"/>
        </w:rPr>
        <w:t xml:space="preserve"> выводы рабочей группы, изложенные в документе IOC/EC</w:t>
      </w:r>
      <w:r w:rsidRPr="00E05DB3">
        <w:rPr>
          <w:rFonts w:ascii="Arial" w:hAnsi="Arial"/>
          <w:iCs/>
          <w:sz w:val="22"/>
          <w:szCs w:val="22"/>
        </w:rPr>
        <w:noBreakHyphen/>
        <w:t>57/4.4.Doc(2);</w:t>
      </w:r>
    </w:p>
    <w:p w14:paraId="1C3B213C" w14:textId="77777777" w:rsidR="003202CC" w:rsidRPr="00E05DB3" w:rsidRDefault="003202CC" w:rsidP="003202CC">
      <w:pPr>
        <w:spacing w:after="240"/>
        <w:ind w:left="709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просит</w:t>
      </w:r>
      <w:r w:rsidRPr="00E05DB3">
        <w:rPr>
          <w:rFonts w:ascii="Arial" w:hAnsi="Arial"/>
          <w:iCs/>
          <w:sz w:val="22"/>
          <w:szCs w:val="22"/>
        </w:rPr>
        <w:t xml:space="preserve"> Исполнительного секретаря:</w:t>
      </w:r>
    </w:p>
    <w:p w14:paraId="2376B159" w14:textId="77777777" w:rsidR="003202CC" w:rsidRPr="00E05DB3" w:rsidRDefault="003202CC" w:rsidP="003202CC">
      <w:pPr>
        <w:numPr>
          <w:ilvl w:val="1"/>
          <w:numId w:val="29"/>
        </w:numPr>
        <w:spacing w:after="240"/>
        <w:ind w:left="1276" w:hanging="567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</w:rPr>
        <w:t>довести результаты проведенного обзора до сведения Международной гидрографической организации (МГО) и руководящего комитета ГЕБКО;</w:t>
      </w:r>
    </w:p>
    <w:p w14:paraId="1B7E5FCD" w14:textId="77777777" w:rsidR="003202CC" w:rsidRPr="00E05DB3" w:rsidRDefault="003202CC" w:rsidP="003202CC">
      <w:pPr>
        <w:numPr>
          <w:ilvl w:val="1"/>
          <w:numId w:val="29"/>
        </w:numPr>
        <w:spacing w:after="240"/>
        <w:ind w:left="1276" w:hanging="567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</w:rPr>
        <w:t>определить возможности и способы расширения участия респондентов, в особенности представляющих интересы программ МОК, а также региональных вспомогательных органов, в будущих экспертных оценках, проводимых рабочей группой;</w:t>
      </w:r>
    </w:p>
    <w:p w14:paraId="5A2E055A" w14:textId="77777777" w:rsidR="003202CC" w:rsidRPr="00E05DB3" w:rsidRDefault="003202CC" w:rsidP="003202CC">
      <w:pPr>
        <w:numPr>
          <w:ilvl w:val="1"/>
          <w:numId w:val="29"/>
        </w:numPr>
        <w:spacing w:after="240"/>
        <w:ind w:left="1276" w:hanging="567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</w:rPr>
        <w:t>поделиться основными выводами, сделанными по итогам обзора, с соответствующими участниками сообщества МОК;</w:t>
      </w:r>
    </w:p>
    <w:p w14:paraId="32902B48" w14:textId="77777777" w:rsidR="003202CC" w:rsidRPr="00E05DB3" w:rsidRDefault="003202CC" w:rsidP="003202CC">
      <w:pPr>
        <w:spacing w:after="240"/>
        <w:ind w:left="709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постановляет</w:t>
      </w:r>
      <w:r w:rsidRPr="00E05DB3">
        <w:rPr>
          <w:rFonts w:ascii="Arial" w:hAnsi="Arial"/>
          <w:iCs/>
          <w:sz w:val="22"/>
          <w:szCs w:val="22"/>
        </w:rPr>
        <w:t xml:space="preserve"> провести следующий обзор потребностей пользователей и их потенциального вклада в продукты ГЕБКО и представить результаты следующей оценки Ассамблее МОК в 2027 г.;</w:t>
      </w:r>
    </w:p>
    <w:p w14:paraId="5FD93DF9" w14:textId="77777777" w:rsidR="003202CC" w:rsidRPr="00E05DB3" w:rsidRDefault="003202CC" w:rsidP="003202CC">
      <w:pPr>
        <w:spacing w:after="240"/>
        <w:ind w:left="709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  <w:u w:val="single"/>
        </w:rPr>
        <w:t>предлагает</w:t>
      </w:r>
      <w:r w:rsidRPr="00E05DB3">
        <w:rPr>
          <w:rFonts w:ascii="Arial" w:hAnsi="Arial"/>
          <w:iCs/>
          <w:sz w:val="22"/>
          <w:szCs w:val="22"/>
        </w:rPr>
        <w:t xml:space="preserve"> государствам-членам:</w:t>
      </w:r>
    </w:p>
    <w:p w14:paraId="2C2B6AFA" w14:textId="77777777" w:rsidR="003202CC" w:rsidRPr="00E05DB3" w:rsidRDefault="003202CC" w:rsidP="003202CC">
      <w:pPr>
        <w:numPr>
          <w:ilvl w:val="0"/>
          <w:numId w:val="30"/>
        </w:numPr>
        <w:spacing w:after="240"/>
        <w:ind w:left="1276" w:hanging="567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</w:rPr>
        <w:t xml:space="preserve">сотрудничать в целях развития картирования в масштабах бассейнов в интересах ускорения достижения целей ГЕБКО и предоставления </w:t>
      </w:r>
      <w:r w:rsidRPr="00E05DB3">
        <w:rPr>
          <w:rFonts w:ascii="Arial" w:hAnsi="Arial"/>
          <w:iCs/>
          <w:sz w:val="22"/>
          <w:szCs w:val="22"/>
        </w:rPr>
        <w:lastRenderedPageBreak/>
        <w:t>общедоступной информации и данных об океане, в частности, посредством оказания поддержки и непосредственного содействия проекту фонда «Ниппон»/ГЕБКО «Морское дно-2030»;</w:t>
      </w:r>
    </w:p>
    <w:p w14:paraId="18B3B36B" w14:textId="77777777" w:rsidR="003202CC" w:rsidRPr="00E05DB3" w:rsidRDefault="003202CC" w:rsidP="003202CC">
      <w:pPr>
        <w:numPr>
          <w:ilvl w:val="0"/>
          <w:numId w:val="30"/>
        </w:numPr>
        <w:spacing w:after="240"/>
        <w:ind w:left="1276" w:hanging="567"/>
        <w:jc w:val="both"/>
        <w:rPr>
          <w:rFonts w:ascii="Arial" w:eastAsia="Calibri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</w:rPr>
        <w:t>содействовать укреплению потенциала программы ГЕБКО, в том числе расширению возможностей профессиональной подготовки;</w:t>
      </w:r>
    </w:p>
    <w:p w14:paraId="40F6C4FF" w14:textId="77777777" w:rsidR="003202CC" w:rsidRPr="00E05DB3" w:rsidRDefault="003202CC" w:rsidP="003202CC">
      <w:pPr>
        <w:numPr>
          <w:ilvl w:val="0"/>
          <w:numId w:val="30"/>
        </w:numPr>
        <w:spacing w:after="240"/>
        <w:ind w:left="1276" w:hanging="567"/>
        <w:jc w:val="both"/>
        <w:rPr>
          <w:rFonts w:ascii="Arial" w:eastAsia="Calibri" w:hAnsi="Arial" w:cs="Arial"/>
          <w:iCs/>
          <w:sz w:val="22"/>
          <w:szCs w:val="22"/>
          <w:u w:val="single"/>
        </w:rPr>
      </w:pPr>
      <w:r w:rsidRPr="00E05DB3">
        <w:rPr>
          <w:rFonts w:ascii="Arial" w:hAnsi="Arial"/>
          <w:iCs/>
          <w:sz w:val="22"/>
          <w:szCs w:val="22"/>
        </w:rPr>
        <w:t>принять активное участие в следующей экспертной оценке, запланированной к проведению рабочей группой;</w:t>
      </w:r>
    </w:p>
    <w:p w14:paraId="55F03C28" w14:textId="77777777" w:rsidR="003202CC" w:rsidRPr="00E05DB3" w:rsidRDefault="003202CC" w:rsidP="003202CC">
      <w:pPr>
        <w:tabs>
          <w:tab w:val="left" w:pos="1276"/>
        </w:tabs>
        <w:spacing w:after="240"/>
        <w:ind w:left="709"/>
        <w:jc w:val="center"/>
        <w:rPr>
          <w:rFonts w:ascii="Arial" w:hAnsi="Arial" w:cs="Arial"/>
          <w:b/>
          <w:bCs/>
          <w:sz w:val="22"/>
          <w:szCs w:val="22"/>
        </w:rPr>
      </w:pPr>
      <w:r w:rsidRPr="00E05DB3">
        <w:rPr>
          <w:rFonts w:ascii="Arial" w:hAnsi="Arial"/>
          <w:b/>
          <w:bCs/>
          <w:sz w:val="22"/>
          <w:szCs w:val="22"/>
        </w:rPr>
        <w:t>II – Обзор механизмов управления и стратегия ГЕБКО</w:t>
      </w:r>
    </w:p>
    <w:p w14:paraId="7C40BC58" w14:textId="77777777" w:rsidR="003202CC" w:rsidRPr="00E05DB3" w:rsidRDefault="003202CC" w:rsidP="003202CC">
      <w:pPr>
        <w:spacing w:after="240"/>
        <w:ind w:left="709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ссылаясь</w:t>
      </w:r>
      <w:r w:rsidRPr="00E05DB3">
        <w:rPr>
          <w:rFonts w:ascii="Arial" w:hAnsi="Arial"/>
          <w:sz w:val="22"/>
          <w:szCs w:val="22"/>
        </w:rPr>
        <w:t xml:space="preserve"> на решение Ассамблеи МОК A-32/4.1,</w:t>
      </w:r>
    </w:p>
    <w:p w14:paraId="5A8678CC" w14:textId="77777777" w:rsidR="003202CC" w:rsidRPr="00E05DB3" w:rsidRDefault="003202CC" w:rsidP="003202CC">
      <w:pPr>
        <w:spacing w:after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рассмотрев</w:t>
      </w:r>
      <w:r w:rsidRPr="00E05DB3">
        <w:rPr>
          <w:rFonts w:ascii="Arial" w:hAnsi="Arial"/>
          <w:sz w:val="22"/>
          <w:szCs w:val="22"/>
        </w:rPr>
        <w:t xml:space="preserve"> документ IOC/EC-57/4.4.Doc(1), содержащий доклад и рекомендации рабочей группы по обзору механизмов управления ГЕБКО (2024 г.) и информационный документ IOC/INF-1538, в котором представлена новая стратегия программы ГЕБКО,</w:t>
      </w:r>
    </w:p>
    <w:p w14:paraId="73D51B9F" w14:textId="77777777" w:rsidR="003202CC" w:rsidRPr="00E05DB3" w:rsidRDefault="003202CC" w:rsidP="003202CC">
      <w:pPr>
        <w:spacing w:after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принимает к сведению</w:t>
      </w:r>
      <w:r w:rsidRPr="00E05DB3">
        <w:rPr>
          <w:rFonts w:ascii="Arial" w:hAnsi="Arial"/>
          <w:sz w:val="22"/>
          <w:szCs w:val="22"/>
        </w:rPr>
        <w:t xml:space="preserve"> доклад и содержащиеся в нем рекомендации, а также стратегию ГЕБКО;</w:t>
      </w:r>
    </w:p>
    <w:p w14:paraId="5191AA15" w14:textId="77777777" w:rsidR="003202CC" w:rsidRPr="00E05DB3" w:rsidRDefault="003202CC" w:rsidP="003202CC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просит</w:t>
      </w:r>
      <w:r w:rsidRPr="00E05DB3">
        <w:rPr>
          <w:rFonts w:ascii="Arial" w:hAnsi="Arial"/>
          <w:sz w:val="22"/>
          <w:szCs w:val="22"/>
        </w:rPr>
        <w:t xml:space="preserve"> руководящий комитет ГЕБКО рассмотреть рекомендации, определить последствия их выполнения, если таковые имеются, и представить руководящим органам МОК и МГО информацию о достигнутом прогрессе. а также план работы в рамках доклада председателя ГЕБКО.</w:t>
      </w:r>
    </w:p>
    <w:p w14:paraId="5C36C344" w14:textId="77777777" w:rsidR="003202CC" w:rsidRPr="003202CC" w:rsidRDefault="003202CC" w:rsidP="003202CC">
      <w:pPr>
        <w:pStyle w:val="Heading2"/>
        <w:ind w:left="709" w:hanging="709"/>
        <w:rPr>
          <w:rFonts w:cs="Arial"/>
          <w:szCs w:val="22"/>
        </w:rPr>
      </w:pPr>
      <w:bookmarkStart w:id="124" w:name="_Toc177658037"/>
      <w:r>
        <w:t>4.5</w:t>
      </w:r>
      <w:r>
        <w:tab/>
        <w:t>ОТЧЕТ РЕДАКЦИОННОГО СОВЕТА О ПОДГОТОВКЕ ВТОРОГО ДОКЛАДА МОК О СОСТОЯНИИ МИРОВОГО ОКЕАНА (ДСМО)</w:t>
      </w:r>
      <w:bookmarkEnd w:id="124"/>
    </w:p>
    <w:p w14:paraId="3BEDE72A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Г-н Маттиас Вунш (Германия), член редакционного совета ДСМО, представил этот пункт повестки дня, сославшись на отчет редакционного совета и его рекомендации в отношении второго доклада МОК о состоянии океана (ДСМО) (документ IOC/A-32/4.2.Doc(1)). В новом ДСМО, опубликованном в июне 2024 г., дана характеристика нынешнего состояния океана с точки зрения физических, химических, экологических, социально-экономических и управленческих аспектов, а также прогноз состояния Мирового океана на перспективу, основанный на результатах последних исследований и оценок, проведенных главным образом в рамках программ и проектов МОК. Основной акцент во втором издании ДСМО сделан на достижении семи ожидаемых в рамках Десятилетия Организации Объединенных Наций, посвященного науке об океане в интересах устойчивого развития, </w:t>
      </w:r>
      <w:hyperlink r:id="rId26" w:history="1">
        <w:r>
          <w:rPr>
            <w:rStyle w:val="Hyperlink"/>
          </w:rPr>
          <w:t>результатов</w:t>
        </w:r>
      </w:hyperlink>
      <w:r>
        <w:t>. В публикации были использованы материалы, представленные 98 авторами из 25 стран.</w:t>
      </w:r>
    </w:p>
    <w:p w14:paraId="30C9F978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По словам г-на Вунша, ключевую роль в определении охвата, критическом осмыслении и редактировании содержания доклада в период после июньской сессии Ассамблеи МОК 2023 г. сыграл редакционный совет ДСМО. В его состав вошли представители девяти государств-членов. Основываясь на комментариях и замечаниях, озвученных в ходе 32-й сессии Ассамблеи МОК, Секретариат при поддержке редакционного совета уточнил концепцию ДСМО. Уточненная концепция была представлена государствам</w:t>
      </w:r>
      <w:r w:rsidRPr="00B05F6C">
        <w:t xml:space="preserve"> </w:t>
      </w:r>
      <w:r>
        <w:t>–</w:t>
      </w:r>
      <w:r w:rsidRPr="00B05F6C">
        <w:t xml:space="preserve"> </w:t>
      </w:r>
      <w:r>
        <w:t xml:space="preserve">членам МОК в ходе двух консультативных совещаний, проведенных в онлайновом режиме 31 октября 2023 г. (см. циркулярное письмо </w:t>
      </w:r>
      <w:hyperlink r:id="rId27" w:history="1">
        <w:r>
          <w:rPr>
            <w:rStyle w:val="Hyperlink"/>
          </w:rPr>
          <w:t>№ 2963</w:t>
        </w:r>
      </w:hyperlink>
      <w:r>
        <w:t xml:space="preserve">). Отныне в концептуальном обосновании прямо указано, что целевой аудиторией ДСМО являются органы, отвечающие за формирование политики, а также СМИ, которые могут использовать доклад в качестве достоверного источника данных о состоянии Мирового океана. В нем также говорится, что основным источником данных при подготовке доклада стали программы МОК и связанные с ними проекты. При этом для освещения аспектов, касающихся достижения ожидаемых в рамках Десятилетия океана результатов, в ряде случаев в докладе были использованы данные, полученные от других международных организаций. В соответствии с достигнутой договоренностью ДСМО будет </w:t>
      </w:r>
      <w:r>
        <w:lastRenderedPageBreak/>
        <w:t>издаваться на регулярной основе, но при условии наличия необходимых для этого финансовых и кадровых ресурсов.</w:t>
      </w:r>
    </w:p>
    <w:p w14:paraId="4F7447CF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 заключение оратор предложил Совету одобрить регулярную подготовку ДСМО на основе уточненной концепции, отметив при этом, что доклад будет эволюционировать в плане содержания по мере развития научных знаний. </w:t>
      </w:r>
    </w:p>
    <w:p w14:paraId="3AF3BA86" w14:textId="77777777" w:rsidR="003202CC" w:rsidRPr="000F5C69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Выступили представители 16 государств-членов и одной страны-наблюдателя. </w:t>
      </w:r>
    </w:p>
    <w:p w14:paraId="334776DB" w14:textId="77777777" w:rsidR="003202CC" w:rsidRPr="000F5C69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Государства-члены выразили признательность редакционному совету ДСМО за его роль и проведенную работу, а также государствам-членам, которые участвовали в его работе. Они отметили, что ДСМО является крайне важным документом для МОК, серьезным информационным продуктом, который используется для обоснования политики, своевременной и предметной публикацией. Государства-члены также подчеркнули, что при подготовке будущих изданий доклада следует продолжать стремиться к обеспечению сбалансированной представленности авторов по географическому и гендерному признаку и более эффективной адаптации ДСМО к интересам его целевой аудитории, а также включить в следующие издание актуальные темы, которые могут быть освещены партнерами. Ряд государств-членов подчеркнули решающее значение взаимодополняемости и согласования доклада с другими крупными оценками, в частности с оценкой состояния Мирового океана, а также необходимость придерживаться четко определенной сферы охвата ДСМО. Было высказано пожелание разработки в среднесрочном или долгосрочном периоде показателей для ключевых параметров ДСМО. </w:t>
      </w:r>
    </w:p>
    <w:p w14:paraId="57A770AC" w14:textId="77777777" w:rsidR="003202CC" w:rsidRPr="000F5C69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Члены Исполнительного совета поблагодарили Республику Корея, Исландию и инициативу «Вернуть голубой океан» за их поддержку в финансовой и натуральной форме, благодаря которой было выпущено издание ДСМО 2024 г.</w:t>
      </w:r>
    </w:p>
    <w:p w14:paraId="4D9A4A67" w14:textId="77777777" w:rsidR="003202CC" w:rsidRPr="000F5C69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Г-н Матиас Вунш приветствовал от имени редакционного совета ДСМО замечания и предложения относительно дальнейшего развития ДСМО и призвал заинтересованные государства-члены присоединиться к редакционному совету для подготовки следующего издания. </w:t>
      </w:r>
    </w:p>
    <w:p w14:paraId="33253C0B" w14:textId="77777777" w:rsidR="003202CC" w:rsidRPr="000F5C69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Члены Исполнительного совета сошлись во мнениях относительно необходимости дальнейшей доработки будущего издания ДСМО, важности привлечения разнообразного круга авторов и рецензентов с точки зрения опыта, гендерной принадлежности, географической представленности и профессионального статуса, а также включения в доклад знаний коренных народов и других проживающих в прибрежных районах общин.</w:t>
      </w:r>
    </w:p>
    <w:p w14:paraId="367D37AE" w14:textId="77777777" w:rsidR="003202CC" w:rsidRPr="00C22935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государства-члены: Бразилия, Исландия, Канада, Колумбия, Республика Корея, Соединенное Королевство Великобритании и Северной Ирландии, США и Япония, а также Российская Федерация в качестве наблюдателя.</w:t>
      </w:r>
    </w:p>
    <w:p w14:paraId="7CCDE533" w14:textId="77777777" w:rsidR="003202CC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IOC</w:t>
      </w:r>
      <w:r w:rsidRPr="00C22935">
        <w:rPr>
          <w:rFonts w:cs="Arial"/>
          <w:u w:val="single"/>
        </w:rPr>
        <w:t>/</w:t>
      </w:r>
      <w:r w:rsidRPr="00C928D7">
        <w:rPr>
          <w:rFonts w:cs="Arial"/>
          <w:u w:val="single"/>
          <w:lang w:val="en-GB"/>
        </w:rPr>
        <w:t>EC</w:t>
      </w:r>
      <w:r w:rsidRPr="00C22935">
        <w:rPr>
          <w:rFonts w:cs="Arial"/>
          <w:u w:val="single"/>
        </w:rPr>
        <w:t>-55/4.5</w:t>
      </w:r>
      <w:r w:rsidRPr="00C22935">
        <w:rPr>
          <w:rFonts w:cs="Arial"/>
        </w:rPr>
        <w:t>.</w:t>
      </w:r>
    </w:p>
    <w:p w14:paraId="01DED150" w14:textId="77777777" w:rsidR="003202CC" w:rsidRDefault="003202CC" w:rsidP="00ED4FA7">
      <w:pPr>
        <w:pStyle w:val="ListParagraph"/>
        <w:spacing w:after="240"/>
        <w:contextualSpacing w:val="0"/>
        <w:jc w:val="center"/>
        <w:rPr>
          <w:rFonts w:ascii="Arial" w:hAnsi="Arial"/>
          <w:b/>
          <w:bCs/>
          <w:sz w:val="22"/>
          <w:szCs w:val="22"/>
        </w:rPr>
      </w:pPr>
      <w:r w:rsidRPr="00C175C0">
        <w:rPr>
          <w:rFonts w:ascii="Arial" w:hAnsi="Arial"/>
          <w:b/>
          <w:bCs/>
          <w:sz w:val="22"/>
          <w:szCs w:val="22"/>
        </w:rPr>
        <w:t>Отчет о подготовке второго доклада МОК о состоянии Мирового океана</w:t>
      </w:r>
    </w:p>
    <w:p w14:paraId="5C10A03C" w14:textId="77777777" w:rsidR="003202CC" w:rsidRPr="00C175C0" w:rsidRDefault="003202CC" w:rsidP="003202CC">
      <w:pPr>
        <w:pStyle w:val="ListParagraph"/>
        <w:spacing w:after="240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C175C0">
        <w:rPr>
          <w:rFonts w:asciiTheme="minorBidi" w:hAnsiTheme="minorBidi" w:cstheme="minorBidi"/>
          <w:sz w:val="22"/>
          <w:szCs w:val="22"/>
        </w:rPr>
        <w:t>Исполнительный совет,</w:t>
      </w:r>
    </w:p>
    <w:p w14:paraId="04E00428" w14:textId="77777777" w:rsidR="003202CC" w:rsidRPr="00C175C0" w:rsidRDefault="003202CC" w:rsidP="003202CC">
      <w:pPr>
        <w:pStyle w:val="ListParagraph"/>
        <w:spacing w:after="240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C175C0">
        <w:rPr>
          <w:rFonts w:asciiTheme="minorBidi" w:hAnsiTheme="minorBidi" w:cstheme="minorBidi"/>
          <w:sz w:val="22"/>
          <w:szCs w:val="22"/>
          <w:u w:val="single"/>
        </w:rPr>
        <w:t>рассмотрев</w:t>
      </w:r>
      <w:r w:rsidRPr="00C175C0">
        <w:rPr>
          <w:rFonts w:asciiTheme="minorBidi" w:hAnsiTheme="minorBidi" w:cstheme="minorBidi"/>
          <w:sz w:val="22"/>
          <w:szCs w:val="22"/>
        </w:rPr>
        <w:t xml:space="preserve"> документ IOC/EC-57/4.5.Doc(1),</w:t>
      </w:r>
    </w:p>
    <w:p w14:paraId="210C1B4B" w14:textId="77777777" w:rsidR="003202CC" w:rsidRPr="00C175C0" w:rsidRDefault="003202CC" w:rsidP="003202CC">
      <w:pPr>
        <w:pStyle w:val="ListParagraph"/>
        <w:spacing w:after="240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C175C0">
        <w:rPr>
          <w:rFonts w:asciiTheme="minorBidi" w:hAnsiTheme="minorBidi" w:cstheme="minorBidi"/>
          <w:sz w:val="22"/>
          <w:szCs w:val="22"/>
          <w:u w:val="single"/>
        </w:rPr>
        <w:t>приветствует</w:t>
      </w:r>
      <w:r w:rsidRPr="00C175C0">
        <w:rPr>
          <w:rFonts w:asciiTheme="minorBidi" w:hAnsiTheme="minorBidi" w:cstheme="minorBidi"/>
          <w:sz w:val="22"/>
          <w:szCs w:val="22"/>
        </w:rPr>
        <w:t xml:space="preserve"> публикацию второго доклада МОК о состоянии Мирового океана (2024</w:t>
      </w:r>
      <w:r>
        <w:rPr>
          <w:rFonts w:asciiTheme="minorBidi" w:hAnsiTheme="minorBidi" w:cstheme="minorBidi"/>
          <w:sz w:val="22"/>
          <w:szCs w:val="22"/>
        </w:rPr>
        <w:t> </w:t>
      </w:r>
      <w:r w:rsidRPr="00C175C0">
        <w:rPr>
          <w:rFonts w:asciiTheme="minorBidi" w:hAnsiTheme="minorBidi" w:cstheme="minorBidi"/>
          <w:sz w:val="22"/>
          <w:szCs w:val="22"/>
        </w:rPr>
        <w:t>г.) в серии технических докладов МОК, вып. № 190;</w:t>
      </w:r>
    </w:p>
    <w:p w14:paraId="687FDEE4" w14:textId="77777777" w:rsidR="003202CC" w:rsidRPr="00C175C0" w:rsidRDefault="003202CC" w:rsidP="003202CC">
      <w:pPr>
        <w:pStyle w:val="ListParagraph"/>
        <w:spacing w:after="240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C175C0">
        <w:rPr>
          <w:rFonts w:asciiTheme="minorBidi" w:hAnsiTheme="minorBidi" w:cstheme="minorBidi"/>
          <w:sz w:val="22"/>
          <w:szCs w:val="22"/>
          <w:u w:val="single"/>
        </w:rPr>
        <w:lastRenderedPageBreak/>
        <w:t>высоко оценивает</w:t>
      </w:r>
      <w:r w:rsidRPr="00C175C0">
        <w:rPr>
          <w:rFonts w:asciiTheme="minorBidi" w:hAnsiTheme="minorBidi" w:cstheme="minorBidi"/>
          <w:sz w:val="22"/>
          <w:szCs w:val="22"/>
        </w:rPr>
        <w:t xml:space="preserve"> работу редакционного совета ДСМО и его рекомендации, а также признает необходимость продолжения его работы по совершенствованию ДСМО в соответствии с поставленными целями;</w:t>
      </w:r>
    </w:p>
    <w:p w14:paraId="0C96B815" w14:textId="77777777" w:rsidR="003202CC" w:rsidRPr="00C175C0" w:rsidRDefault="003202CC" w:rsidP="003202CC">
      <w:pPr>
        <w:pStyle w:val="ListParagraph"/>
        <w:spacing w:after="240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C175C0">
        <w:rPr>
          <w:rFonts w:asciiTheme="minorBidi" w:hAnsiTheme="minorBidi" w:cstheme="minorBidi"/>
          <w:sz w:val="22"/>
          <w:szCs w:val="22"/>
          <w:u w:val="single"/>
        </w:rPr>
        <w:t>приветствует также</w:t>
      </w:r>
      <w:r w:rsidRPr="00C175C0">
        <w:rPr>
          <w:rFonts w:asciiTheme="minorBidi" w:hAnsiTheme="minorBidi" w:cstheme="minorBidi"/>
          <w:sz w:val="22"/>
          <w:szCs w:val="22"/>
        </w:rPr>
        <w:t xml:space="preserve"> обновленную концептуальную записку и проведение консультаций, о которых говорится в циркулярном письме МОК </w:t>
      </w:r>
      <w:hyperlink r:id="rId28" w:history="1">
        <w:r w:rsidRPr="00C175C0">
          <w:rPr>
            <w:rStyle w:val="Hyperlink"/>
            <w:rFonts w:asciiTheme="minorBidi" w:eastAsia="Arial" w:hAnsiTheme="minorBidi" w:cstheme="minorBidi"/>
            <w:sz w:val="22"/>
            <w:szCs w:val="22"/>
          </w:rPr>
          <w:t>№ 2963</w:t>
        </w:r>
      </w:hyperlink>
      <w:r w:rsidRPr="00C175C0">
        <w:rPr>
          <w:rFonts w:asciiTheme="minorBidi" w:hAnsiTheme="minorBidi" w:cstheme="minorBidi"/>
          <w:sz w:val="22"/>
          <w:szCs w:val="22"/>
        </w:rPr>
        <w:t>;</w:t>
      </w:r>
    </w:p>
    <w:p w14:paraId="0D20BCA6" w14:textId="77777777" w:rsidR="003202CC" w:rsidRPr="00C175C0" w:rsidRDefault="003202CC" w:rsidP="003202CC">
      <w:pPr>
        <w:pStyle w:val="ListParagraph"/>
        <w:spacing w:after="240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C175C0">
        <w:rPr>
          <w:rFonts w:asciiTheme="minorBidi" w:hAnsiTheme="minorBidi" w:cstheme="minorBidi"/>
          <w:sz w:val="22"/>
          <w:szCs w:val="22"/>
          <w:u w:val="single"/>
        </w:rPr>
        <w:t>одобряет</w:t>
      </w:r>
      <w:r w:rsidRPr="00C175C0">
        <w:rPr>
          <w:rFonts w:asciiTheme="minorBidi" w:hAnsiTheme="minorBidi" w:cstheme="minorBidi"/>
          <w:sz w:val="22"/>
          <w:szCs w:val="22"/>
        </w:rPr>
        <w:t xml:space="preserve"> продолжение публикации ДСМО на основе дальнейшей доработки и при условии наличия внебюджетного финансирования;</w:t>
      </w:r>
    </w:p>
    <w:p w14:paraId="3BF1D691" w14:textId="77777777" w:rsidR="003202CC" w:rsidRPr="00C175C0" w:rsidRDefault="003202CC" w:rsidP="003202CC">
      <w:pPr>
        <w:pStyle w:val="ListParagraph"/>
        <w:spacing w:after="240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C175C0">
        <w:rPr>
          <w:rFonts w:asciiTheme="minorBidi" w:hAnsiTheme="minorBidi" w:cstheme="minorBidi"/>
          <w:sz w:val="22"/>
          <w:szCs w:val="22"/>
          <w:u w:val="single"/>
        </w:rPr>
        <w:t>просит</w:t>
      </w:r>
      <w:r w:rsidRPr="00C175C0">
        <w:rPr>
          <w:rFonts w:asciiTheme="minorBidi" w:hAnsiTheme="minorBidi" w:cstheme="minorBidi"/>
          <w:sz w:val="22"/>
          <w:szCs w:val="22"/>
        </w:rPr>
        <w:t xml:space="preserve"> редакционный совет ДСМО стремиться к тому, чтобы ДСМО отражал разнообразие опыта, гендерной идентичности, географической представленности и профессиональных достижений авторов и рецензентов и учитывал знания коренных народов и местного населения;</w:t>
      </w:r>
    </w:p>
    <w:p w14:paraId="47C13D3C" w14:textId="77777777" w:rsidR="003202CC" w:rsidRPr="00C175C0" w:rsidRDefault="003202CC" w:rsidP="003202CC">
      <w:pPr>
        <w:pStyle w:val="ListParagraph"/>
        <w:spacing w:after="240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C175C0">
        <w:rPr>
          <w:rFonts w:asciiTheme="minorBidi" w:hAnsiTheme="minorBidi" w:cstheme="minorBidi"/>
          <w:sz w:val="22"/>
          <w:szCs w:val="22"/>
          <w:u w:val="single"/>
        </w:rPr>
        <w:t>предлагает</w:t>
      </w:r>
      <w:r w:rsidRPr="00C175C0">
        <w:rPr>
          <w:rFonts w:asciiTheme="minorBidi" w:hAnsiTheme="minorBidi" w:cstheme="minorBidi"/>
          <w:sz w:val="22"/>
          <w:szCs w:val="22"/>
        </w:rPr>
        <w:t xml:space="preserve"> государствам – членам МОК предоставить внебюджетные финансовые средства на подготовку доклада МОК о состоянии Мирового океана.</w:t>
      </w:r>
    </w:p>
    <w:p w14:paraId="5B57085A" w14:textId="77777777" w:rsidR="003202CC" w:rsidRPr="003202CC" w:rsidRDefault="003202CC" w:rsidP="003202CC">
      <w:pPr>
        <w:pStyle w:val="Heading2"/>
        <w:ind w:left="709" w:hanging="709"/>
        <w:rPr>
          <w:rFonts w:cs="Arial"/>
          <w:szCs w:val="22"/>
        </w:rPr>
      </w:pPr>
      <w:bookmarkStart w:id="125" w:name="_Toc177658038"/>
      <w:r>
        <w:t>4.6</w:t>
      </w:r>
      <w:r>
        <w:tab/>
        <w:t>ОСУЩЕСТВЛЕНИЕ СТРАТЕГИИ МОК В ОБЛАСТИ РАЗВИТИЯ ПОТЕНЦИАЛА НА 2023-2030 гг.</w:t>
      </w:r>
      <w:bookmarkEnd w:id="125"/>
    </w:p>
    <w:p w14:paraId="34E85191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представил г-н Алан Эванс, председатель группы экспертов МОК по развитию потенциала (ГЭ-РП). Он напомнил о решениях, которыми руководствовалась в своей работе группа с момента ее создания в 2017 г. (решение </w:t>
      </w:r>
      <w:hyperlink r:id="rId29" w:history="1">
        <w:r>
          <w:rPr>
            <w:rStyle w:val="Hyperlink"/>
          </w:rPr>
          <w:t>IOC-XXIX/10.1</w:t>
        </w:r>
      </w:hyperlink>
      <w:r>
        <w:t xml:space="preserve">) до поручения ей в 2021 г. задания провести обзор действующей стратегии МОК в области развития потенциала и подготовить предложения по популяризации и распространению текста Стратегии  (решение </w:t>
      </w:r>
      <w:hyperlink r:id="rId30" w:history="1">
        <w:r>
          <w:rPr>
            <w:rStyle w:val="Hyperlink"/>
          </w:rPr>
          <w:t>A-31/3.5.3</w:t>
        </w:r>
      </w:hyperlink>
      <w:r>
        <w:t xml:space="preserve">). </w:t>
      </w:r>
    </w:p>
    <w:p w14:paraId="4F8DFE98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Он напомнил, что в</w:t>
      </w:r>
      <w:r w:rsidRPr="00780D37">
        <w:t xml:space="preserve"> </w:t>
      </w:r>
      <w:r>
        <w:t xml:space="preserve">решении </w:t>
      </w:r>
      <w:hyperlink r:id="rId31" w:history="1">
        <w:r>
          <w:rPr>
            <w:rStyle w:val="Hyperlink"/>
          </w:rPr>
          <w:t>IOC-32/4.3</w:t>
        </w:r>
      </w:hyperlink>
      <w:r>
        <w:t xml:space="preserve"> Ассамблея утвердила на своей 32-й сессии стратегию МОК в области развития потенциала на 2023-2030 гг., изложенную в документе IOC/INF-1433, а также соответствующий план развития партнерских связей и коммуникации </w:t>
      </w:r>
      <w:r>
        <w:rPr>
          <w:color w:val="000000"/>
        </w:rPr>
        <w:t xml:space="preserve">(документ </w:t>
      </w:r>
      <w:hyperlink r:id="rId32" w:history="1">
        <w:r>
          <w:rPr>
            <w:rStyle w:val="Hyperlink"/>
          </w:rPr>
          <w:t>IOC</w:t>
        </w:r>
        <w:r w:rsidRPr="004A57BE">
          <w:rPr>
            <w:rStyle w:val="Hyperlink"/>
          </w:rPr>
          <w:noBreakHyphen/>
        </w:r>
        <w:r>
          <w:rPr>
            <w:rStyle w:val="Hyperlink"/>
          </w:rPr>
          <w:t>32/4.3.Doc(2)</w:t>
        </w:r>
      </w:hyperlink>
      <w:r>
        <w:t>). Он проинформировал совет о том, что в фойе можно получить стратегию в бумажной форме, отпечатанную на четырех языках (английском, испанском, русском и французском).</w:t>
      </w:r>
    </w:p>
    <w:p w14:paraId="156CDBAC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Г-н Эванс кратко рассказал о дискуссиях, состоявшихся в феврале 2024 г. в ходе пятого совещания группы экспертов МОК по развитию потенциала (см. отчет </w:t>
      </w:r>
      <w:hyperlink r:id="rId33" w:history="1">
        <w:r>
          <w:rPr>
            <w:rStyle w:val="Hyperlink"/>
          </w:rPr>
          <w:t>IOC/GE-CD-V/3</w:t>
        </w:r>
      </w:hyperlink>
      <w:r>
        <w:t xml:space="preserve">). Несмотря на выполненное группой поручение 31-й сессии Ассамблеи, реализация новой стратегии МОК в области развития потенциала требует принятия дополнительных мер, таких как разработка плана осуществления стратегии, увязка с новыми инструментами в области РП, созданными в рамках Десятилетия океана, включая Центр по развитию потенциала (ЦРП) и </w:t>
      </w:r>
      <w:hyperlink r:id="rId34" w:history="1">
        <w:r>
          <w:rPr>
            <w:rStyle w:val="Hyperlink"/>
          </w:rPr>
          <w:t>экспертный доклад по приоритетной задаче 9 Десятилетия</w:t>
        </w:r>
      </w:hyperlink>
      <w:r>
        <w:t xml:space="preserve">, озаглавленный «Развитие навыков, знаний и технологий для всех», создание </w:t>
      </w:r>
      <w:r w:rsidRPr="00C301F1">
        <w:t xml:space="preserve">информационного центра по развитию потенциала в </w:t>
      </w:r>
      <w:r>
        <w:t xml:space="preserve">связанных с </w:t>
      </w:r>
      <w:r w:rsidRPr="00C301F1">
        <w:t>океан</w:t>
      </w:r>
      <w:r>
        <w:t>ом вопросах, а также продолжение работы с целевой аудиторией и популяризация новой стратегии. По мнению группы экспертов и Секретариата, дальнейшее выполнение группой своих задач, касающихся информационного обеспечения и консультативной поддержки Секретариата МОК в вопросах развития потенциала в контексте реализации новой стратегии, окажет положительное воздействие на осуществление нынешних и будущих инициатив и усилий в области РП в поддержку шести направлений работы, предусмотренных в новой стратегии.</w:t>
      </w:r>
    </w:p>
    <w:p w14:paraId="0C340FC8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 ходе пятого совещания круг ведения группы экспертов был приведен в соответствие с положениями новой стратегии, включая план ее реализации, с итогами консультаций с руководством международных программ и региональными вспомогательными органами в отношении их планов работы в области РП, а также с целями, предусмотренными в этой </w:t>
      </w:r>
      <w:r>
        <w:lastRenderedPageBreak/>
        <w:t>области в рамках Десятилетия ООН, посвященного науке об океане в интересах устойчивого развития.</w:t>
      </w:r>
    </w:p>
    <w:p w14:paraId="444E2B45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В заключение г-н Эванс пояснил, что в связи с невозможностью начала работы над планом осуществления стратегии МОК в области развития потенциала на 2023-2030 гг. до ее утверж</w:t>
      </w:r>
      <w:r>
        <w:softHyphen/>
        <w:t xml:space="preserve">дения на 32-й сессии Ассамблеи, было решено предложить Исполнительному совету продлить срок полномочий группы с пересмотренным кругом ведения и представить на утверждение обновленный круг ведения на нынешней сессии Исполнительного совета. </w:t>
      </w:r>
    </w:p>
    <w:p w14:paraId="05DED814" w14:textId="77777777" w:rsidR="003202CC" w:rsidRPr="00F204F8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Г-н Эванс рассказал о дальнейших этапах работы после утверждения пересмотренного круга ведения и предложил государствам-членам назначить новых членов ГЭ-РП в соответствии с описанными в циркулярном письме МОК процедурами в целях обновления состава группы.</w:t>
      </w:r>
    </w:p>
    <w:p w14:paraId="51141ADB" w14:textId="77777777" w:rsidR="003202CC" w:rsidRPr="00F204F8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Он завершил свое выступление презентацией возможностей, которые появятся благодаря увеличению финансирования развития потенциала в МОК и затрагивают комплектацию штата и финансирование мероприятий для целей координации работы МОК в области РП, новые инициативы в области РП, укрепление поддержки координации на глобальном и региональном уровнях, а также привлечение средств. </w:t>
      </w:r>
    </w:p>
    <w:p w14:paraId="0B57281E" w14:textId="77777777" w:rsidR="003202CC" w:rsidRPr="00F204F8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Выступили представители 10 государств-членов и трех наблюдателей. </w:t>
      </w:r>
    </w:p>
    <w:p w14:paraId="29AAB13C" w14:textId="77777777" w:rsidR="003202CC" w:rsidRPr="004700C0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Члены Исполнительного совета поблагодарили председателя ГЭ-РП г-на Алана Эванса за его доклад и высоко оценили его руководство работой группы экспертов, которая добилась впечатляющих результатов в области развития потенциала в сфере океанографии.</w:t>
      </w:r>
    </w:p>
    <w:p w14:paraId="145E1654" w14:textId="77777777" w:rsidR="003202CC" w:rsidRPr="004700C0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Члены Совета признали важную роль развития потенциала и выразили полную поддержку продолжению работы группы экспертов. Государства-члены приветствовали предлагаемые поправки к кругу ведения группы, нацеленные на создание благоприятных условий для эффективного осуществления стратегии МОК в области развития потенциала. Они заявили о своей поддержке развития потенциала в МОК на основе совместной работы по существующим инициативам МОК, таким как стажировки в целях подготовки специалистов в области океана, а также посредством привлечения средств и прикомандирования персонала. </w:t>
      </w:r>
    </w:p>
    <w:p w14:paraId="788B4B96" w14:textId="77777777" w:rsidR="003202CC" w:rsidRPr="004700C0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Государства-члены заявили о согласовании своих усилий в этой сфере и о поддержке стратегии МОК в области развития потенциала на 2023-2030 гг. Они определили общие приоритеты для бенефециаров мероприятий по развитию потенциала в Африке, МОСРГ, НРС, а также среди молодежи и молодых специалистов-океанологов. Государствам-членам было рекомендовано использовать платформу информационного центра по развитию потенциала в связанных с океаном вопросах и представить в отдел Секретариата, отвечающий за развитие потенциала, возможности, которые предоставляют их организации в области РП, с тем чтобы их деятельность в этой сфере получила известность и признание.</w:t>
      </w:r>
    </w:p>
    <w:p w14:paraId="12DFA6BE" w14:textId="77777777" w:rsidR="003202CC" w:rsidRPr="004700C0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Государства-члены призвали</w:t>
      </w:r>
      <w:r w:rsidRPr="001B1C85">
        <w:t xml:space="preserve"> </w:t>
      </w:r>
      <w:r>
        <w:t xml:space="preserve">отдел Секретариата МОК, отвечающий за развитие потенциала, изучить творческие подходы, которые можно было бы использовать для увеличение=я числа государств-членов, заполняющих вопросники и участвующих в опросах, проводимых в целях оценки потребностей, с тем чтобы более точно определить потребности и приоритеты в области развития потенциала. </w:t>
      </w:r>
    </w:p>
    <w:p w14:paraId="290C7435" w14:textId="77777777" w:rsidR="003202CC" w:rsidRPr="005869EE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</w:t>
      </w:r>
      <w:r w:rsidRPr="005869EE">
        <w:t xml:space="preserve"> </w:t>
      </w:r>
      <w:r>
        <w:t>и организации: Индия, Колумбия, Республика Корея, Франция,</w:t>
      </w:r>
      <w:r w:rsidRPr="00FA3292">
        <w:t xml:space="preserve"> </w:t>
      </w:r>
      <w:r>
        <w:t>Соединенное Королевство Великобритании и Северной Ирландии, США и Япония, а также Российская Федерация, СКОР и ВМО в качестве наблюдателей.</w:t>
      </w:r>
    </w:p>
    <w:p w14:paraId="5DD2DD09" w14:textId="77777777" w:rsidR="003202CC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IOC</w:t>
      </w:r>
      <w:r w:rsidRPr="005869EE">
        <w:rPr>
          <w:rFonts w:cs="Arial"/>
          <w:u w:val="single"/>
        </w:rPr>
        <w:t>/</w:t>
      </w:r>
      <w:r w:rsidRPr="00C928D7">
        <w:rPr>
          <w:rFonts w:cs="Arial"/>
          <w:u w:val="single"/>
          <w:lang w:val="en-GB"/>
        </w:rPr>
        <w:t>EC</w:t>
      </w:r>
      <w:r w:rsidRPr="005869EE">
        <w:rPr>
          <w:rFonts w:cs="Arial"/>
          <w:u w:val="single"/>
        </w:rPr>
        <w:t>-57/4.6</w:t>
      </w:r>
      <w:r w:rsidRPr="005869EE">
        <w:rPr>
          <w:rFonts w:cs="Arial"/>
        </w:rPr>
        <w:t>.</w:t>
      </w:r>
    </w:p>
    <w:p w14:paraId="7D767C8E" w14:textId="77777777" w:rsidR="003202CC" w:rsidRPr="00E05DB3" w:rsidRDefault="003202CC" w:rsidP="00E77669">
      <w:pPr>
        <w:keepNext/>
        <w:spacing w:after="240"/>
        <w:ind w:left="709"/>
        <w:jc w:val="center"/>
        <w:rPr>
          <w:rFonts w:ascii="Arial" w:hAnsi="Arial" w:cs="Arial"/>
          <w:b/>
          <w:bCs/>
          <w:sz w:val="22"/>
          <w:szCs w:val="22"/>
        </w:rPr>
      </w:pPr>
      <w:r w:rsidRPr="00E05DB3">
        <w:rPr>
          <w:rFonts w:ascii="Arial" w:hAnsi="Arial"/>
          <w:b/>
          <w:bCs/>
          <w:sz w:val="22"/>
          <w:szCs w:val="22"/>
        </w:rPr>
        <w:lastRenderedPageBreak/>
        <w:t>Осуществление стратегии МОК в области развития потенциала на 2023-2030 гг.</w:t>
      </w:r>
    </w:p>
    <w:p w14:paraId="45954F11" w14:textId="77777777" w:rsidR="003202CC" w:rsidRPr="00E05DB3" w:rsidRDefault="003202CC" w:rsidP="00E77669">
      <w:pPr>
        <w:spacing w:after="240"/>
        <w:ind w:left="709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Исполнительный совет,</w:t>
      </w:r>
    </w:p>
    <w:p w14:paraId="0C072635" w14:textId="77777777" w:rsidR="003202CC" w:rsidRPr="00E05DB3" w:rsidRDefault="003202CC" w:rsidP="00E77669">
      <w:pPr>
        <w:spacing w:after="240"/>
        <w:ind w:left="709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рассмотрев</w:t>
      </w:r>
      <w:r w:rsidRPr="00E05DB3">
        <w:rPr>
          <w:rFonts w:ascii="Arial" w:hAnsi="Arial"/>
          <w:sz w:val="22"/>
          <w:szCs w:val="22"/>
        </w:rPr>
        <w:t xml:space="preserve"> документ IOC/EC-57/4.6.Doc(1) и доклад IOC/GE-CD-V/3,</w:t>
      </w:r>
    </w:p>
    <w:p w14:paraId="0951695E" w14:textId="77777777" w:rsidR="003202CC" w:rsidRPr="00E05DB3" w:rsidRDefault="003202CC" w:rsidP="00E77669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признавая</w:t>
      </w:r>
      <w:r w:rsidRPr="00E05DB3">
        <w:rPr>
          <w:rFonts w:ascii="Arial" w:hAnsi="Arial"/>
          <w:sz w:val="22"/>
          <w:szCs w:val="22"/>
        </w:rPr>
        <w:t xml:space="preserve"> важность развития потенциала в качестве одной из шести функций среднесрочной стратегии МОК на 2022-2029 гг., дающей всем государствам-членам возможность с выгодой для себя участвовать в исследовании Мирового океана и в океанографическом обслуживании, что имеет критически важное значение для обеспечения устойчивого развития и благополучия людей, живущих на нашей на планете,</w:t>
      </w:r>
    </w:p>
    <w:p w14:paraId="1343F1C6" w14:textId="77777777" w:rsidR="003202CC" w:rsidRPr="00E05DB3" w:rsidRDefault="003202CC" w:rsidP="00E77669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напоминая</w:t>
      </w:r>
      <w:r w:rsidRPr="00E05DB3">
        <w:rPr>
          <w:rFonts w:ascii="Arial" w:hAnsi="Arial"/>
          <w:sz w:val="22"/>
          <w:szCs w:val="22"/>
        </w:rPr>
        <w:t xml:space="preserve"> об утвержденной Ассамблеей в решении A-32/4.3 стратегии МОК в области развития потенциала на 2023-2030 гг.,</w:t>
      </w:r>
    </w:p>
    <w:p w14:paraId="309EFC5E" w14:textId="77777777" w:rsidR="003202CC" w:rsidRPr="00E05DB3" w:rsidRDefault="003202CC" w:rsidP="00E77669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памятуя</w:t>
      </w:r>
      <w:r w:rsidRPr="00E05DB3">
        <w:rPr>
          <w:rFonts w:ascii="Arial" w:hAnsi="Arial"/>
          <w:sz w:val="22"/>
          <w:szCs w:val="22"/>
        </w:rPr>
        <w:t xml:space="preserve"> о задаче ГЭ-РП оказывать Секретариату информационную поддержку и при необходимости содействие в осуществлении инициатив МОК в области развития потенциала,</w:t>
      </w:r>
    </w:p>
    <w:p w14:paraId="5E4467E8" w14:textId="77777777" w:rsidR="003202CC" w:rsidRPr="00E05DB3" w:rsidRDefault="003202CC" w:rsidP="00E77669">
      <w:pPr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постановляет</w:t>
      </w:r>
      <w:r w:rsidRPr="00E05DB3">
        <w:rPr>
          <w:rFonts w:ascii="Arial" w:hAnsi="Arial"/>
          <w:sz w:val="22"/>
          <w:szCs w:val="22"/>
        </w:rPr>
        <w:t xml:space="preserve"> продлить полномочия группы экспертов МОК по развитию потенциала и пересмотреть ее круг ведения в соответствии с приложением к настоящему решению;</w:t>
      </w:r>
    </w:p>
    <w:p w14:paraId="01530D3F" w14:textId="77777777" w:rsidR="003202CC" w:rsidRPr="00E05DB3" w:rsidRDefault="003202CC" w:rsidP="00E77669">
      <w:pPr>
        <w:keepNext/>
        <w:spacing w:after="240"/>
        <w:ind w:left="709"/>
        <w:jc w:val="center"/>
        <w:rPr>
          <w:rFonts w:ascii="Arial" w:hAnsi="Arial" w:cs="Arial"/>
          <w:sz w:val="22"/>
          <w:szCs w:val="22"/>
          <w:u w:val="single"/>
        </w:rPr>
      </w:pPr>
      <w:r w:rsidRPr="00E05DB3">
        <w:rPr>
          <w:rFonts w:ascii="Arial" w:hAnsi="Arial"/>
          <w:sz w:val="22"/>
          <w:szCs w:val="22"/>
        </w:rPr>
        <w:t xml:space="preserve">Приложение к </w:t>
      </w:r>
      <w:r w:rsidRPr="00E05DB3">
        <w:rPr>
          <w:rFonts w:ascii="Arial" w:hAnsi="Arial"/>
          <w:sz w:val="22"/>
          <w:szCs w:val="22"/>
          <w:u w:val="single"/>
        </w:rPr>
        <w:t>решению EC-57/4.6</w:t>
      </w:r>
    </w:p>
    <w:p w14:paraId="6A2FD4D2" w14:textId="77777777" w:rsidR="003202CC" w:rsidRPr="00E05DB3" w:rsidRDefault="003202CC" w:rsidP="00E77669">
      <w:pPr>
        <w:keepNext/>
        <w:spacing w:after="240"/>
        <w:ind w:left="709"/>
        <w:jc w:val="center"/>
        <w:rPr>
          <w:rFonts w:ascii="Arial" w:hAnsi="Arial" w:cs="Arial"/>
          <w:b/>
          <w:bCs/>
          <w:sz w:val="22"/>
          <w:szCs w:val="22"/>
        </w:rPr>
      </w:pPr>
      <w:r w:rsidRPr="00E05DB3">
        <w:rPr>
          <w:rFonts w:ascii="Arial" w:hAnsi="Arial"/>
          <w:b/>
          <w:bCs/>
          <w:sz w:val="22"/>
          <w:szCs w:val="22"/>
        </w:rPr>
        <w:t>Круг ведения группы экспертов МОК по развитию потенциала (ГЭ-РП)</w:t>
      </w:r>
    </w:p>
    <w:p w14:paraId="48045933" w14:textId="77777777" w:rsidR="003202CC" w:rsidRPr="00E05DB3" w:rsidRDefault="003202CC" w:rsidP="00E77669">
      <w:pPr>
        <w:spacing w:after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В состав группы экспертов МОК по развитию потенциала (ГЭ-РП) входят специалисты, предложенные государствами – членами МОК в ответ на запрос о выдвижении кандидатур, распространенный циркулярным письмом с подробной информацией относительно членства в ГЭ-РП.</w:t>
      </w:r>
    </w:p>
    <w:p w14:paraId="69DEE7D2" w14:textId="77777777" w:rsidR="003202CC" w:rsidRPr="00E05DB3" w:rsidRDefault="003202CC" w:rsidP="00E77669">
      <w:pPr>
        <w:spacing w:after="240"/>
        <w:ind w:left="709"/>
        <w:rPr>
          <w:rFonts w:ascii="Arial" w:eastAsia="Yu Mincho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Группа экспертов МОК по развитию потенциала (ГЭ-РП) отвечает за выполнение следующих задач:</w:t>
      </w:r>
    </w:p>
    <w:p w14:paraId="27704B84" w14:textId="77777777" w:rsidR="003202CC" w:rsidRPr="00E05DB3" w:rsidRDefault="003202CC" w:rsidP="00E77669">
      <w:pPr>
        <w:numPr>
          <w:ilvl w:val="0"/>
          <w:numId w:val="44"/>
        </w:numPr>
        <w:spacing w:after="240"/>
        <w:ind w:left="1276" w:hanging="567"/>
        <w:jc w:val="both"/>
        <w:rPr>
          <w:rFonts w:ascii="Arial" w:eastAsia="Yu Mincho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оказание содействия международным и региональным программам в целях единообразного проведения оценки потребностей в развитии потенциала;</w:t>
      </w:r>
    </w:p>
    <w:p w14:paraId="1A0DD3D5" w14:textId="77777777" w:rsidR="003202CC" w:rsidRPr="00E05DB3" w:rsidRDefault="003202CC" w:rsidP="00E77669">
      <w:pPr>
        <w:numPr>
          <w:ilvl w:val="0"/>
          <w:numId w:val="44"/>
        </w:numPr>
        <w:spacing w:after="240"/>
        <w:ind w:left="1276" w:hanging="567"/>
        <w:jc w:val="both"/>
        <w:rPr>
          <w:rFonts w:ascii="Arial" w:eastAsia="Yu Mincho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оказание содействия международным и региональным программам в разработке учитывающих программные и региональные приоритеты планов работы, касающихся развития потенциала, на основе стратегии МОК в области РП и результатов оценки соответствующих потребностей с опорой на осуществляемые в этой области мероприятия и существующую инфраструктуру обучения и подготовки кадров;</w:t>
      </w:r>
    </w:p>
    <w:p w14:paraId="1F8453CB" w14:textId="7A4D7A44" w:rsidR="003202CC" w:rsidRPr="00E05DB3" w:rsidRDefault="003202CC" w:rsidP="00E77669">
      <w:pPr>
        <w:numPr>
          <w:ilvl w:val="0"/>
          <w:numId w:val="44"/>
        </w:numPr>
        <w:spacing w:after="240"/>
        <w:ind w:left="1276" w:hanging="567"/>
        <w:jc w:val="both"/>
        <w:rPr>
          <w:rFonts w:ascii="Arial" w:eastAsia="Yu Mincho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разработка плана реализации стратегии МОК в области развития потенциала на 2023-2030 гг. для представления Ассамблее МОК на ее 33-й сессии в июне 2025</w:t>
      </w:r>
      <w:r w:rsidR="00A64BA6">
        <w:rPr>
          <w:rFonts w:ascii="Arial" w:hAnsi="Arial"/>
          <w:sz w:val="22"/>
          <w:szCs w:val="22"/>
          <w:lang w:val="en-US"/>
        </w:rPr>
        <w:t> </w:t>
      </w:r>
      <w:r w:rsidRPr="00E05DB3">
        <w:rPr>
          <w:rFonts w:ascii="Arial" w:hAnsi="Arial"/>
          <w:sz w:val="22"/>
          <w:szCs w:val="22"/>
        </w:rPr>
        <w:t>г.;</w:t>
      </w:r>
    </w:p>
    <w:p w14:paraId="328F5C2D" w14:textId="77777777" w:rsidR="003202CC" w:rsidRPr="00E05DB3" w:rsidRDefault="003202CC" w:rsidP="00E77669">
      <w:pPr>
        <w:numPr>
          <w:ilvl w:val="0"/>
          <w:numId w:val="44"/>
        </w:numPr>
        <w:spacing w:after="240"/>
        <w:ind w:left="1276" w:hanging="567"/>
        <w:jc w:val="both"/>
        <w:rPr>
          <w:rFonts w:ascii="Arial" w:eastAsia="Yu Mincho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предоставление международным и региональным программам рекомендаций по вопросам осуществления стратегии МОК в области развития потенциала на 2023-2030 гг., а также соответствующих методик и инструментов в целях повышения качества и результативности усилий в области РП;</w:t>
      </w:r>
    </w:p>
    <w:p w14:paraId="40D0047D" w14:textId="77777777" w:rsidR="003202CC" w:rsidRPr="00E05DB3" w:rsidRDefault="003202CC" w:rsidP="00E77669">
      <w:pPr>
        <w:numPr>
          <w:ilvl w:val="0"/>
          <w:numId w:val="44"/>
        </w:numPr>
        <w:spacing w:after="240"/>
        <w:ind w:left="1276" w:hanging="567"/>
        <w:jc w:val="both"/>
        <w:rPr>
          <w:rFonts w:ascii="Arial" w:eastAsia="Yu Mincho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 xml:space="preserve">консультирование Секретариата МОК по вопросам планирования и проведения один раз в два года в тесном сотрудничестве с регионами опроса, посвященного развитию потенциала, по возможности с использованием механизмов </w:t>
      </w:r>
      <w:r w:rsidRPr="00E05DB3">
        <w:rPr>
          <w:rFonts w:ascii="Arial" w:hAnsi="Arial"/>
          <w:sz w:val="22"/>
          <w:szCs w:val="22"/>
        </w:rPr>
        <w:lastRenderedPageBreak/>
        <w:t>мониторинга/системы показателей результативности осуществления стратегии в области развития потенциала, а также с учетом других методов исследования, таких как региональные обзоры, научные конференции и т.п.;</w:t>
      </w:r>
    </w:p>
    <w:p w14:paraId="0748F699" w14:textId="77777777" w:rsidR="003202CC" w:rsidRPr="00E05DB3" w:rsidRDefault="003202CC" w:rsidP="00E77669">
      <w:pPr>
        <w:numPr>
          <w:ilvl w:val="0"/>
          <w:numId w:val="44"/>
        </w:numPr>
        <w:spacing w:after="240"/>
        <w:ind w:left="1276" w:hanging="567"/>
        <w:jc w:val="both"/>
        <w:rPr>
          <w:rFonts w:ascii="Arial" w:eastAsia="Yu Mincho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обеспечение координации усилий группы экспертов и ее целевых групп с деятельностью по подготовке ГДСО и развитию потенциала в контексте проведения Десятилетия Организации Объединенных Наций, посвященного науке об океане в интересах устойчивого развития, в том числе создания фонда по развитию потенциала в рамках Десятилетия науки об океане и рабочей группы 9, учрежденной в рамках механизма «На пути к 2030 году»;</w:t>
      </w:r>
    </w:p>
    <w:p w14:paraId="1528EE20" w14:textId="77777777" w:rsidR="003202CC" w:rsidRPr="00E05DB3" w:rsidRDefault="003202CC" w:rsidP="00E77669">
      <w:pPr>
        <w:numPr>
          <w:ilvl w:val="0"/>
          <w:numId w:val="44"/>
        </w:numPr>
        <w:spacing w:after="240"/>
        <w:ind w:left="1276" w:hanging="567"/>
        <w:jc w:val="both"/>
        <w:rPr>
          <w:rFonts w:ascii="Arial" w:eastAsia="Yu Mincho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методологическое сопровождение усилий по дальнейшему совершенствованию и популяризации информационного центра по развитию потенциала в области океана посредством демонстрации возможностей увязки мероприятий в области РП и сотрудничества между потребителями и поставщиками соответствующих услуг, а также другими международными, региональными и национальными организациями;</w:t>
      </w:r>
    </w:p>
    <w:p w14:paraId="5E441159" w14:textId="77777777" w:rsidR="003202CC" w:rsidRPr="00E05DB3" w:rsidRDefault="003202CC" w:rsidP="00E77669">
      <w:pPr>
        <w:numPr>
          <w:ilvl w:val="0"/>
          <w:numId w:val="44"/>
        </w:numPr>
        <w:spacing w:after="240"/>
        <w:ind w:left="1276" w:hanging="567"/>
        <w:jc w:val="both"/>
        <w:rPr>
          <w:rFonts w:ascii="Arial" w:eastAsia="Yu Mincho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>консультирование государств-членов по вопросам наглядности и охвата стратегии МОК в области развития потенциала на 2023-2030 гг. в целях содействия планированию и их работе по укреплению потенциала;</w:t>
      </w:r>
    </w:p>
    <w:p w14:paraId="745A675C" w14:textId="77777777" w:rsidR="003202CC" w:rsidRPr="00E05DB3" w:rsidRDefault="003202CC" w:rsidP="00E77669">
      <w:pPr>
        <w:numPr>
          <w:ilvl w:val="0"/>
          <w:numId w:val="44"/>
        </w:numPr>
        <w:spacing w:after="240"/>
        <w:ind w:left="1276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E05DB3">
        <w:rPr>
          <w:rFonts w:ascii="Arial" w:hAnsi="Arial"/>
          <w:sz w:val="22"/>
          <w:szCs w:val="22"/>
        </w:rPr>
        <w:t>представление достигнутых результатов Ассамблее МОК на ее 33-й сессии.</w:t>
      </w:r>
    </w:p>
    <w:p w14:paraId="4B3C2111" w14:textId="77777777" w:rsidR="003202CC" w:rsidRPr="003202CC" w:rsidRDefault="003202CC" w:rsidP="003202CC">
      <w:pPr>
        <w:pStyle w:val="Heading2"/>
        <w:ind w:left="709" w:hanging="709"/>
        <w:rPr>
          <w:rFonts w:cs="Arial"/>
          <w:szCs w:val="22"/>
        </w:rPr>
      </w:pPr>
      <w:bookmarkStart w:id="126" w:name="_Toc177658039"/>
      <w:r>
        <w:t>4.7</w:t>
      </w:r>
      <w:r>
        <w:tab/>
        <w:t>ДОКЛАД О ПРОВЕДЕНИИ ДЕСЯТИЛЕТИЯ ОРГАНИЗАЦИИ ОБЪЕДИНЕННЫХ НАЦИЙ, ПОСВЯЩЕННОГО НАУКЕ ОБ ОКЕАНЕ В ИНТЕРЕСАХ УСТОЙЧИВОГО РАЗВИТИЯ (2021-2030 гг.)</w:t>
      </w:r>
      <w:bookmarkEnd w:id="126"/>
    </w:p>
    <w:p w14:paraId="5CCD71B3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Этот пункт повестки дня представил г-н Жюлиан Барбьер, исполняющий обязанности координатора Десятилетия океана, при поддержке г-жи Элисон Клаузен, специалиста по программе. Он напомнил, что Десятилетие вступило в четвертый год своей реализации и что портфель проектов, включенных в программу Десятилетия, равно как и сеть децентрализованных координирующих структур продолжают быстро расти. Исполнительный секретарь подчеркнул важность проведенной в Барселоне в апреле 2024 г. Международной конференции, посвященной Десятилетию науки об океане, и принятого по ее итогам Барселонского заявления в качестве концептуального видения будущих приоритетных задач Десятилетия. Он поблагодарил Испанию за организацию конференции и выразил признательность членам рабочих групп, созданных в рамках механизма «На пути к 2030 году», а также всем другим партнерам, внесшим вклад в успешное проведение конференции. </w:t>
      </w:r>
    </w:p>
    <w:p w14:paraId="508FC8C7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Он обратил внимание на ряд рекомендаций, которые были сформулированы в ходе конференции и являются весьма актуальными для государств-членов, в частности, относительно важности принятия мер на национальном уровне, совершенствования нормативных стимулов развития науки и пополнения базы научных знаний, помощи МОСРГ и НРС и развития с ними партнерского взаимодействия. Указанные рекомендации предполагают необходимость изменения объемов и структуры инвестиций, осуществляемых в инициативы и инфраструктурные проекты в области океанографии. Он призвал все государства-члены учитывать эти приоритеты при планировании своих мероприятий в поддержку Десятилетия науки об океане. </w:t>
      </w:r>
    </w:p>
    <w:p w14:paraId="37165196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Г-н Барбьер сообщил, что по состоянию на сегодняшний день завершена работа по шести запросам предложений на осуществление связанных с Десятилетием мероприятий, по итогам которой для включения в план Десятилетия было одобрено 52 программы, 320 проектов и 99</w:t>
      </w:r>
      <w:r>
        <w:rPr>
          <w:lang w:val="en-US"/>
        </w:rPr>
        <w:t> </w:t>
      </w:r>
      <w:r>
        <w:t xml:space="preserve">предложений об оказании поддержки. В настоящее время объявлен седьмой запрос предложений с крайним сроком подачи заявок до 31 августа 2024 г., направленный в первую очередь на привлечение необходимых финансовых ресурсов и взносов в натуральной форме </w:t>
      </w:r>
      <w:r>
        <w:lastRenderedPageBreak/>
        <w:t>в целях укрепления портфеля уже утвержденных в рамках Десятилетия мероприятий. Несмотря на значительное тематическое разнообразие портфеля мероприятий, включенных в программу Десятилетия, по-прежнему существует существенный дисбаланс не в пользу МОСРГ и НРС. В связи с этим он напомнил государствам-членам о том, что в рамках запроса предложений на осуществление связанной с Десятилетием деятельности № 06/2023 были отобраны дополнительные заявки от МОСРГ и НРС, которым оказывается содействие и наставническая поддержка в форме совместного планирования деятельности. По его словам, следующие запросы предложений будут в большей степени нацелены на устранение серьезного географического и тематического дисбаланса в экосистеме поддержки связанной с Десятилетием деятельности благодаря созданию механизма «На пути к 2030 году».</w:t>
      </w:r>
    </w:p>
    <w:p w14:paraId="6E44B26B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Г-н Барбьер рассказал об увеличении до 12 числа децентрализованных координирующих структур, которые представляет собой основной костяк партнеров, обеспечивающих координацию и поддержку мероприятий, включенных в план проведения  Десятилетия, анализ возникающих проблем и прогнозирование будущих приоритетов, а также поощрение новых предложений по проектам Десятилетия в рамках запросов предложений, которые еще только будут объявлены. Он поблагодарил партнерские учреждения за выполнение ими взятых на себя обязательств по созданию децентрализованных координирующих структур. При этом было подчеркнуто, что в рамках нынешнего запроса предложений (№ 07/2024) предполагается создать новые децентрализованные координирующие структуры с целью устранения серьезного тематического и географического дисбаланса. Кроме того, он напомнил Исполнительному совету, что возглавляемые МОК бюро по координации проведения Десятилетия нуждаются в дополнительных ресурсах, которые обеспечат их полноценное функционирование.</w:t>
      </w:r>
    </w:p>
    <w:p w14:paraId="5C7DA549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Г-н Барбьер рассказал о работе Консультативного совета по вопросам проведения Десятилетия, членский состав которого был обновлен в январе 2024 г. и который провел за последние 12 месяцев четыре совещания. Он отметил важное значение работы Консультативного совета, осуществляющего консультирование по стратегическим вопросам, касающимся решения приоритетных задач, сформулированных в докладе о результатах, достигнутых в рамках механизма «На пути к 2030 году», и в Барселонском заявлении, и поблагодарил сопредседателей и членов Консультативного совета за их приверженность своей работе.</w:t>
      </w:r>
    </w:p>
    <w:p w14:paraId="5B3AC972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Далее г-н Барбьер подтвердил информацию о создании 39 национальных комитетов по проведению Десятилетия, которые уже осуществляют свою деятельность. В то же время он подчеркнул их неравномерное географическое распределение: очень мало комитетов было создано в МОСРГ и НРС. По его словам, одна из ключевых рекомендаций, сформулированных в рамках механизма «На пути к 2030 году», касается укрепления роли национальных комитетов по проведению Десятилетия в качестве способа активизации деятельности, осуществляемой в связи с Десятилетием на национальном уровне. В связи с этим он призвал государства-члены создавать новые национальные комитеты по проведению Десятилетия и подчеркнул, что Группа по координации проведения Десятилетия, а также действующие национальные комитеты могли бы взять на себя наставнические функции и оказать содействие в этом процессе.</w:t>
      </w:r>
    </w:p>
    <w:p w14:paraId="794EF1C7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 w:rsidRPr="00895C1C">
        <w:t>Г-н Барбьер кратко рассказал о вкладе, который МОК вносит в проведение Десятилетия в</w:t>
      </w:r>
      <w:r>
        <w:t xml:space="preserve"> виде программ и проектов Десятилетия, а также о работе главной Группы по координации проведения Десятилетия и вспомогательной роли секретариатов подкомиссий МОК, выступающих в качестве групп по координации этой работы. Он еще раз подчеркнул большой потенциал осуществляемых под руководством МОК мероприятий в рамках Десятилетия и важную роль, которую выполняют координирующие структуры в плане содействия укреплению и продуманному расширению программ МОК и ее региональных вспомогательных органов, однако отметил при этом сохраняющиеся существенные ограничения с точки зрения ресурсного обеспечения. Он настоятельно призвал государства-члены предоставлять дополнительные ресурсы в натуральной и денежной форме в </w:t>
      </w:r>
      <w:r>
        <w:lastRenderedPageBreak/>
        <w:t>поддержку ведущей роли МОК в проведении Десятилетия, будь то на укрепление ее координирующей роли или на осуществление проектов и программ.</w:t>
      </w:r>
    </w:p>
    <w:p w14:paraId="649E578D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Г-н Барбьер указал, что в ближайшие 12-18 месяцев приоритетные направления усилий в рамках Десятилетия океана будут определяться результатами и целями, сформулированными в рамках механизма «На пути к 2030 году» и Барселонским заявлением, и включать следующие задачи: укрепление механизмов, благодаря которым стратегические потребности будут стимулировать развитие науки и пополнение базы научных знаний, в том числе на национальном уровне; сохранение механизмов в поддержку реального заинтересованного и активного участия МОСРГ и НРС в проведении Десятилетия, в том числе с использованием возможностей онлайнового Центра по развитию потенциала в рамках Десятилетия науки об океане; полноценное задействование механизмов активного привлечения к участию в проведении Десятилетия носителей местных и эндогенных знаний; активизация усилий, связанных с мобилизацией ресурсов; последовательное укрепление координирующих структур и механизмов координации.</w:t>
      </w:r>
    </w:p>
    <w:p w14:paraId="2991AA98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Он подчеркнул также важность использования международных совещаний и конференций, которые состоялись или состоятся в 2024</w:t>
      </w:r>
      <w:r w:rsidRPr="00895C1C">
        <w:t xml:space="preserve"> г.</w:t>
      </w:r>
      <w:r>
        <w:t xml:space="preserve"> и 2025 г., в качестве трибуны для привлечения внимания к результатам и целям, сформулированным в рамках механизма «На пути к 2030</w:t>
      </w:r>
      <w:r>
        <w:rPr>
          <w:lang w:val="fr-FR"/>
        </w:rPr>
        <w:t> </w:t>
      </w:r>
      <w:r>
        <w:t xml:space="preserve">году», а также для стимулирования новых партнерских связей и совместных проектов. </w:t>
      </w:r>
      <w:r w:rsidRPr="00355FF3">
        <w:t>В числе вышеупомянутых совещаний</w:t>
      </w:r>
      <w:r>
        <w:t xml:space="preserve"> конференция «Наш океан» (Греция, апрель 2024 г.), четвертая Международная конференция ООН по малым островным развивающимся государствам (Антигуа и Барбуда, май 2024 г.), Совещание высокого уровня по мерам в защиту океана «Погруженный в перемены» (Коста-Рика, июнь 2024 г.), 16-е совещание Конференции сторон Конвенции о биологическом разнообразии (Колумбия, ноябрь 2024 г.) и 29-я сессия Конференции сторон РКИКООН (Азербайджан, ноябрь 2024 г.). Кульминацией этой серии мероприятий станет Конференция Организации Объединенных Наций по океану, которая пройдет в июне 2025 г. в Ницце, Франция. Указанные мероприятия будут проводиться в контексте многочисленных региональных и национальных совещаний, что позволит адаптировать глобальные результаты и цели, сформулированные в рамках механизма «На пути к 2030 году», к условиям разных географических регионов.</w:t>
      </w:r>
    </w:p>
    <w:p w14:paraId="544A520C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Г-н Барбьер напомнил Исполнительному совету, что 2025 г. представляет собой срединную точку в проведении Десятилетия, посвященного науке об океане. В связи с этим он обратил внимание государств-членов на документ IOC/EC-57/47.Doc(2), в котором в общем виде сформулирован проект концептуальных рамок среднесрочного обзора Десятилетия, посвященного науке об океане. Он отметил, что результаты и рекомендации по итогам обзора будут представлены Ассамблее МОК на ее 33-й сессии в 2025 г.</w:t>
      </w:r>
    </w:p>
    <w:p w14:paraId="423A857A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В заключение г-н Барбьер кратко раскрыл содержание некоторых информационных документов нынешней сессии Исполнительного совета, связанных с проведением Десятилетия, включая развернутый документ, содержащий актуализированную информацию о ходе осуществления мероприятий, включенных в план Десятилетия, о ресурсах, которые необходимо привлечь для реализации инициатив, осуществляемых под руководством как МОК, так и партнеров, а также о заключительной версии Доклада о достигнутых и ожидаемых результатах «На пути к 2030 году» (</w:t>
      </w:r>
      <w:r>
        <w:rPr>
          <w:color w:val="000000"/>
        </w:rPr>
        <w:t>серия публикаций МОК, посвященных Десятилетию науки об океане, № 50)</w:t>
      </w:r>
      <w:r>
        <w:t>. Он напомнил Исполнительному совету, что Десятилетие проводится на основе принципа добровольного участия и что вся работа, связанная с координацией этой деятельности, финансируется из внебюджетных источников. Кроме того, он напомнил об обращенном к государствам-членам в ряде предыдущих циркулярных писем призыве оказать поддержку Десятилетию в натуральной и денежной форме и тепло поблагодарил государства-члены и партнеров, которые предоставили существенно важную помощь на цели координации деятельности и непосредственно на мероприятия в рамках Десятилетия.</w:t>
      </w:r>
    </w:p>
    <w:p w14:paraId="5A1F8178" w14:textId="77777777" w:rsidR="003202CC" w:rsidRPr="002E4A6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 xml:space="preserve">Выступили представители 24 государств-членов и пяти наблюдателей. </w:t>
      </w:r>
    </w:p>
    <w:p w14:paraId="05B6C4DE" w14:textId="77777777" w:rsidR="003202CC" w:rsidRPr="002E4A6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lastRenderedPageBreak/>
        <w:t>Исполнительный совет принял к сведению информацию о проделанно</w:t>
      </w:r>
      <w:r w:rsidRPr="00CB784D">
        <w:t>й</w:t>
      </w:r>
      <w:r>
        <w:t xml:space="preserve"> в последнее время серьезной работе и поблагодарил Секретариат за его умелое руководство проведением Десятилетия океана, в том числе за успешную организацию посвященной Десятилетию океана конференции 2024 г. Государства-члены представили информацию о значимых событиях на национальном и региональном уровнях, в том числе о национальных конференциях, посвященных Десятилетию океана, региональных целевых группах и планах действий, национальных и региональных конференциях и мероприятиях. </w:t>
      </w:r>
    </w:p>
    <w:p w14:paraId="4FAB3E2E" w14:textId="77777777" w:rsidR="003202CC" w:rsidRPr="002E4A6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 xml:space="preserve">Ряд выступлений был посвящен важному значению стратегических партнерств, таких как совместная разработка плана действий секретариатом Десятилетия океана и Генеральным директоратом исследований и разработок Европейской комиссии, участие в региональных процессах, например во </w:t>
      </w:r>
      <w:r w:rsidRPr="005F5431">
        <w:t>Всеатлантическ</w:t>
      </w:r>
      <w:r>
        <w:t>ом</w:t>
      </w:r>
      <w:r w:rsidRPr="005F5431">
        <w:t xml:space="preserve"> альянс</w:t>
      </w:r>
      <w:r>
        <w:t>е в поддержку</w:t>
      </w:r>
      <w:r w:rsidRPr="005F5431">
        <w:t xml:space="preserve"> исследовани</w:t>
      </w:r>
      <w:r>
        <w:t>й</w:t>
      </w:r>
      <w:r w:rsidRPr="005F5431">
        <w:t xml:space="preserve"> и инноваци</w:t>
      </w:r>
      <w:r>
        <w:t>й</w:t>
      </w:r>
      <w:r w:rsidRPr="005F5431">
        <w:t xml:space="preserve"> в области океана</w:t>
      </w:r>
      <w:r>
        <w:t>, а также разработка передовых инициатив по привлечению средств, среди которых совместные призывы к действиям с Бельмонтским форумом.</w:t>
      </w:r>
    </w:p>
    <w:p w14:paraId="777D5A20" w14:textId="77777777" w:rsidR="003202CC" w:rsidRPr="002E4A6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 xml:space="preserve">Многие ораторы приветствовали предстоящий среднесрочный обзор и подчеркнули важное значение вовлечения в этот процесс государств-членов и национальных комитетов Десятилетия. Государства-члены особо отметили, что оценка Десятилетия не должна ограничиваться только ролью государств-членов как доноров ресурсов, а должна изучить различные формы возможного вклада государств-членов. Несколько государств-членов также признали важность рассмотрения различных вариантов дальнейшего упорядочения структур управления в целях организации надлежащего ресурсообеспечения децентрализованных координационных структур и создания соответствующих поставленным задачам механизмов измерения фактического воздействия Десятилетия в рамках среднесрочного обзора. </w:t>
      </w:r>
    </w:p>
    <w:p w14:paraId="1EF781A7" w14:textId="77777777" w:rsidR="003202CC" w:rsidRPr="002E4A6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>В целом ряде выступлений государств-членов отмечалась необходимость дальнейшего укрепления взаимодействия органов системы ООН в рамках Десятилетия океана и высказывались просьбы о дополнительных разъяснениях относительно положения дел с участием органов ООН в проведении Десятилетия, процедуры разработки и утверждения мероприятий Десятилетия, проводимых под руководством ООН, а также хода работы по проекту анализа взаимодействия с органами ООН, представленному Ассамблее МОК на ее 32-й сессии.</w:t>
      </w:r>
    </w:p>
    <w:p w14:paraId="1835993F" w14:textId="77777777" w:rsidR="003202CC" w:rsidRPr="002E4A6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>Г-жа Клаузен начала свое ответное выступление от имени Секретариата с выражения благодарности государствам-членам и наблюдателям за их поддержку. Она приветствовала серьезную работу, проделанную государствами-членами на национальном уровне для обеспечения прогресса в рамках Десятилетия океана, и отметила важное значение различных форм участия в Десятилетии на национальном уровне, включая проведение и поддержку мероприятий Десятилетия, создание национальных комитетов Десятилетия, поддержку глобальной и децентрализованной координации, участие в рабочих группах, совместные инициативы по привлечению средств и проведение на территории страны региональных и международных мероприятий.</w:t>
      </w:r>
    </w:p>
    <w:p w14:paraId="5B44B47E" w14:textId="77777777" w:rsidR="003202CC" w:rsidRPr="002E4A6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>Она рассказала о решающей роли государств-членов и Национальных комитетов Десятилетия в предстоящем среднесрочном обзоре и отметила, что сделанные государствами-членами конкретные замечания относительно этого обзора будут учтены при доработке его круга ведения.</w:t>
      </w:r>
    </w:p>
    <w:p w14:paraId="75CD1EDC" w14:textId="77777777" w:rsidR="003202CC" w:rsidRPr="002E4A6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 xml:space="preserve">Г-жа Клаузен отметила более активное участие органов системы Организации Объединенных Наций в проведении Десятилетия и их широкое присутствие на посвященной Десятилетию океана конференции 2024 г. Она также отметила, что органы системы ООН будут привлекаться к проведению среднесрочного обзора через сеть «ООН-океаны». Она пояснила, что представленный Ассамблее МОК в 2023 г. анализ участия органов ООН в проведении Десятилетия океана затем был обсужден с членами сети «ООН-океаны» и в настоящее время дорабатывается, с тем чтобы включить в него анализ роли органов системы ООН в работе по </w:t>
      </w:r>
      <w:r>
        <w:lastRenderedPageBreak/>
        <w:t>приоритетным направлениям, сформулированным в Барселонском заявлении. Она подтвердила, что аналитический доклад будет готов в третьем квартале 2024 г. Оратор также призвала государства-члены, которые также являются членами других органов системы ООН, распространять информацию о роли Десятилетия океана в предоставлении информационных продуктов в поддержку мандата других организаций. Она сообщила, что для разработки мероприятий Десятилетия, проводимых под руководством МОК, существуют различные процедуры, и подтвердила, что все мероприятия Десятилетия под руководством ООН регистрируются в соответствии со стандартной онлайновой процедурой.</w:t>
      </w:r>
    </w:p>
    <w:p w14:paraId="5925DD00" w14:textId="77777777" w:rsidR="003202CC" w:rsidRPr="002E4A6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>Оратор приняла к сведению рекомендации государств-членов относительно дальнейшего упорядочения структур управления Десятилетия и подтвердила, что этот вопрос будет рассматриваться в рамках среднесрочного обзора, в том числе варианты заполнения имеющих критическое значение пробелов в сфере охвата децентрализованных координационных структур и укрепления их роли, которая должна носить более стратегический характер.</w:t>
      </w:r>
    </w:p>
    <w:p w14:paraId="1C9C253D" w14:textId="77777777" w:rsidR="003202CC" w:rsidRPr="002E4A6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>Она завершила свое выступление, подчеркнув важное значение совместной работы со всеми государствами-членами и другими заинтересованными сторонами на Конференции Организации Объединенных Наций по океану 2025 г. и в рамках связанных с ней специальных мероприятий, а также в ходе подготовки посвященной Десятилетию океана конференции 2027</w:t>
      </w:r>
      <w:r>
        <w:rPr>
          <w:lang w:val="fr-FR"/>
        </w:rPr>
        <w:t> </w:t>
      </w:r>
      <w:r>
        <w:t>г. с целью практического воплощения сформулированных в Барселонском заявлении итоговых результатов в новых партнерствах, мероприятиях и обязательствах в отношении инвестиций, которые будут способствовать успешному проведению Десятилетия.</w:t>
      </w:r>
    </w:p>
    <w:p w14:paraId="2D4D5FA4" w14:textId="77777777" w:rsidR="003202CC" w:rsidRPr="00990D49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 xml:space="preserve"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 и наблюдатели: Австралия, Аргентина, Бразилия, Германия, Индия, Кения, Колумбия, Республика Корея, Соединенное Королевство Великобритании и Северной Ирландии, США, Таиланд, Франция, Чили, Южная Африка и Япония, а также Бельмонтский форум, Европейская комиссия, </w:t>
      </w:r>
      <w:r w:rsidRPr="00F472A1">
        <w:t>СТОМН, СКОР, ВЕСТПАК и ВМО в качестве наблюдателей</w:t>
      </w:r>
      <w:r>
        <w:t xml:space="preserve"> .</w:t>
      </w:r>
    </w:p>
    <w:p w14:paraId="0C5ADF30" w14:textId="77777777" w:rsidR="003202CC" w:rsidRPr="00990D49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 xml:space="preserve">Исполнительный совет принял резолюцию </w:t>
      </w:r>
      <w:r w:rsidRPr="00C928D7">
        <w:rPr>
          <w:rFonts w:cs="Arial"/>
          <w:b/>
          <w:bCs/>
          <w:u w:val="single"/>
          <w:lang w:val="en-GB"/>
        </w:rPr>
        <w:t>EC</w:t>
      </w:r>
      <w:r w:rsidRPr="00990D49">
        <w:rPr>
          <w:rFonts w:cs="Arial"/>
          <w:b/>
          <w:bCs/>
          <w:u w:val="single"/>
        </w:rPr>
        <w:t>-57/1</w:t>
      </w:r>
      <w:r>
        <w:rPr>
          <w:rFonts w:cs="Arial"/>
          <w:b/>
          <w:bCs/>
          <w:u w:val="single"/>
        </w:rPr>
        <w:t xml:space="preserve">, </w:t>
      </w:r>
      <w:r>
        <w:rPr>
          <w:rFonts w:cs="Arial"/>
          <w:u w:val="single"/>
        </w:rPr>
        <w:t>представленную Индией, Германией, Марокко и Португалией.</w:t>
      </w:r>
    </w:p>
    <w:p w14:paraId="1530E84A" w14:textId="77777777" w:rsidR="003202CC" w:rsidRPr="00E05DB3" w:rsidRDefault="003202CC" w:rsidP="00A10996">
      <w:pPr>
        <w:spacing w:after="240"/>
        <w:ind w:left="709"/>
        <w:jc w:val="center"/>
        <w:rPr>
          <w:rStyle w:val="Heading2Char"/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Проведение Десятилетия Организации Объединенных Наций, посвященного науке об океане в интересах устойчивого развития (2021-2030 гг.)</w:t>
      </w:r>
    </w:p>
    <w:p w14:paraId="104C2D09" w14:textId="77777777" w:rsidR="003202CC" w:rsidRPr="00E05DB3" w:rsidRDefault="003202CC" w:rsidP="00A10996">
      <w:pPr>
        <w:spacing w:after="240"/>
        <w:ind w:left="709"/>
        <w:rPr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 xml:space="preserve">Исполнительный совет, </w:t>
      </w:r>
    </w:p>
    <w:p w14:paraId="5568770D" w14:textId="77777777" w:rsidR="003202CC" w:rsidRPr="00E05DB3" w:rsidRDefault="003202CC" w:rsidP="00A10996">
      <w:pPr>
        <w:spacing w:after="240"/>
        <w:ind w:left="709"/>
        <w:jc w:val="center"/>
        <w:rPr>
          <w:rFonts w:asciiTheme="minorBidi" w:hAnsiTheme="minorBidi" w:cstheme="minorBidi"/>
          <w:b/>
          <w:bCs/>
          <w:iCs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Часть I</w:t>
      </w:r>
    </w:p>
    <w:p w14:paraId="23AC2430" w14:textId="77777777" w:rsidR="003202CC" w:rsidRPr="00E05DB3" w:rsidRDefault="003202CC" w:rsidP="00A10996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напоминая</w:t>
      </w:r>
      <w:r w:rsidRPr="00E05DB3">
        <w:rPr>
          <w:rFonts w:asciiTheme="minorBidi" w:hAnsiTheme="minorBidi" w:cstheme="minorBidi"/>
          <w:sz w:val="22"/>
          <w:szCs w:val="22"/>
        </w:rPr>
        <w:t xml:space="preserve"> о резолюциях МОК EC-53/1, A-31/1, А-32/3 и EC-55/1, касающихся проведения Десятилетия Организации Объединенных Наций, посвященного науке об океане в интересах устойчивого развития (2021-2030 гг.), именуемого далее «Десятилетие»,</w:t>
      </w:r>
    </w:p>
    <w:p w14:paraId="1DF4FF96" w14:textId="77777777" w:rsidR="003202CC" w:rsidRPr="00E05DB3" w:rsidRDefault="003202CC" w:rsidP="00A10996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b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рассмотрев</w:t>
      </w:r>
      <w:r w:rsidRPr="00E05DB3">
        <w:rPr>
          <w:rFonts w:asciiTheme="minorBidi" w:hAnsiTheme="minorBidi" w:cstheme="minorBidi"/>
          <w:sz w:val="22"/>
          <w:szCs w:val="22"/>
        </w:rPr>
        <w:t xml:space="preserve"> документ IOC/ЕС-57/4.7.Doc(1), касающийся проведения Десятилетия Организации Объединенных Наций, посвященного науке об океане в интересах устойчивого развития (2021-2030 гг.), и планов на 2025 г.,</w:t>
      </w:r>
    </w:p>
    <w:p w14:paraId="5AFDCF2B" w14:textId="77777777" w:rsidR="003202CC" w:rsidRPr="00E05DB3" w:rsidRDefault="003202CC" w:rsidP="00A10996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b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отмечает с удовлетворением</w:t>
      </w:r>
      <w:r w:rsidRPr="00E05DB3">
        <w:rPr>
          <w:rFonts w:asciiTheme="minorBidi" w:hAnsiTheme="minorBidi" w:cstheme="minorBidi"/>
          <w:sz w:val="22"/>
          <w:szCs w:val="22"/>
        </w:rPr>
        <w:t xml:space="preserve"> вклад Консультативного совета по вопросам проведения Десятилетия (КСД) в реализацию плана и продуманную организацию Десятилетия и </w:t>
      </w:r>
      <w:r w:rsidRPr="00E05DB3">
        <w:rPr>
          <w:rFonts w:asciiTheme="minorBidi" w:hAnsiTheme="minorBidi" w:cstheme="minorBidi"/>
          <w:b/>
          <w:bCs/>
          <w:sz w:val="22"/>
          <w:szCs w:val="22"/>
        </w:rPr>
        <w:t>приветствует</w:t>
      </w:r>
      <w:r w:rsidRPr="00E05DB3">
        <w:rPr>
          <w:rFonts w:asciiTheme="minorBidi" w:hAnsiTheme="minorBidi" w:cstheme="minorBidi"/>
          <w:sz w:val="22"/>
          <w:szCs w:val="22"/>
        </w:rPr>
        <w:t xml:space="preserve"> обновление его членского состава на период 2024-2025 гг. в соответствии с кругом ведения КСД;</w:t>
      </w:r>
    </w:p>
    <w:p w14:paraId="56018EDE" w14:textId="77777777" w:rsidR="003202CC" w:rsidRPr="00E05DB3" w:rsidRDefault="003202CC" w:rsidP="00A10996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b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lastRenderedPageBreak/>
        <w:t>приветствует также</w:t>
      </w:r>
      <w:r w:rsidRPr="00E05DB3">
        <w:rPr>
          <w:rFonts w:asciiTheme="minorBidi" w:hAnsiTheme="minorBidi" w:cstheme="minorBidi"/>
          <w:sz w:val="22"/>
          <w:szCs w:val="22"/>
        </w:rPr>
        <w:t xml:space="preserve"> разработку в рамках Десятилетия океана механизма под названием «На пути к 2030 году», призванного повысить эффективность стратегии осуществления плана Десятилетия с его десятью приоритетными задачами и </w:t>
      </w:r>
      <w:r w:rsidRPr="00E05DB3">
        <w:rPr>
          <w:rFonts w:asciiTheme="minorBidi" w:hAnsiTheme="minorBidi" w:cstheme="minorBidi"/>
          <w:b/>
          <w:bCs/>
          <w:sz w:val="22"/>
          <w:szCs w:val="22"/>
        </w:rPr>
        <w:t>благодарит</w:t>
      </w:r>
      <w:r w:rsidRPr="00E05DB3">
        <w:rPr>
          <w:rFonts w:asciiTheme="minorBidi" w:hAnsiTheme="minorBidi" w:cstheme="minorBidi"/>
          <w:sz w:val="22"/>
          <w:szCs w:val="22"/>
        </w:rPr>
        <w:t xml:space="preserve"> сопредседателей и членов рабочих групп по механизму «На пути к 2020 году»;</w:t>
      </w:r>
    </w:p>
    <w:p w14:paraId="14D2CA38" w14:textId="77777777" w:rsidR="003202CC" w:rsidRPr="00E05DB3" w:rsidRDefault="003202CC" w:rsidP="00A10996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b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принимает к сведению</w:t>
      </w:r>
      <w:r w:rsidRPr="00E05DB3">
        <w:rPr>
          <w:rFonts w:asciiTheme="minorBidi" w:hAnsiTheme="minorBidi" w:cstheme="minorBidi"/>
          <w:sz w:val="22"/>
          <w:szCs w:val="22"/>
        </w:rPr>
        <w:t xml:space="preserve"> положительные результаты, достигнутые в ходе посвященной Десятилетию океана конференции 2024 г., и </w:t>
      </w:r>
      <w:r w:rsidRPr="00E05DB3">
        <w:rPr>
          <w:rFonts w:asciiTheme="minorBidi" w:hAnsiTheme="minorBidi" w:cstheme="minorBidi"/>
          <w:b/>
          <w:bCs/>
          <w:sz w:val="22"/>
          <w:szCs w:val="22"/>
        </w:rPr>
        <w:t>выражает благодарность</w:t>
      </w:r>
      <w:r w:rsidRPr="00E05DB3">
        <w:rPr>
          <w:rFonts w:asciiTheme="minorBidi" w:hAnsiTheme="minorBidi" w:cstheme="minorBidi"/>
          <w:sz w:val="22"/>
          <w:szCs w:val="22"/>
        </w:rPr>
        <w:t xml:space="preserve"> правительству Испании, женералитету Каталонии и мэрии Барселоны за проведение этого мероприятия; </w:t>
      </w:r>
    </w:p>
    <w:p w14:paraId="75A48B93" w14:textId="77777777" w:rsidR="003202CC" w:rsidRPr="00E05DB3" w:rsidRDefault="003202CC" w:rsidP="00A10996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b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заявляет</w:t>
      </w:r>
      <w:r w:rsidRPr="00E05DB3">
        <w:rPr>
          <w:rFonts w:asciiTheme="minorBidi" w:hAnsiTheme="minorBidi" w:cstheme="minorBidi"/>
          <w:sz w:val="22"/>
          <w:szCs w:val="22"/>
        </w:rPr>
        <w:t xml:space="preserve"> </w:t>
      </w:r>
      <w:r w:rsidRPr="00E05DB3">
        <w:rPr>
          <w:rFonts w:asciiTheme="minorBidi" w:hAnsiTheme="minorBidi" w:cstheme="minorBidi"/>
          <w:b/>
          <w:bCs/>
          <w:sz w:val="22"/>
          <w:szCs w:val="22"/>
        </w:rPr>
        <w:t>о своей поддержке</w:t>
      </w:r>
      <w:r w:rsidRPr="00E05DB3">
        <w:rPr>
          <w:rFonts w:asciiTheme="minorBidi" w:hAnsiTheme="minorBidi" w:cstheme="minorBidi"/>
          <w:sz w:val="22"/>
          <w:szCs w:val="22"/>
        </w:rPr>
        <w:t xml:space="preserve"> реализации приоритетов и рекомендаций, изложенных в Барселонском заявлении</w:t>
      </w:r>
      <w:r w:rsidRPr="00E05DB3">
        <w:rPr>
          <w:rStyle w:val="FootnoteReference"/>
          <w:rFonts w:asciiTheme="minorBidi" w:hAnsiTheme="minorBidi" w:cstheme="minorBidi"/>
        </w:rPr>
        <w:footnoteReference w:id="1"/>
      </w:r>
      <w:r w:rsidRPr="00E05DB3">
        <w:rPr>
          <w:rFonts w:asciiTheme="minorBidi" w:hAnsiTheme="minorBidi" w:cstheme="minorBidi"/>
          <w:sz w:val="22"/>
          <w:szCs w:val="22"/>
        </w:rPr>
        <w:t xml:space="preserve">, </w:t>
      </w:r>
    </w:p>
    <w:p w14:paraId="448B8050" w14:textId="77777777" w:rsidR="003202CC" w:rsidRPr="00E05DB3" w:rsidRDefault="003202CC" w:rsidP="00A10996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b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предлагает</w:t>
      </w:r>
      <w:r w:rsidRPr="00E05DB3">
        <w:rPr>
          <w:rFonts w:asciiTheme="minorBidi" w:hAnsiTheme="minorBidi" w:cstheme="minorBidi"/>
          <w:sz w:val="22"/>
          <w:szCs w:val="22"/>
        </w:rPr>
        <w:t xml:space="preserve"> государствам-членам и партнерам:</w:t>
      </w:r>
    </w:p>
    <w:p w14:paraId="36C644EB" w14:textId="77777777" w:rsidR="003202CC" w:rsidRPr="00E05DB3" w:rsidRDefault="003202CC" w:rsidP="00A94DCD">
      <w:pPr>
        <w:pStyle w:val="ListParagraph"/>
        <w:numPr>
          <w:ilvl w:val="0"/>
          <w:numId w:val="45"/>
        </w:numPr>
        <w:snapToGrid w:val="0"/>
        <w:spacing w:after="240"/>
        <w:ind w:left="1276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 xml:space="preserve">включить сформулированные в рамках механизма Десятилетия океана «На пути к 2030 г.» приоритеты и рекомендации в их национальные и региональные рамочные нормативные акты по научным и стратегическим вопросам и использовать их для обоснования решений, касающихся бюджета и выделения средств; </w:t>
      </w:r>
    </w:p>
    <w:p w14:paraId="6F4ECCA0" w14:textId="77777777" w:rsidR="003202CC" w:rsidRPr="00E05DB3" w:rsidRDefault="003202CC" w:rsidP="00A94DCD">
      <w:pPr>
        <w:pStyle w:val="ListParagraph"/>
        <w:numPr>
          <w:ilvl w:val="0"/>
          <w:numId w:val="45"/>
        </w:numPr>
        <w:snapToGrid w:val="0"/>
        <w:spacing w:after="240"/>
        <w:ind w:left="1276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 xml:space="preserve">предоставить добровольные финансовые взносы в поддержку работы секретариата МОК по координации связанной с Десятилетием деятельности, включая помощь в натуральной форме (в частности, прикомандирование сотрудников и временное предоставление персонала) группе по координации проведения Десятилетия (ГКД); </w:t>
      </w:r>
    </w:p>
    <w:p w14:paraId="3D0D0D7C" w14:textId="77777777" w:rsidR="003202CC" w:rsidRPr="00E05DB3" w:rsidRDefault="003202CC" w:rsidP="00A94DCD">
      <w:pPr>
        <w:pStyle w:val="ListParagraph"/>
        <w:numPr>
          <w:ilvl w:val="0"/>
          <w:numId w:val="45"/>
        </w:numPr>
        <w:snapToGrid w:val="0"/>
        <w:spacing w:after="240"/>
        <w:ind w:left="1276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 xml:space="preserve">выступить с предложениями относительно размещения на своей территории и покрытия финансовых расходов бюро по координации проведения Десятилетия (БКД) и центров сотрудничества в рамках Десятилетия (ЦСД), а также финансирования связанной с Десятилетием деятельности в порядке, предусмотренном в плане проведения Десятилетия (вып. 20 в серии публикаций Десятилетия океана МОК); </w:t>
      </w:r>
    </w:p>
    <w:p w14:paraId="38CB3586" w14:textId="77777777" w:rsidR="003202CC" w:rsidRPr="00E05DB3" w:rsidRDefault="003202CC" w:rsidP="00A94DCD">
      <w:pPr>
        <w:pStyle w:val="ListParagraph"/>
        <w:numPr>
          <w:ilvl w:val="0"/>
          <w:numId w:val="45"/>
        </w:numPr>
        <w:snapToGrid w:val="0"/>
        <w:spacing w:after="240"/>
        <w:ind w:left="1276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 xml:space="preserve">создать национальные комитеты по проведению Десятилетия (НКД), с тем чтобы стимулировать проведение мероприятий на национальном уровне и международное сотрудничество;  </w:t>
      </w:r>
    </w:p>
    <w:p w14:paraId="66D12999" w14:textId="77777777" w:rsidR="003202CC" w:rsidRPr="00E05DB3" w:rsidRDefault="003202CC" w:rsidP="00A94DCD">
      <w:pPr>
        <w:pStyle w:val="ListParagraph"/>
        <w:numPr>
          <w:ilvl w:val="0"/>
          <w:numId w:val="45"/>
        </w:numPr>
        <w:snapToGrid w:val="0"/>
        <w:spacing w:after="240"/>
        <w:ind w:left="1276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>организовывать у себя региональные или международные мероприятия для участвующих в Десятилетии заинтересованных сторон;</w:t>
      </w:r>
    </w:p>
    <w:p w14:paraId="0135BD36" w14:textId="77777777" w:rsidR="003202CC" w:rsidRPr="00E05DB3" w:rsidRDefault="003202CC" w:rsidP="00A94DCD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i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предлагает также</w:t>
      </w:r>
      <w:r w:rsidRPr="00E05DB3">
        <w:rPr>
          <w:rFonts w:asciiTheme="minorBidi" w:hAnsiTheme="minorBidi" w:cstheme="minorBidi"/>
          <w:sz w:val="22"/>
          <w:szCs w:val="22"/>
        </w:rPr>
        <w:t xml:space="preserve"> государствам – членам ООН, членам сети «ООН-океаны», международным научным и академическим организациям, неправительственным организациям и другим соответствующим заинтересованным сторонам поддержать Десятилетие в сотрудничестве с МОК и содействовать его проведению путем внесения предложений по осуществлению в рамках Десятилетия конкретных мероприятий в соответствии с планом проведения Десятилетия и поддержки в практической реализации приоритетов и рекомендаций механизма «На пути к 2030 г.»;</w:t>
      </w:r>
    </w:p>
    <w:p w14:paraId="05A85FF1" w14:textId="77777777" w:rsidR="003202CC" w:rsidRPr="00E05DB3" w:rsidRDefault="003202CC" w:rsidP="00A94DCD">
      <w:pPr>
        <w:pStyle w:val="ListParagraph"/>
        <w:spacing w:after="240"/>
        <w:ind w:left="709"/>
        <w:contextualSpacing w:val="0"/>
        <w:jc w:val="center"/>
        <w:rPr>
          <w:rFonts w:asciiTheme="minorBidi" w:hAnsiTheme="minorBidi" w:cstheme="minorBidi"/>
          <w:i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Часть II</w:t>
      </w:r>
    </w:p>
    <w:p w14:paraId="2775512F" w14:textId="77777777" w:rsidR="003202CC" w:rsidRPr="00E05DB3" w:rsidRDefault="003202CC" w:rsidP="00A94DCD">
      <w:pPr>
        <w:pStyle w:val="ListParagraph"/>
        <w:spacing w:after="240"/>
        <w:ind w:left="709"/>
        <w:contextualSpacing w:val="0"/>
        <w:rPr>
          <w:rFonts w:asciiTheme="minorBidi" w:hAnsiTheme="minorBidi" w:cstheme="minorBidi"/>
          <w:i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рассмотрев</w:t>
      </w:r>
      <w:r w:rsidRPr="00E05DB3">
        <w:rPr>
          <w:rFonts w:asciiTheme="minorBidi" w:hAnsiTheme="minorBidi" w:cstheme="minorBidi"/>
          <w:sz w:val="22"/>
          <w:szCs w:val="22"/>
        </w:rPr>
        <w:t xml:space="preserve"> документ </w:t>
      </w:r>
      <w:r w:rsidRPr="00E05DB3">
        <w:rPr>
          <w:rFonts w:asciiTheme="minorBidi" w:hAnsiTheme="minorBidi" w:cstheme="minorBidi"/>
          <w:bCs/>
          <w:iCs/>
          <w:color w:val="000000"/>
          <w:sz w:val="22"/>
          <w:szCs w:val="22"/>
        </w:rPr>
        <w:t>IOC/EC-57/4.7.Doc(2),</w:t>
      </w:r>
    </w:p>
    <w:p w14:paraId="5AB832A0" w14:textId="77777777" w:rsidR="003202CC" w:rsidRPr="00E05DB3" w:rsidRDefault="003202CC" w:rsidP="00A94DCD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lastRenderedPageBreak/>
        <w:t>принимает к сведению также</w:t>
      </w:r>
      <w:r w:rsidRPr="00E05DB3">
        <w:rPr>
          <w:rFonts w:asciiTheme="minorBidi" w:hAnsiTheme="minorBidi" w:cstheme="minorBidi"/>
          <w:sz w:val="22"/>
          <w:szCs w:val="22"/>
        </w:rPr>
        <w:t xml:space="preserve"> проект концептуальных рамок для среднесрочной оценки Десятилетия океана и </w:t>
      </w:r>
      <w:r w:rsidRPr="00E05DB3">
        <w:rPr>
          <w:rFonts w:asciiTheme="minorBidi" w:hAnsiTheme="minorBidi" w:cstheme="minorBidi"/>
          <w:b/>
          <w:bCs/>
          <w:sz w:val="22"/>
          <w:szCs w:val="22"/>
        </w:rPr>
        <w:t xml:space="preserve">просит </w:t>
      </w:r>
      <w:r w:rsidRPr="00E05DB3">
        <w:rPr>
          <w:rFonts w:asciiTheme="minorBidi" w:hAnsiTheme="minorBidi" w:cstheme="minorBidi"/>
          <w:sz w:val="22"/>
          <w:szCs w:val="22"/>
        </w:rPr>
        <w:t xml:space="preserve">Исполнительного секретаря МОК разработать подробный круг ведения для данной оценки с учетом обсуждения этого вопроса в ходе сессии; </w:t>
      </w:r>
    </w:p>
    <w:p w14:paraId="677B07AA" w14:textId="77777777" w:rsidR="003202CC" w:rsidRPr="00E05DB3" w:rsidRDefault="003202CC" w:rsidP="00A94DCD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i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 xml:space="preserve">просит </w:t>
      </w:r>
      <w:r w:rsidRPr="00E05DB3">
        <w:rPr>
          <w:rFonts w:asciiTheme="minorBidi" w:hAnsiTheme="minorBidi" w:cstheme="minorBidi"/>
          <w:sz w:val="22"/>
          <w:szCs w:val="22"/>
        </w:rPr>
        <w:t>департамент внутреннего надзора ЮНЕСКО провести данную оценку, которая должна включать консультации с государствами-членами, национальными комитетами по проведению Десятилетия и другими соответствующими заинтересованными сторонами и представить ее результаты Ассамблее МОК на ее 33-й сессии;</w:t>
      </w:r>
    </w:p>
    <w:p w14:paraId="75E1FDB0" w14:textId="77777777" w:rsidR="003202CC" w:rsidRPr="00E05DB3" w:rsidRDefault="003202CC" w:rsidP="00A94DCD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выражает признательность</w:t>
      </w:r>
      <w:r w:rsidRPr="00E05DB3">
        <w:rPr>
          <w:rFonts w:asciiTheme="minorBidi" w:hAnsiTheme="minorBidi" w:cstheme="minorBidi"/>
          <w:sz w:val="22"/>
          <w:szCs w:val="22"/>
        </w:rPr>
        <w:t xml:space="preserve"> правительствам Бельгии (правительству Фландрии), Германии, Ирландии, Канады, Норвегии, Португалии, Республики Корея, Швеции, Франции, Японии, а также организации REV-Ocean компании и FUGRO за ценный финансовый вклад в проведение Десятилетия;</w:t>
      </w:r>
    </w:p>
    <w:p w14:paraId="79CE4F95" w14:textId="77777777" w:rsidR="003202CC" w:rsidRPr="00E05DB3" w:rsidRDefault="003202CC" w:rsidP="00A94DCD">
      <w:pPr>
        <w:pStyle w:val="ListParagraph"/>
        <w:spacing w:after="240"/>
        <w:ind w:left="709"/>
        <w:contextualSpacing w:val="0"/>
        <w:rPr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выражает признательность также</w:t>
      </w:r>
      <w:r w:rsidRPr="00E05DB3">
        <w:rPr>
          <w:rFonts w:asciiTheme="minorBidi" w:hAnsiTheme="minorBidi" w:cstheme="minorBidi"/>
          <w:sz w:val="22"/>
          <w:szCs w:val="22"/>
        </w:rPr>
        <w:t xml:space="preserve">: </w:t>
      </w:r>
    </w:p>
    <w:p w14:paraId="7ACFF0B3" w14:textId="77777777" w:rsidR="003202CC" w:rsidRPr="00E05DB3" w:rsidRDefault="003202CC" w:rsidP="00A94DCD">
      <w:pPr>
        <w:pStyle w:val="ListParagraph"/>
        <w:numPr>
          <w:ilvl w:val="0"/>
          <w:numId w:val="46"/>
        </w:numPr>
        <w:snapToGrid w:val="0"/>
        <w:spacing w:after="240"/>
        <w:ind w:left="1276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>правительству Таиланда за проведение 22-25 апреля 2024 г. в Бангкоке второй региональной конференции в рамках Десятилетия океана;</w:t>
      </w:r>
    </w:p>
    <w:p w14:paraId="165200AF" w14:textId="77777777" w:rsidR="003202CC" w:rsidRPr="00E05DB3" w:rsidRDefault="003202CC" w:rsidP="00A94DCD">
      <w:pPr>
        <w:pStyle w:val="ListParagraph"/>
        <w:numPr>
          <w:ilvl w:val="0"/>
          <w:numId w:val="46"/>
        </w:numPr>
        <w:snapToGrid w:val="0"/>
        <w:spacing w:after="240"/>
        <w:ind w:left="1276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>правительству Индии за проведение 1-3 февраля 2024 г. в Хайдарабаде региональной конференции в рамках Десятилетия океана для стран Индийского океана;</w:t>
      </w:r>
    </w:p>
    <w:p w14:paraId="62F10493" w14:textId="77777777" w:rsidR="003202CC" w:rsidRPr="00E05DB3" w:rsidRDefault="003202CC" w:rsidP="00A94DCD">
      <w:pPr>
        <w:pStyle w:val="ListParagraph"/>
        <w:spacing w:after="240"/>
        <w:ind w:left="1276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 xml:space="preserve">одобряет </w:t>
      </w:r>
      <w:r w:rsidRPr="00E05DB3">
        <w:rPr>
          <w:rFonts w:asciiTheme="minorBidi" w:hAnsiTheme="minorBidi" w:cstheme="minorBidi"/>
          <w:sz w:val="22"/>
          <w:szCs w:val="22"/>
        </w:rPr>
        <w:t>включение в план Десятилетия новых мероприятий, которые будут осуществляться по инициативе и под руководством МОК, в частности, таких как:</w:t>
      </w:r>
    </w:p>
    <w:p w14:paraId="534974C9" w14:textId="77777777" w:rsidR="003202CC" w:rsidRPr="00E05DB3" w:rsidRDefault="003202CC" w:rsidP="00A94DCD">
      <w:pPr>
        <w:pStyle w:val="ListParagraph"/>
        <w:numPr>
          <w:ilvl w:val="0"/>
          <w:numId w:val="47"/>
        </w:numPr>
        <w:snapToGrid w:val="0"/>
        <w:spacing w:after="240"/>
        <w:ind w:left="1276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>Программа по поиску решения проблемы вредоносного цветения водорослей;</w:t>
      </w:r>
    </w:p>
    <w:p w14:paraId="441226C0" w14:textId="77777777" w:rsidR="003202CC" w:rsidRPr="00E05DB3" w:rsidRDefault="003202CC" w:rsidP="00A94DCD">
      <w:pPr>
        <w:pStyle w:val="ListParagraph"/>
        <w:numPr>
          <w:ilvl w:val="0"/>
          <w:numId w:val="47"/>
        </w:numPr>
        <w:snapToGrid w:val="0"/>
        <w:spacing w:after="240"/>
        <w:ind w:left="1276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>Программа Десятилетия океана по устойчивому планированию в сфере океана;</w:t>
      </w:r>
    </w:p>
    <w:p w14:paraId="07656487" w14:textId="77777777" w:rsidR="003202CC" w:rsidRPr="00E05DB3" w:rsidRDefault="003202CC" w:rsidP="00A94DCD">
      <w:pPr>
        <w:pStyle w:val="ListParagraph"/>
        <w:numPr>
          <w:ilvl w:val="0"/>
          <w:numId w:val="47"/>
        </w:numPr>
        <w:snapToGrid w:val="0"/>
        <w:spacing w:after="240"/>
        <w:ind w:left="1276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>Программа Десятилетия океана SEAWARD для Африки;</w:t>
      </w:r>
    </w:p>
    <w:p w14:paraId="57CE3B2D" w14:textId="77777777" w:rsidR="003202CC" w:rsidRPr="00E05DB3" w:rsidRDefault="003202CC" w:rsidP="00A94DCD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одобряет также</w:t>
      </w:r>
      <w:r w:rsidRPr="00E05DB3">
        <w:rPr>
          <w:rFonts w:asciiTheme="minorBidi" w:hAnsiTheme="minorBidi" w:cstheme="minorBidi"/>
          <w:sz w:val="22"/>
          <w:szCs w:val="22"/>
        </w:rPr>
        <w:t xml:space="preserve"> активную роль региональных и технических вспомогательных органов и программ МОК в содействии региональной и тематической координации проведения Десятилетия и мероприятий по взаимодействию с партнерами, в частности:</w:t>
      </w:r>
    </w:p>
    <w:p w14:paraId="1DC106AA" w14:textId="77777777" w:rsidR="003202CC" w:rsidRPr="00E05DB3" w:rsidRDefault="003202CC" w:rsidP="00A94DCD">
      <w:pPr>
        <w:pStyle w:val="ListParagraph"/>
        <w:numPr>
          <w:ilvl w:val="0"/>
          <w:numId w:val="48"/>
        </w:numPr>
        <w:snapToGrid w:val="0"/>
        <w:spacing w:after="240"/>
        <w:ind w:left="1276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>выполнение секретариатом ВЕСТПАК функции БКД в странах западной части Тихого океана;</w:t>
      </w:r>
    </w:p>
    <w:p w14:paraId="11296F05" w14:textId="77777777" w:rsidR="003202CC" w:rsidRPr="00E05DB3" w:rsidRDefault="003202CC" w:rsidP="00A94DCD">
      <w:pPr>
        <w:pStyle w:val="ListParagraph"/>
        <w:numPr>
          <w:ilvl w:val="0"/>
          <w:numId w:val="48"/>
        </w:numPr>
        <w:snapToGrid w:val="0"/>
        <w:spacing w:after="240"/>
        <w:ind w:left="1276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>выполнение секретариатом МОКАРИБ функции БКД в тропических странах Америки и Карибского бассейна;</w:t>
      </w:r>
    </w:p>
    <w:p w14:paraId="7D94BC53" w14:textId="77777777" w:rsidR="003202CC" w:rsidRPr="00E05DB3" w:rsidRDefault="003202CC" w:rsidP="00A94DCD">
      <w:pPr>
        <w:pStyle w:val="ListParagraph"/>
        <w:numPr>
          <w:ilvl w:val="0"/>
          <w:numId w:val="48"/>
        </w:numPr>
        <w:snapToGrid w:val="0"/>
        <w:spacing w:after="240"/>
        <w:ind w:left="1276" w:hanging="567"/>
        <w:contextualSpacing w:val="0"/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>выполнение секретариатом МОКАФРИКА функции БКД в странах Африки;</w:t>
      </w:r>
    </w:p>
    <w:p w14:paraId="4E09AE1E" w14:textId="77777777" w:rsidR="003202CC" w:rsidRPr="00E05DB3" w:rsidRDefault="003202CC" w:rsidP="00A94DCD">
      <w:pPr>
        <w:pStyle w:val="ListParagraph"/>
        <w:numPr>
          <w:ilvl w:val="0"/>
          <w:numId w:val="48"/>
        </w:numPr>
        <w:snapToGrid w:val="0"/>
        <w:spacing w:after="240"/>
        <w:ind w:left="1276" w:hanging="567"/>
        <w:contextualSpacing w:val="0"/>
        <w:jc w:val="both"/>
        <w:rPr>
          <w:rFonts w:asciiTheme="minorBidi" w:hAnsiTheme="minorBidi" w:cstheme="minorBidi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 xml:space="preserve">выполнение бюро по программе МООД функции БКД в области обмена океанографическими данными; </w:t>
      </w:r>
    </w:p>
    <w:p w14:paraId="64699960" w14:textId="77777777" w:rsidR="003202CC" w:rsidRPr="00E05DB3" w:rsidRDefault="003202CC" w:rsidP="00A94DCD">
      <w:pPr>
        <w:pStyle w:val="ListParagraph"/>
        <w:numPr>
          <w:ilvl w:val="0"/>
          <w:numId w:val="48"/>
        </w:numPr>
        <w:snapToGrid w:val="0"/>
        <w:spacing w:after="240"/>
        <w:ind w:left="1276" w:hanging="567"/>
        <w:contextualSpacing w:val="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>выполнение бюро по проектам ГСНО функции БКД в области океанографических наблюдений;</w:t>
      </w:r>
    </w:p>
    <w:p w14:paraId="422DE7F8" w14:textId="77777777" w:rsidR="003202CC" w:rsidRPr="00E05DB3" w:rsidRDefault="003202CC" w:rsidP="00A94DCD">
      <w:pPr>
        <w:pStyle w:val="ListParagraph"/>
        <w:numPr>
          <w:ilvl w:val="0"/>
          <w:numId w:val="48"/>
        </w:numPr>
        <w:snapToGrid w:val="0"/>
        <w:spacing w:after="240"/>
        <w:ind w:left="1276" w:hanging="567"/>
        <w:contextualSpacing w:val="0"/>
        <w:jc w:val="both"/>
        <w:rPr>
          <w:rFonts w:asciiTheme="minorBidi" w:hAnsiTheme="minorBidi" w:cstheme="minorBidi"/>
          <w:iCs/>
          <w:color w:val="000000" w:themeColor="text1"/>
          <w:sz w:val="22"/>
          <w:szCs w:val="22"/>
        </w:rPr>
      </w:pPr>
      <w:r w:rsidRPr="00E05DB3">
        <w:rPr>
          <w:rFonts w:asciiTheme="minorBidi" w:hAnsiTheme="minorBidi" w:cstheme="minorBidi"/>
          <w:sz w:val="22"/>
          <w:szCs w:val="22"/>
        </w:rPr>
        <w:t>выполнение региональным бюро ЮНЕСКО по науке и культуре в Европе функции БКД по проекту «Связь между людьми и океаном»;</w:t>
      </w:r>
    </w:p>
    <w:p w14:paraId="7628E4BD" w14:textId="77777777" w:rsidR="003202CC" w:rsidRPr="00E05DB3" w:rsidRDefault="003202CC" w:rsidP="00A94DCD">
      <w:pPr>
        <w:pStyle w:val="ListParagraph"/>
        <w:spacing w:after="240"/>
        <w:ind w:left="709"/>
        <w:contextualSpacing w:val="0"/>
        <w:jc w:val="both"/>
        <w:rPr>
          <w:rFonts w:asciiTheme="minorBidi" w:eastAsia="MS Mincho" w:hAnsiTheme="minorBidi" w:cstheme="minorBidi"/>
          <w:b/>
          <w:bCs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>принимает к сведению далее</w:t>
      </w:r>
      <w:r w:rsidRPr="00E05DB3">
        <w:rPr>
          <w:rFonts w:asciiTheme="minorBidi" w:hAnsiTheme="minorBidi" w:cstheme="minorBidi"/>
          <w:sz w:val="22"/>
          <w:szCs w:val="22"/>
        </w:rPr>
        <w:t xml:space="preserve"> потребности в ресурсах, определенные ГКД, БКД, функционирующими под руководством МОК, и для мероприятий Десятилетия, </w:t>
      </w:r>
      <w:r w:rsidRPr="00E05DB3">
        <w:rPr>
          <w:rFonts w:asciiTheme="minorBidi" w:hAnsiTheme="minorBidi" w:cstheme="minorBidi"/>
          <w:sz w:val="22"/>
          <w:szCs w:val="22"/>
        </w:rPr>
        <w:lastRenderedPageBreak/>
        <w:t xml:space="preserve">проводимых по инициативе МОК, с тем чтобы они могли выполнять свои обязательства в рамках Десятилетия; </w:t>
      </w:r>
    </w:p>
    <w:p w14:paraId="19DC2A16" w14:textId="77777777" w:rsidR="003202CC" w:rsidRPr="00E05DB3" w:rsidRDefault="003202CC" w:rsidP="00A94DCD">
      <w:pPr>
        <w:pStyle w:val="ListParagraph"/>
        <w:spacing w:after="240"/>
        <w:ind w:left="709"/>
        <w:contextualSpacing w:val="0"/>
        <w:jc w:val="both"/>
        <w:rPr>
          <w:rFonts w:asciiTheme="minorBidi" w:hAnsiTheme="minorBidi" w:cstheme="minorBidi"/>
          <w:b/>
          <w:bCs/>
          <w:iCs/>
          <w:color w:val="000000"/>
          <w:sz w:val="22"/>
          <w:szCs w:val="22"/>
        </w:rPr>
      </w:pPr>
      <w:r w:rsidRPr="00E05DB3">
        <w:rPr>
          <w:rFonts w:asciiTheme="minorBidi" w:hAnsiTheme="minorBidi" w:cstheme="minorBidi"/>
          <w:b/>
          <w:bCs/>
          <w:sz w:val="22"/>
          <w:szCs w:val="22"/>
        </w:rPr>
        <w:t xml:space="preserve">предлагает далее </w:t>
      </w:r>
      <w:r w:rsidRPr="00E05DB3">
        <w:rPr>
          <w:rFonts w:asciiTheme="minorBidi" w:hAnsiTheme="minorBidi" w:cstheme="minorBidi"/>
          <w:sz w:val="22"/>
          <w:szCs w:val="22"/>
        </w:rPr>
        <w:t>государствам-членам, партнерам и организациям-донорам поддержать мероприятия, осуществляемые в рамках Десятилетия под руководством МОК, и механизмы координации такой деятельности, в том числе путем выделения соответствующим программам и регионам МОК внебюджетных средств для реализации намеченных ими преобразований, руководства деятельностью их соответствующих сообществ и активного содействия  дальнейшей деятельности в рамках Десятилетия и по его завершении.</w:t>
      </w:r>
    </w:p>
    <w:p w14:paraId="021CC270" w14:textId="4EE533CF" w:rsidR="003202CC" w:rsidRPr="005C239B" w:rsidRDefault="003202CC" w:rsidP="003202CC">
      <w:pPr>
        <w:pStyle w:val="Heading1"/>
        <w:numPr>
          <w:ilvl w:val="0"/>
          <w:numId w:val="9"/>
        </w:numPr>
        <w:tabs>
          <w:tab w:val="left" w:pos="709"/>
        </w:tabs>
        <w:spacing w:before="360"/>
        <w:ind w:left="567" w:hanging="567"/>
        <w:rPr>
          <w:rFonts w:cs="Arial"/>
          <w:b w:val="0"/>
          <w:bCs w:val="0"/>
          <w:szCs w:val="22"/>
        </w:rPr>
      </w:pPr>
      <w:bookmarkStart w:id="127" w:name="_Toc85469072"/>
      <w:bookmarkStart w:id="128" w:name="_Toc177658040"/>
      <w:bookmarkEnd w:id="127"/>
      <w:r w:rsidRPr="00EF16E4">
        <w:t>УПРАВЛЕНИЕ И ПОДГОТОВКА ПРОГРАММЫ И БЮДЖЕТА</w:t>
      </w:r>
      <w:bookmarkEnd w:id="128"/>
    </w:p>
    <w:p w14:paraId="245BF26B" w14:textId="77777777" w:rsidR="003202CC" w:rsidRPr="00F86F2F" w:rsidRDefault="003202CC" w:rsidP="003202CC">
      <w:pPr>
        <w:pStyle w:val="Heading2"/>
        <w:tabs>
          <w:tab w:val="clear" w:pos="737"/>
        </w:tabs>
        <w:rPr>
          <w:rFonts w:cs="Arial"/>
          <w:szCs w:val="22"/>
          <w:lang w:val="fr-FR"/>
        </w:rPr>
      </w:pPr>
      <w:bookmarkStart w:id="129" w:name="_Toc85469073"/>
      <w:bookmarkStart w:id="130" w:name="_Toc177658041"/>
      <w:bookmarkEnd w:id="129"/>
      <w:r>
        <w:t>5.1</w:t>
      </w:r>
      <w:r>
        <w:tab/>
        <w:t>ПЕРЕСМОТРЕННЫЕ ПРОГРАММА И БЮДЖЕТ НА 2024-2025 гг. (42 С/5) И ПРЕДВАРИТЕЛЬНЫЕ ПРЕДЛОЖЕНИЯ НА 2026-2027 гг. (ПРОЕКТ 43 С/5)</w:t>
      </w:r>
      <w:bookmarkEnd w:id="130"/>
    </w:p>
    <w:p w14:paraId="766FC165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Этот пункт повестки дня представил Исполнительный секретарь МОК. Он поблагодарил го</w:t>
      </w:r>
      <w:r w:rsidRPr="003248C1">
        <w:softHyphen/>
      </w:r>
      <w:r>
        <w:t>су</w:t>
      </w:r>
      <w:r w:rsidRPr="00B11939">
        <w:softHyphen/>
      </w:r>
      <w:r>
        <w:t xml:space="preserve">дарства-члены за их поддержку, которая позволила Исполнительному совету ЮНЕСКО в ходе его 216-й сессии рекомендовать Генеральной конференции ЮНЕСКО утвердить на ее 42-й сессии увеличение выделяемой МОК доли в бюджете обычной программы ЮНЕСКО на 1%, причем эта доля не должна сокращаться в результате переноса средств в другие части бюджета, а также </w:t>
      </w:r>
      <w:r>
        <w:rPr>
          <w:i/>
        </w:rPr>
        <w:t>«определить и согласовать исходное значение доли выделяемых МОК ЮНЕСКО средств бюджета обычной программы ЮНЕСКО в рамках документа 42 С/5 и будущих документов С/5, которое не может быть снижено в будущем, если иное не согласовано Генеральной конференцией»</w:t>
      </w:r>
      <w:r>
        <w:t xml:space="preserve"> (решение 216 ЕХ/44).</w:t>
      </w:r>
    </w:p>
    <w:p w14:paraId="385B3E52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С учетом принятия этой рекомендации во внимание Генеральной конференцией ЮНЕСКО и утверждения ею пересмотренного верхнего предельного уровня бюджета в связи с повторным вступлением в Организацию Соединенных Штатов Америки в июле 2023 г. бюджет МОК в рамках обычной программы на 2024-2025 гг. (42 C/5) увеличился с 13,5 млн. долл. (в соответствии с предложением, рассматривавшимся Ассамблеей МОК на ее 32-й сессии) до 21,1</w:t>
      </w:r>
      <w:r>
        <w:rPr>
          <w:lang w:val="fr-FR"/>
        </w:rPr>
        <w:t> </w:t>
      </w:r>
      <w:r>
        <w:t>млн. долл.</w:t>
      </w:r>
    </w:p>
    <w:p w14:paraId="1F72A8BB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spacing w:after="120"/>
        <w:ind w:left="0" w:hanging="709"/>
        <w:rPr>
          <w:rFonts w:cs="Arial"/>
        </w:rPr>
      </w:pPr>
      <w:r>
        <w:t>Исполнительный секретарь МОК отметил, что при разработке планов работы на 2024-2025 гг. Секретариат руководствовался следующими принципами высокого уровня, утвержденными государствами</w:t>
      </w:r>
      <w:r w:rsidRPr="00EF16E4">
        <w:t xml:space="preserve"> – </w:t>
      </w:r>
      <w:r>
        <w:t xml:space="preserve">членами МОК в </w:t>
      </w:r>
      <w:hyperlink r:id="rId35" w:history="1">
        <w:r>
          <w:rPr>
            <w:rStyle w:val="Hyperlink"/>
          </w:rPr>
          <w:t>резолюции A-32/4.II</w:t>
        </w:r>
      </w:hyperlink>
      <w:r>
        <w:t xml:space="preserve"> в отношении распределения дополнительных средств обычного бюджета, что должно способствовать </w:t>
      </w:r>
      <w:r>
        <w:rPr>
          <w:i/>
        </w:rPr>
        <w:t>«стабильному финансированию функциональных направлений деятельности МОК, включая кадровые ресурсы, в целях устранения недостатков и принципиальных рисков, с тем чтобы обеспечить прочную основу для будущей работы:</w:t>
      </w:r>
    </w:p>
    <w:p w14:paraId="0CBFD8B7" w14:textId="77777777" w:rsidR="003202CC" w:rsidRPr="005C239B" w:rsidRDefault="003202CC" w:rsidP="003202CC">
      <w:pPr>
        <w:pStyle w:val="ListParagraph"/>
        <w:numPr>
          <w:ilvl w:val="0"/>
          <w:numId w:val="31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обеспечить увеличение ассигнований МОКАФРИКА на не менее чем 1% от объема обычного бюджета МОК;</w:t>
      </w:r>
    </w:p>
    <w:p w14:paraId="36E9A299" w14:textId="77777777" w:rsidR="003202CC" w:rsidRPr="005C239B" w:rsidRDefault="003202CC" w:rsidP="003202CC">
      <w:pPr>
        <w:pStyle w:val="ListParagraph"/>
        <w:numPr>
          <w:ilvl w:val="0"/>
          <w:numId w:val="31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стремиться к соблюдению соотношения расходов на штатных и внештатных сотрудников, финансируемых из обычного бюджета, как это было ранее рекомендовано Ассамблеей МОК в </w:t>
      </w:r>
      <w:hyperlink r:id="rId36" w:history="1">
        <w:r>
          <w:rPr>
            <w:rStyle w:val="Hyperlink"/>
            <w:rFonts w:ascii="Arial" w:hAnsi="Arial"/>
            <w:sz w:val="22"/>
            <w:szCs w:val="22"/>
          </w:rPr>
          <w:t>резолюции XXVII-2</w:t>
        </w:r>
      </w:hyperlink>
      <w:r>
        <w:rPr>
          <w:rFonts w:ascii="Arial" w:hAnsi="Arial"/>
          <w:sz w:val="22"/>
          <w:szCs w:val="22"/>
        </w:rPr>
        <w:t>;</w:t>
      </w:r>
    </w:p>
    <w:p w14:paraId="3C0F9150" w14:textId="77777777" w:rsidR="003202CC" w:rsidRPr="005C239B" w:rsidRDefault="003202CC" w:rsidP="003202CC">
      <w:pPr>
        <w:pStyle w:val="ListParagraph"/>
        <w:numPr>
          <w:ilvl w:val="0"/>
          <w:numId w:val="31"/>
        </w:numPr>
        <w:tabs>
          <w:tab w:val="left" w:pos="-737"/>
        </w:tabs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обеспечить, чтобы не менее одной трети дополнительных средств выделялось на цели «обеспечения стабильного финансирования всех существующих функций МОК с ориентировочной основой для такого пропорционального распределения, предусмотренной в приложении 1 резолюции МОК A-32/4;</w:t>
      </w:r>
    </w:p>
    <w:p w14:paraId="3C4679B6" w14:textId="77777777" w:rsidR="003202CC" w:rsidRPr="005C239B" w:rsidRDefault="003202CC" w:rsidP="003202CC">
      <w:pPr>
        <w:pStyle w:val="ListParagraph"/>
        <w:numPr>
          <w:ilvl w:val="0"/>
          <w:numId w:val="31"/>
        </w:numPr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выделять по меньшей мере одну треть от объема дополнительных средств на целевое финансирование критически уязвимых областей:</w:t>
      </w:r>
    </w:p>
    <w:p w14:paraId="76B8182D" w14:textId="77777777" w:rsidR="003202CC" w:rsidRPr="005C239B" w:rsidRDefault="003202CC" w:rsidP="003202CC">
      <w:pPr>
        <w:numPr>
          <w:ilvl w:val="0"/>
          <w:numId w:val="32"/>
        </w:numPr>
        <w:tabs>
          <w:tab w:val="left" w:pos="709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МООД</w:t>
      </w:r>
    </w:p>
    <w:p w14:paraId="0F84671E" w14:textId="77777777" w:rsidR="003202CC" w:rsidRPr="005C239B" w:rsidRDefault="003202CC" w:rsidP="003202CC">
      <w:pPr>
        <w:numPr>
          <w:ilvl w:val="0"/>
          <w:numId w:val="32"/>
        </w:numPr>
        <w:tabs>
          <w:tab w:val="left" w:pos="709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ГСНО</w:t>
      </w:r>
    </w:p>
    <w:p w14:paraId="6574AB9C" w14:textId="77777777" w:rsidR="003202CC" w:rsidRPr="005C239B" w:rsidRDefault="003202CC" w:rsidP="003202CC">
      <w:pPr>
        <w:numPr>
          <w:ilvl w:val="0"/>
          <w:numId w:val="32"/>
        </w:numPr>
        <w:tabs>
          <w:tab w:val="left" w:pos="709"/>
        </w:tabs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>Развитие потенциала</w:t>
      </w:r>
    </w:p>
    <w:p w14:paraId="47E864FA" w14:textId="77777777" w:rsidR="003202CC" w:rsidRPr="005C239B" w:rsidRDefault="003202CC" w:rsidP="003202CC">
      <w:pPr>
        <w:numPr>
          <w:ilvl w:val="0"/>
          <w:numId w:val="32"/>
        </w:numPr>
        <w:tabs>
          <w:tab w:val="left" w:pos="709"/>
        </w:tabs>
        <w:spacing w:after="24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Региональные вспомогательные органы</w:t>
      </w:r>
    </w:p>
    <w:p w14:paraId="3976947A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spacing w:after="120"/>
        <w:ind w:left="0" w:hanging="709"/>
        <w:rPr>
          <w:rFonts w:cs="Arial"/>
        </w:rPr>
      </w:pPr>
      <w:r>
        <w:t>С учетом детализации бюджетных ассигнований, представленной в документе IOC/EC</w:t>
      </w:r>
      <w:r w:rsidRPr="00990225">
        <w:noBreakHyphen/>
      </w:r>
      <w:r>
        <w:t>57/5.1.Doc(1), резюме основных изменений, внесенных по линии обычного бюджета, выглядит следующим образом:</w:t>
      </w:r>
    </w:p>
    <w:p w14:paraId="152AD501" w14:textId="77777777" w:rsidR="003202CC" w:rsidRPr="005C239B" w:rsidRDefault="003202CC" w:rsidP="003202CC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32% дополнительных средств, не связанных с персоналом, выделены на цели стабилизации всех функциональных областей МОК;</w:t>
      </w:r>
    </w:p>
    <w:p w14:paraId="273A422F" w14:textId="77777777" w:rsidR="003202CC" w:rsidRPr="005C239B" w:rsidRDefault="003202CC" w:rsidP="003202CC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68% дополнительных средств, не связанных с персоналом, направлены на целевое финансирование МООД, ГСНО, развитие потенциала и деятельность региональных вспомогательных органов;</w:t>
      </w:r>
    </w:p>
    <w:p w14:paraId="0109CF1C" w14:textId="77777777" w:rsidR="003202CC" w:rsidRPr="005C239B" w:rsidRDefault="003202CC" w:rsidP="003202CC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обычный бюджет МОКАФРИКА, не связанный с персоналом, увеличился на 3% от общего объема обычного бюджета МОК в </w:t>
      </w:r>
      <w:hyperlink r:id="rId37" w:history="1">
        <w:r>
          <w:rPr>
            <w:rStyle w:val="Hyperlink"/>
            <w:rFonts w:ascii="Arial" w:hAnsi="Arial"/>
            <w:sz w:val="22"/>
            <w:szCs w:val="22"/>
          </w:rPr>
          <w:t>утвержденном документе 42 С/5</w:t>
        </w:r>
      </w:hyperlink>
      <w:r>
        <w:rPr>
          <w:rFonts w:ascii="Arial" w:hAnsi="Arial"/>
          <w:sz w:val="22"/>
          <w:szCs w:val="22"/>
        </w:rPr>
        <w:t>: с 239</w:t>
      </w:r>
      <w:r>
        <w:rPr>
          <w:rFonts w:ascii="Arial" w:hAnsi="Arial"/>
          <w:sz w:val="22"/>
          <w:szCs w:val="22"/>
          <w:lang w:val="fr-FR"/>
        </w:rPr>
        <w:t> </w:t>
      </w:r>
      <w:r>
        <w:rPr>
          <w:rFonts w:ascii="Arial" w:hAnsi="Arial"/>
          <w:sz w:val="22"/>
          <w:szCs w:val="22"/>
        </w:rPr>
        <w:t>тыс.</w:t>
      </w:r>
      <w:r>
        <w:rPr>
          <w:rFonts w:ascii="Arial" w:hAnsi="Arial"/>
          <w:sz w:val="22"/>
          <w:szCs w:val="22"/>
          <w:lang w:val="fr-FR"/>
        </w:rPr>
        <w:t> </w:t>
      </w:r>
      <w:r>
        <w:rPr>
          <w:rFonts w:ascii="Arial" w:hAnsi="Arial"/>
          <w:sz w:val="22"/>
          <w:szCs w:val="22"/>
        </w:rPr>
        <w:t>долл. до 937 тыс. долл</w:t>
      </w:r>
      <w:r w:rsidRPr="00DD1DE8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>;</w:t>
      </w:r>
    </w:p>
    <w:p w14:paraId="705B03F7" w14:textId="77777777" w:rsidR="003202CC" w:rsidRPr="005C239B" w:rsidRDefault="003202CC" w:rsidP="003202CC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целом 73% дополнительных средств было выделено подразделениям на местах и 27% – штаб-квартире МОК;</w:t>
      </w:r>
    </w:p>
    <w:p w14:paraId="6EB40DAB" w14:textId="77777777" w:rsidR="003202CC" w:rsidRPr="005C239B" w:rsidRDefault="003202CC" w:rsidP="003202CC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штаб-квартире МОК была создана одна новая должность для ГСНО;</w:t>
      </w:r>
    </w:p>
    <w:p w14:paraId="0C7D56EE" w14:textId="77777777" w:rsidR="003202CC" w:rsidRPr="005C239B" w:rsidRDefault="003202CC" w:rsidP="003202CC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в подразделениях на местах создано четыре новых должности: бюро МОК по проектам МООД в Остенде – 1 должность; укрепление секретариата МОКАФРИКА в Найроби – 1 должность; новый секретариат ИОСИНДИО, который будет сформирован по согласованию с государствами-членами – 1 должность; укрепление деятельности МОК в интересах МОСРГ Тихого океана – 1 должность;</w:t>
      </w:r>
    </w:p>
    <w:p w14:paraId="3F7C9B0A" w14:textId="77777777" w:rsidR="003202CC" w:rsidRPr="005C239B" w:rsidRDefault="003202CC" w:rsidP="003202CC">
      <w:pPr>
        <w:pStyle w:val="ListParagraph"/>
        <w:numPr>
          <w:ilvl w:val="0"/>
          <w:numId w:val="33"/>
        </w:numPr>
        <w:spacing w:after="12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межсекторальный промежуточный результат 3.IP2 (повышение уровня грамотности в связанных с океаном вопросах на объектах наследия под эгидой ЮНЕСКО) – увеличение на 69%; </w:t>
      </w:r>
    </w:p>
    <w:p w14:paraId="2A54996A" w14:textId="77777777" w:rsidR="003202CC" w:rsidRPr="005C239B" w:rsidRDefault="003202CC" w:rsidP="003202CC">
      <w:pPr>
        <w:pStyle w:val="ListParagraph"/>
        <w:numPr>
          <w:ilvl w:val="0"/>
          <w:numId w:val="33"/>
        </w:numPr>
        <w:spacing w:after="240"/>
        <w:ind w:left="851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соотношение между штатными и внештатными сотрудниками: 57% штатных сотрудников и 43% внештатных сотрудников (по сравнению с соотношением 74% и 26% в бюджетном сценарии, рассмотренном Ассамблеей; при этом в резолюции Ассамблеи МОК XXVI-2 содержится призыв выделять на внештатных сотрудников не менее 25% средств по линии обычного бюджета).</w:t>
      </w:r>
    </w:p>
    <w:p w14:paraId="0A8E35A1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Г-н Хельгесен отметил также, что в качестве дополнения к описательной части, содержащейся в утвержденном документе 42 С/5, документ, представленный Исполнительному совету, содержит развернутый анализ выполнения усиленной программы в разбивке по функциональным направлениям деятельности и приоритетным областям.</w:t>
      </w:r>
    </w:p>
    <w:p w14:paraId="0CAC04DC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  <w:b/>
          <w:bCs/>
          <w:color w:val="000000"/>
        </w:rPr>
      </w:pPr>
      <w:r>
        <w:t>В заключение он кратко представил методологию и план-график подготовки проекта документа 43 С/5 (программа и бюджет ЮНЕСКО на 2026-2029 гг., первый двухлетний период 2026-2027 гг.)</w:t>
      </w:r>
      <w:r w:rsidRPr="00DD1DE8">
        <w:t>.</w:t>
      </w:r>
      <w:r>
        <w:t xml:space="preserve"> Ввиду отсутствия достаточного времени для проведения соответствующих консультаций с государствами-членами предложение Секретариата, содержащееся в документе IOC/EC-57/5.1.Doc(1), состоит в том, что в течение первого двухлетия, охватываемого документом 43 С/5, усилия будут по-прежнему направлены на достижение </w:t>
      </w:r>
      <w:r>
        <w:rPr>
          <w:b/>
          <w:u w:val="single"/>
        </w:rPr>
        <w:t>промежуточного результата 1</w:t>
      </w:r>
      <w:r>
        <w:t>:</w:t>
      </w:r>
      <w:r>
        <w:rPr>
          <w:b/>
          <w:bCs/>
          <w:color w:val="000000"/>
        </w:rPr>
        <w:t xml:space="preserve"> «Оказание государствам-членам критически значимой поддержки в укреплении их потенциала в области морских научных исследований, генерирования знаний, а также разработки и применения научно обоснованных инструментов, услуг и методов, с тем чтобы положить конец ухудшению состояния океана и ускорить переход к устойчивому управлению связанными с океаном рисками и возможностями.</w:t>
      </w:r>
    </w:p>
    <w:p w14:paraId="3E431535" w14:textId="77777777" w:rsidR="003202CC" w:rsidRPr="001F6690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 w:rsidRPr="00DD1DE8">
        <w:t>В соответствии с резолюцией A-32/4 Ассамблеи МОК (2023 г.) Секретариату МОК необходимо</w:t>
      </w:r>
      <w:r>
        <w:t xml:space="preserve"> предпринять все возможные усилия при подготовке предложений по программе и бюджету на 2026-2029 гг. (первый двухлетний период 2026-2027 гг.) для отражения в них приоритетов </w:t>
      </w:r>
      <w:r>
        <w:lastRenderedPageBreak/>
        <w:t>Комиссии в отношении долгосрочных устойчивых наблюдений и управления данными и информацией, а также региональных вспомогательных органов и мероприятий по развитию потенциала государств-членов, что имеет основополагающее значение для достижения МОК целей высокого уровня, установленных на 2022-2029 гг.</w:t>
      </w:r>
      <w:r>
        <w:rPr>
          <w:color w:val="000000"/>
        </w:rPr>
        <w:t xml:space="preserve"> Наряду с этим в своей работе МОК будет руководствоваться результатами процесса консультаций с государствами-членами – «МОК и будущее Мирового океана» – с тем чтобы подвести итоги работы и проанализировать то, каким образом Комиссия может максимально эффективно способствовать более масштабным изменениям в области развития в аспектах, относящихся к ее мандату.</w:t>
      </w:r>
    </w:p>
    <w:p w14:paraId="2E916F51" w14:textId="77777777" w:rsidR="003202CC" w:rsidRPr="001F6690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Выступили представители четырех государств-членов и двух наблюдателей. </w:t>
      </w:r>
    </w:p>
    <w:p w14:paraId="1C6840D5" w14:textId="77777777" w:rsidR="003202CC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По мнению членов Исполнительного совета, программные решения Секретариата, принятые при подготовке пересмотренных программы и бюджета на 2024-2025 гг. (документ 42 С/5), соответствуют стратегическим указаниям государств-членов, сформулированным в резолюции МОК </w:t>
      </w:r>
      <w:r w:rsidRPr="00C928D7">
        <w:rPr>
          <w:rFonts w:cs="Arial"/>
          <w:lang w:val="en-GB"/>
        </w:rPr>
        <w:t>A</w:t>
      </w:r>
      <w:r w:rsidRPr="000F6635">
        <w:rPr>
          <w:rFonts w:cs="Arial"/>
        </w:rPr>
        <w:t xml:space="preserve">-32.4. </w:t>
      </w:r>
      <w:r>
        <w:rPr>
          <w:rFonts w:cs="Arial"/>
        </w:rPr>
        <w:t xml:space="preserve">Члены Совета отметили важное значение продолжения консультаций по приоритетам  с соответствующими программами и вспомогательными органами с целью совместной разработки приоритетных мероприятий и оптимизации осуществления программы в 2024-2025 гг., а также формирования основы для подготовки проекта документа 43 С/5. В этом отношении государства-члены подчеркнули, что некоторые ключевые направления работы МОК, в частности на региональном уровне, по-прежнему недостаточно обеспечены ресурсами и кадрами, поэтому в следующем бюджетном цикле следует рассмотреть вопрос об их укреплении. Подготовка предложений для следующего программного и бюджетного цикла, на основе которых будет затем разработана и следующая среднесрочная стратегия МОК на 2030-2037 гг., будет ориентироваться на результаты консультаций по теме «МОК и будущее Мирового океана», проводимых с активным участием государств-членов, план действий в связи с проведенной </w:t>
      </w:r>
      <w:r>
        <w:rPr>
          <w:rFonts w:cs="Arial"/>
          <w:lang w:val="fr-FR"/>
        </w:rPr>
        <w:t>IOS</w:t>
      </w:r>
      <w:r w:rsidRPr="000F6635">
        <w:rPr>
          <w:rFonts w:cs="Arial"/>
        </w:rPr>
        <w:t xml:space="preserve"> </w:t>
      </w:r>
      <w:r>
        <w:rPr>
          <w:rFonts w:cs="Arial"/>
        </w:rPr>
        <w:t xml:space="preserve">оценкой стратегического позиционирования МОК, а также на выводы оценки процедур руководства и управления в МОК. </w:t>
      </w:r>
    </w:p>
    <w:p w14:paraId="668BED04" w14:textId="77777777" w:rsidR="003202CC" w:rsidRPr="003D0843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выразили следующие государства-члены и наблюдатели: Колумбия, Острова Кука, Соединенное Королевство Великобритании и Северной Ирландии и США, а также Российская Федерация и ВЕСТПАК в качестве наблюдателей.</w:t>
      </w:r>
    </w:p>
    <w:p w14:paraId="211090CA" w14:textId="77777777" w:rsidR="003202CC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EC</w:t>
      </w:r>
      <w:r w:rsidRPr="003D0843">
        <w:rPr>
          <w:rFonts w:cs="Arial"/>
          <w:u w:val="single"/>
        </w:rPr>
        <w:t>-57/5.1</w:t>
      </w:r>
      <w:r w:rsidRPr="003D0843">
        <w:rPr>
          <w:rFonts w:cs="Arial"/>
        </w:rPr>
        <w:t>.</w:t>
      </w:r>
    </w:p>
    <w:p w14:paraId="138F6329" w14:textId="77777777" w:rsidR="003202CC" w:rsidRPr="00710594" w:rsidRDefault="003202CC" w:rsidP="003202CC">
      <w:pPr>
        <w:pStyle w:val="ListParagraph"/>
        <w:keepNext/>
        <w:spacing w:after="240"/>
        <w:contextualSpacing w:val="0"/>
        <w:rPr>
          <w:rFonts w:ascii="Arial" w:hAnsi="Arial" w:cs="Arial"/>
          <w:b/>
          <w:color w:val="000000"/>
          <w:sz w:val="22"/>
          <w:szCs w:val="22"/>
        </w:rPr>
      </w:pPr>
      <w:r w:rsidRPr="00710594">
        <w:rPr>
          <w:rFonts w:ascii="Arial" w:hAnsi="Arial"/>
          <w:b/>
          <w:color w:val="000000"/>
          <w:sz w:val="22"/>
          <w:szCs w:val="22"/>
        </w:rPr>
        <w:t xml:space="preserve">Аспекты деятельности Комиссии, касающиеся управления и подготовки </w:t>
      </w:r>
      <w:r w:rsidRPr="00710594">
        <w:rPr>
          <w:rFonts w:ascii="Arial" w:hAnsi="Arial"/>
          <w:b/>
          <w:color w:val="000000"/>
          <w:sz w:val="22"/>
          <w:szCs w:val="22"/>
        </w:rPr>
        <w:br/>
        <w:t>программы и бюджета</w:t>
      </w:r>
    </w:p>
    <w:p w14:paraId="7EDBE432" w14:textId="77777777" w:rsidR="003202CC" w:rsidRPr="00710594" w:rsidRDefault="003202CC" w:rsidP="003202CC">
      <w:pPr>
        <w:pStyle w:val="ListParagraph"/>
        <w:spacing w:after="240"/>
        <w:contextualSpacing w:val="0"/>
        <w:rPr>
          <w:rFonts w:ascii="Arial" w:hAnsi="Arial" w:cs="Arial"/>
          <w:sz w:val="22"/>
          <w:szCs w:val="22"/>
        </w:rPr>
      </w:pPr>
      <w:r w:rsidRPr="00710594">
        <w:rPr>
          <w:rFonts w:ascii="Arial" w:hAnsi="Arial"/>
          <w:sz w:val="22"/>
          <w:szCs w:val="22"/>
        </w:rPr>
        <w:t>Исполнительный совет,</w:t>
      </w:r>
    </w:p>
    <w:p w14:paraId="54CE5D3B" w14:textId="77777777" w:rsidR="003202CC" w:rsidRPr="00710594" w:rsidRDefault="003202CC" w:rsidP="003202CC">
      <w:pPr>
        <w:pStyle w:val="ListParagraph"/>
        <w:spacing w:after="240"/>
        <w:contextualSpacing w:val="0"/>
        <w:rPr>
          <w:rFonts w:ascii="Arial" w:hAnsi="Arial" w:cs="Arial"/>
          <w:iCs/>
          <w:sz w:val="22"/>
          <w:szCs w:val="22"/>
        </w:rPr>
      </w:pPr>
      <w:r w:rsidRPr="00710594">
        <w:rPr>
          <w:rFonts w:ascii="Arial" w:hAnsi="Arial"/>
          <w:color w:val="000000"/>
          <w:sz w:val="22"/>
          <w:szCs w:val="22"/>
          <w:u w:val="single"/>
        </w:rPr>
        <w:t>рассмотрев</w:t>
      </w:r>
      <w:r w:rsidRPr="00710594">
        <w:rPr>
          <w:rFonts w:ascii="Arial" w:hAnsi="Arial"/>
          <w:color w:val="000000"/>
          <w:sz w:val="22"/>
          <w:szCs w:val="22"/>
        </w:rPr>
        <w:t xml:space="preserve"> документ IOC/EC-57/5.1.Doc(1),</w:t>
      </w:r>
    </w:p>
    <w:p w14:paraId="0BDB7F12" w14:textId="77777777" w:rsidR="003202CC" w:rsidRPr="003202CC" w:rsidRDefault="003202CC" w:rsidP="003202CC">
      <w:pPr>
        <w:pStyle w:val="ListParagraph"/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710594">
        <w:rPr>
          <w:rFonts w:ascii="Arial" w:hAnsi="Arial"/>
          <w:sz w:val="22"/>
          <w:szCs w:val="22"/>
          <w:u w:val="single"/>
        </w:rPr>
        <w:t>принимает к сведению</w:t>
      </w:r>
      <w:r w:rsidRPr="00710594">
        <w:rPr>
          <w:rFonts w:ascii="Arial" w:hAnsi="Arial"/>
          <w:sz w:val="22"/>
          <w:szCs w:val="22"/>
        </w:rPr>
        <w:t xml:space="preserve"> документ </w:t>
      </w:r>
      <w:r w:rsidRPr="00710594">
        <w:rPr>
          <w:rFonts w:ascii="Arial" w:hAnsi="Arial"/>
          <w:color w:val="000000"/>
          <w:sz w:val="22"/>
          <w:szCs w:val="22"/>
        </w:rPr>
        <w:t>IOC/EC-57/5.1.Doc(1)</w:t>
      </w:r>
      <w:r w:rsidRPr="00710594">
        <w:rPr>
          <w:rFonts w:ascii="Arial" w:hAnsi="Arial"/>
          <w:sz w:val="22"/>
          <w:szCs w:val="22"/>
        </w:rPr>
        <w:t>, подлежащий дальнейшему рассмотрению комитетом по финансовым вопросам в целях подготовки проекта резолюции, который будет обсужден и принят на пленарном заседании в рамках обсуждения пункта 5.4 повестки дня.</w:t>
      </w:r>
    </w:p>
    <w:p w14:paraId="7EA698D2" w14:textId="77777777" w:rsidR="003202CC" w:rsidRPr="003202CC" w:rsidRDefault="003202CC" w:rsidP="003202CC">
      <w:pPr>
        <w:pStyle w:val="Heading2"/>
        <w:tabs>
          <w:tab w:val="clear" w:pos="737"/>
          <w:tab w:val="left" w:pos="709"/>
        </w:tabs>
        <w:ind w:left="709" w:hanging="709"/>
        <w:rPr>
          <w:rFonts w:cs="Arial"/>
          <w:szCs w:val="22"/>
        </w:rPr>
      </w:pPr>
      <w:bookmarkStart w:id="131" w:name="_Toc57369055"/>
      <w:bookmarkStart w:id="132" w:name="_Toc177658042"/>
      <w:bookmarkEnd w:id="131"/>
      <w:r>
        <w:t>5.2</w:t>
      </w:r>
      <w:r>
        <w:tab/>
        <w:t>ПЛАН ДЕЙСТВИЙ В СВЯЗИ С ПРОВЕДЕННОЙ IOS ОЦЕНКОЙ СТРАТЕГИЧЕСКОГО ПОЗИЦИОНИРОВАНИЯ МОК – ОБНОВЛЕННАЯ ИНФОРМАЦИЯ ОБ ОСУЩЕСТВЛЕНИИ</w:t>
      </w:r>
      <w:bookmarkEnd w:id="132"/>
    </w:p>
    <w:p w14:paraId="5841B4D6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spacing w:before="240"/>
        <w:ind w:left="0" w:hanging="709"/>
        <w:rPr>
          <w:rFonts w:cs="Arial"/>
        </w:rPr>
      </w:pPr>
      <w:r>
        <w:t xml:space="preserve">Исполнительный секретарь МОК напомнил Совету о резолюции A-32/4.IV, принятой Ассамблеей МОК на ее 32-й сессии, в которой Ассамблея утвердила план действий, представленный в документе </w:t>
      </w:r>
      <w:hyperlink r:id="rId38" w:history="1">
        <w:r>
          <w:rPr>
            <w:rStyle w:val="Hyperlink"/>
          </w:rPr>
          <w:t>IOC/A-32/6.3.Doc(1)</w:t>
        </w:r>
      </w:hyperlink>
      <w:r>
        <w:t xml:space="preserve">, и просила Исполнительного секретаря МОК </w:t>
      </w:r>
      <w:r>
        <w:rPr>
          <w:i/>
        </w:rPr>
        <w:lastRenderedPageBreak/>
        <w:t>«продолжать осуществление плана действий с учетом меняющейся ситуации в МОК, в том числе с учетом имеющихся в наличии средств, предлагая соответствующие корректировки и отчитываясь о ходе работы перед руководящими органами МОК и ЮНЕСКО»</w:t>
      </w:r>
      <w:r>
        <w:t>.</w:t>
      </w:r>
    </w:p>
    <w:p w14:paraId="6BC35C04" w14:textId="77777777" w:rsidR="003202CC" w:rsidRPr="009F0E81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Г-н Хельгесен отметил, что несмотря на завершение выполнения некоторых из предусмотренных мер и продолжение работы в отношении других мер, принятие некоторых мер стратегического характера потребует дополнительного обсуждения на уровне Секретариата, а также с государствами-членами в контексте нового этапа консультативного процесса «МОК и будущее Мирового океана». Важной вехой в этом смысле станет 33-я сессия Ассамблеи МОК, которая пройдет в июне 2025 г.</w:t>
      </w:r>
    </w:p>
    <w:p w14:paraId="40AE0355" w14:textId="77777777" w:rsidR="003202CC" w:rsidRPr="009F0E81" w:rsidRDefault="003202CC" w:rsidP="007D4DA5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Выступили представители четырех государств-членов и одного наблюдателя. </w:t>
      </w:r>
    </w:p>
    <w:p w14:paraId="6EC2B3B6" w14:textId="77777777" w:rsidR="003202CC" w:rsidRPr="009F0E81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Члены Исполнительного совета поддержали представленный Исполнительным секретарем анализ.</w:t>
      </w:r>
    </w:p>
    <w:p w14:paraId="3E75332C" w14:textId="77777777" w:rsidR="003202CC" w:rsidRPr="009F0E81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Пожелание представить тексты своих выступлений на пленарном заседании по этому пункту повестки дня для включения в информационное приложение к докладу настоящей сессии выразило следующее государство-член: Соединенное Королевство Великобритании и Северной Ирландии.</w:t>
      </w:r>
    </w:p>
    <w:p w14:paraId="3138E1BF" w14:textId="77777777" w:rsidR="003202CC" w:rsidRPr="00A365FF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EC</w:t>
      </w:r>
      <w:r w:rsidRPr="009F0E81">
        <w:rPr>
          <w:rFonts w:cs="Arial"/>
          <w:u w:val="single"/>
        </w:rPr>
        <w:t>-57/5.2</w:t>
      </w:r>
      <w:r w:rsidRPr="009F0E81">
        <w:rPr>
          <w:rFonts w:cs="Arial"/>
        </w:rPr>
        <w:t>.</w:t>
      </w:r>
    </w:p>
    <w:p w14:paraId="6E393027" w14:textId="77777777" w:rsidR="003202CC" w:rsidRPr="00E05DB3" w:rsidRDefault="003202CC" w:rsidP="007D4DA5">
      <w:pPr>
        <w:keepNext/>
        <w:tabs>
          <w:tab w:val="num" w:pos="1400"/>
        </w:tabs>
        <w:spacing w:after="240"/>
        <w:ind w:left="709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05DB3">
        <w:rPr>
          <w:rFonts w:ascii="Arial" w:hAnsi="Arial"/>
          <w:b/>
          <w:color w:val="000000"/>
          <w:sz w:val="22"/>
          <w:szCs w:val="22"/>
        </w:rPr>
        <w:t xml:space="preserve">План действий в связи с проведенной IOS оценкой стратегического </w:t>
      </w:r>
      <w:r w:rsidRPr="00E05DB3">
        <w:rPr>
          <w:rFonts w:ascii="Arial" w:hAnsi="Arial"/>
          <w:b/>
          <w:color w:val="000000"/>
          <w:sz w:val="22"/>
          <w:szCs w:val="22"/>
        </w:rPr>
        <w:br/>
        <w:t>позиционирования МОК – обновленная информация об осуществлении</w:t>
      </w:r>
    </w:p>
    <w:p w14:paraId="22F94B38" w14:textId="77777777" w:rsidR="003202CC" w:rsidRPr="00E05DB3" w:rsidRDefault="003202CC" w:rsidP="007D4DA5">
      <w:pPr>
        <w:tabs>
          <w:tab w:val="num" w:pos="1400"/>
        </w:tabs>
        <w:spacing w:after="240"/>
        <w:ind w:left="709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</w:rPr>
        <w:t>Исполнительный совет,</w:t>
      </w:r>
    </w:p>
    <w:p w14:paraId="50C77158" w14:textId="77777777" w:rsidR="003202CC" w:rsidRPr="00E05DB3" w:rsidRDefault="003202CC" w:rsidP="007D4DA5">
      <w:pPr>
        <w:tabs>
          <w:tab w:val="left" w:pos="-737"/>
        </w:tabs>
        <w:spacing w:after="240"/>
        <w:ind w:left="709"/>
        <w:rPr>
          <w:rFonts w:ascii="Arial" w:hAnsi="Arial" w:cs="Arial"/>
          <w:snapToGrid w:val="0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рассмотрев</w:t>
      </w:r>
      <w:r w:rsidRPr="00E05DB3">
        <w:rPr>
          <w:rFonts w:ascii="Arial" w:hAnsi="Arial"/>
          <w:sz w:val="22"/>
          <w:szCs w:val="22"/>
        </w:rPr>
        <w:t xml:space="preserve"> документ IOC/EC-57/5.2.Doc(1),</w:t>
      </w:r>
    </w:p>
    <w:p w14:paraId="0E541A2F" w14:textId="77777777" w:rsidR="003202CC" w:rsidRPr="003202CC" w:rsidRDefault="003202CC" w:rsidP="007D4DA5">
      <w:pPr>
        <w:tabs>
          <w:tab w:val="left" w:pos="-737"/>
        </w:tabs>
        <w:spacing w:after="24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принимает к сведению</w:t>
      </w:r>
      <w:r w:rsidRPr="00E05DB3">
        <w:rPr>
          <w:rFonts w:ascii="Arial" w:hAnsi="Arial"/>
          <w:sz w:val="22"/>
          <w:szCs w:val="22"/>
        </w:rPr>
        <w:t xml:space="preserve"> документы</w:t>
      </w:r>
      <w:r w:rsidRPr="00E05DB3">
        <w:rPr>
          <w:rFonts w:eastAsiaTheme="minorEastAsia"/>
          <w:sz w:val="32"/>
          <w:szCs w:val="32"/>
          <w:lang w:eastAsia="zh-CN"/>
        </w:rPr>
        <w:t xml:space="preserve"> </w:t>
      </w:r>
      <w:r w:rsidRPr="00E05DB3">
        <w:rPr>
          <w:rFonts w:ascii="Arial" w:hAnsi="Arial"/>
          <w:sz w:val="22"/>
          <w:szCs w:val="22"/>
        </w:rPr>
        <w:t xml:space="preserve">IOC/EC-57/3.1.Doc(4) и </w:t>
      </w:r>
      <w:r w:rsidRPr="00E05DB3">
        <w:rPr>
          <w:rFonts w:ascii="Arial" w:hAnsi="Arial"/>
          <w:color w:val="000000"/>
          <w:sz w:val="22"/>
          <w:szCs w:val="22"/>
        </w:rPr>
        <w:t>IOC/EC-57/5.2.Doc(1)</w:t>
      </w:r>
      <w:r w:rsidRPr="00E05DB3">
        <w:rPr>
          <w:rFonts w:ascii="Arial" w:hAnsi="Arial"/>
          <w:sz w:val="22"/>
          <w:szCs w:val="22"/>
        </w:rPr>
        <w:t>, подлежащие дальнейшему рассмотрению комитетом по финансовым вопросам в целях подготовки проекта резолюции, который будет обсужден и принят на пленарном заседании в рамках обсуждения пункта 5.4 повестки дня.</w:t>
      </w:r>
    </w:p>
    <w:p w14:paraId="4B7D2F0D" w14:textId="77777777" w:rsidR="003202CC" w:rsidRPr="003202CC" w:rsidRDefault="003202CC" w:rsidP="003202CC">
      <w:pPr>
        <w:pStyle w:val="Heading2"/>
        <w:ind w:left="709" w:hanging="709"/>
        <w:rPr>
          <w:rFonts w:eastAsia="Calibri" w:cs="Arial"/>
          <w:szCs w:val="22"/>
        </w:rPr>
      </w:pPr>
      <w:bookmarkStart w:id="133" w:name="_Toc85469075"/>
      <w:bookmarkStart w:id="134" w:name="_Toc177658043"/>
      <w:bookmarkEnd w:id="133"/>
      <w:r>
        <w:t>5.3</w:t>
      </w:r>
      <w:r>
        <w:tab/>
        <w:t>ВЫПОЛНЕНИЕ РЕЗОЛЮЦИИ A-32/4 ПО ВОПРОСАМ УПРАВЛЕНИЯ И ПОДГОТОВКИ ПРОГРАММЫ И БЮДЖЕТА КОМИССИИ</w:t>
      </w:r>
      <w:r w:rsidRPr="00A365FF">
        <w:t xml:space="preserve"> </w:t>
      </w:r>
      <w:r>
        <w:t>–</w:t>
      </w:r>
      <w:r w:rsidRPr="00A365FF">
        <w:t xml:space="preserve"> </w:t>
      </w:r>
      <w:r>
        <w:rPr>
          <w:color w:val="000000"/>
          <w:szCs w:val="22"/>
        </w:rPr>
        <w:t>Проект руководящих принципов подготовки и участия государств-членов в проводимых раз в два года выборах должностныХ лиц Комиссии и государств-членов Исполнительного совета</w:t>
      </w:r>
      <w:bookmarkEnd w:id="134"/>
    </w:p>
    <w:p w14:paraId="1C82E57C" w14:textId="77777777" w:rsidR="003202CC" w:rsidRPr="00A365FF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 xml:space="preserve">Исполнительный секретарь МОК напомнил Совету о </w:t>
      </w:r>
      <w:hyperlink r:id="rId39" w:history="1">
        <w:r>
          <w:rPr>
            <w:rStyle w:val="Hyperlink"/>
          </w:rPr>
          <w:t>резолюции А-32/4 Ассамблеи МОК</w:t>
        </w:r>
      </w:hyperlink>
      <w:r>
        <w:t>, принятой на ее 32- сессии, а также о завершившемся недавно процессе утверждения пересмотренных Правил процедуры МОК, которые в настоящее время опубликованы в качестве документа МОК/INF1166 Rev. Проект руководящих принципов подготовки и участия государств-членов в проводимых раз в два года выборах Председателя и заместителей Председателя МОК (должностные лица Комиссии) и государств-членов Исполнительного совета (документ IOC/EC-57/5.3.Doc(1)) представляется Исполнительному совету для рассмотрения и формулирования замечаний перед последующей окончательной его доработкой и представлением на 33-й сессии Ассамблеи МОК. По просьбе государств-членов до начала сессии предполагается провести информационное совещание, которое позволит завершить подготовительную работу.</w:t>
      </w:r>
    </w:p>
    <w:p w14:paraId="64AA7EC4" w14:textId="77777777" w:rsidR="003202CC" w:rsidRPr="00A365FF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По этому пункту повестки дня выступлений государств-членов не было.</w:t>
      </w:r>
    </w:p>
    <w:p w14:paraId="7BCE124C" w14:textId="77777777" w:rsidR="003202CC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</w:t>
      </w:r>
      <w:r w:rsidRPr="00C928D7">
        <w:rPr>
          <w:rFonts w:cs="Arial"/>
          <w:u w:val="single"/>
          <w:lang w:val="en-GB"/>
        </w:rPr>
        <w:t>EC</w:t>
      </w:r>
      <w:r w:rsidRPr="00A365FF">
        <w:rPr>
          <w:rFonts w:cs="Arial"/>
          <w:u w:val="single"/>
        </w:rPr>
        <w:t>-57/5.3</w:t>
      </w:r>
      <w:r w:rsidRPr="00A365FF">
        <w:rPr>
          <w:rFonts w:cs="Arial"/>
        </w:rPr>
        <w:t>.</w:t>
      </w:r>
    </w:p>
    <w:p w14:paraId="2BA0D96F" w14:textId="23437631" w:rsidR="003202CC" w:rsidRPr="00B7368E" w:rsidRDefault="003202CC" w:rsidP="00ED4FA7">
      <w:pPr>
        <w:pStyle w:val="ListParagraph"/>
        <w:keepNext/>
        <w:spacing w:after="240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B7368E">
        <w:rPr>
          <w:rFonts w:ascii="Arial" w:hAnsi="Arial"/>
          <w:b/>
          <w:bCs/>
          <w:sz w:val="22"/>
          <w:szCs w:val="22"/>
        </w:rPr>
        <w:lastRenderedPageBreak/>
        <w:t xml:space="preserve">Выполнение резолюции A-32/4 по вопросам управления и подготовки </w:t>
      </w:r>
      <w:r w:rsidR="00ED4FA7" w:rsidRPr="005C4EF1">
        <w:rPr>
          <w:rFonts w:ascii="Arial" w:hAnsi="Arial"/>
          <w:b/>
          <w:bCs/>
          <w:sz w:val="22"/>
          <w:szCs w:val="22"/>
        </w:rPr>
        <w:br/>
      </w:r>
      <w:r w:rsidRPr="00B7368E">
        <w:rPr>
          <w:rFonts w:ascii="Arial" w:hAnsi="Arial"/>
          <w:b/>
          <w:bCs/>
          <w:sz w:val="22"/>
          <w:szCs w:val="22"/>
        </w:rPr>
        <w:t xml:space="preserve">программы и бюджета Комиссии – проект руководящих принципов </w:t>
      </w:r>
      <w:r w:rsidR="00ED4FA7" w:rsidRPr="005C4EF1">
        <w:rPr>
          <w:rFonts w:ascii="Arial" w:hAnsi="Arial"/>
          <w:b/>
          <w:bCs/>
          <w:sz w:val="22"/>
          <w:szCs w:val="22"/>
        </w:rPr>
        <w:br/>
      </w:r>
      <w:r w:rsidRPr="00B7368E">
        <w:rPr>
          <w:rFonts w:ascii="Arial" w:hAnsi="Arial"/>
          <w:b/>
          <w:bCs/>
          <w:sz w:val="22"/>
          <w:szCs w:val="22"/>
        </w:rPr>
        <w:t>проведения выборов</w:t>
      </w:r>
    </w:p>
    <w:p w14:paraId="54C2397C" w14:textId="77777777" w:rsidR="003202CC" w:rsidRPr="00B7368E" w:rsidRDefault="003202CC" w:rsidP="003202CC">
      <w:pPr>
        <w:pStyle w:val="ListParagraph"/>
        <w:keepNext/>
        <w:spacing w:after="240"/>
        <w:contextualSpacing w:val="0"/>
        <w:rPr>
          <w:rFonts w:ascii="Arial" w:eastAsia="Calibri" w:hAnsi="Arial" w:cs="Arial"/>
          <w:sz w:val="22"/>
          <w:szCs w:val="22"/>
        </w:rPr>
      </w:pPr>
      <w:r w:rsidRPr="00B7368E">
        <w:rPr>
          <w:rFonts w:ascii="Arial" w:hAnsi="Arial"/>
          <w:sz w:val="22"/>
          <w:szCs w:val="22"/>
        </w:rPr>
        <w:t>Исполнительный совет,</w:t>
      </w:r>
    </w:p>
    <w:p w14:paraId="3A2432CC" w14:textId="77777777" w:rsidR="003202CC" w:rsidRPr="00B7368E" w:rsidRDefault="003202CC" w:rsidP="003202CC">
      <w:pPr>
        <w:pStyle w:val="ListParagraph"/>
        <w:tabs>
          <w:tab w:val="left" w:pos="-737"/>
          <w:tab w:val="left" w:pos="851"/>
        </w:tabs>
        <w:spacing w:after="240"/>
        <w:contextualSpacing w:val="0"/>
        <w:rPr>
          <w:rFonts w:ascii="Arial" w:eastAsia="Calibri" w:hAnsi="Arial" w:cs="Arial"/>
          <w:sz w:val="22"/>
          <w:szCs w:val="22"/>
          <w:u w:val="single"/>
        </w:rPr>
      </w:pPr>
      <w:r w:rsidRPr="00B7368E">
        <w:rPr>
          <w:rFonts w:ascii="Arial" w:hAnsi="Arial"/>
          <w:sz w:val="22"/>
          <w:szCs w:val="22"/>
          <w:u w:val="single"/>
        </w:rPr>
        <w:t>рассмотрев</w:t>
      </w:r>
      <w:r w:rsidRPr="00B7368E">
        <w:rPr>
          <w:rFonts w:ascii="Arial" w:hAnsi="Arial"/>
          <w:sz w:val="22"/>
          <w:szCs w:val="22"/>
        </w:rPr>
        <w:t xml:space="preserve"> документ IOC/EC-57/5.3.Doc(1),</w:t>
      </w:r>
    </w:p>
    <w:p w14:paraId="19BD9367" w14:textId="77777777" w:rsidR="003202CC" w:rsidRPr="005C239B" w:rsidRDefault="003202CC" w:rsidP="003202CC">
      <w:pPr>
        <w:pStyle w:val="Style2"/>
        <w:tabs>
          <w:tab w:val="clear" w:pos="1400"/>
          <w:tab w:val="left" w:pos="709"/>
        </w:tabs>
        <w:rPr>
          <w:rFonts w:cs="Arial"/>
        </w:rPr>
      </w:pPr>
      <w:r w:rsidRPr="00E05DB3">
        <w:rPr>
          <w:u w:val="single"/>
        </w:rPr>
        <w:t>принимает к сведению</w:t>
      </w:r>
      <w:r w:rsidRPr="00E05DB3">
        <w:t xml:space="preserve"> проект руководящих принципов подготовки и участия государств-членов в проводимых раз в два года выборах Председателя и заместителей Председателя МОК (должностные лица Комиссии) и государств</w:t>
      </w:r>
      <w:r w:rsidRPr="00B63E83">
        <w:t xml:space="preserve"> </w:t>
      </w:r>
      <w:r>
        <w:t>–</w:t>
      </w:r>
      <w:r w:rsidRPr="00B63E83">
        <w:t xml:space="preserve"> </w:t>
      </w:r>
      <w:r w:rsidRPr="00E05DB3">
        <w:t>членов Исполнительного совета, подлежащий дальнейшему рассмотрению комитетом по финансовым вопросам в целях подготовки проекта резолюции, который будет обсужден и принят на пленарном заседании в рамках обсуждения пункта 5.4 повестки дня.</w:t>
      </w:r>
    </w:p>
    <w:p w14:paraId="18CCA159" w14:textId="77777777" w:rsidR="003202CC" w:rsidRPr="003202CC" w:rsidRDefault="003202CC" w:rsidP="003202CC">
      <w:pPr>
        <w:pStyle w:val="Heading2"/>
        <w:ind w:left="709" w:hanging="709"/>
        <w:rPr>
          <w:rFonts w:eastAsia="Calibri" w:cs="Arial"/>
          <w:szCs w:val="22"/>
        </w:rPr>
      </w:pPr>
      <w:bookmarkStart w:id="135" w:name="_Toc177658044"/>
      <w:r>
        <w:t>5.4</w:t>
      </w:r>
      <w:r>
        <w:tab/>
        <w:t>ДОКЛАД ПРЕДСЕДАТЕЛЯ КОМИТЕТА ПО ФИНАНСОВЫМ ВОПРОСАМ</w:t>
      </w:r>
      <w:bookmarkEnd w:id="135"/>
    </w:p>
    <w:p w14:paraId="7D569F61" w14:textId="77777777" w:rsidR="003202CC" w:rsidRPr="00B63E83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Председатель комитета по финансовым вопросам, заместитель Председателя МОК г-н Хуан Фореро Хаузер (Колумбия) представил Исполнительному совету информацию о результатах рассмотрения комитетом пунктов повестки дня, препровожденных ему в ходе пленарного заседания, а также вопросов, предусмотренных в статье 45.1(c) Правил процедуры.</w:t>
      </w:r>
    </w:p>
    <w:p w14:paraId="7F2D5A73" w14:textId="77777777" w:rsidR="003202CC" w:rsidRPr="00B63E83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>Председатель МОК поблагодарил от имени Исполнительного совета заместителя Председателя Хуана Камило Фореро Хаузера за его руководство работой комитета по финансовым вопросам, а также всех, кто участвовал в этой работе за их ответственный подход и внесенный вклад.</w:t>
      </w:r>
    </w:p>
    <w:p w14:paraId="09F3E4B1" w14:textId="77777777" w:rsidR="003202CC" w:rsidRPr="00B63E83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567"/>
        <w:rPr>
          <w:rFonts w:cs="Arial"/>
        </w:rPr>
      </w:pPr>
      <w:r>
        <w:t>Исполнительный совет принял резолюцию ЕС-57/2, представленную Австралией, Бангладеш, Бразилией, Германией, Индией, Испанией, Италией, Канадой, Китаем, Колумбией, Пакистаном, Португалией, Таиландом, Соединенным Королевством Великобритании и Северной Ирландии, Соединенными Штатами Америки, Францией, Южной Африкой и Японией.</w:t>
      </w:r>
    </w:p>
    <w:p w14:paraId="6C9917F7" w14:textId="77777777" w:rsidR="003202CC" w:rsidRPr="00E05DB3" w:rsidRDefault="003202CC" w:rsidP="00931C7D">
      <w:pPr>
        <w:tabs>
          <w:tab w:val="left" w:pos="2694"/>
        </w:tabs>
        <w:spacing w:after="240"/>
        <w:ind w:left="709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Аспекты деятельности Комиссии, касающиеся управления и </w:t>
      </w:r>
      <w:r w:rsidRPr="00E05DB3">
        <w:rPr>
          <w:rFonts w:ascii="Arial" w:hAnsi="Arial" w:cs="Arial"/>
          <w:b/>
          <w:bCs/>
          <w:sz w:val="22"/>
          <w:szCs w:val="22"/>
        </w:rPr>
        <w:br/>
        <w:t>подготовки программы и бюджета</w:t>
      </w:r>
    </w:p>
    <w:p w14:paraId="48394B60" w14:textId="77777777" w:rsidR="003202CC" w:rsidRPr="00E05DB3" w:rsidRDefault="003202CC" w:rsidP="00931C7D">
      <w:pPr>
        <w:tabs>
          <w:tab w:val="center" w:pos="4153"/>
          <w:tab w:val="right" w:pos="8306"/>
        </w:tabs>
        <w:snapToGrid w:val="0"/>
        <w:spacing w:after="240"/>
        <w:ind w:left="709"/>
        <w:rPr>
          <w:rFonts w:ascii="Arial" w:hAnsi="Arial" w:cs="Arial"/>
          <w:bCs/>
          <w:color w:val="000000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Исполнительный совет,</w:t>
      </w:r>
    </w:p>
    <w:p w14:paraId="590D8A66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рассмотрев</w:t>
      </w:r>
      <w:r w:rsidRPr="00E05DB3">
        <w:rPr>
          <w:rFonts w:ascii="Arial" w:hAnsi="Arial" w:cs="Arial"/>
          <w:sz w:val="22"/>
          <w:szCs w:val="22"/>
        </w:rPr>
        <w:t xml:space="preserve"> документы:</w:t>
      </w:r>
    </w:p>
    <w:p w14:paraId="778353CD" w14:textId="77777777" w:rsidR="003202CC" w:rsidRPr="00E05DB3" w:rsidRDefault="003202CC" w:rsidP="00931C7D">
      <w:pPr>
        <w:pStyle w:val="b"/>
        <w:numPr>
          <w:ilvl w:val="0"/>
          <w:numId w:val="49"/>
        </w:numPr>
        <w:tabs>
          <w:tab w:val="clear" w:pos="1134"/>
        </w:tabs>
        <w:snapToGrid w:val="0"/>
        <w:ind w:left="1276" w:hanging="567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IOC/EC-57/3.1.Doc(2) – Доклад об исполнении бюджета на 2022-2023 гг. (документ 41 С/5) по состоянию на 31 декабря 2023 г.,</w:t>
      </w:r>
    </w:p>
    <w:p w14:paraId="0432DD22" w14:textId="77777777" w:rsidR="003202CC" w:rsidRPr="00E05DB3" w:rsidRDefault="003202CC" w:rsidP="00931C7D">
      <w:pPr>
        <w:pStyle w:val="b"/>
        <w:numPr>
          <w:ilvl w:val="0"/>
          <w:numId w:val="49"/>
        </w:numPr>
        <w:tabs>
          <w:tab w:val="clear" w:pos="1134"/>
        </w:tabs>
        <w:snapToGrid w:val="0"/>
        <w:ind w:left="1276" w:hanging="567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IOC/EC-57/3.1.Doc(3) – Финансовое положение специального счета МОК по состоянию на конец 2023 г. и прогноз на 2024-2025 гг.,</w:t>
      </w:r>
    </w:p>
    <w:p w14:paraId="2E5A05FE" w14:textId="77777777" w:rsidR="003202CC" w:rsidRPr="00E05DB3" w:rsidRDefault="003202CC" w:rsidP="00931C7D">
      <w:pPr>
        <w:pStyle w:val="b"/>
        <w:numPr>
          <w:ilvl w:val="0"/>
          <w:numId w:val="49"/>
        </w:numPr>
        <w:tabs>
          <w:tab w:val="clear" w:pos="1134"/>
        </w:tabs>
        <w:snapToGrid w:val="0"/>
        <w:ind w:left="1276" w:hanging="567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IOC/EC-57/3.1.Doc(4) – Процесс консультаций по теме «МОК и будущее Мирового океана: устойчивое осуществление и расширение деятельности МОК»,</w:t>
      </w:r>
    </w:p>
    <w:p w14:paraId="4EA4B44B" w14:textId="77777777" w:rsidR="003202CC" w:rsidRPr="00E05DB3" w:rsidRDefault="003202CC" w:rsidP="00931C7D">
      <w:pPr>
        <w:pStyle w:val="b"/>
        <w:numPr>
          <w:ilvl w:val="0"/>
          <w:numId w:val="49"/>
        </w:numPr>
        <w:tabs>
          <w:tab w:val="clear" w:pos="1134"/>
        </w:tabs>
        <w:snapToGrid w:val="0"/>
        <w:ind w:left="1276" w:hanging="567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IOC/EC-57/5.1.Doc(1) – Пересмотренные программа и бюджет на 2024-2025 гг. (документ 42 С/5) и предварительные предложения на 2026-2029 гг. (проект документа 43 С/5)</w:t>
      </w:r>
      <w:bookmarkStart w:id="136" w:name="_Hlk137637641"/>
      <w:bookmarkEnd w:id="136"/>
      <w:r w:rsidRPr="00E05DB3">
        <w:rPr>
          <w:rFonts w:ascii="Arial" w:hAnsi="Arial" w:cs="Arial"/>
          <w:sz w:val="22"/>
          <w:szCs w:val="22"/>
        </w:rPr>
        <w:t>,</w:t>
      </w:r>
    </w:p>
    <w:p w14:paraId="1FA584FA" w14:textId="77777777" w:rsidR="003202CC" w:rsidRPr="00E05DB3" w:rsidRDefault="003202CC" w:rsidP="00931C7D">
      <w:pPr>
        <w:pStyle w:val="b"/>
        <w:numPr>
          <w:ilvl w:val="0"/>
          <w:numId w:val="49"/>
        </w:numPr>
        <w:tabs>
          <w:tab w:val="clear" w:pos="1134"/>
        </w:tabs>
        <w:snapToGrid w:val="0"/>
        <w:ind w:left="1276" w:hanging="567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IOC/EC-57/5.2.Doc(1) – План действий в связи с проведенной IOS оценкой стратегического позиционирования МОК: обновленная информация об осуществлении,</w:t>
      </w:r>
    </w:p>
    <w:p w14:paraId="2BEB3B98" w14:textId="77777777" w:rsidR="003202CC" w:rsidRPr="00E05DB3" w:rsidRDefault="003202CC" w:rsidP="00931C7D">
      <w:pPr>
        <w:pStyle w:val="b"/>
        <w:numPr>
          <w:ilvl w:val="0"/>
          <w:numId w:val="49"/>
        </w:numPr>
        <w:tabs>
          <w:tab w:val="clear" w:pos="1134"/>
        </w:tabs>
        <w:snapToGrid w:val="0"/>
        <w:ind w:left="1276" w:hanging="567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lastRenderedPageBreak/>
        <w:t>IOC/ЕС-57/5.2.Doc(2) – Доклад председателя межсессионной финансовой консультативной группы (межсессионный период с января по июнь 2024 г.),</w:t>
      </w:r>
    </w:p>
    <w:p w14:paraId="7A5A08B6" w14:textId="77777777" w:rsidR="003202CC" w:rsidRPr="00E05DB3" w:rsidRDefault="003202CC" w:rsidP="00931C7D">
      <w:pPr>
        <w:pStyle w:val="b"/>
        <w:numPr>
          <w:ilvl w:val="0"/>
          <w:numId w:val="49"/>
        </w:numPr>
        <w:tabs>
          <w:tab w:val="clear" w:pos="1134"/>
        </w:tabs>
        <w:snapToGrid w:val="0"/>
        <w:ind w:left="1276" w:hanging="567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IOC/EC-57/5.3.Doc(1) – Проект руководящих принципов подготовки и участия государств-членов в проводимых раз в два года выборах Председателя и заместителей Председателя МОК (должностных лиц Комиссии) и государств – членов Исполнительного совета,</w:t>
      </w:r>
    </w:p>
    <w:p w14:paraId="6B0D2DCB" w14:textId="77777777" w:rsidR="003202CC" w:rsidRPr="00E05DB3" w:rsidRDefault="003202CC" w:rsidP="00931C7D">
      <w:pPr>
        <w:pStyle w:val="b"/>
        <w:keepNext/>
        <w:tabs>
          <w:tab w:val="clear" w:pos="1134"/>
        </w:tabs>
        <w:ind w:left="709" w:firstLine="0"/>
        <w:jc w:val="center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Часть I.</w:t>
      </w:r>
      <w:r w:rsidRPr="00E05DB3">
        <w:rPr>
          <w:rFonts w:ascii="Arial" w:hAnsi="Arial" w:cs="Arial"/>
          <w:sz w:val="22"/>
          <w:szCs w:val="22"/>
        </w:rPr>
        <w:t xml:space="preserve"> </w:t>
      </w:r>
    </w:p>
    <w:p w14:paraId="73A2B25D" w14:textId="33D2B5A5" w:rsidR="003202CC" w:rsidRPr="00E05DB3" w:rsidRDefault="003202CC" w:rsidP="00931C7D">
      <w:pPr>
        <w:pStyle w:val="b"/>
        <w:keepNext/>
        <w:tabs>
          <w:tab w:val="clear" w:pos="1134"/>
        </w:tabs>
        <w:ind w:left="709" w:firstLine="0"/>
        <w:jc w:val="center"/>
        <w:rPr>
          <w:rFonts w:ascii="Arial" w:eastAsia="Calibri" w:hAnsi="Arial" w:cs="Arial"/>
          <w:b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Доклад об исполнении бюджета на 2022-2023 гг. (документ 41 С/5) по состоянию на 31 декабря 2023 г. и финансовое положение специального счета МОК </w:t>
      </w:r>
      <w:r w:rsidR="00B83919" w:rsidRPr="005C4EF1">
        <w:rPr>
          <w:rFonts w:ascii="Arial" w:hAnsi="Arial" w:cs="Arial"/>
          <w:b/>
          <w:bCs/>
          <w:sz w:val="22"/>
          <w:szCs w:val="22"/>
        </w:rPr>
        <w:br/>
      </w:r>
      <w:r w:rsidRPr="00E05DB3">
        <w:rPr>
          <w:rFonts w:ascii="Arial" w:hAnsi="Arial" w:cs="Arial"/>
          <w:b/>
          <w:bCs/>
          <w:sz w:val="22"/>
          <w:szCs w:val="22"/>
        </w:rPr>
        <w:t>по состоянию на конец 2023 г. и прогноз на 2024-2025 гг.</w:t>
      </w:r>
    </w:p>
    <w:p w14:paraId="43A19019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подтверждает</w:t>
      </w:r>
      <w:r w:rsidRPr="00E05DB3">
        <w:rPr>
          <w:rFonts w:ascii="Arial" w:hAnsi="Arial" w:cs="Arial"/>
          <w:sz w:val="22"/>
          <w:szCs w:val="22"/>
        </w:rPr>
        <w:t>, что, согласно представленному в документе IOC/EC-57/3.1.Doc(2) докладу, бюджет МОК на 2022-2023 гг. был исполнен в соответствии с утвержденными программой и бюджетом ЮНЕСКО на 2022-2023 гг. (документ 41 C/5), включая скорректированную сумму бюджетных ассигнований для специального счета МОК, утвержденных Ассамблеей МОК на ее 31-й сессии в резолюции A-31/2 и затем пересмотренных Исполнительным советом МОК на его 55-й сессии в резолюции ЕС-55/2;</w:t>
      </w:r>
    </w:p>
    <w:p w14:paraId="2821E1BB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отмечает</w:t>
      </w:r>
      <w:r w:rsidRPr="00E05DB3">
        <w:rPr>
          <w:rFonts w:ascii="Arial" w:hAnsi="Arial" w:cs="Arial"/>
          <w:sz w:val="22"/>
          <w:szCs w:val="22"/>
        </w:rPr>
        <w:t xml:space="preserve">, что, хотя общие плановые показатели привлечения внебюджетных средств, установленные на двухлетний период 2022-2023 гг., были достигнуты, по состоянию на конец 2023 г. сохранялись некоторые пробелы в финансировании функций D и F; </w:t>
      </w:r>
    </w:p>
    <w:p w14:paraId="36DD83D3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благодарит </w:t>
      </w:r>
      <w:r w:rsidRPr="00E05DB3">
        <w:rPr>
          <w:rFonts w:ascii="Arial" w:hAnsi="Arial" w:cs="Arial"/>
          <w:sz w:val="22"/>
          <w:szCs w:val="22"/>
        </w:rPr>
        <w:t>государства-члены, предоставившие внебюджетные средства и взносы в натуральной форме на осуществление программы в 2022-2023 гг.;</w:t>
      </w:r>
    </w:p>
    <w:p w14:paraId="6B16F4AA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принимает к сведению</w:t>
      </w:r>
      <w:r w:rsidRPr="00E05DB3">
        <w:rPr>
          <w:rFonts w:ascii="Arial" w:hAnsi="Arial" w:cs="Arial"/>
          <w:sz w:val="22"/>
          <w:szCs w:val="22"/>
        </w:rPr>
        <w:t xml:space="preserve"> информацию о финансовом положении специального счета МОК по состоянию на конец 2023 г. и прогноз на 2024-2025 гг., представленные в документе IOC/EC 57/3.1.Doc(3);</w:t>
      </w:r>
    </w:p>
    <w:p w14:paraId="6AB514BE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утверждает </w:t>
      </w:r>
      <w:r w:rsidRPr="00E05DB3">
        <w:rPr>
          <w:rFonts w:ascii="Arial" w:hAnsi="Arial" w:cs="Arial"/>
          <w:sz w:val="22"/>
          <w:szCs w:val="22"/>
        </w:rPr>
        <w:t>пересмотренную сумму бюджетных ассигнований на 2024-2025 гг., предложенную в таблице 1 документа IOC/EC 57/3.1.Doc(3);</w:t>
      </w:r>
    </w:p>
    <w:p w14:paraId="3FE9A7F2" w14:textId="250B4042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призывает</w:t>
      </w:r>
      <w:r w:rsidRPr="00E05DB3">
        <w:rPr>
          <w:rFonts w:ascii="Arial" w:hAnsi="Arial" w:cs="Arial"/>
          <w:sz w:val="22"/>
          <w:szCs w:val="22"/>
        </w:rPr>
        <w:t xml:space="preserve"> государства-члены предоставлять добровольные взносы, с тем чтобы обеспечить достижение в полном объеме коллективно согласованных целевых показателей по привлечению внебюджетных средств для всех функций МОК в 2024-2025</w:t>
      </w:r>
      <w:r w:rsidR="00AE6F12">
        <w:rPr>
          <w:rFonts w:ascii="Arial" w:hAnsi="Arial" w:cs="Arial"/>
          <w:sz w:val="22"/>
          <w:szCs w:val="22"/>
          <w:lang w:val="en-US"/>
        </w:rPr>
        <w:t> </w:t>
      </w:r>
      <w:r w:rsidRPr="00E05DB3">
        <w:rPr>
          <w:rFonts w:ascii="Arial" w:hAnsi="Arial" w:cs="Arial"/>
          <w:sz w:val="22"/>
          <w:szCs w:val="22"/>
        </w:rPr>
        <w:t>гг., предпочтительно на специальный счет МОК;</w:t>
      </w:r>
    </w:p>
    <w:p w14:paraId="01DCD07A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просит </w:t>
      </w:r>
      <w:r w:rsidRPr="00E05DB3">
        <w:rPr>
          <w:rFonts w:ascii="Arial" w:hAnsi="Arial" w:cs="Arial"/>
          <w:sz w:val="22"/>
          <w:szCs w:val="22"/>
        </w:rPr>
        <w:t>Исполнительного секретаря МОК активизировать принятие инициативных мер в целях получения дальнейших добровольных взносов, в том числе от доноров из частного сектора и прочих партнеров, и полного выполнения программных целевых показателей Комиссии на 2024-2025 гг.;</w:t>
      </w:r>
    </w:p>
    <w:p w14:paraId="0F367878" w14:textId="77777777" w:rsidR="003202CC" w:rsidRPr="00E05DB3" w:rsidRDefault="003202CC" w:rsidP="00931C7D">
      <w:pPr>
        <w:pStyle w:val="ListParagraph"/>
        <w:spacing w:after="240"/>
        <w:ind w:left="709"/>
        <w:contextualSpacing w:val="0"/>
        <w:jc w:val="center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Часть II.</w:t>
      </w:r>
      <w:r w:rsidRPr="00E05DB3">
        <w:rPr>
          <w:rFonts w:ascii="Arial" w:hAnsi="Arial" w:cs="Arial"/>
          <w:sz w:val="22"/>
          <w:szCs w:val="22"/>
        </w:rPr>
        <w:t xml:space="preserve"> </w:t>
      </w:r>
    </w:p>
    <w:p w14:paraId="37B84427" w14:textId="77777777" w:rsidR="003202CC" w:rsidRPr="00E05DB3" w:rsidRDefault="003202CC" w:rsidP="00931C7D">
      <w:pPr>
        <w:pStyle w:val="ListParagraph"/>
        <w:spacing w:after="240"/>
        <w:ind w:left="709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Пересмотренные программа и бюджет на 2024-2025 гг. (документ 42 С/5) и </w:t>
      </w:r>
      <w:r w:rsidRPr="00E05DB3">
        <w:rPr>
          <w:rFonts w:ascii="Arial" w:hAnsi="Arial" w:cs="Arial"/>
          <w:b/>
          <w:bCs/>
          <w:sz w:val="22"/>
          <w:szCs w:val="22"/>
        </w:rPr>
        <w:br/>
        <w:t>предварительные предложения на 2026-2029 гг. (проект документа 43 С/5)</w:t>
      </w:r>
    </w:p>
    <w:p w14:paraId="331B4B42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напоминает </w:t>
      </w:r>
      <w:r w:rsidRPr="00E05DB3">
        <w:rPr>
          <w:rFonts w:ascii="Arial" w:hAnsi="Arial" w:cs="Arial"/>
          <w:sz w:val="22"/>
          <w:szCs w:val="22"/>
        </w:rPr>
        <w:t xml:space="preserve">о принятом Исполнительным советом ЮНЕСКО на его 216-й сессии решении, в котором Генеральной конференции ЮНЕСКО на ее 42-й сессии было рекомендовано согласовать увеличение выделяемой МОК доли в бюджете обычной программы ЮНЕСКО на [1%], причем эта доля не должна сокращаться в результате переноса средств в другие части бюджета, и «определить и согласовать исходное значение доли выделяемых МОК ЮНЕСКО средств бюджета обычной программы </w:t>
      </w:r>
      <w:r w:rsidRPr="00E05DB3">
        <w:rPr>
          <w:rFonts w:ascii="Arial" w:hAnsi="Arial" w:cs="Arial"/>
          <w:sz w:val="22"/>
          <w:szCs w:val="22"/>
        </w:rPr>
        <w:lastRenderedPageBreak/>
        <w:t>ЮНЕСКО в рамках документа 42 С/5 и будущих документов С/5, которое не может быть снижено в будущем, если иное не согласовано Генеральной конференцией»;</w:t>
      </w:r>
    </w:p>
    <w:p w14:paraId="3922FA92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bCs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благодарит </w:t>
      </w:r>
      <w:r w:rsidRPr="00E05DB3">
        <w:rPr>
          <w:rFonts w:ascii="Arial" w:hAnsi="Arial" w:cs="Arial"/>
          <w:sz w:val="22"/>
          <w:szCs w:val="22"/>
        </w:rPr>
        <w:t>государства-члены за включение в повестку дня 216-й сессии Исполнительного совета ЮНЕСКО пункта 44 «Срочная необходимость увеличения объема и обеспечения большей стабильности финансирования Межправительственной океанографической комиссии (МОК)», по итогам рассмотрения которого было принято вышеупомянутое решение;</w:t>
      </w:r>
    </w:p>
    <w:p w14:paraId="0DF3737B" w14:textId="392A424F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принимает к сведению с удовлетворением</w:t>
      </w:r>
      <w:r w:rsidRPr="00E05DB3">
        <w:rPr>
          <w:rFonts w:ascii="Arial" w:hAnsi="Arial" w:cs="Arial"/>
          <w:sz w:val="22"/>
          <w:szCs w:val="22"/>
        </w:rPr>
        <w:t xml:space="preserve"> информацию об одобренном Генеральной конференцией ЮНЕСКО на ее 42-й сессии в соответствии с приоритетами государств-членов увеличении ассигнований для МОК в рамках пересмотренного в связи с повторным вступлением в Организацию Соединенных Штатов Америки в июле 2023</w:t>
      </w:r>
      <w:r w:rsidR="00931C7D">
        <w:rPr>
          <w:rFonts w:ascii="Arial" w:hAnsi="Arial" w:cs="Arial"/>
          <w:sz w:val="22"/>
          <w:szCs w:val="22"/>
          <w:lang w:val="en-US"/>
        </w:rPr>
        <w:t> </w:t>
      </w:r>
      <w:r w:rsidRPr="00E05DB3">
        <w:rPr>
          <w:rFonts w:ascii="Arial" w:hAnsi="Arial" w:cs="Arial"/>
          <w:sz w:val="22"/>
          <w:szCs w:val="22"/>
        </w:rPr>
        <w:t>г. общего верхнего предельного уровня бюджета ЮНЕСКО в документе 42 С/5, что позволит МОК продолжать осуществлять свои основные программы и выполнять свою роль в проведении Десятилетия Организации Объединенных Наций, посвященного науке об океане в интересах устойчивого развития (2021-2030 гг.);</w:t>
      </w:r>
    </w:p>
    <w:p w14:paraId="4FA1F140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принимает к сведению</w:t>
      </w:r>
      <w:r w:rsidRPr="00E05DB3">
        <w:rPr>
          <w:rFonts w:ascii="Arial" w:hAnsi="Arial" w:cs="Arial"/>
          <w:sz w:val="22"/>
          <w:szCs w:val="22"/>
        </w:rPr>
        <w:t xml:space="preserve"> представленные в документе IOC/EC-57/5.1.Doc(1) пересмотренные программу и бюджет на 2024-2025 гг. (42 С/5), подготовленные в качестве неотъемлемой части проекта программы и бюджета ЮНЕСКО на 2024-2025 гг. (42 С/5), представленных Генеральным директором ЮНЕСКО Исполнительному совету ЮНЕСКО на его 216-й сессии и затем утвержденных Генеральной конференцией ЮНЕСКО на ее 42-й сессии;</w:t>
      </w:r>
    </w:p>
    <w:p w14:paraId="12B10D9A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принимает к сведению также</w:t>
      </w:r>
      <w:r w:rsidRPr="00E05DB3">
        <w:rPr>
          <w:rFonts w:ascii="Arial" w:hAnsi="Arial" w:cs="Arial"/>
          <w:sz w:val="22"/>
          <w:szCs w:val="22"/>
        </w:rPr>
        <w:t xml:space="preserve"> дополнительную информацию, представленную Секретариатом МОК по просьбе межсессионной финансовой консультативной группы МОК (МФКГ) и отраженную в докладе председателя МФКГ (IOC/EC-57/5.2.Doc(2)); </w:t>
      </w:r>
    </w:p>
    <w:p w14:paraId="2D638F42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полагает</w:t>
      </w:r>
      <w:r w:rsidRPr="00E05DB3">
        <w:rPr>
          <w:rFonts w:ascii="Arial" w:hAnsi="Arial" w:cs="Arial"/>
          <w:sz w:val="22"/>
          <w:szCs w:val="22"/>
        </w:rPr>
        <w:t xml:space="preserve">, что программные решения Секретариата МОК, принятые им при разработке пересмотренных программы и бюджета на 2024-2025 гг. (документ 42 С/5), соответствуют стратегическим указаниям государств-членов, содержащимся в резолюции МОК А-32/4; </w:t>
      </w:r>
    </w:p>
    <w:p w14:paraId="5F7BA74C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приветствует</w:t>
      </w:r>
      <w:r w:rsidRPr="00E05DB3">
        <w:rPr>
          <w:rFonts w:ascii="Arial" w:hAnsi="Arial" w:cs="Arial"/>
          <w:sz w:val="22"/>
          <w:szCs w:val="22"/>
        </w:rPr>
        <w:t>, в частности:</w:t>
      </w:r>
    </w:p>
    <w:p w14:paraId="25CE0406" w14:textId="77777777" w:rsidR="003202CC" w:rsidRPr="00E05DB3" w:rsidRDefault="003202CC" w:rsidP="003202CC">
      <w:pPr>
        <w:pStyle w:val="b"/>
        <w:numPr>
          <w:ilvl w:val="0"/>
          <w:numId w:val="50"/>
        </w:numPr>
        <w:tabs>
          <w:tab w:val="clear" w:pos="1134"/>
        </w:tabs>
        <w:snapToGrid w:val="0"/>
        <w:ind w:left="1134" w:hanging="567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стабилизацию финансирования всех функций МОК в сочетании с целевыми дополнительными инвестициями в МООД, ГСНО, развитие потенциала и функционирование региональных вспомогательных органов, которые Ассамблея МОК определила как «критически уязвимые области»;</w:t>
      </w:r>
    </w:p>
    <w:p w14:paraId="6B7D25DB" w14:textId="77777777" w:rsidR="003202CC" w:rsidRPr="00E05DB3" w:rsidRDefault="003202CC" w:rsidP="003202CC">
      <w:pPr>
        <w:pStyle w:val="b"/>
        <w:numPr>
          <w:ilvl w:val="0"/>
          <w:numId w:val="50"/>
        </w:numPr>
        <w:tabs>
          <w:tab w:val="clear" w:pos="1134"/>
        </w:tabs>
        <w:snapToGrid w:val="0"/>
        <w:ind w:left="1134" w:hanging="567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>кадровые решения Исполнительного секретаря МОК, направленные на укрепление вышеупомянутых критически уязвимых областей в приоритетном порядке;</w:t>
      </w:r>
    </w:p>
    <w:p w14:paraId="3B222DEE" w14:textId="77777777" w:rsidR="003202CC" w:rsidRPr="00E05DB3" w:rsidRDefault="003202CC" w:rsidP="003202CC">
      <w:pPr>
        <w:pStyle w:val="b"/>
        <w:numPr>
          <w:ilvl w:val="0"/>
          <w:numId w:val="50"/>
        </w:numPr>
        <w:tabs>
          <w:tab w:val="clear" w:pos="1134"/>
        </w:tabs>
        <w:snapToGrid w:val="0"/>
        <w:ind w:left="1134" w:hanging="567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 xml:space="preserve">значительное улучшение соотношения расходов на персонал и других расходов, финансируемых из обычного бюджета; </w:t>
      </w:r>
    </w:p>
    <w:p w14:paraId="2948E88A" w14:textId="77777777" w:rsidR="003202CC" w:rsidRPr="00E05DB3" w:rsidRDefault="003202CC" w:rsidP="003202CC">
      <w:pPr>
        <w:pStyle w:val="b"/>
        <w:numPr>
          <w:ilvl w:val="0"/>
          <w:numId w:val="50"/>
        </w:numPr>
        <w:tabs>
          <w:tab w:val="clear" w:pos="1134"/>
        </w:tabs>
        <w:snapToGrid w:val="0"/>
        <w:ind w:left="1134" w:hanging="567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sz w:val="22"/>
          <w:szCs w:val="22"/>
        </w:rPr>
        <w:t xml:space="preserve">значительное увеличение ассигнований из обычного бюджета на мероприятия МОКАФРИКА в соответствии с глобальным приоритетом ЮНЕСКО «Африка» и с учетом необходимости наличия соответствующих ресурсов для осуществления программы; </w:t>
      </w:r>
    </w:p>
    <w:p w14:paraId="6D0DD13E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принимает к сведению далее</w:t>
      </w:r>
      <w:r w:rsidRPr="00E05DB3">
        <w:rPr>
          <w:rFonts w:ascii="Arial" w:hAnsi="Arial" w:cs="Arial"/>
          <w:sz w:val="22"/>
          <w:szCs w:val="22"/>
        </w:rPr>
        <w:t xml:space="preserve"> информацию о проведении на постоянной основе в рамках соответствующих программ и вспомогательных органов консультаций по приоритетным направлениям деятельности с целью совместной разработки </w:t>
      </w:r>
      <w:r w:rsidRPr="00E05DB3">
        <w:rPr>
          <w:rFonts w:ascii="Arial" w:hAnsi="Arial" w:cs="Arial"/>
          <w:sz w:val="22"/>
          <w:szCs w:val="22"/>
        </w:rPr>
        <w:lastRenderedPageBreak/>
        <w:t>приоритетных мероприятий и оптимизации работы по ним в 2024-2025 гг., а также  формирования основы для проекта документа 43 С/5 в соответствии с приоритетными направлениями деятельности, определенными в документе 42 С/5, и с расчетом на сохранение результатов, связанных с изложенными в резолюции МОК А-32/4 принципами высокого уровня;</w:t>
      </w:r>
    </w:p>
    <w:p w14:paraId="462132EE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отмечает </w:t>
      </w:r>
      <w:r w:rsidRPr="00E05DB3">
        <w:rPr>
          <w:rFonts w:ascii="Arial" w:hAnsi="Arial" w:cs="Arial"/>
          <w:sz w:val="22"/>
          <w:szCs w:val="22"/>
        </w:rPr>
        <w:t xml:space="preserve">с большой обеспокоенностью, что некоторые из вышеупомянутых критически уязвимых областей МОК все еще не укомплектованы кадрами, и в ходе следующих бюджетных циклов нужно будет рассмотреть вопрос об их укреплении; </w:t>
      </w:r>
    </w:p>
    <w:p w14:paraId="02ABB499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просит </w:t>
      </w:r>
      <w:r w:rsidRPr="00E05DB3">
        <w:rPr>
          <w:rFonts w:ascii="Arial" w:hAnsi="Arial" w:cs="Arial"/>
          <w:sz w:val="22"/>
          <w:szCs w:val="22"/>
        </w:rPr>
        <w:t xml:space="preserve">Исполнительного секретаря МОК в консультации с должностными лицами Комиссии приступить к проведению внешней оценки процессов руководства и управления в МОК с целью упорядочения ее функционирования и оптимизации использования ресурсов, с тем чтобы они действительно соответствовали поставленным целям в условиях быстро изменяющейся программы работы в сфере океана и с учетом растущих требований государств-членов и расширения многосторонних процессов; </w:t>
      </w:r>
    </w:p>
    <w:p w14:paraId="103C06C9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одобряет </w:t>
      </w:r>
      <w:r w:rsidRPr="00E05DB3">
        <w:rPr>
          <w:rFonts w:ascii="Arial" w:hAnsi="Arial" w:cs="Arial"/>
          <w:sz w:val="22"/>
          <w:szCs w:val="22"/>
        </w:rPr>
        <w:t>представленную в части III документа IOC/EC-57/5.1.Doc(1) методику подготовки предварительных предложений по программе и бюджету на 2026-2029 гг. (проект документа 43 С/5), в том числе формулировку промежуточного результата 1 МОК;</w:t>
      </w:r>
    </w:p>
    <w:p w14:paraId="69DCFF26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подчеркивает </w:t>
      </w:r>
      <w:r w:rsidRPr="00E05DB3">
        <w:rPr>
          <w:rFonts w:ascii="Arial" w:hAnsi="Arial" w:cs="Arial"/>
          <w:sz w:val="22"/>
          <w:szCs w:val="22"/>
        </w:rPr>
        <w:t>решающее значение четкого и всеобъемлющего процесса консультаций с го</w:t>
      </w:r>
      <w:r w:rsidRPr="00E05DB3">
        <w:rPr>
          <w:rFonts w:ascii="Arial" w:hAnsi="Arial" w:cs="Arial"/>
          <w:sz w:val="22"/>
          <w:szCs w:val="22"/>
        </w:rPr>
        <w:softHyphen/>
        <w:t>сударствами – членами МОК по вопросам управления, программирования и подготовки бюджета Комиссии;</w:t>
      </w:r>
    </w:p>
    <w:p w14:paraId="5E353323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просит также </w:t>
      </w:r>
      <w:r w:rsidRPr="00E05DB3">
        <w:rPr>
          <w:rFonts w:ascii="Arial" w:hAnsi="Arial" w:cs="Arial"/>
          <w:sz w:val="22"/>
          <w:szCs w:val="22"/>
        </w:rPr>
        <w:t xml:space="preserve">Исполнительного секретаря МОК разработать предложение по программе и бюджету на 2026-2029 гг. (проекту документа 43 С/5) для утверждения Ассамблеей МОК на ее 33-й сессии, продолжая информировать государства-члены обо всех связанных с этим событиях в межсессионный период, в том числе посредством регулярных и своевременных онлайновых совещаний МФКГ; </w:t>
      </w:r>
    </w:p>
    <w:p w14:paraId="39F7B9DB" w14:textId="77777777" w:rsidR="003202CC" w:rsidRPr="00E05DB3" w:rsidRDefault="003202CC" w:rsidP="00931C7D">
      <w:pPr>
        <w:pStyle w:val="ListParagraph"/>
        <w:tabs>
          <w:tab w:val="left" w:pos="567"/>
        </w:tabs>
        <w:snapToGrid w:val="0"/>
        <w:spacing w:after="240"/>
        <w:ind w:left="709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Часть III.</w:t>
      </w:r>
    </w:p>
    <w:p w14:paraId="6FA1CEDD" w14:textId="132809EE" w:rsidR="003202CC" w:rsidRPr="00E05DB3" w:rsidRDefault="003202CC" w:rsidP="00931C7D">
      <w:pPr>
        <w:pStyle w:val="ListParagraph"/>
        <w:tabs>
          <w:tab w:val="left" w:pos="567"/>
        </w:tabs>
        <w:snapToGrid w:val="0"/>
        <w:spacing w:after="240"/>
        <w:ind w:left="709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Проект плана действий по результатам проведенной IOS оценки стратегического позиционирования МОК: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DB3">
        <w:rPr>
          <w:rFonts w:ascii="Arial" w:hAnsi="Arial" w:cs="Arial"/>
          <w:b/>
          <w:bCs/>
          <w:sz w:val="22"/>
          <w:szCs w:val="22"/>
        </w:rPr>
        <w:t>обновленная информация о ходе выполнения</w:t>
      </w:r>
    </w:p>
    <w:p w14:paraId="2D89D8FD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напоминает</w:t>
      </w:r>
      <w:r w:rsidRPr="00E05DB3">
        <w:rPr>
          <w:rFonts w:ascii="Arial" w:hAnsi="Arial" w:cs="Arial"/>
          <w:sz w:val="22"/>
          <w:szCs w:val="22"/>
        </w:rPr>
        <w:t>, что план действий по итогам проведенной IOS оценки стратегического позиционирования МОК, представленный в документе IOC/A-32/6.3.Doc(1), был одобрен Ассамблеей МОК на ее 32-й сессии и воспроизводится для сведения Исполнительного совета МОК  в документе IOC/EC-57/5.2.Doc(1) с обновленной информацией о его осуществлении, которая приводится в таблице под названием «Краткий обзор предлагаемых мер и обновленная информация о ходе работы»;</w:t>
      </w:r>
    </w:p>
    <w:p w14:paraId="1C56408C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напоминает также</w:t>
      </w:r>
      <w:r w:rsidRPr="00E05DB3">
        <w:rPr>
          <w:rFonts w:ascii="Arial" w:hAnsi="Arial" w:cs="Arial"/>
          <w:sz w:val="22"/>
          <w:szCs w:val="22"/>
        </w:rPr>
        <w:t>, что Ассамблея МОК на ее 32-й сессии просила Секретариат МОК продолжать осуществление плана действий «с учетом меняющейся ситуации в МОК, в том числе имеющихся в наличии средств, предлагая соответствующие корректировки и отчитываясь о ходе работы перед руководящими органами МОК и ЮНЕСКО»;</w:t>
      </w:r>
    </w:p>
    <w:p w14:paraId="33F6FE25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приветствует </w:t>
      </w:r>
      <w:r w:rsidRPr="00E05DB3">
        <w:rPr>
          <w:rFonts w:ascii="Arial" w:hAnsi="Arial" w:cs="Arial"/>
          <w:sz w:val="22"/>
          <w:szCs w:val="22"/>
        </w:rPr>
        <w:t xml:space="preserve">обновленную информацию о ходе осуществления плана, содержащуюся в вышеупомянутой таблице под названием «Краткий обзор предлагаемых мер и обновленная информация о ходе работы»; </w:t>
      </w:r>
    </w:p>
    <w:p w14:paraId="2580AFA1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выражает согласие</w:t>
      </w:r>
      <w:r w:rsidRPr="00E05DB3">
        <w:rPr>
          <w:rFonts w:ascii="Arial" w:hAnsi="Arial" w:cs="Arial"/>
          <w:sz w:val="22"/>
          <w:szCs w:val="22"/>
        </w:rPr>
        <w:t xml:space="preserve"> с мнением Исполнительного секретаря МОК относительно того, что, хотя некоторые меры уже приняты, а другие находятся в процессе реализации, </w:t>
      </w:r>
      <w:r w:rsidRPr="00E05DB3">
        <w:rPr>
          <w:rFonts w:ascii="Arial" w:hAnsi="Arial" w:cs="Arial"/>
          <w:sz w:val="22"/>
          <w:szCs w:val="22"/>
        </w:rPr>
        <w:lastRenderedPageBreak/>
        <w:t>целый ряд стратегических мер потребует дальнейшего анализа и обсуждения с государствами-членами в рамках нового этапа консультаций по теме «МОК и будущее Мирового океана»;</w:t>
      </w:r>
    </w:p>
    <w:p w14:paraId="54DE7354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просит </w:t>
      </w:r>
      <w:r w:rsidRPr="00E05DB3">
        <w:rPr>
          <w:rFonts w:ascii="Arial" w:hAnsi="Arial" w:cs="Arial"/>
          <w:sz w:val="22"/>
          <w:szCs w:val="22"/>
        </w:rPr>
        <w:t>Исполнительного секретаря МОК провести соответствующую работу и представить подготовленное на ее основе предложение Ассамблее МОК для рассмотрения на ее 33-й сессии;</w:t>
      </w:r>
    </w:p>
    <w:p w14:paraId="74FB2E10" w14:textId="77777777" w:rsidR="003202CC" w:rsidRPr="00E05DB3" w:rsidRDefault="003202CC" w:rsidP="00931C7D">
      <w:pPr>
        <w:pStyle w:val="ListParagraph"/>
        <w:keepNext/>
        <w:tabs>
          <w:tab w:val="left" w:pos="567"/>
        </w:tabs>
        <w:snapToGrid w:val="0"/>
        <w:spacing w:after="240"/>
        <w:ind w:left="709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Часть IV.</w:t>
      </w:r>
    </w:p>
    <w:p w14:paraId="6322FFC4" w14:textId="77777777" w:rsidR="003202CC" w:rsidRPr="00E05DB3" w:rsidRDefault="003202CC" w:rsidP="00931C7D">
      <w:pPr>
        <w:pStyle w:val="ListParagraph"/>
        <w:keepNext/>
        <w:tabs>
          <w:tab w:val="left" w:pos="567"/>
        </w:tabs>
        <w:snapToGrid w:val="0"/>
        <w:spacing w:after="240"/>
        <w:ind w:left="709"/>
        <w:contextualSpacing w:val="0"/>
        <w:jc w:val="center"/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Консультативный процесс «МОК и будущее Мирового океана»</w:t>
      </w:r>
    </w:p>
    <w:p w14:paraId="50BAE808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напоминает</w:t>
      </w:r>
      <w:r w:rsidRPr="00E05DB3">
        <w:rPr>
          <w:rFonts w:ascii="Arial" w:hAnsi="Arial" w:cs="Arial"/>
          <w:sz w:val="22"/>
          <w:szCs w:val="22"/>
        </w:rPr>
        <w:t xml:space="preserve"> о решении МОК А-32/5, памятуя о статусе МОК как органа, обладающего функциональной автономией в рамках ЮНЕСКО;</w:t>
      </w:r>
    </w:p>
    <w:p w14:paraId="2D644EFA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принимает к сведению</w:t>
      </w:r>
      <w:r w:rsidRPr="00E05DB3">
        <w:rPr>
          <w:rFonts w:ascii="Arial" w:hAnsi="Arial" w:cs="Arial"/>
          <w:sz w:val="22"/>
          <w:szCs w:val="22"/>
        </w:rPr>
        <w:t xml:space="preserve"> содержащееся в документе IOC/EC-57/3.1.Doc(4) предложение о том, чтобы консультации по теме «МОК и будущее Мирового океана» проводились в рамках трехлетнего процесса, скоординированного с расписанием сессий руководящих органов МОК;</w:t>
      </w:r>
    </w:p>
    <w:p w14:paraId="7C369F03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постановляет</w:t>
      </w:r>
      <w:r w:rsidRPr="00E05DB3">
        <w:rPr>
          <w:rFonts w:ascii="Arial" w:hAnsi="Arial" w:cs="Arial"/>
          <w:sz w:val="22"/>
          <w:szCs w:val="22"/>
        </w:rPr>
        <w:t>, что консультации будут сосредоточены в первую очередь на общем обзоре мероприятий, касающихся роли МОК в оказании помощи государствам-членам и другим заинтересованным сторонам, в том числе на выявлении пробелов и потребностей в рамках программ МОК, с тем чтобы обеспечить оптимальную организацию текущих и новых мероприятий в области научно обоснованного устойчивого планирования в сфере океана, океанографической поддержки в работе по соответствующим конвенциям и рамочным документам ООН, а также развития устойчивой экономики океана;</w:t>
      </w:r>
    </w:p>
    <w:p w14:paraId="567F4042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постановляет также</w:t>
      </w:r>
      <w:r w:rsidRPr="00E05DB3">
        <w:rPr>
          <w:rFonts w:ascii="Arial" w:hAnsi="Arial" w:cs="Arial"/>
          <w:sz w:val="22"/>
          <w:szCs w:val="22"/>
        </w:rPr>
        <w:t>, что обзор будет проводиться Секретариатом МОК в консультации с программами МОК, региональными вспомогательными органами МОК, государствами – членами МОК, в том числе через МФКГ и соответствующие межсессионные рабочие группы МОК, в частности рабочую группу МОК по устойчивому планированию и управлению в сфере океана, а также, по мере необходимости, с другими соответствующими заинтересованными сторонами;</w:t>
      </w:r>
    </w:p>
    <w:p w14:paraId="6AD0FBB7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постановляет далее</w:t>
      </w:r>
      <w:r w:rsidRPr="00E05DB3">
        <w:rPr>
          <w:rFonts w:ascii="Arial" w:hAnsi="Arial" w:cs="Arial"/>
          <w:sz w:val="22"/>
          <w:szCs w:val="22"/>
        </w:rPr>
        <w:t>, что обзор будет проводиться с опорой на план действий в связи с проведенной IOS оценкой стратегического позиционирования МОК, среднесрочную стратегию МОК (2022-2029 гг.) и, по мере необходимости, на другие соответствующие ресурсы;</w:t>
      </w:r>
    </w:p>
    <w:p w14:paraId="6E559037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просит</w:t>
      </w:r>
      <w:r w:rsidRPr="00E05DB3">
        <w:rPr>
          <w:rFonts w:ascii="Arial" w:hAnsi="Arial" w:cs="Arial"/>
          <w:sz w:val="22"/>
          <w:szCs w:val="22"/>
        </w:rPr>
        <w:t xml:space="preserve"> Исполнительного секретаря МОК начать процесс консультаций, в том числе работу с МФКГ по параметрам проведения обзора, и регулярно представлять МФКГ обновленную информацию о ходе работы для получения информации и рекомендаций;</w:t>
      </w:r>
    </w:p>
    <w:p w14:paraId="638A8E2E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просит также </w:t>
      </w:r>
      <w:r w:rsidRPr="00E05DB3">
        <w:rPr>
          <w:rFonts w:ascii="Arial" w:hAnsi="Arial" w:cs="Arial"/>
          <w:sz w:val="22"/>
          <w:szCs w:val="22"/>
        </w:rPr>
        <w:t>Исполнительного секретаря МОК представить результаты и рекомендации по итогам обзора Ассамблее МОК на ее 33-й сессии для выработки указаний относительно проведения второго этапа консультаций;</w:t>
      </w:r>
    </w:p>
    <w:p w14:paraId="557D72D2" w14:textId="77777777" w:rsidR="003202CC" w:rsidRPr="00E05DB3" w:rsidRDefault="003202CC" w:rsidP="00931C7D">
      <w:pPr>
        <w:pStyle w:val="ListParagraph"/>
        <w:spacing w:after="240"/>
        <w:ind w:left="709"/>
        <w:contextualSpacing w:val="0"/>
        <w:jc w:val="center"/>
        <w:rPr>
          <w:rFonts w:ascii="Arial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Часть V.</w:t>
      </w:r>
      <w:r w:rsidRPr="00E05DB3">
        <w:rPr>
          <w:rFonts w:ascii="Arial" w:hAnsi="Arial" w:cs="Arial"/>
          <w:sz w:val="22"/>
          <w:szCs w:val="22"/>
        </w:rPr>
        <w:t xml:space="preserve"> </w:t>
      </w:r>
    </w:p>
    <w:p w14:paraId="48AAC2A6" w14:textId="77777777" w:rsidR="003202CC" w:rsidRDefault="003202CC" w:rsidP="00931C7D">
      <w:pPr>
        <w:pStyle w:val="ListParagraph"/>
        <w:spacing w:after="240"/>
        <w:ind w:left="709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Выполнение резолюции A-32/4 Part III – Управление и методы работы</w:t>
      </w:r>
    </w:p>
    <w:p w14:paraId="59FA2468" w14:textId="77777777" w:rsidR="003202CC" w:rsidRPr="00E05DB3" w:rsidRDefault="003202CC" w:rsidP="00931C7D">
      <w:pPr>
        <w:pStyle w:val="ListParagraph"/>
        <w:spacing w:after="240"/>
        <w:ind w:left="709"/>
        <w:contextualSpacing w:val="0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Проект руководящих принципов подготовки и участия государств-членов в </w:t>
      </w:r>
      <w:r w:rsidRPr="00E05DB3">
        <w:rPr>
          <w:rFonts w:ascii="Arial" w:hAnsi="Arial" w:cs="Arial"/>
          <w:b/>
          <w:bCs/>
          <w:sz w:val="22"/>
          <w:szCs w:val="22"/>
        </w:rPr>
        <w:br/>
        <w:t xml:space="preserve">проводимых раз в два года выборах Председателя и заместителей </w:t>
      </w:r>
      <w:r w:rsidRPr="00E05DB3">
        <w:rPr>
          <w:rFonts w:ascii="Arial" w:hAnsi="Arial" w:cs="Arial"/>
          <w:b/>
          <w:bCs/>
          <w:sz w:val="22"/>
          <w:szCs w:val="22"/>
        </w:rPr>
        <w:lastRenderedPageBreak/>
        <w:t>Председателя МОК (должностных лиц Комиссии) и государств – членов Исполнительного совета</w:t>
      </w:r>
    </w:p>
    <w:p w14:paraId="6C539C45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>напоминает</w:t>
      </w:r>
      <w:r w:rsidRPr="00E05DB3">
        <w:rPr>
          <w:rFonts w:ascii="Arial" w:hAnsi="Arial" w:cs="Arial"/>
          <w:sz w:val="22"/>
          <w:szCs w:val="22"/>
        </w:rPr>
        <w:t xml:space="preserve">, что Ассамблея МОК на своей 32-й сессии в резолюции А-32/4 одобрила обновленные Правила процедуры МОК, уже опубликованные в документе IOC/INF-1166 Rev., и предложила Исполнительному секретарю МОК «подготовить в соответствии с Уставом и Правилами процедуры МОК рекомендации в поддержку подготовки государств-членов к выборам и участия в них, а также рассмотреть возможность проведения информационного совещания накануне голосования»; </w:t>
      </w:r>
    </w:p>
    <w:p w14:paraId="5E9EF1E2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принимает к сведению, </w:t>
      </w:r>
      <w:r w:rsidRPr="00E05DB3">
        <w:rPr>
          <w:rFonts w:ascii="Arial" w:hAnsi="Arial" w:cs="Arial"/>
          <w:sz w:val="22"/>
          <w:szCs w:val="22"/>
        </w:rPr>
        <w:t xml:space="preserve">что содержащаяся в документе IOC/EC-57/5.3.Doc(1) информация была подготовлена для удобства государств-членов с целью осветить особенности выборов в МОК, в то время как полная информация содержится в Уставе и Правилах процедуры МОК, составляющих нормативную базу Комиссии; </w:t>
      </w:r>
    </w:p>
    <w:p w14:paraId="12B25DD2" w14:textId="77777777" w:rsidR="003202CC" w:rsidRPr="00E05DB3" w:rsidRDefault="003202CC" w:rsidP="00931C7D">
      <w:pPr>
        <w:tabs>
          <w:tab w:val="left" w:pos="567"/>
        </w:tabs>
        <w:snapToGrid w:val="0"/>
        <w:spacing w:after="240"/>
        <w:ind w:left="709"/>
        <w:jc w:val="both"/>
        <w:rPr>
          <w:rFonts w:ascii="Arial" w:eastAsia="Calibri" w:hAnsi="Arial" w:cs="Arial"/>
          <w:sz w:val="22"/>
          <w:szCs w:val="22"/>
        </w:rPr>
      </w:pPr>
      <w:r w:rsidRPr="00E05DB3">
        <w:rPr>
          <w:rFonts w:ascii="Arial" w:hAnsi="Arial" w:cs="Arial"/>
          <w:b/>
          <w:bCs/>
          <w:sz w:val="22"/>
          <w:szCs w:val="22"/>
        </w:rPr>
        <w:t xml:space="preserve">приветствует </w:t>
      </w:r>
      <w:r w:rsidRPr="00E05DB3">
        <w:rPr>
          <w:rFonts w:ascii="Arial" w:hAnsi="Arial" w:cs="Arial"/>
          <w:sz w:val="22"/>
          <w:szCs w:val="22"/>
        </w:rPr>
        <w:t>подтверждение Исполнительного секретаря МОК относительно организации накануне 33-й сессии Ассамблеи МОК информационной сессии для содействия подготовке государств-членов.</w:t>
      </w:r>
    </w:p>
    <w:p w14:paraId="5FC5F849" w14:textId="77777777" w:rsidR="003202CC" w:rsidRPr="005C239B" w:rsidRDefault="003202CC" w:rsidP="003202CC">
      <w:pPr>
        <w:pStyle w:val="Heading1"/>
        <w:numPr>
          <w:ilvl w:val="0"/>
          <w:numId w:val="9"/>
        </w:numPr>
        <w:spacing w:before="360"/>
        <w:ind w:left="567" w:hanging="578"/>
        <w:rPr>
          <w:rFonts w:cs="Arial"/>
          <w:b w:val="0"/>
          <w:bCs w:val="0"/>
          <w:szCs w:val="22"/>
        </w:rPr>
      </w:pPr>
      <w:bookmarkStart w:id="137" w:name="_Toc177658045"/>
      <w:bookmarkStart w:id="138" w:name="_Toc415051565"/>
      <w:bookmarkStart w:id="139" w:name="_Toc445908060"/>
      <w:r>
        <w:t>ПОДГОТОВКА СЛЕДУЮЩИХ СЕССИЙ АССАМБЛЕИ И ИСПОЛНИТЕЛЬНОГО СОВЕТА</w:t>
      </w:r>
      <w:bookmarkEnd w:id="137"/>
    </w:p>
    <w:p w14:paraId="48D2EECC" w14:textId="77777777" w:rsidR="003202CC" w:rsidRPr="00CF43C5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bookmarkStart w:id="140" w:name="_Toc289696468"/>
      <w:bookmarkStart w:id="141" w:name="_Toc357517573"/>
      <w:bookmarkStart w:id="142" w:name="_Toc358657316"/>
      <w:bookmarkEnd w:id="138"/>
      <w:bookmarkEnd w:id="139"/>
      <w:r>
        <w:t>Исполнительный секретарь напомнил Совету о решении А-32/6.6 Ассамблеи МОК, принятом на ее 32</w:t>
      </w:r>
      <w:r w:rsidRPr="00CF43C5">
        <w:t>-й</w:t>
      </w:r>
      <w:r>
        <w:t xml:space="preserve"> сессии, а также о результатах предварительного обсуждения этого вопроса на совещании должностных лиц Комиссии.</w:t>
      </w:r>
    </w:p>
    <w:p w14:paraId="5F1FDFA0" w14:textId="77777777" w:rsidR="003202CC" w:rsidRPr="00CF43C5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Секретариат проинформировал Исполнительный совет о запланированных на июнь 2025 г. совещаниях, представляющих интерес для океанографического сообщества, в связи с чем было бы желательно, чтобы их даты не пересекались с датами проведения 33-й сессии Ассамблеи МОК. Речь идет о Конференции Организации Объединенных Наций по океану, проводимой Коста-Рикой и Францией (9-13 июня, Ницца, Франция,), предшествующем ей Конгрессе по океанографии (4-6 июня, Ницца, Франция) и Исполнительном совете Всемирной метеорологической организации (16-20 июня, Женева, Швейцария). </w:t>
      </w:r>
    </w:p>
    <w:p w14:paraId="64D2DCF5" w14:textId="77777777" w:rsidR="003202CC" w:rsidRPr="00CF43C5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Даты проведения 59-й сессии Исполнительного совета в июне 2026 г. еще не определены. Секретариат предложил зарезервировать залы заседаний в Штаб-квартире на двухнедельный период в ожидании уточнения дат проведения сессии с учетом международной повестки дня.</w:t>
      </w:r>
    </w:p>
    <w:p w14:paraId="0873890F" w14:textId="77777777" w:rsidR="003202CC" w:rsidRPr="00CF43C5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По данному пункту повестки дня выступлений государств-членов не было.</w:t>
      </w:r>
    </w:p>
    <w:p w14:paraId="535DC70F" w14:textId="77777777" w:rsidR="003202CC" w:rsidRPr="004B480F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</w:t>
      </w:r>
      <w:r w:rsidRPr="006467D0">
        <w:rPr>
          <w:rFonts w:cs="Arial"/>
          <w:u w:val="single"/>
          <w:lang w:val="en-GB"/>
        </w:rPr>
        <w:t>EC</w:t>
      </w:r>
      <w:r w:rsidRPr="00CF43C5">
        <w:rPr>
          <w:rFonts w:cs="Arial"/>
          <w:u w:val="single"/>
        </w:rPr>
        <w:t>-57/6</w:t>
      </w:r>
      <w:r w:rsidRPr="00CF43C5">
        <w:rPr>
          <w:rFonts w:cs="Arial"/>
        </w:rPr>
        <w:t>.</w:t>
      </w:r>
      <w:r>
        <w:rPr>
          <w:rFonts w:cs="Arial"/>
        </w:rPr>
        <w:t xml:space="preserve"> </w:t>
      </w:r>
    </w:p>
    <w:p w14:paraId="4FAA76A5" w14:textId="464E2BFE" w:rsidR="003202CC" w:rsidRPr="00E05DB3" w:rsidRDefault="003202CC" w:rsidP="00931C7D">
      <w:pPr>
        <w:tabs>
          <w:tab w:val="num" w:pos="1400"/>
        </w:tabs>
        <w:spacing w:after="240"/>
        <w:ind w:left="709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05DB3">
        <w:rPr>
          <w:rFonts w:ascii="Arial" w:hAnsi="Arial"/>
          <w:b/>
          <w:color w:val="000000"/>
          <w:sz w:val="22"/>
          <w:szCs w:val="22"/>
        </w:rPr>
        <w:t xml:space="preserve">Подготовка 33-й сессии Ассамблеи и следующих сессий </w:t>
      </w:r>
      <w:r w:rsidR="00931C7D" w:rsidRPr="005C4EF1">
        <w:rPr>
          <w:rFonts w:ascii="Arial" w:hAnsi="Arial"/>
          <w:b/>
          <w:color w:val="000000"/>
          <w:sz w:val="22"/>
          <w:szCs w:val="22"/>
        </w:rPr>
        <w:br/>
      </w:r>
      <w:r w:rsidRPr="00E05DB3">
        <w:rPr>
          <w:rFonts w:ascii="Arial" w:hAnsi="Arial"/>
          <w:b/>
          <w:color w:val="000000"/>
          <w:sz w:val="22"/>
          <w:szCs w:val="22"/>
        </w:rPr>
        <w:t>Исполнительного совета</w:t>
      </w:r>
    </w:p>
    <w:p w14:paraId="59967CDE" w14:textId="77777777" w:rsidR="003202CC" w:rsidRPr="00E05DB3" w:rsidRDefault="003202CC" w:rsidP="00931C7D">
      <w:pPr>
        <w:tabs>
          <w:tab w:val="num" w:pos="1400"/>
        </w:tabs>
        <w:spacing w:after="240"/>
        <w:ind w:left="709"/>
        <w:rPr>
          <w:rFonts w:ascii="Arial" w:hAnsi="Arial" w:cs="Arial"/>
          <w:iCs/>
          <w:sz w:val="22"/>
          <w:szCs w:val="22"/>
        </w:rPr>
      </w:pPr>
      <w:r w:rsidRPr="00E05DB3">
        <w:rPr>
          <w:rFonts w:ascii="Arial" w:hAnsi="Arial"/>
          <w:iCs/>
          <w:sz w:val="22"/>
          <w:szCs w:val="22"/>
        </w:rPr>
        <w:t>Исполнительный совет,</w:t>
      </w:r>
    </w:p>
    <w:p w14:paraId="7D41442F" w14:textId="77777777" w:rsidR="003202CC" w:rsidRPr="00E05DB3" w:rsidRDefault="003202CC" w:rsidP="00931C7D">
      <w:pPr>
        <w:tabs>
          <w:tab w:val="left" w:pos="-737"/>
        </w:tabs>
        <w:spacing w:after="240"/>
        <w:ind w:left="70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ссылаясь</w:t>
      </w:r>
      <w:r w:rsidRPr="00E05DB3">
        <w:rPr>
          <w:rFonts w:ascii="Arial" w:hAnsi="Arial"/>
          <w:sz w:val="22"/>
          <w:szCs w:val="22"/>
        </w:rPr>
        <w:t xml:space="preserve"> на рекомендации 55-й сессии Исполнительного совета (Реш. EC-55/5.3) в отношении продолжительности его сессий и решение A-32/6.6 Ассамблеи МОК, принятое на ее 32</w:t>
      </w:r>
      <w:r w:rsidRPr="00E05DB3">
        <w:rPr>
          <w:rFonts w:ascii="Arial" w:hAnsi="Arial"/>
          <w:sz w:val="22"/>
          <w:szCs w:val="22"/>
        </w:rPr>
        <w:noBreakHyphen/>
        <w:t>й сессии,</w:t>
      </w:r>
    </w:p>
    <w:p w14:paraId="4BE1C2B9" w14:textId="77777777" w:rsidR="003202CC" w:rsidRPr="00E05DB3" w:rsidRDefault="003202CC" w:rsidP="00931C7D">
      <w:pPr>
        <w:tabs>
          <w:tab w:val="left" w:pos="-737"/>
        </w:tabs>
        <w:spacing w:after="240"/>
        <w:ind w:left="709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  <w:u w:val="single"/>
        </w:rPr>
        <w:t>постановляет</w:t>
      </w:r>
      <w:r w:rsidRPr="00E05DB3">
        <w:rPr>
          <w:rFonts w:ascii="Arial" w:hAnsi="Arial"/>
          <w:sz w:val="22"/>
          <w:szCs w:val="22"/>
        </w:rPr>
        <w:t xml:space="preserve"> провести:</w:t>
      </w:r>
    </w:p>
    <w:p w14:paraId="2EF81298" w14:textId="77777777" w:rsidR="003202CC" w:rsidRPr="00E05DB3" w:rsidRDefault="003202CC" w:rsidP="003202CC">
      <w:pPr>
        <w:numPr>
          <w:ilvl w:val="0"/>
          <w:numId w:val="15"/>
        </w:numPr>
        <w:tabs>
          <w:tab w:val="left" w:pos="-737"/>
        </w:tabs>
        <w:spacing w:after="240"/>
        <w:ind w:left="1134" w:hanging="579"/>
        <w:jc w:val="both"/>
        <w:rPr>
          <w:rFonts w:ascii="Arial" w:hAnsi="Arial" w:cs="Arial"/>
          <w:sz w:val="22"/>
          <w:szCs w:val="22"/>
        </w:rPr>
      </w:pPr>
      <w:r w:rsidRPr="00E05DB3">
        <w:rPr>
          <w:rFonts w:ascii="Arial" w:hAnsi="Arial"/>
          <w:sz w:val="22"/>
          <w:szCs w:val="22"/>
        </w:rPr>
        <w:t xml:space="preserve">33-ю сессию Ассамблеи продолжительностью 6,5 дней без учета Дня науки об океане в Штаб-квартире ЮНЕСКО c 25 июня по 3 июля 2025 г., которой будет </w:t>
      </w:r>
      <w:r w:rsidRPr="00E05DB3">
        <w:rPr>
          <w:rFonts w:ascii="Arial" w:hAnsi="Arial"/>
          <w:sz w:val="22"/>
          <w:szCs w:val="22"/>
        </w:rPr>
        <w:lastRenderedPageBreak/>
        <w:t>предшествовать сессия Исполнительного совета МОК, выступающего в качестве руководящего комитета Ассамблеи, продолжительностью полдня (58-я сессия);</w:t>
      </w:r>
    </w:p>
    <w:p w14:paraId="7DEE0D75" w14:textId="77777777" w:rsidR="003202CC" w:rsidRPr="00BF1EC2" w:rsidRDefault="003202CC" w:rsidP="003202CC">
      <w:pPr>
        <w:pStyle w:val="ListParagraph"/>
        <w:numPr>
          <w:ilvl w:val="0"/>
          <w:numId w:val="15"/>
        </w:numPr>
        <w:tabs>
          <w:tab w:val="left" w:pos="709"/>
        </w:tabs>
        <w:snapToGrid w:val="0"/>
        <w:spacing w:after="240"/>
        <w:ind w:left="1134" w:hanging="579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E05DB3">
        <w:rPr>
          <w:rFonts w:ascii="Arial" w:hAnsi="Arial"/>
          <w:snapToGrid w:val="0"/>
          <w:sz w:val="22"/>
          <w:szCs w:val="22"/>
        </w:rPr>
        <w:t xml:space="preserve">59-ю сессию Исполнительного совета продолжительностью 3,5 дня в Штаб-квартире ЮНЕСКО, Париж, в период </w:t>
      </w:r>
      <w:r>
        <w:rPr>
          <w:rFonts w:ascii="Arial" w:hAnsi="Arial"/>
          <w:snapToGrid w:val="0"/>
          <w:sz w:val="22"/>
          <w:szCs w:val="22"/>
        </w:rPr>
        <w:t>между</w:t>
      </w:r>
      <w:r w:rsidRPr="00E05DB3">
        <w:rPr>
          <w:rFonts w:ascii="Arial" w:hAnsi="Arial"/>
          <w:snapToGrid w:val="0"/>
          <w:sz w:val="22"/>
          <w:szCs w:val="22"/>
        </w:rPr>
        <w:t xml:space="preserve"> 8 </w:t>
      </w:r>
      <w:r>
        <w:rPr>
          <w:rFonts w:ascii="Arial" w:hAnsi="Arial"/>
          <w:snapToGrid w:val="0"/>
          <w:sz w:val="22"/>
          <w:szCs w:val="22"/>
        </w:rPr>
        <w:t xml:space="preserve">и </w:t>
      </w:r>
      <w:r w:rsidRPr="00E05DB3">
        <w:rPr>
          <w:rFonts w:ascii="Arial" w:hAnsi="Arial"/>
          <w:snapToGrid w:val="0"/>
          <w:sz w:val="22"/>
          <w:szCs w:val="22"/>
        </w:rPr>
        <w:t>19 июня 2026 г.</w:t>
      </w:r>
    </w:p>
    <w:p w14:paraId="30874335" w14:textId="77777777" w:rsidR="003202CC" w:rsidRPr="005C239B" w:rsidRDefault="003202CC" w:rsidP="003202CC">
      <w:pPr>
        <w:pStyle w:val="Heading1"/>
        <w:numPr>
          <w:ilvl w:val="0"/>
          <w:numId w:val="9"/>
        </w:numPr>
        <w:spacing w:before="360"/>
        <w:ind w:left="567" w:hanging="578"/>
        <w:rPr>
          <w:rFonts w:cs="Arial"/>
          <w:b w:val="0"/>
          <w:bCs w:val="0"/>
          <w:szCs w:val="22"/>
        </w:rPr>
      </w:pPr>
      <w:bookmarkStart w:id="143" w:name="_Toc141510531"/>
      <w:bookmarkStart w:id="144" w:name="_Toc177658046"/>
      <w:bookmarkEnd w:id="140"/>
      <w:bookmarkEnd w:id="141"/>
      <w:bookmarkEnd w:id="142"/>
      <w:bookmarkEnd w:id="143"/>
      <w:r>
        <w:t>ПРИНЯТИЕ РЕЗОЛЮЦИЙ И ПОРЯДОК ЗАВЕРШЕНИЯ РАБОТЫ НАД ДОКЛАДОМ</w:t>
      </w:r>
      <w:bookmarkEnd w:id="144"/>
    </w:p>
    <w:p w14:paraId="502A0BEA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bookmarkStart w:id="145" w:name="_Toc289696443"/>
      <w:bookmarkStart w:id="146" w:name="_Toc358657278"/>
      <w:r>
        <w:t>Председатель комитета по резолюциям Джо Нотон представил Совету доклад о работе комитета в ходе текущей сессии. Комитет провел два заседания для рассмотрения двух решений по пунктам 4.7 «Проведение Десятилетия океана ООН» и 5.3 «Аспекты деятельности Комиссии, касающиеся управления и подготовки программы и бюджета».</w:t>
      </w:r>
    </w:p>
    <w:p w14:paraId="7817EAAB" w14:textId="77777777" w:rsidR="003202CC" w:rsidRPr="006639B8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Затем Председатель МОК предложил Исполнительному совету рассмотреть предложенные государствами-членами проекты резолюций. </w:t>
      </w:r>
    </w:p>
    <w:p w14:paraId="48929A15" w14:textId="77777777" w:rsidR="003202CC" w:rsidRPr="006639B8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Секретариат напомнил Совету, что сборник всех принятых решений и резолюций, представляющий собой один документ, будет размещен в интернете к концу дня на рабочих языках Комиссии.</w:t>
      </w:r>
    </w:p>
    <w:p w14:paraId="3B2DEA20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Секретариат информировал Совет о том, что в настоящее время готовится проект краткого доклада о состоявшихся на сессии Совета дискуссиях на английском языке, который будет завершен и размещен в интернете через несколько дней после окончания сессии.</w:t>
      </w:r>
    </w:p>
    <w:p w14:paraId="6B7BA6F0" w14:textId="77777777" w:rsidR="003202CC" w:rsidRPr="0081644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bookmarkStart w:id="147" w:name="_ADOPTION_OF_RESOLUTIONS"/>
      <w:bookmarkEnd w:id="145"/>
      <w:bookmarkEnd w:id="146"/>
      <w:bookmarkEnd w:id="147"/>
      <w:r>
        <w:t>Члены Совета поблагодарили докладчика г-на Фредерику Антониу Сарайва Ногейру за его записи, которые помогут Секретариату завершить подготовку проекта краткого доклада.</w:t>
      </w:r>
    </w:p>
    <w:p w14:paraId="01C032D0" w14:textId="77777777" w:rsidR="003202CC" w:rsidRPr="005A2A46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По данному пункту повестки дня выступлений государств-членов не было.</w:t>
      </w:r>
    </w:p>
    <w:p w14:paraId="4569FF26" w14:textId="77777777" w:rsidR="003202CC" w:rsidRPr="0081644D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Исполнительный совет принял решение ЕС-57/7. </w:t>
      </w:r>
    </w:p>
    <w:p w14:paraId="0E6E2762" w14:textId="77777777" w:rsidR="003202CC" w:rsidRPr="006E35ED" w:rsidRDefault="003202CC" w:rsidP="003202CC">
      <w:pPr>
        <w:pStyle w:val="ListParagraph"/>
        <w:spacing w:after="240"/>
        <w:contextualSpacing w:val="0"/>
        <w:rPr>
          <w:rFonts w:ascii="Arial" w:hAnsi="Arial" w:cs="Arial"/>
          <w:b/>
          <w:sz w:val="22"/>
          <w:szCs w:val="22"/>
        </w:rPr>
      </w:pPr>
      <w:r w:rsidRPr="006E35ED">
        <w:rPr>
          <w:rFonts w:ascii="Arial" w:hAnsi="Arial"/>
          <w:b/>
          <w:sz w:val="22"/>
          <w:szCs w:val="22"/>
        </w:rPr>
        <w:t>Принятие резолюций и порядок завершения работы над докладом</w:t>
      </w:r>
    </w:p>
    <w:p w14:paraId="32E98529" w14:textId="77777777" w:rsidR="003202CC" w:rsidRPr="006E35ED" w:rsidRDefault="003202CC" w:rsidP="003202CC">
      <w:pPr>
        <w:pStyle w:val="ListParagraph"/>
        <w:spacing w:after="240"/>
        <w:contextualSpacing w:val="0"/>
        <w:rPr>
          <w:rFonts w:ascii="Arial" w:hAnsi="Arial" w:cs="Arial"/>
          <w:iCs/>
          <w:sz w:val="22"/>
          <w:szCs w:val="22"/>
        </w:rPr>
      </w:pPr>
      <w:r w:rsidRPr="006E35ED">
        <w:rPr>
          <w:rFonts w:ascii="Arial" w:hAnsi="Arial"/>
          <w:iCs/>
          <w:sz w:val="22"/>
          <w:szCs w:val="22"/>
        </w:rPr>
        <w:t>Исполнительный совет,</w:t>
      </w:r>
    </w:p>
    <w:p w14:paraId="43A65654" w14:textId="77777777" w:rsidR="003202CC" w:rsidRPr="006E35ED" w:rsidRDefault="003202CC" w:rsidP="003202CC">
      <w:pPr>
        <w:pStyle w:val="ListParagraph"/>
        <w:tabs>
          <w:tab w:val="left" w:pos="-737"/>
        </w:tabs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6E35ED">
        <w:rPr>
          <w:rFonts w:ascii="Arial" w:hAnsi="Arial"/>
          <w:sz w:val="22"/>
          <w:szCs w:val="22"/>
          <w:u w:val="single"/>
        </w:rPr>
        <w:t>напоминая</w:t>
      </w:r>
      <w:r w:rsidRPr="006E35ED">
        <w:rPr>
          <w:rFonts w:ascii="Arial" w:hAnsi="Arial"/>
          <w:sz w:val="22"/>
          <w:szCs w:val="22"/>
        </w:rPr>
        <w:t xml:space="preserve"> о рекомендациях 52-й сессии Исполнительного совета (решение EC</w:t>
      </w:r>
      <w:r w:rsidRPr="006E35ED">
        <w:rPr>
          <w:rFonts w:ascii="Arial" w:hAnsi="Arial"/>
          <w:sz w:val="22"/>
          <w:szCs w:val="22"/>
        </w:rPr>
        <w:noBreakHyphen/>
        <w:t>LII/3.3), касающихся организационных вопросов,</w:t>
      </w:r>
    </w:p>
    <w:p w14:paraId="5F4AA596" w14:textId="77777777" w:rsidR="003202CC" w:rsidRPr="006E35ED" w:rsidRDefault="003202CC" w:rsidP="003202CC">
      <w:pPr>
        <w:pStyle w:val="ListParagraph"/>
        <w:tabs>
          <w:tab w:val="left" w:pos="-737"/>
        </w:tabs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6E35ED">
        <w:rPr>
          <w:rFonts w:ascii="Arial" w:hAnsi="Arial"/>
          <w:sz w:val="22"/>
          <w:szCs w:val="22"/>
          <w:u w:val="single"/>
        </w:rPr>
        <w:t>утверждает</w:t>
      </w:r>
      <w:r w:rsidRPr="006E35ED">
        <w:rPr>
          <w:rFonts w:ascii="Arial" w:hAnsi="Arial"/>
          <w:sz w:val="22"/>
          <w:szCs w:val="22"/>
        </w:rPr>
        <w:t xml:space="preserve"> решения и две резолюции нынешней сессии, содержащиеся в документе IOC/EC</w:t>
      </w:r>
      <w:r w:rsidRPr="006E35ED">
        <w:rPr>
          <w:rFonts w:ascii="Arial" w:hAnsi="Arial"/>
          <w:sz w:val="22"/>
          <w:szCs w:val="22"/>
        </w:rPr>
        <w:noBreakHyphen/>
        <w:t>57/Decisions;</w:t>
      </w:r>
    </w:p>
    <w:p w14:paraId="4DBF59DC" w14:textId="77777777" w:rsidR="003202CC" w:rsidRPr="006E35ED" w:rsidRDefault="003202CC" w:rsidP="003202CC">
      <w:pPr>
        <w:pStyle w:val="ListParagraph"/>
        <w:tabs>
          <w:tab w:val="left" w:pos="-737"/>
        </w:tabs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6E35ED">
        <w:rPr>
          <w:rFonts w:ascii="Arial" w:hAnsi="Arial"/>
          <w:sz w:val="22"/>
          <w:szCs w:val="22"/>
          <w:u w:val="single"/>
        </w:rPr>
        <w:t>принимает к сведению</w:t>
      </w:r>
      <w:r w:rsidRPr="006E35ED">
        <w:rPr>
          <w:rFonts w:ascii="Arial" w:hAnsi="Arial"/>
          <w:sz w:val="22"/>
          <w:szCs w:val="22"/>
        </w:rPr>
        <w:t>, что Секретариат подготовит проект краткого доклада сессии;</w:t>
      </w:r>
    </w:p>
    <w:p w14:paraId="40E73C1E" w14:textId="77777777" w:rsidR="003202CC" w:rsidRPr="003202CC" w:rsidRDefault="003202CC" w:rsidP="003202CC">
      <w:pPr>
        <w:pStyle w:val="ListParagraph"/>
        <w:tabs>
          <w:tab w:val="left" w:pos="-737"/>
        </w:tabs>
        <w:spacing w:after="240"/>
        <w:contextualSpacing w:val="0"/>
        <w:jc w:val="both"/>
        <w:rPr>
          <w:rFonts w:ascii="Arial" w:hAnsi="Arial" w:cs="Arial"/>
          <w:sz w:val="22"/>
          <w:szCs w:val="22"/>
        </w:rPr>
      </w:pPr>
      <w:r w:rsidRPr="006E35ED">
        <w:rPr>
          <w:rFonts w:ascii="Arial" w:hAnsi="Arial"/>
          <w:sz w:val="22"/>
          <w:szCs w:val="22"/>
          <w:u w:val="single"/>
        </w:rPr>
        <w:t>просит</w:t>
      </w:r>
      <w:r w:rsidRPr="006E35ED">
        <w:rPr>
          <w:rFonts w:ascii="Arial" w:hAnsi="Arial"/>
          <w:sz w:val="22"/>
          <w:szCs w:val="22"/>
        </w:rPr>
        <w:t xml:space="preserve"> Исполнительного секретаря не позднее сентября 2024 г. направить описательную часть доклада на четырех рабочих языках Комиссии государствам-членам.</w:t>
      </w:r>
    </w:p>
    <w:p w14:paraId="01FA13A8" w14:textId="77777777" w:rsidR="003202CC" w:rsidRPr="005C239B" w:rsidRDefault="003202CC" w:rsidP="003202CC">
      <w:pPr>
        <w:pStyle w:val="Heading1"/>
        <w:numPr>
          <w:ilvl w:val="0"/>
          <w:numId w:val="9"/>
        </w:numPr>
        <w:tabs>
          <w:tab w:val="left" w:pos="567"/>
        </w:tabs>
        <w:ind w:left="4678" w:hanging="4678"/>
        <w:rPr>
          <w:rFonts w:cs="Arial"/>
          <w:szCs w:val="22"/>
        </w:rPr>
      </w:pPr>
      <w:bookmarkStart w:id="148" w:name="_Toc141510532"/>
      <w:bookmarkStart w:id="149" w:name="OLE_LINK1"/>
      <w:bookmarkStart w:id="150" w:name="OLE_LINK2"/>
      <w:bookmarkStart w:id="151" w:name="_Toc177658047"/>
      <w:r>
        <w:t>ЗАКРЫТИЕ СЕССИИ</w:t>
      </w:r>
      <w:bookmarkEnd w:id="148"/>
      <w:bookmarkEnd w:id="149"/>
      <w:bookmarkEnd w:id="150"/>
      <w:bookmarkEnd w:id="151"/>
    </w:p>
    <w:p w14:paraId="71D0D5D1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 xml:space="preserve">В ходе своих пленарных заседаний, проходивших в течение 3,5 дней с 25 по 28 июня 2024 г., Исполнительный совет рассмотрел 22 вопроса повестки дня и утвердил 12 решений и две резолюции. Наряду с пленарными заседаниями в ходе сессии было проведено два подготовительных совещания, семь параллельных мероприятий, три региональных информационных совещания, а также шесть заседаний сессионных комитетов. Показатель гендерного соотношения среди представителей государств – членов Исполнительного совета </w:t>
      </w:r>
      <w:r>
        <w:lastRenderedPageBreak/>
        <w:t>и в целом участников сессии, в том числе среди выступавших, составил примерно 1,44:1 (мужчины/женщины). </w:t>
      </w:r>
    </w:p>
    <w:p w14:paraId="73A79F32" w14:textId="77777777" w:rsidR="003202CC" w:rsidRPr="005C239B" w:rsidRDefault="003202CC" w:rsidP="003202CC">
      <w:pPr>
        <w:pStyle w:val="Style2"/>
        <w:numPr>
          <w:ilvl w:val="0"/>
          <w:numId w:val="42"/>
        </w:numPr>
        <w:tabs>
          <w:tab w:val="left" w:pos="709"/>
        </w:tabs>
        <w:ind w:left="0" w:hanging="709"/>
        <w:rPr>
          <w:rFonts w:cs="Arial"/>
        </w:rPr>
      </w:pPr>
      <w:r>
        <w:t>Председатель МОК объявил о закрытии 57-й сессии Исполнительного совета 28 июня 2024 г. в 12:40 по Парижскому времени.</w:t>
      </w:r>
    </w:p>
    <w:p w14:paraId="00934411" w14:textId="77777777" w:rsidR="003202CC" w:rsidRPr="00A141A8" w:rsidRDefault="003202CC" w:rsidP="003202CC">
      <w:pPr>
        <w:pStyle w:val="Style2"/>
        <w:tabs>
          <w:tab w:val="clear" w:pos="1400"/>
          <w:tab w:val="left" w:pos="709"/>
        </w:tabs>
        <w:ind w:left="0"/>
        <w:rPr>
          <w:rFonts w:cs="Arial"/>
        </w:rPr>
      </w:pPr>
    </w:p>
    <w:p w14:paraId="2CA7003E" w14:textId="77777777" w:rsidR="003202CC" w:rsidRPr="00A141A8" w:rsidRDefault="003202CC" w:rsidP="003202CC">
      <w:pPr>
        <w:rPr>
          <w:rFonts w:ascii="Arial" w:hAnsi="Arial" w:cs="Arial"/>
        </w:rPr>
      </w:pPr>
    </w:p>
    <w:p w14:paraId="1DC1099E" w14:textId="77777777" w:rsidR="003202CC" w:rsidRPr="00A141A8" w:rsidRDefault="003202CC" w:rsidP="003202CC">
      <w:pPr>
        <w:rPr>
          <w:rFonts w:ascii="Arial" w:hAnsi="Arial" w:cs="Arial"/>
        </w:rPr>
      </w:pPr>
    </w:p>
    <w:bookmarkEnd w:id="98"/>
    <w:bookmarkEnd w:id="99"/>
    <w:bookmarkEnd w:id="100"/>
    <w:bookmarkEnd w:id="101"/>
    <w:bookmarkEnd w:id="102"/>
    <w:bookmarkEnd w:id="103"/>
    <w:bookmarkEnd w:id="104"/>
    <w:p w14:paraId="57864A2E" w14:textId="77777777" w:rsidR="003202CC" w:rsidRPr="003202CC" w:rsidRDefault="003202CC" w:rsidP="003202CC">
      <w:pPr>
        <w:pStyle w:val="Marge"/>
        <w:rPr>
          <w:lang w:eastAsia="en-GB"/>
        </w:rPr>
      </w:pPr>
    </w:p>
    <w:sectPr w:rsidR="003202CC" w:rsidRPr="003202CC" w:rsidSect="00637C51">
      <w:headerReference w:type="even" r:id="rId40"/>
      <w:headerReference w:type="default" r:id="rId41"/>
      <w:headerReference w:type="first" r:id="rId42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C90B0" w14:textId="77777777" w:rsidR="00A1786B" w:rsidRDefault="00A1786B" w:rsidP="00110F52">
      <w:r>
        <w:separator/>
      </w:r>
    </w:p>
  </w:endnote>
  <w:endnote w:type="continuationSeparator" w:id="0">
    <w:p w14:paraId="05EDB9D6" w14:textId="77777777" w:rsidR="00A1786B" w:rsidRDefault="00A1786B" w:rsidP="0011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Light">
    <w:charset w:val="00"/>
    <w:family w:val="roman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enton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a Humana 95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CB38B" w14:textId="77777777" w:rsidR="0021145E" w:rsidRDefault="00211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C5BF" w14:textId="77777777" w:rsidR="0021145E" w:rsidRDefault="00211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4632D" w14:textId="77777777" w:rsidR="0021145E" w:rsidRDefault="002114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9BF39" w14:textId="77777777" w:rsidR="006F10AC" w:rsidRPr="004D3520" w:rsidRDefault="006F10AC">
    <w:pPr>
      <w:pStyle w:val="Footer"/>
      <w:rPr>
        <w:rFonts w:asciiTheme="minorBidi" w:hAnsiTheme="minorBidi" w:cstheme="minorBid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BB261" w14:textId="77777777" w:rsidR="00A1786B" w:rsidRDefault="00A1786B" w:rsidP="00110F52">
      <w:r>
        <w:separator/>
      </w:r>
    </w:p>
  </w:footnote>
  <w:footnote w:type="continuationSeparator" w:id="0">
    <w:p w14:paraId="6973DAF0" w14:textId="77777777" w:rsidR="00A1786B" w:rsidRDefault="00A1786B" w:rsidP="00110F52">
      <w:r>
        <w:continuationSeparator/>
      </w:r>
    </w:p>
  </w:footnote>
  <w:footnote w:id="1">
    <w:p w14:paraId="119AAF22" w14:textId="77777777" w:rsidR="003202CC" w:rsidRPr="000A7FBA" w:rsidRDefault="003202CC" w:rsidP="003202CC">
      <w:pPr>
        <w:pStyle w:val="FootnoteText"/>
        <w:rPr>
          <w:rFonts w:asciiTheme="minorBidi" w:hAnsiTheme="minorBidi" w:cstheme="minorBidi"/>
          <w:lang w:val="fr-FR"/>
        </w:rPr>
      </w:pPr>
      <w:r w:rsidRPr="00790AAF">
        <w:rPr>
          <w:rStyle w:val="FootnoteReference"/>
          <w:rFonts w:asciiTheme="minorBidi" w:hAnsiTheme="minorBidi" w:cstheme="minorBidi"/>
        </w:rPr>
        <w:footnoteRef/>
      </w:r>
      <w:r w:rsidRPr="00790AAF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ab/>
      </w:r>
      <w:r w:rsidRPr="00C07F5C">
        <w:rPr>
          <w:rFonts w:asciiTheme="minorBidi" w:hAnsiTheme="minorBidi" w:cstheme="minorBidi"/>
        </w:rPr>
        <w:t>https://unesdoc.unesco.org/ark:/48223/pf0000391112.locale=en</w:t>
      </w:r>
      <w:r>
        <w:rPr>
          <w:rFonts w:asciiTheme="minorBidi" w:hAnsiTheme="minorBidi" w:cstheme="minorBidi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A678F" w14:textId="77777777" w:rsidR="006F10AC" w:rsidRPr="009F4FAB" w:rsidRDefault="00A13EB3">
    <w:pPr>
      <w:pStyle w:val="Header"/>
      <w:tabs>
        <w:tab w:val="clear" w:pos="8306"/>
      </w:tabs>
      <w:rPr>
        <w:rStyle w:val="PageNumber"/>
        <w:rFonts w:ascii="Arial" w:hAnsi="Arial" w:cs="Arial"/>
      </w:rPr>
    </w:pPr>
    <w:r>
      <w:rPr>
        <w:rFonts w:ascii="Arial" w:hAnsi="Arial"/>
        <w:sz w:val="20"/>
        <w:szCs w:val="20"/>
      </w:rPr>
      <w:t xml:space="preserve">IOC-XXIV/2 – Page </w:t>
    </w:r>
    <w:r w:rsidRPr="009F4FAB">
      <w:rPr>
        <w:rStyle w:val="PageNumber"/>
        <w:rFonts w:ascii="Arial" w:hAnsi="Arial" w:cs="Arial"/>
      </w:rPr>
      <w:fldChar w:fldCharType="begin"/>
    </w:r>
    <w:r w:rsidRPr="009F4FAB">
      <w:rPr>
        <w:rStyle w:val="PageNumber"/>
        <w:rFonts w:ascii="Arial" w:hAnsi="Arial" w:cs="Arial"/>
      </w:rPr>
      <w:instrText xml:space="preserve"> </w:instrText>
    </w:r>
    <w:r>
      <w:rPr>
        <w:rStyle w:val="PageNumber"/>
        <w:rFonts w:ascii="Arial" w:hAnsi="Arial" w:cs="Arial"/>
      </w:rPr>
      <w:instrText>PAGE</w:instrText>
    </w:r>
    <w:r w:rsidRPr="009F4FAB">
      <w:rPr>
        <w:rStyle w:val="PageNumber"/>
        <w:rFonts w:ascii="Arial" w:hAnsi="Arial" w:cs="Arial"/>
      </w:rPr>
      <w:instrText xml:space="preserve"> </w:instrText>
    </w:r>
    <w:r w:rsidRPr="009F4FA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</w:rPr>
      <w:t>2</w:t>
    </w:r>
    <w:r w:rsidRPr="009F4FAB">
      <w:rPr>
        <w:rStyle w:val="PageNumber"/>
        <w:rFonts w:ascii="Arial" w:hAnsi="Arial" w:cs="Arial"/>
      </w:rPr>
      <w:fldChar w:fldCharType="end"/>
    </w:r>
  </w:p>
  <w:p w14:paraId="5A53A96C" w14:textId="77777777" w:rsidR="006F10AC" w:rsidRPr="009F4FAB" w:rsidRDefault="006F10AC">
    <w:pPr>
      <w:pStyle w:val="Header"/>
      <w:tabs>
        <w:tab w:val="clear" w:pos="8306"/>
      </w:tabs>
      <w:rPr>
        <w:rFonts w:ascii="Arial" w:hAnsi="Arial" w:cs="Arial"/>
        <w:sz w:val="20"/>
        <w:szCs w:val="20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F5B25" w14:textId="452EA56A" w:rsidR="006F10AC" w:rsidRPr="00980756" w:rsidRDefault="00A13EB3" w:rsidP="0021145E">
    <w:pPr>
      <w:pStyle w:val="Marge"/>
      <w:tabs>
        <w:tab w:val="left" w:pos="7088"/>
      </w:tabs>
      <w:spacing w:after="0"/>
      <w:jc w:val="left"/>
      <w:rPr>
        <w:rFonts w:ascii="Arial" w:hAnsi="Arial" w:cs="Arial"/>
        <w:bCs/>
        <w:szCs w:val="22"/>
      </w:rPr>
    </w:pPr>
    <w:bookmarkStart w:id="0" w:name="_Hlk165549388"/>
    <w:bookmarkStart w:id="1" w:name="_Hlk165549389"/>
    <w:r w:rsidRPr="00A141A8">
      <w:rPr>
        <w:rFonts w:ascii="Arial" w:hAnsi="Arial"/>
        <w:sz w:val="22"/>
        <w:szCs w:val="22"/>
      </w:rPr>
      <w:t>Рассылается по списку</w:t>
    </w:r>
    <w:r>
      <w:rPr>
        <w:rFonts w:ascii="Arial" w:hAnsi="Arial"/>
      </w:rPr>
      <w:tab/>
    </w:r>
    <w:r>
      <w:rPr>
        <w:rFonts w:ascii="Arial" w:hAnsi="Arial"/>
        <w:b/>
        <w:sz w:val="32"/>
        <w:szCs w:val="32"/>
      </w:rPr>
      <w:t>IOC/EC-57/</w:t>
    </w:r>
    <w:r w:rsidR="00AD60BE">
      <w:rPr>
        <w:rFonts w:ascii="Arial" w:hAnsi="Arial"/>
        <w:b/>
        <w:sz w:val="32"/>
        <w:szCs w:val="32"/>
        <w:lang w:val="en-US"/>
      </w:rPr>
      <w:t>SR</w:t>
    </w:r>
  </w:p>
  <w:p w14:paraId="35B86033" w14:textId="29092412" w:rsidR="006F10AC" w:rsidRPr="00A141A8" w:rsidRDefault="005C239B" w:rsidP="0021145E">
    <w:pPr>
      <w:tabs>
        <w:tab w:val="left" w:pos="7088"/>
      </w:tabs>
      <w:jc w:val="both"/>
      <w:rPr>
        <w:rFonts w:ascii="Arial" w:hAnsi="Arial" w:cs="Arial"/>
        <w:sz w:val="22"/>
        <w:szCs w:val="22"/>
      </w:rPr>
    </w:pPr>
    <w:r w:rsidRPr="004337D5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D396A28" wp14:editId="46DA2C75">
          <wp:simplePos x="0" y="0"/>
          <wp:positionH relativeFrom="column">
            <wp:posOffset>-46990</wp:posOffset>
          </wp:positionH>
          <wp:positionV relativeFrom="paragraph">
            <wp:posOffset>155575</wp:posOffset>
          </wp:positionV>
          <wp:extent cx="1578610" cy="1047115"/>
          <wp:effectExtent l="0" t="0" r="0" b="0"/>
          <wp:wrapSquare wrapText="bothSides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Cs w:val="22"/>
      </w:rPr>
      <w:tab/>
    </w:r>
    <w:r w:rsidRPr="00A141A8">
      <w:rPr>
        <w:rFonts w:ascii="Arial" w:hAnsi="Arial"/>
        <w:sz w:val="22"/>
        <w:szCs w:val="22"/>
      </w:rPr>
      <w:t>Париж, 2</w:t>
    </w:r>
    <w:r w:rsidR="00B617FF" w:rsidRPr="00BF61BB">
      <w:rPr>
        <w:rFonts w:ascii="Arial" w:hAnsi="Arial"/>
        <w:sz w:val="22"/>
        <w:szCs w:val="22"/>
      </w:rPr>
      <w:t xml:space="preserve">8 </w:t>
    </w:r>
    <w:r w:rsidR="00AD60BE">
      <w:rPr>
        <w:rFonts w:ascii="Arial" w:hAnsi="Arial"/>
        <w:sz w:val="22"/>
        <w:szCs w:val="22"/>
      </w:rPr>
      <w:t xml:space="preserve">июня </w:t>
    </w:r>
    <w:r w:rsidRPr="00A141A8">
      <w:rPr>
        <w:rFonts w:ascii="Arial" w:hAnsi="Arial"/>
        <w:sz w:val="22"/>
        <w:szCs w:val="22"/>
      </w:rPr>
      <w:t>2024 г.</w:t>
    </w:r>
  </w:p>
  <w:p w14:paraId="7D4F627C" w14:textId="75F9AEE1" w:rsidR="006F10AC" w:rsidRPr="004337D5" w:rsidRDefault="00A141A8" w:rsidP="0021145E">
    <w:pPr>
      <w:pStyle w:val="Marge"/>
      <w:tabs>
        <w:tab w:val="left" w:pos="5387"/>
        <w:tab w:val="left" w:pos="7088"/>
      </w:tabs>
      <w:rPr>
        <w:rFonts w:ascii="Arial" w:hAnsi="Arial" w:cs="Arial"/>
        <w:sz w:val="22"/>
        <w:szCs w:val="22"/>
      </w:rPr>
    </w:pPr>
    <w:r w:rsidRPr="002914E2">
      <w:rPr>
        <w:rFonts w:ascii="Arial" w:hAnsi="Arial"/>
        <w:sz w:val="22"/>
        <w:szCs w:val="22"/>
      </w:rPr>
      <w:tab/>
    </w:r>
    <w:r w:rsidRPr="002914E2">
      <w:rPr>
        <w:rFonts w:ascii="Arial" w:hAnsi="Arial"/>
        <w:sz w:val="22"/>
        <w:szCs w:val="22"/>
      </w:rPr>
      <w:tab/>
    </w:r>
    <w:r>
      <w:rPr>
        <w:rFonts w:ascii="Arial" w:hAnsi="Arial"/>
        <w:sz w:val="22"/>
        <w:szCs w:val="22"/>
      </w:rPr>
      <w:t>Оригинал: английский</w:t>
    </w:r>
  </w:p>
  <w:p w14:paraId="698226B5" w14:textId="77777777" w:rsidR="006F10AC" w:rsidRPr="004337D5" w:rsidRDefault="006F10AC" w:rsidP="00C852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387"/>
        <w:tab w:val="left" w:pos="5523"/>
        <w:tab w:val="left" w:pos="5640"/>
        <w:tab w:val="left" w:pos="6379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</w:rPr>
    </w:pPr>
  </w:p>
  <w:p w14:paraId="4113CABD" w14:textId="77777777" w:rsidR="006F10AC" w:rsidRPr="004337D5" w:rsidRDefault="006F10AC" w:rsidP="00C8529B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387"/>
        <w:tab w:val="left" w:pos="5523"/>
        <w:tab w:val="left" w:pos="5640"/>
        <w:tab w:val="left" w:pos="6379"/>
        <w:tab w:val="left" w:pos="6480"/>
        <w:tab w:val="left" w:pos="6660"/>
        <w:tab w:val="left" w:pos="7020"/>
      </w:tabs>
      <w:jc w:val="both"/>
      <w:rPr>
        <w:rFonts w:ascii="Arial" w:hAnsi="Arial" w:cs="Arial"/>
        <w:b/>
        <w:szCs w:val="22"/>
      </w:rPr>
    </w:pPr>
  </w:p>
  <w:p w14:paraId="2F559E76" w14:textId="77777777" w:rsidR="006F10AC" w:rsidRPr="004337D5" w:rsidRDefault="006F10AC" w:rsidP="00B4612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</w:rPr>
    </w:pPr>
  </w:p>
  <w:p w14:paraId="02ACDAA1" w14:textId="77777777" w:rsidR="006F10AC" w:rsidRPr="004337D5" w:rsidRDefault="006F10AC" w:rsidP="00B4612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</w:rPr>
    </w:pPr>
  </w:p>
  <w:p w14:paraId="3C4C0A16" w14:textId="77777777" w:rsidR="006F10AC" w:rsidRPr="004337D5" w:rsidRDefault="006F10AC" w:rsidP="00B4612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172"/>
        <w:tab w:val="left" w:pos="5523"/>
        <w:tab w:val="left" w:pos="5640"/>
        <w:tab w:val="left" w:pos="6480"/>
        <w:tab w:val="left" w:pos="6660"/>
        <w:tab w:val="left" w:pos="7020"/>
      </w:tabs>
      <w:jc w:val="center"/>
      <w:rPr>
        <w:rFonts w:ascii="Arial" w:hAnsi="Arial" w:cs="Arial"/>
        <w:b/>
        <w:szCs w:val="22"/>
      </w:rPr>
    </w:pPr>
  </w:p>
  <w:p w14:paraId="4C2BBF4B" w14:textId="77777777" w:rsidR="006F10AC" w:rsidRPr="004337D5" w:rsidRDefault="00A13EB3" w:rsidP="00B4612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МЕЖПРАВИТЕЛЬСТВЕННАЯ ОКЕАНОГРАФИЧЕСКАЯ КОМИССИЯ</w:t>
    </w:r>
  </w:p>
  <w:p w14:paraId="45566DCC" w14:textId="77777777" w:rsidR="006F10AC" w:rsidRPr="004337D5" w:rsidRDefault="00A13EB3" w:rsidP="00B46127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 w:val="22"/>
        <w:szCs w:val="22"/>
      </w:rPr>
    </w:pPr>
    <w:r>
      <w:rPr>
        <w:rFonts w:ascii="Arial" w:hAnsi="Arial"/>
        <w:bCs/>
        <w:sz w:val="22"/>
        <w:szCs w:val="22"/>
      </w:rPr>
      <w:t>(ЮНЕСКО)</w:t>
    </w:r>
  </w:p>
  <w:p w14:paraId="1FBF04E0" w14:textId="77777777" w:rsidR="006F10AC" w:rsidRPr="004337D5" w:rsidRDefault="006F10AC" w:rsidP="00B4612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</w:p>
  <w:p w14:paraId="7E2AD013" w14:textId="77777777" w:rsidR="006F10AC" w:rsidRPr="004337D5" w:rsidRDefault="00A13EB3" w:rsidP="00C8529B">
    <w:pPr>
      <w:tabs>
        <w:tab w:val="left" w:pos="-1440"/>
        <w:tab w:val="left" w:pos="-720"/>
        <w:tab w:val="left" w:pos="720"/>
        <w:tab w:val="left" w:pos="1420"/>
        <w:tab w:val="left" w:pos="2160"/>
        <w:tab w:val="left" w:pos="3600"/>
        <w:tab w:val="left" w:pos="4320"/>
        <w:tab w:val="center" w:pos="4677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Пятьдесят седьмая сессия Исполнительного совета</w:t>
    </w:r>
  </w:p>
  <w:p w14:paraId="4B7D6CC7" w14:textId="77777777" w:rsidR="006F10AC" w:rsidRPr="004337D5" w:rsidRDefault="00A13EB3" w:rsidP="00C8529B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/>
        <w:bCs/>
        <w:sz w:val="22"/>
        <w:szCs w:val="22"/>
      </w:rPr>
      <w:t>ЮНЕСКО, Париж, 25-28 июня 2024 г.</w:t>
    </w:r>
  </w:p>
  <w:p w14:paraId="25C2DC25" w14:textId="77777777" w:rsidR="006F10AC" w:rsidRPr="00A141A8" w:rsidRDefault="006F10AC" w:rsidP="00B46127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rFonts w:ascii="Arial" w:hAnsi="Arial" w:cs="Arial"/>
        <w:bCs/>
        <w:sz w:val="22"/>
        <w:szCs w:val="22"/>
      </w:rPr>
    </w:pPr>
  </w:p>
  <w:p w14:paraId="3F8446B7" w14:textId="77777777" w:rsidR="006F10AC" w:rsidRPr="00A141A8" w:rsidRDefault="006F10AC" w:rsidP="00B46127">
    <w:pPr>
      <w:jc w:val="center"/>
      <w:rPr>
        <w:rFonts w:ascii="Arial" w:hAnsi="Arial" w:cs="Arial"/>
        <w:sz w:val="22"/>
        <w:szCs w:val="22"/>
      </w:rPr>
    </w:pPr>
  </w:p>
  <w:p w14:paraId="5099BB10" w14:textId="77777777" w:rsidR="006F10AC" w:rsidRPr="00A141A8" w:rsidRDefault="006F10AC" w:rsidP="00B46127">
    <w:pPr>
      <w:jc w:val="center"/>
      <w:rPr>
        <w:rFonts w:ascii="Arial" w:hAnsi="Arial" w:cs="Arial"/>
        <w:sz w:val="22"/>
        <w:szCs w:val="22"/>
      </w:rPr>
    </w:pPr>
  </w:p>
  <w:p w14:paraId="31C3AE00" w14:textId="5489CC95" w:rsidR="006F10AC" w:rsidRPr="002914E2" w:rsidRDefault="00AD60BE" w:rsidP="0045038F">
    <w:pPr>
      <w:pStyle w:val="Docheading"/>
      <w:spacing w:after="240"/>
      <w:rPr>
        <w:sz w:val="28"/>
        <w:szCs w:val="28"/>
      </w:rPr>
    </w:pPr>
    <w:r>
      <w:rPr>
        <w:caps w:val="0"/>
        <w:sz w:val="28"/>
        <w:szCs w:val="28"/>
      </w:rPr>
      <w:t>Краткий доклад</w:t>
    </w:r>
  </w:p>
  <w:bookmarkEnd w:id="0"/>
  <w:bookmarkEnd w:id="1"/>
  <w:p w14:paraId="32EDFF5D" w14:textId="77777777" w:rsidR="006F10AC" w:rsidRPr="004337D5" w:rsidRDefault="006F10AC" w:rsidP="008B7757">
    <w:pPr>
      <w:pStyle w:val="Header"/>
      <w:rPr>
        <w:rFonts w:ascii="Arial" w:hAnsi="Arial" w:cs="Arial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FF91" w14:textId="77777777" w:rsidR="0021145E" w:rsidRDefault="002114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6EAD9" w14:textId="41EC1436" w:rsidR="006F10AC" w:rsidRPr="004D3520" w:rsidRDefault="00A13EB3" w:rsidP="004D3520">
    <w:pPr>
      <w:pStyle w:val="Header"/>
      <w:tabs>
        <w:tab w:val="clear" w:pos="8306"/>
      </w:tabs>
      <w:spacing w:after="120"/>
      <w:rPr>
        <w:rFonts w:ascii="Arial" w:hAnsi="Arial" w:cs="Arial"/>
        <w:sz w:val="22"/>
        <w:szCs w:val="22"/>
        <w:lang w:val="pt-PT"/>
      </w:rPr>
    </w:pPr>
    <w:r w:rsidRPr="004D3520">
      <w:rPr>
        <w:rFonts w:ascii="Arial" w:hAnsi="Arial"/>
        <w:sz w:val="22"/>
        <w:szCs w:val="22"/>
        <w:lang w:val="pt-PT"/>
      </w:rPr>
      <w:t>IOC/EC-57/</w:t>
    </w:r>
    <w:r w:rsidR="00DA5AE7" w:rsidRPr="004D3520">
      <w:rPr>
        <w:rFonts w:ascii="Arial" w:hAnsi="Arial"/>
        <w:sz w:val="22"/>
        <w:szCs w:val="22"/>
        <w:lang w:val="pt-PT"/>
      </w:rPr>
      <w:t>SR</w:t>
    </w:r>
    <w:r w:rsidR="00637C51">
      <w:rPr>
        <w:rFonts w:ascii="Arial" w:hAnsi="Arial"/>
        <w:sz w:val="22"/>
        <w:szCs w:val="22"/>
        <w:lang w:val="pt-PT"/>
      </w:rPr>
      <w:t xml:space="preserve"> </w:t>
    </w:r>
    <w:r w:rsidRPr="004D3520">
      <w:rPr>
        <w:rFonts w:ascii="Arial" w:hAnsi="Arial"/>
        <w:sz w:val="22"/>
        <w:szCs w:val="22"/>
        <w:lang w:val="pt-PT"/>
      </w:rPr>
      <w:t>– page (</w:t>
    </w:r>
    <w:r w:rsidRPr="001D0CEF">
      <w:rPr>
        <w:rFonts w:ascii="Arial" w:hAnsi="Arial" w:cs="Arial"/>
        <w:sz w:val="22"/>
        <w:szCs w:val="22"/>
      </w:rPr>
      <w:fldChar w:fldCharType="begin"/>
    </w:r>
    <w:r w:rsidRPr="004D3520">
      <w:rPr>
        <w:rFonts w:ascii="Arial" w:hAnsi="Arial" w:cs="Arial"/>
        <w:sz w:val="22"/>
        <w:szCs w:val="22"/>
        <w:lang w:val="pt-PT"/>
      </w:rPr>
      <w:instrText xml:space="preserve"> PAGE   \* MERGEFORMAT </w:instrText>
    </w:r>
    <w:r w:rsidRPr="001D0CEF">
      <w:rPr>
        <w:rFonts w:ascii="Arial" w:hAnsi="Arial" w:cs="Arial"/>
        <w:sz w:val="22"/>
        <w:szCs w:val="22"/>
      </w:rPr>
      <w:fldChar w:fldCharType="separate"/>
    </w:r>
    <w:r w:rsidRPr="004D3520">
      <w:rPr>
        <w:rFonts w:ascii="Arial" w:hAnsi="Arial" w:cs="Arial"/>
        <w:sz w:val="22"/>
        <w:szCs w:val="22"/>
        <w:lang w:val="pt-PT"/>
      </w:rPr>
      <w:t>ii</w:t>
    </w:r>
    <w:r w:rsidRPr="001D0CEF">
      <w:rPr>
        <w:rFonts w:ascii="Arial" w:hAnsi="Arial" w:cs="Arial"/>
        <w:sz w:val="22"/>
        <w:szCs w:val="22"/>
      </w:rPr>
      <w:fldChar w:fldCharType="end"/>
    </w:r>
    <w:r w:rsidRPr="004D3520">
      <w:rPr>
        <w:rFonts w:ascii="Arial" w:hAnsi="Arial"/>
        <w:sz w:val="22"/>
        <w:szCs w:val="22"/>
        <w:lang w:val="pt-PT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64128" w14:textId="77777777" w:rsidR="006F10AC" w:rsidRPr="00A141A8" w:rsidRDefault="00A13EB3" w:rsidP="005C3715">
    <w:pPr>
      <w:pStyle w:val="Header"/>
      <w:tabs>
        <w:tab w:val="clear" w:pos="8306"/>
      </w:tabs>
      <w:ind w:firstLine="7230"/>
      <w:rPr>
        <w:rFonts w:ascii="Arial" w:hAnsi="Arial" w:cs="Arial"/>
        <w:sz w:val="20"/>
        <w:szCs w:val="20"/>
        <w:lang w:val="en-US"/>
      </w:rPr>
    </w:pPr>
    <w:r w:rsidRPr="00A141A8">
      <w:rPr>
        <w:rFonts w:ascii="Arial" w:hAnsi="Arial"/>
        <w:sz w:val="20"/>
        <w:szCs w:val="20"/>
        <w:lang w:val="en-US"/>
      </w:rPr>
      <w:t>IOC/EC-57/AP – page (</w:t>
    </w:r>
    <w:r w:rsidRPr="008B65FB">
      <w:rPr>
        <w:rFonts w:ascii="Arial" w:hAnsi="Arial" w:cs="Arial"/>
        <w:sz w:val="20"/>
        <w:szCs w:val="20"/>
      </w:rPr>
      <w:fldChar w:fldCharType="begin"/>
    </w:r>
    <w:r w:rsidRPr="00A141A8">
      <w:rPr>
        <w:rFonts w:ascii="Arial" w:hAnsi="Arial" w:cs="Arial"/>
        <w:sz w:val="20"/>
        <w:szCs w:val="20"/>
        <w:lang w:val="en-US"/>
      </w:rPr>
      <w:instrText xml:space="preserve"> PAGE   \* MERGEFORMAT </w:instrText>
    </w:r>
    <w:r w:rsidRPr="008B65FB">
      <w:rPr>
        <w:rFonts w:ascii="Arial" w:hAnsi="Arial" w:cs="Arial"/>
        <w:sz w:val="20"/>
        <w:szCs w:val="20"/>
      </w:rPr>
      <w:fldChar w:fldCharType="separate"/>
    </w:r>
    <w:r w:rsidRPr="00A141A8">
      <w:rPr>
        <w:rFonts w:ascii="Arial" w:hAnsi="Arial" w:cs="Arial"/>
        <w:sz w:val="20"/>
        <w:szCs w:val="20"/>
        <w:lang w:val="en-US"/>
      </w:rPr>
      <w:t>i</w:t>
    </w:r>
    <w:r w:rsidRPr="008B65FB">
      <w:rPr>
        <w:rFonts w:ascii="Arial" w:hAnsi="Arial" w:cs="Arial"/>
        <w:sz w:val="20"/>
        <w:szCs w:val="20"/>
      </w:rPr>
      <w:fldChar w:fldCharType="end"/>
    </w:r>
    <w:r w:rsidRPr="00A141A8">
      <w:rPr>
        <w:rFonts w:ascii="Arial" w:hAnsi="Arial"/>
        <w:sz w:val="20"/>
        <w:szCs w:val="20"/>
        <w:lang w:val="en-US"/>
      </w:rPr>
      <w:t>)</w:t>
    </w:r>
  </w:p>
  <w:p w14:paraId="6B5E5094" w14:textId="77777777" w:rsidR="006F10AC" w:rsidRPr="008B65FB" w:rsidRDefault="006F10AC" w:rsidP="002F71F0">
    <w:pPr>
      <w:pStyle w:val="Header"/>
      <w:tabs>
        <w:tab w:val="clear" w:pos="8306"/>
      </w:tabs>
      <w:ind w:right="499"/>
      <w:rPr>
        <w:rStyle w:val="PageNumber"/>
        <w:rFonts w:ascii="Arial" w:hAnsi="Arial" w:cs="Arial"/>
        <w:lang w:val="en-U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80010" w14:textId="30E27343" w:rsidR="00B129D7" w:rsidRPr="004D3520" w:rsidRDefault="00B129D7" w:rsidP="00B129D7">
    <w:pPr>
      <w:pStyle w:val="Header"/>
      <w:tabs>
        <w:tab w:val="clear" w:pos="8306"/>
      </w:tabs>
      <w:jc w:val="right"/>
      <w:rPr>
        <w:rFonts w:ascii="Arial" w:hAnsi="Arial" w:cs="Arial"/>
        <w:sz w:val="22"/>
        <w:szCs w:val="22"/>
        <w:lang w:val="pt-PT"/>
      </w:rPr>
    </w:pPr>
    <w:r w:rsidRPr="004D3520">
      <w:rPr>
        <w:rFonts w:ascii="Arial" w:hAnsi="Arial"/>
        <w:sz w:val="22"/>
        <w:szCs w:val="22"/>
        <w:lang w:val="pt-PT"/>
      </w:rPr>
      <w:t>IOC/EC-57/</w:t>
    </w:r>
    <w:r w:rsidR="00DA5AE7" w:rsidRPr="004D3520">
      <w:rPr>
        <w:rFonts w:ascii="Arial" w:hAnsi="Arial"/>
        <w:sz w:val="22"/>
        <w:szCs w:val="22"/>
        <w:lang w:val="pt-PT"/>
      </w:rPr>
      <w:t>SR</w:t>
    </w:r>
    <w:r w:rsidR="00637C51">
      <w:rPr>
        <w:rFonts w:ascii="Arial" w:hAnsi="Arial"/>
        <w:sz w:val="22"/>
        <w:szCs w:val="22"/>
        <w:lang w:val="pt-PT"/>
      </w:rPr>
      <w:t xml:space="preserve"> </w:t>
    </w:r>
    <w:r w:rsidRPr="004D3520">
      <w:rPr>
        <w:rFonts w:ascii="Arial" w:hAnsi="Arial"/>
        <w:sz w:val="22"/>
        <w:szCs w:val="22"/>
        <w:lang w:val="pt-PT"/>
      </w:rPr>
      <w:t>– page (</w:t>
    </w:r>
    <w:r w:rsidRPr="001D0CEF">
      <w:rPr>
        <w:rFonts w:ascii="Arial" w:hAnsi="Arial" w:cs="Arial"/>
        <w:sz w:val="22"/>
        <w:szCs w:val="22"/>
      </w:rPr>
      <w:fldChar w:fldCharType="begin"/>
    </w:r>
    <w:r w:rsidRPr="004D3520">
      <w:rPr>
        <w:rFonts w:ascii="Arial" w:hAnsi="Arial" w:cs="Arial"/>
        <w:sz w:val="22"/>
        <w:szCs w:val="22"/>
        <w:lang w:val="pt-PT"/>
      </w:rPr>
      <w:instrText xml:space="preserve"> PAGE   \* MERGEFORMAT </w:instrText>
    </w:r>
    <w:r w:rsidRPr="001D0CEF">
      <w:rPr>
        <w:rFonts w:ascii="Arial" w:hAnsi="Arial" w:cs="Arial"/>
        <w:sz w:val="22"/>
        <w:szCs w:val="22"/>
      </w:rPr>
      <w:fldChar w:fldCharType="separate"/>
    </w:r>
    <w:r w:rsidRPr="004D3520">
      <w:rPr>
        <w:rFonts w:ascii="Arial" w:hAnsi="Arial" w:cs="Arial"/>
        <w:sz w:val="22"/>
        <w:szCs w:val="22"/>
        <w:lang w:val="pt-PT"/>
      </w:rPr>
      <w:t>ii</w:t>
    </w:r>
    <w:r w:rsidRPr="001D0CEF">
      <w:rPr>
        <w:rFonts w:ascii="Arial" w:hAnsi="Arial" w:cs="Arial"/>
        <w:sz w:val="22"/>
        <w:szCs w:val="22"/>
      </w:rPr>
      <w:fldChar w:fldCharType="end"/>
    </w:r>
    <w:r w:rsidRPr="004D3520">
      <w:rPr>
        <w:rFonts w:ascii="Arial" w:hAnsi="Arial"/>
        <w:sz w:val="22"/>
        <w:szCs w:val="22"/>
        <w:lang w:val="pt-PT"/>
      </w:rPr>
      <w:t>)</w:t>
    </w:r>
  </w:p>
  <w:p w14:paraId="44D4B1F8" w14:textId="77777777" w:rsidR="006F10AC" w:rsidRPr="004D3520" w:rsidRDefault="006F10AC">
    <w:pPr>
      <w:pStyle w:val="Header"/>
      <w:rPr>
        <w:lang w:val="pt-PT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25153" w14:textId="608B5C00" w:rsidR="00637C51" w:rsidRPr="004D3520" w:rsidRDefault="00637C51" w:rsidP="004D3520">
    <w:pPr>
      <w:pStyle w:val="Header"/>
      <w:tabs>
        <w:tab w:val="clear" w:pos="8306"/>
      </w:tabs>
      <w:spacing w:after="120"/>
      <w:rPr>
        <w:rFonts w:ascii="Arial" w:hAnsi="Arial" w:cs="Arial"/>
        <w:sz w:val="22"/>
        <w:szCs w:val="22"/>
        <w:lang w:val="pt-PT"/>
      </w:rPr>
    </w:pPr>
    <w:r w:rsidRPr="004D3520">
      <w:rPr>
        <w:rFonts w:ascii="Arial" w:hAnsi="Arial"/>
        <w:sz w:val="22"/>
        <w:szCs w:val="22"/>
        <w:lang w:val="pt-PT"/>
      </w:rPr>
      <w:t>IOC/EC-57/SR</w:t>
    </w:r>
    <w:r>
      <w:rPr>
        <w:rFonts w:ascii="Arial" w:hAnsi="Arial"/>
        <w:sz w:val="22"/>
        <w:szCs w:val="22"/>
        <w:lang w:val="pt-PT"/>
      </w:rPr>
      <w:t xml:space="preserve"> </w:t>
    </w:r>
    <w:r w:rsidRPr="004D3520">
      <w:rPr>
        <w:rFonts w:ascii="Arial" w:hAnsi="Arial"/>
        <w:sz w:val="22"/>
        <w:szCs w:val="22"/>
        <w:lang w:val="pt-PT"/>
      </w:rPr>
      <w:t xml:space="preserve">– page </w:t>
    </w:r>
    <w:r w:rsidRPr="001D0CEF">
      <w:rPr>
        <w:rFonts w:ascii="Arial" w:hAnsi="Arial" w:cs="Arial"/>
        <w:sz w:val="22"/>
        <w:szCs w:val="22"/>
      </w:rPr>
      <w:fldChar w:fldCharType="begin"/>
    </w:r>
    <w:r w:rsidRPr="004D3520">
      <w:rPr>
        <w:rFonts w:ascii="Arial" w:hAnsi="Arial" w:cs="Arial"/>
        <w:sz w:val="22"/>
        <w:szCs w:val="22"/>
        <w:lang w:val="pt-PT"/>
      </w:rPr>
      <w:instrText xml:space="preserve"> PAGE   \* MERGEFORMAT </w:instrText>
    </w:r>
    <w:r w:rsidRPr="001D0CEF">
      <w:rPr>
        <w:rFonts w:ascii="Arial" w:hAnsi="Arial" w:cs="Arial"/>
        <w:sz w:val="22"/>
        <w:szCs w:val="22"/>
      </w:rPr>
      <w:fldChar w:fldCharType="separate"/>
    </w:r>
    <w:r w:rsidRPr="004D3520">
      <w:rPr>
        <w:rFonts w:ascii="Arial" w:hAnsi="Arial" w:cs="Arial"/>
        <w:sz w:val="22"/>
        <w:szCs w:val="22"/>
        <w:lang w:val="pt-PT"/>
      </w:rPr>
      <w:t>ii</w:t>
    </w:r>
    <w:r w:rsidRPr="001D0CEF">
      <w:rPr>
        <w:rFonts w:ascii="Arial" w:hAnsi="Arial" w:cs="Arial"/>
        <w:sz w:val="22"/>
        <w:szCs w:val="22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BC73A" w14:textId="71E00816" w:rsidR="00B129D7" w:rsidRPr="004D3520" w:rsidRDefault="00B129D7" w:rsidP="004D3520">
    <w:pPr>
      <w:pStyle w:val="Header"/>
      <w:tabs>
        <w:tab w:val="clear" w:pos="8306"/>
      </w:tabs>
      <w:spacing w:after="120"/>
      <w:ind w:firstLine="5103"/>
      <w:jc w:val="right"/>
      <w:rPr>
        <w:rStyle w:val="PageNumber"/>
        <w:rFonts w:ascii="Arial" w:hAnsi="Arial" w:cs="Arial"/>
        <w:lang w:val="pt-PT"/>
      </w:rPr>
    </w:pPr>
    <w:r w:rsidRPr="004D3520">
      <w:rPr>
        <w:rFonts w:ascii="Arial" w:hAnsi="Arial"/>
        <w:sz w:val="22"/>
        <w:szCs w:val="22"/>
        <w:lang w:val="pt-PT"/>
      </w:rPr>
      <w:t>IOC/EC-57/</w:t>
    </w:r>
    <w:r w:rsidR="00E46E42" w:rsidRPr="004D3520">
      <w:rPr>
        <w:rFonts w:ascii="Arial" w:hAnsi="Arial"/>
        <w:sz w:val="22"/>
        <w:szCs w:val="22"/>
        <w:lang w:val="pt-PT"/>
      </w:rPr>
      <w:t>SR</w:t>
    </w:r>
    <w:r w:rsidR="00637C51">
      <w:rPr>
        <w:rFonts w:ascii="Arial" w:hAnsi="Arial"/>
        <w:sz w:val="22"/>
        <w:szCs w:val="22"/>
        <w:lang w:val="pt-PT"/>
      </w:rPr>
      <w:t xml:space="preserve"> </w:t>
    </w:r>
    <w:r w:rsidRPr="004D3520">
      <w:rPr>
        <w:rFonts w:ascii="Arial" w:hAnsi="Arial"/>
        <w:sz w:val="22"/>
        <w:szCs w:val="22"/>
        <w:lang w:val="pt-PT"/>
      </w:rPr>
      <w:t xml:space="preserve">– page </w:t>
    </w:r>
    <w:r w:rsidRPr="001D0CEF">
      <w:rPr>
        <w:rFonts w:ascii="Arial" w:hAnsi="Arial" w:cs="Arial"/>
        <w:sz w:val="22"/>
        <w:szCs w:val="22"/>
      </w:rPr>
      <w:fldChar w:fldCharType="begin"/>
    </w:r>
    <w:r w:rsidRPr="004D3520">
      <w:rPr>
        <w:rFonts w:ascii="Arial" w:hAnsi="Arial" w:cs="Arial"/>
        <w:sz w:val="22"/>
        <w:szCs w:val="22"/>
        <w:lang w:val="pt-PT"/>
      </w:rPr>
      <w:instrText xml:space="preserve"> PAGE   \* MERGEFORMAT </w:instrText>
    </w:r>
    <w:r w:rsidRPr="001D0CEF">
      <w:rPr>
        <w:rFonts w:ascii="Arial" w:hAnsi="Arial" w:cs="Arial"/>
        <w:sz w:val="22"/>
        <w:szCs w:val="22"/>
      </w:rPr>
      <w:fldChar w:fldCharType="separate"/>
    </w:r>
    <w:r w:rsidRPr="004D3520">
      <w:rPr>
        <w:rFonts w:ascii="Arial" w:hAnsi="Arial" w:cs="Arial"/>
        <w:sz w:val="22"/>
        <w:szCs w:val="22"/>
        <w:lang w:val="pt-PT"/>
      </w:rPr>
      <w:t>i</w:t>
    </w:r>
    <w:r w:rsidRPr="001D0CEF">
      <w:rPr>
        <w:rFonts w:ascii="Arial" w:hAnsi="Arial" w:cs="Arial"/>
        <w:sz w:val="22"/>
        <w:szCs w:val="22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EB548" w14:textId="4D614C4D" w:rsidR="00B129D7" w:rsidRPr="00096DD5" w:rsidRDefault="00B129D7" w:rsidP="00B129D7">
    <w:pPr>
      <w:pStyle w:val="Header"/>
      <w:tabs>
        <w:tab w:val="clear" w:pos="8306"/>
      </w:tabs>
      <w:jc w:val="right"/>
      <w:rPr>
        <w:rFonts w:ascii="Arial" w:hAnsi="Arial" w:cs="Arial"/>
        <w:sz w:val="22"/>
        <w:szCs w:val="22"/>
      </w:rPr>
    </w:pPr>
    <w:r w:rsidRPr="001D0CEF">
      <w:rPr>
        <w:rFonts w:ascii="Arial" w:hAnsi="Arial"/>
        <w:sz w:val="22"/>
        <w:szCs w:val="22"/>
        <w:lang w:val="en-US"/>
      </w:rPr>
      <w:t>IOC/EC-57/</w:t>
    </w:r>
    <w:r w:rsidR="00DA5AE7">
      <w:rPr>
        <w:rFonts w:ascii="Arial" w:hAnsi="Arial"/>
        <w:sz w:val="22"/>
        <w:szCs w:val="22"/>
        <w:lang w:val="en-US"/>
      </w:rPr>
      <w:t>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451249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125113"/>
    <w:multiLevelType w:val="hybridMultilevel"/>
    <w:tmpl w:val="0038DA22"/>
    <w:lvl w:ilvl="0" w:tplc="8DAEB51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7DE"/>
    <w:multiLevelType w:val="hybridMultilevel"/>
    <w:tmpl w:val="64F8FBCC"/>
    <w:lvl w:ilvl="0" w:tplc="8952847A">
      <w:start w:val="1"/>
      <w:numFmt w:val="lowerRoman"/>
      <w:lvlText w:val="(%1)"/>
      <w:lvlJc w:val="right"/>
      <w:pPr>
        <w:ind w:left="1287" w:hanging="360"/>
      </w:pPr>
      <w:rPr>
        <w:rFonts w:hint="default"/>
        <w:sz w:val="22"/>
        <w:szCs w:val="22"/>
        <w:lang w:val="ru-RU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DF1D9A"/>
    <w:multiLevelType w:val="hybridMultilevel"/>
    <w:tmpl w:val="8382B9C6"/>
    <w:lvl w:ilvl="0" w:tplc="51F22C4C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74D92"/>
    <w:multiLevelType w:val="hybridMultilevel"/>
    <w:tmpl w:val="A196758C"/>
    <w:lvl w:ilvl="0" w:tplc="0950C402">
      <w:start w:val="1"/>
      <w:numFmt w:val="lowerRoman"/>
      <w:lvlText w:val="(%1)"/>
      <w:lvlJc w:val="left"/>
      <w:pPr>
        <w:ind w:left="87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178D2C42"/>
    <w:multiLevelType w:val="hybridMultilevel"/>
    <w:tmpl w:val="177A2178"/>
    <w:lvl w:ilvl="0" w:tplc="8B2CAB4C">
      <w:start w:val="4"/>
      <w:numFmt w:val="decimal"/>
      <w:lvlText w:val="%1.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D03E2"/>
    <w:multiLevelType w:val="hybridMultilevel"/>
    <w:tmpl w:val="648EF9CE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6266B"/>
    <w:multiLevelType w:val="multilevel"/>
    <w:tmpl w:val="FB90868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8" w:hanging="708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8" w15:restartNumberingAfterBreak="0">
    <w:nsid w:val="1BC33398"/>
    <w:multiLevelType w:val="hybridMultilevel"/>
    <w:tmpl w:val="DB4814D2"/>
    <w:lvl w:ilvl="0" w:tplc="243ECE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42465"/>
    <w:multiLevelType w:val="hybridMultilevel"/>
    <w:tmpl w:val="DEF04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73FB1"/>
    <w:multiLevelType w:val="hybridMultilevel"/>
    <w:tmpl w:val="B796A9B0"/>
    <w:lvl w:ilvl="0" w:tplc="040C000F">
      <w:start w:val="1"/>
      <w:numFmt w:val="decimal"/>
      <w:lvlText w:val="%1."/>
      <w:lvlJc w:val="left"/>
      <w:pPr>
        <w:ind w:left="1287" w:hanging="360"/>
      </w:pPr>
      <w:rPr>
        <w:rFonts w:hint="default"/>
        <w:sz w:val="22"/>
        <w:szCs w:val="22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5CB0D19"/>
    <w:multiLevelType w:val="hybridMultilevel"/>
    <w:tmpl w:val="78ACF6E6"/>
    <w:lvl w:ilvl="0" w:tplc="5410399A">
      <w:start w:val="1"/>
      <w:numFmt w:val="bullet"/>
      <w:pStyle w:val="ListBullet2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C32A7"/>
    <w:multiLevelType w:val="hybridMultilevel"/>
    <w:tmpl w:val="C7D25FDA"/>
    <w:lvl w:ilvl="0" w:tplc="0950C40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B4963"/>
    <w:multiLevelType w:val="hybridMultilevel"/>
    <w:tmpl w:val="BE207F0A"/>
    <w:lvl w:ilvl="0" w:tplc="05583D68">
      <w:start w:val="9"/>
      <w:numFmt w:val="lowerLetter"/>
      <w:lvlText w:val="%1."/>
      <w:lvlJc w:val="left"/>
      <w:pPr>
        <w:ind w:left="2149" w:hanging="360"/>
      </w:pPr>
      <w:rPr>
        <w:rFonts w:hint="default"/>
      </w:rPr>
    </w:lvl>
    <w:lvl w:ilvl="1" w:tplc="8DAEB510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420C3"/>
    <w:multiLevelType w:val="hybridMultilevel"/>
    <w:tmpl w:val="F14A5D44"/>
    <w:lvl w:ilvl="0" w:tplc="52B67B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66F4A"/>
    <w:multiLevelType w:val="hybridMultilevel"/>
    <w:tmpl w:val="A04C0A98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91349"/>
    <w:multiLevelType w:val="hybridMultilevel"/>
    <w:tmpl w:val="E6C81FF0"/>
    <w:lvl w:ilvl="0" w:tplc="928EE43C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bCs w:val="0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0270DE4"/>
    <w:multiLevelType w:val="hybridMultilevel"/>
    <w:tmpl w:val="2208E86A"/>
    <w:lvl w:ilvl="0" w:tplc="FFFFFFF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E52D4"/>
    <w:multiLevelType w:val="hybridMultilevel"/>
    <w:tmpl w:val="6EE23BE4"/>
    <w:lvl w:ilvl="0" w:tplc="B4163634">
      <w:start w:val="1"/>
      <w:numFmt w:val="bullet"/>
      <w:lvlText w:val="-"/>
      <w:lvlJc w:val="left"/>
      <w:pPr>
        <w:ind w:left="924" w:hanging="564"/>
      </w:pPr>
      <w:rPr>
        <w:rFonts w:ascii="Walbaum Display Light" w:hAnsi="Walbaum Display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12019"/>
    <w:multiLevelType w:val="hybridMultilevel"/>
    <w:tmpl w:val="DE48F05E"/>
    <w:lvl w:ilvl="0" w:tplc="DD860B94">
      <w:start w:val="1"/>
      <w:numFmt w:val="lowerRoman"/>
      <w:lvlText w:val="(%1)"/>
      <w:lvlJc w:val="left"/>
      <w:pPr>
        <w:ind w:left="2204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33782"/>
    <w:multiLevelType w:val="multilevel"/>
    <w:tmpl w:val="22125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  <w:sz w:val="22"/>
      </w:rPr>
    </w:lvl>
  </w:abstractNum>
  <w:abstractNum w:abstractNumId="21" w15:restartNumberingAfterBreak="0">
    <w:nsid w:val="36396FF4"/>
    <w:multiLevelType w:val="multilevel"/>
    <w:tmpl w:val="CE48273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8206007"/>
    <w:multiLevelType w:val="hybridMultilevel"/>
    <w:tmpl w:val="0C9863F0"/>
    <w:lvl w:ilvl="0" w:tplc="8B943264">
      <w:start w:val="1"/>
      <w:numFmt w:val="decimal"/>
      <w:lvlText w:val="%1."/>
      <w:lvlJc w:val="left"/>
      <w:pPr>
        <w:ind w:left="2204" w:hanging="360"/>
      </w:pPr>
      <w:rPr>
        <w:rFonts w:eastAsia="Calibri" w:hint="default"/>
        <w:b w:val="0"/>
        <w:bCs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C608F"/>
    <w:multiLevelType w:val="hybridMultilevel"/>
    <w:tmpl w:val="9BD60E2E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</w:rPr>
    </w:lvl>
    <w:lvl w:ilvl="1" w:tplc="3F74D7A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E03E8"/>
    <w:multiLevelType w:val="hybridMultilevel"/>
    <w:tmpl w:val="2C5ADF48"/>
    <w:lvl w:ilvl="0" w:tplc="0950C402">
      <w:start w:val="1"/>
      <w:numFmt w:val="lowerRoman"/>
      <w:lvlText w:val="(%1)"/>
      <w:lvlJc w:val="left"/>
      <w:pPr>
        <w:ind w:left="873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5" w15:restartNumberingAfterBreak="0">
    <w:nsid w:val="3C9B4BA3"/>
    <w:multiLevelType w:val="hybridMultilevel"/>
    <w:tmpl w:val="67140962"/>
    <w:lvl w:ilvl="0" w:tplc="FFFFFFFF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801B0"/>
    <w:multiLevelType w:val="hybridMultilevel"/>
    <w:tmpl w:val="DE72602C"/>
    <w:lvl w:ilvl="0" w:tplc="EDB26A68">
      <w:start w:val="1"/>
      <w:numFmt w:val="bullet"/>
      <w:pStyle w:val="TIRETbul1cm"/>
      <w:lvlText w:val="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0815FE"/>
    <w:multiLevelType w:val="hybridMultilevel"/>
    <w:tmpl w:val="723A8376"/>
    <w:lvl w:ilvl="0" w:tplc="AA2E43B8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F1D2C"/>
    <w:multiLevelType w:val="hybridMultilevel"/>
    <w:tmpl w:val="EE6C2D82"/>
    <w:lvl w:ilvl="0" w:tplc="237CD3F4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0117034"/>
    <w:multiLevelType w:val="hybridMultilevel"/>
    <w:tmpl w:val="36F6E632"/>
    <w:lvl w:ilvl="0" w:tplc="B0066E32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i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2421D"/>
    <w:multiLevelType w:val="hybridMultilevel"/>
    <w:tmpl w:val="7F9E4D46"/>
    <w:lvl w:ilvl="0" w:tplc="C53ABE7A">
      <w:start w:val="1"/>
      <w:numFmt w:val="lowerRoman"/>
      <w:lvlText w:val="(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8063788"/>
    <w:multiLevelType w:val="hybridMultilevel"/>
    <w:tmpl w:val="369692A8"/>
    <w:lvl w:ilvl="0" w:tplc="0950C40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01F5A"/>
    <w:multiLevelType w:val="hybridMultilevel"/>
    <w:tmpl w:val="2208E86A"/>
    <w:lvl w:ilvl="0" w:tplc="BBE2714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243FB"/>
    <w:multiLevelType w:val="hybridMultilevel"/>
    <w:tmpl w:val="2208E86A"/>
    <w:lvl w:ilvl="0" w:tplc="FFFFFFF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21DFB"/>
    <w:multiLevelType w:val="hybridMultilevel"/>
    <w:tmpl w:val="91BE8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44A01"/>
    <w:multiLevelType w:val="hybridMultilevel"/>
    <w:tmpl w:val="2208E86A"/>
    <w:lvl w:ilvl="0" w:tplc="BBE2714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77716"/>
    <w:multiLevelType w:val="hybridMultilevel"/>
    <w:tmpl w:val="A22CE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0600731"/>
    <w:multiLevelType w:val="multilevel"/>
    <w:tmpl w:val="3D1CB5A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  <w:rPr>
        <w:b w:val="0"/>
        <w:bCs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8" w15:restartNumberingAfterBreak="0">
    <w:nsid w:val="6065563D"/>
    <w:multiLevelType w:val="hybridMultilevel"/>
    <w:tmpl w:val="43DA671E"/>
    <w:lvl w:ilvl="0" w:tplc="C53ABE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F29BD"/>
    <w:multiLevelType w:val="hybridMultilevel"/>
    <w:tmpl w:val="70BC5E4C"/>
    <w:lvl w:ilvl="0" w:tplc="DD860B9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C2949"/>
    <w:multiLevelType w:val="hybridMultilevel"/>
    <w:tmpl w:val="8382B9C6"/>
    <w:lvl w:ilvl="0" w:tplc="FFFFFFFF">
      <w:start w:val="1"/>
      <w:numFmt w:val="decimal"/>
      <w:lvlText w:val="%1."/>
      <w:lvlJc w:val="left"/>
      <w:pPr>
        <w:ind w:left="288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F5B97"/>
    <w:multiLevelType w:val="multilevel"/>
    <w:tmpl w:val="E49E002A"/>
    <w:lvl w:ilvl="0">
      <w:start w:val="1"/>
      <w:numFmt w:val="decimal"/>
      <w:pStyle w:val="decis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20206C"/>
    <w:multiLevelType w:val="hybridMultilevel"/>
    <w:tmpl w:val="B5367A88"/>
    <w:lvl w:ilvl="0" w:tplc="2D60363C">
      <w:start w:val="1"/>
      <w:numFmt w:val="lowerRoman"/>
      <w:lvlText w:val="(%1)"/>
      <w:lvlJc w:val="right"/>
      <w:pPr>
        <w:ind w:left="720" w:hanging="360"/>
      </w:pPr>
      <w:rPr>
        <w:rFonts w:hint="default"/>
        <w:w w:val="99"/>
        <w:sz w:val="22"/>
        <w:szCs w:val="22"/>
      </w:r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51F22C4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42A3E"/>
    <w:multiLevelType w:val="hybridMultilevel"/>
    <w:tmpl w:val="FF9A6904"/>
    <w:lvl w:ilvl="0" w:tplc="04090001">
      <w:start w:val="1"/>
      <w:numFmt w:val="decimal"/>
      <w:pStyle w:val="Quick1"/>
      <w:lvlText w:val="%1"/>
      <w:lvlJc w:val="left"/>
      <w:pPr>
        <w:tabs>
          <w:tab w:val="num" w:pos="720"/>
        </w:tabs>
        <w:ind w:left="720" w:hanging="1440"/>
      </w:pPr>
      <w:rPr>
        <w:rFonts w:ascii="Times New Roman" w:hAnsi="Times New Roman" w:hint="default"/>
        <w:b w:val="0"/>
        <w:i/>
        <w:sz w:val="22"/>
      </w:rPr>
    </w:lvl>
    <w:lvl w:ilvl="1" w:tplc="04090003">
      <w:start w:val="4"/>
      <w:numFmt w:val="lowerRoman"/>
      <w:lvlText w:val="(%2)"/>
      <w:lvlJc w:val="left"/>
      <w:pPr>
        <w:tabs>
          <w:tab w:val="num" w:pos="1457"/>
        </w:tabs>
        <w:ind w:left="1304" w:hanging="567"/>
      </w:pPr>
      <w:rPr>
        <w:rFonts w:hint="default"/>
      </w:rPr>
    </w:lvl>
    <w:lvl w:ilvl="2" w:tplc="04090005">
      <w:numFmt w:val="bullet"/>
      <w:lvlText w:val="-"/>
      <w:lvlJc w:val="left"/>
      <w:pPr>
        <w:tabs>
          <w:tab w:val="num" w:pos="4680"/>
        </w:tabs>
        <w:ind w:left="4680" w:hanging="12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4" w15:restartNumberingAfterBreak="0">
    <w:nsid w:val="73804274"/>
    <w:multiLevelType w:val="hybridMultilevel"/>
    <w:tmpl w:val="472AA13A"/>
    <w:lvl w:ilvl="0" w:tplc="5EAC542A">
      <w:start w:val="1"/>
      <w:numFmt w:val="lowerLetter"/>
      <w:lvlText w:val="(%1)"/>
      <w:lvlJc w:val="left"/>
      <w:pPr>
        <w:ind w:left="2421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3141" w:hanging="360"/>
      </w:pPr>
    </w:lvl>
    <w:lvl w:ilvl="2" w:tplc="040C001B" w:tentative="1">
      <w:start w:val="1"/>
      <w:numFmt w:val="lowerRoman"/>
      <w:lvlText w:val="%3."/>
      <w:lvlJc w:val="right"/>
      <w:pPr>
        <w:ind w:left="3861" w:hanging="180"/>
      </w:pPr>
    </w:lvl>
    <w:lvl w:ilvl="3" w:tplc="040C000F" w:tentative="1">
      <w:start w:val="1"/>
      <w:numFmt w:val="decimal"/>
      <w:lvlText w:val="%4."/>
      <w:lvlJc w:val="left"/>
      <w:pPr>
        <w:ind w:left="4581" w:hanging="360"/>
      </w:pPr>
    </w:lvl>
    <w:lvl w:ilvl="4" w:tplc="040C0019" w:tentative="1">
      <w:start w:val="1"/>
      <w:numFmt w:val="lowerLetter"/>
      <w:lvlText w:val="%5."/>
      <w:lvlJc w:val="left"/>
      <w:pPr>
        <w:ind w:left="5301" w:hanging="360"/>
      </w:pPr>
    </w:lvl>
    <w:lvl w:ilvl="5" w:tplc="040C001B" w:tentative="1">
      <w:start w:val="1"/>
      <w:numFmt w:val="lowerRoman"/>
      <w:lvlText w:val="%6."/>
      <w:lvlJc w:val="right"/>
      <w:pPr>
        <w:ind w:left="6021" w:hanging="180"/>
      </w:pPr>
    </w:lvl>
    <w:lvl w:ilvl="6" w:tplc="040C000F" w:tentative="1">
      <w:start w:val="1"/>
      <w:numFmt w:val="decimal"/>
      <w:lvlText w:val="%7."/>
      <w:lvlJc w:val="left"/>
      <w:pPr>
        <w:ind w:left="6741" w:hanging="360"/>
      </w:pPr>
    </w:lvl>
    <w:lvl w:ilvl="7" w:tplc="040C0019" w:tentative="1">
      <w:start w:val="1"/>
      <w:numFmt w:val="lowerLetter"/>
      <w:lvlText w:val="%8."/>
      <w:lvlJc w:val="left"/>
      <w:pPr>
        <w:ind w:left="7461" w:hanging="360"/>
      </w:pPr>
    </w:lvl>
    <w:lvl w:ilvl="8" w:tplc="04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5" w15:restartNumberingAfterBreak="0">
    <w:nsid w:val="79657590"/>
    <w:multiLevelType w:val="hybridMultilevel"/>
    <w:tmpl w:val="D152DA10"/>
    <w:lvl w:ilvl="0" w:tplc="77E28542">
      <w:start w:val="1"/>
      <w:numFmt w:val="decimal"/>
      <w:pStyle w:val="Paragrafonumerato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5C3C77"/>
    <w:multiLevelType w:val="hybridMultilevel"/>
    <w:tmpl w:val="E64EE878"/>
    <w:lvl w:ilvl="0" w:tplc="F03E17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A63DC"/>
    <w:multiLevelType w:val="hybridMultilevel"/>
    <w:tmpl w:val="0306800C"/>
    <w:lvl w:ilvl="0" w:tplc="2A626EFA">
      <w:start w:val="1"/>
      <w:numFmt w:val="lowerRoman"/>
      <w:lvlText w:val="(%1)"/>
      <w:lvlJc w:val="left"/>
      <w:pPr>
        <w:ind w:left="1854" w:hanging="360"/>
      </w:pPr>
      <w:rPr>
        <w:rFonts w:hint="default"/>
        <w:w w:val="99"/>
        <w:sz w:val="22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7DE33371"/>
    <w:multiLevelType w:val="hybridMultilevel"/>
    <w:tmpl w:val="795AD216"/>
    <w:lvl w:ilvl="0" w:tplc="2A626EFA">
      <w:start w:val="1"/>
      <w:numFmt w:val="lowerRoman"/>
      <w:lvlText w:val="(%1)"/>
      <w:lvlJc w:val="left"/>
      <w:pPr>
        <w:ind w:left="1800" w:hanging="720"/>
      </w:pPr>
      <w:rPr>
        <w:rFonts w:hint="default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400273"/>
    <w:multiLevelType w:val="hybridMultilevel"/>
    <w:tmpl w:val="3C387F88"/>
    <w:lvl w:ilvl="0" w:tplc="C53ABE7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5041864">
    <w:abstractNumId w:val="27"/>
  </w:num>
  <w:num w:numId="2" w16cid:durableId="565839130">
    <w:abstractNumId w:val="43"/>
  </w:num>
  <w:num w:numId="3" w16cid:durableId="1450468754">
    <w:abstractNumId w:val="41"/>
  </w:num>
  <w:num w:numId="4" w16cid:durableId="1829902316">
    <w:abstractNumId w:val="26"/>
  </w:num>
  <w:num w:numId="5" w16cid:durableId="1609043061">
    <w:abstractNumId w:val="45"/>
  </w:num>
  <w:num w:numId="6" w16cid:durableId="284777212">
    <w:abstractNumId w:val="11"/>
  </w:num>
  <w:num w:numId="7" w16cid:durableId="1072241186">
    <w:abstractNumId w:val="0"/>
  </w:num>
  <w:num w:numId="8" w16cid:durableId="1356808114">
    <w:abstractNumId w:val="16"/>
  </w:num>
  <w:num w:numId="9" w16cid:durableId="1111632323">
    <w:abstractNumId w:val="21"/>
  </w:num>
  <w:num w:numId="10" w16cid:durableId="1177421218">
    <w:abstractNumId w:val="32"/>
  </w:num>
  <w:num w:numId="11" w16cid:durableId="1467120845">
    <w:abstractNumId w:val="7"/>
  </w:num>
  <w:num w:numId="12" w16cid:durableId="553588466">
    <w:abstractNumId w:val="20"/>
  </w:num>
  <w:num w:numId="13" w16cid:durableId="1739471202">
    <w:abstractNumId w:val="8"/>
  </w:num>
  <w:num w:numId="14" w16cid:durableId="1973512587">
    <w:abstractNumId w:val="14"/>
  </w:num>
  <w:num w:numId="15" w16cid:durableId="1916237311">
    <w:abstractNumId w:val="48"/>
  </w:num>
  <w:num w:numId="16" w16cid:durableId="1665012294">
    <w:abstractNumId w:val="5"/>
  </w:num>
  <w:num w:numId="17" w16cid:durableId="301859167">
    <w:abstractNumId w:val="22"/>
  </w:num>
  <w:num w:numId="18" w16cid:durableId="1557158691">
    <w:abstractNumId w:val="42"/>
  </w:num>
  <w:num w:numId="19" w16cid:durableId="570774391">
    <w:abstractNumId w:val="35"/>
  </w:num>
  <w:num w:numId="20" w16cid:durableId="734665542">
    <w:abstractNumId w:val="46"/>
  </w:num>
  <w:num w:numId="21" w16cid:durableId="1042678783">
    <w:abstractNumId w:val="3"/>
  </w:num>
  <w:num w:numId="22" w16cid:durableId="1906839819">
    <w:abstractNumId w:val="25"/>
  </w:num>
  <w:num w:numId="23" w16cid:durableId="526454731">
    <w:abstractNumId w:val="17"/>
  </w:num>
  <w:num w:numId="24" w16cid:durableId="313682569">
    <w:abstractNumId w:val="33"/>
  </w:num>
  <w:num w:numId="25" w16cid:durableId="1664702822">
    <w:abstractNumId w:val="23"/>
  </w:num>
  <w:num w:numId="26" w16cid:durableId="1913270966">
    <w:abstractNumId w:val="40"/>
  </w:num>
  <w:num w:numId="27" w16cid:durableId="2001348930">
    <w:abstractNumId w:val="36"/>
  </w:num>
  <w:num w:numId="28" w16cid:durableId="1449618606">
    <w:abstractNumId w:val="2"/>
  </w:num>
  <w:num w:numId="29" w16cid:durableId="220603471">
    <w:abstractNumId w:val="13"/>
  </w:num>
  <w:num w:numId="30" w16cid:durableId="325911373">
    <w:abstractNumId w:val="1"/>
  </w:num>
  <w:num w:numId="31" w16cid:durableId="600573809">
    <w:abstractNumId w:val="34"/>
  </w:num>
  <w:num w:numId="32" w16cid:durableId="862287615">
    <w:abstractNumId w:val="18"/>
  </w:num>
  <w:num w:numId="33" w16cid:durableId="1529290272">
    <w:abstractNumId w:val="9"/>
  </w:num>
  <w:num w:numId="34" w16cid:durableId="727846094">
    <w:abstractNumId w:val="6"/>
  </w:num>
  <w:num w:numId="35" w16cid:durableId="1709527898">
    <w:abstractNumId w:val="39"/>
  </w:num>
  <w:num w:numId="36" w16cid:durableId="1969430219">
    <w:abstractNumId w:val="15"/>
  </w:num>
  <w:num w:numId="37" w16cid:durableId="91263">
    <w:abstractNumId w:val="19"/>
  </w:num>
  <w:num w:numId="38" w16cid:durableId="537819629">
    <w:abstractNumId w:val="47"/>
  </w:num>
  <w:num w:numId="39" w16cid:durableId="1048341740">
    <w:abstractNumId w:val="44"/>
  </w:num>
  <w:num w:numId="40" w16cid:durableId="932712615">
    <w:abstractNumId w:val="28"/>
  </w:num>
  <w:num w:numId="41" w16cid:durableId="441531328">
    <w:abstractNumId w:val="37"/>
  </w:num>
  <w:num w:numId="42" w16cid:durableId="1904216935">
    <w:abstractNumId w:val="29"/>
  </w:num>
  <w:num w:numId="43" w16cid:durableId="143741892">
    <w:abstractNumId w:val="30"/>
  </w:num>
  <w:num w:numId="44" w16cid:durableId="678700469">
    <w:abstractNumId w:val="10"/>
  </w:num>
  <w:num w:numId="45" w16cid:durableId="84499546">
    <w:abstractNumId w:val="12"/>
  </w:num>
  <w:num w:numId="46" w16cid:durableId="124200935">
    <w:abstractNumId w:val="24"/>
  </w:num>
  <w:num w:numId="47" w16cid:durableId="262802961">
    <w:abstractNumId w:val="4"/>
  </w:num>
  <w:num w:numId="48" w16cid:durableId="225839998">
    <w:abstractNumId w:val="31"/>
  </w:num>
  <w:num w:numId="49" w16cid:durableId="531498257">
    <w:abstractNumId w:val="49"/>
  </w:num>
  <w:num w:numId="50" w16cid:durableId="853803815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9B"/>
    <w:rsid w:val="0006083F"/>
    <w:rsid w:val="00093D05"/>
    <w:rsid w:val="00096DD5"/>
    <w:rsid w:val="0009701D"/>
    <w:rsid w:val="000B31FF"/>
    <w:rsid w:val="000C54F5"/>
    <w:rsid w:val="00105CCB"/>
    <w:rsid w:val="00110F52"/>
    <w:rsid w:val="00131D4B"/>
    <w:rsid w:val="001639F8"/>
    <w:rsid w:val="00171F50"/>
    <w:rsid w:val="00173A8F"/>
    <w:rsid w:val="00174E69"/>
    <w:rsid w:val="00185564"/>
    <w:rsid w:val="001B1C85"/>
    <w:rsid w:val="001B49AC"/>
    <w:rsid w:val="001B6EA3"/>
    <w:rsid w:val="001C12FE"/>
    <w:rsid w:val="001C38C4"/>
    <w:rsid w:val="001D0CEF"/>
    <w:rsid w:val="001E05B0"/>
    <w:rsid w:val="00202D5E"/>
    <w:rsid w:val="00203703"/>
    <w:rsid w:val="002045F6"/>
    <w:rsid w:val="0021145E"/>
    <w:rsid w:val="002146A4"/>
    <w:rsid w:val="002335FA"/>
    <w:rsid w:val="00233E94"/>
    <w:rsid w:val="00263A38"/>
    <w:rsid w:val="00266E1F"/>
    <w:rsid w:val="00277B16"/>
    <w:rsid w:val="00281FE9"/>
    <w:rsid w:val="002914E2"/>
    <w:rsid w:val="00294A72"/>
    <w:rsid w:val="002A5B55"/>
    <w:rsid w:val="002B1CB6"/>
    <w:rsid w:val="002B3211"/>
    <w:rsid w:val="002B415A"/>
    <w:rsid w:val="002B7028"/>
    <w:rsid w:val="002C0618"/>
    <w:rsid w:val="002C7D3F"/>
    <w:rsid w:val="002D207D"/>
    <w:rsid w:val="002F0851"/>
    <w:rsid w:val="0030328B"/>
    <w:rsid w:val="00311333"/>
    <w:rsid w:val="00317274"/>
    <w:rsid w:val="003202CC"/>
    <w:rsid w:val="003248C1"/>
    <w:rsid w:val="003327B9"/>
    <w:rsid w:val="0034238D"/>
    <w:rsid w:val="00353800"/>
    <w:rsid w:val="00355FF3"/>
    <w:rsid w:val="00356D98"/>
    <w:rsid w:val="00377233"/>
    <w:rsid w:val="00391D33"/>
    <w:rsid w:val="00392169"/>
    <w:rsid w:val="003A0263"/>
    <w:rsid w:val="003A0749"/>
    <w:rsid w:val="003A70A1"/>
    <w:rsid w:val="003F3F1F"/>
    <w:rsid w:val="00407BD5"/>
    <w:rsid w:val="00411D87"/>
    <w:rsid w:val="00411DBC"/>
    <w:rsid w:val="00424999"/>
    <w:rsid w:val="0043466B"/>
    <w:rsid w:val="0043648F"/>
    <w:rsid w:val="004417C0"/>
    <w:rsid w:val="00480D55"/>
    <w:rsid w:val="0048298B"/>
    <w:rsid w:val="00486C7E"/>
    <w:rsid w:val="00490693"/>
    <w:rsid w:val="004A0465"/>
    <w:rsid w:val="004A0C31"/>
    <w:rsid w:val="004C3D25"/>
    <w:rsid w:val="004C478F"/>
    <w:rsid w:val="004D3520"/>
    <w:rsid w:val="00502229"/>
    <w:rsid w:val="005039E1"/>
    <w:rsid w:val="00506915"/>
    <w:rsid w:val="00513877"/>
    <w:rsid w:val="0052306E"/>
    <w:rsid w:val="0052747D"/>
    <w:rsid w:val="005323BD"/>
    <w:rsid w:val="005520DC"/>
    <w:rsid w:val="005713F2"/>
    <w:rsid w:val="005852F5"/>
    <w:rsid w:val="005A21C4"/>
    <w:rsid w:val="005A2BDD"/>
    <w:rsid w:val="005B1C46"/>
    <w:rsid w:val="005C239B"/>
    <w:rsid w:val="005C4EF1"/>
    <w:rsid w:val="005C773B"/>
    <w:rsid w:val="005C7858"/>
    <w:rsid w:val="005F5431"/>
    <w:rsid w:val="005F761A"/>
    <w:rsid w:val="005F7803"/>
    <w:rsid w:val="00615630"/>
    <w:rsid w:val="00622DBF"/>
    <w:rsid w:val="00636274"/>
    <w:rsid w:val="00637C51"/>
    <w:rsid w:val="00637C74"/>
    <w:rsid w:val="0064023E"/>
    <w:rsid w:val="00647328"/>
    <w:rsid w:val="00670E38"/>
    <w:rsid w:val="0067165D"/>
    <w:rsid w:val="00676BCE"/>
    <w:rsid w:val="006774CE"/>
    <w:rsid w:val="006A02B9"/>
    <w:rsid w:val="006A694A"/>
    <w:rsid w:val="006C3044"/>
    <w:rsid w:val="006D2A38"/>
    <w:rsid w:val="006D64F1"/>
    <w:rsid w:val="006E35ED"/>
    <w:rsid w:val="006E4C50"/>
    <w:rsid w:val="006F10AC"/>
    <w:rsid w:val="006F486A"/>
    <w:rsid w:val="0070365C"/>
    <w:rsid w:val="00710594"/>
    <w:rsid w:val="00713B31"/>
    <w:rsid w:val="00727D2D"/>
    <w:rsid w:val="007620C2"/>
    <w:rsid w:val="00781B08"/>
    <w:rsid w:val="007A490A"/>
    <w:rsid w:val="007B1296"/>
    <w:rsid w:val="007C5FE0"/>
    <w:rsid w:val="007D4DA5"/>
    <w:rsid w:val="007E4B2A"/>
    <w:rsid w:val="007F4A29"/>
    <w:rsid w:val="00826A42"/>
    <w:rsid w:val="00844C6B"/>
    <w:rsid w:val="0085679C"/>
    <w:rsid w:val="00860570"/>
    <w:rsid w:val="008710DF"/>
    <w:rsid w:val="008744A9"/>
    <w:rsid w:val="008779B7"/>
    <w:rsid w:val="008815AA"/>
    <w:rsid w:val="00895C1C"/>
    <w:rsid w:val="008B3AA8"/>
    <w:rsid w:val="008B7302"/>
    <w:rsid w:val="008C48C4"/>
    <w:rsid w:val="008D045B"/>
    <w:rsid w:val="008E29AD"/>
    <w:rsid w:val="00900152"/>
    <w:rsid w:val="009045FC"/>
    <w:rsid w:val="00906D05"/>
    <w:rsid w:val="00910A0C"/>
    <w:rsid w:val="00915F6C"/>
    <w:rsid w:val="00916BD9"/>
    <w:rsid w:val="00931C7D"/>
    <w:rsid w:val="00937B5E"/>
    <w:rsid w:val="00946DAF"/>
    <w:rsid w:val="0094763F"/>
    <w:rsid w:val="00951EE8"/>
    <w:rsid w:val="00955B3D"/>
    <w:rsid w:val="00970ECE"/>
    <w:rsid w:val="00972516"/>
    <w:rsid w:val="00975FB2"/>
    <w:rsid w:val="00980756"/>
    <w:rsid w:val="009831B5"/>
    <w:rsid w:val="00990225"/>
    <w:rsid w:val="009D7C7A"/>
    <w:rsid w:val="009F3D6C"/>
    <w:rsid w:val="00A05CB3"/>
    <w:rsid w:val="00A10996"/>
    <w:rsid w:val="00A13994"/>
    <w:rsid w:val="00A13EB3"/>
    <w:rsid w:val="00A141A8"/>
    <w:rsid w:val="00A1786B"/>
    <w:rsid w:val="00A30690"/>
    <w:rsid w:val="00A31DA4"/>
    <w:rsid w:val="00A4283E"/>
    <w:rsid w:val="00A64BA6"/>
    <w:rsid w:val="00A94DCD"/>
    <w:rsid w:val="00AA4843"/>
    <w:rsid w:val="00AC4E27"/>
    <w:rsid w:val="00AC6316"/>
    <w:rsid w:val="00AD60BE"/>
    <w:rsid w:val="00AE6F12"/>
    <w:rsid w:val="00B01D31"/>
    <w:rsid w:val="00B04BCC"/>
    <w:rsid w:val="00B05F6C"/>
    <w:rsid w:val="00B078F9"/>
    <w:rsid w:val="00B11939"/>
    <w:rsid w:val="00B129D7"/>
    <w:rsid w:val="00B23265"/>
    <w:rsid w:val="00B26D04"/>
    <w:rsid w:val="00B308E1"/>
    <w:rsid w:val="00B334BE"/>
    <w:rsid w:val="00B35349"/>
    <w:rsid w:val="00B4660A"/>
    <w:rsid w:val="00B52368"/>
    <w:rsid w:val="00B617FF"/>
    <w:rsid w:val="00B7229B"/>
    <w:rsid w:val="00B7368E"/>
    <w:rsid w:val="00B83919"/>
    <w:rsid w:val="00B93826"/>
    <w:rsid w:val="00BD64FA"/>
    <w:rsid w:val="00BE18E4"/>
    <w:rsid w:val="00BE3348"/>
    <w:rsid w:val="00BE7600"/>
    <w:rsid w:val="00BF07EA"/>
    <w:rsid w:val="00BF2F6A"/>
    <w:rsid w:val="00BF61BB"/>
    <w:rsid w:val="00C00AF7"/>
    <w:rsid w:val="00C027E6"/>
    <w:rsid w:val="00C02A47"/>
    <w:rsid w:val="00C0634F"/>
    <w:rsid w:val="00C07F5C"/>
    <w:rsid w:val="00C123B7"/>
    <w:rsid w:val="00C175C0"/>
    <w:rsid w:val="00C301F1"/>
    <w:rsid w:val="00C30AA5"/>
    <w:rsid w:val="00C63A3A"/>
    <w:rsid w:val="00C73BAE"/>
    <w:rsid w:val="00C84B7B"/>
    <w:rsid w:val="00C914AD"/>
    <w:rsid w:val="00CC2742"/>
    <w:rsid w:val="00CC39D2"/>
    <w:rsid w:val="00CE2B2C"/>
    <w:rsid w:val="00CE4099"/>
    <w:rsid w:val="00CF7F0C"/>
    <w:rsid w:val="00D1478D"/>
    <w:rsid w:val="00D53B83"/>
    <w:rsid w:val="00D54189"/>
    <w:rsid w:val="00D557F6"/>
    <w:rsid w:val="00D579A4"/>
    <w:rsid w:val="00D72F6E"/>
    <w:rsid w:val="00D80EA1"/>
    <w:rsid w:val="00D82011"/>
    <w:rsid w:val="00D913E4"/>
    <w:rsid w:val="00D93B00"/>
    <w:rsid w:val="00DA5AE7"/>
    <w:rsid w:val="00DA5F61"/>
    <w:rsid w:val="00DB3A6F"/>
    <w:rsid w:val="00DB4A3E"/>
    <w:rsid w:val="00DC7D73"/>
    <w:rsid w:val="00DD1DE8"/>
    <w:rsid w:val="00DD6B0C"/>
    <w:rsid w:val="00DE17FA"/>
    <w:rsid w:val="00DE443F"/>
    <w:rsid w:val="00DF63D2"/>
    <w:rsid w:val="00E06DA0"/>
    <w:rsid w:val="00E126D4"/>
    <w:rsid w:val="00E12E07"/>
    <w:rsid w:val="00E30B14"/>
    <w:rsid w:val="00E34FF8"/>
    <w:rsid w:val="00E46E42"/>
    <w:rsid w:val="00E77669"/>
    <w:rsid w:val="00EB1DC5"/>
    <w:rsid w:val="00EB35C9"/>
    <w:rsid w:val="00EB4305"/>
    <w:rsid w:val="00EC5972"/>
    <w:rsid w:val="00ED3769"/>
    <w:rsid w:val="00ED4FA7"/>
    <w:rsid w:val="00ED5062"/>
    <w:rsid w:val="00EF16E4"/>
    <w:rsid w:val="00EF1BB3"/>
    <w:rsid w:val="00EF6BBE"/>
    <w:rsid w:val="00F0671B"/>
    <w:rsid w:val="00F10F1A"/>
    <w:rsid w:val="00F14EBA"/>
    <w:rsid w:val="00F46C55"/>
    <w:rsid w:val="00F472A1"/>
    <w:rsid w:val="00F51867"/>
    <w:rsid w:val="00F65563"/>
    <w:rsid w:val="00F65BEA"/>
    <w:rsid w:val="00F73A57"/>
    <w:rsid w:val="00F84931"/>
    <w:rsid w:val="00F86554"/>
    <w:rsid w:val="00FA3292"/>
    <w:rsid w:val="00FB6DD0"/>
    <w:rsid w:val="00FC77F8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3FDE9"/>
  <w15:chartTrackingRefBased/>
  <w15:docId w15:val="{7D86D0DA-B32B-4FD6-95EC-B57BE8BD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Marge"/>
    <w:link w:val="Heading1Char"/>
    <w:qFormat/>
    <w:rsid w:val="005C239B"/>
    <w:pPr>
      <w:keepNext/>
      <w:keepLines/>
      <w:spacing w:after="240"/>
      <w:outlineLvl w:val="0"/>
    </w:pPr>
    <w:rPr>
      <w:rFonts w:ascii="Arial" w:hAnsi="Arial"/>
      <w:b/>
      <w:bCs/>
      <w:kern w:val="28"/>
      <w:sz w:val="22"/>
    </w:rPr>
  </w:style>
  <w:style w:type="paragraph" w:styleId="Heading2">
    <w:name w:val="heading 2"/>
    <w:basedOn w:val="Normal"/>
    <w:next w:val="Marge"/>
    <w:link w:val="Heading2Char"/>
    <w:qFormat/>
    <w:rsid w:val="005C239B"/>
    <w:pPr>
      <w:keepNext/>
      <w:keepLines/>
      <w:tabs>
        <w:tab w:val="left" w:pos="737"/>
      </w:tabs>
      <w:spacing w:after="240"/>
      <w:ind w:left="567" w:hanging="567"/>
      <w:outlineLvl w:val="1"/>
    </w:pPr>
    <w:rPr>
      <w:rFonts w:ascii="Arial" w:hAnsi="Arial"/>
      <w:bCs/>
      <w:caps/>
      <w:sz w:val="22"/>
    </w:rPr>
  </w:style>
  <w:style w:type="paragraph" w:styleId="Heading3">
    <w:name w:val="heading 3"/>
    <w:basedOn w:val="Normal"/>
    <w:next w:val="Marge"/>
    <w:link w:val="Heading3Char"/>
    <w:qFormat/>
    <w:rsid w:val="005C239B"/>
    <w:pPr>
      <w:keepNext/>
      <w:keepLines/>
      <w:spacing w:after="240"/>
      <w:ind w:left="567" w:hanging="567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Marge"/>
    <w:link w:val="Heading4Char"/>
    <w:qFormat/>
    <w:rsid w:val="005C239B"/>
    <w:pPr>
      <w:keepNext/>
      <w:keepLines/>
      <w:tabs>
        <w:tab w:val="left" w:pos="567"/>
      </w:tabs>
      <w:spacing w:after="240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Marge"/>
    <w:link w:val="Heading5Char"/>
    <w:autoRedefine/>
    <w:qFormat/>
    <w:rsid w:val="005C239B"/>
    <w:pPr>
      <w:keepNext/>
      <w:keepLines/>
      <w:spacing w:after="240"/>
      <w:ind w:left="1701" w:hanging="992"/>
      <w:outlineLvl w:val="4"/>
    </w:pPr>
    <w:rPr>
      <w:rFonts w:ascii="Arial" w:hAnsi="Arial"/>
      <w:bCs/>
      <w:i/>
      <w:sz w:val="22"/>
    </w:rPr>
  </w:style>
  <w:style w:type="paragraph" w:styleId="Heading6">
    <w:name w:val="heading 6"/>
    <w:basedOn w:val="Normal"/>
    <w:next w:val="Marge"/>
    <w:link w:val="Heading6Char"/>
    <w:qFormat/>
    <w:rsid w:val="005C239B"/>
    <w:pPr>
      <w:keepNext/>
      <w:keepLines/>
      <w:tabs>
        <w:tab w:val="left" w:pos="1134"/>
      </w:tabs>
      <w:spacing w:after="240"/>
      <w:ind w:left="567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C239B"/>
    <w:pPr>
      <w:keepNext/>
      <w:ind w:left="54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C239B"/>
    <w:pPr>
      <w:keepNext/>
      <w:tabs>
        <w:tab w:val="left" w:pos="-1440"/>
      </w:tabs>
      <w:ind w:left="2880" w:hanging="2880"/>
      <w:jc w:val="both"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5C239B"/>
    <w:pPr>
      <w:keepNext/>
      <w:spacing w:after="24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Моя гиперссылка"/>
    <w:link w:val="a0"/>
    <w:qFormat/>
    <w:rsid w:val="000B31FF"/>
    <w:pPr>
      <w:numPr>
        <w:numId w:val="1"/>
      </w:numPr>
      <w:spacing w:after="240"/>
      <w:ind w:left="0" w:hanging="66"/>
      <w:jc w:val="both"/>
    </w:pPr>
    <w:rPr>
      <w:rFonts w:ascii="Arial" w:hAnsi="Arial"/>
      <w:color w:val="0070C0"/>
    </w:rPr>
  </w:style>
  <w:style w:type="character" w:customStyle="1" w:styleId="a0">
    <w:name w:val="Моя гиперссылка Знак"/>
    <w:basedOn w:val="DefaultParagraphFont"/>
    <w:link w:val="a"/>
    <w:rsid w:val="000B31FF"/>
    <w:rPr>
      <w:rFonts w:ascii="Arial" w:hAnsi="Arial"/>
      <w:color w:val="0070C0"/>
    </w:rPr>
  </w:style>
  <w:style w:type="character" w:customStyle="1" w:styleId="Heading1Char">
    <w:name w:val="Heading 1 Char"/>
    <w:basedOn w:val="DefaultParagraphFont"/>
    <w:link w:val="Heading1"/>
    <w:rsid w:val="005C239B"/>
    <w:rPr>
      <w:rFonts w:ascii="Arial" w:eastAsia="Times New Roman" w:hAnsi="Arial" w:cs="Times New Roman"/>
      <w:b/>
      <w:bCs/>
      <w:kern w:val="28"/>
      <w:szCs w:val="24"/>
      <w:lang w:val="ru-RU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5C239B"/>
    <w:rPr>
      <w:rFonts w:ascii="Arial" w:eastAsia="Times New Roman" w:hAnsi="Arial" w:cs="Times New Roman"/>
      <w:bCs/>
      <w:caps/>
      <w:kern w:val="0"/>
      <w:szCs w:val="24"/>
      <w:lang w:val="ru-RU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5C239B"/>
    <w:rPr>
      <w:rFonts w:ascii="Arial" w:eastAsia="Times New Roman" w:hAnsi="Arial" w:cs="Times New Roman"/>
      <w:b/>
      <w:bCs/>
      <w:kern w:val="0"/>
      <w:szCs w:val="24"/>
      <w:lang w:val="ru-RU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5C239B"/>
    <w:rPr>
      <w:rFonts w:ascii="Times New Roman" w:eastAsia="Times New Roman" w:hAnsi="Times New Roman" w:cs="Times New Roman"/>
      <w:b/>
      <w:bCs/>
      <w:kern w:val="0"/>
      <w:sz w:val="24"/>
      <w:szCs w:val="24"/>
      <w:lang w:val="ru-RU"/>
      <w14:ligatures w14:val="none"/>
    </w:rPr>
  </w:style>
  <w:style w:type="character" w:customStyle="1" w:styleId="Heading5Char">
    <w:name w:val="Heading 5 Char"/>
    <w:basedOn w:val="DefaultParagraphFont"/>
    <w:link w:val="Heading5"/>
    <w:rsid w:val="005C239B"/>
    <w:rPr>
      <w:rFonts w:ascii="Arial" w:eastAsia="Times New Roman" w:hAnsi="Arial" w:cs="Times New Roman"/>
      <w:bCs/>
      <w:i/>
      <w:kern w:val="0"/>
      <w:szCs w:val="24"/>
      <w:lang w:val="ru-RU"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rsid w:val="005C239B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rsid w:val="005C239B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rsid w:val="005C239B"/>
    <w:rPr>
      <w:rFonts w:ascii="Times New Roman" w:eastAsia="Times New Roman" w:hAnsi="Times New Roman" w:cs="Times New Roman"/>
      <w:kern w:val="0"/>
      <w:sz w:val="24"/>
      <w:szCs w:val="24"/>
      <w:u w:val="single"/>
      <w:lang w:val="ru-RU"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rsid w:val="005C239B"/>
    <w:rPr>
      <w:rFonts w:ascii="Times New Roman" w:eastAsia="Times New Roman" w:hAnsi="Times New Roman" w:cs="Times New Roman"/>
      <w:i/>
      <w:iCs/>
      <w:kern w:val="0"/>
      <w:sz w:val="24"/>
      <w:szCs w:val="24"/>
      <w:lang w:val="ru-RU" w:eastAsia="en-GB"/>
      <w14:ligatures w14:val="none"/>
    </w:rPr>
  </w:style>
  <w:style w:type="paragraph" w:customStyle="1" w:styleId="Marge">
    <w:name w:val="Marge"/>
    <w:basedOn w:val="Par"/>
    <w:link w:val="MargeChar"/>
    <w:uiPriority w:val="99"/>
    <w:qFormat/>
    <w:rsid w:val="005C239B"/>
    <w:pPr>
      <w:ind w:firstLine="0"/>
    </w:pPr>
  </w:style>
  <w:style w:type="paragraph" w:customStyle="1" w:styleId="Par">
    <w:name w:val="Par"/>
    <w:basedOn w:val="Normal"/>
    <w:rsid w:val="005C239B"/>
    <w:pPr>
      <w:spacing w:after="240"/>
      <w:ind w:firstLine="567"/>
      <w:jc w:val="both"/>
    </w:pPr>
    <w:rPr>
      <w:lang w:eastAsia="en-US"/>
    </w:rPr>
  </w:style>
  <w:style w:type="paragraph" w:customStyle="1" w:styleId="a1">
    <w:name w:val="(a)"/>
    <w:basedOn w:val="Normal"/>
    <w:rsid w:val="005C239B"/>
    <w:pPr>
      <w:tabs>
        <w:tab w:val="left" w:pos="-737"/>
      </w:tabs>
      <w:spacing w:after="240"/>
      <w:ind w:left="567" w:hanging="567"/>
      <w:jc w:val="both"/>
    </w:pPr>
    <w:rPr>
      <w:lang w:eastAsia="en-US"/>
    </w:rPr>
  </w:style>
  <w:style w:type="paragraph" w:customStyle="1" w:styleId="b">
    <w:name w:val="(b)"/>
    <w:basedOn w:val="a1"/>
    <w:rsid w:val="005C239B"/>
    <w:pPr>
      <w:tabs>
        <w:tab w:val="left" w:pos="1134"/>
      </w:tabs>
      <w:ind w:left="1134"/>
    </w:pPr>
  </w:style>
  <w:style w:type="paragraph" w:customStyle="1" w:styleId="c">
    <w:name w:val="(c)"/>
    <w:basedOn w:val="Normal"/>
    <w:rsid w:val="005C239B"/>
    <w:pPr>
      <w:tabs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rsid w:val="005C239B"/>
    <w:pPr>
      <w:spacing w:after="240"/>
      <w:ind w:left="567"/>
      <w:jc w:val="both"/>
    </w:pPr>
    <w:rPr>
      <w:lang w:eastAsia="en-US"/>
    </w:rPr>
  </w:style>
  <w:style w:type="character" w:styleId="FootnoteReference">
    <w:name w:val="footnote reference"/>
    <w:rsid w:val="005C239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5C239B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239B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FootnoteText">
    <w:name w:val="footnote text"/>
    <w:basedOn w:val="Normal"/>
    <w:link w:val="FootnoteTextChar"/>
    <w:uiPriority w:val="99"/>
    <w:rsid w:val="005C239B"/>
    <w:pPr>
      <w:ind w:left="567" w:hanging="567"/>
    </w:pPr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239B"/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</w:style>
  <w:style w:type="paragraph" w:styleId="Footer">
    <w:name w:val="footer"/>
    <w:basedOn w:val="Normal"/>
    <w:link w:val="FooterChar"/>
    <w:rsid w:val="005C239B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rsid w:val="005C239B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styleId="BodyText">
    <w:name w:val="Body Text"/>
    <w:basedOn w:val="Normal"/>
    <w:link w:val="BodyTextChar"/>
    <w:rsid w:val="005C239B"/>
    <w:rPr>
      <w:i/>
      <w:iCs/>
    </w:rPr>
  </w:style>
  <w:style w:type="character" w:customStyle="1" w:styleId="BodyTextChar">
    <w:name w:val="Body Text Char"/>
    <w:basedOn w:val="DefaultParagraphFont"/>
    <w:link w:val="BodyText"/>
    <w:rsid w:val="005C239B"/>
    <w:rPr>
      <w:rFonts w:ascii="Times New Roman" w:eastAsia="Times New Roman" w:hAnsi="Times New Roman" w:cs="Times New Roman"/>
      <w:i/>
      <w:iCs/>
      <w:kern w:val="0"/>
      <w:sz w:val="24"/>
      <w:szCs w:val="24"/>
      <w:lang w:val="ru-RU" w:eastAsia="en-GB"/>
      <w14:ligatures w14:val="none"/>
    </w:rPr>
  </w:style>
  <w:style w:type="paragraph" w:customStyle="1" w:styleId="paragraphnumerote">
    <w:name w:val="paragraph numerote"/>
    <w:basedOn w:val="Normal"/>
    <w:link w:val="paragraphnumeroteCharChar"/>
    <w:autoRedefine/>
    <w:rsid w:val="005C239B"/>
    <w:pPr>
      <w:shd w:val="clear" w:color="auto" w:fill="FFFFFF"/>
      <w:spacing w:after="240"/>
      <w:jc w:val="both"/>
    </w:pPr>
    <w:rPr>
      <w:rFonts w:ascii="Arial" w:hAnsi="Arial"/>
      <w:iCs/>
      <w:sz w:val="22"/>
      <w:szCs w:val="22"/>
    </w:rPr>
  </w:style>
  <w:style w:type="paragraph" w:customStyle="1" w:styleId="TIRETbul1cm">
    <w:name w:val="TIRET bul 1cm"/>
    <w:basedOn w:val="Normal"/>
    <w:rsid w:val="005C239B"/>
    <w:pPr>
      <w:numPr>
        <w:numId w:val="4"/>
      </w:numPr>
      <w:adjustRightInd w:val="0"/>
      <w:spacing w:after="240"/>
      <w:jc w:val="both"/>
    </w:pPr>
  </w:style>
  <w:style w:type="paragraph" w:customStyle="1" w:styleId="Serre">
    <w:name w:val="Serre"/>
    <w:basedOn w:val="Normal"/>
    <w:rsid w:val="005C239B"/>
    <w:pPr>
      <w:suppressAutoHyphens/>
      <w:jc w:val="both"/>
      <w:outlineLvl w:val="2"/>
    </w:pPr>
    <w:rPr>
      <w:lang w:eastAsia="fr-FR"/>
    </w:rPr>
  </w:style>
  <w:style w:type="paragraph" w:styleId="BodyTextIndent">
    <w:name w:val="Body Text Indent"/>
    <w:basedOn w:val="Normal"/>
    <w:link w:val="BodyTextIndentChar"/>
    <w:rsid w:val="005C239B"/>
    <w:pPr>
      <w:spacing w:before="120" w:after="120"/>
      <w:ind w:firstLine="1134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C239B"/>
    <w:rPr>
      <w:rFonts w:ascii="Arial" w:eastAsia="Times New Roman" w:hAnsi="Arial" w:cs="Arial"/>
      <w:kern w:val="0"/>
      <w:lang w:val="ru-RU" w:eastAsia="en-GB"/>
      <w14:ligatures w14:val="none"/>
    </w:rPr>
  </w:style>
  <w:style w:type="paragraph" w:styleId="BodyText3">
    <w:name w:val="Body Text 3"/>
    <w:basedOn w:val="Normal"/>
    <w:link w:val="BodyText3Char"/>
    <w:rsid w:val="005C239B"/>
    <w:pPr>
      <w:spacing w:before="120" w:after="120"/>
      <w:ind w:right="-58"/>
      <w:jc w:val="both"/>
    </w:pPr>
    <w:rPr>
      <w:rFonts w:ascii="Arial" w:hAnsi="Arial" w:cs="Arial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5C239B"/>
    <w:rPr>
      <w:rFonts w:ascii="Arial" w:eastAsia="Times New Roman" w:hAnsi="Arial" w:cs="Arial"/>
      <w:kern w:val="0"/>
      <w:lang w:val="ru-RU" w:eastAsia="en-GB"/>
      <w14:ligatures w14:val="none"/>
    </w:rPr>
  </w:style>
  <w:style w:type="paragraph" w:customStyle="1" w:styleId="non-decis">
    <w:name w:val="non-decis"/>
    <w:basedOn w:val="Normal"/>
    <w:rsid w:val="005C239B"/>
    <w:pPr>
      <w:ind w:left="737" w:right="737"/>
      <w:jc w:val="both"/>
    </w:pPr>
    <w:rPr>
      <w:sz w:val="20"/>
      <w:szCs w:val="20"/>
    </w:rPr>
  </w:style>
  <w:style w:type="paragraph" w:customStyle="1" w:styleId="decis">
    <w:name w:val="decis"/>
    <w:basedOn w:val="BodyText"/>
    <w:rsid w:val="005C239B"/>
    <w:pPr>
      <w:numPr>
        <w:numId w:val="3"/>
      </w:numPr>
      <w:jc w:val="both"/>
    </w:pPr>
    <w:rPr>
      <w:i w:val="0"/>
      <w:iCs w:val="0"/>
    </w:rPr>
  </w:style>
  <w:style w:type="paragraph" w:styleId="BodyTextIndent2">
    <w:name w:val="Body Text Indent 2"/>
    <w:basedOn w:val="Normal"/>
    <w:link w:val="BodyTextIndent2Char"/>
    <w:rsid w:val="005C239B"/>
    <w:pPr>
      <w:ind w:left="1440" w:hanging="144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5C239B"/>
    <w:rPr>
      <w:rFonts w:ascii="Times New Roman" w:eastAsia="Times New Roman" w:hAnsi="Times New Roman" w:cs="Times New Roman"/>
      <w:i/>
      <w:iCs/>
      <w:kern w:val="0"/>
      <w:sz w:val="24"/>
      <w:szCs w:val="24"/>
      <w:lang w:val="ru-RU" w:eastAsia="en-GB"/>
      <w14:ligatures w14:val="none"/>
    </w:rPr>
  </w:style>
  <w:style w:type="paragraph" w:styleId="BodyTextIndent3">
    <w:name w:val="Body Text Indent 3"/>
    <w:basedOn w:val="Normal"/>
    <w:link w:val="BodyTextIndent3Char"/>
    <w:rsid w:val="005C239B"/>
    <w:pPr>
      <w:widowControl w:val="0"/>
      <w:ind w:left="3600" w:hanging="2880"/>
    </w:pPr>
    <w:rPr>
      <w:b/>
      <w:bCs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5C239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GB"/>
      <w14:ligatures w14:val="none"/>
    </w:rPr>
  </w:style>
  <w:style w:type="paragraph" w:styleId="BodyText2">
    <w:name w:val="Body Text 2"/>
    <w:basedOn w:val="Normal"/>
    <w:link w:val="BodyText2Char"/>
    <w:rsid w:val="005C239B"/>
    <w:rPr>
      <w:i/>
      <w:iCs/>
      <w:color w:val="000000"/>
    </w:rPr>
  </w:style>
  <w:style w:type="character" w:customStyle="1" w:styleId="BodyText2Char">
    <w:name w:val="Body Text 2 Char"/>
    <w:basedOn w:val="DefaultParagraphFont"/>
    <w:link w:val="BodyText2"/>
    <w:rsid w:val="005C239B"/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lang w:val="ru-RU" w:eastAsia="en-GB"/>
      <w14:ligatures w14:val="none"/>
    </w:rPr>
  </w:style>
  <w:style w:type="character" w:styleId="PageNumber">
    <w:name w:val="page number"/>
    <w:basedOn w:val="DefaultParagraphFont"/>
    <w:rsid w:val="005C239B"/>
  </w:style>
  <w:style w:type="paragraph" w:styleId="Index1">
    <w:name w:val="index 1"/>
    <w:basedOn w:val="Normal"/>
    <w:next w:val="Normal"/>
    <w:autoRedefine/>
    <w:semiHidden/>
    <w:rsid w:val="005C239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C239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C239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C239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C239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C239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C239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C239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C239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5C239B"/>
  </w:style>
  <w:style w:type="paragraph" w:styleId="TOC1">
    <w:name w:val="toc 1"/>
    <w:basedOn w:val="Normal"/>
    <w:next w:val="Normal"/>
    <w:autoRedefine/>
    <w:uiPriority w:val="39"/>
    <w:rsid w:val="00A05CB3"/>
    <w:pPr>
      <w:tabs>
        <w:tab w:val="left" w:pos="709"/>
        <w:tab w:val="right" w:leader="dot" w:pos="9628"/>
      </w:tabs>
      <w:spacing w:before="240" w:after="240"/>
      <w:ind w:left="709" w:hanging="709"/>
    </w:pPr>
    <w:rPr>
      <w:rFonts w:ascii="Arial" w:hAnsi="Arial" w:cs="Arial"/>
      <w:b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5C239B"/>
    <w:pPr>
      <w:tabs>
        <w:tab w:val="right" w:leader="dot" w:pos="9639"/>
      </w:tabs>
      <w:spacing w:after="120"/>
      <w:ind w:left="709" w:hanging="709"/>
    </w:pPr>
    <w:rPr>
      <w:rFonts w:ascii="Arial" w:hAnsi="Arial" w:cs="Arial"/>
      <w:bCs/>
      <w:iCs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5C239B"/>
    <w:pPr>
      <w:tabs>
        <w:tab w:val="left" w:pos="709"/>
        <w:tab w:val="left" w:pos="1560"/>
        <w:tab w:val="right" w:leader="dot" w:pos="9639"/>
      </w:tabs>
      <w:spacing w:before="120" w:after="60"/>
      <w:ind w:left="1560" w:hanging="851"/>
    </w:pPr>
    <w:rPr>
      <w:rFonts w:ascii="Arial" w:hAnsi="Arial" w:cs="Arial"/>
      <w:noProof/>
      <w:color w:val="000000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5C239B"/>
    <w:pPr>
      <w:tabs>
        <w:tab w:val="left" w:pos="1843"/>
        <w:tab w:val="right" w:leader="dot" w:pos="9356"/>
      </w:tabs>
      <w:spacing w:after="60"/>
      <w:ind w:left="1843" w:hanging="567"/>
    </w:pPr>
    <w:rPr>
      <w:noProof/>
      <w:color w:val="000000"/>
    </w:rPr>
  </w:style>
  <w:style w:type="paragraph" w:styleId="TOC5">
    <w:name w:val="toc 5"/>
    <w:basedOn w:val="Normal"/>
    <w:next w:val="Normal"/>
    <w:autoRedefine/>
    <w:uiPriority w:val="39"/>
    <w:rsid w:val="005C239B"/>
    <w:pPr>
      <w:tabs>
        <w:tab w:val="left" w:pos="1920"/>
        <w:tab w:val="left" w:pos="2340"/>
        <w:tab w:val="right" w:leader="dot" w:pos="9360"/>
      </w:tabs>
      <w:spacing w:after="60"/>
      <w:ind w:left="2340" w:hanging="900"/>
    </w:pPr>
    <w:rPr>
      <w:rFonts w:ascii="Arial" w:hAnsi="Arial" w:cs="Arial"/>
      <w:i/>
      <w:noProof/>
      <w:sz w:val="22"/>
      <w:szCs w:val="22"/>
    </w:rPr>
  </w:style>
  <w:style w:type="paragraph" w:styleId="TOC6">
    <w:name w:val="toc 6"/>
    <w:basedOn w:val="Normal"/>
    <w:next w:val="Normal"/>
    <w:autoRedefine/>
    <w:semiHidden/>
    <w:rsid w:val="005C239B"/>
    <w:pPr>
      <w:ind w:left="1200"/>
    </w:pPr>
  </w:style>
  <w:style w:type="paragraph" w:styleId="TOC7">
    <w:name w:val="toc 7"/>
    <w:basedOn w:val="Normal"/>
    <w:next w:val="Normal"/>
    <w:autoRedefine/>
    <w:semiHidden/>
    <w:rsid w:val="005C239B"/>
    <w:pPr>
      <w:ind w:left="1440"/>
    </w:pPr>
  </w:style>
  <w:style w:type="paragraph" w:styleId="TOC8">
    <w:name w:val="toc 8"/>
    <w:basedOn w:val="Normal"/>
    <w:next w:val="Normal"/>
    <w:autoRedefine/>
    <w:semiHidden/>
    <w:rsid w:val="005C239B"/>
    <w:pPr>
      <w:ind w:left="1680"/>
    </w:pPr>
  </w:style>
  <w:style w:type="paragraph" w:styleId="TOC9">
    <w:name w:val="toc 9"/>
    <w:basedOn w:val="Normal"/>
    <w:next w:val="Normal"/>
    <w:autoRedefine/>
    <w:semiHidden/>
    <w:rsid w:val="005C239B"/>
    <w:pPr>
      <w:ind w:left="1920"/>
    </w:pPr>
  </w:style>
  <w:style w:type="character" w:styleId="Hyperlink">
    <w:name w:val="Hyperlink"/>
    <w:uiPriority w:val="99"/>
    <w:rsid w:val="005C239B"/>
    <w:rPr>
      <w:color w:val="0000FF"/>
      <w:u w:val="single"/>
    </w:rPr>
  </w:style>
  <w:style w:type="character" w:styleId="FollowedHyperlink">
    <w:name w:val="FollowedHyperlink"/>
    <w:rsid w:val="005C239B"/>
    <w:rPr>
      <w:color w:val="800080"/>
      <w:u w:val="single"/>
    </w:rPr>
  </w:style>
  <w:style w:type="paragraph" w:customStyle="1" w:styleId="standard">
    <w:name w:val="standard"/>
    <w:basedOn w:val="Header"/>
    <w:autoRedefine/>
    <w:rsid w:val="005C239B"/>
    <w:pPr>
      <w:tabs>
        <w:tab w:val="clear" w:pos="4153"/>
        <w:tab w:val="clear" w:pos="8306"/>
        <w:tab w:val="center" w:pos="4419"/>
        <w:tab w:val="right" w:pos="8838"/>
      </w:tabs>
      <w:jc w:val="both"/>
    </w:pPr>
    <w:rPr>
      <w:rFonts w:eastAsia="Arial Unicode MS"/>
      <w:sz w:val="22"/>
      <w:szCs w:val="22"/>
      <w:u w:val="single"/>
    </w:rPr>
  </w:style>
  <w:style w:type="paragraph" w:customStyle="1" w:styleId="Quick1">
    <w:name w:val="Quick 1."/>
    <w:basedOn w:val="Normal"/>
    <w:rsid w:val="005C239B"/>
    <w:pPr>
      <w:widowControl w:val="0"/>
      <w:numPr>
        <w:numId w:val="2"/>
      </w:numPr>
      <w:jc w:val="both"/>
    </w:pPr>
    <w:rPr>
      <w:sz w:val="22"/>
      <w:szCs w:val="22"/>
    </w:rPr>
  </w:style>
  <w:style w:type="character" w:styleId="CommentReference">
    <w:name w:val="annotation reference"/>
    <w:uiPriority w:val="99"/>
    <w:rsid w:val="005C2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C239B"/>
    <w:rPr>
      <w:sz w:val="20"/>
      <w:szCs w:val="20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39B"/>
    <w:rPr>
      <w:rFonts w:ascii="Times New Roman" w:eastAsia="Times New Roman" w:hAnsi="Times New Roman" w:cs="Times New Roman"/>
      <w:kern w:val="0"/>
      <w:sz w:val="20"/>
      <w:szCs w:val="20"/>
      <w:lang w:val="ru-RU" w:eastAsia="x-none"/>
      <w14:ligatures w14:val="none"/>
    </w:rPr>
  </w:style>
  <w:style w:type="paragraph" w:styleId="Title">
    <w:name w:val="Title"/>
    <w:basedOn w:val="Normal"/>
    <w:link w:val="TitleChar"/>
    <w:qFormat/>
    <w:rsid w:val="005C239B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5C239B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en-GB"/>
      <w14:ligatures w14:val="none"/>
    </w:rPr>
  </w:style>
  <w:style w:type="paragraph" w:styleId="BlockText">
    <w:name w:val="Block Text"/>
    <w:basedOn w:val="Normal"/>
    <w:rsid w:val="005C239B"/>
    <w:pPr>
      <w:ind w:left="1440" w:right="615"/>
    </w:pPr>
    <w:rPr>
      <w:sz w:val="20"/>
      <w:szCs w:val="20"/>
    </w:rPr>
  </w:style>
  <w:style w:type="paragraph" w:customStyle="1" w:styleId="COI">
    <w:name w:val="COI"/>
    <w:basedOn w:val="Marge"/>
    <w:link w:val="COIChar"/>
    <w:rsid w:val="005C239B"/>
    <w:pPr>
      <w:tabs>
        <w:tab w:val="left" w:pos="709"/>
      </w:tabs>
      <w:ind w:hanging="709"/>
    </w:pPr>
  </w:style>
  <w:style w:type="paragraph" w:customStyle="1" w:styleId="Textedebulles2">
    <w:name w:val="Texte de bulles2"/>
    <w:basedOn w:val="Normal"/>
    <w:semiHidden/>
    <w:rsid w:val="005C239B"/>
    <w:rPr>
      <w:rFonts w:ascii="Tahoma" w:hAnsi="Tahoma" w:cs="Tahoma"/>
      <w:sz w:val="16"/>
      <w:szCs w:val="16"/>
    </w:rPr>
  </w:style>
  <w:style w:type="paragraph" w:customStyle="1" w:styleId="Textedebulles1">
    <w:name w:val="Texte de bulles1"/>
    <w:basedOn w:val="Normal"/>
    <w:semiHidden/>
    <w:rsid w:val="005C239B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16"/>
      <w:szCs w:val="16"/>
    </w:rPr>
  </w:style>
  <w:style w:type="paragraph" w:customStyle="1" w:styleId="Docheading">
    <w:name w:val="Doc. heading"/>
    <w:basedOn w:val="Header"/>
    <w:rsid w:val="005C239B"/>
    <w:pPr>
      <w:spacing w:after="480"/>
      <w:jc w:val="center"/>
    </w:pPr>
    <w:rPr>
      <w:rFonts w:ascii="Arial" w:hAnsi="Arial" w:cs="Arial"/>
      <w:b/>
      <w:bCs/>
      <w:caps/>
    </w:rPr>
  </w:style>
  <w:style w:type="paragraph" w:customStyle="1" w:styleId="content">
    <w:name w:val="content"/>
    <w:basedOn w:val="Normal"/>
    <w:rsid w:val="005C239B"/>
    <w:pPr>
      <w:spacing w:before="100" w:beforeAutospacing="1" w:after="100" w:afterAutospacing="1" w:line="255" w:lineRule="atLeast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Default">
    <w:name w:val="Default"/>
    <w:rsid w:val="005C239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rsid w:val="005C239B"/>
    <w:pPr>
      <w:tabs>
        <w:tab w:val="left" w:pos="567"/>
      </w:tabs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C239B"/>
    <w:rPr>
      <w:b/>
      <w:bCs/>
    </w:rPr>
  </w:style>
  <w:style w:type="character" w:customStyle="1" w:styleId="uwolf">
    <w:name w:val="u_wolf"/>
    <w:semiHidden/>
    <w:rsid w:val="005C239B"/>
    <w:rPr>
      <w:rFonts w:ascii="Arial" w:hAnsi="Arial" w:cs="Arial"/>
      <w:color w:val="auto"/>
      <w:sz w:val="20"/>
      <w:szCs w:val="20"/>
    </w:rPr>
  </w:style>
  <w:style w:type="paragraph" w:styleId="NormalIndent">
    <w:name w:val="Normal Indent"/>
    <w:basedOn w:val="Normal"/>
    <w:rsid w:val="005C239B"/>
    <w:pPr>
      <w:overflowPunct w:val="0"/>
      <w:autoSpaceDE w:val="0"/>
      <w:autoSpaceDN w:val="0"/>
      <w:spacing w:before="120" w:after="120"/>
      <w:ind w:left="708"/>
      <w:jc w:val="both"/>
    </w:pPr>
    <w:rPr>
      <w:rFonts w:ascii="Garamond" w:eastAsia="MS Mincho" w:hAnsi="Garamond"/>
      <w:lang w:eastAsia="ja-JP"/>
    </w:rPr>
  </w:style>
  <w:style w:type="character" w:customStyle="1" w:styleId="paragraphnumeroteCharChar">
    <w:name w:val="paragraph numerote Char Char"/>
    <w:link w:val="paragraphnumerote"/>
    <w:rsid w:val="005C239B"/>
    <w:rPr>
      <w:rFonts w:ascii="Arial" w:eastAsia="Times New Roman" w:hAnsi="Arial" w:cs="Times New Roman"/>
      <w:iCs/>
      <w:kern w:val="0"/>
      <w:shd w:val="clear" w:color="auto" w:fill="FFFFFF"/>
      <w:lang w:val="ru-RU" w:eastAsia="en-GB"/>
      <w14:ligatures w14:val="none"/>
    </w:rPr>
  </w:style>
  <w:style w:type="paragraph" w:styleId="BalloonText">
    <w:name w:val="Balloon Text"/>
    <w:basedOn w:val="Normal"/>
    <w:link w:val="BalloonTextChar"/>
    <w:semiHidden/>
    <w:rsid w:val="005C2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239B"/>
    <w:rPr>
      <w:rFonts w:ascii="Tahoma" w:eastAsia="Times New Roman" w:hAnsi="Tahoma" w:cs="Tahoma"/>
      <w:kern w:val="0"/>
      <w:sz w:val="16"/>
      <w:szCs w:val="16"/>
      <w:lang w:val="ru-RU" w:eastAsia="en-GB"/>
      <w14:ligatures w14:val="none"/>
    </w:rPr>
  </w:style>
  <w:style w:type="paragraph" w:customStyle="1" w:styleId="paragraphnumerote0">
    <w:name w:val="paragraphnumerote"/>
    <w:basedOn w:val="Normal"/>
    <w:rsid w:val="005C239B"/>
    <w:pPr>
      <w:spacing w:before="100" w:beforeAutospacing="1" w:after="100" w:afterAutospacing="1"/>
    </w:pPr>
  </w:style>
  <w:style w:type="character" w:customStyle="1" w:styleId="paragraphnumerotechar">
    <w:name w:val="paragraphnumerotechar"/>
    <w:basedOn w:val="DefaultParagraphFont"/>
    <w:rsid w:val="005C239B"/>
  </w:style>
  <w:style w:type="character" w:customStyle="1" w:styleId="size10w1">
    <w:name w:val="size10w1"/>
    <w:rsid w:val="005C239B"/>
    <w:rPr>
      <w:rFonts w:ascii="Verdana" w:hAnsi="Verdana" w:hint="default"/>
      <w:strike w:val="0"/>
      <w:dstrike w:val="0"/>
      <w:color w:val="FFFFFF"/>
      <w:sz w:val="11"/>
      <w:szCs w:val="11"/>
      <w:u w:val="none"/>
      <w:effect w:val="none"/>
    </w:rPr>
  </w:style>
  <w:style w:type="paragraph" w:customStyle="1" w:styleId="Norm">
    <w:name w:val="Norm"/>
    <w:basedOn w:val="paragraphnumerote"/>
    <w:rsid w:val="005C239B"/>
  </w:style>
  <w:style w:type="paragraph" w:customStyle="1" w:styleId="Style1">
    <w:name w:val="Style1"/>
    <w:basedOn w:val="PlainText"/>
    <w:next w:val="PlainText"/>
    <w:autoRedefine/>
    <w:rsid w:val="005C239B"/>
    <w:rPr>
      <w:rFonts w:ascii="Arial" w:hAnsi="Arial" w:cs="Arial"/>
      <w:sz w:val="24"/>
    </w:rPr>
  </w:style>
  <w:style w:type="paragraph" w:styleId="PlainText">
    <w:name w:val="Plain Text"/>
    <w:basedOn w:val="Normal"/>
    <w:link w:val="PlainTextChar"/>
    <w:rsid w:val="005C239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C239B"/>
    <w:rPr>
      <w:rFonts w:ascii="Courier New" w:eastAsia="Times New Roman" w:hAnsi="Courier New" w:cs="Courier New"/>
      <w:kern w:val="0"/>
      <w:sz w:val="20"/>
      <w:szCs w:val="20"/>
      <w:lang w:val="ru-RU" w:eastAsia="en-GB"/>
      <w14:ligatures w14:val="none"/>
    </w:rPr>
  </w:style>
  <w:style w:type="character" w:customStyle="1" w:styleId="A10">
    <w:name w:val="A1"/>
    <w:rsid w:val="005C239B"/>
    <w:rPr>
      <w:rFonts w:cs="Benton Sans"/>
      <w:color w:val="000000"/>
      <w:sz w:val="15"/>
      <w:szCs w:val="15"/>
    </w:rPr>
  </w:style>
  <w:style w:type="paragraph" w:styleId="NormalWeb">
    <w:name w:val="Normal (Web)"/>
    <w:basedOn w:val="Normal"/>
    <w:uiPriority w:val="99"/>
    <w:rsid w:val="005C239B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CM52">
    <w:name w:val="CM52"/>
    <w:basedOn w:val="Default"/>
    <w:next w:val="Default"/>
    <w:rsid w:val="005C239B"/>
    <w:pPr>
      <w:widowControl w:val="0"/>
      <w:spacing w:after="245"/>
    </w:pPr>
    <w:rPr>
      <w:color w:val="auto"/>
    </w:rPr>
  </w:style>
  <w:style w:type="paragraph" w:customStyle="1" w:styleId="Paragrafonumerato">
    <w:name w:val="Paragrafo numerato"/>
    <w:basedOn w:val="Normal"/>
    <w:rsid w:val="005C239B"/>
    <w:pPr>
      <w:numPr>
        <w:numId w:val="5"/>
      </w:numPr>
      <w:spacing w:after="240"/>
      <w:jc w:val="both"/>
    </w:pPr>
    <w:rPr>
      <w:rFonts w:eastAsia="MS Mincho"/>
    </w:rPr>
  </w:style>
  <w:style w:type="paragraph" w:styleId="ListBullet2">
    <w:name w:val="List Bullet 2"/>
    <w:basedOn w:val="Normal"/>
    <w:rsid w:val="005C239B"/>
    <w:pPr>
      <w:numPr>
        <w:numId w:val="6"/>
      </w:numPr>
    </w:pPr>
  </w:style>
  <w:style w:type="paragraph" w:customStyle="1" w:styleId="marge0">
    <w:name w:val="marge"/>
    <w:basedOn w:val="Normal"/>
    <w:rsid w:val="005C239B"/>
    <w:pPr>
      <w:spacing w:before="100" w:beforeAutospacing="1" w:after="100" w:afterAutospacing="1"/>
    </w:pPr>
    <w:rPr>
      <w:rFonts w:eastAsia="MS Mincho"/>
      <w:lang w:eastAsia="ja-JP" w:bidi="hi-IN"/>
    </w:rPr>
  </w:style>
  <w:style w:type="character" w:customStyle="1" w:styleId="msoins0">
    <w:name w:val="msoins"/>
    <w:basedOn w:val="DefaultParagraphFont"/>
    <w:rsid w:val="005C239B"/>
  </w:style>
  <w:style w:type="paragraph" w:customStyle="1" w:styleId="coi0">
    <w:name w:val="coi"/>
    <w:basedOn w:val="Normal"/>
    <w:rsid w:val="005C239B"/>
    <w:pPr>
      <w:spacing w:before="240" w:after="240"/>
      <w:jc w:val="both"/>
    </w:pPr>
    <w:rPr>
      <w:rFonts w:ascii="Arial" w:eastAsia="SimSun" w:hAnsi="Arial" w:cs="Arial"/>
      <w:sz w:val="22"/>
      <w:szCs w:val="22"/>
      <w:lang w:eastAsia="zh-CN"/>
    </w:rPr>
  </w:style>
  <w:style w:type="paragraph" w:styleId="DocumentMap">
    <w:name w:val="Document Map"/>
    <w:basedOn w:val="Normal"/>
    <w:link w:val="DocumentMapChar"/>
    <w:semiHidden/>
    <w:rsid w:val="005C23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C239B"/>
    <w:rPr>
      <w:rFonts w:ascii="Tahoma" w:eastAsia="Times New Roman" w:hAnsi="Tahoma" w:cs="Tahoma"/>
      <w:kern w:val="0"/>
      <w:sz w:val="20"/>
      <w:szCs w:val="20"/>
      <w:shd w:val="clear" w:color="auto" w:fill="000080"/>
      <w:lang w:val="ru-RU" w:eastAsia="en-GB"/>
      <w14:ligatures w14:val="none"/>
    </w:rPr>
  </w:style>
  <w:style w:type="paragraph" w:customStyle="1" w:styleId="Norma">
    <w:name w:val="Norma"/>
    <w:basedOn w:val="Heading4"/>
    <w:rsid w:val="005C239B"/>
    <w:pPr>
      <w:tabs>
        <w:tab w:val="clear" w:pos="567"/>
        <w:tab w:val="left" w:pos="720"/>
      </w:tabs>
      <w:spacing w:before="240" w:after="0"/>
      <w:ind w:left="720" w:hanging="720"/>
    </w:pPr>
    <w:rPr>
      <w:rFonts w:ascii="Arial" w:hAnsi="Arial" w:cs="Arial"/>
      <w:sz w:val="22"/>
      <w:szCs w:val="22"/>
    </w:rPr>
  </w:style>
  <w:style w:type="paragraph" w:customStyle="1" w:styleId="Heading5111">
    <w:name w:val="Heading 5111"/>
    <w:basedOn w:val="Normal"/>
    <w:link w:val="Heading5111Char"/>
    <w:rsid w:val="005C239B"/>
    <w:pPr>
      <w:spacing w:after="240"/>
      <w:ind w:left="1800" w:hanging="1080"/>
    </w:pPr>
    <w:rPr>
      <w:rFonts w:ascii="Arial" w:hAnsi="Arial" w:cs="Arial"/>
      <w:i/>
      <w:sz w:val="22"/>
      <w:szCs w:val="22"/>
    </w:rPr>
  </w:style>
  <w:style w:type="character" w:customStyle="1" w:styleId="Heading5111Char">
    <w:name w:val="Heading 5111 Char"/>
    <w:link w:val="Heading5111"/>
    <w:rsid w:val="005C239B"/>
    <w:rPr>
      <w:rFonts w:ascii="Arial" w:eastAsia="Times New Roman" w:hAnsi="Arial" w:cs="Arial"/>
      <w:i/>
      <w:kern w:val="0"/>
      <w:lang w:val="ru-RU" w:eastAsia="en-GB"/>
      <w14:ligatures w14:val="none"/>
    </w:rPr>
  </w:style>
  <w:style w:type="paragraph" w:styleId="ListBullet3">
    <w:name w:val="List Bullet 3"/>
    <w:basedOn w:val="Normal"/>
    <w:rsid w:val="005C239B"/>
    <w:pPr>
      <w:numPr>
        <w:numId w:val="7"/>
      </w:numPr>
    </w:pPr>
  </w:style>
  <w:style w:type="character" w:customStyle="1" w:styleId="apple-style-span">
    <w:name w:val="apple-style-span"/>
    <w:basedOn w:val="DefaultParagraphFont"/>
    <w:rsid w:val="005C239B"/>
  </w:style>
  <w:style w:type="paragraph" w:customStyle="1" w:styleId="Paragrafoelenco">
    <w:name w:val="Paragrafo elenco"/>
    <w:basedOn w:val="paragraphnumerote"/>
    <w:qFormat/>
    <w:rsid w:val="005C239B"/>
  </w:style>
  <w:style w:type="paragraph" w:customStyle="1" w:styleId="Paragrafoelenco1">
    <w:name w:val="Paragrafo elenco1"/>
    <w:basedOn w:val="Normal"/>
    <w:rsid w:val="005C239B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character" w:customStyle="1" w:styleId="CharChar2">
    <w:name w:val="Char Char2"/>
    <w:rsid w:val="005C239B"/>
    <w:rPr>
      <w:sz w:val="24"/>
      <w:szCs w:val="24"/>
      <w:lang w:val="ru-RU"/>
    </w:rPr>
  </w:style>
  <w:style w:type="paragraph" w:customStyle="1" w:styleId="ColorfulList-Accent11">
    <w:name w:val="Colorful List - Accent 11"/>
    <w:basedOn w:val="Normal"/>
    <w:qFormat/>
    <w:rsid w:val="005C239B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paragraph" w:customStyle="1" w:styleId="Revisione">
    <w:name w:val="Revisione"/>
    <w:hidden/>
    <w:semiHidden/>
    <w:rsid w:val="005C2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31">
    <w:name w:val="A3+1"/>
    <w:rsid w:val="005C239B"/>
    <w:rPr>
      <w:rFonts w:cs="Vera Humana 95"/>
      <w:color w:val="221E1F"/>
      <w:sz w:val="18"/>
      <w:szCs w:val="18"/>
    </w:rPr>
  </w:style>
  <w:style w:type="paragraph" w:customStyle="1" w:styleId="Recommendation">
    <w:name w:val="Recommendation"/>
    <w:basedOn w:val="Normal"/>
    <w:rsid w:val="005C239B"/>
    <w:pPr>
      <w:keepNext/>
      <w:keepLines/>
      <w:spacing w:before="480" w:after="240"/>
      <w:jc w:val="center"/>
      <w:outlineLvl w:val="0"/>
    </w:pPr>
    <w:rPr>
      <w:rFonts w:eastAsia="SimSun"/>
      <w:bCs/>
      <w:kern w:val="28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5C2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C239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x-none"/>
      <w14:ligatures w14:val="none"/>
    </w:rPr>
  </w:style>
  <w:style w:type="paragraph" w:customStyle="1" w:styleId="ListParagraph1">
    <w:name w:val="List Paragraph1"/>
    <w:basedOn w:val="Normal"/>
    <w:qFormat/>
    <w:rsid w:val="005C239B"/>
    <w:pPr>
      <w:widowControl w:val="0"/>
      <w:autoSpaceDE w:val="0"/>
      <w:autoSpaceDN w:val="0"/>
      <w:adjustRightInd w:val="0"/>
      <w:ind w:left="720"/>
      <w:contextualSpacing/>
      <w:jc w:val="both"/>
    </w:pPr>
  </w:style>
  <w:style w:type="paragraph" w:customStyle="1" w:styleId="Title5">
    <w:name w:val="Title 5"/>
    <w:basedOn w:val="Normal"/>
    <w:link w:val="Title5Car"/>
    <w:qFormat/>
    <w:rsid w:val="005C239B"/>
    <w:pPr>
      <w:spacing w:after="240"/>
      <w:ind w:left="1707" w:hanging="981"/>
    </w:pPr>
    <w:rPr>
      <w:rFonts w:ascii="Arial" w:hAnsi="Arial"/>
      <w:i/>
      <w:caps/>
    </w:rPr>
  </w:style>
  <w:style w:type="paragraph" w:customStyle="1" w:styleId="TableauGrille31">
    <w:name w:val="Tableau Grille 31"/>
    <w:basedOn w:val="Heading1"/>
    <w:next w:val="Normal"/>
    <w:uiPriority w:val="39"/>
    <w:semiHidden/>
    <w:unhideWhenUsed/>
    <w:qFormat/>
    <w:rsid w:val="005C239B"/>
    <w:p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fr-FR"/>
    </w:rPr>
  </w:style>
  <w:style w:type="character" w:customStyle="1" w:styleId="Title5Car">
    <w:name w:val="Title 5 Car"/>
    <w:link w:val="Title5"/>
    <w:rsid w:val="005C239B"/>
    <w:rPr>
      <w:rFonts w:ascii="Arial" w:eastAsia="Times New Roman" w:hAnsi="Arial" w:cs="Times New Roman"/>
      <w:i/>
      <w:caps/>
      <w:kern w:val="0"/>
      <w:sz w:val="24"/>
      <w:szCs w:val="24"/>
      <w:lang w:val="ru-RU" w:eastAsia="en-GB"/>
      <w14:ligatures w14:val="none"/>
    </w:rPr>
  </w:style>
  <w:style w:type="paragraph" w:customStyle="1" w:styleId="ColorfulList-Accent12">
    <w:name w:val="Colorful List - Accent 12"/>
    <w:basedOn w:val="Normal"/>
    <w:uiPriority w:val="34"/>
    <w:qFormat/>
    <w:rsid w:val="005C239B"/>
    <w:pPr>
      <w:ind w:left="720"/>
      <w:contextualSpacing/>
    </w:pPr>
    <w:rPr>
      <w:rFonts w:ascii="Arial" w:hAnsi="Arial"/>
      <w:sz w:val="22"/>
    </w:rPr>
  </w:style>
  <w:style w:type="character" w:customStyle="1" w:styleId="COIChar">
    <w:name w:val="COI Char"/>
    <w:link w:val="COI"/>
    <w:locked/>
    <w:rsid w:val="005C239B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ColorfulShading-Accent11">
    <w:name w:val="Colorful Shading - Accent 11"/>
    <w:hidden/>
    <w:uiPriority w:val="99"/>
    <w:semiHidden/>
    <w:rsid w:val="005C239B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4"/>
      <w14:ligatures w14:val="none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"/>
    <w:basedOn w:val="Normal"/>
    <w:link w:val="ListParagraphChar"/>
    <w:uiPriority w:val="1"/>
    <w:qFormat/>
    <w:rsid w:val="005C239B"/>
    <w:pPr>
      <w:ind w:left="720"/>
      <w:contextualSpacing/>
    </w:pPr>
  </w:style>
  <w:style w:type="character" w:customStyle="1" w:styleId="textstory">
    <w:name w:val="textstory"/>
    <w:rsid w:val="005C239B"/>
  </w:style>
  <w:style w:type="character" w:customStyle="1" w:styleId="MargeChar">
    <w:name w:val="Marge Char"/>
    <w:link w:val="Marge"/>
    <w:uiPriority w:val="99"/>
    <w:qFormat/>
    <w:rsid w:val="005C239B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paragraph" w:customStyle="1" w:styleId="Style2">
    <w:name w:val="Style2"/>
    <w:basedOn w:val="paragraphnumerote"/>
    <w:link w:val="Style2Car"/>
    <w:qFormat/>
    <w:rsid w:val="005C239B"/>
    <w:pPr>
      <w:tabs>
        <w:tab w:val="num" w:pos="1400"/>
      </w:tabs>
      <w:ind w:left="720"/>
    </w:pPr>
  </w:style>
  <w:style w:type="character" w:customStyle="1" w:styleId="Style2Car">
    <w:name w:val="Style2 Car"/>
    <w:basedOn w:val="paragraphnumeroteCharChar"/>
    <w:link w:val="Style2"/>
    <w:rsid w:val="005C239B"/>
    <w:rPr>
      <w:rFonts w:ascii="Arial" w:eastAsia="Times New Roman" w:hAnsi="Arial" w:cs="Times New Roman"/>
      <w:iCs/>
      <w:kern w:val="0"/>
      <w:shd w:val="clear" w:color="auto" w:fill="FFFFFF"/>
      <w:lang w:val="ru-RU" w:eastAsia="en-GB"/>
      <w14:ligatures w14:val="none"/>
    </w:rPr>
  </w:style>
  <w:style w:type="paragraph" w:styleId="EndnoteText">
    <w:name w:val="endnote text"/>
    <w:basedOn w:val="Normal"/>
    <w:link w:val="EndnoteTextChar"/>
    <w:rsid w:val="005C239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C239B"/>
    <w:rPr>
      <w:rFonts w:ascii="Times New Roman" w:eastAsia="Times New Roman" w:hAnsi="Times New Roman" w:cs="Times New Roman"/>
      <w:kern w:val="0"/>
      <w:sz w:val="20"/>
      <w:szCs w:val="20"/>
      <w:lang w:val="ru-RU" w:eastAsia="en-GB"/>
      <w14:ligatures w14:val="none"/>
    </w:rPr>
  </w:style>
  <w:style w:type="character" w:styleId="EndnoteReference">
    <w:name w:val="endnote reference"/>
    <w:rsid w:val="005C239B"/>
    <w:rPr>
      <w:vertAlign w:val="superscript"/>
    </w:rPr>
  </w:style>
  <w:style w:type="paragraph" w:styleId="Revision">
    <w:name w:val="Revision"/>
    <w:hidden/>
    <w:uiPriority w:val="99"/>
    <w:semiHidden/>
    <w:rsid w:val="005C239B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4"/>
      <w14:ligatures w14:val="none"/>
    </w:rPr>
  </w:style>
  <w:style w:type="character" w:customStyle="1" w:styleId="A4">
    <w:name w:val="A4"/>
    <w:uiPriority w:val="99"/>
    <w:rsid w:val="005C239B"/>
    <w:rPr>
      <w:rFonts w:cs="Roboto"/>
      <w:color w:val="000000"/>
      <w:sz w:val="18"/>
      <w:szCs w:val="18"/>
    </w:rPr>
  </w:style>
  <w:style w:type="paragraph" w:customStyle="1" w:styleId="Listecouleur-Accent11">
    <w:name w:val="Liste couleur - Accent 11"/>
    <w:basedOn w:val="Normal"/>
    <w:uiPriority w:val="34"/>
    <w:qFormat/>
    <w:rsid w:val="005C239B"/>
    <w:pPr>
      <w:ind w:left="720"/>
      <w:contextualSpacing/>
    </w:pPr>
    <w:rPr>
      <w:rFonts w:ascii="Arial" w:hAnsi="Arial"/>
      <w:sz w:val="22"/>
    </w:rPr>
  </w:style>
  <w:style w:type="paragraph" w:styleId="NoSpacing">
    <w:name w:val="No Spacing"/>
    <w:link w:val="NoSpacingChar"/>
    <w:uiPriority w:val="1"/>
    <w:qFormat/>
    <w:rsid w:val="005C239B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rsid w:val="005C239B"/>
    <w:rPr>
      <w:rFonts w:ascii="Calibri" w:eastAsia="Times New Roman" w:hAnsi="Calibri" w:cs="Times New Roman"/>
      <w:kern w:val="0"/>
      <w:lang w:val="ru-RU"/>
      <w14:ligatures w14:val="none"/>
    </w:rPr>
  </w:style>
  <w:style w:type="character" w:customStyle="1" w:styleId="Mencinsinresolver">
    <w:name w:val="Mención sin resolver"/>
    <w:uiPriority w:val="99"/>
    <w:semiHidden/>
    <w:unhideWhenUsed/>
    <w:rsid w:val="005C239B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5C239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C239B"/>
    <w:pPr>
      <w:spacing w:before="240" w:after="0" w:line="259" w:lineRule="auto"/>
      <w:outlineLvl w:val="9"/>
    </w:pPr>
    <w:rPr>
      <w:rFonts w:ascii="Calibri Light" w:eastAsia="DengXian Light" w:hAnsi="Calibri Light"/>
      <w:b w:val="0"/>
      <w:bCs w:val="0"/>
      <w:color w:val="2F5496"/>
      <w:kern w:val="0"/>
      <w:sz w:val="32"/>
      <w:szCs w:val="32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5C239B"/>
    <w:rPr>
      <w:rFonts w:ascii="Times New Roman" w:eastAsia="Times New Roman" w:hAnsi="Times New Roman" w:cs="Times New Roman"/>
      <w:kern w:val="0"/>
      <w:sz w:val="24"/>
      <w:szCs w:val="24"/>
      <w:lang w:val="ru-RU"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5C239B"/>
  </w:style>
  <w:style w:type="character" w:styleId="Emphasis">
    <w:name w:val="Emphasis"/>
    <w:uiPriority w:val="20"/>
    <w:qFormat/>
    <w:rsid w:val="005C239B"/>
    <w:rPr>
      <w:i/>
      <w:iCs/>
    </w:rPr>
  </w:style>
  <w:style w:type="character" w:customStyle="1" w:styleId="Ingen">
    <w:name w:val="Ingen"/>
    <w:rsid w:val="005C239B"/>
  </w:style>
  <w:style w:type="character" w:customStyle="1" w:styleId="ezkurwreuab5ozgtqnkl">
    <w:name w:val="ezkurwreuab5ozgtqnkl"/>
    <w:basedOn w:val="DefaultParagraphFont"/>
    <w:rsid w:val="0053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mailto:iocgovbody@unesco.org" TargetMode="External"/><Relationship Id="rId26" Type="http://schemas.openxmlformats.org/officeDocument/2006/relationships/hyperlink" Target="https://oceandecade.org/vision-mission/" TargetMode="External"/><Relationship Id="rId39" Type="http://schemas.openxmlformats.org/officeDocument/2006/relationships/hyperlink" Target="https://unesdoc.unesco.org/ark:/48223/pf0000387982.locale=en" TargetMode="External"/><Relationship Id="rId21" Type="http://schemas.openxmlformats.org/officeDocument/2006/relationships/hyperlink" Target="https://oceanexpert.org/document/33646" TargetMode="External"/><Relationship Id="rId34" Type="http://schemas.openxmlformats.org/officeDocument/2006/relationships/hyperlink" Target="https://oceanexpert.org/document/33599" TargetMode="External"/><Relationship Id="rId42" Type="http://schemas.openxmlformats.org/officeDocument/2006/relationships/header" Target="header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oceanexpert.org/document/32845" TargetMode="External"/><Relationship Id="rId29" Type="http://schemas.openxmlformats.org/officeDocument/2006/relationships/hyperlink" Target="https://unesdoc.unesco.org/ark:/48223/pf0000367678.locale=en.page=73" TargetMode="External"/><Relationship Id="rId41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oceanexpert.org/document/33527" TargetMode="External"/><Relationship Id="rId32" Type="http://schemas.openxmlformats.org/officeDocument/2006/relationships/hyperlink" Target="https://oceanexpert.org/document/32558" TargetMode="External"/><Relationship Id="rId37" Type="http://schemas.openxmlformats.org/officeDocument/2006/relationships/hyperlink" Target="https://unesdoc.unesco.org/ark:/48223/pf0000389188.locale=en" TargetMode="External"/><Relationship Id="rId40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yperlink" Target="https://oceanexpert.org/document/33359" TargetMode="External"/><Relationship Id="rId28" Type="http://schemas.openxmlformats.org/officeDocument/2006/relationships/hyperlink" Target="https://oceanexpert.org/document/33305" TargetMode="External"/><Relationship Id="rId36" Type="http://schemas.openxmlformats.org/officeDocument/2006/relationships/hyperlink" Target="https://unesdoc.unesco.org/ark:/48223/pf0000373231.locale=en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oceanexpert.org/document/32845" TargetMode="External"/><Relationship Id="rId31" Type="http://schemas.openxmlformats.org/officeDocument/2006/relationships/hyperlink" Target="https://oceanexpert.org/document/32558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oceanexpert.org/document/32672" TargetMode="External"/><Relationship Id="rId27" Type="http://schemas.openxmlformats.org/officeDocument/2006/relationships/hyperlink" Target="https://oceanexpert.org/document/33305" TargetMode="External"/><Relationship Id="rId30" Type="http://schemas.openxmlformats.org/officeDocument/2006/relationships/hyperlink" Target="https://oceanexpert.org/document/28652" TargetMode="External"/><Relationship Id="rId35" Type="http://schemas.openxmlformats.org/officeDocument/2006/relationships/hyperlink" Target="https://unesdoc.unesco.org/ark:/48223/pf0000387982.locale=en" TargetMode="External"/><Relationship Id="rId43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yperlink" Target="https://oceanexpert.org/document/33985" TargetMode="External"/><Relationship Id="rId33" Type="http://schemas.openxmlformats.org/officeDocument/2006/relationships/hyperlink" Target="https://oceanexpert.org/document/33973" TargetMode="External"/><Relationship Id="rId38" Type="http://schemas.openxmlformats.org/officeDocument/2006/relationships/hyperlink" Target="https://oceanexpert.org/document/3254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F75A2-5FB9-47EA-862C-B95ADC42B5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22982</Words>
  <Characters>126406</Characters>
  <Application>Microsoft Office Word</Application>
  <DocSecurity>4</DocSecurity>
  <Lines>1053</Lines>
  <Paragraphs>298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Пересмотренный проект предварительного документа _x000d_
о принятых и предлагаемых мерах</vt:lpstr>
      <vt:lpstr>Пересмотренный проект предварительного документа _x000d_
о принятых и предлагаемых мерах</vt:lpstr>
      <vt:lpstr>Проект предварительного документа о принятых и _x000d_
предлагаемых мерах</vt:lpstr>
    </vt:vector>
  </TitlesOfParts>
  <Company/>
  <LinksUpToDate>false</LinksUpToDate>
  <CharactersWithSpaces>149090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Пересмотренный проект предварительного документа _x000d_
о принятых и предлагаемых мерах</dc:title>
  <dc:subject>IOC/EC-57/AP Prov. Rev.</dc:subject>
  <dc:creator>Gurzhiy, Alexander</dc:creator>
  <cp:keywords/>
  <dc:description/>
  <cp:lastModifiedBy>Boned, Patrice</cp:lastModifiedBy>
  <cp:revision>2</cp:revision>
  <dcterms:created xsi:type="dcterms:W3CDTF">2024-10-07T15:14:00Z</dcterms:created>
  <dcterms:modified xsi:type="dcterms:W3CDTF">2024-10-07T15:14:00Z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2402839</vt:lpwstr>
  </property>
  <property fmtid="{D5CDD505-2E9C-101B-9397-08002B2CF9AE}" pid="3" name="Language">
    <vt:lpwstr>R</vt:lpwstr>
  </property>
</Properties>
</file>