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D96D6" w14:textId="77777777" w:rsidR="008174F0" w:rsidRPr="008174F0" w:rsidRDefault="008174F0" w:rsidP="008174F0">
      <w:pPr>
        <w:rPr>
          <w:sz w:val="13"/>
        </w:rPr>
      </w:pPr>
    </w:p>
    <w:p w14:paraId="54433764" w14:textId="1C19C600" w:rsidR="008174F0" w:rsidRPr="00FE2405" w:rsidRDefault="008174F0" w:rsidP="008174F0">
      <w:pPr>
        <w:pStyle w:val="Heading2"/>
        <w:jc w:val="center"/>
        <w:rPr>
          <w:rFonts w:ascii="VAG Rounded Std Thin" w:hAnsi="VAG Rounded Std Thin"/>
          <w:smallCaps/>
          <w:color w:val="0000FF"/>
          <w:szCs w:val="30"/>
        </w:rPr>
      </w:pPr>
      <w:r w:rsidRPr="00FE2405">
        <w:rPr>
          <w:rFonts w:ascii="VAG Rounded Std Thin" w:hAnsi="VAG Rounded Std Thin"/>
          <w:smallCaps/>
          <w:color w:val="0000FF"/>
          <w:szCs w:val="30"/>
        </w:rPr>
        <w:t>International Tsunami Information Center</w:t>
      </w:r>
    </w:p>
    <w:p w14:paraId="34735570" w14:textId="77777777" w:rsidR="008174F0" w:rsidRPr="00FE2405" w:rsidRDefault="008174F0" w:rsidP="008174F0">
      <w:pPr>
        <w:autoSpaceDE w:val="0"/>
        <w:autoSpaceDN w:val="0"/>
        <w:adjustRightInd w:val="0"/>
        <w:jc w:val="center"/>
        <w:rPr>
          <w:rFonts w:ascii="VAG Rounded Std Light" w:hAnsi="VAG Rounded Std Light"/>
          <w:color w:val="0000FF"/>
          <w:sz w:val="21"/>
          <w:szCs w:val="18"/>
        </w:rPr>
      </w:pPr>
      <w:r w:rsidRPr="00FE2405">
        <w:rPr>
          <w:rFonts w:ascii="VAG Rounded Std Light" w:hAnsi="VAG Rounded Std Light"/>
          <w:color w:val="0000FF"/>
          <w:sz w:val="21"/>
          <w:szCs w:val="18"/>
        </w:rPr>
        <w:t>A UNESCO/IOC – NOAA Partnership</w:t>
      </w:r>
    </w:p>
    <w:p w14:paraId="5D5ED54E" w14:textId="77777777" w:rsidR="008174F0" w:rsidRPr="00FE2405" w:rsidRDefault="008174F0" w:rsidP="008174F0">
      <w:pPr>
        <w:pStyle w:val="BodyText2"/>
        <w:rPr>
          <w:rFonts w:ascii="VAG Rounded Std Light" w:hAnsi="VAG Rounded Std Light"/>
          <w:i w:val="0"/>
          <w:iCs w:val="0"/>
          <w:color w:val="0000FF"/>
          <w:sz w:val="16"/>
          <w:szCs w:val="18"/>
          <w:lang w:val="fr-FR"/>
        </w:rPr>
      </w:pPr>
      <w:r w:rsidRPr="00FE2405">
        <w:rPr>
          <w:rFonts w:ascii="VAG Rounded Std Light" w:hAnsi="VAG Rounded Std Light"/>
          <w:i w:val="0"/>
          <w:iCs w:val="0"/>
          <w:color w:val="0000FF"/>
          <w:sz w:val="16"/>
          <w:szCs w:val="18"/>
          <w:lang w:val="fr-FR"/>
        </w:rPr>
        <w:t xml:space="preserve">E-mail:  itic.tsunami@noaa.gov   URL :  </w:t>
      </w:r>
      <w:hyperlink r:id="rId6" w:history="1">
        <w:r w:rsidRPr="00FE2405">
          <w:rPr>
            <w:rStyle w:val="Hyperlink"/>
            <w:rFonts w:ascii="VAG Rounded Std Light" w:hAnsi="VAG Rounded Std Light"/>
            <w:i w:val="0"/>
            <w:iCs w:val="0"/>
            <w:sz w:val="16"/>
            <w:szCs w:val="18"/>
            <w:lang w:val="fr-FR"/>
          </w:rPr>
          <w:t>http://www.tsunamiwave.info</w:t>
        </w:r>
      </w:hyperlink>
    </w:p>
    <w:p w14:paraId="17286A51" w14:textId="5B968CAE" w:rsidR="008174F0" w:rsidRPr="00FE2405" w:rsidRDefault="008174F0" w:rsidP="008174F0">
      <w:pPr>
        <w:pStyle w:val="Hint"/>
        <w:ind w:left="0"/>
        <w:rPr>
          <w:rFonts w:cs="Arial"/>
          <w:b/>
          <w:sz w:val="20"/>
        </w:rPr>
      </w:pPr>
    </w:p>
    <w:p w14:paraId="7248D4F5" w14:textId="36D2230A" w:rsidR="008174F0" w:rsidRPr="00FE3BB6" w:rsidRDefault="008174F0" w:rsidP="00FE2405">
      <w:pPr>
        <w:pStyle w:val="Hint"/>
        <w:spacing w:before="120"/>
        <w:ind w:left="0"/>
        <w:jc w:val="center"/>
        <w:rPr>
          <w:rFonts w:cs="Arial"/>
          <w:b/>
        </w:rPr>
      </w:pPr>
      <w:r w:rsidRPr="00FE3BB6">
        <w:rPr>
          <w:rFonts w:cs="Arial"/>
          <w:b/>
        </w:rPr>
        <w:t>MARINE PREPAREDNESS</w:t>
      </w:r>
    </w:p>
    <w:p w14:paraId="1E11756C" w14:textId="05391CA7" w:rsidR="008174F0" w:rsidRPr="00FE3BB6" w:rsidRDefault="008174F0" w:rsidP="00FE3BB6">
      <w:pPr>
        <w:pStyle w:val="Hint"/>
        <w:spacing w:before="120"/>
        <w:ind w:left="0"/>
        <w:rPr>
          <w:rFonts w:cs="Arial"/>
        </w:rPr>
      </w:pPr>
      <w:r w:rsidRPr="00FE3BB6">
        <w:rPr>
          <w:rFonts w:cs="Arial"/>
        </w:rPr>
        <w:t>Tsunami waves easily turn tidy towns into debris fields of crushed homes, buildings, automobiles.  In addition, as water recedes and returns, strong water currents can break splinter docks and large vessels break from their moorings ramming into docks and floating onto building or other structures.</w:t>
      </w:r>
    </w:p>
    <w:p w14:paraId="0AC304EE" w14:textId="77777777" w:rsidR="00E800C3" w:rsidRDefault="008174F0" w:rsidP="00E800C3">
      <w:pPr>
        <w:pStyle w:val="CourseContentText"/>
        <w:spacing w:before="120"/>
        <w:ind w:left="0"/>
        <w:rPr>
          <w:rFonts w:cs="Arial"/>
        </w:rPr>
      </w:pPr>
      <w:r w:rsidRPr="00FE3BB6">
        <w:rPr>
          <w:rFonts w:cs="Arial"/>
        </w:rPr>
        <w:t>The 2011 Japan tsunami, and the many images and videos showing the destructive nature of the waves as they inundated and damaged vessels and docks not only in Japan but across the Pacific in Hawaii and California, have provided a wealth of science information to help us improve our marine preparedness</w:t>
      </w:r>
      <w:r w:rsidR="00E800C3">
        <w:rPr>
          <w:rFonts w:cs="Arial"/>
        </w:rPr>
        <w:t xml:space="preserve">.  A number of States and Territories have determined safe minimum offshore depts for vessel movement for tsunamis, and the potential damage from strong currents in ports and harbors </w:t>
      </w:r>
      <w:r w:rsidR="00E800C3">
        <w:rPr>
          <w:rFonts w:cs="Arial"/>
        </w:rPr>
        <w:t>through modeling ground-</w:t>
      </w:r>
      <w:proofErr w:type="spellStart"/>
      <w:r w:rsidR="00E800C3">
        <w:rPr>
          <w:rFonts w:cs="Arial"/>
        </w:rPr>
        <w:t>truthed</w:t>
      </w:r>
      <w:proofErr w:type="spellEnd"/>
      <w:r w:rsidR="00E800C3">
        <w:rPr>
          <w:rFonts w:cs="Arial"/>
        </w:rPr>
        <w:t xml:space="preserve"> by tsunami event observations</w:t>
      </w:r>
      <w:r w:rsidRPr="00FE3BB6">
        <w:rPr>
          <w:rFonts w:cs="Arial"/>
        </w:rPr>
        <w:t xml:space="preserve">.   </w:t>
      </w:r>
    </w:p>
    <w:p w14:paraId="7F0DAA1E" w14:textId="4036A0C9" w:rsidR="00991FEF" w:rsidRPr="00E800C3" w:rsidRDefault="00991FEF" w:rsidP="00E800C3">
      <w:pPr>
        <w:pStyle w:val="CourseContentText"/>
        <w:spacing w:before="120"/>
        <w:ind w:left="0"/>
        <w:rPr>
          <w:rFonts w:cs="Arial"/>
        </w:rPr>
      </w:pPr>
      <w:r w:rsidRPr="00991FEF">
        <w:rPr>
          <w:rFonts w:cs="Arial"/>
          <w:color w:val="000000" w:themeColor="text1"/>
          <w:szCs w:val="22"/>
        </w:rPr>
        <w:t xml:space="preserve">Over the last 10 years, the US National Tsunami Hazard Mitigation Program has compiled best practices and guidance from amongst US States, Territories, and Commonwealths.  These are available online at </w:t>
      </w:r>
      <w:r w:rsidRPr="00991FEF">
        <w:rPr>
          <w:rFonts w:cs="Arial"/>
          <w:i/>
          <w:iCs/>
          <w:color w:val="000000" w:themeColor="text1"/>
          <w:szCs w:val="22"/>
        </w:rPr>
        <w:t>'Tsunami Maritime Guidance:  A Resource for Tsunami Hazard Planning and Preparedness for Maritime Communities</w:t>
      </w:r>
      <w:r w:rsidRPr="00991FEF">
        <w:rPr>
          <w:rFonts w:cs="Arial"/>
          <w:color w:val="000000" w:themeColor="text1"/>
          <w:szCs w:val="22"/>
        </w:rPr>
        <w:t>'</w:t>
      </w:r>
      <w:r>
        <w:rPr>
          <w:rFonts w:cs="Arial"/>
          <w:color w:val="000000" w:themeColor="text1"/>
          <w:szCs w:val="22"/>
        </w:rPr>
        <w:t xml:space="preserve"> </w:t>
      </w:r>
      <w:r w:rsidRPr="00991FEF">
        <w:rPr>
          <w:rFonts w:cs="Arial"/>
          <w:color w:val="000000" w:themeColor="text1"/>
          <w:szCs w:val="22"/>
        </w:rPr>
        <w:t xml:space="preserve">through the portal </w:t>
      </w:r>
      <w:r w:rsidRPr="00991FEF">
        <w:rPr>
          <w:rFonts w:cs="Arial"/>
          <w:szCs w:val="22"/>
        </w:rPr>
        <w:t xml:space="preserve">at </w:t>
      </w:r>
      <w:hyperlink r:id="rId7" w:history="1">
        <w:r w:rsidRPr="00991FEF">
          <w:rPr>
            <w:rStyle w:val="Hyperlink"/>
            <w:rFonts w:cs="Arial"/>
            <w:szCs w:val="22"/>
          </w:rPr>
          <w:t>https://arcg.is/0DeHrG</w:t>
        </w:r>
      </w:hyperlink>
    </w:p>
    <w:p w14:paraId="48D7476A" w14:textId="77777777" w:rsidR="00991FEF" w:rsidRPr="00991FEF" w:rsidRDefault="00991FEF" w:rsidP="00991FEF"/>
    <w:p w14:paraId="0660A4F7" w14:textId="314A61CB" w:rsidR="00E800C3" w:rsidRDefault="00E800C3" w:rsidP="00FE3BB6">
      <w:pPr>
        <w:pStyle w:val="CourseContentText"/>
        <w:spacing w:before="120"/>
        <w:ind w:left="0"/>
        <w:rPr>
          <w:rFonts w:cs="Arial"/>
          <w:b/>
        </w:rPr>
      </w:pPr>
      <w:r w:rsidRPr="00E800C3">
        <w:rPr>
          <w:rFonts w:cs="Arial"/>
          <w:b/>
        </w:rPr>
        <w:drawing>
          <wp:inline distT="0" distB="0" distL="0" distR="0" wp14:anchorId="0D96825D" wp14:editId="609CBF0D">
            <wp:extent cx="5943600" cy="3454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454400"/>
                    </a:xfrm>
                    <a:prstGeom prst="rect">
                      <a:avLst/>
                    </a:prstGeom>
                  </pic:spPr>
                </pic:pic>
              </a:graphicData>
            </a:graphic>
          </wp:inline>
        </w:drawing>
      </w:r>
      <w:r w:rsidRPr="00E800C3">
        <w:rPr>
          <w:rFonts w:cs="Arial"/>
          <w:b/>
        </w:rPr>
        <w:t xml:space="preserve"> </w:t>
      </w:r>
    </w:p>
    <w:p w14:paraId="15E3CF2D" w14:textId="77777777" w:rsidR="00E800C3" w:rsidRDefault="00E800C3" w:rsidP="00FE3BB6">
      <w:pPr>
        <w:pStyle w:val="CourseContentText"/>
        <w:spacing w:before="120"/>
        <w:ind w:left="0"/>
        <w:rPr>
          <w:rFonts w:cs="Arial"/>
          <w:b/>
        </w:rPr>
      </w:pPr>
    </w:p>
    <w:p w14:paraId="41C72CB7" w14:textId="701FBCA5" w:rsidR="00556CE7" w:rsidRPr="00FE3BB6" w:rsidRDefault="00556CE7" w:rsidP="00FE3BB6">
      <w:pPr>
        <w:pStyle w:val="CourseContentText"/>
        <w:spacing w:before="120"/>
        <w:ind w:left="0"/>
        <w:rPr>
          <w:rFonts w:cs="Arial"/>
        </w:rPr>
      </w:pPr>
      <w:r w:rsidRPr="00FE2405">
        <w:rPr>
          <w:rFonts w:cs="Arial"/>
          <w:b/>
        </w:rPr>
        <w:lastRenderedPageBreak/>
        <w:t>DAMAGE TO PORTS AND HARBORS</w:t>
      </w:r>
    </w:p>
    <w:p w14:paraId="5AE80E9D" w14:textId="4A651663" w:rsidR="00E34416" w:rsidRPr="008174F0" w:rsidRDefault="0055375A" w:rsidP="00FE3BB6">
      <w:pPr>
        <w:pStyle w:val="CourseContentText"/>
        <w:spacing w:before="120"/>
        <w:ind w:left="0"/>
        <w:rPr>
          <w:rFonts w:cs="Arial"/>
          <w:sz w:val="20"/>
        </w:rPr>
      </w:pPr>
      <w:r>
        <w:rPr>
          <w:rFonts w:cs="Arial"/>
          <w:i/>
          <w:noProof/>
          <w:sz w:val="16"/>
        </w:rPr>
        <w:drawing>
          <wp:anchor distT="0" distB="0" distL="114300" distR="114300" simplePos="0" relativeHeight="251670528" behindDoc="1" locked="0" layoutInCell="1" allowOverlap="1" wp14:anchorId="5C692025" wp14:editId="1BCDB3A8">
            <wp:simplePos x="0" y="0"/>
            <wp:positionH relativeFrom="column">
              <wp:posOffset>2927350</wp:posOffset>
            </wp:positionH>
            <wp:positionV relativeFrom="paragraph">
              <wp:posOffset>200025</wp:posOffset>
            </wp:positionV>
            <wp:extent cx="2279015" cy="1708785"/>
            <wp:effectExtent l="0" t="0" r="0" b="5715"/>
            <wp:wrapTight wrapText="bothSides">
              <wp:wrapPolygon edited="0">
                <wp:start x="0" y="0"/>
                <wp:lineTo x="0" y="21512"/>
                <wp:lineTo x="21425" y="21512"/>
                <wp:lineTo x="2142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1Tsunami01.jpg"/>
                    <pic:cNvPicPr/>
                  </pic:nvPicPr>
                  <pic:blipFill>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79015" cy="1708785"/>
                    </a:xfrm>
                    <a:prstGeom prst="rect">
                      <a:avLst/>
                    </a:prstGeom>
                  </pic:spPr>
                </pic:pic>
              </a:graphicData>
            </a:graphic>
            <wp14:sizeRelH relativeFrom="page">
              <wp14:pctWidth>0</wp14:pctWidth>
            </wp14:sizeRelH>
            <wp14:sizeRelV relativeFrom="page">
              <wp14:pctHeight>0</wp14:pctHeight>
            </wp14:sizeRelV>
          </wp:anchor>
        </w:drawing>
      </w:r>
      <w:r w:rsidRPr="008174F0">
        <w:rPr>
          <w:rFonts w:cs="Arial"/>
          <w:noProof/>
          <w:sz w:val="20"/>
        </w:rPr>
        <w:drawing>
          <wp:anchor distT="0" distB="0" distL="114300" distR="114300" simplePos="0" relativeHeight="251668480" behindDoc="1" locked="0" layoutInCell="1" allowOverlap="1" wp14:anchorId="2AF730BF" wp14:editId="5781DF48">
            <wp:simplePos x="0" y="0"/>
            <wp:positionH relativeFrom="column">
              <wp:posOffset>445057</wp:posOffset>
            </wp:positionH>
            <wp:positionV relativeFrom="paragraph">
              <wp:posOffset>172999</wp:posOffset>
            </wp:positionV>
            <wp:extent cx="2315210" cy="1736090"/>
            <wp:effectExtent l="0" t="0" r="0" b="3810"/>
            <wp:wrapTight wrapText="bothSides">
              <wp:wrapPolygon edited="0">
                <wp:start x="0" y="0"/>
                <wp:lineTo x="0" y="21489"/>
                <wp:lineTo x="21446" y="21489"/>
                <wp:lineTo x="21446"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Kamaishi_ShipDock_KongITIC_DSC0399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15210" cy="1736090"/>
                    </a:xfrm>
                    <a:prstGeom prst="rect">
                      <a:avLst/>
                    </a:prstGeom>
                  </pic:spPr>
                </pic:pic>
              </a:graphicData>
            </a:graphic>
            <wp14:sizeRelH relativeFrom="page">
              <wp14:pctWidth>0</wp14:pctWidth>
            </wp14:sizeRelH>
            <wp14:sizeRelV relativeFrom="page">
              <wp14:pctHeight>0</wp14:pctHeight>
            </wp14:sizeRelV>
          </wp:anchor>
        </w:drawing>
      </w:r>
    </w:p>
    <w:p w14:paraId="202B239F" w14:textId="001DF89C" w:rsidR="008174F0" w:rsidRPr="008174F0" w:rsidRDefault="008174F0" w:rsidP="00FE3BB6">
      <w:pPr>
        <w:pStyle w:val="Hint"/>
        <w:tabs>
          <w:tab w:val="left" w:pos="4611"/>
        </w:tabs>
        <w:spacing w:before="120"/>
        <w:ind w:left="0"/>
        <w:rPr>
          <w:rFonts w:cs="Arial"/>
          <w:sz w:val="20"/>
        </w:rPr>
      </w:pPr>
    </w:p>
    <w:p w14:paraId="06F10A37" w14:textId="20C8B131" w:rsidR="00E34416" w:rsidRDefault="00E34416" w:rsidP="00FE3BB6">
      <w:pPr>
        <w:pStyle w:val="CourseContentText"/>
        <w:spacing w:before="120" w:after="120"/>
        <w:ind w:left="0"/>
        <w:rPr>
          <w:rFonts w:cs="Arial"/>
          <w:i/>
          <w:sz w:val="16"/>
        </w:rPr>
      </w:pPr>
    </w:p>
    <w:p w14:paraId="6DAC63F2" w14:textId="5FA84425" w:rsidR="00E34416" w:rsidRDefault="00E34416" w:rsidP="00FE3BB6">
      <w:pPr>
        <w:pStyle w:val="CourseContentText"/>
        <w:spacing w:before="120" w:after="120"/>
        <w:ind w:left="0"/>
        <w:rPr>
          <w:rFonts w:cs="Arial"/>
          <w:i/>
          <w:sz w:val="16"/>
        </w:rPr>
      </w:pPr>
    </w:p>
    <w:p w14:paraId="08D652CA" w14:textId="5FB82628" w:rsidR="00E34416" w:rsidRDefault="00E34416" w:rsidP="00FE3BB6">
      <w:pPr>
        <w:pStyle w:val="CourseContentText"/>
        <w:spacing w:before="120" w:after="120"/>
        <w:ind w:left="0"/>
        <w:rPr>
          <w:rFonts w:cs="Arial"/>
          <w:i/>
          <w:sz w:val="16"/>
        </w:rPr>
      </w:pPr>
    </w:p>
    <w:p w14:paraId="33CEDF12" w14:textId="68C0AA7C" w:rsidR="00E34416" w:rsidRDefault="00E34416" w:rsidP="00FE3BB6">
      <w:pPr>
        <w:pStyle w:val="CourseContentText"/>
        <w:spacing w:before="120" w:after="120"/>
        <w:ind w:left="0"/>
        <w:rPr>
          <w:rFonts w:cs="Arial"/>
          <w:i/>
          <w:sz w:val="16"/>
        </w:rPr>
      </w:pPr>
    </w:p>
    <w:p w14:paraId="0329E0FF" w14:textId="42392F2F" w:rsidR="00E34416" w:rsidRDefault="00E34416" w:rsidP="00FE3BB6">
      <w:pPr>
        <w:pStyle w:val="CourseContentText"/>
        <w:spacing w:before="120" w:after="120"/>
        <w:ind w:left="0"/>
        <w:rPr>
          <w:rFonts w:cs="Arial"/>
          <w:i/>
          <w:sz w:val="16"/>
        </w:rPr>
      </w:pPr>
    </w:p>
    <w:p w14:paraId="13F71068" w14:textId="3DE03DE5" w:rsidR="00E34416" w:rsidRDefault="00E34416" w:rsidP="00FE3BB6">
      <w:pPr>
        <w:pStyle w:val="CourseContentText"/>
        <w:spacing w:before="120" w:after="120"/>
        <w:ind w:left="0"/>
        <w:rPr>
          <w:rFonts w:cs="Arial"/>
          <w:i/>
          <w:sz w:val="16"/>
        </w:rPr>
      </w:pPr>
    </w:p>
    <w:p w14:paraId="2DD32A0F" w14:textId="075C1A7F" w:rsidR="00E34416" w:rsidRDefault="00E34416" w:rsidP="00FE3BB6">
      <w:pPr>
        <w:pStyle w:val="CourseContentText"/>
        <w:spacing w:before="120" w:after="120"/>
        <w:ind w:left="0"/>
        <w:rPr>
          <w:rFonts w:cs="Arial"/>
          <w:i/>
          <w:sz w:val="16"/>
        </w:rPr>
      </w:pPr>
    </w:p>
    <w:p w14:paraId="639F3CFC" w14:textId="2D890F3E" w:rsidR="00E34416" w:rsidRDefault="00E34416" w:rsidP="00FE3BB6">
      <w:pPr>
        <w:pStyle w:val="CourseContentText"/>
        <w:spacing w:before="120" w:after="120"/>
        <w:ind w:left="0"/>
        <w:rPr>
          <w:rFonts w:cs="Arial"/>
          <w:i/>
          <w:sz w:val="16"/>
        </w:rPr>
      </w:pPr>
    </w:p>
    <w:p w14:paraId="4F913B38" w14:textId="7E1A999B" w:rsidR="009C501F" w:rsidRDefault="0055375A" w:rsidP="009C501F">
      <w:pPr>
        <w:pStyle w:val="CourseContentText"/>
        <w:spacing w:before="120" w:after="120"/>
        <w:ind w:left="0"/>
        <w:rPr>
          <w:rFonts w:cs="Arial"/>
          <w:i/>
          <w:sz w:val="16"/>
        </w:rPr>
      </w:pPr>
      <w:r w:rsidRPr="008174F0">
        <w:rPr>
          <w:rFonts w:cs="Arial"/>
          <w:noProof/>
          <w:sz w:val="20"/>
        </w:rPr>
        <w:drawing>
          <wp:anchor distT="0" distB="0" distL="114300" distR="114300" simplePos="0" relativeHeight="251659264" behindDoc="1" locked="0" layoutInCell="1" allowOverlap="1" wp14:anchorId="074A1E4E" wp14:editId="2618769D">
            <wp:simplePos x="0" y="0"/>
            <wp:positionH relativeFrom="column">
              <wp:posOffset>2927350</wp:posOffset>
            </wp:positionH>
            <wp:positionV relativeFrom="paragraph">
              <wp:posOffset>15875</wp:posOffset>
            </wp:positionV>
            <wp:extent cx="2573655" cy="1584325"/>
            <wp:effectExtent l="12700" t="12700" r="17145" b="15875"/>
            <wp:wrapTight wrapText="bothSides">
              <wp:wrapPolygon edited="0">
                <wp:start x="-107" y="-173"/>
                <wp:lineTo x="-107" y="21643"/>
                <wp:lineTo x="21637" y="21643"/>
                <wp:lineTo x="21637" y="-173"/>
                <wp:lineTo x="-107" y="-173"/>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iyako_StrandedBoat_KongITIC_DSC04282_crop.jpg"/>
                    <pic:cNvPicPr/>
                  </pic:nvPicPr>
                  <pic:blipFill rotWithShape="1">
                    <a:blip r:embed="rId12" cstate="print">
                      <a:extLst>
                        <a:ext uri="{28A0092B-C50C-407E-A947-70E740481C1C}">
                          <a14:useLocalDpi xmlns:a14="http://schemas.microsoft.com/office/drawing/2010/main" val="0"/>
                        </a:ext>
                      </a:extLst>
                    </a:blip>
                    <a:srcRect l="2726" t="6953"/>
                    <a:stretch/>
                  </pic:blipFill>
                  <pic:spPr bwMode="auto">
                    <a:xfrm>
                      <a:off x="0" y="0"/>
                      <a:ext cx="2573655" cy="15843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4F0">
        <w:rPr>
          <w:rFonts w:cs="Arial"/>
          <w:noProof/>
          <w:sz w:val="20"/>
        </w:rPr>
        <w:drawing>
          <wp:anchor distT="0" distB="0" distL="114300" distR="114300" simplePos="0" relativeHeight="251660288" behindDoc="1" locked="0" layoutInCell="1" allowOverlap="1" wp14:anchorId="39416A53" wp14:editId="70C98A97">
            <wp:simplePos x="0" y="0"/>
            <wp:positionH relativeFrom="column">
              <wp:posOffset>144145</wp:posOffset>
            </wp:positionH>
            <wp:positionV relativeFrom="paragraph">
              <wp:posOffset>18415</wp:posOffset>
            </wp:positionV>
            <wp:extent cx="2620010" cy="1571625"/>
            <wp:effectExtent l="12700" t="12700" r="8890" b="15875"/>
            <wp:wrapTight wrapText="bothSides">
              <wp:wrapPolygon edited="0">
                <wp:start x="-105" y="-175"/>
                <wp:lineTo x="-105" y="21644"/>
                <wp:lineTo x="21569" y="21644"/>
                <wp:lineTo x="21569" y="-175"/>
                <wp:lineTo x="-105" y="-175"/>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Kesenuma_port_Kong_DSC03746.jpg"/>
                    <pic:cNvPicPr/>
                  </pic:nvPicPr>
                  <pic:blipFill rotWithShape="1">
                    <a:blip r:embed="rId13" cstate="print">
                      <a:extLst>
                        <a:ext uri="{28A0092B-C50C-407E-A947-70E740481C1C}">
                          <a14:useLocalDpi xmlns:a14="http://schemas.microsoft.com/office/drawing/2010/main" val="0"/>
                        </a:ext>
                      </a:extLst>
                    </a:blip>
                    <a:srcRect l="10495" t="10917" r="18277" b="32089"/>
                    <a:stretch/>
                  </pic:blipFill>
                  <pic:spPr bwMode="auto">
                    <a:xfrm>
                      <a:off x="0" y="0"/>
                      <a:ext cx="2620010" cy="15716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CA000B" w14:textId="0B8D159C" w:rsidR="0055375A" w:rsidRDefault="0055375A" w:rsidP="009C501F">
      <w:pPr>
        <w:pStyle w:val="CourseContentText"/>
        <w:spacing w:before="120" w:after="120"/>
        <w:ind w:left="0" w:right="630"/>
        <w:rPr>
          <w:rFonts w:cs="Arial"/>
          <w:i/>
          <w:sz w:val="16"/>
        </w:rPr>
      </w:pPr>
    </w:p>
    <w:p w14:paraId="39B0F7E9" w14:textId="5BE92C3C" w:rsidR="008174F0" w:rsidRPr="008174F0" w:rsidRDefault="008174F0" w:rsidP="009C501F">
      <w:pPr>
        <w:pStyle w:val="CourseContentText"/>
        <w:spacing w:before="120" w:after="120"/>
        <w:ind w:left="0" w:right="630"/>
        <w:rPr>
          <w:rFonts w:cs="Arial"/>
          <w:i/>
          <w:sz w:val="16"/>
        </w:rPr>
      </w:pPr>
      <w:r w:rsidRPr="008174F0">
        <w:rPr>
          <w:rFonts w:cs="Arial"/>
          <w:i/>
          <w:sz w:val="16"/>
        </w:rPr>
        <w:t xml:space="preserve">Figure </w:t>
      </w:r>
      <w:r w:rsidR="00E34416">
        <w:rPr>
          <w:rFonts w:cs="Arial"/>
          <w:i/>
          <w:sz w:val="16"/>
        </w:rPr>
        <w:t>1</w:t>
      </w:r>
      <w:r w:rsidRPr="008174F0">
        <w:rPr>
          <w:rFonts w:cs="Arial"/>
          <w:i/>
          <w:sz w:val="16"/>
        </w:rPr>
        <w:t xml:space="preserve">. </w:t>
      </w:r>
      <w:r w:rsidR="0055375A">
        <w:rPr>
          <w:rFonts w:cs="Arial"/>
          <w:i/>
          <w:sz w:val="16"/>
        </w:rPr>
        <w:t xml:space="preserve">Top:  Left. </w:t>
      </w:r>
      <w:r w:rsidRPr="008174F0">
        <w:rPr>
          <w:rFonts w:cs="Arial"/>
          <w:i/>
          <w:sz w:val="16"/>
        </w:rPr>
        <w:t xml:space="preserve">The </w:t>
      </w:r>
      <w:r w:rsidR="0055375A">
        <w:rPr>
          <w:rFonts w:cs="Arial"/>
          <w:i/>
          <w:sz w:val="16"/>
        </w:rPr>
        <w:t>sh</w:t>
      </w:r>
      <w:r w:rsidRPr="008174F0">
        <w:rPr>
          <w:rFonts w:cs="Arial"/>
          <w:i/>
          <w:sz w:val="16"/>
        </w:rPr>
        <w:t xml:space="preserve">ip Asia Symphony was carried onto the adjacent pier during the 2011 Japan Tsunami. </w:t>
      </w:r>
      <w:proofErr w:type="spellStart"/>
      <w:r w:rsidRPr="008174F0">
        <w:rPr>
          <w:rFonts w:cs="Arial"/>
          <w:i/>
          <w:sz w:val="16"/>
        </w:rPr>
        <w:t>Kamaishi</w:t>
      </w:r>
      <w:proofErr w:type="spellEnd"/>
      <w:r w:rsidRPr="008174F0">
        <w:rPr>
          <w:rFonts w:cs="Arial"/>
          <w:i/>
          <w:sz w:val="16"/>
        </w:rPr>
        <w:t>, Japan</w:t>
      </w:r>
      <w:r w:rsidR="00A26751">
        <w:rPr>
          <w:rFonts w:cs="Arial"/>
          <w:i/>
          <w:sz w:val="16"/>
        </w:rPr>
        <w:t xml:space="preserve"> (Photo source:  </w:t>
      </w:r>
      <w:r w:rsidR="00802CDC">
        <w:rPr>
          <w:rFonts w:cs="Arial"/>
          <w:i/>
          <w:sz w:val="16"/>
        </w:rPr>
        <w:t>ITIC</w:t>
      </w:r>
      <w:r w:rsidR="00A26751">
        <w:rPr>
          <w:rFonts w:cs="Arial"/>
          <w:i/>
          <w:sz w:val="16"/>
        </w:rPr>
        <w:t>)</w:t>
      </w:r>
      <w:r w:rsidRPr="008174F0">
        <w:rPr>
          <w:rFonts w:cs="Arial"/>
          <w:i/>
          <w:sz w:val="16"/>
        </w:rPr>
        <w:t>.</w:t>
      </w:r>
      <w:r w:rsidR="0055375A">
        <w:rPr>
          <w:rFonts w:cs="Arial"/>
          <w:i/>
          <w:sz w:val="16"/>
        </w:rPr>
        <w:t xml:space="preserve">  Right.  Tsunami floods shipping dock, Hakodate, Japan</w:t>
      </w:r>
      <w:r w:rsidR="00A26751">
        <w:rPr>
          <w:rFonts w:cs="Arial"/>
          <w:i/>
          <w:sz w:val="16"/>
        </w:rPr>
        <w:t xml:space="preserve"> (Photo source:  JAMSTEC)</w:t>
      </w:r>
      <w:r w:rsidR="0055375A">
        <w:rPr>
          <w:rFonts w:cs="Arial"/>
          <w:i/>
          <w:sz w:val="16"/>
        </w:rPr>
        <w:t>.  Bottom</w:t>
      </w:r>
      <w:r w:rsidR="00FE3BB6">
        <w:rPr>
          <w:rFonts w:cs="Arial"/>
          <w:i/>
          <w:sz w:val="16"/>
        </w:rPr>
        <w:t>:  W</w:t>
      </w:r>
      <w:r w:rsidRPr="008174F0">
        <w:rPr>
          <w:rFonts w:cs="Arial"/>
          <w:i/>
          <w:sz w:val="16"/>
        </w:rPr>
        <w:t xml:space="preserve">aves crushed port facilities in </w:t>
      </w:r>
      <w:proofErr w:type="spellStart"/>
      <w:r w:rsidRPr="008174F0">
        <w:rPr>
          <w:rFonts w:cs="Arial"/>
          <w:i/>
          <w:sz w:val="16"/>
        </w:rPr>
        <w:t>Kesenuma</w:t>
      </w:r>
      <w:proofErr w:type="spellEnd"/>
      <w:r w:rsidRPr="008174F0">
        <w:rPr>
          <w:rFonts w:cs="Arial"/>
          <w:i/>
          <w:sz w:val="16"/>
        </w:rPr>
        <w:t xml:space="preserve"> (left) and transported a boat far inland in </w:t>
      </w:r>
      <w:proofErr w:type="spellStart"/>
      <w:r w:rsidRPr="008174F0">
        <w:rPr>
          <w:rFonts w:cs="Arial"/>
          <w:i/>
          <w:sz w:val="16"/>
        </w:rPr>
        <w:t>Miyako</w:t>
      </w:r>
      <w:proofErr w:type="spellEnd"/>
      <w:r w:rsidRPr="008174F0">
        <w:rPr>
          <w:rFonts w:cs="Arial"/>
          <w:i/>
          <w:sz w:val="16"/>
        </w:rPr>
        <w:t xml:space="preserve"> (right) during the 2011 Japan tsunami.  (Photo Source</w:t>
      </w:r>
      <w:r w:rsidR="009C501F">
        <w:rPr>
          <w:rFonts w:cs="Arial"/>
          <w:i/>
          <w:sz w:val="16"/>
        </w:rPr>
        <w:t>s</w:t>
      </w:r>
      <w:r w:rsidRPr="008174F0">
        <w:rPr>
          <w:rFonts w:cs="Arial"/>
          <w:i/>
          <w:sz w:val="16"/>
        </w:rPr>
        <w:t>: ITIC).</w:t>
      </w:r>
    </w:p>
    <w:p w14:paraId="068FAE2B" w14:textId="754FD64F" w:rsidR="00FE3BB6" w:rsidRPr="009C501F" w:rsidRDefault="00E34416" w:rsidP="00FE3BB6">
      <w:pPr>
        <w:pStyle w:val="CourseContentText"/>
        <w:spacing w:before="120"/>
        <w:ind w:left="0"/>
        <w:rPr>
          <w:rFonts w:cs="Arial"/>
          <w:color w:val="000000"/>
          <w:szCs w:val="22"/>
        </w:rPr>
      </w:pPr>
      <w:r w:rsidRPr="00FE3BB6">
        <w:rPr>
          <w:rFonts w:cs="Arial"/>
        </w:rPr>
        <w:t>In Crescent City, Santa Cruz, and Long Beach, California, $55 million in damage was inflicted on small boat harbors by sudden water-level fluctuations, drawdown leaving boats stranded on dry ground, strong  unpredictable currents, bores, eddies, and whirlpools, and collisions with other boats, docks and debris.  A</w:t>
      </w:r>
      <w:r w:rsidRPr="00FE3BB6">
        <w:rPr>
          <w:rFonts w:cs="Arial"/>
          <w:color w:val="000000"/>
          <w:szCs w:val="22"/>
        </w:rPr>
        <w:t>long the California coast</w:t>
      </w:r>
      <w:r w:rsidRPr="00FE3BB6">
        <w:rPr>
          <w:rFonts w:cs="Arial"/>
        </w:rPr>
        <w:t xml:space="preserve"> p</w:t>
      </w:r>
      <w:r w:rsidRPr="00FE3BB6">
        <w:rPr>
          <w:rFonts w:cs="Arial"/>
          <w:color w:val="000000"/>
          <w:szCs w:val="22"/>
        </w:rPr>
        <w:t xml:space="preserve">rior to arrival, many boat owners evacuated offshore without adequate supplies or knowledge of how long they would need to stay offshore. As a result, boaters tried to re-enter harbors too early, while dangerous tsunami conditions still existed.  They put themselves and harbor personnel at risk of injury and death. </w:t>
      </w:r>
    </w:p>
    <w:p w14:paraId="220261FC" w14:textId="77777777" w:rsidR="009C501F" w:rsidRDefault="009C501F" w:rsidP="00FE3BB6">
      <w:pPr>
        <w:pStyle w:val="CourseContentText"/>
        <w:spacing w:before="120"/>
        <w:ind w:left="0"/>
        <w:rPr>
          <w:rFonts w:cs="Arial"/>
          <w:i/>
          <w:sz w:val="18"/>
        </w:rPr>
      </w:pPr>
    </w:p>
    <w:p w14:paraId="508ABBB4" w14:textId="77777777" w:rsidR="009C501F" w:rsidRDefault="009C501F" w:rsidP="00FE3BB6">
      <w:pPr>
        <w:pStyle w:val="CourseContentText"/>
        <w:spacing w:before="120"/>
        <w:ind w:left="0"/>
        <w:rPr>
          <w:rFonts w:cs="Arial"/>
          <w:i/>
          <w:sz w:val="18"/>
        </w:rPr>
      </w:pPr>
      <w:r w:rsidRPr="00FE3BB6">
        <w:rPr>
          <w:rFonts w:cs="Arial"/>
          <w:noProof/>
        </w:rPr>
        <w:drawing>
          <wp:anchor distT="0" distB="0" distL="114300" distR="114300" simplePos="0" relativeHeight="251661312" behindDoc="1" locked="0" layoutInCell="1" allowOverlap="1" wp14:anchorId="67368988" wp14:editId="1A4F5357">
            <wp:simplePos x="0" y="0"/>
            <wp:positionH relativeFrom="column">
              <wp:posOffset>59055</wp:posOffset>
            </wp:positionH>
            <wp:positionV relativeFrom="paragraph">
              <wp:posOffset>17145</wp:posOffset>
            </wp:positionV>
            <wp:extent cx="2999740" cy="2181225"/>
            <wp:effectExtent l="0" t="0" r="0" b="0"/>
            <wp:wrapTight wrapText="bothSides">
              <wp:wrapPolygon edited="0">
                <wp:start x="366" y="0"/>
                <wp:lineTo x="366" y="21128"/>
                <wp:lineTo x="9785" y="21380"/>
                <wp:lineTo x="16918" y="21380"/>
                <wp:lineTo x="17192" y="21128"/>
                <wp:lineTo x="20119" y="20122"/>
                <wp:lineTo x="20484" y="18110"/>
                <wp:lineTo x="20942" y="16727"/>
                <wp:lineTo x="20850" y="0"/>
                <wp:lineTo x="366"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9431" t="16347" r="5568" b="53108"/>
                    <a:stretch/>
                  </pic:blipFill>
                  <pic:spPr bwMode="auto">
                    <a:xfrm>
                      <a:off x="0" y="0"/>
                      <a:ext cx="299974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B2B372" w14:textId="5075C170" w:rsidR="00E34416" w:rsidRPr="008174F0" w:rsidRDefault="009C501F" w:rsidP="00FE3BB6">
      <w:pPr>
        <w:pStyle w:val="CourseContentText"/>
        <w:spacing w:before="120"/>
        <w:ind w:left="0"/>
        <w:rPr>
          <w:rFonts w:cs="Arial"/>
          <w:i/>
          <w:sz w:val="18"/>
        </w:rPr>
      </w:pPr>
      <w:r>
        <w:rPr>
          <w:rFonts w:cs="Arial"/>
          <w:i/>
          <w:sz w:val="18"/>
        </w:rPr>
        <w:t>F</w:t>
      </w:r>
      <w:r w:rsidR="00E34416" w:rsidRPr="008174F0">
        <w:rPr>
          <w:rFonts w:cs="Arial"/>
          <w:i/>
          <w:sz w:val="18"/>
        </w:rPr>
        <w:t xml:space="preserve">igure </w:t>
      </w:r>
      <w:r w:rsidR="00FE3BB6">
        <w:rPr>
          <w:rFonts w:cs="Arial"/>
          <w:i/>
          <w:sz w:val="18"/>
        </w:rPr>
        <w:t>2</w:t>
      </w:r>
      <w:r w:rsidR="00E34416" w:rsidRPr="008174F0">
        <w:rPr>
          <w:rFonts w:cs="Arial"/>
          <w:i/>
          <w:sz w:val="18"/>
        </w:rPr>
        <w:t xml:space="preserve">. (Source: Kong, Dunbar and Arcos, eds. Pacific Tsunami Warning System: A Half Century of Protecting the Pacific, 1965-2015. Honolulu: International Tsunami Information Center, 2015) </w:t>
      </w:r>
    </w:p>
    <w:p w14:paraId="37E74584" w14:textId="0EEF86AD" w:rsidR="00E34416" w:rsidRDefault="00E34416" w:rsidP="00FE3BB6">
      <w:pPr>
        <w:pStyle w:val="Hint"/>
        <w:tabs>
          <w:tab w:val="left" w:pos="4611"/>
        </w:tabs>
        <w:spacing w:before="120"/>
        <w:ind w:left="0"/>
        <w:jc w:val="center"/>
        <w:rPr>
          <w:rFonts w:cs="Arial"/>
          <w:i/>
          <w:sz w:val="16"/>
        </w:rPr>
      </w:pPr>
    </w:p>
    <w:p w14:paraId="5695770B" w14:textId="77777777" w:rsidR="009C501F" w:rsidRDefault="009C501F" w:rsidP="00FE3BB6">
      <w:pPr>
        <w:pStyle w:val="Hint"/>
        <w:tabs>
          <w:tab w:val="left" w:pos="4611"/>
        </w:tabs>
        <w:spacing w:before="120"/>
        <w:ind w:left="0"/>
        <w:rPr>
          <w:rFonts w:cs="Arial"/>
          <w:i/>
          <w:sz w:val="16"/>
        </w:rPr>
      </w:pPr>
    </w:p>
    <w:p w14:paraId="3765E88A" w14:textId="77777777" w:rsidR="009C501F" w:rsidRDefault="009C501F" w:rsidP="00FE3BB6">
      <w:pPr>
        <w:pStyle w:val="Hint"/>
        <w:tabs>
          <w:tab w:val="left" w:pos="4611"/>
        </w:tabs>
        <w:spacing w:before="120"/>
        <w:ind w:left="0"/>
        <w:rPr>
          <w:rFonts w:cs="Arial"/>
          <w:i/>
          <w:sz w:val="16"/>
        </w:rPr>
      </w:pPr>
    </w:p>
    <w:p w14:paraId="420EC824" w14:textId="77777777" w:rsidR="009C501F" w:rsidRDefault="009C501F" w:rsidP="00FE3BB6">
      <w:pPr>
        <w:pStyle w:val="Hint"/>
        <w:tabs>
          <w:tab w:val="left" w:pos="4611"/>
        </w:tabs>
        <w:spacing w:before="120"/>
        <w:ind w:left="0"/>
        <w:rPr>
          <w:rFonts w:cs="Arial"/>
          <w:i/>
          <w:sz w:val="16"/>
        </w:rPr>
      </w:pPr>
    </w:p>
    <w:p w14:paraId="2402C5A9" w14:textId="77777777" w:rsidR="009C501F" w:rsidRDefault="009C501F" w:rsidP="00FE3BB6">
      <w:pPr>
        <w:pStyle w:val="Hint"/>
        <w:tabs>
          <w:tab w:val="left" w:pos="4611"/>
        </w:tabs>
        <w:spacing w:before="120"/>
        <w:ind w:left="0"/>
        <w:rPr>
          <w:rFonts w:cs="Arial"/>
          <w:i/>
          <w:sz w:val="16"/>
        </w:rPr>
      </w:pPr>
    </w:p>
    <w:p w14:paraId="6A3AEF46" w14:textId="77777777" w:rsidR="009C501F" w:rsidRDefault="009C501F" w:rsidP="00FE3BB6">
      <w:pPr>
        <w:pStyle w:val="Hint"/>
        <w:tabs>
          <w:tab w:val="left" w:pos="4611"/>
        </w:tabs>
        <w:spacing w:before="120"/>
        <w:ind w:left="0"/>
        <w:rPr>
          <w:rFonts w:cs="Arial"/>
          <w:i/>
          <w:sz w:val="16"/>
        </w:rPr>
      </w:pPr>
    </w:p>
    <w:p w14:paraId="2AFCC823" w14:textId="77777777" w:rsidR="009C501F" w:rsidRDefault="009C501F" w:rsidP="00FE3BB6">
      <w:pPr>
        <w:pStyle w:val="Hint"/>
        <w:tabs>
          <w:tab w:val="left" w:pos="4611"/>
        </w:tabs>
        <w:spacing w:before="120"/>
        <w:ind w:left="0"/>
        <w:rPr>
          <w:rFonts w:cs="Arial"/>
          <w:i/>
          <w:sz w:val="16"/>
        </w:rPr>
      </w:pPr>
    </w:p>
    <w:p w14:paraId="367D2F3E" w14:textId="126019D1" w:rsidR="009C501F" w:rsidRDefault="00A26751" w:rsidP="00FE3BB6">
      <w:pPr>
        <w:pStyle w:val="Hint"/>
        <w:tabs>
          <w:tab w:val="left" w:pos="4611"/>
        </w:tabs>
        <w:spacing w:before="120"/>
        <w:ind w:left="0"/>
        <w:rPr>
          <w:rFonts w:cs="Arial"/>
          <w:i/>
          <w:sz w:val="16"/>
        </w:rPr>
      </w:pPr>
      <w:r w:rsidRPr="008174F0">
        <w:rPr>
          <w:rFonts w:cs="Arial"/>
          <w:noProof/>
          <w:sz w:val="18"/>
        </w:rPr>
        <w:lastRenderedPageBreak/>
        <w:drawing>
          <wp:anchor distT="0" distB="0" distL="114300" distR="114300" simplePos="0" relativeHeight="251667456" behindDoc="1" locked="0" layoutInCell="1" allowOverlap="1" wp14:anchorId="170B2290" wp14:editId="59A375B6">
            <wp:simplePos x="0" y="0"/>
            <wp:positionH relativeFrom="column">
              <wp:posOffset>151130</wp:posOffset>
            </wp:positionH>
            <wp:positionV relativeFrom="paragraph">
              <wp:posOffset>165762</wp:posOffset>
            </wp:positionV>
            <wp:extent cx="2835275" cy="3642360"/>
            <wp:effectExtent l="0" t="0" r="0" b="2540"/>
            <wp:wrapTight wrapText="bothSides">
              <wp:wrapPolygon edited="0">
                <wp:start x="0" y="0"/>
                <wp:lineTo x="0" y="21540"/>
                <wp:lineTo x="21479" y="21540"/>
                <wp:lineTo x="21479"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ating_pamphlet_031515 cop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5275" cy="3642360"/>
                    </a:xfrm>
                    <a:prstGeom prst="rect">
                      <a:avLst/>
                    </a:prstGeom>
                  </pic:spPr>
                </pic:pic>
              </a:graphicData>
            </a:graphic>
            <wp14:sizeRelH relativeFrom="page">
              <wp14:pctWidth>0</wp14:pctWidth>
            </wp14:sizeRelH>
            <wp14:sizeRelV relativeFrom="page">
              <wp14:pctHeight>0</wp14:pctHeight>
            </wp14:sizeRelV>
          </wp:anchor>
        </w:drawing>
      </w:r>
    </w:p>
    <w:p w14:paraId="3E62AD3F" w14:textId="2120A6A2" w:rsidR="00E34416" w:rsidRPr="008174F0" w:rsidRDefault="00E34416" w:rsidP="00FE3BB6">
      <w:pPr>
        <w:pStyle w:val="Hint"/>
        <w:tabs>
          <w:tab w:val="left" w:pos="4611"/>
        </w:tabs>
        <w:spacing w:before="120"/>
        <w:ind w:left="0"/>
        <w:rPr>
          <w:rFonts w:cs="Arial"/>
          <w:sz w:val="18"/>
        </w:rPr>
      </w:pPr>
      <w:r w:rsidRPr="008174F0">
        <w:rPr>
          <w:rFonts w:cs="Arial"/>
          <w:i/>
          <w:sz w:val="16"/>
        </w:rPr>
        <w:t xml:space="preserve">Figure </w:t>
      </w:r>
      <w:r w:rsidR="00FE3BB6">
        <w:rPr>
          <w:rFonts w:cs="Arial"/>
          <w:i/>
          <w:sz w:val="16"/>
        </w:rPr>
        <w:t>3</w:t>
      </w:r>
      <w:r w:rsidRPr="008174F0">
        <w:rPr>
          <w:rFonts w:cs="Arial"/>
          <w:i/>
          <w:sz w:val="16"/>
        </w:rPr>
        <w:t>.  Small boat harbor damage in Santa Cruz and Crescent City, California from the 2011 Japan Tsunami.  (Source:  Tsunamis! What Boaters should know (brochure), Cal EMA, CGS, Humboldt State Univ, 2015)</w:t>
      </w:r>
    </w:p>
    <w:p w14:paraId="6A9D30FC" w14:textId="276B073D" w:rsidR="00E34416" w:rsidRDefault="00E34416" w:rsidP="00FE3BB6">
      <w:pPr>
        <w:pStyle w:val="Hint"/>
        <w:tabs>
          <w:tab w:val="left" w:pos="4611"/>
        </w:tabs>
        <w:spacing w:before="120"/>
        <w:jc w:val="center"/>
        <w:rPr>
          <w:rFonts w:cs="Arial"/>
          <w:sz w:val="20"/>
        </w:rPr>
      </w:pPr>
    </w:p>
    <w:p w14:paraId="2B6D315A" w14:textId="7660172C" w:rsidR="00E34416" w:rsidRPr="008174F0" w:rsidRDefault="00E34416" w:rsidP="00FE3BB6">
      <w:pPr>
        <w:pStyle w:val="Hint"/>
        <w:tabs>
          <w:tab w:val="left" w:pos="4611"/>
        </w:tabs>
        <w:spacing w:before="120"/>
        <w:jc w:val="center"/>
        <w:rPr>
          <w:rFonts w:cs="Arial"/>
          <w:sz w:val="20"/>
        </w:rPr>
      </w:pPr>
    </w:p>
    <w:p w14:paraId="77D895D7" w14:textId="76DD7C86" w:rsidR="00FE3BB6" w:rsidRDefault="00FE3BB6" w:rsidP="00FE3BB6">
      <w:pPr>
        <w:pStyle w:val="CourseContentText"/>
        <w:spacing w:before="120"/>
        <w:ind w:left="0"/>
        <w:rPr>
          <w:rFonts w:cs="Arial"/>
          <w:sz w:val="20"/>
        </w:rPr>
      </w:pPr>
    </w:p>
    <w:p w14:paraId="5204B0DA" w14:textId="77777777" w:rsidR="00A26751" w:rsidRDefault="00A26751" w:rsidP="00A26751">
      <w:pPr>
        <w:pStyle w:val="Hint"/>
        <w:tabs>
          <w:tab w:val="left" w:pos="4611"/>
        </w:tabs>
        <w:spacing w:before="120"/>
        <w:ind w:left="0"/>
        <w:rPr>
          <w:rFonts w:cs="Arial"/>
          <w:i/>
          <w:sz w:val="16"/>
        </w:rPr>
      </w:pPr>
    </w:p>
    <w:p w14:paraId="6A74AF19" w14:textId="77777777" w:rsidR="00A26751" w:rsidRDefault="00A26751" w:rsidP="00A26751">
      <w:pPr>
        <w:pStyle w:val="Hint"/>
        <w:tabs>
          <w:tab w:val="left" w:pos="4611"/>
        </w:tabs>
        <w:spacing w:before="120"/>
        <w:ind w:left="0"/>
        <w:rPr>
          <w:rFonts w:cs="Arial"/>
          <w:i/>
          <w:sz w:val="16"/>
        </w:rPr>
      </w:pPr>
    </w:p>
    <w:p w14:paraId="08C69E58" w14:textId="77777777" w:rsidR="00A26751" w:rsidRDefault="00A26751" w:rsidP="00A26751">
      <w:pPr>
        <w:pStyle w:val="Hint"/>
        <w:tabs>
          <w:tab w:val="left" w:pos="4611"/>
        </w:tabs>
        <w:spacing w:before="120"/>
        <w:ind w:left="0"/>
        <w:rPr>
          <w:rFonts w:cs="Arial"/>
          <w:i/>
          <w:sz w:val="16"/>
        </w:rPr>
      </w:pPr>
    </w:p>
    <w:p w14:paraId="5937B0CA" w14:textId="509B5CDF" w:rsidR="00FE3BB6" w:rsidRPr="00A26751" w:rsidRDefault="00A26751" w:rsidP="00A26751">
      <w:pPr>
        <w:pStyle w:val="Hint"/>
        <w:tabs>
          <w:tab w:val="left" w:pos="4611"/>
        </w:tabs>
        <w:spacing w:before="120"/>
        <w:ind w:left="0"/>
        <w:rPr>
          <w:rFonts w:cs="Arial"/>
          <w:sz w:val="18"/>
        </w:rPr>
      </w:pPr>
      <w:r>
        <w:rPr>
          <w:rFonts w:cs="Arial"/>
          <w:noProof/>
          <w:sz w:val="20"/>
        </w:rPr>
        <w:drawing>
          <wp:anchor distT="0" distB="0" distL="114300" distR="114300" simplePos="0" relativeHeight="251671552" behindDoc="1" locked="0" layoutInCell="1" allowOverlap="1" wp14:anchorId="627B003C" wp14:editId="02E6B40F">
            <wp:simplePos x="0" y="0"/>
            <wp:positionH relativeFrom="column">
              <wp:posOffset>3110865</wp:posOffset>
            </wp:positionH>
            <wp:positionV relativeFrom="paragraph">
              <wp:posOffset>477396</wp:posOffset>
            </wp:positionV>
            <wp:extent cx="2916234" cy="2186241"/>
            <wp:effectExtent l="0" t="0" r="5080" b="0"/>
            <wp:wrapTight wrapText="bothSides">
              <wp:wrapPolygon edited="0">
                <wp:start x="0" y="0"/>
                <wp:lineTo x="0" y="21462"/>
                <wp:lineTo x="21544" y="21462"/>
                <wp:lineTo x="2154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h 11, 2011 Tsunami L-L_9-08-20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6234" cy="2186241"/>
                    </a:xfrm>
                    <a:prstGeom prst="rect">
                      <a:avLst/>
                    </a:prstGeom>
                  </pic:spPr>
                </pic:pic>
              </a:graphicData>
            </a:graphic>
            <wp14:sizeRelH relativeFrom="page">
              <wp14:pctWidth>0</wp14:pctWidth>
            </wp14:sizeRelH>
            <wp14:sizeRelV relativeFrom="page">
              <wp14:pctHeight>0</wp14:pctHeight>
            </wp14:sizeRelV>
          </wp:anchor>
        </w:drawing>
      </w:r>
      <w:r w:rsidRPr="008174F0">
        <w:rPr>
          <w:rFonts w:cs="Arial"/>
          <w:i/>
          <w:sz w:val="16"/>
        </w:rPr>
        <w:t xml:space="preserve">Figure </w:t>
      </w:r>
      <w:r>
        <w:rPr>
          <w:rFonts w:cs="Arial"/>
          <w:i/>
          <w:sz w:val="16"/>
        </w:rPr>
        <w:t>4</w:t>
      </w:r>
      <w:r w:rsidRPr="008174F0">
        <w:rPr>
          <w:rFonts w:cs="Arial"/>
          <w:i/>
          <w:sz w:val="16"/>
        </w:rPr>
        <w:t xml:space="preserve">.  Small boat harbor damage in </w:t>
      </w:r>
      <w:r>
        <w:rPr>
          <w:rFonts w:cs="Arial"/>
          <w:i/>
          <w:sz w:val="16"/>
        </w:rPr>
        <w:t>Hawaii</w:t>
      </w:r>
      <w:r w:rsidRPr="008174F0">
        <w:rPr>
          <w:rFonts w:cs="Arial"/>
          <w:i/>
          <w:sz w:val="16"/>
        </w:rPr>
        <w:t xml:space="preserve"> from the 2011 Japan Tsunami.  (Source:  </w:t>
      </w:r>
      <w:r>
        <w:rPr>
          <w:rFonts w:cs="Arial"/>
          <w:i/>
          <w:sz w:val="16"/>
        </w:rPr>
        <w:t>Hawaii State Emergency Management Agency</w:t>
      </w:r>
      <w:r w:rsidRPr="008174F0">
        <w:rPr>
          <w:rFonts w:cs="Arial"/>
          <w:i/>
          <w:sz w:val="16"/>
        </w:rPr>
        <w:t>)</w:t>
      </w:r>
    </w:p>
    <w:p w14:paraId="56512B58" w14:textId="12C2A75D" w:rsidR="00FE3BB6" w:rsidRDefault="00FE3BB6" w:rsidP="00FE3BB6">
      <w:pPr>
        <w:pStyle w:val="CourseContentText"/>
        <w:spacing w:before="120"/>
        <w:ind w:left="0"/>
        <w:rPr>
          <w:rFonts w:cs="Arial"/>
          <w:sz w:val="20"/>
        </w:rPr>
      </w:pPr>
    </w:p>
    <w:p w14:paraId="1CA9AE3F" w14:textId="265FF49F" w:rsidR="00FE3BB6" w:rsidRDefault="00FE3BB6" w:rsidP="00FE3BB6">
      <w:pPr>
        <w:pStyle w:val="CourseContentText"/>
        <w:spacing w:before="120"/>
        <w:ind w:left="0"/>
        <w:rPr>
          <w:rFonts w:cs="Arial"/>
          <w:sz w:val="20"/>
        </w:rPr>
      </w:pPr>
    </w:p>
    <w:p w14:paraId="579D22E3" w14:textId="453717E5" w:rsidR="00FE3BB6" w:rsidRDefault="00FE3BB6" w:rsidP="00FE3BB6">
      <w:pPr>
        <w:pStyle w:val="CourseContentText"/>
        <w:spacing w:before="120"/>
        <w:ind w:left="0"/>
        <w:rPr>
          <w:rFonts w:cs="Arial"/>
          <w:sz w:val="20"/>
        </w:rPr>
      </w:pPr>
    </w:p>
    <w:p w14:paraId="19DD81E6" w14:textId="797E0A8A" w:rsidR="00FE3BB6" w:rsidRDefault="00FE3BB6" w:rsidP="00FE3BB6">
      <w:pPr>
        <w:pStyle w:val="CourseContentText"/>
        <w:spacing w:before="120"/>
        <w:ind w:left="0"/>
        <w:rPr>
          <w:rFonts w:cs="Arial"/>
          <w:sz w:val="20"/>
        </w:rPr>
      </w:pPr>
    </w:p>
    <w:p w14:paraId="14D628C2" w14:textId="3D057160" w:rsidR="00FE3BB6" w:rsidRDefault="00FE3BB6" w:rsidP="00FE3BB6">
      <w:pPr>
        <w:pStyle w:val="CourseContentText"/>
        <w:spacing w:before="120"/>
        <w:ind w:left="0"/>
        <w:rPr>
          <w:rFonts w:cs="Arial"/>
          <w:sz w:val="20"/>
        </w:rPr>
      </w:pPr>
    </w:p>
    <w:p w14:paraId="382FAF81" w14:textId="39AE56C3" w:rsidR="00FE3BB6" w:rsidRPr="00FE3BB6" w:rsidRDefault="00556CE7" w:rsidP="00FE3BB6">
      <w:pPr>
        <w:pStyle w:val="CourseContentText"/>
        <w:spacing w:before="120"/>
        <w:ind w:left="0"/>
        <w:rPr>
          <w:rFonts w:cs="Arial"/>
          <w:b/>
        </w:rPr>
      </w:pPr>
      <w:r>
        <w:rPr>
          <w:rFonts w:cs="Arial"/>
          <w:b/>
        </w:rPr>
        <w:t>PREPAREDNESS</w:t>
      </w:r>
    </w:p>
    <w:p w14:paraId="1CD83CF5" w14:textId="77777777" w:rsidR="00556CE7" w:rsidRPr="00FE3BB6" w:rsidRDefault="00556CE7" w:rsidP="00556CE7">
      <w:pPr>
        <w:pStyle w:val="CourseContentText"/>
        <w:spacing w:before="120"/>
        <w:ind w:left="0"/>
        <w:rPr>
          <w:rFonts w:cs="Arial"/>
        </w:rPr>
      </w:pPr>
      <w:r w:rsidRPr="00FE3BB6">
        <w:rPr>
          <w:rFonts w:cs="Arial"/>
        </w:rPr>
        <w:t>For land evacuation by people out of the tsunami hazard or evacuation zones, the public should follow the instructions of the State or Local emergency management agency.</w:t>
      </w:r>
    </w:p>
    <w:p w14:paraId="2B29694A" w14:textId="2DF5C1A3" w:rsidR="00FE3BB6" w:rsidRPr="00FE3BB6" w:rsidRDefault="00556CE7" w:rsidP="00FE3BB6">
      <w:pPr>
        <w:pStyle w:val="CourseContentText"/>
        <w:spacing w:before="120"/>
        <w:ind w:left="0"/>
        <w:rPr>
          <w:rFonts w:cs="Arial"/>
        </w:rPr>
      </w:pPr>
      <w:r>
        <w:rPr>
          <w:rFonts w:cs="Arial"/>
        </w:rPr>
        <w:t>For vessels at sea, such as</w:t>
      </w:r>
      <w:r w:rsidR="008174F0" w:rsidRPr="00FE3BB6">
        <w:rPr>
          <w:rFonts w:cs="Arial"/>
        </w:rPr>
        <w:t xml:space="preserve"> recreational </w:t>
      </w:r>
      <w:r>
        <w:rPr>
          <w:rFonts w:cs="Arial"/>
        </w:rPr>
        <w:t xml:space="preserve">and fishing </w:t>
      </w:r>
      <w:r w:rsidR="008174F0" w:rsidRPr="00FE3BB6">
        <w:rPr>
          <w:rFonts w:cs="Arial"/>
        </w:rPr>
        <w:t>boat</w:t>
      </w:r>
      <w:r>
        <w:rPr>
          <w:rFonts w:cs="Arial"/>
        </w:rPr>
        <w:t>s</w:t>
      </w:r>
      <w:r w:rsidR="008174F0" w:rsidRPr="00FE3BB6">
        <w:rPr>
          <w:rFonts w:cs="Arial"/>
        </w:rPr>
        <w:t>, and commercial vessels, the US NTHMP and States have prepared a number of publications</w:t>
      </w:r>
      <w:r>
        <w:rPr>
          <w:rFonts w:cs="Arial"/>
        </w:rPr>
        <w:t xml:space="preserve"> to provide </w:t>
      </w:r>
      <w:r w:rsidRPr="00FE3BB6">
        <w:rPr>
          <w:rFonts w:cs="Arial"/>
        </w:rPr>
        <w:t>understand</w:t>
      </w:r>
      <w:r>
        <w:rPr>
          <w:rFonts w:cs="Arial"/>
        </w:rPr>
        <w:t>ing on</w:t>
      </w:r>
      <w:r w:rsidRPr="00FE3BB6">
        <w:rPr>
          <w:rFonts w:cs="Arial"/>
        </w:rPr>
        <w:t xml:space="preserve"> tsunamis and </w:t>
      </w:r>
      <w:r>
        <w:rPr>
          <w:rFonts w:cs="Arial"/>
        </w:rPr>
        <w:t xml:space="preserve">for </w:t>
      </w:r>
      <w:r w:rsidRPr="00FE3BB6">
        <w:rPr>
          <w:rFonts w:cs="Arial"/>
        </w:rPr>
        <w:t>plan</w:t>
      </w:r>
      <w:r>
        <w:rPr>
          <w:rFonts w:cs="Arial"/>
        </w:rPr>
        <w:t>ning</w:t>
      </w:r>
      <w:r w:rsidRPr="00FE3BB6">
        <w:rPr>
          <w:rFonts w:cs="Arial"/>
        </w:rPr>
        <w:t xml:space="preserve"> what to do</w:t>
      </w:r>
      <w:r w:rsidR="008174F0" w:rsidRPr="00FE3BB6">
        <w:rPr>
          <w:rFonts w:cs="Arial"/>
        </w:rPr>
        <w:t xml:space="preserve">.   These include both public safety information on how to prepare for and what to do before, during and after a tsunami, such as the 2011 Tsunami Guideline Plan for Operators of Caribbean Ports and more recent materials, as well as 2017 technical guidance, such for mariners who want to take their boat safely offshore before or during a tsunami </w:t>
      </w:r>
    </w:p>
    <w:p w14:paraId="44B04485" w14:textId="1960A1BC" w:rsidR="008174F0" w:rsidRPr="00FE3BB6" w:rsidRDefault="008174F0" w:rsidP="00FE3BB6">
      <w:pPr>
        <w:pStyle w:val="CourseContentText"/>
        <w:spacing w:before="120"/>
        <w:ind w:left="0"/>
        <w:rPr>
          <w:rFonts w:cs="Arial"/>
        </w:rPr>
      </w:pPr>
      <w:r w:rsidRPr="00FE3BB6">
        <w:rPr>
          <w:rFonts w:cs="Arial"/>
        </w:rPr>
        <w:t>(</w:t>
      </w:r>
      <w:hyperlink r:id="rId17" w:history="1">
        <w:r w:rsidRPr="00FE3BB6">
          <w:rPr>
            <w:rStyle w:val="Hyperlink"/>
            <w:rFonts w:cs="Arial"/>
          </w:rPr>
          <w:t>https://nws.weather.gov/nthmp/documents/GuidanceforSafeMinimumOffshoreDepthforVesselMovement.pdf</w:t>
        </w:r>
      </w:hyperlink>
      <w:r w:rsidRPr="00FE3BB6">
        <w:rPr>
          <w:rFonts w:cs="Arial"/>
        </w:rPr>
        <w:t xml:space="preserve">)   </w:t>
      </w:r>
    </w:p>
    <w:p w14:paraId="2EBF4045" w14:textId="264AEF18" w:rsidR="008174F0" w:rsidRPr="00556CE7" w:rsidRDefault="008174F0" w:rsidP="00FE3BB6">
      <w:pPr>
        <w:pStyle w:val="CourseContentText"/>
        <w:spacing w:before="120" w:after="120"/>
        <w:ind w:left="0"/>
        <w:rPr>
          <w:rFonts w:cs="Arial"/>
          <w:sz w:val="13"/>
        </w:rPr>
      </w:pPr>
    </w:p>
    <w:p w14:paraId="57D6CFA3" w14:textId="77777777" w:rsidR="00E800C3" w:rsidRDefault="00E800C3" w:rsidP="00FE3BB6">
      <w:pPr>
        <w:pStyle w:val="CourseContentText"/>
        <w:spacing w:before="120"/>
        <w:ind w:left="0"/>
        <w:rPr>
          <w:rFonts w:cs="Arial"/>
          <w:b/>
        </w:rPr>
      </w:pPr>
    </w:p>
    <w:p w14:paraId="018DA685" w14:textId="77777777" w:rsidR="00E800C3" w:rsidRDefault="00E800C3" w:rsidP="00FE3BB6">
      <w:pPr>
        <w:pStyle w:val="CourseContentText"/>
        <w:spacing w:before="120"/>
        <w:ind w:left="0"/>
        <w:rPr>
          <w:rFonts w:cs="Arial"/>
          <w:b/>
        </w:rPr>
      </w:pPr>
    </w:p>
    <w:p w14:paraId="70E270BF" w14:textId="77777777" w:rsidR="00E800C3" w:rsidRDefault="00E800C3" w:rsidP="00FE3BB6">
      <w:pPr>
        <w:pStyle w:val="CourseContentText"/>
        <w:spacing w:before="120"/>
        <w:ind w:left="0"/>
        <w:rPr>
          <w:rFonts w:cs="Arial"/>
          <w:b/>
        </w:rPr>
      </w:pPr>
    </w:p>
    <w:p w14:paraId="06296C23" w14:textId="77777777" w:rsidR="00E800C3" w:rsidRDefault="00E800C3" w:rsidP="00FE3BB6">
      <w:pPr>
        <w:pStyle w:val="CourseContentText"/>
        <w:spacing w:before="120"/>
        <w:ind w:left="0"/>
        <w:rPr>
          <w:rFonts w:cs="Arial"/>
          <w:b/>
        </w:rPr>
      </w:pPr>
    </w:p>
    <w:p w14:paraId="12FD4B65" w14:textId="3A0C5519" w:rsidR="008174F0" w:rsidRPr="00FE3BB6" w:rsidRDefault="00556CE7" w:rsidP="00FE3BB6">
      <w:pPr>
        <w:pStyle w:val="CourseContentText"/>
        <w:spacing w:before="120"/>
        <w:ind w:left="0"/>
        <w:rPr>
          <w:rFonts w:cs="Arial"/>
          <w:b/>
        </w:rPr>
      </w:pPr>
      <w:r>
        <w:rPr>
          <w:rFonts w:cs="Arial"/>
          <w:b/>
        </w:rPr>
        <w:lastRenderedPageBreak/>
        <w:t>PUBLIC AND RECREATIONAL BOATERS</w:t>
      </w:r>
    </w:p>
    <w:p w14:paraId="1CD75971" w14:textId="42A3C0C8" w:rsidR="009C501F" w:rsidRDefault="009C501F" w:rsidP="009C501F">
      <w:pPr>
        <w:pStyle w:val="CourseContentText"/>
        <w:spacing w:before="120"/>
        <w:ind w:left="0"/>
        <w:rPr>
          <w:rFonts w:cs="Arial"/>
        </w:rPr>
      </w:pPr>
      <w:r w:rsidRPr="008174F0">
        <w:rPr>
          <w:rFonts w:cs="Arial"/>
          <w:noProof/>
          <w:sz w:val="20"/>
        </w:rPr>
        <w:drawing>
          <wp:anchor distT="0" distB="0" distL="114300" distR="114300" simplePos="0" relativeHeight="251662336" behindDoc="1" locked="0" layoutInCell="1" allowOverlap="1" wp14:anchorId="43BDFCFF" wp14:editId="6391C5B2">
            <wp:simplePos x="0" y="0"/>
            <wp:positionH relativeFrom="column">
              <wp:posOffset>0</wp:posOffset>
            </wp:positionH>
            <wp:positionV relativeFrom="paragraph">
              <wp:posOffset>41275</wp:posOffset>
            </wp:positionV>
            <wp:extent cx="1901190" cy="2341880"/>
            <wp:effectExtent l="0" t="0" r="3810" b="0"/>
            <wp:wrapTight wrapText="bothSides">
              <wp:wrapPolygon edited="0">
                <wp:start x="0" y="0"/>
                <wp:lineTo x="0" y="21436"/>
                <wp:lineTo x="21499" y="21436"/>
                <wp:lineTo x="21499"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HawaiiBoaters.pd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01190" cy="2341880"/>
                    </a:xfrm>
                    <a:prstGeom prst="rect">
                      <a:avLst/>
                    </a:prstGeom>
                  </pic:spPr>
                </pic:pic>
              </a:graphicData>
            </a:graphic>
            <wp14:sizeRelH relativeFrom="page">
              <wp14:pctWidth>0</wp14:pctWidth>
            </wp14:sizeRelH>
            <wp14:sizeRelV relativeFrom="page">
              <wp14:pctHeight>0</wp14:pctHeight>
            </wp14:sizeRelV>
          </wp:anchor>
        </w:drawing>
      </w:r>
      <w:r w:rsidR="008174F0" w:rsidRPr="00FE3BB6">
        <w:rPr>
          <w:rFonts w:cs="Arial"/>
        </w:rPr>
        <w:t xml:space="preserve">In Hawaii, the Hawaii State Emergency Management Agency, with University of Hawaii tsunami numerical modeling support, has worked with the US Coast Guard to establish a marine tsunami evacuation maps for Honolulu Harbor and other Hawaii commercial ports, as well as vessel evacuation thresholds.  The </w:t>
      </w:r>
      <w:hyperlink r:id="rId19" w:history="1">
        <w:r w:rsidR="008174F0" w:rsidRPr="00FE3BB6">
          <w:rPr>
            <w:rStyle w:val="Hyperlink"/>
            <w:rFonts w:cs="Arial"/>
          </w:rPr>
          <w:t>Hawai’i Boater’s Hurricane and Tsunami Safety Manual</w:t>
        </w:r>
      </w:hyperlink>
      <w:r w:rsidR="008174F0" w:rsidRPr="00FE3BB6">
        <w:rPr>
          <w:rFonts w:cs="Arial"/>
        </w:rPr>
        <w:t xml:space="preserve"> (2013) gives boat owner emergency plan guidance including for evacuation, and for what boats at sea during and after a tsunami should do.  The State of Hawaii Dept of Land and Natural Resources Division of Boating and Ocean Recreation </w:t>
      </w:r>
      <w:hyperlink r:id="rId20" w:history="1">
        <w:r w:rsidR="008174F0" w:rsidRPr="00FE3BB6">
          <w:rPr>
            <w:rStyle w:val="Hyperlink"/>
            <w:rFonts w:cs="Arial"/>
          </w:rPr>
          <w:t>Tsunami Emergency Plan guidance</w:t>
        </w:r>
      </w:hyperlink>
      <w:r w:rsidR="008174F0" w:rsidRPr="00FE3BB6">
        <w:rPr>
          <w:rFonts w:cs="Arial"/>
        </w:rPr>
        <w:t xml:space="preserve"> (DLNR DOBOR, 2013) provided guidance to boaters to help develop their own emergency plan since ultimately each will have to act on their own, in concert with DOBOR procedures for closing harbors, to safeguard their vessel and property during a tsunami.</w:t>
      </w:r>
    </w:p>
    <w:p w14:paraId="7368EC54" w14:textId="01F6397D" w:rsidR="009C501F" w:rsidRDefault="009C501F" w:rsidP="009C501F">
      <w:pPr>
        <w:pStyle w:val="CourseContentText"/>
        <w:spacing w:before="120"/>
        <w:ind w:left="0" w:right="-360"/>
        <w:rPr>
          <w:rFonts w:cs="Arial"/>
          <w:i/>
          <w:noProof/>
          <w:sz w:val="18"/>
        </w:rPr>
      </w:pPr>
      <w:r w:rsidRPr="008174F0">
        <w:rPr>
          <w:rFonts w:cs="Arial"/>
          <w:i/>
          <w:noProof/>
          <w:sz w:val="18"/>
        </w:rPr>
        <w:t xml:space="preserve">Figure </w:t>
      </w:r>
      <w:r w:rsidR="00502A2A">
        <w:rPr>
          <w:rFonts w:cs="Arial"/>
          <w:i/>
          <w:noProof/>
          <w:sz w:val="18"/>
        </w:rPr>
        <w:t>4</w:t>
      </w:r>
      <w:r w:rsidRPr="008174F0">
        <w:rPr>
          <w:rFonts w:cs="Arial"/>
          <w:i/>
          <w:noProof/>
          <w:sz w:val="18"/>
        </w:rPr>
        <w:t xml:space="preserve">. </w:t>
      </w:r>
      <w:r>
        <w:rPr>
          <w:rFonts w:cs="Arial"/>
          <w:i/>
          <w:noProof/>
          <w:sz w:val="18"/>
        </w:rPr>
        <w:t>Hawaii</w:t>
      </w:r>
      <w:r w:rsidRPr="008174F0">
        <w:rPr>
          <w:rFonts w:cs="Arial"/>
          <w:i/>
          <w:noProof/>
          <w:sz w:val="18"/>
        </w:rPr>
        <w:t xml:space="preserve"> safety information for boaters.</w:t>
      </w:r>
    </w:p>
    <w:p w14:paraId="46851125" w14:textId="77777777" w:rsidR="009C501F" w:rsidRPr="009C501F" w:rsidRDefault="009C501F" w:rsidP="009C501F">
      <w:pPr>
        <w:pStyle w:val="CourseContentText"/>
        <w:spacing w:before="120"/>
        <w:ind w:left="0" w:right="-360"/>
        <w:rPr>
          <w:rFonts w:cs="Arial"/>
          <w:sz w:val="20"/>
        </w:rPr>
      </w:pPr>
    </w:p>
    <w:p w14:paraId="4408F766" w14:textId="194B0FFE" w:rsidR="008174F0" w:rsidRPr="00FE3BB6" w:rsidRDefault="008174F0" w:rsidP="00FE3BB6">
      <w:pPr>
        <w:pStyle w:val="CourseContentText"/>
        <w:spacing w:before="120"/>
        <w:ind w:left="0"/>
        <w:rPr>
          <w:rFonts w:cs="Arial"/>
        </w:rPr>
      </w:pPr>
    </w:p>
    <w:p w14:paraId="19990F6D" w14:textId="660EAB26" w:rsidR="00FE3BB6" w:rsidRDefault="009C501F" w:rsidP="00FE3BB6">
      <w:pPr>
        <w:pStyle w:val="CourseContentText"/>
        <w:spacing w:before="120"/>
        <w:ind w:left="0" w:right="-360"/>
        <w:rPr>
          <w:rFonts w:cs="Arial"/>
          <w:i/>
          <w:noProof/>
          <w:sz w:val="18"/>
        </w:rPr>
      </w:pPr>
      <w:r w:rsidRPr="009C501F">
        <w:rPr>
          <w:rFonts w:cs="Arial"/>
          <w:noProof/>
          <w:sz w:val="18"/>
        </w:rPr>
        <w:t xml:space="preserve"> </w:t>
      </w:r>
      <w:r w:rsidRPr="009C501F">
        <w:rPr>
          <w:rFonts w:cs="Arial"/>
          <w:noProof/>
          <w:sz w:val="20"/>
        </w:rPr>
        <w:drawing>
          <wp:anchor distT="0" distB="0" distL="114300" distR="114300" simplePos="0" relativeHeight="251664384" behindDoc="1" locked="0" layoutInCell="1" allowOverlap="1" wp14:anchorId="2927DB1C" wp14:editId="116D224E">
            <wp:simplePos x="0" y="0"/>
            <wp:positionH relativeFrom="column">
              <wp:posOffset>1241425</wp:posOffset>
            </wp:positionH>
            <wp:positionV relativeFrom="paragraph">
              <wp:posOffset>-292735</wp:posOffset>
            </wp:positionV>
            <wp:extent cx="1058545" cy="2627630"/>
            <wp:effectExtent l="0" t="0" r="0" b="1270"/>
            <wp:wrapTight wrapText="bothSides">
              <wp:wrapPolygon edited="0">
                <wp:start x="0" y="0"/>
                <wp:lineTo x="0" y="21506"/>
                <wp:lineTo x="21250" y="21506"/>
                <wp:lineTo x="21250"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 r="68875"/>
                    <a:stretch/>
                  </pic:blipFill>
                  <pic:spPr bwMode="auto">
                    <a:xfrm>
                      <a:off x="0" y="0"/>
                      <a:ext cx="1058545" cy="2627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01F">
        <w:rPr>
          <w:rFonts w:cs="Arial"/>
          <w:noProof/>
          <w:sz w:val="20"/>
        </w:rPr>
        <w:drawing>
          <wp:anchor distT="0" distB="0" distL="114300" distR="114300" simplePos="0" relativeHeight="251663360" behindDoc="1" locked="0" layoutInCell="1" allowOverlap="1" wp14:anchorId="0609AB11" wp14:editId="7CAA3706">
            <wp:simplePos x="0" y="0"/>
            <wp:positionH relativeFrom="column">
              <wp:posOffset>76181</wp:posOffset>
            </wp:positionH>
            <wp:positionV relativeFrom="paragraph">
              <wp:posOffset>-292118</wp:posOffset>
            </wp:positionV>
            <wp:extent cx="1080770" cy="2623185"/>
            <wp:effectExtent l="0" t="0" r="0" b="5715"/>
            <wp:wrapTight wrapText="bothSides">
              <wp:wrapPolygon edited="0">
                <wp:start x="0" y="0"/>
                <wp:lineTo x="0" y="21542"/>
                <wp:lineTo x="21321" y="21542"/>
                <wp:lineTo x="21321"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Tsunami-KnowWhatToDo-Maritime.pdf"/>
                    <pic:cNvPicPr/>
                  </pic:nvPicPr>
                  <pic:blipFill rotWithShape="1">
                    <a:blip r:embed="rId22">
                      <a:extLst>
                        <a:ext uri="{28A0092B-C50C-407E-A947-70E740481C1C}">
                          <a14:useLocalDpi xmlns:a14="http://schemas.microsoft.com/office/drawing/2010/main" val="0"/>
                        </a:ext>
                      </a:extLst>
                    </a:blip>
                    <a:srcRect l="68146"/>
                    <a:stretch/>
                  </pic:blipFill>
                  <pic:spPr bwMode="auto">
                    <a:xfrm>
                      <a:off x="0" y="0"/>
                      <a:ext cx="1080770" cy="262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01F">
        <w:rPr>
          <w:rFonts w:cs="Arial"/>
        </w:rPr>
        <w:t>In</w:t>
      </w:r>
      <w:r w:rsidRPr="00FE3BB6">
        <w:rPr>
          <w:rFonts w:cs="Arial"/>
        </w:rPr>
        <w:t xml:space="preserve"> Oregon, Maritime Tsunami Response Guidance (MTRG, Dept of Geology and Mineral Industries DOGAMI) is available for the Port of Astoria and Lower Columbia River Estuary and for port of Newport-Toledo for small craft (e.g. recreational sailing, motor vessels, and commercial fishing vessels) for distant tsunamis.  Additionally, the brochure “</w:t>
      </w:r>
      <w:hyperlink r:id="rId23" w:history="1">
        <w:r w:rsidRPr="00FE3BB6">
          <w:rPr>
            <w:rStyle w:val="Hyperlink"/>
            <w:rFonts w:cs="Arial"/>
          </w:rPr>
          <w:t>Tsunami! What Oregon Boat Owners Need to Know</w:t>
        </w:r>
      </w:hyperlink>
      <w:r w:rsidRPr="00FE3BB6">
        <w:rPr>
          <w:rFonts w:cs="Arial"/>
        </w:rPr>
        <w:t>,” gives practical statewide guidance for all types of tsunamis.  Through numerical tsunami modeling, DOGAMI determined that the minimum safe distance offshore for boaters to evacuate to for local and distant tsunamis is 100 and 30 fathoms, respectively</w:t>
      </w:r>
      <w:r>
        <w:rPr>
          <w:rFonts w:cs="Arial"/>
        </w:rPr>
        <w:t>.</w:t>
      </w:r>
    </w:p>
    <w:p w14:paraId="799D63D6" w14:textId="77777777" w:rsidR="00556CE7" w:rsidRPr="00556CE7" w:rsidRDefault="00556CE7" w:rsidP="00FE3BB6">
      <w:pPr>
        <w:pStyle w:val="CourseContentText"/>
        <w:spacing w:before="120"/>
        <w:ind w:left="0" w:right="-360"/>
        <w:rPr>
          <w:rFonts w:cs="Arial"/>
          <w:i/>
          <w:noProof/>
          <w:sz w:val="15"/>
        </w:rPr>
      </w:pPr>
    </w:p>
    <w:p w14:paraId="4875A613" w14:textId="7A21A3F4" w:rsidR="00FE3BB6" w:rsidRPr="008174F0" w:rsidRDefault="00FE3BB6" w:rsidP="00FE3BB6">
      <w:pPr>
        <w:pStyle w:val="CourseContentText"/>
        <w:spacing w:before="120"/>
        <w:ind w:left="0" w:right="-360"/>
        <w:rPr>
          <w:rFonts w:cs="Arial"/>
          <w:i/>
          <w:sz w:val="18"/>
        </w:rPr>
      </w:pPr>
      <w:r w:rsidRPr="008174F0">
        <w:rPr>
          <w:rFonts w:cs="Arial"/>
          <w:i/>
          <w:noProof/>
          <w:sz w:val="18"/>
        </w:rPr>
        <w:t xml:space="preserve">Figure </w:t>
      </w:r>
      <w:r w:rsidR="00502A2A">
        <w:rPr>
          <w:rFonts w:cs="Arial"/>
          <w:i/>
          <w:noProof/>
          <w:sz w:val="18"/>
        </w:rPr>
        <w:t>5</w:t>
      </w:r>
      <w:r w:rsidRPr="008174F0">
        <w:rPr>
          <w:rFonts w:cs="Arial"/>
          <w:i/>
          <w:noProof/>
          <w:sz w:val="18"/>
        </w:rPr>
        <w:t>. Orego</w:t>
      </w:r>
      <w:r>
        <w:rPr>
          <w:rFonts w:cs="Arial"/>
          <w:i/>
          <w:noProof/>
          <w:sz w:val="18"/>
        </w:rPr>
        <w:t xml:space="preserve">n </w:t>
      </w:r>
      <w:r w:rsidRPr="008174F0">
        <w:rPr>
          <w:rFonts w:cs="Arial"/>
          <w:i/>
          <w:noProof/>
          <w:sz w:val="18"/>
        </w:rPr>
        <w:t>safety information for boaters.</w:t>
      </w:r>
    </w:p>
    <w:p w14:paraId="7B291AF2" w14:textId="5BC8CC49" w:rsidR="008174F0" w:rsidRPr="00FE3BB6" w:rsidRDefault="008174F0" w:rsidP="00FE3BB6">
      <w:pPr>
        <w:pStyle w:val="CourseContentText"/>
        <w:spacing w:before="120"/>
        <w:ind w:left="0"/>
        <w:rPr>
          <w:rFonts w:cs="Arial"/>
        </w:rPr>
      </w:pPr>
    </w:p>
    <w:p w14:paraId="12568953" w14:textId="60A88EEE" w:rsidR="00556CE7" w:rsidRPr="00556CE7" w:rsidRDefault="00556CE7" w:rsidP="00FE3BB6">
      <w:pPr>
        <w:pStyle w:val="CourseContentText"/>
        <w:spacing w:before="120"/>
        <w:ind w:left="0"/>
        <w:rPr>
          <w:rFonts w:cs="Arial"/>
          <w:b/>
        </w:rPr>
      </w:pPr>
      <w:r w:rsidRPr="00556CE7">
        <w:rPr>
          <w:rFonts w:cs="Arial"/>
          <w:b/>
        </w:rPr>
        <w:t>COMMERCIAL PORTS</w:t>
      </w:r>
      <w:r>
        <w:rPr>
          <w:rFonts w:cs="Arial"/>
          <w:b/>
        </w:rPr>
        <w:t>, SMALL BOAT HARBORS</w:t>
      </w:r>
    </w:p>
    <w:p w14:paraId="3CBD37B3" w14:textId="3F543D46" w:rsidR="008174F0" w:rsidRPr="00FE3BB6" w:rsidRDefault="009C501F" w:rsidP="00FE3BB6">
      <w:pPr>
        <w:pStyle w:val="CourseContentText"/>
        <w:spacing w:before="120"/>
        <w:ind w:left="0"/>
        <w:rPr>
          <w:rFonts w:cs="Arial"/>
        </w:rPr>
      </w:pPr>
      <w:r>
        <w:rPr>
          <w:rFonts w:cs="Arial"/>
        </w:rPr>
        <w:t>In the U.S., c</w:t>
      </w:r>
      <w:r w:rsidR="008174F0" w:rsidRPr="00FE3BB6">
        <w:rPr>
          <w:rFonts w:cs="Arial"/>
        </w:rPr>
        <w:t xml:space="preserve">ommercial harbors are under the control of the U.S. Coast Guard (USCG) Captain of the Port, or harbormaster, whose duties include port safety and security.  During a tsunami, boat and vessel captains should follow the instructions of the Captain of the Port for marine evacuations out to sea, and afterward, on when to know when it is safe for boats to return home.  For emergency communications, every boat should have a ship-to-shore marine VHF-FM radio to monitor Channel 16 for information from the USCG and/or other harbor management agencies, and for emergency distress signaling.  Additionally, mariners may also want to have a NOAA Weather Radio (NWR), whose coverage usually extends to about 40 miles from the coast, to receive tsunami warning information for land evacuations, and other weather and ocean information.  </w:t>
      </w:r>
    </w:p>
    <w:p w14:paraId="7777E264" w14:textId="1DBF8584" w:rsidR="00556CE7" w:rsidRPr="00452FF3" w:rsidRDefault="00502A2A" w:rsidP="00FE3BB6">
      <w:pPr>
        <w:pStyle w:val="CourseContentText"/>
        <w:spacing w:before="120"/>
        <w:ind w:left="0"/>
        <w:rPr>
          <w:rFonts w:cs="Arial"/>
          <w:sz w:val="15"/>
        </w:rPr>
      </w:pPr>
      <w:r w:rsidRPr="00452FF3">
        <w:rPr>
          <w:rFonts w:cs="Arial"/>
          <w:noProof/>
          <w:sz w:val="15"/>
        </w:rPr>
        <w:lastRenderedPageBreak/>
        <w:drawing>
          <wp:anchor distT="0" distB="0" distL="114300" distR="114300" simplePos="0" relativeHeight="251669504" behindDoc="1" locked="0" layoutInCell="1" allowOverlap="1" wp14:anchorId="1426E60A" wp14:editId="6C687175">
            <wp:simplePos x="0" y="0"/>
            <wp:positionH relativeFrom="column">
              <wp:posOffset>2570480</wp:posOffset>
            </wp:positionH>
            <wp:positionV relativeFrom="paragraph">
              <wp:posOffset>89028</wp:posOffset>
            </wp:positionV>
            <wp:extent cx="3519170" cy="2637790"/>
            <wp:effectExtent l="0" t="0" r="0" b="3810"/>
            <wp:wrapTight wrapText="bothSides">
              <wp:wrapPolygon edited="0">
                <wp:start x="0" y="0"/>
                <wp:lineTo x="0" y="21527"/>
                <wp:lineTo x="21514" y="21527"/>
                <wp:lineTo x="215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_CA Maritime for LKon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19170" cy="2637790"/>
                    </a:xfrm>
                    <a:prstGeom prst="rect">
                      <a:avLst/>
                    </a:prstGeom>
                  </pic:spPr>
                </pic:pic>
              </a:graphicData>
            </a:graphic>
            <wp14:sizeRelH relativeFrom="page">
              <wp14:pctWidth>0</wp14:pctWidth>
            </wp14:sizeRelH>
            <wp14:sizeRelV relativeFrom="page">
              <wp14:pctHeight>0</wp14:pctHeight>
            </wp14:sizeRelV>
          </wp:anchor>
        </w:drawing>
      </w:r>
    </w:p>
    <w:p w14:paraId="243FD103" w14:textId="1D176069" w:rsidR="00556CE7" w:rsidRPr="00556CE7" w:rsidRDefault="00556CE7" w:rsidP="00FE3BB6">
      <w:pPr>
        <w:pStyle w:val="CourseContentText"/>
        <w:spacing w:before="120"/>
        <w:ind w:left="0"/>
        <w:rPr>
          <w:rFonts w:cs="Arial"/>
          <w:b/>
        </w:rPr>
      </w:pPr>
      <w:r w:rsidRPr="00556CE7">
        <w:rPr>
          <w:rFonts w:cs="Arial"/>
          <w:b/>
        </w:rPr>
        <w:t>PLANS AND PLAYBOOKS</w:t>
      </w:r>
    </w:p>
    <w:p w14:paraId="43E4E37F" w14:textId="55F65D76" w:rsidR="00502A2A" w:rsidRDefault="008174F0" w:rsidP="00FE3BB6">
      <w:pPr>
        <w:pStyle w:val="CourseContentText"/>
        <w:spacing w:before="120"/>
        <w:ind w:left="0"/>
        <w:rPr>
          <w:rFonts w:cs="Arial"/>
        </w:rPr>
      </w:pPr>
      <w:r w:rsidRPr="00FE3BB6">
        <w:rPr>
          <w:rFonts w:cs="Arial"/>
        </w:rPr>
        <w:t xml:space="preserve">In California, the Office of Emergency Services and Geological Survey have worked with the local harbormasters and Coast Guard regions to develop response playbooks.  Numerical modeling is used to calculate expected tsunami impacts from the different scenarios.  When a real event occurs, response agencies will carry out their emergency response actions using the appropriate playbook.  </w:t>
      </w:r>
    </w:p>
    <w:p w14:paraId="6A0BB9D7" w14:textId="676C53A7" w:rsidR="00502A2A" w:rsidRDefault="00502A2A" w:rsidP="00502A2A">
      <w:pPr>
        <w:pStyle w:val="CourseContentText"/>
        <w:spacing w:before="120"/>
        <w:ind w:left="0" w:right="-360"/>
        <w:rPr>
          <w:rFonts w:cs="Arial"/>
          <w:i/>
          <w:noProof/>
          <w:sz w:val="18"/>
        </w:rPr>
      </w:pPr>
      <w:r w:rsidRPr="008174F0">
        <w:rPr>
          <w:rFonts w:cs="Arial"/>
          <w:i/>
          <w:noProof/>
          <w:sz w:val="18"/>
        </w:rPr>
        <w:t xml:space="preserve">Figure </w:t>
      </w:r>
      <w:r>
        <w:rPr>
          <w:rFonts w:cs="Arial"/>
          <w:i/>
          <w:noProof/>
          <w:sz w:val="18"/>
        </w:rPr>
        <w:t>6</w:t>
      </w:r>
      <w:r w:rsidRPr="008174F0">
        <w:rPr>
          <w:rFonts w:cs="Arial"/>
          <w:i/>
          <w:noProof/>
          <w:sz w:val="18"/>
        </w:rPr>
        <w:t xml:space="preserve">. </w:t>
      </w:r>
      <w:r>
        <w:rPr>
          <w:rFonts w:cs="Arial"/>
          <w:i/>
          <w:noProof/>
          <w:sz w:val="18"/>
        </w:rPr>
        <w:t>California Response Playbooks</w:t>
      </w:r>
    </w:p>
    <w:p w14:paraId="41D21B10" w14:textId="77777777" w:rsidR="00502A2A" w:rsidRPr="00452FF3" w:rsidRDefault="00502A2A" w:rsidP="00502A2A">
      <w:pPr>
        <w:pStyle w:val="CourseContentText"/>
        <w:spacing w:before="120"/>
        <w:ind w:left="0" w:right="-360"/>
        <w:rPr>
          <w:rFonts w:cs="Arial"/>
          <w:i/>
        </w:rPr>
      </w:pPr>
    </w:p>
    <w:p w14:paraId="50C039A5" w14:textId="6F8F7E5F" w:rsidR="00502A2A" w:rsidRPr="00502A2A" w:rsidRDefault="00502A2A" w:rsidP="00FE3BB6">
      <w:pPr>
        <w:pStyle w:val="CourseContentText"/>
        <w:spacing w:before="120"/>
        <w:ind w:left="0"/>
        <w:rPr>
          <w:rFonts w:cs="Arial"/>
          <w:b/>
        </w:rPr>
      </w:pPr>
      <w:r w:rsidRPr="00502A2A">
        <w:rPr>
          <w:rFonts w:cs="Arial"/>
          <w:b/>
        </w:rPr>
        <w:t>CRUISE SHIPS</w:t>
      </w:r>
    </w:p>
    <w:p w14:paraId="13607E00" w14:textId="6EF0070F" w:rsidR="008174F0" w:rsidRPr="00FE3BB6" w:rsidRDefault="00452FF3" w:rsidP="00FE3BB6">
      <w:pPr>
        <w:pStyle w:val="CourseContentText"/>
        <w:spacing w:before="120"/>
        <w:ind w:left="0"/>
        <w:rPr>
          <w:rFonts w:cs="Arial"/>
        </w:rPr>
      </w:pPr>
      <w:r w:rsidRPr="00FE3BB6">
        <w:rPr>
          <w:rFonts w:cs="Arial"/>
          <w:noProof/>
        </w:rPr>
        <w:drawing>
          <wp:anchor distT="0" distB="0" distL="114300" distR="114300" simplePos="0" relativeHeight="251665408" behindDoc="1" locked="0" layoutInCell="1" allowOverlap="1" wp14:anchorId="15FE61EF" wp14:editId="3A4EDD1F">
            <wp:simplePos x="0" y="0"/>
            <wp:positionH relativeFrom="column">
              <wp:posOffset>0</wp:posOffset>
            </wp:positionH>
            <wp:positionV relativeFrom="paragraph">
              <wp:posOffset>18315</wp:posOffset>
            </wp:positionV>
            <wp:extent cx="3453130" cy="1577975"/>
            <wp:effectExtent l="0" t="0" r="1270" b="0"/>
            <wp:wrapTight wrapText="bothSides">
              <wp:wrapPolygon edited="0">
                <wp:start x="0" y="0"/>
                <wp:lineTo x="0" y="21383"/>
                <wp:lineTo x="21529" y="21383"/>
                <wp:lineTo x="21529" y="0"/>
                <wp:lineTo x="0" y="0"/>
              </wp:wrapPolygon>
            </wp:wrapTight>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Cruise ships@WICO 26Feb2020.jpg"/>
                    <pic:cNvPicPr/>
                  </pic:nvPicPr>
                  <pic:blipFill rotWithShape="1">
                    <a:blip r:embed="rId25" cstate="print">
                      <a:extLst>
                        <a:ext uri="{28A0092B-C50C-407E-A947-70E740481C1C}">
                          <a14:useLocalDpi xmlns:a14="http://schemas.microsoft.com/office/drawing/2010/main" val="0"/>
                        </a:ext>
                      </a:extLst>
                    </a:blip>
                    <a:srcRect t="11821" b="21104"/>
                    <a:stretch/>
                  </pic:blipFill>
                  <pic:spPr bwMode="auto">
                    <a:xfrm>
                      <a:off x="0" y="0"/>
                      <a:ext cx="3453130" cy="157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FB1A50" w14:textId="1CC0A3FC" w:rsidR="008174F0" w:rsidRPr="008174F0" w:rsidRDefault="008174F0" w:rsidP="00FE3BB6">
      <w:pPr>
        <w:pStyle w:val="CourseContentText"/>
        <w:spacing w:before="120"/>
        <w:ind w:left="0"/>
        <w:rPr>
          <w:rFonts w:cs="Arial"/>
          <w:sz w:val="20"/>
        </w:rPr>
      </w:pPr>
    </w:p>
    <w:p w14:paraId="07C8D805" w14:textId="79F17105" w:rsidR="00452FF3" w:rsidRDefault="00452FF3" w:rsidP="00FE3BB6">
      <w:pPr>
        <w:pStyle w:val="CourseContentText"/>
        <w:spacing w:before="120"/>
        <w:ind w:left="0"/>
        <w:rPr>
          <w:rFonts w:cs="Arial"/>
          <w:i/>
          <w:sz w:val="18"/>
        </w:rPr>
      </w:pPr>
    </w:p>
    <w:p w14:paraId="2F2D3486" w14:textId="250F6169" w:rsidR="008174F0" w:rsidRPr="008174F0" w:rsidRDefault="008174F0" w:rsidP="00FE3BB6">
      <w:pPr>
        <w:pStyle w:val="CourseContentText"/>
        <w:spacing w:before="120"/>
        <w:ind w:left="0"/>
        <w:rPr>
          <w:rFonts w:cs="Arial"/>
          <w:i/>
          <w:sz w:val="18"/>
        </w:rPr>
      </w:pPr>
      <w:r w:rsidRPr="008174F0">
        <w:rPr>
          <w:rFonts w:cs="Arial"/>
          <w:i/>
          <w:sz w:val="18"/>
        </w:rPr>
        <w:t xml:space="preserve">Figure </w:t>
      </w:r>
      <w:r w:rsidR="00502A2A">
        <w:rPr>
          <w:rFonts w:cs="Arial"/>
          <w:i/>
          <w:sz w:val="18"/>
        </w:rPr>
        <w:t>7</w:t>
      </w:r>
      <w:r w:rsidRPr="008174F0">
        <w:rPr>
          <w:rFonts w:cs="Arial"/>
          <w:i/>
          <w:sz w:val="18"/>
        </w:rPr>
        <w:t xml:space="preserve">. Cruise ships docking at </w:t>
      </w:r>
      <w:proofErr w:type="spellStart"/>
      <w:r w:rsidRPr="008174F0">
        <w:rPr>
          <w:rFonts w:cs="Arial"/>
          <w:i/>
          <w:sz w:val="18"/>
        </w:rPr>
        <w:t>Havensight</w:t>
      </w:r>
      <w:proofErr w:type="spellEnd"/>
      <w:r w:rsidRPr="008174F0">
        <w:rPr>
          <w:rFonts w:cs="Arial"/>
          <w:i/>
          <w:sz w:val="18"/>
        </w:rPr>
        <w:t xml:space="preserve"> dock, US Virgin Islands.  Each ship can carry over 5000 guests when all berths are full, meaning in this photo that over 15,000 tourist, plus their crews.  (Photo credit:  R. Watlington, Feb 2020)</w:t>
      </w:r>
    </w:p>
    <w:p w14:paraId="1275A9C5" w14:textId="77777777" w:rsidR="008174F0" w:rsidRPr="00452FF3" w:rsidRDefault="008174F0" w:rsidP="00FE3BB6">
      <w:pPr>
        <w:pStyle w:val="CourseContentText"/>
        <w:spacing w:before="120"/>
        <w:ind w:left="0"/>
        <w:rPr>
          <w:rFonts w:cs="Arial"/>
          <w:sz w:val="11"/>
        </w:rPr>
      </w:pPr>
    </w:p>
    <w:p w14:paraId="302487A1" w14:textId="3F421C42" w:rsidR="008174F0" w:rsidRPr="00FE3BB6" w:rsidRDefault="008174F0" w:rsidP="00FE3BB6">
      <w:pPr>
        <w:pStyle w:val="CourseContentText"/>
        <w:spacing w:before="120"/>
        <w:ind w:left="0"/>
        <w:rPr>
          <w:rFonts w:cs="Arial"/>
          <w:szCs w:val="22"/>
        </w:rPr>
      </w:pPr>
      <w:r w:rsidRPr="00FE3BB6">
        <w:rPr>
          <w:rFonts w:cs="Arial"/>
          <w:szCs w:val="22"/>
        </w:rPr>
        <w:t>In the US Virgin Islands, Puerto Rico, Florida, Hawaii, and other vacation destinations, many cruise ships visit throughout the year for short stays.  These ships often accommodate thousands of passengers (and their crew), who are on vacation and likely will not know about the local tsunami hazard, nor have tsunami safety or evacuation on their minds.  Thus, cruise ships are especially vulnerable.  Pre-tsunami response and evacuation planning are essential to mitigate the tsunami hazard.</w:t>
      </w:r>
    </w:p>
    <w:p w14:paraId="0A1FCFCC" w14:textId="6A5A3805" w:rsidR="008174F0" w:rsidRPr="00FE3BB6" w:rsidRDefault="008174F0" w:rsidP="00FE3BB6">
      <w:pPr>
        <w:pStyle w:val="CourseContentText"/>
        <w:spacing w:before="120"/>
        <w:ind w:left="0"/>
        <w:rPr>
          <w:rFonts w:cs="Arial"/>
          <w:szCs w:val="22"/>
        </w:rPr>
      </w:pPr>
      <w:r w:rsidRPr="00FE3BB6">
        <w:rPr>
          <w:rFonts w:cs="Arial"/>
          <w:szCs w:val="22"/>
        </w:rPr>
        <w:t>If a local tsunami hits, the reality is that many will be caught unaware and not know what to do, and this could result in many casualties.</w:t>
      </w:r>
    </w:p>
    <w:p w14:paraId="7D4A8B06" w14:textId="6642E458" w:rsidR="008174F0" w:rsidRPr="00556CE7" w:rsidRDefault="008174F0" w:rsidP="00556CE7">
      <w:pPr>
        <w:pStyle w:val="CourseContentText"/>
        <w:spacing w:before="120"/>
        <w:ind w:left="0"/>
        <w:rPr>
          <w:rFonts w:cs="Arial"/>
          <w:szCs w:val="22"/>
        </w:rPr>
      </w:pPr>
      <w:r w:rsidRPr="00FE3BB6">
        <w:rPr>
          <w:rFonts w:cs="Arial"/>
          <w:szCs w:val="22"/>
        </w:rPr>
        <w:t xml:space="preserve">If a distant tsunami warning is issued, and the cruise ship has a tsunami evacuation plan, then there could be time for safe tsunami evacuation by its passengers (such as onto land or by staying on the boat) and also for evacuation of the ship to sea.  </w:t>
      </w:r>
    </w:p>
    <w:sectPr w:rsidR="008174F0" w:rsidRPr="00556CE7" w:rsidSect="00502A2A">
      <w:headerReference w:type="default" r:id="rId26"/>
      <w:footerReference w:type="even" r:id="rId27"/>
      <w:footerReference w:type="default" r:id="rId28"/>
      <w:headerReference w:type="first" r:id="rId29"/>
      <w:footerReference w:type="first" r:id="rId30"/>
      <w:pgSz w:w="12240" w:h="15840"/>
      <w:pgMar w:top="1296" w:right="1440" w:bottom="1152"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66009" w14:textId="77777777" w:rsidR="00C80F93" w:rsidRDefault="00C80F93" w:rsidP="008174F0">
      <w:r>
        <w:separator/>
      </w:r>
    </w:p>
  </w:endnote>
  <w:endnote w:type="continuationSeparator" w:id="0">
    <w:p w14:paraId="686223CD" w14:textId="77777777" w:rsidR="00C80F93" w:rsidRDefault="00C80F93" w:rsidP="00817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AG Rounded Std Thin">
    <w:altName w:val="Calibri"/>
    <w:panose1 w:val="020B0604020202020204"/>
    <w:charset w:val="00"/>
    <w:family w:val="swiss"/>
    <w:notTrueType/>
    <w:pitch w:val="variable"/>
    <w:sig w:usb0="800000AF" w:usb1="4000204A" w:usb2="00000000" w:usb3="00000000" w:csb0="00000001" w:csb1="00000000"/>
  </w:font>
  <w:font w:name="VAG Rounded Std Light">
    <w:altName w:val="Calibri"/>
    <w:panose1 w:val="020B0604020202020204"/>
    <w:charset w:val="00"/>
    <w:family w:val="swiss"/>
    <w:notTrueType/>
    <w:pitch w:val="variable"/>
    <w:sig w:usb0="800000AF" w:usb1="4000204A" w:usb2="00000000" w:usb3="00000000" w:csb0="00000001" w:csb1="00000000"/>
  </w:font>
  <w:font w:name="VAG Rounded Std Bold">
    <w:altName w:val="Calibri"/>
    <w:panose1 w:val="020B060402020202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0888116"/>
      <w:docPartObj>
        <w:docPartGallery w:val="Page Numbers (Bottom of Page)"/>
        <w:docPartUnique/>
      </w:docPartObj>
    </w:sdtPr>
    <w:sdtContent>
      <w:p w14:paraId="2E0C3993" w14:textId="500DE60C" w:rsidR="00E34416" w:rsidRDefault="00E34416" w:rsidP="003D289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121715" w14:textId="77777777" w:rsidR="00E34416" w:rsidRDefault="00E344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cstheme="minorHAnsi"/>
        <w:i/>
        <w:sz w:val="20"/>
        <w:szCs w:val="20"/>
      </w:rPr>
      <w:id w:val="-778022528"/>
      <w:docPartObj>
        <w:docPartGallery w:val="Page Numbers (Bottom of Page)"/>
        <w:docPartUnique/>
      </w:docPartObj>
    </w:sdtPr>
    <w:sdtContent>
      <w:p w14:paraId="14CB539F" w14:textId="4421ED5E" w:rsidR="00E34416" w:rsidRPr="00E34416" w:rsidRDefault="00E34416" w:rsidP="00E34416">
        <w:pPr>
          <w:pStyle w:val="Footer"/>
          <w:framePr w:wrap="none" w:vAnchor="text" w:hAnchor="margin" w:xAlign="center" w:y="1"/>
          <w:rPr>
            <w:rStyle w:val="PageNumber"/>
            <w:rFonts w:cstheme="minorHAnsi"/>
            <w:i/>
            <w:sz w:val="20"/>
            <w:szCs w:val="20"/>
          </w:rPr>
        </w:pPr>
        <w:r w:rsidRPr="00E34416">
          <w:rPr>
            <w:rStyle w:val="PageNumber"/>
            <w:rFonts w:cstheme="minorHAnsi"/>
            <w:i/>
            <w:sz w:val="20"/>
            <w:szCs w:val="20"/>
          </w:rPr>
          <w:fldChar w:fldCharType="begin"/>
        </w:r>
        <w:r w:rsidRPr="00E34416">
          <w:rPr>
            <w:rStyle w:val="PageNumber"/>
            <w:rFonts w:cstheme="minorHAnsi"/>
            <w:i/>
            <w:sz w:val="20"/>
            <w:szCs w:val="20"/>
          </w:rPr>
          <w:instrText xml:space="preserve"> PAGE </w:instrText>
        </w:r>
        <w:r w:rsidRPr="00E34416">
          <w:rPr>
            <w:rStyle w:val="PageNumber"/>
            <w:rFonts w:cstheme="minorHAnsi"/>
            <w:i/>
            <w:sz w:val="20"/>
            <w:szCs w:val="20"/>
          </w:rPr>
          <w:fldChar w:fldCharType="separate"/>
        </w:r>
        <w:r w:rsidRPr="00E34416">
          <w:rPr>
            <w:rStyle w:val="PageNumber"/>
            <w:rFonts w:cstheme="minorHAnsi"/>
            <w:i/>
            <w:sz w:val="20"/>
            <w:szCs w:val="20"/>
          </w:rPr>
          <w:t>2</w:t>
        </w:r>
        <w:r w:rsidRPr="00E34416">
          <w:rPr>
            <w:rStyle w:val="PageNumber"/>
            <w:rFonts w:cstheme="minorHAnsi"/>
            <w:i/>
            <w:sz w:val="20"/>
            <w:szCs w:val="20"/>
          </w:rPr>
          <w:fldChar w:fldCharType="end"/>
        </w:r>
        <w:r w:rsidRPr="00E34416">
          <w:rPr>
            <w:rStyle w:val="PageNumber"/>
            <w:rFonts w:cstheme="minorHAnsi"/>
            <w:i/>
            <w:sz w:val="20"/>
            <w:szCs w:val="20"/>
          </w:rPr>
          <w:t xml:space="preserve">, ITIC, </w:t>
        </w:r>
        <w:r w:rsidR="00991FEF">
          <w:rPr>
            <w:rStyle w:val="PageNumber"/>
            <w:rFonts w:cstheme="minorHAnsi"/>
            <w:i/>
            <w:sz w:val="20"/>
            <w:szCs w:val="20"/>
          </w:rPr>
          <w:t>August</w:t>
        </w:r>
        <w:r w:rsidRPr="00E34416">
          <w:rPr>
            <w:rStyle w:val="PageNumber"/>
            <w:rFonts w:cstheme="minorHAnsi"/>
            <w:i/>
            <w:sz w:val="20"/>
            <w:szCs w:val="20"/>
          </w:rPr>
          <w:t xml:space="preserve"> 202</w:t>
        </w:r>
        <w:r w:rsidR="00991FEF">
          <w:rPr>
            <w:rStyle w:val="PageNumber"/>
            <w:rFonts w:cstheme="minorHAnsi"/>
            <w:i/>
            <w:sz w:val="20"/>
            <w:szCs w:val="20"/>
          </w:rPr>
          <w:t>4</w:t>
        </w:r>
      </w:p>
    </w:sdtContent>
  </w:sdt>
  <w:p w14:paraId="4774AFD6" w14:textId="0793618E" w:rsidR="00E34416" w:rsidRPr="00E34416" w:rsidRDefault="00E34416" w:rsidP="00E34416">
    <w:pPr>
      <w:pStyle w:val="Footer"/>
      <w:tabs>
        <w:tab w:val="clear" w:pos="9360"/>
      </w:tabs>
      <w:rPr>
        <w:rFonts w:cstheme="minorHAnsi"/>
        <w:i/>
        <w:sz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cstheme="minorHAnsi"/>
        <w:i/>
        <w:sz w:val="20"/>
        <w:szCs w:val="20"/>
      </w:rPr>
      <w:id w:val="1606459023"/>
      <w:docPartObj>
        <w:docPartGallery w:val="Page Numbers (Bottom of Page)"/>
        <w:docPartUnique/>
      </w:docPartObj>
    </w:sdtPr>
    <w:sdtContent>
      <w:p w14:paraId="1BDDA221" w14:textId="1BDAA130" w:rsidR="00E34416" w:rsidRPr="00E34416" w:rsidRDefault="00E34416" w:rsidP="00E34416">
        <w:pPr>
          <w:pStyle w:val="Footer"/>
          <w:jc w:val="center"/>
          <w:rPr>
            <w:rStyle w:val="PageNumber"/>
            <w:rFonts w:cstheme="minorHAnsi"/>
            <w:i/>
            <w:sz w:val="20"/>
            <w:szCs w:val="20"/>
          </w:rPr>
        </w:pPr>
        <w:r w:rsidRPr="00E34416">
          <w:rPr>
            <w:rStyle w:val="PageNumber"/>
            <w:rFonts w:cstheme="minorHAnsi"/>
            <w:i/>
            <w:sz w:val="20"/>
            <w:szCs w:val="20"/>
          </w:rPr>
          <w:fldChar w:fldCharType="begin"/>
        </w:r>
        <w:r w:rsidRPr="00E34416">
          <w:rPr>
            <w:rStyle w:val="PageNumber"/>
            <w:rFonts w:cstheme="minorHAnsi"/>
            <w:i/>
            <w:sz w:val="20"/>
            <w:szCs w:val="20"/>
          </w:rPr>
          <w:instrText xml:space="preserve"> PAGE </w:instrText>
        </w:r>
        <w:r w:rsidRPr="00E34416">
          <w:rPr>
            <w:rStyle w:val="PageNumber"/>
            <w:rFonts w:cstheme="minorHAnsi"/>
            <w:i/>
            <w:sz w:val="20"/>
            <w:szCs w:val="20"/>
          </w:rPr>
          <w:fldChar w:fldCharType="separate"/>
        </w:r>
        <w:r>
          <w:rPr>
            <w:rStyle w:val="PageNumber"/>
            <w:rFonts w:cstheme="minorHAnsi"/>
            <w:i/>
            <w:sz w:val="20"/>
            <w:szCs w:val="20"/>
          </w:rPr>
          <w:t>2</w:t>
        </w:r>
        <w:r w:rsidRPr="00E34416">
          <w:rPr>
            <w:rStyle w:val="PageNumber"/>
            <w:rFonts w:cstheme="minorHAnsi"/>
            <w:i/>
            <w:sz w:val="20"/>
            <w:szCs w:val="20"/>
          </w:rPr>
          <w:fldChar w:fldCharType="end"/>
        </w:r>
        <w:r w:rsidRPr="00E34416">
          <w:rPr>
            <w:rStyle w:val="PageNumber"/>
            <w:rFonts w:cstheme="minorHAnsi"/>
            <w:i/>
            <w:sz w:val="20"/>
            <w:szCs w:val="20"/>
          </w:rPr>
          <w:t>, ITIC</w:t>
        </w:r>
        <w:r w:rsidR="00E800C3">
          <w:rPr>
            <w:rStyle w:val="PageNumber"/>
            <w:rFonts w:cstheme="minorHAnsi"/>
            <w:i/>
            <w:sz w:val="20"/>
            <w:szCs w:val="20"/>
          </w:rPr>
          <w:t xml:space="preserve"> August 2024</w:t>
        </w:r>
      </w:p>
    </w:sdtContent>
  </w:sdt>
  <w:p w14:paraId="54BCF4DE" w14:textId="77777777" w:rsidR="00E34416" w:rsidRDefault="00E34416" w:rsidP="00E3441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F7A31" w14:textId="77777777" w:rsidR="00C80F93" w:rsidRDefault="00C80F93" w:rsidP="008174F0">
      <w:r>
        <w:separator/>
      </w:r>
    </w:p>
  </w:footnote>
  <w:footnote w:type="continuationSeparator" w:id="0">
    <w:p w14:paraId="12799AD5" w14:textId="77777777" w:rsidR="00C80F93" w:rsidRDefault="00C80F93" w:rsidP="008174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D2CF3" w14:textId="2596AD65" w:rsidR="008174F0" w:rsidRDefault="008174F0" w:rsidP="008174F0">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73CF1" w14:textId="09F90E9E" w:rsidR="008174F0" w:rsidRDefault="00E800C3" w:rsidP="008174F0">
    <w:pPr>
      <w:pStyle w:val="Header"/>
      <w:jc w:val="center"/>
    </w:pPr>
    <w:r>
      <w:rPr>
        <w:rFonts w:ascii="VAG Rounded Std Bold" w:hAnsi="VAG Rounded Std Bold"/>
        <w:b/>
        <w:smallCaps/>
        <w:noProof/>
        <w:color w:val="0000FF"/>
        <w:sz w:val="32"/>
        <w:szCs w:val="30"/>
      </w:rPr>
      <w:drawing>
        <wp:inline distT="0" distB="0" distL="0" distR="0" wp14:anchorId="5490946B" wp14:editId="48302DCC">
          <wp:extent cx="3244907" cy="9256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3275788" cy="93444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4F0"/>
    <w:rsid w:val="00224FBA"/>
    <w:rsid w:val="00395231"/>
    <w:rsid w:val="00452FF3"/>
    <w:rsid w:val="00486406"/>
    <w:rsid w:val="00502A2A"/>
    <w:rsid w:val="0055375A"/>
    <w:rsid w:val="00556CE7"/>
    <w:rsid w:val="00802CDC"/>
    <w:rsid w:val="008174F0"/>
    <w:rsid w:val="00912EEA"/>
    <w:rsid w:val="00991FEF"/>
    <w:rsid w:val="009C501F"/>
    <w:rsid w:val="00A26751"/>
    <w:rsid w:val="00C80F93"/>
    <w:rsid w:val="00E34416"/>
    <w:rsid w:val="00E800C3"/>
    <w:rsid w:val="00FE2405"/>
    <w:rsid w:val="00FE3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A7581"/>
  <w15:chartTrackingRefBased/>
  <w15:docId w15:val="{83FA1A12-C05D-EB4D-A581-DB973705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1FE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8174F0"/>
    <w:pPr>
      <w:keepNext/>
      <w:autoSpaceDE w:val="0"/>
      <w:autoSpaceDN w:val="0"/>
      <w:adjustRightInd w:val="0"/>
      <w:outlineLvl w:val="1"/>
    </w:pPr>
    <w:rPr>
      <w:rFonts w:ascii="Arial" w:eastAsia="Times New Roman" w:hAnsi="Arial" w:cs="Arial"/>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nt">
    <w:name w:val="Hint"/>
    <w:basedOn w:val="Normal"/>
    <w:qFormat/>
    <w:rsid w:val="008174F0"/>
    <w:pPr>
      <w:spacing w:before="60" w:after="60"/>
      <w:ind w:left="2880"/>
    </w:pPr>
    <w:rPr>
      <w:rFonts w:ascii="Arial" w:eastAsia="Times New Roman" w:hAnsi="Arial" w:cs="Times New Roman"/>
      <w:sz w:val="22"/>
    </w:rPr>
  </w:style>
  <w:style w:type="paragraph" w:customStyle="1" w:styleId="CourseContentText">
    <w:name w:val="Course Content Text"/>
    <w:basedOn w:val="Normal"/>
    <w:link w:val="CourseContentTextChar"/>
    <w:qFormat/>
    <w:rsid w:val="008174F0"/>
    <w:pPr>
      <w:spacing w:before="60" w:after="60"/>
      <w:ind w:left="2160"/>
    </w:pPr>
    <w:rPr>
      <w:rFonts w:ascii="Arial" w:eastAsia="Times New Roman" w:hAnsi="Arial" w:cs="Times New Roman"/>
      <w:sz w:val="22"/>
    </w:rPr>
  </w:style>
  <w:style w:type="character" w:customStyle="1" w:styleId="CourseContentTextChar">
    <w:name w:val="Course Content Text Char"/>
    <w:link w:val="CourseContentText"/>
    <w:locked/>
    <w:rsid w:val="008174F0"/>
    <w:rPr>
      <w:rFonts w:ascii="Arial" w:eastAsia="Times New Roman" w:hAnsi="Arial" w:cs="Times New Roman"/>
      <w:sz w:val="22"/>
    </w:rPr>
  </w:style>
  <w:style w:type="character" w:styleId="Hyperlink">
    <w:name w:val="Hyperlink"/>
    <w:rsid w:val="008174F0"/>
    <w:rPr>
      <w:color w:val="0000FF"/>
      <w:u w:val="single"/>
    </w:rPr>
  </w:style>
  <w:style w:type="character" w:customStyle="1" w:styleId="Heading2Char">
    <w:name w:val="Heading 2 Char"/>
    <w:basedOn w:val="DefaultParagraphFont"/>
    <w:link w:val="Heading2"/>
    <w:rsid w:val="008174F0"/>
    <w:rPr>
      <w:rFonts w:ascii="Arial" w:eastAsia="Times New Roman" w:hAnsi="Arial" w:cs="Arial"/>
      <w:b/>
      <w:bCs/>
      <w:sz w:val="28"/>
      <w:szCs w:val="28"/>
    </w:rPr>
  </w:style>
  <w:style w:type="paragraph" w:styleId="BodyText2">
    <w:name w:val="Body Text 2"/>
    <w:basedOn w:val="Normal"/>
    <w:link w:val="BodyText2Char"/>
    <w:rsid w:val="008174F0"/>
    <w:pPr>
      <w:autoSpaceDE w:val="0"/>
      <w:autoSpaceDN w:val="0"/>
      <w:adjustRightInd w:val="0"/>
      <w:jc w:val="center"/>
    </w:pPr>
    <w:rPr>
      <w:rFonts w:ascii="Times New Roman" w:eastAsia="Times New Roman" w:hAnsi="Times New Roman" w:cs="Times New Roman"/>
      <w:i/>
      <w:iCs/>
      <w:sz w:val="20"/>
      <w:szCs w:val="20"/>
    </w:rPr>
  </w:style>
  <w:style w:type="character" w:customStyle="1" w:styleId="BodyText2Char">
    <w:name w:val="Body Text 2 Char"/>
    <w:basedOn w:val="DefaultParagraphFont"/>
    <w:link w:val="BodyText2"/>
    <w:rsid w:val="008174F0"/>
    <w:rPr>
      <w:rFonts w:ascii="Times New Roman" w:eastAsia="Times New Roman" w:hAnsi="Times New Roman" w:cs="Times New Roman"/>
      <w:i/>
      <w:iCs/>
      <w:sz w:val="20"/>
      <w:szCs w:val="20"/>
    </w:rPr>
  </w:style>
  <w:style w:type="character" w:styleId="UnresolvedMention">
    <w:name w:val="Unresolved Mention"/>
    <w:basedOn w:val="DefaultParagraphFont"/>
    <w:uiPriority w:val="99"/>
    <w:semiHidden/>
    <w:unhideWhenUsed/>
    <w:rsid w:val="008174F0"/>
    <w:rPr>
      <w:color w:val="605E5C"/>
      <w:shd w:val="clear" w:color="auto" w:fill="E1DFDD"/>
    </w:rPr>
  </w:style>
  <w:style w:type="paragraph" w:styleId="Header">
    <w:name w:val="header"/>
    <w:basedOn w:val="Normal"/>
    <w:link w:val="HeaderChar"/>
    <w:uiPriority w:val="99"/>
    <w:unhideWhenUsed/>
    <w:rsid w:val="008174F0"/>
    <w:pPr>
      <w:tabs>
        <w:tab w:val="center" w:pos="4680"/>
        <w:tab w:val="right" w:pos="9360"/>
      </w:tabs>
    </w:pPr>
  </w:style>
  <w:style w:type="character" w:customStyle="1" w:styleId="HeaderChar">
    <w:name w:val="Header Char"/>
    <w:basedOn w:val="DefaultParagraphFont"/>
    <w:link w:val="Header"/>
    <w:uiPriority w:val="99"/>
    <w:rsid w:val="008174F0"/>
  </w:style>
  <w:style w:type="paragraph" w:styleId="Footer">
    <w:name w:val="footer"/>
    <w:basedOn w:val="Normal"/>
    <w:link w:val="FooterChar"/>
    <w:uiPriority w:val="99"/>
    <w:unhideWhenUsed/>
    <w:rsid w:val="008174F0"/>
    <w:pPr>
      <w:tabs>
        <w:tab w:val="center" w:pos="4680"/>
        <w:tab w:val="right" w:pos="9360"/>
      </w:tabs>
    </w:pPr>
  </w:style>
  <w:style w:type="character" w:customStyle="1" w:styleId="FooterChar">
    <w:name w:val="Footer Char"/>
    <w:basedOn w:val="DefaultParagraphFont"/>
    <w:link w:val="Footer"/>
    <w:uiPriority w:val="99"/>
    <w:rsid w:val="008174F0"/>
  </w:style>
  <w:style w:type="character" w:styleId="PageNumber">
    <w:name w:val="page number"/>
    <w:basedOn w:val="DefaultParagraphFont"/>
    <w:uiPriority w:val="99"/>
    <w:semiHidden/>
    <w:unhideWhenUsed/>
    <w:rsid w:val="00E34416"/>
  </w:style>
  <w:style w:type="character" w:styleId="FollowedHyperlink">
    <w:name w:val="FollowedHyperlink"/>
    <w:basedOn w:val="DefaultParagraphFont"/>
    <w:uiPriority w:val="99"/>
    <w:semiHidden/>
    <w:unhideWhenUsed/>
    <w:rsid w:val="00FE2405"/>
    <w:rPr>
      <w:color w:val="954F72" w:themeColor="followedHyperlink"/>
      <w:u w:val="single"/>
    </w:rPr>
  </w:style>
  <w:style w:type="character" w:customStyle="1" w:styleId="Heading1Char">
    <w:name w:val="Heading 1 Char"/>
    <w:basedOn w:val="DefaultParagraphFont"/>
    <w:link w:val="Heading1"/>
    <w:uiPriority w:val="9"/>
    <w:rsid w:val="00991FEF"/>
    <w:rPr>
      <w:rFonts w:asciiTheme="majorHAnsi" w:eastAsiaTheme="majorEastAsia" w:hAnsiTheme="majorHAnsi" w:cstheme="majorBidi"/>
      <w:color w:val="2F5496" w:themeColor="accent1" w:themeShade="BF"/>
      <w:sz w:val="32"/>
      <w:szCs w:val="32"/>
    </w:rPr>
  </w:style>
  <w:style w:type="paragraph" w:customStyle="1" w:styleId="sc-summary">
    <w:name w:val="sc-summary"/>
    <w:basedOn w:val="Normal"/>
    <w:rsid w:val="00991FEF"/>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8750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image" Target="media/image10.emf"/><Relationship Id="rId7" Type="http://schemas.openxmlformats.org/officeDocument/2006/relationships/hyperlink" Target="https://arcg.is/0DeHrG" TargetMode="External"/><Relationship Id="rId12" Type="http://schemas.openxmlformats.org/officeDocument/2006/relationships/image" Target="media/image4.jpeg"/><Relationship Id="rId17" Type="http://schemas.openxmlformats.org/officeDocument/2006/relationships/hyperlink" Target="https://nws.weather.gov/nthmp/documents/GuidanceforSafeMinimumOffshoreDepthforVesselMovement.pdf" TargetMode="External"/><Relationship Id="rId25"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hyperlink" Target="http://files.hawaii.gov/dlnr/dobor/contacts/Plan-TSUNAMI.pdf" TargetMode="External"/><Relationship Id="rId29" Type="http://schemas.openxmlformats.org/officeDocument/2006/relationships/header" Target="header2.xml"/><Relationship Id="rId1" Type="http://schemas.openxmlformats.org/officeDocument/2006/relationships/styles" Target="styles.xml"/><Relationship Id="rId6" Type="http://schemas.openxmlformats.org/officeDocument/2006/relationships/hyperlink" Target="http://www.tsunamiwave.info" TargetMode="Externa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hyperlink" Target="https://www.oregongeology.org/pubs/tsubrochures/TsunamiBrochureMaritime.pdf" TargetMode="External"/><Relationship Id="rId28" Type="http://schemas.openxmlformats.org/officeDocument/2006/relationships/footer" Target="footer2.xml"/><Relationship Id="rId10" Type="http://schemas.microsoft.com/office/2007/relationships/hdphoto" Target="media/hdphoto1.wdp"/><Relationship Id="rId19" Type="http://schemas.openxmlformats.org/officeDocument/2006/relationships/hyperlink" Target="https://nws.weather.gov/nthmp/2014mesmms/HawaiiBoaters.pdf" TargetMode="External"/><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TotalTime>
  <Pages>5</Pages>
  <Words>1260</Words>
  <Characters>7188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ITIC</Company>
  <LinksUpToDate>false</LinksUpToDate>
  <CharactersWithSpaces>8432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Kong</dc:creator>
  <cp:keywords/>
  <dc:description/>
  <cp:lastModifiedBy>Laura Kong</cp:lastModifiedBy>
  <cp:revision>7</cp:revision>
  <cp:lastPrinted>2021-02-22T03:13:00Z</cp:lastPrinted>
  <dcterms:created xsi:type="dcterms:W3CDTF">2021-02-22T01:45:00Z</dcterms:created>
  <dcterms:modified xsi:type="dcterms:W3CDTF">2024-09-01T18:11:00Z</dcterms:modified>
</cp:coreProperties>
</file>