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6521"/>
        <w:gridCol w:w="3969"/>
      </w:tblGrid>
      <w:tr w:rsidR="007530B6" w:rsidRPr="00E05DB3" w14:paraId="45ED29FE" w14:textId="77777777" w:rsidTr="004941D2">
        <w:tc>
          <w:tcPr>
            <w:tcW w:w="6521" w:type="dxa"/>
          </w:tcPr>
          <w:p w14:paraId="69E9182C" w14:textId="2EA5836E" w:rsidR="007530B6" w:rsidRPr="00E05DB3" w:rsidRDefault="007530B6" w:rsidP="00AC5ABE">
            <w:pPr>
              <w:spacing w:after="120"/>
              <w:rPr>
                <w:rFonts w:ascii="Arial" w:hAnsi="Arial"/>
                <w:szCs w:val="24"/>
                <w:lang w:val="ru-RU"/>
              </w:rPr>
            </w:pPr>
            <w:r w:rsidRPr="00E05DB3">
              <w:rPr>
                <w:rFonts w:ascii="Arial" w:hAnsi="Arial"/>
                <w:szCs w:val="24"/>
                <w:lang w:val="ru-RU"/>
              </w:rPr>
              <w:fldChar w:fldCharType="begin"/>
            </w:r>
            <w:r w:rsidRPr="00E05DB3">
              <w:rPr>
                <w:rFonts w:ascii="Arial" w:hAnsi="Arial"/>
                <w:szCs w:val="24"/>
                <w:lang w:val="ru-RU"/>
              </w:rPr>
              <w:instrText xml:space="preserve"> ASK PtN "Please type part number (for headers)" \* MERGEFORMAT </w:instrText>
            </w:r>
            <w:r w:rsidRPr="00E05DB3">
              <w:rPr>
                <w:rFonts w:ascii="Arial" w:hAnsi="Arial"/>
                <w:szCs w:val="24"/>
                <w:lang w:val="ru-RU"/>
              </w:rPr>
              <w:fldChar w:fldCharType="separate"/>
            </w:r>
            <w:bookmarkStart w:id="0" w:name="PtN"/>
            <w:r w:rsidRPr="00E05DB3">
              <w:rPr>
                <w:rFonts w:ascii="Arial" w:hAnsi="Arial"/>
                <w:szCs w:val="24"/>
                <w:lang w:val="ru-RU"/>
              </w:rPr>
              <w:t>1</w:t>
            </w:r>
            <w:bookmarkEnd w:id="0"/>
            <w:r w:rsidRPr="00E05DB3">
              <w:rPr>
                <w:rFonts w:ascii="Arial" w:hAnsi="Arial"/>
                <w:szCs w:val="24"/>
                <w:lang w:val="ru-RU"/>
              </w:rPr>
              <w:fldChar w:fldCharType="end"/>
            </w:r>
            <w:r w:rsidR="009F493C" w:rsidRPr="00E05DB3">
              <w:rPr>
                <w:rFonts w:ascii="Arial" w:hAnsi="Arial"/>
                <w:szCs w:val="24"/>
                <w:lang w:val="ru-RU"/>
              </w:rPr>
              <w:t>Рассылается по списку</w:t>
            </w:r>
          </w:p>
          <w:p w14:paraId="2E514F5D" w14:textId="1ADD1852" w:rsidR="007530B6" w:rsidRPr="00E05DB3" w:rsidRDefault="00AC5ABE" w:rsidP="00A97627">
            <w:pPr>
              <w:rPr>
                <w:rFonts w:ascii="Arial" w:hAnsi="Arial"/>
                <w:szCs w:val="24"/>
                <w:lang w:val="ru-RU"/>
              </w:rPr>
            </w:pPr>
            <w:r w:rsidRPr="00E05DB3">
              <w:rPr>
                <w:rFonts w:ascii="Arial" w:hAnsi="Arial"/>
                <w:noProof/>
                <w:szCs w:val="24"/>
                <w:lang w:val="ru-RU"/>
              </w:rPr>
              <w:drawing>
                <wp:inline distT="0" distB="0" distL="0" distR="0" wp14:anchorId="23340558" wp14:editId="78C43974">
                  <wp:extent cx="1579245" cy="1048385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005E7489" w14:textId="3E7AF1E7" w:rsidR="007530B6" w:rsidRPr="00E05DB3" w:rsidRDefault="006A55A6" w:rsidP="004941D2">
            <w:pPr>
              <w:ind w:left="-104"/>
              <w:rPr>
                <w:rFonts w:ascii="Arial" w:hAnsi="Arial"/>
                <w:b/>
                <w:szCs w:val="24"/>
                <w:lang w:val="ru-RU"/>
              </w:rPr>
            </w:pPr>
            <w:r w:rsidRPr="00E05DB3">
              <w:rPr>
                <w:rFonts w:ascii="Arial" w:hAnsi="Arial"/>
                <w:b/>
                <w:szCs w:val="24"/>
                <w:lang w:val="ru-RU"/>
              </w:rPr>
              <w:t>IOC/</w:t>
            </w:r>
            <w:r w:rsidR="00596681" w:rsidRPr="00E05DB3">
              <w:rPr>
                <w:rFonts w:ascii="Arial" w:hAnsi="Arial"/>
                <w:b/>
                <w:szCs w:val="24"/>
                <w:lang w:val="ru-RU"/>
              </w:rPr>
              <w:t>EC-5</w:t>
            </w:r>
            <w:r w:rsidR="00C71779" w:rsidRPr="00E05DB3">
              <w:rPr>
                <w:rFonts w:ascii="Arial" w:hAnsi="Arial"/>
                <w:b/>
                <w:szCs w:val="24"/>
                <w:lang w:val="ru-RU"/>
              </w:rPr>
              <w:t>7</w:t>
            </w:r>
            <w:r w:rsidR="007530B6" w:rsidRPr="00E05DB3">
              <w:rPr>
                <w:rFonts w:ascii="Arial" w:hAnsi="Arial"/>
                <w:b/>
                <w:szCs w:val="24"/>
                <w:lang w:val="ru-RU"/>
              </w:rPr>
              <w:t>/</w:t>
            </w:r>
            <w:proofErr w:type="spellStart"/>
            <w:r w:rsidR="00CC3CF7" w:rsidRPr="00E05DB3">
              <w:rPr>
                <w:rFonts w:ascii="Arial" w:hAnsi="Arial"/>
                <w:b/>
                <w:szCs w:val="24"/>
                <w:lang w:val="ru-RU"/>
              </w:rPr>
              <w:t>Decisions</w:t>
            </w:r>
            <w:proofErr w:type="spellEnd"/>
          </w:p>
          <w:p w14:paraId="42A965C4" w14:textId="02CA86B6" w:rsidR="007530B6" w:rsidRPr="00E05DB3" w:rsidRDefault="009F493C" w:rsidP="004941D2">
            <w:pPr>
              <w:ind w:left="-104"/>
              <w:rPr>
                <w:rFonts w:ascii="Arial" w:hAnsi="Arial"/>
                <w:szCs w:val="24"/>
                <w:lang w:val="ru-RU"/>
              </w:rPr>
            </w:pPr>
            <w:r w:rsidRPr="00E05DB3">
              <w:rPr>
                <w:rFonts w:ascii="Arial" w:hAnsi="Arial"/>
                <w:szCs w:val="24"/>
                <w:lang w:val="ru-RU"/>
              </w:rPr>
              <w:t>Париж</w:t>
            </w:r>
            <w:r w:rsidR="007530B6" w:rsidRPr="00E05DB3">
              <w:rPr>
                <w:rFonts w:ascii="Arial" w:hAnsi="Arial"/>
                <w:szCs w:val="24"/>
                <w:lang w:val="ru-RU"/>
              </w:rPr>
              <w:t xml:space="preserve">, </w:t>
            </w:r>
            <w:r w:rsidR="000D5551" w:rsidRPr="00E05DB3">
              <w:rPr>
                <w:rFonts w:ascii="Arial" w:hAnsi="Arial"/>
                <w:szCs w:val="24"/>
                <w:lang w:val="ru-RU"/>
              </w:rPr>
              <w:t>2</w:t>
            </w:r>
            <w:r w:rsidR="00BC1E4D" w:rsidRPr="00E05DB3">
              <w:rPr>
                <w:rFonts w:ascii="Arial" w:hAnsi="Arial"/>
                <w:szCs w:val="24"/>
                <w:lang w:val="ru-RU"/>
              </w:rPr>
              <w:t>8</w:t>
            </w:r>
            <w:r w:rsidR="00B96BD3" w:rsidRPr="00E05DB3">
              <w:rPr>
                <w:rFonts w:ascii="Arial" w:hAnsi="Arial"/>
                <w:szCs w:val="24"/>
                <w:lang w:val="ru-RU"/>
              </w:rPr>
              <w:t xml:space="preserve"> июня 202</w:t>
            </w:r>
            <w:r w:rsidR="00C71779" w:rsidRPr="00E05DB3">
              <w:rPr>
                <w:rFonts w:ascii="Arial" w:hAnsi="Arial"/>
                <w:szCs w:val="24"/>
                <w:lang w:val="ru-RU"/>
              </w:rPr>
              <w:t>4</w:t>
            </w:r>
            <w:r w:rsidR="00B96BD3" w:rsidRPr="00E05DB3">
              <w:rPr>
                <w:rFonts w:ascii="Arial" w:hAnsi="Arial"/>
                <w:szCs w:val="24"/>
                <w:lang w:val="ru-RU"/>
              </w:rPr>
              <w:t xml:space="preserve"> </w:t>
            </w:r>
            <w:r w:rsidRPr="00E05DB3">
              <w:rPr>
                <w:rFonts w:ascii="Arial" w:hAnsi="Arial"/>
                <w:szCs w:val="24"/>
                <w:lang w:val="ru-RU"/>
              </w:rPr>
              <w:t>г.</w:t>
            </w:r>
          </w:p>
          <w:p w14:paraId="77B1DA4E" w14:textId="5207AB7B" w:rsidR="007530B6" w:rsidRPr="00E05DB3" w:rsidRDefault="009F493C" w:rsidP="004941D2">
            <w:pPr>
              <w:ind w:left="-104"/>
              <w:rPr>
                <w:rFonts w:ascii="Arial" w:hAnsi="Arial"/>
                <w:szCs w:val="24"/>
                <w:lang w:val="ru-RU"/>
              </w:rPr>
            </w:pPr>
            <w:r w:rsidRPr="00E05DB3">
              <w:rPr>
                <w:rFonts w:ascii="Arial" w:hAnsi="Arial"/>
                <w:szCs w:val="24"/>
                <w:lang w:val="ru-RU"/>
              </w:rPr>
              <w:t>Оригинал</w:t>
            </w:r>
            <w:r w:rsidR="007530B6" w:rsidRPr="00E05DB3">
              <w:rPr>
                <w:rFonts w:ascii="Arial" w:hAnsi="Arial"/>
                <w:szCs w:val="24"/>
                <w:lang w:val="ru-RU"/>
              </w:rPr>
              <w:t xml:space="preserve">: </w:t>
            </w:r>
            <w:r w:rsidRPr="00E05DB3">
              <w:rPr>
                <w:rFonts w:ascii="Arial" w:hAnsi="Arial"/>
                <w:szCs w:val="24"/>
                <w:lang w:val="ru-RU"/>
              </w:rPr>
              <w:t>английский</w:t>
            </w:r>
          </w:p>
          <w:p w14:paraId="7D10E336" w14:textId="77777777" w:rsidR="007530B6" w:rsidRPr="00E05DB3" w:rsidRDefault="007530B6" w:rsidP="004941D2">
            <w:pPr>
              <w:ind w:left="-104"/>
              <w:rPr>
                <w:rFonts w:ascii="Arial" w:hAnsi="Arial"/>
                <w:szCs w:val="24"/>
                <w:lang w:val="ru-RU"/>
              </w:rPr>
            </w:pPr>
          </w:p>
          <w:p w14:paraId="0BE978A5" w14:textId="77777777" w:rsidR="007530B6" w:rsidRPr="00E05DB3" w:rsidRDefault="007530B6" w:rsidP="00A97627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="Arial" w:hAnsi="Arial"/>
                <w:szCs w:val="24"/>
                <w:lang w:val="ru-RU"/>
              </w:rPr>
            </w:pPr>
          </w:p>
          <w:p w14:paraId="16C60652" w14:textId="77777777" w:rsidR="007530B6" w:rsidRPr="00E05DB3" w:rsidRDefault="007530B6" w:rsidP="00A97627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="Arial" w:hAnsi="Arial"/>
                <w:szCs w:val="24"/>
                <w:lang w:val="ru-RU"/>
              </w:rPr>
            </w:pPr>
          </w:p>
        </w:tc>
      </w:tr>
    </w:tbl>
    <w:p w14:paraId="3670C393" w14:textId="77777777" w:rsidR="007530B6" w:rsidRPr="00E05DB3" w:rsidRDefault="007530B6" w:rsidP="00AC5ABE">
      <w:pPr>
        <w:spacing w:after="480"/>
        <w:rPr>
          <w:rFonts w:ascii="Arial" w:hAnsi="Arial"/>
          <w:lang w:val="ru-RU"/>
        </w:rPr>
      </w:pPr>
    </w:p>
    <w:p w14:paraId="25041686" w14:textId="77777777" w:rsidR="00AC5ABE" w:rsidRPr="0025168C" w:rsidRDefault="00AC5ABE" w:rsidP="00AC5ABE">
      <w:pPr>
        <w:tabs>
          <w:tab w:val="left" w:pos="-1440"/>
          <w:tab w:val="left" w:pos="-720"/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snapToGrid w:val="0"/>
        <w:spacing w:before="360"/>
        <w:jc w:val="center"/>
        <w:rPr>
          <w:rFonts w:ascii="Arial" w:eastAsia="SimSun" w:hAnsi="Arial" w:cs="Arial"/>
          <w:b/>
          <w:snapToGrid w:val="0"/>
          <w:sz w:val="28"/>
          <w:szCs w:val="28"/>
          <w:lang w:val="ru-RU" w:eastAsia="zh-CN"/>
        </w:rPr>
      </w:pPr>
      <w:r w:rsidRPr="0025168C">
        <w:rPr>
          <w:rFonts w:ascii="Arial" w:eastAsia="SimSun" w:hAnsi="Arial"/>
          <w:b/>
          <w:snapToGrid w:val="0"/>
          <w:sz w:val="28"/>
          <w:szCs w:val="28"/>
          <w:lang w:val="ru-RU" w:eastAsia="zh-CN"/>
        </w:rPr>
        <w:t>МЕЖПРАВИТЕЛЬСТВЕННАЯ ОКЕАНОГРАФИЧЕСКАЯ КОМИССИЯ</w:t>
      </w:r>
    </w:p>
    <w:p w14:paraId="28E0D2D2" w14:textId="77777777" w:rsidR="00AC5ABE" w:rsidRPr="0025168C" w:rsidRDefault="00AC5ABE" w:rsidP="00AC5ABE">
      <w:pPr>
        <w:tabs>
          <w:tab w:val="left" w:pos="-1440"/>
          <w:tab w:val="left" w:pos="-720"/>
          <w:tab w:val="left" w:pos="567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snapToGrid w:val="0"/>
        <w:jc w:val="center"/>
        <w:rPr>
          <w:rFonts w:ascii="Arial" w:eastAsia="SimSun" w:hAnsi="Arial" w:cs="Arial"/>
          <w:b/>
          <w:snapToGrid w:val="0"/>
          <w:szCs w:val="24"/>
          <w:lang w:val="ru-RU" w:eastAsia="zh-CN"/>
        </w:rPr>
      </w:pPr>
      <w:r w:rsidRPr="0025168C">
        <w:rPr>
          <w:rFonts w:ascii="Arial" w:eastAsia="SimSun" w:hAnsi="Arial"/>
          <w:b/>
          <w:snapToGrid w:val="0"/>
          <w:sz w:val="28"/>
          <w:szCs w:val="28"/>
          <w:lang w:val="ru-RU" w:eastAsia="zh-CN"/>
        </w:rPr>
        <w:t>(ЮНЕСКО)</w:t>
      </w:r>
    </w:p>
    <w:p w14:paraId="54048859" w14:textId="77777777" w:rsidR="00AC5ABE" w:rsidRPr="00E05DB3" w:rsidRDefault="00AC5ABE" w:rsidP="006D4D73">
      <w:pPr>
        <w:tabs>
          <w:tab w:val="left" w:pos="-1440"/>
          <w:tab w:val="left" w:pos="-720"/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snapToGrid w:val="0"/>
        <w:spacing w:after="240"/>
        <w:jc w:val="center"/>
        <w:rPr>
          <w:rFonts w:ascii="Arial" w:eastAsia="SimSun" w:hAnsi="Arial" w:cs="Arial"/>
          <w:b/>
          <w:snapToGrid w:val="0"/>
          <w:sz w:val="22"/>
          <w:szCs w:val="22"/>
          <w:lang w:val="ru-RU" w:eastAsia="zh-CN"/>
        </w:rPr>
      </w:pPr>
    </w:p>
    <w:p w14:paraId="4CEF91CD" w14:textId="6FB0AFC0" w:rsidR="00AC5ABE" w:rsidRPr="0025168C" w:rsidRDefault="00AC5ABE" w:rsidP="00AC5ABE">
      <w:pPr>
        <w:tabs>
          <w:tab w:val="left" w:pos="-1440"/>
          <w:tab w:val="left" w:pos="-720"/>
          <w:tab w:val="left" w:pos="567"/>
          <w:tab w:val="left" w:pos="1420"/>
          <w:tab w:val="left" w:pos="2160"/>
          <w:tab w:val="left" w:pos="3600"/>
          <w:tab w:val="left" w:pos="4320"/>
          <w:tab w:val="center" w:pos="4677"/>
          <w:tab w:val="left" w:pos="5040"/>
          <w:tab w:val="left" w:pos="5523"/>
          <w:tab w:val="left" w:pos="6480"/>
        </w:tabs>
        <w:snapToGrid w:val="0"/>
        <w:jc w:val="center"/>
        <w:rPr>
          <w:rFonts w:ascii="Arial" w:eastAsia="SimSun" w:hAnsi="Arial" w:cs="Arial"/>
          <w:b/>
          <w:snapToGrid w:val="0"/>
          <w:sz w:val="28"/>
          <w:szCs w:val="28"/>
          <w:lang w:val="ru-RU" w:eastAsia="zh-CN"/>
        </w:rPr>
      </w:pPr>
      <w:r w:rsidRPr="0025168C">
        <w:rPr>
          <w:rFonts w:ascii="Arial" w:eastAsia="SimSun" w:hAnsi="Arial"/>
          <w:b/>
          <w:snapToGrid w:val="0"/>
          <w:sz w:val="28"/>
          <w:szCs w:val="28"/>
          <w:lang w:val="ru-RU" w:eastAsia="zh-CN"/>
        </w:rPr>
        <w:t xml:space="preserve">Пятьдесят </w:t>
      </w:r>
      <w:r w:rsidR="00C71779" w:rsidRPr="0025168C">
        <w:rPr>
          <w:rFonts w:ascii="Arial" w:eastAsia="SimSun" w:hAnsi="Arial"/>
          <w:b/>
          <w:snapToGrid w:val="0"/>
          <w:sz w:val="28"/>
          <w:szCs w:val="28"/>
          <w:lang w:val="ru-RU" w:eastAsia="zh-CN"/>
        </w:rPr>
        <w:t>седьмая</w:t>
      </w:r>
      <w:r w:rsidRPr="0025168C">
        <w:rPr>
          <w:rFonts w:ascii="Arial" w:eastAsia="SimSun" w:hAnsi="Arial"/>
          <w:b/>
          <w:snapToGrid w:val="0"/>
          <w:sz w:val="28"/>
          <w:szCs w:val="28"/>
          <w:lang w:val="ru-RU" w:eastAsia="zh-CN"/>
        </w:rPr>
        <w:t xml:space="preserve"> сессия Исполнительного совета</w:t>
      </w:r>
    </w:p>
    <w:p w14:paraId="1DB94CA7" w14:textId="1731682A" w:rsidR="00AC5ABE" w:rsidRPr="0025168C" w:rsidRDefault="00AC5ABE" w:rsidP="00AC5ABE">
      <w:pPr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snapToGrid w:val="0"/>
        <w:jc w:val="center"/>
        <w:rPr>
          <w:rFonts w:ascii="Arial" w:eastAsia="SimSun" w:hAnsi="Arial" w:cs="Arial"/>
          <w:b/>
          <w:snapToGrid w:val="0"/>
          <w:sz w:val="28"/>
          <w:szCs w:val="28"/>
          <w:lang w:val="ru-RU" w:eastAsia="zh-CN"/>
        </w:rPr>
      </w:pPr>
      <w:r w:rsidRPr="0025168C">
        <w:rPr>
          <w:rFonts w:ascii="Arial" w:eastAsia="SimSun" w:hAnsi="Arial"/>
          <w:bCs/>
          <w:snapToGrid w:val="0"/>
          <w:sz w:val="28"/>
          <w:szCs w:val="28"/>
          <w:lang w:val="ru-RU" w:eastAsia="zh-CN"/>
        </w:rPr>
        <w:t xml:space="preserve">ЮНЕСКО, Париж, </w:t>
      </w:r>
      <w:r w:rsidR="00A71181" w:rsidRPr="0025168C">
        <w:rPr>
          <w:rFonts w:ascii="Arial" w:eastAsia="SimSun" w:hAnsi="Arial"/>
          <w:bCs/>
          <w:snapToGrid w:val="0"/>
          <w:sz w:val="28"/>
          <w:szCs w:val="28"/>
          <w:lang w:val="ru-RU" w:eastAsia="zh-CN"/>
        </w:rPr>
        <w:t>25</w:t>
      </w:r>
      <w:r w:rsidRPr="0025168C">
        <w:rPr>
          <w:rFonts w:ascii="Arial" w:eastAsia="SimSun" w:hAnsi="Arial"/>
          <w:bCs/>
          <w:snapToGrid w:val="0"/>
          <w:sz w:val="28"/>
          <w:szCs w:val="28"/>
          <w:lang w:val="ru-RU" w:eastAsia="zh-CN"/>
        </w:rPr>
        <w:t>-</w:t>
      </w:r>
      <w:r w:rsidR="00A71181" w:rsidRPr="0025168C">
        <w:rPr>
          <w:rFonts w:ascii="Arial" w:eastAsia="SimSun" w:hAnsi="Arial"/>
          <w:bCs/>
          <w:snapToGrid w:val="0"/>
          <w:sz w:val="28"/>
          <w:szCs w:val="28"/>
          <w:lang w:val="ru-RU" w:eastAsia="zh-CN"/>
        </w:rPr>
        <w:t>2</w:t>
      </w:r>
      <w:r w:rsidR="00BC1E4D" w:rsidRPr="0025168C">
        <w:rPr>
          <w:rFonts w:ascii="Arial" w:eastAsia="SimSun" w:hAnsi="Arial"/>
          <w:bCs/>
          <w:snapToGrid w:val="0"/>
          <w:sz w:val="28"/>
          <w:szCs w:val="28"/>
          <w:lang w:val="ru-RU" w:eastAsia="zh-CN"/>
        </w:rPr>
        <w:t>8</w:t>
      </w:r>
      <w:r w:rsidRPr="0025168C">
        <w:rPr>
          <w:rFonts w:ascii="Arial" w:eastAsia="SimSun" w:hAnsi="Arial"/>
          <w:bCs/>
          <w:snapToGrid w:val="0"/>
          <w:sz w:val="28"/>
          <w:szCs w:val="28"/>
          <w:lang w:val="ru-RU" w:eastAsia="zh-CN"/>
        </w:rPr>
        <w:t xml:space="preserve"> июня 202</w:t>
      </w:r>
      <w:r w:rsidR="00162911" w:rsidRPr="0025168C">
        <w:rPr>
          <w:rFonts w:ascii="Arial" w:eastAsia="SimSun" w:hAnsi="Arial"/>
          <w:bCs/>
          <w:snapToGrid w:val="0"/>
          <w:sz w:val="28"/>
          <w:szCs w:val="28"/>
          <w:lang w:val="ru-RU" w:eastAsia="zh-CN"/>
        </w:rPr>
        <w:t>4</w:t>
      </w:r>
      <w:r w:rsidRPr="0025168C">
        <w:rPr>
          <w:rFonts w:ascii="Arial" w:eastAsia="SimSun" w:hAnsi="Arial"/>
          <w:bCs/>
          <w:snapToGrid w:val="0"/>
          <w:sz w:val="28"/>
          <w:szCs w:val="28"/>
          <w:lang w:val="ru-RU" w:eastAsia="zh-CN"/>
        </w:rPr>
        <w:t xml:space="preserve"> г.</w:t>
      </w:r>
    </w:p>
    <w:p w14:paraId="68BE5AB6" w14:textId="77777777" w:rsidR="00AC5ABE" w:rsidRPr="00E05DB3" w:rsidRDefault="00AC5ABE" w:rsidP="00AC5ABE">
      <w:pPr>
        <w:tabs>
          <w:tab w:val="left" w:pos="-1440"/>
          <w:tab w:val="left" w:pos="-720"/>
          <w:tab w:val="left" w:pos="567"/>
          <w:tab w:val="left" w:pos="144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snapToGrid w:val="0"/>
        <w:jc w:val="center"/>
        <w:rPr>
          <w:rFonts w:eastAsia="SimSun" w:cs="Arial"/>
          <w:bCs/>
          <w:snapToGrid w:val="0"/>
          <w:szCs w:val="22"/>
          <w:lang w:val="ru-RU" w:eastAsia="zh-CN"/>
        </w:rPr>
      </w:pPr>
    </w:p>
    <w:p w14:paraId="69AAF339" w14:textId="77777777" w:rsidR="00AC5ABE" w:rsidRPr="00E05DB3" w:rsidRDefault="00AC5ABE" w:rsidP="00AC5ABE">
      <w:pPr>
        <w:tabs>
          <w:tab w:val="clear" w:pos="709"/>
          <w:tab w:val="left" w:pos="567"/>
        </w:tabs>
        <w:snapToGrid w:val="0"/>
        <w:jc w:val="center"/>
        <w:rPr>
          <w:rFonts w:eastAsia="SimSun" w:cs="Arial"/>
          <w:snapToGrid w:val="0"/>
          <w:szCs w:val="22"/>
          <w:lang w:val="ru-RU" w:eastAsia="zh-CN"/>
        </w:rPr>
      </w:pPr>
    </w:p>
    <w:p w14:paraId="5CF2AC9F" w14:textId="77777777" w:rsidR="007530B6" w:rsidRPr="00E05DB3" w:rsidRDefault="007530B6" w:rsidP="00A97627">
      <w:pPr>
        <w:jc w:val="center"/>
        <w:rPr>
          <w:rFonts w:ascii="Arial" w:hAnsi="Arial"/>
          <w:lang w:val="ru-RU"/>
        </w:rPr>
      </w:pPr>
    </w:p>
    <w:p w14:paraId="64D539C9" w14:textId="77777777" w:rsidR="007530B6" w:rsidRPr="00E05DB3" w:rsidRDefault="007530B6" w:rsidP="00A97627">
      <w:pPr>
        <w:jc w:val="center"/>
        <w:rPr>
          <w:rFonts w:ascii="Arial" w:hAnsi="Arial"/>
          <w:lang w:val="ru-RU"/>
        </w:rPr>
      </w:pPr>
    </w:p>
    <w:p w14:paraId="6316AEAE" w14:textId="77777777" w:rsidR="007530B6" w:rsidRPr="00E05DB3" w:rsidRDefault="007530B6" w:rsidP="00A97627">
      <w:pPr>
        <w:jc w:val="center"/>
        <w:rPr>
          <w:rFonts w:ascii="Arial" w:hAnsi="Arial"/>
          <w:lang w:val="ru-RU"/>
        </w:rPr>
      </w:pPr>
    </w:p>
    <w:p w14:paraId="7838412B" w14:textId="77777777" w:rsidR="007530B6" w:rsidRPr="00E05DB3" w:rsidRDefault="007530B6" w:rsidP="00A97627">
      <w:pPr>
        <w:jc w:val="center"/>
        <w:rPr>
          <w:rFonts w:ascii="Arial" w:hAnsi="Arial"/>
          <w:lang w:val="ru-RU"/>
        </w:rPr>
      </w:pPr>
    </w:p>
    <w:p w14:paraId="21290768" w14:textId="77777777" w:rsidR="007530B6" w:rsidRPr="00E05DB3" w:rsidRDefault="007530B6" w:rsidP="00A97627">
      <w:pPr>
        <w:jc w:val="center"/>
        <w:rPr>
          <w:rFonts w:ascii="Arial" w:hAnsi="Arial"/>
          <w:lang w:val="ru-RU"/>
        </w:rPr>
      </w:pPr>
    </w:p>
    <w:p w14:paraId="3E0DF321" w14:textId="77777777" w:rsidR="007530B6" w:rsidRPr="00E05DB3" w:rsidRDefault="007530B6" w:rsidP="00A97627">
      <w:pPr>
        <w:jc w:val="center"/>
        <w:rPr>
          <w:rFonts w:ascii="Arial" w:hAnsi="Arial"/>
          <w:lang w:val="ru-RU"/>
        </w:rPr>
      </w:pPr>
    </w:p>
    <w:p w14:paraId="3835045E" w14:textId="77777777" w:rsidR="007530B6" w:rsidRPr="00E05DB3" w:rsidRDefault="007530B6" w:rsidP="00A97627">
      <w:pPr>
        <w:jc w:val="center"/>
        <w:rPr>
          <w:rFonts w:ascii="Arial" w:hAnsi="Arial"/>
          <w:lang w:val="ru-RU"/>
        </w:rPr>
      </w:pPr>
    </w:p>
    <w:p w14:paraId="337D046E" w14:textId="77777777" w:rsidR="00315994" w:rsidRPr="00E05DB3" w:rsidRDefault="00315994" w:rsidP="00A97627">
      <w:pPr>
        <w:jc w:val="center"/>
        <w:rPr>
          <w:rFonts w:ascii="Arial" w:hAnsi="Arial"/>
          <w:lang w:val="ru-RU"/>
        </w:rPr>
      </w:pPr>
    </w:p>
    <w:p w14:paraId="5E1FC29B" w14:textId="7E66D5D0" w:rsidR="00315994" w:rsidRPr="00E05DB3" w:rsidRDefault="00E05DB3" w:rsidP="00A97627">
      <w:pPr>
        <w:jc w:val="center"/>
        <w:rPr>
          <w:rFonts w:ascii="Arial" w:hAnsi="Arial" w:cs="Arial"/>
          <w:szCs w:val="24"/>
          <w:lang w:val="ru-RU"/>
        </w:rPr>
      </w:pPr>
      <w:r w:rsidRPr="00E05DB3">
        <w:rPr>
          <w:rFonts w:ascii="Arial" w:hAnsi="Arial" w:cs="Arial"/>
          <w:szCs w:val="24"/>
          <w:lang w:val="ru-RU"/>
        </w:rPr>
        <w:t>(Сборник, публикуется без редакции)</w:t>
      </w:r>
    </w:p>
    <w:p w14:paraId="03799B90" w14:textId="77777777" w:rsidR="00315994" w:rsidRPr="00E05DB3" w:rsidRDefault="00315994" w:rsidP="00A97627">
      <w:pPr>
        <w:jc w:val="center"/>
        <w:rPr>
          <w:rFonts w:ascii="Arial" w:hAnsi="Arial"/>
          <w:lang w:val="ru-RU"/>
        </w:rPr>
      </w:pPr>
    </w:p>
    <w:p w14:paraId="6B51A253" w14:textId="77777777" w:rsidR="007530B6" w:rsidRPr="00E05DB3" w:rsidRDefault="007530B6" w:rsidP="00A97627">
      <w:pPr>
        <w:jc w:val="center"/>
        <w:rPr>
          <w:rFonts w:ascii="Arial" w:hAnsi="Arial"/>
          <w:lang w:val="ru-RU"/>
        </w:rPr>
      </w:pPr>
    </w:p>
    <w:p w14:paraId="35CD4124" w14:textId="2A7A8F8B" w:rsidR="007530B6" w:rsidRPr="00916AF9" w:rsidRDefault="009F493C" w:rsidP="008A72A6">
      <w:pPr>
        <w:tabs>
          <w:tab w:val="clear" w:pos="709"/>
          <w:tab w:val="left" w:pos="0"/>
        </w:tabs>
        <w:jc w:val="center"/>
        <w:outlineLvl w:val="0"/>
        <w:rPr>
          <w:rFonts w:ascii="Arial" w:hAnsi="Arial"/>
          <w:b/>
          <w:sz w:val="40"/>
          <w:szCs w:val="40"/>
          <w:lang w:val="ru-RU"/>
        </w:rPr>
      </w:pPr>
      <w:r w:rsidRPr="00916AF9">
        <w:rPr>
          <w:rFonts w:ascii="Arial" w:hAnsi="Arial" w:cs="Arial"/>
          <w:b/>
          <w:sz w:val="40"/>
          <w:szCs w:val="40"/>
          <w:lang w:val="ru-RU"/>
        </w:rPr>
        <w:t>П</w:t>
      </w:r>
      <w:r w:rsidR="00AC5ABE" w:rsidRPr="00916AF9">
        <w:rPr>
          <w:rFonts w:ascii="Arial" w:hAnsi="Arial" w:cs="Arial"/>
          <w:b/>
          <w:sz w:val="40"/>
          <w:szCs w:val="40"/>
          <w:lang w:val="ru-RU"/>
        </w:rPr>
        <w:t>ринятые решения и резолюции</w:t>
      </w:r>
    </w:p>
    <w:p w14:paraId="1E48C6A4" w14:textId="77777777" w:rsidR="007530B6" w:rsidRPr="00E05DB3" w:rsidRDefault="007530B6" w:rsidP="007C73A0">
      <w:pPr>
        <w:rPr>
          <w:i/>
          <w:lang w:val="ru-RU"/>
        </w:rPr>
      </w:pPr>
    </w:p>
    <w:p w14:paraId="3C9D3E70" w14:textId="77777777" w:rsidR="007530B6" w:rsidRPr="00E05DB3" w:rsidRDefault="007530B6" w:rsidP="007C73A0">
      <w:pPr>
        <w:rPr>
          <w:lang w:val="ru-RU"/>
        </w:rPr>
      </w:pPr>
    </w:p>
    <w:p w14:paraId="7771259A" w14:textId="77777777" w:rsidR="007530B6" w:rsidRPr="00E05DB3" w:rsidRDefault="007530B6" w:rsidP="007C73A0">
      <w:pPr>
        <w:rPr>
          <w:lang w:val="ru-RU"/>
        </w:rPr>
      </w:pPr>
    </w:p>
    <w:p w14:paraId="4ABC79C2" w14:textId="77777777" w:rsidR="007530B6" w:rsidRPr="00E05DB3" w:rsidRDefault="007530B6" w:rsidP="007C73A0">
      <w:pPr>
        <w:rPr>
          <w:lang w:val="ru-RU"/>
        </w:rPr>
      </w:pPr>
    </w:p>
    <w:p w14:paraId="2F752075" w14:textId="77777777" w:rsidR="0025168C" w:rsidRDefault="0025168C">
      <w:pPr>
        <w:tabs>
          <w:tab w:val="clear" w:pos="709"/>
        </w:tabs>
        <w:jc w:val="left"/>
        <w:rPr>
          <w:rFonts w:ascii="Arial" w:eastAsiaTheme="majorEastAsia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br w:type="page"/>
      </w:r>
    </w:p>
    <w:p w14:paraId="595BBCD6" w14:textId="5A55FA6D" w:rsidR="0085198F" w:rsidRPr="00E05DB3" w:rsidRDefault="009F493C" w:rsidP="0025168C">
      <w:pPr>
        <w:pStyle w:val="Heading1"/>
        <w:keepNext w:val="0"/>
        <w:keepLines w:val="0"/>
        <w:shd w:val="clear" w:color="auto" w:fill="BFBFBF" w:themeFill="background1" w:themeFillShade="BF"/>
        <w:adjustRightInd w:val="0"/>
        <w:snapToGrid w:val="0"/>
        <w:spacing w:before="0" w:after="240"/>
        <w:jc w:val="center"/>
        <w:rPr>
          <w:rFonts w:ascii="Arial" w:hAnsi="Arial" w:cs="Arial"/>
          <w:b/>
          <w:color w:val="auto"/>
          <w:sz w:val="22"/>
          <w:szCs w:val="22"/>
          <w:lang w:val="ru-RU"/>
        </w:rPr>
      </w:pPr>
      <w:r w:rsidRPr="00E05DB3">
        <w:rPr>
          <w:rFonts w:ascii="Arial" w:hAnsi="Arial" w:cs="Arial"/>
          <w:b/>
          <w:color w:val="auto"/>
          <w:sz w:val="22"/>
          <w:szCs w:val="22"/>
          <w:lang w:val="ru-RU"/>
        </w:rPr>
        <w:lastRenderedPageBreak/>
        <w:t>ПРИНЯТЫЕ РЕШЕНИЯ</w:t>
      </w:r>
    </w:p>
    <w:p w14:paraId="4811DAF5" w14:textId="1E708320" w:rsidR="00E72BC6" w:rsidRDefault="00E72BC6" w:rsidP="00E72BC6">
      <w:pPr>
        <w:spacing w:after="240"/>
        <w:jc w:val="center"/>
        <w:rPr>
          <w:rFonts w:ascii="Arial" w:hAnsi="Arial"/>
          <w:bCs/>
          <w:sz w:val="22"/>
          <w:szCs w:val="22"/>
          <w:u w:val="single"/>
          <w:lang w:val="ru-RU"/>
        </w:rPr>
      </w:pPr>
      <w:bookmarkStart w:id="1" w:name="_Hlk85467353"/>
      <w:bookmarkStart w:id="2" w:name="_Hlk85468101"/>
      <w:r w:rsidRPr="00E05DB3">
        <w:rPr>
          <w:rFonts w:ascii="Arial" w:hAnsi="Arial"/>
          <w:bCs/>
          <w:sz w:val="22"/>
          <w:szCs w:val="22"/>
          <w:u w:val="single"/>
          <w:lang w:val="ru-RU"/>
        </w:rPr>
        <w:t xml:space="preserve">Решение МОК </w:t>
      </w:r>
      <w:r w:rsidR="00E05DB3">
        <w:rPr>
          <w:rFonts w:ascii="Arial" w:hAnsi="Arial"/>
          <w:bCs/>
          <w:sz w:val="22"/>
          <w:szCs w:val="22"/>
          <w:u w:val="single"/>
          <w:lang w:val="ru-RU"/>
        </w:rPr>
        <w:t>А</w:t>
      </w:r>
      <w:r w:rsidRPr="00E05DB3">
        <w:rPr>
          <w:rFonts w:ascii="Arial" w:hAnsi="Arial"/>
          <w:bCs/>
          <w:sz w:val="22"/>
          <w:szCs w:val="22"/>
          <w:u w:val="single"/>
          <w:lang w:val="ru-RU"/>
        </w:rPr>
        <w:t>-57/2</w:t>
      </w:r>
    </w:p>
    <w:p w14:paraId="33F9C44C" w14:textId="0FCE4D06" w:rsidR="00E05DB3" w:rsidRPr="00E05DB3" w:rsidRDefault="00E05DB3" w:rsidP="00E72BC6">
      <w:pPr>
        <w:spacing w:after="240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  <w:r w:rsidRPr="00E05DB3">
        <w:rPr>
          <w:rFonts w:ascii="Arial" w:hAnsi="Arial"/>
          <w:b/>
          <w:sz w:val="22"/>
          <w:szCs w:val="22"/>
          <w:lang w:val="ru-RU"/>
        </w:rPr>
        <w:t>Организация работы сессии</w:t>
      </w:r>
    </w:p>
    <w:p w14:paraId="7009CED4" w14:textId="2BB38545" w:rsidR="00E72BC6" w:rsidRPr="00E05DB3" w:rsidRDefault="00E72BC6" w:rsidP="00E72BC6">
      <w:pPr>
        <w:spacing w:after="12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Исполнительный совет</w:t>
      </w:r>
    </w:p>
    <w:p w14:paraId="43509573" w14:textId="77777777" w:rsidR="00E72BC6" w:rsidRPr="00E05DB3" w:rsidRDefault="00E72BC6" w:rsidP="00E72BC6">
      <w:pPr>
        <w:spacing w:after="240"/>
        <w:ind w:left="4"/>
        <w:jc w:val="center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/>
          <w:b/>
          <w:sz w:val="22"/>
          <w:szCs w:val="22"/>
          <w:lang w:val="ru-RU"/>
        </w:rPr>
        <w:t>I.</w:t>
      </w:r>
      <w:r w:rsidRPr="00E05DB3">
        <w:rPr>
          <w:rFonts w:ascii="Arial" w:hAnsi="Arial"/>
          <w:b/>
          <w:sz w:val="22"/>
          <w:szCs w:val="22"/>
          <w:lang w:val="ru-RU"/>
        </w:rPr>
        <w:tab/>
        <w:t>Повестка дня</w:t>
      </w:r>
    </w:p>
    <w:p w14:paraId="05822F21" w14:textId="04041558" w:rsidR="00E72BC6" w:rsidRPr="00E05DB3" w:rsidRDefault="00E72BC6" w:rsidP="00E72BC6">
      <w:pPr>
        <w:tabs>
          <w:tab w:val="clear" w:pos="709"/>
        </w:tabs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/>
          <w:color w:val="000000"/>
          <w:sz w:val="22"/>
          <w:szCs w:val="22"/>
          <w:u w:val="single"/>
          <w:lang w:val="ru-RU"/>
        </w:rPr>
        <w:t>утверждает</w:t>
      </w:r>
      <w:r w:rsidRPr="00E05DB3">
        <w:rPr>
          <w:rFonts w:ascii="Arial" w:hAnsi="Arial"/>
          <w:color w:val="000000"/>
          <w:sz w:val="22"/>
          <w:szCs w:val="22"/>
          <w:lang w:val="ru-RU"/>
        </w:rPr>
        <w:t xml:space="preserve"> повестку дня и расписание работы, содержащиеся в документе IOC/EC</w:t>
      </w:r>
      <w:r w:rsidRPr="00E05DB3">
        <w:rPr>
          <w:rFonts w:ascii="Arial" w:hAnsi="Arial"/>
          <w:color w:val="000000"/>
          <w:sz w:val="22"/>
          <w:szCs w:val="22"/>
          <w:lang w:val="ru-RU"/>
        </w:rPr>
        <w:noBreakHyphen/>
        <w:t>57/2.1.Doc. и Add.</w:t>
      </w:r>
      <w:r w:rsidR="00376135" w:rsidRPr="00E05DB3">
        <w:rPr>
          <w:rFonts w:ascii="Arial" w:hAnsi="Arial"/>
          <w:color w:val="000000"/>
          <w:sz w:val="22"/>
          <w:szCs w:val="22"/>
          <w:lang w:val="ru-RU"/>
        </w:rPr>
        <w:t>;</w:t>
      </w:r>
      <w:r w:rsidRPr="00E05DB3">
        <w:rPr>
          <w:rFonts w:ascii="Arial" w:hAnsi="Arial"/>
          <w:color w:val="000000"/>
          <w:sz w:val="22"/>
          <w:szCs w:val="22"/>
          <w:lang w:val="ru-RU"/>
        </w:rPr>
        <w:t xml:space="preserve"> </w:t>
      </w:r>
    </w:p>
    <w:p w14:paraId="6E56AA00" w14:textId="77777777" w:rsidR="00E72BC6" w:rsidRPr="00E05DB3" w:rsidRDefault="00E72BC6" w:rsidP="00E72BC6">
      <w:pPr>
        <w:spacing w:after="240"/>
        <w:jc w:val="center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/>
          <w:b/>
          <w:sz w:val="22"/>
          <w:szCs w:val="22"/>
          <w:lang w:val="ru-RU"/>
        </w:rPr>
        <w:t>II.</w:t>
      </w:r>
      <w:r w:rsidRPr="00E05DB3">
        <w:rPr>
          <w:rFonts w:ascii="Arial" w:hAnsi="Arial"/>
          <w:b/>
          <w:sz w:val="22"/>
          <w:szCs w:val="22"/>
          <w:lang w:val="ru-RU"/>
        </w:rPr>
        <w:tab/>
        <w:t>Докладчик</w:t>
      </w:r>
    </w:p>
    <w:p w14:paraId="0DC4B7DE" w14:textId="77777777" w:rsidR="00E72BC6" w:rsidRPr="00E05DB3" w:rsidRDefault="00E72BC6" w:rsidP="00081D98">
      <w:pPr>
        <w:tabs>
          <w:tab w:val="clear" w:pos="709"/>
        </w:tabs>
        <w:spacing w:after="240"/>
        <w:rPr>
          <w:rFonts w:ascii="Arial" w:hAnsi="Arial" w:cs="Arial"/>
          <w:bCs/>
          <w:color w:val="000000"/>
          <w:sz w:val="22"/>
          <w:szCs w:val="22"/>
          <w:lang w:val="ru-RU"/>
        </w:rPr>
      </w:pPr>
      <w:r w:rsidRPr="00E05DB3">
        <w:rPr>
          <w:rFonts w:ascii="Arial" w:hAnsi="Arial"/>
          <w:bCs/>
          <w:color w:val="000000"/>
          <w:sz w:val="22"/>
          <w:szCs w:val="22"/>
          <w:lang w:val="ru-RU"/>
        </w:rPr>
        <w:t>по предложению Колумбии, поддержанному Аргентиной, Гренадой, Италией, Коста-Рикой, Перу, Чили, Эквадором и Южной Африкой,</w:t>
      </w:r>
    </w:p>
    <w:p w14:paraId="4ECE687C" w14:textId="77777777" w:rsidR="00E72BC6" w:rsidRPr="00E05DB3" w:rsidRDefault="00E72BC6" w:rsidP="00DB2CF8">
      <w:pPr>
        <w:spacing w:after="240"/>
        <w:rPr>
          <w:rFonts w:ascii="Arial" w:hAnsi="Arial"/>
          <w:color w:val="000000"/>
          <w:sz w:val="22"/>
          <w:szCs w:val="22"/>
          <w:lang w:val="ru-RU"/>
        </w:rPr>
      </w:pPr>
      <w:r w:rsidRPr="00E05DB3">
        <w:rPr>
          <w:rFonts w:ascii="Arial" w:hAnsi="Arial"/>
          <w:color w:val="000000"/>
          <w:sz w:val="22"/>
          <w:szCs w:val="22"/>
          <w:u w:val="single"/>
          <w:lang w:val="ru-RU"/>
        </w:rPr>
        <w:t>назначает</w:t>
      </w:r>
      <w:r w:rsidRPr="00E05DB3">
        <w:rPr>
          <w:rFonts w:ascii="Arial" w:hAnsi="Arial"/>
          <w:color w:val="000000"/>
          <w:sz w:val="22"/>
          <w:szCs w:val="22"/>
          <w:lang w:val="ru-RU"/>
        </w:rPr>
        <w:t xml:space="preserve"> г-на Фредерику Антониу </w:t>
      </w:r>
      <w:proofErr w:type="spellStart"/>
      <w:r w:rsidRPr="00E05DB3">
        <w:rPr>
          <w:rFonts w:ascii="Arial" w:hAnsi="Arial"/>
          <w:color w:val="000000"/>
          <w:sz w:val="22"/>
          <w:szCs w:val="22"/>
          <w:lang w:val="ru-RU"/>
        </w:rPr>
        <w:t>Сарайва</w:t>
      </w:r>
      <w:proofErr w:type="spellEnd"/>
      <w:r w:rsidRPr="00E05DB3">
        <w:rPr>
          <w:rFonts w:ascii="Arial" w:hAnsi="Arial"/>
          <w:color w:val="000000"/>
          <w:sz w:val="22"/>
          <w:szCs w:val="22"/>
          <w:lang w:val="ru-RU"/>
        </w:rPr>
        <w:t xml:space="preserve"> </w:t>
      </w:r>
      <w:proofErr w:type="spellStart"/>
      <w:r w:rsidRPr="00E05DB3">
        <w:rPr>
          <w:rFonts w:ascii="Arial" w:hAnsi="Arial"/>
          <w:color w:val="000000"/>
          <w:sz w:val="22"/>
          <w:szCs w:val="22"/>
          <w:lang w:val="ru-RU"/>
        </w:rPr>
        <w:t>Ногейру</w:t>
      </w:r>
      <w:proofErr w:type="spellEnd"/>
      <w:r w:rsidRPr="00E05DB3">
        <w:rPr>
          <w:rFonts w:ascii="Arial" w:hAnsi="Arial"/>
          <w:color w:val="000000"/>
          <w:sz w:val="22"/>
          <w:szCs w:val="22"/>
          <w:lang w:val="ru-RU"/>
        </w:rPr>
        <w:t>, представителя Бразилии, докладчиком нынешней сессии с задачей оказания содействия Председателю и Исполнительному секретарю в подготовке проекта предварительного доклада сессии;</w:t>
      </w:r>
    </w:p>
    <w:p w14:paraId="7ABCD485" w14:textId="77777777" w:rsidR="00E72BC6" w:rsidRPr="00E05DB3" w:rsidRDefault="00E72BC6" w:rsidP="00E72BC6">
      <w:pPr>
        <w:spacing w:after="240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  <w:r w:rsidRPr="00E05DB3">
        <w:rPr>
          <w:rFonts w:ascii="Arial" w:hAnsi="Arial"/>
          <w:b/>
          <w:sz w:val="22"/>
          <w:szCs w:val="22"/>
          <w:lang w:val="ru-RU"/>
        </w:rPr>
        <w:t>III.</w:t>
      </w:r>
      <w:r w:rsidRPr="00E05DB3">
        <w:rPr>
          <w:rFonts w:ascii="Arial" w:hAnsi="Arial"/>
          <w:b/>
          <w:sz w:val="22"/>
          <w:szCs w:val="22"/>
          <w:lang w:val="ru-RU"/>
        </w:rPr>
        <w:tab/>
        <w:t xml:space="preserve">Сессионные комитеты </w:t>
      </w:r>
    </w:p>
    <w:p w14:paraId="3931FE6F" w14:textId="77777777" w:rsidR="00E72BC6" w:rsidRPr="00E05DB3" w:rsidRDefault="00E72BC6" w:rsidP="00376135">
      <w:pPr>
        <w:tabs>
          <w:tab w:val="clear" w:pos="709"/>
        </w:tabs>
        <w:spacing w:after="240"/>
        <w:rPr>
          <w:rFonts w:ascii="Arial" w:hAnsi="Arial" w:cs="Arial"/>
          <w:bCs/>
          <w:color w:val="000000"/>
          <w:sz w:val="22"/>
          <w:szCs w:val="22"/>
          <w:lang w:val="ru-RU"/>
        </w:rPr>
      </w:pPr>
      <w:r w:rsidRPr="00E05DB3">
        <w:rPr>
          <w:rFonts w:ascii="Arial" w:hAnsi="Arial"/>
          <w:bCs/>
          <w:color w:val="000000"/>
          <w:sz w:val="22"/>
          <w:szCs w:val="22"/>
          <w:u w:val="single"/>
          <w:lang w:val="ru-RU"/>
        </w:rPr>
        <w:t>учреждает</w:t>
      </w:r>
      <w:r w:rsidRPr="00E05DB3">
        <w:rPr>
          <w:rFonts w:ascii="Arial" w:hAnsi="Arial"/>
          <w:bCs/>
          <w:color w:val="000000"/>
          <w:sz w:val="22"/>
          <w:szCs w:val="22"/>
          <w:lang w:val="ru-RU"/>
        </w:rPr>
        <w:t xml:space="preserve"> следующие сессионные комитеты открытого состава и поручает им рассмотрение следующих пунктов повестки дня и выполнение следующих задач:</w:t>
      </w:r>
    </w:p>
    <w:p w14:paraId="4DFAB593" w14:textId="4EDD2845" w:rsidR="00E72BC6" w:rsidRPr="007E7365" w:rsidRDefault="00E72BC6" w:rsidP="000B4C5F">
      <w:pPr>
        <w:tabs>
          <w:tab w:val="clear" w:pos="709"/>
        </w:tabs>
        <w:spacing w:after="240"/>
        <w:ind w:left="567" w:firstLine="1"/>
        <w:rPr>
          <w:rFonts w:ascii="Arial" w:hAnsi="Arial" w:cs="Arial"/>
          <w:bCs/>
          <w:color w:val="000000"/>
          <w:sz w:val="22"/>
          <w:szCs w:val="22"/>
          <w:lang w:val="ru-RU"/>
        </w:rPr>
      </w:pPr>
      <w:r w:rsidRPr="00E05DB3">
        <w:rPr>
          <w:rFonts w:ascii="Arial" w:hAnsi="Arial"/>
          <w:bCs/>
          <w:i/>
          <w:color w:val="000000"/>
          <w:sz w:val="22"/>
          <w:szCs w:val="22"/>
          <w:lang w:val="ru-RU"/>
        </w:rPr>
        <w:t>комитет по финансовым вопросам</w:t>
      </w:r>
      <w:r w:rsidRPr="00E05DB3">
        <w:rPr>
          <w:rFonts w:ascii="Arial" w:hAnsi="Arial"/>
          <w:bCs/>
          <w:color w:val="000000"/>
          <w:sz w:val="22"/>
          <w:szCs w:val="22"/>
          <w:lang w:val="ru-RU"/>
        </w:rPr>
        <w:t xml:space="preserve">: доработка резолюции по пунктам 3.1, 5.1, 5.2 и 5.3 под руководством г-на Хуана Камило </w:t>
      </w:r>
      <w:proofErr w:type="spellStart"/>
      <w:r w:rsidRPr="00E05DB3">
        <w:rPr>
          <w:rFonts w:ascii="Arial" w:hAnsi="Arial"/>
          <w:bCs/>
          <w:color w:val="000000"/>
          <w:sz w:val="22"/>
          <w:szCs w:val="22"/>
          <w:lang w:val="ru-RU"/>
        </w:rPr>
        <w:t>Фореро</w:t>
      </w:r>
      <w:proofErr w:type="spellEnd"/>
      <w:r w:rsidRPr="00E05DB3">
        <w:rPr>
          <w:rFonts w:ascii="Arial" w:hAnsi="Arial"/>
          <w:bCs/>
          <w:color w:val="000000"/>
          <w:sz w:val="22"/>
          <w:szCs w:val="22"/>
          <w:lang w:val="ru-RU"/>
        </w:rPr>
        <w:t xml:space="preserve"> Хаузера (Колумбия, заместитель Председателя) и с участием следующих государств-членов</w:t>
      </w:r>
      <w:r w:rsidRPr="007E7365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: </w:t>
      </w:r>
      <w:r w:rsidR="007E7365" w:rsidRPr="007E7365">
        <w:rPr>
          <w:rStyle w:val="ezkurwreuab5ozgtqnkl"/>
          <w:rFonts w:ascii="Arial" w:hAnsi="Arial" w:cs="Arial"/>
          <w:sz w:val="22"/>
          <w:szCs w:val="22"/>
          <w:lang w:val="ru-RU"/>
        </w:rPr>
        <w:t>Бразили</w:t>
      </w:r>
      <w:r w:rsidR="007E7365">
        <w:rPr>
          <w:rStyle w:val="ezkurwreuab5ozgtqnkl"/>
          <w:rFonts w:ascii="Arial" w:hAnsi="Arial" w:cs="Arial"/>
          <w:sz w:val="22"/>
          <w:szCs w:val="22"/>
          <w:lang w:val="ru-RU"/>
        </w:rPr>
        <w:t>и</w:t>
      </w:r>
      <w:r w:rsidR="007E7365" w:rsidRPr="007E7365">
        <w:rPr>
          <w:rStyle w:val="ezkurwreuab5ozgtqnkl"/>
          <w:rFonts w:ascii="Arial" w:hAnsi="Arial" w:cs="Arial"/>
          <w:sz w:val="22"/>
          <w:szCs w:val="22"/>
          <w:lang w:val="ru-RU"/>
        </w:rPr>
        <w:t>,</w:t>
      </w:r>
      <w:r w:rsidR="007E7365" w:rsidRPr="007E7365">
        <w:rPr>
          <w:rFonts w:ascii="Arial" w:hAnsi="Arial" w:cs="Arial"/>
          <w:sz w:val="22"/>
          <w:szCs w:val="22"/>
          <w:lang w:val="ru-RU"/>
        </w:rPr>
        <w:t xml:space="preserve"> </w:t>
      </w:r>
      <w:r w:rsidR="007E7365" w:rsidRPr="007E7365">
        <w:rPr>
          <w:rStyle w:val="ezkurwreuab5ozgtqnkl"/>
          <w:rFonts w:ascii="Arial" w:hAnsi="Arial" w:cs="Arial"/>
          <w:sz w:val="22"/>
          <w:szCs w:val="22"/>
          <w:lang w:val="ru-RU"/>
        </w:rPr>
        <w:t>Егип</w:t>
      </w:r>
      <w:r w:rsidR="007E7365">
        <w:rPr>
          <w:rStyle w:val="ezkurwreuab5ozgtqnkl"/>
          <w:rFonts w:ascii="Arial" w:hAnsi="Arial" w:cs="Arial"/>
          <w:sz w:val="22"/>
          <w:szCs w:val="22"/>
          <w:lang w:val="ru-RU"/>
        </w:rPr>
        <w:t>та</w:t>
      </w:r>
      <w:r w:rsidR="007E7365" w:rsidRPr="007E7365">
        <w:rPr>
          <w:rStyle w:val="ezkurwreuab5ozgtqnkl"/>
          <w:rFonts w:ascii="Arial" w:hAnsi="Arial" w:cs="Arial"/>
          <w:sz w:val="22"/>
          <w:szCs w:val="22"/>
          <w:lang w:val="ru-RU"/>
        </w:rPr>
        <w:t>,</w:t>
      </w:r>
      <w:r w:rsidR="007E7365" w:rsidRPr="007E7365">
        <w:rPr>
          <w:rFonts w:ascii="Arial" w:hAnsi="Arial" w:cs="Arial"/>
          <w:sz w:val="22"/>
          <w:szCs w:val="22"/>
          <w:lang w:val="ru-RU"/>
        </w:rPr>
        <w:t xml:space="preserve"> </w:t>
      </w:r>
      <w:r w:rsidR="007E7365" w:rsidRPr="007E7365">
        <w:rPr>
          <w:rStyle w:val="ezkurwreuab5ozgtqnkl"/>
          <w:rFonts w:ascii="Arial" w:hAnsi="Arial" w:cs="Arial"/>
          <w:sz w:val="22"/>
          <w:szCs w:val="22"/>
          <w:lang w:val="ru-RU"/>
        </w:rPr>
        <w:t>Соединенны</w:t>
      </w:r>
      <w:r w:rsidR="007E7365">
        <w:rPr>
          <w:rStyle w:val="ezkurwreuab5ozgtqnkl"/>
          <w:rFonts w:ascii="Arial" w:hAnsi="Arial" w:cs="Arial"/>
          <w:sz w:val="22"/>
          <w:szCs w:val="22"/>
          <w:lang w:val="ru-RU"/>
        </w:rPr>
        <w:t>х</w:t>
      </w:r>
      <w:r w:rsidR="007E7365" w:rsidRPr="007E7365">
        <w:rPr>
          <w:rFonts w:ascii="Arial" w:hAnsi="Arial" w:cs="Arial"/>
          <w:sz w:val="22"/>
          <w:szCs w:val="22"/>
          <w:lang w:val="ru-RU"/>
        </w:rPr>
        <w:t xml:space="preserve"> </w:t>
      </w:r>
      <w:r w:rsidR="007E7365" w:rsidRPr="007E7365">
        <w:rPr>
          <w:rStyle w:val="ezkurwreuab5ozgtqnkl"/>
          <w:rFonts w:ascii="Arial" w:hAnsi="Arial" w:cs="Arial"/>
          <w:sz w:val="22"/>
          <w:szCs w:val="22"/>
          <w:lang w:val="ru-RU"/>
        </w:rPr>
        <w:t>Штат</w:t>
      </w:r>
      <w:r w:rsidR="007E7365">
        <w:rPr>
          <w:rStyle w:val="ezkurwreuab5ozgtqnkl"/>
          <w:rFonts w:ascii="Arial" w:hAnsi="Arial" w:cs="Arial"/>
          <w:sz w:val="22"/>
          <w:szCs w:val="22"/>
          <w:lang w:val="ru-RU"/>
        </w:rPr>
        <w:t>ов</w:t>
      </w:r>
      <w:r w:rsidR="007E7365" w:rsidRPr="007E7365">
        <w:rPr>
          <w:rFonts w:ascii="Arial" w:hAnsi="Arial" w:cs="Arial"/>
          <w:sz w:val="22"/>
          <w:szCs w:val="22"/>
          <w:lang w:val="ru-RU"/>
        </w:rPr>
        <w:t xml:space="preserve"> </w:t>
      </w:r>
      <w:r w:rsidR="007E7365" w:rsidRPr="007E7365">
        <w:rPr>
          <w:rStyle w:val="ezkurwreuab5ozgtqnkl"/>
          <w:rFonts w:ascii="Arial" w:hAnsi="Arial" w:cs="Arial"/>
          <w:sz w:val="22"/>
          <w:szCs w:val="22"/>
          <w:lang w:val="ru-RU"/>
        </w:rPr>
        <w:t>Америки</w:t>
      </w:r>
      <w:r w:rsidR="007E7365">
        <w:rPr>
          <w:rStyle w:val="ezkurwreuab5ozgtqnkl"/>
          <w:rFonts w:ascii="Arial" w:hAnsi="Arial" w:cs="Arial"/>
          <w:sz w:val="22"/>
          <w:szCs w:val="22"/>
          <w:lang w:val="ru-RU"/>
        </w:rPr>
        <w:t>,</w:t>
      </w:r>
      <w:r w:rsidR="007E7365" w:rsidRPr="007E7365">
        <w:rPr>
          <w:rStyle w:val="ezkurwreuab5ozgtqnkl"/>
          <w:rFonts w:ascii="Arial" w:hAnsi="Arial" w:cs="Arial"/>
          <w:sz w:val="22"/>
          <w:szCs w:val="22"/>
          <w:lang w:val="ru-RU"/>
        </w:rPr>
        <w:t xml:space="preserve"> Франци</w:t>
      </w:r>
      <w:r w:rsidR="007E7365">
        <w:rPr>
          <w:rStyle w:val="ezkurwreuab5ozgtqnkl"/>
          <w:rFonts w:ascii="Arial" w:hAnsi="Arial" w:cs="Arial"/>
          <w:sz w:val="22"/>
          <w:szCs w:val="22"/>
          <w:lang w:val="ru-RU"/>
        </w:rPr>
        <w:t>и и</w:t>
      </w:r>
      <w:r w:rsidR="007E7365" w:rsidRPr="007E7365">
        <w:rPr>
          <w:rFonts w:ascii="Arial" w:hAnsi="Arial" w:cs="Arial"/>
          <w:sz w:val="22"/>
          <w:szCs w:val="22"/>
          <w:lang w:val="ru-RU"/>
        </w:rPr>
        <w:t xml:space="preserve"> </w:t>
      </w:r>
      <w:r w:rsidR="007E7365" w:rsidRPr="007E7365">
        <w:rPr>
          <w:rStyle w:val="ezkurwreuab5ozgtqnkl"/>
          <w:rFonts w:ascii="Arial" w:hAnsi="Arial" w:cs="Arial"/>
          <w:sz w:val="22"/>
          <w:szCs w:val="22"/>
          <w:lang w:val="ru-RU"/>
        </w:rPr>
        <w:t>Япони</w:t>
      </w:r>
      <w:r w:rsidR="007E7365">
        <w:rPr>
          <w:rStyle w:val="ezkurwreuab5ozgtqnkl"/>
          <w:rFonts w:ascii="Arial" w:hAnsi="Arial" w:cs="Arial"/>
          <w:sz w:val="22"/>
          <w:szCs w:val="22"/>
          <w:lang w:val="ru-RU"/>
        </w:rPr>
        <w:t>и</w:t>
      </w:r>
      <w:r w:rsidRPr="007E7365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. </w:t>
      </w:r>
      <w:proofErr w:type="spellStart"/>
      <w:r w:rsidRPr="007E7365">
        <w:rPr>
          <w:rFonts w:ascii="Arial" w:hAnsi="Arial" w:cs="Arial"/>
          <w:bCs/>
          <w:color w:val="000000"/>
          <w:sz w:val="22"/>
          <w:szCs w:val="22"/>
          <w:lang w:val="ru-RU"/>
        </w:rPr>
        <w:t>Секретариатскую</w:t>
      </w:r>
      <w:proofErr w:type="spellEnd"/>
      <w:r w:rsidRPr="007E7365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поддержку работе комитета по финансовым вопросам оказывала г-жа Ксения </w:t>
      </w:r>
      <w:proofErr w:type="spellStart"/>
      <w:r w:rsidRPr="007E7365">
        <w:rPr>
          <w:rFonts w:ascii="Arial" w:hAnsi="Arial" w:cs="Arial"/>
          <w:bCs/>
          <w:color w:val="000000"/>
          <w:sz w:val="22"/>
          <w:szCs w:val="22"/>
          <w:lang w:val="ru-RU"/>
        </w:rPr>
        <w:t>Ивинек</w:t>
      </w:r>
      <w:proofErr w:type="spellEnd"/>
      <w:r w:rsidR="000B4C5F" w:rsidRPr="007E7365">
        <w:rPr>
          <w:rFonts w:ascii="Arial" w:hAnsi="Arial" w:cs="Arial"/>
          <w:bCs/>
          <w:color w:val="000000"/>
          <w:sz w:val="22"/>
          <w:szCs w:val="22"/>
          <w:lang w:val="ru-RU"/>
        </w:rPr>
        <w:t>;</w:t>
      </w:r>
    </w:p>
    <w:p w14:paraId="2614ACA9" w14:textId="35DDA9E8" w:rsidR="00E72BC6" w:rsidRPr="00E05DB3" w:rsidRDefault="00E72BC6" w:rsidP="000B4C5F">
      <w:pPr>
        <w:tabs>
          <w:tab w:val="clear" w:pos="709"/>
        </w:tabs>
        <w:spacing w:after="240"/>
        <w:ind w:left="567"/>
        <w:rPr>
          <w:lang w:val="ru-RU"/>
        </w:rPr>
      </w:pPr>
      <w:r w:rsidRPr="00E05DB3">
        <w:rPr>
          <w:rFonts w:ascii="Arial" w:hAnsi="Arial"/>
          <w:bCs/>
          <w:i/>
          <w:color w:val="000000"/>
          <w:sz w:val="22"/>
          <w:szCs w:val="22"/>
          <w:lang w:val="ru-RU"/>
        </w:rPr>
        <w:t>комитет по резолюциям</w:t>
      </w:r>
      <w:r w:rsidRPr="00E05DB3">
        <w:rPr>
          <w:rFonts w:ascii="Arial" w:hAnsi="Arial"/>
          <w:bCs/>
          <w:color w:val="000000"/>
          <w:sz w:val="22"/>
          <w:szCs w:val="22"/>
          <w:lang w:val="ru-RU"/>
        </w:rPr>
        <w:t xml:space="preserve">: информирование обо всех проектах резолюций, должным образом представленных до 20 июня для рассмотрения в ходе нынешней сессии, а также о подготовленном в ходе сессии проекте резолюции, касающейся финансовых аспектов деятельности Комиссии, под руководством г-на Джозефа </w:t>
      </w:r>
      <w:proofErr w:type="spellStart"/>
      <w:r w:rsidRPr="00E05DB3">
        <w:rPr>
          <w:rFonts w:ascii="Arial" w:hAnsi="Arial"/>
          <w:bCs/>
          <w:color w:val="000000"/>
          <w:sz w:val="22"/>
          <w:szCs w:val="22"/>
          <w:lang w:val="ru-RU"/>
        </w:rPr>
        <w:t>Нотона</w:t>
      </w:r>
      <w:proofErr w:type="spellEnd"/>
      <w:r w:rsidRPr="00E05DB3">
        <w:rPr>
          <w:rFonts w:ascii="Arial" w:hAnsi="Arial"/>
          <w:bCs/>
          <w:color w:val="000000"/>
          <w:sz w:val="22"/>
          <w:szCs w:val="22"/>
          <w:lang w:val="ru-RU"/>
        </w:rPr>
        <w:t xml:space="preserve"> (Соединенные Штаты Америки) и с участием следующих государств-членов: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Австрали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и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,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Бангладеш,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Бразили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и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,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Германи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и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,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Инди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и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,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Испани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и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,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Итали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и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,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Канад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ы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,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Кита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я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,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Колумби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и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,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Пакистан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а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,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Португали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и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,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Таиланд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а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,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Соединенно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го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Королевств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а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Великобритании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и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Северной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Ирландии,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Соединенны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х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Штат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ов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Америки,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Франци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и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,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Южн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ой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</w:t>
      </w:r>
      <w:r w:rsidR="002725C9" w:rsidRPr="002725C9">
        <w:rPr>
          <w:rStyle w:val="ezkurwreuab5ozgtqnkl"/>
          <w:rFonts w:ascii="Arial" w:hAnsi="Arial" w:cs="Arial"/>
          <w:sz w:val="22"/>
          <w:szCs w:val="22"/>
          <w:lang w:val="ru-RU"/>
        </w:rPr>
        <w:t>Африк</w:t>
      </w:r>
      <w:r w:rsidR="002725C9">
        <w:rPr>
          <w:rStyle w:val="ezkurwreuab5ozgtqnkl"/>
          <w:rFonts w:ascii="Arial" w:hAnsi="Arial" w:cs="Arial"/>
          <w:sz w:val="22"/>
          <w:szCs w:val="22"/>
          <w:lang w:val="ru-RU"/>
        </w:rPr>
        <w:t>и</w:t>
      </w:r>
      <w:r w:rsidR="002725C9" w:rsidRPr="002725C9">
        <w:rPr>
          <w:rFonts w:ascii="Arial" w:hAnsi="Arial" w:cs="Arial"/>
          <w:sz w:val="22"/>
          <w:szCs w:val="22"/>
          <w:lang w:val="ru-RU"/>
        </w:rPr>
        <w:t xml:space="preserve"> и Япони</w:t>
      </w:r>
      <w:r w:rsidR="002725C9">
        <w:rPr>
          <w:rFonts w:ascii="Arial" w:hAnsi="Arial" w:cs="Arial"/>
          <w:sz w:val="22"/>
          <w:szCs w:val="22"/>
          <w:lang w:val="ru-RU"/>
        </w:rPr>
        <w:t>и</w:t>
      </w:r>
      <w:r w:rsidRPr="002725C9"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. </w:t>
      </w:r>
      <w:proofErr w:type="spellStart"/>
      <w:r w:rsidRPr="002725C9">
        <w:rPr>
          <w:rFonts w:ascii="Arial" w:hAnsi="Arial" w:cs="Arial"/>
          <w:bCs/>
          <w:color w:val="000000"/>
          <w:sz w:val="22"/>
          <w:szCs w:val="22"/>
          <w:lang w:val="ru-RU"/>
        </w:rPr>
        <w:t>Се</w:t>
      </w:r>
      <w:r w:rsidRPr="00E05DB3">
        <w:rPr>
          <w:rFonts w:ascii="Arial" w:hAnsi="Arial"/>
          <w:bCs/>
          <w:color w:val="000000"/>
          <w:sz w:val="22"/>
          <w:szCs w:val="22"/>
          <w:lang w:val="ru-RU"/>
        </w:rPr>
        <w:t>кретариатскую</w:t>
      </w:r>
      <w:proofErr w:type="spellEnd"/>
      <w:r w:rsidRPr="00E05DB3">
        <w:rPr>
          <w:rFonts w:ascii="Arial" w:hAnsi="Arial"/>
          <w:bCs/>
          <w:color w:val="000000"/>
          <w:sz w:val="22"/>
          <w:szCs w:val="22"/>
          <w:lang w:val="ru-RU"/>
        </w:rPr>
        <w:t xml:space="preserve"> поддержку работе комитета по резолюциям оказывал г-н </w:t>
      </w:r>
      <w:proofErr w:type="spellStart"/>
      <w:r w:rsidRPr="00E05DB3">
        <w:rPr>
          <w:rFonts w:ascii="Arial" w:hAnsi="Arial"/>
          <w:bCs/>
          <w:color w:val="000000"/>
          <w:sz w:val="22"/>
          <w:szCs w:val="22"/>
          <w:lang w:val="ru-RU"/>
        </w:rPr>
        <w:t>Жюлиан</w:t>
      </w:r>
      <w:proofErr w:type="spellEnd"/>
      <w:r w:rsidRPr="00E05DB3">
        <w:rPr>
          <w:rFonts w:ascii="Arial" w:hAnsi="Arial"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Pr="00E05DB3">
        <w:rPr>
          <w:rFonts w:ascii="Arial" w:hAnsi="Arial"/>
          <w:bCs/>
          <w:color w:val="000000"/>
          <w:sz w:val="22"/>
          <w:szCs w:val="22"/>
          <w:lang w:val="ru-RU"/>
        </w:rPr>
        <w:t>Барбьер</w:t>
      </w:r>
      <w:proofErr w:type="spellEnd"/>
      <w:r w:rsidRPr="00E05DB3">
        <w:rPr>
          <w:rFonts w:ascii="Arial" w:hAnsi="Arial"/>
          <w:bCs/>
          <w:color w:val="000000"/>
          <w:sz w:val="22"/>
          <w:szCs w:val="22"/>
          <w:lang w:val="ru-RU"/>
        </w:rPr>
        <w:t>.</w:t>
      </w:r>
    </w:p>
    <w:p w14:paraId="0E2D9733" w14:textId="0AB4B23F" w:rsidR="00F750EE" w:rsidRPr="00E05DB3" w:rsidRDefault="00F750EE" w:rsidP="00BE31EA">
      <w:pPr>
        <w:spacing w:after="240"/>
        <w:jc w:val="center"/>
        <w:rPr>
          <w:rFonts w:ascii="Arial" w:hAnsi="Arial" w:cs="Arial"/>
          <w:bCs/>
          <w:iCs/>
          <w:sz w:val="22"/>
          <w:szCs w:val="22"/>
          <w:u w:val="single"/>
          <w:lang w:val="ru-RU"/>
        </w:rPr>
      </w:pPr>
      <w:r w:rsidRPr="00E05DB3">
        <w:rPr>
          <w:rFonts w:ascii="Arial" w:hAnsi="Arial"/>
          <w:bCs/>
          <w:sz w:val="22"/>
          <w:szCs w:val="22"/>
          <w:u w:val="single"/>
          <w:lang w:val="ru-RU"/>
        </w:rPr>
        <w:t>Решение МОК EC-57/3.1</w:t>
      </w:r>
    </w:p>
    <w:p w14:paraId="060E3FAB" w14:textId="77777777" w:rsidR="00F750EE" w:rsidRPr="00E05DB3" w:rsidRDefault="00F750EE" w:rsidP="00BE31EA">
      <w:pPr>
        <w:spacing w:after="240"/>
        <w:ind w:left="709" w:hanging="709"/>
        <w:jc w:val="center"/>
        <w:rPr>
          <w:rFonts w:ascii="Arial" w:hAnsi="Arial" w:cs="Arial"/>
          <w:b/>
          <w:bCs/>
          <w:iCs/>
          <w:sz w:val="22"/>
          <w:szCs w:val="22"/>
          <w:lang w:val="ru-RU"/>
        </w:rPr>
      </w:pPr>
      <w:r w:rsidRPr="00E05DB3">
        <w:rPr>
          <w:rFonts w:ascii="Arial" w:hAnsi="Arial"/>
          <w:b/>
          <w:bCs/>
          <w:iCs/>
          <w:sz w:val="22"/>
          <w:szCs w:val="22"/>
          <w:lang w:val="ru-RU"/>
        </w:rPr>
        <w:t>Доклад Исполнительного секретаря</w:t>
      </w:r>
    </w:p>
    <w:p w14:paraId="6BAD492D" w14:textId="77777777" w:rsidR="00F750EE" w:rsidRPr="00E05DB3" w:rsidRDefault="00F750EE" w:rsidP="00F750EE">
      <w:pPr>
        <w:tabs>
          <w:tab w:val="clear" w:pos="709"/>
        </w:tabs>
        <w:spacing w:after="120"/>
        <w:rPr>
          <w:rFonts w:ascii="Arial" w:hAnsi="Arial" w:cs="Arial"/>
          <w:b/>
          <w:bCs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lang w:val="ru-RU"/>
        </w:rPr>
        <w:t>Исполнительный совет,</w:t>
      </w:r>
    </w:p>
    <w:p w14:paraId="71DD3D2E" w14:textId="77777777" w:rsidR="00F750EE" w:rsidRPr="00E05DB3" w:rsidRDefault="00F750EE" w:rsidP="00F750EE">
      <w:pPr>
        <w:tabs>
          <w:tab w:val="clear" w:pos="709"/>
        </w:tabs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рассмотрев</w:t>
      </w:r>
      <w:r w:rsidRPr="00E05DB3">
        <w:rPr>
          <w:rFonts w:ascii="Arial" w:hAnsi="Arial"/>
          <w:sz w:val="22"/>
          <w:szCs w:val="22"/>
          <w:lang w:val="ru-RU"/>
        </w:rPr>
        <w:t xml:space="preserve"> документы IOC/EC-57/3.1.Doc(1), IOC/EC-57/3.1.Doc(2) Part 2 и IOC/EC-57/3.1.Doc(3),</w:t>
      </w:r>
    </w:p>
    <w:p w14:paraId="4F80F509" w14:textId="77777777" w:rsidR="00F750EE" w:rsidRPr="00E05DB3" w:rsidRDefault="00F750EE" w:rsidP="00F750EE">
      <w:pPr>
        <w:tabs>
          <w:tab w:val="clear" w:pos="709"/>
        </w:tabs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/>
          <w:color w:val="000000"/>
          <w:sz w:val="22"/>
          <w:szCs w:val="22"/>
          <w:u w:val="single"/>
          <w:lang w:val="ru-RU"/>
        </w:rPr>
        <w:t>благодарит</w:t>
      </w:r>
      <w:r w:rsidRPr="00E05DB3">
        <w:rPr>
          <w:rFonts w:ascii="Arial" w:hAnsi="Arial"/>
          <w:color w:val="000000"/>
          <w:sz w:val="22"/>
          <w:szCs w:val="22"/>
          <w:lang w:val="ru-RU"/>
        </w:rPr>
        <w:t xml:space="preserve"> Исполнительного секретаря за весьма исчерпывающий доклад;</w:t>
      </w:r>
    </w:p>
    <w:p w14:paraId="214546B1" w14:textId="1776C667" w:rsidR="00F750EE" w:rsidRPr="00E05DB3" w:rsidRDefault="00F750EE" w:rsidP="00C336ED">
      <w:pPr>
        <w:tabs>
          <w:tab w:val="clear" w:pos="709"/>
        </w:tabs>
        <w:spacing w:after="240"/>
        <w:jc w:val="left"/>
        <w:rPr>
          <w:rFonts w:ascii="Arial" w:hAnsi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принимает к сведению</w:t>
      </w:r>
      <w:r w:rsidRPr="00E05DB3">
        <w:rPr>
          <w:rFonts w:ascii="Arial" w:hAnsi="Arial"/>
          <w:sz w:val="22"/>
          <w:szCs w:val="22"/>
          <w:lang w:val="ru-RU"/>
        </w:rPr>
        <w:t xml:space="preserve"> представленную информацию, с удовлетворением отмечая значимые положительные изменения во многих областях программной деятельности</w:t>
      </w:r>
      <w:r w:rsidR="006A78B3" w:rsidRPr="00E05DB3">
        <w:rPr>
          <w:rFonts w:ascii="Arial" w:hAnsi="Arial"/>
          <w:sz w:val="22"/>
          <w:szCs w:val="22"/>
          <w:lang w:val="ru-RU"/>
        </w:rPr>
        <w:t>.</w:t>
      </w:r>
    </w:p>
    <w:p w14:paraId="57EE55DD" w14:textId="4BD763AA" w:rsidR="000E5026" w:rsidRPr="00E05DB3" w:rsidRDefault="000E5026" w:rsidP="000E5026">
      <w:pPr>
        <w:keepNext/>
        <w:spacing w:after="240"/>
        <w:jc w:val="center"/>
        <w:rPr>
          <w:rFonts w:ascii="Arial" w:hAnsi="Arial" w:cs="Arial"/>
          <w:bCs/>
          <w:i/>
          <w:iCs/>
          <w:sz w:val="22"/>
          <w:szCs w:val="22"/>
          <w:u w:val="single"/>
          <w:lang w:val="ru-RU"/>
        </w:rPr>
      </w:pPr>
      <w:bookmarkStart w:id="3" w:name="_Hlk89095957"/>
      <w:r w:rsidRPr="00E05DB3">
        <w:rPr>
          <w:rFonts w:ascii="Arial" w:hAnsi="Arial"/>
          <w:bCs/>
          <w:sz w:val="22"/>
          <w:szCs w:val="22"/>
          <w:u w:val="single"/>
          <w:lang w:val="ru-RU"/>
        </w:rPr>
        <w:lastRenderedPageBreak/>
        <w:t>Решение МОК EC-57/3.2.1</w:t>
      </w:r>
    </w:p>
    <w:p w14:paraId="6D60DA9F" w14:textId="4017BCC0" w:rsidR="000E5026" w:rsidRPr="00E05DB3" w:rsidRDefault="000E5026" w:rsidP="000E5026">
      <w:pPr>
        <w:spacing w:after="240"/>
        <w:ind w:left="32" w:hanging="32"/>
        <w:jc w:val="center"/>
        <w:rPr>
          <w:rFonts w:ascii="Arial" w:hAnsi="Arial" w:cs="Arial"/>
          <w:b/>
          <w:bCs/>
          <w:iCs/>
          <w:sz w:val="22"/>
          <w:szCs w:val="22"/>
          <w:lang w:val="ru-RU"/>
        </w:rPr>
      </w:pPr>
      <w:r w:rsidRPr="00E05DB3">
        <w:rPr>
          <w:rFonts w:ascii="Arial" w:hAnsi="Arial"/>
          <w:b/>
          <w:bCs/>
          <w:iCs/>
          <w:sz w:val="22"/>
          <w:szCs w:val="22"/>
          <w:lang w:val="ru-RU"/>
        </w:rPr>
        <w:t>Системы предупреждения об опасных явлениях в океане и смягчения их последствий</w:t>
      </w:r>
    </w:p>
    <w:p w14:paraId="37AFEFB6" w14:textId="77777777" w:rsidR="000E5026" w:rsidRPr="00E05DB3" w:rsidRDefault="000E5026" w:rsidP="000E5026">
      <w:pPr>
        <w:tabs>
          <w:tab w:val="clear" w:pos="709"/>
        </w:tabs>
        <w:spacing w:after="240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lang w:val="ru-RU"/>
        </w:rPr>
        <w:t>Исполнительный совет,</w:t>
      </w:r>
    </w:p>
    <w:p w14:paraId="738BECF6" w14:textId="77777777" w:rsidR="000E5026" w:rsidRPr="00E05DB3" w:rsidRDefault="000E5026" w:rsidP="000E5026">
      <w:pPr>
        <w:tabs>
          <w:tab w:val="clear" w:pos="709"/>
        </w:tabs>
        <w:spacing w:after="240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u w:val="single"/>
          <w:lang w:val="ru-RU"/>
        </w:rPr>
        <w:t>рассмотрев</w:t>
      </w:r>
      <w:r w:rsidRPr="00E05DB3">
        <w:rPr>
          <w:rFonts w:ascii="Arial" w:hAnsi="Arial"/>
          <w:iCs/>
          <w:sz w:val="22"/>
          <w:szCs w:val="22"/>
          <w:lang w:val="ru-RU"/>
        </w:rPr>
        <w:t xml:space="preserve"> основные выводы докладов по итогам состоявшихся в последнее время сессий Межправительственной координационной группы по системе предупреждения о цунами и опасности других бедствий в прибрежных районах Карибского бассейна и прилегающих регионах (ICG/CARIBE-EWS-XVII/3s), Межправительственной координационной группы по системе предупреждения о цунами и смягчения их последствий в Северо-Восточной Атлантике, Средиземном и прилегающих морях (ICG/NEAMTWS-XVII/3s), Межправительственной координационной группы по системе предупреждения о цунами и смягчения их последствий в Тихом океане (ICG/PTWS-XXX/3s), а также доклад Рабочей группы по системам предупреждения о цунами и других опасных явлениях, связанных с изменением уровня моря, и смягчения их последствий (TOWS-WG-XVII),</w:t>
      </w:r>
    </w:p>
    <w:p w14:paraId="5A0E7D05" w14:textId="77777777" w:rsidR="000E5026" w:rsidRPr="00E05DB3" w:rsidRDefault="000E5026" w:rsidP="000E5026">
      <w:pPr>
        <w:tabs>
          <w:tab w:val="clear" w:pos="709"/>
        </w:tabs>
        <w:spacing w:after="240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u w:val="single"/>
          <w:lang w:val="ru-RU"/>
        </w:rPr>
        <w:t>выражает</w:t>
      </w:r>
      <w:r w:rsidRPr="00E05DB3">
        <w:rPr>
          <w:rFonts w:ascii="Arial" w:hAnsi="Arial"/>
          <w:iCs/>
          <w:sz w:val="22"/>
          <w:szCs w:val="22"/>
          <w:lang w:val="ru-RU"/>
        </w:rPr>
        <w:t xml:space="preserve"> солидарность с людьми, которые пострадали в результате землетрясения и цунами, произошедших 1 января 2024 г. в районе полуострова </w:t>
      </w:r>
      <w:proofErr w:type="spellStart"/>
      <w:r w:rsidRPr="00E05DB3">
        <w:rPr>
          <w:rFonts w:ascii="Arial" w:hAnsi="Arial"/>
          <w:iCs/>
          <w:sz w:val="22"/>
          <w:szCs w:val="22"/>
          <w:lang w:val="ru-RU"/>
        </w:rPr>
        <w:t>Ното</w:t>
      </w:r>
      <w:proofErr w:type="spellEnd"/>
      <w:r w:rsidRPr="00E05DB3">
        <w:rPr>
          <w:rFonts w:ascii="Arial" w:hAnsi="Arial"/>
          <w:iCs/>
          <w:sz w:val="22"/>
          <w:szCs w:val="22"/>
          <w:lang w:val="ru-RU"/>
        </w:rPr>
        <w:t xml:space="preserve"> (Япония);</w:t>
      </w:r>
    </w:p>
    <w:p w14:paraId="78DF1921" w14:textId="77777777" w:rsidR="000E5026" w:rsidRPr="00E05DB3" w:rsidRDefault="000E5026" w:rsidP="000E5026">
      <w:pPr>
        <w:tabs>
          <w:tab w:val="clear" w:pos="709"/>
        </w:tabs>
        <w:spacing w:after="240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u w:val="single"/>
          <w:lang w:val="ru-RU"/>
        </w:rPr>
        <w:t>утверждает</w:t>
      </w:r>
      <w:r w:rsidRPr="00E05DB3">
        <w:rPr>
          <w:rFonts w:ascii="Arial" w:hAnsi="Arial"/>
          <w:iCs/>
          <w:sz w:val="22"/>
          <w:szCs w:val="22"/>
          <w:lang w:val="ru-RU"/>
        </w:rPr>
        <w:t xml:space="preserve"> доклады, представленные МКГ/МОК и РГ-СПЦО;</w:t>
      </w:r>
    </w:p>
    <w:p w14:paraId="21D411E8" w14:textId="77777777" w:rsidR="000E5026" w:rsidRPr="00E05DB3" w:rsidRDefault="000E5026" w:rsidP="000E5026">
      <w:pPr>
        <w:tabs>
          <w:tab w:val="clear" w:pos="709"/>
        </w:tabs>
        <w:spacing w:after="240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u w:val="single"/>
          <w:lang w:val="ru-RU"/>
        </w:rPr>
        <w:t>принимает к сведению с удовлетворением</w:t>
      </w:r>
      <w:r w:rsidRPr="00E05DB3">
        <w:rPr>
          <w:rFonts w:ascii="Arial" w:hAnsi="Arial"/>
          <w:iCs/>
          <w:sz w:val="22"/>
          <w:szCs w:val="22"/>
          <w:lang w:val="ru-RU"/>
        </w:rPr>
        <w:t xml:space="preserve"> результаты работы, проделанной в межсессионный период, такие как:</w:t>
      </w:r>
    </w:p>
    <w:p w14:paraId="5FBFC221" w14:textId="1813F3B0" w:rsidR="000E5026" w:rsidRPr="00E05DB3" w:rsidRDefault="000E5026" w:rsidP="000B0A65">
      <w:pPr>
        <w:numPr>
          <w:ilvl w:val="0"/>
          <w:numId w:val="34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проведение в 2022</w:t>
      </w:r>
      <w:r w:rsidR="00CC2ED4" w:rsidRPr="00E05DB3">
        <w:rPr>
          <w:rFonts w:ascii="Arial" w:hAnsi="Arial" w:cs="Arial"/>
          <w:sz w:val="22"/>
          <w:szCs w:val="22"/>
          <w:lang w:val="ru-RU"/>
        </w:rPr>
        <w:t xml:space="preserve"> г.</w:t>
      </w:r>
      <w:r w:rsidRPr="00E05DB3">
        <w:rPr>
          <w:rFonts w:ascii="Arial" w:hAnsi="Arial" w:cs="Arial"/>
          <w:sz w:val="22"/>
          <w:szCs w:val="22"/>
          <w:lang w:val="ru-RU"/>
        </w:rPr>
        <w:t>, 2023</w:t>
      </w:r>
      <w:r w:rsidR="00CC2ED4" w:rsidRPr="00E05DB3">
        <w:rPr>
          <w:rFonts w:ascii="Arial" w:hAnsi="Arial" w:cs="Arial"/>
          <w:sz w:val="22"/>
          <w:szCs w:val="22"/>
          <w:lang w:val="ru-RU"/>
        </w:rPr>
        <w:t xml:space="preserve"> г.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и 2024 г. учений по проверке готовности к цунами: с октября по декабрь 2022 г. – «Тихоокеанская волна», 23 марта 2023 г. </w:t>
      </w:r>
      <w:r w:rsidR="00CC2ED4" w:rsidRPr="00E05DB3">
        <w:rPr>
          <w:rFonts w:ascii="Arial" w:hAnsi="Arial" w:cs="Arial"/>
          <w:sz w:val="22"/>
          <w:szCs w:val="22"/>
          <w:lang w:val="ru-RU"/>
        </w:rPr>
        <w:t>–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в Карибском бассейне («Карибская волна-23»), 4, 11, 18 и 25 октября 2023 г. </w:t>
      </w:r>
      <w:r w:rsidR="00CC2ED4" w:rsidRPr="00E05DB3">
        <w:rPr>
          <w:rFonts w:ascii="Arial" w:hAnsi="Arial" w:cs="Arial"/>
          <w:sz w:val="22"/>
          <w:szCs w:val="22"/>
          <w:lang w:val="ru-RU"/>
        </w:rPr>
        <w:t>–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в Индийском океане («Индийская волна-23»), 6-7 ноября 2023 г. </w:t>
      </w:r>
      <w:r w:rsidR="000B0A65" w:rsidRPr="00E05DB3">
        <w:rPr>
          <w:rFonts w:ascii="Arial" w:hAnsi="Arial" w:cs="Arial"/>
          <w:sz w:val="22"/>
          <w:szCs w:val="22"/>
          <w:lang w:val="ru-RU"/>
        </w:rPr>
        <w:t>–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в Северо-Восточной Атлантике, Средиземном и прилегающих морях  («СВАСМ/Волна-23»), а также 23 марта 2024 г. в Карибском бассейне («Карибская волна-24»);</w:t>
      </w:r>
      <w:r w:rsidR="000B0A65" w:rsidRPr="00E05DB3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5A874574" w14:textId="3DE13162" w:rsidR="000E5026" w:rsidRPr="00E05DB3" w:rsidRDefault="000E5026" w:rsidP="000B0A65">
      <w:pPr>
        <w:numPr>
          <w:ilvl w:val="0"/>
          <w:numId w:val="34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продолжение деятельности научного комитета Программы по цунами в рамках Десятилетия океана (НК-ПЦДО);</w:t>
      </w:r>
    </w:p>
    <w:p w14:paraId="12804856" w14:textId="0BC00DD8" w:rsidR="000E5026" w:rsidRPr="00E05DB3" w:rsidRDefault="000E5026" w:rsidP="000B0A65">
      <w:pPr>
        <w:numPr>
          <w:ilvl w:val="0"/>
          <w:numId w:val="34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 xml:space="preserve">публикация </w:t>
      </w:r>
      <w:r w:rsidRPr="00E05DB3">
        <w:rPr>
          <w:rFonts w:ascii="Arial" w:hAnsi="Arial" w:cs="Arial"/>
          <w:i/>
          <w:sz w:val="22"/>
          <w:szCs w:val="22"/>
          <w:lang w:val="ru-RU"/>
        </w:rPr>
        <w:t>плана исследовательской работы, развертывания и осуществления Программы по цунами в рамках Десятилетия океана (ПИРО-ПЦДО)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(</w:t>
      </w:r>
      <w:r w:rsidRPr="00E05DB3">
        <w:rPr>
          <w:rFonts w:ascii="Arial" w:eastAsia="Arial" w:hAnsi="Arial" w:cs="Arial"/>
          <w:sz w:val="22"/>
          <w:szCs w:val="22"/>
          <w:lang w:val="ru-RU"/>
        </w:rPr>
        <w:t>IOC/2023/TS/180</w:t>
      </w:r>
      <w:r w:rsidRPr="00E05DB3">
        <w:rPr>
          <w:rFonts w:ascii="Arial" w:hAnsi="Arial" w:cs="Arial"/>
          <w:sz w:val="22"/>
          <w:szCs w:val="22"/>
          <w:lang w:val="ru-RU"/>
        </w:rPr>
        <w:t>);</w:t>
      </w:r>
    </w:p>
    <w:p w14:paraId="5E63D2DF" w14:textId="61DFE0AC" w:rsidR="000E5026" w:rsidRPr="00E05DB3" w:rsidRDefault="000E5026" w:rsidP="000B0A65">
      <w:pPr>
        <w:numPr>
          <w:ilvl w:val="0"/>
          <w:numId w:val="34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 xml:space="preserve">публикация доклада </w:t>
      </w:r>
      <w:r w:rsidRPr="00E05DB3">
        <w:rPr>
          <w:rFonts w:ascii="Arial" w:hAnsi="Arial" w:cs="Arial"/>
          <w:i/>
          <w:sz w:val="22"/>
          <w:szCs w:val="22"/>
          <w:lang w:val="ru-RU"/>
        </w:rPr>
        <w:t>«Мониторинг и предупреждение в отношении цунами вулканического происхождения»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</w:t>
      </w:r>
      <w:r w:rsidRPr="00E05DB3">
        <w:rPr>
          <w:rFonts w:ascii="Arial" w:hAnsi="Arial" w:cs="Arial"/>
          <w:color w:val="000000"/>
          <w:sz w:val="22"/>
          <w:szCs w:val="22"/>
          <w:lang w:val="ru-RU"/>
        </w:rPr>
        <w:t>(</w:t>
      </w:r>
      <w:r w:rsidRPr="00E05DB3">
        <w:rPr>
          <w:rFonts w:ascii="Arial" w:eastAsia="Arial" w:hAnsi="Arial" w:cs="Arial"/>
          <w:sz w:val="22"/>
          <w:szCs w:val="22"/>
          <w:lang w:val="ru-RU"/>
        </w:rPr>
        <w:t>IOC/2024/TS/183</w:t>
      </w:r>
      <w:r w:rsidRPr="00E05DB3">
        <w:rPr>
          <w:rFonts w:ascii="Arial" w:hAnsi="Arial" w:cs="Arial"/>
          <w:color w:val="000000"/>
          <w:sz w:val="22"/>
          <w:szCs w:val="22"/>
          <w:lang w:val="ru-RU"/>
        </w:rPr>
        <w:t>)</w:t>
      </w:r>
      <w:r w:rsidRPr="00E05DB3">
        <w:rPr>
          <w:rFonts w:ascii="Arial" w:hAnsi="Arial" w:cs="Arial"/>
          <w:sz w:val="22"/>
          <w:szCs w:val="22"/>
          <w:lang w:val="ru-RU"/>
        </w:rPr>
        <w:t>, подготовленного специальной группой ЦГ-НЦ по цунами, вызванным извержением вулканов;</w:t>
      </w:r>
    </w:p>
    <w:p w14:paraId="369DA7BA" w14:textId="77B1832C" w:rsidR="000E5026" w:rsidRPr="00E05DB3" w:rsidRDefault="000E5026" w:rsidP="000B0A65">
      <w:pPr>
        <w:numPr>
          <w:ilvl w:val="0"/>
          <w:numId w:val="34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 xml:space="preserve">представление обновленной информации о совещаниях МГГС, организованных в 2023-2024 гг., в том числе об участии членов МГГС в заседании НК-ПЦДО (25 января 2024 г.), о сотрудничестве в организации 11 сентября 2023 г. в ходе 30-й сессии МКГ/СПЦТО восьмого технического семинара МКГ/СПЦТО и Совместной комиссии МСГГ по цунами, посвященного осмыслению и обобщению уроков, извлеченных в связи с цунами, вызванным извержением вулкана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Хунга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>-Тонга-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Хунга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>-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Хаапай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 15 января 2022 г., о планируемом участии МГГС во </w:t>
      </w:r>
      <w:r w:rsidRPr="00E05DB3">
        <w:rPr>
          <w:rFonts w:ascii="Arial" w:eastAsia="Arial" w:hAnsi="Arial" w:cs="Arial"/>
          <w:sz w:val="22"/>
          <w:szCs w:val="22"/>
          <w:lang w:val="ru-RU"/>
        </w:rPr>
        <w:t>втором международном симпозиуме ЮНЕСКО-МОК по цунами на тему «Осмысление двух десятилетий по прошествии цунами 2004 г. в Индийском океане»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(11-14 ноября 2024 г.), и об участии МГГС в подготовке ряда докладов, в том числе доклада  </w:t>
      </w:r>
      <w:r w:rsidRPr="00E05DB3">
        <w:rPr>
          <w:rFonts w:ascii="Arial" w:eastAsia="Arial" w:hAnsi="Arial" w:cs="Arial"/>
          <w:sz w:val="22"/>
          <w:szCs w:val="22"/>
          <w:lang w:val="ru-RU"/>
        </w:rPr>
        <w:t>IOC/2024/TS/183</w:t>
      </w:r>
      <w:r w:rsidRPr="00E05DB3">
        <w:rPr>
          <w:rFonts w:ascii="Arial" w:hAnsi="Arial" w:cs="Arial"/>
          <w:sz w:val="22"/>
          <w:szCs w:val="22"/>
          <w:lang w:val="ru-RU"/>
        </w:rPr>
        <w:t>;</w:t>
      </w:r>
    </w:p>
    <w:p w14:paraId="593867EE" w14:textId="1057D8DF" w:rsidR="000E5026" w:rsidRPr="00E05DB3" w:rsidRDefault="000E5026" w:rsidP="000B0A65">
      <w:pPr>
        <w:numPr>
          <w:ilvl w:val="0"/>
          <w:numId w:val="34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color w:val="000000"/>
          <w:sz w:val="22"/>
          <w:szCs w:val="22"/>
          <w:lang w:val="ru-RU"/>
        </w:rPr>
        <w:t xml:space="preserve">взаимодействие МЦИЦ и МКГ/СПЦТО в ходе разработки для СПЦТО </w:t>
      </w:r>
      <w:r w:rsidRPr="00E05DB3">
        <w:rPr>
          <w:rFonts w:ascii="Arial" w:eastAsia="Arial" w:hAnsi="Arial" w:cs="Arial"/>
          <w:sz w:val="22"/>
          <w:szCs w:val="22"/>
          <w:lang w:val="ru-RU"/>
        </w:rPr>
        <w:t>рамочных требований к уровню компетентности сотрудников НЦПЦ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и работа, проведенная </w:t>
      </w:r>
      <w:r w:rsidRPr="00E05DB3">
        <w:rPr>
          <w:rFonts w:ascii="Arial" w:hAnsi="Arial" w:cs="Arial"/>
          <w:sz w:val="22"/>
          <w:szCs w:val="22"/>
          <w:lang w:val="ru-RU"/>
        </w:rPr>
        <w:lastRenderedPageBreak/>
        <w:t>МЦИЦ с целью составления и тестирования учебного курса по минимальным требованиям к уровню компетенции сотрудников НЦПЦ</w:t>
      </w:r>
      <w:r w:rsidRPr="00E05DB3">
        <w:rPr>
          <w:rFonts w:ascii="Arial" w:hAnsi="Arial" w:cs="Arial"/>
          <w:color w:val="000000"/>
          <w:sz w:val="22"/>
          <w:szCs w:val="22"/>
          <w:lang w:val="ru-RU"/>
        </w:rPr>
        <w:t>;</w:t>
      </w:r>
    </w:p>
    <w:p w14:paraId="63F7FBBC" w14:textId="11B912FD" w:rsidR="000E5026" w:rsidRPr="00E05DB3" w:rsidRDefault="000E5026" w:rsidP="000B0A65">
      <w:pPr>
        <w:numPr>
          <w:ilvl w:val="0"/>
          <w:numId w:val="34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color w:val="000000"/>
          <w:sz w:val="22"/>
          <w:szCs w:val="22"/>
          <w:lang w:val="ru-RU"/>
        </w:rPr>
        <w:t xml:space="preserve">большая подготовительная работа и оказание поддержки Агентству по метеорологии, климатологии и геофизике (АМКГ) Индонезии в проведении </w:t>
      </w:r>
      <w:r w:rsidRPr="00E05DB3">
        <w:rPr>
          <w:rFonts w:ascii="Arial" w:eastAsia="Arial" w:hAnsi="Arial" w:cs="Arial"/>
          <w:sz w:val="22"/>
          <w:szCs w:val="22"/>
          <w:lang w:val="ru-RU"/>
        </w:rPr>
        <w:t>второго международного симпозиума МОК/ЮНЕСКО по проблематике цунами</w:t>
      </w:r>
      <w:r w:rsidRPr="00E05DB3">
        <w:rPr>
          <w:rFonts w:ascii="Arial" w:hAnsi="Arial" w:cs="Arial"/>
          <w:color w:val="000000"/>
          <w:sz w:val="22"/>
          <w:szCs w:val="22"/>
          <w:lang w:val="ru-RU"/>
        </w:rPr>
        <w:t xml:space="preserve"> (</w:t>
      </w:r>
      <w:proofErr w:type="gramStart"/>
      <w:r w:rsidRPr="00E05DB3">
        <w:rPr>
          <w:rFonts w:ascii="Arial" w:hAnsi="Arial" w:cs="Arial"/>
          <w:color w:val="000000"/>
          <w:sz w:val="22"/>
          <w:szCs w:val="22"/>
          <w:lang w:val="ru-RU"/>
        </w:rPr>
        <w:t>11-14</w:t>
      </w:r>
      <w:proofErr w:type="gramEnd"/>
      <w:r w:rsidRPr="00E05DB3">
        <w:rPr>
          <w:rFonts w:ascii="Arial" w:hAnsi="Arial" w:cs="Arial"/>
          <w:color w:val="000000"/>
          <w:sz w:val="22"/>
          <w:szCs w:val="22"/>
          <w:lang w:val="ru-RU"/>
        </w:rPr>
        <w:t xml:space="preserve"> ноября 2024</w:t>
      </w:r>
      <w:r w:rsidR="000B0A65" w:rsidRPr="00E05DB3">
        <w:rPr>
          <w:rFonts w:ascii="Arial" w:hAnsi="Arial" w:cs="Arial"/>
          <w:color w:val="000000"/>
          <w:sz w:val="22"/>
          <w:szCs w:val="22"/>
          <w:lang w:val="ru-RU"/>
        </w:rPr>
        <w:t> </w:t>
      </w:r>
      <w:r w:rsidRPr="00E05DB3">
        <w:rPr>
          <w:rFonts w:ascii="Arial" w:hAnsi="Arial" w:cs="Arial"/>
          <w:color w:val="000000"/>
          <w:sz w:val="22"/>
          <w:szCs w:val="22"/>
          <w:lang w:val="ru-RU"/>
        </w:rPr>
        <w:t>г., Банда-Ачех, Индонезия);</w:t>
      </w:r>
    </w:p>
    <w:p w14:paraId="3B81592D" w14:textId="77777777" w:rsidR="000E5026" w:rsidRPr="00E05DB3" w:rsidRDefault="000E5026" w:rsidP="000B0A65">
      <w:pPr>
        <w:numPr>
          <w:ilvl w:val="0"/>
          <w:numId w:val="34"/>
        </w:numPr>
        <w:tabs>
          <w:tab w:val="clear" w:pos="709"/>
          <w:tab w:val="left" w:pos="1418"/>
        </w:tabs>
        <w:spacing w:after="240"/>
        <w:ind w:left="1134" w:hanging="567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усилия ЦГ-НЦ по разработке адаптированных бюллетеней ПДСЦ для морского сообщества в консультации с подкомитетом Международной гидрографической организации (МГО) по всемирной службе навигационных предупреждений (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Пк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>-ВСНП);</w:t>
      </w:r>
    </w:p>
    <w:p w14:paraId="6C46F32E" w14:textId="77777777" w:rsidR="000E5026" w:rsidRPr="00E05DB3" w:rsidRDefault="000E5026" w:rsidP="000B0A65">
      <w:pPr>
        <w:numPr>
          <w:ilvl w:val="0"/>
          <w:numId w:val="34"/>
        </w:numPr>
        <w:tabs>
          <w:tab w:val="clear" w:pos="709"/>
          <w:tab w:val="left" w:pos="1418"/>
        </w:tabs>
        <w:spacing w:after="240"/>
        <w:ind w:left="1134" w:hanging="567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активное участие центров информации о цунами (ЦИЦ) в деятельности целевой группы по ликвидации последствий стихийных бедствий и обеспечению готовности к ним (ЦГ-ЛПГ) и целевой группы по наблюдению за цунами (ЦГ-НЦ);</w:t>
      </w:r>
    </w:p>
    <w:p w14:paraId="78EC11C3" w14:textId="79CD797D" w:rsidR="000E5026" w:rsidRPr="00E05DB3" w:rsidRDefault="000E5026" w:rsidP="000B0A65">
      <w:pPr>
        <w:numPr>
          <w:ilvl w:val="0"/>
          <w:numId w:val="34"/>
        </w:numPr>
        <w:tabs>
          <w:tab w:val="clear" w:pos="709"/>
          <w:tab w:val="left" w:pos="1418"/>
        </w:tabs>
        <w:spacing w:after="240"/>
        <w:ind w:left="1134" w:hanging="567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активное участие центров информации о цунами (ЦИЦ) в  повышении осведомленности и готовности населения в целях эффективного реагирования на предупреж</w:t>
      </w:r>
      <w:r w:rsidR="000B0A65" w:rsidRPr="00E05DB3">
        <w:rPr>
          <w:rFonts w:ascii="Arial" w:hAnsi="Arial" w:cs="Arial"/>
          <w:sz w:val="22"/>
          <w:szCs w:val="22"/>
          <w:lang w:val="ru-RU"/>
        </w:rPr>
        <w:softHyphen/>
      </w:r>
      <w:r w:rsidRPr="00E05DB3">
        <w:rPr>
          <w:rFonts w:ascii="Arial" w:hAnsi="Arial" w:cs="Arial"/>
          <w:sz w:val="22"/>
          <w:szCs w:val="22"/>
          <w:lang w:val="ru-RU"/>
        </w:rPr>
        <w:t>дения о цунами, критически важная поддержка, оказанная государствам-членам в вопросах содействия в обеспечении готовности к цунами и устойчивости к их воздействию, а также последовательное осуществление планов работы РГ-СПЦО и ее целевых групп в составе общей целевой группы;</w:t>
      </w:r>
    </w:p>
    <w:p w14:paraId="13724EF8" w14:textId="77777777" w:rsidR="000E5026" w:rsidRPr="00E05DB3" w:rsidRDefault="000E5026" w:rsidP="000B0A65">
      <w:pPr>
        <w:numPr>
          <w:ilvl w:val="0"/>
          <w:numId w:val="34"/>
        </w:numPr>
        <w:tabs>
          <w:tab w:val="clear" w:pos="709"/>
          <w:tab w:val="left" w:pos="1418"/>
        </w:tabs>
        <w:spacing w:after="240"/>
        <w:ind w:left="1134" w:hanging="567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устойчивый прогресс в осуществлении Программы МОК/ЮНЕСКО по сертификации готовности к цунами (ПСГЦ) в Карибском бассейне, Индийском океане, Тихоокеанском регионе и в регионе СВАСМ, а также проведенная МЦИЦ работа с целью размещения на его сервере сайта ПСГЦ;</w:t>
      </w:r>
    </w:p>
    <w:p w14:paraId="234C2D94" w14:textId="6B61163A" w:rsidR="000E5026" w:rsidRPr="00E05DB3" w:rsidRDefault="000E5026" w:rsidP="000B0A65">
      <w:pPr>
        <w:numPr>
          <w:ilvl w:val="0"/>
          <w:numId w:val="34"/>
        </w:numPr>
        <w:tabs>
          <w:tab w:val="clear" w:pos="709"/>
          <w:tab w:val="left" w:pos="1418"/>
        </w:tabs>
        <w:spacing w:after="240"/>
        <w:ind w:left="1134" w:hanging="567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 xml:space="preserve">в регионе Северо-Восточной Атлантики, Средиземного и прилегающих морей сертификат «К цунами готов» впервые во Франции получил муниципалитет г. Канны (департамент Приморские Альпы), в регионе Индийского океана им были удостоены муниципальные образования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Нагари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Тапаких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 (Индонезия), в Карибском бассейне –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Крайст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-Черч-Уэст (Барбадос),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Кауита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 (центральный округ Сент-Джеймс, Коста-Рика), Портсмут (Доминика),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Дешайес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 (Гваделупа),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Лабори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 (Сент-Люсия) и Сент-Джордж (Сент-Винсент и Гренадины), в Тихоокеанском регионе –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Доминикаль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Доминикалито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 и Бару, Плайя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Эрмоса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, Пуэрто-Хименес и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Тививес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 (Коста-Рика),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Навуэву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 и Сила (Фиджи), муниципалитет Вено и штат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Понпеи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 (Федеративные Штаты Микронезии);</w:t>
      </w:r>
    </w:p>
    <w:p w14:paraId="3C7D440F" w14:textId="0FF93641" w:rsidR="000E5026" w:rsidRPr="00E05DB3" w:rsidRDefault="000E5026" w:rsidP="000B0A65">
      <w:pPr>
        <w:numPr>
          <w:ilvl w:val="0"/>
          <w:numId w:val="34"/>
        </w:numPr>
        <w:tabs>
          <w:tab w:val="clear" w:pos="709"/>
          <w:tab w:val="left" w:pos="1418"/>
        </w:tabs>
        <w:spacing w:after="240"/>
        <w:ind w:left="1134" w:hanging="567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успехи, достигнутые МКГ/СПЦТО в отношении изыскания возможностей включения национальных проектов и инициатив, связанных с обеспечением подготовки и готовности к цунами, в программу Десятилетия океана ООН, а также то, что вариант использования эквивалентов сертификата «К цунами готов», предусмотренный в рамках других аналогичных инициатив, призван обеспечить возможность представления отчетности о готовности к цунами в соответствии с Программой МОК ЮНЕСКО по сертификации готовности к цунами (ПСГЦ) на основе действующих в государствах рамочных положений и требований;</w:t>
      </w:r>
    </w:p>
    <w:p w14:paraId="2CA8BD41" w14:textId="66A31801" w:rsidR="000E5026" w:rsidRPr="00E05DB3" w:rsidRDefault="000E5026" w:rsidP="000B0A65">
      <w:pPr>
        <w:numPr>
          <w:ilvl w:val="0"/>
          <w:numId w:val="34"/>
        </w:numPr>
        <w:tabs>
          <w:tab w:val="clear" w:pos="709"/>
          <w:tab w:val="left" w:pos="1418"/>
        </w:tabs>
        <w:spacing w:after="240"/>
        <w:ind w:left="1134" w:hanging="567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продолжившееся в 2023 г. сотрудничество между УСРБ ООН и МОК ЮНЕСКО в организации мероприятий, приуроченных ко Всемирному дню распространения информации о проблеме цунами (ВДИПЦ), а также успехи в расширении информационно-просветительской кампании #GetToHighGround («Доберись до возвышенности») с принятием практических мер по всему миру;</w:t>
      </w:r>
    </w:p>
    <w:p w14:paraId="60713D3B" w14:textId="77777777" w:rsidR="000E5026" w:rsidRPr="00E05DB3" w:rsidRDefault="000E5026" w:rsidP="000B0A65">
      <w:pPr>
        <w:numPr>
          <w:ilvl w:val="0"/>
          <w:numId w:val="34"/>
        </w:numPr>
        <w:tabs>
          <w:tab w:val="clear" w:pos="709"/>
          <w:tab w:val="left" w:pos="1418"/>
        </w:tabs>
        <w:spacing w:after="240"/>
        <w:ind w:left="1134" w:hanging="567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lastRenderedPageBreak/>
        <w:t xml:space="preserve">работа, проведенная в Индонезии на нескольких видах объектов критической инфраструктуры: (1) обеспечение готовности к цунами международного аэропорта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Джокьякарты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>, (2) обеспечение готовности к цунами гостиницы на о. Бали и (3) учет потребностей промышленной зоны в плане готовности к цунами, на основе опыта промышленной зоны г. 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Чилегон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>. Проведенная работа может послужить основой для разработки методического руководства по вопросам обеспечения готовности к цунами объектов критической инфраструктуры в рамках усилий по достижению цели № 2 ПЦДО, предусматривающей обеспечить к 2030 г. 100-процентную готовность населения, проживающего в зонах риска, к цунами и их последствиям;</w:t>
      </w:r>
    </w:p>
    <w:p w14:paraId="7346D95F" w14:textId="77777777" w:rsidR="000E5026" w:rsidRPr="00E05DB3" w:rsidRDefault="000E5026" w:rsidP="000B0A65">
      <w:pPr>
        <w:numPr>
          <w:ilvl w:val="0"/>
          <w:numId w:val="34"/>
        </w:numPr>
        <w:tabs>
          <w:tab w:val="clear" w:pos="709"/>
          <w:tab w:val="left" w:pos="1418"/>
        </w:tabs>
        <w:spacing w:after="240"/>
        <w:ind w:left="1134" w:hanging="567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 xml:space="preserve">существенное улучшение положения дел и соответствие стандарту ISO 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22328-3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 в Индонезии (Наличие на местах систем раннего предупреждения о цунами) с ориентацией на обеспечение готовности к цунами крупных предприятий частного сектора;</w:t>
      </w:r>
    </w:p>
    <w:p w14:paraId="000E02A8" w14:textId="77777777" w:rsidR="000E5026" w:rsidRPr="00E05DB3" w:rsidRDefault="000E5026" w:rsidP="00E600AF">
      <w:pPr>
        <w:spacing w:after="120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u w:val="single"/>
          <w:lang w:val="ru-RU"/>
        </w:rPr>
        <w:t>принимает также к сведению с удовлетворением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деятельность Японского агентства по международному сотрудничеству (ЯАМС), направленную на уменьшение потенциальной опасности стихийных бедствий (УОБ) и создание систем раннего предупреждения о цунами и смягчения их последствий, и </w:t>
      </w:r>
      <w:r w:rsidRPr="00E05DB3">
        <w:rPr>
          <w:rFonts w:ascii="Arial" w:hAnsi="Arial" w:cs="Arial"/>
          <w:sz w:val="22"/>
          <w:szCs w:val="22"/>
          <w:u w:val="single"/>
          <w:lang w:val="ru-RU"/>
        </w:rPr>
        <w:t>призывает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к более тесному сотрудничеству с ЯАМС;</w:t>
      </w:r>
    </w:p>
    <w:p w14:paraId="3488A54C" w14:textId="77777777" w:rsidR="000E5026" w:rsidRPr="00E05DB3" w:rsidRDefault="000E5026" w:rsidP="00E600AF">
      <w:pPr>
        <w:spacing w:after="120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u w:val="single"/>
          <w:lang w:val="ru-RU"/>
        </w:rPr>
        <w:t>принимает далее к сведению с удовлетворением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важные обязательства, взятые на себя Барбадосом, Индонезией и США, по размещению у себя КЦИЦ, ЦИЦИО и МЦИЦ в поддержку усилий МКГ, а также обязательство Австралии стать страной местонахождения офиса секретариата МКГ/СПЦСПИО;</w:t>
      </w:r>
    </w:p>
    <w:p w14:paraId="793A2C46" w14:textId="77777777" w:rsidR="000E5026" w:rsidRPr="00E05DB3" w:rsidRDefault="000E5026" w:rsidP="004936D2">
      <w:pPr>
        <w:spacing w:after="240"/>
        <w:rPr>
          <w:rFonts w:ascii="Arial" w:hAnsi="Arial" w:cs="Arial"/>
          <w:b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u w:val="single"/>
          <w:lang w:val="ru-RU"/>
        </w:rPr>
        <w:t>приветствует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назначение новых должностных лиц в состав МКГ/СПЦСВАСМ и МКГ/СПЦТО на двухлетний период соответственно 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2024-2025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 гг. и 2023-2025 гг.;</w:t>
      </w:r>
    </w:p>
    <w:p w14:paraId="49B0C4F7" w14:textId="77777777" w:rsidR="004936D2" w:rsidRPr="00E05DB3" w:rsidRDefault="000E5026" w:rsidP="004936D2">
      <w:pPr>
        <w:spacing w:after="240"/>
        <w:ind w:left="357"/>
        <w:jc w:val="center"/>
        <w:rPr>
          <w:rFonts w:ascii="Arial" w:hAnsi="Arial"/>
          <w:b/>
          <w:color w:val="0E101A"/>
          <w:sz w:val="22"/>
          <w:szCs w:val="22"/>
          <w:lang w:val="ru-RU"/>
        </w:rPr>
      </w:pPr>
      <w:r w:rsidRPr="00E05DB3">
        <w:rPr>
          <w:rFonts w:ascii="Arial" w:hAnsi="Arial"/>
          <w:b/>
          <w:color w:val="0E101A"/>
          <w:sz w:val="22"/>
          <w:szCs w:val="22"/>
          <w:lang w:val="ru-RU"/>
        </w:rPr>
        <w:t>Часть I:</w:t>
      </w:r>
    </w:p>
    <w:p w14:paraId="47C174D6" w14:textId="7639AD79" w:rsidR="000E5026" w:rsidRPr="00E05DB3" w:rsidRDefault="000E5026" w:rsidP="004936D2">
      <w:pPr>
        <w:spacing w:after="240"/>
        <w:ind w:left="360"/>
        <w:jc w:val="center"/>
        <w:rPr>
          <w:rFonts w:ascii="Arial" w:hAnsi="Arial" w:cs="Arial"/>
          <w:b/>
          <w:color w:val="0E101A"/>
          <w:sz w:val="22"/>
          <w:szCs w:val="22"/>
          <w:lang w:val="ru-RU"/>
        </w:rPr>
      </w:pPr>
      <w:r w:rsidRPr="00E05DB3">
        <w:rPr>
          <w:rFonts w:ascii="Arial" w:hAnsi="Arial"/>
          <w:b/>
          <w:sz w:val="22"/>
          <w:szCs w:val="22"/>
          <w:lang w:val="ru-RU"/>
        </w:rPr>
        <w:t xml:space="preserve">Межправительственная координационная группа по системе предупреждения о </w:t>
      </w:r>
      <w:r w:rsidR="004936D2" w:rsidRPr="00E05DB3">
        <w:rPr>
          <w:rFonts w:ascii="Arial" w:hAnsi="Arial"/>
          <w:b/>
          <w:sz w:val="22"/>
          <w:szCs w:val="22"/>
          <w:lang w:val="ru-RU"/>
        </w:rPr>
        <w:br/>
      </w:r>
      <w:r w:rsidRPr="00E05DB3">
        <w:rPr>
          <w:rFonts w:ascii="Arial" w:hAnsi="Arial"/>
          <w:b/>
          <w:sz w:val="22"/>
          <w:szCs w:val="22"/>
          <w:lang w:val="ru-RU"/>
        </w:rPr>
        <w:t xml:space="preserve">цунами и опасности других бедствий в прибрежных районах Карибского </w:t>
      </w:r>
      <w:r w:rsidRPr="00E05DB3">
        <w:rPr>
          <w:rFonts w:ascii="Arial" w:hAnsi="Arial"/>
          <w:b/>
          <w:sz w:val="22"/>
          <w:szCs w:val="22"/>
          <w:lang w:val="ru-RU"/>
        </w:rPr>
        <w:br/>
        <w:t xml:space="preserve">бассейна и </w:t>
      </w:r>
      <w:r w:rsidRPr="00E05DB3">
        <w:rPr>
          <w:rFonts w:ascii="Arial" w:hAnsi="Arial" w:cs="Arial"/>
          <w:b/>
          <w:sz w:val="22"/>
          <w:szCs w:val="22"/>
          <w:lang w:val="ru-RU"/>
        </w:rPr>
        <w:t>прилегающих регионах (МКГ/КАРИБ-СРП)</w:t>
      </w:r>
    </w:p>
    <w:p w14:paraId="5BD00DF0" w14:textId="77777777" w:rsidR="000E5026" w:rsidRPr="00E05DB3" w:rsidRDefault="000E5026" w:rsidP="004936D2">
      <w:pPr>
        <w:spacing w:after="240"/>
        <w:rPr>
          <w:rFonts w:ascii="Arial" w:hAnsi="Arial" w:cs="Arial"/>
          <w:b/>
          <w:color w:val="0E101A"/>
          <w:sz w:val="22"/>
          <w:szCs w:val="22"/>
          <w:lang w:val="ru-RU"/>
        </w:rPr>
      </w:pPr>
      <w:r w:rsidRPr="00E05DB3">
        <w:rPr>
          <w:rFonts w:ascii="Arial" w:hAnsi="Arial" w:cs="Arial"/>
          <w:color w:val="000000"/>
          <w:sz w:val="22"/>
          <w:szCs w:val="22"/>
          <w:u w:val="single"/>
          <w:lang w:val="ru-RU"/>
        </w:rPr>
        <w:t>принимает к сведению с удовлетворением</w:t>
      </w:r>
      <w:r w:rsidRPr="00E05DB3">
        <w:rPr>
          <w:rFonts w:ascii="Arial" w:hAnsi="Arial" w:cs="Arial"/>
          <w:color w:val="000000"/>
          <w:sz w:val="22"/>
          <w:szCs w:val="22"/>
          <w:lang w:val="ru-RU"/>
        </w:rPr>
        <w:t>:</w:t>
      </w:r>
    </w:p>
    <w:p w14:paraId="57B388AD" w14:textId="77777777" w:rsidR="000E5026" w:rsidRPr="00E05DB3" w:rsidRDefault="000E5026" w:rsidP="004936D2">
      <w:pPr>
        <w:numPr>
          <w:ilvl w:val="0"/>
          <w:numId w:val="39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bCs/>
          <w:color w:val="0E101A"/>
          <w:sz w:val="22"/>
          <w:szCs w:val="22"/>
          <w:lang w:val="ru-RU"/>
        </w:rPr>
      </w:pPr>
      <w:r w:rsidRPr="00E05DB3">
        <w:rPr>
          <w:rFonts w:ascii="Arial" w:hAnsi="Arial" w:cs="Arial"/>
          <w:bCs/>
          <w:color w:val="0E101A"/>
          <w:sz w:val="22"/>
          <w:szCs w:val="22"/>
          <w:lang w:val="ru-RU"/>
        </w:rPr>
        <w:t>создание руководящего комитета МКГ/КАРИБ-СРП в качестве эффективного инструмента управления, ориентированного на результат, в частности в отношении обеспечения надзора за выполнением его решений и рекомендаций, представляющее собой в числе прочего шаг в направлении унификации глобальных структур управления МКГ;</w:t>
      </w:r>
    </w:p>
    <w:p w14:paraId="1D8F428C" w14:textId="77777777" w:rsidR="000E5026" w:rsidRPr="00E05DB3" w:rsidRDefault="000E5026" w:rsidP="004936D2">
      <w:pPr>
        <w:numPr>
          <w:ilvl w:val="0"/>
          <w:numId w:val="39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bCs/>
          <w:color w:val="0E101A"/>
          <w:sz w:val="22"/>
          <w:szCs w:val="22"/>
          <w:lang w:val="ru-RU"/>
        </w:rPr>
      </w:pPr>
      <w:r w:rsidRPr="00E05DB3">
        <w:rPr>
          <w:rFonts w:ascii="Arial" w:hAnsi="Arial" w:cs="Arial"/>
          <w:bCs/>
          <w:color w:val="0E101A"/>
          <w:sz w:val="22"/>
          <w:szCs w:val="22"/>
          <w:lang w:val="ru-RU"/>
        </w:rPr>
        <w:t>продолжающееся полноценное функционирование на временной основе Консультативного центра по цунами для региона Центральной Америки (КЦЦЦА) и решение МКГ/КАРИБ-СРП о том, чтобы рассмотреть на своей 18-й сессии в 2025 г. вопрос об использовании КЦЦЦА в качестве провайдера данных слежения за цунами (ПДСЦ), с тем чтобы в июне 2025 г. Ассамблея МОК могла принять окончательное решение по этому вопросу;</w:t>
      </w:r>
    </w:p>
    <w:p w14:paraId="1BF8A557" w14:textId="77777777" w:rsidR="000E5026" w:rsidRPr="00E05DB3" w:rsidRDefault="000E5026" w:rsidP="004936D2">
      <w:pPr>
        <w:numPr>
          <w:ilvl w:val="0"/>
          <w:numId w:val="39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bCs/>
          <w:color w:val="0E101A"/>
          <w:sz w:val="22"/>
          <w:szCs w:val="22"/>
          <w:lang w:val="ru-RU"/>
        </w:rPr>
      </w:pPr>
      <w:r w:rsidRPr="00E05DB3">
        <w:rPr>
          <w:rFonts w:ascii="Arial" w:hAnsi="Arial" w:cs="Arial"/>
          <w:bCs/>
          <w:color w:val="0E101A"/>
          <w:sz w:val="22"/>
          <w:szCs w:val="22"/>
          <w:lang w:val="ru-RU"/>
        </w:rPr>
        <w:t>запланированное проведение учений «Карибская волна-2025»;</w:t>
      </w:r>
    </w:p>
    <w:p w14:paraId="2CEBC217" w14:textId="77777777" w:rsidR="000E5026" w:rsidRPr="00E05DB3" w:rsidRDefault="000E5026" w:rsidP="004936D2">
      <w:pPr>
        <w:numPr>
          <w:ilvl w:val="0"/>
          <w:numId w:val="39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bCs/>
          <w:color w:val="0E101A"/>
          <w:sz w:val="22"/>
          <w:szCs w:val="22"/>
          <w:lang w:val="ru-RU"/>
        </w:rPr>
      </w:pPr>
      <w:r w:rsidRPr="00E05DB3">
        <w:rPr>
          <w:rFonts w:ascii="Arial" w:hAnsi="Arial" w:cs="Arial"/>
          <w:bCs/>
          <w:color w:val="0E101A"/>
          <w:sz w:val="22"/>
          <w:szCs w:val="22"/>
          <w:lang w:val="ru-RU"/>
        </w:rPr>
        <w:t xml:space="preserve">создание целевой группы по сертификации готовности к цунами с учетом актуальности продолжения ориентации усилий на выявлении и использовании соответствующих стратегий в Карибском бассейне и прилегающих регионах для достижения второй цели Программы ООН по цунами в рамках Десятилетия, посвященного науке об океане, предусматривающей, что к 2030 г. 100% подверженных риску цунами территориальных сообществ будут подготовлены и способны противостоять </w:t>
      </w:r>
      <w:r w:rsidRPr="00E05DB3">
        <w:rPr>
          <w:rFonts w:ascii="Arial" w:hAnsi="Arial" w:cs="Arial"/>
          <w:bCs/>
          <w:color w:val="0E101A"/>
          <w:sz w:val="22"/>
          <w:szCs w:val="22"/>
          <w:lang w:val="ru-RU"/>
        </w:rPr>
        <w:lastRenderedPageBreak/>
        <w:t>такой угрозе посредством  реализации инициатив, подобных Программе сертификации готовности к цунами (ПСГЦ);</w:t>
      </w:r>
    </w:p>
    <w:p w14:paraId="6B81AAC5" w14:textId="77777777" w:rsidR="000E5026" w:rsidRPr="00E05DB3" w:rsidRDefault="000E5026" w:rsidP="004936D2">
      <w:pPr>
        <w:numPr>
          <w:ilvl w:val="0"/>
          <w:numId w:val="39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bCs/>
          <w:color w:val="0E101A"/>
          <w:sz w:val="22"/>
          <w:szCs w:val="22"/>
          <w:lang w:val="ru-RU"/>
        </w:rPr>
      </w:pPr>
      <w:r w:rsidRPr="00E05DB3">
        <w:rPr>
          <w:rFonts w:ascii="Arial" w:hAnsi="Arial" w:cs="Arial"/>
          <w:bCs/>
          <w:color w:val="0E101A"/>
          <w:sz w:val="22"/>
          <w:szCs w:val="22"/>
          <w:lang w:val="ru-RU"/>
        </w:rPr>
        <w:t>возможность проведения МКГ/КАРИБ-СРП начиная с 2026 г. и в последующий период своих сессий в очном формате только один раз в два года и один раз в два года проводить их в онлайновом режиме, отмечая при этом стремление ЮНЕСКО уменьшить свой углеродный след для достижения целевого показателя снижения к 2030 г. объема выбросов углерода в атмосферу на 31% в соответствии с целями, установленными в Парижском соглашении;</w:t>
      </w:r>
    </w:p>
    <w:p w14:paraId="2A86C130" w14:textId="77777777" w:rsidR="004936D2" w:rsidRPr="00E05DB3" w:rsidRDefault="000E5026" w:rsidP="004936D2">
      <w:pPr>
        <w:spacing w:after="240"/>
        <w:ind w:left="360"/>
        <w:jc w:val="center"/>
        <w:rPr>
          <w:rFonts w:ascii="Arial" w:hAnsi="Arial" w:cs="Arial"/>
          <w:b/>
          <w:color w:val="0E101A"/>
          <w:sz w:val="22"/>
          <w:szCs w:val="22"/>
          <w:lang w:val="ru-RU"/>
        </w:rPr>
      </w:pPr>
      <w:r w:rsidRPr="00E05DB3">
        <w:rPr>
          <w:rFonts w:ascii="Arial" w:hAnsi="Arial" w:cs="Arial"/>
          <w:b/>
          <w:color w:val="0E101A"/>
          <w:sz w:val="22"/>
          <w:szCs w:val="22"/>
          <w:lang w:val="ru-RU"/>
        </w:rPr>
        <w:t>Часть II:</w:t>
      </w:r>
    </w:p>
    <w:p w14:paraId="3EAEB026" w14:textId="0889D395" w:rsidR="000E5026" w:rsidRPr="00E05DB3" w:rsidRDefault="000E5026" w:rsidP="004936D2">
      <w:pPr>
        <w:spacing w:after="240"/>
        <w:ind w:left="360"/>
        <w:jc w:val="center"/>
        <w:rPr>
          <w:rFonts w:ascii="Arial" w:hAnsi="Arial" w:cs="Arial"/>
          <w:b/>
          <w:color w:val="0E101A"/>
          <w:sz w:val="22"/>
          <w:szCs w:val="22"/>
          <w:lang w:val="ru-RU"/>
        </w:rPr>
      </w:pPr>
      <w:r w:rsidRPr="00E05DB3">
        <w:rPr>
          <w:rFonts w:ascii="Arial" w:hAnsi="Arial" w:cs="Arial"/>
          <w:b/>
          <w:sz w:val="22"/>
          <w:szCs w:val="22"/>
          <w:lang w:val="ru-RU"/>
        </w:rPr>
        <w:t xml:space="preserve">Межправительственная координационная группа по системе раннего </w:t>
      </w:r>
      <w:r w:rsidRPr="00E05DB3">
        <w:rPr>
          <w:rFonts w:ascii="Arial" w:hAnsi="Arial" w:cs="Arial"/>
          <w:b/>
          <w:sz w:val="22"/>
          <w:szCs w:val="22"/>
          <w:lang w:val="ru-RU"/>
        </w:rPr>
        <w:br/>
        <w:t xml:space="preserve">предупреждения о цунами и смягчения их последствий в Северо-Восточной </w:t>
      </w:r>
      <w:r w:rsidRPr="00E05DB3">
        <w:rPr>
          <w:rFonts w:ascii="Arial" w:hAnsi="Arial" w:cs="Arial"/>
          <w:b/>
          <w:sz w:val="22"/>
          <w:szCs w:val="22"/>
          <w:lang w:val="ru-RU"/>
        </w:rPr>
        <w:br/>
        <w:t>Атлантике, Средиземном и прилегающих морях (МКГ/СПЦСВАСМ)</w:t>
      </w:r>
    </w:p>
    <w:p w14:paraId="31515278" w14:textId="77777777" w:rsidR="000E5026" w:rsidRPr="00E05DB3" w:rsidRDefault="000E5026" w:rsidP="004936D2">
      <w:pPr>
        <w:spacing w:after="240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iCs/>
          <w:sz w:val="22"/>
          <w:szCs w:val="22"/>
          <w:u w:val="single"/>
          <w:lang w:val="ru-RU"/>
        </w:rPr>
        <w:t>принимает к сведению с удовлетворением</w:t>
      </w:r>
      <w:r w:rsidRPr="00E05DB3">
        <w:rPr>
          <w:rFonts w:ascii="Arial" w:hAnsi="Arial" w:cs="Arial"/>
          <w:iCs/>
          <w:sz w:val="22"/>
          <w:szCs w:val="22"/>
          <w:lang w:val="ru-RU"/>
        </w:rPr>
        <w:t>:</w:t>
      </w:r>
    </w:p>
    <w:p w14:paraId="17D5818A" w14:textId="77777777" w:rsidR="000E5026" w:rsidRPr="00E05DB3" w:rsidRDefault="000E5026" w:rsidP="004936D2">
      <w:pPr>
        <w:numPr>
          <w:ilvl w:val="0"/>
          <w:numId w:val="35"/>
        </w:numPr>
        <w:tabs>
          <w:tab w:val="clear" w:pos="709"/>
        </w:tabs>
        <w:spacing w:after="240"/>
        <w:ind w:left="1134" w:hanging="567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iCs/>
          <w:sz w:val="22"/>
          <w:szCs w:val="22"/>
          <w:lang w:val="ru-RU"/>
        </w:rPr>
        <w:t xml:space="preserve">положительные результаты пятых учений по проверке готовности к цунами «СВАСМ/Волна-23», проведенных </w:t>
      </w:r>
      <w:proofErr w:type="gramStart"/>
      <w:r w:rsidRPr="00E05DB3">
        <w:rPr>
          <w:rFonts w:ascii="Arial" w:hAnsi="Arial" w:cs="Arial"/>
          <w:iCs/>
          <w:sz w:val="22"/>
          <w:szCs w:val="22"/>
          <w:lang w:val="ru-RU"/>
        </w:rPr>
        <w:t>6-7</w:t>
      </w:r>
      <w:proofErr w:type="gramEnd"/>
      <w:r w:rsidRPr="00E05DB3">
        <w:rPr>
          <w:rFonts w:ascii="Arial" w:hAnsi="Arial" w:cs="Arial"/>
          <w:iCs/>
          <w:sz w:val="22"/>
          <w:szCs w:val="22"/>
          <w:lang w:val="ru-RU"/>
        </w:rPr>
        <w:t xml:space="preserve"> ноября 2023 г. в регионе Северо-Восточной Атлантики, Средиземного и прилегающих морей;</w:t>
      </w:r>
    </w:p>
    <w:p w14:paraId="74D74A98" w14:textId="77777777" w:rsidR="000E5026" w:rsidRPr="00E05DB3" w:rsidRDefault="000E5026" w:rsidP="004936D2">
      <w:pPr>
        <w:numPr>
          <w:ilvl w:val="0"/>
          <w:numId w:val="35"/>
        </w:numPr>
        <w:tabs>
          <w:tab w:val="clear" w:pos="709"/>
        </w:tabs>
        <w:spacing w:after="240"/>
        <w:ind w:left="1134" w:hanging="567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iCs/>
          <w:sz w:val="22"/>
          <w:szCs w:val="22"/>
          <w:lang w:val="ru-RU"/>
        </w:rPr>
        <w:t>информацию о выдаче муниципалитету г. Канны (департамент Приморские Альпы), Франция, впервые на территории материковой части Франции и в регионе Северо-Восточной Атлантики, Средиземного и прилегающих морей, сертификата МОК/ЮНЕСКО «К цунами готов» и об организованной по этому случаю церемонии, состоявшейся в Каннах 19 января 2024 г.;</w:t>
      </w:r>
    </w:p>
    <w:p w14:paraId="0255A3A8" w14:textId="06BD9A83" w:rsidR="000E5026" w:rsidRPr="00E05DB3" w:rsidRDefault="000E5026" w:rsidP="004936D2">
      <w:pPr>
        <w:numPr>
          <w:ilvl w:val="0"/>
          <w:numId w:val="35"/>
        </w:numPr>
        <w:tabs>
          <w:tab w:val="clear" w:pos="709"/>
        </w:tabs>
        <w:spacing w:after="240"/>
        <w:ind w:left="1134" w:hanging="567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iCs/>
          <w:sz w:val="22"/>
          <w:szCs w:val="22"/>
          <w:lang w:val="ru-RU"/>
        </w:rPr>
        <w:t>недавнее продление на два года начиная с 1 июля 2024 г. финансирования по линии Генерального директората Европейской комиссии по вопросам защиты гражданского населения и гуманитарной помощи на цели реализации второй фазы проекта «Прибрежная волна 2.0», предусматривающей масштабирование проекта и повышение потенциала устойчивости прибрежных населенных пунктов в регионе Северо-Восточной Атлантики и Средиземноморья к негативным последствиям цунами и других опасных природных явлений, связанных с изменением уровня моря»</w:t>
      </w:r>
      <w:r w:rsidR="004936D2" w:rsidRPr="00E05DB3">
        <w:rPr>
          <w:rFonts w:ascii="Arial" w:hAnsi="Arial" w:cs="Arial"/>
          <w:iCs/>
          <w:sz w:val="22"/>
          <w:szCs w:val="22"/>
          <w:lang w:val="ru-RU"/>
        </w:rPr>
        <w:t>;</w:t>
      </w:r>
    </w:p>
    <w:p w14:paraId="2A741004" w14:textId="77777777" w:rsidR="000E5026" w:rsidRPr="00E05DB3" w:rsidRDefault="000E5026" w:rsidP="004936D2">
      <w:pPr>
        <w:numPr>
          <w:ilvl w:val="0"/>
          <w:numId w:val="35"/>
        </w:numPr>
        <w:tabs>
          <w:tab w:val="clear" w:pos="709"/>
        </w:tabs>
        <w:spacing w:after="240"/>
        <w:ind w:left="1134" w:hanging="567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iCs/>
          <w:sz w:val="22"/>
          <w:szCs w:val="22"/>
          <w:lang w:val="ru-RU"/>
        </w:rPr>
        <w:t>предложение Египта провести в октябре 2024 г. на своей территории 19</w:t>
      </w:r>
      <w:r w:rsidRPr="00E05DB3">
        <w:rPr>
          <w:rFonts w:ascii="Arial" w:hAnsi="Arial" w:cs="Arial"/>
          <w:iCs/>
          <w:sz w:val="22"/>
          <w:szCs w:val="22"/>
          <w:lang w:val="ru-RU"/>
        </w:rPr>
        <w:noBreakHyphen/>
        <w:t>ю сессию МКГ/СПЦСВАСМ и намерение Италии принять у себя 20</w:t>
      </w:r>
      <w:r w:rsidRPr="00E05DB3">
        <w:rPr>
          <w:rFonts w:ascii="Arial" w:hAnsi="Arial" w:cs="Arial"/>
          <w:iCs/>
          <w:sz w:val="22"/>
          <w:szCs w:val="22"/>
          <w:lang w:val="ru-RU"/>
        </w:rPr>
        <w:noBreakHyphen/>
        <w:t>ю сессию МКГ/СПЦСВАСМ;</w:t>
      </w:r>
    </w:p>
    <w:p w14:paraId="390A9640" w14:textId="77777777" w:rsidR="004936D2" w:rsidRPr="00E05DB3" w:rsidRDefault="000E5026" w:rsidP="004936D2">
      <w:pPr>
        <w:spacing w:after="240"/>
        <w:jc w:val="center"/>
        <w:rPr>
          <w:rFonts w:ascii="Arial" w:hAnsi="Arial" w:cs="Arial"/>
          <w:b/>
          <w:bCs/>
          <w:iCs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iCs/>
          <w:sz w:val="22"/>
          <w:szCs w:val="22"/>
          <w:lang w:val="ru-RU"/>
        </w:rPr>
        <w:t>Часть III:</w:t>
      </w:r>
    </w:p>
    <w:p w14:paraId="419734D5" w14:textId="537E8D96" w:rsidR="000E5026" w:rsidRPr="00E05DB3" w:rsidRDefault="000E5026" w:rsidP="004936D2">
      <w:pPr>
        <w:spacing w:after="240"/>
        <w:jc w:val="center"/>
        <w:rPr>
          <w:rFonts w:ascii="Arial" w:hAnsi="Arial" w:cs="Arial"/>
          <w:b/>
          <w:bCs/>
          <w:iCs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iCs/>
          <w:sz w:val="22"/>
          <w:szCs w:val="22"/>
          <w:lang w:val="ru-RU"/>
        </w:rPr>
        <w:t xml:space="preserve">Межправительственная координационная группа по системе предупреждения о </w:t>
      </w:r>
      <w:r w:rsidRPr="00E05DB3">
        <w:rPr>
          <w:rFonts w:ascii="Arial" w:hAnsi="Arial" w:cs="Arial"/>
          <w:b/>
          <w:bCs/>
          <w:iCs/>
          <w:sz w:val="22"/>
          <w:szCs w:val="22"/>
          <w:lang w:val="ru-RU"/>
        </w:rPr>
        <w:br/>
        <w:t>цунами и смягчения их последствий в Тихом океане (МКГ/СПЦТО)</w:t>
      </w:r>
    </w:p>
    <w:p w14:paraId="60D2B5E1" w14:textId="77777777" w:rsidR="000E5026" w:rsidRPr="00E05DB3" w:rsidRDefault="000E5026" w:rsidP="004936D2">
      <w:pPr>
        <w:spacing w:after="240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iCs/>
          <w:sz w:val="22"/>
          <w:szCs w:val="22"/>
          <w:u w:val="single"/>
          <w:lang w:val="ru-RU"/>
        </w:rPr>
        <w:t>принимает к сведению с удовлетворением</w:t>
      </w:r>
      <w:r w:rsidRPr="00E05DB3">
        <w:rPr>
          <w:rFonts w:ascii="Arial" w:hAnsi="Arial" w:cs="Arial"/>
          <w:iCs/>
          <w:sz w:val="22"/>
          <w:szCs w:val="22"/>
          <w:lang w:val="ru-RU"/>
        </w:rPr>
        <w:t>:</w:t>
      </w:r>
    </w:p>
    <w:p w14:paraId="0E98652A" w14:textId="51A9EB60" w:rsidR="000E5026" w:rsidRPr="00E05DB3" w:rsidRDefault="000E5026" w:rsidP="004936D2">
      <w:pPr>
        <w:numPr>
          <w:ilvl w:val="0"/>
          <w:numId w:val="36"/>
        </w:numPr>
        <w:tabs>
          <w:tab w:val="clear" w:pos="709"/>
        </w:tabs>
        <w:snapToGrid w:val="0"/>
        <w:spacing w:after="240"/>
        <w:ind w:left="1134" w:hanging="567"/>
        <w:rPr>
          <w:rFonts w:ascii="Arial" w:hAnsi="Arial" w:cs="Arial"/>
          <w:bCs/>
          <w:sz w:val="22"/>
          <w:szCs w:val="22"/>
          <w:lang w:val="ru-RU"/>
        </w:rPr>
      </w:pPr>
      <w:r w:rsidRPr="00E05DB3">
        <w:rPr>
          <w:rFonts w:ascii="Arial" w:hAnsi="Arial" w:cs="Arial"/>
          <w:bCs/>
          <w:sz w:val="22"/>
          <w:szCs w:val="22"/>
          <w:lang w:val="ru-RU"/>
        </w:rPr>
        <w:t>информацию о запланированном на сентябрь-ноябрь 2024 г. проведении 11-х учений по проверке готовности к цунами («Тихоокеанская волна-24»), приуроченных к Международному дню по уменьшению опасности бедствий (13 октября) и Всемирному дню распространения информации о проблеме цунами (5 ноября), в соответствии с утвержденным Кругом ведения;</w:t>
      </w:r>
    </w:p>
    <w:p w14:paraId="076DA95E" w14:textId="77777777" w:rsidR="000E5026" w:rsidRPr="00E05DB3" w:rsidRDefault="000E5026" w:rsidP="004936D2">
      <w:pPr>
        <w:numPr>
          <w:ilvl w:val="0"/>
          <w:numId w:val="36"/>
        </w:numPr>
        <w:tabs>
          <w:tab w:val="clear" w:pos="709"/>
        </w:tabs>
        <w:snapToGrid w:val="0"/>
        <w:spacing w:after="240"/>
        <w:ind w:left="1134" w:hanging="567"/>
        <w:rPr>
          <w:rFonts w:ascii="Arial" w:hAnsi="Arial" w:cs="Arial"/>
          <w:bCs/>
          <w:sz w:val="22"/>
          <w:szCs w:val="22"/>
          <w:lang w:val="ru-RU"/>
        </w:rPr>
      </w:pPr>
      <w:r w:rsidRPr="00E05DB3">
        <w:rPr>
          <w:rFonts w:ascii="Arial" w:hAnsi="Arial" w:cs="Arial"/>
          <w:bCs/>
          <w:sz w:val="22"/>
          <w:szCs w:val="22"/>
          <w:lang w:val="ru-RU"/>
        </w:rPr>
        <w:t xml:space="preserve">предложение Китая провести в 2025 г. 31-ю сессию МКГ/СПЦТО в Пекине и предложение Франции провести в 2027 г. 32-ю сессию МКГ/СПЦТО в </w:t>
      </w:r>
      <w:proofErr w:type="spellStart"/>
      <w:r w:rsidRPr="00E05DB3">
        <w:rPr>
          <w:rFonts w:ascii="Arial" w:hAnsi="Arial" w:cs="Arial"/>
          <w:bCs/>
          <w:sz w:val="22"/>
          <w:szCs w:val="22"/>
          <w:lang w:val="ru-RU"/>
        </w:rPr>
        <w:t>Нумеа</w:t>
      </w:r>
      <w:proofErr w:type="spellEnd"/>
      <w:r w:rsidRPr="00E05DB3">
        <w:rPr>
          <w:rFonts w:ascii="Arial" w:hAnsi="Arial" w:cs="Arial"/>
          <w:bCs/>
          <w:sz w:val="22"/>
          <w:szCs w:val="22"/>
          <w:lang w:val="ru-RU"/>
        </w:rPr>
        <w:t>, Новая Каледония;</w:t>
      </w:r>
    </w:p>
    <w:p w14:paraId="15073BF7" w14:textId="77777777" w:rsidR="000E5026" w:rsidRPr="00E05DB3" w:rsidRDefault="000E5026" w:rsidP="004936D2">
      <w:pPr>
        <w:numPr>
          <w:ilvl w:val="0"/>
          <w:numId w:val="36"/>
        </w:numPr>
        <w:tabs>
          <w:tab w:val="clear" w:pos="709"/>
        </w:tabs>
        <w:snapToGrid w:val="0"/>
        <w:spacing w:after="240"/>
        <w:ind w:left="1134" w:hanging="567"/>
        <w:rPr>
          <w:rFonts w:ascii="Arial" w:hAnsi="Arial" w:cs="Arial"/>
          <w:bCs/>
          <w:sz w:val="22"/>
          <w:szCs w:val="22"/>
          <w:lang w:val="ru-RU"/>
        </w:rPr>
      </w:pPr>
      <w:r w:rsidRPr="00E05DB3">
        <w:rPr>
          <w:rFonts w:ascii="Arial" w:hAnsi="Arial" w:cs="Arial"/>
          <w:bCs/>
          <w:sz w:val="22"/>
          <w:szCs w:val="22"/>
          <w:lang w:val="ru-RU"/>
        </w:rPr>
        <w:lastRenderedPageBreak/>
        <w:t xml:space="preserve">информацию о проведении </w:t>
      </w:r>
      <w:proofErr w:type="gramStart"/>
      <w:r w:rsidRPr="00E05DB3">
        <w:rPr>
          <w:rFonts w:ascii="Arial" w:hAnsi="Arial" w:cs="Arial"/>
          <w:bCs/>
          <w:sz w:val="22"/>
          <w:szCs w:val="22"/>
          <w:lang w:val="ru-RU"/>
        </w:rPr>
        <w:t>14-17</w:t>
      </w:r>
      <w:proofErr w:type="gramEnd"/>
      <w:r w:rsidRPr="00E05DB3">
        <w:rPr>
          <w:rFonts w:ascii="Arial" w:hAnsi="Arial" w:cs="Arial"/>
          <w:bCs/>
          <w:sz w:val="22"/>
          <w:szCs w:val="22"/>
          <w:lang w:val="ru-RU"/>
        </w:rPr>
        <w:t xml:space="preserve"> мая 2024 г. в Вануату совещания экспертов, посвященного источникам происхождения цунами, опасным природным явлениям, потенциальным угрозам и факторам неопределенности, связанным с зонами субдукции Вануату, Сан-Кристобаля и Новой Британии;</w:t>
      </w:r>
    </w:p>
    <w:p w14:paraId="3C39E90A" w14:textId="77777777" w:rsidR="000E5026" w:rsidRPr="00E05DB3" w:rsidRDefault="000E5026" w:rsidP="004936D2">
      <w:pPr>
        <w:numPr>
          <w:ilvl w:val="0"/>
          <w:numId w:val="36"/>
        </w:numPr>
        <w:tabs>
          <w:tab w:val="clear" w:pos="709"/>
        </w:tabs>
        <w:snapToGrid w:val="0"/>
        <w:spacing w:after="240"/>
        <w:ind w:left="1134" w:hanging="567"/>
        <w:rPr>
          <w:rFonts w:ascii="Arial" w:hAnsi="Arial" w:cs="Arial"/>
          <w:bCs/>
          <w:sz w:val="22"/>
          <w:szCs w:val="22"/>
          <w:lang w:val="ru-RU"/>
        </w:rPr>
      </w:pPr>
      <w:r w:rsidRPr="00E05DB3">
        <w:rPr>
          <w:rFonts w:ascii="Arial" w:hAnsi="Arial" w:cs="Arial"/>
          <w:bCs/>
          <w:sz w:val="22"/>
          <w:szCs w:val="22"/>
          <w:lang w:val="ru-RU"/>
        </w:rPr>
        <w:t>решение МКГ/СПЦТО официально объявить о начале полноценного функционирования Консультативного центра по цунами для региона Центральной Америки (КЦЦЦА), конкретная дата которого будет определена после согласования с МКГ/КАРИБ-СРП;</w:t>
      </w:r>
    </w:p>
    <w:p w14:paraId="14ADE8D2" w14:textId="448421F9" w:rsidR="000E5026" w:rsidRPr="00E05DB3" w:rsidRDefault="000E5026" w:rsidP="004936D2">
      <w:pPr>
        <w:numPr>
          <w:ilvl w:val="0"/>
          <w:numId w:val="36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bCs/>
          <w:sz w:val="22"/>
          <w:szCs w:val="22"/>
          <w:lang w:val="ru-RU"/>
        </w:rPr>
        <w:t>утверждение требований к уровню компетентности, общих принципов деятельности и потребностей в области профессиональной подготовки национальных цент</w:t>
      </w:r>
      <w:r w:rsidR="004936D2" w:rsidRPr="00E05DB3">
        <w:rPr>
          <w:rFonts w:ascii="Arial" w:hAnsi="Arial" w:cs="Arial"/>
          <w:bCs/>
          <w:sz w:val="22"/>
          <w:szCs w:val="22"/>
          <w:lang w:val="ru-RU"/>
        </w:rPr>
        <w:softHyphen/>
      </w:r>
      <w:r w:rsidRPr="00E05DB3">
        <w:rPr>
          <w:rFonts w:ascii="Arial" w:hAnsi="Arial" w:cs="Arial"/>
          <w:bCs/>
          <w:sz w:val="22"/>
          <w:szCs w:val="22"/>
          <w:lang w:val="ru-RU"/>
        </w:rPr>
        <w:t xml:space="preserve">ров предупреждения о цунами СПЦТО, изложенных в рабочем документе IOC/ICG/PTWS-XXX: </w:t>
      </w:r>
      <w:r w:rsidRPr="00E05DB3">
        <w:rPr>
          <w:rFonts w:ascii="Arial" w:hAnsi="Arial" w:cs="Arial"/>
          <w:bCs/>
          <w:i/>
          <w:sz w:val="22"/>
          <w:szCs w:val="22"/>
          <w:lang w:val="ru-RU"/>
        </w:rPr>
        <w:t>«Доклад целевой группы о минимальных требованиях к квалификации сотрудников национального центра предупреждения о цунами (НЦПЦ)</w:t>
      </w:r>
      <w:r w:rsidRPr="00E05DB3">
        <w:rPr>
          <w:rFonts w:ascii="Arial" w:hAnsi="Arial" w:cs="Arial"/>
          <w:bCs/>
          <w:sz w:val="22"/>
          <w:szCs w:val="22"/>
          <w:lang w:val="ru-RU"/>
        </w:rPr>
        <w:t xml:space="preserve">; </w:t>
      </w:r>
    </w:p>
    <w:p w14:paraId="6EC97F00" w14:textId="77777777" w:rsidR="000E5026" w:rsidRPr="00E05DB3" w:rsidRDefault="000E5026" w:rsidP="0069409D">
      <w:pPr>
        <w:spacing w:after="240"/>
        <w:rPr>
          <w:rFonts w:ascii="Arial" w:hAnsi="Arial" w:cs="Arial"/>
          <w:sz w:val="22"/>
          <w:szCs w:val="22"/>
          <w:u w:val="single"/>
          <w:lang w:val="ru-RU"/>
        </w:rPr>
      </w:pPr>
      <w:r w:rsidRPr="00E05DB3">
        <w:rPr>
          <w:rFonts w:ascii="Arial" w:hAnsi="Arial" w:cs="Arial"/>
          <w:sz w:val="22"/>
          <w:szCs w:val="22"/>
          <w:u w:val="single"/>
          <w:lang w:val="ru-RU"/>
        </w:rPr>
        <w:t>принимает к сведению:</w:t>
      </w:r>
    </w:p>
    <w:p w14:paraId="431A247A" w14:textId="77777777" w:rsidR="000E5026" w:rsidRPr="00E05DB3" w:rsidRDefault="000E5026" w:rsidP="0069409D">
      <w:pPr>
        <w:pStyle w:val="ListParagraph"/>
        <w:numPr>
          <w:ilvl w:val="0"/>
          <w:numId w:val="41"/>
        </w:numPr>
        <w:tabs>
          <w:tab w:val="clear" w:pos="709"/>
        </w:tabs>
        <w:spacing w:after="240"/>
        <w:ind w:left="1134" w:hanging="567"/>
        <w:contextualSpacing w:val="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 xml:space="preserve">обеспокоенность МКГ/СПЦТО в связи с сейсмической активностью в регионе Южно-Антильского хребта, которая отражена в кратком докладе 30-й сессии МКГ/СПЦТО </w:t>
      </w:r>
      <w:r w:rsidRPr="00E05DB3">
        <w:rPr>
          <w:rFonts w:ascii="Arial" w:hAnsi="Arial" w:cs="Arial"/>
          <w:sz w:val="22"/>
          <w:szCs w:val="22"/>
          <w:lang w:val="ru-RU" w:eastAsia="en-GB"/>
        </w:rPr>
        <w:t>(IOC/ICG/PTWS-XXX/3s)</w:t>
      </w:r>
      <w:r w:rsidRPr="00E05DB3">
        <w:rPr>
          <w:rFonts w:ascii="Arial" w:hAnsi="Arial" w:cs="Arial"/>
          <w:sz w:val="22"/>
          <w:szCs w:val="22"/>
          <w:lang w:val="ru-RU"/>
        </w:rPr>
        <w:t>;</w:t>
      </w:r>
    </w:p>
    <w:p w14:paraId="5CF6315D" w14:textId="77777777" w:rsidR="000E5026" w:rsidRPr="00E05DB3" w:rsidRDefault="000E5026" w:rsidP="0069409D">
      <w:pPr>
        <w:pStyle w:val="ListParagraph"/>
        <w:numPr>
          <w:ilvl w:val="0"/>
          <w:numId w:val="41"/>
        </w:numPr>
        <w:tabs>
          <w:tab w:val="clear" w:pos="709"/>
        </w:tabs>
        <w:spacing w:after="240"/>
        <w:ind w:left="1134" w:hanging="567"/>
        <w:contextualSpacing w:val="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выпуск ТЦПЦ бюллетеней по цунами для МКГ/КАРИБ-СРП и МКГ/СПЦТО в связи с землетрясениями в регионе Южно-Антильского хребта и прилегающих к нему сейсмических зонах в случаях, когда происходящие там события отвечают определенным критериям, сформулированным в документе «Операции по наблюдению за цунами: определение глобальных услуг» (Серия технических документов МОК, № 130);</w:t>
      </w:r>
    </w:p>
    <w:p w14:paraId="6BD09CD7" w14:textId="77777777" w:rsidR="000E5026" w:rsidRPr="00E05DB3" w:rsidRDefault="000E5026" w:rsidP="0069409D">
      <w:pPr>
        <w:pStyle w:val="ListParagraph"/>
        <w:numPr>
          <w:ilvl w:val="0"/>
          <w:numId w:val="41"/>
        </w:numPr>
        <w:tabs>
          <w:tab w:val="clear" w:pos="709"/>
        </w:tabs>
        <w:spacing w:after="240"/>
        <w:ind w:left="1134" w:hanging="567"/>
        <w:contextualSpacing w:val="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 xml:space="preserve">необходимость активного взаимодействия Аргентины с МКГ/КАРИБ-СРП и МКГ/СПЦТО по функциям координации Аргентинской поисково-спасательной службы и </w:t>
      </w:r>
      <w:r w:rsidRPr="00E05DB3">
        <w:rPr>
          <w:rFonts w:ascii="Arial" w:hAnsi="Arial" w:cs="Arial"/>
          <w:sz w:val="22"/>
          <w:szCs w:val="22"/>
          <w:lang w:val="ru-RU" w:eastAsia="en-GB"/>
        </w:rPr>
        <w:t>NAVAREA VI</w:t>
      </w:r>
      <w:r w:rsidRPr="00E05DB3">
        <w:rPr>
          <w:rFonts w:ascii="Arial" w:hAnsi="Arial" w:cs="Arial"/>
          <w:sz w:val="22"/>
          <w:szCs w:val="22"/>
          <w:lang w:val="ru-RU"/>
        </w:rPr>
        <w:t>;</w:t>
      </w:r>
    </w:p>
    <w:p w14:paraId="3D1DDF10" w14:textId="77777777" w:rsidR="000E5026" w:rsidRPr="00E05DB3" w:rsidRDefault="000E5026" w:rsidP="0069409D">
      <w:pPr>
        <w:tabs>
          <w:tab w:val="clear" w:pos="709"/>
        </w:tabs>
        <w:spacing w:after="240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u w:val="single"/>
          <w:lang w:val="ru-RU"/>
        </w:rPr>
        <w:t>просит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ТЦПЦ завершить необходимые приготовления для обеспечения всех координаторов NAVAREA в Тихом океане и Юго-Западной Атлантике (в частности, координаторов районов NAVAREA VI, X, XI, XII, XIII, XIV, XV и XVI) специальными сообщениями для судов относительно безопасности на море в связи с цунами, которые будут передаваться в НЦПЦ с последующим их препровождением национальным координаторам NAVAREA, либо в отсутствие НЦПЦ непосредственно национальным координаторам NAVAREA по их запросу;</w:t>
      </w:r>
    </w:p>
    <w:p w14:paraId="1E6DBE05" w14:textId="77777777" w:rsidR="0069409D" w:rsidRPr="00E05DB3" w:rsidRDefault="000E5026" w:rsidP="0069409D">
      <w:pPr>
        <w:spacing w:after="240"/>
        <w:jc w:val="center"/>
        <w:rPr>
          <w:rFonts w:ascii="Arial" w:hAnsi="Arial" w:cs="Arial"/>
          <w:b/>
          <w:bCs/>
          <w:iCs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iCs/>
          <w:sz w:val="22"/>
          <w:szCs w:val="22"/>
          <w:lang w:val="ru-RU"/>
        </w:rPr>
        <w:t>Часть IV:</w:t>
      </w:r>
    </w:p>
    <w:p w14:paraId="3E034580" w14:textId="17F49E68" w:rsidR="000E5026" w:rsidRPr="00E05DB3" w:rsidRDefault="000E5026" w:rsidP="0069409D">
      <w:pPr>
        <w:spacing w:after="240"/>
        <w:jc w:val="center"/>
        <w:rPr>
          <w:rFonts w:ascii="Arial" w:hAnsi="Arial" w:cs="Arial"/>
          <w:b/>
          <w:bCs/>
          <w:iCs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iCs/>
          <w:sz w:val="22"/>
          <w:szCs w:val="22"/>
          <w:lang w:val="ru-RU"/>
        </w:rPr>
        <w:t>Рабочая группа по системам предупреждения о цунами и других опасных явлениях, связанных с изменением уровня моря, и смягчения их последствий (РГ-СПЦО)</w:t>
      </w:r>
    </w:p>
    <w:p w14:paraId="1E8E0D6E" w14:textId="0FE7B721" w:rsidR="000E5026" w:rsidRPr="00E05DB3" w:rsidRDefault="000E5026" w:rsidP="0069409D">
      <w:pPr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u w:val="single"/>
          <w:lang w:val="ru-RU"/>
        </w:rPr>
        <w:t>постановляет</w:t>
      </w:r>
      <w:r w:rsidRPr="00E05DB3">
        <w:rPr>
          <w:rFonts w:ascii="Arial" w:hAnsi="Arial" w:cs="Arial"/>
          <w:sz w:val="22"/>
          <w:szCs w:val="22"/>
          <w:lang w:val="ru-RU"/>
        </w:rPr>
        <w:t>, что МОК следует более тесно сотрудничать с ВМО в целях увязки своей деятельности, касающейся цунами, с деятельностью служб раннего предупреждения о многофакторных опасных явлениях (СРПМОЯ) и инициативой Генерального секретаря ООН «Раннее оповещение для всех» (ЗПДВ), в частности, с инициативой ВМО по прогнозированию наводнений в прибрежной зоне (ИПНПЗ), которая является примером многосторонней деятельности по решению проблемы затопления прибрежных районов, вне зависимости от причины такого затопления;</w:t>
      </w:r>
    </w:p>
    <w:p w14:paraId="4AA5E4D7" w14:textId="77777777" w:rsidR="000E5026" w:rsidRPr="00E05DB3" w:rsidRDefault="000E5026" w:rsidP="0069409D">
      <w:pPr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u w:val="single"/>
          <w:lang w:val="ru-RU"/>
        </w:rPr>
        <w:t>приветствует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обращенную к Совместному совету по сотрудничеству между ВМО и МОК просьбу ВМО рассмотреть связанные с цунами проблемные аспекты в отношении цунами метеорологического происхождения, уточнить функции и сферы ответственности 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ВМО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 и </w:t>
      </w:r>
      <w:r w:rsidRPr="00E05DB3">
        <w:rPr>
          <w:rFonts w:ascii="Arial" w:hAnsi="Arial" w:cs="Arial"/>
          <w:sz w:val="22"/>
          <w:szCs w:val="22"/>
          <w:lang w:val="ru-RU"/>
        </w:rPr>
        <w:lastRenderedPageBreak/>
        <w:t>МОК/ЮНЕСКО, а также определить наиболее эффективные возможности укрепления сотрудничества в деле поддержки государств-членов;</w:t>
      </w:r>
    </w:p>
    <w:p w14:paraId="5948E891" w14:textId="77777777" w:rsidR="000E5026" w:rsidRPr="00E05DB3" w:rsidRDefault="000E5026" w:rsidP="0069409D">
      <w:pPr>
        <w:spacing w:after="240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u w:val="single"/>
          <w:lang w:val="ru-RU"/>
        </w:rPr>
        <w:t>поручает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региональным межправительственным координационным группам (МКГ):</w:t>
      </w:r>
    </w:p>
    <w:p w14:paraId="5D0EE20F" w14:textId="77777777" w:rsidR="000E5026" w:rsidRPr="00E05DB3" w:rsidRDefault="000E5026" w:rsidP="00FC227D">
      <w:pPr>
        <w:pStyle w:val="ListParagraph"/>
        <w:numPr>
          <w:ilvl w:val="0"/>
          <w:numId w:val="33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рассмотреть возможность проведения учений по проверке готовности к цунами в нерабочее время, в том числе ночью, позаботившись о том, чтобы учесть трудности и возможные проблемы, связанные с привлечением населения к ночным учениям;</w:t>
      </w:r>
    </w:p>
    <w:p w14:paraId="1F033C0F" w14:textId="77777777" w:rsidR="000E5026" w:rsidRPr="00E05DB3" w:rsidRDefault="000E5026" w:rsidP="00FC227D">
      <w:pPr>
        <w:pStyle w:val="ListParagraph"/>
        <w:numPr>
          <w:ilvl w:val="0"/>
          <w:numId w:val="33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рассмотреть вопрос о том, что провайдерам данных слежения за цунами (ПДСЦ), возможно, необходимо также обеспечить оказание услуг в ситуациях, когда цунами вулканического происхождения может затронуть несколько государств-членов;</w:t>
      </w:r>
    </w:p>
    <w:p w14:paraId="5A23C06C" w14:textId="77777777" w:rsidR="000E5026" w:rsidRPr="00E05DB3" w:rsidRDefault="000E5026" w:rsidP="00FC227D">
      <w:pPr>
        <w:pStyle w:val="ListParagraph"/>
        <w:numPr>
          <w:ilvl w:val="0"/>
          <w:numId w:val="33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использовать учения по проверке готовности к цунами и тестирование систем оповещения населения в числе прочего как возможность контроля наличия и качества имеющихся данных;</w:t>
      </w:r>
    </w:p>
    <w:p w14:paraId="2899D92F" w14:textId="77777777" w:rsidR="000E5026" w:rsidRPr="00E05DB3" w:rsidRDefault="000E5026" w:rsidP="00FC227D">
      <w:pPr>
        <w:pStyle w:val="ListParagraph"/>
        <w:numPr>
          <w:ilvl w:val="0"/>
          <w:numId w:val="33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использовать и поощрять использование многоцелевых станций мониторинга уровня моря в поддержку СРПМОЯ для расширения зоны охвата данными и снижения затрат;</w:t>
      </w:r>
    </w:p>
    <w:p w14:paraId="312DB3C5" w14:textId="77777777" w:rsidR="000E5026" w:rsidRPr="00E05DB3" w:rsidRDefault="000E5026" w:rsidP="00FC227D">
      <w:pPr>
        <w:pStyle w:val="ListParagraph"/>
        <w:numPr>
          <w:ilvl w:val="0"/>
          <w:numId w:val="33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 xml:space="preserve">делиться информацией и методами, касающимися развертывания новых технических средств для мониторинга колебаний уровня моря, используемых для целей предупреждения о цунами, таких как текущий проект прокладки подводного кабеля у берегов Португалии (проект CAM SMART), проект TAM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TAM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 SMART по прокладке подводного кабеля между Новой Каледонией и Вануату, подводные кабельные сети, развертываемые Индонезией и Индией, и прокладка интеллектуального кабеля в Ионическом море у берегов Сицилии (проект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InSEA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Wet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Demo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>);</w:t>
      </w:r>
    </w:p>
    <w:p w14:paraId="41566249" w14:textId="7548E6A9" w:rsidR="000E5026" w:rsidRPr="00E05DB3" w:rsidRDefault="000E5026" w:rsidP="00FC227D">
      <w:pPr>
        <w:pStyle w:val="ListParagraph"/>
        <w:numPr>
          <w:ilvl w:val="0"/>
          <w:numId w:val="33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предложить ПДСЦ, относящимся к каждой МКГ, провести во второй половине 2024</w:t>
      </w:r>
      <w:r w:rsidR="00FF57C7" w:rsidRPr="00E05DB3">
        <w:rPr>
          <w:rFonts w:ascii="Arial" w:hAnsi="Arial" w:cs="Arial"/>
          <w:sz w:val="22"/>
          <w:szCs w:val="22"/>
          <w:lang w:val="ru-RU"/>
        </w:rPr>
        <w:t> </w:t>
      </w:r>
      <w:r w:rsidRPr="00E05DB3">
        <w:rPr>
          <w:rFonts w:ascii="Arial" w:hAnsi="Arial" w:cs="Arial"/>
          <w:sz w:val="22"/>
          <w:szCs w:val="22"/>
          <w:lang w:val="ru-RU"/>
        </w:rPr>
        <w:t>г. тестовую рассылку навигационных бюллетеней среди соответствующих операторов NAVAREA в их районах обслуживания с прицелом на полноценное внедрение этой услуги в 2025 г.;</w:t>
      </w:r>
    </w:p>
    <w:p w14:paraId="2A055C91" w14:textId="77777777" w:rsidR="000E5026" w:rsidRPr="00E05DB3" w:rsidRDefault="000E5026" w:rsidP="00FC227D">
      <w:pPr>
        <w:pStyle w:val="ListParagraph"/>
        <w:numPr>
          <w:ilvl w:val="0"/>
          <w:numId w:val="33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="Arial" w:eastAsia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предложить целевой группе МКГ/СПЦТО по сертификации готовности к цунами распространить практические рекомендации МКГ/СПЦТО в отношении использования эквивалентов сертификата «К цунами готов» для дальнейшего рассмотрения ЦГ-ЛПГ в качестве возможного механизма отчетности в рамках достижения этой цели;</w:t>
      </w:r>
    </w:p>
    <w:p w14:paraId="2ABCFC8C" w14:textId="77777777" w:rsidR="000E5026" w:rsidRPr="00E05DB3" w:rsidRDefault="000E5026" w:rsidP="00FC227D">
      <w:pPr>
        <w:pStyle w:val="ListParagraph"/>
        <w:numPr>
          <w:ilvl w:val="0"/>
          <w:numId w:val="33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="Arial" w:eastAsia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предложить рабочим группам 1 и 3 МКГ/СПЦСПИО разработать и распространить методическое руководство по обеспечению готовности критической инфраструктуры к цунами;</w:t>
      </w:r>
    </w:p>
    <w:p w14:paraId="2F31407B" w14:textId="27B03FA9" w:rsidR="000E5026" w:rsidRPr="00E05DB3" w:rsidRDefault="000E5026" w:rsidP="00FF57C7">
      <w:pPr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u w:val="single"/>
          <w:lang w:val="ru-RU"/>
        </w:rPr>
        <w:t>призывает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государства-члены вносить добровольные финансовые взносы на специальный счет МОК и взносы в натуральной форме для содействия осуществлению программы по цунами в рамках Десятилетия, посвященного науке об океане, и программы МОК ЮНЕСКО по сертификации готовности к цунами;</w:t>
      </w:r>
    </w:p>
    <w:p w14:paraId="0F837C50" w14:textId="2F870F30" w:rsidR="000E5026" w:rsidRPr="00E05DB3" w:rsidRDefault="000E5026" w:rsidP="00FF57C7">
      <w:pPr>
        <w:spacing w:after="240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u w:val="single"/>
          <w:lang w:val="ru-RU"/>
        </w:rPr>
        <w:t>рекомендует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для районов, где землетрясение не будет ощущаться, использовать стандартный текст информационного указателя, предусмотренного в рамках программы МОК ЮНЕСКО по сертификации готовности к цунами, а именно: </w:t>
      </w:r>
      <w:r w:rsidRPr="00E05DB3">
        <w:rPr>
          <w:rFonts w:ascii="Arial" w:hAnsi="Arial" w:cs="Arial"/>
          <w:i/>
          <w:sz w:val="22"/>
          <w:szCs w:val="22"/>
          <w:lang w:val="ru-RU"/>
        </w:rPr>
        <w:t>«В случае официального сообщения об опасности цунами поднимитесь на возвышенность или направляйтесь в противоположную от моря сторону»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в качестве альтернативы варианту </w:t>
      </w:r>
      <w:r w:rsidRPr="00E05DB3">
        <w:rPr>
          <w:rFonts w:ascii="Arial" w:hAnsi="Arial" w:cs="Arial"/>
          <w:i/>
          <w:sz w:val="22"/>
          <w:szCs w:val="22"/>
          <w:lang w:val="ru-RU"/>
        </w:rPr>
        <w:t>«В случае сильного или продолжительного землетрясения, либо официального сообщения об опасности цунами поднимитесь на возвышенность или направляйтесь в противоположную от моря сторону»</w:t>
      </w:r>
      <w:r w:rsidRPr="00E05DB3">
        <w:rPr>
          <w:rFonts w:ascii="Arial" w:hAnsi="Arial" w:cs="Arial"/>
          <w:sz w:val="22"/>
          <w:szCs w:val="22"/>
          <w:lang w:val="ru-RU"/>
        </w:rPr>
        <w:t>;</w:t>
      </w:r>
    </w:p>
    <w:p w14:paraId="4244C36F" w14:textId="77777777" w:rsidR="000E5026" w:rsidRPr="00E05DB3" w:rsidRDefault="000E5026" w:rsidP="00FF57C7">
      <w:pPr>
        <w:spacing w:after="240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u w:val="single"/>
          <w:lang w:val="ru-RU"/>
        </w:rPr>
        <w:lastRenderedPageBreak/>
        <w:t>просит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Секретариат МОК:</w:t>
      </w:r>
    </w:p>
    <w:p w14:paraId="630A3FE8" w14:textId="77777777" w:rsidR="000E5026" w:rsidRPr="00E05DB3" w:rsidRDefault="000E5026" w:rsidP="00E90084">
      <w:pPr>
        <w:numPr>
          <w:ilvl w:val="0"/>
          <w:numId w:val="37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уведомить все государства-члены посредством циркулярного письма о том, что факсимильная передача ПДСЦ информационных сообщений об опасности цунами будет прекращена через шесть месяцев с даты направления циркулярного письма, если только в течение трех месяцев государства-члены не сообщат о том, что факсимильная передача информационных сообщений об опасности цунами имеет важное значение для функционирования их национальных центров предупреждения о цунами (НЦПЦ) и что у них нет другого резервного средства на этот случай;</w:t>
      </w:r>
    </w:p>
    <w:p w14:paraId="1B42852B" w14:textId="77777777" w:rsidR="000E5026" w:rsidRPr="00E05DB3" w:rsidRDefault="000E5026" w:rsidP="00E90084">
      <w:pPr>
        <w:numPr>
          <w:ilvl w:val="0"/>
          <w:numId w:val="37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разработать механизм отчетности, позволяющий МКГ информировать о ходе реализации соответствующих проектов в рамках Десятилетия науки об океане и о достижении ключевых показателей эффективности (КПЭ), предусмотренных в ПИРО-ПЦДО, согласовав его с предложенной глобальной системой КПЭ для программы МОК/ЮНЕСКО по цунами;</w:t>
      </w:r>
    </w:p>
    <w:p w14:paraId="61FB8CF3" w14:textId="6B5E6147" w:rsidR="000E5026" w:rsidRPr="00E05DB3" w:rsidRDefault="000E5026" w:rsidP="00E90084">
      <w:pPr>
        <w:numPr>
          <w:ilvl w:val="0"/>
          <w:numId w:val="37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 xml:space="preserve">распространить среди вулканологических обсерваторий и государств – членов МОК/ЮНЕСКО доклад </w:t>
      </w:r>
      <w:r w:rsidRPr="00E05DB3">
        <w:rPr>
          <w:rFonts w:ascii="Arial" w:hAnsi="Arial" w:cs="Arial"/>
          <w:i/>
          <w:sz w:val="22"/>
          <w:szCs w:val="22"/>
          <w:lang w:val="ru-RU"/>
        </w:rPr>
        <w:t>«Мониторинг и предупреждение в отношении цунами вулканического происхождения»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(</w:t>
      </w:r>
      <w:r w:rsidRPr="00E05DB3">
        <w:rPr>
          <w:rFonts w:ascii="Arial" w:eastAsia="Arial" w:hAnsi="Arial" w:cs="Arial"/>
          <w:sz w:val="22"/>
          <w:szCs w:val="22"/>
          <w:lang w:val="ru-RU"/>
        </w:rPr>
        <w:t>IOC/2024/TS/183</w:t>
      </w:r>
      <w:r w:rsidRPr="00E05DB3">
        <w:rPr>
          <w:rFonts w:ascii="Arial" w:hAnsi="Arial" w:cs="Arial"/>
          <w:sz w:val="22"/>
          <w:szCs w:val="22"/>
          <w:lang w:val="ru-RU"/>
        </w:rPr>
        <w:t>), включая Список вулканов, способных вызвать цунами;</w:t>
      </w:r>
    </w:p>
    <w:p w14:paraId="0A5B2750" w14:textId="77777777" w:rsidR="000E5026" w:rsidRPr="00E05DB3" w:rsidRDefault="000E5026" w:rsidP="00E90084">
      <w:pPr>
        <w:numPr>
          <w:ilvl w:val="0"/>
          <w:numId w:val="37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организовать для каждой МКГ онлайновые вебинары с участием соответствующих вулканологических обсерваторий и консультативных центров по вулканическому пеплу (КЦВП), с тем чтобы:</w:t>
      </w:r>
    </w:p>
    <w:p w14:paraId="65FFE427" w14:textId="1EC6CD84" w:rsidR="000E5026" w:rsidRPr="00E05DB3" w:rsidRDefault="000E5026" w:rsidP="00D16867">
      <w:pPr>
        <w:numPr>
          <w:ilvl w:val="0"/>
          <w:numId w:val="38"/>
        </w:numPr>
        <w:tabs>
          <w:tab w:val="clear" w:pos="709"/>
        </w:tabs>
        <w:spacing w:after="240"/>
        <w:ind w:left="1701" w:hanging="567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 xml:space="preserve">кратко ознакомить с содержанием доклада </w:t>
      </w:r>
      <w:r w:rsidRPr="00E05DB3">
        <w:rPr>
          <w:rFonts w:ascii="Arial" w:hAnsi="Arial" w:cs="Arial"/>
          <w:i/>
          <w:sz w:val="22"/>
          <w:szCs w:val="22"/>
          <w:lang w:val="ru-RU"/>
        </w:rPr>
        <w:t>«Мониторинг и предупреждение в отношении цунами вулканического происхождения»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(</w:t>
      </w:r>
      <w:r w:rsidRPr="00E05DB3">
        <w:rPr>
          <w:rFonts w:ascii="Arial" w:eastAsia="Arial" w:hAnsi="Arial" w:cs="Arial"/>
          <w:sz w:val="22"/>
          <w:szCs w:val="22"/>
          <w:lang w:val="ru-RU"/>
        </w:rPr>
        <w:t>IOC/2024/TS/183</w:t>
      </w:r>
      <w:r w:rsidRPr="00E05DB3">
        <w:rPr>
          <w:rFonts w:ascii="Arial" w:hAnsi="Arial" w:cs="Arial"/>
          <w:sz w:val="22"/>
          <w:szCs w:val="22"/>
          <w:lang w:val="ru-RU"/>
        </w:rPr>
        <w:t>) и сформулированными в нем рекомендациями,</w:t>
      </w:r>
    </w:p>
    <w:p w14:paraId="24E09FEF" w14:textId="77777777" w:rsidR="000E5026" w:rsidRPr="00E05DB3" w:rsidRDefault="000E5026" w:rsidP="00D16867">
      <w:pPr>
        <w:numPr>
          <w:ilvl w:val="0"/>
          <w:numId w:val="38"/>
        </w:numPr>
        <w:tabs>
          <w:tab w:val="clear" w:pos="709"/>
        </w:tabs>
        <w:spacing w:after="240"/>
        <w:ind w:left="1701" w:hanging="567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осветить тему этого опасного природного явления и определить уязвимые государства-члены,</w:t>
      </w:r>
    </w:p>
    <w:p w14:paraId="58645FA7" w14:textId="77777777" w:rsidR="000E5026" w:rsidRPr="00E05DB3" w:rsidRDefault="000E5026" w:rsidP="00D16867">
      <w:pPr>
        <w:numPr>
          <w:ilvl w:val="0"/>
          <w:numId w:val="38"/>
        </w:numPr>
        <w:tabs>
          <w:tab w:val="clear" w:pos="709"/>
        </w:tabs>
        <w:spacing w:after="240"/>
        <w:ind w:left="1701" w:hanging="567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инициировать необходимое партнерское взаимодействие между НЦПЦ, вулканологическими обсерваториями и КЦВП,</w:t>
      </w:r>
    </w:p>
    <w:p w14:paraId="1DB65C9E" w14:textId="77777777" w:rsidR="000E5026" w:rsidRPr="00E05DB3" w:rsidRDefault="000E5026" w:rsidP="00D16867">
      <w:pPr>
        <w:numPr>
          <w:ilvl w:val="0"/>
          <w:numId w:val="38"/>
        </w:numPr>
        <w:tabs>
          <w:tab w:val="clear" w:pos="709"/>
        </w:tabs>
        <w:spacing w:after="240"/>
        <w:ind w:left="1701" w:hanging="567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инициировать рассмотрение вопроса о том, что ПДСЦ, возможно, следует также обеспечить оказание услуг в ситуациях, когда цунами вулканического происхождения может затронуть несколько государств-членов;</w:t>
      </w:r>
    </w:p>
    <w:p w14:paraId="780BCFCB" w14:textId="77777777" w:rsidR="000E5026" w:rsidRPr="00E05DB3" w:rsidRDefault="000E5026" w:rsidP="002367A1">
      <w:pPr>
        <w:numPr>
          <w:ilvl w:val="0"/>
          <w:numId w:val="37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организовать в 2024 г. в координации с МГО вебинары для операторов системы NAVAREA и резервных операторов METAREA с целью ознакомления морского сообщества с новыми услугами и информационными продуктами, а также получения и передачи ПДСЦ контактной информации об их соответствующих операторах NAVAREA и METAREA для внедрения новых навигационных бюллетеней;</w:t>
      </w:r>
    </w:p>
    <w:p w14:paraId="782F9A00" w14:textId="77777777" w:rsidR="000E5026" w:rsidRPr="00E05DB3" w:rsidRDefault="000E5026" w:rsidP="002367A1">
      <w:pPr>
        <w:numPr>
          <w:ilvl w:val="0"/>
          <w:numId w:val="37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под руководством ЦИЦ подготовить и распространить комплект методических материалов по вопросам готовности к цунами, который поможет государствам участвовать в реализации ПСГЦ. Указанный комплект методических материалов может включать описание стандартной и понятной процедуры, формата и способа подачи заявки на получение сертификата «К цунами готов» и вспомогательные документы, в том числе разъяснение в отношении термина «сообщество» применительно к программе МОК/ЮНЕСКО по сертификации готовности к цунами;</w:t>
      </w:r>
    </w:p>
    <w:p w14:paraId="5533EA8F" w14:textId="4BC70A02" w:rsidR="000E5026" w:rsidRPr="00E05DB3" w:rsidRDefault="000E5026" w:rsidP="002367A1">
      <w:pPr>
        <w:numPr>
          <w:ilvl w:val="0"/>
          <w:numId w:val="37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информировать государства-члены о возможности использования комплекта методических материалов по вопросам готовности к цунами посредством направления циркулярного письма МОК в адрес национальных контактов по цунами и наци</w:t>
      </w:r>
      <w:r w:rsidRPr="00E05DB3">
        <w:rPr>
          <w:rFonts w:ascii="Arial" w:hAnsi="Arial" w:cs="Arial"/>
          <w:sz w:val="22"/>
          <w:szCs w:val="22"/>
          <w:lang w:val="ru-RU"/>
        </w:rPr>
        <w:lastRenderedPageBreak/>
        <w:t xml:space="preserve">ональных советов по обеспечению готовности к цунами, а также путем его широкого распространения в качестве приложения к </w:t>
      </w:r>
      <w:r w:rsidRPr="00E05DB3">
        <w:rPr>
          <w:rFonts w:ascii="Arial" w:hAnsi="Arial" w:cs="Arial"/>
          <w:i/>
          <w:sz w:val="22"/>
          <w:szCs w:val="22"/>
          <w:lang w:val="ru-RU"/>
        </w:rPr>
        <w:t>Типовым руководящим принципам участия в Программе сертификации готовности к цунами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(</w:t>
      </w:r>
      <w:r w:rsidRPr="00E05DB3">
        <w:rPr>
          <w:rFonts w:ascii="Arial" w:eastAsia="Arial" w:hAnsi="Arial" w:cs="Arial"/>
          <w:sz w:val="22"/>
          <w:szCs w:val="22"/>
          <w:lang w:val="ru-RU"/>
        </w:rPr>
        <w:t>IOC/2022/MG/74</w:t>
      </w:r>
      <w:r w:rsidRPr="00E05DB3">
        <w:rPr>
          <w:rFonts w:ascii="Arial" w:hAnsi="Arial" w:cs="Arial"/>
          <w:sz w:val="22"/>
          <w:szCs w:val="22"/>
          <w:lang w:val="ru-RU"/>
        </w:rPr>
        <w:t>);</w:t>
      </w:r>
    </w:p>
    <w:p w14:paraId="43BA53D4" w14:textId="77777777" w:rsidR="000E5026" w:rsidRPr="00E05DB3" w:rsidRDefault="000E5026" w:rsidP="001F6DD9">
      <w:pPr>
        <w:tabs>
          <w:tab w:val="clear" w:pos="709"/>
        </w:tabs>
        <w:spacing w:after="240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u w:val="single"/>
          <w:lang w:val="ru-RU"/>
        </w:rPr>
        <w:t>продлевает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срок полномочий Рабочей группы по системам предупреждения о цунами и других опасных явлениях, связанных с изменением уровня моря, и смягчения их последствий, а также полномочий следующих ее целевых групп: (i) целевая группа по ликвидации последствий стихийных бедствий и обеспечению готовности к ним (ЦГ-ЛПГ) и (ii) целевая группа по наблюдению за цунами (ЦГ</w:t>
      </w:r>
      <w:r w:rsidRPr="00E05DB3">
        <w:rPr>
          <w:rFonts w:ascii="Arial" w:hAnsi="Arial" w:cs="Arial"/>
          <w:sz w:val="22"/>
          <w:szCs w:val="22"/>
          <w:lang w:val="ru-RU"/>
        </w:rPr>
        <w:noBreakHyphen/>
        <w:t>НЦ) с сохранением за ними полномочий, изложенных в резолюции МОК XXIV-14 (для РГ-СПЦО), в докладе IOC/TOWS-WG-VI/3, приложение II (для ЦГ</w:t>
      </w:r>
      <w:r w:rsidRPr="00E05DB3">
        <w:rPr>
          <w:rFonts w:ascii="Arial" w:hAnsi="Arial" w:cs="Arial"/>
          <w:sz w:val="22"/>
          <w:szCs w:val="22"/>
          <w:lang w:val="ru-RU"/>
        </w:rPr>
        <w:noBreakHyphen/>
        <w:t>ЛПГ) и докладе IOC/TOWS-WG-X/3, приложение II, добавление 1 (для ЦГ</w:t>
      </w:r>
      <w:r w:rsidRPr="00E05DB3">
        <w:rPr>
          <w:rFonts w:ascii="Arial" w:hAnsi="Arial" w:cs="Arial"/>
          <w:sz w:val="22"/>
          <w:szCs w:val="22"/>
          <w:lang w:val="ru-RU"/>
        </w:rPr>
        <w:noBreakHyphen/>
        <w:t>НЦ);</w:t>
      </w:r>
    </w:p>
    <w:p w14:paraId="5E2ECAB9" w14:textId="77777777" w:rsidR="000E5026" w:rsidRPr="00E05DB3" w:rsidRDefault="000E5026" w:rsidP="001F6DD9">
      <w:pPr>
        <w:spacing w:after="240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iCs/>
          <w:sz w:val="22"/>
          <w:szCs w:val="22"/>
          <w:u w:val="single"/>
          <w:lang w:val="ru-RU"/>
        </w:rPr>
        <w:t>принимает к сведению</w:t>
      </w:r>
      <w:r w:rsidRPr="00E05DB3">
        <w:rPr>
          <w:rFonts w:ascii="Arial" w:hAnsi="Arial" w:cs="Arial"/>
          <w:iCs/>
          <w:sz w:val="22"/>
          <w:szCs w:val="22"/>
          <w:lang w:val="ru-RU"/>
        </w:rPr>
        <w:t>, что РГ-СПЦО проведет оценку на предмет актуальности и пересмотр круга ведения ЦГ-ЛПГ и ЦГ-НЦ для их утверждения на следующей сессии Ассамблеи МОК в 2025 г.;</w:t>
      </w:r>
    </w:p>
    <w:p w14:paraId="44240BD3" w14:textId="23DC4BE6" w:rsidR="000E5026" w:rsidRPr="00E05DB3" w:rsidRDefault="000E5026" w:rsidP="001F6DD9">
      <w:pPr>
        <w:spacing w:after="240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 w:cs="Arial"/>
          <w:iCs/>
          <w:sz w:val="22"/>
          <w:szCs w:val="22"/>
          <w:u w:val="single"/>
          <w:lang w:val="ru-RU"/>
        </w:rPr>
        <w:t>принимает к сведению также</w:t>
      </w:r>
      <w:r w:rsidRPr="00E05DB3">
        <w:rPr>
          <w:rFonts w:ascii="Arial" w:hAnsi="Arial" w:cs="Arial"/>
          <w:iCs/>
          <w:sz w:val="22"/>
          <w:szCs w:val="22"/>
          <w:lang w:val="ru-RU"/>
        </w:rPr>
        <w:t xml:space="preserve">, что объем ассигнований по линии бюджета обычной программы на цели осуществления указанных мероприятий будет определен в рамках резолюции, касающейся управления, разработки программ и планирования бюджета Комиссии. </w:t>
      </w:r>
    </w:p>
    <w:bookmarkEnd w:id="3"/>
    <w:bookmarkEnd w:id="1"/>
    <w:p w14:paraId="26F8EA7C" w14:textId="0D6F67E6" w:rsidR="00C96CEF" w:rsidRPr="00E05DB3" w:rsidRDefault="00C96CEF" w:rsidP="00916AF9">
      <w:pPr>
        <w:tabs>
          <w:tab w:val="clear" w:pos="709"/>
          <w:tab w:val="left" w:pos="4008"/>
        </w:tabs>
        <w:spacing w:after="240"/>
        <w:jc w:val="center"/>
        <w:rPr>
          <w:rFonts w:ascii="Arial" w:hAnsi="Arial" w:cs="Arial"/>
          <w:sz w:val="22"/>
          <w:szCs w:val="22"/>
          <w:u w:val="single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Решение МОК EC-57/4.1</w:t>
      </w:r>
    </w:p>
    <w:p w14:paraId="364859CF" w14:textId="77777777" w:rsidR="00C96CEF" w:rsidRPr="00E05DB3" w:rsidRDefault="00C96CEF" w:rsidP="001F6F96">
      <w:pPr>
        <w:keepNext/>
        <w:spacing w:after="24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/>
          <w:b/>
          <w:bCs/>
          <w:sz w:val="22"/>
          <w:szCs w:val="22"/>
          <w:lang w:val="ru-RU"/>
        </w:rPr>
        <w:t>Управление глобальной системой наблюдений за океаном (ГСНО)</w:t>
      </w:r>
    </w:p>
    <w:p w14:paraId="10AA2DF9" w14:textId="77777777" w:rsidR="00C96CEF" w:rsidRPr="00E05DB3" w:rsidRDefault="00C96CEF" w:rsidP="00C96CEF">
      <w:pPr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Исполнительный совет,</w:t>
      </w:r>
    </w:p>
    <w:p w14:paraId="6BB25FC7" w14:textId="77777777" w:rsidR="00C96CEF" w:rsidRPr="00E05DB3" w:rsidRDefault="00C96CEF" w:rsidP="00C96CEF">
      <w:pPr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рассмотрев</w:t>
      </w:r>
      <w:r w:rsidRPr="00E05DB3">
        <w:rPr>
          <w:rFonts w:ascii="Arial" w:hAnsi="Arial"/>
          <w:sz w:val="22"/>
          <w:szCs w:val="22"/>
          <w:lang w:val="ru-RU"/>
        </w:rPr>
        <w:t xml:space="preserve"> документ IOC/EC-57/4.</w:t>
      </w:r>
      <w:proofErr w:type="gramStart"/>
      <w:r w:rsidRPr="00E05DB3">
        <w:rPr>
          <w:rFonts w:ascii="Arial" w:hAnsi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/>
          <w:sz w:val="22"/>
          <w:szCs w:val="22"/>
          <w:lang w:val="ru-RU"/>
        </w:rPr>
        <w:t>(1),</w:t>
      </w:r>
    </w:p>
    <w:p w14:paraId="35114995" w14:textId="77777777" w:rsidR="00C96CEF" w:rsidRPr="00E05DB3" w:rsidRDefault="00C96CEF" w:rsidP="00C96CEF">
      <w:pPr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подтверждая</w:t>
      </w:r>
      <w:r w:rsidRPr="00E05DB3">
        <w:rPr>
          <w:rFonts w:ascii="Arial" w:hAnsi="Arial"/>
          <w:sz w:val="22"/>
          <w:szCs w:val="22"/>
          <w:lang w:val="ru-RU"/>
        </w:rPr>
        <w:t>, что развитие ГСНО является приоритетной задачей МОК,</w:t>
      </w:r>
    </w:p>
    <w:p w14:paraId="7340AF5E" w14:textId="77777777" w:rsidR="00C96CEF" w:rsidRPr="00E05DB3" w:rsidRDefault="00C96CEF" w:rsidP="00C96CEF">
      <w:pPr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ссылаясь</w:t>
      </w:r>
      <w:r w:rsidRPr="00E05DB3">
        <w:rPr>
          <w:rFonts w:ascii="Arial" w:hAnsi="Arial"/>
          <w:sz w:val="22"/>
          <w:szCs w:val="22"/>
          <w:lang w:val="ru-RU"/>
        </w:rPr>
        <w:t xml:space="preserve"> на Стратегию развития ГСНО на период до 2030 г. и </w:t>
      </w:r>
      <w:r w:rsidRPr="00E05DB3">
        <w:rPr>
          <w:rFonts w:ascii="Arial" w:hAnsi="Arial"/>
          <w:sz w:val="22"/>
          <w:szCs w:val="22"/>
          <w:u w:val="single"/>
          <w:lang w:val="ru-RU"/>
        </w:rPr>
        <w:t>принимая к сведению</w:t>
      </w:r>
      <w:r w:rsidRPr="00E05DB3">
        <w:rPr>
          <w:rFonts w:ascii="Arial" w:hAnsi="Arial"/>
          <w:sz w:val="22"/>
          <w:szCs w:val="22"/>
          <w:lang w:val="ru-RU"/>
        </w:rPr>
        <w:t xml:space="preserve"> экспертный доклад «На пути к 2030 году», посвященный реализации приоритетной задачи 7 Десятилетия – </w:t>
      </w:r>
      <w:r w:rsidRPr="00E05DB3">
        <w:rPr>
          <w:rFonts w:ascii="Arial" w:hAnsi="Arial"/>
          <w:i/>
          <w:sz w:val="22"/>
          <w:szCs w:val="22"/>
          <w:lang w:val="ru-RU"/>
        </w:rPr>
        <w:t>Развитие глобальной системы наблюдений за океаном</w:t>
      </w:r>
      <w:r w:rsidRPr="00E05DB3">
        <w:rPr>
          <w:rFonts w:ascii="Arial" w:hAnsi="Arial"/>
          <w:sz w:val="22"/>
          <w:szCs w:val="22"/>
          <w:lang w:val="ru-RU"/>
        </w:rPr>
        <w:t>,</w:t>
      </w:r>
    </w:p>
    <w:p w14:paraId="1394ABFA" w14:textId="77777777" w:rsidR="00C96CEF" w:rsidRPr="00E05DB3" w:rsidRDefault="00C96CEF" w:rsidP="00C96CEF">
      <w:pPr>
        <w:spacing w:after="240"/>
        <w:rPr>
          <w:rFonts w:ascii="Arial" w:eastAsia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памятуя</w:t>
      </w:r>
      <w:r w:rsidRPr="00E05DB3">
        <w:rPr>
          <w:rFonts w:ascii="Arial" w:hAnsi="Arial"/>
          <w:sz w:val="22"/>
          <w:szCs w:val="22"/>
          <w:lang w:val="ru-RU"/>
        </w:rPr>
        <w:t xml:space="preserve"> о решении A-32/4.7,</w:t>
      </w:r>
    </w:p>
    <w:p w14:paraId="49964EFE" w14:textId="77777777" w:rsidR="00C96CEF" w:rsidRPr="00E05DB3" w:rsidRDefault="00C96CEF" w:rsidP="00C96CEF">
      <w:pPr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с удовлетворением принимает к сведению</w:t>
      </w:r>
      <w:r w:rsidRPr="00E05DB3">
        <w:rPr>
          <w:rFonts w:ascii="Arial" w:hAnsi="Arial"/>
          <w:sz w:val="22"/>
          <w:szCs w:val="22"/>
          <w:lang w:val="ru-RU"/>
        </w:rPr>
        <w:t xml:space="preserve"> информацию и меры, представленные в документе IOC/EC-57/4.</w:t>
      </w:r>
      <w:proofErr w:type="gramStart"/>
      <w:r w:rsidRPr="00E05DB3">
        <w:rPr>
          <w:rFonts w:ascii="Arial" w:hAnsi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/>
          <w:sz w:val="22"/>
          <w:szCs w:val="22"/>
          <w:lang w:val="ru-RU"/>
        </w:rPr>
        <w:t>(1);</w:t>
      </w:r>
    </w:p>
    <w:p w14:paraId="26613074" w14:textId="77777777" w:rsidR="00C96CEF" w:rsidRPr="00E05DB3" w:rsidRDefault="00C96CEF" w:rsidP="00C96CEF">
      <w:pPr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одобряет</w:t>
      </w:r>
      <w:r w:rsidRPr="00E05DB3">
        <w:rPr>
          <w:rFonts w:ascii="Arial" w:hAnsi="Arial"/>
          <w:sz w:val="22"/>
          <w:szCs w:val="22"/>
          <w:lang w:val="ru-RU"/>
        </w:rPr>
        <w:t xml:space="preserve"> предлагаемые меры по совершенствованию механизмов управления ГСНО, в том виде, как они сформулированы в документе IOC/EC-57/4.</w:t>
      </w:r>
      <w:proofErr w:type="gramStart"/>
      <w:r w:rsidRPr="00E05DB3">
        <w:rPr>
          <w:rFonts w:ascii="Arial" w:hAnsi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/>
          <w:sz w:val="22"/>
          <w:szCs w:val="22"/>
          <w:lang w:val="ru-RU"/>
        </w:rPr>
        <w:t>(1), а также любые поправки, которые, возможно, потребуется в них внести по просьбе государств-членов.</w:t>
      </w:r>
    </w:p>
    <w:p w14:paraId="41AFD31D" w14:textId="1EB5B929" w:rsidR="00CC06AC" w:rsidRPr="00E05DB3" w:rsidRDefault="00CC06AC" w:rsidP="00CC06AC">
      <w:pPr>
        <w:tabs>
          <w:tab w:val="clear" w:pos="709"/>
        </w:tabs>
        <w:spacing w:after="240"/>
        <w:jc w:val="center"/>
        <w:rPr>
          <w:rFonts w:ascii="Arial" w:hAnsi="Arial" w:cs="Arial"/>
          <w:sz w:val="22"/>
          <w:szCs w:val="22"/>
          <w:u w:val="single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Решение МОК EC-57/4.2</w:t>
      </w:r>
    </w:p>
    <w:p w14:paraId="1142C6A5" w14:textId="77777777" w:rsidR="00CC06AC" w:rsidRPr="00E05DB3" w:rsidRDefault="00CC06AC" w:rsidP="00CC06AC">
      <w:pPr>
        <w:tabs>
          <w:tab w:val="clear" w:pos="709"/>
        </w:tabs>
        <w:spacing w:after="24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/>
          <w:b/>
          <w:bCs/>
          <w:sz w:val="22"/>
          <w:szCs w:val="22"/>
          <w:lang w:val="ru-RU"/>
        </w:rPr>
        <w:t>Доклад о результатах работы специальной межсессионной рабочей группы МОК по наблюдениям за океаном в районах, находящихся под национальной юрисдикцией</w:t>
      </w:r>
    </w:p>
    <w:p w14:paraId="49CB69E1" w14:textId="77777777" w:rsidR="00CC06AC" w:rsidRPr="00E05DB3" w:rsidRDefault="00CC06AC" w:rsidP="00CC06AC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Исполнительный совет,</w:t>
      </w:r>
    </w:p>
    <w:p w14:paraId="1BA9B096" w14:textId="77777777" w:rsidR="00CC06AC" w:rsidRPr="00E05DB3" w:rsidRDefault="00CC06AC" w:rsidP="00CC06AC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ссылаясь</w:t>
      </w:r>
      <w:r w:rsidRPr="00E05DB3">
        <w:rPr>
          <w:rFonts w:ascii="Arial" w:hAnsi="Arial"/>
          <w:sz w:val="22"/>
          <w:szCs w:val="22"/>
          <w:lang w:val="ru-RU"/>
        </w:rPr>
        <w:t xml:space="preserve"> на решение Ассамблеи МОК A-32/4.8.2,</w:t>
      </w:r>
    </w:p>
    <w:p w14:paraId="57E827C8" w14:textId="77777777" w:rsidR="00CC06AC" w:rsidRPr="00E05DB3" w:rsidRDefault="00CC06AC" w:rsidP="00CC06AC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приветствует</w:t>
      </w:r>
      <w:r w:rsidRPr="00E05DB3">
        <w:rPr>
          <w:rFonts w:ascii="Arial" w:hAnsi="Arial"/>
          <w:sz w:val="22"/>
          <w:szCs w:val="22"/>
          <w:lang w:val="ru-RU"/>
        </w:rPr>
        <w:t xml:space="preserve"> учреждение рабочей группы и избрание ее сопредседателей;</w:t>
      </w:r>
    </w:p>
    <w:p w14:paraId="004B13D4" w14:textId="77777777" w:rsidR="00CC06AC" w:rsidRPr="00E05DB3" w:rsidRDefault="00CC06AC" w:rsidP="00CC06AC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рассмотрев</w:t>
      </w:r>
      <w:r w:rsidRPr="00E05DB3">
        <w:rPr>
          <w:rFonts w:ascii="Arial" w:hAnsi="Arial"/>
          <w:sz w:val="22"/>
          <w:szCs w:val="22"/>
          <w:lang w:val="ru-RU"/>
        </w:rPr>
        <w:t xml:space="preserve"> документ IOC/EC-57/4.</w:t>
      </w:r>
      <w:proofErr w:type="gramStart"/>
      <w:r w:rsidRPr="00E05DB3">
        <w:rPr>
          <w:rFonts w:ascii="Arial" w:hAnsi="Arial"/>
          <w:sz w:val="22"/>
          <w:szCs w:val="22"/>
          <w:lang w:val="ru-RU"/>
        </w:rPr>
        <w:t>2.Doc</w:t>
      </w:r>
      <w:proofErr w:type="gramEnd"/>
      <w:r w:rsidRPr="00E05DB3">
        <w:rPr>
          <w:rFonts w:ascii="Arial" w:hAnsi="Arial"/>
          <w:sz w:val="22"/>
          <w:szCs w:val="22"/>
          <w:lang w:val="ru-RU"/>
        </w:rPr>
        <w:t>(1),</w:t>
      </w:r>
    </w:p>
    <w:p w14:paraId="5B445C45" w14:textId="77777777" w:rsidR="00CC06AC" w:rsidRPr="00E05DB3" w:rsidRDefault="00CC06AC" w:rsidP="00CC06AC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lastRenderedPageBreak/>
        <w:t>призывает</w:t>
      </w:r>
      <w:r w:rsidRPr="00E05DB3">
        <w:rPr>
          <w:rFonts w:ascii="Arial" w:hAnsi="Arial"/>
          <w:sz w:val="22"/>
          <w:szCs w:val="22"/>
          <w:lang w:val="ru-RU"/>
        </w:rPr>
        <w:t xml:space="preserve"> рабочую группу продолжить ее деятельность, в том числе рассмотрение любых новых документов, которые могут содержать соответствующую информацию в поддержку ее работы;</w:t>
      </w:r>
    </w:p>
    <w:p w14:paraId="68949C01" w14:textId="77777777" w:rsidR="00CC06AC" w:rsidRPr="00E05DB3" w:rsidRDefault="00CC06AC" w:rsidP="00CC06AC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призывает</w:t>
      </w:r>
      <w:r w:rsidRPr="00E05DB3">
        <w:rPr>
          <w:rFonts w:ascii="Arial" w:hAnsi="Arial"/>
          <w:sz w:val="22"/>
          <w:szCs w:val="22"/>
          <w:lang w:val="ru-RU"/>
        </w:rPr>
        <w:t xml:space="preserve"> большее число государств-членов содействовать деятельности группы посредством ответа на циркулярное письмо МОК № 2938, а также разрешить рабочей группе ознакомиться с их ответами.</w:t>
      </w:r>
    </w:p>
    <w:p w14:paraId="63E5BA99" w14:textId="1FEE74B6" w:rsidR="00EF1276" w:rsidRPr="00E05DB3" w:rsidRDefault="00EF1276" w:rsidP="00EF1276">
      <w:pPr>
        <w:spacing w:after="240"/>
        <w:jc w:val="center"/>
        <w:rPr>
          <w:rFonts w:ascii="Arial" w:hAnsi="Arial" w:cs="Arial"/>
          <w:i/>
          <w:iCs/>
          <w:sz w:val="22"/>
          <w:szCs w:val="22"/>
          <w:u w:val="single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Решение МОК EC-57/4.3</w:t>
      </w:r>
    </w:p>
    <w:p w14:paraId="7F346ACD" w14:textId="5505F5EA" w:rsidR="00EF1276" w:rsidRPr="00E05DB3" w:rsidRDefault="00EF1276" w:rsidP="00EF1276">
      <w:pPr>
        <w:spacing w:after="24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/>
          <w:b/>
          <w:bCs/>
          <w:sz w:val="22"/>
          <w:szCs w:val="22"/>
          <w:lang w:val="ru-RU"/>
        </w:rPr>
        <w:t xml:space="preserve">Проект общей стратегии МОК по устойчивому планированию и </w:t>
      </w:r>
      <w:r w:rsidRPr="00E05DB3">
        <w:rPr>
          <w:rFonts w:ascii="Arial" w:hAnsi="Arial"/>
          <w:b/>
          <w:bCs/>
          <w:sz w:val="22"/>
          <w:szCs w:val="22"/>
          <w:lang w:val="ru-RU"/>
        </w:rPr>
        <w:br/>
        <w:t>управлению в сфере океана (</w:t>
      </w:r>
      <w:proofErr w:type="gramStart"/>
      <w:r w:rsidRPr="00E05DB3">
        <w:rPr>
          <w:rFonts w:ascii="Arial" w:hAnsi="Arial"/>
          <w:b/>
          <w:bCs/>
          <w:sz w:val="22"/>
          <w:szCs w:val="22"/>
          <w:lang w:val="ru-RU"/>
        </w:rPr>
        <w:t>2024-2030</w:t>
      </w:r>
      <w:proofErr w:type="gramEnd"/>
      <w:r w:rsidRPr="00E05DB3">
        <w:rPr>
          <w:rFonts w:ascii="Arial" w:hAnsi="Arial"/>
          <w:b/>
          <w:bCs/>
          <w:sz w:val="22"/>
          <w:szCs w:val="22"/>
          <w:lang w:val="ru-RU"/>
        </w:rPr>
        <w:t xml:space="preserve"> гг.)</w:t>
      </w:r>
    </w:p>
    <w:p w14:paraId="18F237E8" w14:textId="77777777" w:rsidR="00EF1276" w:rsidRPr="00E05DB3" w:rsidRDefault="00EF1276" w:rsidP="00EF1276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Исполнительный совет,</w:t>
      </w:r>
    </w:p>
    <w:p w14:paraId="1F577575" w14:textId="77777777" w:rsidR="00EF1276" w:rsidRPr="00E05DB3" w:rsidRDefault="00EF1276" w:rsidP="00EF1276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рассмотрев</w:t>
      </w:r>
      <w:r w:rsidRPr="00E05DB3">
        <w:rPr>
          <w:rFonts w:ascii="Arial" w:hAnsi="Arial"/>
          <w:sz w:val="22"/>
          <w:szCs w:val="22"/>
          <w:lang w:val="ru-RU"/>
        </w:rPr>
        <w:t xml:space="preserve"> документ IOC/EC-57/4.</w:t>
      </w:r>
      <w:proofErr w:type="gramStart"/>
      <w:r w:rsidRPr="00E05DB3">
        <w:rPr>
          <w:rFonts w:ascii="Arial" w:hAnsi="Arial"/>
          <w:sz w:val="22"/>
          <w:szCs w:val="22"/>
          <w:lang w:val="ru-RU"/>
        </w:rPr>
        <w:t>3.Doc</w:t>
      </w:r>
      <w:proofErr w:type="gramEnd"/>
      <w:r w:rsidRPr="00E05DB3">
        <w:rPr>
          <w:rFonts w:ascii="Arial" w:hAnsi="Arial"/>
          <w:sz w:val="22"/>
          <w:szCs w:val="22"/>
          <w:lang w:val="ru-RU"/>
        </w:rPr>
        <w:t xml:space="preserve">(1) </w:t>
      </w:r>
      <w:proofErr w:type="spellStart"/>
      <w:r w:rsidRPr="00E05DB3">
        <w:rPr>
          <w:rFonts w:ascii="Arial" w:hAnsi="Arial"/>
          <w:color w:val="000000"/>
          <w:sz w:val="22"/>
          <w:szCs w:val="22"/>
          <w:lang w:val="ru-RU"/>
        </w:rPr>
        <w:t>Rev</w:t>
      </w:r>
      <w:proofErr w:type="spellEnd"/>
      <w:r w:rsidRPr="00E05DB3">
        <w:rPr>
          <w:rFonts w:ascii="Arial" w:hAnsi="Arial"/>
          <w:color w:val="000000"/>
          <w:sz w:val="22"/>
          <w:szCs w:val="22"/>
          <w:lang w:val="ru-RU"/>
        </w:rPr>
        <w:t>.</w:t>
      </w:r>
      <w:r w:rsidRPr="00E05DB3">
        <w:rPr>
          <w:rFonts w:ascii="Arial" w:hAnsi="Arial"/>
          <w:sz w:val="22"/>
          <w:szCs w:val="22"/>
          <w:lang w:val="ru-RU"/>
        </w:rPr>
        <w:t xml:space="preserve">, </w:t>
      </w:r>
    </w:p>
    <w:p w14:paraId="7941C97D" w14:textId="3D129D49" w:rsidR="00EF1276" w:rsidRPr="00E05DB3" w:rsidRDefault="00EF1276" w:rsidP="00EF1276">
      <w:pPr>
        <w:tabs>
          <w:tab w:val="clear" w:pos="709"/>
        </w:tabs>
        <w:spacing w:after="240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u w:val="single"/>
          <w:lang w:val="ru-RU"/>
        </w:rPr>
        <w:t>учитывая</w:t>
      </w:r>
      <w:r w:rsidRPr="00E05DB3">
        <w:rPr>
          <w:rFonts w:ascii="Arial" w:hAnsi="Arial"/>
          <w:iCs/>
          <w:sz w:val="22"/>
          <w:szCs w:val="22"/>
          <w:lang w:val="ru-RU"/>
        </w:rPr>
        <w:t xml:space="preserve"> значение, которое МОК придает разработке всеобъемлющих рамочных принципов деятельности, направленной на формирование базы научных знаний и создание потенциала в интересах удовлетворения потребностей государств – членов МОК в области устойчивого планирования и управления в сфере океана, в соответствии со своим Уставом и в поддержку реализации среднесрочной стратегии МОК на 2022-2029 гг., а также программы и бюджета на 2024-2025 гг., утвержденных в документе 42 С/5,</w:t>
      </w:r>
    </w:p>
    <w:p w14:paraId="6BDBC541" w14:textId="77777777" w:rsidR="00EF1276" w:rsidRPr="00E05DB3" w:rsidRDefault="00EF1276" w:rsidP="00EF1276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приветствует</w:t>
      </w:r>
      <w:r w:rsidRPr="00E05DB3">
        <w:rPr>
          <w:rFonts w:ascii="Arial" w:hAnsi="Arial"/>
          <w:sz w:val="22"/>
          <w:szCs w:val="22"/>
          <w:lang w:val="ru-RU"/>
        </w:rPr>
        <w:t xml:space="preserve"> проект общей стратегии МОК по устойчивому планированию и управлению в сфере океана;</w:t>
      </w:r>
    </w:p>
    <w:p w14:paraId="692B50C3" w14:textId="77777777" w:rsidR="00EF1276" w:rsidRPr="00E05DB3" w:rsidRDefault="00EF1276" w:rsidP="00EF1276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постановляет</w:t>
      </w:r>
      <w:r w:rsidRPr="00E05DB3">
        <w:rPr>
          <w:rFonts w:ascii="Arial" w:hAnsi="Arial"/>
          <w:sz w:val="22"/>
          <w:szCs w:val="22"/>
          <w:lang w:val="ru-RU"/>
        </w:rPr>
        <w:t xml:space="preserve"> создать рабочую группу МОК по устойчивому планированию и управлению в сфере океана, круг ведения которой приводится в приложении к настоящему решению; </w:t>
      </w:r>
    </w:p>
    <w:p w14:paraId="3DC6364F" w14:textId="77777777" w:rsidR="00EF1276" w:rsidRPr="00E05DB3" w:rsidRDefault="00EF1276" w:rsidP="00EF1276">
      <w:pPr>
        <w:tabs>
          <w:tab w:val="clear" w:pos="709"/>
        </w:tabs>
        <w:spacing w:after="240"/>
        <w:rPr>
          <w:rFonts w:ascii="Arial" w:hAnsi="Arial" w:cs="Arial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просит</w:t>
      </w:r>
      <w:r w:rsidRPr="00E05DB3">
        <w:rPr>
          <w:rFonts w:ascii="Arial" w:hAnsi="Arial"/>
          <w:sz w:val="22"/>
          <w:szCs w:val="22"/>
          <w:lang w:val="ru-RU"/>
        </w:rPr>
        <w:t xml:space="preserve"> рабочую группу представить Ассамблее МОК на ее 33-й сессии соответствующий доклад.</w:t>
      </w:r>
    </w:p>
    <w:p w14:paraId="781E5CFF" w14:textId="77777777" w:rsidR="00EF1276" w:rsidRPr="00E05DB3" w:rsidRDefault="00EF1276" w:rsidP="00EF1276">
      <w:pPr>
        <w:keepNext/>
        <w:spacing w:after="240"/>
        <w:jc w:val="center"/>
        <w:rPr>
          <w:rFonts w:ascii="Arial" w:hAnsi="Arial" w:cs="Arial"/>
          <w:sz w:val="22"/>
          <w:szCs w:val="22"/>
          <w:u w:val="single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 xml:space="preserve">Приложение к </w:t>
      </w:r>
      <w:r w:rsidRPr="00E05DB3">
        <w:rPr>
          <w:rFonts w:ascii="Arial" w:hAnsi="Arial"/>
          <w:sz w:val="22"/>
          <w:szCs w:val="22"/>
          <w:u w:val="single"/>
          <w:lang w:val="ru-RU"/>
        </w:rPr>
        <w:t>решению EC-57/4.3</w:t>
      </w:r>
    </w:p>
    <w:p w14:paraId="3FE29CD8" w14:textId="16521C65" w:rsidR="00EF1276" w:rsidRPr="00E05DB3" w:rsidRDefault="00EF1276" w:rsidP="00EF1276">
      <w:pPr>
        <w:spacing w:after="240"/>
        <w:jc w:val="center"/>
        <w:rPr>
          <w:rFonts w:ascii="Arial" w:hAnsi="Arial" w:cs="Arial"/>
          <w:b/>
          <w:bCs/>
          <w:color w:val="000000"/>
          <w:sz w:val="22"/>
          <w:szCs w:val="22"/>
          <w:lang w:val="ru-RU"/>
        </w:rPr>
      </w:pPr>
      <w:r w:rsidRPr="00E05DB3">
        <w:rPr>
          <w:rFonts w:ascii="Arial" w:hAnsi="Arial"/>
          <w:b/>
          <w:bCs/>
          <w:sz w:val="22"/>
          <w:szCs w:val="22"/>
          <w:lang w:val="ru-RU"/>
        </w:rPr>
        <w:t>Круг ведения рабочей группы МОК по устойчивому планированию и управлению в сфере океана (РГ-УПУО)</w:t>
      </w:r>
    </w:p>
    <w:p w14:paraId="73A7EE32" w14:textId="77777777" w:rsidR="00EF1276" w:rsidRPr="00E05DB3" w:rsidRDefault="00EF1276" w:rsidP="00EF1276">
      <w:pPr>
        <w:spacing w:after="240"/>
        <w:rPr>
          <w:rFonts w:ascii="Arial" w:hAnsi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В состав рабочей группы МОК по устойчивому планированию и управлению в сфере океана входят специалисты, назначенные государствами – членами МОК в соответствии с просьбой, сформулированной в циркулярном письме, а также представители региональных вспомогательных органов МОК и (в соответствующих случаях) руководящих органов программ МОК.</w:t>
      </w:r>
    </w:p>
    <w:p w14:paraId="0C69EB4E" w14:textId="77777777" w:rsidR="00EF1276" w:rsidRPr="00E05DB3" w:rsidRDefault="00EF1276" w:rsidP="00EF1276">
      <w:pPr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Рабочая группа избирает двух сопредседателей из числа своих членов.</w:t>
      </w:r>
    </w:p>
    <w:p w14:paraId="5674BB9E" w14:textId="77777777" w:rsidR="00EF1276" w:rsidRPr="00E05DB3" w:rsidRDefault="00EF1276" w:rsidP="00EF1276">
      <w:pPr>
        <w:spacing w:after="240"/>
        <w:rPr>
          <w:rFonts w:ascii="Arial" w:eastAsia="Yu Mincho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 xml:space="preserve">Рабочая группа МОК по устойчивому планированию и управлению в сфере океана (РГ-УПУО) отвечает за выполнение следующих задач: </w:t>
      </w:r>
    </w:p>
    <w:p w14:paraId="574E83A6" w14:textId="77777777" w:rsidR="00EF1276" w:rsidRPr="00E05DB3" w:rsidRDefault="00EF1276" w:rsidP="00EF1276">
      <w:pPr>
        <w:pStyle w:val="ListParagraph"/>
        <w:numPr>
          <w:ilvl w:val="0"/>
          <w:numId w:val="28"/>
        </w:numPr>
        <w:tabs>
          <w:tab w:val="clear" w:pos="709"/>
        </w:tabs>
        <w:spacing w:after="240"/>
        <w:ind w:left="567" w:hanging="567"/>
        <w:contextualSpacing w:val="0"/>
        <w:rPr>
          <w:rFonts w:ascii="Arial" w:hAnsi="Arial" w:cs="Arial"/>
          <w:color w:val="0D0D0D"/>
          <w:sz w:val="22"/>
          <w:szCs w:val="22"/>
          <w:lang w:val="ru-RU"/>
        </w:rPr>
      </w:pPr>
      <w:r w:rsidRPr="00E05DB3">
        <w:rPr>
          <w:rFonts w:ascii="Arial" w:hAnsi="Arial" w:cs="Arial"/>
          <w:color w:val="0D0D0D"/>
          <w:sz w:val="22"/>
          <w:szCs w:val="22"/>
          <w:lang w:val="ru-RU"/>
        </w:rPr>
        <w:t>Пересмотр проекта стратегии по УПУО с учетом его обсуждения на 57-й сессии Исполнительного совета МОК, результаты которого отражены в докладе о сессии и приложениях к нему, и представить пересмотренный вариант стратегии на рассмотрение Ассамблеи МОК на ее 33-й сессии;</w:t>
      </w:r>
    </w:p>
    <w:p w14:paraId="7A1D5CAE" w14:textId="77777777" w:rsidR="00EF1276" w:rsidRPr="00E05DB3" w:rsidRDefault="00EF1276" w:rsidP="00EF1276">
      <w:pPr>
        <w:pStyle w:val="ListParagraph"/>
        <w:numPr>
          <w:ilvl w:val="0"/>
          <w:numId w:val="28"/>
        </w:numPr>
        <w:tabs>
          <w:tab w:val="clear" w:pos="709"/>
        </w:tabs>
        <w:spacing w:after="240"/>
        <w:ind w:left="567" w:hanging="567"/>
        <w:contextualSpacing w:val="0"/>
        <w:rPr>
          <w:rFonts w:ascii="Arial" w:hAnsi="Arial" w:cs="Arial"/>
          <w:color w:val="0D0D0D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Определение мероприятий, связанных с планированием и управлением в сфере океана, в рамках всего спектра программ МОК, содействие в решении конкретных вопросов, связанных с программой, а также возникающих проблем;</w:t>
      </w:r>
      <w:r w:rsidRPr="00E05DB3">
        <w:rPr>
          <w:rFonts w:ascii="Arial" w:hAnsi="Arial"/>
          <w:color w:val="0D0D0D"/>
          <w:sz w:val="22"/>
          <w:szCs w:val="22"/>
          <w:lang w:val="ru-RU"/>
        </w:rPr>
        <w:t xml:space="preserve"> </w:t>
      </w:r>
    </w:p>
    <w:p w14:paraId="53797632" w14:textId="0E28DB4E" w:rsidR="00EF1276" w:rsidRPr="00E05DB3" w:rsidRDefault="00EF1276" w:rsidP="00EF1276">
      <w:pPr>
        <w:pStyle w:val="ListParagraph"/>
        <w:numPr>
          <w:ilvl w:val="0"/>
          <w:numId w:val="28"/>
        </w:numPr>
        <w:tabs>
          <w:tab w:val="clear" w:pos="709"/>
        </w:tabs>
        <w:spacing w:after="240"/>
        <w:ind w:left="567" w:hanging="567"/>
        <w:contextualSpacing w:val="0"/>
        <w:rPr>
          <w:rFonts w:ascii="Arial" w:hAnsi="Arial" w:cs="Arial"/>
          <w:color w:val="0D0D0D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lastRenderedPageBreak/>
        <w:t>Подготовка проекта плана осуществления стратегии по УПУО для его рассмотрения Ассамблеей МОК на ее 33-й сессии;</w:t>
      </w:r>
    </w:p>
    <w:p w14:paraId="75B84715" w14:textId="77777777" w:rsidR="00EF1276" w:rsidRPr="00E05DB3" w:rsidRDefault="00EF1276" w:rsidP="00EF1276">
      <w:pPr>
        <w:numPr>
          <w:ilvl w:val="0"/>
          <w:numId w:val="28"/>
        </w:numPr>
        <w:tabs>
          <w:tab w:val="clear" w:pos="709"/>
        </w:tabs>
        <w:spacing w:after="240"/>
        <w:ind w:left="567" w:hanging="567"/>
        <w:rPr>
          <w:rFonts w:ascii="Arial" w:eastAsia="Yu Mincho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Обеспечение координации с программой Десятилетия по устойчивому планированию в сфере океана и ее временной консультативной группой.</w:t>
      </w:r>
    </w:p>
    <w:p w14:paraId="3CC47D97" w14:textId="39F46456" w:rsidR="005C4503" w:rsidRPr="00E05DB3" w:rsidRDefault="005C4503" w:rsidP="005C4503">
      <w:pPr>
        <w:spacing w:after="240"/>
        <w:jc w:val="center"/>
        <w:rPr>
          <w:rFonts w:ascii="Arial" w:hAnsi="Arial" w:cs="Arial"/>
          <w:sz w:val="22"/>
          <w:szCs w:val="22"/>
          <w:u w:val="single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Решение МОК EC-57/4.4</w:t>
      </w:r>
    </w:p>
    <w:p w14:paraId="5912ED5C" w14:textId="77777777" w:rsidR="005C4503" w:rsidRPr="00E05DB3" w:rsidRDefault="005C4503" w:rsidP="005C4503">
      <w:pPr>
        <w:spacing w:after="24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/>
          <w:b/>
          <w:bCs/>
          <w:sz w:val="22"/>
          <w:szCs w:val="22"/>
          <w:lang w:val="ru-RU"/>
        </w:rPr>
        <w:t xml:space="preserve">Обзор механизмов управления ГЕБКО (2023 г.) и трехлетний обзор </w:t>
      </w:r>
      <w:r w:rsidRPr="00E05DB3">
        <w:rPr>
          <w:rFonts w:ascii="Arial" w:hAnsi="Arial"/>
          <w:b/>
          <w:bCs/>
          <w:sz w:val="22"/>
          <w:szCs w:val="22"/>
          <w:lang w:val="ru-RU"/>
        </w:rPr>
        <w:br/>
        <w:t>потребностей пользователей</w:t>
      </w:r>
    </w:p>
    <w:p w14:paraId="4628C4A7" w14:textId="77777777" w:rsidR="005C4503" w:rsidRPr="00E05DB3" w:rsidRDefault="005C4503" w:rsidP="005C4503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Исполнительный совет,</w:t>
      </w:r>
    </w:p>
    <w:p w14:paraId="250D1987" w14:textId="77777777" w:rsidR="005C4503" w:rsidRPr="00E05DB3" w:rsidRDefault="005C4503" w:rsidP="005C4503">
      <w:pPr>
        <w:tabs>
          <w:tab w:val="clear" w:pos="709"/>
        </w:tabs>
        <w:spacing w:after="24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/>
          <w:b/>
          <w:bCs/>
          <w:sz w:val="22"/>
          <w:szCs w:val="22"/>
          <w:lang w:val="ru-RU"/>
        </w:rPr>
        <w:t>I – Трехлетний обзор потребностей пользователей</w:t>
      </w:r>
    </w:p>
    <w:p w14:paraId="0299283D" w14:textId="77777777" w:rsidR="005C4503" w:rsidRPr="00E05DB3" w:rsidRDefault="005C4503" w:rsidP="005C4503">
      <w:pPr>
        <w:tabs>
          <w:tab w:val="clear" w:pos="709"/>
        </w:tabs>
        <w:spacing w:after="240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ссылаясь</w:t>
      </w:r>
      <w:r w:rsidRPr="00E05DB3">
        <w:rPr>
          <w:rFonts w:ascii="Arial" w:hAnsi="Arial"/>
          <w:sz w:val="22"/>
          <w:szCs w:val="22"/>
          <w:lang w:val="ru-RU"/>
        </w:rPr>
        <w:t xml:space="preserve"> на решение А-32/3.5.1, в котором предлагается, в частности, проводить обзор в отношении потребностей пользователей и их участия в создании продуктов ГЕБКО на двухгодичной основе,</w:t>
      </w:r>
    </w:p>
    <w:p w14:paraId="48A9579E" w14:textId="77777777" w:rsidR="005C4503" w:rsidRPr="00E05DB3" w:rsidRDefault="005C4503" w:rsidP="005C4503">
      <w:pPr>
        <w:tabs>
          <w:tab w:val="clear" w:pos="709"/>
        </w:tabs>
        <w:spacing w:after="240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u w:val="single"/>
          <w:lang w:val="ru-RU"/>
        </w:rPr>
        <w:t>рассмотрев</w:t>
      </w:r>
      <w:r w:rsidRPr="00E05DB3">
        <w:rPr>
          <w:rFonts w:ascii="Arial" w:hAnsi="Arial"/>
          <w:iCs/>
          <w:sz w:val="22"/>
          <w:szCs w:val="22"/>
          <w:lang w:val="ru-RU"/>
        </w:rPr>
        <w:t xml:space="preserve"> доклад рабочей группы по потребностям пользователей и их участии в создании продуктов ГЕБКО, представленный в документе IOC/EC-57/4.</w:t>
      </w:r>
      <w:proofErr w:type="gramStart"/>
      <w:r w:rsidRPr="00E05DB3">
        <w:rPr>
          <w:rFonts w:ascii="Arial" w:hAnsi="Arial"/>
          <w:iCs/>
          <w:sz w:val="22"/>
          <w:szCs w:val="22"/>
          <w:lang w:val="ru-RU"/>
        </w:rPr>
        <w:t>4.Doc</w:t>
      </w:r>
      <w:proofErr w:type="gramEnd"/>
      <w:r w:rsidRPr="00E05DB3">
        <w:rPr>
          <w:rFonts w:ascii="Arial" w:hAnsi="Arial"/>
          <w:iCs/>
          <w:sz w:val="22"/>
          <w:szCs w:val="22"/>
          <w:lang w:val="ru-RU"/>
        </w:rPr>
        <w:t>(2),</w:t>
      </w:r>
    </w:p>
    <w:p w14:paraId="23932FBB" w14:textId="77777777" w:rsidR="005C4503" w:rsidRPr="00E05DB3" w:rsidRDefault="005C4503" w:rsidP="005C4503">
      <w:pPr>
        <w:tabs>
          <w:tab w:val="clear" w:pos="709"/>
        </w:tabs>
        <w:spacing w:after="240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u w:val="single"/>
          <w:lang w:val="ru-RU"/>
        </w:rPr>
        <w:t>учитывая</w:t>
      </w:r>
      <w:r w:rsidRPr="00E05DB3">
        <w:rPr>
          <w:rFonts w:ascii="Arial" w:hAnsi="Arial"/>
          <w:iCs/>
          <w:sz w:val="22"/>
          <w:szCs w:val="22"/>
          <w:lang w:val="ru-RU"/>
        </w:rPr>
        <w:t xml:space="preserve"> постоянную потребность научного сообщества МОК в батиметрических продуктах и тот факт, что доступ к качественным батиметрическим данным важен не только для обеспечения навигации, но и для других целей, таких как предупреждение о цунами и обеспечение готовности к ним, сохранение морских экосистем и биоразнообразия, морского пространственного планирования, расширенных исследований континентального шельфа, а также для морского и климатического моделирования,</w:t>
      </w:r>
    </w:p>
    <w:p w14:paraId="609ACF8E" w14:textId="77777777" w:rsidR="005C4503" w:rsidRPr="00E05DB3" w:rsidRDefault="005C4503" w:rsidP="005C4503">
      <w:pPr>
        <w:tabs>
          <w:tab w:val="clear" w:pos="709"/>
        </w:tabs>
        <w:spacing w:after="240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u w:val="single"/>
          <w:lang w:val="ru-RU"/>
        </w:rPr>
        <w:t>отмечая</w:t>
      </w:r>
      <w:r w:rsidRPr="00E05DB3">
        <w:rPr>
          <w:rFonts w:ascii="Arial" w:hAnsi="Arial"/>
          <w:iCs/>
          <w:sz w:val="22"/>
          <w:szCs w:val="22"/>
          <w:lang w:val="ru-RU"/>
        </w:rPr>
        <w:t>, что значительные объемы батиметрических данных собираются научным и коммерческим секторами для целей, не связанных с усовершенствованием карты, но их нелегко найти или обеспечить к ним доступ для вторичных целей,</w:t>
      </w:r>
    </w:p>
    <w:p w14:paraId="2E196463" w14:textId="77777777" w:rsidR="005C4503" w:rsidRPr="00E05DB3" w:rsidRDefault="005C4503" w:rsidP="005C4503">
      <w:pPr>
        <w:tabs>
          <w:tab w:val="clear" w:pos="709"/>
        </w:tabs>
        <w:spacing w:after="240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u w:val="single"/>
          <w:lang w:val="ru-RU"/>
        </w:rPr>
        <w:t>принимает к сведению</w:t>
      </w:r>
      <w:r w:rsidRPr="00E05DB3">
        <w:rPr>
          <w:rFonts w:ascii="Arial" w:hAnsi="Arial"/>
          <w:iCs/>
          <w:sz w:val="22"/>
          <w:szCs w:val="22"/>
          <w:lang w:val="ru-RU"/>
        </w:rPr>
        <w:t xml:space="preserve"> выводы рабочей группы, изложенные в документе IOC/EC</w:t>
      </w:r>
      <w:r w:rsidRPr="00E05DB3">
        <w:rPr>
          <w:rFonts w:ascii="Arial" w:hAnsi="Arial"/>
          <w:iCs/>
          <w:sz w:val="22"/>
          <w:szCs w:val="22"/>
          <w:lang w:val="ru-RU"/>
        </w:rPr>
        <w:noBreakHyphen/>
        <w:t>57/4.</w:t>
      </w:r>
      <w:proofErr w:type="gramStart"/>
      <w:r w:rsidRPr="00E05DB3">
        <w:rPr>
          <w:rFonts w:ascii="Arial" w:hAnsi="Arial"/>
          <w:iCs/>
          <w:sz w:val="22"/>
          <w:szCs w:val="22"/>
          <w:lang w:val="ru-RU"/>
        </w:rPr>
        <w:t>4.Doc</w:t>
      </w:r>
      <w:proofErr w:type="gramEnd"/>
      <w:r w:rsidRPr="00E05DB3">
        <w:rPr>
          <w:rFonts w:ascii="Arial" w:hAnsi="Arial"/>
          <w:iCs/>
          <w:sz w:val="22"/>
          <w:szCs w:val="22"/>
          <w:lang w:val="ru-RU"/>
        </w:rPr>
        <w:t>(2);</w:t>
      </w:r>
    </w:p>
    <w:p w14:paraId="1F2CEFBA" w14:textId="77777777" w:rsidR="005C4503" w:rsidRPr="00E05DB3" w:rsidRDefault="005C4503" w:rsidP="005C4503">
      <w:pPr>
        <w:tabs>
          <w:tab w:val="clear" w:pos="709"/>
        </w:tabs>
        <w:spacing w:after="240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u w:val="single"/>
          <w:lang w:val="ru-RU"/>
        </w:rPr>
        <w:t>просит</w:t>
      </w:r>
      <w:r w:rsidRPr="00E05DB3">
        <w:rPr>
          <w:rFonts w:ascii="Arial" w:hAnsi="Arial"/>
          <w:iCs/>
          <w:sz w:val="22"/>
          <w:szCs w:val="22"/>
          <w:lang w:val="ru-RU"/>
        </w:rPr>
        <w:t xml:space="preserve"> Исполнительного секретаря:</w:t>
      </w:r>
    </w:p>
    <w:p w14:paraId="19F56A2B" w14:textId="77777777" w:rsidR="005C4503" w:rsidRPr="00E05DB3" w:rsidRDefault="005C4503" w:rsidP="007A025F">
      <w:pPr>
        <w:numPr>
          <w:ilvl w:val="1"/>
          <w:numId w:val="29"/>
        </w:numPr>
        <w:tabs>
          <w:tab w:val="clear" w:pos="709"/>
        </w:tabs>
        <w:spacing w:after="240"/>
        <w:ind w:left="1134" w:hanging="567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lang w:val="ru-RU"/>
        </w:rPr>
        <w:t>довести результаты проведенного обзора до сведения Международной гидрографической организации (МГО) и руководящего комитета ГЕБКО;</w:t>
      </w:r>
    </w:p>
    <w:p w14:paraId="76F6C4EA" w14:textId="77777777" w:rsidR="005C4503" w:rsidRPr="00E05DB3" w:rsidRDefault="005C4503" w:rsidP="007A025F">
      <w:pPr>
        <w:numPr>
          <w:ilvl w:val="1"/>
          <w:numId w:val="29"/>
        </w:numPr>
        <w:tabs>
          <w:tab w:val="clear" w:pos="709"/>
        </w:tabs>
        <w:spacing w:after="240"/>
        <w:ind w:left="1134" w:hanging="567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lang w:val="ru-RU"/>
        </w:rPr>
        <w:t>определить возможности и способы расширения участия респондентов, в особенности представляющих интересы программ МОК, а также региональных вспомогательных органов, в будущих экспертных оценках, проводимых рабочей группой;</w:t>
      </w:r>
    </w:p>
    <w:p w14:paraId="73ED4848" w14:textId="77777777" w:rsidR="005C4503" w:rsidRPr="00E05DB3" w:rsidRDefault="005C4503" w:rsidP="007A025F">
      <w:pPr>
        <w:numPr>
          <w:ilvl w:val="1"/>
          <w:numId w:val="29"/>
        </w:numPr>
        <w:tabs>
          <w:tab w:val="clear" w:pos="709"/>
        </w:tabs>
        <w:spacing w:after="240"/>
        <w:ind w:left="1134" w:hanging="567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lang w:val="ru-RU"/>
        </w:rPr>
        <w:t>поделиться основными выводами, сделанными по итогам обзора, с соответствующими участниками сообщества МОК;</w:t>
      </w:r>
    </w:p>
    <w:p w14:paraId="70FAD4FC" w14:textId="77777777" w:rsidR="005C4503" w:rsidRPr="00E05DB3" w:rsidRDefault="005C4503" w:rsidP="005C4503">
      <w:pPr>
        <w:tabs>
          <w:tab w:val="clear" w:pos="709"/>
        </w:tabs>
        <w:spacing w:after="240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u w:val="single"/>
          <w:lang w:val="ru-RU"/>
        </w:rPr>
        <w:t>постановляет</w:t>
      </w:r>
      <w:r w:rsidRPr="00E05DB3">
        <w:rPr>
          <w:rFonts w:ascii="Arial" w:hAnsi="Arial"/>
          <w:iCs/>
          <w:sz w:val="22"/>
          <w:szCs w:val="22"/>
          <w:lang w:val="ru-RU"/>
        </w:rPr>
        <w:t xml:space="preserve"> провести следующий обзор потребностей пользователей и их потенциального вклада в продукты ГЕБКО и представить результаты следующей оценки Ассамблее МОК в 2027 г.;</w:t>
      </w:r>
    </w:p>
    <w:p w14:paraId="61C9B7DD" w14:textId="77777777" w:rsidR="005C4503" w:rsidRPr="00E05DB3" w:rsidRDefault="005C4503" w:rsidP="005C4503">
      <w:pPr>
        <w:tabs>
          <w:tab w:val="clear" w:pos="709"/>
        </w:tabs>
        <w:spacing w:after="240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u w:val="single"/>
          <w:lang w:val="ru-RU"/>
        </w:rPr>
        <w:t>предлагает</w:t>
      </w:r>
      <w:r w:rsidRPr="00E05DB3">
        <w:rPr>
          <w:rFonts w:ascii="Arial" w:hAnsi="Arial"/>
          <w:iCs/>
          <w:sz w:val="22"/>
          <w:szCs w:val="22"/>
          <w:lang w:val="ru-RU"/>
        </w:rPr>
        <w:t xml:space="preserve"> государствам-членам:</w:t>
      </w:r>
    </w:p>
    <w:p w14:paraId="129F7DEB" w14:textId="77777777" w:rsidR="005C4503" w:rsidRPr="00E05DB3" w:rsidRDefault="005C4503" w:rsidP="007A025F">
      <w:pPr>
        <w:numPr>
          <w:ilvl w:val="0"/>
          <w:numId w:val="30"/>
        </w:numPr>
        <w:tabs>
          <w:tab w:val="clear" w:pos="709"/>
        </w:tabs>
        <w:spacing w:after="240"/>
        <w:ind w:left="1134" w:hanging="567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lang w:val="ru-RU"/>
        </w:rPr>
        <w:lastRenderedPageBreak/>
        <w:t>сотрудничать в целях развития картирования в масштабах бассейнов в интересах ускорения достижения целей ГЕБКО и предоставления общедоступной информации и данных об океане, в частности, посредством оказания поддержки и непосредственного содействия проекту фонда «Ниппон»/ГЕБКО «Морское дно-2030»;</w:t>
      </w:r>
    </w:p>
    <w:p w14:paraId="0BAE51AD" w14:textId="77777777" w:rsidR="005C4503" w:rsidRPr="00E05DB3" w:rsidRDefault="005C4503" w:rsidP="007A025F">
      <w:pPr>
        <w:numPr>
          <w:ilvl w:val="0"/>
          <w:numId w:val="30"/>
        </w:numPr>
        <w:tabs>
          <w:tab w:val="clear" w:pos="709"/>
        </w:tabs>
        <w:spacing w:after="240"/>
        <w:ind w:left="1134" w:hanging="567"/>
        <w:rPr>
          <w:rFonts w:ascii="Arial" w:eastAsia="Calibri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lang w:val="ru-RU"/>
        </w:rPr>
        <w:t>содействовать укреплению потенциала программы ГЕБКО, в том числе расширению возможностей профессиональной подготовки;</w:t>
      </w:r>
    </w:p>
    <w:p w14:paraId="39802141" w14:textId="77777777" w:rsidR="005C4503" w:rsidRPr="00E05DB3" w:rsidRDefault="005C4503" w:rsidP="007A025F">
      <w:pPr>
        <w:numPr>
          <w:ilvl w:val="0"/>
          <w:numId w:val="30"/>
        </w:numPr>
        <w:tabs>
          <w:tab w:val="clear" w:pos="709"/>
        </w:tabs>
        <w:spacing w:after="240"/>
        <w:ind w:left="1134" w:hanging="567"/>
        <w:rPr>
          <w:rFonts w:ascii="Arial" w:eastAsia="Calibri" w:hAnsi="Arial" w:cs="Arial"/>
          <w:iCs/>
          <w:sz w:val="22"/>
          <w:szCs w:val="22"/>
          <w:u w:val="single"/>
          <w:lang w:val="ru-RU"/>
        </w:rPr>
      </w:pPr>
      <w:r w:rsidRPr="00E05DB3">
        <w:rPr>
          <w:rFonts w:ascii="Arial" w:hAnsi="Arial"/>
          <w:iCs/>
          <w:sz w:val="22"/>
          <w:szCs w:val="22"/>
          <w:lang w:val="ru-RU"/>
        </w:rPr>
        <w:t>принять активное участие в следующей экспертной оценке, запланированной к проведению рабочей группой;</w:t>
      </w:r>
    </w:p>
    <w:p w14:paraId="0388986D" w14:textId="77777777" w:rsidR="005C4503" w:rsidRPr="00E05DB3" w:rsidRDefault="005C4503" w:rsidP="007A025F">
      <w:pPr>
        <w:tabs>
          <w:tab w:val="clear" w:pos="709"/>
          <w:tab w:val="left" w:pos="1276"/>
        </w:tabs>
        <w:spacing w:after="24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/>
          <w:b/>
          <w:bCs/>
          <w:sz w:val="22"/>
          <w:szCs w:val="22"/>
          <w:lang w:val="ru-RU"/>
        </w:rPr>
        <w:t>II – Обзор механизмов управления и стратегия ГЕБКО</w:t>
      </w:r>
    </w:p>
    <w:p w14:paraId="2A4C50F6" w14:textId="77777777" w:rsidR="005C4503" w:rsidRPr="00E05DB3" w:rsidRDefault="005C4503" w:rsidP="005C4503">
      <w:pPr>
        <w:tabs>
          <w:tab w:val="clear" w:pos="709"/>
        </w:tabs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ссылаясь</w:t>
      </w:r>
      <w:r w:rsidRPr="00E05DB3">
        <w:rPr>
          <w:rFonts w:ascii="Arial" w:hAnsi="Arial"/>
          <w:sz w:val="22"/>
          <w:szCs w:val="22"/>
          <w:lang w:val="ru-RU"/>
        </w:rPr>
        <w:t xml:space="preserve"> на решение Ассамблеи МОК A-32/4.1,</w:t>
      </w:r>
    </w:p>
    <w:p w14:paraId="4CCAAC28" w14:textId="77777777" w:rsidR="005C4503" w:rsidRPr="00E05DB3" w:rsidRDefault="005C4503" w:rsidP="005C4503">
      <w:pPr>
        <w:tabs>
          <w:tab w:val="clear" w:pos="709"/>
        </w:tabs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рассмотрев</w:t>
      </w:r>
      <w:r w:rsidRPr="00E05DB3">
        <w:rPr>
          <w:rFonts w:ascii="Arial" w:hAnsi="Arial"/>
          <w:sz w:val="22"/>
          <w:szCs w:val="22"/>
          <w:lang w:val="ru-RU"/>
        </w:rPr>
        <w:t xml:space="preserve"> документ IOC/EC-57/4.</w:t>
      </w:r>
      <w:proofErr w:type="gramStart"/>
      <w:r w:rsidRPr="00E05DB3">
        <w:rPr>
          <w:rFonts w:ascii="Arial" w:hAnsi="Arial"/>
          <w:sz w:val="22"/>
          <w:szCs w:val="22"/>
          <w:lang w:val="ru-RU"/>
        </w:rPr>
        <w:t>4.Doc</w:t>
      </w:r>
      <w:proofErr w:type="gramEnd"/>
      <w:r w:rsidRPr="00E05DB3">
        <w:rPr>
          <w:rFonts w:ascii="Arial" w:hAnsi="Arial"/>
          <w:sz w:val="22"/>
          <w:szCs w:val="22"/>
          <w:lang w:val="ru-RU"/>
        </w:rPr>
        <w:t>(1), содержащий доклад и рекомендации рабочей группы по обзору механизмов управления ГЕБКО (2024 г.) и информационный документ IOC/INF-1538, в котором представлена новая стратегия программы ГЕБКО,</w:t>
      </w:r>
    </w:p>
    <w:p w14:paraId="163B5C9E" w14:textId="77777777" w:rsidR="005C4503" w:rsidRPr="00E05DB3" w:rsidRDefault="005C4503" w:rsidP="005C4503">
      <w:pPr>
        <w:tabs>
          <w:tab w:val="clear" w:pos="709"/>
        </w:tabs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принимает к сведению</w:t>
      </w:r>
      <w:r w:rsidRPr="00E05DB3">
        <w:rPr>
          <w:rFonts w:ascii="Arial" w:hAnsi="Arial"/>
          <w:sz w:val="22"/>
          <w:szCs w:val="22"/>
          <w:lang w:val="ru-RU"/>
        </w:rPr>
        <w:t xml:space="preserve"> доклад и содержащиеся в нем рекомендации, а также стратегию ГЕБКО;</w:t>
      </w:r>
    </w:p>
    <w:p w14:paraId="7E5CC3F4" w14:textId="295009E8" w:rsidR="005C4503" w:rsidRPr="00E05DB3" w:rsidRDefault="005C4503" w:rsidP="005C4503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просит</w:t>
      </w:r>
      <w:r w:rsidRPr="00E05DB3">
        <w:rPr>
          <w:rFonts w:ascii="Arial" w:hAnsi="Arial"/>
          <w:sz w:val="22"/>
          <w:szCs w:val="22"/>
          <w:lang w:val="ru-RU"/>
        </w:rPr>
        <w:t xml:space="preserve"> руководящий комитет ГЕБКО рассмотреть рекомендации, определить последствия их выполнения, если таковые имеются, и представить руководящим органам МОК и МГО информацию о достигнутом прогрессе</w:t>
      </w:r>
      <w:proofErr w:type="gramStart"/>
      <w:r w:rsidR="007A025F" w:rsidRPr="00E05DB3">
        <w:rPr>
          <w:rFonts w:ascii="Arial" w:hAnsi="Arial"/>
          <w:sz w:val="22"/>
          <w:szCs w:val="22"/>
          <w:lang w:val="ru-RU"/>
        </w:rPr>
        <w:t>.</w:t>
      </w:r>
      <w:proofErr w:type="gramEnd"/>
      <w:r w:rsidRPr="00E05DB3">
        <w:rPr>
          <w:rFonts w:ascii="Arial" w:hAnsi="Arial"/>
          <w:sz w:val="22"/>
          <w:szCs w:val="22"/>
          <w:lang w:val="ru-RU"/>
        </w:rPr>
        <w:t xml:space="preserve"> а также план работы в рамках доклада председателя ГЕБКО.</w:t>
      </w:r>
    </w:p>
    <w:p w14:paraId="2E657F4A" w14:textId="1B5869AB" w:rsidR="00953120" w:rsidRPr="00E05DB3" w:rsidRDefault="00953120" w:rsidP="00953120">
      <w:pPr>
        <w:spacing w:after="240"/>
        <w:jc w:val="center"/>
        <w:rPr>
          <w:rFonts w:ascii="Arial" w:hAnsi="Arial" w:cs="Arial"/>
          <w:sz w:val="22"/>
          <w:szCs w:val="22"/>
          <w:u w:val="single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Решение МОК EC-57/4.5</w:t>
      </w:r>
    </w:p>
    <w:p w14:paraId="06D111B4" w14:textId="77777777" w:rsidR="00953120" w:rsidRPr="00E05DB3" w:rsidRDefault="00953120" w:rsidP="00953120">
      <w:pPr>
        <w:spacing w:after="24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/>
          <w:b/>
          <w:bCs/>
          <w:sz w:val="22"/>
          <w:szCs w:val="22"/>
          <w:lang w:val="ru-RU"/>
        </w:rPr>
        <w:t>Отчет о подготовке второго доклада МОК о состоянии Мирового океана</w:t>
      </w:r>
    </w:p>
    <w:p w14:paraId="1DA0E0E0" w14:textId="77777777" w:rsidR="00953120" w:rsidRPr="00E05DB3" w:rsidRDefault="00953120" w:rsidP="00953120">
      <w:pPr>
        <w:tabs>
          <w:tab w:val="clear" w:pos="709"/>
        </w:tabs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t>Исполнительный совет,</w:t>
      </w:r>
    </w:p>
    <w:p w14:paraId="3FDFAF3B" w14:textId="77777777" w:rsidR="00953120" w:rsidRPr="00E05DB3" w:rsidRDefault="00953120" w:rsidP="00953120">
      <w:pPr>
        <w:tabs>
          <w:tab w:val="clear" w:pos="709"/>
        </w:tabs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u w:val="single"/>
          <w:lang w:val="ru-RU"/>
        </w:rPr>
        <w:t>рассмотрев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документ IOC/EC-57/4.</w:t>
      </w:r>
      <w:proofErr w:type="gramStart"/>
      <w:r w:rsidRPr="00E05DB3">
        <w:rPr>
          <w:rFonts w:asciiTheme="minorBidi" w:hAnsiTheme="minorBidi" w:cstheme="minorBidi"/>
          <w:sz w:val="22"/>
          <w:szCs w:val="22"/>
          <w:lang w:val="ru-RU"/>
        </w:rPr>
        <w:t>5.Doc</w:t>
      </w:r>
      <w:proofErr w:type="gramEnd"/>
      <w:r w:rsidRPr="00E05DB3">
        <w:rPr>
          <w:rFonts w:asciiTheme="minorBidi" w:hAnsiTheme="minorBidi" w:cstheme="minorBidi"/>
          <w:sz w:val="22"/>
          <w:szCs w:val="22"/>
          <w:lang w:val="ru-RU"/>
        </w:rPr>
        <w:t>(1),</w:t>
      </w:r>
    </w:p>
    <w:p w14:paraId="03522EF6" w14:textId="77777777" w:rsidR="00953120" w:rsidRPr="00E05DB3" w:rsidRDefault="00953120" w:rsidP="00953120">
      <w:pPr>
        <w:tabs>
          <w:tab w:val="clear" w:pos="709"/>
        </w:tabs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u w:val="single"/>
          <w:lang w:val="ru-RU"/>
        </w:rPr>
        <w:t>приветствует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публикацию второго доклада МОК о состоянии Мирового океана (2024 г.) в серии технических докладов МОК, </w:t>
      </w:r>
      <w:proofErr w:type="spellStart"/>
      <w:r w:rsidRPr="00E05DB3">
        <w:rPr>
          <w:rFonts w:asciiTheme="minorBidi" w:hAnsiTheme="minorBidi" w:cstheme="minorBidi"/>
          <w:sz w:val="22"/>
          <w:szCs w:val="22"/>
          <w:lang w:val="ru-RU"/>
        </w:rPr>
        <w:t>вып</w:t>
      </w:r>
      <w:proofErr w:type="spellEnd"/>
      <w:r w:rsidRPr="00E05DB3">
        <w:rPr>
          <w:rFonts w:asciiTheme="minorBidi" w:hAnsiTheme="minorBidi" w:cstheme="minorBidi"/>
          <w:sz w:val="22"/>
          <w:szCs w:val="22"/>
          <w:lang w:val="ru-RU"/>
        </w:rPr>
        <w:t>. № 190;</w:t>
      </w:r>
    </w:p>
    <w:p w14:paraId="02E037F0" w14:textId="77777777" w:rsidR="00953120" w:rsidRPr="00E05DB3" w:rsidRDefault="00953120" w:rsidP="00953120">
      <w:pPr>
        <w:tabs>
          <w:tab w:val="clear" w:pos="709"/>
        </w:tabs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u w:val="single"/>
          <w:lang w:val="ru-RU"/>
        </w:rPr>
        <w:t>высоко оценивает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работу редакционного совета ДСМО и его рекомендации, а также признает необходимость продолжения его работы по совершенствованию ДСМО в соответствии с поставленными целями;</w:t>
      </w:r>
    </w:p>
    <w:p w14:paraId="6ECE97E0" w14:textId="29102AC7" w:rsidR="00953120" w:rsidRPr="00E05DB3" w:rsidRDefault="00953120" w:rsidP="00953120">
      <w:pPr>
        <w:tabs>
          <w:tab w:val="clear" w:pos="709"/>
        </w:tabs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u w:val="single"/>
          <w:lang w:val="ru-RU"/>
        </w:rPr>
        <w:t>приветствует также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обновленную концептуальную записку и проведение консультаций, о которых говорится в циркулярном письме МОК </w:t>
      </w:r>
      <w:hyperlink r:id="rId9" w:history="1">
        <w:r w:rsidRPr="00E05DB3">
          <w:rPr>
            <w:rStyle w:val="Hyperlink"/>
            <w:rFonts w:asciiTheme="minorBidi" w:eastAsia="Arial" w:hAnsiTheme="minorBidi" w:cstheme="minorBidi"/>
            <w:sz w:val="22"/>
            <w:szCs w:val="22"/>
            <w:lang w:val="ru-RU"/>
          </w:rPr>
          <w:t>№ 2963</w:t>
        </w:r>
      </w:hyperlink>
      <w:r w:rsidRPr="00E05DB3">
        <w:rPr>
          <w:rFonts w:asciiTheme="minorBidi" w:hAnsiTheme="minorBidi" w:cstheme="minorBidi"/>
          <w:sz w:val="22"/>
          <w:szCs w:val="22"/>
          <w:lang w:val="ru-RU"/>
        </w:rPr>
        <w:t>;</w:t>
      </w:r>
    </w:p>
    <w:p w14:paraId="06A56B3A" w14:textId="77777777" w:rsidR="00953120" w:rsidRPr="00E05DB3" w:rsidRDefault="00953120" w:rsidP="00953120">
      <w:pPr>
        <w:tabs>
          <w:tab w:val="clear" w:pos="709"/>
        </w:tabs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u w:val="single"/>
          <w:lang w:val="ru-RU"/>
        </w:rPr>
        <w:t>одобряет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продолжение публикации ДСМО на основе дальнейшей доработки и при условии наличия внебюджетного финансирования;</w:t>
      </w:r>
    </w:p>
    <w:p w14:paraId="130F4FD6" w14:textId="77777777" w:rsidR="00953120" w:rsidRPr="00E05DB3" w:rsidRDefault="00953120" w:rsidP="00953120">
      <w:pPr>
        <w:tabs>
          <w:tab w:val="clear" w:pos="709"/>
        </w:tabs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u w:val="single"/>
          <w:lang w:val="ru-RU"/>
        </w:rPr>
        <w:t>просит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редакционный совет ДСМО стремиться к тому, чтобы ДСМО отражал разнообразие опыта, гендерной идентичности, географической представленности и профессиональных достижений авторов и рецензентов и учитывал знания коренных народов и местного населения;</w:t>
      </w:r>
    </w:p>
    <w:p w14:paraId="3C5D5AB3" w14:textId="17D8F9E7" w:rsidR="00953120" w:rsidRPr="00E05DB3" w:rsidRDefault="00953120" w:rsidP="00953120">
      <w:pPr>
        <w:tabs>
          <w:tab w:val="clear" w:pos="709"/>
        </w:tabs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u w:val="single"/>
          <w:lang w:val="ru-RU"/>
        </w:rPr>
        <w:t>предлагает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государствам – членам МОК предоставить внебюджетные финансовые средства на подготовку доклада МОК о состоянии Мирового океана.</w:t>
      </w:r>
    </w:p>
    <w:p w14:paraId="54DF6754" w14:textId="5A538499" w:rsidR="001A14F4" w:rsidRPr="00E05DB3" w:rsidRDefault="001A14F4" w:rsidP="00916AF9">
      <w:pPr>
        <w:keepNext/>
        <w:tabs>
          <w:tab w:val="clear" w:pos="709"/>
        </w:tabs>
        <w:spacing w:after="240"/>
        <w:jc w:val="center"/>
        <w:rPr>
          <w:rFonts w:ascii="Arial" w:hAnsi="Arial" w:cs="Arial"/>
          <w:sz w:val="22"/>
          <w:szCs w:val="22"/>
          <w:u w:val="single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lastRenderedPageBreak/>
        <w:t>Решение МОК EC-57/4.6</w:t>
      </w:r>
    </w:p>
    <w:p w14:paraId="198BD729" w14:textId="77777777" w:rsidR="001A14F4" w:rsidRPr="00E05DB3" w:rsidRDefault="001A14F4" w:rsidP="00916AF9">
      <w:pPr>
        <w:keepNext/>
        <w:tabs>
          <w:tab w:val="clear" w:pos="709"/>
        </w:tabs>
        <w:spacing w:after="24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/>
          <w:b/>
          <w:bCs/>
          <w:sz w:val="22"/>
          <w:szCs w:val="22"/>
          <w:lang w:val="ru-RU"/>
        </w:rPr>
        <w:t xml:space="preserve">Осуществление стратегии МОК в области развития потенциала на </w:t>
      </w:r>
      <w:proofErr w:type="gramStart"/>
      <w:r w:rsidRPr="00E05DB3">
        <w:rPr>
          <w:rFonts w:ascii="Arial" w:hAnsi="Arial"/>
          <w:b/>
          <w:bCs/>
          <w:sz w:val="22"/>
          <w:szCs w:val="22"/>
          <w:lang w:val="ru-RU"/>
        </w:rPr>
        <w:t>2023-2030</w:t>
      </w:r>
      <w:proofErr w:type="gramEnd"/>
      <w:r w:rsidRPr="00E05DB3">
        <w:rPr>
          <w:rFonts w:ascii="Arial" w:hAnsi="Arial"/>
          <w:b/>
          <w:bCs/>
          <w:sz w:val="22"/>
          <w:szCs w:val="22"/>
          <w:lang w:val="ru-RU"/>
        </w:rPr>
        <w:t> гг.</w:t>
      </w:r>
    </w:p>
    <w:p w14:paraId="24CA0AFA" w14:textId="77777777" w:rsidR="001A14F4" w:rsidRPr="00E05DB3" w:rsidRDefault="001A14F4" w:rsidP="001A14F4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Исполнительный совет,</w:t>
      </w:r>
    </w:p>
    <w:p w14:paraId="7613CC71" w14:textId="77777777" w:rsidR="001A14F4" w:rsidRPr="00E05DB3" w:rsidRDefault="001A14F4" w:rsidP="001A14F4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рассмотрев</w:t>
      </w:r>
      <w:r w:rsidRPr="00E05DB3">
        <w:rPr>
          <w:rFonts w:ascii="Arial" w:hAnsi="Arial"/>
          <w:sz w:val="22"/>
          <w:szCs w:val="22"/>
          <w:lang w:val="ru-RU"/>
        </w:rPr>
        <w:t xml:space="preserve"> документ IOC/EC-57/4.</w:t>
      </w:r>
      <w:proofErr w:type="gramStart"/>
      <w:r w:rsidRPr="00E05DB3">
        <w:rPr>
          <w:rFonts w:ascii="Arial" w:hAnsi="Arial"/>
          <w:sz w:val="22"/>
          <w:szCs w:val="22"/>
          <w:lang w:val="ru-RU"/>
        </w:rPr>
        <w:t>6.Doc</w:t>
      </w:r>
      <w:proofErr w:type="gramEnd"/>
      <w:r w:rsidRPr="00E05DB3">
        <w:rPr>
          <w:rFonts w:ascii="Arial" w:hAnsi="Arial"/>
          <w:sz w:val="22"/>
          <w:szCs w:val="22"/>
          <w:lang w:val="ru-RU"/>
        </w:rPr>
        <w:t>(1) и доклад IOC/GE-CD-V/3,</w:t>
      </w:r>
    </w:p>
    <w:p w14:paraId="70971105" w14:textId="77777777" w:rsidR="001A14F4" w:rsidRPr="00E05DB3" w:rsidRDefault="001A14F4" w:rsidP="001A14F4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признавая</w:t>
      </w:r>
      <w:r w:rsidRPr="00E05DB3">
        <w:rPr>
          <w:rFonts w:ascii="Arial" w:hAnsi="Arial"/>
          <w:sz w:val="22"/>
          <w:szCs w:val="22"/>
          <w:lang w:val="ru-RU"/>
        </w:rPr>
        <w:t xml:space="preserve"> важность развития потенциала в качестве одной из шести функций среднесрочной стратегии МОК на </w:t>
      </w:r>
      <w:proofErr w:type="gramStart"/>
      <w:r w:rsidRPr="00E05DB3">
        <w:rPr>
          <w:rFonts w:ascii="Arial" w:hAnsi="Arial"/>
          <w:sz w:val="22"/>
          <w:szCs w:val="22"/>
          <w:lang w:val="ru-RU"/>
        </w:rPr>
        <w:t>2022-2029</w:t>
      </w:r>
      <w:proofErr w:type="gramEnd"/>
      <w:r w:rsidRPr="00E05DB3">
        <w:rPr>
          <w:rFonts w:ascii="Arial" w:hAnsi="Arial"/>
          <w:sz w:val="22"/>
          <w:szCs w:val="22"/>
          <w:lang w:val="ru-RU"/>
        </w:rPr>
        <w:t xml:space="preserve"> гг., дающей всем государствам-членам возможность с выгодой для себя участвовать в исследовании Мирового океана и в океанографическом обслуживании, что имеет критически важное значение для обеспечения устойчивого развития и благополучия людей, живущих на нашей на планете,</w:t>
      </w:r>
    </w:p>
    <w:p w14:paraId="6E74E453" w14:textId="77777777" w:rsidR="001A14F4" w:rsidRPr="00E05DB3" w:rsidRDefault="001A14F4" w:rsidP="001A14F4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напоминая</w:t>
      </w:r>
      <w:r w:rsidRPr="00E05DB3">
        <w:rPr>
          <w:rFonts w:ascii="Arial" w:hAnsi="Arial"/>
          <w:sz w:val="22"/>
          <w:szCs w:val="22"/>
          <w:lang w:val="ru-RU"/>
        </w:rPr>
        <w:t xml:space="preserve"> об утвержденной Ассамблеей в решении A-32/4.3 стратегии МОК в области развития потенциала на </w:t>
      </w:r>
      <w:proofErr w:type="gramStart"/>
      <w:r w:rsidRPr="00E05DB3">
        <w:rPr>
          <w:rFonts w:ascii="Arial" w:hAnsi="Arial"/>
          <w:sz w:val="22"/>
          <w:szCs w:val="22"/>
          <w:lang w:val="ru-RU"/>
        </w:rPr>
        <w:t>2023-2030</w:t>
      </w:r>
      <w:proofErr w:type="gramEnd"/>
      <w:r w:rsidRPr="00E05DB3">
        <w:rPr>
          <w:rFonts w:ascii="Arial" w:hAnsi="Arial"/>
          <w:sz w:val="22"/>
          <w:szCs w:val="22"/>
          <w:lang w:val="ru-RU"/>
        </w:rPr>
        <w:t xml:space="preserve"> гг.,</w:t>
      </w:r>
    </w:p>
    <w:p w14:paraId="15683991" w14:textId="77777777" w:rsidR="001A14F4" w:rsidRPr="00E05DB3" w:rsidRDefault="001A14F4" w:rsidP="001A14F4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памятуя</w:t>
      </w:r>
      <w:r w:rsidRPr="00E05DB3">
        <w:rPr>
          <w:rFonts w:ascii="Arial" w:hAnsi="Arial"/>
          <w:sz w:val="22"/>
          <w:szCs w:val="22"/>
          <w:lang w:val="ru-RU"/>
        </w:rPr>
        <w:t xml:space="preserve"> о задаче ГЭ-РП оказывать Секретариату информационную поддержку и при необходимости содействие в осуществлении инициатив МОК в области развития потенциала,</w:t>
      </w:r>
    </w:p>
    <w:p w14:paraId="5A753B6D" w14:textId="77777777" w:rsidR="001A14F4" w:rsidRPr="00E05DB3" w:rsidRDefault="001A14F4" w:rsidP="001A14F4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постановляет</w:t>
      </w:r>
      <w:r w:rsidRPr="00E05DB3">
        <w:rPr>
          <w:rFonts w:ascii="Arial" w:hAnsi="Arial"/>
          <w:sz w:val="22"/>
          <w:szCs w:val="22"/>
          <w:lang w:val="ru-RU"/>
        </w:rPr>
        <w:t xml:space="preserve"> продлить полномочия группы экспертов МОК по развитию потенциала и пересмотреть ее круг ведения в соответствии с приложением к настоящему решению;</w:t>
      </w:r>
    </w:p>
    <w:p w14:paraId="5E75B6F0" w14:textId="77777777" w:rsidR="001A14F4" w:rsidRPr="00E05DB3" w:rsidRDefault="001A14F4" w:rsidP="001A14F4">
      <w:pPr>
        <w:keepNext/>
        <w:tabs>
          <w:tab w:val="clear" w:pos="709"/>
        </w:tabs>
        <w:spacing w:after="240"/>
        <w:jc w:val="center"/>
        <w:rPr>
          <w:rFonts w:ascii="Arial" w:hAnsi="Arial" w:cs="Arial"/>
          <w:sz w:val="22"/>
          <w:szCs w:val="22"/>
          <w:u w:val="single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 xml:space="preserve">Приложение к </w:t>
      </w:r>
      <w:r w:rsidRPr="00E05DB3">
        <w:rPr>
          <w:rFonts w:ascii="Arial" w:hAnsi="Arial"/>
          <w:sz w:val="22"/>
          <w:szCs w:val="22"/>
          <w:u w:val="single"/>
          <w:lang w:val="ru-RU"/>
        </w:rPr>
        <w:t>решению EC-57/4.6</w:t>
      </w:r>
    </w:p>
    <w:p w14:paraId="64F7F611" w14:textId="7A4879C5" w:rsidR="001A14F4" w:rsidRPr="00E05DB3" w:rsidRDefault="001A14F4" w:rsidP="001A14F4">
      <w:pPr>
        <w:keepNext/>
        <w:tabs>
          <w:tab w:val="clear" w:pos="709"/>
        </w:tabs>
        <w:spacing w:after="24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/>
          <w:b/>
          <w:bCs/>
          <w:sz w:val="22"/>
          <w:szCs w:val="22"/>
          <w:lang w:val="ru-RU"/>
        </w:rPr>
        <w:t>Круг ведения группы экспертов МОК по развитию потенциала (ГЭ-РП)</w:t>
      </w:r>
    </w:p>
    <w:p w14:paraId="17A7E510" w14:textId="77777777" w:rsidR="001A14F4" w:rsidRPr="00E05DB3" w:rsidRDefault="001A14F4" w:rsidP="001A14F4">
      <w:pPr>
        <w:tabs>
          <w:tab w:val="clear" w:pos="709"/>
        </w:tabs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В состав группы экспертов МОК по развитию потенциала (ГЭ-РП) входят специалисты, предложенные государствами – членами МОК в ответ на запрос о выдвижении кандидатур, распространенный циркулярным письмом с подробной информацией относительно членства в ГЭ-РП.</w:t>
      </w:r>
    </w:p>
    <w:p w14:paraId="1F0B4618" w14:textId="77777777" w:rsidR="001A14F4" w:rsidRPr="00E05DB3" w:rsidRDefault="001A14F4" w:rsidP="001A14F4">
      <w:pPr>
        <w:tabs>
          <w:tab w:val="clear" w:pos="709"/>
        </w:tabs>
        <w:spacing w:after="240"/>
        <w:rPr>
          <w:rFonts w:ascii="Arial" w:eastAsia="Yu Mincho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Группа экспертов МОК по развитию потенциала (ГЭ-РП) отвечает за выполнение следующих задач:</w:t>
      </w:r>
    </w:p>
    <w:p w14:paraId="0E8CD1CD" w14:textId="77777777" w:rsidR="001A14F4" w:rsidRPr="00E05DB3" w:rsidRDefault="001A14F4" w:rsidP="000E33DF">
      <w:pPr>
        <w:numPr>
          <w:ilvl w:val="0"/>
          <w:numId w:val="31"/>
        </w:numPr>
        <w:tabs>
          <w:tab w:val="clear" w:pos="709"/>
        </w:tabs>
        <w:spacing w:after="240"/>
        <w:ind w:left="1134" w:hanging="567"/>
        <w:rPr>
          <w:rFonts w:ascii="Arial" w:eastAsia="Yu Mincho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оказание содействия международным и региональным программам в целях единообразного проведения оценки потребностей в развитии потенциала;</w:t>
      </w:r>
    </w:p>
    <w:p w14:paraId="4B595919" w14:textId="77777777" w:rsidR="001A14F4" w:rsidRPr="00E05DB3" w:rsidRDefault="001A14F4" w:rsidP="000E33DF">
      <w:pPr>
        <w:numPr>
          <w:ilvl w:val="0"/>
          <w:numId w:val="31"/>
        </w:numPr>
        <w:tabs>
          <w:tab w:val="clear" w:pos="709"/>
        </w:tabs>
        <w:spacing w:after="240"/>
        <w:ind w:left="1134" w:hanging="567"/>
        <w:rPr>
          <w:rFonts w:ascii="Arial" w:eastAsia="Yu Mincho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оказание содействия международным и региональным программам в разработке учитывающих программные и региональные приоритеты планов работы, касающихся развития потенциала, на основе стратегии МОК в области РП и результатов оценки соответствующих потребностей с опорой на осуществляемые в этой области мероприятия и существующую инфраструктуру обучения и подготовки кадров;</w:t>
      </w:r>
    </w:p>
    <w:p w14:paraId="3DBBF3B1" w14:textId="77777777" w:rsidR="001A14F4" w:rsidRPr="00E05DB3" w:rsidRDefault="001A14F4" w:rsidP="000E33DF">
      <w:pPr>
        <w:numPr>
          <w:ilvl w:val="0"/>
          <w:numId w:val="31"/>
        </w:numPr>
        <w:tabs>
          <w:tab w:val="clear" w:pos="709"/>
        </w:tabs>
        <w:spacing w:after="240"/>
        <w:ind w:left="1134" w:hanging="567"/>
        <w:rPr>
          <w:rFonts w:ascii="Arial" w:eastAsia="Yu Mincho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 xml:space="preserve">разработка плана реализации стратегии МОК в области развития потенциала на </w:t>
      </w:r>
      <w:proofErr w:type="gramStart"/>
      <w:r w:rsidRPr="00E05DB3">
        <w:rPr>
          <w:rFonts w:ascii="Arial" w:hAnsi="Arial"/>
          <w:sz w:val="22"/>
          <w:szCs w:val="22"/>
          <w:lang w:val="ru-RU"/>
        </w:rPr>
        <w:t>2023-2030</w:t>
      </w:r>
      <w:proofErr w:type="gramEnd"/>
      <w:r w:rsidRPr="00E05DB3">
        <w:rPr>
          <w:rFonts w:ascii="Arial" w:hAnsi="Arial"/>
          <w:sz w:val="22"/>
          <w:szCs w:val="22"/>
          <w:lang w:val="ru-RU"/>
        </w:rPr>
        <w:t xml:space="preserve"> гг. для представления Ассамблее МОК на ее 33-й сессии в июне 2025 г.;</w:t>
      </w:r>
    </w:p>
    <w:p w14:paraId="6E809E72" w14:textId="77777777" w:rsidR="001A14F4" w:rsidRPr="00E05DB3" w:rsidRDefault="001A14F4" w:rsidP="000E33DF">
      <w:pPr>
        <w:numPr>
          <w:ilvl w:val="0"/>
          <w:numId w:val="31"/>
        </w:numPr>
        <w:tabs>
          <w:tab w:val="clear" w:pos="709"/>
        </w:tabs>
        <w:spacing w:after="240"/>
        <w:ind w:left="1134" w:hanging="567"/>
        <w:rPr>
          <w:rFonts w:ascii="Arial" w:eastAsia="Yu Mincho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 xml:space="preserve">предоставление международным и региональным программам рекомендаций по вопросам осуществления стратегии МОК в области развития потенциала на </w:t>
      </w:r>
      <w:proofErr w:type="gramStart"/>
      <w:r w:rsidRPr="00E05DB3">
        <w:rPr>
          <w:rFonts w:ascii="Arial" w:hAnsi="Arial"/>
          <w:sz w:val="22"/>
          <w:szCs w:val="22"/>
          <w:lang w:val="ru-RU"/>
        </w:rPr>
        <w:t>2023-2030</w:t>
      </w:r>
      <w:proofErr w:type="gramEnd"/>
      <w:r w:rsidRPr="00E05DB3">
        <w:rPr>
          <w:rFonts w:ascii="Arial" w:hAnsi="Arial"/>
          <w:sz w:val="22"/>
          <w:szCs w:val="22"/>
          <w:lang w:val="ru-RU"/>
        </w:rPr>
        <w:t xml:space="preserve"> гг., а также соответствующих методик и инструментов в целях повышения качества и результативности усилий в области РП;</w:t>
      </w:r>
    </w:p>
    <w:p w14:paraId="574B70C0" w14:textId="77777777" w:rsidR="001A14F4" w:rsidRPr="00E05DB3" w:rsidRDefault="001A14F4" w:rsidP="000E33DF">
      <w:pPr>
        <w:numPr>
          <w:ilvl w:val="0"/>
          <w:numId w:val="31"/>
        </w:numPr>
        <w:tabs>
          <w:tab w:val="clear" w:pos="709"/>
        </w:tabs>
        <w:spacing w:after="240"/>
        <w:ind w:left="1134" w:hanging="567"/>
        <w:rPr>
          <w:rFonts w:ascii="Arial" w:eastAsia="Yu Mincho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 xml:space="preserve">консультирование Секретариата МОК по вопросам планирования и проведения один раз в два года в тесном сотрудничестве с регионами опроса, посвященного развитию потенциала, по возможности с использованием механизмов мониторинга/системы показателей результативности осуществления стратегии в области </w:t>
      </w:r>
      <w:r w:rsidRPr="00E05DB3">
        <w:rPr>
          <w:rFonts w:ascii="Arial" w:hAnsi="Arial"/>
          <w:sz w:val="22"/>
          <w:szCs w:val="22"/>
          <w:lang w:val="ru-RU"/>
        </w:rPr>
        <w:lastRenderedPageBreak/>
        <w:t xml:space="preserve">развития потенциала, а также с учетом других методов исследования, таких как региональные обзоры, научные конференции и </w:t>
      </w:r>
      <w:proofErr w:type="gramStart"/>
      <w:r w:rsidRPr="00E05DB3">
        <w:rPr>
          <w:rFonts w:ascii="Arial" w:hAnsi="Arial"/>
          <w:sz w:val="22"/>
          <w:szCs w:val="22"/>
          <w:lang w:val="ru-RU"/>
        </w:rPr>
        <w:t>т.п.</w:t>
      </w:r>
      <w:proofErr w:type="gramEnd"/>
      <w:r w:rsidRPr="00E05DB3">
        <w:rPr>
          <w:rFonts w:ascii="Arial" w:hAnsi="Arial"/>
          <w:sz w:val="22"/>
          <w:szCs w:val="22"/>
          <w:lang w:val="ru-RU"/>
        </w:rPr>
        <w:t>;</w:t>
      </w:r>
    </w:p>
    <w:p w14:paraId="043160FA" w14:textId="77777777" w:rsidR="001A14F4" w:rsidRPr="00E05DB3" w:rsidRDefault="001A14F4" w:rsidP="000E33DF">
      <w:pPr>
        <w:numPr>
          <w:ilvl w:val="0"/>
          <w:numId w:val="31"/>
        </w:numPr>
        <w:tabs>
          <w:tab w:val="clear" w:pos="709"/>
        </w:tabs>
        <w:spacing w:after="240"/>
        <w:ind w:left="1134" w:hanging="567"/>
        <w:rPr>
          <w:rFonts w:ascii="Arial" w:eastAsia="Yu Mincho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обеспечение координации усилий группы экспертов и ее целевых групп с деятельностью по подготовке ГДСО и развитию потенциала в контексте проведения Десятилетия Организации Объединенных Наций, посвященного науке об океане в интересах устойчивого развития, в том числе создания фонда по развитию потенциала в рамках Десятилетия науки об океане и рабочей группы 9, учрежденной в рамках механизма «На пути к 2030 году»;</w:t>
      </w:r>
    </w:p>
    <w:p w14:paraId="75620785" w14:textId="77777777" w:rsidR="001A14F4" w:rsidRPr="00E05DB3" w:rsidRDefault="001A14F4" w:rsidP="000E33DF">
      <w:pPr>
        <w:numPr>
          <w:ilvl w:val="0"/>
          <w:numId w:val="31"/>
        </w:numPr>
        <w:tabs>
          <w:tab w:val="clear" w:pos="709"/>
        </w:tabs>
        <w:spacing w:after="240"/>
        <w:ind w:left="1134" w:hanging="567"/>
        <w:rPr>
          <w:rFonts w:ascii="Arial" w:eastAsia="Yu Mincho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методологическое сопровождение усилий по дальнейшему совершенствованию и популяризации информационного центра по развитию потенциала в области океана посредством демонстрации возможностей увязки мероприятий в области РП и сотрудничества между потребителями и поставщиками соответствующих услуг, а также другими международными, региональными и национальными организациями;</w:t>
      </w:r>
    </w:p>
    <w:p w14:paraId="4CC77C11" w14:textId="08338D7C" w:rsidR="001A14F4" w:rsidRPr="00E05DB3" w:rsidRDefault="001A14F4" w:rsidP="000E33DF">
      <w:pPr>
        <w:numPr>
          <w:ilvl w:val="0"/>
          <w:numId w:val="31"/>
        </w:numPr>
        <w:tabs>
          <w:tab w:val="clear" w:pos="709"/>
        </w:tabs>
        <w:spacing w:after="240"/>
        <w:ind w:left="1134" w:hanging="567"/>
        <w:rPr>
          <w:rFonts w:ascii="Arial" w:eastAsia="Yu Mincho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 xml:space="preserve">консультирование государств-членов по вопросам наглядности и охвата стратегии МОК в области развития потенциала на </w:t>
      </w:r>
      <w:proofErr w:type="gramStart"/>
      <w:r w:rsidRPr="00E05DB3">
        <w:rPr>
          <w:rFonts w:ascii="Arial" w:hAnsi="Arial"/>
          <w:sz w:val="22"/>
          <w:szCs w:val="22"/>
          <w:lang w:val="ru-RU"/>
        </w:rPr>
        <w:t>2023-2030</w:t>
      </w:r>
      <w:proofErr w:type="gramEnd"/>
      <w:r w:rsidRPr="00E05DB3">
        <w:rPr>
          <w:rFonts w:ascii="Arial" w:hAnsi="Arial"/>
          <w:sz w:val="22"/>
          <w:szCs w:val="22"/>
          <w:lang w:val="ru-RU"/>
        </w:rPr>
        <w:t xml:space="preserve"> гг. в целях содействия планированию и их работе по укреплению потенциала</w:t>
      </w:r>
      <w:r w:rsidR="000E33DF" w:rsidRPr="00E05DB3">
        <w:rPr>
          <w:rFonts w:ascii="Arial" w:hAnsi="Arial"/>
          <w:sz w:val="22"/>
          <w:szCs w:val="22"/>
          <w:lang w:val="ru-RU"/>
        </w:rPr>
        <w:t>;</w:t>
      </w:r>
    </w:p>
    <w:p w14:paraId="1BEF70AB" w14:textId="3CC78438" w:rsidR="001A14F4" w:rsidRPr="00E05DB3" w:rsidRDefault="001A14F4" w:rsidP="000E33DF">
      <w:pPr>
        <w:numPr>
          <w:ilvl w:val="0"/>
          <w:numId w:val="31"/>
        </w:numPr>
        <w:tabs>
          <w:tab w:val="clear" w:pos="709"/>
        </w:tabs>
        <w:spacing w:after="240"/>
        <w:ind w:left="1134" w:hanging="567"/>
        <w:rPr>
          <w:rFonts w:ascii="Arial" w:hAnsi="Arial" w:cs="Arial"/>
          <w:sz w:val="22"/>
          <w:szCs w:val="22"/>
          <w:u w:val="single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представление достигнутых результатов Ассамблее МОК на ее 33-й сессии.</w:t>
      </w:r>
    </w:p>
    <w:p w14:paraId="4075B7A4" w14:textId="2704CAA1" w:rsidR="00DD0B40" w:rsidRPr="00E05DB3" w:rsidRDefault="00DD0B40" w:rsidP="00AF62A1">
      <w:pPr>
        <w:keepNext/>
        <w:spacing w:after="240"/>
        <w:jc w:val="center"/>
        <w:rPr>
          <w:rFonts w:ascii="Arial" w:eastAsia="Calibri" w:hAnsi="Arial" w:cs="Arial"/>
          <w:sz w:val="22"/>
          <w:szCs w:val="22"/>
          <w:u w:val="single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Решение МОК EC-57/5.1</w:t>
      </w:r>
    </w:p>
    <w:p w14:paraId="7F12D42F" w14:textId="77777777" w:rsidR="00DD0B40" w:rsidRPr="00E05DB3" w:rsidRDefault="00DD0B40" w:rsidP="00AF62A1">
      <w:pPr>
        <w:keepNext/>
        <w:tabs>
          <w:tab w:val="num" w:pos="1400"/>
        </w:tabs>
        <w:spacing w:after="240"/>
        <w:jc w:val="center"/>
        <w:rPr>
          <w:rFonts w:ascii="Arial" w:hAnsi="Arial" w:cs="Arial"/>
          <w:b/>
          <w:color w:val="000000"/>
          <w:sz w:val="22"/>
          <w:szCs w:val="22"/>
          <w:lang w:val="ru-RU"/>
        </w:rPr>
      </w:pPr>
      <w:r w:rsidRPr="00E05DB3">
        <w:rPr>
          <w:rFonts w:ascii="Arial" w:hAnsi="Arial"/>
          <w:b/>
          <w:color w:val="000000"/>
          <w:sz w:val="22"/>
          <w:szCs w:val="22"/>
          <w:lang w:val="ru-RU"/>
        </w:rPr>
        <w:t xml:space="preserve">Аспекты деятельности Комиссии, касающиеся управления и подготовки </w:t>
      </w:r>
      <w:r w:rsidRPr="00E05DB3">
        <w:rPr>
          <w:rFonts w:ascii="Arial" w:hAnsi="Arial"/>
          <w:b/>
          <w:color w:val="000000"/>
          <w:sz w:val="22"/>
          <w:szCs w:val="22"/>
          <w:lang w:val="ru-RU"/>
        </w:rPr>
        <w:br/>
        <w:t>программы и бюджета</w:t>
      </w:r>
    </w:p>
    <w:p w14:paraId="10630577" w14:textId="77777777" w:rsidR="00DD0B40" w:rsidRPr="00E05DB3" w:rsidRDefault="00DD0B40" w:rsidP="00DD0B40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Исполнительный совет,</w:t>
      </w:r>
    </w:p>
    <w:p w14:paraId="41D55968" w14:textId="77777777" w:rsidR="00DD0B40" w:rsidRPr="00E05DB3" w:rsidRDefault="00DD0B40" w:rsidP="00DD0B40">
      <w:pPr>
        <w:tabs>
          <w:tab w:val="clear" w:pos="709"/>
        </w:tabs>
        <w:spacing w:after="240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color w:val="000000"/>
          <w:sz w:val="22"/>
          <w:szCs w:val="22"/>
          <w:u w:val="single"/>
          <w:lang w:val="ru-RU"/>
        </w:rPr>
        <w:t>рассмотрев</w:t>
      </w:r>
      <w:r w:rsidRPr="00E05DB3">
        <w:rPr>
          <w:rFonts w:ascii="Arial" w:hAnsi="Arial"/>
          <w:color w:val="000000"/>
          <w:sz w:val="22"/>
          <w:szCs w:val="22"/>
          <w:lang w:val="ru-RU"/>
        </w:rPr>
        <w:t xml:space="preserve"> документ IOC/EC-57/5.</w:t>
      </w:r>
      <w:proofErr w:type="gramStart"/>
      <w:r w:rsidRPr="00E05DB3">
        <w:rPr>
          <w:rFonts w:ascii="Arial" w:hAnsi="Arial"/>
          <w:color w:val="000000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/>
          <w:color w:val="000000"/>
          <w:sz w:val="22"/>
          <w:szCs w:val="22"/>
          <w:lang w:val="ru-RU"/>
        </w:rPr>
        <w:t>(1),</w:t>
      </w:r>
    </w:p>
    <w:p w14:paraId="30D3C6F2" w14:textId="77777777" w:rsidR="00DD0B40" w:rsidRPr="00E05DB3" w:rsidRDefault="00DD0B40" w:rsidP="001F6F96">
      <w:pPr>
        <w:tabs>
          <w:tab w:val="clear" w:pos="709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принимает к сведению</w:t>
      </w:r>
      <w:r w:rsidRPr="00E05DB3">
        <w:rPr>
          <w:rFonts w:ascii="Arial" w:hAnsi="Arial"/>
          <w:sz w:val="22"/>
          <w:szCs w:val="22"/>
          <w:lang w:val="ru-RU"/>
        </w:rPr>
        <w:t xml:space="preserve"> документ </w:t>
      </w:r>
      <w:r w:rsidRPr="00E05DB3">
        <w:rPr>
          <w:rFonts w:ascii="Arial" w:hAnsi="Arial"/>
          <w:color w:val="000000"/>
          <w:sz w:val="22"/>
          <w:szCs w:val="22"/>
          <w:lang w:val="ru-RU"/>
        </w:rPr>
        <w:t>IOC/EC-57/5.</w:t>
      </w:r>
      <w:proofErr w:type="gramStart"/>
      <w:r w:rsidRPr="00E05DB3">
        <w:rPr>
          <w:rFonts w:ascii="Arial" w:hAnsi="Arial"/>
          <w:color w:val="000000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/>
          <w:color w:val="000000"/>
          <w:sz w:val="22"/>
          <w:szCs w:val="22"/>
          <w:lang w:val="ru-RU"/>
        </w:rPr>
        <w:t>(1)</w:t>
      </w:r>
      <w:r w:rsidRPr="00E05DB3">
        <w:rPr>
          <w:rFonts w:ascii="Arial" w:hAnsi="Arial"/>
          <w:sz w:val="22"/>
          <w:szCs w:val="22"/>
          <w:lang w:val="ru-RU"/>
        </w:rPr>
        <w:t>, подлежащий дальнейшему рассмотрению комитетом по финансовым вопросам в целях подготовки проекта резолюции, который будет обсужден и принят на пленарном заседании в рамках обсуждения пункта 5.4 повестки дня.</w:t>
      </w:r>
    </w:p>
    <w:bookmarkEnd w:id="2"/>
    <w:p w14:paraId="665DFC07" w14:textId="38E28AB7" w:rsidR="009A6251" w:rsidRPr="00E05DB3" w:rsidRDefault="009A6251" w:rsidP="001F6F96">
      <w:pPr>
        <w:spacing w:after="240"/>
        <w:jc w:val="center"/>
        <w:rPr>
          <w:rFonts w:ascii="Arial" w:eastAsia="Calibri" w:hAnsi="Arial" w:cs="Arial"/>
          <w:sz w:val="22"/>
          <w:szCs w:val="22"/>
          <w:u w:val="single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Решение МОК EC-57/5.2</w:t>
      </w:r>
    </w:p>
    <w:p w14:paraId="3E9A7EBF" w14:textId="6C14F8A4" w:rsidR="009A6251" w:rsidRPr="00E05DB3" w:rsidRDefault="009A6251" w:rsidP="001F6F96">
      <w:pPr>
        <w:tabs>
          <w:tab w:val="num" w:pos="1400"/>
        </w:tabs>
        <w:spacing w:after="240"/>
        <w:jc w:val="center"/>
        <w:rPr>
          <w:rFonts w:ascii="Arial" w:hAnsi="Arial" w:cs="Arial"/>
          <w:b/>
          <w:color w:val="000000"/>
          <w:sz w:val="22"/>
          <w:szCs w:val="22"/>
          <w:lang w:val="ru-RU"/>
        </w:rPr>
      </w:pPr>
      <w:r w:rsidRPr="00E05DB3">
        <w:rPr>
          <w:rFonts w:ascii="Arial" w:hAnsi="Arial"/>
          <w:b/>
          <w:color w:val="000000"/>
          <w:sz w:val="22"/>
          <w:szCs w:val="22"/>
          <w:lang w:val="ru-RU"/>
        </w:rPr>
        <w:t xml:space="preserve">План действий в связи с проведенной IOS оценкой стратегического </w:t>
      </w:r>
      <w:r w:rsidR="00151DAF" w:rsidRPr="00E05DB3">
        <w:rPr>
          <w:rFonts w:ascii="Arial" w:hAnsi="Arial"/>
          <w:b/>
          <w:color w:val="000000"/>
          <w:sz w:val="22"/>
          <w:szCs w:val="22"/>
          <w:lang w:val="ru-RU"/>
        </w:rPr>
        <w:br/>
      </w:r>
      <w:r w:rsidRPr="00E05DB3">
        <w:rPr>
          <w:rFonts w:ascii="Arial" w:hAnsi="Arial"/>
          <w:b/>
          <w:color w:val="000000"/>
          <w:sz w:val="22"/>
          <w:szCs w:val="22"/>
          <w:lang w:val="ru-RU"/>
        </w:rPr>
        <w:t>позиционирования МОК – обновленная информация об осуществлении</w:t>
      </w:r>
    </w:p>
    <w:p w14:paraId="47FD35EF" w14:textId="77777777" w:rsidR="009A6251" w:rsidRPr="00E05DB3" w:rsidRDefault="009A6251" w:rsidP="001F6F96">
      <w:pPr>
        <w:tabs>
          <w:tab w:val="clear" w:pos="709"/>
          <w:tab w:val="num" w:pos="1400"/>
        </w:tabs>
        <w:spacing w:after="240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lang w:val="ru-RU"/>
        </w:rPr>
        <w:t>Исполнительный совет,</w:t>
      </w:r>
    </w:p>
    <w:p w14:paraId="580AF5C7" w14:textId="77777777" w:rsidR="009A6251" w:rsidRPr="00E05DB3" w:rsidRDefault="009A6251" w:rsidP="001F6F96">
      <w:pPr>
        <w:tabs>
          <w:tab w:val="clear" w:pos="709"/>
          <w:tab w:val="left" w:pos="-737"/>
        </w:tabs>
        <w:spacing w:after="240"/>
        <w:rPr>
          <w:rFonts w:ascii="Arial" w:hAnsi="Arial" w:cs="Arial"/>
          <w:snapToGrid w:val="0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рассмотрев</w:t>
      </w:r>
      <w:r w:rsidRPr="00E05DB3">
        <w:rPr>
          <w:rFonts w:ascii="Arial" w:hAnsi="Arial"/>
          <w:sz w:val="22"/>
          <w:szCs w:val="22"/>
          <w:lang w:val="ru-RU"/>
        </w:rPr>
        <w:t xml:space="preserve"> документ IOC/EC-57/5.</w:t>
      </w:r>
      <w:proofErr w:type="gramStart"/>
      <w:r w:rsidRPr="00E05DB3">
        <w:rPr>
          <w:rFonts w:ascii="Arial" w:hAnsi="Arial"/>
          <w:sz w:val="22"/>
          <w:szCs w:val="22"/>
          <w:lang w:val="ru-RU"/>
        </w:rPr>
        <w:t>2.Doc</w:t>
      </w:r>
      <w:proofErr w:type="gramEnd"/>
      <w:r w:rsidRPr="00E05DB3">
        <w:rPr>
          <w:rFonts w:ascii="Arial" w:hAnsi="Arial"/>
          <w:sz w:val="22"/>
          <w:szCs w:val="22"/>
          <w:lang w:val="ru-RU"/>
        </w:rPr>
        <w:t>(1),</w:t>
      </w:r>
    </w:p>
    <w:p w14:paraId="3783B8F9" w14:textId="77777777" w:rsidR="009A6251" w:rsidRPr="00E05DB3" w:rsidRDefault="009A6251" w:rsidP="001F6F96">
      <w:pPr>
        <w:tabs>
          <w:tab w:val="clear" w:pos="709"/>
          <w:tab w:val="left" w:pos="-737"/>
        </w:tabs>
        <w:spacing w:after="240"/>
        <w:rPr>
          <w:rFonts w:ascii="Arial" w:hAnsi="Arial" w:cs="Arial"/>
          <w:snapToGrid w:val="0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принимает к сведению</w:t>
      </w:r>
      <w:r w:rsidRPr="00E05DB3">
        <w:rPr>
          <w:rFonts w:ascii="Arial" w:hAnsi="Arial"/>
          <w:sz w:val="22"/>
          <w:szCs w:val="22"/>
          <w:lang w:val="ru-RU"/>
        </w:rPr>
        <w:t xml:space="preserve"> документы</w:t>
      </w:r>
      <w:r w:rsidRPr="00E05DB3">
        <w:rPr>
          <w:rFonts w:eastAsiaTheme="minorEastAsia"/>
          <w:sz w:val="32"/>
          <w:szCs w:val="32"/>
          <w:lang w:val="ru-RU" w:eastAsia="zh-CN"/>
        </w:rPr>
        <w:t xml:space="preserve"> </w:t>
      </w:r>
      <w:r w:rsidRPr="00E05DB3">
        <w:rPr>
          <w:rFonts w:ascii="Arial" w:hAnsi="Arial"/>
          <w:sz w:val="22"/>
          <w:szCs w:val="22"/>
          <w:lang w:val="ru-RU" w:eastAsia="en-GB"/>
        </w:rPr>
        <w:t>IOC/EC-57/3.</w:t>
      </w:r>
      <w:proofErr w:type="gramStart"/>
      <w:r w:rsidRPr="00E05DB3">
        <w:rPr>
          <w:rFonts w:ascii="Arial" w:hAnsi="Arial"/>
          <w:sz w:val="22"/>
          <w:szCs w:val="22"/>
          <w:lang w:val="ru-RU" w:eastAsia="en-GB"/>
        </w:rPr>
        <w:t>1.Doc</w:t>
      </w:r>
      <w:proofErr w:type="gramEnd"/>
      <w:r w:rsidRPr="00E05DB3">
        <w:rPr>
          <w:rFonts w:ascii="Arial" w:hAnsi="Arial"/>
          <w:sz w:val="22"/>
          <w:szCs w:val="22"/>
          <w:lang w:val="ru-RU" w:eastAsia="en-GB"/>
        </w:rPr>
        <w:t>(4)</w:t>
      </w:r>
      <w:r w:rsidRPr="00E05DB3">
        <w:rPr>
          <w:rFonts w:ascii="Arial" w:hAnsi="Arial"/>
          <w:sz w:val="22"/>
          <w:szCs w:val="22"/>
          <w:lang w:val="ru-RU"/>
        </w:rPr>
        <w:t xml:space="preserve"> и </w:t>
      </w:r>
      <w:r w:rsidRPr="00E05DB3">
        <w:rPr>
          <w:rFonts w:ascii="Arial" w:hAnsi="Arial"/>
          <w:color w:val="000000"/>
          <w:sz w:val="22"/>
          <w:szCs w:val="22"/>
          <w:lang w:val="ru-RU"/>
        </w:rPr>
        <w:t>IOC/EC-57/5.2.Doc(1)</w:t>
      </w:r>
      <w:r w:rsidRPr="00E05DB3">
        <w:rPr>
          <w:rFonts w:ascii="Arial" w:hAnsi="Arial"/>
          <w:sz w:val="22"/>
          <w:szCs w:val="22"/>
          <w:lang w:val="ru-RU"/>
        </w:rPr>
        <w:t>, подлежащие дальнейшему рассмотрению комитетом по финансовым вопросам в целях подготовки проекта резолюции, который будет обсужден и принят на пленарном заседании в рамках обсуждения пункта 5.4 повестки дня.</w:t>
      </w:r>
    </w:p>
    <w:p w14:paraId="2EBA4CEA" w14:textId="77AA604B" w:rsidR="0098014E" w:rsidRPr="00E05DB3" w:rsidRDefault="0098014E" w:rsidP="00916AF9">
      <w:pPr>
        <w:pStyle w:val="Heading1"/>
        <w:keepLines w:val="0"/>
        <w:adjustRightInd w:val="0"/>
        <w:snapToGrid w:val="0"/>
        <w:spacing w:before="0" w:after="240"/>
        <w:jc w:val="center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 w:rsidRPr="00E05DB3">
        <w:rPr>
          <w:rFonts w:ascii="Arial" w:hAnsi="Arial" w:cs="Arial"/>
          <w:color w:val="auto"/>
          <w:sz w:val="22"/>
          <w:szCs w:val="22"/>
          <w:u w:val="single"/>
          <w:lang w:val="ru-RU"/>
        </w:rPr>
        <w:lastRenderedPageBreak/>
        <w:t>Решение МОК EC-5</w:t>
      </w:r>
      <w:r w:rsidR="001B571A" w:rsidRPr="00E05DB3">
        <w:rPr>
          <w:rFonts w:ascii="Arial" w:hAnsi="Arial" w:cs="Arial"/>
          <w:color w:val="auto"/>
          <w:sz w:val="22"/>
          <w:szCs w:val="22"/>
          <w:u w:val="single"/>
          <w:lang w:val="ru-RU"/>
        </w:rPr>
        <w:t>7</w:t>
      </w:r>
      <w:r w:rsidRPr="00E05DB3">
        <w:rPr>
          <w:rFonts w:ascii="Arial" w:hAnsi="Arial" w:cs="Arial"/>
          <w:color w:val="auto"/>
          <w:sz w:val="22"/>
          <w:szCs w:val="22"/>
          <w:u w:val="single"/>
          <w:lang w:val="ru-RU"/>
        </w:rPr>
        <w:t>/</w:t>
      </w:r>
      <w:r w:rsidR="001B571A" w:rsidRPr="00E05DB3">
        <w:rPr>
          <w:rFonts w:ascii="Arial" w:hAnsi="Arial" w:cs="Arial"/>
          <w:color w:val="auto"/>
          <w:sz w:val="22"/>
          <w:szCs w:val="22"/>
          <w:u w:val="single"/>
          <w:lang w:val="ru-RU"/>
        </w:rPr>
        <w:t>5.3</w:t>
      </w:r>
    </w:p>
    <w:p w14:paraId="652C0D80" w14:textId="77777777" w:rsidR="001B571A" w:rsidRPr="00E05DB3" w:rsidRDefault="001B571A" w:rsidP="00916AF9">
      <w:pPr>
        <w:keepNext/>
        <w:spacing w:after="24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/>
          <w:b/>
          <w:bCs/>
          <w:sz w:val="22"/>
          <w:szCs w:val="22"/>
          <w:lang w:val="ru-RU"/>
        </w:rPr>
        <w:t>Выполнение резолюции A-32/4 по вопросам управления и подготовки программы и бюджета Комиссии – проект руководящих принципов проведения выборов</w:t>
      </w:r>
    </w:p>
    <w:p w14:paraId="660EC54F" w14:textId="77777777" w:rsidR="001B571A" w:rsidRPr="00E05DB3" w:rsidRDefault="001B571A" w:rsidP="00916AF9">
      <w:pPr>
        <w:keepNext/>
        <w:tabs>
          <w:tab w:val="clear" w:pos="709"/>
        </w:tabs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Исполнительный совет,</w:t>
      </w:r>
    </w:p>
    <w:p w14:paraId="5FB4516C" w14:textId="77777777" w:rsidR="001B571A" w:rsidRPr="00E05DB3" w:rsidRDefault="001B571A" w:rsidP="001F6F96">
      <w:pPr>
        <w:tabs>
          <w:tab w:val="clear" w:pos="709"/>
          <w:tab w:val="left" w:pos="-737"/>
          <w:tab w:val="left" w:pos="851"/>
        </w:tabs>
        <w:spacing w:after="240"/>
        <w:rPr>
          <w:rFonts w:ascii="Arial" w:eastAsia="Calibri" w:hAnsi="Arial" w:cs="Arial"/>
          <w:sz w:val="22"/>
          <w:szCs w:val="22"/>
          <w:u w:val="single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рассмотрев</w:t>
      </w:r>
      <w:r w:rsidRPr="00E05DB3">
        <w:rPr>
          <w:rFonts w:ascii="Arial" w:hAnsi="Arial"/>
          <w:sz w:val="22"/>
          <w:szCs w:val="22"/>
          <w:lang w:val="ru-RU"/>
        </w:rPr>
        <w:t xml:space="preserve"> документ IOC/EC-57/5.</w:t>
      </w:r>
      <w:proofErr w:type="gramStart"/>
      <w:r w:rsidRPr="00E05DB3">
        <w:rPr>
          <w:rFonts w:ascii="Arial" w:hAnsi="Arial"/>
          <w:sz w:val="22"/>
          <w:szCs w:val="22"/>
          <w:lang w:val="ru-RU"/>
        </w:rPr>
        <w:t>3.Doc</w:t>
      </w:r>
      <w:proofErr w:type="gramEnd"/>
      <w:r w:rsidRPr="00E05DB3">
        <w:rPr>
          <w:rFonts w:ascii="Arial" w:hAnsi="Arial"/>
          <w:sz w:val="22"/>
          <w:szCs w:val="22"/>
          <w:lang w:val="ru-RU"/>
        </w:rPr>
        <w:t>(1),</w:t>
      </w:r>
    </w:p>
    <w:p w14:paraId="23A48164" w14:textId="77777777" w:rsidR="001B571A" w:rsidRPr="00E05DB3" w:rsidRDefault="001B571A" w:rsidP="001F6F96">
      <w:pPr>
        <w:tabs>
          <w:tab w:val="clear" w:pos="709"/>
          <w:tab w:val="left" w:pos="-737"/>
          <w:tab w:val="left" w:pos="851"/>
        </w:tabs>
        <w:spacing w:after="240"/>
        <w:rPr>
          <w:rFonts w:ascii="Arial" w:eastAsia="Calibri" w:hAnsi="Arial" w:cs="Arial"/>
          <w:sz w:val="22"/>
          <w:szCs w:val="22"/>
          <w:u w:val="single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принимает к сведению</w:t>
      </w:r>
      <w:r w:rsidRPr="00E05DB3">
        <w:rPr>
          <w:rFonts w:ascii="Arial" w:hAnsi="Arial"/>
          <w:sz w:val="22"/>
          <w:szCs w:val="22"/>
          <w:lang w:val="ru-RU"/>
        </w:rPr>
        <w:t xml:space="preserve"> проект руководящих принципов подготовки и участия государств-членов в проводимых раз в два года выборах Председателя и заместителей Председателя МОК (должностные лица Комиссии) и государств-членов Исполнительного совета, подлежащий дальнейшему рассмотрению комитетом по финансовым вопросам в целях подготовки проекта резолюции, который будет обсужден и принят на пленарном заседании в рамках обсуждения пункта 5.4 повестки дня.</w:t>
      </w:r>
    </w:p>
    <w:p w14:paraId="3BC1A926" w14:textId="6B329627" w:rsidR="001F6DD9" w:rsidRPr="00E05DB3" w:rsidRDefault="001F6DD9" w:rsidP="005D4007">
      <w:pPr>
        <w:spacing w:after="240"/>
        <w:jc w:val="center"/>
        <w:rPr>
          <w:rFonts w:ascii="Arial" w:eastAsia="Calibri" w:hAnsi="Arial" w:cs="Arial"/>
          <w:sz w:val="22"/>
          <w:szCs w:val="22"/>
          <w:u w:val="single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Решение МОК EC-57/6</w:t>
      </w:r>
    </w:p>
    <w:p w14:paraId="0F82F42B" w14:textId="77777777" w:rsidR="001F6DD9" w:rsidRPr="00E05DB3" w:rsidRDefault="001F6DD9" w:rsidP="005D4007">
      <w:pPr>
        <w:tabs>
          <w:tab w:val="num" w:pos="1400"/>
        </w:tabs>
        <w:spacing w:after="240"/>
        <w:jc w:val="center"/>
        <w:rPr>
          <w:rFonts w:ascii="Arial" w:hAnsi="Arial" w:cs="Arial"/>
          <w:b/>
          <w:color w:val="000000"/>
          <w:sz w:val="22"/>
          <w:szCs w:val="22"/>
          <w:lang w:val="ru-RU"/>
        </w:rPr>
      </w:pPr>
      <w:r w:rsidRPr="00E05DB3">
        <w:rPr>
          <w:rFonts w:ascii="Arial" w:hAnsi="Arial"/>
          <w:b/>
          <w:color w:val="000000"/>
          <w:sz w:val="22"/>
          <w:szCs w:val="22"/>
          <w:lang w:val="ru-RU"/>
        </w:rPr>
        <w:t>Подготовка 33-й сессии Ассамблеи и следующих сессий Исполнительного совета</w:t>
      </w:r>
    </w:p>
    <w:p w14:paraId="2DDDD589" w14:textId="77777777" w:rsidR="001F6DD9" w:rsidRPr="00E05DB3" w:rsidRDefault="001F6DD9" w:rsidP="005D4007">
      <w:pPr>
        <w:tabs>
          <w:tab w:val="num" w:pos="1400"/>
        </w:tabs>
        <w:spacing w:after="240"/>
        <w:ind w:left="720" w:hanging="720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lang w:val="ru-RU"/>
        </w:rPr>
        <w:t>Исполнительный совет,</w:t>
      </w:r>
    </w:p>
    <w:p w14:paraId="3255C049" w14:textId="324F0D09" w:rsidR="001F6DD9" w:rsidRPr="00E05DB3" w:rsidRDefault="001F6DD9" w:rsidP="005D4007">
      <w:pPr>
        <w:tabs>
          <w:tab w:val="left" w:pos="-737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ссылаясь</w:t>
      </w:r>
      <w:r w:rsidRPr="00E05DB3">
        <w:rPr>
          <w:rFonts w:ascii="Arial" w:hAnsi="Arial"/>
          <w:sz w:val="22"/>
          <w:szCs w:val="22"/>
          <w:lang w:val="ru-RU"/>
        </w:rPr>
        <w:t xml:space="preserve"> на рекомендации 55-й сессии Исполнительного совета (Реш. EC-55/5.3) в отношении продолжительности его сессий и решение A-32/6.6 Ассамблеи МОК, принятое на ее 32</w:t>
      </w:r>
      <w:r w:rsidRPr="00E05DB3">
        <w:rPr>
          <w:rFonts w:ascii="Arial" w:hAnsi="Arial"/>
          <w:sz w:val="22"/>
          <w:szCs w:val="22"/>
          <w:lang w:val="ru-RU"/>
        </w:rPr>
        <w:noBreakHyphen/>
        <w:t>й сессии,</w:t>
      </w:r>
    </w:p>
    <w:p w14:paraId="1EBE905B" w14:textId="77777777" w:rsidR="001F6DD9" w:rsidRPr="00E05DB3" w:rsidRDefault="001F6DD9" w:rsidP="005D4007">
      <w:pPr>
        <w:tabs>
          <w:tab w:val="clear" w:pos="709"/>
          <w:tab w:val="left" w:pos="-737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постановляет</w:t>
      </w:r>
      <w:r w:rsidRPr="00E05DB3">
        <w:rPr>
          <w:rFonts w:ascii="Arial" w:hAnsi="Arial"/>
          <w:sz w:val="22"/>
          <w:szCs w:val="22"/>
          <w:lang w:val="ru-RU"/>
        </w:rPr>
        <w:t xml:space="preserve"> провести:</w:t>
      </w:r>
    </w:p>
    <w:p w14:paraId="0FB4B2C0" w14:textId="77777777" w:rsidR="001F6DD9" w:rsidRPr="00E05DB3" w:rsidRDefault="001F6DD9" w:rsidP="005D4007">
      <w:pPr>
        <w:numPr>
          <w:ilvl w:val="0"/>
          <w:numId w:val="20"/>
        </w:numPr>
        <w:tabs>
          <w:tab w:val="clear" w:pos="709"/>
          <w:tab w:val="left" w:pos="-737"/>
        </w:tabs>
        <w:spacing w:after="240"/>
        <w:ind w:left="1134" w:hanging="579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lang w:val="ru-RU"/>
        </w:rPr>
        <w:t>33-ю сессию Ассамблеи продолжительностью 6,5 дней без учета Дня науки об океане в Штаб-квартире ЮНЕСКО c 25 июня по 3 июля 2025 г., которой будет предшествовать сессия Исполнительного совета МОК, выступающего в качестве руководящего комитета Ассамблеи, продолжительностью полдня (58-я сессия);</w:t>
      </w:r>
    </w:p>
    <w:p w14:paraId="223A325D" w14:textId="77777777" w:rsidR="001F6DD9" w:rsidRPr="00E05DB3" w:rsidRDefault="001F6DD9" w:rsidP="005D4007">
      <w:pPr>
        <w:pStyle w:val="ListParagraph"/>
        <w:numPr>
          <w:ilvl w:val="0"/>
          <w:numId w:val="20"/>
        </w:numPr>
        <w:snapToGrid w:val="0"/>
        <w:spacing w:after="240"/>
        <w:ind w:left="1134" w:hanging="579"/>
        <w:contextualSpacing w:val="0"/>
        <w:rPr>
          <w:rFonts w:ascii="Arial" w:hAnsi="Arial" w:cs="Arial"/>
          <w:snapToGrid w:val="0"/>
          <w:sz w:val="22"/>
          <w:szCs w:val="22"/>
          <w:lang w:val="ru-RU"/>
        </w:rPr>
      </w:pPr>
      <w:r w:rsidRPr="00E05DB3">
        <w:rPr>
          <w:rFonts w:ascii="Arial" w:hAnsi="Arial"/>
          <w:snapToGrid w:val="0"/>
          <w:sz w:val="22"/>
          <w:szCs w:val="22"/>
          <w:lang w:val="ru-RU"/>
        </w:rPr>
        <w:t>59-ю сессию Исполнительного совета продолжительностью 3,5 дня в Штаб-квартире ЮНЕСКО, Париж, в период с 8 по 19 июня 2026 г.</w:t>
      </w:r>
    </w:p>
    <w:p w14:paraId="0E45367F" w14:textId="34F7064D" w:rsidR="00D51B3C" w:rsidRPr="00E05DB3" w:rsidRDefault="00D51B3C" w:rsidP="005D4007">
      <w:pPr>
        <w:spacing w:after="240"/>
        <w:jc w:val="center"/>
        <w:rPr>
          <w:rFonts w:ascii="Arial" w:eastAsia="Calibri" w:hAnsi="Arial" w:cs="Arial"/>
          <w:sz w:val="22"/>
          <w:szCs w:val="22"/>
          <w:u w:val="single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Решение МОК EC-57/7</w:t>
      </w:r>
    </w:p>
    <w:p w14:paraId="104851AC" w14:textId="77777777" w:rsidR="00D51B3C" w:rsidRPr="00E05DB3" w:rsidRDefault="00D51B3C" w:rsidP="005D4007">
      <w:pPr>
        <w:spacing w:after="2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E05DB3">
        <w:rPr>
          <w:rFonts w:ascii="Arial" w:hAnsi="Arial"/>
          <w:b/>
          <w:sz w:val="22"/>
          <w:szCs w:val="22"/>
          <w:lang w:val="ru-RU"/>
        </w:rPr>
        <w:t>Принятие резолюций и порядок завершения работы над докладом</w:t>
      </w:r>
    </w:p>
    <w:p w14:paraId="4171FB6A" w14:textId="77777777" w:rsidR="00D51B3C" w:rsidRPr="00E05DB3" w:rsidRDefault="00D51B3C" w:rsidP="005D4007">
      <w:pPr>
        <w:tabs>
          <w:tab w:val="clear" w:pos="709"/>
          <w:tab w:val="num" w:pos="1400"/>
        </w:tabs>
        <w:spacing w:after="240"/>
        <w:rPr>
          <w:rFonts w:ascii="Arial" w:hAnsi="Arial" w:cs="Arial"/>
          <w:iCs/>
          <w:sz w:val="22"/>
          <w:szCs w:val="22"/>
          <w:lang w:val="ru-RU"/>
        </w:rPr>
      </w:pPr>
      <w:r w:rsidRPr="00E05DB3">
        <w:rPr>
          <w:rFonts w:ascii="Arial" w:hAnsi="Arial"/>
          <w:iCs/>
          <w:sz w:val="22"/>
          <w:szCs w:val="22"/>
          <w:lang w:val="ru-RU"/>
        </w:rPr>
        <w:t>Исполнительный совет,</w:t>
      </w:r>
    </w:p>
    <w:p w14:paraId="4CC6F9BC" w14:textId="77777777" w:rsidR="00D51B3C" w:rsidRPr="00E05DB3" w:rsidRDefault="00D51B3C" w:rsidP="005D4007">
      <w:pPr>
        <w:tabs>
          <w:tab w:val="clear" w:pos="709"/>
          <w:tab w:val="left" w:pos="-737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напоминая</w:t>
      </w:r>
      <w:r w:rsidRPr="00E05DB3">
        <w:rPr>
          <w:rFonts w:ascii="Arial" w:hAnsi="Arial"/>
          <w:sz w:val="22"/>
          <w:szCs w:val="22"/>
          <w:lang w:val="ru-RU"/>
        </w:rPr>
        <w:t xml:space="preserve"> о рекомендациях 52-й сессии Исполнительного совета (решение EC</w:t>
      </w:r>
      <w:r w:rsidRPr="00E05DB3">
        <w:rPr>
          <w:rFonts w:ascii="Arial" w:hAnsi="Arial"/>
          <w:sz w:val="22"/>
          <w:szCs w:val="22"/>
          <w:lang w:val="ru-RU"/>
        </w:rPr>
        <w:noBreakHyphen/>
        <w:t>LII/3.3), касающихся организационных вопросов,</w:t>
      </w:r>
    </w:p>
    <w:p w14:paraId="08676E2D" w14:textId="691CCBCD" w:rsidR="00D51B3C" w:rsidRPr="00E05DB3" w:rsidRDefault="00D51B3C" w:rsidP="005D4007">
      <w:pPr>
        <w:tabs>
          <w:tab w:val="clear" w:pos="709"/>
          <w:tab w:val="left" w:pos="-737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утверждает</w:t>
      </w:r>
      <w:r w:rsidRPr="00E05DB3">
        <w:rPr>
          <w:rFonts w:ascii="Arial" w:hAnsi="Arial"/>
          <w:sz w:val="22"/>
          <w:szCs w:val="22"/>
          <w:lang w:val="ru-RU"/>
        </w:rPr>
        <w:t xml:space="preserve"> решения и две резолюции нынешней сессии, содержащиеся в документе IOC/EC</w:t>
      </w:r>
      <w:r w:rsidRPr="00E05DB3">
        <w:rPr>
          <w:rFonts w:ascii="Arial" w:hAnsi="Arial"/>
          <w:sz w:val="22"/>
          <w:szCs w:val="22"/>
          <w:lang w:val="ru-RU"/>
        </w:rPr>
        <w:noBreakHyphen/>
        <w:t>57/</w:t>
      </w:r>
      <w:proofErr w:type="spellStart"/>
      <w:r w:rsidRPr="00E05DB3">
        <w:rPr>
          <w:rFonts w:ascii="Arial" w:hAnsi="Arial"/>
          <w:sz w:val="22"/>
          <w:szCs w:val="22"/>
          <w:lang w:val="ru-RU"/>
        </w:rPr>
        <w:t>Decisions</w:t>
      </w:r>
      <w:proofErr w:type="spellEnd"/>
      <w:r w:rsidRPr="00E05DB3">
        <w:rPr>
          <w:rFonts w:ascii="Arial" w:hAnsi="Arial"/>
          <w:sz w:val="22"/>
          <w:szCs w:val="22"/>
          <w:lang w:val="ru-RU"/>
        </w:rPr>
        <w:t>;</w:t>
      </w:r>
    </w:p>
    <w:p w14:paraId="02FA75C4" w14:textId="77777777" w:rsidR="00D51B3C" w:rsidRPr="00E05DB3" w:rsidRDefault="00D51B3C" w:rsidP="005D4007">
      <w:pPr>
        <w:tabs>
          <w:tab w:val="clear" w:pos="709"/>
          <w:tab w:val="left" w:pos="-737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принимает к сведению</w:t>
      </w:r>
      <w:r w:rsidRPr="00E05DB3">
        <w:rPr>
          <w:rFonts w:ascii="Arial" w:hAnsi="Arial"/>
          <w:sz w:val="22"/>
          <w:szCs w:val="22"/>
          <w:lang w:val="ru-RU"/>
        </w:rPr>
        <w:t>, что Секретариат подготовит проект краткого доклада сессии;</w:t>
      </w:r>
    </w:p>
    <w:p w14:paraId="5D848345" w14:textId="77777777" w:rsidR="00D51B3C" w:rsidRPr="00E05DB3" w:rsidRDefault="00D51B3C" w:rsidP="005D4007">
      <w:pPr>
        <w:tabs>
          <w:tab w:val="clear" w:pos="709"/>
          <w:tab w:val="left" w:pos="-737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/>
          <w:sz w:val="22"/>
          <w:szCs w:val="22"/>
          <w:u w:val="single"/>
          <w:lang w:val="ru-RU"/>
        </w:rPr>
        <w:t>просит</w:t>
      </w:r>
      <w:r w:rsidRPr="00E05DB3">
        <w:rPr>
          <w:rFonts w:ascii="Arial" w:hAnsi="Arial"/>
          <w:sz w:val="22"/>
          <w:szCs w:val="22"/>
          <w:lang w:val="ru-RU"/>
        </w:rPr>
        <w:t xml:space="preserve"> Исполнительного секретаря не позднее сентября 2024 г. направить описательную часть доклада на четырех рабочих языках Комиссии государствам-членам.</w:t>
      </w:r>
    </w:p>
    <w:p w14:paraId="3FACC835" w14:textId="77777777" w:rsidR="00D51B3C" w:rsidRPr="00E05DB3" w:rsidRDefault="00D51B3C" w:rsidP="00D51B3C">
      <w:pPr>
        <w:rPr>
          <w:lang w:val="ru-RU"/>
        </w:rPr>
      </w:pPr>
    </w:p>
    <w:p w14:paraId="6A31A99F" w14:textId="29928090" w:rsidR="001F2F59" w:rsidRPr="00E05DB3" w:rsidRDefault="001F2F59">
      <w:pPr>
        <w:tabs>
          <w:tab w:val="clear" w:pos="709"/>
        </w:tabs>
        <w:jc w:val="left"/>
        <w:rPr>
          <w:rFonts w:ascii="Arial" w:hAnsi="Arial" w:cs="Arial"/>
          <w:snapToGrid w:val="0"/>
          <w:sz w:val="22"/>
          <w:szCs w:val="22"/>
          <w:lang w:val="ru-RU"/>
        </w:rPr>
      </w:pPr>
      <w:r w:rsidRPr="00E05DB3">
        <w:rPr>
          <w:rFonts w:ascii="Arial" w:hAnsi="Arial" w:cs="Arial"/>
          <w:snapToGrid w:val="0"/>
          <w:sz w:val="22"/>
          <w:szCs w:val="22"/>
          <w:lang w:val="ru-RU"/>
        </w:rPr>
        <w:br w:type="page"/>
      </w:r>
    </w:p>
    <w:p w14:paraId="36CC6B6B" w14:textId="435F490B" w:rsidR="001F2F59" w:rsidRPr="00E05DB3" w:rsidRDefault="001F2F59" w:rsidP="001F2F59">
      <w:pPr>
        <w:pStyle w:val="Heading1"/>
        <w:shd w:val="clear" w:color="auto" w:fill="BFBFBF" w:themeFill="background1" w:themeFillShade="BF"/>
        <w:snapToGrid w:val="0"/>
        <w:spacing w:before="0" w:after="240"/>
        <w:jc w:val="center"/>
        <w:rPr>
          <w:rFonts w:ascii="Arial" w:hAnsi="Arial" w:cs="Arial"/>
          <w:b/>
          <w:color w:val="auto"/>
          <w:sz w:val="24"/>
          <w:szCs w:val="24"/>
          <w:lang w:val="ru-RU"/>
        </w:rPr>
      </w:pPr>
      <w:r w:rsidRPr="00E05DB3">
        <w:rPr>
          <w:rFonts w:ascii="Arial" w:hAnsi="Arial" w:cs="Arial"/>
          <w:b/>
          <w:color w:val="auto"/>
          <w:sz w:val="24"/>
          <w:szCs w:val="24"/>
          <w:lang w:val="ru-RU"/>
        </w:rPr>
        <w:lastRenderedPageBreak/>
        <w:t>ПРИНЯТЫЕ РЕЗОЛЮЦИИ</w:t>
      </w:r>
    </w:p>
    <w:p w14:paraId="5B41A948" w14:textId="2FD3C044" w:rsidR="001F2F59" w:rsidRPr="00E05DB3" w:rsidRDefault="002D234D" w:rsidP="001F2F59">
      <w:pPr>
        <w:pStyle w:val="Heading1"/>
        <w:tabs>
          <w:tab w:val="clear" w:pos="709"/>
          <w:tab w:val="left" w:pos="0"/>
          <w:tab w:val="center" w:pos="4542"/>
          <w:tab w:val="left" w:pos="5955"/>
        </w:tabs>
        <w:snapToGrid w:val="0"/>
        <w:spacing w:before="0" w:after="240"/>
        <w:jc w:val="center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 w:rsidRPr="00E05DB3">
        <w:rPr>
          <w:rFonts w:ascii="Arial" w:hAnsi="Arial" w:cs="Arial"/>
          <w:color w:val="auto"/>
          <w:sz w:val="22"/>
          <w:szCs w:val="22"/>
          <w:u w:val="single"/>
          <w:lang w:val="ru-RU"/>
        </w:rPr>
        <w:t>Резолюция МОК</w:t>
      </w:r>
      <w:r w:rsidR="001F2F59" w:rsidRPr="00E05DB3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EC-57/1</w:t>
      </w:r>
    </w:p>
    <w:p w14:paraId="2CAF2028" w14:textId="77777777" w:rsidR="002D234D" w:rsidRPr="00E05DB3" w:rsidRDefault="002D234D" w:rsidP="002D234D">
      <w:pPr>
        <w:spacing w:after="240"/>
        <w:jc w:val="center"/>
        <w:rPr>
          <w:rStyle w:val="Heading2Char"/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Проведение Десятилетия Организации Объединенных Наций, посвященного науке об океане в интересах устойчивого развития (</w:t>
      </w:r>
      <w:proofErr w:type="gramStart"/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2021-2030</w:t>
      </w:r>
      <w:proofErr w:type="gramEnd"/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гг.)</w:t>
      </w:r>
    </w:p>
    <w:p w14:paraId="55716962" w14:textId="77777777" w:rsidR="002D234D" w:rsidRPr="00E05DB3" w:rsidRDefault="002D234D" w:rsidP="00916AF9">
      <w:pPr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Исполнительный совет, </w:t>
      </w:r>
    </w:p>
    <w:p w14:paraId="7AE4C00C" w14:textId="77777777" w:rsidR="002D234D" w:rsidRPr="00E05DB3" w:rsidRDefault="002D234D" w:rsidP="002D234D">
      <w:pPr>
        <w:spacing w:after="240"/>
        <w:jc w:val="center"/>
        <w:rPr>
          <w:rFonts w:asciiTheme="minorBidi" w:hAnsiTheme="minorBidi" w:cstheme="minorBidi"/>
          <w:b/>
          <w:bCs/>
          <w:iCs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Часть I</w:t>
      </w:r>
    </w:p>
    <w:p w14:paraId="34A87855" w14:textId="77777777" w:rsidR="002D234D" w:rsidRPr="00E05DB3" w:rsidRDefault="002D234D" w:rsidP="002D234D">
      <w:pPr>
        <w:pStyle w:val="ListParagraph"/>
        <w:spacing w:after="240"/>
        <w:ind w:left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напоминая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о резолюциях МОК EC-53/1, A-31/1, А-32/3 и EC-55/1, касающихся проведения Десятилетия Организации Объединенных Наций, посвященного науке об океане в интересах устойчивого развития (</w:t>
      </w:r>
      <w:proofErr w:type="gramStart"/>
      <w:r w:rsidRPr="00E05DB3">
        <w:rPr>
          <w:rFonts w:asciiTheme="minorBidi" w:hAnsiTheme="minorBidi" w:cstheme="minorBidi"/>
          <w:sz w:val="22"/>
          <w:szCs w:val="22"/>
          <w:lang w:val="ru-RU"/>
        </w:rPr>
        <w:t>2021-2030</w:t>
      </w:r>
      <w:proofErr w:type="gramEnd"/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гг.), именуемого далее «Десятилетие»,</w:t>
      </w:r>
    </w:p>
    <w:p w14:paraId="3E1D24FA" w14:textId="77777777" w:rsidR="002D234D" w:rsidRPr="00E05DB3" w:rsidRDefault="002D234D" w:rsidP="002D234D">
      <w:pPr>
        <w:pStyle w:val="ListParagraph"/>
        <w:spacing w:after="240"/>
        <w:ind w:left="0"/>
        <w:contextualSpacing w:val="0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рассмотрев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документ IOC/ЕС-57/4.</w:t>
      </w:r>
      <w:proofErr w:type="gramStart"/>
      <w:r w:rsidRPr="00E05DB3">
        <w:rPr>
          <w:rFonts w:asciiTheme="minorBidi" w:hAnsiTheme="minorBidi" w:cstheme="minorBidi"/>
          <w:sz w:val="22"/>
          <w:szCs w:val="22"/>
          <w:lang w:val="ru-RU"/>
        </w:rPr>
        <w:t>7.Doc</w:t>
      </w:r>
      <w:proofErr w:type="gramEnd"/>
      <w:r w:rsidRPr="00E05DB3">
        <w:rPr>
          <w:rFonts w:asciiTheme="minorBidi" w:hAnsiTheme="minorBidi" w:cstheme="minorBidi"/>
          <w:sz w:val="22"/>
          <w:szCs w:val="22"/>
          <w:lang w:val="ru-RU"/>
        </w:rPr>
        <w:t>(1), касающийся проведения Десятилетия Организации Объединенных Наций, посвященного науке об океане в интересах устойчивого развития (2021-2030 гг.), и планов на 2025 г.,</w:t>
      </w:r>
    </w:p>
    <w:p w14:paraId="7F206B53" w14:textId="77777777" w:rsidR="002D234D" w:rsidRPr="00E05DB3" w:rsidRDefault="002D234D" w:rsidP="002D234D">
      <w:pPr>
        <w:pStyle w:val="ListParagraph"/>
        <w:spacing w:after="240"/>
        <w:ind w:left="0"/>
        <w:contextualSpacing w:val="0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отмечает с удовлетворением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вклад Консультативного совета по вопросам проведения Десятилетия (КСД) в реализацию плана и продуманную организацию Десятилетия и </w:t>
      </w: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приветствует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обновление его членского состава на период </w:t>
      </w:r>
      <w:proofErr w:type="gramStart"/>
      <w:r w:rsidRPr="00E05DB3">
        <w:rPr>
          <w:rFonts w:asciiTheme="minorBidi" w:hAnsiTheme="minorBidi" w:cstheme="minorBidi"/>
          <w:sz w:val="22"/>
          <w:szCs w:val="22"/>
          <w:lang w:val="ru-RU"/>
        </w:rPr>
        <w:t>2024-2025</w:t>
      </w:r>
      <w:proofErr w:type="gramEnd"/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гг. в соответствии с кругом ведения КСД;</w:t>
      </w:r>
    </w:p>
    <w:p w14:paraId="19C24D8F" w14:textId="77777777" w:rsidR="002D234D" w:rsidRPr="00E05DB3" w:rsidRDefault="002D234D" w:rsidP="002D234D">
      <w:pPr>
        <w:pStyle w:val="ListParagraph"/>
        <w:spacing w:after="240"/>
        <w:ind w:left="0"/>
        <w:contextualSpacing w:val="0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приветствует также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разработку в рамках Десятилетия океана механизма под названием «На пути к 2030 году», призванного повысить эффективность стратегии осуществления плана Десятилетия с его десятью приоритетными задачами и </w:t>
      </w: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благодарит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сопредседателей и членов рабочих групп по механизму «На пути к 2020 году»;</w:t>
      </w:r>
    </w:p>
    <w:p w14:paraId="4E262AE9" w14:textId="77777777" w:rsidR="002D234D" w:rsidRPr="00E05DB3" w:rsidRDefault="002D234D" w:rsidP="002D234D">
      <w:pPr>
        <w:pStyle w:val="ListParagraph"/>
        <w:spacing w:after="240"/>
        <w:ind w:left="0"/>
        <w:contextualSpacing w:val="0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принимает к сведению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положительные результаты, достигнутые </w:t>
      </w:r>
      <w:proofErr w:type="gramStart"/>
      <w:r w:rsidRPr="00E05DB3">
        <w:rPr>
          <w:rFonts w:asciiTheme="minorBidi" w:hAnsiTheme="minorBidi" w:cstheme="minorBidi"/>
          <w:sz w:val="22"/>
          <w:szCs w:val="22"/>
          <w:lang w:val="ru-RU"/>
        </w:rPr>
        <w:t>в ходе</w:t>
      </w:r>
      <w:proofErr w:type="gramEnd"/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посвященной Десятилетию океана конференции 2024 г., и </w:t>
      </w: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выражает благодарность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правительству Испании, </w:t>
      </w:r>
      <w:proofErr w:type="spellStart"/>
      <w:r w:rsidRPr="00E05DB3">
        <w:rPr>
          <w:rFonts w:asciiTheme="minorBidi" w:hAnsiTheme="minorBidi" w:cstheme="minorBidi"/>
          <w:sz w:val="22"/>
          <w:szCs w:val="22"/>
          <w:lang w:val="ru-RU"/>
        </w:rPr>
        <w:t>женералитету</w:t>
      </w:r>
      <w:proofErr w:type="spellEnd"/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Каталонии и мэрии Барселоны за проведение этого мероприятия; </w:t>
      </w:r>
    </w:p>
    <w:p w14:paraId="2948FCD2" w14:textId="77777777" w:rsidR="002D234D" w:rsidRPr="00E05DB3" w:rsidRDefault="002D234D" w:rsidP="002D234D">
      <w:pPr>
        <w:pStyle w:val="ListParagraph"/>
        <w:spacing w:after="240"/>
        <w:ind w:left="0"/>
        <w:contextualSpacing w:val="0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заявляет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о своей поддержке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реализации приоритетов и рекомендаций, изложенных в Барселонском заявлении</w:t>
      </w:r>
      <w:r w:rsidRPr="00E05DB3">
        <w:rPr>
          <w:rStyle w:val="FootnoteReference"/>
          <w:rFonts w:asciiTheme="minorBidi" w:hAnsiTheme="minorBidi" w:cstheme="minorBidi"/>
          <w:lang w:val="ru-RU"/>
        </w:rPr>
        <w:footnoteReference w:id="1"/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, </w:t>
      </w:r>
    </w:p>
    <w:p w14:paraId="7017C566" w14:textId="77777777" w:rsidR="002D234D" w:rsidRPr="00E05DB3" w:rsidRDefault="002D234D" w:rsidP="002D234D">
      <w:pPr>
        <w:pStyle w:val="ListParagraph"/>
        <w:spacing w:after="240"/>
        <w:ind w:left="0"/>
        <w:contextualSpacing w:val="0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предлагает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государствам-членам и партнерам:</w:t>
      </w:r>
    </w:p>
    <w:p w14:paraId="5AFCD456" w14:textId="77777777" w:rsidR="002D234D" w:rsidRPr="00E05DB3" w:rsidRDefault="002D234D" w:rsidP="002D234D">
      <w:pPr>
        <w:pStyle w:val="ListParagraph"/>
        <w:numPr>
          <w:ilvl w:val="0"/>
          <w:numId w:val="42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включить сформулированные в рамках механизма Десятилетия океана «На пути к 2030 г.» приоритеты и рекомендации в их национальные и региональные рамочные нормативные акты по научным и стратегическим вопросам и использовать их для обоснования решений, касающихся бюджета и выделения средств; </w:t>
      </w:r>
    </w:p>
    <w:p w14:paraId="306AD1DE" w14:textId="77777777" w:rsidR="002D234D" w:rsidRPr="00E05DB3" w:rsidRDefault="002D234D" w:rsidP="002D234D">
      <w:pPr>
        <w:pStyle w:val="ListParagraph"/>
        <w:numPr>
          <w:ilvl w:val="0"/>
          <w:numId w:val="42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предоставить добровольные финансовые взносы в поддержку работы секретариата МОК по координации связанной с Десятилетием деятельности, включая помощь в натуральной форме (в частности, прикомандирование сотрудников и временное предоставление персонала) группе по координации проведения Десятилетия (ГКД); </w:t>
      </w:r>
    </w:p>
    <w:p w14:paraId="0D01F756" w14:textId="77777777" w:rsidR="002D234D" w:rsidRPr="00E05DB3" w:rsidRDefault="002D234D" w:rsidP="002D234D">
      <w:pPr>
        <w:pStyle w:val="ListParagraph"/>
        <w:numPr>
          <w:ilvl w:val="0"/>
          <w:numId w:val="42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выступить с предложениями относительно размещения на своей территории и покрытия финансовых расходов бюро по координации проведения Десятилетия (БКД) и центров сотрудничества в рамках Десятилетия (ЦСД), а также финансирования связанной с Десятилетием деятельности в порядке, предусмотренном в 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lastRenderedPageBreak/>
        <w:t>плане проведения Десятилетия (</w:t>
      </w:r>
      <w:proofErr w:type="spellStart"/>
      <w:r w:rsidRPr="00E05DB3">
        <w:rPr>
          <w:rFonts w:asciiTheme="minorBidi" w:hAnsiTheme="minorBidi" w:cstheme="minorBidi"/>
          <w:sz w:val="22"/>
          <w:szCs w:val="22"/>
          <w:lang w:val="ru-RU"/>
        </w:rPr>
        <w:t>вып</w:t>
      </w:r>
      <w:proofErr w:type="spellEnd"/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. 20 в серии публикаций Десятилетия океана МОК); </w:t>
      </w:r>
    </w:p>
    <w:p w14:paraId="1F7A4EDF" w14:textId="77777777" w:rsidR="002D234D" w:rsidRPr="00E05DB3" w:rsidRDefault="002D234D" w:rsidP="002D234D">
      <w:pPr>
        <w:pStyle w:val="ListParagraph"/>
        <w:numPr>
          <w:ilvl w:val="0"/>
          <w:numId w:val="42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создать национальные комитеты по проведению Десятилетия (НКД), с тем чтобы стимулировать проведение мероприятий на национальном уровне и международное сотрудничество;  </w:t>
      </w:r>
    </w:p>
    <w:p w14:paraId="3230966E" w14:textId="77777777" w:rsidR="002D234D" w:rsidRPr="00E05DB3" w:rsidRDefault="002D234D" w:rsidP="002D234D">
      <w:pPr>
        <w:pStyle w:val="ListParagraph"/>
        <w:numPr>
          <w:ilvl w:val="0"/>
          <w:numId w:val="42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t>организовывать у себя региональные или международные мероприятия для участвующих в Десятилетии заинтересованных сторон;</w:t>
      </w:r>
    </w:p>
    <w:p w14:paraId="0D07D680" w14:textId="77777777" w:rsidR="002D234D" w:rsidRPr="00E05DB3" w:rsidRDefault="002D234D" w:rsidP="002D234D">
      <w:pPr>
        <w:pStyle w:val="ListParagraph"/>
        <w:spacing w:after="240"/>
        <w:ind w:left="0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предлагает также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государствам – членам ООН, членам сети «ООН-океаны», международным научным и академическим организациям, неправительственным организациям и другим соответствующим заинтересованным сторонам поддержать Десятилетие в сотрудничестве с МОК и содействовать его проведению путем внесения предложений по осуществлению в рамках Десятилетия конкретных мероприятий в соответствии с планом проведения Десятилетия и поддержки в практической реализации приоритетов и рекомендаций механизма «На пути к 2030 г.»;</w:t>
      </w:r>
    </w:p>
    <w:p w14:paraId="00BCAC7E" w14:textId="77777777" w:rsidR="002D234D" w:rsidRPr="00E05DB3" w:rsidRDefault="002D234D" w:rsidP="002D234D">
      <w:pPr>
        <w:pStyle w:val="ListParagraph"/>
        <w:spacing w:after="240"/>
        <w:ind w:left="567"/>
        <w:contextualSpacing w:val="0"/>
        <w:jc w:val="center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Часть II</w:t>
      </w:r>
    </w:p>
    <w:p w14:paraId="613215E5" w14:textId="77777777" w:rsidR="002D234D" w:rsidRPr="00E05DB3" w:rsidRDefault="002D234D" w:rsidP="002D234D">
      <w:pPr>
        <w:pStyle w:val="ListParagraph"/>
        <w:spacing w:after="240"/>
        <w:ind w:left="0"/>
        <w:contextualSpacing w:val="0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рассмотрев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документ </w:t>
      </w:r>
      <w:r w:rsidRPr="00E05DB3">
        <w:rPr>
          <w:rFonts w:asciiTheme="minorBidi" w:hAnsiTheme="minorBidi" w:cstheme="minorBidi"/>
          <w:bCs/>
          <w:iCs/>
          <w:color w:val="000000"/>
          <w:sz w:val="22"/>
          <w:szCs w:val="22"/>
          <w:lang w:val="ru-RU"/>
        </w:rPr>
        <w:t>IOC/EC-57/4.</w:t>
      </w:r>
      <w:proofErr w:type="gramStart"/>
      <w:r w:rsidRPr="00E05DB3">
        <w:rPr>
          <w:rFonts w:asciiTheme="minorBidi" w:hAnsiTheme="minorBidi" w:cstheme="minorBidi"/>
          <w:bCs/>
          <w:iCs/>
          <w:color w:val="000000"/>
          <w:sz w:val="22"/>
          <w:szCs w:val="22"/>
          <w:lang w:val="ru-RU"/>
        </w:rPr>
        <w:t>7.Doc</w:t>
      </w:r>
      <w:proofErr w:type="gramEnd"/>
      <w:r w:rsidRPr="00E05DB3">
        <w:rPr>
          <w:rFonts w:asciiTheme="minorBidi" w:hAnsiTheme="minorBidi" w:cstheme="minorBidi"/>
          <w:bCs/>
          <w:iCs/>
          <w:color w:val="000000"/>
          <w:sz w:val="22"/>
          <w:szCs w:val="22"/>
          <w:lang w:val="ru-RU"/>
        </w:rPr>
        <w:t>(2),</w:t>
      </w:r>
    </w:p>
    <w:p w14:paraId="597ECDE7" w14:textId="1C3B134F" w:rsidR="002D234D" w:rsidRPr="00E05DB3" w:rsidRDefault="002D234D" w:rsidP="002D234D">
      <w:pPr>
        <w:pStyle w:val="ListParagraph"/>
        <w:spacing w:after="240"/>
        <w:ind w:left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принимает к сведению также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проект концептуальных рамок для среднесрочной оценки Десятилетия океана и </w:t>
      </w: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просит 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Исполнительного секретаря МОК разработать подробный круг ведения для данной оценки с учетом обсуждения этого вопроса в ходе сессии; </w:t>
      </w:r>
    </w:p>
    <w:p w14:paraId="70AE08CE" w14:textId="77777777" w:rsidR="002D234D" w:rsidRPr="00E05DB3" w:rsidRDefault="002D234D" w:rsidP="002D234D">
      <w:pPr>
        <w:pStyle w:val="ListParagraph"/>
        <w:spacing w:after="240"/>
        <w:ind w:left="0"/>
        <w:contextualSpacing w:val="0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просит 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>департамент внутреннего надзора ЮНЕСКО провести данную оценку, которая должна включать консультации с государствами-членами, национальными комитетами по проведению Десятилетия и другими соответствующими заинтересованными сторонами и представить ее результаты Ассамблее МОК на ее 33-й сессии;</w:t>
      </w:r>
    </w:p>
    <w:p w14:paraId="5F94CAA2" w14:textId="77777777" w:rsidR="002D234D" w:rsidRPr="00E05DB3" w:rsidRDefault="002D234D" w:rsidP="002D234D">
      <w:pPr>
        <w:pStyle w:val="ListParagraph"/>
        <w:spacing w:after="240"/>
        <w:ind w:left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выражает признательность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правительствам Бельгии (правительству Фландрии), Германии, Ирландии, Канады, Норвегии, Португалии, Республики Корея, Швеции, Франции, Японии, а также организации REV-Ocean компании и FUGRO за ценный финансовый вклад в проведение Десятилетия;</w:t>
      </w:r>
    </w:p>
    <w:p w14:paraId="6A2E962B" w14:textId="77777777" w:rsidR="002D234D" w:rsidRPr="00E05DB3" w:rsidRDefault="002D234D" w:rsidP="002D234D">
      <w:pPr>
        <w:pStyle w:val="ListParagraph"/>
        <w:spacing w:after="240"/>
        <w:ind w:left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выражает признательность также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: </w:t>
      </w:r>
    </w:p>
    <w:p w14:paraId="1843F05A" w14:textId="77777777" w:rsidR="002D234D" w:rsidRPr="00E05DB3" w:rsidRDefault="002D234D" w:rsidP="002D234D">
      <w:pPr>
        <w:pStyle w:val="ListParagraph"/>
        <w:numPr>
          <w:ilvl w:val="0"/>
          <w:numId w:val="43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правительству Таиланда за проведение </w:t>
      </w:r>
      <w:proofErr w:type="gramStart"/>
      <w:r w:rsidRPr="00E05DB3">
        <w:rPr>
          <w:rFonts w:asciiTheme="minorBidi" w:hAnsiTheme="minorBidi" w:cstheme="minorBidi"/>
          <w:sz w:val="22"/>
          <w:szCs w:val="22"/>
          <w:lang w:val="ru-RU"/>
        </w:rPr>
        <w:t>22-25</w:t>
      </w:r>
      <w:proofErr w:type="gramEnd"/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апреля 2024 г. в Бангкоке второй региональной конференции в рамках Десятилетия океана;</w:t>
      </w:r>
    </w:p>
    <w:p w14:paraId="0168626C" w14:textId="77777777" w:rsidR="002D234D" w:rsidRPr="00E05DB3" w:rsidRDefault="002D234D" w:rsidP="002D234D">
      <w:pPr>
        <w:pStyle w:val="ListParagraph"/>
        <w:numPr>
          <w:ilvl w:val="0"/>
          <w:numId w:val="43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правительству Индии за проведение </w:t>
      </w:r>
      <w:proofErr w:type="gramStart"/>
      <w:r w:rsidRPr="00E05DB3">
        <w:rPr>
          <w:rFonts w:asciiTheme="minorBidi" w:hAnsiTheme="minorBidi" w:cstheme="minorBidi"/>
          <w:sz w:val="22"/>
          <w:szCs w:val="22"/>
          <w:lang w:val="ru-RU"/>
        </w:rPr>
        <w:t>1-3</w:t>
      </w:r>
      <w:proofErr w:type="gramEnd"/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февраля 2024 г. в Хайдарабаде региональной конференции в рамках Десятилетия океана для стран Индийского океана;</w:t>
      </w:r>
    </w:p>
    <w:p w14:paraId="1C9485C7" w14:textId="77777777" w:rsidR="002D234D" w:rsidRPr="00E05DB3" w:rsidRDefault="002D234D" w:rsidP="002D234D">
      <w:pPr>
        <w:pStyle w:val="ListParagraph"/>
        <w:spacing w:after="240"/>
        <w:ind w:left="0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одобряет 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>включение в план Десятилетия новых мероприятий, которые будут осуществляться по инициативе и под руководством МОК, в частности, таких как:</w:t>
      </w:r>
    </w:p>
    <w:p w14:paraId="08DCF425" w14:textId="77777777" w:rsidR="002D234D" w:rsidRPr="00E05DB3" w:rsidRDefault="002D234D" w:rsidP="002D234D">
      <w:pPr>
        <w:pStyle w:val="ListParagraph"/>
        <w:numPr>
          <w:ilvl w:val="0"/>
          <w:numId w:val="44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t>Программа по поиску решения проблемы вредоносного цветения водорослей;</w:t>
      </w:r>
    </w:p>
    <w:p w14:paraId="1F8EEE0C" w14:textId="77777777" w:rsidR="002D234D" w:rsidRPr="00E05DB3" w:rsidRDefault="002D234D" w:rsidP="002D234D">
      <w:pPr>
        <w:pStyle w:val="ListParagraph"/>
        <w:numPr>
          <w:ilvl w:val="0"/>
          <w:numId w:val="44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t>Программа Десятилетия океана по устойчивому планированию в сфере океана;</w:t>
      </w:r>
    </w:p>
    <w:p w14:paraId="494EFFD6" w14:textId="77777777" w:rsidR="002D234D" w:rsidRPr="00E05DB3" w:rsidRDefault="002D234D" w:rsidP="002D234D">
      <w:pPr>
        <w:pStyle w:val="ListParagraph"/>
        <w:numPr>
          <w:ilvl w:val="0"/>
          <w:numId w:val="44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t>Программа Десятилетия океана SEAWARD для Африки;</w:t>
      </w:r>
    </w:p>
    <w:p w14:paraId="76B9A325" w14:textId="77777777" w:rsidR="002D234D" w:rsidRPr="00E05DB3" w:rsidRDefault="002D234D" w:rsidP="002D234D">
      <w:pPr>
        <w:pStyle w:val="ListParagraph"/>
        <w:spacing w:after="240"/>
        <w:ind w:left="0"/>
        <w:contextualSpacing w:val="0"/>
        <w:rPr>
          <w:rFonts w:asciiTheme="minorBidi" w:hAnsiTheme="minorBidi" w:cstheme="minorBidi"/>
          <w:b/>
          <w:bCs/>
          <w:iCs/>
          <w:color w:val="000000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одобряет также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активную роль региональных и технических вспомогательных органов и программ МОК в содействии региональной и тематической координации проведения Десятилетия и мероприятий по взаимодействию с партнерами, в частности:</w:t>
      </w:r>
    </w:p>
    <w:p w14:paraId="4AB4C843" w14:textId="77777777" w:rsidR="002D234D" w:rsidRPr="00E05DB3" w:rsidRDefault="002D234D" w:rsidP="002D234D">
      <w:pPr>
        <w:pStyle w:val="ListParagraph"/>
        <w:numPr>
          <w:ilvl w:val="0"/>
          <w:numId w:val="45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lastRenderedPageBreak/>
        <w:t>выполнение секретариатом ВЕСТПАК функции БКД в странах западной части Тихого океана;</w:t>
      </w:r>
    </w:p>
    <w:p w14:paraId="14739C11" w14:textId="77777777" w:rsidR="002D234D" w:rsidRPr="00E05DB3" w:rsidRDefault="002D234D" w:rsidP="002D234D">
      <w:pPr>
        <w:pStyle w:val="ListParagraph"/>
        <w:numPr>
          <w:ilvl w:val="0"/>
          <w:numId w:val="45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t>выполнение секретариатом МОКАРИБ функции БКД в тропических странах Америки и Карибского бассейна;</w:t>
      </w:r>
    </w:p>
    <w:p w14:paraId="3236F6F8" w14:textId="77777777" w:rsidR="002D234D" w:rsidRPr="00E05DB3" w:rsidRDefault="002D234D" w:rsidP="002D234D">
      <w:pPr>
        <w:pStyle w:val="ListParagraph"/>
        <w:numPr>
          <w:ilvl w:val="0"/>
          <w:numId w:val="45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t>выполнение секретариатом МОКАФРИКА функции БКД в странах Африки;</w:t>
      </w:r>
    </w:p>
    <w:p w14:paraId="01AD43D1" w14:textId="77777777" w:rsidR="002D234D" w:rsidRPr="00E05DB3" w:rsidRDefault="002D234D" w:rsidP="002D234D">
      <w:pPr>
        <w:pStyle w:val="ListParagraph"/>
        <w:numPr>
          <w:ilvl w:val="0"/>
          <w:numId w:val="45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Theme="minorBidi" w:hAnsiTheme="minorBidi" w:cstheme="minorBidi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выполнение бюро по программе МООД функции БКД в области обмена океанографическими данными; </w:t>
      </w:r>
    </w:p>
    <w:p w14:paraId="6F0F537C" w14:textId="77777777" w:rsidR="002D234D" w:rsidRPr="00E05DB3" w:rsidRDefault="002D234D" w:rsidP="002D234D">
      <w:pPr>
        <w:pStyle w:val="ListParagraph"/>
        <w:numPr>
          <w:ilvl w:val="0"/>
          <w:numId w:val="45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Theme="minorBidi" w:hAnsiTheme="minorBidi" w:cstheme="minorBidi"/>
          <w:b/>
          <w:bCs/>
          <w:iCs/>
          <w:color w:val="000000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t>выполнение бюро по проектам ГСНО функции БКД в области океанографических наблюдений;</w:t>
      </w:r>
    </w:p>
    <w:p w14:paraId="3A029C7C" w14:textId="77777777" w:rsidR="002D234D" w:rsidRPr="00E05DB3" w:rsidRDefault="002D234D" w:rsidP="002D234D">
      <w:pPr>
        <w:pStyle w:val="ListParagraph"/>
        <w:numPr>
          <w:ilvl w:val="0"/>
          <w:numId w:val="45"/>
        </w:numPr>
        <w:tabs>
          <w:tab w:val="clear" w:pos="709"/>
        </w:tabs>
        <w:snapToGrid w:val="0"/>
        <w:spacing w:after="240"/>
        <w:ind w:left="1134" w:hanging="567"/>
        <w:contextualSpacing w:val="0"/>
        <w:rPr>
          <w:rFonts w:asciiTheme="minorBidi" w:hAnsiTheme="minorBidi" w:cstheme="minorBidi"/>
          <w:iCs/>
          <w:color w:val="000000" w:themeColor="text1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sz w:val="22"/>
          <w:szCs w:val="22"/>
          <w:lang w:val="ru-RU"/>
        </w:rPr>
        <w:t>выполнение региональным бюро ЮНЕСКО по науке и культуре в Европе функции БКД по проекту «Связь между людьми и океаном»;</w:t>
      </w:r>
    </w:p>
    <w:p w14:paraId="113A02C3" w14:textId="77777777" w:rsidR="002D234D" w:rsidRPr="00E05DB3" w:rsidRDefault="002D234D" w:rsidP="002D234D">
      <w:pPr>
        <w:pStyle w:val="ListParagraph"/>
        <w:spacing w:after="240"/>
        <w:ind w:left="0"/>
        <w:contextualSpacing w:val="0"/>
        <w:rPr>
          <w:rFonts w:asciiTheme="minorBidi" w:eastAsia="MS Mincho" w:hAnsiTheme="minorBidi" w:cstheme="minorBidi"/>
          <w:b/>
          <w:bCs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принимает к сведению далее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 xml:space="preserve"> потребности в ресурсах, определенные ГКД, БКД, функционирующими под руководством МОК, и для мероприятий Десятилетия, проводимых по инициативе МОК, с тем чтобы они могли выполнять свои обязательства в рамках Десятилетия; </w:t>
      </w:r>
    </w:p>
    <w:p w14:paraId="7988B1C7" w14:textId="77777777" w:rsidR="002D234D" w:rsidRPr="00E05DB3" w:rsidRDefault="002D234D" w:rsidP="002D234D">
      <w:pPr>
        <w:pStyle w:val="ListParagraph"/>
        <w:spacing w:after="240"/>
        <w:ind w:left="0"/>
        <w:contextualSpacing w:val="0"/>
        <w:rPr>
          <w:rFonts w:asciiTheme="minorBidi" w:hAnsiTheme="minorBidi" w:cstheme="minorBidi"/>
          <w:b/>
          <w:bCs/>
          <w:iCs/>
          <w:color w:val="000000"/>
          <w:sz w:val="22"/>
          <w:szCs w:val="22"/>
          <w:lang w:val="ru-RU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предлагает далее </w:t>
      </w:r>
      <w:r w:rsidRPr="00E05DB3">
        <w:rPr>
          <w:rFonts w:asciiTheme="minorBidi" w:hAnsiTheme="minorBidi" w:cstheme="minorBidi"/>
          <w:sz w:val="22"/>
          <w:szCs w:val="22"/>
          <w:lang w:val="ru-RU"/>
        </w:rPr>
        <w:t>государствам-членам, партнерам и организациям-донорам поддержать мероприятия, осуществляемые в рамках Десятилетия под руководством МОК, и механизмы координации такой деятельности, в том числе путем выделения соответствующим программам и регионам МОК внебюджетных средств для реализации намеченных ими преобразований, руководства деятельностью их соответствующих сообществ и активного содействия  дальнейшей деятельности в рамках Десятилетия и по его завершении.</w:t>
      </w:r>
    </w:p>
    <w:p w14:paraId="74456BAB" w14:textId="11137621" w:rsidR="007841EB" w:rsidRPr="00E05DB3" w:rsidRDefault="007841EB" w:rsidP="007841EB">
      <w:pPr>
        <w:pStyle w:val="ListParagraph"/>
        <w:snapToGrid w:val="0"/>
        <w:spacing w:after="240"/>
        <w:ind w:left="567" w:hanging="567"/>
        <w:contextualSpacing w:val="0"/>
        <w:jc w:val="center"/>
        <w:rPr>
          <w:rFonts w:ascii="Arial" w:hAnsi="Arial" w:cs="Arial"/>
          <w:color w:val="000000"/>
          <w:sz w:val="22"/>
          <w:szCs w:val="22"/>
          <w:u w:val="single"/>
          <w:lang w:val="ru-RU"/>
        </w:rPr>
      </w:pPr>
      <w:r w:rsidRPr="00E05DB3">
        <w:rPr>
          <w:rFonts w:ascii="Arial" w:hAnsi="Arial" w:cs="Arial"/>
          <w:color w:val="000000"/>
          <w:sz w:val="22"/>
          <w:szCs w:val="22"/>
          <w:u w:val="single"/>
          <w:lang w:val="ru-RU"/>
        </w:rPr>
        <w:t>Резолюция МОК EC-57/2</w:t>
      </w:r>
    </w:p>
    <w:p w14:paraId="2384D186" w14:textId="6BF0112E" w:rsidR="007841EB" w:rsidRPr="00E05DB3" w:rsidRDefault="007841EB" w:rsidP="007841EB">
      <w:pPr>
        <w:tabs>
          <w:tab w:val="left" w:pos="2694"/>
        </w:tabs>
        <w:spacing w:after="24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Аспекты деятельности Комиссии, касающиеся управления и </w:t>
      </w:r>
      <w:r w:rsidR="005D5DF9" w:rsidRPr="00E05DB3">
        <w:rPr>
          <w:rFonts w:ascii="Arial" w:hAnsi="Arial" w:cs="Arial"/>
          <w:b/>
          <w:bCs/>
          <w:sz w:val="22"/>
          <w:szCs w:val="22"/>
          <w:lang w:val="ru-RU"/>
        </w:rPr>
        <w:br/>
      </w: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подготовки программы и бюджета</w:t>
      </w:r>
    </w:p>
    <w:p w14:paraId="3966B767" w14:textId="77777777" w:rsidR="007841EB" w:rsidRPr="00E05DB3" w:rsidRDefault="007841EB" w:rsidP="007841EB">
      <w:pPr>
        <w:tabs>
          <w:tab w:val="center" w:pos="4153"/>
          <w:tab w:val="right" w:pos="8306"/>
        </w:tabs>
        <w:snapToGrid w:val="0"/>
        <w:spacing w:after="240"/>
        <w:rPr>
          <w:rFonts w:ascii="Arial" w:hAnsi="Arial" w:cs="Arial"/>
          <w:bCs/>
          <w:color w:val="000000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Исполнительный совет,</w:t>
      </w:r>
    </w:p>
    <w:p w14:paraId="3496CD53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рассмотрев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документы:</w:t>
      </w:r>
    </w:p>
    <w:p w14:paraId="184FBA01" w14:textId="77777777" w:rsidR="007841EB" w:rsidRPr="00E05DB3" w:rsidRDefault="007841EB" w:rsidP="005D5DF9">
      <w:pPr>
        <w:pStyle w:val="b"/>
        <w:numPr>
          <w:ilvl w:val="0"/>
          <w:numId w:val="47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IOC/EC-57/3.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(2) – Доклад об исполнении бюджета на 2022-2023 гг. (документ 41 С/5) по состоянию на 31 декабря 2023 г.,</w:t>
      </w:r>
    </w:p>
    <w:p w14:paraId="459F6B77" w14:textId="77777777" w:rsidR="007841EB" w:rsidRPr="00E05DB3" w:rsidRDefault="007841EB" w:rsidP="005D5DF9">
      <w:pPr>
        <w:pStyle w:val="b"/>
        <w:numPr>
          <w:ilvl w:val="0"/>
          <w:numId w:val="47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IOC/EC-57/3.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(3) – Финансовое положение специального счета МОК по состоянию на конец 2023 г. и прогноз на 2024-2025 гг.,</w:t>
      </w:r>
    </w:p>
    <w:p w14:paraId="0FEA896D" w14:textId="77777777" w:rsidR="007841EB" w:rsidRPr="00E05DB3" w:rsidRDefault="007841EB" w:rsidP="005D5DF9">
      <w:pPr>
        <w:pStyle w:val="b"/>
        <w:numPr>
          <w:ilvl w:val="0"/>
          <w:numId w:val="47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IOC/EC-57/3.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(4) – Процесс консультаций по теме «МОК и будущее Мирового океана: устойчивое осуществление и расширение деятельности МОК»,</w:t>
      </w:r>
    </w:p>
    <w:p w14:paraId="33A6E23B" w14:textId="77777777" w:rsidR="007841EB" w:rsidRPr="00E05DB3" w:rsidRDefault="007841EB" w:rsidP="005D5DF9">
      <w:pPr>
        <w:pStyle w:val="b"/>
        <w:numPr>
          <w:ilvl w:val="0"/>
          <w:numId w:val="47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IOC/EC-57/5.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(1) – Пересмотренные программа и бюджет на 2024-2025 гг. (документ 42 С/5) и предварительные предложения на 2026-2029 гг. (проект документа 43 С/5)</w:t>
      </w:r>
      <w:bookmarkStart w:id="4" w:name="_Hlk137637641"/>
      <w:bookmarkEnd w:id="4"/>
      <w:r w:rsidRPr="00E05DB3">
        <w:rPr>
          <w:rFonts w:ascii="Arial" w:hAnsi="Arial" w:cs="Arial"/>
          <w:sz w:val="22"/>
          <w:szCs w:val="22"/>
          <w:lang w:val="ru-RU"/>
        </w:rPr>
        <w:t>,</w:t>
      </w:r>
    </w:p>
    <w:p w14:paraId="2441BDCA" w14:textId="77777777" w:rsidR="007841EB" w:rsidRPr="00E05DB3" w:rsidRDefault="007841EB" w:rsidP="005D5DF9">
      <w:pPr>
        <w:pStyle w:val="b"/>
        <w:numPr>
          <w:ilvl w:val="0"/>
          <w:numId w:val="47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IOC/EC-57/5.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(1) – План действий в связи с проведенной IOS оценкой стратегического позиционирования МОК: обновленная информация об осуществлении,</w:t>
      </w:r>
    </w:p>
    <w:p w14:paraId="091AA562" w14:textId="77777777" w:rsidR="007841EB" w:rsidRPr="00E05DB3" w:rsidRDefault="007841EB" w:rsidP="005D5DF9">
      <w:pPr>
        <w:pStyle w:val="b"/>
        <w:numPr>
          <w:ilvl w:val="0"/>
          <w:numId w:val="47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IOC/ЕС-57/5.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(2) – Доклад председателя межсессионной финансовой консультативной группы (межсессионный период с января по июнь 2024 г.),</w:t>
      </w:r>
    </w:p>
    <w:p w14:paraId="5E476084" w14:textId="77777777" w:rsidR="007841EB" w:rsidRPr="00E05DB3" w:rsidRDefault="007841EB" w:rsidP="005D5DF9">
      <w:pPr>
        <w:pStyle w:val="b"/>
        <w:numPr>
          <w:ilvl w:val="0"/>
          <w:numId w:val="47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lastRenderedPageBreak/>
        <w:t>IOC/EC-57/5.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3.Doc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(1) – Проект руководящих принципов подготовки и участия государств-членов в проводимых раз в два года выборах Председателя и заместителей Председателя МОК (должностных лиц Комиссии) и государств – членов Исполнительного совета,</w:t>
      </w:r>
    </w:p>
    <w:p w14:paraId="734E7F77" w14:textId="77777777" w:rsidR="007841EB" w:rsidRPr="00E05DB3" w:rsidRDefault="007841EB" w:rsidP="007841EB">
      <w:pPr>
        <w:pStyle w:val="b"/>
        <w:tabs>
          <w:tab w:val="clear" w:pos="1134"/>
        </w:tabs>
        <w:ind w:left="0" w:firstLine="0"/>
        <w:jc w:val="center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Часть I.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257CFE6E" w14:textId="77777777" w:rsidR="007841EB" w:rsidRPr="00E05DB3" w:rsidRDefault="007841EB" w:rsidP="007841EB">
      <w:pPr>
        <w:pStyle w:val="b"/>
        <w:tabs>
          <w:tab w:val="clear" w:pos="1134"/>
        </w:tabs>
        <w:ind w:left="0" w:firstLine="0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Доклад об исполнении бюджета на </w:t>
      </w:r>
      <w:proofErr w:type="gramStart"/>
      <w:r w:rsidRPr="00E05DB3">
        <w:rPr>
          <w:rFonts w:ascii="Arial" w:hAnsi="Arial" w:cs="Arial"/>
          <w:b/>
          <w:bCs/>
          <w:sz w:val="22"/>
          <w:szCs w:val="22"/>
          <w:lang w:val="ru-RU"/>
        </w:rPr>
        <w:t>2022-2023</w:t>
      </w:r>
      <w:proofErr w:type="gramEnd"/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 гг. (документ 41 С/5) по состоянию на 31 декабря 2023 г. и финансовое положение специального счета МОК по состоянию на конец 2023 г. и прогноз на 2024-2025 гг.</w:t>
      </w:r>
    </w:p>
    <w:p w14:paraId="473981BA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подтверждает</w:t>
      </w:r>
      <w:r w:rsidRPr="00E05DB3">
        <w:rPr>
          <w:rFonts w:ascii="Arial" w:hAnsi="Arial" w:cs="Arial"/>
          <w:sz w:val="22"/>
          <w:szCs w:val="22"/>
          <w:lang w:val="ru-RU"/>
        </w:rPr>
        <w:t>, что, согласно представленному в документе IOC/EC-57/3.1.Doc(2) докладу, бюджет МОК на 2022-2023 гг. был исполнен в соответствии с утвержденными программой и бюджетом ЮНЕСКО на 2022-2023 гг. (документ 41 C/5), включая скорректированную сумму бюджетных ассигнований для специального счета МОК, утвержденных Ассамблеей МОК на ее 31-й сессии в резолюции A-31/2 и затем пересмотренных Исполнительным советом МОК на его 55-й сессии в резолюции ЕС-55/2;</w:t>
      </w:r>
    </w:p>
    <w:p w14:paraId="04328627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отмечает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, что, хотя общие плановые показатели привлечения внебюджетных средств, установленные на двухлетний период 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2022-2023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 гг., были достигнуты, по состоянию на конец 2023 г. сохранялись некоторые пробелы в финансировании функций D и F; </w:t>
      </w:r>
    </w:p>
    <w:p w14:paraId="215147E2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благодарит 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государства-члены, предоставившие внебюджетные средства и взносы в натуральной форме на осуществление программы в 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2022-2023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 гг.;</w:t>
      </w:r>
    </w:p>
    <w:p w14:paraId="463F680B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информацию о финансовом положении специального счета МОК по состоянию на конец 2023 г. и прогноз на 2024-2025 гг., представленные в документе IOC/EC 57/3.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(3);</w:t>
      </w:r>
    </w:p>
    <w:p w14:paraId="098737A7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утверждает </w:t>
      </w:r>
      <w:r w:rsidRPr="00E05DB3">
        <w:rPr>
          <w:rFonts w:ascii="Arial" w:hAnsi="Arial" w:cs="Arial"/>
          <w:sz w:val="22"/>
          <w:szCs w:val="22"/>
          <w:lang w:val="ru-RU"/>
        </w:rPr>
        <w:t>пересмотренную сумму бюджетных ассигнований на 2024-2025 гг., предложенную в таблице 1 документа IOC/EC 57/3.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(3);</w:t>
      </w:r>
    </w:p>
    <w:p w14:paraId="236ECA5A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призывает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государства-члены предоставлять добровольные взносы, с тем чтобы обеспечить достижение в полном объеме коллективно согласованных целевых показателей по привлечению внебюджетных средств для всех функций МОК в 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2024-2025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 гг., предпочтительно на специальный счет МОК;</w:t>
      </w:r>
    </w:p>
    <w:p w14:paraId="6C559983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просит 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Исполнительного секретаря МОК активизировать принятие инициативных мер в целях получения дальнейших добровольных взносов, в том числе от доноров из частного сектора и прочих партнеров, и полного выполнения программных целевых показателей Комиссии на 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2024-2025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 гг.;</w:t>
      </w:r>
    </w:p>
    <w:p w14:paraId="2AEF26FC" w14:textId="77777777" w:rsidR="007841EB" w:rsidRPr="00E05DB3" w:rsidRDefault="007841EB" w:rsidP="007841EB">
      <w:pPr>
        <w:pStyle w:val="ListParagraph"/>
        <w:spacing w:after="240"/>
        <w:ind w:left="0"/>
        <w:contextualSpacing w:val="0"/>
        <w:jc w:val="center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Часть II.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33B756B5" w14:textId="77777777" w:rsidR="007841EB" w:rsidRPr="00E05DB3" w:rsidRDefault="007841EB" w:rsidP="007841EB">
      <w:pPr>
        <w:pStyle w:val="ListParagraph"/>
        <w:spacing w:after="240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Пересмотренные программа и бюджет на </w:t>
      </w:r>
      <w:proofErr w:type="gramStart"/>
      <w:r w:rsidRPr="00E05DB3">
        <w:rPr>
          <w:rFonts w:ascii="Arial" w:hAnsi="Arial" w:cs="Arial"/>
          <w:b/>
          <w:bCs/>
          <w:sz w:val="22"/>
          <w:szCs w:val="22"/>
          <w:lang w:val="ru-RU"/>
        </w:rPr>
        <w:t>2024-2025</w:t>
      </w:r>
      <w:proofErr w:type="gramEnd"/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 гг. (документ 42 С/5) и </w:t>
      </w:r>
      <w:r w:rsidRPr="00E05DB3">
        <w:rPr>
          <w:rFonts w:ascii="Arial" w:hAnsi="Arial" w:cs="Arial"/>
          <w:b/>
          <w:bCs/>
          <w:sz w:val="22"/>
          <w:szCs w:val="22"/>
          <w:lang w:val="ru-RU"/>
        </w:rPr>
        <w:br/>
        <w:t>предварительные предложения на 2026-2029 гг. (проект документа 43 С/5)</w:t>
      </w:r>
    </w:p>
    <w:p w14:paraId="1B862A55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bCs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напоминает </w:t>
      </w:r>
      <w:r w:rsidRPr="00E05DB3">
        <w:rPr>
          <w:rFonts w:ascii="Arial" w:hAnsi="Arial" w:cs="Arial"/>
          <w:sz w:val="22"/>
          <w:szCs w:val="22"/>
          <w:lang w:val="ru-RU"/>
        </w:rPr>
        <w:t>о принятом Исполнительным советом ЮНЕСКО на его 216-й сессии решении, в котором Генеральной конференции ЮНЕСКО на ее 42-й сессии было рекомендовано согласовать увеличение выделяемой МОК доли в бюджете обычной программы ЮНЕСКО на [1%], причем эта доля не должна сокращаться в результате переноса средств в другие части бюджета, и «определить и согласовать исходное значение доли выделяемых МОК ЮНЕСКО средств бюджета обычной программы ЮНЕСКО в рамках документа 42 С/5 и будущих документов С/5, которое не может быть снижено в будущем, если иное не согласовано Генеральной конференцией»;</w:t>
      </w:r>
    </w:p>
    <w:p w14:paraId="0512CAC9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bCs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 xml:space="preserve">благодарит </w:t>
      </w:r>
      <w:r w:rsidRPr="00E05DB3">
        <w:rPr>
          <w:rFonts w:ascii="Arial" w:hAnsi="Arial" w:cs="Arial"/>
          <w:sz w:val="22"/>
          <w:szCs w:val="22"/>
          <w:lang w:val="ru-RU"/>
        </w:rPr>
        <w:t>государства-члены за включение в повестку дня 216-й сессии Исполнительного совета ЮНЕСКО пункта 44 «Срочная необходимость увеличения объема и обеспечения большей стабильности финансирования Межправительственной океанографической комиссии (МОК)», по итогам рассмотрения которого было принято вышеупомянутое решение;</w:t>
      </w:r>
    </w:p>
    <w:p w14:paraId="3CFA3492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 с удовлетворением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информацию об одобренном Генеральной конференцией ЮНЕСКО на ее 42-й сессии в соответствии с приоритетами государств-членов увеличении ассигнований для МОК в рамках пересмотренного в связи с повторным вступлением в Организацию Соединенных Штатов Америки в июле 2023 г. общего верхнего предельного уровня бюджета ЮНЕСКО в документе 42 С/5, что позволит МОК продолжать осуществлять свои основные программы и выполнять свою роль в проведении Десятилетия Организации Объединенных Наций, посвященного науке об океане в интересах устойчивого развития (2021-2030 гг.);</w:t>
      </w:r>
    </w:p>
    <w:p w14:paraId="65BF9DAD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представленные в документе IOC/EC-57/5.1.Doc(1) пересмотренные программу и бюджет на 2024-2025 гг. (42 С/5), подготовленные в качестве неотъемлемой части проекта программы и бюджета ЮНЕСКО на 2024-2025 гг. (42 С/5), представленных Генеральным директором ЮНЕСКО Исполнительному совету ЮНЕСКО на его 216-й сессии и затем утвержденных Генеральной конференцией ЮНЕСКО на ее 42-й сессии;</w:t>
      </w:r>
    </w:p>
    <w:p w14:paraId="0310F17C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 также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дополнительную информацию, представленную Секретариатом МОК по просьбе межсессионной финансовой консультативной группы МОК (МФКГ) и отраженную в докладе председателя МФКГ (IOC/EC-57/5.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(2)); </w:t>
      </w:r>
    </w:p>
    <w:p w14:paraId="3C0CCA49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полагает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, что программные решения Секретариата МОК, принятые им при разработке пересмотренных программы и бюджета на 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2024-2025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 гг. (документ 42 С/5), соответствуют стратегическим указаниям государств-членов, содержащимся в резолюции МОК А-32/4; </w:t>
      </w:r>
    </w:p>
    <w:p w14:paraId="51B91AC1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приветствует</w:t>
      </w:r>
      <w:r w:rsidRPr="00E05DB3">
        <w:rPr>
          <w:rFonts w:ascii="Arial" w:hAnsi="Arial" w:cs="Arial"/>
          <w:sz w:val="22"/>
          <w:szCs w:val="22"/>
          <w:lang w:val="ru-RU"/>
        </w:rPr>
        <w:t>, в частности:</w:t>
      </w:r>
    </w:p>
    <w:p w14:paraId="45442C7D" w14:textId="77777777" w:rsidR="007841EB" w:rsidRPr="00E05DB3" w:rsidRDefault="007841EB" w:rsidP="005D5DF9">
      <w:pPr>
        <w:pStyle w:val="b"/>
        <w:numPr>
          <w:ilvl w:val="0"/>
          <w:numId w:val="48"/>
        </w:numPr>
        <w:tabs>
          <w:tab w:val="clear" w:pos="1134"/>
        </w:tabs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стабилизацию финансирования всех функций МОК в сочетании с целевыми дополнительными инвестициями в МООД, ГСНО, развитие потенциала и функционирование региональных вспомогательных органов, которые Ассамблея МОК определила как «критически уязвимые области»;</w:t>
      </w:r>
    </w:p>
    <w:p w14:paraId="636B9119" w14:textId="77777777" w:rsidR="007841EB" w:rsidRPr="00E05DB3" w:rsidRDefault="007841EB" w:rsidP="005D5DF9">
      <w:pPr>
        <w:pStyle w:val="b"/>
        <w:numPr>
          <w:ilvl w:val="0"/>
          <w:numId w:val="48"/>
        </w:numPr>
        <w:tabs>
          <w:tab w:val="clear" w:pos="1134"/>
        </w:tabs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>кадровые решения Исполнительного секретаря МОК, направленные на укрепление вышеупомянутых критически уязвимых областей в приоритетном порядке;</w:t>
      </w:r>
    </w:p>
    <w:p w14:paraId="30AA562F" w14:textId="77777777" w:rsidR="007841EB" w:rsidRPr="00E05DB3" w:rsidRDefault="007841EB" w:rsidP="005D5DF9">
      <w:pPr>
        <w:pStyle w:val="b"/>
        <w:numPr>
          <w:ilvl w:val="0"/>
          <w:numId w:val="48"/>
        </w:numPr>
        <w:tabs>
          <w:tab w:val="clear" w:pos="1134"/>
        </w:tabs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 xml:space="preserve">значительное улучшение соотношения расходов на персонал и других расходов, финансируемых из обычного бюджета; </w:t>
      </w:r>
    </w:p>
    <w:p w14:paraId="11B90458" w14:textId="77777777" w:rsidR="007841EB" w:rsidRPr="00E05DB3" w:rsidRDefault="007841EB" w:rsidP="005D5DF9">
      <w:pPr>
        <w:pStyle w:val="b"/>
        <w:numPr>
          <w:ilvl w:val="0"/>
          <w:numId w:val="48"/>
        </w:numPr>
        <w:tabs>
          <w:tab w:val="clear" w:pos="1134"/>
        </w:tabs>
        <w:ind w:left="1134" w:hanging="567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sz w:val="22"/>
          <w:szCs w:val="22"/>
          <w:lang w:val="ru-RU"/>
        </w:rPr>
        <w:t xml:space="preserve">значительное увеличение ассигнований из обычного бюджета на мероприятия МОКАФРИКА в соответствии с глобальным приоритетом ЮНЕСКО «Африка» и с учетом необходимости наличия соответствующих ресурсов для осуществления программы; </w:t>
      </w:r>
    </w:p>
    <w:p w14:paraId="01E87173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 далее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информацию о проведении на постоянной основе в рамках соответствующих программ и вспомогательных органов консультаций по приоритетным направлениям деятельности с целью совместной разработки приоритетных мероприятий и оптимизации работы по ним в 2024-2025 гг., а также  формирования основы для проекта документа 43 С/5 в соответствии с приоритетными направлениями деятельности, определенными в документе 42 С/5, и с расчетом на сохранение результатов, связанных с изложенными в резолюции МОК А-32/4 принципами высокого уровня;</w:t>
      </w:r>
    </w:p>
    <w:p w14:paraId="4D54F536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отмечает 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с большой обеспокоенностью, что некоторые из вышеупомянутых критически уязвимых областей МОК все еще не укомплектованы кадрами, и в ходе следующих бюджетных циклов нужно будет рассмотреть вопрос об их укреплении; </w:t>
      </w:r>
    </w:p>
    <w:p w14:paraId="4F4FE772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 xml:space="preserve">просит 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Исполнительного секретаря МОК в консультации с должностными лицами Комиссии приступить к проведению внешней оценки процессов руководства и управления в МОК с целью упорядочения ее функционирования и оптимизации использования ресурсов, с тем чтобы они действительно соответствовали поставленным целям в условиях быстро изменяющейся программы работы в сфере океана и с учетом растущих требований государств-членов и расширения многосторонних процессов; </w:t>
      </w:r>
    </w:p>
    <w:p w14:paraId="476ECE31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одобряет </w:t>
      </w:r>
      <w:r w:rsidRPr="00E05DB3">
        <w:rPr>
          <w:rFonts w:ascii="Arial" w:hAnsi="Arial" w:cs="Arial"/>
          <w:sz w:val="22"/>
          <w:szCs w:val="22"/>
          <w:lang w:val="ru-RU"/>
        </w:rPr>
        <w:t>представленную в части III документа IOC/EC-57/5.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(1) методику подготовки предварительных предложений по программе и бюджету на 2026-2029 гг. (проект документа 43 С/5), в том числе формулировку промежуточного результата 1 МОК;</w:t>
      </w:r>
    </w:p>
    <w:p w14:paraId="00E8F61C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подчеркивает </w:t>
      </w:r>
      <w:r w:rsidRPr="00E05DB3">
        <w:rPr>
          <w:rFonts w:ascii="Arial" w:hAnsi="Arial" w:cs="Arial"/>
          <w:sz w:val="22"/>
          <w:szCs w:val="22"/>
          <w:lang w:val="ru-RU"/>
        </w:rPr>
        <w:t>решающее значение четкого и всеобъемлющего процесса консультаций с го</w:t>
      </w:r>
      <w:r w:rsidRPr="00E05DB3">
        <w:rPr>
          <w:rFonts w:ascii="Arial" w:hAnsi="Arial" w:cs="Arial"/>
          <w:sz w:val="22"/>
          <w:szCs w:val="22"/>
          <w:lang w:val="ru-RU"/>
        </w:rPr>
        <w:softHyphen/>
        <w:t>сударствами – членами МОК по вопросам управления, программирования и подготовки бюджета Комиссии;</w:t>
      </w:r>
    </w:p>
    <w:p w14:paraId="04364E84" w14:textId="77777777" w:rsidR="007841EB" w:rsidRPr="00E05DB3" w:rsidRDefault="007841EB" w:rsidP="005D5DF9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просит также 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Исполнительного секретаря МОК разработать предложение по программе и бюджету на 2026-2029 гг. (проекту документа 43 С/5) для утверждения Ассамблеей МОК на ее 33-й сессии, продолжая информировать государства-члены обо всех связанных с этим событиях в межсессионный период, в том числе посредством регулярных и своевременных онлайновых совещаний МФКГ; </w:t>
      </w:r>
    </w:p>
    <w:p w14:paraId="326ED63A" w14:textId="77777777" w:rsidR="007841EB" w:rsidRPr="00E05DB3" w:rsidRDefault="007841EB" w:rsidP="007841EB">
      <w:pPr>
        <w:pStyle w:val="ListParagraph"/>
        <w:tabs>
          <w:tab w:val="clear" w:pos="709"/>
          <w:tab w:val="left" w:pos="567"/>
        </w:tabs>
        <w:snapToGrid w:val="0"/>
        <w:spacing w:after="240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Часть III.</w:t>
      </w:r>
    </w:p>
    <w:p w14:paraId="611D3DDA" w14:textId="2CBCCDCA" w:rsidR="007841EB" w:rsidRPr="00E05DB3" w:rsidRDefault="007841EB" w:rsidP="007841EB">
      <w:pPr>
        <w:pStyle w:val="ListParagraph"/>
        <w:tabs>
          <w:tab w:val="clear" w:pos="709"/>
          <w:tab w:val="left" w:pos="567"/>
        </w:tabs>
        <w:snapToGrid w:val="0"/>
        <w:spacing w:after="240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Проект плана действий по результатам проведенной IOS оценки стратегического </w:t>
      </w:r>
      <w:r w:rsidRPr="00E05DB3">
        <w:rPr>
          <w:rFonts w:ascii="Arial" w:hAnsi="Arial" w:cs="Arial"/>
          <w:b/>
          <w:bCs/>
          <w:sz w:val="22"/>
          <w:szCs w:val="22"/>
          <w:lang w:val="ru-RU"/>
        </w:rPr>
        <w:br/>
        <w:t>позиционирования МОК:</w:t>
      </w:r>
      <w:r w:rsidR="00916AF9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обновленная информация о ходе выполнения</w:t>
      </w:r>
    </w:p>
    <w:p w14:paraId="39DAB963" w14:textId="77777777" w:rsidR="007841EB" w:rsidRPr="00E05DB3" w:rsidRDefault="007841EB" w:rsidP="00B83BB4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напоминает</w:t>
      </w:r>
      <w:r w:rsidRPr="00E05DB3">
        <w:rPr>
          <w:rFonts w:ascii="Arial" w:hAnsi="Arial" w:cs="Arial"/>
          <w:sz w:val="22"/>
          <w:szCs w:val="22"/>
          <w:lang w:val="ru-RU"/>
        </w:rPr>
        <w:t>, что план действий по итогам проведенной IOS оценки стратегического позиционирования МОК, представленный в документе IOC/A-32/6.3.Doc(1), был одобрен Ассамблеей МОК на ее 32-й сессии и воспроизводится для сведения Исполнительного совета МОК  в документе IOC/EC-57/5.2.Doc(1) с обновленной информацией о его осуществлении, которая приводится в таблице под названием «Краткий обзор предлагаемых мер и обновленная информация о ходе работы»;</w:t>
      </w:r>
    </w:p>
    <w:p w14:paraId="1706DD64" w14:textId="77777777" w:rsidR="007841EB" w:rsidRPr="00E05DB3" w:rsidRDefault="007841EB" w:rsidP="00B83BB4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напоминает также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, что Ассамблея МОК на ее 32-й сессии 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просила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 Секретариат МОК продолжать осуществление плана действий «с учетом меняющейся ситуации в МОК, в том числе имеющихся в наличии средств, предлагая соответствующие корректировки и отчитываясь о ходе работы перед руководящими органами МОК и ЮНЕСКО»;</w:t>
      </w:r>
    </w:p>
    <w:p w14:paraId="7D67F14F" w14:textId="77777777" w:rsidR="007841EB" w:rsidRPr="00E05DB3" w:rsidRDefault="007841EB" w:rsidP="00B83BB4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приветствует 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обновленную информацию о ходе осуществления плана, содержащуюся в вышеупомянутой таблице под названием «Краткий обзор предлагаемых мер и обновленная информация о ходе работы»; </w:t>
      </w:r>
    </w:p>
    <w:p w14:paraId="17A15571" w14:textId="77777777" w:rsidR="007841EB" w:rsidRPr="00E05DB3" w:rsidRDefault="007841EB" w:rsidP="00B83BB4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выражает согласие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с мнением Исполнительного секретаря МОК относительно того, что, хотя некоторые меры уже приняты, а другие находятся в процессе реализации, целый ряд стратегических мер потребует дальнейшего анализа и обсуждения с государствами-членами в рамках нового этапа консультаций по теме «МОК и будущее Мирового океана»;</w:t>
      </w:r>
    </w:p>
    <w:p w14:paraId="23579FB4" w14:textId="77777777" w:rsidR="007841EB" w:rsidRPr="00E05DB3" w:rsidRDefault="007841EB" w:rsidP="00B83BB4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просит </w:t>
      </w:r>
      <w:r w:rsidRPr="00E05DB3">
        <w:rPr>
          <w:rFonts w:ascii="Arial" w:hAnsi="Arial" w:cs="Arial"/>
          <w:sz w:val="22"/>
          <w:szCs w:val="22"/>
          <w:lang w:val="ru-RU"/>
        </w:rPr>
        <w:t>Исполнительного секретаря МОК провести соответствующую работу и представить подготовленное на ее основе предложение Ассамблее МОК для рассмотрения на ее 33-й сессии;</w:t>
      </w:r>
    </w:p>
    <w:p w14:paraId="73967316" w14:textId="77777777" w:rsidR="007841EB" w:rsidRPr="00E05DB3" w:rsidRDefault="007841EB" w:rsidP="007841EB">
      <w:pPr>
        <w:pStyle w:val="ListParagraph"/>
        <w:keepNext/>
        <w:tabs>
          <w:tab w:val="clear" w:pos="709"/>
          <w:tab w:val="left" w:pos="567"/>
        </w:tabs>
        <w:snapToGrid w:val="0"/>
        <w:spacing w:after="240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Часть IV.</w:t>
      </w:r>
    </w:p>
    <w:p w14:paraId="6DCA03C2" w14:textId="77777777" w:rsidR="007841EB" w:rsidRPr="00E05DB3" w:rsidRDefault="007841EB" w:rsidP="007841EB">
      <w:pPr>
        <w:pStyle w:val="ListParagraph"/>
        <w:keepNext/>
        <w:tabs>
          <w:tab w:val="clear" w:pos="709"/>
          <w:tab w:val="left" w:pos="567"/>
        </w:tabs>
        <w:snapToGrid w:val="0"/>
        <w:spacing w:after="240"/>
        <w:ind w:left="0"/>
        <w:contextualSpacing w:val="0"/>
        <w:jc w:val="center"/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Консультативный процесс «МОК и будущее Мирового океана»</w:t>
      </w:r>
    </w:p>
    <w:p w14:paraId="79FF118C" w14:textId="77777777" w:rsidR="007841EB" w:rsidRPr="00E05DB3" w:rsidRDefault="007841EB" w:rsidP="00B83BB4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напоминает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о решении МОК А-32/5, памятуя о статусе МОК как органа, обладающего функциональной автономией в рамках ЮНЕСКО;</w:t>
      </w:r>
    </w:p>
    <w:p w14:paraId="4951339A" w14:textId="77777777" w:rsidR="007841EB" w:rsidRPr="00E05DB3" w:rsidRDefault="007841EB" w:rsidP="00B83BB4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>принимает к сведению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содержащееся в документе IOC/EC-57/3.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>(4) предложение о том, чтобы консультации по теме «МОК и будущее Мирового океана» проводились в рамках трехлетнего процесса, скоординированного с расписанием сессий руководящих органов МОК;</w:t>
      </w:r>
    </w:p>
    <w:p w14:paraId="4B356BA5" w14:textId="77777777" w:rsidR="007841EB" w:rsidRPr="00E05DB3" w:rsidRDefault="007841EB" w:rsidP="00B83BB4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постановляет</w:t>
      </w:r>
      <w:r w:rsidRPr="00E05DB3">
        <w:rPr>
          <w:rFonts w:ascii="Arial" w:hAnsi="Arial" w:cs="Arial"/>
          <w:sz w:val="22"/>
          <w:szCs w:val="22"/>
          <w:lang w:val="ru-RU"/>
        </w:rPr>
        <w:t>, что консультации будут сосредоточены в первую очередь на общем обзоре мероприятий, касающихся роли МОК в оказании помощи государствам-членам и другим заинтересованным сторонам, в том числе на выявлении пробелов и потребностей в рамках программ МОК, с тем чтобы обеспечить оптимальную организацию текущих и новых мероприятий в области научно обоснованного устойчивого планирования в сфере океана, океанографической поддержки в работе по соответствующим конвенциям и рамочным документам ООН, а также развития устойчивой экономики океана;</w:t>
      </w:r>
    </w:p>
    <w:p w14:paraId="5B6F6478" w14:textId="77777777" w:rsidR="007841EB" w:rsidRPr="00E05DB3" w:rsidRDefault="007841EB" w:rsidP="00B83BB4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постановляет также</w:t>
      </w:r>
      <w:r w:rsidRPr="00E05DB3">
        <w:rPr>
          <w:rFonts w:ascii="Arial" w:hAnsi="Arial" w:cs="Arial"/>
          <w:sz w:val="22"/>
          <w:szCs w:val="22"/>
          <w:lang w:val="ru-RU"/>
        </w:rPr>
        <w:t>, что обзор будет проводиться Секретариатом МОК в консультации с программами МОК, региональными вспомогательными органами МОК, государствами – членами МОК, в том числе через МФКГ и соответствующие межсессионные рабочие группы МОК, в частности рабочую группу МОК по устойчивому планированию и управлению в сфере океана, а также, по мере необходимости, с другими соответствующими заинтересованными сторонами;</w:t>
      </w:r>
    </w:p>
    <w:p w14:paraId="5B6E2D07" w14:textId="77777777" w:rsidR="007841EB" w:rsidRPr="00E05DB3" w:rsidRDefault="007841EB" w:rsidP="00B83BB4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постановляет далее</w:t>
      </w:r>
      <w:r w:rsidRPr="00E05DB3">
        <w:rPr>
          <w:rFonts w:ascii="Arial" w:hAnsi="Arial" w:cs="Arial"/>
          <w:sz w:val="22"/>
          <w:szCs w:val="22"/>
          <w:lang w:val="ru-RU"/>
        </w:rPr>
        <w:t>, что обзор будет проводиться с опорой на план действий в связи с проведенной IOS оценкой стратегического позиционирования МОК, среднесрочную стратегию МОК (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2022-2029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 гг.) и, по мере необходимости, на другие соответствующие ресурсы;</w:t>
      </w:r>
    </w:p>
    <w:p w14:paraId="2CC252CA" w14:textId="77777777" w:rsidR="007841EB" w:rsidRPr="00E05DB3" w:rsidRDefault="007841EB" w:rsidP="00B83BB4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просит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Исполнительного секретаря МОК начать процесс консультаций, в том числе работу с МФКГ по параметрам проведения обзора, и регулярно представлять МФКГ обновленную информацию о ходе работы для получения информации и рекомендаций;</w:t>
      </w:r>
    </w:p>
    <w:p w14:paraId="35EEE2C7" w14:textId="77777777" w:rsidR="007841EB" w:rsidRPr="00E05DB3" w:rsidRDefault="007841EB" w:rsidP="00B83BB4">
      <w:pPr>
        <w:tabs>
          <w:tab w:val="clear" w:pos="709"/>
          <w:tab w:val="left" w:pos="567"/>
        </w:tabs>
        <w:snapToGrid w:val="0"/>
        <w:spacing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просит также </w:t>
      </w:r>
      <w:r w:rsidRPr="00E05DB3">
        <w:rPr>
          <w:rFonts w:ascii="Arial" w:hAnsi="Arial" w:cs="Arial"/>
          <w:sz w:val="22"/>
          <w:szCs w:val="22"/>
          <w:lang w:val="ru-RU"/>
        </w:rPr>
        <w:t>Исполнительного секретаря МОК представить результаты и рекомендации по итогам обзора Ассамблее МОК на ее 33-й сессии для выработки указаний относительно проведения второго этапа консультаций;</w:t>
      </w:r>
    </w:p>
    <w:p w14:paraId="287ECC81" w14:textId="77777777" w:rsidR="007841EB" w:rsidRPr="00E05DB3" w:rsidRDefault="007841EB" w:rsidP="007841EB">
      <w:pPr>
        <w:pStyle w:val="ListParagraph"/>
        <w:spacing w:after="240"/>
        <w:ind w:left="0"/>
        <w:contextualSpacing w:val="0"/>
        <w:jc w:val="center"/>
        <w:rPr>
          <w:rFonts w:ascii="Arial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Часть V.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2C7BAC75" w14:textId="77777777" w:rsidR="00916AF9" w:rsidRDefault="007841EB" w:rsidP="007841EB">
      <w:pPr>
        <w:pStyle w:val="ListParagraph"/>
        <w:spacing w:after="240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Выполнение резолюции A-32/4 Part III – Управление и методы работы</w:t>
      </w:r>
    </w:p>
    <w:p w14:paraId="23782D08" w14:textId="568AF8E7" w:rsidR="007841EB" w:rsidRPr="00E05DB3" w:rsidRDefault="007841EB" w:rsidP="007841EB">
      <w:pPr>
        <w:pStyle w:val="ListParagraph"/>
        <w:spacing w:after="240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Проект руководящих принципов подготовки и участия государств-членов в </w:t>
      </w:r>
      <w:r w:rsidRPr="00E05DB3">
        <w:rPr>
          <w:rFonts w:ascii="Arial" w:hAnsi="Arial" w:cs="Arial"/>
          <w:b/>
          <w:bCs/>
          <w:sz w:val="22"/>
          <w:szCs w:val="22"/>
          <w:lang w:val="ru-RU"/>
        </w:rPr>
        <w:br/>
        <w:t>проводимых раз в два года выборах Председателя и заместителей Председателя МОК (должностных лиц Комиссии) и государств – членов Исполнительного совета</w:t>
      </w:r>
    </w:p>
    <w:p w14:paraId="54646046" w14:textId="77777777" w:rsidR="007841EB" w:rsidRPr="00E05DB3" w:rsidRDefault="007841EB" w:rsidP="00AD79C5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>напоминает</w:t>
      </w:r>
      <w:r w:rsidRPr="00E05DB3">
        <w:rPr>
          <w:rFonts w:ascii="Arial" w:hAnsi="Arial" w:cs="Arial"/>
          <w:sz w:val="22"/>
          <w:szCs w:val="22"/>
          <w:lang w:val="ru-RU"/>
        </w:rPr>
        <w:t xml:space="preserve">, что Ассамблея МОК на своей 32-й сессии в резолюции А-32/4 одобрила обновленные Правила процедуры МОК, уже опубликованные в документе IOC/INF-1166 </w:t>
      </w:r>
      <w:proofErr w:type="spellStart"/>
      <w:r w:rsidRPr="00E05DB3">
        <w:rPr>
          <w:rFonts w:ascii="Arial" w:hAnsi="Arial" w:cs="Arial"/>
          <w:sz w:val="22"/>
          <w:szCs w:val="22"/>
          <w:lang w:val="ru-RU"/>
        </w:rPr>
        <w:t>Rev</w:t>
      </w:r>
      <w:proofErr w:type="spellEnd"/>
      <w:r w:rsidRPr="00E05DB3">
        <w:rPr>
          <w:rFonts w:ascii="Arial" w:hAnsi="Arial" w:cs="Arial"/>
          <w:sz w:val="22"/>
          <w:szCs w:val="22"/>
          <w:lang w:val="ru-RU"/>
        </w:rPr>
        <w:t xml:space="preserve">., и предложила Исполнительному секретарю МОК «подготовить в соответствии с Уставом и Правилами процедуры МОК рекомендации в поддержку подготовки государств-членов к выборам и участия в них, а также рассмотреть возможность проведения информационного совещания накануне голосования»; </w:t>
      </w:r>
    </w:p>
    <w:p w14:paraId="29CE4B80" w14:textId="77777777" w:rsidR="007841EB" w:rsidRPr="00E05DB3" w:rsidRDefault="007841EB" w:rsidP="00AD79C5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принимает к сведению, </w:t>
      </w:r>
      <w:r w:rsidRPr="00E05DB3">
        <w:rPr>
          <w:rFonts w:ascii="Arial" w:hAnsi="Arial" w:cs="Arial"/>
          <w:sz w:val="22"/>
          <w:szCs w:val="22"/>
          <w:lang w:val="ru-RU"/>
        </w:rPr>
        <w:t>что содержащаяся в документе IOC/EC-57/5.</w:t>
      </w:r>
      <w:proofErr w:type="gramStart"/>
      <w:r w:rsidRPr="00E05DB3">
        <w:rPr>
          <w:rFonts w:ascii="Arial" w:hAnsi="Arial" w:cs="Arial"/>
          <w:sz w:val="22"/>
          <w:szCs w:val="22"/>
          <w:lang w:val="ru-RU"/>
        </w:rPr>
        <w:t>3.Doc</w:t>
      </w:r>
      <w:proofErr w:type="gramEnd"/>
      <w:r w:rsidRPr="00E05DB3">
        <w:rPr>
          <w:rFonts w:ascii="Arial" w:hAnsi="Arial" w:cs="Arial"/>
          <w:sz w:val="22"/>
          <w:szCs w:val="22"/>
          <w:lang w:val="ru-RU"/>
        </w:rPr>
        <w:t xml:space="preserve">(1) информация была подготовлена для удобства государств-членов с целью осветить особенности выборов в МОК, в то время как полная информация содержится в Уставе и Правилах процедуры МОК, составляющих нормативную базу Комиссии; </w:t>
      </w:r>
    </w:p>
    <w:p w14:paraId="6A3340D1" w14:textId="77777777" w:rsidR="007841EB" w:rsidRPr="00E05DB3" w:rsidRDefault="007841EB" w:rsidP="00E05DB3">
      <w:pPr>
        <w:tabs>
          <w:tab w:val="clear" w:pos="709"/>
          <w:tab w:val="left" w:pos="567"/>
        </w:tabs>
        <w:snapToGrid w:val="0"/>
        <w:spacing w:after="240"/>
        <w:rPr>
          <w:rFonts w:ascii="Arial" w:eastAsia="Calibri" w:hAnsi="Arial" w:cs="Arial"/>
          <w:sz w:val="22"/>
          <w:szCs w:val="22"/>
          <w:lang w:val="ru-RU"/>
        </w:rPr>
      </w:pPr>
      <w:r w:rsidRPr="00E05DB3">
        <w:rPr>
          <w:rFonts w:ascii="Arial" w:hAnsi="Arial" w:cs="Arial"/>
          <w:b/>
          <w:bCs/>
          <w:sz w:val="22"/>
          <w:szCs w:val="22"/>
          <w:lang w:val="ru-RU"/>
        </w:rPr>
        <w:t xml:space="preserve">приветствует </w:t>
      </w:r>
      <w:r w:rsidRPr="00E05DB3">
        <w:rPr>
          <w:rFonts w:ascii="Arial" w:hAnsi="Arial" w:cs="Arial"/>
          <w:sz w:val="22"/>
          <w:szCs w:val="22"/>
          <w:lang w:val="ru-RU"/>
        </w:rPr>
        <w:t>подтверждение Исполнительного секретаря МОК относительно организации накануне 33-й сессии Ассамблеи МОК информационной сессии для содействия подготовке государств-членов.</w:t>
      </w:r>
    </w:p>
    <w:p w14:paraId="745AD067" w14:textId="77777777" w:rsidR="00D51B3C" w:rsidRPr="00E05DB3" w:rsidRDefault="00D51B3C" w:rsidP="00916AF9">
      <w:pPr>
        <w:pStyle w:val="ListParagraph"/>
        <w:snapToGrid w:val="0"/>
        <w:spacing w:after="240"/>
        <w:ind w:left="0"/>
        <w:contextualSpacing w:val="0"/>
        <w:rPr>
          <w:rFonts w:ascii="Arial" w:hAnsi="Arial" w:cs="Arial"/>
          <w:snapToGrid w:val="0"/>
          <w:sz w:val="22"/>
          <w:szCs w:val="22"/>
          <w:lang w:val="ru-RU"/>
        </w:rPr>
      </w:pPr>
    </w:p>
    <w:sectPr w:rsidR="00D51B3C" w:rsidRPr="00E05DB3" w:rsidSect="0025168C">
      <w:headerReference w:type="even" r:id="rId10"/>
      <w:headerReference w:type="default" r:id="rId11"/>
      <w:type w:val="oddPage"/>
      <w:pgSz w:w="11906" w:h="16838" w:code="9"/>
      <w:pgMar w:top="1418" w:right="1134" w:bottom="1134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F660D" w14:textId="77777777" w:rsidR="006E74CD" w:rsidRDefault="006E74CD">
      <w:r>
        <w:separator/>
      </w:r>
    </w:p>
  </w:endnote>
  <w:endnote w:type="continuationSeparator" w:id="0">
    <w:p w14:paraId="262DF130" w14:textId="77777777" w:rsidR="006E74CD" w:rsidRDefault="006E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696A3" w14:textId="77777777" w:rsidR="006E74CD" w:rsidRDefault="006E74CD">
      <w:r>
        <w:separator/>
      </w:r>
    </w:p>
  </w:footnote>
  <w:footnote w:type="continuationSeparator" w:id="0">
    <w:p w14:paraId="13288F6B" w14:textId="77777777" w:rsidR="006E74CD" w:rsidRDefault="006E74CD">
      <w:r>
        <w:continuationSeparator/>
      </w:r>
    </w:p>
  </w:footnote>
  <w:footnote w:id="1">
    <w:p w14:paraId="386D38D2" w14:textId="77777777" w:rsidR="002D234D" w:rsidRPr="00790AAF" w:rsidRDefault="002D234D" w:rsidP="002D234D">
      <w:pPr>
        <w:pStyle w:val="FootnoteText"/>
        <w:rPr>
          <w:rFonts w:asciiTheme="minorBidi" w:hAnsiTheme="minorBidi" w:cstheme="minorBidi"/>
          <w:lang w:val="ru-RU"/>
        </w:rPr>
      </w:pPr>
      <w:r w:rsidRPr="00790AAF">
        <w:rPr>
          <w:rStyle w:val="FootnoteReference"/>
          <w:rFonts w:asciiTheme="minorBidi" w:hAnsiTheme="minorBidi" w:cstheme="minorBidi"/>
        </w:rPr>
        <w:footnoteRef/>
      </w:r>
      <w:r w:rsidRPr="00790AAF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ab/>
      </w:r>
      <w:r w:rsidRPr="00790AAF">
        <w:rPr>
          <w:rFonts w:asciiTheme="minorBidi" w:hAnsiTheme="minorBidi" w:cstheme="minorBidi"/>
        </w:rPr>
        <w:t>https://oceanexpert.org/document/34098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16BF2" w14:textId="6931E00B" w:rsidR="003C767B" w:rsidRPr="000504B1" w:rsidRDefault="006A55A6" w:rsidP="00E42BA9">
    <w:pPr>
      <w:pStyle w:val="Header"/>
      <w:rPr>
        <w:rStyle w:val="PageNumber"/>
        <w:rFonts w:ascii="Arial" w:hAnsi="Arial" w:cs="Arial"/>
        <w:sz w:val="22"/>
        <w:szCs w:val="22"/>
        <w:lang w:val="fr-FR"/>
      </w:rPr>
    </w:pPr>
    <w:r w:rsidRPr="000504B1">
      <w:rPr>
        <w:rFonts w:ascii="Arial" w:hAnsi="Arial" w:cs="Arial"/>
        <w:sz w:val="22"/>
        <w:szCs w:val="22"/>
        <w:lang w:val="fr-FR"/>
      </w:rPr>
      <w:t>IOC/</w:t>
    </w:r>
    <w:r w:rsidR="009F71B5" w:rsidRPr="000504B1">
      <w:rPr>
        <w:rFonts w:ascii="Arial" w:hAnsi="Arial" w:cs="Arial"/>
        <w:sz w:val="22"/>
        <w:szCs w:val="22"/>
        <w:lang w:val="fr-FR"/>
      </w:rPr>
      <w:t>EC-5</w:t>
    </w:r>
    <w:r w:rsidR="00BC1E4D">
      <w:rPr>
        <w:rFonts w:ascii="Arial" w:hAnsi="Arial" w:cs="Arial"/>
        <w:sz w:val="22"/>
        <w:szCs w:val="22"/>
        <w:lang w:val="fr-FR"/>
      </w:rPr>
      <w:t>7</w:t>
    </w:r>
    <w:r w:rsidR="003C767B" w:rsidRPr="000504B1">
      <w:rPr>
        <w:rFonts w:ascii="Arial" w:hAnsi="Arial" w:cs="Arial"/>
        <w:sz w:val="22"/>
        <w:szCs w:val="22"/>
        <w:lang w:val="fr-FR"/>
      </w:rPr>
      <w:t>/</w:t>
    </w:r>
    <w:proofErr w:type="spellStart"/>
    <w:r w:rsidR="003C767B" w:rsidRPr="000504B1">
      <w:rPr>
        <w:rFonts w:ascii="Arial" w:hAnsi="Arial" w:cs="Arial"/>
        <w:sz w:val="22"/>
        <w:szCs w:val="22"/>
        <w:lang w:val="fr-FR"/>
      </w:rPr>
      <w:t>Decisions</w:t>
    </w:r>
    <w:proofErr w:type="spellEnd"/>
    <w:r w:rsidR="00E42BA9" w:rsidRPr="000504B1">
      <w:rPr>
        <w:rFonts w:ascii="Arial" w:hAnsi="Arial" w:cs="Arial"/>
        <w:sz w:val="22"/>
        <w:szCs w:val="22"/>
        <w:lang w:val="ru-RU"/>
      </w:rPr>
      <w:t xml:space="preserve"> – </w:t>
    </w:r>
    <w:r w:rsidR="003C767B" w:rsidRPr="000504B1">
      <w:rPr>
        <w:rFonts w:ascii="Arial" w:hAnsi="Arial" w:cs="Arial"/>
        <w:sz w:val="22"/>
        <w:szCs w:val="22"/>
        <w:lang w:val="fr-FR"/>
      </w:rPr>
      <w:t xml:space="preserve">page </w:t>
    </w:r>
    <w:r w:rsidR="003C767B" w:rsidRPr="000504B1">
      <w:rPr>
        <w:rStyle w:val="PageNumber"/>
        <w:rFonts w:ascii="Arial" w:hAnsi="Arial" w:cs="Arial"/>
        <w:sz w:val="22"/>
        <w:szCs w:val="22"/>
      </w:rPr>
      <w:fldChar w:fldCharType="begin"/>
    </w:r>
    <w:r w:rsidR="003C767B" w:rsidRPr="000504B1">
      <w:rPr>
        <w:rStyle w:val="PageNumber"/>
        <w:rFonts w:ascii="Arial" w:hAnsi="Arial" w:cs="Arial"/>
        <w:sz w:val="22"/>
        <w:szCs w:val="22"/>
        <w:lang w:val="fr-FR"/>
      </w:rPr>
      <w:instrText xml:space="preserve"> PAGE </w:instrText>
    </w:r>
    <w:r w:rsidR="003C767B" w:rsidRPr="000504B1">
      <w:rPr>
        <w:rStyle w:val="PageNumber"/>
        <w:rFonts w:ascii="Arial" w:hAnsi="Arial" w:cs="Arial"/>
        <w:sz w:val="22"/>
        <w:szCs w:val="22"/>
      </w:rPr>
      <w:fldChar w:fldCharType="separate"/>
    </w:r>
    <w:r w:rsidR="00EF0473" w:rsidRPr="000504B1">
      <w:rPr>
        <w:rStyle w:val="PageNumber"/>
        <w:rFonts w:ascii="Arial" w:hAnsi="Arial" w:cs="Arial"/>
        <w:noProof/>
        <w:sz w:val="22"/>
        <w:szCs w:val="22"/>
        <w:lang w:val="fr-FR"/>
      </w:rPr>
      <w:t>2</w:t>
    </w:r>
    <w:r w:rsidR="003C767B" w:rsidRPr="000504B1">
      <w:rPr>
        <w:rStyle w:val="PageNumber"/>
        <w:rFonts w:ascii="Arial" w:hAnsi="Arial" w:cs="Arial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9B376" w14:textId="240FC12C" w:rsidR="003C767B" w:rsidRPr="000504B1" w:rsidRDefault="006A55A6" w:rsidP="00F320EA">
    <w:pPr>
      <w:pStyle w:val="Header"/>
      <w:tabs>
        <w:tab w:val="clear" w:pos="8306"/>
      </w:tabs>
      <w:jc w:val="right"/>
      <w:rPr>
        <w:rFonts w:ascii="Arial" w:hAnsi="Arial" w:cs="Arial"/>
        <w:sz w:val="22"/>
        <w:szCs w:val="22"/>
        <w:lang w:val="fr-FR"/>
      </w:rPr>
    </w:pPr>
    <w:r w:rsidRPr="000504B1">
      <w:rPr>
        <w:rFonts w:ascii="Arial" w:hAnsi="Arial" w:cs="Arial"/>
        <w:sz w:val="22"/>
        <w:szCs w:val="22"/>
        <w:lang w:val="fr-FR"/>
      </w:rPr>
      <w:t>IOC/</w:t>
    </w:r>
    <w:r w:rsidR="009F71B5" w:rsidRPr="000504B1">
      <w:rPr>
        <w:rFonts w:ascii="Arial" w:hAnsi="Arial" w:cs="Arial"/>
        <w:sz w:val="22"/>
        <w:szCs w:val="22"/>
        <w:lang w:val="fr-FR"/>
      </w:rPr>
      <w:t>EC-5</w:t>
    </w:r>
    <w:r w:rsidR="00BC1E4D">
      <w:rPr>
        <w:rFonts w:ascii="Arial" w:hAnsi="Arial" w:cs="Arial"/>
        <w:sz w:val="22"/>
        <w:szCs w:val="22"/>
        <w:lang w:val="fr-FR"/>
      </w:rPr>
      <w:t>7</w:t>
    </w:r>
    <w:r w:rsidR="003C767B" w:rsidRPr="000504B1">
      <w:rPr>
        <w:rFonts w:ascii="Arial" w:hAnsi="Arial" w:cs="Arial"/>
        <w:sz w:val="22"/>
        <w:szCs w:val="22"/>
        <w:lang w:val="fr-FR"/>
      </w:rPr>
      <w:t>/</w:t>
    </w:r>
    <w:proofErr w:type="spellStart"/>
    <w:r w:rsidR="003C767B" w:rsidRPr="000504B1">
      <w:rPr>
        <w:rFonts w:ascii="Arial" w:hAnsi="Arial" w:cs="Arial"/>
        <w:sz w:val="22"/>
        <w:szCs w:val="22"/>
        <w:lang w:val="fr-FR"/>
      </w:rPr>
      <w:t>Decisions</w:t>
    </w:r>
    <w:proofErr w:type="spellEnd"/>
    <w:r w:rsidR="00E42BA9" w:rsidRPr="000504B1">
      <w:rPr>
        <w:rFonts w:ascii="Arial" w:hAnsi="Arial" w:cs="Arial"/>
        <w:sz w:val="22"/>
        <w:szCs w:val="22"/>
        <w:lang w:val="ru-RU"/>
      </w:rPr>
      <w:t xml:space="preserve"> – </w:t>
    </w:r>
    <w:r w:rsidR="003C767B" w:rsidRPr="000504B1">
      <w:rPr>
        <w:rFonts w:ascii="Arial" w:hAnsi="Arial" w:cs="Arial"/>
        <w:sz w:val="22"/>
        <w:szCs w:val="22"/>
        <w:lang w:val="fr-FR"/>
      </w:rPr>
      <w:t xml:space="preserve">page </w:t>
    </w:r>
    <w:r w:rsidR="003C767B" w:rsidRPr="000504B1">
      <w:rPr>
        <w:rFonts w:ascii="Arial" w:hAnsi="Arial" w:cs="Arial"/>
        <w:sz w:val="22"/>
        <w:szCs w:val="22"/>
        <w:lang w:val="en-US"/>
      </w:rPr>
      <w:fldChar w:fldCharType="begin"/>
    </w:r>
    <w:r w:rsidR="003C767B" w:rsidRPr="000504B1">
      <w:rPr>
        <w:rFonts w:ascii="Arial" w:hAnsi="Arial" w:cs="Arial"/>
        <w:sz w:val="22"/>
        <w:szCs w:val="22"/>
        <w:lang w:val="fr-FR"/>
      </w:rPr>
      <w:instrText xml:space="preserve"> PAGE </w:instrText>
    </w:r>
    <w:r w:rsidR="003C767B" w:rsidRPr="000504B1">
      <w:rPr>
        <w:rFonts w:ascii="Arial" w:hAnsi="Arial" w:cs="Arial"/>
        <w:sz w:val="22"/>
        <w:szCs w:val="22"/>
        <w:lang w:val="en-US"/>
      </w:rPr>
      <w:fldChar w:fldCharType="separate"/>
    </w:r>
    <w:r w:rsidR="00EF0473" w:rsidRPr="000504B1">
      <w:rPr>
        <w:rFonts w:ascii="Arial" w:hAnsi="Arial" w:cs="Arial"/>
        <w:noProof/>
        <w:sz w:val="22"/>
        <w:szCs w:val="22"/>
        <w:lang w:val="fr-FR"/>
      </w:rPr>
      <w:t>3</w:t>
    </w:r>
    <w:r w:rsidR="003C767B" w:rsidRPr="000504B1">
      <w:rPr>
        <w:rFonts w:ascii="Arial" w:hAnsi="Arial" w:cs="Arial"/>
        <w:sz w:val="22"/>
        <w:szCs w:val="22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5113"/>
    <w:multiLevelType w:val="hybridMultilevel"/>
    <w:tmpl w:val="0038DA22"/>
    <w:lvl w:ilvl="0" w:tplc="8DAEB51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2CF1"/>
    <w:multiLevelType w:val="hybridMultilevel"/>
    <w:tmpl w:val="83446436"/>
    <w:lvl w:ilvl="0" w:tplc="D14262E4">
      <w:start w:val="1"/>
      <w:numFmt w:val="lowerRoman"/>
      <w:lvlText w:val="(%1)"/>
      <w:lvlJc w:val="left"/>
      <w:pPr>
        <w:ind w:left="1211" w:hanging="360"/>
      </w:pPr>
      <w:rPr>
        <w:rFonts w:hint="default"/>
        <w:i w:val="0"/>
        <w:iCs w:val="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A61CBD"/>
    <w:multiLevelType w:val="hybridMultilevel"/>
    <w:tmpl w:val="1D50FD34"/>
    <w:lvl w:ilvl="0" w:tplc="57640FDA">
      <w:start w:val="1"/>
      <w:numFmt w:val="decimal"/>
      <w:pStyle w:val="paragraphnumerote"/>
      <w:lvlText w:val="%1."/>
      <w:lvlJc w:val="left"/>
      <w:pPr>
        <w:tabs>
          <w:tab w:val="num" w:pos="1400"/>
        </w:tabs>
        <w:ind w:left="720" w:hanging="720"/>
      </w:pPr>
      <w:rPr>
        <w:rFonts w:ascii="Arial" w:hAnsi="Arial" w:hint="default"/>
        <w:b w:val="0"/>
        <w:i/>
        <w:sz w:val="20"/>
        <w:szCs w:val="20"/>
      </w:rPr>
    </w:lvl>
    <w:lvl w:ilvl="1" w:tplc="4B60152C">
      <w:start w:val="1"/>
      <w:numFmt w:val="bullet"/>
      <w:lvlText w:val="─"/>
      <w:lvlJc w:val="left"/>
      <w:pPr>
        <w:tabs>
          <w:tab w:val="num" w:pos="1440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8444C"/>
    <w:multiLevelType w:val="hybridMultilevel"/>
    <w:tmpl w:val="467EA122"/>
    <w:lvl w:ilvl="0" w:tplc="A9EE86A6">
      <w:start w:val="1"/>
      <w:numFmt w:val="lowerRoman"/>
      <w:lvlText w:val="(%1)"/>
      <w:lvlJc w:val="left"/>
      <w:pPr>
        <w:ind w:left="720" w:hanging="360"/>
      </w:pPr>
      <w:rPr>
        <w:rFonts w:hint="default"/>
        <w:u w:val="none"/>
      </w:rPr>
    </w:lvl>
    <w:lvl w:ilvl="1" w:tplc="B9407214" w:tentative="1">
      <w:start w:val="1"/>
      <w:numFmt w:val="lowerLetter"/>
      <w:lvlText w:val="%2."/>
      <w:lvlJc w:val="left"/>
      <w:pPr>
        <w:ind w:left="1440" w:hanging="360"/>
      </w:pPr>
    </w:lvl>
    <w:lvl w:ilvl="2" w:tplc="0A20D3D6" w:tentative="1">
      <w:start w:val="1"/>
      <w:numFmt w:val="lowerRoman"/>
      <w:lvlText w:val="%3."/>
      <w:lvlJc w:val="right"/>
      <w:pPr>
        <w:ind w:left="2160" w:hanging="180"/>
      </w:pPr>
    </w:lvl>
    <w:lvl w:ilvl="3" w:tplc="7946175A" w:tentative="1">
      <w:start w:val="1"/>
      <w:numFmt w:val="decimal"/>
      <w:lvlText w:val="%4."/>
      <w:lvlJc w:val="left"/>
      <w:pPr>
        <w:ind w:left="2880" w:hanging="360"/>
      </w:pPr>
    </w:lvl>
    <w:lvl w:ilvl="4" w:tplc="575AA162" w:tentative="1">
      <w:start w:val="1"/>
      <w:numFmt w:val="lowerLetter"/>
      <w:lvlText w:val="%5."/>
      <w:lvlJc w:val="left"/>
      <w:pPr>
        <w:ind w:left="3600" w:hanging="360"/>
      </w:pPr>
    </w:lvl>
    <w:lvl w:ilvl="5" w:tplc="AE629752" w:tentative="1">
      <w:start w:val="1"/>
      <w:numFmt w:val="lowerRoman"/>
      <w:lvlText w:val="%6."/>
      <w:lvlJc w:val="right"/>
      <w:pPr>
        <w:ind w:left="4320" w:hanging="180"/>
      </w:pPr>
    </w:lvl>
    <w:lvl w:ilvl="6" w:tplc="C3A08A3E" w:tentative="1">
      <w:start w:val="1"/>
      <w:numFmt w:val="decimal"/>
      <w:lvlText w:val="%7."/>
      <w:lvlJc w:val="left"/>
      <w:pPr>
        <w:ind w:left="5040" w:hanging="360"/>
      </w:pPr>
    </w:lvl>
    <w:lvl w:ilvl="7" w:tplc="ED36E2E0" w:tentative="1">
      <w:start w:val="1"/>
      <w:numFmt w:val="lowerLetter"/>
      <w:lvlText w:val="%8."/>
      <w:lvlJc w:val="left"/>
      <w:pPr>
        <w:ind w:left="5760" w:hanging="360"/>
      </w:pPr>
    </w:lvl>
    <w:lvl w:ilvl="8" w:tplc="53FA1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808C7"/>
    <w:multiLevelType w:val="hybridMultilevel"/>
    <w:tmpl w:val="B5DC4090"/>
    <w:lvl w:ilvl="0" w:tplc="040C001B">
      <w:start w:val="1"/>
      <w:numFmt w:val="lowerRoman"/>
      <w:lvlText w:val="%1."/>
      <w:lvlJc w:val="righ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DD7294"/>
    <w:multiLevelType w:val="hybridMultilevel"/>
    <w:tmpl w:val="B7C828BE"/>
    <w:lvl w:ilvl="0" w:tplc="36C44FD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Times" w:hint="default"/>
      </w:rPr>
    </w:lvl>
    <w:lvl w:ilvl="1" w:tplc="B4FA49B0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39F84B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C636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3305F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C275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716101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6E09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DC3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BE74D92"/>
    <w:multiLevelType w:val="hybridMultilevel"/>
    <w:tmpl w:val="A196758C"/>
    <w:lvl w:ilvl="0" w:tplc="0950C402">
      <w:start w:val="1"/>
      <w:numFmt w:val="lowerRoman"/>
      <w:lvlText w:val="(%1)"/>
      <w:lvlJc w:val="left"/>
      <w:pPr>
        <w:ind w:left="87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0E6F7C14"/>
    <w:multiLevelType w:val="hybridMultilevel"/>
    <w:tmpl w:val="C2C0BF74"/>
    <w:lvl w:ilvl="0" w:tplc="04090013">
      <w:start w:val="1"/>
      <w:numFmt w:val="upperRoman"/>
      <w:lvlText w:val="%1."/>
      <w:lvlJc w:val="righ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01E0B75"/>
    <w:multiLevelType w:val="hybridMultilevel"/>
    <w:tmpl w:val="13AE5402"/>
    <w:lvl w:ilvl="0" w:tplc="7666A476">
      <w:start w:val="1"/>
      <w:numFmt w:val="lowerRoman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1" w:tplc="B852D60E" w:tentative="1">
      <w:start w:val="1"/>
      <w:numFmt w:val="lowerLetter"/>
      <w:lvlText w:val="%2."/>
      <w:lvlJc w:val="left"/>
      <w:pPr>
        <w:ind w:left="1440" w:hanging="360"/>
      </w:pPr>
    </w:lvl>
    <w:lvl w:ilvl="2" w:tplc="88C0CC2A" w:tentative="1">
      <w:start w:val="1"/>
      <w:numFmt w:val="lowerRoman"/>
      <w:lvlText w:val="%3."/>
      <w:lvlJc w:val="right"/>
      <w:pPr>
        <w:ind w:left="2160" w:hanging="180"/>
      </w:pPr>
    </w:lvl>
    <w:lvl w:ilvl="3" w:tplc="1DD4A932" w:tentative="1">
      <w:start w:val="1"/>
      <w:numFmt w:val="decimal"/>
      <w:lvlText w:val="%4."/>
      <w:lvlJc w:val="left"/>
      <w:pPr>
        <w:ind w:left="2880" w:hanging="360"/>
      </w:pPr>
    </w:lvl>
    <w:lvl w:ilvl="4" w:tplc="83A6DEF4" w:tentative="1">
      <w:start w:val="1"/>
      <w:numFmt w:val="lowerLetter"/>
      <w:lvlText w:val="%5."/>
      <w:lvlJc w:val="left"/>
      <w:pPr>
        <w:ind w:left="3600" w:hanging="360"/>
      </w:pPr>
    </w:lvl>
    <w:lvl w:ilvl="5" w:tplc="CC403262" w:tentative="1">
      <w:start w:val="1"/>
      <w:numFmt w:val="lowerRoman"/>
      <w:lvlText w:val="%6."/>
      <w:lvlJc w:val="right"/>
      <w:pPr>
        <w:ind w:left="4320" w:hanging="180"/>
      </w:pPr>
    </w:lvl>
    <w:lvl w:ilvl="6" w:tplc="606C7A7C" w:tentative="1">
      <w:start w:val="1"/>
      <w:numFmt w:val="decimal"/>
      <w:lvlText w:val="%7."/>
      <w:lvlJc w:val="left"/>
      <w:pPr>
        <w:ind w:left="5040" w:hanging="360"/>
      </w:pPr>
    </w:lvl>
    <w:lvl w:ilvl="7" w:tplc="4800A730" w:tentative="1">
      <w:start w:val="1"/>
      <w:numFmt w:val="lowerLetter"/>
      <w:lvlText w:val="%8."/>
      <w:lvlJc w:val="left"/>
      <w:pPr>
        <w:ind w:left="5760" w:hanging="360"/>
      </w:pPr>
    </w:lvl>
    <w:lvl w:ilvl="8" w:tplc="4CCC9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6666E"/>
    <w:multiLevelType w:val="hybridMultilevel"/>
    <w:tmpl w:val="23BEAF14"/>
    <w:lvl w:ilvl="0" w:tplc="07360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D03E2"/>
    <w:multiLevelType w:val="hybridMultilevel"/>
    <w:tmpl w:val="648EF9CE"/>
    <w:lvl w:ilvl="0" w:tplc="DD860B9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73FB1"/>
    <w:multiLevelType w:val="hybridMultilevel"/>
    <w:tmpl w:val="B796A9B0"/>
    <w:lvl w:ilvl="0" w:tplc="040C000F">
      <w:start w:val="1"/>
      <w:numFmt w:val="decimal"/>
      <w:lvlText w:val="%1."/>
      <w:lvlJc w:val="left"/>
      <w:pPr>
        <w:ind w:left="1287" w:hanging="360"/>
      </w:pPr>
      <w:rPr>
        <w:rFonts w:hint="default"/>
        <w:sz w:val="22"/>
        <w:szCs w:val="22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2A83F8A"/>
    <w:multiLevelType w:val="hybridMultilevel"/>
    <w:tmpl w:val="F3464990"/>
    <w:lvl w:ilvl="0" w:tplc="DC08984A">
      <w:start w:val="1"/>
      <w:numFmt w:val="lowerLetter"/>
      <w:lvlText w:val="(%1)"/>
      <w:lvlJc w:val="left"/>
      <w:pPr>
        <w:ind w:left="15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47" w:hanging="360"/>
      </w:pPr>
    </w:lvl>
    <w:lvl w:ilvl="2" w:tplc="0409001B" w:tentative="1">
      <w:start w:val="1"/>
      <w:numFmt w:val="lowerRoman"/>
      <w:lvlText w:val="%3."/>
      <w:lvlJc w:val="right"/>
      <w:pPr>
        <w:ind w:left="2967" w:hanging="180"/>
      </w:pPr>
    </w:lvl>
    <w:lvl w:ilvl="3" w:tplc="0409000F" w:tentative="1">
      <w:start w:val="1"/>
      <w:numFmt w:val="decimal"/>
      <w:lvlText w:val="%4."/>
      <w:lvlJc w:val="left"/>
      <w:pPr>
        <w:ind w:left="3687" w:hanging="360"/>
      </w:pPr>
    </w:lvl>
    <w:lvl w:ilvl="4" w:tplc="04090019" w:tentative="1">
      <w:start w:val="1"/>
      <w:numFmt w:val="lowerLetter"/>
      <w:lvlText w:val="%5."/>
      <w:lvlJc w:val="left"/>
      <w:pPr>
        <w:ind w:left="4407" w:hanging="360"/>
      </w:pPr>
    </w:lvl>
    <w:lvl w:ilvl="5" w:tplc="0409001B" w:tentative="1">
      <w:start w:val="1"/>
      <w:numFmt w:val="lowerRoman"/>
      <w:lvlText w:val="%6."/>
      <w:lvlJc w:val="right"/>
      <w:pPr>
        <w:ind w:left="5127" w:hanging="180"/>
      </w:pPr>
    </w:lvl>
    <w:lvl w:ilvl="6" w:tplc="0409000F" w:tentative="1">
      <w:start w:val="1"/>
      <w:numFmt w:val="decimal"/>
      <w:lvlText w:val="%7."/>
      <w:lvlJc w:val="left"/>
      <w:pPr>
        <w:ind w:left="5847" w:hanging="360"/>
      </w:pPr>
    </w:lvl>
    <w:lvl w:ilvl="7" w:tplc="04090019" w:tentative="1">
      <w:start w:val="1"/>
      <w:numFmt w:val="lowerLetter"/>
      <w:lvlText w:val="%8."/>
      <w:lvlJc w:val="left"/>
      <w:pPr>
        <w:ind w:left="6567" w:hanging="360"/>
      </w:pPr>
    </w:lvl>
    <w:lvl w:ilvl="8" w:tplc="040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13" w15:restartNumberingAfterBreak="0">
    <w:nsid w:val="231B7287"/>
    <w:multiLevelType w:val="hybridMultilevel"/>
    <w:tmpl w:val="0840F158"/>
    <w:lvl w:ilvl="0" w:tplc="6AEA1A20">
      <w:start w:val="1"/>
      <w:numFmt w:val="lowerRoman"/>
      <w:lvlText w:val="(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szCs w:val="22"/>
        <w:u w:val="none"/>
        <w:vertAlign w:val="baseline"/>
      </w:rPr>
    </w:lvl>
    <w:lvl w:ilvl="1" w:tplc="0D164264" w:tentative="1">
      <w:start w:val="1"/>
      <w:numFmt w:val="lowerLetter"/>
      <w:lvlText w:val="%2."/>
      <w:lvlJc w:val="left"/>
      <w:pPr>
        <w:ind w:left="1440" w:hanging="360"/>
      </w:pPr>
    </w:lvl>
    <w:lvl w:ilvl="2" w:tplc="7F8EF9EC" w:tentative="1">
      <w:start w:val="1"/>
      <w:numFmt w:val="lowerRoman"/>
      <w:lvlText w:val="%3."/>
      <w:lvlJc w:val="right"/>
      <w:pPr>
        <w:ind w:left="2160" w:hanging="180"/>
      </w:pPr>
    </w:lvl>
    <w:lvl w:ilvl="3" w:tplc="60503F64" w:tentative="1">
      <w:start w:val="1"/>
      <w:numFmt w:val="decimal"/>
      <w:lvlText w:val="%4."/>
      <w:lvlJc w:val="left"/>
      <w:pPr>
        <w:ind w:left="2880" w:hanging="360"/>
      </w:pPr>
    </w:lvl>
    <w:lvl w:ilvl="4" w:tplc="3D94CE16" w:tentative="1">
      <w:start w:val="1"/>
      <w:numFmt w:val="lowerLetter"/>
      <w:lvlText w:val="%5."/>
      <w:lvlJc w:val="left"/>
      <w:pPr>
        <w:ind w:left="3600" w:hanging="360"/>
      </w:pPr>
    </w:lvl>
    <w:lvl w:ilvl="5" w:tplc="9BA810CE" w:tentative="1">
      <w:start w:val="1"/>
      <w:numFmt w:val="lowerRoman"/>
      <w:lvlText w:val="%6."/>
      <w:lvlJc w:val="right"/>
      <w:pPr>
        <w:ind w:left="4320" w:hanging="180"/>
      </w:pPr>
    </w:lvl>
    <w:lvl w:ilvl="6" w:tplc="078273DC" w:tentative="1">
      <w:start w:val="1"/>
      <w:numFmt w:val="decimal"/>
      <w:lvlText w:val="%7."/>
      <w:lvlJc w:val="left"/>
      <w:pPr>
        <w:ind w:left="5040" w:hanging="360"/>
      </w:pPr>
    </w:lvl>
    <w:lvl w:ilvl="7" w:tplc="3E9EA95E" w:tentative="1">
      <w:start w:val="1"/>
      <w:numFmt w:val="lowerLetter"/>
      <w:lvlText w:val="%8."/>
      <w:lvlJc w:val="left"/>
      <w:pPr>
        <w:ind w:left="5760" w:hanging="360"/>
      </w:pPr>
    </w:lvl>
    <w:lvl w:ilvl="8" w:tplc="0B68F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C32A7"/>
    <w:multiLevelType w:val="hybridMultilevel"/>
    <w:tmpl w:val="C7D25FDA"/>
    <w:lvl w:ilvl="0" w:tplc="0950C40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B4963"/>
    <w:multiLevelType w:val="hybridMultilevel"/>
    <w:tmpl w:val="BE207F0A"/>
    <w:lvl w:ilvl="0" w:tplc="05583D68">
      <w:start w:val="9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8DAEB51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66F4A"/>
    <w:multiLevelType w:val="hybridMultilevel"/>
    <w:tmpl w:val="A04C0A98"/>
    <w:lvl w:ilvl="0" w:tplc="DD860B9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123C2"/>
    <w:multiLevelType w:val="hybridMultilevel"/>
    <w:tmpl w:val="15745668"/>
    <w:lvl w:ilvl="0" w:tplc="624C784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D618F02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AFA3AE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8C4CACF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E1A2F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9C40D2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1B0ABA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F14B716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150BA2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DCA57C1"/>
    <w:multiLevelType w:val="hybridMultilevel"/>
    <w:tmpl w:val="C2026D46"/>
    <w:lvl w:ilvl="0" w:tplc="13FE71C0">
      <w:start w:val="1"/>
      <w:numFmt w:val="decimal"/>
      <w:pStyle w:val="num-paragraph"/>
      <w:lvlText w:val="%1."/>
      <w:lvlJc w:val="left"/>
      <w:pPr>
        <w:ind w:left="720" w:hanging="360"/>
      </w:pPr>
      <w:rPr>
        <w:rFonts w:ascii="Arial" w:hAnsi="Arial" w:cs="Arial" w:hint="default"/>
        <w:b w:val="0"/>
        <w:i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41017"/>
    <w:multiLevelType w:val="hybridMultilevel"/>
    <w:tmpl w:val="EEFA7952"/>
    <w:lvl w:ilvl="0" w:tplc="665E9F4E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b w:val="0"/>
        <w:bCs/>
        <w:i/>
        <w:color w:val="000000"/>
      </w:rPr>
    </w:lvl>
    <w:lvl w:ilvl="1" w:tplc="A9BC0BD8">
      <w:start w:val="1"/>
      <w:numFmt w:val="lowerRoman"/>
      <w:lvlText w:val="%2)"/>
      <w:lvlJc w:val="left"/>
      <w:pPr>
        <w:ind w:left="1188" w:hanging="103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34712019"/>
    <w:multiLevelType w:val="hybridMultilevel"/>
    <w:tmpl w:val="DE48F05E"/>
    <w:lvl w:ilvl="0" w:tplc="DD860B94">
      <w:start w:val="1"/>
      <w:numFmt w:val="lowerRoman"/>
      <w:lvlText w:val="(%1)"/>
      <w:lvlJc w:val="left"/>
      <w:pPr>
        <w:ind w:left="2204" w:hanging="360"/>
      </w:pPr>
      <w:rPr>
        <w:rFonts w:ascii="Arial" w:eastAsia="Times New Roman" w:hAnsi="Arial" w:cs="Arial"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06007"/>
    <w:multiLevelType w:val="hybridMultilevel"/>
    <w:tmpl w:val="0C9863F0"/>
    <w:lvl w:ilvl="0" w:tplc="8B943264">
      <w:start w:val="1"/>
      <w:numFmt w:val="decimal"/>
      <w:lvlText w:val="%1."/>
      <w:lvlJc w:val="left"/>
      <w:pPr>
        <w:ind w:left="2204" w:hanging="360"/>
      </w:pPr>
      <w:rPr>
        <w:rFonts w:eastAsia="Calibri"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E03E8"/>
    <w:multiLevelType w:val="hybridMultilevel"/>
    <w:tmpl w:val="2C5ADF48"/>
    <w:lvl w:ilvl="0" w:tplc="0950C402">
      <w:start w:val="1"/>
      <w:numFmt w:val="lowerRoman"/>
      <w:lvlText w:val="(%1)"/>
      <w:lvlJc w:val="left"/>
      <w:pPr>
        <w:ind w:left="87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3" w15:restartNumberingAfterBreak="0">
    <w:nsid w:val="3D9654EF"/>
    <w:multiLevelType w:val="hybridMultilevel"/>
    <w:tmpl w:val="4A66B832"/>
    <w:lvl w:ilvl="0" w:tplc="0BA8889C">
      <w:start w:val="100"/>
      <w:numFmt w:val="lowerRoman"/>
      <w:lvlText w:val="(%1)"/>
      <w:lvlJc w:val="left"/>
      <w:pPr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40485BFE"/>
    <w:multiLevelType w:val="hybridMultilevel"/>
    <w:tmpl w:val="83446436"/>
    <w:lvl w:ilvl="0" w:tplc="D14262E4">
      <w:start w:val="1"/>
      <w:numFmt w:val="lowerRoman"/>
      <w:lvlText w:val="(%1)"/>
      <w:lvlJc w:val="left"/>
      <w:pPr>
        <w:ind w:left="1211" w:hanging="360"/>
      </w:pPr>
      <w:rPr>
        <w:rFonts w:hint="default"/>
        <w:i w:val="0"/>
        <w:iCs w:val="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2FA309E"/>
    <w:multiLevelType w:val="hybridMultilevel"/>
    <w:tmpl w:val="7C96EAE6"/>
    <w:lvl w:ilvl="0" w:tplc="0AFE1EC2">
      <w:start w:val="1"/>
      <w:numFmt w:val="decimal"/>
      <w:lvlText w:val="%1."/>
      <w:lvlJc w:val="left"/>
      <w:pPr>
        <w:ind w:left="720" w:hanging="360"/>
      </w:pPr>
      <w:rPr>
        <w:rFonts w:asciiTheme="minorBidi" w:eastAsia="Calibri" w:hAnsiTheme="minorBidi" w:cstheme="minorBidi" w:hint="default"/>
        <w:u w:val="none"/>
      </w:rPr>
    </w:lvl>
    <w:lvl w:ilvl="1" w:tplc="B106C4F0" w:tentative="1">
      <w:start w:val="1"/>
      <w:numFmt w:val="lowerLetter"/>
      <w:lvlText w:val="%2."/>
      <w:lvlJc w:val="left"/>
      <w:pPr>
        <w:ind w:left="1440" w:hanging="360"/>
      </w:pPr>
    </w:lvl>
    <w:lvl w:ilvl="2" w:tplc="AB767C32" w:tentative="1">
      <w:start w:val="1"/>
      <w:numFmt w:val="lowerRoman"/>
      <w:lvlText w:val="%3."/>
      <w:lvlJc w:val="right"/>
      <w:pPr>
        <w:ind w:left="2160" w:hanging="180"/>
      </w:pPr>
    </w:lvl>
    <w:lvl w:ilvl="3" w:tplc="07E65812" w:tentative="1">
      <w:start w:val="1"/>
      <w:numFmt w:val="decimal"/>
      <w:lvlText w:val="%4."/>
      <w:lvlJc w:val="left"/>
      <w:pPr>
        <w:ind w:left="2880" w:hanging="360"/>
      </w:pPr>
    </w:lvl>
    <w:lvl w:ilvl="4" w:tplc="10FABA28" w:tentative="1">
      <w:start w:val="1"/>
      <w:numFmt w:val="lowerLetter"/>
      <w:lvlText w:val="%5."/>
      <w:lvlJc w:val="left"/>
      <w:pPr>
        <w:ind w:left="3600" w:hanging="360"/>
      </w:pPr>
    </w:lvl>
    <w:lvl w:ilvl="5" w:tplc="4378BEA4" w:tentative="1">
      <w:start w:val="1"/>
      <w:numFmt w:val="lowerRoman"/>
      <w:lvlText w:val="%6."/>
      <w:lvlJc w:val="right"/>
      <w:pPr>
        <w:ind w:left="4320" w:hanging="180"/>
      </w:pPr>
    </w:lvl>
    <w:lvl w:ilvl="6" w:tplc="4A0C26A0" w:tentative="1">
      <w:start w:val="1"/>
      <w:numFmt w:val="decimal"/>
      <w:lvlText w:val="%7."/>
      <w:lvlJc w:val="left"/>
      <w:pPr>
        <w:ind w:left="5040" w:hanging="360"/>
      </w:pPr>
    </w:lvl>
    <w:lvl w:ilvl="7" w:tplc="236A21D8" w:tentative="1">
      <w:start w:val="1"/>
      <w:numFmt w:val="lowerLetter"/>
      <w:lvlText w:val="%8."/>
      <w:lvlJc w:val="left"/>
      <w:pPr>
        <w:ind w:left="5760" w:hanging="360"/>
      </w:pPr>
    </w:lvl>
    <w:lvl w:ilvl="8" w:tplc="B044D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F1D2C"/>
    <w:multiLevelType w:val="hybridMultilevel"/>
    <w:tmpl w:val="EE6C2D82"/>
    <w:lvl w:ilvl="0" w:tplc="237CD3F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0C856B9"/>
    <w:multiLevelType w:val="hybridMultilevel"/>
    <w:tmpl w:val="2B468D1C"/>
    <w:lvl w:ilvl="0" w:tplc="36C44FD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Times" w:hint="default"/>
      </w:rPr>
    </w:lvl>
    <w:lvl w:ilvl="1" w:tplc="27B0E49C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74E0A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A04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4033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FF873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5CB8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F1ECB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91E9F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442421D"/>
    <w:multiLevelType w:val="hybridMultilevel"/>
    <w:tmpl w:val="7F9E4D46"/>
    <w:lvl w:ilvl="0" w:tplc="C53ABE7A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8063788"/>
    <w:multiLevelType w:val="hybridMultilevel"/>
    <w:tmpl w:val="369692A8"/>
    <w:lvl w:ilvl="0" w:tplc="0950C40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01F5A"/>
    <w:multiLevelType w:val="hybridMultilevel"/>
    <w:tmpl w:val="2208E86A"/>
    <w:lvl w:ilvl="0" w:tplc="5A96C90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45262C76">
      <w:start w:val="1"/>
      <w:numFmt w:val="lowerLetter"/>
      <w:lvlText w:val="%2."/>
      <w:lvlJc w:val="left"/>
      <w:pPr>
        <w:ind w:left="1440" w:hanging="360"/>
      </w:pPr>
    </w:lvl>
    <w:lvl w:ilvl="2" w:tplc="184C8394" w:tentative="1">
      <w:start w:val="1"/>
      <w:numFmt w:val="lowerRoman"/>
      <w:lvlText w:val="%3."/>
      <w:lvlJc w:val="right"/>
      <w:pPr>
        <w:ind w:left="2160" w:hanging="180"/>
      </w:pPr>
    </w:lvl>
    <w:lvl w:ilvl="3" w:tplc="5A284B9A" w:tentative="1">
      <w:start w:val="1"/>
      <w:numFmt w:val="decimal"/>
      <w:lvlText w:val="%4."/>
      <w:lvlJc w:val="left"/>
      <w:pPr>
        <w:ind w:left="2880" w:hanging="360"/>
      </w:pPr>
    </w:lvl>
    <w:lvl w:ilvl="4" w:tplc="A5F05D88" w:tentative="1">
      <w:start w:val="1"/>
      <w:numFmt w:val="lowerLetter"/>
      <w:lvlText w:val="%5."/>
      <w:lvlJc w:val="left"/>
      <w:pPr>
        <w:ind w:left="3600" w:hanging="360"/>
      </w:pPr>
    </w:lvl>
    <w:lvl w:ilvl="5" w:tplc="BD4A404A" w:tentative="1">
      <w:start w:val="1"/>
      <w:numFmt w:val="lowerRoman"/>
      <w:lvlText w:val="%6."/>
      <w:lvlJc w:val="right"/>
      <w:pPr>
        <w:ind w:left="4320" w:hanging="180"/>
      </w:pPr>
    </w:lvl>
    <w:lvl w:ilvl="6" w:tplc="B4F222DC" w:tentative="1">
      <w:start w:val="1"/>
      <w:numFmt w:val="decimal"/>
      <w:lvlText w:val="%7."/>
      <w:lvlJc w:val="left"/>
      <w:pPr>
        <w:ind w:left="5040" w:hanging="360"/>
      </w:pPr>
    </w:lvl>
    <w:lvl w:ilvl="7" w:tplc="C914B18C" w:tentative="1">
      <w:start w:val="1"/>
      <w:numFmt w:val="lowerLetter"/>
      <w:lvlText w:val="%8."/>
      <w:lvlJc w:val="left"/>
      <w:pPr>
        <w:ind w:left="5760" w:hanging="360"/>
      </w:pPr>
    </w:lvl>
    <w:lvl w:ilvl="8" w:tplc="F64EB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44A01"/>
    <w:multiLevelType w:val="hybridMultilevel"/>
    <w:tmpl w:val="2208E86A"/>
    <w:lvl w:ilvl="0" w:tplc="78FCF87E">
      <w:start w:val="1"/>
      <w:numFmt w:val="decimal"/>
      <w:lvlText w:val="%1."/>
      <w:lvlJc w:val="left"/>
      <w:pPr>
        <w:ind w:left="4890" w:hanging="570"/>
      </w:pPr>
      <w:rPr>
        <w:rFonts w:hint="default"/>
      </w:rPr>
    </w:lvl>
    <w:lvl w:ilvl="1" w:tplc="7EBA4236">
      <w:start w:val="1"/>
      <w:numFmt w:val="lowerLetter"/>
      <w:lvlText w:val="%2."/>
      <w:lvlJc w:val="left"/>
      <w:pPr>
        <w:ind w:left="1440" w:hanging="360"/>
      </w:pPr>
    </w:lvl>
    <w:lvl w:ilvl="2" w:tplc="91700CE8" w:tentative="1">
      <w:start w:val="1"/>
      <w:numFmt w:val="lowerRoman"/>
      <w:lvlText w:val="%3."/>
      <w:lvlJc w:val="right"/>
      <w:pPr>
        <w:ind w:left="2160" w:hanging="180"/>
      </w:pPr>
    </w:lvl>
    <w:lvl w:ilvl="3" w:tplc="8172526E" w:tentative="1">
      <w:start w:val="1"/>
      <w:numFmt w:val="decimal"/>
      <w:lvlText w:val="%4."/>
      <w:lvlJc w:val="left"/>
      <w:pPr>
        <w:ind w:left="2880" w:hanging="360"/>
      </w:pPr>
    </w:lvl>
    <w:lvl w:ilvl="4" w:tplc="9794B428" w:tentative="1">
      <w:start w:val="1"/>
      <w:numFmt w:val="lowerLetter"/>
      <w:lvlText w:val="%5."/>
      <w:lvlJc w:val="left"/>
      <w:pPr>
        <w:ind w:left="3600" w:hanging="360"/>
      </w:pPr>
    </w:lvl>
    <w:lvl w:ilvl="5" w:tplc="F0603DAE" w:tentative="1">
      <w:start w:val="1"/>
      <w:numFmt w:val="lowerRoman"/>
      <w:lvlText w:val="%6."/>
      <w:lvlJc w:val="right"/>
      <w:pPr>
        <w:ind w:left="4320" w:hanging="180"/>
      </w:pPr>
    </w:lvl>
    <w:lvl w:ilvl="6" w:tplc="CF104A52" w:tentative="1">
      <w:start w:val="1"/>
      <w:numFmt w:val="decimal"/>
      <w:lvlText w:val="%7."/>
      <w:lvlJc w:val="left"/>
      <w:pPr>
        <w:ind w:left="5040" w:hanging="360"/>
      </w:pPr>
    </w:lvl>
    <w:lvl w:ilvl="7" w:tplc="7A769F88" w:tentative="1">
      <w:start w:val="1"/>
      <w:numFmt w:val="lowerLetter"/>
      <w:lvlText w:val="%8."/>
      <w:lvlJc w:val="left"/>
      <w:pPr>
        <w:ind w:left="5760" w:hanging="360"/>
      </w:pPr>
    </w:lvl>
    <w:lvl w:ilvl="8" w:tplc="BACE2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477BE"/>
    <w:multiLevelType w:val="hybridMultilevel"/>
    <w:tmpl w:val="7B70EA40"/>
    <w:lvl w:ilvl="0" w:tplc="489C0F4E">
      <w:start w:val="1"/>
      <w:numFmt w:val="lowerLetter"/>
      <w:lvlText w:val="(%1)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5FF62A28"/>
    <w:multiLevelType w:val="hybridMultilevel"/>
    <w:tmpl w:val="EF02D87A"/>
    <w:lvl w:ilvl="0" w:tplc="F0F6C270">
      <w:start w:val="500"/>
      <w:numFmt w:val="lowerRoman"/>
      <w:lvlText w:val="(%1)"/>
      <w:lvlJc w:val="left"/>
      <w:pPr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60600731"/>
    <w:multiLevelType w:val="multilevel"/>
    <w:tmpl w:val="3D1CB5A8"/>
    <w:lvl w:ilvl="0">
      <w:start w:val="1"/>
      <w:numFmt w:val="decimal"/>
      <w:lvlText w:val="%1."/>
      <w:lvlJc w:val="left"/>
      <w:pPr>
        <w:ind w:left="2061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  <w:rPr>
        <w:b w:val="0"/>
        <w:bCs/>
      </w:r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5" w15:restartNumberingAfterBreak="0">
    <w:nsid w:val="6065563D"/>
    <w:multiLevelType w:val="hybridMultilevel"/>
    <w:tmpl w:val="43DA671E"/>
    <w:lvl w:ilvl="0" w:tplc="C53AB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F29BD"/>
    <w:multiLevelType w:val="hybridMultilevel"/>
    <w:tmpl w:val="70BC5E4C"/>
    <w:lvl w:ilvl="0" w:tplc="DD860B9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0206C"/>
    <w:multiLevelType w:val="hybridMultilevel"/>
    <w:tmpl w:val="B732A164"/>
    <w:lvl w:ilvl="0" w:tplc="36C44FD2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Times" w:hint="default"/>
        <w:w w:val="99"/>
        <w:sz w:val="22"/>
        <w:szCs w:val="22"/>
      </w:rPr>
    </w:lvl>
    <w:lvl w:ilvl="1" w:tplc="E1285D62">
      <w:start w:val="1"/>
      <w:numFmt w:val="lowerLetter"/>
      <w:lvlText w:val="(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6D7CC41E">
      <w:start w:val="1"/>
      <w:numFmt w:val="lowerRoman"/>
      <w:lvlText w:val="%3."/>
      <w:lvlJc w:val="right"/>
      <w:pPr>
        <w:ind w:left="2160" w:hanging="180"/>
      </w:pPr>
    </w:lvl>
    <w:lvl w:ilvl="3" w:tplc="2716F718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FA145A98">
      <w:start w:val="1"/>
      <w:numFmt w:val="lowerLetter"/>
      <w:lvlText w:val="%5."/>
      <w:lvlJc w:val="left"/>
      <w:pPr>
        <w:ind w:left="3600" w:hanging="360"/>
      </w:pPr>
    </w:lvl>
    <w:lvl w:ilvl="5" w:tplc="E2440260" w:tentative="1">
      <w:start w:val="1"/>
      <w:numFmt w:val="lowerRoman"/>
      <w:lvlText w:val="%6."/>
      <w:lvlJc w:val="right"/>
      <w:pPr>
        <w:ind w:left="4320" w:hanging="180"/>
      </w:pPr>
    </w:lvl>
    <w:lvl w:ilvl="6" w:tplc="64D24B94" w:tentative="1">
      <w:start w:val="1"/>
      <w:numFmt w:val="decimal"/>
      <w:lvlText w:val="%7."/>
      <w:lvlJc w:val="left"/>
      <w:pPr>
        <w:ind w:left="5040" w:hanging="360"/>
      </w:pPr>
    </w:lvl>
    <w:lvl w:ilvl="7" w:tplc="06123766" w:tentative="1">
      <w:start w:val="1"/>
      <w:numFmt w:val="lowerLetter"/>
      <w:lvlText w:val="%8."/>
      <w:lvlJc w:val="left"/>
      <w:pPr>
        <w:ind w:left="5760" w:hanging="360"/>
      </w:pPr>
    </w:lvl>
    <w:lvl w:ilvl="8" w:tplc="B3AEA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61D2A"/>
    <w:multiLevelType w:val="hybridMultilevel"/>
    <w:tmpl w:val="35C402A0"/>
    <w:lvl w:ilvl="0" w:tplc="E4C2AD8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B158F028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BA667122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9342E15A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BF64D916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DF58D6A4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F43E9E56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EE222B3C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1CA2C682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9" w15:restartNumberingAfterBreak="0">
    <w:nsid w:val="73804274"/>
    <w:multiLevelType w:val="hybridMultilevel"/>
    <w:tmpl w:val="472AA13A"/>
    <w:lvl w:ilvl="0" w:tplc="5EAC542A">
      <w:start w:val="1"/>
      <w:numFmt w:val="lowerLetter"/>
      <w:lvlText w:val="(%1)"/>
      <w:lvlJc w:val="left"/>
      <w:pPr>
        <w:ind w:left="2421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0" w15:restartNumberingAfterBreak="0">
    <w:nsid w:val="7AFE3883"/>
    <w:multiLevelType w:val="hybridMultilevel"/>
    <w:tmpl w:val="E4263728"/>
    <w:lvl w:ilvl="0" w:tplc="8F88DC5A">
      <w:start w:val="1"/>
      <w:numFmt w:val="decimal"/>
      <w:lvlText w:val="%1."/>
      <w:lvlJc w:val="left"/>
      <w:pPr>
        <w:ind w:left="480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 w:tplc="07242EE6">
      <w:start w:val="1"/>
      <w:numFmt w:val="decimal"/>
      <w:lvlText w:val="%2."/>
      <w:lvlJc w:val="left"/>
      <w:pPr>
        <w:ind w:left="840" w:hanging="360"/>
      </w:pPr>
      <w:rPr>
        <w:rFonts w:ascii="Arial" w:eastAsia="Calibri" w:hAnsi="Arial" w:cs="Arial" w:hint="default"/>
        <w:spacing w:val="-4"/>
        <w:w w:val="100"/>
        <w:sz w:val="22"/>
        <w:szCs w:val="22"/>
      </w:rPr>
    </w:lvl>
    <w:lvl w:ilvl="2" w:tplc="8BD053A2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F36405B8">
      <w:numFmt w:val="bullet"/>
      <w:lvlText w:val="•"/>
      <w:lvlJc w:val="left"/>
      <w:pPr>
        <w:ind w:left="2208" w:hanging="360"/>
      </w:pPr>
      <w:rPr>
        <w:rFonts w:hint="default"/>
      </w:rPr>
    </w:lvl>
    <w:lvl w:ilvl="4" w:tplc="DFDE0B14">
      <w:numFmt w:val="bullet"/>
      <w:lvlText w:val="•"/>
      <w:lvlJc w:val="left"/>
      <w:pPr>
        <w:ind w:left="3216" w:hanging="360"/>
      </w:pPr>
      <w:rPr>
        <w:rFonts w:hint="default"/>
      </w:rPr>
    </w:lvl>
    <w:lvl w:ilvl="5" w:tplc="6FDCB95C">
      <w:numFmt w:val="bullet"/>
      <w:lvlText w:val="•"/>
      <w:lvlJc w:val="left"/>
      <w:pPr>
        <w:ind w:left="4224" w:hanging="360"/>
      </w:pPr>
      <w:rPr>
        <w:rFonts w:hint="default"/>
      </w:rPr>
    </w:lvl>
    <w:lvl w:ilvl="6" w:tplc="8C10E0BA">
      <w:numFmt w:val="bullet"/>
      <w:lvlText w:val="•"/>
      <w:lvlJc w:val="left"/>
      <w:pPr>
        <w:ind w:left="5233" w:hanging="360"/>
      </w:pPr>
      <w:rPr>
        <w:rFonts w:hint="default"/>
      </w:rPr>
    </w:lvl>
    <w:lvl w:ilvl="7" w:tplc="E702F2EE">
      <w:numFmt w:val="bullet"/>
      <w:lvlText w:val="•"/>
      <w:lvlJc w:val="left"/>
      <w:pPr>
        <w:ind w:left="6241" w:hanging="360"/>
      </w:pPr>
      <w:rPr>
        <w:rFonts w:hint="default"/>
      </w:rPr>
    </w:lvl>
    <w:lvl w:ilvl="8" w:tplc="3280C794">
      <w:numFmt w:val="bullet"/>
      <w:lvlText w:val="•"/>
      <w:lvlJc w:val="left"/>
      <w:pPr>
        <w:ind w:left="7249" w:hanging="360"/>
      </w:pPr>
      <w:rPr>
        <w:rFonts w:hint="default"/>
      </w:rPr>
    </w:lvl>
  </w:abstractNum>
  <w:abstractNum w:abstractNumId="41" w15:restartNumberingAfterBreak="0">
    <w:nsid w:val="7C755613"/>
    <w:multiLevelType w:val="hybridMultilevel"/>
    <w:tmpl w:val="DC02E1F4"/>
    <w:lvl w:ilvl="0" w:tplc="88F488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CCD0E81"/>
    <w:multiLevelType w:val="hybridMultilevel"/>
    <w:tmpl w:val="A6720A92"/>
    <w:lvl w:ilvl="0" w:tplc="A9EE86A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1" w:tplc="44C4A4F6" w:tentative="1">
      <w:start w:val="1"/>
      <w:numFmt w:val="lowerLetter"/>
      <w:lvlText w:val="%2."/>
      <w:lvlJc w:val="left"/>
      <w:pPr>
        <w:ind w:left="1440" w:hanging="360"/>
      </w:pPr>
    </w:lvl>
    <w:lvl w:ilvl="2" w:tplc="113A1C5C" w:tentative="1">
      <w:start w:val="1"/>
      <w:numFmt w:val="lowerRoman"/>
      <w:lvlText w:val="%3."/>
      <w:lvlJc w:val="right"/>
      <w:pPr>
        <w:ind w:left="2160" w:hanging="180"/>
      </w:pPr>
    </w:lvl>
    <w:lvl w:ilvl="3" w:tplc="524475B6" w:tentative="1">
      <w:start w:val="1"/>
      <w:numFmt w:val="decimal"/>
      <w:lvlText w:val="%4."/>
      <w:lvlJc w:val="left"/>
      <w:pPr>
        <w:ind w:left="2880" w:hanging="360"/>
      </w:pPr>
    </w:lvl>
    <w:lvl w:ilvl="4" w:tplc="21D072AE" w:tentative="1">
      <w:start w:val="1"/>
      <w:numFmt w:val="lowerLetter"/>
      <w:lvlText w:val="%5."/>
      <w:lvlJc w:val="left"/>
      <w:pPr>
        <w:ind w:left="3600" w:hanging="360"/>
      </w:pPr>
    </w:lvl>
    <w:lvl w:ilvl="5" w:tplc="FE244ED8" w:tentative="1">
      <w:start w:val="1"/>
      <w:numFmt w:val="lowerRoman"/>
      <w:lvlText w:val="%6."/>
      <w:lvlJc w:val="right"/>
      <w:pPr>
        <w:ind w:left="4320" w:hanging="180"/>
      </w:pPr>
    </w:lvl>
    <w:lvl w:ilvl="6" w:tplc="1F545320" w:tentative="1">
      <w:start w:val="1"/>
      <w:numFmt w:val="decimal"/>
      <w:lvlText w:val="%7."/>
      <w:lvlJc w:val="left"/>
      <w:pPr>
        <w:ind w:left="5040" w:hanging="360"/>
      </w:pPr>
    </w:lvl>
    <w:lvl w:ilvl="7" w:tplc="849E0528" w:tentative="1">
      <w:start w:val="1"/>
      <w:numFmt w:val="lowerLetter"/>
      <w:lvlText w:val="%8."/>
      <w:lvlJc w:val="left"/>
      <w:pPr>
        <w:ind w:left="5760" w:hanging="360"/>
      </w:pPr>
    </w:lvl>
    <w:lvl w:ilvl="8" w:tplc="4CE41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A63DC"/>
    <w:multiLevelType w:val="hybridMultilevel"/>
    <w:tmpl w:val="0306800C"/>
    <w:lvl w:ilvl="0" w:tplc="2A626EFA">
      <w:start w:val="1"/>
      <w:numFmt w:val="lowerRoman"/>
      <w:lvlText w:val="(%1)"/>
      <w:lvlJc w:val="left"/>
      <w:pPr>
        <w:ind w:left="1854" w:hanging="360"/>
      </w:pPr>
      <w:rPr>
        <w:rFonts w:hint="default"/>
        <w:w w:val="99"/>
        <w:sz w:val="22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7D3C40B6"/>
    <w:multiLevelType w:val="hybridMultilevel"/>
    <w:tmpl w:val="2C4CE6B4"/>
    <w:lvl w:ilvl="0" w:tplc="6BAAC3B4">
      <w:start w:val="1"/>
      <w:numFmt w:val="decimal"/>
      <w:lvlText w:val="%1."/>
      <w:lvlJc w:val="left"/>
      <w:pPr>
        <w:ind w:left="480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 w:tplc="76A2A46E">
      <w:start w:val="1"/>
      <w:numFmt w:val="decimal"/>
      <w:lvlText w:val="%2."/>
      <w:lvlJc w:val="left"/>
      <w:pPr>
        <w:ind w:left="840" w:hanging="360"/>
      </w:pPr>
      <w:rPr>
        <w:rFonts w:ascii="Arial" w:eastAsia="Calibri" w:hAnsi="Arial" w:cs="Arial" w:hint="default"/>
        <w:spacing w:val="-4"/>
        <w:w w:val="100"/>
        <w:sz w:val="22"/>
        <w:szCs w:val="22"/>
      </w:rPr>
    </w:lvl>
    <w:lvl w:ilvl="2" w:tplc="A9EE86A6">
      <w:start w:val="1"/>
      <w:numFmt w:val="lowerRoman"/>
      <w:lvlText w:val="(%3)"/>
      <w:lvlJc w:val="left"/>
      <w:pPr>
        <w:ind w:left="1200" w:hanging="360"/>
      </w:pPr>
      <w:rPr>
        <w:rFonts w:hint="default"/>
        <w:b w:val="0"/>
        <w:i w:val="0"/>
        <w:caps w:val="0"/>
        <w:strike w:val="0"/>
        <w:dstrike w:val="0"/>
        <w:vanish w:val="0"/>
        <w:w w:val="100"/>
        <w:sz w:val="22"/>
        <w:szCs w:val="24"/>
        <w:vertAlign w:val="baseline"/>
      </w:rPr>
    </w:lvl>
    <w:lvl w:ilvl="3" w:tplc="2AA8F88A">
      <w:numFmt w:val="bullet"/>
      <w:lvlText w:val="•"/>
      <w:lvlJc w:val="left"/>
      <w:pPr>
        <w:ind w:left="2208" w:hanging="360"/>
      </w:pPr>
      <w:rPr>
        <w:rFonts w:hint="default"/>
      </w:rPr>
    </w:lvl>
    <w:lvl w:ilvl="4" w:tplc="78443FC2">
      <w:numFmt w:val="bullet"/>
      <w:lvlText w:val="•"/>
      <w:lvlJc w:val="left"/>
      <w:pPr>
        <w:ind w:left="3216" w:hanging="360"/>
      </w:pPr>
      <w:rPr>
        <w:rFonts w:hint="default"/>
      </w:rPr>
    </w:lvl>
    <w:lvl w:ilvl="5" w:tplc="5B86AEDE">
      <w:numFmt w:val="bullet"/>
      <w:lvlText w:val="•"/>
      <w:lvlJc w:val="left"/>
      <w:pPr>
        <w:ind w:left="4224" w:hanging="360"/>
      </w:pPr>
      <w:rPr>
        <w:rFonts w:hint="default"/>
      </w:rPr>
    </w:lvl>
    <w:lvl w:ilvl="6" w:tplc="1B6C6610">
      <w:numFmt w:val="bullet"/>
      <w:lvlText w:val="•"/>
      <w:lvlJc w:val="left"/>
      <w:pPr>
        <w:ind w:left="5233" w:hanging="360"/>
      </w:pPr>
      <w:rPr>
        <w:rFonts w:hint="default"/>
      </w:rPr>
    </w:lvl>
    <w:lvl w:ilvl="7" w:tplc="DA2C784C">
      <w:numFmt w:val="bullet"/>
      <w:lvlText w:val="•"/>
      <w:lvlJc w:val="left"/>
      <w:pPr>
        <w:ind w:left="6241" w:hanging="360"/>
      </w:pPr>
      <w:rPr>
        <w:rFonts w:hint="default"/>
      </w:rPr>
    </w:lvl>
    <w:lvl w:ilvl="8" w:tplc="8312B0F6">
      <w:numFmt w:val="bullet"/>
      <w:lvlText w:val="•"/>
      <w:lvlJc w:val="left"/>
      <w:pPr>
        <w:ind w:left="7249" w:hanging="360"/>
      </w:pPr>
      <w:rPr>
        <w:rFonts w:hint="default"/>
      </w:rPr>
    </w:lvl>
  </w:abstractNum>
  <w:abstractNum w:abstractNumId="45" w15:restartNumberingAfterBreak="0">
    <w:nsid w:val="7DE33371"/>
    <w:multiLevelType w:val="hybridMultilevel"/>
    <w:tmpl w:val="931C437E"/>
    <w:lvl w:ilvl="0" w:tplc="BCCA23D4">
      <w:start w:val="1"/>
      <w:numFmt w:val="lowerRoman"/>
      <w:lvlText w:val="(%1)"/>
      <w:lvlJc w:val="left"/>
      <w:pPr>
        <w:ind w:left="1800" w:hanging="720"/>
      </w:pPr>
      <w:rPr>
        <w:rFonts w:ascii="Arial" w:hAnsi="Arial" w:cs="Arial" w:hint="default"/>
        <w:sz w:val="22"/>
        <w:szCs w:val="28"/>
      </w:rPr>
    </w:lvl>
    <w:lvl w:ilvl="1" w:tplc="20E676BA" w:tentative="1">
      <w:start w:val="1"/>
      <w:numFmt w:val="lowerLetter"/>
      <w:lvlText w:val="%2."/>
      <w:lvlJc w:val="left"/>
      <w:pPr>
        <w:ind w:left="2160" w:hanging="360"/>
      </w:pPr>
    </w:lvl>
    <w:lvl w:ilvl="2" w:tplc="50DA447A" w:tentative="1">
      <w:start w:val="1"/>
      <w:numFmt w:val="lowerRoman"/>
      <w:lvlText w:val="%3."/>
      <w:lvlJc w:val="right"/>
      <w:pPr>
        <w:ind w:left="2880" w:hanging="180"/>
      </w:pPr>
    </w:lvl>
    <w:lvl w:ilvl="3" w:tplc="82A0B7D2" w:tentative="1">
      <w:start w:val="1"/>
      <w:numFmt w:val="decimal"/>
      <w:lvlText w:val="%4."/>
      <w:lvlJc w:val="left"/>
      <w:pPr>
        <w:ind w:left="3600" w:hanging="360"/>
      </w:pPr>
    </w:lvl>
    <w:lvl w:ilvl="4" w:tplc="66B6EBDC" w:tentative="1">
      <w:start w:val="1"/>
      <w:numFmt w:val="lowerLetter"/>
      <w:lvlText w:val="%5."/>
      <w:lvlJc w:val="left"/>
      <w:pPr>
        <w:ind w:left="4320" w:hanging="360"/>
      </w:pPr>
    </w:lvl>
    <w:lvl w:ilvl="5" w:tplc="1958954A" w:tentative="1">
      <w:start w:val="1"/>
      <w:numFmt w:val="lowerRoman"/>
      <w:lvlText w:val="%6."/>
      <w:lvlJc w:val="right"/>
      <w:pPr>
        <w:ind w:left="5040" w:hanging="180"/>
      </w:pPr>
    </w:lvl>
    <w:lvl w:ilvl="6" w:tplc="B4AA8D42" w:tentative="1">
      <w:start w:val="1"/>
      <w:numFmt w:val="decimal"/>
      <w:lvlText w:val="%7."/>
      <w:lvlJc w:val="left"/>
      <w:pPr>
        <w:ind w:left="5760" w:hanging="360"/>
      </w:pPr>
    </w:lvl>
    <w:lvl w:ilvl="7" w:tplc="C09009A8" w:tentative="1">
      <w:start w:val="1"/>
      <w:numFmt w:val="lowerLetter"/>
      <w:lvlText w:val="%8."/>
      <w:lvlJc w:val="left"/>
      <w:pPr>
        <w:ind w:left="6480" w:hanging="360"/>
      </w:pPr>
    </w:lvl>
    <w:lvl w:ilvl="8" w:tplc="F6EC42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695DCC"/>
    <w:multiLevelType w:val="hybridMultilevel"/>
    <w:tmpl w:val="40C8B202"/>
    <w:lvl w:ilvl="0" w:tplc="541E8CA0">
      <w:start w:val="1"/>
      <w:numFmt w:val="upperLetter"/>
      <w:lvlText w:val="%1."/>
      <w:lvlJc w:val="left"/>
      <w:pPr>
        <w:ind w:left="16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 w15:restartNumberingAfterBreak="0">
    <w:nsid w:val="7F400273"/>
    <w:multiLevelType w:val="hybridMultilevel"/>
    <w:tmpl w:val="3C387F88"/>
    <w:lvl w:ilvl="0" w:tplc="C53ABE7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67139870">
    <w:abstractNumId w:val="2"/>
  </w:num>
  <w:num w:numId="2" w16cid:durableId="432940583">
    <w:abstractNumId w:val="18"/>
  </w:num>
  <w:num w:numId="3" w16cid:durableId="1015575312">
    <w:abstractNumId w:val="27"/>
  </w:num>
  <w:num w:numId="4" w16cid:durableId="2019382049">
    <w:abstractNumId w:val="40"/>
  </w:num>
  <w:num w:numId="5" w16cid:durableId="1942297140">
    <w:abstractNumId w:val="37"/>
  </w:num>
  <w:num w:numId="6" w16cid:durableId="1905023375">
    <w:abstractNumId w:val="38"/>
  </w:num>
  <w:num w:numId="7" w16cid:durableId="1258442384">
    <w:abstractNumId w:val="17"/>
  </w:num>
  <w:num w:numId="8" w16cid:durableId="703214503">
    <w:abstractNumId w:val="3"/>
  </w:num>
  <w:num w:numId="9" w16cid:durableId="4141048">
    <w:abstractNumId w:val="8"/>
  </w:num>
  <w:num w:numId="10" w16cid:durableId="1086265696">
    <w:abstractNumId w:val="42"/>
  </w:num>
  <w:num w:numId="11" w16cid:durableId="1758165318">
    <w:abstractNumId w:val="13"/>
  </w:num>
  <w:num w:numId="12" w16cid:durableId="114688129">
    <w:abstractNumId w:val="5"/>
  </w:num>
  <w:num w:numId="13" w16cid:durableId="1034043579">
    <w:abstractNumId w:val="44"/>
  </w:num>
  <w:num w:numId="14" w16cid:durableId="656034327">
    <w:abstractNumId w:val="23"/>
  </w:num>
  <w:num w:numId="15" w16cid:durableId="340399124">
    <w:abstractNumId w:val="33"/>
  </w:num>
  <w:num w:numId="16" w16cid:durableId="1415662816">
    <w:abstractNumId w:val="32"/>
  </w:num>
  <w:num w:numId="17" w16cid:durableId="1384014929">
    <w:abstractNumId w:val="12"/>
  </w:num>
  <w:num w:numId="18" w16cid:durableId="914162950">
    <w:abstractNumId w:val="25"/>
  </w:num>
  <w:num w:numId="19" w16cid:durableId="1470509401">
    <w:abstractNumId w:val="30"/>
  </w:num>
  <w:num w:numId="20" w16cid:durableId="1167597046">
    <w:abstractNumId w:val="45"/>
  </w:num>
  <w:num w:numId="21" w16cid:durableId="1587688312">
    <w:abstractNumId w:val="31"/>
  </w:num>
  <w:num w:numId="22" w16cid:durableId="14503274">
    <w:abstractNumId w:val="41"/>
  </w:num>
  <w:num w:numId="23" w16cid:durableId="332536396">
    <w:abstractNumId w:val="46"/>
  </w:num>
  <w:num w:numId="24" w16cid:durableId="922880567">
    <w:abstractNumId w:val="7"/>
  </w:num>
  <w:num w:numId="25" w16cid:durableId="1604877483">
    <w:abstractNumId w:val="24"/>
  </w:num>
  <w:num w:numId="26" w16cid:durableId="513303096">
    <w:abstractNumId w:val="1"/>
  </w:num>
  <w:num w:numId="27" w16cid:durableId="934097009">
    <w:abstractNumId w:val="9"/>
  </w:num>
  <w:num w:numId="28" w16cid:durableId="441531328">
    <w:abstractNumId w:val="34"/>
  </w:num>
  <w:num w:numId="29" w16cid:durableId="220603471">
    <w:abstractNumId w:val="15"/>
  </w:num>
  <w:num w:numId="30" w16cid:durableId="325911373">
    <w:abstractNumId w:val="0"/>
  </w:num>
  <w:num w:numId="31" w16cid:durableId="678700469">
    <w:abstractNumId w:val="11"/>
  </w:num>
  <w:num w:numId="32" w16cid:durableId="301859167">
    <w:abstractNumId w:val="21"/>
  </w:num>
  <w:num w:numId="33" w16cid:durableId="727846094">
    <w:abstractNumId w:val="10"/>
  </w:num>
  <w:num w:numId="34" w16cid:durableId="1709527898">
    <w:abstractNumId w:val="36"/>
  </w:num>
  <w:num w:numId="35" w16cid:durableId="1969430219">
    <w:abstractNumId w:val="16"/>
  </w:num>
  <w:num w:numId="36" w16cid:durableId="91263">
    <w:abstractNumId w:val="20"/>
  </w:num>
  <w:num w:numId="37" w16cid:durableId="537819629">
    <w:abstractNumId w:val="43"/>
  </w:num>
  <w:num w:numId="38" w16cid:durableId="1048341740">
    <w:abstractNumId w:val="39"/>
  </w:num>
  <w:num w:numId="39" w16cid:durableId="932712615">
    <w:abstractNumId w:val="26"/>
  </w:num>
  <w:num w:numId="40" w16cid:durableId="474418977">
    <w:abstractNumId w:val="4"/>
  </w:num>
  <w:num w:numId="41" w16cid:durableId="143741892">
    <w:abstractNumId w:val="28"/>
  </w:num>
  <w:num w:numId="42" w16cid:durableId="84499546">
    <w:abstractNumId w:val="14"/>
  </w:num>
  <w:num w:numId="43" w16cid:durableId="124200935">
    <w:abstractNumId w:val="22"/>
  </w:num>
  <w:num w:numId="44" w16cid:durableId="262802961">
    <w:abstractNumId w:val="6"/>
  </w:num>
  <w:num w:numId="45" w16cid:durableId="225839998">
    <w:abstractNumId w:val="29"/>
  </w:num>
  <w:num w:numId="46" w16cid:durableId="933979956">
    <w:abstractNumId w:val="19"/>
  </w:num>
  <w:num w:numId="47" w16cid:durableId="531498257">
    <w:abstractNumId w:val="47"/>
  </w:num>
  <w:num w:numId="48" w16cid:durableId="853803815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33"/>
    <w:rsid w:val="00010523"/>
    <w:rsid w:val="0002009D"/>
    <w:rsid w:val="000213B1"/>
    <w:rsid w:val="00026EC6"/>
    <w:rsid w:val="00027475"/>
    <w:rsid w:val="00040B43"/>
    <w:rsid w:val="00042651"/>
    <w:rsid w:val="00044F05"/>
    <w:rsid w:val="00047032"/>
    <w:rsid w:val="000504B1"/>
    <w:rsid w:val="00067FA1"/>
    <w:rsid w:val="00073CFB"/>
    <w:rsid w:val="00077713"/>
    <w:rsid w:val="00077D45"/>
    <w:rsid w:val="00081D98"/>
    <w:rsid w:val="00082517"/>
    <w:rsid w:val="00085537"/>
    <w:rsid w:val="0009250F"/>
    <w:rsid w:val="00094345"/>
    <w:rsid w:val="00094850"/>
    <w:rsid w:val="000B0A65"/>
    <w:rsid w:val="000B4C5F"/>
    <w:rsid w:val="000C6DD7"/>
    <w:rsid w:val="000D5551"/>
    <w:rsid w:val="000D7C4F"/>
    <w:rsid w:val="000E2479"/>
    <w:rsid w:val="000E33DF"/>
    <w:rsid w:val="000E5026"/>
    <w:rsid w:val="000F5BEF"/>
    <w:rsid w:val="000F7BCF"/>
    <w:rsid w:val="00101D3F"/>
    <w:rsid w:val="00106F33"/>
    <w:rsid w:val="001161EA"/>
    <w:rsid w:val="001276A9"/>
    <w:rsid w:val="00133447"/>
    <w:rsid w:val="001415B7"/>
    <w:rsid w:val="001514C2"/>
    <w:rsid w:val="00151DAF"/>
    <w:rsid w:val="0015412E"/>
    <w:rsid w:val="00162911"/>
    <w:rsid w:val="00173F40"/>
    <w:rsid w:val="00174F32"/>
    <w:rsid w:val="0018157E"/>
    <w:rsid w:val="001873E4"/>
    <w:rsid w:val="001A14F4"/>
    <w:rsid w:val="001A5297"/>
    <w:rsid w:val="001B02D7"/>
    <w:rsid w:val="001B571A"/>
    <w:rsid w:val="001C1F97"/>
    <w:rsid w:val="001C40C7"/>
    <w:rsid w:val="001D5C17"/>
    <w:rsid w:val="001D71C5"/>
    <w:rsid w:val="001D743A"/>
    <w:rsid w:val="001D75F9"/>
    <w:rsid w:val="001E3EDF"/>
    <w:rsid w:val="001F2596"/>
    <w:rsid w:val="001F2F59"/>
    <w:rsid w:val="001F6DD9"/>
    <w:rsid w:val="001F6F3E"/>
    <w:rsid w:val="001F6F96"/>
    <w:rsid w:val="00211EA9"/>
    <w:rsid w:val="00225E04"/>
    <w:rsid w:val="00232B8A"/>
    <w:rsid w:val="0023666B"/>
    <w:rsid w:val="002367A1"/>
    <w:rsid w:val="002421E3"/>
    <w:rsid w:val="00250BBB"/>
    <w:rsid w:val="0025168C"/>
    <w:rsid w:val="002531E3"/>
    <w:rsid w:val="00261135"/>
    <w:rsid w:val="00261946"/>
    <w:rsid w:val="0026223F"/>
    <w:rsid w:val="0026518E"/>
    <w:rsid w:val="00265CEC"/>
    <w:rsid w:val="00266D95"/>
    <w:rsid w:val="00267268"/>
    <w:rsid w:val="00271EDF"/>
    <w:rsid w:val="002725C9"/>
    <w:rsid w:val="002758E1"/>
    <w:rsid w:val="002760DC"/>
    <w:rsid w:val="0029587B"/>
    <w:rsid w:val="00296F70"/>
    <w:rsid w:val="002A321E"/>
    <w:rsid w:val="002A35DE"/>
    <w:rsid w:val="002C0E84"/>
    <w:rsid w:val="002C4292"/>
    <w:rsid w:val="002D234D"/>
    <w:rsid w:val="002E1F34"/>
    <w:rsid w:val="002E686F"/>
    <w:rsid w:val="002E6C93"/>
    <w:rsid w:val="002F7064"/>
    <w:rsid w:val="00315994"/>
    <w:rsid w:val="00316418"/>
    <w:rsid w:val="00322D3F"/>
    <w:rsid w:val="003263DD"/>
    <w:rsid w:val="003428E0"/>
    <w:rsid w:val="00352672"/>
    <w:rsid w:val="0035349E"/>
    <w:rsid w:val="00353EB7"/>
    <w:rsid w:val="00365E3A"/>
    <w:rsid w:val="003745F3"/>
    <w:rsid w:val="00374757"/>
    <w:rsid w:val="00375A03"/>
    <w:rsid w:val="00376135"/>
    <w:rsid w:val="003846AB"/>
    <w:rsid w:val="00394A5E"/>
    <w:rsid w:val="00394DF6"/>
    <w:rsid w:val="003B3810"/>
    <w:rsid w:val="003B3F64"/>
    <w:rsid w:val="003B7AF1"/>
    <w:rsid w:val="003C01BF"/>
    <w:rsid w:val="003C385F"/>
    <w:rsid w:val="003C767B"/>
    <w:rsid w:val="003D118D"/>
    <w:rsid w:val="003D5983"/>
    <w:rsid w:val="003D797D"/>
    <w:rsid w:val="003E1ED6"/>
    <w:rsid w:val="003E5421"/>
    <w:rsid w:val="004012C9"/>
    <w:rsid w:val="00401CB7"/>
    <w:rsid w:val="004119D7"/>
    <w:rsid w:val="004248F8"/>
    <w:rsid w:val="00453849"/>
    <w:rsid w:val="00457FC4"/>
    <w:rsid w:val="004626A5"/>
    <w:rsid w:val="0046597A"/>
    <w:rsid w:val="00473B52"/>
    <w:rsid w:val="0047549B"/>
    <w:rsid w:val="00486DFC"/>
    <w:rsid w:val="004936D2"/>
    <w:rsid w:val="004941D2"/>
    <w:rsid w:val="00497F60"/>
    <w:rsid w:val="004A2442"/>
    <w:rsid w:val="004B4126"/>
    <w:rsid w:val="004E7A04"/>
    <w:rsid w:val="004F2CD8"/>
    <w:rsid w:val="00501C16"/>
    <w:rsid w:val="00511408"/>
    <w:rsid w:val="005115CF"/>
    <w:rsid w:val="00537223"/>
    <w:rsid w:val="005466F9"/>
    <w:rsid w:val="0057244E"/>
    <w:rsid w:val="00573F7A"/>
    <w:rsid w:val="005836C9"/>
    <w:rsid w:val="00594BDA"/>
    <w:rsid w:val="00596681"/>
    <w:rsid w:val="005A42DC"/>
    <w:rsid w:val="005A4BC4"/>
    <w:rsid w:val="005A5622"/>
    <w:rsid w:val="005B0AED"/>
    <w:rsid w:val="005B2E7D"/>
    <w:rsid w:val="005C2B04"/>
    <w:rsid w:val="005C4503"/>
    <w:rsid w:val="005D13A1"/>
    <w:rsid w:val="005D222C"/>
    <w:rsid w:val="005D2ABE"/>
    <w:rsid w:val="005D4007"/>
    <w:rsid w:val="005D5DF9"/>
    <w:rsid w:val="005E34C4"/>
    <w:rsid w:val="005F240C"/>
    <w:rsid w:val="00600568"/>
    <w:rsid w:val="006106F0"/>
    <w:rsid w:val="0061351F"/>
    <w:rsid w:val="00624D41"/>
    <w:rsid w:val="00626BEA"/>
    <w:rsid w:val="00635683"/>
    <w:rsid w:val="006457F2"/>
    <w:rsid w:val="006465F7"/>
    <w:rsid w:val="00646E26"/>
    <w:rsid w:val="00652CE7"/>
    <w:rsid w:val="006537B1"/>
    <w:rsid w:val="00655824"/>
    <w:rsid w:val="006603EF"/>
    <w:rsid w:val="0066081F"/>
    <w:rsid w:val="0066364E"/>
    <w:rsid w:val="00670478"/>
    <w:rsid w:val="006832C2"/>
    <w:rsid w:val="0068753D"/>
    <w:rsid w:val="00692E9D"/>
    <w:rsid w:val="00693329"/>
    <w:rsid w:val="0069409D"/>
    <w:rsid w:val="00696011"/>
    <w:rsid w:val="006A0587"/>
    <w:rsid w:val="006A35F5"/>
    <w:rsid w:val="006A55A6"/>
    <w:rsid w:val="006A78B3"/>
    <w:rsid w:val="006C2205"/>
    <w:rsid w:val="006C3420"/>
    <w:rsid w:val="006C5879"/>
    <w:rsid w:val="006D05B8"/>
    <w:rsid w:val="006D2797"/>
    <w:rsid w:val="006D3C5E"/>
    <w:rsid w:val="006D4D73"/>
    <w:rsid w:val="006E0446"/>
    <w:rsid w:val="006E254C"/>
    <w:rsid w:val="006E74CD"/>
    <w:rsid w:val="006F39A2"/>
    <w:rsid w:val="006F4F01"/>
    <w:rsid w:val="00713973"/>
    <w:rsid w:val="0071590C"/>
    <w:rsid w:val="00720869"/>
    <w:rsid w:val="007263CC"/>
    <w:rsid w:val="00726E55"/>
    <w:rsid w:val="00730490"/>
    <w:rsid w:val="00730EBC"/>
    <w:rsid w:val="00732FA9"/>
    <w:rsid w:val="00734F26"/>
    <w:rsid w:val="00735D7A"/>
    <w:rsid w:val="007530B6"/>
    <w:rsid w:val="007571C1"/>
    <w:rsid w:val="00760E0A"/>
    <w:rsid w:val="00766A04"/>
    <w:rsid w:val="007712D4"/>
    <w:rsid w:val="0077421A"/>
    <w:rsid w:val="00782FA8"/>
    <w:rsid w:val="007841EB"/>
    <w:rsid w:val="007929EF"/>
    <w:rsid w:val="007968AB"/>
    <w:rsid w:val="00796CCB"/>
    <w:rsid w:val="007A025F"/>
    <w:rsid w:val="007B2928"/>
    <w:rsid w:val="007B398C"/>
    <w:rsid w:val="007C014E"/>
    <w:rsid w:val="007C0638"/>
    <w:rsid w:val="007C0E6A"/>
    <w:rsid w:val="007C73A0"/>
    <w:rsid w:val="007D2664"/>
    <w:rsid w:val="007D4DBE"/>
    <w:rsid w:val="007E6E65"/>
    <w:rsid w:val="007E7365"/>
    <w:rsid w:val="007F2893"/>
    <w:rsid w:val="007F652F"/>
    <w:rsid w:val="007F74EC"/>
    <w:rsid w:val="008004F4"/>
    <w:rsid w:val="0081715E"/>
    <w:rsid w:val="00823314"/>
    <w:rsid w:val="00826E08"/>
    <w:rsid w:val="0083166B"/>
    <w:rsid w:val="0083680C"/>
    <w:rsid w:val="00836ED2"/>
    <w:rsid w:val="00837ED7"/>
    <w:rsid w:val="00841894"/>
    <w:rsid w:val="00850355"/>
    <w:rsid w:val="0085198F"/>
    <w:rsid w:val="008622F7"/>
    <w:rsid w:val="00880BD4"/>
    <w:rsid w:val="00880D28"/>
    <w:rsid w:val="0089103D"/>
    <w:rsid w:val="00891273"/>
    <w:rsid w:val="008964F0"/>
    <w:rsid w:val="008A020D"/>
    <w:rsid w:val="008A21DB"/>
    <w:rsid w:val="008A72A6"/>
    <w:rsid w:val="008B1199"/>
    <w:rsid w:val="008B6D1D"/>
    <w:rsid w:val="008D541C"/>
    <w:rsid w:val="008D7FA0"/>
    <w:rsid w:val="008E3AE3"/>
    <w:rsid w:val="008E5AB6"/>
    <w:rsid w:val="008F7CFA"/>
    <w:rsid w:val="00916AF9"/>
    <w:rsid w:val="00926561"/>
    <w:rsid w:val="00931750"/>
    <w:rsid w:val="0093407E"/>
    <w:rsid w:val="00935F04"/>
    <w:rsid w:val="00943A2A"/>
    <w:rsid w:val="00950DBF"/>
    <w:rsid w:val="00953120"/>
    <w:rsid w:val="009732A5"/>
    <w:rsid w:val="0098014E"/>
    <w:rsid w:val="009808BA"/>
    <w:rsid w:val="00981AB4"/>
    <w:rsid w:val="00983417"/>
    <w:rsid w:val="00984AF4"/>
    <w:rsid w:val="0099203B"/>
    <w:rsid w:val="009A1019"/>
    <w:rsid w:val="009A6251"/>
    <w:rsid w:val="009C0672"/>
    <w:rsid w:val="009C3184"/>
    <w:rsid w:val="009C4033"/>
    <w:rsid w:val="009D1978"/>
    <w:rsid w:val="009D1D2A"/>
    <w:rsid w:val="009D7EFC"/>
    <w:rsid w:val="009F493C"/>
    <w:rsid w:val="009F5B2C"/>
    <w:rsid w:val="009F71B5"/>
    <w:rsid w:val="00A00D0E"/>
    <w:rsid w:val="00A21279"/>
    <w:rsid w:val="00A27265"/>
    <w:rsid w:val="00A31426"/>
    <w:rsid w:val="00A37057"/>
    <w:rsid w:val="00A56270"/>
    <w:rsid w:val="00A71181"/>
    <w:rsid w:val="00A71370"/>
    <w:rsid w:val="00A7326B"/>
    <w:rsid w:val="00A753C1"/>
    <w:rsid w:val="00A76472"/>
    <w:rsid w:val="00A80ACB"/>
    <w:rsid w:val="00A97627"/>
    <w:rsid w:val="00AA503D"/>
    <w:rsid w:val="00AC5ABE"/>
    <w:rsid w:val="00AD065D"/>
    <w:rsid w:val="00AD1608"/>
    <w:rsid w:val="00AD79C5"/>
    <w:rsid w:val="00AE3976"/>
    <w:rsid w:val="00AE41FE"/>
    <w:rsid w:val="00AF3C03"/>
    <w:rsid w:val="00AF62A1"/>
    <w:rsid w:val="00B102B9"/>
    <w:rsid w:val="00B23BAE"/>
    <w:rsid w:val="00B26391"/>
    <w:rsid w:val="00B26586"/>
    <w:rsid w:val="00B82059"/>
    <w:rsid w:val="00B82B86"/>
    <w:rsid w:val="00B83BB4"/>
    <w:rsid w:val="00B924A0"/>
    <w:rsid w:val="00B96BD3"/>
    <w:rsid w:val="00BA44F7"/>
    <w:rsid w:val="00BB7E33"/>
    <w:rsid w:val="00BC1E4D"/>
    <w:rsid w:val="00BC4545"/>
    <w:rsid w:val="00BD7BF6"/>
    <w:rsid w:val="00BE31EA"/>
    <w:rsid w:val="00BE5D00"/>
    <w:rsid w:val="00BE694F"/>
    <w:rsid w:val="00BF3186"/>
    <w:rsid w:val="00BF64AC"/>
    <w:rsid w:val="00C02A94"/>
    <w:rsid w:val="00C02F5B"/>
    <w:rsid w:val="00C23030"/>
    <w:rsid w:val="00C3033E"/>
    <w:rsid w:val="00C336ED"/>
    <w:rsid w:val="00C406E1"/>
    <w:rsid w:val="00C67A88"/>
    <w:rsid w:val="00C71779"/>
    <w:rsid w:val="00C903D5"/>
    <w:rsid w:val="00C93C08"/>
    <w:rsid w:val="00C95DA6"/>
    <w:rsid w:val="00C96CEF"/>
    <w:rsid w:val="00CC06AC"/>
    <w:rsid w:val="00CC2ED4"/>
    <w:rsid w:val="00CC3CF7"/>
    <w:rsid w:val="00CC494A"/>
    <w:rsid w:val="00CC66E6"/>
    <w:rsid w:val="00CC75BB"/>
    <w:rsid w:val="00CD5106"/>
    <w:rsid w:val="00CD59E0"/>
    <w:rsid w:val="00CD65E0"/>
    <w:rsid w:val="00CD7089"/>
    <w:rsid w:val="00CE3ACC"/>
    <w:rsid w:val="00CE658C"/>
    <w:rsid w:val="00CE790D"/>
    <w:rsid w:val="00CF23FA"/>
    <w:rsid w:val="00CF4ACD"/>
    <w:rsid w:val="00D16867"/>
    <w:rsid w:val="00D16B27"/>
    <w:rsid w:val="00D21839"/>
    <w:rsid w:val="00D2728D"/>
    <w:rsid w:val="00D51B3C"/>
    <w:rsid w:val="00D55FCC"/>
    <w:rsid w:val="00D62BA1"/>
    <w:rsid w:val="00D67CB7"/>
    <w:rsid w:val="00D80459"/>
    <w:rsid w:val="00D906EF"/>
    <w:rsid w:val="00D94C10"/>
    <w:rsid w:val="00DB0715"/>
    <w:rsid w:val="00DB2CF8"/>
    <w:rsid w:val="00DB39C6"/>
    <w:rsid w:val="00DB4024"/>
    <w:rsid w:val="00DC7466"/>
    <w:rsid w:val="00DD0B40"/>
    <w:rsid w:val="00E0198F"/>
    <w:rsid w:val="00E05DB3"/>
    <w:rsid w:val="00E17F40"/>
    <w:rsid w:val="00E21755"/>
    <w:rsid w:val="00E22E33"/>
    <w:rsid w:val="00E23A5A"/>
    <w:rsid w:val="00E31137"/>
    <w:rsid w:val="00E32D45"/>
    <w:rsid w:val="00E4041A"/>
    <w:rsid w:val="00E42BA9"/>
    <w:rsid w:val="00E47F3F"/>
    <w:rsid w:val="00E600AF"/>
    <w:rsid w:val="00E60484"/>
    <w:rsid w:val="00E702F3"/>
    <w:rsid w:val="00E70DB2"/>
    <w:rsid w:val="00E72BC6"/>
    <w:rsid w:val="00E74012"/>
    <w:rsid w:val="00E749B9"/>
    <w:rsid w:val="00E7562A"/>
    <w:rsid w:val="00E77875"/>
    <w:rsid w:val="00E80365"/>
    <w:rsid w:val="00E81671"/>
    <w:rsid w:val="00E86715"/>
    <w:rsid w:val="00E86954"/>
    <w:rsid w:val="00E90084"/>
    <w:rsid w:val="00E91204"/>
    <w:rsid w:val="00E918BD"/>
    <w:rsid w:val="00E9228D"/>
    <w:rsid w:val="00E9231B"/>
    <w:rsid w:val="00EA21E7"/>
    <w:rsid w:val="00EB0126"/>
    <w:rsid w:val="00EB3630"/>
    <w:rsid w:val="00EC07B7"/>
    <w:rsid w:val="00EC20A8"/>
    <w:rsid w:val="00ED22FD"/>
    <w:rsid w:val="00ED7152"/>
    <w:rsid w:val="00EF0473"/>
    <w:rsid w:val="00EF0EDE"/>
    <w:rsid w:val="00EF1276"/>
    <w:rsid w:val="00EF58AD"/>
    <w:rsid w:val="00EF68FB"/>
    <w:rsid w:val="00F00336"/>
    <w:rsid w:val="00F027CC"/>
    <w:rsid w:val="00F148AB"/>
    <w:rsid w:val="00F17919"/>
    <w:rsid w:val="00F31487"/>
    <w:rsid w:val="00F31CE3"/>
    <w:rsid w:val="00F320EA"/>
    <w:rsid w:val="00F32A62"/>
    <w:rsid w:val="00F35215"/>
    <w:rsid w:val="00F35FB6"/>
    <w:rsid w:val="00F4141A"/>
    <w:rsid w:val="00F42F85"/>
    <w:rsid w:val="00F62069"/>
    <w:rsid w:val="00F65DC9"/>
    <w:rsid w:val="00F67F21"/>
    <w:rsid w:val="00F750EE"/>
    <w:rsid w:val="00F869DD"/>
    <w:rsid w:val="00F878EB"/>
    <w:rsid w:val="00FA7504"/>
    <w:rsid w:val="00FB6E20"/>
    <w:rsid w:val="00FC227D"/>
    <w:rsid w:val="00FD5A18"/>
    <w:rsid w:val="00FD6BE7"/>
    <w:rsid w:val="00FE2A24"/>
    <w:rsid w:val="00FE688F"/>
    <w:rsid w:val="00FF2312"/>
    <w:rsid w:val="00FF3AAC"/>
    <w:rsid w:val="00FF57C7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F4F1A30"/>
  <w15:docId w15:val="{291CE791-B988-4D35-BFA9-C00A2559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09"/>
      </w:tabs>
      <w:jc w:val="both"/>
    </w:pPr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C73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0D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Marge"/>
    <w:link w:val="Heading3Char"/>
    <w:autoRedefine/>
    <w:qFormat/>
    <w:rsid w:val="0026518E"/>
    <w:pPr>
      <w:keepNext/>
      <w:keepLines/>
      <w:widowControl w:val="0"/>
      <w:tabs>
        <w:tab w:val="clear" w:pos="709"/>
        <w:tab w:val="left" w:pos="567"/>
      </w:tabs>
      <w:adjustRightInd w:val="0"/>
      <w:snapToGrid w:val="0"/>
      <w:spacing w:after="240"/>
      <w:textAlignment w:val="baseline"/>
      <w:outlineLvl w:val="2"/>
    </w:pPr>
    <w:rPr>
      <w:rFonts w:ascii="Arial" w:eastAsia="Arial Unicode MS" w:hAnsi="Arial" w:cs="Arial"/>
      <w:b/>
      <w:bCs/>
      <w:noProof/>
      <w:color w:val="000000" w:themeColor="text1"/>
      <w:sz w:val="22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lear" w:pos="709"/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E22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E33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,List Paragraph (numbered (a))"/>
    <w:basedOn w:val="Normal"/>
    <w:link w:val="ListParagraphChar"/>
    <w:uiPriority w:val="1"/>
    <w:qFormat/>
    <w:rsid w:val="006E044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80BD4"/>
    <w:rPr>
      <w:color w:val="0000FF" w:themeColor="hyperlink"/>
      <w:u w:val="single"/>
    </w:rPr>
  </w:style>
  <w:style w:type="paragraph" w:customStyle="1" w:styleId="Marge">
    <w:name w:val="Marge"/>
    <w:basedOn w:val="Normal"/>
    <w:link w:val="MargeChar"/>
    <w:qFormat/>
    <w:rsid w:val="00A21279"/>
    <w:pPr>
      <w:tabs>
        <w:tab w:val="clear" w:pos="709"/>
        <w:tab w:val="left" w:pos="567"/>
      </w:tabs>
      <w:snapToGrid w:val="0"/>
      <w:spacing w:after="240"/>
    </w:pPr>
    <w:rPr>
      <w:szCs w:val="24"/>
    </w:rPr>
  </w:style>
  <w:style w:type="paragraph" w:customStyle="1" w:styleId="paragraphnumerote">
    <w:name w:val="paragraph numerote"/>
    <w:basedOn w:val="Normal"/>
    <w:link w:val="paragraphnumeroteCharChar"/>
    <w:autoRedefine/>
    <w:rsid w:val="005A42DC"/>
    <w:pPr>
      <w:numPr>
        <w:numId w:val="1"/>
      </w:numPr>
      <w:shd w:val="clear" w:color="auto" w:fill="FFFFFF"/>
      <w:tabs>
        <w:tab w:val="clear" w:pos="709"/>
        <w:tab w:val="left" w:pos="0"/>
        <w:tab w:val="left" w:pos="2977"/>
      </w:tabs>
      <w:kinsoku w:val="0"/>
      <w:overflowPunct w:val="0"/>
      <w:spacing w:after="240"/>
      <w:textAlignment w:val="baseline"/>
    </w:pPr>
    <w:rPr>
      <w:rFonts w:ascii="Arial" w:hAnsi="Arial" w:cs="Arial"/>
      <w:snapToGrid w:val="0"/>
      <w:sz w:val="22"/>
      <w:szCs w:val="22"/>
    </w:rPr>
  </w:style>
  <w:style w:type="character" w:customStyle="1" w:styleId="paragraphnumeroteCharChar">
    <w:name w:val="paragraph numerote Char Char"/>
    <w:link w:val="paragraphnumerote"/>
    <w:rsid w:val="005A42DC"/>
    <w:rPr>
      <w:rFonts w:ascii="Arial" w:hAnsi="Arial" w:cs="Arial"/>
      <w:snapToGrid w:val="0"/>
      <w:sz w:val="22"/>
      <w:szCs w:val="22"/>
      <w:shd w:val="clear" w:color="auto" w:fill="FFFFFF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F39A2"/>
    <w:rPr>
      <w:sz w:val="24"/>
      <w:lang w:val="en-GB"/>
    </w:rPr>
  </w:style>
  <w:style w:type="paragraph" w:customStyle="1" w:styleId="Default">
    <w:name w:val="Default"/>
    <w:rsid w:val="00796CCB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customStyle="1" w:styleId="Grilleclaire-Accent31">
    <w:name w:val="Grille claire - Accent 31"/>
    <w:basedOn w:val="Normal"/>
    <w:uiPriority w:val="34"/>
    <w:qFormat/>
    <w:rsid w:val="00F4141A"/>
    <w:pPr>
      <w:tabs>
        <w:tab w:val="clear" w:pos="709"/>
        <w:tab w:val="left" w:pos="567"/>
      </w:tabs>
      <w:snapToGrid w:val="0"/>
      <w:ind w:left="720"/>
      <w:contextualSpacing/>
      <w:jc w:val="left"/>
    </w:pPr>
    <w:rPr>
      <w:rFonts w:ascii="Arial" w:hAnsi="Arial"/>
      <w:snapToGrid w:val="0"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7C73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styleId="FootnoteReference">
    <w:name w:val="footnote reference"/>
    <w:rsid w:val="00841894"/>
    <w:rPr>
      <w:vertAlign w:val="superscript"/>
    </w:rPr>
  </w:style>
  <w:style w:type="paragraph" w:customStyle="1" w:styleId="b">
    <w:name w:val="(b)"/>
    <w:basedOn w:val="Normal"/>
    <w:rsid w:val="008A020D"/>
    <w:pPr>
      <w:tabs>
        <w:tab w:val="clear" w:pos="709"/>
        <w:tab w:val="left" w:pos="-737"/>
        <w:tab w:val="left" w:pos="1134"/>
      </w:tabs>
      <w:snapToGrid w:val="0"/>
      <w:spacing w:after="240"/>
      <w:ind w:left="1134" w:hanging="567"/>
    </w:pPr>
    <w:rPr>
      <w:snapToGrid w:val="0"/>
      <w:szCs w:val="24"/>
    </w:rPr>
  </w:style>
  <w:style w:type="paragraph" w:styleId="NormalWeb">
    <w:name w:val="Normal (Web)"/>
    <w:basedOn w:val="Normal"/>
    <w:link w:val="NormalWebChar"/>
    <w:uiPriority w:val="99"/>
    <w:rsid w:val="008A020D"/>
    <w:pPr>
      <w:tabs>
        <w:tab w:val="clear" w:pos="709"/>
      </w:tabs>
      <w:spacing w:before="100" w:beforeAutospacing="1" w:after="100" w:afterAutospacing="1"/>
      <w:jc w:val="left"/>
    </w:pPr>
    <w:rPr>
      <w:rFonts w:eastAsia="MS Mincho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880D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WMOBodyText">
    <w:name w:val="WMO_BodyText"/>
    <w:basedOn w:val="Normal"/>
    <w:link w:val="WMOBodyTextCharChar"/>
    <w:qFormat/>
    <w:rsid w:val="00880D28"/>
    <w:pPr>
      <w:tabs>
        <w:tab w:val="clear" w:pos="709"/>
        <w:tab w:val="left" w:pos="1134"/>
      </w:tabs>
      <w:spacing w:before="240"/>
      <w:jc w:val="left"/>
    </w:pPr>
    <w:rPr>
      <w:rFonts w:ascii="Arial" w:eastAsia="Arial" w:hAnsi="Arial" w:cs="Arial"/>
      <w:sz w:val="22"/>
      <w:szCs w:val="22"/>
      <w:lang w:eastAsia="zh-TW"/>
    </w:rPr>
  </w:style>
  <w:style w:type="character" w:customStyle="1" w:styleId="WMOBodyTextCharChar">
    <w:name w:val="WMO_BodyText Char Char"/>
    <w:link w:val="WMOBodyText"/>
    <w:rsid w:val="00880D28"/>
    <w:rPr>
      <w:rFonts w:ascii="Arial" w:eastAsia="Arial" w:hAnsi="Arial" w:cs="Arial"/>
      <w:sz w:val="22"/>
      <w:szCs w:val="22"/>
      <w:lang w:val="en-GB" w:eastAsia="zh-TW"/>
    </w:rPr>
  </w:style>
  <w:style w:type="character" w:customStyle="1" w:styleId="Bold">
    <w:name w:val="Bold"/>
    <w:rsid w:val="00880D28"/>
    <w:rPr>
      <w:b/>
    </w:rPr>
  </w:style>
  <w:style w:type="character" w:customStyle="1" w:styleId="Heading3Char">
    <w:name w:val="Heading 3 Char"/>
    <w:basedOn w:val="DefaultParagraphFont"/>
    <w:link w:val="Heading3"/>
    <w:rsid w:val="0026518E"/>
    <w:rPr>
      <w:rFonts w:ascii="Arial" w:eastAsia="Arial Unicode MS" w:hAnsi="Arial" w:cs="Arial"/>
      <w:b/>
      <w:bCs/>
      <w:noProof/>
      <w:color w:val="000000" w:themeColor="text1"/>
      <w:sz w:val="22"/>
      <w:szCs w:val="22"/>
      <w:lang w:val="en-GB" w:eastAsia="fr-FR"/>
    </w:rPr>
  </w:style>
  <w:style w:type="paragraph" w:customStyle="1" w:styleId="a">
    <w:name w:val="(a)"/>
    <w:basedOn w:val="Normal"/>
    <w:rsid w:val="0026518E"/>
    <w:pPr>
      <w:tabs>
        <w:tab w:val="clear" w:pos="709"/>
        <w:tab w:val="left" w:pos="-737"/>
        <w:tab w:val="left" w:pos="567"/>
      </w:tabs>
      <w:snapToGrid w:val="0"/>
      <w:spacing w:after="240"/>
      <w:ind w:left="567" w:hanging="567"/>
    </w:pPr>
    <w:rPr>
      <w:snapToGrid w:val="0"/>
      <w:szCs w:val="24"/>
      <w:lang w:val="fr-FR"/>
    </w:rPr>
  </w:style>
  <w:style w:type="paragraph" w:styleId="FootnoteText">
    <w:name w:val="footnote text"/>
    <w:basedOn w:val="Normal"/>
    <w:link w:val="FootnoteTextChar"/>
    <w:uiPriority w:val="99"/>
    <w:rsid w:val="0026518E"/>
    <w:pPr>
      <w:widowControl w:val="0"/>
      <w:tabs>
        <w:tab w:val="clear" w:pos="709"/>
        <w:tab w:val="left" w:pos="567"/>
      </w:tabs>
      <w:adjustRightInd w:val="0"/>
      <w:snapToGrid w:val="0"/>
      <w:spacing w:line="360" w:lineRule="atLeast"/>
      <w:ind w:left="567" w:hanging="567"/>
      <w:textAlignment w:val="baseline"/>
    </w:pPr>
    <w:rPr>
      <w:rFonts w:ascii="Arial" w:hAnsi="Arial"/>
      <w:snapToGrid w:val="0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518E"/>
    <w:rPr>
      <w:rFonts w:ascii="Arial" w:hAnsi="Arial"/>
      <w:snapToGrid w:val="0"/>
      <w:lang w:val="en-GB"/>
    </w:rPr>
  </w:style>
  <w:style w:type="character" w:customStyle="1" w:styleId="MargeChar">
    <w:name w:val="Marge Char"/>
    <w:link w:val="Marge"/>
    <w:rsid w:val="0026518E"/>
    <w:rPr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2651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-paragraph">
    <w:name w:val="num-paragraph"/>
    <w:basedOn w:val="NormalWeb"/>
    <w:link w:val="num-paragraphChar"/>
    <w:qFormat/>
    <w:rsid w:val="0026518E"/>
    <w:pPr>
      <w:numPr>
        <w:numId w:val="2"/>
      </w:numPr>
      <w:adjustRightInd w:val="0"/>
      <w:spacing w:before="0" w:beforeAutospacing="0" w:after="240" w:afterAutospacing="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26518E"/>
    <w:rPr>
      <w:rFonts w:eastAsia="MS Mincho"/>
      <w:sz w:val="24"/>
      <w:szCs w:val="24"/>
      <w:lang w:eastAsia="ja-JP"/>
    </w:rPr>
  </w:style>
  <w:style w:type="character" w:customStyle="1" w:styleId="num-paragraphChar">
    <w:name w:val="num-paragraph Char"/>
    <w:basedOn w:val="NormalWebChar"/>
    <w:link w:val="num-paragraph"/>
    <w:rsid w:val="0026518E"/>
    <w:rPr>
      <w:rFonts w:ascii="Arial" w:eastAsia="MS Mincho" w:hAnsi="Arial" w:cs="Arial"/>
      <w:sz w:val="22"/>
      <w:szCs w:val="22"/>
      <w:lang w:val="en-GB" w:eastAsia="ja-JP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073CFB"/>
    <w:rPr>
      <w:sz w:val="24"/>
      <w:lang w:val="en-GB"/>
    </w:rPr>
  </w:style>
  <w:style w:type="paragraph" w:customStyle="1" w:styleId="ListParagraph1">
    <w:name w:val="List Paragraph1"/>
    <w:basedOn w:val="Normal"/>
    <w:qFormat/>
    <w:rsid w:val="00891273"/>
    <w:pPr>
      <w:widowControl w:val="0"/>
      <w:tabs>
        <w:tab w:val="clear" w:pos="709"/>
      </w:tabs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Revision">
    <w:name w:val="Revision"/>
    <w:hidden/>
    <w:uiPriority w:val="99"/>
    <w:semiHidden/>
    <w:rsid w:val="00394A5E"/>
    <w:rPr>
      <w:sz w:val="24"/>
      <w:lang w:val="en-GB"/>
    </w:rPr>
  </w:style>
  <w:style w:type="paragraph" w:customStyle="1" w:styleId="COI">
    <w:name w:val="COI"/>
    <w:basedOn w:val="Normal"/>
    <w:link w:val="COIChar"/>
    <w:rsid w:val="00473B52"/>
    <w:pPr>
      <w:snapToGrid w:val="0"/>
      <w:spacing w:after="240"/>
      <w:ind w:left="720" w:hanging="360"/>
    </w:pPr>
    <w:rPr>
      <w:snapToGrid w:val="0"/>
      <w:szCs w:val="24"/>
      <w:lang w:val="fr-FR"/>
    </w:rPr>
  </w:style>
  <w:style w:type="character" w:customStyle="1" w:styleId="COIChar">
    <w:name w:val="COI Char"/>
    <w:link w:val="COI"/>
    <w:rsid w:val="00473B52"/>
    <w:rPr>
      <w:snapToGrid w:val="0"/>
      <w:sz w:val="24"/>
      <w:szCs w:val="24"/>
      <w:lang w:val="fr-FR"/>
    </w:rPr>
  </w:style>
  <w:style w:type="character" w:customStyle="1" w:styleId="ezkurwreuab5ozgtqnkl">
    <w:name w:val="ezkurwreuab5ozgtqnkl"/>
    <w:basedOn w:val="DefaultParagraphFont"/>
    <w:rsid w:val="007E7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3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86D5-71BB-4337-B404-BB821A77CE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7538</Words>
  <Characters>52048</Characters>
  <Application>Microsoft Office Word</Application>
  <DocSecurity>0</DocSecurity>
  <Lines>433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Принятые решения и резолюции</vt:lpstr>
      <vt:lpstr>Restricted distribution</vt:lpstr>
    </vt:vector>
  </TitlesOfParts>
  <Company>UNESCO</Company>
  <LinksUpToDate>false</LinksUpToDate>
  <CharactersWithSpaces>59468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Принятые решения и резолюции</dc:title>
  <dc:subject>IOC/EC-57/Decisions</dc:subject>
  <dc:creator>Gazagne, Irène</dc:creator>
  <cp:keywords>0</cp:keywords>
  <dc:description/>
  <cp:lastModifiedBy>Boned, Patrice</cp:lastModifiedBy>
  <cp:revision>2</cp:revision>
  <cp:lastPrinted>2021-06-24T07:51:00Z</cp:lastPrinted>
  <dcterms:created xsi:type="dcterms:W3CDTF">2024-06-29T11:59:00Z</dcterms:created>
  <dcterms:modified xsi:type="dcterms:W3CDTF">2024-06-29T11:59:00Z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2402901</vt:lpwstr>
  </property>
  <property fmtid="{D5CDD505-2E9C-101B-9397-08002B2CF9AE}" pid="3" name="Language">
    <vt:lpwstr>R</vt:lpwstr>
  </property>
</Properties>
</file>