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B75CA1" w14:paraId="12C5E326" w14:textId="77777777">
        <w:tc>
          <w:tcPr>
            <w:tcW w:w="6345" w:type="dxa"/>
          </w:tcPr>
          <w:p w14:paraId="27E86216" w14:textId="77777777" w:rsidR="00BC394C" w:rsidRPr="00B75CA1" w:rsidRDefault="00BC394C" w:rsidP="00B75CA1">
            <w:pPr>
              <w:spacing w:after="240"/>
              <w:ind w:left="-105"/>
              <w:rPr>
                <w:rFonts w:asciiTheme="minorBidi" w:hAnsiTheme="minorBidi" w:cstheme="minorBidi"/>
                <w:sz w:val="22"/>
                <w:szCs w:val="22"/>
              </w:rPr>
            </w:pPr>
            <w:r w:rsidRPr="00B75CA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Рассылается по списку</w:t>
            </w:r>
          </w:p>
          <w:p w14:paraId="1907B5CB" w14:textId="77777777" w:rsidR="00BC394C" w:rsidRPr="00B75CA1" w:rsidRDefault="00BC394C" w:rsidP="00B75CA1">
            <w:pPr>
              <w:spacing w:after="240"/>
              <w:ind w:left="-105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7D5F161" w14:textId="796756B1" w:rsidR="00BC394C" w:rsidRPr="002372AB" w:rsidRDefault="008A3665" w:rsidP="0020006D">
            <w:pPr>
              <w:tabs>
                <w:tab w:val="clear" w:pos="567"/>
              </w:tabs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B75CA1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EC-57/</w:t>
            </w:r>
            <w:proofErr w:type="gramStart"/>
            <w:r w:rsidRPr="00B75CA1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DR.[</w:t>
            </w:r>
            <w:proofErr w:type="gramEnd"/>
            <w:r w:rsidRPr="00B75CA1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4.7]</w:t>
            </w:r>
            <w:r w:rsidR="0020006D" w:rsidRPr="00523D39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20006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Rev</w:t>
            </w:r>
            <w:r w:rsidR="0020006D" w:rsidRPr="00523D39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.</w:t>
            </w:r>
            <w:r w:rsidR="002372AB" w:rsidRPr="00790AAF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2</w:t>
            </w:r>
          </w:p>
          <w:p w14:paraId="4599FEC3" w14:textId="09D45FF0" w:rsidR="00BC394C" w:rsidRPr="00B75CA1" w:rsidRDefault="00BC394C" w:rsidP="00B75CA1">
            <w:pPr>
              <w:tabs>
                <w:tab w:val="clear" w:pos="567"/>
              </w:tabs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B75CA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Париж, 2</w:t>
            </w:r>
            <w:r w:rsidR="002372AB" w:rsidRPr="00790AA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6</w:t>
            </w:r>
            <w:r w:rsidRPr="00B75CA1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июня 2024</w:t>
            </w:r>
            <w:r w:rsidR="0096246E" w:rsidRPr="00B75CA1">
              <w:rPr>
                <w:rFonts w:asciiTheme="minorBidi" w:hAnsiTheme="minorBidi" w:cstheme="minorBidi"/>
                <w:sz w:val="22"/>
                <w:szCs w:val="22"/>
                <w:lang w:val="en-US"/>
              </w:rPr>
              <w:t> </w:t>
            </w:r>
            <w:r w:rsidRPr="00B75CA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г.</w:t>
            </w:r>
          </w:p>
          <w:p w14:paraId="3FCF6797" w14:textId="77777777" w:rsidR="00BC394C" w:rsidRPr="00B75CA1" w:rsidRDefault="00BC394C" w:rsidP="00B75CA1">
            <w:pPr>
              <w:tabs>
                <w:tab w:val="clear" w:pos="567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B75CA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4CA7F3BC" w14:textId="77777777" w:rsidR="00BC394C" w:rsidRPr="00B75CA1" w:rsidRDefault="00BC394C" w:rsidP="00B75CA1">
      <w:pPr>
        <w:spacing w:after="240"/>
        <w:rPr>
          <w:rFonts w:asciiTheme="minorBidi" w:hAnsiTheme="minorBidi" w:cstheme="minorBidi"/>
          <w:sz w:val="22"/>
          <w:szCs w:val="22"/>
        </w:rPr>
      </w:pPr>
    </w:p>
    <w:p w14:paraId="623E3F59" w14:textId="77777777" w:rsidR="002C28A8" w:rsidRPr="00B75CA1" w:rsidRDefault="002C28A8" w:rsidP="00B75CA1">
      <w:pPr>
        <w:spacing w:after="240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ПРОЕКТ РЕЗОЛЮЦИИ EC-57/</w:t>
      </w:r>
      <w:proofErr w:type="gramStart"/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DR.[</w:t>
      </w:r>
      <w:proofErr w:type="gramEnd"/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4.7],</w:t>
      </w:r>
    </w:p>
    <w:p w14:paraId="09112130" w14:textId="5F2BEE33" w:rsidR="002C28A8" w:rsidRPr="00B75CA1" w:rsidRDefault="002C28A8" w:rsidP="0020006D">
      <w:pPr>
        <w:spacing w:after="240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представленный </w:t>
      </w:r>
      <w:r w:rsidR="0020006D">
        <w:rPr>
          <w:rFonts w:asciiTheme="minorBidi" w:hAnsiTheme="minorBidi" w:cstheme="minorBidi"/>
          <w:sz w:val="22"/>
          <w:szCs w:val="22"/>
          <w:lang w:val="ru-RU"/>
        </w:rPr>
        <w:t xml:space="preserve">Германией,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Индией, Марокко и Португалией</w:t>
      </w:r>
    </w:p>
    <w:p w14:paraId="7132D878" w14:textId="7B4365DD" w:rsidR="004B1009" w:rsidRPr="00DA7E73" w:rsidRDefault="0050209F" w:rsidP="00B75CA1">
      <w:pPr>
        <w:spacing w:after="240"/>
        <w:rPr>
          <w:rStyle w:val="Heading2Char"/>
          <w:rFonts w:asciiTheme="minorBidi" w:hAnsiTheme="minorBidi" w:cstheme="minorBidi"/>
          <w:szCs w:val="24"/>
          <w:lang w:val="ru-RU"/>
        </w:rPr>
      </w:pPr>
      <w:r w:rsidRPr="00DA7E73">
        <w:rPr>
          <w:rFonts w:asciiTheme="minorBidi" w:hAnsiTheme="minorBidi" w:cstheme="minorBidi"/>
          <w:b/>
          <w:bCs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(2021-2030 гг.)</w:t>
      </w:r>
    </w:p>
    <w:p w14:paraId="46A76FFA" w14:textId="77777777" w:rsidR="002C28A8" w:rsidRDefault="00252C0F" w:rsidP="00B75CA1">
      <w:pPr>
        <w:spacing w:after="240"/>
        <w:rPr>
          <w:rFonts w:asciiTheme="minorBidi" w:hAnsiTheme="minorBidi" w:cstheme="minorBidi"/>
          <w:sz w:val="22"/>
          <w:szCs w:val="22"/>
          <w:lang w:val="en-US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совет, </w:t>
      </w:r>
    </w:p>
    <w:p w14:paraId="19E0FEE0" w14:textId="107126A4" w:rsidR="002372AB" w:rsidRPr="00790AAF" w:rsidRDefault="002372AB" w:rsidP="00790AAF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en-US"/>
        </w:rPr>
      </w:pPr>
      <w:r w:rsidRPr="00790AAF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Часть </w:t>
      </w:r>
      <w:r w:rsidRPr="00790AAF">
        <w:rPr>
          <w:rFonts w:asciiTheme="minorBidi" w:hAnsiTheme="minorBidi" w:cstheme="minorBidi"/>
          <w:b/>
          <w:bCs/>
          <w:sz w:val="22"/>
          <w:szCs w:val="22"/>
          <w:lang w:val="en-US"/>
        </w:rPr>
        <w:t>I</w:t>
      </w:r>
    </w:p>
    <w:p w14:paraId="207F9161" w14:textId="77777777" w:rsidR="004B1009" w:rsidRPr="00B75CA1" w:rsidRDefault="0050209F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МОК EC-53/1, A-31/1, А-32/3 и EC-55/1, касающихся проведения Десятилетия Организации Объединенных Наций, посвященного науке об океане в интересах устойчивого развития (2021-2030 гг.), именуемого далее «Десятилетие»,</w:t>
      </w:r>
    </w:p>
    <w:p w14:paraId="62D9E43E" w14:textId="277905BB" w:rsidR="004B1009" w:rsidRPr="00B75CA1" w:rsidRDefault="00B0721F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IOC/ЕС-57/4.7.Doc(1), касающийся проведения Десятилетия Организации Объединенных Наций, посвященного науке об океане в интересах устойчивого развития (2021-2030 гг.), и планов на 2025 г.,</w:t>
      </w:r>
    </w:p>
    <w:p w14:paraId="5C16046D" w14:textId="35604436" w:rsidR="004B1009" w:rsidRPr="00B75CA1" w:rsidRDefault="00F15785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отмечает с удовлетворением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вклад Консультативного совета по вопросам проведения Десятилетия (КСД) в реализацию плана и продуманную организацию Десятилетия и </w:t>
      </w: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приветствует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обновление его членского состава на период 2024-2025 гг. в соответствии с кругом ведения КСД;</w:t>
      </w:r>
    </w:p>
    <w:p w14:paraId="53B4A4A2" w14:textId="4D47A1B0" w:rsidR="0062287C" w:rsidRPr="00B75CA1" w:rsidRDefault="00C512E0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приветствует также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разработку в рамках Десятилетия океана механизма под названием «На пути к 2030 году», призванного повысить эффективность стратегии осуществления плана Десятилетия с его десятью приоритетными задачами и </w:t>
      </w: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благодарит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сопредседателей и членов рабочих групп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 по механизму «На пути к 2020 году»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11D20C90" w14:textId="139FA2A1" w:rsidR="00EE6C59" w:rsidRPr="00B75CA1" w:rsidRDefault="00C512E0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положительные результаты, достигнутые в ходе посвященной Десятилетию океана конференции 2024 г., и </w:t>
      </w: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благодарность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правительству Испании, </w:t>
      </w:r>
      <w:proofErr w:type="spellStart"/>
      <w:r w:rsidR="002372AB" w:rsidRPr="00B75CA1">
        <w:rPr>
          <w:rFonts w:asciiTheme="minorBidi" w:hAnsiTheme="minorBidi" w:cstheme="minorBidi"/>
          <w:sz w:val="22"/>
          <w:szCs w:val="22"/>
          <w:lang w:val="ru-RU"/>
        </w:rPr>
        <w:t>женералитету</w:t>
      </w:r>
      <w:proofErr w:type="spellEnd"/>
      <w:r w:rsidR="002372AB"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Каталонии 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и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мэрии Барселоны за проведение этого мероприятия; </w:t>
      </w:r>
    </w:p>
    <w:p w14:paraId="541CCF4A" w14:textId="19229418" w:rsidR="004B1009" w:rsidRPr="00790AAF" w:rsidRDefault="00C512E0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заявляет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о своей поддержке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реализации </w:t>
      </w:r>
      <w:r w:rsidRPr="00790AAF">
        <w:rPr>
          <w:rFonts w:asciiTheme="minorBidi" w:hAnsiTheme="minorBidi" w:cstheme="minorBidi"/>
          <w:sz w:val="22"/>
          <w:szCs w:val="22"/>
          <w:lang w:val="ru-RU"/>
        </w:rPr>
        <w:t xml:space="preserve">приоритетов и рекомендаций, изложенных в </w:t>
      </w:r>
      <w:r w:rsidR="002372AB" w:rsidRPr="00790AAF">
        <w:rPr>
          <w:rFonts w:asciiTheme="minorBidi" w:hAnsiTheme="minorBidi" w:cstheme="minorBidi"/>
          <w:sz w:val="22"/>
          <w:szCs w:val="22"/>
          <w:lang w:val="ru-RU"/>
        </w:rPr>
        <w:t>Барселонском заявлении</w:t>
      </w:r>
      <w:r w:rsidR="002372AB" w:rsidRPr="00790AAF">
        <w:rPr>
          <w:rStyle w:val="FootnoteReference"/>
          <w:rFonts w:asciiTheme="minorBidi" w:hAnsiTheme="minorBidi" w:cstheme="minorBidi"/>
          <w:sz w:val="22"/>
          <w:szCs w:val="22"/>
          <w:lang w:val="ru-RU"/>
        </w:rPr>
        <w:footnoteReference w:id="1"/>
      </w:r>
      <w:r w:rsidRPr="00790AAF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</w:p>
    <w:p w14:paraId="70492E0F" w14:textId="77777777" w:rsidR="004B1009" w:rsidRPr="00B75CA1" w:rsidRDefault="0050209F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государствам-членам и партнерам:</w:t>
      </w:r>
    </w:p>
    <w:p w14:paraId="4278F008" w14:textId="77DBC702" w:rsidR="00B0721F" w:rsidRPr="00B75CA1" w:rsidRDefault="006F1E83" w:rsidP="00DA7E73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включить сформулированные в рамках механизма Десятилетия океана </w:t>
      </w:r>
      <w:r w:rsidR="00B75CA1" w:rsidRPr="00B75CA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На пути к 2030</w:t>
      </w:r>
      <w:r w:rsidR="00B75CA1">
        <w:rPr>
          <w:rFonts w:asciiTheme="minorBidi" w:hAnsiTheme="minorBidi" w:cstheme="minorBidi"/>
          <w:sz w:val="22"/>
          <w:szCs w:val="22"/>
          <w:lang w:val="fr-FR"/>
        </w:rPr>
        <w:t> 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г.</w:t>
      </w:r>
      <w:r w:rsidR="00B75CA1" w:rsidRPr="00B75CA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приоритеты и рекомендации в их национальные и региональные рамочные нормативные акты по научным и стратегическим вопросам и использовать их для обоснования решений, касающихся бюджета и выделения средств; </w:t>
      </w:r>
    </w:p>
    <w:p w14:paraId="1021B233" w14:textId="5E28717E" w:rsidR="0050209F" w:rsidRPr="00B75CA1" w:rsidRDefault="0050209F" w:rsidP="00DA7E73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предоставить добровольные финансовые взносы в поддержку работы секретариата МОК по координации связанной с Десятилетием деятельности, включая помощь в натуральной форме (в частности, прикомандирование сотрудников и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lastRenderedPageBreak/>
        <w:t>временное предоставление персонала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групп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>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по координации проведения Десятилетия (ГКД); </w:t>
      </w:r>
    </w:p>
    <w:p w14:paraId="77BE00A7" w14:textId="74D10A02" w:rsidR="0050209F" w:rsidRPr="00B75CA1" w:rsidRDefault="0050209F" w:rsidP="00016E32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выступить с предложениями относительно размещения на своей территории и покрытия финансовых расходов бюро по координации проведения Десятилетия (БКД) и центров сотрудничества в рамках Десятилетия (ЦСД), а также финансирования связанной с Десятилетием деятельности в порядке, предусмотренном в плане проведения Десятилетия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proofErr w:type="spellStart"/>
      <w:r w:rsidR="002372AB">
        <w:rPr>
          <w:rFonts w:asciiTheme="minorBidi" w:hAnsiTheme="minorBidi" w:cstheme="minorBidi"/>
          <w:sz w:val="22"/>
          <w:szCs w:val="22"/>
          <w:lang w:val="ru-RU"/>
        </w:rPr>
        <w:t>вып</w:t>
      </w:r>
      <w:proofErr w:type="spellEnd"/>
      <w:r w:rsidR="002372AB">
        <w:rPr>
          <w:rFonts w:asciiTheme="minorBidi" w:hAnsiTheme="minorBidi" w:cstheme="minorBidi"/>
          <w:sz w:val="22"/>
          <w:szCs w:val="22"/>
          <w:lang w:val="ru-RU"/>
        </w:rPr>
        <w:t>. 20 в серии публикаций Десятилетия океана МОК)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; </w:t>
      </w:r>
    </w:p>
    <w:p w14:paraId="4F2BF45D" w14:textId="7E07B1C7" w:rsidR="00B44157" w:rsidRPr="00B75CA1" w:rsidRDefault="0050209F" w:rsidP="00DA7E73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создать национальные комитеты по проведению Десятилетия (НКД), с тем чтобы стимулировать проведение мероприятий на национальном уровне и международное сотрудничество;  </w:t>
      </w:r>
    </w:p>
    <w:p w14:paraId="644A6AA0" w14:textId="3B8AE144" w:rsidR="00B44157" w:rsidRPr="00B75CA1" w:rsidRDefault="0050209F" w:rsidP="00DA7E73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организовывать у себя региональные или международные мероприятия для участвующих в Десятилетии заинтересованных сторон;</w:t>
      </w:r>
    </w:p>
    <w:p w14:paraId="15E969F9" w14:textId="268270EA" w:rsidR="004B1009" w:rsidRDefault="00C512E0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 также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>государствам</w:t>
      </w:r>
      <w:r w:rsidR="00DC0596" w:rsidRPr="00DC059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DC0596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DC0596" w:rsidRPr="00DC059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членам ООН,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членам сети «ООН-океаны»,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</w:t>
      </w:r>
      <w:r w:rsidR="002372AB" w:rsidRPr="00B75CA1">
        <w:rPr>
          <w:rFonts w:asciiTheme="minorBidi" w:hAnsiTheme="minorBidi" w:cstheme="minorBidi"/>
          <w:sz w:val="22"/>
          <w:szCs w:val="22"/>
          <w:lang w:val="ru-RU"/>
        </w:rPr>
        <w:t xml:space="preserve">в соответствии с планом проведения Десятилетия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и поддержки в практической реализации приоритетов и рекомендаций механизма </w:t>
      </w:r>
      <w:r w:rsidR="00B75CA1" w:rsidRPr="00B75CA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На пути к 2030 г.</w:t>
      </w:r>
      <w:r w:rsidR="00B75CA1" w:rsidRPr="00B75CA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7D4E908" w14:textId="1AECC2F2" w:rsidR="002372AB" w:rsidRPr="002372AB" w:rsidRDefault="002372AB" w:rsidP="00DC0596">
      <w:pPr>
        <w:pStyle w:val="ListParagraph"/>
        <w:spacing w:after="240"/>
        <w:ind w:left="567"/>
        <w:contextualSpacing w:val="0"/>
        <w:jc w:val="center"/>
        <w:rPr>
          <w:rFonts w:asciiTheme="minorBidi" w:hAnsiTheme="minorBidi" w:cstheme="minorBidi"/>
          <w:i/>
          <w:sz w:val="22"/>
          <w:szCs w:val="22"/>
          <w:lang w:val="ru-RU"/>
        </w:rPr>
      </w:pP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Часть 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>II</w:t>
      </w:r>
    </w:p>
    <w:p w14:paraId="781351DD" w14:textId="608B76D9" w:rsidR="0020006D" w:rsidRPr="00B75CA1" w:rsidRDefault="0020006D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 документ </w:t>
      </w:r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IOC</w:t>
      </w:r>
      <w:r w:rsidRPr="00523D39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/</w:t>
      </w:r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EC</w:t>
      </w:r>
      <w:r w:rsidRPr="00523D39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-57/4.7.</w:t>
      </w:r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Doc</w:t>
      </w:r>
      <w:r w:rsidRPr="00523D39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(2),</w:t>
      </w:r>
    </w:p>
    <w:p w14:paraId="369333E0" w14:textId="5E8DF5D3" w:rsidR="00AC3463" w:rsidRPr="00B75CA1" w:rsidRDefault="00C512E0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 также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проект концептуальных рамок для среднесрочной оценки Десятилетия океана</w:t>
      </w:r>
      <w:r w:rsidR="0020006D">
        <w:rPr>
          <w:rFonts w:asciiTheme="minorBidi" w:hAnsiTheme="minorBidi" w:cstheme="minorBidi"/>
          <w:sz w:val="22"/>
          <w:szCs w:val="22"/>
          <w:lang w:val="ru-RU"/>
        </w:rPr>
        <w:t>, включая обсуждавшиеся в ходе сессии поправки,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Исполнительного секретаря МОК 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провести среднесрочную оценку в 2024-2025 гг.,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представить доклад о </w:t>
      </w:r>
      <w:r w:rsidR="0020006D">
        <w:rPr>
          <w:rFonts w:asciiTheme="minorBidi" w:hAnsiTheme="minorBidi" w:cstheme="minorBidi"/>
          <w:sz w:val="22"/>
          <w:szCs w:val="22"/>
          <w:lang w:val="ru-RU"/>
        </w:rPr>
        <w:t xml:space="preserve">ее рекомендациях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Ассамблее МОК на ее 33-й сессии</w:t>
      </w:r>
      <w:r w:rsidR="0020006D">
        <w:rPr>
          <w:rFonts w:asciiTheme="minorBidi" w:hAnsiTheme="minorBidi" w:cstheme="minorBidi"/>
          <w:sz w:val="22"/>
          <w:szCs w:val="22"/>
          <w:lang w:val="ru-RU"/>
        </w:rPr>
        <w:t xml:space="preserve"> и предложить соответствующие решения для выполнения этих рекомендаций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4839D79D" w14:textId="6A96D45A" w:rsidR="004B1009" w:rsidRPr="00B75CA1" w:rsidRDefault="001C6E49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правительствам Бельгии (правительству Фландрии), 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Германии, Ирландии,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Канады, Норвегии, Португалии, Республики Корея, Швеции, Франции, Японии, а также организации REV-Ocean компании и FUGRO за ценный финансовый вклад в проведение Десятилетия;</w:t>
      </w:r>
    </w:p>
    <w:p w14:paraId="6E11878F" w14:textId="61AFE5EE" w:rsidR="00500176" w:rsidRPr="00B75CA1" w:rsidRDefault="00F97A1A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 также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: </w:t>
      </w:r>
    </w:p>
    <w:p w14:paraId="318A7DE0" w14:textId="77777777" w:rsidR="00500176" w:rsidRPr="00B75CA1" w:rsidRDefault="00500176" w:rsidP="00DA7E73">
      <w:pPr>
        <w:pStyle w:val="ListParagraph"/>
        <w:numPr>
          <w:ilvl w:val="0"/>
          <w:numId w:val="22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правительству Таиланда за проведение 22-25 апреля 2024 г. в Бангкоке второй региональной конференции в рамках Десятилетия океана;</w:t>
      </w:r>
    </w:p>
    <w:p w14:paraId="290BB6D8" w14:textId="0D0C754F" w:rsidR="00500176" w:rsidRPr="00B75CA1" w:rsidRDefault="00500176" w:rsidP="00DA7E73">
      <w:pPr>
        <w:pStyle w:val="ListParagraph"/>
        <w:numPr>
          <w:ilvl w:val="0"/>
          <w:numId w:val="22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правительству Индии за проведение 1-3 февраля 2024 г. в Хайдарабаде региональной конференции в рамках Десятилетия океана для стран Индийского океана;</w:t>
      </w:r>
    </w:p>
    <w:p w14:paraId="41724659" w14:textId="77777777" w:rsidR="0050209F" w:rsidRPr="00B75CA1" w:rsidRDefault="0050209F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включение в план Десятилетия новых мероприятий, которые будут осуществляться по инициативе и под руководством МОК, в частности, таких как:</w:t>
      </w:r>
    </w:p>
    <w:p w14:paraId="5801A1EB" w14:textId="7782C557" w:rsidR="00AC3463" w:rsidRPr="00B75CA1" w:rsidRDefault="002372AB" w:rsidP="00DA7E73">
      <w:pPr>
        <w:pStyle w:val="ListParagraph"/>
        <w:numPr>
          <w:ilvl w:val="0"/>
          <w:numId w:val="2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Программа по поиску решения проблемы вредоносного цветения водорослей</w:t>
      </w:r>
      <w:r w:rsidR="00B85B24"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1AD8930" w14:textId="6ED9A2BF" w:rsidR="00500176" w:rsidRPr="00B75CA1" w:rsidRDefault="002372AB" w:rsidP="00DA7E73">
      <w:pPr>
        <w:pStyle w:val="ListParagraph"/>
        <w:numPr>
          <w:ilvl w:val="0"/>
          <w:numId w:val="2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океана по устойчивому планированию в сфере океана</w:t>
      </w:r>
      <w:r w:rsidR="00B85B24"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0974E7F5" w14:textId="2B522058" w:rsidR="00AC3463" w:rsidRPr="00B75CA1" w:rsidRDefault="002372AB" w:rsidP="00DA7E73">
      <w:pPr>
        <w:pStyle w:val="ListParagraph"/>
        <w:numPr>
          <w:ilvl w:val="0"/>
          <w:numId w:val="2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океана SEAWARD для Африки</w:t>
      </w:r>
      <w:r w:rsidR="00AC3463"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64F35C99" w14:textId="77777777" w:rsidR="00CA6CC2" w:rsidRPr="00B75CA1" w:rsidRDefault="00CA6CC2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одобряет также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взаимодействию с партнерами, в частности:</w:t>
      </w:r>
    </w:p>
    <w:p w14:paraId="67343511" w14:textId="02CF1161" w:rsidR="00CA6CC2" w:rsidRPr="00B75CA1" w:rsidRDefault="00CA6CC2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ВЕСТПАК функции БКД в странах западной части Тихого океана;</w:t>
      </w:r>
    </w:p>
    <w:p w14:paraId="58E4C50F" w14:textId="77777777" w:rsidR="00CA6CC2" w:rsidRPr="00B75CA1" w:rsidRDefault="00CA6CC2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МОКАРИБ функции БКД в тропических странах Америки и Карибского бассейна;</w:t>
      </w:r>
    </w:p>
    <w:p w14:paraId="5B68C244" w14:textId="77777777" w:rsidR="00CA6CC2" w:rsidRPr="00B75CA1" w:rsidRDefault="00CA6CC2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МОКАФРИКА функции БКД в странах Африки;</w:t>
      </w:r>
    </w:p>
    <w:p w14:paraId="5CF1812B" w14:textId="77777777" w:rsidR="00CA6CC2" w:rsidRPr="00B75CA1" w:rsidRDefault="00CA6CC2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выполнение бюро по программе МООД функции БКД в области обмена океанографическими данными; </w:t>
      </w:r>
    </w:p>
    <w:p w14:paraId="37F53FFD" w14:textId="77777777" w:rsidR="00CA6CC2" w:rsidRPr="00B75CA1" w:rsidRDefault="00CA6CC2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>выполнение бюро по проектам ГСНО функции БКД в области океанографических наблюдений;</w:t>
      </w:r>
    </w:p>
    <w:p w14:paraId="56A49FEE" w14:textId="555625F3" w:rsidR="00B85B24" w:rsidRPr="00B75CA1" w:rsidRDefault="00500176" w:rsidP="00DA7E73">
      <w:pPr>
        <w:pStyle w:val="ListParagraph"/>
        <w:numPr>
          <w:ilvl w:val="0"/>
          <w:numId w:val="2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iCs/>
          <w:color w:val="000000" w:themeColor="text1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выполнение региональным бюро ЮНЕСКО по науке и культуре в Европе функции БКД по проекту </w:t>
      </w:r>
      <w:r w:rsidR="00DC5EB3" w:rsidRPr="00DC5EB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Связь между людьми и океаном</w:t>
      </w:r>
      <w:r w:rsidR="00DC5EB3" w:rsidRPr="00DC5EB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04985132" w14:textId="38B22069" w:rsidR="00CA6CC2" w:rsidRPr="00B75CA1" w:rsidRDefault="00CA6CC2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b/>
          <w:bCs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 далее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 потребности в ресурсах, определенные</w:t>
      </w:r>
      <w:r w:rsidR="002372AB">
        <w:rPr>
          <w:rFonts w:asciiTheme="minorBidi" w:hAnsiTheme="minorBidi" w:cstheme="minorBidi"/>
          <w:sz w:val="22"/>
          <w:szCs w:val="22"/>
          <w:lang w:val="ru-RU"/>
        </w:rPr>
        <w:t xml:space="preserve"> ГКД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 xml:space="preserve">, БКД, функционирующими под руководством МОК, и для мероприятий Десятилетия, проводимых по инициативе МОК, с тем чтобы они могли выполнять свои обязательства в рамках Десятилетия; </w:t>
      </w:r>
    </w:p>
    <w:p w14:paraId="626F9592" w14:textId="77777777" w:rsidR="00CA6CC2" w:rsidRPr="00B75CA1" w:rsidRDefault="00CA6CC2" w:rsidP="00DA7E73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B75CA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далее </w:t>
      </w:r>
      <w:r w:rsidRPr="00B75CA1">
        <w:rPr>
          <w:rFonts w:asciiTheme="minorBidi" w:hAnsiTheme="minorBidi" w:cstheme="minorBidi"/>
          <w:sz w:val="22"/>
          <w:szCs w:val="22"/>
          <w:lang w:val="ru-RU"/>
        </w:rPr>
        <w:t>государствам-членам, партнерам и организациям-донорам поддержать мероприятия, осуществляемые в рамках Десятилетия под руководством МОК, 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активного содействия  дальнейшей деятельности в рамках Десятилетия и по его завершении.</w:t>
      </w:r>
    </w:p>
    <w:p w14:paraId="58658C44" w14:textId="77777777" w:rsidR="002C28A8" w:rsidRPr="00B75CA1" w:rsidRDefault="002C28A8" w:rsidP="00B75CA1">
      <w:pPr>
        <w:keepNext/>
        <w:tabs>
          <w:tab w:val="clear" w:pos="567"/>
          <w:tab w:val="num" w:pos="1400"/>
        </w:tabs>
        <w:snapToGrid/>
        <w:spacing w:after="240"/>
        <w:ind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</w:p>
    <w:sectPr w:rsidR="002C28A8" w:rsidRPr="00B75CA1" w:rsidSect="006A5242">
      <w:headerReference w:type="even" r:id="rId8"/>
      <w:headerReference w:type="default" r:id="rId9"/>
      <w:headerReference w:type="first" r:id="rId10"/>
      <w:pgSz w:w="11906" w:h="16838" w:code="9"/>
      <w:pgMar w:top="113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F85D1" w14:textId="77777777" w:rsidR="00E64DC9" w:rsidRDefault="00E64DC9" w:rsidP="0073078E">
      <w:r>
        <w:separator/>
      </w:r>
    </w:p>
  </w:endnote>
  <w:endnote w:type="continuationSeparator" w:id="0">
    <w:p w14:paraId="3A84A490" w14:textId="77777777" w:rsidR="00E64DC9" w:rsidRDefault="00E64DC9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F76FE" w14:textId="77777777" w:rsidR="00E64DC9" w:rsidRDefault="00E64DC9" w:rsidP="0073078E">
      <w:r>
        <w:separator/>
      </w:r>
    </w:p>
  </w:footnote>
  <w:footnote w:type="continuationSeparator" w:id="0">
    <w:p w14:paraId="28AA5F54" w14:textId="77777777" w:rsidR="00E64DC9" w:rsidRDefault="00E64DC9" w:rsidP="0073078E">
      <w:r>
        <w:continuationSeparator/>
      </w:r>
    </w:p>
  </w:footnote>
  <w:footnote w:id="1">
    <w:p w14:paraId="77E8253F" w14:textId="17310D47" w:rsidR="002372AB" w:rsidRPr="00790AAF" w:rsidRDefault="002372AB" w:rsidP="00790AAF">
      <w:pPr>
        <w:pStyle w:val="FootnoteText"/>
        <w:tabs>
          <w:tab w:val="clear" w:pos="709"/>
        </w:tabs>
        <w:rPr>
          <w:rFonts w:asciiTheme="minorBidi" w:hAnsiTheme="minorBidi" w:cstheme="minorBidi"/>
          <w:lang w:val="ru-RU"/>
        </w:rPr>
      </w:pPr>
      <w:r w:rsidRPr="00790AAF">
        <w:rPr>
          <w:rStyle w:val="FootnoteReference"/>
          <w:rFonts w:asciiTheme="minorBidi" w:hAnsiTheme="minorBidi" w:cstheme="minorBidi"/>
        </w:rPr>
        <w:footnoteRef/>
      </w:r>
      <w:r w:rsidRPr="00790AAF">
        <w:rPr>
          <w:rFonts w:asciiTheme="minorBidi" w:hAnsiTheme="minorBidi" w:cstheme="minorBidi"/>
        </w:rPr>
        <w:t xml:space="preserve"> </w:t>
      </w:r>
      <w:r w:rsidR="00790AAF">
        <w:rPr>
          <w:rFonts w:asciiTheme="minorBidi" w:hAnsiTheme="minorBidi" w:cstheme="minorBidi"/>
        </w:rPr>
        <w:tab/>
      </w:r>
      <w:r w:rsidRPr="00790AAF">
        <w:rPr>
          <w:rFonts w:asciiTheme="minorBidi" w:hAnsiTheme="minorBidi" w:cstheme="minorBidi"/>
        </w:rPr>
        <w:t>https://oceanexpert.org/document/34098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BBE6" w14:textId="5FCB893D" w:rsidR="0073078E" w:rsidRPr="00DA7E73" w:rsidRDefault="00CA6CC2" w:rsidP="00DA7E73">
    <w:pPr>
      <w:pStyle w:val="Header"/>
      <w:rPr>
        <w:rFonts w:asciiTheme="minorBidi" w:hAnsiTheme="minorBidi" w:cstheme="minorBidi"/>
        <w:sz w:val="22"/>
        <w:szCs w:val="22"/>
        <w:lang w:val="fr-FR"/>
      </w:rPr>
    </w:pPr>
    <w:r w:rsidRPr="00DA7E73">
      <w:rPr>
        <w:rFonts w:asciiTheme="minorBidi" w:hAnsiTheme="minorBidi" w:cstheme="minorBidi"/>
        <w:sz w:val="22"/>
        <w:szCs w:val="22"/>
        <w:lang w:val="ru-RU"/>
      </w:rPr>
      <w:t>EC-57/</w:t>
    </w:r>
    <w:proofErr w:type="gramStart"/>
    <w:r w:rsidRPr="00DA7E73">
      <w:rPr>
        <w:rFonts w:asciiTheme="minorBidi" w:hAnsiTheme="minorBidi" w:cstheme="minorBidi"/>
        <w:sz w:val="22"/>
        <w:szCs w:val="22"/>
        <w:lang w:val="ru-RU"/>
      </w:rPr>
      <w:t>DR.[</w:t>
    </w:r>
    <w:proofErr w:type="gramEnd"/>
    <w:r w:rsidRPr="00DA7E73">
      <w:rPr>
        <w:rFonts w:asciiTheme="minorBidi" w:hAnsiTheme="minorBidi" w:cstheme="minorBidi"/>
        <w:sz w:val="22"/>
        <w:szCs w:val="22"/>
        <w:lang w:val="ru-RU"/>
      </w:rPr>
      <w:t>4.7]</w:t>
    </w:r>
    <w:r w:rsidR="00523D39">
      <w:rPr>
        <w:rFonts w:asciiTheme="minorBidi" w:hAnsiTheme="minorBidi" w:cstheme="minorBidi"/>
        <w:sz w:val="22"/>
        <w:szCs w:val="22"/>
        <w:lang w:val="en-US"/>
      </w:rPr>
      <w:t xml:space="preserve"> Rev.</w:t>
    </w:r>
    <w:r w:rsidR="002372AB">
      <w:rPr>
        <w:rFonts w:asciiTheme="minorBidi" w:hAnsiTheme="minorBidi" w:cstheme="minorBidi"/>
        <w:sz w:val="22"/>
        <w:szCs w:val="22"/>
        <w:lang w:val="ru-RU"/>
      </w:rPr>
      <w:t>2</w:t>
    </w:r>
    <w:r w:rsidR="00DA7E73">
      <w:rPr>
        <w:rFonts w:asciiTheme="minorBidi" w:hAnsiTheme="minorBidi" w:cstheme="minorBidi"/>
        <w:sz w:val="22"/>
        <w:szCs w:val="22"/>
        <w:lang w:val="en-US"/>
      </w:rPr>
      <w:t xml:space="preserve"> – </w:t>
    </w:r>
    <w:r w:rsidR="0073078E" w:rsidRPr="00DA7E73">
      <w:rPr>
        <w:rFonts w:asciiTheme="minorBidi" w:hAnsiTheme="minorBidi" w:cstheme="minorBidi"/>
        <w:sz w:val="22"/>
        <w:szCs w:val="22"/>
        <w:lang w:val="fr-FR"/>
      </w:rPr>
      <w:t xml:space="preserve">page </w:t>
    </w:r>
    <w:r w:rsidR="00DC168C" w:rsidRPr="00DA7E73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="00DC168C" w:rsidRPr="00DA7E73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="00DC168C" w:rsidRPr="00DA7E73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="004B1009" w:rsidRPr="00DA7E73">
      <w:rPr>
        <w:rFonts w:asciiTheme="minorBidi" w:hAnsiTheme="minorBidi" w:cstheme="minorBidi"/>
        <w:noProof/>
        <w:sz w:val="22"/>
        <w:szCs w:val="22"/>
        <w:lang w:val="fr-FR"/>
      </w:rPr>
      <w:t>2</w:t>
    </w:r>
    <w:r w:rsidR="00DC168C" w:rsidRPr="00DA7E73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  <w:p w14:paraId="077B39CE" w14:textId="77777777" w:rsidR="0073078E" w:rsidRDefault="0073078E">
    <w:pPr>
      <w:pStyle w:val="Header"/>
      <w:rPr>
        <w:lang w:val="fr-FR"/>
      </w:rPr>
    </w:pPr>
  </w:p>
  <w:p w14:paraId="690E3517" w14:textId="77777777" w:rsidR="00DB158C" w:rsidRPr="009C4402" w:rsidRDefault="00DB158C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D3BA" w14:textId="72C77BCF" w:rsidR="00CA6CC2" w:rsidRPr="00DA7E73" w:rsidRDefault="00CA6CC2" w:rsidP="00DA7E73">
    <w:pPr>
      <w:pStyle w:val="Header"/>
      <w:ind w:left="6521"/>
      <w:jc w:val="right"/>
      <w:rPr>
        <w:rFonts w:asciiTheme="minorBidi" w:hAnsiTheme="minorBidi" w:cstheme="minorBidi"/>
        <w:sz w:val="22"/>
        <w:szCs w:val="22"/>
        <w:lang w:val="fr-FR"/>
      </w:rPr>
    </w:pPr>
    <w:r w:rsidRPr="00DA7E73">
      <w:rPr>
        <w:rFonts w:asciiTheme="minorBidi" w:hAnsiTheme="minorBidi" w:cstheme="minorBidi"/>
        <w:sz w:val="22"/>
        <w:szCs w:val="22"/>
        <w:lang w:val="ru-RU"/>
      </w:rPr>
      <w:t>EC-57/</w:t>
    </w:r>
    <w:proofErr w:type="gramStart"/>
    <w:r w:rsidRPr="00DA7E73">
      <w:rPr>
        <w:rFonts w:asciiTheme="minorBidi" w:hAnsiTheme="minorBidi" w:cstheme="minorBidi"/>
        <w:sz w:val="22"/>
        <w:szCs w:val="22"/>
        <w:lang w:val="ru-RU"/>
      </w:rPr>
      <w:t>DR.[</w:t>
    </w:r>
    <w:proofErr w:type="gramEnd"/>
    <w:r w:rsidRPr="00DA7E73">
      <w:rPr>
        <w:rFonts w:asciiTheme="minorBidi" w:hAnsiTheme="minorBidi" w:cstheme="minorBidi"/>
        <w:sz w:val="22"/>
        <w:szCs w:val="22"/>
        <w:lang w:val="ru-RU"/>
      </w:rPr>
      <w:t>4.7]</w:t>
    </w:r>
    <w:r w:rsidR="00523D39">
      <w:rPr>
        <w:rFonts w:asciiTheme="minorBidi" w:hAnsiTheme="minorBidi" w:cstheme="minorBidi"/>
        <w:sz w:val="22"/>
        <w:szCs w:val="22"/>
        <w:lang w:val="en-US"/>
      </w:rPr>
      <w:t xml:space="preserve"> Rev.</w:t>
    </w:r>
    <w:r w:rsidR="00790AAF">
      <w:rPr>
        <w:rFonts w:asciiTheme="minorBidi" w:hAnsiTheme="minorBidi" w:cstheme="minorBidi"/>
        <w:sz w:val="22"/>
        <w:szCs w:val="22"/>
        <w:lang w:val="en-US"/>
      </w:rPr>
      <w:t>2</w:t>
    </w:r>
    <w:r w:rsidR="00DA7E73" w:rsidRPr="00DA7E73">
      <w:rPr>
        <w:rFonts w:asciiTheme="minorBidi" w:hAnsiTheme="minorBidi" w:cstheme="minorBidi"/>
        <w:sz w:val="22"/>
        <w:szCs w:val="22"/>
        <w:lang w:val="en-US"/>
      </w:rPr>
      <w:t xml:space="preserve"> – </w:t>
    </w:r>
    <w:r w:rsidRPr="00DA7E73">
      <w:rPr>
        <w:rFonts w:asciiTheme="minorBidi" w:hAnsiTheme="minorBidi" w:cstheme="minorBidi"/>
        <w:sz w:val="22"/>
        <w:szCs w:val="22"/>
        <w:lang w:val="fr-FR"/>
      </w:rPr>
      <w:t xml:space="preserve">page </w:t>
    </w:r>
    <w:r w:rsidRPr="00DA7E73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DA7E73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DA7E73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Pr="00DA7E73">
      <w:rPr>
        <w:rFonts w:asciiTheme="minorBidi" w:hAnsiTheme="minorBidi" w:cstheme="minorBidi"/>
        <w:sz w:val="22"/>
        <w:szCs w:val="22"/>
        <w:lang w:val="fr-FR"/>
      </w:rPr>
      <w:t>2</w:t>
    </w:r>
    <w:r w:rsidRPr="00DA7E73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  <w:p w14:paraId="42B27BAF" w14:textId="77777777" w:rsidR="00DE18E8" w:rsidRDefault="00DE18E8" w:rsidP="00CA6CC2">
    <w:pPr>
      <w:pStyle w:val="Header"/>
      <w:tabs>
        <w:tab w:val="left" w:pos="6840"/>
      </w:tabs>
      <w:ind w:left="7371"/>
      <w:rPr>
        <w:lang w:val="fr-FR"/>
      </w:rPr>
    </w:pPr>
  </w:p>
  <w:p w14:paraId="66369109" w14:textId="77777777" w:rsidR="00DB158C" w:rsidRPr="009C4402" w:rsidRDefault="00DB158C" w:rsidP="00CA6CC2">
    <w:pPr>
      <w:pStyle w:val="Header"/>
      <w:tabs>
        <w:tab w:val="left" w:pos="6840"/>
      </w:tabs>
      <w:ind w:left="7371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3464" w14:textId="77777777" w:rsidR="0073078E" w:rsidRDefault="0073078E">
    <w:pPr>
      <w:pStyle w:val="Header"/>
    </w:pPr>
  </w:p>
  <w:p w14:paraId="004E995A" w14:textId="77777777" w:rsidR="0073078E" w:rsidRDefault="0073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E74D92"/>
    <w:multiLevelType w:val="hybridMultilevel"/>
    <w:tmpl w:val="A196758C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2345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E3A410E"/>
    <w:multiLevelType w:val="hybridMultilevel"/>
    <w:tmpl w:val="560EA81A"/>
    <w:lvl w:ilvl="0" w:tplc="3020A3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32A7"/>
    <w:multiLevelType w:val="hybridMultilevel"/>
    <w:tmpl w:val="C7D25FDA"/>
    <w:lvl w:ilvl="0" w:tplc="0950C4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6BCE"/>
    <w:multiLevelType w:val="hybridMultilevel"/>
    <w:tmpl w:val="08A60DF0"/>
    <w:lvl w:ilvl="0" w:tplc="1ED68020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D5F55"/>
    <w:multiLevelType w:val="hybridMultilevel"/>
    <w:tmpl w:val="326E06BC"/>
    <w:lvl w:ilvl="0" w:tplc="DC0EC35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03E8"/>
    <w:multiLevelType w:val="hybridMultilevel"/>
    <w:tmpl w:val="2C5ADF48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3CFD65BF"/>
    <w:multiLevelType w:val="hybridMultilevel"/>
    <w:tmpl w:val="5FACC7FE"/>
    <w:lvl w:ilvl="0" w:tplc="432A244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9475A6"/>
    <w:multiLevelType w:val="hybridMultilevel"/>
    <w:tmpl w:val="F3BE6406"/>
    <w:lvl w:ilvl="0" w:tplc="6D68BCE4">
      <w:start w:val="1"/>
      <w:numFmt w:val="lowerRoman"/>
      <w:lvlText w:val="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79E8"/>
    <w:multiLevelType w:val="hybridMultilevel"/>
    <w:tmpl w:val="97A04970"/>
    <w:lvl w:ilvl="0" w:tplc="FFFFFFFF">
      <w:start w:val="1"/>
      <w:numFmt w:val="lowerRoman"/>
      <w:lvlText w:val="%1)"/>
      <w:lvlJc w:val="left"/>
      <w:pPr>
        <w:ind w:left="873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3031"/>
    <w:multiLevelType w:val="hybridMultilevel"/>
    <w:tmpl w:val="326E06B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3788"/>
    <w:multiLevelType w:val="hybridMultilevel"/>
    <w:tmpl w:val="369692A8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333A"/>
    <w:multiLevelType w:val="hybridMultilevel"/>
    <w:tmpl w:val="9E24788C"/>
    <w:lvl w:ilvl="0" w:tplc="DA126A4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234C0"/>
    <w:multiLevelType w:val="hybridMultilevel"/>
    <w:tmpl w:val="FE2A306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0FCF"/>
    <w:multiLevelType w:val="hybridMultilevel"/>
    <w:tmpl w:val="119A9F4C"/>
    <w:lvl w:ilvl="0" w:tplc="9280D43C">
      <w:start w:val="1"/>
      <w:numFmt w:val="lowerRoman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A4213"/>
    <w:multiLevelType w:val="hybridMultilevel"/>
    <w:tmpl w:val="97A04970"/>
    <w:lvl w:ilvl="0" w:tplc="6D68BCE4">
      <w:start w:val="1"/>
      <w:numFmt w:val="lowerRoman"/>
      <w:lvlText w:val="%1)"/>
      <w:lvlJc w:val="left"/>
      <w:pPr>
        <w:ind w:left="87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71F05144"/>
    <w:multiLevelType w:val="hybridMultilevel"/>
    <w:tmpl w:val="FE2A3060"/>
    <w:lvl w:ilvl="0" w:tplc="C59201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48292028">
    <w:abstractNumId w:val="13"/>
  </w:num>
  <w:num w:numId="2" w16cid:durableId="1906914479">
    <w:abstractNumId w:val="18"/>
  </w:num>
  <w:num w:numId="3" w16cid:durableId="1040007716">
    <w:abstractNumId w:val="0"/>
  </w:num>
  <w:num w:numId="4" w16cid:durableId="1533306017">
    <w:abstractNumId w:val="4"/>
  </w:num>
  <w:num w:numId="5" w16cid:durableId="1163395605">
    <w:abstractNumId w:val="11"/>
  </w:num>
  <w:num w:numId="6" w16cid:durableId="805857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450552">
    <w:abstractNumId w:val="2"/>
  </w:num>
  <w:num w:numId="8" w16cid:durableId="1500340876">
    <w:abstractNumId w:val="22"/>
  </w:num>
  <w:num w:numId="9" w16cid:durableId="1416827722">
    <w:abstractNumId w:val="19"/>
  </w:num>
  <w:num w:numId="10" w16cid:durableId="1356150359">
    <w:abstractNumId w:val="21"/>
  </w:num>
  <w:num w:numId="11" w16cid:durableId="1864515772">
    <w:abstractNumId w:val="9"/>
  </w:num>
  <w:num w:numId="12" w16cid:durableId="1011758760">
    <w:abstractNumId w:val="7"/>
  </w:num>
  <w:num w:numId="13" w16cid:durableId="689994629">
    <w:abstractNumId w:val="17"/>
  </w:num>
  <w:num w:numId="14" w16cid:durableId="1613169617">
    <w:abstractNumId w:val="6"/>
  </w:num>
  <w:num w:numId="15" w16cid:durableId="608977052">
    <w:abstractNumId w:val="14"/>
  </w:num>
  <w:num w:numId="16" w16cid:durableId="1752119284">
    <w:abstractNumId w:val="20"/>
  </w:num>
  <w:num w:numId="17" w16cid:durableId="1966737518">
    <w:abstractNumId w:val="3"/>
  </w:num>
  <w:num w:numId="18" w16cid:durableId="1589534355">
    <w:abstractNumId w:val="16"/>
  </w:num>
  <w:num w:numId="19" w16cid:durableId="1361206993">
    <w:abstractNumId w:val="10"/>
  </w:num>
  <w:num w:numId="20" w16cid:durableId="477111046">
    <w:abstractNumId w:val="12"/>
  </w:num>
  <w:num w:numId="21" w16cid:durableId="84499546">
    <w:abstractNumId w:val="5"/>
  </w:num>
  <w:num w:numId="22" w16cid:durableId="124200935">
    <w:abstractNumId w:val="8"/>
  </w:num>
  <w:num w:numId="23" w16cid:durableId="262802961">
    <w:abstractNumId w:val="1"/>
  </w:num>
  <w:num w:numId="24" w16cid:durableId="225839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F"/>
    <w:rsid w:val="00016E32"/>
    <w:rsid w:val="00023321"/>
    <w:rsid w:val="00033DD2"/>
    <w:rsid w:val="00052B5A"/>
    <w:rsid w:val="00053E67"/>
    <w:rsid w:val="00067B5F"/>
    <w:rsid w:val="00075333"/>
    <w:rsid w:val="00082AAA"/>
    <w:rsid w:val="000D0C6F"/>
    <w:rsid w:val="000D312B"/>
    <w:rsid w:val="000D4EDB"/>
    <w:rsid w:val="00100552"/>
    <w:rsid w:val="001105FE"/>
    <w:rsid w:val="0011490A"/>
    <w:rsid w:val="00130FBD"/>
    <w:rsid w:val="00183205"/>
    <w:rsid w:val="001A5EE6"/>
    <w:rsid w:val="001C6E49"/>
    <w:rsid w:val="001E29A9"/>
    <w:rsid w:val="001E3923"/>
    <w:rsid w:val="001F3D2C"/>
    <w:rsid w:val="0020006D"/>
    <w:rsid w:val="00205DCB"/>
    <w:rsid w:val="002066D1"/>
    <w:rsid w:val="00227D35"/>
    <w:rsid w:val="002372AB"/>
    <w:rsid w:val="00252C0F"/>
    <w:rsid w:val="0025642B"/>
    <w:rsid w:val="00276749"/>
    <w:rsid w:val="00290D11"/>
    <w:rsid w:val="00297B99"/>
    <w:rsid w:val="002C28A8"/>
    <w:rsid w:val="002C3EE1"/>
    <w:rsid w:val="002E41A7"/>
    <w:rsid w:val="003155E5"/>
    <w:rsid w:val="00391CE7"/>
    <w:rsid w:val="003A770C"/>
    <w:rsid w:val="003F0FCA"/>
    <w:rsid w:val="00413BC8"/>
    <w:rsid w:val="00452B11"/>
    <w:rsid w:val="00455021"/>
    <w:rsid w:val="00460755"/>
    <w:rsid w:val="00494C9A"/>
    <w:rsid w:val="004B1009"/>
    <w:rsid w:val="004D62AA"/>
    <w:rsid w:val="00500176"/>
    <w:rsid w:val="0050209F"/>
    <w:rsid w:val="0050224F"/>
    <w:rsid w:val="005039BF"/>
    <w:rsid w:val="00520D22"/>
    <w:rsid w:val="00523D39"/>
    <w:rsid w:val="00582E0E"/>
    <w:rsid w:val="00591D9E"/>
    <w:rsid w:val="005B3C25"/>
    <w:rsid w:val="005D7455"/>
    <w:rsid w:val="005E3B34"/>
    <w:rsid w:val="005F2AFD"/>
    <w:rsid w:val="00621A35"/>
    <w:rsid w:val="0062287C"/>
    <w:rsid w:val="006277C4"/>
    <w:rsid w:val="00630B82"/>
    <w:rsid w:val="00647902"/>
    <w:rsid w:val="00652CE7"/>
    <w:rsid w:val="0069493D"/>
    <w:rsid w:val="00696F63"/>
    <w:rsid w:val="006A4314"/>
    <w:rsid w:val="006A5242"/>
    <w:rsid w:val="006B2C31"/>
    <w:rsid w:val="006D4CD7"/>
    <w:rsid w:val="006F1E83"/>
    <w:rsid w:val="00707C8E"/>
    <w:rsid w:val="0073078E"/>
    <w:rsid w:val="00760B93"/>
    <w:rsid w:val="0076426A"/>
    <w:rsid w:val="00790AAF"/>
    <w:rsid w:val="00793396"/>
    <w:rsid w:val="007944EC"/>
    <w:rsid w:val="007B2843"/>
    <w:rsid w:val="007E2A6D"/>
    <w:rsid w:val="00821B0F"/>
    <w:rsid w:val="00856C2C"/>
    <w:rsid w:val="00861529"/>
    <w:rsid w:val="00891A95"/>
    <w:rsid w:val="008A3665"/>
    <w:rsid w:val="008B69B4"/>
    <w:rsid w:val="0093595A"/>
    <w:rsid w:val="009371D8"/>
    <w:rsid w:val="00947577"/>
    <w:rsid w:val="0096246E"/>
    <w:rsid w:val="00971C83"/>
    <w:rsid w:val="009C4402"/>
    <w:rsid w:val="009E2643"/>
    <w:rsid w:val="009E4457"/>
    <w:rsid w:val="009F7E71"/>
    <w:rsid w:val="00AB4A07"/>
    <w:rsid w:val="00AC3463"/>
    <w:rsid w:val="00AF2865"/>
    <w:rsid w:val="00AF7C78"/>
    <w:rsid w:val="00B0721F"/>
    <w:rsid w:val="00B11D93"/>
    <w:rsid w:val="00B15066"/>
    <w:rsid w:val="00B44157"/>
    <w:rsid w:val="00B75CA1"/>
    <w:rsid w:val="00B85B24"/>
    <w:rsid w:val="00B97A05"/>
    <w:rsid w:val="00BB175E"/>
    <w:rsid w:val="00BC394C"/>
    <w:rsid w:val="00BC46DF"/>
    <w:rsid w:val="00BC4EC3"/>
    <w:rsid w:val="00C16EAA"/>
    <w:rsid w:val="00C512E0"/>
    <w:rsid w:val="00C81BBE"/>
    <w:rsid w:val="00C83611"/>
    <w:rsid w:val="00C94407"/>
    <w:rsid w:val="00CA3810"/>
    <w:rsid w:val="00CA6CC2"/>
    <w:rsid w:val="00CB4381"/>
    <w:rsid w:val="00CB7687"/>
    <w:rsid w:val="00CC3161"/>
    <w:rsid w:val="00CD5615"/>
    <w:rsid w:val="00D0146F"/>
    <w:rsid w:val="00D1424C"/>
    <w:rsid w:val="00D34929"/>
    <w:rsid w:val="00D46D6A"/>
    <w:rsid w:val="00D50070"/>
    <w:rsid w:val="00D82BAB"/>
    <w:rsid w:val="00DA7E73"/>
    <w:rsid w:val="00DB158C"/>
    <w:rsid w:val="00DC0596"/>
    <w:rsid w:val="00DC168C"/>
    <w:rsid w:val="00DC5EB3"/>
    <w:rsid w:val="00DD3E05"/>
    <w:rsid w:val="00DD7428"/>
    <w:rsid w:val="00DE18E8"/>
    <w:rsid w:val="00E16607"/>
    <w:rsid w:val="00E23AA8"/>
    <w:rsid w:val="00E413C3"/>
    <w:rsid w:val="00E43149"/>
    <w:rsid w:val="00E64DC9"/>
    <w:rsid w:val="00E705B1"/>
    <w:rsid w:val="00E74967"/>
    <w:rsid w:val="00E90540"/>
    <w:rsid w:val="00EE6C59"/>
    <w:rsid w:val="00F153AE"/>
    <w:rsid w:val="00F15785"/>
    <w:rsid w:val="00F2071E"/>
    <w:rsid w:val="00F31487"/>
    <w:rsid w:val="00F8714C"/>
    <w:rsid w:val="00F901AC"/>
    <w:rsid w:val="00F97A1A"/>
    <w:rsid w:val="00F97EE6"/>
    <w:rsid w:val="00FE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045B"/>
  <w15:docId w15:val="{2FA9B0F0-1DA4-4BDE-AD96-3F0692A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customStyle="1" w:styleId="b">
    <w:name w:val="(b)"/>
    <w:basedOn w:val="Normal"/>
    <w:rsid w:val="0050209F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Revision">
    <w:name w:val="Revision"/>
    <w:hidden/>
    <w:uiPriority w:val="99"/>
    <w:semiHidden/>
    <w:rsid w:val="00D82BA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customStyle="1" w:styleId="Default">
    <w:name w:val="Default"/>
    <w:rsid w:val="00B07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7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21F"/>
    <w:rPr>
      <w:rFonts w:ascii="Times New Roman" w:eastAsia="Times New Roman" w:hAnsi="Times New Roman" w:cs="Times New Roman"/>
      <w:snapToGrid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21F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500176"/>
    <w:rPr>
      <w:i/>
      <w:iCs/>
    </w:rPr>
  </w:style>
  <w:style w:type="character" w:customStyle="1" w:styleId="apple-converted-space">
    <w:name w:val="apple-converted-space"/>
    <w:basedOn w:val="DefaultParagraphFont"/>
    <w:rsid w:val="00500176"/>
  </w:style>
  <w:style w:type="character" w:styleId="Hyperlink">
    <w:name w:val="Hyperlink"/>
    <w:basedOn w:val="DefaultParagraphFont"/>
    <w:uiPriority w:val="99"/>
    <w:unhideWhenUsed/>
    <w:rsid w:val="00F157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5AF3-A103-4DEF-9359-695CE9E1C7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Десятилетия Организации Объединенных Наций, посвященного науке об океане в интересах устойчивого развития (2021-2030 гг.)</dc:title>
  <dc:subject>EC-57/DR.[4.7] Rev.2</dc:subject>
  <dc:creator>Boned, Patrice</dc:creator>
  <dc:description/>
  <cp:lastModifiedBy>Boned, Patrice</cp:lastModifiedBy>
  <cp:revision>3</cp:revision>
  <cp:lastPrinted>2014-07-02T20:44:00Z</cp:lastPrinted>
  <dcterms:created xsi:type="dcterms:W3CDTF">2024-06-27T18:07:00Z</dcterms:created>
  <dcterms:modified xsi:type="dcterms:W3CDTF">2024-06-27T18:08:00Z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n_bogdanova</vt:lpwstr>
  </property>
  <property fmtid="{D5CDD505-2E9C-101B-9397-08002B2CF9AE}" pid="4" name="GeneratedDate">
    <vt:lpwstr>06/21/2024 07:41:58</vt:lpwstr>
  </property>
  <property fmtid="{D5CDD505-2E9C-101B-9397-08002B2CF9AE}" pid="5" name="OriginalDocID">
    <vt:lpwstr>9ae43564-e9c5-4dde-97ce-c6e88e22a3e2</vt:lpwstr>
  </property>
  <property fmtid="{D5CDD505-2E9C-101B-9397-08002B2CF9AE}" pid="6" name="JobDCPMS">
    <vt:lpwstr>2402905</vt:lpwstr>
  </property>
  <property fmtid="{D5CDD505-2E9C-101B-9397-08002B2CF9AE}" pid="7" name="Language">
    <vt:lpwstr>R</vt:lpwstr>
  </property>
</Properties>
</file>