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6"/>
      </w:tblGrid>
      <w:tr w:rsidR="003A60E3" w:rsidRPr="00577FAF" w14:paraId="78671A10" w14:textId="77777777">
        <w:tc>
          <w:tcPr>
            <w:tcW w:w="7796" w:type="dxa"/>
            <w:shd w:val="clear" w:color="auto" w:fill="auto"/>
          </w:tcPr>
          <w:p w14:paraId="0168DE85" w14:textId="77777777" w:rsidR="004C1803" w:rsidRPr="00577FAF" w:rsidRDefault="00CB6A57">
            <w:pPr>
              <w:spacing w:before="120" w:after="120"/>
              <w:ind w:left="34"/>
              <w:jc w:val="both"/>
              <w:rPr>
                <w:rFonts w:ascii="Arial" w:hAnsi="Arial" w:cs="Arial"/>
                <w:sz w:val="22"/>
                <w:szCs w:val="22"/>
              </w:rPr>
            </w:pPr>
            <w:r w:rsidRPr="00577FAF">
              <w:rPr>
                <w:rFonts w:ascii="Arial" w:hAnsi="Arial" w:cs="Arial"/>
                <w:sz w:val="22"/>
                <w:szCs w:val="22"/>
              </w:rPr>
              <w:t>En el presente documento de decisión se proporciona la información necesaria para una participación efectiva en el examen de los puntos del orden del día. Esta información incluye: i) la indicación de los documentos pertinentes; ii) la definición, en cada punto del orden del día, de la cuestión sometida al Consejo Ejecutivo y la decisión o el proyecto de resolución previstos, cuando ya estén disponibles; y iii) los antecedentes.</w:t>
            </w:r>
          </w:p>
          <w:p w14:paraId="2F2D501C" w14:textId="77777777" w:rsidR="003A60E3" w:rsidRPr="00577FAF" w:rsidRDefault="00CB6A57">
            <w:pPr>
              <w:spacing w:after="240"/>
              <w:ind w:left="33"/>
              <w:jc w:val="both"/>
              <w:rPr>
                <w:rFonts w:ascii="Arial" w:hAnsi="Arial" w:cs="Arial"/>
                <w:color w:val="000000"/>
                <w:sz w:val="22"/>
                <w:szCs w:val="22"/>
              </w:rPr>
            </w:pPr>
            <w:r w:rsidRPr="00577FAF">
              <w:rPr>
                <w:rFonts w:ascii="Arial" w:hAnsi="Arial" w:cs="Arial"/>
                <w:sz w:val="22"/>
                <w:szCs w:val="22"/>
              </w:rPr>
              <w:t xml:space="preserve">Este documento de decisión también sirve de base para el proyecto de informe resumido de la reunión, por lo que está redactado en tiempo pasado. La Secretaría y el Relator prepararán un resumen del debate de cada punto del orden del día, que completará el proyecto de informe resumido. En el documento se proponen proyectos de decisión y de resolución que, al centrar el debate, facilitan la adopción de decisiones. </w:t>
            </w:r>
          </w:p>
        </w:tc>
      </w:tr>
    </w:tbl>
    <w:p w14:paraId="4205E88A" w14:textId="77777777" w:rsidR="003A60E3" w:rsidRPr="00577FAF" w:rsidRDefault="003A60E3">
      <w:pPr>
        <w:rPr>
          <w:rFonts w:ascii="Arial" w:hAnsi="Arial" w:cs="Arial"/>
          <w:color w:val="000000"/>
          <w:sz w:val="22"/>
          <w:szCs w:val="22"/>
        </w:rPr>
      </w:pPr>
    </w:p>
    <w:p w14:paraId="77B6CE9F" w14:textId="77777777" w:rsidR="003A60E3" w:rsidRPr="00577FAF" w:rsidRDefault="003A60E3">
      <w:pPr>
        <w:rPr>
          <w:rFonts w:ascii="Arial" w:hAnsi="Arial" w:cs="Arial"/>
          <w:color w:val="000000"/>
          <w:sz w:val="22"/>
          <w:szCs w:val="22"/>
        </w:rPr>
      </w:pPr>
    </w:p>
    <w:p w14:paraId="5330C76F" w14:textId="77777777" w:rsidR="00632FD6" w:rsidRPr="00577FAF" w:rsidRDefault="00632FD6">
      <w:pPr>
        <w:jc w:val="center"/>
        <w:rPr>
          <w:rFonts w:ascii="Arial" w:hAnsi="Arial" w:cs="Arial"/>
          <w:b/>
          <w:bCs/>
          <w:sz w:val="22"/>
          <w:szCs w:val="22"/>
        </w:rPr>
        <w:sectPr w:rsidR="00632FD6" w:rsidRPr="00577FAF" w:rsidSect="00632FD6">
          <w:headerReference w:type="even" r:id="rId13"/>
          <w:headerReference w:type="default" r:id="rId14"/>
          <w:headerReference w:type="first" r:id="rId15"/>
          <w:pgSz w:w="11907" w:h="16840" w:code="9"/>
          <w:pgMar w:top="1418" w:right="1134" w:bottom="1389" w:left="1134" w:header="851" w:footer="737" w:gutter="0"/>
          <w:pgNumType w:fmt="lowerRoman" w:start="1"/>
          <w:cols w:space="708"/>
          <w:titlePg/>
          <w:docGrid w:linePitch="360"/>
        </w:sectPr>
      </w:pPr>
    </w:p>
    <w:p w14:paraId="12BC3A59" w14:textId="77777777" w:rsidR="003A60E3" w:rsidRPr="00577FAF" w:rsidRDefault="00CB6A57">
      <w:pPr>
        <w:jc w:val="center"/>
        <w:rPr>
          <w:rFonts w:ascii="Arial" w:hAnsi="Arial" w:cs="Arial"/>
          <w:color w:val="000000"/>
          <w:sz w:val="22"/>
          <w:szCs w:val="22"/>
        </w:rPr>
      </w:pPr>
      <w:r w:rsidRPr="00577FAF">
        <w:rPr>
          <w:rFonts w:ascii="Arial" w:hAnsi="Arial" w:cs="Arial"/>
          <w:b/>
          <w:bCs/>
          <w:sz w:val="22"/>
          <w:szCs w:val="22"/>
        </w:rPr>
        <w:lastRenderedPageBreak/>
        <w:t>ÍNDICE</w:t>
      </w:r>
    </w:p>
    <w:p w14:paraId="46922357" w14:textId="77777777" w:rsidR="003A60E3" w:rsidRPr="00577FAF" w:rsidRDefault="00CB6A57" w:rsidP="00D77A0F">
      <w:pPr>
        <w:pStyle w:val="Marge"/>
        <w:spacing w:before="240" w:after="120"/>
        <w:jc w:val="right"/>
        <w:rPr>
          <w:rFonts w:ascii="Arial" w:hAnsi="Arial" w:cs="Arial"/>
          <w:sz w:val="22"/>
          <w:szCs w:val="22"/>
        </w:rPr>
      </w:pPr>
      <w:r w:rsidRPr="00577FAF">
        <w:rPr>
          <w:rFonts w:ascii="Arial" w:hAnsi="Arial" w:cs="Arial"/>
          <w:sz w:val="22"/>
          <w:szCs w:val="22"/>
        </w:rPr>
        <w:t>página</w:t>
      </w:r>
      <w:bookmarkStart w:id="0" w:name="_Toc38080237"/>
      <w:bookmarkStart w:id="1" w:name="_Toc100506249"/>
      <w:bookmarkStart w:id="2" w:name="_Toc135143448"/>
      <w:bookmarkStart w:id="3" w:name="_Toc135143700"/>
      <w:bookmarkStart w:id="4" w:name="_Toc162671327"/>
      <w:bookmarkStart w:id="5" w:name="_Toc164651221"/>
    </w:p>
    <w:p w14:paraId="11DF06E6" w14:textId="33DBB658" w:rsidR="00B37133" w:rsidRPr="00577FAF" w:rsidRDefault="00B37133">
      <w:pPr>
        <w:pStyle w:val="TOC1"/>
        <w:rPr>
          <w:rFonts w:asciiTheme="minorHAnsi" w:eastAsiaTheme="minorEastAsia" w:hAnsiTheme="minorHAnsi" w:cstheme="minorBidi"/>
          <w:b w:val="0"/>
          <w:kern w:val="2"/>
          <w:sz w:val="24"/>
          <w:szCs w:val="24"/>
          <w:lang w:eastAsia="zh-CN"/>
          <w14:ligatures w14:val="standardContextual"/>
        </w:rPr>
      </w:pPr>
      <w:r w:rsidRPr="00577FAF">
        <w:fldChar w:fldCharType="begin"/>
      </w:r>
      <w:r w:rsidRPr="00577FAF">
        <w:instrText xml:space="preserve"> TOC \o "2-2" \h \z \t "Heading 1;1;Heading 3;3;Heading 4;4" </w:instrText>
      </w:r>
      <w:r w:rsidRPr="00577FAF">
        <w:fldChar w:fldCharType="separate"/>
      </w:r>
      <w:hyperlink w:anchor="_Toc168933413" w:history="1">
        <w:r w:rsidRPr="00577FAF">
          <w:rPr>
            <w:rStyle w:val="Hyperlink"/>
          </w:rPr>
          <w:t>1.</w:t>
        </w:r>
        <w:r w:rsidRPr="00577FAF">
          <w:rPr>
            <w:rFonts w:asciiTheme="minorHAnsi" w:eastAsiaTheme="minorEastAsia" w:hAnsiTheme="minorHAnsi" w:cstheme="minorBidi"/>
            <w:b w:val="0"/>
            <w:kern w:val="2"/>
            <w:sz w:val="24"/>
            <w:szCs w:val="24"/>
            <w:lang w:eastAsia="zh-CN"/>
            <w14:ligatures w14:val="standardContextual"/>
          </w:rPr>
          <w:tab/>
        </w:r>
        <w:r w:rsidRPr="00577FAF">
          <w:rPr>
            <w:rStyle w:val="Hyperlink"/>
          </w:rPr>
          <w:t>APERTURA</w:t>
        </w:r>
        <w:r w:rsidRPr="00577FAF">
          <w:rPr>
            <w:webHidden/>
          </w:rPr>
          <w:tab/>
        </w:r>
        <w:r w:rsidRPr="00577FAF">
          <w:rPr>
            <w:webHidden/>
          </w:rPr>
          <w:fldChar w:fldCharType="begin"/>
        </w:r>
        <w:r w:rsidRPr="00577FAF">
          <w:rPr>
            <w:webHidden/>
          </w:rPr>
          <w:instrText xml:space="preserve"> PAGEREF _Toc168933413 \h </w:instrText>
        </w:r>
        <w:r w:rsidRPr="00577FAF">
          <w:rPr>
            <w:webHidden/>
          </w:rPr>
        </w:r>
        <w:r w:rsidRPr="00577FAF">
          <w:rPr>
            <w:webHidden/>
          </w:rPr>
          <w:fldChar w:fldCharType="separate"/>
        </w:r>
        <w:r w:rsidR="00577FAF" w:rsidRPr="00577FAF">
          <w:rPr>
            <w:webHidden/>
          </w:rPr>
          <w:t>1</w:t>
        </w:r>
        <w:r w:rsidRPr="00577FAF">
          <w:rPr>
            <w:webHidden/>
          </w:rPr>
          <w:fldChar w:fldCharType="end"/>
        </w:r>
      </w:hyperlink>
    </w:p>
    <w:p w14:paraId="34187162" w14:textId="090A9409" w:rsidR="00B37133" w:rsidRPr="00577FAF" w:rsidRDefault="00EA695A">
      <w:pPr>
        <w:pStyle w:val="TOC1"/>
        <w:rPr>
          <w:rFonts w:asciiTheme="minorHAnsi" w:eastAsiaTheme="minorEastAsia" w:hAnsiTheme="minorHAnsi" w:cstheme="minorBidi"/>
          <w:b w:val="0"/>
          <w:kern w:val="2"/>
          <w:sz w:val="24"/>
          <w:szCs w:val="24"/>
          <w:lang w:eastAsia="zh-CN"/>
          <w14:ligatures w14:val="standardContextual"/>
        </w:rPr>
      </w:pPr>
      <w:hyperlink w:anchor="_Toc168933414" w:history="1">
        <w:r w:rsidR="00B37133" w:rsidRPr="00577FAF">
          <w:rPr>
            <w:rStyle w:val="Hyperlink"/>
          </w:rPr>
          <w:t>2.</w:t>
        </w:r>
        <w:r w:rsidR="00B37133" w:rsidRPr="00577FAF">
          <w:rPr>
            <w:rFonts w:asciiTheme="minorHAnsi" w:eastAsiaTheme="minorEastAsia" w:hAnsiTheme="minorHAnsi" w:cstheme="minorBidi"/>
            <w:b w:val="0"/>
            <w:kern w:val="2"/>
            <w:sz w:val="24"/>
            <w:szCs w:val="24"/>
            <w:lang w:eastAsia="zh-CN"/>
            <w14:ligatures w14:val="standardContextual"/>
          </w:rPr>
          <w:tab/>
        </w:r>
        <w:r w:rsidR="00B37133" w:rsidRPr="00577FAF">
          <w:rPr>
            <w:rStyle w:val="Hyperlink"/>
          </w:rPr>
          <w:t>ORGANIZACIÓN DE LA REUNIÓN</w:t>
        </w:r>
        <w:r w:rsidR="00B37133" w:rsidRPr="00577FAF">
          <w:rPr>
            <w:webHidden/>
          </w:rPr>
          <w:tab/>
        </w:r>
        <w:r w:rsidR="00B37133" w:rsidRPr="00577FAF">
          <w:rPr>
            <w:webHidden/>
          </w:rPr>
          <w:fldChar w:fldCharType="begin"/>
        </w:r>
        <w:r w:rsidR="00B37133" w:rsidRPr="00577FAF">
          <w:rPr>
            <w:webHidden/>
          </w:rPr>
          <w:instrText xml:space="preserve"> PAGEREF _Toc168933414 \h </w:instrText>
        </w:r>
        <w:r w:rsidR="00B37133" w:rsidRPr="00577FAF">
          <w:rPr>
            <w:webHidden/>
          </w:rPr>
        </w:r>
        <w:r w:rsidR="00B37133" w:rsidRPr="00577FAF">
          <w:rPr>
            <w:webHidden/>
          </w:rPr>
          <w:fldChar w:fldCharType="separate"/>
        </w:r>
        <w:r w:rsidR="00577FAF" w:rsidRPr="00577FAF">
          <w:rPr>
            <w:webHidden/>
          </w:rPr>
          <w:t>1</w:t>
        </w:r>
        <w:r w:rsidR="00B37133" w:rsidRPr="00577FAF">
          <w:rPr>
            <w:webHidden/>
          </w:rPr>
          <w:fldChar w:fldCharType="end"/>
        </w:r>
      </w:hyperlink>
    </w:p>
    <w:p w14:paraId="28C28F8D" w14:textId="5C754056" w:rsidR="00B37133" w:rsidRPr="00577FAF" w:rsidRDefault="00EA695A">
      <w:pPr>
        <w:pStyle w:val="TOC2"/>
        <w:tabs>
          <w:tab w:val="left" w:pos="1134"/>
        </w:tabs>
        <w:rPr>
          <w:rFonts w:asciiTheme="minorHAnsi" w:eastAsiaTheme="minorEastAsia" w:hAnsiTheme="minorHAnsi" w:cstheme="minorBidi"/>
          <w:bCs w:val="0"/>
          <w:iCs w:val="0"/>
          <w:kern w:val="2"/>
          <w:sz w:val="24"/>
          <w:szCs w:val="24"/>
          <w:lang w:eastAsia="zh-CN"/>
          <w14:ligatures w14:val="standardContextual"/>
        </w:rPr>
      </w:pPr>
      <w:hyperlink w:anchor="_Toc168933415" w:history="1">
        <w:r w:rsidR="00B37133" w:rsidRPr="00577FAF">
          <w:rPr>
            <w:rStyle w:val="Hyperlink"/>
          </w:rPr>
          <w:t>2.1</w:t>
        </w:r>
        <w:r w:rsidR="00B37133" w:rsidRPr="00577FAF">
          <w:rPr>
            <w:rFonts w:asciiTheme="minorHAnsi" w:eastAsiaTheme="minorEastAsia" w:hAnsiTheme="minorHAnsi" w:cstheme="minorBidi"/>
            <w:bCs w:val="0"/>
            <w:iCs w:val="0"/>
            <w:kern w:val="2"/>
            <w:sz w:val="24"/>
            <w:szCs w:val="24"/>
            <w:lang w:eastAsia="zh-CN"/>
            <w14:ligatures w14:val="standardContextual"/>
          </w:rPr>
          <w:tab/>
        </w:r>
        <w:r w:rsidR="00B37133" w:rsidRPr="00577FAF">
          <w:rPr>
            <w:rStyle w:val="Hyperlink"/>
          </w:rPr>
          <w:t>APROBACIÓN DEL ORDEN DEL DÍA</w:t>
        </w:r>
        <w:r w:rsidR="00B37133" w:rsidRPr="00577FAF">
          <w:rPr>
            <w:webHidden/>
          </w:rPr>
          <w:tab/>
        </w:r>
        <w:r w:rsidR="00B37133" w:rsidRPr="00577FAF">
          <w:rPr>
            <w:webHidden/>
          </w:rPr>
          <w:fldChar w:fldCharType="begin"/>
        </w:r>
        <w:r w:rsidR="00B37133" w:rsidRPr="00577FAF">
          <w:rPr>
            <w:webHidden/>
          </w:rPr>
          <w:instrText xml:space="preserve"> PAGEREF _Toc168933415 \h </w:instrText>
        </w:r>
        <w:r w:rsidR="00B37133" w:rsidRPr="00577FAF">
          <w:rPr>
            <w:webHidden/>
          </w:rPr>
        </w:r>
        <w:r w:rsidR="00B37133" w:rsidRPr="00577FAF">
          <w:rPr>
            <w:webHidden/>
          </w:rPr>
          <w:fldChar w:fldCharType="separate"/>
        </w:r>
        <w:r w:rsidR="00577FAF" w:rsidRPr="00577FAF">
          <w:rPr>
            <w:webHidden/>
          </w:rPr>
          <w:t>1</w:t>
        </w:r>
        <w:r w:rsidR="00B37133" w:rsidRPr="00577FAF">
          <w:rPr>
            <w:webHidden/>
          </w:rPr>
          <w:fldChar w:fldCharType="end"/>
        </w:r>
      </w:hyperlink>
    </w:p>
    <w:p w14:paraId="4B09CA9F" w14:textId="3272AA81" w:rsidR="00B37133" w:rsidRPr="00577FAF" w:rsidRDefault="00EA695A">
      <w:pPr>
        <w:pStyle w:val="TOC2"/>
        <w:tabs>
          <w:tab w:val="left" w:pos="1134"/>
        </w:tabs>
        <w:rPr>
          <w:rFonts w:asciiTheme="minorHAnsi" w:eastAsiaTheme="minorEastAsia" w:hAnsiTheme="minorHAnsi" w:cstheme="minorBidi"/>
          <w:bCs w:val="0"/>
          <w:iCs w:val="0"/>
          <w:kern w:val="2"/>
          <w:sz w:val="24"/>
          <w:szCs w:val="24"/>
          <w:lang w:eastAsia="zh-CN"/>
          <w14:ligatures w14:val="standardContextual"/>
        </w:rPr>
      </w:pPr>
      <w:hyperlink w:anchor="_Toc168933416" w:history="1">
        <w:r w:rsidR="00B37133" w:rsidRPr="00577FAF">
          <w:rPr>
            <w:rStyle w:val="Hyperlink"/>
          </w:rPr>
          <w:t>2.2</w:t>
        </w:r>
        <w:r w:rsidR="00B37133" w:rsidRPr="00577FAF">
          <w:rPr>
            <w:rFonts w:asciiTheme="minorHAnsi" w:eastAsiaTheme="minorEastAsia" w:hAnsiTheme="minorHAnsi" w:cstheme="minorBidi"/>
            <w:bCs w:val="0"/>
            <w:iCs w:val="0"/>
            <w:kern w:val="2"/>
            <w:sz w:val="24"/>
            <w:szCs w:val="24"/>
            <w:lang w:eastAsia="zh-CN"/>
            <w14:ligatures w14:val="standardContextual"/>
          </w:rPr>
          <w:tab/>
        </w:r>
        <w:r w:rsidR="00B37133" w:rsidRPr="00577FAF">
          <w:rPr>
            <w:rStyle w:val="Hyperlink"/>
          </w:rPr>
          <w:t>DESIGNACIÓN DEL RELATOR</w:t>
        </w:r>
        <w:r w:rsidR="00B37133" w:rsidRPr="00577FAF">
          <w:rPr>
            <w:webHidden/>
          </w:rPr>
          <w:tab/>
        </w:r>
        <w:r w:rsidR="00B37133" w:rsidRPr="00577FAF">
          <w:rPr>
            <w:webHidden/>
          </w:rPr>
          <w:fldChar w:fldCharType="begin"/>
        </w:r>
        <w:r w:rsidR="00B37133" w:rsidRPr="00577FAF">
          <w:rPr>
            <w:webHidden/>
          </w:rPr>
          <w:instrText xml:space="preserve"> PAGEREF _Toc168933416 \h </w:instrText>
        </w:r>
        <w:r w:rsidR="00B37133" w:rsidRPr="00577FAF">
          <w:rPr>
            <w:webHidden/>
          </w:rPr>
        </w:r>
        <w:r w:rsidR="00B37133" w:rsidRPr="00577FAF">
          <w:rPr>
            <w:webHidden/>
          </w:rPr>
          <w:fldChar w:fldCharType="separate"/>
        </w:r>
        <w:r w:rsidR="00577FAF" w:rsidRPr="00577FAF">
          <w:rPr>
            <w:webHidden/>
          </w:rPr>
          <w:t>2</w:t>
        </w:r>
        <w:r w:rsidR="00B37133" w:rsidRPr="00577FAF">
          <w:rPr>
            <w:webHidden/>
          </w:rPr>
          <w:fldChar w:fldCharType="end"/>
        </w:r>
      </w:hyperlink>
    </w:p>
    <w:p w14:paraId="51AF0AA8" w14:textId="5230E95C" w:rsidR="00B37133" w:rsidRPr="00577FAF" w:rsidRDefault="00EA695A">
      <w:pPr>
        <w:pStyle w:val="TOC2"/>
        <w:tabs>
          <w:tab w:val="left" w:pos="1134"/>
        </w:tabs>
        <w:rPr>
          <w:rFonts w:asciiTheme="minorHAnsi" w:eastAsiaTheme="minorEastAsia" w:hAnsiTheme="minorHAnsi" w:cstheme="minorBidi"/>
          <w:bCs w:val="0"/>
          <w:iCs w:val="0"/>
          <w:kern w:val="2"/>
          <w:sz w:val="24"/>
          <w:szCs w:val="24"/>
          <w:lang w:eastAsia="zh-CN"/>
          <w14:ligatures w14:val="standardContextual"/>
        </w:rPr>
      </w:pPr>
      <w:hyperlink w:anchor="_Toc168933417" w:history="1">
        <w:r w:rsidR="00B37133" w:rsidRPr="00577FAF">
          <w:rPr>
            <w:rStyle w:val="Hyperlink"/>
          </w:rPr>
          <w:t>2.3</w:t>
        </w:r>
        <w:r w:rsidR="00B37133" w:rsidRPr="00577FAF">
          <w:rPr>
            <w:rFonts w:asciiTheme="minorHAnsi" w:eastAsiaTheme="minorEastAsia" w:hAnsiTheme="minorHAnsi" w:cstheme="minorBidi"/>
            <w:bCs w:val="0"/>
            <w:iCs w:val="0"/>
            <w:kern w:val="2"/>
            <w:sz w:val="24"/>
            <w:szCs w:val="24"/>
            <w:lang w:eastAsia="zh-CN"/>
            <w14:ligatures w14:val="standardContextual"/>
          </w:rPr>
          <w:tab/>
        </w:r>
        <w:r w:rsidR="00B37133" w:rsidRPr="00577FAF">
          <w:rPr>
            <w:rStyle w:val="Hyperlink"/>
          </w:rPr>
          <w:t xml:space="preserve">ESTABLECIMIENTO DE LOS COMITÉS Y GRUPOS DE TRABAJO </w:t>
        </w:r>
        <w:r w:rsidR="00B37133" w:rsidRPr="00577FAF">
          <w:rPr>
            <w:rStyle w:val="Hyperlink"/>
          </w:rPr>
          <w:br/>
          <w:t xml:space="preserve">DE LA REUNIÓN </w:t>
        </w:r>
        <w:r w:rsidR="00B37133" w:rsidRPr="00577FAF">
          <w:rPr>
            <w:webHidden/>
          </w:rPr>
          <w:tab/>
        </w:r>
        <w:r w:rsidR="00B37133" w:rsidRPr="00577FAF">
          <w:rPr>
            <w:webHidden/>
          </w:rPr>
          <w:fldChar w:fldCharType="begin"/>
        </w:r>
        <w:r w:rsidR="00B37133" w:rsidRPr="00577FAF">
          <w:rPr>
            <w:webHidden/>
          </w:rPr>
          <w:instrText xml:space="preserve"> PAGEREF _Toc168933417 \h </w:instrText>
        </w:r>
        <w:r w:rsidR="00B37133" w:rsidRPr="00577FAF">
          <w:rPr>
            <w:webHidden/>
          </w:rPr>
        </w:r>
        <w:r w:rsidR="00B37133" w:rsidRPr="00577FAF">
          <w:rPr>
            <w:webHidden/>
          </w:rPr>
          <w:fldChar w:fldCharType="separate"/>
        </w:r>
        <w:r w:rsidR="00577FAF" w:rsidRPr="00577FAF">
          <w:rPr>
            <w:webHidden/>
          </w:rPr>
          <w:t>2</w:t>
        </w:r>
        <w:r w:rsidR="00B37133" w:rsidRPr="00577FAF">
          <w:rPr>
            <w:webHidden/>
          </w:rPr>
          <w:fldChar w:fldCharType="end"/>
        </w:r>
      </w:hyperlink>
    </w:p>
    <w:p w14:paraId="4338A127" w14:textId="65F16686" w:rsidR="00B37133" w:rsidRPr="00577FAF" w:rsidRDefault="00EA695A">
      <w:pPr>
        <w:pStyle w:val="TOC2"/>
        <w:tabs>
          <w:tab w:val="left" w:pos="1134"/>
        </w:tabs>
        <w:rPr>
          <w:rFonts w:asciiTheme="minorHAnsi" w:eastAsiaTheme="minorEastAsia" w:hAnsiTheme="minorHAnsi" w:cstheme="minorBidi"/>
          <w:bCs w:val="0"/>
          <w:iCs w:val="0"/>
          <w:kern w:val="2"/>
          <w:sz w:val="24"/>
          <w:szCs w:val="24"/>
          <w:lang w:eastAsia="zh-CN"/>
          <w14:ligatures w14:val="standardContextual"/>
        </w:rPr>
      </w:pPr>
      <w:hyperlink w:anchor="_Toc168933418" w:history="1">
        <w:r w:rsidR="00B37133" w:rsidRPr="00577FAF">
          <w:rPr>
            <w:rStyle w:val="Hyperlink"/>
            <w:kern w:val="28"/>
          </w:rPr>
          <w:t>2.4</w:t>
        </w:r>
        <w:r w:rsidR="00B37133" w:rsidRPr="00577FAF">
          <w:rPr>
            <w:rFonts w:asciiTheme="minorHAnsi" w:eastAsiaTheme="minorEastAsia" w:hAnsiTheme="minorHAnsi" w:cstheme="minorBidi"/>
            <w:bCs w:val="0"/>
            <w:iCs w:val="0"/>
            <w:kern w:val="2"/>
            <w:sz w:val="24"/>
            <w:szCs w:val="24"/>
            <w:lang w:eastAsia="zh-CN"/>
            <w14:ligatures w14:val="standardContextual"/>
          </w:rPr>
          <w:tab/>
        </w:r>
        <w:r w:rsidR="00B37133" w:rsidRPr="00577FAF">
          <w:rPr>
            <w:rStyle w:val="Hyperlink"/>
          </w:rPr>
          <w:t>PRESENTACIÓN DEL CALENDARIO Y LA DOCUMENTACIÓN</w:t>
        </w:r>
        <w:r w:rsidR="00B37133" w:rsidRPr="00577FAF">
          <w:rPr>
            <w:webHidden/>
          </w:rPr>
          <w:tab/>
        </w:r>
        <w:r w:rsidR="00B37133" w:rsidRPr="00577FAF">
          <w:rPr>
            <w:webHidden/>
          </w:rPr>
          <w:fldChar w:fldCharType="begin"/>
        </w:r>
        <w:r w:rsidR="00B37133" w:rsidRPr="00577FAF">
          <w:rPr>
            <w:webHidden/>
          </w:rPr>
          <w:instrText xml:space="preserve"> PAGEREF _Toc168933418 \h </w:instrText>
        </w:r>
        <w:r w:rsidR="00B37133" w:rsidRPr="00577FAF">
          <w:rPr>
            <w:webHidden/>
          </w:rPr>
        </w:r>
        <w:r w:rsidR="00B37133" w:rsidRPr="00577FAF">
          <w:rPr>
            <w:webHidden/>
          </w:rPr>
          <w:fldChar w:fldCharType="separate"/>
        </w:r>
        <w:r w:rsidR="00577FAF" w:rsidRPr="00577FAF">
          <w:rPr>
            <w:webHidden/>
          </w:rPr>
          <w:t>2</w:t>
        </w:r>
        <w:r w:rsidR="00B37133" w:rsidRPr="00577FAF">
          <w:rPr>
            <w:webHidden/>
          </w:rPr>
          <w:fldChar w:fldCharType="end"/>
        </w:r>
      </w:hyperlink>
    </w:p>
    <w:p w14:paraId="6E8B3200" w14:textId="391C6B24" w:rsidR="00B37133" w:rsidRPr="00577FAF" w:rsidRDefault="00EA695A">
      <w:pPr>
        <w:pStyle w:val="TOC2"/>
        <w:tabs>
          <w:tab w:val="left" w:pos="1134"/>
        </w:tabs>
        <w:rPr>
          <w:rFonts w:asciiTheme="minorHAnsi" w:eastAsiaTheme="minorEastAsia" w:hAnsiTheme="minorHAnsi" w:cstheme="minorBidi"/>
          <w:bCs w:val="0"/>
          <w:iCs w:val="0"/>
          <w:kern w:val="2"/>
          <w:sz w:val="24"/>
          <w:szCs w:val="24"/>
          <w:lang w:eastAsia="zh-CN"/>
          <w14:ligatures w14:val="standardContextual"/>
        </w:rPr>
      </w:pPr>
      <w:hyperlink w:anchor="_Toc168933419" w:history="1">
        <w:r w:rsidR="00B37133" w:rsidRPr="00577FAF">
          <w:rPr>
            <w:rStyle w:val="Hyperlink"/>
          </w:rPr>
          <w:t>2.5</w:t>
        </w:r>
        <w:r w:rsidR="00B37133" w:rsidRPr="00577FAF">
          <w:rPr>
            <w:rFonts w:asciiTheme="minorHAnsi" w:eastAsiaTheme="minorEastAsia" w:hAnsiTheme="minorHAnsi" w:cstheme="minorBidi"/>
            <w:bCs w:val="0"/>
            <w:iCs w:val="0"/>
            <w:kern w:val="2"/>
            <w:sz w:val="24"/>
            <w:szCs w:val="24"/>
            <w:lang w:eastAsia="zh-CN"/>
            <w14:ligatures w14:val="standardContextual"/>
          </w:rPr>
          <w:tab/>
        </w:r>
        <w:r w:rsidR="00B37133" w:rsidRPr="00577FAF">
          <w:rPr>
            <w:rStyle w:val="Hyperlink"/>
          </w:rPr>
          <w:t>CONFERENCIA CONMEMORATIVA DE ROGER REVELLE</w:t>
        </w:r>
        <w:r w:rsidR="00B37133" w:rsidRPr="00577FAF">
          <w:rPr>
            <w:webHidden/>
          </w:rPr>
          <w:tab/>
        </w:r>
        <w:r w:rsidR="00B37133" w:rsidRPr="00577FAF">
          <w:rPr>
            <w:webHidden/>
          </w:rPr>
          <w:fldChar w:fldCharType="begin"/>
        </w:r>
        <w:r w:rsidR="00B37133" w:rsidRPr="00577FAF">
          <w:rPr>
            <w:webHidden/>
          </w:rPr>
          <w:instrText xml:space="preserve"> PAGEREF _Toc168933419 \h </w:instrText>
        </w:r>
        <w:r w:rsidR="00B37133" w:rsidRPr="00577FAF">
          <w:rPr>
            <w:webHidden/>
          </w:rPr>
        </w:r>
        <w:r w:rsidR="00B37133" w:rsidRPr="00577FAF">
          <w:rPr>
            <w:webHidden/>
          </w:rPr>
          <w:fldChar w:fldCharType="separate"/>
        </w:r>
        <w:r w:rsidR="00577FAF" w:rsidRPr="00577FAF">
          <w:rPr>
            <w:webHidden/>
          </w:rPr>
          <w:t>3</w:t>
        </w:r>
        <w:r w:rsidR="00B37133" w:rsidRPr="00577FAF">
          <w:rPr>
            <w:webHidden/>
          </w:rPr>
          <w:fldChar w:fldCharType="end"/>
        </w:r>
      </w:hyperlink>
    </w:p>
    <w:p w14:paraId="6D0A2C39" w14:textId="4B9EA5B3" w:rsidR="00B37133" w:rsidRPr="00577FAF" w:rsidRDefault="00EA695A">
      <w:pPr>
        <w:pStyle w:val="TOC1"/>
        <w:rPr>
          <w:rFonts w:asciiTheme="minorHAnsi" w:eastAsiaTheme="minorEastAsia" w:hAnsiTheme="minorHAnsi" w:cstheme="minorBidi"/>
          <w:b w:val="0"/>
          <w:kern w:val="2"/>
          <w:sz w:val="24"/>
          <w:szCs w:val="24"/>
          <w:lang w:eastAsia="zh-CN"/>
          <w14:ligatures w14:val="standardContextual"/>
        </w:rPr>
      </w:pPr>
      <w:hyperlink w:anchor="_Toc168933420" w:history="1">
        <w:r w:rsidR="00B37133" w:rsidRPr="00577FAF">
          <w:rPr>
            <w:rStyle w:val="Hyperlink"/>
          </w:rPr>
          <w:t>3.</w:t>
        </w:r>
        <w:r w:rsidR="00B37133" w:rsidRPr="00577FAF">
          <w:rPr>
            <w:rFonts w:asciiTheme="minorHAnsi" w:eastAsiaTheme="minorEastAsia" w:hAnsiTheme="minorHAnsi" w:cstheme="minorBidi"/>
            <w:b w:val="0"/>
            <w:kern w:val="2"/>
            <w:sz w:val="24"/>
            <w:szCs w:val="24"/>
            <w:lang w:eastAsia="zh-CN"/>
            <w14:ligatures w14:val="standardContextual"/>
          </w:rPr>
          <w:tab/>
        </w:r>
        <w:r w:rsidR="00B37133" w:rsidRPr="00577FAF">
          <w:rPr>
            <w:rStyle w:val="Hyperlink"/>
          </w:rPr>
          <w:t>INFORMES</w:t>
        </w:r>
        <w:r w:rsidR="00B37133" w:rsidRPr="00577FAF">
          <w:rPr>
            <w:webHidden/>
          </w:rPr>
          <w:tab/>
        </w:r>
        <w:r w:rsidR="00B37133" w:rsidRPr="00577FAF">
          <w:rPr>
            <w:webHidden/>
          </w:rPr>
          <w:fldChar w:fldCharType="begin"/>
        </w:r>
        <w:r w:rsidR="00B37133" w:rsidRPr="00577FAF">
          <w:rPr>
            <w:webHidden/>
          </w:rPr>
          <w:instrText xml:space="preserve"> PAGEREF _Toc168933420 \h </w:instrText>
        </w:r>
        <w:r w:rsidR="00B37133" w:rsidRPr="00577FAF">
          <w:rPr>
            <w:webHidden/>
          </w:rPr>
        </w:r>
        <w:r w:rsidR="00B37133" w:rsidRPr="00577FAF">
          <w:rPr>
            <w:webHidden/>
          </w:rPr>
          <w:fldChar w:fldCharType="separate"/>
        </w:r>
        <w:r w:rsidR="00577FAF" w:rsidRPr="00577FAF">
          <w:rPr>
            <w:webHidden/>
          </w:rPr>
          <w:t>4</w:t>
        </w:r>
        <w:r w:rsidR="00B37133" w:rsidRPr="00577FAF">
          <w:rPr>
            <w:webHidden/>
          </w:rPr>
          <w:fldChar w:fldCharType="end"/>
        </w:r>
      </w:hyperlink>
    </w:p>
    <w:p w14:paraId="3A4F7B39" w14:textId="7851CA5E" w:rsidR="00B37133" w:rsidRPr="00577FAF" w:rsidRDefault="00EA695A">
      <w:pPr>
        <w:pStyle w:val="TOC2"/>
        <w:tabs>
          <w:tab w:val="left" w:pos="1134"/>
        </w:tabs>
        <w:rPr>
          <w:rFonts w:asciiTheme="minorHAnsi" w:eastAsiaTheme="minorEastAsia" w:hAnsiTheme="minorHAnsi" w:cstheme="minorBidi"/>
          <w:bCs w:val="0"/>
          <w:iCs w:val="0"/>
          <w:kern w:val="2"/>
          <w:sz w:val="24"/>
          <w:szCs w:val="24"/>
          <w:lang w:eastAsia="zh-CN"/>
          <w14:ligatures w14:val="standardContextual"/>
        </w:rPr>
      </w:pPr>
      <w:hyperlink w:anchor="_Toc168933421" w:history="1">
        <w:r w:rsidR="00B37133" w:rsidRPr="00577FAF">
          <w:rPr>
            <w:rStyle w:val="Hyperlink"/>
          </w:rPr>
          <w:t>3.1</w:t>
        </w:r>
        <w:r w:rsidR="00B37133" w:rsidRPr="00577FAF">
          <w:rPr>
            <w:rFonts w:asciiTheme="minorHAnsi" w:eastAsiaTheme="minorEastAsia" w:hAnsiTheme="minorHAnsi" w:cstheme="minorBidi"/>
            <w:bCs w:val="0"/>
            <w:iCs w:val="0"/>
            <w:kern w:val="2"/>
            <w:sz w:val="24"/>
            <w:szCs w:val="24"/>
            <w:lang w:eastAsia="zh-CN"/>
            <w14:ligatures w14:val="standardContextual"/>
          </w:rPr>
          <w:tab/>
        </w:r>
        <w:r w:rsidR="00B37133" w:rsidRPr="00577FAF">
          <w:rPr>
            <w:rStyle w:val="Hyperlink"/>
          </w:rPr>
          <w:t xml:space="preserve">INFORME DEL SECRETARIO EJECUTIVO SOBRE LA LABOR REALIZADA </w:t>
        </w:r>
        <w:r w:rsidR="00B37133" w:rsidRPr="00577FAF">
          <w:rPr>
            <w:rStyle w:val="Hyperlink"/>
          </w:rPr>
          <w:br/>
          <w:t>DESDE LA 32ª REUNIÓN DE LA ASAMBLEA (julio de 2023-mayo de 2024)</w:t>
        </w:r>
        <w:r w:rsidR="00B37133" w:rsidRPr="00577FAF">
          <w:rPr>
            <w:webHidden/>
          </w:rPr>
          <w:tab/>
        </w:r>
        <w:r w:rsidR="00B37133" w:rsidRPr="00577FAF">
          <w:rPr>
            <w:webHidden/>
          </w:rPr>
          <w:fldChar w:fldCharType="begin"/>
        </w:r>
        <w:r w:rsidR="00B37133" w:rsidRPr="00577FAF">
          <w:rPr>
            <w:webHidden/>
          </w:rPr>
          <w:instrText xml:space="preserve"> PAGEREF _Toc168933421 \h </w:instrText>
        </w:r>
        <w:r w:rsidR="00B37133" w:rsidRPr="00577FAF">
          <w:rPr>
            <w:webHidden/>
          </w:rPr>
        </w:r>
        <w:r w:rsidR="00B37133" w:rsidRPr="00577FAF">
          <w:rPr>
            <w:webHidden/>
          </w:rPr>
          <w:fldChar w:fldCharType="separate"/>
        </w:r>
        <w:r w:rsidR="00577FAF" w:rsidRPr="00577FAF">
          <w:rPr>
            <w:webHidden/>
          </w:rPr>
          <w:t>4</w:t>
        </w:r>
        <w:r w:rsidR="00B37133" w:rsidRPr="00577FAF">
          <w:rPr>
            <w:webHidden/>
          </w:rPr>
          <w:fldChar w:fldCharType="end"/>
        </w:r>
      </w:hyperlink>
    </w:p>
    <w:p w14:paraId="1636FE92" w14:textId="072D81DD" w:rsidR="00B37133" w:rsidRPr="00577FAF" w:rsidRDefault="00EA695A">
      <w:pPr>
        <w:pStyle w:val="TOC2"/>
        <w:tabs>
          <w:tab w:val="left" w:pos="1134"/>
        </w:tabs>
        <w:rPr>
          <w:rFonts w:asciiTheme="minorHAnsi" w:eastAsiaTheme="minorEastAsia" w:hAnsiTheme="minorHAnsi" w:cstheme="minorBidi"/>
          <w:bCs w:val="0"/>
          <w:iCs w:val="0"/>
          <w:kern w:val="2"/>
          <w:sz w:val="24"/>
          <w:szCs w:val="24"/>
          <w:lang w:eastAsia="zh-CN"/>
          <w14:ligatures w14:val="standardContextual"/>
        </w:rPr>
      </w:pPr>
      <w:hyperlink w:anchor="_Toc168933422" w:history="1">
        <w:r w:rsidR="00B37133" w:rsidRPr="00577FAF">
          <w:rPr>
            <w:rStyle w:val="Hyperlink"/>
          </w:rPr>
          <w:t>3.2</w:t>
        </w:r>
        <w:r w:rsidR="00B37133" w:rsidRPr="00577FAF">
          <w:rPr>
            <w:rFonts w:asciiTheme="minorHAnsi" w:eastAsiaTheme="minorEastAsia" w:hAnsiTheme="minorHAnsi" w:cstheme="minorBidi"/>
            <w:bCs w:val="0"/>
            <w:iCs w:val="0"/>
            <w:kern w:val="2"/>
            <w:sz w:val="24"/>
            <w:szCs w:val="24"/>
            <w:lang w:eastAsia="zh-CN"/>
            <w14:ligatures w14:val="standardContextual"/>
          </w:rPr>
          <w:tab/>
        </w:r>
        <w:r w:rsidR="00B37133" w:rsidRPr="00577FAF">
          <w:rPr>
            <w:rStyle w:val="Hyperlink"/>
          </w:rPr>
          <w:t>INFORMES DE LOS ÓRGANOS SUBSIDIARIOS DE LA COI</w:t>
        </w:r>
        <w:r w:rsidR="00B37133" w:rsidRPr="00577FAF">
          <w:rPr>
            <w:webHidden/>
          </w:rPr>
          <w:tab/>
        </w:r>
        <w:r w:rsidR="00B37133" w:rsidRPr="00577FAF">
          <w:rPr>
            <w:webHidden/>
          </w:rPr>
          <w:fldChar w:fldCharType="begin"/>
        </w:r>
        <w:r w:rsidR="00B37133" w:rsidRPr="00577FAF">
          <w:rPr>
            <w:webHidden/>
          </w:rPr>
          <w:instrText xml:space="preserve"> PAGEREF _Toc168933422 \h </w:instrText>
        </w:r>
        <w:r w:rsidR="00B37133" w:rsidRPr="00577FAF">
          <w:rPr>
            <w:webHidden/>
          </w:rPr>
        </w:r>
        <w:r w:rsidR="00B37133" w:rsidRPr="00577FAF">
          <w:rPr>
            <w:webHidden/>
          </w:rPr>
          <w:fldChar w:fldCharType="separate"/>
        </w:r>
        <w:r w:rsidR="00577FAF" w:rsidRPr="00577FAF">
          <w:rPr>
            <w:webHidden/>
          </w:rPr>
          <w:t>5</w:t>
        </w:r>
        <w:r w:rsidR="00B37133" w:rsidRPr="00577FAF">
          <w:rPr>
            <w:webHidden/>
          </w:rPr>
          <w:fldChar w:fldCharType="end"/>
        </w:r>
      </w:hyperlink>
    </w:p>
    <w:p w14:paraId="56D0D7BE" w14:textId="417BC422" w:rsidR="00B37133" w:rsidRPr="00577FAF" w:rsidRDefault="00EA695A">
      <w:pPr>
        <w:pStyle w:val="TOC3"/>
        <w:tabs>
          <w:tab w:val="left" w:pos="1985"/>
        </w:tabs>
        <w:rPr>
          <w:rFonts w:asciiTheme="minorHAnsi" w:eastAsiaTheme="minorEastAsia" w:hAnsiTheme="minorHAnsi" w:cstheme="minorBidi"/>
          <w:color w:val="auto"/>
          <w:kern w:val="2"/>
          <w:sz w:val="24"/>
          <w:szCs w:val="24"/>
          <w:lang w:eastAsia="zh-CN"/>
          <w14:ligatures w14:val="standardContextual"/>
        </w:rPr>
      </w:pPr>
      <w:hyperlink w:anchor="_Toc168933423" w:history="1">
        <w:r w:rsidR="00B37133" w:rsidRPr="00577FAF">
          <w:rPr>
            <w:rStyle w:val="Hyperlink"/>
          </w:rPr>
          <w:t>3.2.1</w:t>
        </w:r>
        <w:r w:rsidR="00B37133" w:rsidRPr="00577FAF">
          <w:rPr>
            <w:rFonts w:asciiTheme="minorHAnsi" w:eastAsiaTheme="minorEastAsia" w:hAnsiTheme="minorHAnsi" w:cstheme="minorBidi"/>
            <w:color w:val="auto"/>
            <w:kern w:val="2"/>
            <w:sz w:val="24"/>
            <w:szCs w:val="24"/>
            <w:lang w:eastAsia="zh-CN"/>
            <w14:ligatures w14:val="standardContextual"/>
          </w:rPr>
          <w:tab/>
        </w:r>
        <w:r w:rsidR="00B37133" w:rsidRPr="00577FAF">
          <w:rPr>
            <w:rStyle w:val="Hyperlink"/>
          </w:rPr>
          <w:t xml:space="preserve">Sistemas de alerta contra los peligros oceánicos y atenuación </w:t>
        </w:r>
        <w:r w:rsidR="00B37133" w:rsidRPr="00577FAF">
          <w:rPr>
            <w:rStyle w:val="Hyperlink"/>
          </w:rPr>
          <w:br/>
          <w:t>de sus efectos</w:t>
        </w:r>
        <w:r w:rsidR="00B37133" w:rsidRPr="00577FAF">
          <w:rPr>
            <w:webHidden/>
          </w:rPr>
          <w:tab/>
        </w:r>
        <w:r w:rsidR="00B37133" w:rsidRPr="00577FAF">
          <w:rPr>
            <w:webHidden/>
          </w:rPr>
          <w:fldChar w:fldCharType="begin"/>
        </w:r>
        <w:r w:rsidR="00B37133" w:rsidRPr="00577FAF">
          <w:rPr>
            <w:webHidden/>
          </w:rPr>
          <w:instrText xml:space="preserve"> PAGEREF _Toc168933423 \h </w:instrText>
        </w:r>
        <w:r w:rsidR="00B37133" w:rsidRPr="00577FAF">
          <w:rPr>
            <w:webHidden/>
          </w:rPr>
        </w:r>
        <w:r w:rsidR="00B37133" w:rsidRPr="00577FAF">
          <w:rPr>
            <w:webHidden/>
          </w:rPr>
          <w:fldChar w:fldCharType="separate"/>
        </w:r>
        <w:r w:rsidR="00577FAF" w:rsidRPr="00577FAF">
          <w:rPr>
            <w:webHidden/>
          </w:rPr>
          <w:t>5</w:t>
        </w:r>
        <w:r w:rsidR="00B37133" w:rsidRPr="00577FAF">
          <w:rPr>
            <w:webHidden/>
          </w:rPr>
          <w:fldChar w:fldCharType="end"/>
        </w:r>
      </w:hyperlink>
    </w:p>
    <w:p w14:paraId="24F17069" w14:textId="2065F77A" w:rsidR="00B37133" w:rsidRPr="00577FAF" w:rsidRDefault="00EA695A" w:rsidP="00B37133">
      <w:pPr>
        <w:pStyle w:val="TOC4"/>
        <w:rPr>
          <w:rFonts w:asciiTheme="minorHAnsi" w:hAnsiTheme="minorHAnsi" w:cstheme="minorBidi"/>
          <w:color w:val="auto"/>
          <w:kern w:val="2"/>
          <w:lang w:eastAsia="zh-CN"/>
          <w14:ligatures w14:val="standardContextual"/>
        </w:rPr>
      </w:pPr>
      <w:hyperlink w:anchor="_Toc168933424" w:history="1">
        <w:r w:rsidR="00B37133" w:rsidRPr="00577FAF">
          <w:rPr>
            <w:rStyle w:val="Hyperlink"/>
          </w:rPr>
          <w:t>3.2.1.1</w:t>
        </w:r>
        <w:r w:rsidR="00B37133" w:rsidRPr="00577FAF">
          <w:rPr>
            <w:rFonts w:asciiTheme="minorHAnsi" w:hAnsiTheme="minorHAnsi" w:cstheme="minorBidi"/>
            <w:color w:val="auto"/>
            <w:kern w:val="2"/>
            <w:lang w:eastAsia="zh-CN"/>
            <w14:ligatures w14:val="standardContextual"/>
          </w:rPr>
          <w:tab/>
        </w:r>
        <w:r w:rsidR="00B37133" w:rsidRPr="00577FAF">
          <w:rPr>
            <w:rStyle w:val="Hyperlink"/>
          </w:rPr>
          <w:t>Servicios regionales de alerta temprana</w:t>
        </w:r>
        <w:r w:rsidR="00B37133" w:rsidRPr="00577FAF">
          <w:rPr>
            <w:webHidden/>
          </w:rPr>
          <w:tab/>
        </w:r>
        <w:r w:rsidR="00B37133" w:rsidRPr="00577FAF">
          <w:rPr>
            <w:i w:val="0"/>
            <w:iCs w:val="0"/>
            <w:webHidden/>
          </w:rPr>
          <w:fldChar w:fldCharType="begin"/>
        </w:r>
        <w:r w:rsidR="00B37133" w:rsidRPr="00577FAF">
          <w:rPr>
            <w:i w:val="0"/>
            <w:iCs w:val="0"/>
            <w:webHidden/>
          </w:rPr>
          <w:instrText xml:space="preserve"> PAGEREF _Toc168933424 \h </w:instrText>
        </w:r>
        <w:r w:rsidR="00B37133" w:rsidRPr="00577FAF">
          <w:rPr>
            <w:i w:val="0"/>
            <w:iCs w:val="0"/>
            <w:webHidden/>
          </w:rPr>
        </w:r>
        <w:r w:rsidR="00B37133" w:rsidRPr="00577FAF">
          <w:rPr>
            <w:i w:val="0"/>
            <w:iCs w:val="0"/>
            <w:webHidden/>
          </w:rPr>
          <w:fldChar w:fldCharType="separate"/>
        </w:r>
        <w:r w:rsidR="00577FAF" w:rsidRPr="00577FAF">
          <w:rPr>
            <w:i w:val="0"/>
            <w:iCs w:val="0"/>
            <w:webHidden/>
          </w:rPr>
          <w:t>5</w:t>
        </w:r>
        <w:r w:rsidR="00B37133" w:rsidRPr="00577FAF">
          <w:rPr>
            <w:i w:val="0"/>
            <w:iCs w:val="0"/>
            <w:webHidden/>
          </w:rPr>
          <w:fldChar w:fldCharType="end"/>
        </w:r>
      </w:hyperlink>
    </w:p>
    <w:p w14:paraId="5D72448F" w14:textId="0F07428F" w:rsidR="00B37133" w:rsidRPr="00577FAF" w:rsidRDefault="00EA695A" w:rsidP="00B37133">
      <w:pPr>
        <w:pStyle w:val="TOC4"/>
        <w:rPr>
          <w:rFonts w:asciiTheme="minorHAnsi" w:hAnsiTheme="minorHAnsi" w:cstheme="minorBidi"/>
          <w:color w:val="auto"/>
          <w:kern w:val="2"/>
          <w:lang w:eastAsia="zh-CN"/>
          <w14:ligatures w14:val="standardContextual"/>
        </w:rPr>
      </w:pPr>
      <w:hyperlink w:anchor="_Toc168933425" w:history="1">
        <w:r w:rsidR="00B37133" w:rsidRPr="00577FAF">
          <w:rPr>
            <w:rStyle w:val="Hyperlink"/>
          </w:rPr>
          <w:t>3.2.1.2</w:t>
        </w:r>
        <w:r w:rsidR="00B37133" w:rsidRPr="00577FAF">
          <w:rPr>
            <w:rFonts w:asciiTheme="minorHAnsi" w:hAnsiTheme="minorHAnsi" w:cstheme="minorBidi"/>
            <w:color w:val="auto"/>
            <w:kern w:val="2"/>
            <w:lang w:eastAsia="zh-CN"/>
            <w14:ligatures w14:val="standardContextual"/>
          </w:rPr>
          <w:tab/>
        </w:r>
        <w:r w:rsidR="00B37133" w:rsidRPr="00577FAF">
          <w:rPr>
            <w:rStyle w:val="Hyperlink"/>
          </w:rPr>
          <w:t>Coordinación mundial de los sistemas de alerta contra los peligros oceánicos y atenuación de sus efectos</w:t>
        </w:r>
        <w:r w:rsidR="00B37133" w:rsidRPr="00577FAF">
          <w:rPr>
            <w:webHidden/>
          </w:rPr>
          <w:tab/>
        </w:r>
        <w:r w:rsidR="00B37133" w:rsidRPr="00577FAF">
          <w:rPr>
            <w:i w:val="0"/>
            <w:iCs w:val="0"/>
            <w:webHidden/>
          </w:rPr>
          <w:fldChar w:fldCharType="begin"/>
        </w:r>
        <w:r w:rsidR="00B37133" w:rsidRPr="00577FAF">
          <w:rPr>
            <w:i w:val="0"/>
            <w:iCs w:val="0"/>
            <w:webHidden/>
          </w:rPr>
          <w:instrText xml:space="preserve"> PAGEREF _Toc168933425 \h </w:instrText>
        </w:r>
        <w:r w:rsidR="00B37133" w:rsidRPr="00577FAF">
          <w:rPr>
            <w:i w:val="0"/>
            <w:iCs w:val="0"/>
            <w:webHidden/>
          </w:rPr>
        </w:r>
        <w:r w:rsidR="00B37133" w:rsidRPr="00577FAF">
          <w:rPr>
            <w:i w:val="0"/>
            <w:iCs w:val="0"/>
            <w:webHidden/>
          </w:rPr>
          <w:fldChar w:fldCharType="separate"/>
        </w:r>
        <w:r w:rsidR="00577FAF" w:rsidRPr="00577FAF">
          <w:rPr>
            <w:i w:val="0"/>
            <w:iCs w:val="0"/>
            <w:webHidden/>
          </w:rPr>
          <w:t>7</w:t>
        </w:r>
        <w:r w:rsidR="00B37133" w:rsidRPr="00577FAF">
          <w:rPr>
            <w:i w:val="0"/>
            <w:iCs w:val="0"/>
            <w:webHidden/>
          </w:rPr>
          <w:fldChar w:fldCharType="end"/>
        </w:r>
      </w:hyperlink>
    </w:p>
    <w:p w14:paraId="03BD08AE" w14:textId="7179635E" w:rsidR="00B37133" w:rsidRPr="00577FAF" w:rsidRDefault="00EA695A">
      <w:pPr>
        <w:pStyle w:val="TOC1"/>
        <w:rPr>
          <w:rFonts w:asciiTheme="minorHAnsi" w:eastAsiaTheme="minorEastAsia" w:hAnsiTheme="minorHAnsi" w:cstheme="minorBidi"/>
          <w:b w:val="0"/>
          <w:kern w:val="2"/>
          <w:sz w:val="24"/>
          <w:szCs w:val="24"/>
          <w:lang w:eastAsia="zh-CN"/>
          <w14:ligatures w14:val="standardContextual"/>
        </w:rPr>
      </w:pPr>
      <w:hyperlink w:anchor="_Toc168933426" w:history="1">
        <w:r w:rsidR="00B37133" w:rsidRPr="00577FAF">
          <w:rPr>
            <w:rStyle w:val="Hyperlink"/>
          </w:rPr>
          <w:t>4.</w:t>
        </w:r>
        <w:r w:rsidR="00B37133" w:rsidRPr="00577FAF">
          <w:rPr>
            <w:rFonts w:asciiTheme="minorHAnsi" w:eastAsiaTheme="minorEastAsia" w:hAnsiTheme="minorHAnsi" w:cstheme="minorBidi"/>
            <w:b w:val="0"/>
            <w:kern w:val="2"/>
            <w:sz w:val="24"/>
            <w:szCs w:val="24"/>
            <w:lang w:eastAsia="zh-CN"/>
            <w14:ligatures w14:val="standardContextual"/>
          </w:rPr>
          <w:tab/>
        </w:r>
        <w:r w:rsidR="00B37133" w:rsidRPr="00577FAF">
          <w:rPr>
            <w:rStyle w:val="Hyperlink"/>
          </w:rPr>
          <w:t>ASUNTOS RELACIONADOS CON EL PROGRAMA</w:t>
        </w:r>
        <w:r w:rsidR="00B37133" w:rsidRPr="00577FAF">
          <w:rPr>
            <w:webHidden/>
          </w:rPr>
          <w:tab/>
        </w:r>
        <w:r w:rsidR="00B37133" w:rsidRPr="00577FAF">
          <w:rPr>
            <w:webHidden/>
          </w:rPr>
          <w:fldChar w:fldCharType="begin"/>
        </w:r>
        <w:r w:rsidR="00B37133" w:rsidRPr="00577FAF">
          <w:rPr>
            <w:webHidden/>
          </w:rPr>
          <w:instrText xml:space="preserve"> PAGEREF _Toc168933426 \h </w:instrText>
        </w:r>
        <w:r w:rsidR="00B37133" w:rsidRPr="00577FAF">
          <w:rPr>
            <w:webHidden/>
          </w:rPr>
        </w:r>
        <w:r w:rsidR="00B37133" w:rsidRPr="00577FAF">
          <w:rPr>
            <w:webHidden/>
          </w:rPr>
          <w:fldChar w:fldCharType="separate"/>
        </w:r>
        <w:r w:rsidR="00577FAF" w:rsidRPr="00577FAF">
          <w:rPr>
            <w:webHidden/>
          </w:rPr>
          <w:t>14</w:t>
        </w:r>
        <w:r w:rsidR="00B37133" w:rsidRPr="00577FAF">
          <w:rPr>
            <w:webHidden/>
          </w:rPr>
          <w:fldChar w:fldCharType="end"/>
        </w:r>
      </w:hyperlink>
    </w:p>
    <w:p w14:paraId="0602AFD1" w14:textId="0C4D6ADD" w:rsidR="00B37133" w:rsidRPr="00577FAF" w:rsidRDefault="00EA695A">
      <w:pPr>
        <w:pStyle w:val="TOC2"/>
        <w:tabs>
          <w:tab w:val="left" w:pos="1134"/>
        </w:tabs>
        <w:rPr>
          <w:rFonts w:asciiTheme="minorHAnsi" w:eastAsiaTheme="minorEastAsia" w:hAnsiTheme="minorHAnsi" w:cstheme="minorBidi"/>
          <w:bCs w:val="0"/>
          <w:iCs w:val="0"/>
          <w:kern w:val="2"/>
          <w:sz w:val="24"/>
          <w:szCs w:val="24"/>
          <w:lang w:eastAsia="zh-CN"/>
          <w14:ligatures w14:val="standardContextual"/>
        </w:rPr>
      </w:pPr>
      <w:hyperlink w:anchor="_Toc168933427" w:history="1">
        <w:r w:rsidR="00B37133" w:rsidRPr="00577FAF">
          <w:rPr>
            <w:rStyle w:val="Hyperlink"/>
          </w:rPr>
          <w:t>4.1</w:t>
        </w:r>
        <w:r w:rsidR="00B37133" w:rsidRPr="00577FAF">
          <w:rPr>
            <w:rFonts w:asciiTheme="minorHAnsi" w:eastAsiaTheme="minorEastAsia" w:hAnsiTheme="minorHAnsi" w:cstheme="minorBidi"/>
            <w:bCs w:val="0"/>
            <w:iCs w:val="0"/>
            <w:kern w:val="2"/>
            <w:sz w:val="24"/>
            <w:szCs w:val="24"/>
            <w:lang w:eastAsia="zh-CN"/>
            <w14:ligatures w14:val="standardContextual"/>
          </w:rPr>
          <w:tab/>
        </w:r>
        <w:r w:rsidR="00B37133" w:rsidRPr="00577FAF">
          <w:rPr>
            <w:rStyle w:val="Hyperlink"/>
          </w:rPr>
          <w:t>GOBERNANZA DEL SISTEMA MUNDIAL DE OBSERVACIÓN DEL OCÉANO (GOOS)</w:t>
        </w:r>
        <w:r w:rsidR="00B37133" w:rsidRPr="00577FAF">
          <w:rPr>
            <w:webHidden/>
          </w:rPr>
          <w:tab/>
        </w:r>
        <w:r w:rsidR="00B37133" w:rsidRPr="00577FAF">
          <w:rPr>
            <w:webHidden/>
          </w:rPr>
          <w:fldChar w:fldCharType="begin"/>
        </w:r>
        <w:r w:rsidR="00B37133" w:rsidRPr="00577FAF">
          <w:rPr>
            <w:webHidden/>
          </w:rPr>
          <w:instrText xml:space="preserve"> PAGEREF _Toc168933427 \h </w:instrText>
        </w:r>
        <w:r w:rsidR="00B37133" w:rsidRPr="00577FAF">
          <w:rPr>
            <w:webHidden/>
          </w:rPr>
        </w:r>
        <w:r w:rsidR="00B37133" w:rsidRPr="00577FAF">
          <w:rPr>
            <w:webHidden/>
          </w:rPr>
          <w:fldChar w:fldCharType="separate"/>
        </w:r>
        <w:r w:rsidR="00577FAF" w:rsidRPr="00577FAF">
          <w:rPr>
            <w:webHidden/>
          </w:rPr>
          <w:t>14</w:t>
        </w:r>
        <w:r w:rsidR="00B37133" w:rsidRPr="00577FAF">
          <w:rPr>
            <w:webHidden/>
          </w:rPr>
          <w:fldChar w:fldCharType="end"/>
        </w:r>
      </w:hyperlink>
    </w:p>
    <w:p w14:paraId="301F85AC" w14:textId="761F3B02" w:rsidR="00B37133" w:rsidRPr="00577FAF" w:rsidRDefault="00EA695A">
      <w:pPr>
        <w:pStyle w:val="TOC2"/>
        <w:tabs>
          <w:tab w:val="left" w:pos="1134"/>
        </w:tabs>
        <w:rPr>
          <w:rFonts w:asciiTheme="minorHAnsi" w:eastAsiaTheme="minorEastAsia" w:hAnsiTheme="minorHAnsi" w:cstheme="minorBidi"/>
          <w:bCs w:val="0"/>
          <w:iCs w:val="0"/>
          <w:kern w:val="2"/>
          <w:sz w:val="24"/>
          <w:szCs w:val="24"/>
          <w:lang w:eastAsia="zh-CN"/>
          <w14:ligatures w14:val="standardContextual"/>
        </w:rPr>
      </w:pPr>
      <w:hyperlink w:anchor="_Toc168933428" w:history="1">
        <w:r w:rsidR="00B37133" w:rsidRPr="00577FAF">
          <w:rPr>
            <w:rStyle w:val="Hyperlink"/>
          </w:rPr>
          <w:t>4.2</w:t>
        </w:r>
        <w:r w:rsidR="00B37133" w:rsidRPr="00577FAF">
          <w:rPr>
            <w:rFonts w:asciiTheme="minorHAnsi" w:eastAsiaTheme="minorEastAsia" w:hAnsiTheme="minorHAnsi" w:cstheme="minorBidi"/>
            <w:bCs w:val="0"/>
            <w:iCs w:val="0"/>
            <w:kern w:val="2"/>
            <w:sz w:val="24"/>
            <w:szCs w:val="24"/>
            <w:lang w:eastAsia="zh-CN"/>
            <w14:ligatures w14:val="standardContextual"/>
          </w:rPr>
          <w:tab/>
        </w:r>
        <w:r w:rsidR="00B37133" w:rsidRPr="00577FAF">
          <w:rPr>
            <w:rStyle w:val="Hyperlink"/>
          </w:rPr>
          <w:t xml:space="preserve">INFORME SOBRE LOS AVANCES DE LAS OBSERVACIONES OCEÁNICAS </w:t>
        </w:r>
        <w:r w:rsidR="00667A5C">
          <w:rPr>
            <w:rStyle w:val="Hyperlink"/>
          </w:rPr>
          <w:br/>
        </w:r>
        <w:r w:rsidR="00B37133" w:rsidRPr="00577FAF">
          <w:rPr>
            <w:rStyle w:val="Hyperlink"/>
          </w:rPr>
          <w:t>EN LAS ZONAS SUJETAS A LA JURISDICCIÓN NACIONAL</w:t>
        </w:r>
        <w:r w:rsidR="00B37133" w:rsidRPr="00577FAF">
          <w:rPr>
            <w:webHidden/>
          </w:rPr>
          <w:tab/>
        </w:r>
        <w:r w:rsidR="00B37133" w:rsidRPr="00577FAF">
          <w:rPr>
            <w:webHidden/>
          </w:rPr>
          <w:fldChar w:fldCharType="begin"/>
        </w:r>
        <w:r w:rsidR="00B37133" w:rsidRPr="00577FAF">
          <w:rPr>
            <w:webHidden/>
          </w:rPr>
          <w:instrText xml:space="preserve"> PAGEREF _Toc168933428 \h </w:instrText>
        </w:r>
        <w:r w:rsidR="00B37133" w:rsidRPr="00577FAF">
          <w:rPr>
            <w:webHidden/>
          </w:rPr>
        </w:r>
        <w:r w:rsidR="00B37133" w:rsidRPr="00577FAF">
          <w:rPr>
            <w:webHidden/>
          </w:rPr>
          <w:fldChar w:fldCharType="separate"/>
        </w:r>
        <w:r w:rsidR="00577FAF" w:rsidRPr="00577FAF">
          <w:rPr>
            <w:webHidden/>
          </w:rPr>
          <w:t>15</w:t>
        </w:r>
        <w:r w:rsidR="00B37133" w:rsidRPr="00577FAF">
          <w:rPr>
            <w:webHidden/>
          </w:rPr>
          <w:fldChar w:fldCharType="end"/>
        </w:r>
      </w:hyperlink>
    </w:p>
    <w:p w14:paraId="4457D96C" w14:textId="66875AD9" w:rsidR="00B37133" w:rsidRPr="00577FAF" w:rsidRDefault="00EA695A">
      <w:pPr>
        <w:pStyle w:val="TOC2"/>
        <w:tabs>
          <w:tab w:val="left" w:pos="1134"/>
        </w:tabs>
        <w:rPr>
          <w:rFonts w:asciiTheme="minorHAnsi" w:eastAsiaTheme="minorEastAsia" w:hAnsiTheme="minorHAnsi" w:cstheme="minorBidi"/>
          <w:bCs w:val="0"/>
          <w:iCs w:val="0"/>
          <w:kern w:val="2"/>
          <w:sz w:val="24"/>
          <w:szCs w:val="24"/>
          <w:lang w:eastAsia="zh-CN"/>
          <w14:ligatures w14:val="standardContextual"/>
        </w:rPr>
      </w:pPr>
      <w:hyperlink w:anchor="_Toc168933429" w:history="1">
        <w:r w:rsidR="00B37133" w:rsidRPr="00577FAF">
          <w:rPr>
            <w:rStyle w:val="Hyperlink"/>
          </w:rPr>
          <w:t>4.3</w:t>
        </w:r>
        <w:r w:rsidR="00B37133" w:rsidRPr="00577FAF">
          <w:rPr>
            <w:rFonts w:asciiTheme="minorHAnsi" w:eastAsiaTheme="minorEastAsia" w:hAnsiTheme="minorHAnsi" w:cstheme="minorBidi"/>
            <w:bCs w:val="0"/>
            <w:iCs w:val="0"/>
            <w:kern w:val="2"/>
            <w:sz w:val="24"/>
            <w:szCs w:val="24"/>
            <w:lang w:eastAsia="zh-CN"/>
            <w14:ligatures w14:val="standardContextual"/>
          </w:rPr>
          <w:tab/>
        </w:r>
        <w:r w:rsidR="00B37133" w:rsidRPr="00577FAF">
          <w:rPr>
            <w:rStyle w:val="Hyperlink"/>
          </w:rPr>
          <w:t>PROYECTO DE ESTRATEGIA SOBRE LA PLANIFICACIÓN Y LA GESTIÓN SOSTENIBLES DEL OCÉANO</w:t>
        </w:r>
        <w:r w:rsidR="00B37133" w:rsidRPr="00577FAF">
          <w:rPr>
            <w:webHidden/>
          </w:rPr>
          <w:tab/>
        </w:r>
        <w:r w:rsidR="00B37133" w:rsidRPr="00577FAF">
          <w:rPr>
            <w:webHidden/>
          </w:rPr>
          <w:fldChar w:fldCharType="begin"/>
        </w:r>
        <w:r w:rsidR="00B37133" w:rsidRPr="00577FAF">
          <w:rPr>
            <w:webHidden/>
          </w:rPr>
          <w:instrText xml:space="preserve"> PAGEREF _Toc168933429 \h </w:instrText>
        </w:r>
        <w:r w:rsidR="00B37133" w:rsidRPr="00577FAF">
          <w:rPr>
            <w:webHidden/>
          </w:rPr>
        </w:r>
        <w:r w:rsidR="00B37133" w:rsidRPr="00577FAF">
          <w:rPr>
            <w:webHidden/>
          </w:rPr>
          <w:fldChar w:fldCharType="separate"/>
        </w:r>
        <w:r w:rsidR="00577FAF" w:rsidRPr="00577FAF">
          <w:rPr>
            <w:webHidden/>
          </w:rPr>
          <w:t>16</w:t>
        </w:r>
        <w:r w:rsidR="00B37133" w:rsidRPr="00577FAF">
          <w:rPr>
            <w:webHidden/>
          </w:rPr>
          <w:fldChar w:fldCharType="end"/>
        </w:r>
      </w:hyperlink>
    </w:p>
    <w:p w14:paraId="793CD813" w14:textId="2727BF74" w:rsidR="00B37133" w:rsidRPr="00577FAF" w:rsidRDefault="00EA695A">
      <w:pPr>
        <w:pStyle w:val="TOC2"/>
        <w:tabs>
          <w:tab w:val="left" w:pos="1134"/>
        </w:tabs>
        <w:rPr>
          <w:rFonts w:asciiTheme="minorHAnsi" w:eastAsiaTheme="minorEastAsia" w:hAnsiTheme="minorHAnsi" w:cstheme="minorBidi"/>
          <w:bCs w:val="0"/>
          <w:iCs w:val="0"/>
          <w:kern w:val="2"/>
          <w:sz w:val="24"/>
          <w:szCs w:val="24"/>
          <w:lang w:eastAsia="zh-CN"/>
          <w14:ligatures w14:val="standardContextual"/>
        </w:rPr>
      </w:pPr>
      <w:hyperlink w:anchor="_Toc168933430" w:history="1">
        <w:r w:rsidR="00B37133" w:rsidRPr="00577FAF">
          <w:rPr>
            <w:rStyle w:val="Hyperlink"/>
          </w:rPr>
          <w:t>4.4</w:t>
        </w:r>
        <w:r w:rsidR="00B37133" w:rsidRPr="00577FAF">
          <w:rPr>
            <w:rFonts w:asciiTheme="minorHAnsi" w:eastAsiaTheme="minorEastAsia" w:hAnsiTheme="minorHAnsi" w:cstheme="minorBidi"/>
            <w:bCs w:val="0"/>
            <w:iCs w:val="0"/>
            <w:kern w:val="2"/>
            <w:sz w:val="24"/>
            <w:szCs w:val="24"/>
            <w:lang w:eastAsia="zh-CN"/>
            <w14:ligatures w14:val="standardContextual"/>
          </w:rPr>
          <w:tab/>
        </w:r>
        <w:r w:rsidR="00B37133" w:rsidRPr="00577FAF">
          <w:rPr>
            <w:rStyle w:val="Hyperlink"/>
          </w:rPr>
          <w:t xml:space="preserve">EXAMEN DE LA GOBERNANZA DEL GEBCO (2023) Y EXAMEN TRIENAL </w:t>
        </w:r>
        <w:r w:rsidR="00667A5C">
          <w:rPr>
            <w:rStyle w:val="Hyperlink"/>
          </w:rPr>
          <w:br/>
        </w:r>
        <w:r w:rsidR="00B37133" w:rsidRPr="00577FAF">
          <w:rPr>
            <w:rStyle w:val="Hyperlink"/>
          </w:rPr>
          <w:t>DE LAS NECESIDADES DE LOS USUARIOS</w:t>
        </w:r>
        <w:r w:rsidR="00B37133" w:rsidRPr="00577FAF">
          <w:rPr>
            <w:webHidden/>
          </w:rPr>
          <w:tab/>
        </w:r>
        <w:r w:rsidR="00B37133" w:rsidRPr="00577FAF">
          <w:rPr>
            <w:webHidden/>
          </w:rPr>
          <w:fldChar w:fldCharType="begin"/>
        </w:r>
        <w:r w:rsidR="00B37133" w:rsidRPr="00577FAF">
          <w:rPr>
            <w:webHidden/>
          </w:rPr>
          <w:instrText xml:space="preserve"> PAGEREF _Toc168933430 \h </w:instrText>
        </w:r>
        <w:r w:rsidR="00B37133" w:rsidRPr="00577FAF">
          <w:rPr>
            <w:webHidden/>
          </w:rPr>
        </w:r>
        <w:r w:rsidR="00B37133" w:rsidRPr="00577FAF">
          <w:rPr>
            <w:webHidden/>
          </w:rPr>
          <w:fldChar w:fldCharType="separate"/>
        </w:r>
        <w:r w:rsidR="00577FAF" w:rsidRPr="00577FAF">
          <w:rPr>
            <w:webHidden/>
          </w:rPr>
          <w:t>18</w:t>
        </w:r>
        <w:r w:rsidR="00B37133" w:rsidRPr="00577FAF">
          <w:rPr>
            <w:webHidden/>
          </w:rPr>
          <w:fldChar w:fldCharType="end"/>
        </w:r>
      </w:hyperlink>
    </w:p>
    <w:p w14:paraId="2E3A5AEC" w14:textId="3AE88534" w:rsidR="00B37133" w:rsidRPr="00577FAF" w:rsidRDefault="00EA695A">
      <w:pPr>
        <w:pStyle w:val="TOC2"/>
        <w:tabs>
          <w:tab w:val="left" w:pos="1134"/>
        </w:tabs>
        <w:rPr>
          <w:rFonts w:asciiTheme="minorHAnsi" w:eastAsiaTheme="minorEastAsia" w:hAnsiTheme="minorHAnsi" w:cstheme="minorBidi"/>
          <w:bCs w:val="0"/>
          <w:iCs w:val="0"/>
          <w:kern w:val="2"/>
          <w:sz w:val="24"/>
          <w:szCs w:val="24"/>
          <w:lang w:eastAsia="zh-CN"/>
          <w14:ligatures w14:val="standardContextual"/>
        </w:rPr>
      </w:pPr>
      <w:hyperlink w:anchor="_Toc168933431" w:history="1">
        <w:r w:rsidR="00B37133" w:rsidRPr="00577FAF">
          <w:rPr>
            <w:rStyle w:val="Hyperlink"/>
          </w:rPr>
          <w:t>4.5</w:t>
        </w:r>
        <w:r w:rsidR="00B37133" w:rsidRPr="00577FAF">
          <w:rPr>
            <w:rFonts w:asciiTheme="minorHAnsi" w:eastAsiaTheme="minorEastAsia" w:hAnsiTheme="minorHAnsi" w:cstheme="minorBidi"/>
            <w:bCs w:val="0"/>
            <w:iCs w:val="0"/>
            <w:kern w:val="2"/>
            <w:sz w:val="24"/>
            <w:szCs w:val="24"/>
            <w:lang w:eastAsia="zh-CN"/>
            <w14:ligatures w14:val="standardContextual"/>
          </w:rPr>
          <w:tab/>
        </w:r>
        <w:r w:rsidR="00B37133" w:rsidRPr="00577FAF">
          <w:rPr>
            <w:rStyle w:val="Hyperlink"/>
          </w:rPr>
          <w:t xml:space="preserve">INFORME DEL CONSEJO CONSULTIVO SOBRE LA SEGUNDA EDICIÓN </w:t>
        </w:r>
        <w:r w:rsidR="00667A5C">
          <w:rPr>
            <w:rStyle w:val="Hyperlink"/>
          </w:rPr>
          <w:br/>
        </w:r>
        <w:r w:rsidR="00B37133" w:rsidRPr="00577FAF">
          <w:rPr>
            <w:rStyle w:val="Hyperlink"/>
          </w:rPr>
          <w:t>DEL INFORME DE LA COI SOBRE EL ESTADO DEL OCÉANO]</w:t>
        </w:r>
        <w:r w:rsidR="00B37133" w:rsidRPr="00577FAF">
          <w:rPr>
            <w:webHidden/>
          </w:rPr>
          <w:tab/>
        </w:r>
        <w:r w:rsidR="00B37133" w:rsidRPr="00577FAF">
          <w:rPr>
            <w:webHidden/>
          </w:rPr>
          <w:fldChar w:fldCharType="begin"/>
        </w:r>
        <w:r w:rsidR="00B37133" w:rsidRPr="00577FAF">
          <w:rPr>
            <w:webHidden/>
          </w:rPr>
          <w:instrText xml:space="preserve"> PAGEREF _Toc168933431 \h </w:instrText>
        </w:r>
        <w:r w:rsidR="00B37133" w:rsidRPr="00577FAF">
          <w:rPr>
            <w:webHidden/>
          </w:rPr>
        </w:r>
        <w:r w:rsidR="00B37133" w:rsidRPr="00577FAF">
          <w:rPr>
            <w:webHidden/>
          </w:rPr>
          <w:fldChar w:fldCharType="separate"/>
        </w:r>
        <w:r w:rsidR="00577FAF" w:rsidRPr="00577FAF">
          <w:rPr>
            <w:webHidden/>
          </w:rPr>
          <w:t>21</w:t>
        </w:r>
        <w:r w:rsidR="00B37133" w:rsidRPr="00577FAF">
          <w:rPr>
            <w:webHidden/>
          </w:rPr>
          <w:fldChar w:fldCharType="end"/>
        </w:r>
      </w:hyperlink>
    </w:p>
    <w:p w14:paraId="0FBED9B1" w14:textId="336B1291" w:rsidR="00B37133" w:rsidRPr="00577FAF" w:rsidRDefault="00EA695A">
      <w:pPr>
        <w:pStyle w:val="TOC2"/>
        <w:tabs>
          <w:tab w:val="left" w:pos="1134"/>
        </w:tabs>
        <w:rPr>
          <w:rFonts w:asciiTheme="minorHAnsi" w:eastAsiaTheme="minorEastAsia" w:hAnsiTheme="minorHAnsi" w:cstheme="minorBidi"/>
          <w:bCs w:val="0"/>
          <w:iCs w:val="0"/>
          <w:kern w:val="2"/>
          <w:sz w:val="24"/>
          <w:szCs w:val="24"/>
          <w:lang w:eastAsia="zh-CN"/>
          <w14:ligatures w14:val="standardContextual"/>
        </w:rPr>
      </w:pPr>
      <w:hyperlink w:anchor="_Toc168933432" w:history="1">
        <w:r w:rsidR="00B37133" w:rsidRPr="00577FAF">
          <w:rPr>
            <w:rStyle w:val="Hyperlink"/>
          </w:rPr>
          <w:t>4.6</w:t>
        </w:r>
        <w:r w:rsidR="00B37133" w:rsidRPr="00577FAF">
          <w:rPr>
            <w:rFonts w:asciiTheme="minorHAnsi" w:eastAsiaTheme="minorEastAsia" w:hAnsiTheme="minorHAnsi" w:cstheme="minorBidi"/>
            <w:bCs w:val="0"/>
            <w:iCs w:val="0"/>
            <w:kern w:val="2"/>
            <w:sz w:val="24"/>
            <w:szCs w:val="24"/>
            <w:lang w:eastAsia="zh-CN"/>
            <w14:ligatures w14:val="standardContextual"/>
          </w:rPr>
          <w:tab/>
        </w:r>
        <w:r w:rsidR="00B37133" w:rsidRPr="00577FAF">
          <w:rPr>
            <w:rStyle w:val="Hyperlink"/>
          </w:rPr>
          <w:t xml:space="preserve">EJECUCIÓN DE LA ESTRATEGIA DE DESARROLLO DE CAPACIDADES </w:t>
        </w:r>
        <w:r w:rsidR="00667A5C">
          <w:rPr>
            <w:rStyle w:val="Hyperlink"/>
          </w:rPr>
          <w:br/>
        </w:r>
        <w:r w:rsidR="00B37133" w:rsidRPr="00577FAF">
          <w:rPr>
            <w:rStyle w:val="Hyperlink"/>
          </w:rPr>
          <w:t>DE LA COI PARA 2023-2030</w:t>
        </w:r>
        <w:r w:rsidR="00B37133" w:rsidRPr="00577FAF">
          <w:rPr>
            <w:webHidden/>
          </w:rPr>
          <w:tab/>
        </w:r>
        <w:r w:rsidR="00B37133" w:rsidRPr="00577FAF">
          <w:rPr>
            <w:webHidden/>
          </w:rPr>
          <w:fldChar w:fldCharType="begin"/>
        </w:r>
        <w:r w:rsidR="00B37133" w:rsidRPr="00577FAF">
          <w:rPr>
            <w:webHidden/>
          </w:rPr>
          <w:instrText xml:space="preserve"> PAGEREF _Toc168933432 \h </w:instrText>
        </w:r>
        <w:r w:rsidR="00B37133" w:rsidRPr="00577FAF">
          <w:rPr>
            <w:webHidden/>
          </w:rPr>
        </w:r>
        <w:r w:rsidR="00B37133" w:rsidRPr="00577FAF">
          <w:rPr>
            <w:webHidden/>
          </w:rPr>
          <w:fldChar w:fldCharType="separate"/>
        </w:r>
        <w:r w:rsidR="00577FAF" w:rsidRPr="00577FAF">
          <w:rPr>
            <w:webHidden/>
          </w:rPr>
          <w:t>22</w:t>
        </w:r>
        <w:r w:rsidR="00B37133" w:rsidRPr="00577FAF">
          <w:rPr>
            <w:webHidden/>
          </w:rPr>
          <w:fldChar w:fldCharType="end"/>
        </w:r>
      </w:hyperlink>
    </w:p>
    <w:p w14:paraId="27B2197E" w14:textId="1C761F5C" w:rsidR="00B37133" w:rsidRPr="00577FAF" w:rsidRDefault="00EA695A">
      <w:pPr>
        <w:pStyle w:val="TOC2"/>
        <w:tabs>
          <w:tab w:val="left" w:pos="1134"/>
        </w:tabs>
        <w:rPr>
          <w:rFonts w:asciiTheme="minorHAnsi" w:eastAsiaTheme="minorEastAsia" w:hAnsiTheme="minorHAnsi" w:cstheme="minorBidi"/>
          <w:bCs w:val="0"/>
          <w:iCs w:val="0"/>
          <w:kern w:val="2"/>
          <w:sz w:val="24"/>
          <w:szCs w:val="24"/>
          <w:lang w:eastAsia="zh-CN"/>
          <w14:ligatures w14:val="standardContextual"/>
        </w:rPr>
      </w:pPr>
      <w:hyperlink w:anchor="_Toc168933433" w:history="1">
        <w:r w:rsidR="00B37133" w:rsidRPr="00577FAF">
          <w:rPr>
            <w:rStyle w:val="Hyperlink"/>
          </w:rPr>
          <w:t>4.7</w:t>
        </w:r>
        <w:r w:rsidR="00B37133" w:rsidRPr="00577FAF">
          <w:rPr>
            <w:rFonts w:asciiTheme="minorHAnsi" w:eastAsiaTheme="minorEastAsia" w:hAnsiTheme="minorHAnsi" w:cstheme="minorBidi"/>
            <w:bCs w:val="0"/>
            <w:iCs w:val="0"/>
            <w:kern w:val="2"/>
            <w:sz w:val="24"/>
            <w:szCs w:val="24"/>
            <w:lang w:eastAsia="zh-CN"/>
            <w14:ligatures w14:val="standardContextual"/>
          </w:rPr>
          <w:tab/>
        </w:r>
        <w:r w:rsidR="00B37133" w:rsidRPr="00577FAF">
          <w:rPr>
            <w:rStyle w:val="Hyperlink"/>
          </w:rPr>
          <w:t xml:space="preserve">INFORME SOBRE LA EJECUCIÓN DEL DECENIO DE LAS NACIONES UNIDAS </w:t>
        </w:r>
        <w:r w:rsidR="00B37133" w:rsidRPr="00577FAF">
          <w:rPr>
            <w:rStyle w:val="Hyperlink"/>
          </w:rPr>
          <w:br/>
          <w:t xml:space="preserve">DE LAS CIENCIAS OCEÁNICAS PARA EL DESARROLLO </w:t>
        </w:r>
        <w:r w:rsidR="00B37133" w:rsidRPr="00577FAF">
          <w:rPr>
            <w:rStyle w:val="Hyperlink"/>
          </w:rPr>
          <w:br/>
          <w:t>SOSTENIBLE (2021-2030</w:t>
        </w:r>
        <w:r w:rsidR="00B37133" w:rsidRPr="00577FAF">
          <w:rPr>
            <w:webHidden/>
          </w:rPr>
          <w:tab/>
        </w:r>
        <w:r w:rsidR="00B37133" w:rsidRPr="00577FAF">
          <w:rPr>
            <w:webHidden/>
          </w:rPr>
          <w:fldChar w:fldCharType="begin"/>
        </w:r>
        <w:r w:rsidR="00B37133" w:rsidRPr="00577FAF">
          <w:rPr>
            <w:webHidden/>
          </w:rPr>
          <w:instrText xml:space="preserve"> PAGEREF _Toc168933433 \h </w:instrText>
        </w:r>
        <w:r w:rsidR="00B37133" w:rsidRPr="00577FAF">
          <w:rPr>
            <w:webHidden/>
          </w:rPr>
        </w:r>
        <w:r w:rsidR="00B37133" w:rsidRPr="00577FAF">
          <w:rPr>
            <w:webHidden/>
          </w:rPr>
          <w:fldChar w:fldCharType="separate"/>
        </w:r>
        <w:r w:rsidR="00577FAF" w:rsidRPr="00577FAF">
          <w:rPr>
            <w:webHidden/>
          </w:rPr>
          <w:t>24</w:t>
        </w:r>
        <w:r w:rsidR="00B37133" w:rsidRPr="00577FAF">
          <w:rPr>
            <w:webHidden/>
          </w:rPr>
          <w:fldChar w:fldCharType="end"/>
        </w:r>
      </w:hyperlink>
    </w:p>
    <w:p w14:paraId="7688C778" w14:textId="123C1C31" w:rsidR="00B37133" w:rsidRPr="00577FAF" w:rsidRDefault="00EA695A">
      <w:pPr>
        <w:pStyle w:val="TOC1"/>
        <w:rPr>
          <w:rFonts w:asciiTheme="minorHAnsi" w:eastAsiaTheme="minorEastAsia" w:hAnsiTheme="minorHAnsi" w:cstheme="minorBidi"/>
          <w:b w:val="0"/>
          <w:kern w:val="2"/>
          <w:sz w:val="24"/>
          <w:szCs w:val="24"/>
          <w:lang w:eastAsia="zh-CN"/>
          <w14:ligatures w14:val="standardContextual"/>
        </w:rPr>
      </w:pPr>
      <w:hyperlink w:anchor="_Toc168933434" w:history="1">
        <w:r w:rsidR="00B37133" w:rsidRPr="00577FAF">
          <w:rPr>
            <w:rStyle w:val="Hyperlink"/>
          </w:rPr>
          <w:t>5.</w:t>
        </w:r>
        <w:r w:rsidR="00B37133" w:rsidRPr="00577FAF">
          <w:rPr>
            <w:rFonts w:asciiTheme="minorHAnsi" w:eastAsiaTheme="minorEastAsia" w:hAnsiTheme="minorHAnsi" w:cstheme="minorBidi"/>
            <w:b w:val="0"/>
            <w:kern w:val="2"/>
            <w:sz w:val="24"/>
            <w:szCs w:val="24"/>
            <w:lang w:eastAsia="zh-CN"/>
            <w14:ligatures w14:val="standardContextual"/>
          </w:rPr>
          <w:tab/>
        </w:r>
        <w:r w:rsidR="00B37133" w:rsidRPr="00577FAF">
          <w:rPr>
            <w:rStyle w:val="Hyperlink"/>
          </w:rPr>
          <w:t>GOBERNANZA, PROGRAMACIÓN Y PRESUPUESTACIÓN</w:t>
        </w:r>
        <w:r w:rsidR="00B37133" w:rsidRPr="00577FAF">
          <w:rPr>
            <w:webHidden/>
          </w:rPr>
          <w:tab/>
        </w:r>
        <w:r w:rsidR="00B37133" w:rsidRPr="00577FAF">
          <w:rPr>
            <w:webHidden/>
          </w:rPr>
          <w:fldChar w:fldCharType="begin"/>
        </w:r>
        <w:r w:rsidR="00B37133" w:rsidRPr="00577FAF">
          <w:rPr>
            <w:webHidden/>
          </w:rPr>
          <w:instrText xml:space="preserve"> PAGEREF _Toc168933434 \h </w:instrText>
        </w:r>
        <w:r w:rsidR="00B37133" w:rsidRPr="00577FAF">
          <w:rPr>
            <w:webHidden/>
          </w:rPr>
        </w:r>
        <w:r w:rsidR="00B37133" w:rsidRPr="00577FAF">
          <w:rPr>
            <w:webHidden/>
          </w:rPr>
          <w:fldChar w:fldCharType="separate"/>
        </w:r>
        <w:r w:rsidR="00577FAF" w:rsidRPr="00577FAF">
          <w:rPr>
            <w:webHidden/>
          </w:rPr>
          <w:t>27</w:t>
        </w:r>
        <w:r w:rsidR="00B37133" w:rsidRPr="00577FAF">
          <w:rPr>
            <w:webHidden/>
          </w:rPr>
          <w:fldChar w:fldCharType="end"/>
        </w:r>
      </w:hyperlink>
    </w:p>
    <w:p w14:paraId="7859387B" w14:textId="04BC43FB" w:rsidR="00B37133" w:rsidRPr="00577FAF" w:rsidRDefault="00EA695A">
      <w:pPr>
        <w:pStyle w:val="TOC2"/>
        <w:tabs>
          <w:tab w:val="left" w:pos="1134"/>
        </w:tabs>
        <w:rPr>
          <w:rFonts w:asciiTheme="minorHAnsi" w:eastAsiaTheme="minorEastAsia" w:hAnsiTheme="minorHAnsi" w:cstheme="minorBidi"/>
          <w:bCs w:val="0"/>
          <w:iCs w:val="0"/>
          <w:kern w:val="2"/>
          <w:sz w:val="24"/>
          <w:szCs w:val="24"/>
          <w:lang w:eastAsia="zh-CN"/>
          <w14:ligatures w14:val="standardContextual"/>
        </w:rPr>
      </w:pPr>
      <w:hyperlink w:anchor="_Toc168933435" w:history="1">
        <w:r w:rsidR="00B37133" w:rsidRPr="00577FAF">
          <w:rPr>
            <w:rStyle w:val="Hyperlink"/>
          </w:rPr>
          <w:t>5.1</w:t>
        </w:r>
        <w:r w:rsidR="00B37133" w:rsidRPr="00577FAF">
          <w:rPr>
            <w:rFonts w:asciiTheme="minorHAnsi" w:eastAsiaTheme="minorEastAsia" w:hAnsiTheme="minorHAnsi" w:cstheme="minorBidi"/>
            <w:bCs w:val="0"/>
            <w:iCs w:val="0"/>
            <w:kern w:val="2"/>
            <w:sz w:val="24"/>
            <w:szCs w:val="24"/>
            <w:lang w:eastAsia="zh-CN"/>
            <w14:ligatures w14:val="standardContextual"/>
          </w:rPr>
          <w:tab/>
        </w:r>
        <w:r w:rsidR="00B37133" w:rsidRPr="00577FAF">
          <w:rPr>
            <w:rStyle w:val="Hyperlink"/>
          </w:rPr>
          <w:t>PROGRAMA Y PRESUPUESTO REVISADOS PARA 2024-2025 (42 C/5) Y PROPUESTAS PROVISIONALES PARA 2026-2027 (PROYECTO DE 43 C/5)</w:t>
        </w:r>
        <w:r w:rsidR="00B37133" w:rsidRPr="00577FAF">
          <w:rPr>
            <w:webHidden/>
          </w:rPr>
          <w:tab/>
        </w:r>
        <w:r w:rsidR="00B37133" w:rsidRPr="00577FAF">
          <w:rPr>
            <w:webHidden/>
          </w:rPr>
          <w:fldChar w:fldCharType="begin"/>
        </w:r>
        <w:r w:rsidR="00B37133" w:rsidRPr="00577FAF">
          <w:rPr>
            <w:webHidden/>
          </w:rPr>
          <w:instrText xml:space="preserve"> PAGEREF _Toc168933435 \h </w:instrText>
        </w:r>
        <w:r w:rsidR="00B37133" w:rsidRPr="00577FAF">
          <w:rPr>
            <w:webHidden/>
          </w:rPr>
        </w:r>
        <w:r w:rsidR="00B37133" w:rsidRPr="00577FAF">
          <w:rPr>
            <w:webHidden/>
          </w:rPr>
          <w:fldChar w:fldCharType="separate"/>
        </w:r>
        <w:r w:rsidR="00577FAF" w:rsidRPr="00577FAF">
          <w:rPr>
            <w:webHidden/>
          </w:rPr>
          <w:t>27</w:t>
        </w:r>
        <w:r w:rsidR="00B37133" w:rsidRPr="00577FAF">
          <w:rPr>
            <w:webHidden/>
          </w:rPr>
          <w:fldChar w:fldCharType="end"/>
        </w:r>
      </w:hyperlink>
    </w:p>
    <w:p w14:paraId="11D8CA7C" w14:textId="26C88DBE" w:rsidR="00B37133" w:rsidRPr="00577FAF" w:rsidRDefault="00EA695A">
      <w:pPr>
        <w:pStyle w:val="TOC2"/>
        <w:tabs>
          <w:tab w:val="left" w:pos="1134"/>
        </w:tabs>
        <w:rPr>
          <w:rFonts w:asciiTheme="minorHAnsi" w:eastAsiaTheme="minorEastAsia" w:hAnsiTheme="minorHAnsi" w:cstheme="minorBidi"/>
          <w:bCs w:val="0"/>
          <w:iCs w:val="0"/>
          <w:kern w:val="2"/>
          <w:sz w:val="24"/>
          <w:szCs w:val="24"/>
          <w:lang w:eastAsia="zh-CN"/>
          <w14:ligatures w14:val="standardContextual"/>
        </w:rPr>
      </w:pPr>
      <w:hyperlink w:anchor="_Toc168933436" w:history="1">
        <w:r w:rsidR="00B37133" w:rsidRPr="00577FAF">
          <w:rPr>
            <w:rStyle w:val="Hyperlink"/>
          </w:rPr>
          <w:t>5.2</w:t>
        </w:r>
        <w:r w:rsidR="00B37133" w:rsidRPr="00577FAF">
          <w:rPr>
            <w:rFonts w:asciiTheme="minorHAnsi" w:eastAsiaTheme="minorEastAsia" w:hAnsiTheme="minorHAnsi" w:cstheme="minorBidi"/>
            <w:bCs w:val="0"/>
            <w:iCs w:val="0"/>
            <w:kern w:val="2"/>
            <w:sz w:val="24"/>
            <w:szCs w:val="24"/>
            <w:lang w:eastAsia="zh-CN"/>
            <w14:ligatures w14:val="standardContextual"/>
          </w:rPr>
          <w:tab/>
        </w:r>
        <w:r w:rsidR="00B37133" w:rsidRPr="00577FAF">
          <w:rPr>
            <w:rStyle w:val="Hyperlink"/>
          </w:rPr>
          <w:t>PLAN DE ACCIÓN EN RESPUESTA A LA EVALUACIÓN POR LA IOS DEL POSICIONAMIENTO ESTRATÉGICO DE LA COI - INFORMACIÓN ACTUALIZADA SOBRE LA EJECUCIÓN</w:t>
        </w:r>
        <w:r w:rsidR="00B37133" w:rsidRPr="00577FAF">
          <w:rPr>
            <w:webHidden/>
          </w:rPr>
          <w:tab/>
        </w:r>
        <w:r w:rsidR="00B37133" w:rsidRPr="00577FAF">
          <w:rPr>
            <w:webHidden/>
          </w:rPr>
          <w:fldChar w:fldCharType="begin"/>
        </w:r>
        <w:r w:rsidR="00B37133" w:rsidRPr="00577FAF">
          <w:rPr>
            <w:webHidden/>
          </w:rPr>
          <w:instrText xml:space="preserve"> PAGEREF _Toc168933436 \h </w:instrText>
        </w:r>
        <w:r w:rsidR="00B37133" w:rsidRPr="00577FAF">
          <w:rPr>
            <w:webHidden/>
          </w:rPr>
        </w:r>
        <w:r w:rsidR="00B37133" w:rsidRPr="00577FAF">
          <w:rPr>
            <w:webHidden/>
          </w:rPr>
          <w:fldChar w:fldCharType="separate"/>
        </w:r>
        <w:r w:rsidR="00577FAF" w:rsidRPr="00577FAF">
          <w:rPr>
            <w:webHidden/>
          </w:rPr>
          <w:t>30</w:t>
        </w:r>
        <w:r w:rsidR="00B37133" w:rsidRPr="00577FAF">
          <w:rPr>
            <w:webHidden/>
          </w:rPr>
          <w:fldChar w:fldCharType="end"/>
        </w:r>
      </w:hyperlink>
    </w:p>
    <w:p w14:paraId="44DCBE01" w14:textId="4C7D2D8D" w:rsidR="00B37133" w:rsidRPr="00577FAF" w:rsidRDefault="00EA695A">
      <w:pPr>
        <w:pStyle w:val="TOC2"/>
        <w:tabs>
          <w:tab w:val="left" w:pos="1134"/>
        </w:tabs>
        <w:rPr>
          <w:rFonts w:asciiTheme="minorHAnsi" w:eastAsiaTheme="minorEastAsia" w:hAnsiTheme="minorHAnsi" w:cstheme="minorBidi"/>
          <w:bCs w:val="0"/>
          <w:iCs w:val="0"/>
          <w:kern w:val="2"/>
          <w:sz w:val="24"/>
          <w:szCs w:val="24"/>
          <w:lang w:eastAsia="zh-CN"/>
          <w14:ligatures w14:val="standardContextual"/>
        </w:rPr>
      </w:pPr>
      <w:hyperlink w:anchor="_Toc168933437" w:history="1">
        <w:r w:rsidR="00B37133" w:rsidRPr="00577FAF">
          <w:rPr>
            <w:rStyle w:val="Hyperlink"/>
          </w:rPr>
          <w:t>5.3</w:t>
        </w:r>
        <w:r w:rsidR="00B37133" w:rsidRPr="00577FAF">
          <w:rPr>
            <w:rFonts w:asciiTheme="minorHAnsi" w:eastAsiaTheme="minorEastAsia" w:hAnsiTheme="minorHAnsi" w:cstheme="minorBidi"/>
            <w:bCs w:val="0"/>
            <w:iCs w:val="0"/>
            <w:kern w:val="2"/>
            <w:sz w:val="24"/>
            <w:szCs w:val="24"/>
            <w:lang w:eastAsia="zh-CN"/>
            <w14:ligatures w14:val="standardContextual"/>
          </w:rPr>
          <w:tab/>
        </w:r>
        <w:r w:rsidR="00B37133" w:rsidRPr="00577FAF">
          <w:rPr>
            <w:rStyle w:val="Hyperlink"/>
          </w:rPr>
          <w:t xml:space="preserve">APLICACIÓN DE LA RESOLUCIÓN A-32/4: ASUNTOS RELATIVOS </w:t>
        </w:r>
        <w:r w:rsidR="00B37133" w:rsidRPr="00577FAF">
          <w:rPr>
            <w:rStyle w:val="Hyperlink"/>
          </w:rPr>
          <w:br/>
          <w:t xml:space="preserve">A LA GOBERNANZA, LA PROGRAMACIÓN Y LA PRESUPUESTACIÓN </w:t>
        </w:r>
        <w:r w:rsidR="00B37133" w:rsidRPr="00577FAF">
          <w:rPr>
            <w:rStyle w:val="Hyperlink"/>
          </w:rPr>
          <w:br/>
          <w:t>DE LA COMISIÓN</w:t>
        </w:r>
        <w:r w:rsidR="00B37133" w:rsidRPr="00577FAF">
          <w:rPr>
            <w:webHidden/>
          </w:rPr>
          <w:tab/>
        </w:r>
        <w:r w:rsidR="00B37133" w:rsidRPr="00577FAF">
          <w:rPr>
            <w:webHidden/>
          </w:rPr>
          <w:fldChar w:fldCharType="begin"/>
        </w:r>
        <w:r w:rsidR="00B37133" w:rsidRPr="00577FAF">
          <w:rPr>
            <w:webHidden/>
          </w:rPr>
          <w:instrText xml:space="preserve"> PAGEREF _Toc168933437 \h </w:instrText>
        </w:r>
        <w:r w:rsidR="00B37133" w:rsidRPr="00577FAF">
          <w:rPr>
            <w:webHidden/>
          </w:rPr>
        </w:r>
        <w:r w:rsidR="00B37133" w:rsidRPr="00577FAF">
          <w:rPr>
            <w:webHidden/>
          </w:rPr>
          <w:fldChar w:fldCharType="separate"/>
        </w:r>
        <w:r w:rsidR="00577FAF" w:rsidRPr="00577FAF">
          <w:rPr>
            <w:webHidden/>
          </w:rPr>
          <w:t>30</w:t>
        </w:r>
        <w:r w:rsidR="00B37133" w:rsidRPr="00577FAF">
          <w:rPr>
            <w:webHidden/>
          </w:rPr>
          <w:fldChar w:fldCharType="end"/>
        </w:r>
      </w:hyperlink>
    </w:p>
    <w:p w14:paraId="637206BA" w14:textId="0D13BC86" w:rsidR="00B37133" w:rsidRPr="00577FAF" w:rsidRDefault="00EA695A">
      <w:pPr>
        <w:pStyle w:val="TOC2"/>
        <w:tabs>
          <w:tab w:val="left" w:pos="1134"/>
        </w:tabs>
        <w:rPr>
          <w:rFonts w:asciiTheme="minorHAnsi" w:eastAsiaTheme="minorEastAsia" w:hAnsiTheme="minorHAnsi" w:cstheme="minorBidi"/>
          <w:bCs w:val="0"/>
          <w:iCs w:val="0"/>
          <w:kern w:val="2"/>
          <w:sz w:val="24"/>
          <w:szCs w:val="24"/>
          <w:lang w:eastAsia="zh-CN"/>
          <w14:ligatures w14:val="standardContextual"/>
        </w:rPr>
      </w:pPr>
      <w:hyperlink w:anchor="_Toc168933438" w:history="1">
        <w:r w:rsidR="00B37133" w:rsidRPr="00577FAF">
          <w:rPr>
            <w:rStyle w:val="Hyperlink"/>
          </w:rPr>
          <w:t>5.4</w:t>
        </w:r>
        <w:r w:rsidR="00B37133" w:rsidRPr="00577FAF">
          <w:rPr>
            <w:rFonts w:asciiTheme="minorHAnsi" w:eastAsiaTheme="minorEastAsia" w:hAnsiTheme="minorHAnsi" w:cstheme="minorBidi"/>
            <w:bCs w:val="0"/>
            <w:iCs w:val="0"/>
            <w:kern w:val="2"/>
            <w:sz w:val="24"/>
            <w:szCs w:val="24"/>
            <w:lang w:eastAsia="zh-CN"/>
            <w14:ligatures w14:val="standardContextual"/>
          </w:rPr>
          <w:tab/>
        </w:r>
        <w:r w:rsidR="00B37133" w:rsidRPr="00577FAF">
          <w:rPr>
            <w:rStyle w:val="Hyperlink"/>
          </w:rPr>
          <w:t>INFORME DEL PRESIDENTE DEL COMITÉ DE FINANZAS</w:t>
        </w:r>
        <w:r w:rsidR="00B37133" w:rsidRPr="00577FAF">
          <w:rPr>
            <w:webHidden/>
          </w:rPr>
          <w:tab/>
        </w:r>
        <w:r w:rsidR="00B37133" w:rsidRPr="00577FAF">
          <w:rPr>
            <w:webHidden/>
          </w:rPr>
          <w:fldChar w:fldCharType="begin"/>
        </w:r>
        <w:r w:rsidR="00B37133" w:rsidRPr="00577FAF">
          <w:rPr>
            <w:webHidden/>
          </w:rPr>
          <w:instrText xml:space="preserve"> PAGEREF _Toc168933438 \h </w:instrText>
        </w:r>
        <w:r w:rsidR="00B37133" w:rsidRPr="00577FAF">
          <w:rPr>
            <w:webHidden/>
          </w:rPr>
        </w:r>
        <w:r w:rsidR="00B37133" w:rsidRPr="00577FAF">
          <w:rPr>
            <w:webHidden/>
          </w:rPr>
          <w:fldChar w:fldCharType="separate"/>
        </w:r>
        <w:r w:rsidR="00577FAF" w:rsidRPr="00577FAF">
          <w:rPr>
            <w:webHidden/>
          </w:rPr>
          <w:t>31</w:t>
        </w:r>
        <w:r w:rsidR="00B37133" w:rsidRPr="00577FAF">
          <w:rPr>
            <w:webHidden/>
          </w:rPr>
          <w:fldChar w:fldCharType="end"/>
        </w:r>
      </w:hyperlink>
    </w:p>
    <w:p w14:paraId="2878E9A9" w14:textId="6D1B9E08" w:rsidR="00B37133" w:rsidRPr="00577FAF" w:rsidRDefault="00EA695A">
      <w:pPr>
        <w:pStyle w:val="TOC1"/>
        <w:rPr>
          <w:rFonts w:asciiTheme="minorHAnsi" w:eastAsiaTheme="minorEastAsia" w:hAnsiTheme="minorHAnsi" w:cstheme="minorBidi"/>
          <w:b w:val="0"/>
          <w:kern w:val="2"/>
          <w:sz w:val="24"/>
          <w:szCs w:val="24"/>
          <w:lang w:eastAsia="zh-CN"/>
          <w14:ligatures w14:val="standardContextual"/>
        </w:rPr>
      </w:pPr>
      <w:hyperlink w:anchor="_Toc168933439" w:history="1">
        <w:r w:rsidR="00B37133" w:rsidRPr="00577FAF">
          <w:rPr>
            <w:rStyle w:val="Hyperlink"/>
          </w:rPr>
          <w:t>6.</w:t>
        </w:r>
        <w:r w:rsidR="00B37133" w:rsidRPr="00577FAF">
          <w:rPr>
            <w:rFonts w:asciiTheme="minorHAnsi" w:eastAsiaTheme="minorEastAsia" w:hAnsiTheme="minorHAnsi" w:cstheme="minorBidi"/>
            <w:b w:val="0"/>
            <w:kern w:val="2"/>
            <w:sz w:val="24"/>
            <w:szCs w:val="24"/>
            <w:lang w:eastAsia="zh-CN"/>
            <w14:ligatures w14:val="standardContextual"/>
          </w:rPr>
          <w:tab/>
        </w:r>
        <w:r w:rsidR="00B37133" w:rsidRPr="00577FAF">
          <w:rPr>
            <w:rStyle w:val="Hyperlink"/>
          </w:rPr>
          <w:t xml:space="preserve">PREPARACIÓN DE LAS PRÓXIMAS REUNIONES DE LA ASAMBLEA </w:t>
        </w:r>
        <w:r w:rsidR="00B37133" w:rsidRPr="00577FAF">
          <w:rPr>
            <w:rStyle w:val="Hyperlink"/>
          </w:rPr>
          <w:br/>
          <w:t>Y DEL CONSEJO EJECUTIVO</w:t>
        </w:r>
        <w:r w:rsidR="00B37133" w:rsidRPr="00577FAF">
          <w:rPr>
            <w:webHidden/>
          </w:rPr>
          <w:tab/>
        </w:r>
        <w:r w:rsidR="00B37133" w:rsidRPr="00577FAF">
          <w:rPr>
            <w:webHidden/>
          </w:rPr>
          <w:fldChar w:fldCharType="begin"/>
        </w:r>
        <w:r w:rsidR="00B37133" w:rsidRPr="00577FAF">
          <w:rPr>
            <w:webHidden/>
          </w:rPr>
          <w:instrText xml:space="preserve"> PAGEREF _Toc168933439 \h </w:instrText>
        </w:r>
        <w:r w:rsidR="00B37133" w:rsidRPr="00577FAF">
          <w:rPr>
            <w:webHidden/>
          </w:rPr>
        </w:r>
        <w:r w:rsidR="00B37133" w:rsidRPr="00577FAF">
          <w:rPr>
            <w:webHidden/>
          </w:rPr>
          <w:fldChar w:fldCharType="separate"/>
        </w:r>
        <w:r w:rsidR="00577FAF" w:rsidRPr="00577FAF">
          <w:rPr>
            <w:webHidden/>
          </w:rPr>
          <w:t>32</w:t>
        </w:r>
        <w:r w:rsidR="00B37133" w:rsidRPr="00577FAF">
          <w:rPr>
            <w:webHidden/>
          </w:rPr>
          <w:fldChar w:fldCharType="end"/>
        </w:r>
      </w:hyperlink>
    </w:p>
    <w:p w14:paraId="41A8B4F0" w14:textId="7641110B" w:rsidR="00B37133" w:rsidRPr="00577FAF" w:rsidRDefault="00EA695A">
      <w:pPr>
        <w:pStyle w:val="TOC1"/>
        <w:rPr>
          <w:rFonts w:asciiTheme="minorHAnsi" w:eastAsiaTheme="minorEastAsia" w:hAnsiTheme="minorHAnsi" w:cstheme="minorBidi"/>
          <w:b w:val="0"/>
          <w:kern w:val="2"/>
          <w:sz w:val="24"/>
          <w:szCs w:val="24"/>
          <w:lang w:eastAsia="zh-CN"/>
          <w14:ligatures w14:val="standardContextual"/>
        </w:rPr>
      </w:pPr>
      <w:hyperlink w:anchor="_Toc168933440" w:history="1">
        <w:r w:rsidR="00B37133" w:rsidRPr="00577FAF">
          <w:rPr>
            <w:rStyle w:val="Hyperlink"/>
          </w:rPr>
          <w:t>7.</w:t>
        </w:r>
        <w:r w:rsidR="00B37133" w:rsidRPr="00577FAF">
          <w:rPr>
            <w:rFonts w:asciiTheme="minorHAnsi" w:eastAsiaTheme="minorEastAsia" w:hAnsiTheme="minorHAnsi" w:cstheme="minorBidi"/>
            <w:b w:val="0"/>
            <w:kern w:val="2"/>
            <w:sz w:val="24"/>
            <w:szCs w:val="24"/>
            <w:lang w:eastAsia="zh-CN"/>
            <w14:ligatures w14:val="standardContextual"/>
          </w:rPr>
          <w:tab/>
        </w:r>
        <w:r w:rsidR="00B37133" w:rsidRPr="00577FAF">
          <w:rPr>
            <w:rStyle w:val="Hyperlink"/>
          </w:rPr>
          <w:t xml:space="preserve">APROBACIÓN DE LAS RESOLUCIONES Y MODALIDADES </w:t>
        </w:r>
        <w:r w:rsidR="00B37133" w:rsidRPr="00577FAF">
          <w:rPr>
            <w:rStyle w:val="Hyperlink"/>
          </w:rPr>
          <w:br/>
          <w:t>PARA LA FINALIZACIÓN DEL INFORME</w:t>
        </w:r>
        <w:r w:rsidR="00B37133" w:rsidRPr="00577FAF">
          <w:rPr>
            <w:webHidden/>
          </w:rPr>
          <w:tab/>
        </w:r>
        <w:r w:rsidR="00B37133" w:rsidRPr="00577FAF">
          <w:rPr>
            <w:webHidden/>
          </w:rPr>
          <w:fldChar w:fldCharType="begin"/>
        </w:r>
        <w:r w:rsidR="00B37133" w:rsidRPr="00577FAF">
          <w:rPr>
            <w:webHidden/>
          </w:rPr>
          <w:instrText xml:space="preserve"> PAGEREF _Toc168933440 \h </w:instrText>
        </w:r>
        <w:r w:rsidR="00B37133" w:rsidRPr="00577FAF">
          <w:rPr>
            <w:webHidden/>
          </w:rPr>
        </w:r>
        <w:r w:rsidR="00B37133" w:rsidRPr="00577FAF">
          <w:rPr>
            <w:webHidden/>
          </w:rPr>
          <w:fldChar w:fldCharType="separate"/>
        </w:r>
        <w:r w:rsidR="00577FAF" w:rsidRPr="00577FAF">
          <w:rPr>
            <w:webHidden/>
          </w:rPr>
          <w:t>32</w:t>
        </w:r>
        <w:r w:rsidR="00B37133" w:rsidRPr="00577FAF">
          <w:rPr>
            <w:webHidden/>
          </w:rPr>
          <w:fldChar w:fldCharType="end"/>
        </w:r>
      </w:hyperlink>
    </w:p>
    <w:p w14:paraId="00322C0A" w14:textId="2C7A8B0A" w:rsidR="00B37133" w:rsidRPr="00577FAF" w:rsidRDefault="00EA695A">
      <w:pPr>
        <w:pStyle w:val="TOC1"/>
        <w:rPr>
          <w:rFonts w:asciiTheme="minorHAnsi" w:eastAsiaTheme="minorEastAsia" w:hAnsiTheme="minorHAnsi" w:cstheme="minorBidi"/>
          <w:b w:val="0"/>
          <w:kern w:val="2"/>
          <w:sz w:val="24"/>
          <w:szCs w:val="24"/>
          <w:lang w:eastAsia="zh-CN"/>
          <w14:ligatures w14:val="standardContextual"/>
        </w:rPr>
      </w:pPr>
      <w:hyperlink w:anchor="_Toc168933441" w:history="1">
        <w:r w:rsidR="00B37133" w:rsidRPr="00577FAF">
          <w:rPr>
            <w:rStyle w:val="Hyperlink"/>
          </w:rPr>
          <w:t>8.</w:t>
        </w:r>
        <w:r w:rsidR="00B37133" w:rsidRPr="00577FAF">
          <w:rPr>
            <w:rFonts w:asciiTheme="minorHAnsi" w:eastAsiaTheme="minorEastAsia" w:hAnsiTheme="minorHAnsi" w:cstheme="minorBidi"/>
            <w:b w:val="0"/>
            <w:kern w:val="2"/>
            <w:sz w:val="24"/>
            <w:szCs w:val="24"/>
            <w:lang w:eastAsia="zh-CN"/>
            <w14:ligatures w14:val="standardContextual"/>
          </w:rPr>
          <w:tab/>
        </w:r>
        <w:r w:rsidR="00B37133" w:rsidRPr="00577FAF">
          <w:rPr>
            <w:rStyle w:val="Hyperlink"/>
          </w:rPr>
          <w:t>CLAUSURA</w:t>
        </w:r>
        <w:r w:rsidR="00B37133" w:rsidRPr="00577FAF">
          <w:rPr>
            <w:webHidden/>
          </w:rPr>
          <w:tab/>
        </w:r>
        <w:r w:rsidR="00B37133" w:rsidRPr="00577FAF">
          <w:rPr>
            <w:webHidden/>
          </w:rPr>
          <w:fldChar w:fldCharType="begin"/>
        </w:r>
        <w:r w:rsidR="00B37133" w:rsidRPr="00577FAF">
          <w:rPr>
            <w:webHidden/>
          </w:rPr>
          <w:instrText xml:space="preserve"> PAGEREF _Toc168933441 \h </w:instrText>
        </w:r>
        <w:r w:rsidR="00B37133" w:rsidRPr="00577FAF">
          <w:rPr>
            <w:webHidden/>
          </w:rPr>
        </w:r>
        <w:r w:rsidR="00B37133" w:rsidRPr="00577FAF">
          <w:rPr>
            <w:webHidden/>
          </w:rPr>
          <w:fldChar w:fldCharType="separate"/>
        </w:r>
        <w:r w:rsidR="00577FAF" w:rsidRPr="00577FAF">
          <w:rPr>
            <w:webHidden/>
          </w:rPr>
          <w:t>33</w:t>
        </w:r>
        <w:r w:rsidR="00B37133" w:rsidRPr="00577FAF">
          <w:rPr>
            <w:webHidden/>
          </w:rPr>
          <w:fldChar w:fldCharType="end"/>
        </w:r>
      </w:hyperlink>
    </w:p>
    <w:p w14:paraId="74E91339" w14:textId="1FD02EBC" w:rsidR="003A60E3" w:rsidRPr="00577FAF" w:rsidRDefault="00B37133" w:rsidP="00D77A0F">
      <w:pPr>
        <w:rPr>
          <w:rFonts w:ascii="Arial" w:hAnsi="Arial" w:cs="Arial"/>
          <w:sz w:val="22"/>
          <w:szCs w:val="22"/>
        </w:rPr>
      </w:pPr>
      <w:r w:rsidRPr="00577FAF">
        <w:rPr>
          <w:rFonts w:ascii="Arial" w:hAnsi="Arial" w:cs="Arial"/>
          <w:noProof/>
          <w:sz w:val="22"/>
          <w:szCs w:val="22"/>
        </w:rPr>
        <w:fldChar w:fldCharType="end"/>
      </w:r>
    </w:p>
    <w:p w14:paraId="2C93646C" w14:textId="77777777" w:rsidR="003A60E3" w:rsidRPr="00577FAF" w:rsidRDefault="003A60E3">
      <w:pPr>
        <w:tabs>
          <w:tab w:val="right" w:leader="dot" w:pos="9351"/>
        </w:tabs>
        <w:spacing w:after="240"/>
        <w:rPr>
          <w:rFonts w:ascii="Arial" w:hAnsi="Arial" w:cs="Arial"/>
          <w:sz w:val="22"/>
          <w:szCs w:val="22"/>
        </w:rPr>
      </w:pPr>
    </w:p>
    <w:p w14:paraId="2D8060AC" w14:textId="77777777" w:rsidR="003A60E3" w:rsidRPr="00577FAF" w:rsidRDefault="003A60E3">
      <w:pPr>
        <w:pStyle w:val="Heading2"/>
        <w:spacing w:before="120"/>
        <w:ind w:left="720" w:hanging="720"/>
        <w:rPr>
          <w:rFonts w:cs="Arial"/>
          <w:color w:val="000000"/>
          <w:szCs w:val="22"/>
        </w:rPr>
        <w:sectPr w:rsidR="003A60E3" w:rsidRPr="00577FAF" w:rsidSect="00632FD6">
          <w:headerReference w:type="even" r:id="rId16"/>
          <w:headerReference w:type="first" r:id="rId17"/>
          <w:type w:val="oddPage"/>
          <w:pgSz w:w="11907" w:h="16840" w:code="9"/>
          <w:pgMar w:top="1418" w:right="1134" w:bottom="1389" w:left="1134" w:header="851" w:footer="737" w:gutter="0"/>
          <w:pgNumType w:fmt="lowerRoman" w:start="1"/>
          <w:cols w:space="708"/>
          <w:titlePg/>
          <w:docGrid w:linePitch="360"/>
        </w:sectPr>
      </w:pPr>
      <w:bookmarkStart w:id="6" w:name="_Toc196145691"/>
      <w:bookmarkStart w:id="7" w:name="_Toc199912183"/>
      <w:bookmarkStart w:id="8" w:name="_Toc225590790"/>
      <w:bookmarkStart w:id="9" w:name="_Toc225660251"/>
      <w:bookmarkStart w:id="10" w:name="_Toc227580615"/>
      <w:bookmarkStart w:id="11" w:name="_Toc289696419"/>
      <w:bookmarkStart w:id="12" w:name="_Toc357517544"/>
      <w:bookmarkStart w:id="13" w:name="_Toc358657257"/>
    </w:p>
    <w:p w14:paraId="31096D5E" w14:textId="77777777" w:rsidR="003A60E3" w:rsidRPr="00577FAF" w:rsidRDefault="00CB6A57" w:rsidP="00326BDC">
      <w:pPr>
        <w:pStyle w:val="Heading1"/>
      </w:pPr>
      <w:bookmarkStart w:id="14" w:name="_Toc415051548"/>
      <w:bookmarkStart w:id="15" w:name="_Toc445908043"/>
      <w:bookmarkStart w:id="16" w:name="_Toc57369044"/>
      <w:bookmarkStart w:id="17" w:name="_Toc85469052"/>
      <w:bookmarkStart w:id="18" w:name="_Toc92752482"/>
      <w:bookmarkStart w:id="19" w:name="_Toc168933413"/>
      <w:r w:rsidRPr="00577FAF">
        <w:lastRenderedPageBreak/>
        <w:t>APERTURA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51B5828B" w14:textId="77777777" w:rsidR="003A60E3" w:rsidRPr="00577FAF" w:rsidRDefault="00CB6A57">
      <w:pPr>
        <w:pStyle w:val="Style2"/>
        <w:numPr>
          <w:ilvl w:val="0"/>
          <w:numId w:val="7"/>
        </w:numPr>
        <w:tabs>
          <w:tab w:val="left" w:pos="709"/>
        </w:tabs>
        <w:ind w:left="0" w:hanging="709"/>
        <w:rPr>
          <w:rFonts w:cs="Arial"/>
        </w:rPr>
      </w:pPr>
      <w:r w:rsidRPr="00577FAF">
        <w:rPr>
          <w:rFonts w:cs="Arial"/>
        </w:rPr>
        <w:t xml:space="preserve">El Presidente de la COI, </w:t>
      </w:r>
      <w:r w:rsidR="004C1803" w:rsidRPr="00577FAF">
        <w:rPr>
          <w:rFonts w:cs="Arial"/>
        </w:rPr>
        <w:t xml:space="preserve">el </w:t>
      </w:r>
      <w:r w:rsidRPr="00577FAF">
        <w:rPr>
          <w:rFonts w:cs="Arial"/>
        </w:rPr>
        <w:t>Dr. Yutaka Michida, inauguró la 57ª reunión del Consejo Ejecutivo de la COI a las 10.00 horas en la Sala XI de la Sede de la UNESCO. Antes de pronunciar su discurso de apertura e informar sobre sus actividades y las de los demás miembros de la Mesa desde la 32ª reunión de la Asamblea, el Presidente de la COI dirigió unas palabras de bienvenida en nombre de los Estados Miembros al Dr. Vidar Helgesen, nuevo Secretario Ejecutivo de la COI desde el 1 de marzo de este año.</w:t>
      </w:r>
    </w:p>
    <w:p w14:paraId="3B5DEEB4" w14:textId="77777777" w:rsidR="003A60E3" w:rsidRPr="00577FAF" w:rsidRDefault="00CB6A57">
      <w:pPr>
        <w:pStyle w:val="Style2"/>
        <w:numPr>
          <w:ilvl w:val="0"/>
          <w:numId w:val="7"/>
        </w:numPr>
        <w:tabs>
          <w:tab w:val="left" w:pos="709"/>
        </w:tabs>
        <w:ind w:left="0" w:hanging="709"/>
        <w:rPr>
          <w:rFonts w:cs="Arial"/>
        </w:rPr>
      </w:pPr>
      <w:r w:rsidRPr="00577FAF">
        <w:rPr>
          <w:rFonts w:cs="Arial"/>
        </w:rPr>
        <w:t>El Dr. Michida expresó el deseo de rendir homenaje a los distinguidos colaboradores de la Comisión que habían fallecido recientemente. Los participantes observaron un minuto de silencio en memoria de Raymond Mohammed (Fiji, 1978-2013).</w:t>
      </w:r>
    </w:p>
    <w:p w14:paraId="1D9B51EC" w14:textId="77777777" w:rsidR="003A60E3" w:rsidRPr="00577FAF" w:rsidRDefault="00CB6A57">
      <w:pPr>
        <w:pStyle w:val="Style2"/>
        <w:numPr>
          <w:ilvl w:val="0"/>
          <w:numId w:val="7"/>
        </w:numPr>
        <w:tabs>
          <w:tab w:val="left" w:pos="709"/>
        </w:tabs>
        <w:ind w:left="0" w:hanging="709"/>
        <w:rPr>
          <w:rFonts w:cs="Arial"/>
        </w:rPr>
      </w:pPr>
      <w:r w:rsidRPr="00577FAF">
        <w:rPr>
          <w:rFonts w:cs="Aria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6AA29F1A" w14:textId="77777777" w:rsidR="003A60E3" w:rsidRPr="00577FAF" w:rsidRDefault="00CB6A57" w:rsidP="00326BDC">
      <w:pPr>
        <w:pStyle w:val="Heading1"/>
      </w:pPr>
      <w:bookmarkStart w:id="20" w:name="_Toc38080238"/>
      <w:bookmarkStart w:id="21" w:name="_Toc100506250"/>
      <w:bookmarkStart w:id="22" w:name="_Toc135143449"/>
      <w:bookmarkStart w:id="23" w:name="_Toc135143701"/>
      <w:bookmarkStart w:id="24" w:name="_Toc162671328"/>
      <w:bookmarkStart w:id="25" w:name="_Toc164651222"/>
      <w:bookmarkStart w:id="26" w:name="_Toc196145692"/>
      <w:bookmarkStart w:id="27" w:name="_Toc199912184"/>
      <w:bookmarkStart w:id="28" w:name="_Toc225590791"/>
      <w:bookmarkStart w:id="29" w:name="_Toc225660252"/>
      <w:bookmarkStart w:id="30" w:name="_Toc227580616"/>
      <w:bookmarkStart w:id="31" w:name="_Toc289696420"/>
      <w:bookmarkStart w:id="32" w:name="_Toc357517545"/>
      <w:bookmarkStart w:id="33" w:name="_Toc358657258"/>
      <w:bookmarkStart w:id="34" w:name="_Toc415051549"/>
      <w:bookmarkStart w:id="35" w:name="_Toc445908044"/>
      <w:bookmarkStart w:id="36" w:name="_Toc57369045"/>
      <w:bookmarkStart w:id="37" w:name="_Toc85469053"/>
      <w:bookmarkStart w:id="38" w:name="_Toc92752483"/>
      <w:bookmarkStart w:id="39" w:name="_Toc168933414"/>
      <w:r w:rsidRPr="00577FAF">
        <w:t>ORGANIZACIÓN DE LA REUNIÓN</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BBE9683" w14:textId="77777777" w:rsidR="003A60E3" w:rsidRPr="00577FAF" w:rsidRDefault="00CB6A57">
      <w:pPr>
        <w:pStyle w:val="Heading2"/>
        <w:numPr>
          <w:ilvl w:val="1"/>
          <w:numId w:val="11"/>
        </w:numPr>
        <w:tabs>
          <w:tab w:val="left" w:pos="709"/>
        </w:tabs>
        <w:ind w:left="709" w:hanging="709"/>
        <w:rPr>
          <w:rFonts w:cs="Arial"/>
          <w:b/>
          <w:szCs w:val="22"/>
        </w:rPr>
      </w:pPr>
      <w:bookmarkStart w:id="40" w:name="_Toc168933415"/>
      <w:bookmarkStart w:id="41" w:name="_Toc38080239"/>
      <w:bookmarkStart w:id="42" w:name="_Toc100506251"/>
      <w:bookmarkStart w:id="43" w:name="_Toc135143450"/>
      <w:bookmarkStart w:id="44" w:name="_Toc135143702"/>
      <w:bookmarkStart w:id="45" w:name="_Toc162671329"/>
      <w:bookmarkStart w:id="46" w:name="_Toc164651223"/>
      <w:bookmarkStart w:id="47" w:name="_Toc196145693"/>
      <w:bookmarkStart w:id="48" w:name="_Toc199912185"/>
      <w:bookmarkStart w:id="49" w:name="_Toc225590792"/>
      <w:bookmarkStart w:id="50" w:name="_Toc225660253"/>
      <w:bookmarkStart w:id="51" w:name="_Toc227580617"/>
      <w:bookmarkStart w:id="52" w:name="_Toc289696421"/>
      <w:bookmarkStart w:id="53" w:name="_Toc357517546"/>
      <w:bookmarkStart w:id="54" w:name="_Toc358657259"/>
      <w:bookmarkStart w:id="55" w:name="_Toc415051550"/>
      <w:bookmarkStart w:id="56" w:name="_Toc445908045"/>
      <w:bookmarkStart w:id="57" w:name="_Toc57369046"/>
      <w:bookmarkStart w:id="58" w:name="_Toc85469054"/>
      <w:bookmarkStart w:id="59" w:name="_Toc92752484"/>
      <w:r w:rsidRPr="00577FAF">
        <w:rPr>
          <w:rFonts w:cs="Arial"/>
          <w:szCs w:val="22"/>
        </w:rPr>
        <w:t>APROBACIÓN DEL ORDEN DEL DÍA [artículos 55 y 56 del Reglamento]</w:t>
      </w:r>
      <w:bookmarkEnd w:id="40"/>
      <w:r w:rsidRPr="00577FAF">
        <w:rPr>
          <w:rFonts w:cs="Arial"/>
          <w:szCs w:val="22"/>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tbl>
      <w:tblPr>
        <w:tblW w:w="9781" w:type="dxa"/>
        <w:tblLayout w:type="fixed"/>
        <w:tblLook w:val="0000" w:firstRow="0" w:lastRow="0" w:firstColumn="0" w:lastColumn="0" w:noHBand="0" w:noVBand="0"/>
      </w:tblPr>
      <w:tblGrid>
        <w:gridCol w:w="2359"/>
        <w:gridCol w:w="2603"/>
        <w:gridCol w:w="4819"/>
      </w:tblGrid>
      <w:tr w:rsidR="003A60E3" w:rsidRPr="00577FAF" w14:paraId="108B30ED" w14:textId="77777777" w:rsidTr="00211E34">
        <w:tc>
          <w:tcPr>
            <w:tcW w:w="2359" w:type="dxa"/>
            <w:shd w:val="clear" w:color="auto" w:fill="FFFF99"/>
            <w:tcMar>
              <w:top w:w="57" w:type="dxa"/>
              <w:bottom w:w="57" w:type="dxa"/>
            </w:tcMar>
          </w:tcPr>
          <w:p w14:paraId="59A11946" w14:textId="77777777" w:rsidR="003A60E3" w:rsidRPr="00577FAF" w:rsidRDefault="00CB6A57">
            <w:pPr>
              <w:rPr>
                <w:rFonts w:ascii="Arial" w:hAnsi="Arial" w:cs="Arial"/>
                <w:i/>
                <w:color w:val="000000"/>
                <w:sz w:val="20"/>
                <w:szCs w:val="20"/>
                <w:u w:val="single"/>
              </w:rPr>
            </w:pPr>
            <w:r w:rsidRPr="00577FAF">
              <w:rPr>
                <w:rFonts w:ascii="Arial" w:hAnsi="Arial" w:cs="Arial"/>
                <w:i/>
                <w:iCs/>
                <w:sz w:val="20"/>
                <w:szCs w:val="20"/>
                <w:u w:val="single"/>
              </w:rPr>
              <w:t>Documentos de trabajo</w:t>
            </w:r>
          </w:p>
        </w:tc>
        <w:tc>
          <w:tcPr>
            <w:tcW w:w="2603" w:type="dxa"/>
            <w:shd w:val="clear" w:color="auto" w:fill="FFFF99"/>
            <w:tcMar>
              <w:top w:w="57" w:type="dxa"/>
              <w:bottom w:w="57" w:type="dxa"/>
            </w:tcMar>
          </w:tcPr>
          <w:p w14:paraId="14536BAC" w14:textId="77777777" w:rsidR="003A60E3" w:rsidRPr="00577FAF" w:rsidRDefault="00CB6A57">
            <w:pPr>
              <w:ind w:right="-89"/>
              <w:rPr>
                <w:rFonts w:ascii="Arial" w:hAnsi="Arial" w:cs="Arial"/>
                <w:color w:val="000000"/>
                <w:sz w:val="20"/>
                <w:szCs w:val="20"/>
              </w:rPr>
            </w:pPr>
            <w:r w:rsidRPr="00577FAF">
              <w:rPr>
                <w:rFonts w:ascii="Arial" w:hAnsi="Arial" w:cs="Arial"/>
                <w:sz w:val="20"/>
                <w:szCs w:val="20"/>
              </w:rPr>
              <w:t>IOC/EC-57/2.1.Doc</w:t>
            </w:r>
          </w:p>
        </w:tc>
        <w:tc>
          <w:tcPr>
            <w:tcW w:w="4819" w:type="dxa"/>
            <w:shd w:val="clear" w:color="auto" w:fill="FFFF99"/>
            <w:tcMar>
              <w:top w:w="57" w:type="dxa"/>
              <w:bottom w:w="57" w:type="dxa"/>
            </w:tcMar>
          </w:tcPr>
          <w:p w14:paraId="5F5665C5" w14:textId="77777777" w:rsidR="003A60E3" w:rsidRPr="00577FAF" w:rsidRDefault="00CB6A57">
            <w:pPr>
              <w:spacing w:after="60"/>
              <w:ind w:left="-104"/>
              <w:rPr>
                <w:rFonts w:ascii="Arial" w:hAnsi="Arial" w:cs="Arial"/>
                <w:color w:val="000000"/>
                <w:sz w:val="20"/>
                <w:szCs w:val="20"/>
              </w:rPr>
            </w:pPr>
            <w:r w:rsidRPr="00577FAF">
              <w:rPr>
                <w:rFonts w:ascii="Arial" w:hAnsi="Arial" w:cs="Arial"/>
                <w:sz w:val="20"/>
                <w:szCs w:val="20"/>
              </w:rPr>
              <w:t>Orden del día provisional</w:t>
            </w:r>
          </w:p>
        </w:tc>
      </w:tr>
      <w:tr w:rsidR="003A60E3" w:rsidRPr="00577FAF" w14:paraId="5323A9BF" w14:textId="77777777" w:rsidTr="00211E34">
        <w:tc>
          <w:tcPr>
            <w:tcW w:w="2359" w:type="dxa"/>
            <w:shd w:val="clear" w:color="auto" w:fill="FFFF99"/>
            <w:tcMar>
              <w:top w:w="57" w:type="dxa"/>
              <w:bottom w:w="57" w:type="dxa"/>
            </w:tcMar>
          </w:tcPr>
          <w:p w14:paraId="46E0BF53" w14:textId="77777777" w:rsidR="003A60E3" w:rsidRPr="00577FAF" w:rsidRDefault="003A60E3">
            <w:pPr>
              <w:rPr>
                <w:rFonts w:ascii="Arial" w:hAnsi="Arial" w:cs="Arial"/>
                <w:i/>
                <w:color w:val="000000"/>
                <w:sz w:val="20"/>
                <w:szCs w:val="20"/>
                <w:u w:val="single"/>
              </w:rPr>
            </w:pPr>
          </w:p>
        </w:tc>
        <w:tc>
          <w:tcPr>
            <w:tcW w:w="2603" w:type="dxa"/>
            <w:shd w:val="clear" w:color="auto" w:fill="FFFF99"/>
            <w:tcMar>
              <w:top w:w="57" w:type="dxa"/>
              <w:bottom w:w="57" w:type="dxa"/>
            </w:tcMar>
          </w:tcPr>
          <w:p w14:paraId="3718BB14" w14:textId="77777777" w:rsidR="003A60E3" w:rsidRPr="00577FAF" w:rsidRDefault="00CB6A57">
            <w:pPr>
              <w:ind w:right="-231"/>
              <w:rPr>
                <w:rFonts w:ascii="Arial" w:hAnsi="Arial" w:cs="Arial"/>
                <w:color w:val="000000"/>
                <w:sz w:val="20"/>
                <w:szCs w:val="20"/>
              </w:rPr>
            </w:pPr>
            <w:r w:rsidRPr="00577FAF">
              <w:rPr>
                <w:rFonts w:ascii="Arial" w:hAnsi="Arial" w:cs="Arial"/>
                <w:sz w:val="20"/>
                <w:szCs w:val="20"/>
              </w:rPr>
              <w:t>IOC/EC-57/2.1.Doc Add.</w:t>
            </w:r>
          </w:p>
        </w:tc>
        <w:tc>
          <w:tcPr>
            <w:tcW w:w="4819" w:type="dxa"/>
            <w:shd w:val="clear" w:color="auto" w:fill="FFFF99"/>
            <w:tcMar>
              <w:top w:w="57" w:type="dxa"/>
              <w:bottom w:w="57" w:type="dxa"/>
            </w:tcMar>
          </w:tcPr>
          <w:p w14:paraId="4ACDC5A2" w14:textId="77777777" w:rsidR="003A60E3" w:rsidRPr="00577FAF" w:rsidRDefault="00CB6A57">
            <w:pPr>
              <w:spacing w:after="60"/>
              <w:ind w:left="-104" w:firstLine="18"/>
              <w:rPr>
                <w:rFonts w:ascii="Arial" w:hAnsi="Arial" w:cs="Arial"/>
                <w:color w:val="000000"/>
                <w:sz w:val="20"/>
                <w:szCs w:val="20"/>
              </w:rPr>
            </w:pPr>
            <w:r w:rsidRPr="00577FAF">
              <w:rPr>
                <w:rFonts w:ascii="Arial" w:hAnsi="Arial" w:cs="Arial"/>
                <w:sz w:val="20"/>
                <w:szCs w:val="20"/>
              </w:rPr>
              <w:t>Calendario provisional</w:t>
            </w:r>
          </w:p>
        </w:tc>
      </w:tr>
      <w:tr w:rsidR="003A60E3" w:rsidRPr="00577FAF" w14:paraId="44FD6A17" w14:textId="77777777" w:rsidTr="00211E34">
        <w:tc>
          <w:tcPr>
            <w:tcW w:w="2359" w:type="dxa"/>
            <w:shd w:val="clear" w:color="auto" w:fill="FFFF99"/>
            <w:tcMar>
              <w:top w:w="57" w:type="dxa"/>
              <w:bottom w:w="57" w:type="dxa"/>
            </w:tcMar>
          </w:tcPr>
          <w:p w14:paraId="1A33F2AF" w14:textId="77777777" w:rsidR="003A60E3" w:rsidRPr="00577FAF" w:rsidRDefault="003A60E3">
            <w:pPr>
              <w:rPr>
                <w:rFonts w:ascii="Arial" w:hAnsi="Arial" w:cs="Arial"/>
                <w:i/>
                <w:color w:val="000000"/>
                <w:sz w:val="20"/>
                <w:szCs w:val="20"/>
                <w:u w:val="single"/>
              </w:rPr>
            </w:pPr>
          </w:p>
        </w:tc>
        <w:tc>
          <w:tcPr>
            <w:tcW w:w="2603" w:type="dxa"/>
            <w:shd w:val="clear" w:color="auto" w:fill="FFFF99"/>
            <w:tcMar>
              <w:top w:w="57" w:type="dxa"/>
              <w:bottom w:w="57" w:type="dxa"/>
            </w:tcMar>
          </w:tcPr>
          <w:p w14:paraId="55F1E56F" w14:textId="4F7F93B2" w:rsidR="003A60E3" w:rsidRPr="00667A5C" w:rsidRDefault="00CB6A57">
            <w:pPr>
              <w:rPr>
                <w:rFonts w:ascii="Arial" w:hAnsi="Arial" w:cs="Arial"/>
                <w:color w:val="000000"/>
                <w:sz w:val="20"/>
                <w:szCs w:val="20"/>
                <w:lang w:val="en-US"/>
              </w:rPr>
            </w:pPr>
            <w:r w:rsidRPr="00667A5C">
              <w:rPr>
                <w:rFonts w:ascii="Arial" w:hAnsi="Arial" w:cs="Arial"/>
                <w:sz w:val="20"/>
                <w:szCs w:val="20"/>
                <w:lang w:val="en-US"/>
              </w:rPr>
              <w:t>IOC/EC-57/AP Prov.</w:t>
            </w:r>
            <w:r w:rsidR="00165B31" w:rsidRPr="00667A5C">
              <w:rPr>
                <w:rFonts w:ascii="Arial" w:hAnsi="Arial" w:cs="Arial"/>
                <w:sz w:val="20"/>
                <w:szCs w:val="20"/>
                <w:lang w:val="en-US"/>
              </w:rPr>
              <w:t xml:space="preserve"> Rev.</w:t>
            </w:r>
          </w:p>
        </w:tc>
        <w:tc>
          <w:tcPr>
            <w:tcW w:w="4819" w:type="dxa"/>
            <w:shd w:val="clear" w:color="auto" w:fill="FFFF99"/>
            <w:tcMar>
              <w:top w:w="57" w:type="dxa"/>
              <w:bottom w:w="57" w:type="dxa"/>
            </w:tcMar>
          </w:tcPr>
          <w:p w14:paraId="3BFBC691" w14:textId="02CD3598" w:rsidR="003A60E3" w:rsidRPr="00577FAF" w:rsidRDefault="00CB6A57">
            <w:pPr>
              <w:ind w:left="-104"/>
              <w:rPr>
                <w:rFonts w:ascii="Arial" w:hAnsi="Arial" w:cs="Arial"/>
                <w:i/>
                <w:iCs/>
                <w:color w:val="000000"/>
                <w:sz w:val="20"/>
                <w:szCs w:val="20"/>
              </w:rPr>
            </w:pPr>
            <w:r w:rsidRPr="00577FAF">
              <w:rPr>
                <w:rFonts w:ascii="Arial" w:hAnsi="Arial" w:cs="Arial"/>
                <w:sz w:val="20"/>
                <w:szCs w:val="20"/>
              </w:rPr>
              <w:t>Documento de decisión provisional</w:t>
            </w:r>
            <w:r w:rsidR="00165B31" w:rsidRPr="00577FAF">
              <w:rPr>
                <w:rFonts w:ascii="Arial" w:hAnsi="Arial" w:cs="Arial"/>
                <w:sz w:val="20"/>
                <w:szCs w:val="20"/>
              </w:rPr>
              <w:t xml:space="preserve"> revisado</w:t>
            </w:r>
            <w:r w:rsidRPr="00577FAF">
              <w:rPr>
                <w:rFonts w:ascii="Arial" w:hAnsi="Arial" w:cs="Arial"/>
                <w:sz w:val="20"/>
                <w:szCs w:val="20"/>
              </w:rPr>
              <w:t xml:space="preserve"> </w:t>
            </w:r>
            <w:r w:rsidRPr="00577FAF">
              <w:rPr>
                <w:rFonts w:ascii="Arial" w:hAnsi="Arial" w:cs="Arial"/>
                <w:i/>
                <w:iCs/>
                <w:sz w:val="20"/>
                <w:szCs w:val="20"/>
              </w:rPr>
              <w:t>(el</w:t>
            </w:r>
            <w:r w:rsidR="00211E34" w:rsidRPr="00577FAF">
              <w:rPr>
                <w:rFonts w:ascii="Arial" w:hAnsi="Arial" w:cs="Arial"/>
                <w:i/>
                <w:iCs/>
                <w:sz w:val="20"/>
                <w:szCs w:val="20"/>
              </w:rPr>
              <w:t> </w:t>
            </w:r>
            <w:r w:rsidRPr="00577FAF">
              <w:rPr>
                <w:rFonts w:ascii="Arial" w:hAnsi="Arial" w:cs="Arial"/>
                <w:i/>
                <w:iCs/>
                <w:sz w:val="20"/>
                <w:szCs w:val="20"/>
              </w:rPr>
              <w:t>presente documento)</w:t>
            </w:r>
          </w:p>
        </w:tc>
      </w:tr>
      <w:tr w:rsidR="003A60E3" w:rsidRPr="00577FAF" w14:paraId="747CB62B" w14:textId="77777777" w:rsidTr="00211E34">
        <w:tc>
          <w:tcPr>
            <w:tcW w:w="2359" w:type="dxa"/>
            <w:shd w:val="clear" w:color="auto" w:fill="DEEAF6"/>
            <w:tcMar>
              <w:top w:w="57" w:type="dxa"/>
              <w:bottom w:w="57" w:type="dxa"/>
            </w:tcMar>
          </w:tcPr>
          <w:p w14:paraId="48DBBDC9" w14:textId="77777777" w:rsidR="003A60E3" w:rsidRPr="00577FAF" w:rsidRDefault="00CB6A57">
            <w:pPr>
              <w:rPr>
                <w:rFonts w:ascii="Arial" w:hAnsi="Arial" w:cs="Arial"/>
                <w:i/>
                <w:color w:val="000000"/>
                <w:sz w:val="20"/>
                <w:szCs w:val="20"/>
                <w:u w:val="single"/>
              </w:rPr>
            </w:pPr>
            <w:r w:rsidRPr="00577FAF">
              <w:rPr>
                <w:rFonts w:ascii="Arial" w:hAnsi="Arial" w:cs="Arial"/>
                <w:i/>
                <w:iCs/>
                <w:sz w:val="20"/>
                <w:szCs w:val="20"/>
                <w:u w:val="single"/>
              </w:rPr>
              <w:t>Referencias</w:t>
            </w:r>
          </w:p>
        </w:tc>
        <w:tc>
          <w:tcPr>
            <w:tcW w:w="2603" w:type="dxa"/>
            <w:tcMar>
              <w:top w:w="57" w:type="dxa"/>
              <w:bottom w:w="57" w:type="dxa"/>
            </w:tcMar>
          </w:tcPr>
          <w:p w14:paraId="310CA229" w14:textId="77777777" w:rsidR="003A60E3" w:rsidRPr="00577FAF" w:rsidRDefault="00CB6A57">
            <w:pPr>
              <w:rPr>
                <w:rFonts w:ascii="Arial" w:hAnsi="Arial" w:cs="Arial"/>
                <w:color w:val="000000"/>
                <w:sz w:val="20"/>
                <w:szCs w:val="20"/>
              </w:rPr>
            </w:pPr>
            <w:r w:rsidRPr="00577FAF">
              <w:rPr>
                <w:rFonts w:ascii="Arial" w:hAnsi="Arial" w:cs="Arial"/>
                <w:sz w:val="20"/>
                <w:szCs w:val="20"/>
              </w:rPr>
              <w:t>IOC/A-32/SR</w:t>
            </w:r>
          </w:p>
        </w:tc>
        <w:tc>
          <w:tcPr>
            <w:tcW w:w="4819" w:type="dxa"/>
            <w:tcMar>
              <w:top w:w="57" w:type="dxa"/>
              <w:bottom w:w="57" w:type="dxa"/>
            </w:tcMar>
          </w:tcPr>
          <w:p w14:paraId="4CB5C613" w14:textId="77777777" w:rsidR="003A60E3" w:rsidRPr="00577FAF" w:rsidRDefault="00CB6A57">
            <w:pPr>
              <w:spacing w:after="60"/>
              <w:ind w:left="-112"/>
              <w:rPr>
                <w:rFonts w:ascii="Arial" w:hAnsi="Arial" w:cs="Arial"/>
                <w:color w:val="000000"/>
                <w:sz w:val="20"/>
                <w:szCs w:val="20"/>
              </w:rPr>
            </w:pPr>
            <w:r w:rsidRPr="00577FAF">
              <w:rPr>
                <w:rFonts w:ascii="Arial" w:hAnsi="Arial" w:cs="Arial"/>
                <w:sz w:val="20"/>
                <w:szCs w:val="20"/>
              </w:rPr>
              <w:t>Informe resumido de la 32ª reunión de la Asamblea de la COI, París, 21-30 de junio de 2023</w:t>
            </w:r>
          </w:p>
        </w:tc>
      </w:tr>
      <w:tr w:rsidR="003A60E3" w:rsidRPr="00577FAF" w14:paraId="0D337739" w14:textId="77777777" w:rsidTr="00211E34">
        <w:tc>
          <w:tcPr>
            <w:tcW w:w="2359" w:type="dxa"/>
            <w:shd w:val="clear" w:color="auto" w:fill="DEEAF6"/>
            <w:tcMar>
              <w:top w:w="57" w:type="dxa"/>
              <w:bottom w:w="57" w:type="dxa"/>
            </w:tcMar>
          </w:tcPr>
          <w:p w14:paraId="6F6585B5" w14:textId="77777777" w:rsidR="003A60E3" w:rsidRPr="00577FAF" w:rsidRDefault="003A60E3">
            <w:pPr>
              <w:rPr>
                <w:rFonts w:ascii="Arial" w:hAnsi="Arial" w:cs="Arial"/>
                <w:i/>
                <w:color w:val="000000"/>
                <w:sz w:val="20"/>
                <w:szCs w:val="20"/>
                <w:u w:val="single"/>
              </w:rPr>
            </w:pPr>
          </w:p>
        </w:tc>
        <w:tc>
          <w:tcPr>
            <w:tcW w:w="2603" w:type="dxa"/>
            <w:tcMar>
              <w:top w:w="57" w:type="dxa"/>
              <w:bottom w:w="57" w:type="dxa"/>
            </w:tcMar>
          </w:tcPr>
          <w:p w14:paraId="24C754C9" w14:textId="77777777" w:rsidR="003A60E3" w:rsidRPr="00577FAF" w:rsidRDefault="00CB6A57">
            <w:pPr>
              <w:rPr>
                <w:rFonts w:ascii="Arial" w:hAnsi="Arial" w:cs="Arial"/>
                <w:color w:val="000000"/>
                <w:sz w:val="20"/>
                <w:szCs w:val="20"/>
              </w:rPr>
            </w:pPr>
            <w:r w:rsidRPr="00577FAF">
              <w:rPr>
                <w:rFonts w:ascii="Arial" w:hAnsi="Arial" w:cs="Arial"/>
                <w:sz w:val="20"/>
                <w:szCs w:val="20"/>
              </w:rPr>
              <w:t>IOC/EC-55/SR</w:t>
            </w:r>
          </w:p>
        </w:tc>
        <w:tc>
          <w:tcPr>
            <w:tcW w:w="4819" w:type="dxa"/>
            <w:tcMar>
              <w:top w:w="57" w:type="dxa"/>
              <w:bottom w:w="57" w:type="dxa"/>
            </w:tcMar>
          </w:tcPr>
          <w:p w14:paraId="0E0C6961" w14:textId="77777777" w:rsidR="003A60E3" w:rsidRPr="00577FAF" w:rsidRDefault="00CB6A57">
            <w:pPr>
              <w:spacing w:after="60"/>
              <w:ind w:left="-112"/>
              <w:rPr>
                <w:rFonts w:ascii="Arial" w:hAnsi="Arial" w:cs="Arial"/>
                <w:color w:val="000000"/>
                <w:sz w:val="20"/>
                <w:szCs w:val="20"/>
              </w:rPr>
            </w:pPr>
            <w:r w:rsidRPr="00577FAF">
              <w:rPr>
                <w:rFonts w:ascii="Arial" w:hAnsi="Arial" w:cs="Arial"/>
                <w:sz w:val="20"/>
                <w:szCs w:val="20"/>
              </w:rPr>
              <w:t>Informe resumido de la 55ª reunión del Consejo Ejecutivo de la COI, 13-17 de junio de 2022</w:t>
            </w:r>
          </w:p>
        </w:tc>
      </w:tr>
    </w:tbl>
    <w:p w14:paraId="0A71760A" w14:textId="77777777" w:rsidR="003A60E3" w:rsidRPr="00577FAF" w:rsidRDefault="003A60E3">
      <w:pPr>
        <w:rPr>
          <w:rFonts w:ascii="Arial" w:hAnsi="Arial" w:cs="Arial"/>
          <w:sz w:val="22"/>
          <w:szCs w:val="22"/>
        </w:rPr>
      </w:pPr>
    </w:p>
    <w:p w14:paraId="3DCA172E" w14:textId="77777777" w:rsidR="003A60E3" w:rsidRPr="00577FAF" w:rsidRDefault="00CB6A57">
      <w:pPr>
        <w:pStyle w:val="Style2"/>
        <w:numPr>
          <w:ilvl w:val="0"/>
          <w:numId w:val="7"/>
        </w:numPr>
        <w:tabs>
          <w:tab w:val="left" w:pos="709"/>
        </w:tabs>
        <w:ind w:left="0" w:hanging="709"/>
        <w:rPr>
          <w:rFonts w:cs="Arial"/>
        </w:rPr>
      </w:pPr>
      <w:r w:rsidRPr="00577FAF">
        <w:rPr>
          <w:rFonts w:cs="Arial"/>
        </w:rPr>
        <w:t xml:space="preserve">El Presidente presentó este punto. </w:t>
      </w:r>
    </w:p>
    <w:tbl>
      <w:tblPr>
        <w:tblW w:w="9747" w:type="dxa"/>
        <w:shd w:val="clear" w:color="auto" w:fill="CCFFCC"/>
        <w:tblLayout w:type="fixed"/>
        <w:tblLook w:val="0000" w:firstRow="0" w:lastRow="0" w:firstColumn="0" w:lastColumn="0" w:noHBand="0" w:noVBand="0"/>
      </w:tblPr>
      <w:tblGrid>
        <w:gridCol w:w="9747"/>
      </w:tblGrid>
      <w:tr w:rsidR="003A60E3" w:rsidRPr="00577FAF" w14:paraId="0792407F" w14:textId="77777777" w:rsidTr="00B8699D">
        <w:tc>
          <w:tcPr>
            <w:tcW w:w="9747" w:type="dxa"/>
            <w:shd w:val="clear" w:color="auto" w:fill="CCFFCC"/>
            <w:tcMar>
              <w:top w:w="113" w:type="dxa"/>
              <w:bottom w:w="113" w:type="dxa"/>
            </w:tcMar>
          </w:tcPr>
          <w:p w14:paraId="0CE8065F" w14:textId="77777777" w:rsidR="003A60E3" w:rsidRPr="00577FAF" w:rsidRDefault="00CB6A57">
            <w:pPr>
              <w:spacing w:after="240"/>
              <w:rPr>
                <w:rFonts w:ascii="Arial" w:eastAsia="Calibri" w:hAnsi="Arial" w:cs="Arial"/>
                <w:bCs/>
                <w:sz w:val="22"/>
                <w:szCs w:val="22"/>
                <w:u w:val="single"/>
              </w:rPr>
            </w:pPr>
            <w:r w:rsidRPr="00577FAF">
              <w:rPr>
                <w:rFonts w:ascii="Arial" w:hAnsi="Arial" w:cs="Arial"/>
                <w:sz w:val="22"/>
                <w:szCs w:val="22"/>
                <w:u w:val="single"/>
              </w:rPr>
              <w:t>Decisión EC-57/2(I)</w:t>
            </w:r>
          </w:p>
          <w:p w14:paraId="3C492901" w14:textId="77777777" w:rsidR="004C1803" w:rsidRPr="00577FAF" w:rsidRDefault="00CB6A57">
            <w:pPr>
              <w:spacing w:after="120"/>
              <w:rPr>
                <w:rFonts w:ascii="Arial" w:hAnsi="Arial" w:cs="Arial"/>
                <w:sz w:val="22"/>
                <w:szCs w:val="22"/>
              </w:rPr>
            </w:pPr>
            <w:r w:rsidRPr="00577FAF">
              <w:rPr>
                <w:rFonts w:ascii="Arial" w:hAnsi="Arial" w:cs="Arial"/>
                <w:sz w:val="22"/>
                <w:szCs w:val="22"/>
              </w:rPr>
              <w:t>El Consejo Ejecutivo,</w:t>
            </w:r>
          </w:p>
          <w:p w14:paraId="5DB6D192" w14:textId="77777777" w:rsidR="003A60E3" w:rsidRPr="00577FAF" w:rsidRDefault="00CB6A57">
            <w:pPr>
              <w:spacing w:after="240"/>
              <w:ind w:left="4"/>
              <w:jc w:val="center"/>
              <w:rPr>
                <w:rFonts w:ascii="Arial" w:eastAsia="Calibri" w:hAnsi="Arial" w:cs="Arial"/>
                <w:sz w:val="22"/>
                <w:szCs w:val="22"/>
              </w:rPr>
            </w:pPr>
            <w:r w:rsidRPr="00577FAF">
              <w:rPr>
                <w:rFonts w:ascii="Arial" w:hAnsi="Arial" w:cs="Arial"/>
                <w:b/>
                <w:bCs/>
                <w:sz w:val="22"/>
                <w:szCs w:val="22"/>
              </w:rPr>
              <w:t>I.</w:t>
            </w:r>
            <w:r w:rsidRPr="00577FAF">
              <w:rPr>
                <w:rFonts w:ascii="Arial" w:hAnsi="Arial" w:cs="Arial"/>
                <w:sz w:val="22"/>
                <w:szCs w:val="22"/>
              </w:rPr>
              <w:tab/>
            </w:r>
            <w:r w:rsidRPr="00577FAF">
              <w:rPr>
                <w:rFonts w:ascii="Arial" w:hAnsi="Arial" w:cs="Arial"/>
                <w:b/>
                <w:bCs/>
                <w:sz w:val="22"/>
                <w:szCs w:val="22"/>
              </w:rPr>
              <w:t>Orden del día</w:t>
            </w:r>
          </w:p>
          <w:p w14:paraId="1B61875A" w14:textId="65CB37CB" w:rsidR="003A60E3" w:rsidRPr="00577FAF" w:rsidRDefault="00CB6A57" w:rsidP="002A5200">
            <w:pPr>
              <w:spacing w:after="240"/>
              <w:ind w:left="567" w:hanging="567"/>
              <w:jc w:val="both"/>
              <w:rPr>
                <w:rFonts w:ascii="Arial" w:hAnsi="Arial" w:cs="Arial"/>
                <w:sz w:val="22"/>
                <w:szCs w:val="22"/>
              </w:rPr>
            </w:pPr>
            <w:r w:rsidRPr="00577FAF">
              <w:rPr>
                <w:rFonts w:ascii="Arial" w:hAnsi="Arial" w:cs="Arial"/>
                <w:sz w:val="22"/>
                <w:szCs w:val="22"/>
              </w:rPr>
              <w:t>1.</w:t>
            </w:r>
            <w:r w:rsidRPr="00577FAF">
              <w:rPr>
                <w:rFonts w:ascii="Arial" w:hAnsi="Arial" w:cs="Arial"/>
                <w:sz w:val="22"/>
                <w:szCs w:val="22"/>
              </w:rPr>
              <w:tab/>
            </w:r>
            <w:r w:rsidRPr="00577FAF">
              <w:rPr>
                <w:rFonts w:ascii="Arial" w:hAnsi="Arial" w:cs="Arial"/>
                <w:sz w:val="22"/>
                <w:szCs w:val="22"/>
                <w:u w:val="single"/>
              </w:rPr>
              <w:t>Aprueba</w:t>
            </w:r>
            <w:r w:rsidRPr="00577FAF">
              <w:rPr>
                <w:rFonts w:ascii="Arial" w:hAnsi="Arial" w:cs="Arial"/>
                <w:sz w:val="22"/>
                <w:szCs w:val="22"/>
              </w:rPr>
              <w:t xml:space="preserve"> el orden del día y el calendario de trabajo que figuran en los documentos IOC/EC</w:t>
            </w:r>
            <w:r w:rsidR="00326BDC" w:rsidRPr="00577FAF">
              <w:rPr>
                <w:rFonts w:ascii="Arial" w:hAnsi="Arial" w:cs="Arial"/>
                <w:sz w:val="22"/>
                <w:szCs w:val="22"/>
              </w:rPr>
              <w:noBreakHyphen/>
            </w:r>
            <w:r w:rsidRPr="00577FAF">
              <w:rPr>
                <w:rFonts w:ascii="Arial" w:hAnsi="Arial" w:cs="Arial"/>
                <w:sz w:val="22"/>
                <w:szCs w:val="22"/>
              </w:rPr>
              <w:t>57/2.1.Doc. y Add. [con las siguientes modificaciones:]</w:t>
            </w:r>
          </w:p>
        </w:tc>
      </w:tr>
    </w:tbl>
    <w:p w14:paraId="10C0EF7A" w14:textId="77777777" w:rsidR="003A60E3" w:rsidRPr="00577FAF" w:rsidRDefault="003A60E3">
      <w:pPr>
        <w:rPr>
          <w:rFonts w:ascii="Arial" w:hAnsi="Arial" w:cs="Arial"/>
          <w:sz w:val="22"/>
          <w:szCs w:val="22"/>
        </w:rPr>
      </w:pPr>
    </w:p>
    <w:p w14:paraId="54AFDCA8" w14:textId="77777777" w:rsidR="003A60E3" w:rsidRPr="00577FAF" w:rsidRDefault="00CB6A57">
      <w:pPr>
        <w:pStyle w:val="Style2"/>
        <w:numPr>
          <w:ilvl w:val="0"/>
          <w:numId w:val="7"/>
        </w:numPr>
        <w:tabs>
          <w:tab w:val="left" w:pos="709"/>
        </w:tabs>
        <w:ind w:left="0" w:hanging="709"/>
        <w:rPr>
          <w:rFonts w:cs="Arial"/>
        </w:rPr>
      </w:pPr>
      <w:r w:rsidRPr="00577FAF">
        <w:rPr>
          <w:rFonts w:cs="Aria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79B101DA" w14:textId="77777777" w:rsidR="003A60E3" w:rsidRPr="00577FAF" w:rsidRDefault="00CB6A57">
      <w:pPr>
        <w:pStyle w:val="Heading2"/>
        <w:numPr>
          <w:ilvl w:val="1"/>
          <w:numId w:val="11"/>
        </w:numPr>
        <w:tabs>
          <w:tab w:val="clear" w:pos="737"/>
          <w:tab w:val="left" w:pos="709"/>
        </w:tabs>
        <w:ind w:left="709" w:hanging="709"/>
        <w:rPr>
          <w:rFonts w:cs="Arial"/>
          <w:b/>
          <w:bCs w:val="0"/>
          <w:color w:val="000000"/>
          <w:szCs w:val="22"/>
        </w:rPr>
      </w:pPr>
      <w:bookmarkStart w:id="60" w:name="_Toc100506252"/>
      <w:bookmarkStart w:id="61" w:name="_Toc135143451"/>
      <w:bookmarkStart w:id="62" w:name="_Toc135143703"/>
      <w:bookmarkStart w:id="63" w:name="_Toc38080240"/>
      <w:bookmarkStart w:id="64" w:name="_Toc162671330"/>
      <w:bookmarkStart w:id="65" w:name="_Toc164651224"/>
      <w:bookmarkStart w:id="66" w:name="_Toc196145694"/>
      <w:bookmarkStart w:id="67" w:name="_Toc199912186"/>
      <w:bookmarkStart w:id="68" w:name="_Toc225590793"/>
      <w:bookmarkStart w:id="69" w:name="_Toc225660254"/>
      <w:bookmarkStart w:id="70" w:name="_Toc227580618"/>
      <w:bookmarkStart w:id="71" w:name="_Toc289696422"/>
      <w:bookmarkStart w:id="72" w:name="_Toc357517547"/>
      <w:bookmarkStart w:id="73" w:name="_Toc358657260"/>
      <w:bookmarkStart w:id="74" w:name="_Toc415051551"/>
      <w:bookmarkStart w:id="75" w:name="_Toc445908046"/>
      <w:bookmarkStart w:id="76" w:name="_Toc57369047"/>
      <w:bookmarkStart w:id="77" w:name="_Toc85469055"/>
      <w:bookmarkStart w:id="78" w:name="_Toc92752485"/>
      <w:bookmarkStart w:id="79" w:name="_Toc168933416"/>
      <w:r w:rsidRPr="00577FAF">
        <w:rPr>
          <w:rFonts w:cs="Arial"/>
          <w:szCs w:val="22"/>
        </w:rPr>
        <w:lastRenderedPageBreak/>
        <w:t>DESIGNACIÓN DEL RELATOR [artículo 8.4 del Reglamento]</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tbl>
      <w:tblPr>
        <w:tblW w:w="9747" w:type="dxa"/>
        <w:shd w:val="clear" w:color="auto" w:fill="CCFFCC"/>
        <w:tblLayout w:type="fixed"/>
        <w:tblLook w:val="0000" w:firstRow="0" w:lastRow="0" w:firstColumn="0" w:lastColumn="0" w:noHBand="0" w:noVBand="0"/>
      </w:tblPr>
      <w:tblGrid>
        <w:gridCol w:w="9747"/>
      </w:tblGrid>
      <w:tr w:rsidR="003A60E3" w:rsidRPr="00577FAF" w14:paraId="41977726" w14:textId="77777777" w:rsidTr="00B8699D">
        <w:trPr>
          <w:cantSplit/>
        </w:trPr>
        <w:tc>
          <w:tcPr>
            <w:tcW w:w="9747" w:type="dxa"/>
            <w:shd w:val="clear" w:color="auto" w:fill="CCFFCC"/>
            <w:tcMar>
              <w:top w:w="113" w:type="dxa"/>
              <w:bottom w:w="113" w:type="dxa"/>
            </w:tcMar>
          </w:tcPr>
          <w:p w14:paraId="16A10CD2" w14:textId="77777777" w:rsidR="003A60E3" w:rsidRPr="00577FAF" w:rsidRDefault="00CB6A57">
            <w:pPr>
              <w:spacing w:after="240"/>
              <w:rPr>
                <w:rFonts w:ascii="Arial" w:eastAsia="Calibri" w:hAnsi="Arial" w:cs="Arial"/>
                <w:bCs/>
                <w:sz w:val="22"/>
                <w:szCs w:val="22"/>
                <w:u w:val="single"/>
              </w:rPr>
            </w:pPr>
            <w:r w:rsidRPr="00577FAF">
              <w:rPr>
                <w:rFonts w:ascii="Arial" w:hAnsi="Arial" w:cs="Arial"/>
                <w:sz w:val="22"/>
                <w:szCs w:val="22"/>
                <w:u w:val="single"/>
              </w:rPr>
              <w:t>Decisión EC-57/2(II)</w:t>
            </w:r>
          </w:p>
          <w:p w14:paraId="3B759B3F" w14:textId="77777777" w:rsidR="003A60E3" w:rsidRPr="00577FAF" w:rsidRDefault="00CB6A57">
            <w:pPr>
              <w:spacing w:after="240"/>
              <w:jc w:val="center"/>
              <w:rPr>
                <w:rFonts w:ascii="Arial" w:eastAsia="Calibri" w:hAnsi="Arial" w:cs="Arial"/>
                <w:sz w:val="22"/>
                <w:szCs w:val="22"/>
              </w:rPr>
            </w:pPr>
            <w:r w:rsidRPr="00577FAF">
              <w:rPr>
                <w:rFonts w:ascii="Arial" w:hAnsi="Arial" w:cs="Arial"/>
                <w:b/>
                <w:bCs/>
                <w:sz w:val="22"/>
                <w:szCs w:val="22"/>
              </w:rPr>
              <w:t>II.</w:t>
            </w:r>
            <w:r w:rsidRPr="00577FAF">
              <w:rPr>
                <w:rFonts w:ascii="Arial" w:hAnsi="Arial" w:cs="Arial"/>
                <w:sz w:val="22"/>
                <w:szCs w:val="22"/>
              </w:rPr>
              <w:tab/>
            </w:r>
            <w:r w:rsidRPr="00577FAF">
              <w:rPr>
                <w:rFonts w:ascii="Arial" w:hAnsi="Arial" w:cs="Arial"/>
                <w:b/>
                <w:bCs/>
                <w:sz w:val="22"/>
                <w:szCs w:val="22"/>
              </w:rPr>
              <w:t>Relator</w:t>
            </w:r>
          </w:p>
          <w:p w14:paraId="29D19A40" w14:textId="77777777" w:rsidR="003A60E3" w:rsidRPr="00577FAF" w:rsidRDefault="00CB6A57">
            <w:pPr>
              <w:spacing w:after="240"/>
              <w:rPr>
                <w:rFonts w:ascii="Arial" w:hAnsi="Arial" w:cs="Arial"/>
                <w:bCs/>
                <w:color w:val="000000"/>
                <w:sz w:val="22"/>
                <w:szCs w:val="22"/>
              </w:rPr>
            </w:pPr>
            <w:r w:rsidRPr="00577FAF">
              <w:rPr>
                <w:rFonts w:ascii="Arial" w:hAnsi="Arial" w:cs="Arial"/>
                <w:sz w:val="22"/>
                <w:szCs w:val="22"/>
              </w:rPr>
              <w:t>2.</w:t>
            </w:r>
            <w:r w:rsidRPr="00577FAF">
              <w:rPr>
                <w:rFonts w:ascii="Arial" w:hAnsi="Arial" w:cs="Arial"/>
                <w:sz w:val="22"/>
                <w:szCs w:val="22"/>
              </w:rPr>
              <w:tab/>
              <w:t>A propuesta de [país], con el apoyo de [países],</w:t>
            </w:r>
          </w:p>
          <w:p w14:paraId="69176556" w14:textId="77777777" w:rsidR="003A60E3" w:rsidRPr="00577FAF" w:rsidRDefault="00CB6A57">
            <w:pPr>
              <w:spacing w:after="240"/>
              <w:ind w:left="567" w:hanging="567"/>
              <w:rPr>
                <w:rFonts w:ascii="Arial" w:hAnsi="Arial" w:cs="Arial"/>
                <w:bCs/>
                <w:color w:val="000000"/>
                <w:sz w:val="22"/>
                <w:szCs w:val="22"/>
              </w:rPr>
            </w:pPr>
            <w:r w:rsidRPr="00577FAF">
              <w:rPr>
                <w:rFonts w:ascii="Arial" w:hAnsi="Arial" w:cs="Arial"/>
                <w:sz w:val="22"/>
                <w:szCs w:val="22"/>
              </w:rPr>
              <w:t>3.</w:t>
            </w:r>
            <w:r w:rsidRPr="00577FAF">
              <w:rPr>
                <w:rFonts w:ascii="Arial" w:hAnsi="Arial" w:cs="Arial"/>
                <w:sz w:val="22"/>
                <w:szCs w:val="22"/>
              </w:rPr>
              <w:tab/>
            </w:r>
            <w:r w:rsidRPr="00577FAF">
              <w:rPr>
                <w:rFonts w:ascii="Arial" w:hAnsi="Arial" w:cs="Arial"/>
                <w:sz w:val="22"/>
                <w:szCs w:val="22"/>
                <w:u w:val="single"/>
              </w:rPr>
              <w:t>Designa</w:t>
            </w:r>
            <w:r w:rsidRPr="00577FAF">
              <w:rPr>
                <w:rFonts w:ascii="Arial" w:hAnsi="Arial" w:cs="Arial"/>
                <w:sz w:val="22"/>
                <w:szCs w:val="22"/>
              </w:rPr>
              <w:t xml:space="preserve"> a _____________ ([país del grupo electoral II]) Relator(a) de la presente reunión para prestar asistencia al Presidente y al Secretario Ejecutivo en la preparación del proyecto de informe provisional de la reunión. </w:t>
            </w:r>
          </w:p>
        </w:tc>
      </w:tr>
    </w:tbl>
    <w:p w14:paraId="6AC2BDA6" w14:textId="40285E1B" w:rsidR="003A60E3" w:rsidRPr="00577FAF" w:rsidRDefault="00CB6A57">
      <w:pPr>
        <w:pStyle w:val="Heading2"/>
        <w:numPr>
          <w:ilvl w:val="1"/>
          <w:numId w:val="11"/>
        </w:numPr>
        <w:tabs>
          <w:tab w:val="clear" w:pos="737"/>
          <w:tab w:val="left" w:pos="709"/>
        </w:tabs>
        <w:spacing w:before="240"/>
        <w:ind w:left="709" w:hanging="709"/>
        <w:rPr>
          <w:rFonts w:cs="Arial"/>
          <w:szCs w:val="22"/>
        </w:rPr>
      </w:pPr>
      <w:bookmarkStart w:id="80" w:name="_Toc289696423"/>
      <w:bookmarkStart w:id="81" w:name="_Toc357517548"/>
      <w:bookmarkStart w:id="82" w:name="_Toc358657261"/>
      <w:bookmarkStart w:id="83" w:name="_Toc415051552"/>
      <w:bookmarkStart w:id="84" w:name="_Toc445908047"/>
      <w:bookmarkStart w:id="85" w:name="_Toc57369048"/>
      <w:bookmarkStart w:id="86" w:name="_Toc85469056"/>
      <w:bookmarkStart w:id="87" w:name="_Toc92752486"/>
      <w:bookmarkStart w:id="88" w:name="_Toc168933417"/>
      <w:r w:rsidRPr="00577FAF">
        <w:rPr>
          <w:rFonts w:cs="Arial"/>
          <w:szCs w:val="22"/>
        </w:rPr>
        <w:t xml:space="preserve">ESTABLECIMIENTO DE LOS COMITÉS Y GRUPOS DE TRABAJO DE LA REUNIÓN </w:t>
      </w:r>
      <w:r w:rsidR="002A5200" w:rsidRPr="00577FAF">
        <w:rPr>
          <w:rFonts w:cs="Arial"/>
          <w:szCs w:val="22"/>
        </w:rPr>
        <w:br/>
      </w:r>
      <w:r w:rsidRPr="00577FAF">
        <w:rPr>
          <w:rFonts w:cs="Arial"/>
          <w:szCs w:val="22"/>
        </w:rPr>
        <w:t>[artículo 7 del Reglamento]</w:t>
      </w:r>
      <w:bookmarkEnd w:id="80"/>
      <w:bookmarkEnd w:id="81"/>
      <w:bookmarkEnd w:id="82"/>
      <w:bookmarkEnd w:id="83"/>
      <w:bookmarkEnd w:id="84"/>
      <w:bookmarkEnd w:id="85"/>
      <w:bookmarkEnd w:id="86"/>
      <w:bookmarkEnd w:id="87"/>
      <w:bookmarkEnd w:id="88"/>
    </w:p>
    <w:p w14:paraId="4BF28922" w14:textId="77777777" w:rsidR="003A60E3" w:rsidRPr="00577FAF" w:rsidRDefault="00CB6A57">
      <w:pPr>
        <w:pStyle w:val="Style2"/>
        <w:numPr>
          <w:ilvl w:val="0"/>
          <w:numId w:val="7"/>
        </w:numPr>
        <w:tabs>
          <w:tab w:val="left" w:pos="812"/>
        </w:tabs>
        <w:ind w:left="0" w:hanging="709"/>
        <w:rPr>
          <w:rFonts w:cs="Arial"/>
        </w:rPr>
      </w:pPr>
      <w:r w:rsidRPr="00577FAF">
        <w:rPr>
          <w:rFonts w:cs="Arial"/>
        </w:rPr>
        <w:t xml:space="preserve">El Presidente invitó al Consejo Ejecutivo a establecer dos comités de la reunión, a saber, el Comité de Resoluciones y el Comité de Finanzas, e invitó también a presentar propuestas relativas a los grupos de trabajo de la reunión. </w:t>
      </w:r>
    </w:p>
    <w:tbl>
      <w:tblPr>
        <w:tblW w:w="9747" w:type="dxa"/>
        <w:shd w:val="clear" w:color="auto" w:fill="CCFFCC"/>
        <w:tblLayout w:type="fixed"/>
        <w:tblLook w:val="0000" w:firstRow="0" w:lastRow="0" w:firstColumn="0" w:lastColumn="0" w:noHBand="0" w:noVBand="0"/>
      </w:tblPr>
      <w:tblGrid>
        <w:gridCol w:w="9747"/>
      </w:tblGrid>
      <w:tr w:rsidR="003A60E3" w:rsidRPr="00577FAF" w14:paraId="4917915B" w14:textId="77777777" w:rsidTr="00B8699D">
        <w:tc>
          <w:tcPr>
            <w:tcW w:w="9747" w:type="dxa"/>
            <w:shd w:val="clear" w:color="auto" w:fill="CCFFCC"/>
            <w:tcMar>
              <w:top w:w="113" w:type="dxa"/>
              <w:bottom w:w="113" w:type="dxa"/>
            </w:tcMar>
          </w:tcPr>
          <w:p w14:paraId="3283B28C" w14:textId="77777777" w:rsidR="003A60E3" w:rsidRPr="00577FAF" w:rsidRDefault="00CB6A57">
            <w:pPr>
              <w:spacing w:after="240"/>
              <w:rPr>
                <w:rFonts w:ascii="Arial" w:eastAsia="Calibri" w:hAnsi="Arial" w:cs="Arial"/>
                <w:bCs/>
                <w:sz w:val="22"/>
                <w:szCs w:val="22"/>
                <w:u w:val="single"/>
              </w:rPr>
            </w:pPr>
            <w:r w:rsidRPr="00577FAF">
              <w:rPr>
                <w:rFonts w:ascii="Arial" w:hAnsi="Arial" w:cs="Arial"/>
                <w:sz w:val="22"/>
                <w:szCs w:val="22"/>
                <w:u w:val="single"/>
              </w:rPr>
              <w:t>Decisión EC-57/2(III)</w:t>
            </w:r>
          </w:p>
          <w:p w14:paraId="01656C7F" w14:textId="77777777" w:rsidR="003A60E3" w:rsidRPr="00577FAF" w:rsidRDefault="00CB6A57">
            <w:pPr>
              <w:spacing w:after="240"/>
              <w:jc w:val="center"/>
              <w:rPr>
                <w:rFonts w:ascii="Arial" w:eastAsia="Calibri" w:hAnsi="Arial" w:cs="Arial"/>
                <w:b/>
                <w:sz w:val="22"/>
                <w:szCs w:val="22"/>
              </w:rPr>
            </w:pPr>
            <w:r w:rsidRPr="00577FAF">
              <w:rPr>
                <w:rFonts w:ascii="Arial" w:hAnsi="Arial" w:cs="Arial"/>
                <w:b/>
                <w:bCs/>
                <w:sz w:val="22"/>
                <w:szCs w:val="22"/>
              </w:rPr>
              <w:t>III.</w:t>
            </w:r>
            <w:r w:rsidRPr="00577FAF">
              <w:rPr>
                <w:rFonts w:ascii="Arial" w:hAnsi="Arial" w:cs="Arial"/>
                <w:sz w:val="22"/>
                <w:szCs w:val="22"/>
              </w:rPr>
              <w:tab/>
            </w:r>
            <w:r w:rsidRPr="00577FAF">
              <w:rPr>
                <w:rFonts w:ascii="Arial" w:hAnsi="Arial" w:cs="Arial"/>
                <w:b/>
                <w:bCs/>
                <w:sz w:val="22"/>
                <w:szCs w:val="22"/>
              </w:rPr>
              <w:t>Comités y grupos de trabajo de la reunión</w:t>
            </w:r>
          </w:p>
          <w:p w14:paraId="2AFFEA21" w14:textId="77777777" w:rsidR="003A60E3" w:rsidRPr="00577FAF" w:rsidRDefault="00CB6A57" w:rsidP="00632FD6">
            <w:pPr>
              <w:numPr>
                <w:ilvl w:val="0"/>
                <w:numId w:val="15"/>
              </w:numPr>
              <w:spacing w:after="120"/>
              <w:ind w:left="599"/>
              <w:jc w:val="both"/>
              <w:rPr>
                <w:rFonts w:ascii="Arial" w:hAnsi="Arial" w:cs="Arial"/>
                <w:bCs/>
                <w:color w:val="000000"/>
                <w:sz w:val="22"/>
                <w:szCs w:val="22"/>
              </w:rPr>
            </w:pPr>
            <w:r w:rsidRPr="00577FAF">
              <w:rPr>
                <w:rFonts w:ascii="Arial" w:hAnsi="Arial" w:cs="Arial"/>
                <w:sz w:val="22"/>
                <w:szCs w:val="22"/>
                <w:u w:val="single"/>
              </w:rPr>
              <w:t>Establece</w:t>
            </w:r>
            <w:r w:rsidRPr="00577FAF">
              <w:rPr>
                <w:rFonts w:ascii="Arial" w:hAnsi="Arial" w:cs="Arial"/>
                <w:sz w:val="22"/>
                <w:szCs w:val="22"/>
              </w:rPr>
              <w:t xml:space="preserve"> para la reunión los siguientes comités de composición abierta [y ___ grupos de trabajo] y les asigna los siguientes puntos del orden del día y responsabilidades:</w:t>
            </w:r>
          </w:p>
          <w:p w14:paraId="36C5AAFD" w14:textId="77777777" w:rsidR="003A60E3" w:rsidRPr="00577FAF" w:rsidRDefault="00CB6A57">
            <w:pPr>
              <w:spacing w:after="120"/>
              <w:ind w:left="567" w:firstLine="1"/>
              <w:jc w:val="both"/>
              <w:rPr>
                <w:rFonts w:ascii="Arial" w:hAnsi="Arial" w:cs="Arial"/>
                <w:bCs/>
                <w:color w:val="000000"/>
                <w:sz w:val="22"/>
                <w:szCs w:val="22"/>
              </w:rPr>
            </w:pPr>
            <w:r w:rsidRPr="00577FAF">
              <w:rPr>
                <w:rFonts w:ascii="Arial" w:hAnsi="Arial" w:cs="Arial"/>
                <w:sz w:val="22"/>
                <w:szCs w:val="22"/>
              </w:rPr>
              <w:t>Comité de Finanzas: encargado de finalizar una resolución en relación con los puntos 5.1, 5.2 y 5.3; bajo la presidencia del Sr. Juan Camilo Forero Hauzeur (Colombia, Vicepresidente), con la participación de los siguientes Estados Miembros: ______________; la Sra. Ksenia Yvinec facilitó el apoyo de la Secretaría al Comité de Finanzas;</w:t>
            </w:r>
          </w:p>
          <w:p w14:paraId="583D7753" w14:textId="77777777" w:rsidR="003A60E3" w:rsidRPr="00577FAF" w:rsidRDefault="00CB6A57">
            <w:pPr>
              <w:spacing w:after="240"/>
              <w:ind w:left="567"/>
              <w:jc w:val="both"/>
              <w:rPr>
                <w:rFonts w:ascii="Arial" w:hAnsi="Arial" w:cs="Arial"/>
                <w:bCs/>
                <w:color w:val="000000"/>
                <w:sz w:val="22"/>
                <w:szCs w:val="22"/>
              </w:rPr>
            </w:pPr>
            <w:r w:rsidRPr="00577FAF">
              <w:rPr>
                <w:rFonts w:ascii="Arial" w:hAnsi="Arial" w:cs="Arial"/>
                <w:sz w:val="22"/>
                <w:szCs w:val="22"/>
              </w:rPr>
              <w:t>Comité de Resoluciones: encargado de informar sobre todos los proyectos de resolución debidamente presentados para su examen durante la reunión antes del 20 de junio y sobre el proyecto de resolución relativo a los asuntos financieros redactado durante la reunión; bajo la presidencia de _________ (país), con la participación de los siguientes Estados Miembros: ______________; el Sr. Julian Barbière facilitó el apoyo de la Secretaría al Comité de Resoluciones.</w:t>
            </w:r>
          </w:p>
        </w:tc>
      </w:tr>
    </w:tbl>
    <w:p w14:paraId="2830209C" w14:textId="77777777" w:rsidR="003A60E3" w:rsidRPr="00577FAF" w:rsidRDefault="003A60E3">
      <w:pPr>
        <w:rPr>
          <w:rFonts w:ascii="Arial" w:hAnsi="Arial" w:cs="Arial"/>
          <w:sz w:val="22"/>
          <w:szCs w:val="22"/>
        </w:rPr>
      </w:pPr>
    </w:p>
    <w:p w14:paraId="595FBE43" w14:textId="67AF1935" w:rsidR="003A60E3" w:rsidRPr="00577FAF" w:rsidRDefault="00CB6A57">
      <w:pPr>
        <w:pStyle w:val="Heading2"/>
        <w:numPr>
          <w:ilvl w:val="1"/>
          <w:numId w:val="11"/>
        </w:numPr>
        <w:tabs>
          <w:tab w:val="clear" w:pos="737"/>
          <w:tab w:val="left" w:pos="709"/>
        </w:tabs>
        <w:ind w:left="709" w:hanging="709"/>
        <w:rPr>
          <w:rFonts w:cs="Arial"/>
          <w:kern w:val="28"/>
          <w:szCs w:val="22"/>
        </w:rPr>
      </w:pPr>
      <w:bookmarkStart w:id="89" w:name="_Toc38080242"/>
      <w:bookmarkStart w:id="90" w:name="_Toc100506254"/>
      <w:bookmarkStart w:id="91" w:name="_Toc135143453"/>
      <w:bookmarkStart w:id="92" w:name="_Toc135143705"/>
      <w:bookmarkStart w:id="93" w:name="_Toc162671332"/>
      <w:bookmarkStart w:id="94" w:name="_Toc164651226"/>
      <w:bookmarkStart w:id="95" w:name="_Toc196145696"/>
      <w:bookmarkStart w:id="96" w:name="_Toc199912188"/>
      <w:bookmarkStart w:id="97" w:name="_Toc225590795"/>
      <w:bookmarkStart w:id="98" w:name="_Toc225660256"/>
      <w:bookmarkStart w:id="99" w:name="_Toc227580620"/>
      <w:bookmarkStart w:id="100" w:name="_Toc289696424"/>
      <w:bookmarkStart w:id="101" w:name="_Toc357517549"/>
      <w:bookmarkStart w:id="102" w:name="_Toc358657262"/>
      <w:bookmarkStart w:id="103" w:name="_Toc415051553"/>
      <w:bookmarkStart w:id="104" w:name="_Toc445908048"/>
      <w:bookmarkStart w:id="105" w:name="_Toc57369049"/>
      <w:bookmarkStart w:id="106" w:name="_Toc85469057"/>
      <w:bookmarkStart w:id="107" w:name="_Toc92752487"/>
      <w:bookmarkStart w:id="108" w:name="_Toc168933418"/>
      <w:r w:rsidRPr="00577FAF">
        <w:rPr>
          <w:rFonts w:cs="Arial"/>
          <w:szCs w:val="22"/>
        </w:rPr>
        <w:t xml:space="preserve">PRESENTACIÓN DEL CALENDARIO Y LA DOCUMENTACIÓN </w:t>
      </w:r>
      <w:r w:rsidR="002A5200" w:rsidRPr="00577FAF">
        <w:rPr>
          <w:rFonts w:cs="Arial"/>
          <w:szCs w:val="22"/>
        </w:rPr>
        <w:br/>
      </w:r>
      <w:r w:rsidRPr="00577FAF">
        <w:rPr>
          <w:rFonts w:cs="Arial"/>
          <w:szCs w:val="22"/>
        </w:rPr>
        <w:t>[artículo 16 del Reglamento]</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tbl>
      <w:tblPr>
        <w:tblW w:w="9747" w:type="dxa"/>
        <w:tblLayout w:type="fixed"/>
        <w:tblLook w:val="0000" w:firstRow="0" w:lastRow="0" w:firstColumn="0" w:lastColumn="0" w:noHBand="0" w:noVBand="0"/>
      </w:tblPr>
      <w:tblGrid>
        <w:gridCol w:w="2357"/>
        <w:gridCol w:w="2004"/>
        <w:gridCol w:w="5386"/>
      </w:tblGrid>
      <w:tr w:rsidR="003A60E3" w:rsidRPr="00577FAF" w14:paraId="3F833E9C" w14:textId="77777777" w:rsidTr="00B8699D">
        <w:tc>
          <w:tcPr>
            <w:tcW w:w="2357" w:type="dxa"/>
            <w:shd w:val="clear" w:color="auto" w:fill="FBD4B4"/>
            <w:tcMar>
              <w:top w:w="57" w:type="dxa"/>
              <w:bottom w:w="57" w:type="dxa"/>
            </w:tcMar>
          </w:tcPr>
          <w:p w14:paraId="4912F604" w14:textId="77777777" w:rsidR="003A60E3" w:rsidRPr="00577FAF" w:rsidRDefault="00CB6A57">
            <w:pPr>
              <w:rPr>
                <w:rFonts w:ascii="Arial" w:hAnsi="Arial" w:cs="Arial"/>
                <w:i/>
                <w:color w:val="000000"/>
                <w:sz w:val="20"/>
                <w:szCs w:val="20"/>
                <w:u w:val="single"/>
              </w:rPr>
            </w:pPr>
            <w:r w:rsidRPr="00577FAF">
              <w:rPr>
                <w:rFonts w:ascii="Arial" w:hAnsi="Arial" w:cs="Arial"/>
                <w:i/>
                <w:iCs/>
                <w:sz w:val="20"/>
                <w:szCs w:val="20"/>
                <w:u w:val="single"/>
              </w:rPr>
              <w:t>Información</w:t>
            </w:r>
          </w:p>
        </w:tc>
        <w:tc>
          <w:tcPr>
            <w:tcW w:w="2004" w:type="dxa"/>
            <w:shd w:val="clear" w:color="auto" w:fill="auto"/>
            <w:tcMar>
              <w:top w:w="57" w:type="dxa"/>
              <w:bottom w:w="57" w:type="dxa"/>
            </w:tcMar>
          </w:tcPr>
          <w:p w14:paraId="7774E3F2" w14:textId="77777777" w:rsidR="003A60E3" w:rsidRPr="00577FAF" w:rsidRDefault="00CB6A57">
            <w:pPr>
              <w:rPr>
                <w:rFonts w:ascii="Arial" w:hAnsi="Arial" w:cs="Arial"/>
                <w:color w:val="000000"/>
                <w:sz w:val="20"/>
                <w:szCs w:val="20"/>
              </w:rPr>
            </w:pPr>
            <w:r w:rsidRPr="00577FAF">
              <w:rPr>
                <w:rFonts w:ascii="Arial" w:hAnsi="Arial" w:cs="Arial"/>
                <w:sz w:val="20"/>
                <w:szCs w:val="20"/>
              </w:rPr>
              <w:t>IOC/EC-57/DocList</w:t>
            </w:r>
          </w:p>
        </w:tc>
        <w:tc>
          <w:tcPr>
            <w:tcW w:w="5386" w:type="dxa"/>
            <w:shd w:val="clear" w:color="auto" w:fill="auto"/>
            <w:tcMar>
              <w:top w:w="57" w:type="dxa"/>
              <w:bottom w:w="57" w:type="dxa"/>
            </w:tcMar>
          </w:tcPr>
          <w:p w14:paraId="5A59BBB7" w14:textId="77777777" w:rsidR="003A60E3" w:rsidRPr="00577FAF" w:rsidRDefault="00CB6A57">
            <w:pPr>
              <w:spacing w:after="60"/>
              <w:rPr>
                <w:rFonts w:ascii="Arial" w:hAnsi="Arial" w:cs="Arial"/>
                <w:color w:val="000000"/>
                <w:sz w:val="20"/>
                <w:szCs w:val="20"/>
              </w:rPr>
            </w:pPr>
            <w:r w:rsidRPr="00577FAF">
              <w:rPr>
                <w:rFonts w:ascii="Arial" w:hAnsi="Arial" w:cs="Arial"/>
                <w:sz w:val="20"/>
                <w:szCs w:val="20"/>
              </w:rPr>
              <w:t>Provisional List of Documents</w:t>
            </w:r>
          </w:p>
        </w:tc>
      </w:tr>
      <w:tr w:rsidR="003A60E3" w:rsidRPr="00EA695A" w14:paraId="7E0F2665" w14:textId="77777777" w:rsidTr="00B8699D">
        <w:tc>
          <w:tcPr>
            <w:tcW w:w="2357" w:type="dxa"/>
            <w:shd w:val="clear" w:color="auto" w:fill="FBD4B4"/>
            <w:tcMar>
              <w:top w:w="57" w:type="dxa"/>
              <w:bottom w:w="57" w:type="dxa"/>
            </w:tcMar>
          </w:tcPr>
          <w:p w14:paraId="2905CC6D" w14:textId="77777777" w:rsidR="003A60E3" w:rsidRPr="00577FAF" w:rsidRDefault="003A60E3">
            <w:pPr>
              <w:rPr>
                <w:rFonts w:ascii="Arial" w:hAnsi="Arial" w:cs="Arial"/>
                <w:i/>
                <w:color w:val="000000"/>
                <w:sz w:val="20"/>
                <w:szCs w:val="20"/>
                <w:u w:val="single"/>
              </w:rPr>
            </w:pPr>
          </w:p>
        </w:tc>
        <w:tc>
          <w:tcPr>
            <w:tcW w:w="2004" w:type="dxa"/>
            <w:shd w:val="clear" w:color="auto" w:fill="auto"/>
            <w:tcMar>
              <w:top w:w="57" w:type="dxa"/>
              <w:bottom w:w="57" w:type="dxa"/>
            </w:tcMar>
          </w:tcPr>
          <w:p w14:paraId="5E803EB3" w14:textId="77777777" w:rsidR="003A60E3" w:rsidRPr="00577FAF" w:rsidRDefault="00CB6A57">
            <w:pPr>
              <w:rPr>
                <w:rFonts w:ascii="Arial" w:hAnsi="Arial" w:cs="Arial"/>
                <w:color w:val="000000"/>
                <w:sz w:val="20"/>
                <w:szCs w:val="20"/>
              </w:rPr>
            </w:pPr>
            <w:r w:rsidRPr="00577FAF">
              <w:rPr>
                <w:rFonts w:ascii="Arial" w:hAnsi="Arial" w:cs="Arial"/>
                <w:sz w:val="20"/>
                <w:szCs w:val="20"/>
              </w:rPr>
              <w:t>IOC/EC-57/2.4.Inf.1</w:t>
            </w:r>
          </w:p>
        </w:tc>
        <w:tc>
          <w:tcPr>
            <w:tcW w:w="5386" w:type="dxa"/>
            <w:shd w:val="clear" w:color="auto" w:fill="auto"/>
            <w:tcMar>
              <w:top w:w="57" w:type="dxa"/>
              <w:bottom w:w="57" w:type="dxa"/>
            </w:tcMar>
          </w:tcPr>
          <w:p w14:paraId="78F22F57" w14:textId="77777777" w:rsidR="003A60E3" w:rsidRPr="00667A5C" w:rsidRDefault="00CB6A57">
            <w:pPr>
              <w:spacing w:after="60"/>
              <w:rPr>
                <w:rFonts w:ascii="Arial" w:hAnsi="Arial" w:cs="Arial"/>
                <w:color w:val="000000"/>
                <w:sz w:val="20"/>
                <w:szCs w:val="20"/>
                <w:lang w:val="en-US"/>
              </w:rPr>
            </w:pPr>
            <w:r w:rsidRPr="00667A5C">
              <w:rPr>
                <w:rFonts w:ascii="Arial" w:hAnsi="Arial" w:cs="Arial"/>
                <w:sz w:val="20"/>
                <w:szCs w:val="20"/>
                <w:lang w:val="en-US"/>
              </w:rPr>
              <w:t>Working arrangements for the session</w:t>
            </w:r>
          </w:p>
        </w:tc>
      </w:tr>
      <w:tr w:rsidR="003A60E3" w:rsidRPr="00EA695A" w14:paraId="4AA08605" w14:textId="77777777" w:rsidTr="00B8699D">
        <w:tc>
          <w:tcPr>
            <w:tcW w:w="2357" w:type="dxa"/>
            <w:shd w:val="clear" w:color="auto" w:fill="FBD4B4"/>
            <w:tcMar>
              <w:top w:w="57" w:type="dxa"/>
              <w:bottom w:w="57" w:type="dxa"/>
            </w:tcMar>
          </w:tcPr>
          <w:p w14:paraId="2640F265" w14:textId="77777777" w:rsidR="003A60E3" w:rsidRPr="00667A5C" w:rsidRDefault="003A60E3">
            <w:pPr>
              <w:rPr>
                <w:rFonts w:ascii="Arial" w:hAnsi="Arial" w:cs="Arial"/>
                <w:i/>
                <w:color w:val="000000"/>
                <w:sz w:val="20"/>
                <w:szCs w:val="20"/>
                <w:u w:val="single"/>
                <w:lang w:val="en-US"/>
              </w:rPr>
            </w:pPr>
          </w:p>
        </w:tc>
        <w:tc>
          <w:tcPr>
            <w:tcW w:w="2004" w:type="dxa"/>
            <w:shd w:val="clear" w:color="auto" w:fill="auto"/>
            <w:tcMar>
              <w:top w:w="57" w:type="dxa"/>
              <w:bottom w:w="57" w:type="dxa"/>
            </w:tcMar>
          </w:tcPr>
          <w:p w14:paraId="249FD05B" w14:textId="77777777" w:rsidR="003A60E3" w:rsidRPr="00577FAF" w:rsidRDefault="00CB6A57">
            <w:pPr>
              <w:rPr>
                <w:rFonts w:ascii="Arial" w:hAnsi="Arial" w:cs="Arial"/>
                <w:color w:val="000000"/>
                <w:sz w:val="20"/>
                <w:szCs w:val="20"/>
              </w:rPr>
            </w:pPr>
            <w:r w:rsidRPr="00577FAF">
              <w:rPr>
                <w:rFonts w:ascii="Arial" w:hAnsi="Arial" w:cs="Arial"/>
                <w:sz w:val="20"/>
                <w:szCs w:val="20"/>
              </w:rPr>
              <w:t>IOC/EC-57/2.4.Inf.2</w:t>
            </w:r>
          </w:p>
        </w:tc>
        <w:tc>
          <w:tcPr>
            <w:tcW w:w="5386" w:type="dxa"/>
            <w:shd w:val="clear" w:color="auto" w:fill="auto"/>
            <w:tcMar>
              <w:top w:w="57" w:type="dxa"/>
              <w:bottom w:w="57" w:type="dxa"/>
            </w:tcMar>
          </w:tcPr>
          <w:p w14:paraId="2208E75C" w14:textId="77777777" w:rsidR="003A60E3" w:rsidRPr="00667A5C" w:rsidRDefault="00CB6A57">
            <w:pPr>
              <w:spacing w:after="60"/>
              <w:rPr>
                <w:rFonts w:ascii="Arial" w:hAnsi="Arial" w:cs="Arial"/>
                <w:color w:val="000000"/>
                <w:sz w:val="20"/>
                <w:szCs w:val="20"/>
                <w:lang w:val="en-US"/>
              </w:rPr>
            </w:pPr>
            <w:r w:rsidRPr="00667A5C">
              <w:rPr>
                <w:rFonts w:ascii="Arial" w:hAnsi="Arial" w:cs="Arial"/>
                <w:sz w:val="20"/>
                <w:szCs w:val="20"/>
                <w:lang w:val="en-US"/>
              </w:rPr>
              <w:t>Special event: Preserving past tsunami information for future preparedness: Eyewitness and survivor project</w:t>
            </w:r>
          </w:p>
        </w:tc>
      </w:tr>
    </w:tbl>
    <w:p w14:paraId="0B42403E" w14:textId="77777777" w:rsidR="003A60E3" w:rsidRPr="00667A5C" w:rsidRDefault="003A60E3">
      <w:pPr>
        <w:rPr>
          <w:rFonts w:ascii="Arial" w:hAnsi="Arial" w:cs="Arial"/>
          <w:color w:val="000000"/>
          <w:sz w:val="22"/>
          <w:szCs w:val="22"/>
          <w:lang w:val="en-US"/>
        </w:rPr>
      </w:pPr>
    </w:p>
    <w:p w14:paraId="07A73683" w14:textId="77777777" w:rsidR="003A60E3" w:rsidRPr="00577FAF" w:rsidRDefault="00CB6A57">
      <w:pPr>
        <w:pStyle w:val="Style2"/>
        <w:numPr>
          <w:ilvl w:val="0"/>
          <w:numId w:val="7"/>
        </w:numPr>
        <w:tabs>
          <w:tab w:val="left" w:pos="709"/>
        </w:tabs>
        <w:ind w:left="0" w:hanging="709"/>
        <w:rPr>
          <w:rFonts w:cs="Arial"/>
        </w:rPr>
      </w:pPr>
      <w:r w:rsidRPr="00577FAF">
        <w:rPr>
          <w:rFonts w:cs="Arial"/>
        </w:rPr>
        <w:t xml:space="preserve">Presentó este punto el Secretario Ejecutivo, quien recordó que los proyectos de decisión se aprobarían al finalizar el debate de cada punto del orden del día. El documento de decisión se había redactado intencionalmente como un informe preliminar, con objeto de racionalizar el proceso de presentación de informes durante la reunión. El Secretario Ejecutivo señaló que se había recibido </w:t>
      </w:r>
      <w:r w:rsidRPr="00577FAF">
        <w:rPr>
          <w:rFonts w:cs="Arial"/>
          <w:i/>
        </w:rPr>
        <w:t>[por confirmar]</w:t>
      </w:r>
      <w:r w:rsidRPr="00577FAF">
        <w:rPr>
          <w:rFonts w:cs="Arial"/>
        </w:rPr>
        <w:t xml:space="preserve"> proyecto</w:t>
      </w:r>
      <w:r w:rsidR="004C1803" w:rsidRPr="00577FAF">
        <w:rPr>
          <w:rFonts w:cs="Arial"/>
        </w:rPr>
        <w:t>[s]</w:t>
      </w:r>
      <w:r w:rsidRPr="00577FAF">
        <w:rPr>
          <w:rFonts w:cs="Arial"/>
        </w:rPr>
        <w:t xml:space="preserve"> de resolución antes del 20 de junio de 2024 a las 10.00 horas. Todos los </w:t>
      </w:r>
      <w:r w:rsidRPr="00577FAF">
        <w:rPr>
          <w:rFonts w:cs="Arial"/>
        </w:rPr>
        <w:lastRenderedPageBreak/>
        <w:t>proyectos de resolución se habrían de examinar para su aprobación en el marco del punto 7 del orden del día al final de la reunión. El conjunto completo de decisiones adoptadas y resoluciones aprobadas en los cuatro idiomas se publicaría al término de la reunión, de conformidad con las prácticas establecidas de la UNESCO. La parte descriptiva del informe sería redactada por la Secretaría en inglés durante la reunión, de acuerdo con el Relator de la reunión. La versión completa del informe descriptivo, debidamente traducida, se pondría en conocimiento de los miembros del Consejo Ejecutivo después de la reunión. Se invitó a los Estados Miembros que desearan dejar constancia de intervenciones en plenaria específicas y particularmente importantes a que proporcionaran el texto escrito utilizando un modelo especial y enviándolo a una dirección de correo electrónico dedicada a ese fin (</w:t>
      </w:r>
      <w:hyperlink r:id="rId18" w:history="1">
        <w:r w:rsidR="004C1803" w:rsidRPr="00577FAF">
          <w:rPr>
            <w:rStyle w:val="Hyperlink"/>
            <w:rFonts w:cs="Arial"/>
          </w:rPr>
          <w:t>iocgovbody@unesco.org</w:t>
        </w:r>
      </w:hyperlink>
      <w:r w:rsidRPr="00577FAF">
        <w:rPr>
          <w:rFonts w:cs="Arial"/>
        </w:rPr>
        <w:t>).</w:t>
      </w:r>
    </w:p>
    <w:p w14:paraId="34E2E49B" w14:textId="77777777" w:rsidR="003A60E3" w:rsidRPr="00577FAF" w:rsidRDefault="00CB6A57">
      <w:pPr>
        <w:pStyle w:val="Style2"/>
        <w:numPr>
          <w:ilvl w:val="0"/>
          <w:numId w:val="7"/>
        </w:numPr>
        <w:tabs>
          <w:tab w:val="left" w:pos="709"/>
        </w:tabs>
        <w:ind w:left="0" w:hanging="709"/>
        <w:rPr>
          <w:rFonts w:cs="Arial"/>
        </w:rPr>
      </w:pPr>
      <w:r w:rsidRPr="00577FAF">
        <w:rPr>
          <w:rFonts w:cs="Arial"/>
        </w:rPr>
        <w:t>En cuanto al calendario, el Secretario Ejecutivo recordó que la sesión plenaria duraría 3,5 días, incluido un acto paralelo de 90 minutos en la sala plenaria para conmemorar el 20º aniversario del tsunami de Sumatra. Este acto, que congregaría en París a testigos y supervivientes, se retransmitiría en directo, al igual que toda la sesión. El proyecto “Testigos y supervivientes del tsunami” incluirá actividades como una exposición itinerante, un documental, actos paralelos en conferencias mundiales sobre el océano y reuniones con testigos presenciales a lo largo de 2024.</w:t>
      </w:r>
      <w:r w:rsidR="004C1803" w:rsidRPr="00577FAF">
        <w:rPr>
          <w:rFonts w:cs="Arial"/>
        </w:rPr>
        <w:t xml:space="preserve"> </w:t>
      </w:r>
    </w:p>
    <w:tbl>
      <w:tblPr>
        <w:tblW w:w="0" w:type="auto"/>
        <w:shd w:val="clear" w:color="auto" w:fill="CCFFCC"/>
        <w:tblLayout w:type="fixed"/>
        <w:tblCellMar>
          <w:top w:w="113" w:type="dxa"/>
          <w:bottom w:w="113" w:type="dxa"/>
        </w:tblCellMar>
        <w:tblLook w:val="0000" w:firstRow="0" w:lastRow="0" w:firstColumn="0" w:lastColumn="0" w:noHBand="0" w:noVBand="0"/>
      </w:tblPr>
      <w:tblGrid>
        <w:gridCol w:w="9747"/>
      </w:tblGrid>
      <w:tr w:rsidR="003A60E3" w:rsidRPr="00577FAF" w14:paraId="75121D52" w14:textId="77777777">
        <w:trPr>
          <w:trHeight w:val="380"/>
        </w:trPr>
        <w:tc>
          <w:tcPr>
            <w:tcW w:w="9747" w:type="dxa"/>
            <w:shd w:val="clear" w:color="auto" w:fill="CCFFCC"/>
            <w:tcMar>
              <w:top w:w="113" w:type="dxa"/>
              <w:bottom w:w="113" w:type="dxa"/>
            </w:tcMar>
          </w:tcPr>
          <w:p w14:paraId="7F68DDCE" w14:textId="77777777" w:rsidR="003A60E3" w:rsidRPr="00577FAF" w:rsidRDefault="00CB6A57">
            <w:pPr>
              <w:rPr>
                <w:rFonts w:ascii="Arial" w:hAnsi="Arial" w:cs="Arial"/>
                <w:iCs/>
                <w:sz w:val="22"/>
                <w:szCs w:val="22"/>
              </w:rPr>
            </w:pPr>
            <w:r w:rsidRPr="00577FAF">
              <w:rPr>
                <w:rFonts w:ascii="Arial" w:hAnsi="Arial" w:cs="Arial"/>
                <w:sz w:val="22"/>
                <w:szCs w:val="22"/>
              </w:rPr>
              <w:t xml:space="preserve">No se </w:t>
            </w:r>
            <w:r w:rsidR="00BC13C2" w:rsidRPr="00577FAF">
              <w:rPr>
                <w:rFonts w:ascii="Arial" w:hAnsi="Arial" w:cs="Arial"/>
                <w:sz w:val="22"/>
                <w:szCs w:val="22"/>
              </w:rPr>
              <w:t>propone</w:t>
            </w:r>
            <w:r w:rsidRPr="00577FAF">
              <w:rPr>
                <w:rFonts w:ascii="Arial" w:hAnsi="Arial" w:cs="Arial"/>
                <w:sz w:val="22"/>
                <w:szCs w:val="22"/>
              </w:rPr>
              <w:t xml:space="preserve"> ninguna decisión en relación con este punto. </w:t>
            </w:r>
          </w:p>
        </w:tc>
      </w:tr>
    </w:tbl>
    <w:p w14:paraId="52FBCBCC" w14:textId="77777777" w:rsidR="003A60E3" w:rsidRPr="00577FAF" w:rsidRDefault="003A60E3">
      <w:pPr>
        <w:rPr>
          <w:rFonts w:ascii="Arial" w:hAnsi="Arial" w:cs="Arial"/>
          <w:sz w:val="22"/>
          <w:szCs w:val="22"/>
        </w:rPr>
      </w:pPr>
    </w:p>
    <w:p w14:paraId="20C63870" w14:textId="77777777" w:rsidR="003A60E3" w:rsidRPr="00577FAF" w:rsidRDefault="00CB6A57">
      <w:pPr>
        <w:pStyle w:val="Style2"/>
        <w:numPr>
          <w:ilvl w:val="0"/>
          <w:numId w:val="7"/>
        </w:numPr>
        <w:tabs>
          <w:tab w:val="left" w:pos="709"/>
        </w:tabs>
        <w:ind w:left="0" w:hanging="709"/>
        <w:rPr>
          <w:rFonts w:cs="Arial"/>
        </w:rPr>
      </w:pPr>
      <w:r w:rsidRPr="00577FAF">
        <w:rPr>
          <w:rFonts w:cs="Aria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6F6FE6AB" w14:textId="77777777" w:rsidR="003A60E3" w:rsidRPr="00577FAF" w:rsidRDefault="00CB6A57">
      <w:pPr>
        <w:pStyle w:val="Heading2"/>
        <w:ind w:left="728" w:hanging="728"/>
        <w:rPr>
          <w:rFonts w:cs="Arial"/>
          <w:szCs w:val="22"/>
        </w:rPr>
      </w:pPr>
      <w:bookmarkStart w:id="109" w:name="_Toc168933419"/>
      <w:r w:rsidRPr="00577FAF">
        <w:rPr>
          <w:rFonts w:cs="Arial"/>
          <w:szCs w:val="22"/>
        </w:rPr>
        <w:t>2.5</w:t>
      </w:r>
      <w:r w:rsidRPr="00577FAF">
        <w:rPr>
          <w:rFonts w:cs="Arial"/>
          <w:szCs w:val="22"/>
        </w:rPr>
        <w:tab/>
        <w:t>CONFERENCIA CONMEMORATIVA DE ROGER REVELLE</w:t>
      </w:r>
      <w:bookmarkStart w:id="110" w:name="_Toc92752488"/>
      <w:bookmarkEnd w:id="110"/>
      <w:bookmarkEnd w:id="109"/>
    </w:p>
    <w:tbl>
      <w:tblPr>
        <w:tblW w:w="9889" w:type="dxa"/>
        <w:tblLayout w:type="fixed"/>
        <w:tblLook w:val="0000" w:firstRow="0" w:lastRow="0" w:firstColumn="0" w:lastColumn="0" w:noHBand="0" w:noVBand="0"/>
      </w:tblPr>
      <w:tblGrid>
        <w:gridCol w:w="2268"/>
        <w:gridCol w:w="2235"/>
        <w:gridCol w:w="5386"/>
      </w:tblGrid>
      <w:tr w:rsidR="003A60E3" w:rsidRPr="00EA695A" w14:paraId="76B3A104" w14:textId="77777777">
        <w:tc>
          <w:tcPr>
            <w:tcW w:w="2268" w:type="dxa"/>
            <w:shd w:val="clear" w:color="auto" w:fill="FBD4B4"/>
            <w:tcMar>
              <w:top w:w="57" w:type="dxa"/>
              <w:bottom w:w="57" w:type="dxa"/>
            </w:tcMar>
          </w:tcPr>
          <w:p w14:paraId="32F120FD" w14:textId="77777777" w:rsidR="003A60E3" w:rsidRPr="00577FAF" w:rsidRDefault="00CB6A57">
            <w:pPr>
              <w:rPr>
                <w:rFonts w:ascii="Arial" w:hAnsi="Arial" w:cs="Arial"/>
                <w:i/>
                <w:color w:val="000000"/>
                <w:sz w:val="20"/>
                <w:szCs w:val="20"/>
                <w:u w:val="single"/>
              </w:rPr>
            </w:pPr>
            <w:r w:rsidRPr="00577FAF">
              <w:rPr>
                <w:rFonts w:ascii="Arial" w:hAnsi="Arial" w:cs="Arial"/>
                <w:i/>
                <w:iCs/>
                <w:sz w:val="20"/>
                <w:szCs w:val="20"/>
                <w:u w:val="single"/>
              </w:rPr>
              <w:t>Información</w:t>
            </w:r>
            <w:r w:rsidRPr="00577FAF">
              <w:rPr>
                <w:rFonts w:ascii="Arial" w:hAnsi="Arial" w:cs="Arial"/>
                <w:sz w:val="20"/>
                <w:szCs w:val="20"/>
              </w:rPr>
              <w:t xml:space="preserve"> </w:t>
            </w:r>
          </w:p>
        </w:tc>
        <w:tc>
          <w:tcPr>
            <w:tcW w:w="2235" w:type="dxa"/>
            <w:shd w:val="clear" w:color="auto" w:fill="auto"/>
            <w:tcMar>
              <w:top w:w="57" w:type="dxa"/>
              <w:bottom w:w="57" w:type="dxa"/>
            </w:tcMar>
          </w:tcPr>
          <w:p w14:paraId="678B4EEB" w14:textId="21CAEA49" w:rsidR="003A60E3" w:rsidRPr="00577FAF" w:rsidRDefault="00CB6A57">
            <w:pPr>
              <w:rPr>
                <w:rFonts w:ascii="Arial" w:hAnsi="Arial" w:cs="Arial"/>
                <w:color w:val="000000"/>
                <w:sz w:val="20"/>
                <w:szCs w:val="20"/>
              </w:rPr>
            </w:pPr>
            <w:bookmarkStart w:id="111" w:name="_Hlk163638474"/>
            <w:r w:rsidRPr="00577FAF">
              <w:rPr>
                <w:rFonts w:ascii="Arial" w:hAnsi="Arial" w:cs="Arial"/>
                <w:sz w:val="20"/>
                <w:szCs w:val="20"/>
              </w:rPr>
              <w:t>IOC/EC-57/2.</w:t>
            </w:r>
            <w:r w:rsidR="00165B31" w:rsidRPr="00577FAF">
              <w:rPr>
                <w:rFonts w:ascii="Arial" w:hAnsi="Arial" w:cs="Arial"/>
                <w:sz w:val="20"/>
                <w:szCs w:val="20"/>
              </w:rPr>
              <w:t>5</w:t>
            </w:r>
            <w:r w:rsidRPr="00577FAF">
              <w:rPr>
                <w:rFonts w:ascii="Arial" w:hAnsi="Arial" w:cs="Arial"/>
                <w:sz w:val="20"/>
                <w:szCs w:val="20"/>
              </w:rPr>
              <w:t>.Inf.</w:t>
            </w:r>
            <w:bookmarkEnd w:id="111"/>
            <w:r w:rsidR="00165B31" w:rsidRPr="00577FAF">
              <w:rPr>
                <w:rFonts w:ascii="Arial" w:hAnsi="Arial" w:cs="Arial"/>
                <w:sz w:val="20"/>
                <w:szCs w:val="20"/>
              </w:rPr>
              <w:t>3</w:t>
            </w:r>
          </w:p>
        </w:tc>
        <w:tc>
          <w:tcPr>
            <w:tcW w:w="5386" w:type="dxa"/>
            <w:shd w:val="clear" w:color="auto" w:fill="auto"/>
            <w:tcMar>
              <w:top w:w="57" w:type="dxa"/>
              <w:bottom w:w="57" w:type="dxa"/>
            </w:tcMar>
          </w:tcPr>
          <w:p w14:paraId="665F725F" w14:textId="77777777" w:rsidR="003A60E3" w:rsidRPr="00667A5C" w:rsidRDefault="00CB6A57">
            <w:pPr>
              <w:spacing w:after="60"/>
              <w:rPr>
                <w:rFonts w:ascii="Arial" w:hAnsi="Arial" w:cs="Arial"/>
                <w:color w:val="000000"/>
                <w:sz w:val="20"/>
                <w:szCs w:val="20"/>
                <w:lang w:val="en-US"/>
              </w:rPr>
            </w:pPr>
            <w:r w:rsidRPr="00667A5C">
              <w:rPr>
                <w:rFonts w:ascii="Arial" w:hAnsi="Arial" w:cs="Arial"/>
                <w:sz w:val="20"/>
                <w:szCs w:val="20"/>
                <w:lang w:val="en-US"/>
              </w:rPr>
              <w:t>Presentation and abstract of the IOC Roger Revelle 2024 Memorial Lecture: 20 years since Sumatra: Advances in Tsunami Science and Mitigation by Emile A. Okal</w:t>
            </w:r>
          </w:p>
        </w:tc>
      </w:tr>
    </w:tbl>
    <w:p w14:paraId="643515FB" w14:textId="77777777" w:rsidR="003A60E3" w:rsidRPr="00667A5C" w:rsidRDefault="003A60E3">
      <w:pPr>
        <w:pStyle w:val="Marge"/>
        <w:spacing w:after="0"/>
        <w:rPr>
          <w:rFonts w:ascii="Arial" w:hAnsi="Arial" w:cs="Arial"/>
          <w:sz w:val="22"/>
          <w:szCs w:val="22"/>
          <w:lang w:val="en-US" w:eastAsia="en-GB"/>
        </w:rPr>
      </w:pPr>
    </w:p>
    <w:p w14:paraId="63991E04" w14:textId="77777777" w:rsidR="003A60E3" w:rsidRPr="00577FAF" w:rsidRDefault="00CB6A57">
      <w:pPr>
        <w:pStyle w:val="Style2"/>
        <w:numPr>
          <w:ilvl w:val="0"/>
          <w:numId w:val="7"/>
        </w:numPr>
        <w:tabs>
          <w:tab w:val="left" w:pos="709"/>
        </w:tabs>
        <w:ind w:left="0" w:hanging="709"/>
        <w:rPr>
          <w:rFonts w:cs="Arial"/>
        </w:rPr>
      </w:pPr>
      <w:r w:rsidRPr="00577FAF">
        <w:rPr>
          <w:rFonts w:cs="Arial"/>
        </w:rPr>
        <w:t>Presentó este punto el Presidente, quien recordó que la serie de conferencias conmemorativas de Roger Revelle había sido creada por la COI en 1991 para reconocer contribuciones sobresalientes a las ciencias oceánicas relacionadas con el clima, realizadas por investigadores motivados que transmitían sus conocimientos y su visión mundial de los desafíos a los que se enfrenta nuestro planeta con el fin de forjar un futuro mejor para la humanidad. Estas conferencias están dedicadas a Roger Revelle (1909-1991), uno de los primeros científicos en estudiar el calentamiento global antropógeno, que fue también uno de los padres fundadores de la COI.</w:t>
      </w:r>
    </w:p>
    <w:p w14:paraId="04216582" w14:textId="77777777" w:rsidR="004C1803" w:rsidRPr="00577FAF" w:rsidRDefault="00CB6A57">
      <w:pPr>
        <w:pStyle w:val="Style2"/>
        <w:numPr>
          <w:ilvl w:val="0"/>
          <w:numId w:val="7"/>
        </w:numPr>
        <w:tabs>
          <w:tab w:val="left" w:pos="709"/>
        </w:tabs>
        <w:ind w:left="0" w:hanging="709"/>
        <w:rPr>
          <w:rFonts w:cs="Arial"/>
        </w:rPr>
      </w:pPr>
      <w:r w:rsidRPr="00577FAF">
        <w:rPr>
          <w:rFonts w:cs="Arial"/>
        </w:rPr>
        <w:t>Emile A. Okal, de la Universidad Northwestern (Estados Unidos de América), pronunció la Conferencia Conmemorativa de Roger Revelle de la COI de 2024, sobre el tema de la atenuación de los efectos de los tsunamis, casi 20 años después de la catástrofe que se produjo en el océano Índico el 26 de diciembre de 2004. Han pasado casi 20 años desde la catástrofe de Sumatra de 2004, que popularizó la palabra “tsunami” y fue probablemente el acontecimiento más mortífero de la historia de la humanidad. A raíz de este suceso se ha prestado gran atención en todo el mundo a la reducción del riesgo de tsunamis; en esta conferencia se exponen los avances al respecto en varios ámbitos.</w:t>
      </w:r>
    </w:p>
    <w:p w14:paraId="103FEED7" w14:textId="77777777" w:rsidR="003A60E3" w:rsidRPr="00577FAF" w:rsidRDefault="00CB6A57" w:rsidP="00326BDC">
      <w:pPr>
        <w:pStyle w:val="Heading1"/>
      </w:pPr>
      <w:bookmarkStart w:id="112" w:name="_Toc31634891"/>
      <w:bookmarkStart w:id="113" w:name="_Toc57369050"/>
      <w:bookmarkStart w:id="114" w:name="_Toc85469058"/>
      <w:bookmarkStart w:id="115" w:name="_Toc92752489"/>
      <w:bookmarkStart w:id="116" w:name="_Toc168933420"/>
      <w:r w:rsidRPr="00577FAF">
        <w:lastRenderedPageBreak/>
        <w:t>INFORMES</w:t>
      </w:r>
      <w:bookmarkEnd w:id="112"/>
      <w:bookmarkEnd w:id="113"/>
      <w:bookmarkEnd w:id="114"/>
      <w:bookmarkEnd w:id="115"/>
      <w:bookmarkEnd w:id="116"/>
    </w:p>
    <w:p w14:paraId="7FBA73EF" w14:textId="604BE769" w:rsidR="003A60E3" w:rsidRPr="00577FAF" w:rsidRDefault="00CB6A57">
      <w:pPr>
        <w:pStyle w:val="Heading2"/>
        <w:ind w:left="709" w:hanging="709"/>
        <w:rPr>
          <w:rFonts w:cs="Arial"/>
          <w:szCs w:val="22"/>
        </w:rPr>
      </w:pPr>
      <w:bookmarkStart w:id="117" w:name="_Toc85469059"/>
      <w:bookmarkStart w:id="118" w:name="_Toc92752490"/>
      <w:bookmarkStart w:id="119" w:name="_Toc168933421"/>
      <w:r w:rsidRPr="00577FAF">
        <w:rPr>
          <w:rFonts w:cs="Arial"/>
          <w:szCs w:val="22"/>
        </w:rPr>
        <w:t>3.1</w:t>
      </w:r>
      <w:r w:rsidRPr="00577FAF">
        <w:rPr>
          <w:rFonts w:cs="Arial"/>
          <w:szCs w:val="22"/>
        </w:rPr>
        <w:tab/>
        <w:t xml:space="preserve">INFORME DEL SECRETARIO EJECUTIVO SOBRE LA LABOR REALIZADA DESDE LA 32ª REUNIÓN DE LA ASAMBLEA (julio de 2023-mayo de 2024) </w:t>
      </w:r>
      <w:r w:rsidR="00642818" w:rsidRPr="00577FAF">
        <w:rPr>
          <w:rFonts w:cs="Arial"/>
          <w:szCs w:val="22"/>
        </w:rPr>
        <w:br/>
      </w:r>
      <w:r w:rsidRPr="00577FAF">
        <w:rPr>
          <w:rFonts w:cs="Arial"/>
          <w:szCs w:val="22"/>
        </w:rPr>
        <w:t>[artículo 31 del Reglamento]</w:t>
      </w:r>
      <w:bookmarkEnd w:id="117"/>
      <w:bookmarkEnd w:id="118"/>
      <w:bookmarkEnd w:id="119"/>
    </w:p>
    <w:tbl>
      <w:tblPr>
        <w:tblW w:w="9747" w:type="dxa"/>
        <w:tblLayout w:type="fixed"/>
        <w:tblLook w:val="0000" w:firstRow="0" w:lastRow="0" w:firstColumn="0" w:lastColumn="0" w:noHBand="0" w:noVBand="0"/>
      </w:tblPr>
      <w:tblGrid>
        <w:gridCol w:w="2334"/>
        <w:gridCol w:w="2310"/>
        <w:gridCol w:w="5103"/>
      </w:tblGrid>
      <w:tr w:rsidR="003A60E3" w:rsidRPr="00577FAF" w14:paraId="201573CA" w14:textId="77777777" w:rsidTr="007D0CB2">
        <w:tc>
          <w:tcPr>
            <w:tcW w:w="2334" w:type="dxa"/>
            <w:shd w:val="clear" w:color="auto" w:fill="FFFF99"/>
            <w:tcMar>
              <w:top w:w="57" w:type="dxa"/>
              <w:bottom w:w="57" w:type="dxa"/>
            </w:tcMar>
          </w:tcPr>
          <w:p w14:paraId="2EFEA31E" w14:textId="77777777" w:rsidR="003A60E3" w:rsidRPr="00577FAF" w:rsidRDefault="00CB6A57">
            <w:pPr>
              <w:rPr>
                <w:rFonts w:ascii="Arial" w:hAnsi="Arial" w:cs="Arial"/>
                <w:i/>
                <w:color w:val="000000"/>
                <w:sz w:val="20"/>
                <w:szCs w:val="20"/>
                <w:u w:val="single"/>
              </w:rPr>
            </w:pPr>
            <w:r w:rsidRPr="00577FAF">
              <w:rPr>
                <w:rFonts w:ascii="Arial" w:hAnsi="Arial" w:cs="Arial"/>
                <w:i/>
                <w:iCs/>
                <w:sz w:val="20"/>
                <w:szCs w:val="20"/>
                <w:u w:val="single"/>
              </w:rPr>
              <w:t>Documentos de trabajo</w:t>
            </w:r>
          </w:p>
        </w:tc>
        <w:tc>
          <w:tcPr>
            <w:tcW w:w="2310" w:type="dxa"/>
            <w:shd w:val="clear" w:color="auto" w:fill="FFFF99"/>
            <w:tcMar>
              <w:top w:w="57" w:type="dxa"/>
              <w:bottom w:w="57" w:type="dxa"/>
            </w:tcMar>
          </w:tcPr>
          <w:p w14:paraId="79C48325" w14:textId="77777777" w:rsidR="003A60E3" w:rsidRPr="00577FAF" w:rsidRDefault="00CB6A57">
            <w:pPr>
              <w:rPr>
                <w:rFonts w:ascii="Arial" w:hAnsi="Arial" w:cs="Arial"/>
                <w:color w:val="000000"/>
                <w:sz w:val="20"/>
                <w:szCs w:val="20"/>
              </w:rPr>
            </w:pPr>
            <w:r w:rsidRPr="00577FAF">
              <w:rPr>
                <w:rFonts w:ascii="Arial" w:hAnsi="Arial" w:cs="Arial"/>
                <w:sz w:val="20"/>
                <w:szCs w:val="20"/>
              </w:rPr>
              <w:t xml:space="preserve">IOC/EC-57/3.1.Doc(1) y Add. </w:t>
            </w:r>
          </w:p>
        </w:tc>
        <w:tc>
          <w:tcPr>
            <w:tcW w:w="5103" w:type="dxa"/>
            <w:shd w:val="clear" w:color="auto" w:fill="FFFF99"/>
            <w:tcMar>
              <w:top w:w="57" w:type="dxa"/>
              <w:bottom w:w="57" w:type="dxa"/>
            </w:tcMar>
          </w:tcPr>
          <w:p w14:paraId="02E82D10" w14:textId="77777777" w:rsidR="003A60E3" w:rsidRPr="00577FAF" w:rsidRDefault="00CB6A57">
            <w:pPr>
              <w:spacing w:after="60"/>
              <w:rPr>
                <w:rFonts w:ascii="Arial" w:hAnsi="Arial" w:cs="Arial"/>
                <w:color w:val="000000"/>
                <w:sz w:val="20"/>
                <w:szCs w:val="20"/>
              </w:rPr>
            </w:pPr>
            <w:r w:rsidRPr="00577FAF">
              <w:rPr>
                <w:rFonts w:ascii="Arial" w:hAnsi="Arial" w:cs="Arial"/>
                <w:sz w:val="20"/>
                <w:szCs w:val="20"/>
              </w:rPr>
              <w:t>Informe del Secretario Ejecutivo sobre la labor realizada desde la 32ª reunión de la Asamblea (julio de 2023-mayo de 2024)</w:t>
            </w:r>
          </w:p>
        </w:tc>
      </w:tr>
      <w:tr w:rsidR="003A60E3" w:rsidRPr="00577FAF" w14:paraId="141432EE" w14:textId="77777777" w:rsidTr="007D0CB2">
        <w:tc>
          <w:tcPr>
            <w:tcW w:w="2334" w:type="dxa"/>
            <w:shd w:val="clear" w:color="auto" w:fill="FFFF99"/>
            <w:tcMar>
              <w:top w:w="57" w:type="dxa"/>
              <w:bottom w:w="57" w:type="dxa"/>
            </w:tcMar>
          </w:tcPr>
          <w:p w14:paraId="7207CFF8" w14:textId="77777777" w:rsidR="003A60E3" w:rsidRPr="00577FAF" w:rsidRDefault="003A60E3">
            <w:pPr>
              <w:rPr>
                <w:rFonts w:ascii="Arial" w:hAnsi="Arial" w:cs="Arial"/>
                <w:i/>
                <w:color w:val="000000"/>
                <w:sz w:val="20"/>
                <w:szCs w:val="20"/>
                <w:u w:val="single"/>
              </w:rPr>
            </w:pPr>
          </w:p>
        </w:tc>
        <w:tc>
          <w:tcPr>
            <w:tcW w:w="2310" w:type="dxa"/>
            <w:shd w:val="clear" w:color="auto" w:fill="FFFF99"/>
            <w:tcMar>
              <w:top w:w="57" w:type="dxa"/>
              <w:bottom w:w="57" w:type="dxa"/>
            </w:tcMar>
          </w:tcPr>
          <w:p w14:paraId="30C247CB" w14:textId="77777777" w:rsidR="003A60E3" w:rsidRPr="00577FAF" w:rsidRDefault="00CB6A57">
            <w:pPr>
              <w:rPr>
                <w:rFonts w:ascii="Arial" w:hAnsi="Arial" w:cs="Arial"/>
                <w:color w:val="000000"/>
                <w:sz w:val="20"/>
                <w:szCs w:val="20"/>
              </w:rPr>
            </w:pPr>
            <w:r w:rsidRPr="00577FAF">
              <w:rPr>
                <w:rFonts w:ascii="Arial" w:hAnsi="Arial" w:cs="Arial"/>
                <w:sz w:val="20"/>
                <w:szCs w:val="20"/>
              </w:rPr>
              <w:t>IOC/EC-57/3.1.Doc(2)</w:t>
            </w:r>
          </w:p>
        </w:tc>
        <w:tc>
          <w:tcPr>
            <w:tcW w:w="5103" w:type="dxa"/>
            <w:shd w:val="clear" w:color="auto" w:fill="FFFF99"/>
            <w:tcMar>
              <w:top w:w="57" w:type="dxa"/>
              <w:bottom w:w="57" w:type="dxa"/>
            </w:tcMar>
          </w:tcPr>
          <w:p w14:paraId="28490366" w14:textId="77777777" w:rsidR="003A60E3" w:rsidRPr="00577FAF" w:rsidRDefault="00CB6A57">
            <w:pPr>
              <w:spacing w:after="60"/>
              <w:rPr>
                <w:rFonts w:ascii="Arial" w:hAnsi="Arial" w:cs="Arial"/>
                <w:bCs/>
                <w:color w:val="000000"/>
                <w:sz w:val="20"/>
                <w:szCs w:val="20"/>
              </w:rPr>
            </w:pPr>
            <w:r w:rsidRPr="00577FAF">
              <w:rPr>
                <w:rFonts w:ascii="Arial" w:hAnsi="Arial" w:cs="Arial"/>
                <w:sz w:val="20"/>
                <w:szCs w:val="20"/>
              </w:rPr>
              <w:t>Informe sobre la ejecución del presupuesto para 2022-2023 (41 C/5) al 31 de diciembre de 2023</w:t>
            </w:r>
          </w:p>
        </w:tc>
      </w:tr>
      <w:tr w:rsidR="003A60E3" w:rsidRPr="00577FAF" w14:paraId="00196BB7" w14:textId="77777777" w:rsidTr="007D0CB2">
        <w:tc>
          <w:tcPr>
            <w:tcW w:w="2334" w:type="dxa"/>
            <w:shd w:val="clear" w:color="auto" w:fill="FFFF99"/>
            <w:tcMar>
              <w:top w:w="57" w:type="dxa"/>
              <w:bottom w:w="57" w:type="dxa"/>
            </w:tcMar>
          </w:tcPr>
          <w:p w14:paraId="65F283E3" w14:textId="77777777" w:rsidR="003A60E3" w:rsidRPr="00577FAF" w:rsidRDefault="003A60E3">
            <w:pPr>
              <w:rPr>
                <w:rFonts w:ascii="Arial" w:hAnsi="Arial" w:cs="Arial"/>
                <w:i/>
                <w:color w:val="000000"/>
                <w:sz w:val="20"/>
                <w:szCs w:val="20"/>
                <w:u w:val="single"/>
              </w:rPr>
            </w:pPr>
          </w:p>
        </w:tc>
        <w:tc>
          <w:tcPr>
            <w:tcW w:w="2310" w:type="dxa"/>
            <w:shd w:val="clear" w:color="auto" w:fill="FFFF99"/>
            <w:tcMar>
              <w:top w:w="57" w:type="dxa"/>
              <w:bottom w:w="57" w:type="dxa"/>
            </w:tcMar>
          </w:tcPr>
          <w:p w14:paraId="48D32237" w14:textId="5CE30B1B" w:rsidR="003A60E3" w:rsidRPr="00577FAF" w:rsidRDefault="00CB6A57" w:rsidP="00231BD6">
            <w:pPr>
              <w:rPr>
                <w:rFonts w:ascii="Arial" w:hAnsi="Arial" w:cs="Arial"/>
                <w:color w:val="000000"/>
                <w:sz w:val="20"/>
                <w:szCs w:val="20"/>
              </w:rPr>
            </w:pPr>
            <w:r w:rsidRPr="00577FAF">
              <w:rPr>
                <w:rFonts w:ascii="Arial" w:hAnsi="Arial" w:cs="Arial"/>
                <w:sz w:val="20"/>
                <w:szCs w:val="20"/>
              </w:rPr>
              <w:t>IOC/EC-57/3.1.Doc(3)</w:t>
            </w:r>
          </w:p>
        </w:tc>
        <w:tc>
          <w:tcPr>
            <w:tcW w:w="5103" w:type="dxa"/>
            <w:shd w:val="clear" w:color="auto" w:fill="FFFF99"/>
            <w:tcMar>
              <w:top w:w="57" w:type="dxa"/>
              <w:bottom w:w="57" w:type="dxa"/>
            </w:tcMar>
          </w:tcPr>
          <w:p w14:paraId="66D47856" w14:textId="77777777" w:rsidR="003A60E3" w:rsidRPr="00577FAF" w:rsidRDefault="00CB6A57">
            <w:pPr>
              <w:spacing w:after="60"/>
              <w:rPr>
                <w:rFonts w:ascii="Arial" w:hAnsi="Arial" w:cs="Arial"/>
                <w:color w:val="000000"/>
                <w:sz w:val="20"/>
                <w:szCs w:val="20"/>
              </w:rPr>
            </w:pPr>
            <w:r w:rsidRPr="00577FAF">
              <w:rPr>
                <w:rFonts w:ascii="Arial" w:hAnsi="Arial" w:cs="Arial"/>
                <w:sz w:val="20"/>
                <w:szCs w:val="20"/>
              </w:rPr>
              <w:t>Situación financiera de la Cuenta Especial de la COI a finales de 2023 y previsión para 2024-2025</w:t>
            </w:r>
          </w:p>
        </w:tc>
      </w:tr>
      <w:tr w:rsidR="003A60E3" w:rsidRPr="00577FAF" w14:paraId="5F2771BD" w14:textId="77777777" w:rsidTr="007D0CB2">
        <w:tc>
          <w:tcPr>
            <w:tcW w:w="2334" w:type="dxa"/>
            <w:shd w:val="clear" w:color="auto" w:fill="FFFF99"/>
            <w:tcMar>
              <w:top w:w="57" w:type="dxa"/>
              <w:bottom w:w="57" w:type="dxa"/>
            </w:tcMar>
          </w:tcPr>
          <w:p w14:paraId="6A45F13E" w14:textId="77777777" w:rsidR="003A60E3" w:rsidRPr="00577FAF" w:rsidRDefault="003A60E3">
            <w:pPr>
              <w:rPr>
                <w:rFonts w:ascii="Arial" w:hAnsi="Arial" w:cs="Arial"/>
                <w:i/>
                <w:color w:val="000000"/>
                <w:sz w:val="20"/>
                <w:szCs w:val="20"/>
                <w:u w:val="single"/>
              </w:rPr>
            </w:pPr>
          </w:p>
        </w:tc>
        <w:tc>
          <w:tcPr>
            <w:tcW w:w="2310" w:type="dxa"/>
            <w:shd w:val="clear" w:color="auto" w:fill="FFFF99"/>
            <w:tcMar>
              <w:top w:w="57" w:type="dxa"/>
              <w:bottom w:w="57" w:type="dxa"/>
            </w:tcMar>
          </w:tcPr>
          <w:p w14:paraId="1844C659" w14:textId="77777777" w:rsidR="003A60E3" w:rsidRPr="00577FAF" w:rsidRDefault="00CB6A57">
            <w:pPr>
              <w:rPr>
                <w:rFonts w:ascii="Arial" w:hAnsi="Arial" w:cs="Arial"/>
                <w:color w:val="000000"/>
                <w:sz w:val="20"/>
                <w:szCs w:val="20"/>
              </w:rPr>
            </w:pPr>
            <w:r w:rsidRPr="00577FAF">
              <w:rPr>
                <w:rFonts w:ascii="Arial" w:hAnsi="Arial" w:cs="Arial"/>
                <w:sz w:val="20"/>
                <w:szCs w:val="20"/>
              </w:rPr>
              <w:t>IOC/EC-57/3.1.Doc(4)</w:t>
            </w:r>
          </w:p>
        </w:tc>
        <w:tc>
          <w:tcPr>
            <w:tcW w:w="5103" w:type="dxa"/>
            <w:shd w:val="clear" w:color="auto" w:fill="FFFF99"/>
            <w:tcMar>
              <w:top w:w="57" w:type="dxa"/>
              <w:bottom w:w="57" w:type="dxa"/>
            </w:tcMar>
          </w:tcPr>
          <w:p w14:paraId="2179F7E3" w14:textId="77777777" w:rsidR="003A60E3" w:rsidRPr="00577FAF" w:rsidRDefault="00CB6A57">
            <w:pPr>
              <w:spacing w:after="60"/>
              <w:rPr>
                <w:rFonts w:ascii="Arial" w:hAnsi="Arial" w:cs="Arial"/>
                <w:color w:val="000000"/>
                <w:sz w:val="20"/>
                <w:szCs w:val="20"/>
              </w:rPr>
            </w:pPr>
            <w:r w:rsidRPr="00577FAF">
              <w:rPr>
                <w:rFonts w:ascii="Arial" w:hAnsi="Arial" w:cs="Arial"/>
                <w:sz w:val="20"/>
                <w:szCs w:val="20"/>
              </w:rPr>
              <w:t>Proceso de consulta “La COI y el futuro del océano: ejecución sostenible y ampliación de las actividades de la COI”</w:t>
            </w:r>
          </w:p>
        </w:tc>
      </w:tr>
      <w:tr w:rsidR="003A60E3" w:rsidRPr="00EA695A" w14:paraId="335AA68D" w14:textId="77777777" w:rsidTr="007D0CB2">
        <w:tc>
          <w:tcPr>
            <w:tcW w:w="2334" w:type="dxa"/>
            <w:shd w:val="clear" w:color="auto" w:fill="FBD4B4"/>
            <w:tcMar>
              <w:top w:w="57" w:type="dxa"/>
              <w:bottom w:w="57" w:type="dxa"/>
            </w:tcMar>
          </w:tcPr>
          <w:p w14:paraId="07435B4C" w14:textId="77777777" w:rsidR="003A60E3" w:rsidRPr="00577FAF" w:rsidRDefault="00CB6A57">
            <w:pPr>
              <w:rPr>
                <w:rFonts w:ascii="Arial" w:hAnsi="Arial" w:cs="Arial"/>
                <w:i/>
                <w:color w:val="000000"/>
                <w:sz w:val="20"/>
                <w:szCs w:val="20"/>
                <w:u w:val="single"/>
              </w:rPr>
            </w:pPr>
            <w:r w:rsidRPr="00577FAF">
              <w:rPr>
                <w:rFonts w:ascii="Arial" w:hAnsi="Arial" w:cs="Arial"/>
                <w:i/>
                <w:iCs/>
                <w:sz w:val="20"/>
                <w:szCs w:val="20"/>
                <w:u w:val="single"/>
              </w:rPr>
              <w:t>Información</w:t>
            </w:r>
          </w:p>
        </w:tc>
        <w:tc>
          <w:tcPr>
            <w:tcW w:w="2310" w:type="dxa"/>
            <w:shd w:val="clear" w:color="auto" w:fill="auto"/>
            <w:tcMar>
              <w:top w:w="57" w:type="dxa"/>
              <w:bottom w:w="57" w:type="dxa"/>
            </w:tcMar>
          </w:tcPr>
          <w:p w14:paraId="3E121AD9" w14:textId="77777777" w:rsidR="003A60E3" w:rsidRPr="00577FAF" w:rsidRDefault="00CB6A57">
            <w:pPr>
              <w:rPr>
                <w:rFonts w:ascii="Arial" w:hAnsi="Arial" w:cs="Arial"/>
                <w:color w:val="000000"/>
                <w:sz w:val="20"/>
                <w:szCs w:val="20"/>
              </w:rPr>
            </w:pPr>
            <w:r w:rsidRPr="00577FAF">
              <w:rPr>
                <w:rFonts w:ascii="Arial" w:hAnsi="Arial" w:cs="Arial"/>
                <w:sz w:val="20"/>
                <w:szCs w:val="20"/>
              </w:rPr>
              <w:t>IOC/INF-1535</w:t>
            </w:r>
          </w:p>
        </w:tc>
        <w:tc>
          <w:tcPr>
            <w:tcW w:w="5103" w:type="dxa"/>
            <w:shd w:val="clear" w:color="auto" w:fill="auto"/>
            <w:tcMar>
              <w:top w:w="57" w:type="dxa"/>
              <w:bottom w:w="57" w:type="dxa"/>
            </w:tcMar>
          </w:tcPr>
          <w:p w14:paraId="579CBF10" w14:textId="2D603E65" w:rsidR="003A60E3" w:rsidRPr="00667A5C" w:rsidRDefault="00DE1108">
            <w:pPr>
              <w:spacing w:after="60"/>
              <w:rPr>
                <w:rFonts w:ascii="Arial" w:hAnsi="Arial" w:cs="Arial"/>
                <w:color w:val="000000"/>
                <w:sz w:val="20"/>
                <w:szCs w:val="20"/>
                <w:lang w:val="en-US"/>
              </w:rPr>
            </w:pPr>
            <w:r w:rsidRPr="00667A5C">
              <w:rPr>
                <w:rFonts w:ascii="Arial" w:hAnsi="Arial" w:cs="Arial"/>
                <w:color w:val="000000"/>
                <w:sz w:val="20"/>
                <w:szCs w:val="20"/>
                <w:lang w:val="en-US"/>
              </w:rPr>
              <w:t xml:space="preserve">Revised Memorandum of Understanding (MoU) </w:t>
            </w:r>
            <w:r w:rsidRPr="00667A5C">
              <w:rPr>
                <w:rFonts w:ascii="Arial" w:hAnsi="Arial" w:cs="Arial"/>
                <w:color w:val="000000"/>
                <w:sz w:val="20"/>
                <w:szCs w:val="20"/>
                <w:lang w:val="en-US"/>
              </w:rPr>
              <w:br/>
              <w:t>on the Global Climate Observing System (GCOS)</w:t>
            </w:r>
          </w:p>
        </w:tc>
      </w:tr>
      <w:tr w:rsidR="003A60E3" w:rsidRPr="00EA695A" w14:paraId="2DD0093A" w14:textId="77777777" w:rsidTr="007D0CB2">
        <w:tc>
          <w:tcPr>
            <w:tcW w:w="2334" w:type="dxa"/>
            <w:shd w:val="clear" w:color="auto" w:fill="FBD4B4"/>
            <w:tcMar>
              <w:top w:w="57" w:type="dxa"/>
              <w:bottom w:w="57" w:type="dxa"/>
            </w:tcMar>
          </w:tcPr>
          <w:p w14:paraId="37B42B9E" w14:textId="77777777" w:rsidR="003A60E3" w:rsidRPr="00667A5C" w:rsidRDefault="003A60E3">
            <w:pPr>
              <w:rPr>
                <w:rFonts w:ascii="Arial" w:hAnsi="Arial" w:cs="Arial"/>
                <w:i/>
                <w:color w:val="000000"/>
                <w:sz w:val="20"/>
                <w:szCs w:val="20"/>
                <w:u w:val="single"/>
                <w:lang w:val="en-US"/>
              </w:rPr>
            </w:pPr>
          </w:p>
        </w:tc>
        <w:tc>
          <w:tcPr>
            <w:tcW w:w="2310" w:type="dxa"/>
            <w:shd w:val="clear" w:color="auto" w:fill="auto"/>
            <w:tcMar>
              <w:top w:w="57" w:type="dxa"/>
              <w:bottom w:w="57" w:type="dxa"/>
            </w:tcMar>
          </w:tcPr>
          <w:p w14:paraId="15FA0F50" w14:textId="77777777" w:rsidR="003A60E3" w:rsidRPr="00577FAF" w:rsidRDefault="00CB6A57">
            <w:pPr>
              <w:rPr>
                <w:rFonts w:ascii="Arial" w:hAnsi="Arial" w:cs="Arial"/>
                <w:color w:val="000000"/>
                <w:sz w:val="20"/>
                <w:szCs w:val="20"/>
              </w:rPr>
            </w:pPr>
            <w:r w:rsidRPr="00577FAF">
              <w:rPr>
                <w:rFonts w:ascii="Arial" w:hAnsi="Arial" w:cs="Arial"/>
                <w:sz w:val="20"/>
                <w:szCs w:val="20"/>
              </w:rPr>
              <w:t>IOC/INF-1536</w:t>
            </w:r>
          </w:p>
        </w:tc>
        <w:tc>
          <w:tcPr>
            <w:tcW w:w="5103" w:type="dxa"/>
            <w:shd w:val="clear" w:color="auto" w:fill="auto"/>
            <w:tcMar>
              <w:top w:w="57" w:type="dxa"/>
              <w:bottom w:w="57" w:type="dxa"/>
            </w:tcMar>
          </w:tcPr>
          <w:p w14:paraId="352A2B68" w14:textId="77777777" w:rsidR="003A60E3" w:rsidRPr="00667A5C" w:rsidRDefault="00CB6A57">
            <w:pPr>
              <w:spacing w:after="60"/>
              <w:rPr>
                <w:rFonts w:ascii="Arial" w:hAnsi="Arial" w:cs="Arial"/>
                <w:color w:val="000000"/>
                <w:sz w:val="20"/>
                <w:szCs w:val="20"/>
                <w:lang w:val="en-US"/>
              </w:rPr>
            </w:pPr>
            <w:r w:rsidRPr="00667A5C">
              <w:rPr>
                <w:rFonts w:ascii="Arial" w:hAnsi="Arial" w:cs="Arial"/>
                <w:sz w:val="20"/>
                <w:szCs w:val="20"/>
                <w:lang w:val="en-US"/>
              </w:rPr>
              <w:t>Joint WMO-IOC Collaborative Board self-review of performance</w:t>
            </w:r>
          </w:p>
        </w:tc>
      </w:tr>
      <w:tr w:rsidR="003A60E3" w:rsidRPr="00577FAF" w14:paraId="6B35A4F0" w14:textId="77777777" w:rsidTr="007D0CB2">
        <w:tc>
          <w:tcPr>
            <w:tcW w:w="2334" w:type="dxa"/>
            <w:shd w:val="clear" w:color="auto" w:fill="D5DCE4"/>
            <w:tcMar>
              <w:top w:w="57" w:type="dxa"/>
              <w:bottom w:w="57" w:type="dxa"/>
            </w:tcMar>
          </w:tcPr>
          <w:p w14:paraId="20FEC4BF" w14:textId="77777777" w:rsidR="003A60E3" w:rsidRPr="00577FAF" w:rsidRDefault="00CB6A57">
            <w:pPr>
              <w:tabs>
                <w:tab w:val="left" w:pos="1132"/>
              </w:tabs>
              <w:rPr>
                <w:rFonts w:ascii="Arial" w:hAnsi="Arial" w:cs="Arial"/>
                <w:i/>
                <w:color w:val="000000"/>
                <w:sz w:val="20"/>
                <w:szCs w:val="20"/>
                <w:u w:val="single"/>
              </w:rPr>
            </w:pPr>
            <w:r w:rsidRPr="00577FAF">
              <w:rPr>
                <w:rFonts w:ascii="Arial" w:hAnsi="Arial" w:cs="Arial"/>
                <w:i/>
                <w:iCs/>
                <w:sz w:val="20"/>
                <w:szCs w:val="20"/>
                <w:u w:val="single"/>
              </w:rPr>
              <w:t>Referencia</w:t>
            </w:r>
          </w:p>
        </w:tc>
        <w:tc>
          <w:tcPr>
            <w:tcW w:w="2310" w:type="dxa"/>
            <w:shd w:val="clear" w:color="auto" w:fill="auto"/>
            <w:tcMar>
              <w:top w:w="57" w:type="dxa"/>
              <w:bottom w:w="57" w:type="dxa"/>
            </w:tcMar>
          </w:tcPr>
          <w:p w14:paraId="68CEA295" w14:textId="60466B87" w:rsidR="003A60E3" w:rsidRPr="00577FAF" w:rsidRDefault="00EA695A">
            <w:pPr>
              <w:rPr>
                <w:rFonts w:ascii="Arial" w:hAnsi="Arial" w:cs="Arial"/>
                <w:color w:val="000000"/>
                <w:sz w:val="20"/>
                <w:szCs w:val="20"/>
              </w:rPr>
            </w:pPr>
            <w:hyperlink r:id="rId19" w:history="1">
              <w:r w:rsidR="00CB6A57" w:rsidRPr="00577FAF">
                <w:rPr>
                  <w:rFonts w:ascii="Arial" w:hAnsi="Arial" w:cs="Arial"/>
                  <w:sz w:val="20"/>
                  <w:szCs w:val="20"/>
                  <w:u w:val="single"/>
                </w:rPr>
                <w:t>217 EX/4.I.</w:t>
              </w:r>
              <w:r w:rsidR="00DE1108" w:rsidRPr="00577FAF">
                <w:rPr>
                  <w:rFonts w:ascii="Arial" w:hAnsi="Arial" w:cs="Arial"/>
                  <w:sz w:val="20"/>
                  <w:szCs w:val="20"/>
                  <w:u w:val="single"/>
                </w:rPr>
                <w:t>D</w:t>
              </w:r>
            </w:hyperlink>
          </w:p>
        </w:tc>
        <w:tc>
          <w:tcPr>
            <w:tcW w:w="5103" w:type="dxa"/>
            <w:shd w:val="clear" w:color="auto" w:fill="auto"/>
            <w:tcMar>
              <w:top w:w="57" w:type="dxa"/>
              <w:bottom w:w="57" w:type="dxa"/>
            </w:tcMar>
          </w:tcPr>
          <w:p w14:paraId="5A402E1B" w14:textId="77777777" w:rsidR="003A60E3" w:rsidRPr="00577FAF" w:rsidRDefault="00CB6A57">
            <w:pPr>
              <w:spacing w:after="60"/>
              <w:rPr>
                <w:rFonts w:ascii="Arial" w:hAnsi="Arial" w:cs="Arial"/>
                <w:color w:val="000000"/>
                <w:sz w:val="20"/>
                <w:szCs w:val="20"/>
              </w:rPr>
            </w:pPr>
            <w:r w:rsidRPr="00577FAF">
              <w:rPr>
                <w:rFonts w:ascii="Arial" w:hAnsi="Arial" w:cs="Arial"/>
                <w:sz w:val="20"/>
                <w:szCs w:val="20"/>
              </w:rPr>
              <w:t>La UNESCO y el océano: aspectos destacados de la labor intersectorial realizada bajo los auspicios del Decenio de las Naciones Unidas de las Ciencias Oceánicas para el Desarrollo Sostenible</w:t>
            </w:r>
          </w:p>
        </w:tc>
      </w:tr>
    </w:tbl>
    <w:p w14:paraId="040570F2" w14:textId="77777777" w:rsidR="003A60E3" w:rsidRPr="00577FAF" w:rsidRDefault="003A60E3">
      <w:pPr>
        <w:rPr>
          <w:rFonts w:ascii="Arial" w:hAnsi="Arial" w:cs="Arial"/>
          <w:sz w:val="22"/>
          <w:szCs w:val="22"/>
        </w:rPr>
      </w:pPr>
      <w:bookmarkStart w:id="120" w:name="_Hlk101797503"/>
      <w:bookmarkStart w:id="121" w:name="_Hlk101797204"/>
    </w:p>
    <w:p w14:paraId="5FCA9ACD" w14:textId="77777777" w:rsidR="003A60E3" w:rsidRPr="00577FAF" w:rsidRDefault="00CB6A57">
      <w:pPr>
        <w:pStyle w:val="Style2"/>
        <w:numPr>
          <w:ilvl w:val="0"/>
          <w:numId w:val="7"/>
        </w:numPr>
        <w:tabs>
          <w:tab w:val="left" w:pos="709"/>
        </w:tabs>
        <w:spacing w:after="120"/>
        <w:ind w:left="0" w:hanging="709"/>
        <w:rPr>
          <w:rFonts w:cs="Arial"/>
        </w:rPr>
      </w:pPr>
      <w:r w:rsidRPr="00577FAF">
        <w:rPr>
          <w:rFonts w:cs="Arial"/>
        </w:rPr>
        <w:t>El Secretario Ejecutivo presentó este punto.</w:t>
      </w:r>
    </w:p>
    <w:p w14:paraId="7AA18EB9" w14:textId="77777777" w:rsidR="003A60E3" w:rsidRPr="00577FAF" w:rsidRDefault="00CB6A57">
      <w:pPr>
        <w:pStyle w:val="Style2"/>
        <w:numPr>
          <w:ilvl w:val="0"/>
          <w:numId w:val="7"/>
        </w:numPr>
        <w:tabs>
          <w:tab w:val="left" w:pos="709"/>
        </w:tabs>
        <w:ind w:left="0" w:hanging="709"/>
        <w:rPr>
          <w:rFonts w:cs="Arial"/>
        </w:rPr>
      </w:pPr>
      <w:r w:rsidRPr="00577FAF">
        <w:rPr>
          <w:rFonts w:cs="Arial"/>
        </w:rPr>
        <w:t>El Secretario Ejecutivo agradeció a los Estados Miembros la confianza depositada en él durante el proceso de nombramiento del año pasado y la calurosa acogida que le han dispensado, en particular a través de numerosos y amables mensajes de felicitación. Asimismo, expresó su reconocimiento por los enormes logros alcanzados por el limitado número de miembros del personal de la COI, y subrayó la importancia del funcionamiento en red de la Comisión y de la participación y colaboración activas de los Estados Miembros, tanto en la dimensión institucional como personal.</w:t>
      </w:r>
    </w:p>
    <w:p w14:paraId="22ED50C3" w14:textId="77777777" w:rsidR="003A60E3" w:rsidRPr="00577FAF" w:rsidRDefault="00CB6A57">
      <w:pPr>
        <w:pStyle w:val="Style2"/>
        <w:numPr>
          <w:ilvl w:val="0"/>
          <w:numId w:val="7"/>
        </w:numPr>
        <w:tabs>
          <w:tab w:val="left" w:pos="709"/>
        </w:tabs>
        <w:ind w:left="0" w:hanging="709"/>
        <w:rPr>
          <w:rFonts w:cs="Arial"/>
        </w:rPr>
      </w:pPr>
      <w:r w:rsidRPr="00577FAF">
        <w:rPr>
          <w:rFonts w:cs="Arial"/>
        </w:rPr>
        <w:t>Con el aumento del presupuesto para 2024-2025, aprobado gracias a la adhesión y el apoyo de los Estados Miembros de la COI, se intensifica la ejecución del programa en todas las funciones y la cadena de valor de la COI, prestando especial atención a las observaciones sostenidas a largo plazo y a la gestión de los datos y la información, así como a los órganos subsidiarios y las actividades regionales y al fortalecimiento de las capacidades de los Estados Miembros.</w:t>
      </w:r>
    </w:p>
    <w:p w14:paraId="053FFE91" w14:textId="77777777" w:rsidR="003A60E3" w:rsidRPr="00577FAF" w:rsidRDefault="00CB6A57">
      <w:pPr>
        <w:pStyle w:val="Style2"/>
        <w:numPr>
          <w:ilvl w:val="0"/>
          <w:numId w:val="7"/>
        </w:numPr>
        <w:tabs>
          <w:tab w:val="left" w:pos="709"/>
        </w:tabs>
        <w:ind w:left="0" w:hanging="709"/>
        <w:rPr>
          <w:rFonts w:cs="Arial"/>
        </w:rPr>
      </w:pPr>
      <w:r w:rsidRPr="00577FAF">
        <w:rPr>
          <w:rFonts w:cs="Arial"/>
        </w:rPr>
        <w:t>La Conferencia del Decenio del Océano de 2024, celebrada en Barcelona del 10 al 12 de abril, congregó a la comunidad mundial de la oceanografía para presentar los logros de los tres últimos años, hacer balance y conformar una visión colectiva de cara a 2030. El Secretario Ejecutivo elogió la labor de los copresidentes y miembros de los diez grupos de trabajo del proceso Visión 2030.</w:t>
      </w:r>
    </w:p>
    <w:p w14:paraId="0315BD39" w14:textId="77777777" w:rsidR="003A60E3" w:rsidRPr="00577FAF" w:rsidRDefault="00CB6A57">
      <w:pPr>
        <w:pStyle w:val="Style2"/>
        <w:numPr>
          <w:ilvl w:val="0"/>
          <w:numId w:val="7"/>
        </w:numPr>
        <w:tabs>
          <w:tab w:val="left" w:pos="709"/>
        </w:tabs>
        <w:ind w:left="0" w:hanging="709"/>
        <w:rPr>
          <w:rFonts w:cs="Arial"/>
        </w:rPr>
      </w:pPr>
      <w:r w:rsidRPr="00577FAF">
        <w:rPr>
          <w:rFonts w:cs="Arial"/>
        </w:rPr>
        <w:t>Estas nuevas orientaciones para el Decenio, además de suponer una importante contribución a la Conferencia de las Naciones Unidas sobre el Océano de 2025, que organizarán Francia y Costa Rica, pondrán de relieve los ámbitos en los que será necesario redoblar los esfuerzos nacionales e internacionales para alcanzar el ODS 14.</w:t>
      </w:r>
    </w:p>
    <w:p w14:paraId="7408DE30" w14:textId="77777777" w:rsidR="003A60E3" w:rsidRPr="00577FAF" w:rsidRDefault="00CB6A57">
      <w:pPr>
        <w:pStyle w:val="Style2"/>
        <w:numPr>
          <w:ilvl w:val="0"/>
          <w:numId w:val="7"/>
        </w:numPr>
        <w:tabs>
          <w:tab w:val="left" w:pos="709"/>
        </w:tabs>
        <w:ind w:left="0" w:hanging="709"/>
        <w:rPr>
          <w:rFonts w:cs="Arial"/>
        </w:rPr>
      </w:pPr>
      <w:r w:rsidRPr="00577FAF">
        <w:rPr>
          <w:rFonts w:cs="Arial"/>
        </w:rPr>
        <w:t xml:space="preserve">Sin menoscabar la importancia de las numerosas conferencias internacionales que se están celebrando en relación con el océano, el Secretario Ejecutivo hizo hincapié en la necesidad de una actuación más rigurosa y basada en el conocimiento a escala nacional para hacer frente y responder </w:t>
      </w:r>
      <w:r w:rsidRPr="00577FAF">
        <w:rPr>
          <w:rFonts w:cs="Arial"/>
        </w:rPr>
        <w:lastRenderedPageBreak/>
        <w:t>a los drásticos cambios que se están produciendo actualmente en el océano, que acarrean consecuencias graves, y también inciertas, para nuestro océano, el planeta y la humanidad.</w:t>
      </w:r>
    </w:p>
    <w:p w14:paraId="1340D745" w14:textId="77777777" w:rsidR="003A60E3" w:rsidRPr="00577FAF" w:rsidRDefault="00CB6A57">
      <w:pPr>
        <w:pStyle w:val="Style2"/>
        <w:numPr>
          <w:ilvl w:val="0"/>
          <w:numId w:val="7"/>
        </w:numPr>
        <w:tabs>
          <w:tab w:val="left" w:pos="709"/>
        </w:tabs>
        <w:ind w:left="0" w:hanging="709"/>
        <w:rPr>
          <w:rFonts w:cs="Arial"/>
        </w:rPr>
      </w:pPr>
      <w:r w:rsidRPr="00577FAF">
        <w:rPr>
          <w:rFonts w:cs="Arial"/>
        </w:rPr>
        <w:t>Refiriéndose a la decisión A-32/5 de la Asamblea de la COI (2023), el Secretario Ejecutivo invitó a los Estados Miembros a poner en marcha el nuevo proceso de consulta sobre la COI y el futuro del océano.</w:t>
      </w:r>
      <w:r w:rsidR="004C1803" w:rsidRPr="00577FAF">
        <w:rPr>
          <w:rFonts w:cs="Arial"/>
        </w:rPr>
        <w:t xml:space="preserve"> </w:t>
      </w:r>
      <w:r w:rsidRPr="00577FAF">
        <w:rPr>
          <w:rFonts w:cs="Arial"/>
        </w:rPr>
        <w:t xml:space="preserve">En el contexto de los profundos cambios que se están produciendo en el océano y de la creciente atención que se le presta en todo el mundo, la decisión de la Asamblea se centra en la forma en que la COI, en el marco de su finalidad, definida en sus Estatutos, podría facilitar de manera óptima las actividades de los Estados Miembros y otras partes interesadas en lo que respecta a la planificación </w:t>
      </w:r>
      <w:r w:rsidR="00BC13C2" w:rsidRPr="00577FAF">
        <w:rPr>
          <w:rFonts w:cs="Arial"/>
        </w:rPr>
        <w:t>oceánica</w:t>
      </w:r>
      <w:r w:rsidRPr="00577FAF">
        <w:rPr>
          <w:rFonts w:cs="Arial"/>
        </w:rPr>
        <w:t xml:space="preserve"> sostenible y basada en la ciencia, la contribución de las ciencias oceánicas a la aplicación de las convenciones y los marcos de las Naciones Unidas en materia de medio ambiente y el desarrollo de una economía oceánica sostenible. La consulta se llevará a cabo por etapas, de modo que se proporcionen orientaciones para el próximo programa cuatrienal de la COI (2026-2029) y, posteriormente, para sentar las bases de nuestra próxima Estrategia a Plazo Medio (a partir de 2030).</w:t>
      </w:r>
    </w:p>
    <w:tbl>
      <w:tblPr>
        <w:tblW w:w="0" w:type="auto"/>
        <w:shd w:val="clear" w:color="auto" w:fill="CCFFCC"/>
        <w:tblLayout w:type="fixed"/>
        <w:tblCellMar>
          <w:top w:w="113" w:type="dxa"/>
          <w:bottom w:w="113" w:type="dxa"/>
        </w:tblCellMar>
        <w:tblLook w:val="0000" w:firstRow="0" w:lastRow="0" w:firstColumn="0" w:lastColumn="0" w:noHBand="0" w:noVBand="0"/>
      </w:tblPr>
      <w:tblGrid>
        <w:gridCol w:w="9747"/>
      </w:tblGrid>
      <w:tr w:rsidR="003A60E3" w:rsidRPr="00577FAF" w14:paraId="571ABBC8" w14:textId="77777777">
        <w:trPr>
          <w:trHeight w:val="604"/>
        </w:trPr>
        <w:tc>
          <w:tcPr>
            <w:tcW w:w="9747" w:type="dxa"/>
            <w:shd w:val="clear" w:color="auto" w:fill="CCFFCC"/>
            <w:tcMar>
              <w:top w:w="113" w:type="dxa"/>
              <w:bottom w:w="113" w:type="dxa"/>
            </w:tcMar>
          </w:tcPr>
          <w:p w14:paraId="398F37FA" w14:textId="77777777" w:rsidR="003A60E3" w:rsidRPr="00577FAF" w:rsidRDefault="00CB6A57">
            <w:pPr>
              <w:spacing w:after="120"/>
              <w:jc w:val="both"/>
              <w:rPr>
                <w:rFonts w:ascii="Arial" w:hAnsi="Arial" w:cs="Arial"/>
                <w:bCs/>
                <w:iCs/>
                <w:sz w:val="22"/>
                <w:szCs w:val="22"/>
                <w:u w:val="single"/>
              </w:rPr>
            </w:pPr>
            <w:bookmarkStart w:id="122" w:name="_Hlk85467353"/>
            <w:bookmarkEnd w:id="120"/>
            <w:r w:rsidRPr="00577FAF">
              <w:rPr>
                <w:rFonts w:ascii="Arial" w:hAnsi="Arial" w:cs="Arial"/>
                <w:sz w:val="22"/>
                <w:szCs w:val="22"/>
                <w:u w:val="single"/>
              </w:rPr>
              <w:t>Decisión EC-57/3.1</w:t>
            </w:r>
          </w:p>
          <w:p w14:paraId="4663375B" w14:textId="77777777" w:rsidR="003A60E3" w:rsidRPr="00577FAF" w:rsidRDefault="00CB6A57">
            <w:pPr>
              <w:spacing w:after="240"/>
              <w:ind w:left="709" w:hanging="709"/>
              <w:jc w:val="center"/>
              <w:rPr>
                <w:rFonts w:ascii="Arial" w:hAnsi="Arial" w:cs="Arial"/>
                <w:b/>
                <w:bCs/>
                <w:iCs/>
                <w:sz w:val="22"/>
                <w:szCs w:val="22"/>
              </w:rPr>
            </w:pPr>
            <w:r w:rsidRPr="00577FAF">
              <w:rPr>
                <w:rFonts w:ascii="Arial" w:hAnsi="Arial" w:cs="Arial"/>
                <w:b/>
                <w:bCs/>
                <w:sz w:val="22"/>
                <w:szCs w:val="22"/>
              </w:rPr>
              <w:t>Informe del Secretario Ejecutivo</w:t>
            </w:r>
          </w:p>
          <w:p w14:paraId="674F671D" w14:textId="77777777" w:rsidR="003A60E3" w:rsidRPr="00577FAF" w:rsidRDefault="00CB6A57">
            <w:pPr>
              <w:spacing w:after="120"/>
              <w:ind w:left="709" w:hanging="709"/>
              <w:rPr>
                <w:rFonts w:ascii="Arial" w:hAnsi="Arial" w:cs="Arial"/>
                <w:b/>
                <w:bCs/>
                <w:iCs/>
                <w:sz w:val="22"/>
                <w:szCs w:val="22"/>
              </w:rPr>
            </w:pPr>
            <w:r w:rsidRPr="00577FAF">
              <w:rPr>
                <w:rFonts w:ascii="Arial" w:hAnsi="Arial" w:cs="Arial"/>
                <w:sz w:val="22"/>
                <w:szCs w:val="22"/>
              </w:rPr>
              <w:t>El Consejo Ejecutivo,</w:t>
            </w:r>
          </w:p>
          <w:p w14:paraId="6C33A131" w14:textId="381E6478" w:rsidR="003A60E3" w:rsidRPr="00577FAF" w:rsidRDefault="00CB6A57" w:rsidP="006B65EB">
            <w:pPr>
              <w:numPr>
                <w:ilvl w:val="0"/>
                <w:numId w:val="13"/>
              </w:numPr>
              <w:spacing w:after="240"/>
              <w:ind w:left="567" w:hanging="567"/>
              <w:jc w:val="both"/>
              <w:rPr>
                <w:rFonts w:ascii="Arial" w:hAnsi="Arial" w:cs="Arial"/>
                <w:color w:val="000000"/>
                <w:sz w:val="22"/>
                <w:szCs w:val="22"/>
              </w:rPr>
            </w:pPr>
            <w:r w:rsidRPr="00577FAF">
              <w:rPr>
                <w:rFonts w:ascii="Arial" w:hAnsi="Arial" w:cs="Arial"/>
                <w:sz w:val="22"/>
                <w:szCs w:val="22"/>
                <w:u w:val="single"/>
              </w:rPr>
              <w:t>Habiendo examinado</w:t>
            </w:r>
            <w:r w:rsidRPr="00577FAF">
              <w:rPr>
                <w:rFonts w:ascii="Arial" w:hAnsi="Arial" w:cs="Arial"/>
                <w:sz w:val="22"/>
                <w:szCs w:val="22"/>
              </w:rPr>
              <w:t xml:space="preserve"> los documentos IOC/EC-57/3.1.Doc(1), IOC/EC-57/3.1.Doc(2) </w:t>
            </w:r>
            <w:r w:rsidR="001F0620" w:rsidRPr="00577FAF">
              <w:rPr>
                <w:rFonts w:ascii="Arial" w:hAnsi="Arial" w:cs="Arial"/>
                <w:sz w:val="22"/>
                <w:szCs w:val="22"/>
              </w:rPr>
              <w:br/>
            </w:r>
            <w:r w:rsidRPr="00577FAF">
              <w:rPr>
                <w:rFonts w:ascii="Arial" w:hAnsi="Arial" w:cs="Arial"/>
                <w:sz w:val="22"/>
                <w:szCs w:val="22"/>
              </w:rPr>
              <w:t>y IOC/EC-57/3.1.Doc(3),</w:t>
            </w:r>
          </w:p>
          <w:p w14:paraId="13BBD6F4" w14:textId="77777777" w:rsidR="003A60E3" w:rsidRPr="00577FAF" w:rsidRDefault="00CB6A57" w:rsidP="006B65EB">
            <w:pPr>
              <w:numPr>
                <w:ilvl w:val="0"/>
                <w:numId w:val="13"/>
              </w:numPr>
              <w:spacing w:after="240"/>
              <w:ind w:left="567" w:hanging="567"/>
              <w:jc w:val="both"/>
              <w:rPr>
                <w:rFonts w:ascii="Arial" w:hAnsi="Arial" w:cs="Arial"/>
                <w:color w:val="000000"/>
                <w:sz w:val="22"/>
                <w:szCs w:val="22"/>
              </w:rPr>
            </w:pPr>
            <w:r w:rsidRPr="00577FAF">
              <w:rPr>
                <w:rFonts w:ascii="Arial" w:hAnsi="Arial" w:cs="Arial"/>
                <w:sz w:val="22"/>
                <w:szCs w:val="22"/>
                <w:u w:val="single"/>
              </w:rPr>
              <w:t>Agradece</w:t>
            </w:r>
            <w:r w:rsidRPr="00577FAF">
              <w:rPr>
                <w:rFonts w:ascii="Arial" w:hAnsi="Arial" w:cs="Arial"/>
                <w:sz w:val="22"/>
                <w:szCs w:val="22"/>
              </w:rPr>
              <w:t xml:space="preserve"> al Secretario Ejecutivo este exhaustivo informe;</w:t>
            </w:r>
          </w:p>
          <w:p w14:paraId="283215C0" w14:textId="77777777" w:rsidR="004C1803" w:rsidRPr="00577FAF" w:rsidRDefault="00CB6A57" w:rsidP="006B65EB">
            <w:pPr>
              <w:numPr>
                <w:ilvl w:val="0"/>
                <w:numId w:val="13"/>
              </w:numPr>
              <w:spacing w:after="240"/>
              <w:ind w:left="567" w:hanging="567"/>
              <w:jc w:val="both"/>
              <w:rPr>
                <w:rFonts w:ascii="Arial" w:hAnsi="Arial" w:cs="Arial"/>
                <w:sz w:val="22"/>
                <w:szCs w:val="22"/>
              </w:rPr>
            </w:pPr>
            <w:r w:rsidRPr="00577FAF">
              <w:rPr>
                <w:rFonts w:ascii="Arial" w:hAnsi="Arial" w:cs="Arial"/>
                <w:sz w:val="22"/>
                <w:szCs w:val="22"/>
                <w:u w:val="single"/>
              </w:rPr>
              <w:t>Toma nota</w:t>
            </w:r>
            <w:r w:rsidRPr="00577FAF">
              <w:rPr>
                <w:rFonts w:ascii="Arial" w:hAnsi="Arial" w:cs="Arial"/>
                <w:sz w:val="22"/>
                <w:szCs w:val="22"/>
              </w:rPr>
              <w:t xml:space="preserve"> de la información proporcionada, acogiendo con beneplácito los importantes avances logrados en muchos ámbitos programáticos;</w:t>
            </w:r>
          </w:p>
          <w:p w14:paraId="247928B0" w14:textId="77777777" w:rsidR="003A60E3" w:rsidRPr="00577FAF" w:rsidRDefault="00CB6A57" w:rsidP="006B65EB">
            <w:pPr>
              <w:numPr>
                <w:ilvl w:val="0"/>
                <w:numId w:val="13"/>
              </w:numPr>
              <w:spacing w:after="240"/>
              <w:ind w:left="567" w:hanging="567"/>
              <w:jc w:val="both"/>
              <w:rPr>
                <w:rFonts w:ascii="Arial" w:hAnsi="Arial" w:cs="Arial"/>
                <w:color w:val="000000"/>
                <w:sz w:val="22"/>
                <w:szCs w:val="22"/>
              </w:rPr>
            </w:pPr>
            <w:r w:rsidRPr="00577FAF">
              <w:rPr>
                <w:rFonts w:ascii="Arial" w:hAnsi="Arial" w:cs="Arial"/>
                <w:sz w:val="22"/>
                <w:szCs w:val="22"/>
                <w:u w:val="single"/>
              </w:rPr>
              <w:t>Invita</w:t>
            </w:r>
            <w:r w:rsidRPr="00577FAF">
              <w:rPr>
                <w:rFonts w:ascii="Arial" w:hAnsi="Arial" w:cs="Arial"/>
                <w:sz w:val="22"/>
                <w:szCs w:val="22"/>
              </w:rPr>
              <w:t xml:space="preserve"> al Secretario Ejecutivo a que prosiga el proceso de consulta “La COI y el futuro del océano: ejecución sostenible y ampliación de las actividades de la COI” tal como se expone en el documento IOC/EC-57/3.1.Doc(4) y teniendo en cuenta los debates y las orientaciones de los Estados Miembros al respecto.</w:t>
            </w:r>
          </w:p>
        </w:tc>
      </w:tr>
      <w:bookmarkEnd w:id="121"/>
      <w:bookmarkEnd w:id="122"/>
    </w:tbl>
    <w:p w14:paraId="37A2CB50" w14:textId="77777777" w:rsidR="003A60E3" w:rsidRPr="00577FAF" w:rsidRDefault="003A60E3">
      <w:pPr>
        <w:rPr>
          <w:rFonts w:ascii="Arial" w:hAnsi="Arial" w:cs="Arial"/>
          <w:sz w:val="22"/>
          <w:szCs w:val="22"/>
        </w:rPr>
      </w:pPr>
    </w:p>
    <w:p w14:paraId="7B5E85DD" w14:textId="77777777" w:rsidR="003A60E3" w:rsidRPr="00577FAF" w:rsidRDefault="00CB6A57">
      <w:pPr>
        <w:pStyle w:val="Style2"/>
        <w:numPr>
          <w:ilvl w:val="0"/>
          <w:numId w:val="7"/>
        </w:numPr>
        <w:tabs>
          <w:tab w:val="left" w:pos="714"/>
        </w:tabs>
        <w:ind w:left="0" w:hanging="686"/>
        <w:rPr>
          <w:rFonts w:cs="Arial"/>
        </w:rPr>
      </w:pPr>
      <w:r w:rsidRPr="00577FAF">
        <w:rPr>
          <w:rFonts w:cs="Aria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74426C43" w14:textId="77777777" w:rsidR="003A60E3" w:rsidRPr="00577FAF" w:rsidRDefault="00CB6A57">
      <w:pPr>
        <w:pStyle w:val="Heading2"/>
        <w:tabs>
          <w:tab w:val="clear" w:pos="737"/>
        </w:tabs>
        <w:ind w:left="709" w:hanging="709"/>
        <w:rPr>
          <w:rFonts w:cs="Arial"/>
          <w:szCs w:val="22"/>
        </w:rPr>
      </w:pPr>
      <w:bookmarkStart w:id="123" w:name="_Toc85469063"/>
      <w:bookmarkStart w:id="124" w:name="_Toc92752494"/>
      <w:bookmarkStart w:id="125" w:name="_Toc168933422"/>
      <w:bookmarkStart w:id="126" w:name="_Toc38080253"/>
      <w:bookmarkStart w:id="127" w:name="_Toc100506265"/>
      <w:bookmarkStart w:id="128" w:name="_Toc135143714"/>
      <w:bookmarkStart w:id="129" w:name="_Toc164651235"/>
      <w:bookmarkStart w:id="130" w:name="_Toc199912196"/>
      <w:bookmarkStart w:id="131" w:name="_Toc225590804"/>
      <w:bookmarkStart w:id="132" w:name="_Toc225660265"/>
      <w:r w:rsidRPr="00577FAF">
        <w:rPr>
          <w:rFonts w:cs="Arial"/>
          <w:szCs w:val="22"/>
        </w:rPr>
        <w:t>3.2</w:t>
      </w:r>
      <w:r w:rsidRPr="00577FAF">
        <w:rPr>
          <w:rFonts w:cs="Arial"/>
          <w:szCs w:val="22"/>
        </w:rPr>
        <w:tab/>
        <w:t>INFORMES DE LOS ÓRGANOS SUBSIDIARIOS DE LA COI [artículo 30.3 del Reglamento]</w:t>
      </w:r>
      <w:bookmarkEnd w:id="123"/>
      <w:bookmarkEnd w:id="124"/>
      <w:bookmarkEnd w:id="125"/>
    </w:p>
    <w:p w14:paraId="334045A5" w14:textId="30D7EDBA" w:rsidR="003A60E3" w:rsidRPr="00577FAF" w:rsidRDefault="00CB6A57" w:rsidP="00642818">
      <w:pPr>
        <w:pStyle w:val="Heading3"/>
      </w:pPr>
      <w:bookmarkStart w:id="133" w:name="_Toc85469064"/>
      <w:bookmarkStart w:id="134" w:name="_Toc92752495"/>
      <w:bookmarkStart w:id="135" w:name="_Toc168933423"/>
      <w:r w:rsidRPr="00577FAF">
        <w:t>3.2.1</w:t>
      </w:r>
      <w:r w:rsidRPr="00577FAF">
        <w:tab/>
        <w:t>Sistemas de alerta contra los peligros oceánicos y atenuación de sus efectos</w:t>
      </w:r>
      <w:bookmarkEnd w:id="133"/>
      <w:bookmarkEnd w:id="134"/>
      <w:bookmarkEnd w:id="135"/>
    </w:p>
    <w:p w14:paraId="43BC95CB" w14:textId="77777777" w:rsidR="003A60E3" w:rsidRPr="00577FAF" w:rsidRDefault="00CB6A57" w:rsidP="00642818">
      <w:pPr>
        <w:pStyle w:val="Heading4"/>
      </w:pPr>
      <w:bookmarkStart w:id="136" w:name="_Toc85469065"/>
      <w:bookmarkStart w:id="137" w:name="_Toc92752496"/>
      <w:bookmarkStart w:id="138" w:name="_Toc168933424"/>
      <w:r w:rsidRPr="00577FAF">
        <w:t>3.2.1.1</w:t>
      </w:r>
      <w:r w:rsidRPr="00577FAF">
        <w:tab/>
        <w:t>Servicios regionales de alerta temprana</w:t>
      </w:r>
      <w:bookmarkEnd w:id="136"/>
      <w:bookmarkEnd w:id="137"/>
      <w:bookmarkEnd w:id="138"/>
    </w:p>
    <w:tbl>
      <w:tblPr>
        <w:tblW w:w="9762" w:type="dxa"/>
        <w:tblLayout w:type="fixed"/>
        <w:tblLook w:val="0000" w:firstRow="0" w:lastRow="0" w:firstColumn="0" w:lastColumn="0" w:noHBand="0" w:noVBand="0"/>
      </w:tblPr>
      <w:tblGrid>
        <w:gridCol w:w="2235"/>
        <w:gridCol w:w="2868"/>
        <w:gridCol w:w="4659"/>
      </w:tblGrid>
      <w:tr w:rsidR="003A60E3" w:rsidRPr="00EA695A" w14:paraId="62FB0C2E" w14:textId="77777777" w:rsidTr="006B65EB">
        <w:tc>
          <w:tcPr>
            <w:tcW w:w="2235" w:type="dxa"/>
            <w:shd w:val="clear" w:color="auto" w:fill="E2EFD9"/>
            <w:tcMar>
              <w:top w:w="57" w:type="dxa"/>
              <w:bottom w:w="57" w:type="dxa"/>
            </w:tcMar>
          </w:tcPr>
          <w:p w14:paraId="34CB7832" w14:textId="77777777" w:rsidR="003A60E3" w:rsidRPr="00577FAF" w:rsidRDefault="00CB6A57">
            <w:pPr>
              <w:tabs>
                <w:tab w:val="left" w:pos="1132"/>
              </w:tabs>
              <w:rPr>
                <w:rFonts w:ascii="Arial" w:hAnsi="Arial" w:cs="Arial"/>
                <w:i/>
                <w:color w:val="000000"/>
                <w:sz w:val="20"/>
                <w:szCs w:val="20"/>
                <w:u w:val="single"/>
              </w:rPr>
            </w:pPr>
            <w:r w:rsidRPr="00577FAF">
              <w:rPr>
                <w:rFonts w:ascii="Arial" w:hAnsi="Arial" w:cs="Arial"/>
                <w:i/>
                <w:iCs/>
                <w:sz w:val="20"/>
                <w:szCs w:val="20"/>
                <w:u w:val="single"/>
              </w:rPr>
              <w:t>Informes</w:t>
            </w:r>
          </w:p>
        </w:tc>
        <w:tc>
          <w:tcPr>
            <w:tcW w:w="2868" w:type="dxa"/>
            <w:shd w:val="clear" w:color="auto" w:fill="auto"/>
            <w:tcMar>
              <w:top w:w="57" w:type="dxa"/>
              <w:bottom w:w="57" w:type="dxa"/>
            </w:tcMar>
          </w:tcPr>
          <w:p w14:paraId="7CCEDBC5" w14:textId="08286EF5" w:rsidR="003A60E3" w:rsidRPr="00667A5C" w:rsidRDefault="00CB6A57">
            <w:pPr>
              <w:rPr>
                <w:rFonts w:ascii="Arial" w:hAnsi="Arial" w:cs="Arial"/>
                <w:color w:val="000000"/>
                <w:sz w:val="20"/>
                <w:szCs w:val="20"/>
                <w:lang w:val="en-US"/>
              </w:rPr>
            </w:pPr>
            <w:r w:rsidRPr="00667A5C">
              <w:rPr>
                <w:rFonts w:ascii="Arial" w:hAnsi="Arial" w:cs="Arial"/>
                <w:sz w:val="20"/>
                <w:szCs w:val="20"/>
                <w:lang w:val="en-US"/>
              </w:rPr>
              <w:t>IOC/ICG-CARIBE EWS</w:t>
            </w:r>
            <w:r w:rsidR="00E60DAE" w:rsidRPr="00667A5C">
              <w:rPr>
                <w:rFonts w:ascii="Arial" w:hAnsi="Arial" w:cs="Arial"/>
                <w:sz w:val="20"/>
                <w:szCs w:val="20"/>
                <w:lang w:val="en-US"/>
              </w:rPr>
              <w:noBreakHyphen/>
            </w:r>
            <w:r w:rsidRPr="00667A5C">
              <w:rPr>
                <w:rFonts w:ascii="Arial" w:hAnsi="Arial" w:cs="Arial"/>
                <w:sz w:val="20"/>
                <w:szCs w:val="20"/>
                <w:lang w:val="en-US"/>
              </w:rPr>
              <w:t xml:space="preserve">XVII/3s </w:t>
            </w:r>
          </w:p>
        </w:tc>
        <w:tc>
          <w:tcPr>
            <w:tcW w:w="4659" w:type="dxa"/>
            <w:shd w:val="clear" w:color="auto" w:fill="auto"/>
            <w:tcMar>
              <w:top w:w="57" w:type="dxa"/>
              <w:bottom w:w="57" w:type="dxa"/>
            </w:tcMar>
          </w:tcPr>
          <w:p w14:paraId="26D20AF4" w14:textId="48967539" w:rsidR="003A60E3" w:rsidRPr="00667A5C" w:rsidRDefault="00DE1108">
            <w:pPr>
              <w:spacing w:after="60"/>
              <w:rPr>
                <w:rFonts w:ascii="Arial" w:hAnsi="Arial" w:cs="Arial"/>
                <w:color w:val="000000"/>
                <w:sz w:val="20"/>
                <w:szCs w:val="20"/>
                <w:lang w:val="en-US"/>
              </w:rPr>
            </w:pPr>
            <w:r w:rsidRPr="00667A5C">
              <w:rPr>
                <w:rFonts w:ascii="Arial" w:hAnsi="Arial" w:cs="Arial"/>
                <w:color w:val="000000"/>
                <w:sz w:val="20"/>
                <w:szCs w:val="20"/>
                <w:lang w:val="en-US"/>
              </w:rPr>
              <w:t xml:space="preserve">Executive </w:t>
            </w:r>
            <w:r w:rsidR="00CB6A57" w:rsidRPr="00667A5C">
              <w:rPr>
                <w:rFonts w:ascii="Arial" w:hAnsi="Arial" w:cs="Arial"/>
                <w:sz w:val="20"/>
                <w:szCs w:val="20"/>
                <w:lang w:val="en-US"/>
              </w:rPr>
              <w:t xml:space="preserve">Summary Report of the </w:t>
            </w:r>
            <w:r w:rsidRPr="00667A5C">
              <w:rPr>
                <w:rFonts w:ascii="Arial" w:hAnsi="Arial" w:cs="Arial"/>
                <w:color w:val="000000"/>
                <w:sz w:val="20"/>
                <w:szCs w:val="20"/>
                <w:lang w:val="en-US"/>
              </w:rPr>
              <w:t>Seventeenth</w:t>
            </w:r>
            <w:r w:rsidR="00CB6A57" w:rsidRPr="00667A5C">
              <w:rPr>
                <w:rFonts w:ascii="Arial" w:hAnsi="Arial" w:cs="Arial"/>
                <w:sz w:val="20"/>
                <w:szCs w:val="20"/>
                <w:lang w:val="en-US"/>
              </w:rPr>
              <w:t xml:space="preserve"> Session of the Intergovernmental Coordination Group for the Tsunami and Other Coastal Hazards Warning System for the Caribbean and Adjacent Regions (ICG/CARIBE-EWS), 6–9 May 2024, Managua, Nicaragua</w:t>
            </w:r>
          </w:p>
        </w:tc>
      </w:tr>
      <w:tr w:rsidR="003A60E3" w:rsidRPr="00EA695A" w14:paraId="2BAB9EA4" w14:textId="77777777" w:rsidTr="006B65EB">
        <w:trPr>
          <w:cantSplit/>
        </w:trPr>
        <w:tc>
          <w:tcPr>
            <w:tcW w:w="2235" w:type="dxa"/>
            <w:shd w:val="clear" w:color="auto" w:fill="E2EFD9"/>
            <w:tcMar>
              <w:top w:w="57" w:type="dxa"/>
              <w:bottom w:w="57" w:type="dxa"/>
            </w:tcMar>
          </w:tcPr>
          <w:p w14:paraId="540F1CDF" w14:textId="77777777" w:rsidR="003A60E3" w:rsidRPr="00667A5C" w:rsidRDefault="003A60E3">
            <w:pPr>
              <w:tabs>
                <w:tab w:val="left" w:pos="1132"/>
              </w:tabs>
              <w:rPr>
                <w:rFonts w:ascii="Arial" w:hAnsi="Arial" w:cs="Arial"/>
                <w:i/>
                <w:color w:val="000000"/>
                <w:sz w:val="20"/>
                <w:szCs w:val="20"/>
                <w:u w:val="single"/>
                <w:lang w:val="en-US"/>
              </w:rPr>
            </w:pPr>
          </w:p>
        </w:tc>
        <w:tc>
          <w:tcPr>
            <w:tcW w:w="2868" w:type="dxa"/>
            <w:shd w:val="clear" w:color="auto" w:fill="auto"/>
            <w:tcMar>
              <w:top w:w="57" w:type="dxa"/>
              <w:bottom w:w="57" w:type="dxa"/>
            </w:tcMar>
          </w:tcPr>
          <w:p w14:paraId="62D380E2" w14:textId="508F1934" w:rsidR="003A60E3" w:rsidRPr="00667A5C" w:rsidRDefault="00CB6A57">
            <w:pPr>
              <w:rPr>
                <w:rFonts w:ascii="Arial" w:hAnsi="Arial" w:cs="Arial"/>
                <w:sz w:val="20"/>
                <w:szCs w:val="20"/>
                <w:lang w:val="en-US"/>
              </w:rPr>
            </w:pPr>
            <w:r w:rsidRPr="00667A5C">
              <w:rPr>
                <w:rFonts w:ascii="Arial" w:hAnsi="Arial" w:cs="Arial"/>
                <w:sz w:val="20"/>
                <w:szCs w:val="20"/>
                <w:lang w:val="en-US"/>
              </w:rPr>
              <w:t>IOC/ICG</w:t>
            </w:r>
            <w:r w:rsidR="00DE1108" w:rsidRPr="00667A5C">
              <w:rPr>
                <w:rFonts w:ascii="Arial" w:hAnsi="Arial" w:cs="Arial"/>
                <w:sz w:val="20"/>
                <w:szCs w:val="20"/>
                <w:lang w:val="en-US"/>
              </w:rPr>
              <w:t>/</w:t>
            </w:r>
            <w:r w:rsidRPr="00667A5C">
              <w:rPr>
                <w:rFonts w:ascii="Arial" w:hAnsi="Arial" w:cs="Arial"/>
                <w:sz w:val="20"/>
                <w:szCs w:val="20"/>
                <w:lang w:val="en-US"/>
              </w:rPr>
              <w:t>NEAMTWS</w:t>
            </w:r>
            <w:r w:rsidR="001F0620" w:rsidRPr="00667A5C">
              <w:rPr>
                <w:rFonts w:ascii="Arial" w:hAnsi="Arial" w:cs="Arial"/>
                <w:sz w:val="20"/>
                <w:szCs w:val="20"/>
                <w:lang w:val="en-US"/>
              </w:rPr>
              <w:noBreakHyphen/>
            </w:r>
            <w:r w:rsidRPr="00667A5C">
              <w:rPr>
                <w:rFonts w:ascii="Arial" w:hAnsi="Arial" w:cs="Arial"/>
                <w:sz w:val="20"/>
                <w:szCs w:val="20"/>
                <w:lang w:val="en-US"/>
              </w:rPr>
              <w:t>XV</w:t>
            </w:r>
            <w:r w:rsidR="006B65EB" w:rsidRPr="00667A5C">
              <w:rPr>
                <w:rFonts w:ascii="Arial" w:hAnsi="Arial" w:cs="Arial"/>
                <w:sz w:val="20"/>
                <w:szCs w:val="20"/>
                <w:lang w:val="en-US"/>
              </w:rPr>
              <w:t>/</w:t>
            </w:r>
            <w:r w:rsidRPr="00667A5C">
              <w:rPr>
                <w:rFonts w:ascii="Arial" w:hAnsi="Arial" w:cs="Arial"/>
                <w:sz w:val="20"/>
                <w:szCs w:val="20"/>
                <w:lang w:val="en-US"/>
              </w:rPr>
              <w:t>III/3</w:t>
            </w:r>
          </w:p>
        </w:tc>
        <w:tc>
          <w:tcPr>
            <w:tcW w:w="4659" w:type="dxa"/>
            <w:shd w:val="clear" w:color="auto" w:fill="auto"/>
            <w:tcMar>
              <w:top w:w="57" w:type="dxa"/>
              <w:bottom w:w="57" w:type="dxa"/>
            </w:tcMar>
          </w:tcPr>
          <w:p w14:paraId="67045130" w14:textId="7A875172" w:rsidR="003A60E3" w:rsidRPr="00667A5C" w:rsidRDefault="00CB6A57">
            <w:pPr>
              <w:spacing w:after="60"/>
              <w:rPr>
                <w:rFonts w:ascii="Arial" w:hAnsi="Arial" w:cs="Arial"/>
                <w:color w:val="000000"/>
                <w:sz w:val="20"/>
                <w:szCs w:val="20"/>
                <w:lang w:val="en-US"/>
              </w:rPr>
            </w:pPr>
            <w:r w:rsidRPr="00667A5C">
              <w:rPr>
                <w:rFonts w:ascii="Arial" w:hAnsi="Arial" w:cs="Arial"/>
                <w:sz w:val="20"/>
                <w:szCs w:val="20"/>
                <w:lang w:val="en-US"/>
              </w:rPr>
              <w:t>Summary Report of the Eighteenth Session of the Intergovernmental Coordination Group for the Tsunami Early Warning and Mitigation System in the North</w:t>
            </w:r>
            <w:r w:rsidR="00B8699D" w:rsidRPr="00667A5C">
              <w:rPr>
                <w:rFonts w:ascii="Arial" w:hAnsi="Arial" w:cs="Arial"/>
                <w:sz w:val="20"/>
                <w:szCs w:val="20"/>
                <w:lang w:val="en-US"/>
              </w:rPr>
              <w:noBreakHyphen/>
            </w:r>
            <w:r w:rsidRPr="00667A5C">
              <w:rPr>
                <w:rFonts w:ascii="Arial" w:hAnsi="Arial" w:cs="Arial"/>
                <w:sz w:val="20"/>
                <w:szCs w:val="20"/>
                <w:lang w:val="en-US"/>
              </w:rPr>
              <w:t>eastern Atlantic, the Mediterranean and Connected Seas (ICG/NEAMTWS-XVIII), 6–8 February 2024, UNESCO Headquarters, Paris</w:t>
            </w:r>
          </w:p>
        </w:tc>
      </w:tr>
      <w:tr w:rsidR="003A60E3" w:rsidRPr="00EA695A" w14:paraId="5AC7AE75" w14:textId="77777777" w:rsidTr="006B65EB">
        <w:tc>
          <w:tcPr>
            <w:tcW w:w="2235" w:type="dxa"/>
            <w:shd w:val="clear" w:color="auto" w:fill="E2EFD9"/>
            <w:tcMar>
              <w:top w:w="57" w:type="dxa"/>
              <w:bottom w:w="57" w:type="dxa"/>
            </w:tcMar>
          </w:tcPr>
          <w:p w14:paraId="71F1CB3F" w14:textId="77777777" w:rsidR="003A60E3" w:rsidRPr="00667A5C" w:rsidRDefault="003A60E3">
            <w:pPr>
              <w:tabs>
                <w:tab w:val="left" w:pos="1132"/>
              </w:tabs>
              <w:rPr>
                <w:rFonts w:ascii="Arial" w:hAnsi="Arial" w:cs="Arial"/>
                <w:i/>
                <w:color w:val="000000"/>
                <w:sz w:val="20"/>
                <w:szCs w:val="20"/>
                <w:u w:val="single"/>
                <w:lang w:val="en-US"/>
              </w:rPr>
            </w:pPr>
          </w:p>
        </w:tc>
        <w:tc>
          <w:tcPr>
            <w:tcW w:w="2868" w:type="dxa"/>
            <w:shd w:val="clear" w:color="auto" w:fill="auto"/>
            <w:tcMar>
              <w:top w:w="57" w:type="dxa"/>
              <w:bottom w:w="57" w:type="dxa"/>
            </w:tcMar>
          </w:tcPr>
          <w:p w14:paraId="640F2FA3" w14:textId="4563CC27" w:rsidR="003A60E3" w:rsidRPr="00667A5C" w:rsidRDefault="00CB6A57">
            <w:pPr>
              <w:rPr>
                <w:rFonts w:ascii="Arial" w:hAnsi="Arial" w:cs="Arial"/>
                <w:sz w:val="20"/>
                <w:szCs w:val="20"/>
                <w:lang w:val="en-US"/>
              </w:rPr>
            </w:pPr>
            <w:r w:rsidRPr="00667A5C">
              <w:rPr>
                <w:rFonts w:ascii="Arial" w:hAnsi="Arial" w:cs="Arial"/>
                <w:sz w:val="20"/>
                <w:szCs w:val="20"/>
                <w:lang w:val="en-US"/>
              </w:rPr>
              <w:t>IOC/ICG/PTWS-XXX/3</w:t>
            </w:r>
            <w:r w:rsidR="00DE1108" w:rsidRPr="00667A5C">
              <w:rPr>
                <w:rFonts w:ascii="Arial" w:hAnsi="Arial" w:cs="Arial"/>
                <w:sz w:val="20"/>
                <w:szCs w:val="20"/>
                <w:lang w:val="en-US"/>
              </w:rPr>
              <w:t>s</w:t>
            </w:r>
          </w:p>
        </w:tc>
        <w:tc>
          <w:tcPr>
            <w:tcW w:w="4659" w:type="dxa"/>
            <w:shd w:val="clear" w:color="auto" w:fill="auto"/>
            <w:tcMar>
              <w:top w:w="57" w:type="dxa"/>
              <w:bottom w:w="57" w:type="dxa"/>
            </w:tcMar>
          </w:tcPr>
          <w:p w14:paraId="35A374E1" w14:textId="0A8A6EC5" w:rsidR="003A60E3" w:rsidRPr="00667A5C" w:rsidRDefault="00DE1108">
            <w:pPr>
              <w:spacing w:after="60"/>
              <w:rPr>
                <w:rFonts w:ascii="Arial" w:hAnsi="Arial" w:cs="Arial"/>
                <w:color w:val="000000"/>
                <w:sz w:val="20"/>
                <w:szCs w:val="20"/>
                <w:lang w:val="en-US"/>
              </w:rPr>
            </w:pPr>
            <w:r w:rsidRPr="00667A5C">
              <w:rPr>
                <w:rFonts w:ascii="Arial" w:hAnsi="Arial" w:cs="Arial"/>
                <w:color w:val="000000"/>
                <w:sz w:val="20"/>
                <w:szCs w:val="20"/>
                <w:lang w:val="en-US"/>
              </w:rPr>
              <w:t>Executive</w:t>
            </w:r>
            <w:r w:rsidRPr="00667A5C">
              <w:rPr>
                <w:rFonts w:ascii="Arial" w:hAnsi="Arial" w:cs="Arial"/>
                <w:sz w:val="20"/>
                <w:szCs w:val="20"/>
                <w:lang w:val="en-US"/>
              </w:rPr>
              <w:t xml:space="preserve"> </w:t>
            </w:r>
            <w:r w:rsidR="00CB6A57" w:rsidRPr="00667A5C">
              <w:rPr>
                <w:rFonts w:ascii="Arial" w:hAnsi="Arial" w:cs="Arial"/>
                <w:sz w:val="20"/>
                <w:szCs w:val="20"/>
                <w:lang w:val="en-US"/>
              </w:rPr>
              <w:t>Summary Report of the Thirtieth Session of the Intergovernmental Coordination Group for the Pacific Tsunami Warning and Mitigation System (ICG/PTWS</w:t>
            </w:r>
            <w:r w:rsidR="00B24BC9" w:rsidRPr="00667A5C">
              <w:rPr>
                <w:rFonts w:ascii="Arial" w:hAnsi="Arial" w:cs="Arial"/>
                <w:sz w:val="20"/>
                <w:szCs w:val="20"/>
                <w:lang w:val="en-US"/>
              </w:rPr>
              <w:noBreakHyphen/>
            </w:r>
            <w:r w:rsidR="00CB6A57" w:rsidRPr="00667A5C">
              <w:rPr>
                <w:rFonts w:ascii="Arial" w:hAnsi="Arial" w:cs="Arial"/>
                <w:sz w:val="20"/>
                <w:szCs w:val="20"/>
                <w:lang w:val="en-US"/>
              </w:rPr>
              <w:t>XXX), 11–15 September 2023, Nuku’alofa, Tonga</w:t>
            </w:r>
          </w:p>
        </w:tc>
      </w:tr>
    </w:tbl>
    <w:p w14:paraId="397CACB9" w14:textId="77777777" w:rsidR="003A60E3" w:rsidRPr="00577FAF" w:rsidRDefault="00CB6A57">
      <w:pPr>
        <w:pStyle w:val="Style2"/>
        <w:numPr>
          <w:ilvl w:val="0"/>
          <w:numId w:val="7"/>
        </w:numPr>
        <w:tabs>
          <w:tab w:val="left" w:pos="709"/>
        </w:tabs>
        <w:spacing w:before="240"/>
        <w:ind w:left="0" w:hanging="567"/>
        <w:rPr>
          <w:rFonts w:cs="Arial"/>
        </w:rPr>
      </w:pPr>
      <w:r w:rsidRPr="00577FAF">
        <w:rPr>
          <w:rFonts w:cs="Arial"/>
        </w:rPr>
        <w:t>El Presidente de la COI presentó este punto informando al Consejo de que tres grupos de coordinación de los servicios regionales de alerta temprana se habían reunido durante el periodo entre reuniones y presentarían un informe en la presente reunión. A continuación, dio la bienvenida a los presidentes del ICG/CARIBE-EWS, el ICG/NEAMTWS y el ICG/PTWS.</w:t>
      </w:r>
    </w:p>
    <w:p w14:paraId="7EFB1676" w14:textId="60CFDAE2" w:rsidR="004C1803" w:rsidRPr="00577FAF" w:rsidRDefault="00CB6A57" w:rsidP="001F66A2">
      <w:pPr>
        <w:pStyle w:val="Style2"/>
        <w:numPr>
          <w:ilvl w:val="0"/>
          <w:numId w:val="7"/>
        </w:numPr>
        <w:tabs>
          <w:tab w:val="left" w:pos="709"/>
        </w:tabs>
        <w:ind w:left="0" w:hanging="567"/>
        <w:rPr>
          <w:rFonts w:cs="Arial"/>
        </w:rPr>
      </w:pPr>
      <w:r w:rsidRPr="00577FAF">
        <w:rPr>
          <w:rFonts w:cs="Arial"/>
        </w:rPr>
        <w:t xml:space="preserve">El Sr. Gérard Métayer (Haití), Presidente del Grupo Intergubernamental de Coordinación del Sistema de Alerta contra los Tsunamis y otras Amenazas Costeras en el Caribe y Regiones Adyacentes (ICG/CARIBE-EWS), presentó el informe de la </w:t>
      </w:r>
      <w:r w:rsidR="00DE1108" w:rsidRPr="00577FAF">
        <w:rPr>
          <w:rFonts w:cs="Arial"/>
        </w:rPr>
        <w:t>17ª </w:t>
      </w:r>
      <w:r w:rsidRPr="00577FAF">
        <w:rPr>
          <w:rFonts w:cs="Arial"/>
        </w:rPr>
        <w:t xml:space="preserve">reunión del Grupo. El Presidente del Grupo destacó los resultados del simulacro de tsunami CARIBE WAVE 2024, en el que participaron en total más de 400 000 personas el 21 de marzo de 2024. También informó sobre otros resultados de la </w:t>
      </w:r>
      <w:r w:rsidR="00DE1108" w:rsidRPr="00577FAF">
        <w:rPr>
          <w:rFonts w:cs="Arial"/>
        </w:rPr>
        <w:t>17ª </w:t>
      </w:r>
      <w:r w:rsidRPr="00577FAF">
        <w:rPr>
          <w:rFonts w:cs="Arial"/>
        </w:rPr>
        <w:t>reunión del ICG/CARIBE-EWS</w:t>
      </w:r>
      <w:r w:rsidR="00DE1108" w:rsidRPr="00577FAF">
        <w:rPr>
          <w:rFonts w:cs="Arial"/>
        </w:rPr>
        <w:t xml:space="preserve"> (</w:t>
      </w:r>
      <w:r w:rsidRPr="00577FAF">
        <w:rPr>
          <w:rFonts w:cs="Arial"/>
        </w:rPr>
        <w:t>Managua (Nicaragua)</w:t>
      </w:r>
      <w:r w:rsidR="00DE1108" w:rsidRPr="00577FAF">
        <w:rPr>
          <w:rFonts w:cs="Arial"/>
        </w:rPr>
        <w:t>,</w:t>
      </w:r>
      <w:r w:rsidRPr="00577FAF">
        <w:rPr>
          <w:rFonts w:cs="Arial"/>
        </w:rPr>
        <w:t xml:space="preserve"> 6</w:t>
      </w:r>
      <w:r w:rsidR="00DE1108" w:rsidRPr="00577FAF">
        <w:rPr>
          <w:rFonts w:cs="Arial"/>
        </w:rPr>
        <w:t>-</w:t>
      </w:r>
      <w:r w:rsidRPr="00577FAF">
        <w:rPr>
          <w:rFonts w:cs="Arial"/>
        </w:rPr>
        <w:t>9 de mayo de 2024</w:t>
      </w:r>
      <w:r w:rsidR="00DE1108" w:rsidRPr="00577FAF">
        <w:rPr>
          <w:rFonts w:cs="Arial"/>
        </w:rPr>
        <w:t>)</w:t>
      </w:r>
      <w:r w:rsidRPr="00577FAF">
        <w:rPr>
          <w:rFonts w:cs="Arial"/>
        </w:rPr>
        <w:t>, en particular</w:t>
      </w:r>
      <w:r w:rsidR="00DE1108" w:rsidRPr="00577FAF">
        <w:rPr>
          <w:rFonts w:cs="Arial"/>
        </w:rPr>
        <w:t>:</w:t>
      </w:r>
      <w:r w:rsidR="0069092F" w:rsidRPr="00577FAF">
        <w:rPr>
          <w:rFonts w:cs="Arial"/>
        </w:rPr>
        <w:t xml:space="preserve"> i) la creación del </w:t>
      </w:r>
      <w:r w:rsidR="00642DBA" w:rsidRPr="00577FAF">
        <w:rPr>
          <w:rFonts w:cs="Arial"/>
        </w:rPr>
        <w:t>C</w:t>
      </w:r>
      <w:r w:rsidR="0069092F" w:rsidRPr="00577FAF">
        <w:rPr>
          <w:rFonts w:cs="Arial"/>
        </w:rPr>
        <w:t xml:space="preserve">omité de </w:t>
      </w:r>
      <w:r w:rsidR="00642DBA" w:rsidRPr="00577FAF">
        <w:rPr>
          <w:rFonts w:cs="Arial"/>
        </w:rPr>
        <w:t>D</w:t>
      </w:r>
      <w:r w:rsidR="0069092F" w:rsidRPr="00577FAF">
        <w:rPr>
          <w:rFonts w:cs="Arial"/>
        </w:rPr>
        <w:t>irección del ICG/CARIBE-EWS</w:t>
      </w:r>
      <w:r w:rsidR="00262208" w:rsidRPr="00577FAF">
        <w:rPr>
          <w:rFonts w:cs="Arial"/>
        </w:rPr>
        <w:t xml:space="preserve">; ii) la recomendación </w:t>
      </w:r>
      <w:r w:rsidR="001F66A2" w:rsidRPr="00577FAF">
        <w:rPr>
          <w:rFonts w:cs="Arial"/>
        </w:rPr>
        <w:t>relativa al mantenimiento, con carácter provisional, de todas las funciones d</w:t>
      </w:r>
      <w:r w:rsidR="00262208" w:rsidRPr="00577FAF">
        <w:rPr>
          <w:rFonts w:cs="Arial"/>
        </w:rPr>
        <w:t xml:space="preserve">el </w:t>
      </w:r>
      <w:r w:rsidR="001F66A2" w:rsidRPr="00577FAF">
        <w:rPr>
          <w:rFonts w:cs="Arial"/>
        </w:rPr>
        <w:t>Centro de Asesoramiento sobre los Tsunamis de América Central (</w:t>
      </w:r>
      <w:r w:rsidR="00262208" w:rsidRPr="00577FAF">
        <w:rPr>
          <w:rFonts w:cs="Arial"/>
        </w:rPr>
        <w:t>CATAC</w:t>
      </w:r>
      <w:r w:rsidR="001F66A2" w:rsidRPr="00577FAF">
        <w:rPr>
          <w:rFonts w:cs="Arial"/>
        </w:rPr>
        <w:t>)</w:t>
      </w:r>
      <w:r w:rsidR="00262208" w:rsidRPr="00577FAF">
        <w:rPr>
          <w:rFonts w:cs="Arial"/>
        </w:rPr>
        <w:t>;</w:t>
      </w:r>
      <w:r w:rsidR="00DE1108" w:rsidRPr="00577FAF">
        <w:rPr>
          <w:rFonts w:cs="Arial"/>
        </w:rPr>
        <w:t xml:space="preserve"> </w:t>
      </w:r>
      <w:r w:rsidRPr="00577FAF">
        <w:rPr>
          <w:rFonts w:cs="Arial"/>
        </w:rPr>
        <w:t xml:space="preserve"> </w:t>
      </w:r>
      <w:r w:rsidR="00262208" w:rsidRPr="00577FAF">
        <w:rPr>
          <w:rFonts w:cs="Arial"/>
        </w:rPr>
        <w:t xml:space="preserve">iii) </w:t>
      </w:r>
      <w:r w:rsidRPr="00577FAF">
        <w:rPr>
          <w:rFonts w:cs="Arial"/>
        </w:rPr>
        <w:t>la planificación del simulacro CARIBE WAVE 2025</w:t>
      </w:r>
      <w:r w:rsidR="00262208" w:rsidRPr="00577FAF">
        <w:rPr>
          <w:rFonts w:cs="Arial"/>
        </w:rPr>
        <w:t xml:space="preserve">; iv) </w:t>
      </w:r>
      <w:r w:rsidR="0041246D" w:rsidRPr="00577FAF">
        <w:rPr>
          <w:rFonts w:cs="Arial"/>
        </w:rPr>
        <w:t>el establecimiento</w:t>
      </w:r>
      <w:r w:rsidR="00262208" w:rsidRPr="00577FAF">
        <w:rPr>
          <w:rFonts w:cs="Arial"/>
        </w:rPr>
        <w:t xml:space="preserve"> de un equipo de tareas dedicado a</w:t>
      </w:r>
      <w:r w:rsidR="00642DBA" w:rsidRPr="00577FAF">
        <w:rPr>
          <w:rFonts w:cs="Arial"/>
        </w:rPr>
        <w:t>l programa</w:t>
      </w:r>
      <w:r w:rsidR="00262208" w:rsidRPr="00577FAF">
        <w:rPr>
          <w:rFonts w:cs="Arial"/>
        </w:rPr>
        <w:t xml:space="preserve"> Tsunami Ready; y v) </w:t>
      </w:r>
      <w:r w:rsidR="001F66A2" w:rsidRPr="00577FAF">
        <w:rPr>
          <w:rFonts w:cs="Arial"/>
        </w:rPr>
        <w:t>el examen</w:t>
      </w:r>
      <w:r w:rsidR="00262208" w:rsidRPr="00577FAF">
        <w:rPr>
          <w:rFonts w:cs="Arial"/>
        </w:rPr>
        <w:t xml:space="preserve"> de la posibilidad</w:t>
      </w:r>
      <w:r w:rsidR="0041246D" w:rsidRPr="00577FAF">
        <w:rPr>
          <w:rFonts w:cs="Arial"/>
        </w:rPr>
        <w:t xml:space="preserve"> </w:t>
      </w:r>
      <w:r w:rsidR="00262208" w:rsidRPr="00577FAF">
        <w:rPr>
          <w:rFonts w:cs="Arial"/>
        </w:rPr>
        <w:t xml:space="preserve">de </w:t>
      </w:r>
      <w:r w:rsidR="001F66A2" w:rsidRPr="00577FAF">
        <w:rPr>
          <w:rFonts w:cs="Arial"/>
        </w:rPr>
        <w:t>organizar</w:t>
      </w:r>
      <w:r w:rsidR="00262208" w:rsidRPr="00577FAF">
        <w:rPr>
          <w:rFonts w:cs="Arial"/>
        </w:rPr>
        <w:t xml:space="preserve"> sus futuras reuniones</w:t>
      </w:r>
      <w:r w:rsidR="0041246D" w:rsidRPr="00577FAF">
        <w:rPr>
          <w:rFonts w:cs="Arial"/>
        </w:rPr>
        <w:t>, a partir de 2026,</w:t>
      </w:r>
      <w:r w:rsidR="00262208" w:rsidRPr="00577FAF">
        <w:rPr>
          <w:rFonts w:cs="Arial"/>
        </w:rPr>
        <w:t xml:space="preserve"> de forma presencial solo cada dos años, y de forma virtual</w:t>
      </w:r>
      <w:r w:rsidR="001F66A2" w:rsidRPr="00577FAF">
        <w:rPr>
          <w:rFonts w:cs="Arial"/>
        </w:rPr>
        <w:t xml:space="preserve"> los demás años</w:t>
      </w:r>
      <w:r w:rsidRPr="00577FAF">
        <w:rPr>
          <w:rFonts w:cs="Arial"/>
        </w:rPr>
        <w:t>.</w:t>
      </w:r>
    </w:p>
    <w:p w14:paraId="0199A43B" w14:textId="77777777" w:rsidR="003A60E3" w:rsidRPr="00577FAF" w:rsidRDefault="00CB6A57">
      <w:pPr>
        <w:pStyle w:val="Style2"/>
        <w:numPr>
          <w:ilvl w:val="0"/>
          <w:numId w:val="7"/>
        </w:numPr>
        <w:tabs>
          <w:tab w:val="left" w:pos="709"/>
        </w:tabs>
        <w:ind w:left="0" w:hanging="567"/>
        <w:rPr>
          <w:rFonts w:cs="Arial"/>
        </w:rPr>
      </w:pPr>
      <w:r w:rsidRPr="00577FAF">
        <w:rPr>
          <w:rFonts w:cs="Arial"/>
        </w:rPr>
        <w:t>El Dr. Alessandro Amato (Italia), Presidente del Grupo Intergubernamental de Coordinación del Sistema de Alerta Temprana contra los Tsunamis y Atenuación de sus Efectos en el Atlántico Nororiental y el Mediterráneo y Mares Adyacentes (ICG/NEAMTWS), informó al Consejo sobre los resultados de la 18ª reunión del Grupo, que tuvo lugar en la Sede de la UNESCO en París del 6 al 8 de febrero de 2024. El Presidente del Grupo destacó que Cannes (Francia) se había convertido en la primera comunidad de la región NEAM en recibir el reconocimiento Tsunami Ready. Asimismo, señaló que el Grupo acogió con beneplácito la finalización y publicación del documento de estrategia del ICG/NEAMTWS para 2021-2030, la realización satisfactoria del simulacro de tsunami NEAMWave23 y la financiación de la fase II del proyecto CoastWAVE por la Dirección General de Protección Civil y Operaciones de Ayuda Humanitaria Europeas (DG ECHO) por un periodo de dos años.</w:t>
      </w:r>
    </w:p>
    <w:p w14:paraId="7E3E2C8B" w14:textId="482D3E49" w:rsidR="003A60E3" w:rsidRPr="00577FAF" w:rsidRDefault="00CB6A57">
      <w:pPr>
        <w:pStyle w:val="Style2"/>
        <w:numPr>
          <w:ilvl w:val="0"/>
          <w:numId w:val="7"/>
        </w:numPr>
        <w:tabs>
          <w:tab w:val="left" w:pos="709"/>
        </w:tabs>
        <w:ind w:left="0" w:hanging="567"/>
        <w:rPr>
          <w:rFonts w:cs="Arial"/>
        </w:rPr>
      </w:pPr>
      <w:r w:rsidRPr="00577FAF">
        <w:rPr>
          <w:rFonts w:cs="Arial"/>
        </w:rPr>
        <w:t>El Sr. Yuji Nishimae, Presidente del Grupo Intergubernamental de Coordinación del Sistema de Alerta contra los Tsunamis y Atenuación de sus Efectos en el Pacífico (ICG/PTWS), presentó el informe de la 30ª reunión del Grupo, que tuvo lugar en Nuku’alofa (Tonga) del 11 al 15 de septiembre de 2023. La reunión contó con una importante participación: más de 80 participantes de 17 países. Los participantes</w:t>
      </w:r>
      <w:r w:rsidR="0041246D" w:rsidRPr="00577FAF">
        <w:rPr>
          <w:rFonts w:cs="Arial"/>
        </w:rPr>
        <w:t xml:space="preserve"> eligieron tres vicepresidentes y un Presidente y</w:t>
      </w:r>
      <w:r w:rsidRPr="00577FAF">
        <w:rPr>
          <w:rFonts w:cs="Arial"/>
        </w:rPr>
        <w:t xml:space="preserve"> pusieron en marcha iniciativas destinadas a reforzar las capacidades del Comité de Dirección, armonizándolas con los objetivos del Decenio de las Naciones Unidas de las Ciencias Oceánicas para el Desarrollo Sostenible (2021-2030), y establecieron tres nuevos equipos de trabajo, sobre la preparación frente a tsunamis volcánicos, predicción de vanguardia y preparación comunitaria. Asimismo, el Grupo decidió organizar un simulacro de tsunami, PacWave 24, entre los meses de septiembre y noviembre de 2024, con ocasión del Día Internacional para la Reducción del Riesgo de Desastres (13 de octubre) y del Día Mundial de Concienciación sobre los Tsunamis (5 de noviembre).</w:t>
      </w:r>
    </w:p>
    <w:p w14:paraId="323FCAC8" w14:textId="77777777" w:rsidR="003A60E3" w:rsidRPr="00577FAF" w:rsidRDefault="00CB6A57" w:rsidP="00E60DAE">
      <w:pPr>
        <w:pStyle w:val="Heading4"/>
        <w:jc w:val="both"/>
      </w:pPr>
      <w:bookmarkStart w:id="139" w:name="_Toc85469066"/>
      <w:bookmarkStart w:id="140" w:name="_Toc92752497"/>
      <w:bookmarkStart w:id="141" w:name="_Toc168933425"/>
      <w:r w:rsidRPr="00577FAF">
        <w:lastRenderedPageBreak/>
        <w:t>3.2.1.2</w:t>
      </w:r>
      <w:r w:rsidRPr="00577FAF">
        <w:tab/>
        <w:t>Coordinación mundial de los sistemas de alerta contra los peligros oceánicos y atenuación de sus efectos</w:t>
      </w:r>
      <w:bookmarkEnd w:id="139"/>
      <w:bookmarkEnd w:id="140"/>
      <w:bookmarkEnd w:id="141"/>
    </w:p>
    <w:tbl>
      <w:tblPr>
        <w:tblW w:w="9747" w:type="dxa"/>
        <w:tblLayout w:type="fixed"/>
        <w:tblLook w:val="0000" w:firstRow="0" w:lastRow="0" w:firstColumn="0" w:lastColumn="0" w:noHBand="0" w:noVBand="0"/>
      </w:tblPr>
      <w:tblGrid>
        <w:gridCol w:w="2235"/>
        <w:gridCol w:w="2268"/>
        <w:gridCol w:w="5244"/>
      </w:tblGrid>
      <w:tr w:rsidR="003A60E3" w:rsidRPr="00EA695A" w14:paraId="7B8B7EE8" w14:textId="77777777" w:rsidTr="007D0CB2">
        <w:trPr>
          <w:cantSplit/>
        </w:trPr>
        <w:tc>
          <w:tcPr>
            <w:tcW w:w="2235" w:type="dxa"/>
            <w:shd w:val="clear" w:color="auto" w:fill="E2EFD9"/>
            <w:tcMar>
              <w:top w:w="57" w:type="dxa"/>
              <w:bottom w:w="57" w:type="dxa"/>
            </w:tcMar>
          </w:tcPr>
          <w:p w14:paraId="54532A74" w14:textId="77777777" w:rsidR="003A60E3" w:rsidRPr="00577FAF" w:rsidRDefault="00CB6A57">
            <w:pPr>
              <w:tabs>
                <w:tab w:val="left" w:pos="1132"/>
              </w:tabs>
              <w:rPr>
                <w:rFonts w:ascii="Arial" w:hAnsi="Arial" w:cs="Arial"/>
                <w:i/>
                <w:color w:val="000000"/>
                <w:sz w:val="20"/>
                <w:szCs w:val="20"/>
                <w:u w:val="single"/>
              </w:rPr>
            </w:pPr>
            <w:r w:rsidRPr="00577FAF">
              <w:rPr>
                <w:rFonts w:ascii="Arial" w:hAnsi="Arial" w:cs="Arial"/>
                <w:i/>
                <w:iCs/>
                <w:sz w:val="20"/>
                <w:szCs w:val="20"/>
                <w:u w:val="single"/>
              </w:rPr>
              <w:t>Informe</w:t>
            </w:r>
          </w:p>
        </w:tc>
        <w:tc>
          <w:tcPr>
            <w:tcW w:w="2268" w:type="dxa"/>
            <w:shd w:val="clear" w:color="auto" w:fill="auto"/>
            <w:tcMar>
              <w:top w:w="57" w:type="dxa"/>
              <w:bottom w:w="57" w:type="dxa"/>
            </w:tcMar>
          </w:tcPr>
          <w:p w14:paraId="15908F24" w14:textId="443617B2" w:rsidR="003A60E3" w:rsidRPr="00577FAF" w:rsidRDefault="00CB6A57">
            <w:pPr>
              <w:rPr>
                <w:rFonts w:ascii="Arial" w:hAnsi="Arial" w:cs="Arial"/>
                <w:color w:val="000000"/>
                <w:sz w:val="20"/>
                <w:szCs w:val="20"/>
              </w:rPr>
            </w:pPr>
            <w:r w:rsidRPr="00577FAF">
              <w:rPr>
                <w:rFonts w:ascii="Arial" w:hAnsi="Arial" w:cs="Arial"/>
                <w:sz w:val="20"/>
                <w:szCs w:val="20"/>
              </w:rPr>
              <w:t>IOC/TOWS-WG-XVII</w:t>
            </w:r>
            <w:r w:rsidR="0041246D" w:rsidRPr="00577FAF">
              <w:rPr>
                <w:rFonts w:ascii="Arial" w:hAnsi="Arial" w:cs="Arial"/>
                <w:sz w:val="20"/>
                <w:szCs w:val="20"/>
              </w:rPr>
              <w:t>/3</w:t>
            </w:r>
          </w:p>
        </w:tc>
        <w:tc>
          <w:tcPr>
            <w:tcW w:w="5244" w:type="dxa"/>
            <w:shd w:val="clear" w:color="auto" w:fill="auto"/>
            <w:tcMar>
              <w:top w:w="57" w:type="dxa"/>
              <w:bottom w:w="57" w:type="dxa"/>
            </w:tcMar>
          </w:tcPr>
          <w:p w14:paraId="65D01A3D" w14:textId="7F1524B9" w:rsidR="003A60E3" w:rsidRPr="00667A5C" w:rsidRDefault="00CB6A57">
            <w:pPr>
              <w:spacing w:after="60"/>
              <w:rPr>
                <w:rFonts w:ascii="Arial" w:hAnsi="Arial" w:cs="Arial"/>
                <w:color w:val="000000"/>
                <w:sz w:val="20"/>
                <w:szCs w:val="20"/>
                <w:lang w:val="en-US"/>
              </w:rPr>
            </w:pPr>
            <w:r w:rsidRPr="00667A5C">
              <w:rPr>
                <w:rFonts w:ascii="Arial" w:hAnsi="Arial" w:cs="Arial"/>
                <w:sz w:val="20"/>
                <w:szCs w:val="20"/>
                <w:lang w:val="en-US"/>
              </w:rPr>
              <w:t>Summary Report of the Seventeenth Meeting of the Working Group on Tsunamis and Other Hazards related to Sea Level Warning and Mitigation Systems (TOWS</w:t>
            </w:r>
            <w:r w:rsidR="00753F03" w:rsidRPr="00667A5C">
              <w:rPr>
                <w:rFonts w:ascii="Arial" w:hAnsi="Arial" w:cs="Arial"/>
                <w:sz w:val="20"/>
                <w:szCs w:val="20"/>
                <w:lang w:val="en-US"/>
              </w:rPr>
              <w:noBreakHyphen/>
            </w:r>
            <w:r w:rsidRPr="00667A5C">
              <w:rPr>
                <w:rFonts w:ascii="Arial" w:hAnsi="Arial" w:cs="Arial"/>
                <w:sz w:val="20"/>
                <w:szCs w:val="20"/>
                <w:lang w:val="en-US"/>
              </w:rPr>
              <w:t>WG-XVII), 22–23 February 2024, Sendai, Japan</w:t>
            </w:r>
          </w:p>
        </w:tc>
      </w:tr>
    </w:tbl>
    <w:p w14:paraId="319087F0" w14:textId="77777777" w:rsidR="003A60E3" w:rsidRPr="00667A5C" w:rsidRDefault="003A60E3">
      <w:pPr>
        <w:pStyle w:val="Marge"/>
        <w:spacing w:after="0"/>
        <w:ind w:hanging="567"/>
        <w:rPr>
          <w:rFonts w:ascii="Arial" w:hAnsi="Arial" w:cs="Arial"/>
          <w:sz w:val="22"/>
          <w:szCs w:val="22"/>
          <w:lang w:val="en-US"/>
        </w:rPr>
      </w:pPr>
    </w:p>
    <w:p w14:paraId="10BBCD32" w14:textId="77777777" w:rsidR="003A60E3" w:rsidRPr="00577FAF" w:rsidRDefault="00CB6A57">
      <w:pPr>
        <w:pStyle w:val="Style2"/>
        <w:numPr>
          <w:ilvl w:val="0"/>
          <w:numId w:val="7"/>
        </w:numPr>
        <w:tabs>
          <w:tab w:val="left" w:pos="709"/>
        </w:tabs>
        <w:ind w:left="0" w:hanging="567"/>
        <w:rPr>
          <w:rFonts w:cs="Arial"/>
        </w:rPr>
      </w:pPr>
      <w:r w:rsidRPr="00577FAF">
        <w:rPr>
          <w:rFonts w:cs="Arial"/>
        </w:rPr>
        <w:t>Presentó este punto el Dr. Srinivasa Kumar Tummala, Presidente del Grupo de Trabajo sobre los Sistemas de Alerta contra los Tsunamis y Otros Peligros relacionados con el Nivel del Mar y Atenuación de sus Efectos (TOWS-WG), quien informó al Consejo Ejecutivo sobre las últimas novedades respecto a los sistemas de alerta contra los tsunamis y atenuación de sus efectos, así como sobre los resultados de la 17ª reunión del Grupo de Trabajo, que se celebró los días 22 y 23 de febrero de 2024 en Sendái (Japón). Entre las principales recomendaciones de la 17ª reunión del TOWS-WG cabe señalar el refuerzo de la colaboración entre la COI/UNESCO y la Organización Meteorológica Mundial (OMM) para integrar las actividades relativas a los tsunamis en iniciativas como Alertas Tempranas para Todos (EW4All), con objeto de fomentar una preparación global para casos de desastre. Además, el Grupo de Trabajo acordó agilizar el suministro de informes y la organización de webinarios para difundir información crítica a las partes interesadas pertinentes en relación con los volcanes tsunamigénicos y los peligros conexos.</w:t>
      </w:r>
    </w:p>
    <w:p w14:paraId="0FBBA3D3" w14:textId="77777777" w:rsidR="003A60E3" w:rsidRPr="00577FAF" w:rsidRDefault="00CB6A57">
      <w:pPr>
        <w:pStyle w:val="Style2"/>
        <w:numPr>
          <w:ilvl w:val="0"/>
          <w:numId w:val="7"/>
        </w:numPr>
        <w:tabs>
          <w:tab w:val="left" w:pos="709"/>
        </w:tabs>
        <w:ind w:left="0" w:hanging="567"/>
        <w:rPr>
          <w:rFonts w:cs="Arial"/>
        </w:rPr>
      </w:pPr>
      <w:r w:rsidRPr="00577FAF">
        <w:rPr>
          <w:rFonts w:cs="Arial"/>
        </w:rPr>
        <w:t>En su 17ª reunión, el TOWS-WG confirmó y aprobó la organización por la Oficina de Meteorología y Geofísica (BMKG) de Indonesia de un simposio mundial de la COI sobre los tsunamis, en Indonesia, en relación con la conmemoración de los 20 años del tsunami del océano Índico de 2004. Además, el Grupo de Trabajo tomó nota de que se está trabajando en un conjunto de herramientas para ayudar a los países a aplicar el Programa de Reconocimiento Tsunami Ready con el apoyo de expertos en ciencias sociales, con el fin de estimular la participación comunitaria y abordar los difíciles retos de la preparación para casos de tsunami.</w:t>
      </w:r>
    </w:p>
    <w:p w14:paraId="2C889305" w14:textId="77777777" w:rsidR="003A60E3" w:rsidRPr="00577FAF" w:rsidRDefault="00CB6A57">
      <w:pPr>
        <w:pStyle w:val="Style2"/>
        <w:numPr>
          <w:ilvl w:val="0"/>
          <w:numId w:val="7"/>
        </w:numPr>
        <w:tabs>
          <w:tab w:val="left" w:pos="709"/>
        </w:tabs>
        <w:ind w:left="0" w:hanging="567"/>
        <w:rPr>
          <w:rFonts w:cs="Arial"/>
        </w:rPr>
      </w:pPr>
      <w:r w:rsidRPr="00577FAF">
        <w:rPr>
          <w:rFonts w:cs="Arial"/>
        </w:rPr>
        <w:t>El Dr. Kumar Tummala informó de que la colaboración con la Oficina de las Naciones Unidas para la Reducción del Riesgo de Desastres (UNDRR) en relación con el Día Mundial de Concienciación sobre los Tsunamis ha permitido ampliar a escala mundial la campaña #ALasZonasAltas. El tema para 2024 (empoderar a los niños y jóvenes) pone de relieve la importancia crucial de sensibilizar a los más jóvenes sobre los riesgos de los tsunamis. Por otra parte, el Grupo de Trabajo expresó su gratitud por el apoyo financiero proporcionado por la Agencia de Cooperación Internacional del Japón (JICA) a los países en desarrollo en materia de gestión de desastres, y tomó nota de que la COI seguirá colaborando e intercambiando conocimientos especializados con los expertos de la JICA cuando se tenga oportunidad.</w:t>
      </w:r>
    </w:p>
    <w:tbl>
      <w:tblPr>
        <w:tblW w:w="0" w:type="auto"/>
        <w:shd w:val="clear" w:color="auto" w:fill="CCFFCC"/>
        <w:tblLayout w:type="fixed"/>
        <w:tblCellMar>
          <w:top w:w="113" w:type="dxa"/>
          <w:bottom w:w="113" w:type="dxa"/>
        </w:tblCellMar>
        <w:tblLook w:val="0000" w:firstRow="0" w:lastRow="0" w:firstColumn="0" w:lastColumn="0" w:noHBand="0" w:noVBand="0"/>
      </w:tblPr>
      <w:tblGrid>
        <w:gridCol w:w="9747"/>
      </w:tblGrid>
      <w:tr w:rsidR="003A60E3" w:rsidRPr="00577FAF" w14:paraId="24601BFF" w14:textId="77777777">
        <w:trPr>
          <w:trHeight w:val="604"/>
        </w:trPr>
        <w:tc>
          <w:tcPr>
            <w:tcW w:w="9747" w:type="dxa"/>
            <w:shd w:val="clear" w:color="auto" w:fill="CCFFCC"/>
            <w:tcMar>
              <w:top w:w="113" w:type="dxa"/>
              <w:bottom w:w="113" w:type="dxa"/>
            </w:tcMar>
          </w:tcPr>
          <w:p w14:paraId="0E7CF798" w14:textId="210CE7EB" w:rsidR="003A60E3" w:rsidRPr="00577FAF" w:rsidRDefault="00CB6A57">
            <w:pPr>
              <w:spacing w:after="120"/>
              <w:jc w:val="both"/>
              <w:rPr>
                <w:rFonts w:ascii="Arial" w:hAnsi="Arial" w:cs="Arial"/>
                <w:bCs/>
                <w:i/>
                <w:iCs/>
                <w:sz w:val="22"/>
                <w:szCs w:val="22"/>
              </w:rPr>
            </w:pPr>
            <w:bookmarkStart w:id="142" w:name="_Hlk89095957"/>
            <w:r w:rsidRPr="00577FAF">
              <w:rPr>
                <w:rFonts w:ascii="Arial" w:hAnsi="Arial" w:cs="Arial"/>
                <w:sz w:val="22"/>
                <w:szCs w:val="22"/>
                <w:u w:val="single"/>
              </w:rPr>
              <w:t>Decisión EC-57/3.2.1</w:t>
            </w:r>
            <w:r w:rsidRPr="00577FAF">
              <w:rPr>
                <w:rFonts w:ascii="Arial" w:hAnsi="Arial" w:cs="Arial"/>
                <w:sz w:val="22"/>
                <w:szCs w:val="22"/>
              </w:rPr>
              <w:t xml:space="preserve"> </w:t>
            </w:r>
          </w:p>
          <w:p w14:paraId="6B332E59" w14:textId="77777777" w:rsidR="003A60E3" w:rsidRPr="00577FAF" w:rsidRDefault="00CB6A57">
            <w:pPr>
              <w:spacing w:after="240"/>
              <w:ind w:left="709" w:hanging="709"/>
              <w:jc w:val="center"/>
              <w:rPr>
                <w:rFonts w:ascii="Arial" w:hAnsi="Arial" w:cs="Arial"/>
                <w:b/>
                <w:bCs/>
                <w:iCs/>
                <w:sz w:val="22"/>
                <w:szCs w:val="22"/>
              </w:rPr>
            </w:pPr>
            <w:r w:rsidRPr="00577FAF">
              <w:rPr>
                <w:rFonts w:ascii="Arial" w:hAnsi="Arial" w:cs="Arial"/>
                <w:b/>
                <w:bCs/>
                <w:sz w:val="22"/>
                <w:szCs w:val="22"/>
              </w:rPr>
              <w:t>Sistemas de alerta contra los peligros oceánicos y atenuación de sus efectos</w:t>
            </w:r>
          </w:p>
          <w:p w14:paraId="25860C03" w14:textId="77777777" w:rsidR="004C1803" w:rsidRPr="00577FAF" w:rsidRDefault="00CB6A57">
            <w:pPr>
              <w:spacing w:after="120"/>
              <w:ind w:left="709" w:hanging="709"/>
              <w:rPr>
                <w:rFonts w:ascii="Arial" w:hAnsi="Arial" w:cs="Arial"/>
                <w:sz w:val="22"/>
                <w:szCs w:val="22"/>
              </w:rPr>
            </w:pPr>
            <w:r w:rsidRPr="00577FAF">
              <w:rPr>
                <w:rFonts w:ascii="Arial" w:hAnsi="Arial" w:cs="Arial"/>
                <w:sz w:val="22"/>
                <w:szCs w:val="22"/>
              </w:rPr>
              <w:t>El Consejo Ejecutivo,</w:t>
            </w:r>
          </w:p>
          <w:p w14:paraId="22879659" w14:textId="77777777" w:rsidR="003A60E3" w:rsidRPr="00577FAF" w:rsidRDefault="00CB6A57" w:rsidP="006B65EB">
            <w:pPr>
              <w:numPr>
                <w:ilvl w:val="0"/>
                <w:numId w:val="16"/>
              </w:numPr>
              <w:spacing w:after="120"/>
              <w:ind w:left="567" w:hanging="567"/>
              <w:jc w:val="both"/>
              <w:rPr>
                <w:rFonts w:ascii="Arial" w:hAnsi="Arial" w:cs="Arial"/>
                <w:iCs/>
                <w:sz w:val="22"/>
                <w:szCs w:val="22"/>
              </w:rPr>
            </w:pPr>
            <w:r w:rsidRPr="00577FAF">
              <w:rPr>
                <w:rFonts w:ascii="Arial" w:hAnsi="Arial" w:cs="Arial"/>
                <w:sz w:val="22"/>
                <w:szCs w:val="22"/>
                <w:u w:val="single"/>
              </w:rPr>
              <w:t>Habiendo examinado</w:t>
            </w:r>
            <w:r w:rsidRPr="00577FAF">
              <w:rPr>
                <w:rFonts w:ascii="Arial" w:hAnsi="Arial" w:cs="Arial"/>
                <w:sz w:val="22"/>
                <w:szCs w:val="22"/>
              </w:rPr>
              <w:t xml:space="preserve"> los informes resumidos de las recientes reuniones del Grupo Intergubernamental de Coordinación del Sistema de Alerta contra los Tsunamis y otras Amenazas Costeras en el Caribe y Regiones Adyacentes (ICG/CARIBE-EWS-XVII/3s) y del Grupo Intergubernamental de Coordinación del Sistema de Alerta Temprana contra los Tsunamis y Atenuación de sus Efectos en el Atlántico Nororiental y el Mediterráneo y Mares Adyacentes (ICG/NEAMTWS-XVII/3s), así como el informe del Grupo de Trabajo sobre los Sistemas de Alerta contra los Tsunamis y Otros Peligros relacionados con el Nivel del Mar y Atenuación de sus Efectos (TOWS-WG-XVII),</w:t>
            </w:r>
          </w:p>
          <w:p w14:paraId="469FA435" w14:textId="77777777" w:rsidR="003A60E3" w:rsidRPr="00577FAF" w:rsidRDefault="00CB6A57" w:rsidP="006B65EB">
            <w:pPr>
              <w:numPr>
                <w:ilvl w:val="0"/>
                <w:numId w:val="16"/>
              </w:numPr>
              <w:spacing w:after="120"/>
              <w:ind w:left="567" w:hanging="567"/>
              <w:jc w:val="both"/>
              <w:rPr>
                <w:rFonts w:ascii="Arial" w:hAnsi="Arial" w:cs="Arial"/>
                <w:iCs/>
                <w:sz w:val="22"/>
                <w:szCs w:val="22"/>
              </w:rPr>
            </w:pPr>
            <w:r w:rsidRPr="00577FAF">
              <w:rPr>
                <w:rFonts w:ascii="Arial" w:hAnsi="Arial" w:cs="Arial"/>
                <w:sz w:val="22"/>
                <w:szCs w:val="22"/>
                <w:u w:val="single"/>
              </w:rPr>
              <w:lastRenderedPageBreak/>
              <w:t>Expresa su solidaridad</w:t>
            </w:r>
            <w:r w:rsidRPr="00577FAF">
              <w:rPr>
                <w:rFonts w:ascii="Arial" w:hAnsi="Arial" w:cs="Arial"/>
                <w:sz w:val="22"/>
                <w:szCs w:val="22"/>
              </w:rPr>
              <w:t xml:space="preserve"> con las personas afectadas por el terremoto y el tsunami de la península de Noto (Japón) el 1 de enero de 2024;</w:t>
            </w:r>
          </w:p>
          <w:p w14:paraId="756B50DB" w14:textId="77777777" w:rsidR="003A60E3" w:rsidRPr="00577FAF" w:rsidRDefault="00CB6A57" w:rsidP="006B65EB">
            <w:pPr>
              <w:numPr>
                <w:ilvl w:val="0"/>
                <w:numId w:val="16"/>
              </w:numPr>
              <w:spacing w:after="120"/>
              <w:ind w:left="567" w:hanging="567"/>
              <w:jc w:val="both"/>
              <w:rPr>
                <w:rFonts w:ascii="Arial" w:hAnsi="Arial" w:cs="Arial"/>
                <w:iCs/>
                <w:sz w:val="22"/>
                <w:szCs w:val="22"/>
              </w:rPr>
            </w:pPr>
            <w:r w:rsidRPr="00577FAF">
              <w:rPr>
                <w:rFonts w:ascii="Arial" w:hAnsi="Arial" w:cs="Arial"/>
                <w:sz w:val="22"/>
                <w:szCs w:val="22"/>
                <w:u w:val="single"/>
              </w:rPr>
              <w:t>Acepta</w:t>
            </w:r>
            <w:r w:rsidRPr="00577FAF">
              <w:rPr>
                <w:rFonts w:ascii="Arial" w:hAnsi="Arial" w:cs="Arial"/>
                <w:sz w:val="22"/>
                <w:szCs w:val="22"/>
              </w:rPr>
              <w:t xml:space="preserve"> los informes de los grupos intergubernamentales de coordinación de la COI y del TOWS-WG;</w:t>
            </w:r>
          </w:p>
          <w:p w14:paraId="3109C5F7" w14:textId="77777777" w:rsidR="003A60E3" w:rsidRPr="00577FAF" w:rsidRDefault="00CB6A57" w:rsidP="006B65EB">
            <w:pPr>
              <w:numPr>
                <w:ilvl w:val="0"/>
                <w:numId w:val="16"/>
              </w:numPr>
              <w:spacing w:after="120"/>
              <w:ind w:left="567" w:hanging="567"/>
              <w:jc w:val="both"/>
              <w:rPr>
                <w:rFonts w:ascii="Arial" w:hAnsi="Arial" w:cs="Arial"/>
                <w:b/>
                <w:iCs/>
                <w:sz w:val="22"/>
                <w:szCs w:val="22"/>
              </w:rPr>
            </w:pPr>
            <w:r w:rsidRPr="00577FAF">
              <w:rPr>
                <w:rFonts w:ascii="Arial" w:hAnsi="Arial" w:cs="Arial"/>
                <w:sz w:val="22"/>
                <w:szCs w:val="22"/>
                <w:u w:val="single"/>
              </w:rPr>
              <w:t>Toma nota con satisfacción</w:t>
            </w:r>
            <w:r w:rsidRPr="00577FAF">
              <w:rPr>
                <w:rFonts w:ascii="Arial" w:hAnsi="Arial" w:cs="Arial"/>
                <w:sz w:val="22"/>
                <w:szCs w:val="22"/>
              </w:rPr>
              <w:t xml:space="preserve"> de los progresos realizados durante el periodo entre reuniones, a saber:</w:t>
            </w:r>
          </w:p>
          <w:p w14:paraId="5EFC577D" w14:textId="43FB21EC" w:rsidR="003A60E3" w:rsidRPr="00577FAF" w:rsidRDefault="00CB6A57" w:rsidP="006B65EB">
            <w:pPr>
              <w:numPr>
                <w:ilvl w:val="0"/>
                <w:numId w:val="34"/>
              </w:numPr>
              <w:spacing w:after="120"/>
              <w:ind w:left="1134" w:hanging="567"/>
              <w:jc w:val="both"/>
              <w:rPr>
                <w:rFonts w:ascii="Arial" w:hAnsi="Arial" w:cs="Arial"/>
                <w:b/>
                <w:iCs/>
                <w:sz w:val="22"/>
                <w:szCs w:val="22"/>
              </w:rPr>
            </w:pPr>
            <w:r w:rsidRPr="00577FAF">
              <w:rPr>
                <w:rFonts w:ascii="Arial" w:hAnsi="Arial" w:cs="Arial"/>
                <w:sz w:val="22"/>
                <w:szCs w:val="22"/>
              </w:rPr>
              <w:t>los simulacros realizados en 2023 en el Caribe, el 23 de marzo (CARIBE WAVE</w:t>
            </w:r>
            <w:r w:rsidR="00753F03" w:rsidRPr="00577FAF">
              <w:rPr>
                <w:rFonts w:ascii="Arial" w:hAnsi="Arial" w:cs="Arial"/>
                <w:sz w:val="22"/>
                <w:szCs w:val="22"/>
              </w:rPr>
              <w:t> </w:t>
            </w:r>
            <w:r w:rsidRPr="00577FAF">
              <w:rPr>
                <w:rFonts w:ascii="Arial" w:hAnsi="Arial" w:cs="Arial"/>
                <w:sz w:val="22"/>
                <w:szCs w:val="22"/>
              </w:rPr>
              <w:t>23), en el océano Índico, los días 4, 11, 18 y 25 de octubre (IOWave23), y en el Atlántico Nororiental, el Mediterráneo y mares adyacentes, los días 6 y 7 de noviembre (NEAMWave 23);</w:t>
            </w:r>
          </w:p>
          <w:p w14:paraId="11B5508C" w14:textId="77777777" w:rsidR="003A60E3" w:rsidRPr="00577FAF" w:rsidRDefault="00CB6A57" w:rsidP="006B65EB">
            <w:pPr>
              <w:numPr>
                <w:ilvl w:val="0"/>
                <w:numId w:val="34"/>
              </w:numPr>
              <w:spacing w:after="120"/>
              <w:ind w:left="1134" w:hanging="567"/>
              <w:jc w:val="both"/>
              <w:rPr>
                <w:rFonts w:ascii="Arial" w:hAnsi="Arial" w:cs="Arial"/>
                <w:b/>
                <w:iCs/>
                <w:sz w:val="22"/>
                <w:szCs w:val="22"/>
              </w:rPr>
            </w:pPr>
            <w:r w:rsidRPr="00577FAF">
              <w:rPr>
                <w:rFonts w:ascii="Arial" w:hAnsi="Arial" w:cs="Arial"/>
                <w:sz w:val="22"/>
                <w:szCs w:val="22"/>
              </w:rPr>
              <w:t>la labor que sigue realizando el Comité Científico del Programa de Tsunamis del Decenio del Océano (ODTP-SC);</w:t>
            </w:r>
          </w:p>
          <w:p w14:paraId="73DFC12E" w14:textId="77777777" w:rsidR="003A60E3" w:rsidRPr="00577FAF" w:rsidRDefault="00CB6A57" w:rsidP="006B65EB">
            <w:pPr>
              <w:numPr>
                <w:ilvl w:val="0"/>
                <w:numId w:val="34"/>
              </w:numPr>
              <w:spacing w:after="120"/>
              <w:ind w:left="1134" w:hanging="567"/>
              <w:jc w:val="both"/>
              <w:rPr>
                <w:rFonts w:ascii="Arial" w:hAnsi="Arial" w:cs="Arial"/>
                <w:b/>
                <w:iCs/>
                <w:sz w:val="22"/>
                <w:szCs w:val="22"/>
              </w:rPr>
            </w:pPr>
            <w:r w:rsidRPr="00577FAF">
              <w:rPr>
                <w:rFonts w:ascii="Arial" w:hAnsi="Arial" w:cs="Arial"/>
                <w:sz w:val="22"/>
                <w:szCs w:val="22"/>
              </w:rPr>
              <w:t>la publicación del Plan de Investigación, Desarrollo y Ejecución del Programa de Tsunamis del Decenio del Océano (</w:t>
            </w:r>
            <w:hyperlink r:id="rId20" w:history="1">
              <w:r w:rsidRPr="00577FAF">
                <w:rPr>
                  <w:rStyle w:val="Hyperlink"/>
                  <w:rFonts w:ascii="Arial" w:hAnsi="Arial" w:cs="Arial"/>
                  <w:sz w:val="22"/>
                  <w:szCs w:val="22"/>
                </w:rPr>
                <w:t>IOC/2023/TS/180</w:t>
              </w:r>
            </w:hyperlink>
            <w:r w:rsidRPr="00577FAF">
              <w:rPr>
                <w:rFonts w:ascii="Arial" w:hAnsi="Arial" w:cs="Arial"/>
                <w:sz w:val="22"/>
                <w:szCs w:val="22"/>
              </w:rPr>
              <w:t>);</w:t>
            </w:r>
            <w:bookmarkStart w:id="143" w:name="_Hlk164360209"/>
            <w:bookmarkEnd w:id="143"/>
          </w:p>
          <w:p w14:paraId="6A02F5FF" w14:textId="77777777" w:rsidR="003A60E3" w:rsidRPr="00577FAF" w:rsidRDefault="00CB6A57" w:rsidP="006B65EB">
            <w:pPr>
              <w:numPr>
                <w:ilvl w:val="0"/>
                <w:numId w:val="34"/>
              </w:numPr>
              <w:spacing w:after="120"/>
              <w:ind w:left="1134" w:hanging="567"/>
              <w:jc w:val="both"/>
              <w:rPr>
                <w:rFonts w:ascii="Arial" w:hAnsi="Arial" w:cs="Arial"/>
                <w:b/>
                <w:iCs/>
                <w:sz w:val="22"/>
                <w:szCs w:val="22"/>
              </w:rPr>
            </w:pPr>
            <w:r w:rsidRPr="00577FAF">
              <w:rPr>
                <w:rFonts w:ascii="Arial" w:hAnsi="Arial" w:cs="Arial"/>
                <w:sz w:val="22"/>
                <w:szCs w:val="22"/>
              </w:rPr>
              <w:t>la publicación del informe sobre la vigilancia y la alerta contra los tsunamis generados por volcanes (</w:t>
            </w:r>
            <w:hyperlink r:id="rId21" w:history="1">
              <w:r w:rsidRPr="00577FAF">
                <w:rPr>
                  <w:rStyle w:val="Hyperlink"/>
                  <w:rFonts w:ascii="Arial" w:hAnsi="Arial" w:cs="Arial"/>
                  <w:sz w:val="22"/>
                  <w:szCs w:val="22"/>
                </w:rPr>
                <w:t>IOC/2024/TS/183</w:t>
              </w:r>
            </w:hyperlink>
            <w:r w:rsidRPr="00577FAF">
              <w:rPr>
                <w:rFonts w:ascii="Arial" w:hAnsi="Arial" w:cs="Arial"/>
                <w:sz w:val="22"/>
                <w:szCs w:val="22"/>
              </w:rPr>
              <w:t>), elaborado por el equipo especial sobre tsunamis generados por volcanes del Equipo de Trabajo de los ICG sobre Operaciones de Vigilancia de los Tsunamis (TT-TWO);</w:t>
            </w:r>
            <w:bookmarkStart w:id="144" w:name="_Hlk164356429"/>
            <w:bookmarkEnd w:id="144"/>
          </w:p>
          <w:p w14:paraId="0EA4343F" w14:textId="0729F7B8" w:rsidR="003A60E3" w:rsidRPr="00577FAF" w:rsidRDefault="00CB6A57" w:rsidP="006B65EB">
            <w:pPr>
              <w:numPr>
                <w:ilvl w:val="0"/>
                <w:numId w:val="34"/>
              </w:numPr>
              <w:spacing w:after="120"/>
              <w:ind w:left="1134" w:hanging="567"/>
              <w:jc w:val="both"/>
              <w:rPr>
                <w:rFonts w:ascii="Arial" w:hAnsi="Arial" w:cs="Arial"/>
                <w:b/>
                <w:iCs/>
                <w:sz w:val="22"/>
                <w:szCs w:val="22"/>
              </w:rPr>
            </w:pPr>
            <w:r w:rsidRPr="00577FAF">
              <w:rPr>
                <w:rFonts w:ascii="Arial" w:hAnsi="Arial" w:cs="Arial"/>
                <w:sz w:val="22"/>
                <w:szCs w:val="22"/>
              </w:rPr>
              <w:t xml:space="preserve">la información actualizada proporcionada sobre las reuniones de la Unión Internacional de Geodesia y Geofísica (IUGG) organizadas en 2023-2024, y en particular: la participación de miembros de la IUGG en la reunión del ODTP-SC el 25 de enero de 2024; la colaboración en la organización del octavo taller técnico de la Comisión Conjunta sobre Tsunamis (JTC), el 11 de septiembre de 2023, con ocasión de la 30ª reunión del ICG/PTWS, sobre la comprensión y las enseñanzas extraídas del tsunami generado por la erupción del volcán Hunga Tonga-Hunga Haʻapai el 15 de enero de 2022; la participación </w:t>
            </w:r>
            <w:r w:rsidR="0041246D" w:rsidRPr="00577FAF">
              <w:rPr>
                <w:rFonts w:ascii="Arial" w:hAnsi="Arial" w:cs="Arial"/>
                <w:sz w:val="22"/>
                <w:szCs w:val="22"/>
              </w:rPr>
              <w:t xml:space="preserve">prevista </w:t>
            </w:r>
            <w:r w:rsidRPr="00577FAF">
              <w:rPr>
                <w:rFonts w:ascii="Arial" w:hAnsi="Arial" w:cs="Arial"/>
                <w:sz w:val="22"/>
                <w:szCs w:val="22"/>
              </w:rPr>
              <w:t xml:space="preserve">en el </w:t>
            </w:r>
            <w:hyperlink r:id="rId22" w:history="1">
              <w:r w:rsidRPr="00577FAF">
                <w:rPr>
                  <w:rStyle w:val="Hyperlink"/>
                  <w:rFonts w:ascii="Arial" w:hAnsi="Arial" w:cs="Arial"/>
                  <w:sz w:val="22"/>
                  <w:szCs w:val="22"/>
                </w:rPr>
                <w:t>Segundo Simposio Mundial de la COI-UNESCO sobre los Tsunamis</w:t>
              </w:r>
            </w:hyperlink>
            <w:r w:rsidRPr="00577FAF">
              <w:rPr>
                <w:rFonts w:ascii="Arial" w:hAnsi="Arial" w:cs="Arial"/>
                <w:sz w:val="22"/>
                <w:szCs w:val="22"/>
              </w:rPr>
              <w:t xml:space="preserve">, dedicado a la reflexión sobre los 20 años transcurridos tras el tsunami del océano Índico de 2004, del 11 al 14 de noviembre de 2024; así como sus contribuciones a varios informes, como el informe </w:t>
            </w:r>
            <w:hyperlink r:id="rId23" w:history="1">
              <w:r w:rsidRPr="00577FAF">
                <w:rPr>
                  <w:rStyle w:val="Hyperlink"/>
                  <w:rFonts w:ascii="Arial" w:hAnsi="Arial" w:cs="Arial"/>
                  <w:sz w:val="22"/>
                  <w:szCs w:val="22"/>
                </w:rPr>
                <w:t>IOC/2024/TS/183</w:t>
              </w:r>
            </w:hyperlink>
            <w:r w:rsidRPr="00577FAF">
              <w:rPr>
                <w:rFonts w:ascii="Arial" w:hAnsi="Arial" w:cs="Arial"/>
                <w:sz w:val="22"/>
                <w:szCs w:val="22"/>
              </w:rPr>
              <w:t>;</w:t>
            </w:r>
            <w:bookmarkStart w:id="145" w:name="_Hlk164360049"/>
            <w:bookmarkStart w:id="146" w:name="_Hlk164356187"/>
            <w:bookmarkEnd w:id="145"/>
            <w:bookmarkEnd w:id="146"/>
          </w:p>
          <w:p w14:paraId="4C750AFC" w14:textId="77777777" w:rsidR="003A60E3" w:rsidRPr="00577FAF" w:rsidRDefault="00CB6A57" w:rsidP="006B65EB">
            <w:pPr>
              <w:numPr>
                <w:ilvl w:val="0"/>
                <w:numId w:val="34"/>
              </w:numPr>
              <w:spacing w:after="120"/>
              <w:ind w:left="1134" w:hanging="567"/>
              <w:jc w:val="both"/>
              <w:rPr>
                <w:rFonts w:ascii="Arial" w:hAnsi="Arial" w:cs="Arial"/>
                <w:b/>
                <w:iCs/>
                <w:sz w:val="22"/>
                <w:szCs w:val="22"/>
              </w:rPr>
            </w:pPr>
            <w:r w:rsidRPr="00577FAF">
              <w:rPr>
                <w:rFonts w:ascii="Arial" w:hAnsi="Arial" w:cs="Arial"/>
                <w:sz w:val="22"/>
                <w:szCs w:val="22"/>
              </w:rPr>
              <w:t xml:space="preserve">la labor del Centro Internacional de Información sobre los Tsunamis (ITIC) y del ICG/PTWS para la elaboración de un </w:t>
            </w:r>
            <w:hyperlink r:id="rId24" w:history="1">
              <w:r w:rsidRPr="00577FAF">
                <w:rPr>
                  <w:rStyle w:val="Hyperlink"/>
                  <w:rFonts w:ascii="Arial" w:hAnsi="Arial" w:cs="Arial"/>
                  <w:sz w:val="22"/>
                  <w:szCs w:val="22"/>
                </w:rPr>
                <w:t>marco de competencias de los centros nacionales de alerta contra los tsunamis</w:t>
              </w:r>
            </w:hyperlink>
            <w:r w:rsidRPr="00577FAF">
              <w:rPr>
                <w:rFonts w:ascii="Arial" w:hAnsi="Arial" w:cs="Arial"/>
                <w:sz w:val="22"/>
                <w:szCs w:val="22"/>
              </w:rPr>
              <w:t xml:space="preserve"> del PTWS;</w:t>
            </w:r>
          </w:p>
          <w:p w14:paraId="413344EE" w14:textId="77777777" w:rsidR="003A60E3" w:rsidRPr="00577FAF" w:rsidRDefault="00CB6A57" w:rsidP="006B65EB">
            <w:pPr>
              <w:numPr>
                <w:ilvl w:val="0"/>
                <w:numId w:val="34"/>
              </w:numPr>
              <w:spacing w:after="120"/>
              <w:ind w:left="1134" w:hanging="567"/>
              <w:jc w:val="both"/>
              <w:rPr>
                <w:rFonts w:ascii="Arial" w:hAnsi="Arial" w:cs="Arial"/>
                <w:b/>
                <w:iCs/>
                <w:sz w:val="22"/>
                <w:szCs w:val="22"/>
              </w:rPr>
            </w:pPr>
            <w:r w:rsidRPr="00577FAF">
              <w:rPr>
                <w:rFonts w:ascii="Arial" w:hAnsi="Arial" w:cs="Arial"/>
                <w:sz w:val="22"/>
                <w:szCs w:val="22"/>
              </w:rPr>
              <w:t>la amplia labor de preparación y el apoyo de la Agencia de Meteorología, Climatología y Geofísica (BMKG) de Indonesia para acoger el Segundo Simposio Mundial de la COI-UNESCO sobre los Tsunamis, del 11 al 14 de noviembre de 2024 en Banda Aceh;</w:t>
            </w:r>
          </w:p>
          <w:p w14:paraId="66E84111" w14:textId="77777777" w:rsidR="003A60E3" w:rsidRPr="00577FAF" w:rsidRDefault="00CB6A57" w:rsidP="006B65EB">
            <w:pPr>
              <w:numPr>
                <w:ilvl w:val="0"/>
                <w:numId w:val="34"/>
              </w:numPr>
              <w:spacing w:after="120"/>
              <w:ind w:left="1134" w:hanging="567"/>
              <w:jc w:val="both"/>
              <w:rPr>
                <w:rFonts w:ascii="Arial" w:hAnsi="Arial" w:cs="Arial"/>
                <w:b/>
                <w:iCs/>
                <w:sz w:val="22"/>
                <w:szCs w:val="22"/>
              </w:rPr>
            </w:pPr>
            <w:r w:rsidRPr="00577FAF">
              <w:rPr>
                <w:rFonts w:ascii="Arial" w:hAnsi="Arial" w:cs="Arial"/>
                <w:sz w:val="22"/>
                <w:szCs w:val="22"/>
              </w:rPr>
              <w:t>la labor del TT-TWO para la elaboración de boletines para proveedores de servicios sobre tsunamis específicos para la comunidad marítima, en consulta con el Subcomité sobre el Servicio Mundial de Radioavisos Náuticos (WWNWS-SC) de la Organización Hidrográfica Internacional (OHI);</w:t>
            </w:r>
          </w:p>
          <w:p w14:paraId="77150483" w14:textId="77777777" w:rsidR="003A60E3" w:rsidRPr="00577FAF" w:rsidRDefault="00CB6A57" w:rsidP="006B65EB">
            <w:pPr>
              <w:numPr>
                <w:ilvl w:val="0"/>
                <w:numId w:val="34"/>
              </w:numPr>
              <w:spacing w:after="120"/>
              <w:ind w:left="1134" w:hanging="567"/>
              <w:jc w:val="both"/>
              <w:rPr>
                <w:rFonts w:ascii="Arial" w:hAnsi="Arial" w:cs="Arial"/>
                <w:b/>
                <w:iCs/>
                <w:sz w:val="22"/>
                <w:szCs w:val="22"/>
              </w:rPr>
            </w:pPr>
            <w:r w:rsidRPr="00577FAF">
              <w:rPr>
                <w:rFonts w:ascii="Arial" w:hAnsi="Arial" w:cs="Arial"/>
                <w:sz w:val="22"/>
                <w:szCs w:val="22"/>
              </w:rPr>
              <w:t>la participación de los centros de información sobre los tsunamis en la labor de los equipos de trabajo de los ICG sobre gestión de desastres y preparación (TT-DMP) y sobre operaciones de vigilancia de los tsunamis (TT-TWO);</w:t>
            </w:r>
          </w:p>
          <w:p w14:paraId="7C5AFF89" w14:textId="418B8FEE" w:rsidR="003A60E3" w:rsidRPr="00577FAF" w:rsidRDefault="00CB6A57" w:rsidP="006B65EB">
            <w:pPr>
              <w:numPr>
                <w:ilvl w:val="0"/>
                <w:numId w:val="34"/>
              </w:numPr>
              <w:spacing w:after="120"/>
              <w:ind w:left="1134" w:hanging="567"/>
              <w:jc w:val="both"/>
              <w:rPr>
                <w:rFonts w:ascii="Arial" w:hAnsi="Arial" w:cs="Arial"/>
                <w:b/>
                <w:iCs/>
                <w:sz w:val="22"/>
                <w:szCs w:val="22"/>
              </w:rPr>
            </w:pPr>
            <w:r w:rsidRPr="00577FAF">
              <w:rPr>
                <w:rFonts w:ascii="Arial" w:hAnsi="Arial" w:cs="Arial"/>
                <w:sz w:val="22"/>
                <w:szCs w:val="22"/>
              </w:rPr>
              <w:t>la participación de los centros de información sobre los tsunamis en el fomento de la concienciación y la preparación de las comunidades para propiciar una respuesta eficaz a las alertas de tsunami, el apoyo fundamental prestado a los Estados Miembros para facilitar la preparación y la resiliencia frente a los tsunamis, así como el avance de los programas de trabajo del TOWS-WG y sus equipos de trabajo de los ICG;</w:t>
            </w:r>
          </w:p>
          <w:p w14:paraId="4A0A24FA" w14:textId="77777777" w:rsidR="003A60E3" w:rsidRPr="00577FAF" w:rsidRDefault="00CB6A57" w:rsidP="006B65EB">
            <w:pPr>
              <w:numPr>
                <w:ilvl w:val="0"/>
                <w:numId w:val="34"/>
              </w:numPr>
              <w:spacing w:after="120"/>
              <w:ind w:left="1134" w:hanging="567"/>
              <w:jc w:val="both"/>
              <w:rPr>
                <w:rFonts w:ascii="Arial" w:hAnsi="Arial" w:cs="Arial"/>
                <w:b/>
                <w:iCs/>
                <w:sz w:val="22"/>
                <w:szCs w:val="22"/>
              </w:rPr>
            </w:pPr>
            <w:r w:rsidRPr="00577FAF">
              <w:rPr>
                <w:rFonts w:ascii="Arial" w:hAnsi="Arial" w:cs="Arial"/>
                <w:sz w:val="22"/>
                <w:szCs w:val="22"/>
              </w:rPr>
              <w:lastRenderedPageBreak/>
              <w:t>los progresos que ha seguido habiendo en la ejecución del Programa de Reconocimiento Tsunami Ready de la UNESCO/COI en las regiones del Caribe, el océano Índico, el Pacífico y el Atlántico Nororiental y el Mediterráneo y mares adyacentes;</w:t>
            </w:r>
          </w:p>
          <w:p w14:paraId="02396E8E" w14:textId="77777777" w:rsidR="004C1803" w:rsidRPr="00577FAF" w:rsidRDefault="00CB6A57" w:rsidP="006B65EB">
            <w:pPr>
              <w:numPr>
                <w:ilvl w:val="0"/>
                <w:numId w:val="34"/>
              </w:numPr>
              <w:spacing w:after="120"/>
              <w:ind w:left="1134" w:hanging="567"/>
              <w:jc w:val="both"/>
              <w:rPr>
                <w:rFonts w:ascii="Arial" w:hAnsi="Arial" w:cs="Arial"/>
                <w:sz w:val="22"/>
                <w:szCs w:val="22"/>
              </w:rPr>
            </w:pPr>
            <w:r w:rsidRPr="00577FAF">
              <w:rPr>
                <w:rFonts w:ascii="Arial" w:hAnsi="Arial" w:cs="Arial"/>
                <w:sz w:val="22"/>
                <w:szCs w:val="22"/>
              </w:rPr>
              <w:t>el municipio de Cannes (Alpes Marítimos, Francia), primera comunidad de Francia y la región del Atlántico Nororiental y el Mediterráneo y mares adyacentes que recibe el reconocimiento Tsunami Ready de la UNESCO/COI; nuevas comunidades en Indonesia (Nagari Tapakih), en el océano Índico; Barbados (Christ Church West), Guadalupe (Deshaies) y San Vicente y las Granadinas (Saint George), en el Caribe; y Costa Rica (Dominical, Dominicalito y Barú; Playa Hermosa; Puerto Jiménez y Tivives) y Fiji (Navuevu, Sila), en el Pacífico;</w:t>
            </w:r>
          </w:p>
          <w:p w14:paraId="7052E7FE" w14:textId="77777777" w:rsidR="003A60E3" w:rsidRPr="00577FAF" w:rsidRDefault="00CB6A57" w:rsidP="006B65EB">
            <w:pPr>
              <w:numPr>
                <w:ilvl w:val="0"/>
                <w:numId w:val="34"/>
              </w:numPr>
              <w:spacing w:after="120"/>
              <w:ind w:left="1134" w:hanging="567"/>
              <w:jc w:val="both"/>
              <w:rPr>
                <w:rFonts w:ascii="Arial" w:hAnsi="Arial" w:cs="Arial"/>
                <w:b/>
                <w:iCs/>
                <w:sz w:val="22"/>
                <w:szCs w:val="22"/>
              </w:rPr>
            </w:pPr>
            <w:r w:rsidRPr="00577FAF">
              <w:rPr>
                <w:rFonts w:ascii="Arial" w:hAnsi="Arial" w:cs="Arial"/>
                <w:sz w:val="22"/>
                <w:szCs w:val="22"/>
              </w:rPr>
              <w:t>los progresos realizados por el ICG/PTWS en cuanto a la búsqueda de mecanismos para incluir los programas e iniciativas nacionales de preparación y disposición operativa para casos de tsunami en el Programa de Tsunamis del Decenio del Océano, así como el enfoque de equivalencia de Tsunami Ready en el marco de otras iniciativas similares, que tiene por objeto facilitar la presentación de información sobre la preparación para casos de tsunami de manera compatible con el Programa de Reconocimiento Tsunami Ready de la UNESCO/COI, utilizando los marcos y requisitos nacionales existentes;</w:t>
            </w:r>
          </w:p>
          <w:p w14:paraId="379AF423" w14:textId="77777777" w:rsidR="003A60E3" w:rsidRPr="00577FAF" w:rsidRDefault="00CB6A57" w:rsidP="006B65EB">
            <w:pPr>
              <w:numPr>
                <w:ilvl w:val="0"/>
                <w:numId w:val="34"/>
              </w:numPr>
              <w:spacing w:after="120"/>
              <w:ind w:left="1134" w:hanging="567"/>
              <w:jc w:val="both"/>
              <w:rPr>
                <w:rFonts w:ascii="Arial" w:hAnsi="Arial" w:cs="Arial"/>
                <w:b/>
                <w:iCs/>
                <w:sz w:val="22"/>
                <w:szCs w:val="22"/>
              </w:rPr>
            </w:pPr>
            <w:r w:rsidRPr="00577FAF">
              <w:rPr>
                <w:rFonts w:ascii="Arial" w:hAnsi="Arial" w:cs="Arial"/>
                <w:sz w:val="22"/>
                <w:szCs w:val="22"/>
              </w:rPr>
              <w:t>el mantenimiento de la colaboración entre la Oficina de las Naciones Unidas para la Reducción del Riesgo de Desastres (UNDRR) y la COI con motivo del Día Mundial de Concienciación sobre los Tsunamis en 2023 y la exitosa ampliación de la campaña de movilización #AZonasAltas a escala mundial;</w:t>
            </w:r>
          </w:p>
          <w:p w14:paraId="4E94ACAB" w14:textId="60706AFB" w:rsidR="003A60E3" w:rsidRPr="00577FAF" w:rsidRDefault="00CB6A57" w:rsidP="006B65EB">
            <w:pPr>
              <w:numPr>
                <w:ilvl w:val="0"/>
                <w:numId w:val="34"/>
              </w:numPr>
              <w:spacing w:after="120"/>
              <w:ind w:left="1134" w:hanging="567"/>
              <w:jc w:val="both"/>
              <w:rPr>
                <w:rFonts w:ascii="Arial" w:hAnsi="Arial" w:cs="Arial"/>
                <w:b/>
                <w:iCs/>
                <w:sz w:val="22"/>
                <w:szCs w:val="22"/>
              </w:rPr>
            </w:pPr>
            <w:r w:rsidRPr="00577FAF">
              <w:rPr>
                <w:rFonts w:ascii="Arial" w:hAnsi="Arial" w:cs="Arial"/>
                <w:sz w:val="22"/>
                <w:szCs w:val="22"/>
              </w:rPr>
              <w:t>el trabajo realizado en Indonesia sobre la preparación para casos de tsunami de varios tipos de infraestructuras críticas: 1)</w:t>
            </w:r>
            <w:r w:rsidR="00CE600D" w:rsidRPr="00577FAF">
              <w:rPr>
                <w:rFonts w:ascii="Arial" w:hAnsi="Arial" w:cs="Arial"/>
                <w:sz w:val="22"/>
                <w:szCs w:val="22"/>
              </w:rPr>
              <w:t> </w:t>
            </w:r>
            <w:r w:rsidRPr="00577FAF">
              <w:rPr>
                <w:rFonts w:ascii="Arial" w:hAnsi="Arial" w:cs="Arial"/>
                <w:sz w:val="22"/>
                <w:szCs w:val="22"/>
              </w:rPr>
              <w:t>aeropuerto internacional de Yogyakarta; 2)</w:t>
            </w:r>
            <w:r w:rsidR="00CE600D" w:rsidRPr="00577FAF">
              <w:rPr>
                <w:rFonts w:ascii="Arial" w:hAnsi="Arial" w:cs="Arial"/>
                <w:sz w:val="22"/>
                <w:szCs w:val="22"/>
              </w:rPr>
              <w:t> </w:t>
            </w:r>
            <w:r w:rsidRPr="00577FAF">
              <w:rPr>
                <w:rFonts w:ascii="Arial" w:hAnsi="Arial" w:cs="Arial"/>
                <w:sz w:val="22"/>
                <w:szCs w:val="22"/>
              </w:rPr>
              <w:t>hoteles de Bali; y 3)</w:t>
            </w:r>
            <w:r w:rsidR="00CE600D" w:rsidRPr="00577FAF">
              <w:rPr>
                <w:rFonts w:ascii="Arial" w:hAnsi="Arial" w:cs="Arial"/>
                <w:sz w:val="22"/>
                <w:szCs w:val="22"/>
              </w:rPr>
              <w:t> </w:t>
            </w:r>
            <w:r w:rsidRPr="00577FAF">
              <w:rPr>
                <w:rFonts w:ascii="Arial" w:hAnsi="Arial" w:cs="Arial"/>
                <w:sz w:val="22"/>
                <w:szCs w:val="22"/>
              </w:rPr>
              <w:t>enseñanzas extraídas del polígono industrial de Cilegon para determinar las necesidades de las zonas industriales; esta labor podría constituir la base para la elaboración de directrices sobre la preparación de las infraestructuras críticas para casos de tsunami, con el fin de contribuir a la consecución del objetivo 2 del Programa de Tsunamis del Decenio del Océano de lograr que el 100 % de las personas en riesgo estén preparadas y sean resilientes frente a los tsunamis de aquí a 2030;</w:t>
            </w:r>
          </w:p>
          <w:p w14:paraId="38B100AD" w14:textId="77777777" w:rsidR="003A60E3" w:rsidRPr="00577FAF" w:rsidRDefault="00CB6A57" w:rsidP="006B65EB">
            <w:pPr>
              <w:numPr>
                <w:ilvl w:val="0"/>
                <w:numId w:val="34"/>
              </w:numPr>
              <w:spacing w:after="120"/>
              <w:ind w:left="1134" w:hanging="567"/>
              <w:jc w:val="both"/>
              <w:rPr>
                <w:rFonts w:ascii="Arial" w:hAnsi="Arial" w:cs="Arial"/>
                <w:b/>
                <w:iCs/>
                <w:sz w:val="22"/>
                <w:szCs w:val="22"/>
              </w:rPr>
            </w:pPr>
            <w:r w:rsidRPr="00577FAF">
              <w:rPr>
                <w:rFonts w:ascii="Arial" w:hAnsi="Arial" w:cs="Arial"/>
                <w:sz w:val="22"/>
                <w:szCs w:val="22"/>
              </w:rPr>
              <w:t>los avances y la situación de la aplicación de la norma ISO 22328-3 en Indonesia (sistemas comunitarios de alerta temprana contra los tsunamis), que tiene por objeto la preparación a gran escala del sector privado para casos de tsunami;</w:t>
            </w:r>
          </w:p>
          <w:p w14:paraId="7973BD8B" w14:textId="77777777" w:rsidR="003A60E3" w:rsidRPr="00577FAF" w:rsidRDefault="00CB6A57" w:rsidP="006B65EB">
            <w:pPr>
              <w:numPr>
                <w:ilvl w:val="0"/>
                <w:numId w:val="16"/>
              </w:numPr>
              <w:spacing w:after="120"/>
              <w:ind w:left="567" w:hanging="567"/>
              <w:jc w:val="both"/>
              <w:rPr>
                <w:rFonts w:ascii="Arial" w:hAnsi="Arial" w:cs="Arial"/>
                <w:b/>
                <w:iCs/>
                <w:sz w:val="22"/>
                <w:szCs w:val="22"/>
              </w:rPr>
            </w:pPr>
            <w:r w:rsidRPr="00577FAF">
              <w:rPr>
                <w:rFonts w:ascii="Arial" w:hAnsi="Arial" w:cs="Arial"/>
                <w:sz w:val="22"/>
                <w:szCs w:val="22"/>
                <w:u w:val="single"/>
              </w:rPr>
              <w:t>Toma nota con reconocimiento</w:t>
            </w:r>
            <w:r w:rsidRPr="00577FAF">
              <w:rPr>
                <w:rFonts w:ascii="Arial" w:hAnsi="Arial" w:cs="Arial"/>
                <w:sz w:val="22"/>
                <w:szCs w:val="22"/>
              </w:rPr>
              <w:t xml:space="preserve"> de la labor de la Agencia de Cooperación Internacional del Japón (JICA) en materia de reducción del riesgo de desastres y sistemas de alerta temprana contra los tsunamis y atenuación de sus efectos y </w:t>
            </w:r>
            <w:r w:rsidRPr="00577FAF">
              <w:rPr>
                <w:rFonts w:ascii="Arial" w:hAnsi="Arial" w:cs="Arial"/>
                <w:sz w:val="22"/>
                <w:szCs w:val="22"/>
                <w:u w:val="single"/>
              </w:rPr>
              <w:t>alienta</w:t>
            </w:r>
            <w:r w:rsidRPr="00577FAF">
              <w:rPr>
                <w:rFonts w:ascii="Arial" w:hAnsi="Arial" w:cs="Arial"/>
                <w:sz w:val="22"/>
                <w:szCs w:val="22"/>
              </w:rPr>
              <w:t xml:space="preserve"> a que se estreche la colaboración con la JICA;</w:t>
            </w:r>
          </w:p>
          <w:p w14:paraId="683B6F63" w14:textId="77777777" w:rsidR="003A60E3" w:rsidRPr="00577FAF" w:rsidRDefault="00CB6A57" w:rsidP="006B65EB">
            <w:pPr>
              <w:numPr>
                <w:ilvl w:val="0"/>
                <w:numId w:val="16"/>
              </w:numPr>
              <w:spacing w:after="120"/>
              <w:ind w:left="567" w:hanging="567"/>
              <w:jc w:val="both"/>
              <w:rPr>
                <w:rFonts w:ascii="Arial" w:hAnsi="Arial" w:cs="Arial"/>
                <w:b/>
                <w:iCs/>
                <w:sz w:val="22"/>
                <w:szCs w:val="22"/>
              </w:rPr>
            </w:pPr>
            <w:r w:rsidRPr="00577FAF">
              <w:rPr>
                <w:rFonts w:ascii="Arial" w:hAnsi="Arial" w:cs="Arial"/>
                <w:sz w:val="22"/>
                <w:szCs w:val="22"/>
                <w:u w:val="single"/>
              </w:rPr>
              <w:t>Toma nota con reconocimiento también</w:t>
            </w:r>
            <w:r w:rsidRPr="00577FAF">
              <w:rPr>
                <w:rFonts w:ascii="Arial" w:hAnsi="Arial" w:cs="Arial"/>
                <w:sz w:val="22"/>
                <w:szCs w:val="22"/>
              </w:rPr>
              <w:t xml:space="preserve"> de los importantes compromisos de Barbados, Indonesia y los Estados Unidos de América para albergar el CTIC, el IOTIC y el ITIC a fin de apoyar a los ICG, así como de Australia para albergar la oficina de la Secretaría del ICG/IOTWMS;</w:t>
            </w:r>
          </w:p>
          <w:p w14:paraId="4B2D0666" w14:textId="77777777" w:rsidR="003A60E3" w:rsidRPr="00577FAF" w:rsidRDefault="00CB6A57" w:rsidP="006B65EB">
            <w:pPr>
              <w:numPr>
                <w:ilvl w:val="0"/>
                <w:numId w:val="16"/>
              </w:numPr>
              <w:spacing w:after="120"/>
              <w:ind w:left="567" w:hanging="567"/>
              <w:jc w:val="both"/>
              <w:rPr>
                <w:rFonts w:ascii="Arial" w:hAnsi="Arial" w:cs="Arial"/>
                <w:b/>
                <w:iCs/>
                <w:sz w:val="22"/>
                <w:szCs w:val="22"/>
              </w:rPr>
            </w:pPr>
            <w:r w:rsidRPr="00577FAF">
              <w:rPr>
                <w:rFonts w:ascii="Arial" w:hAnsi="Arial" w:cs="Arial"/>
                <w:sz w:val="22"/>
                <w:szCs w:val="22"/>
                <w:u w:val="single"/>
              </w:rPr>
              <w:t>Acoge con beneplácito</w:t>
            </w:r>
            <w:r w:rsidRPr="00577FAF">
              <w:rPr>
                <w:rFonts w:ascii="Arial" w:hAnsi="Arial" w:cs="Arial"/>
                <w:sz w:val="22"/>
                <w:szCs w:val="22"/>
              </w:rPr>
              <w:t xml:space="preserve"> la designación de las nuevas mesas del ICG/NEAMTWS y del ICG/PTWS para los bienios 2024-2025 y 2023-2025, respectivamente;</w:t>
            </w:r>
          </w:p>
          <w:p w14:paraId="288EDE76" w14:textId="77777777" w:rsidR="0041246D" w:rsidRPr="00577FAF" w:rsidRDefault="00CB6A57" w:rsidP="00231BD6">
            <w:pPr>
              <w:keepNext/>
              <w:ind w:left="360"/>
              <w:jc w:val="center"/>
              <w:rPr>
                <w:rFonts w:asciiTheme="minorBidi" w:hAnsiTheme="minorBidi" w:cstheme="minorBidi"/>
                <w:b/>
                <w:bCs/>
                <w:sz w:val="22"/>
                <w:szCs w:val="22"/>
              </w:rPr>
            </w:pPr>
            <w:r w:rsidRPr="00577FAF">
              <w:rPr>
                <w:rFonts w:asciiTheme="minorBidi" w:hAnsiTheme="minorBidi" w:cstheme="minorBidi"/>
                <w:b/>
                <w:bCs/>
                <w:sz w:val="22"/>
                <w:szCs w:val="22"/>
              </w:rPr>
              <w:lastRenderedPageBreak/>
              <w:t xml:space="preserve">Parte I: </w:t>
            </w:r>
          </w:p>
          <w:p w14:paraId="195B644E" w14:textId="7F20CE14" w:rsidR="003A60E3" w:rsidRPr="00577FAF" w:rsidRDefault="00CB6A57" w:rsidP="00231BD6">
            <w:pPr>
              <w:keepNext/>
              <w:ind w:left="360"/>
              <w:jc w:val="center"/>
              <w:rPr>
                <w:rFonts w:asciiTheme="minorBidi" w:hAnsiTheme="minorBidi" w:cstheme="minorBidi"/>
                <w:b/>
                <w:color w:val="0E101A"/>
                <w:sz w:val="22"/>
                <w:szCs w:val="22"/>
              </w:rPr>
            </w:pPr>
            <w:r w:rsidRPr="00577FAF">
              <w:rPr>
                <w:rFonts w:asciiTheme="minorBidi" w:hAnsiTheme="minorBidi" w:cstheme="minorBidi"/>
                <w:b/>
                <w:bCs/>
                <w:sz w:val="22"/>
                <w:szCs w:val="22"/>
              </w:rPr>
              <w:t>Grupo Intergubernamental de Coordinación del Sistema de Alerta contra los Tsunamis y otras Amenazas Costeras en el Caribe y Regiones Adyacentes (ICG/CARIBE-EWS)</w:t>
            </w:r>
          </w:p>
          <w:p w14:paraId="6223B15E" w14:textId="77777777" w:rsidR="003A60E3" w:rsidRPr="00577FAF" w:rsidRDefault="003A60E3" w:rsidP="00231BD6">
            <w:pPr>
              <w:keepNext/>
              <w:ind w:left="360"/>
              <w:jc w:val="center"/>
              <w:rPr>
                <w:rFonts w:asciiTheme="minorBidi" w:hAnsiTheme="minorBidi" w:cstheme="minorBidi"/>
                <w:b/>
                <w:color w:val="0E101A"/>
                <w:sz w:val="22"/>
                <w:szCs w:val="22"/>
              </w:rPr>
            </w:pPr>
          </w:p>
          <w:p w14:paraId="6CADA9BF" w14:textId="241AF4B4" w:rsidR="00CE4CA3" w:rsidRPr="00577FAF" w:rsidRDefault="00CE4CA3" w:rsidP="006B65EB">
            <w:pPr>
              <w:keepNext/>
              <w:numPr>
                <w:ilvl w:val="0"/>
                <w:numId w:val="16"/>
              </w:numPr>
              <w:spacing w:after="120"/>
              <w:ind w:left="567" w:hanging="567"/>
              <w:jc w:val="both"/>
              <w:rPr>
                <w:rFonts w:asciiTheme="minorBidi" w:hAnsiTheme="minorBidi" w:cstheme="minorBidi"/>
                <w:b/>
                <w:color w:val="0E101A"/>
                <w:sz w:val="22"/>
                <w:szCs w:val="22"/>
              </w:rPr>
            </w:pPr>
            <w:r w:rsidRPr="00577FAF">
              <w:rPr>
                <w:rFonts w:asciiTheme="minorBidi" w:hAnsiTheme="minorBidi" w:cstheme="minorBidi"/>
                <w:sz w:val="22"/>
                <w:szCs w:val="22"/>
                <w:u w:val="single"/>
              </w:rPr>
              <w:t>Toma nota con reconocimiento</w:t>
            </w:r>
            <w:r w:rsidR="00AE4ED1" w:rsidRPr="00577FAF">
              <w:rPr>
                <w:rFonts w:asciiTheme="minorBidi" w:hAnsiTheme="minorBidi" w:cstheme="minorBidi"/>
                <w:sz w:val="22"/>
                <w:szCs w:val="22"/>
              </w:rPr>
              <w:t xml:space="preserve"> de</w:t>
            </w:r>
            <w:r w:rsidRPr="00577FAF">
              <w:rPr>
                <w:rFonts w:asciiTheme="minorBidi" w:hAnsiTheme="minorBidi" w:cstheme="minorBidi"/>
                <w:sz w:val="22"/>
                <w:szCs w:val="22"/>
              </w:rPr>
              <w:t>:</w:t>
            </w:r>
          </w:p>
          <w:p w14:paraId="5D55E4F8" w14:textId="0757DE5F" w:rsidR="00CE4CA3" w:rsidRPr="00577FAF" w:rsidRDefault="00CE4CA3" w:rsidP="006B65EB">
            <w:pPr>
              <w:pStyle w:val="ListParagraph"/>
              <w:numPr>
                <w:ilvl w:val="0"/>
                <w:numId w:val="41"/>
              </w:numPr>
              <w:spacing w:after="120"/>
              <w:ind w:left="1134" w:hanging="567"/>
              <w:contextualSpacing w:val="0"/>
              <w:jc w:val="both"/>
              <w:rPr>
                <w:rFonts w:asciiTheme="minorBidi" w:hAnsiTheme="minorBidi" w:cstheme="minorBidi"/>
                <w:bCs/>
                <w:color w:val="0E101A"/>
                <w:sz w:val="22"/>
                <w:szCs w:val="22"/>
              </w:rPr>
            </w:pPr>
            <w:r w:rsidRPr="00577FAF">
              <w:rPr>
                <w:rFonts w:asciiTheme="minorBidi" w:hAnsiTheme="minorBidi" w:cstheme="minorBidi"/>
                <w:sz w:val="22"/>
                <w:szCs w:val="22"/>
              </w:rPr>
              <w:t xml:space="preserve">la creación del </w:t>
            </w:r>
            <w:r w:rsidR="008A32AD" w:rsidRPr="00577FAF">
              <w:rPr>
                <w:rFonts w:asciiTheme="minorBidi" w:hAnsiTheme="minorBidi" w:cstheme="minorBidi"/>
                <w:sz w:val="22"/>
                <w:szCs w:val="22"/>
              </w:rPr>
              <w:t>C</w:t>
            </w:r>
            <w:r w:rsidRPr="00577FAF">
              <w:rPr>
                <w:rFonts w:asciiTheme="minorBidi" w:hAnsiTheme="minorBidi" w:cstheme="minorBidi"/>
                <w:sz w:val="22"/>
                <w:szCs w:val="22"/>
              </w:rPr>
              <w:t xml:space="preserve">omité de </w:t>
            </w:r>
            <w:r w:rsidR="008A32AD" w:rsidRPr="00577FAF">
              <w:rPr>
                <w:rFonts w:asciiTheme="minorBidi" w:hAnsiTheme="minorBidi" w:cstheme="minorBidi"/>
                <w:sz w:val="22"/>
                <w:szCs w:val="22"/>
              </w:rPr>
              <w:t>D</w:t>
            </w:r>
            <w:r w:rsidRPr="00577FAF">
              <w:rPr>
                <w:rFonts w:asciiTheme="minorBidi" w:hAnsiTheme="minorBidi" w:cstheme="minorBidi"/>
                <w:sz w:val="22"/>
                <w:szCs w:val="22"/>
              </w:rPr>
              <w:t>irección del ICG/CARIBE-EWS como instrumento eficaz de</w:t>
            </w:r>
            <w:r w:rsidR="008A32AD" w:rsidRPr="00577FAF">
              <w:rPr>
                <w:rFonts w:asciiTheme="minorBidi" w:hAnsiTheme="minorBidi" w:cstheme="minorBidi"/>
                <w:sz w:val="22"/>
                <w:szCs w:val="22"/>
              </w:rPr>
              <w:t xml:space="preserve"> </w:t>
            </w:r>
            <w:r w:rsidRPr="00577FAF">
              <w:rPr>
                <w:rFonts w:asciiTheme="minorBidi" w:hAnsiTheme="minorBidi" w:cstheme="minorBidi"/>
                <w:sz w:val="22"/>
                <w:szCs w:val="22"/>
              </w:rPr>
              <w:t xml:space="preserve">gestión basada en los resultados, </w:t>
            </w:r>
            <w:r w:rsidR="008A32AD" w:rsidRPr="00577FAF">
              <w:rPr>
                <w:rFonts w:asciiTheme="minorBidi" w:hAnsiTheme="minorBidi" w:cstheme="minorBidi"/>
                <w:sz w:val="22"/>
                <w:szCs w:val="22"/>
              </w:rPr>
              <w:t>en particular</w:t>
            </w:r>
            <w:r w:rsidRPr="00577FAF">
              <w:rPr>
                <w:rFonts w:asciiTheme="minorBidi" w:hAnsiTheme="minorBidi" w:cstheme="minorBidi"/>
                <w:sz w:val="22"/>
                <w:szCs w:val="22"/>
              </w:rPr>
              <w:t xml:space="preserve"> para </w:t>
            </w:r>
            <w:r w:rsidR="008A32AD" w:rsidRPr="00577FAF">
              <w:rPr>
                <w:rFonts w:asciiTheme="minorBidi" w:hAnsiTheme="minorBidi" w:cstheme="minorBidi"/>
                <w:sz w:val="22"/>
                <w:szCs w:val="22"/>
              </w:rPr>
              <w:t>ejercer el control de</w:t>
            </w:r>
            <w:r w:rsidRPr="00577FAF">
              <w:rPr>
                <w:rFonts w:asciiTheme="minorBidi" w:hAnsiTheme="minorBidi" w:cstheme="minorBidi"/>
                <w:sz w:val="22"/>
                <w:szCs w:val="22"/>
              </w:rPr>
              <w:t xml:space="preserve"> la aplicación de sus decisiones y recomendaciones, y como paso hacia la armonización de las estructuras de gobernanza de</w:t>
            </w:r>
            <w:r w:rsidR="008A32AD" w:rsidRPr="00577FAF">
              <w:rPr>
                <w:rFonts w:asciiTheme="minorBidi" w:hAnsiTheme="minorBidi" w:cstheme="minorBidi"/>
                <w:sz w:val="22"/>
                <w:szCs w:val="22"/>
              </w:rPr>
              <w:t xml:space="preserve"> </w:t>
            </w:r>
            <w:r w:rsidRPr="00577FAF">
              <w:rPr>
                <w:rFonts w:asciiTheme="minorBidi" w:hAnsiTheme="minorBidi" w:cstheme="minorBidi"/>
                <w:sz w:val="22"/>
                <w:szCs w:val="22"/>
              </w:rPr>
              <w:t>l</w:t>
            </w:r>
            <w:r w:rsidR="008A32AD" w:rsidRPr="00577FAF">
              <w:rPr>
                <w:rFonts w:asciiTheme="minorBidi" w:hAnsiTheme="minorBidi" w:cstheme="minorBidi"/>
                <w:sz w:val="22"/>
                <w:szCs w:val="22"/>
              </w:rPr>
              <w:t>os grupos intergubernamentales de coordinación</w:t>
            </w:r>
            <w:r w:rsidRPr="00577FAF">
              <w:rPr>
                <w:rFonts w:asciiTheme="minorBidi" w:hAnsiTheme="minorBidi" w:cstheme="minorBidi"/>
                <w:sz w:val="22"/>
                <w:szCs w:val="22"/>
              </w:rPr>
              <w:t xml:space="preserve"> a escala mundial;</w:t>
            </w:r>
          </w:p>
          <w:p w14:paraId="433DDD2E" w14:textId="6F32F8DA" w:rsidR="00CE4CA3" w:rsidRPr="00577FAF" w:rsidRDefault="00AE4ED1" w:rsidP="006B65EB">
            <w:pPr>
              <w:pStyle w:val="ListParagraph"/>
              <w:numPr>
                <w:ilvl w:val="0"/>
                <w:numId w:val="41"/>
              </w:numPr>
              <w:spacing w:after="120"/>
              <w:ind w:left="1134" w:hanging="567"/>
              <w:contextualSpacing w:val="0"/>
              <w:jc w:val="both"/>
              <w:rPr>
                <w:rFonts w:asciiTheme="minorBidi" w:hAnsiTheme="minorBidi" w:cstheme="minorBidi"/>
                <w:bCs/>
                <w:color w:val="0E101A"/>
                <w:sz w:val="22"/>
                <w:szCs w:val="22"/>
              </w:rPr>
            </w:pPr>
            <w:r w:rsidRPr="00577FAF">
              <w:rPr>
                <w:rFonts w:asciiTheme="minorBidi" w:hAnsiTheme="minorBidi" w:cstheme="minorBidi"/>
                <w:sz w:val="22"/>
                <w:szCs w:val="22"/>
              </w:rPr>
              <w:t xml:space="preserve">el mantenimiento, con carácter provisional, de todas las funciones del Centro de Asesoramiento sobre los Tsunamis de América Central (CATAC), </w:t>
            </w:r>
            <w:r w:rsidR="00CE4CA3" w:rsidRPr="00577FAF">
              <w:rPr>
                <w:rFonts w:asciiTheme="minorBidi" w:hAnsiTheme="minorBidi" w:cstheme="minorBidi"/>
                <w:sz w:val="22"/>
                <w:szCs w:val="22"/>
              </w:rPr>
              <w:t>y el examen de la</w:t>
            </w:r>
            <w:r w:rsidRPr="00577FAF">
              <w:rPr>
                <w:rFonts w:asciiTheme="minorBidi" w:hAnsiTheme="minorBidi" w:cstheme="minorBidi"/>
                <w:sz w:val="22"/>
                <w:szCs w:val="22"/>
              </w:rPr>
              <w:t xml:space="preserve"> posibilidad de</w:t>
            </w:r>
            <w:r w:rsidR="00CE4CA3" w:rsidRPr="00577FAF">
              <w:rPr>
                <w:rFonts w:asciiTheme="minorBidi" w:hAnsiTheme="minorBidi" w:cstheme="minorBidi"/>
                <w:sz w:val="22"/>
                <w:szCs w:val="22"/>
              </w:rPr>
              <w:t xml:space="preserve"> designa</w:t>
            </w:r>
            <w:r w:rsidRPr="00577FAF">
              <w:rPr>
                <w:rFonts w:asciiTheme="minorBidi" w:hAnsiTheme="minorBidi" w:cstheme="minorBidi"/>
                <w:sz w:val="22"/>
                <w:szCs w:val="22"/>
              </w:rPr>
              <w:t>r al</w:t>
            </w:r>
            <w:r w:rsidR="00CE4CA3" w:rsidRPr="00577FAF">
              <w:rPr>
                <w:rFonts w:asciiTheme="minorBidi" w:hAnsiTheme="minorBidi" w:cstheme="minorBidi"/>
                <w:sz w:val="22"/>
                <w:szCs w:val="22"/>
              </w:rPr>
              <w:t xml:space="preserve"> CATAC </w:t>
            </w:r>
            <w:r w:rsidR="00581849" w:rsidRPr="00577FAF">
              <w:rPr>
                <w:rFonts w:asciiTheme="minorBidi" w:hAnsiTheme="minorBidi" w:cstheme="minorBidi"/>
                <w:sz w:val="22"/>
                <w:szCs w:val="22"/>
              </w:rPr>
              <w:t>como proveedor</w:t>
            </w:r>
            <w:r w:rsidRPr="00577FAF">
              <w:rPr>
                <w:rFonts w:asciiTheme="minorBidi" w:hAnsiTheme="minorBidi" w:cstheme="minorBidi"/>
                <w:sz w:val="22"/>
                <w:szCs w:val="22"/>
              </w:rPr>
              <w:t xml:space="preserve"> de servicios sobre tsunamis (</w:t>
            </w:r>
            <w:r w:rsidR="00CE4CA3" w:rsidRPr="00577FAF">
              <w:rPr>
                <w:rFonts w:asciiTheme="minorBidi" w:hAnsiTheme="minorBidi" w:cstheme="minorBidi"/>
                <w:sz w:val="22"/>
                <w:szCs w:val="22"/>
              </w:rPr>
              <w:t>TSP</w:t>
            </w:r>
            <w:r w:rsidRPr="00577FAF">
              <w:rPr>
                <w:rFonts w:asciiTheme="minorBidi" w:hAnsiTheme="minorBidi" w:cstheme="minorBidi"/>
                <w:sz w:val="22"/>
                <w:szCs w:val="22"/>
              </w:rPr>
              <w:t>)</w:t>
            </w:r>
            <w:r w:rsidR="00CE4CA3" w:rsidRPr="00577FAF">
              <w:rPr>
                <w:rFonts w:asciiTheme="minorBidi" w:hAnsiTheme="minorBidi" w:cstheme="minorBidi"/>
                <w:sz w:val="22"/>
                <w:szCs w:val="22"/>
              </w:rPr>
              <w:t xml:space="preserve"> en su 18ª reunión en 2025</w:t>
            </w:r>
            <w:r w:rsidRPr="00577FAF">
              <w:rPr>
                <w:rFonts w:asciiTheme="minorBidi" w:hAnsiTheme="minorBidi" w:cstheme="minorBidi"/>
                <w:sz w:val="22"/>
                <w:szCs w:val="22"/>
              </w:rPr>
              <w:t>, a fin de</w:t>
            </w:r>
            <w:r w:rsidR="00CE4CA3" w:rsidRPr="00577FAF">
              <w:rPr>
                <w:rFonts w:asciiTheme="minorBidi" w:hAnsiTheme="minorBidi" w:cstheme="minorBidi"/>
                <w:sz w:val="22"/>
                <w:szCs w:val="22"/>
              </w:rPr>
              <w:t xml:space="preserve"> que la Asamblea de la COI </w:t>
            </w:r>
            <w:r w:rsidRPr="00577FAF">
              <w:rPr>
                <w:rFonts w:asciiTheme="minorBidi" w:hAnsiTheme="minorBidi" w:cstheme="minorBidi"/>
                <w:sz w:val="22"/>
                <w:szCs w:val="22"/>
              </w:rPr>
              <w:t>pueda</w:t>
            </w:r>
            <w:r w:rsidR="00CE4CA3" w:rsidRPr="00577FAF">
              <w:rPr>
                <w:rFonts w:asciiTheme="minorBidi" w:hAnsiTheme="minorBidi" w:cstheme="minorBidi"/>
                <w:sz w:val="22"/>
                <w:szCs w:val="22"/>
              </w:rPr>
              <w:t xml:space="preserve"> examinar la admisión definitiva del CATAC</w:t>
            </w:r>
            <w:r w:rsidRPr="00577FAF">
              <w:rPr>
                <w:rFonts w:asciiTheme="minorBidi" w:hAnsiTheme="minorBidi" w:cstheme="minorBidi"/>
                <w:sz w:val="22"/>
                <w:szCs w:val="22"/>
              </w:rPr>
              <w:t xml:space="preserve"> en tal calidad</w:t>
            </w:r>
            <w:r w:rsidR="00CE4CA3" w:rsidRPr="00577FAF">
              <w:rPr>
                <w:rFonts w:asciiTheme="minorBidi" w:hAnsiTheme="minorBidi" w:cstheme="minorBidi"/>
                <w:sz w:val="22"/>
                <w:szCs w:val="22"/>
              </w:rPr>
              <w:t xml:space="preserve"> en junio de 2025;</w:t>
            </w:r>
          </w:p>
          <w:p w14:paraId="375AF472" w14:textId="04230F2C" w:rsidR="00CE4CA3" w:rsidRPr="00577FAF" w:rsidRDefault="00CE4CA3" w:rsidP="006B65EB">
            <w:pPr>
              <w:pStyle w:val="ListParagraph"/>
              <w:numPr>
                <w:ilvl w:val="0"/>
                <w:numId w:val="41"/>
              </w:numPr>
              <w:spacing w:after="120"/>
              <w:ind w:left="1134" w:hanging="567"/>
              <w:contextualSpacing w:val="0"/>
              <w:jc w:val="both"/>
              <w:rPr>
                <w:rFonts w:asciiTheme="minorBidi" w:hAnsiTheme="minorBidi" w:cstheme="minorBidi"/>
                <w:bCs/>
                <w:color w:val="0E101A"/>
                <w:sz w:val="22"/>
                <w:szCs w:val="22"/>
              </w:rPr>
            </w:pPr>
            <w:r w:rsidRPr="00577FAF">
              <w:rPr>
                <w:rFonts w:asciiTheme="minorBidi" w:hAnsiTheme="minorBidi" w:cstheme="minorBidi"/>
                <w:sz w:val="22"/>
                <w:szCs w:val="22"/>
              </w:rPr>
              <w:t>la planificación del simulacro CARIBE WAVE 2025;</w:t>
            </w:r>
          </w:p>
          <w:p w14:paraId="37607EE0" w14:textId="3EBB2EFE" w:rsidR="00CE4CA3" w:rsidRPr="00577FAF" w:rsidRDefault="00CE4CA3" w:rsidP="006B65EB">
            <w:pPr>
              <w:pStyle w:val="ListParagraph"/>
              <w:numPr>
                <w:ilvl w:val="0"/>
                <w:numId w:val="41"/>
              </w:numPr>
              <w:spacing w:after="120"/>
              <w:ind w:left="1134" w:hanging="567"/>
              <w:contextualSpacing w:val="0"/>
              <w:jc w:val="both"/>
              <w:rPr>
                <w:rFonts w:asciiTheme="minorBidi" w:hAnsiTheme="minorBidi" w:cstheme="minorBidi"/>
                <w:bCs/>
                <w:color w:val="0E101A"/>
                <w:sz w:val="22"/>
                <w:szCs w:val="22"/>
              </w:rPr>
            </w:pPr>
            <w:r w:rsidRPr="00577FAF">
              <w:rPr>
                <w:rFonts w:asciiTheme="minorBidi" w:hAnsiTheme="minorBidi" w:cstheme="minorBidi"/>
                <w:sz w:val="22"/>
                <w:szCs w:val="22"/>
              </w:rPr>
              <w:t>el establecimiento de un equipo de tareas dedicado a</w:t>
            </w:r>
            <w:r w:rsidR="00581849" w:rsidRPr="00577FAF">
              <w:rPr>
                <w:rFonts w:asciiTheme="minorBidi" w:hAnsiTheme="minorBidi" w:cstheme="minorBidi"/>
                <w:sz w:val="22"/>
                <w:szCs w:val="22"/>
              </w:rPr>
              <w:t>l programa</w:t>
            </w:r>
            <w:r w:rsidRPr="00577FAF">
              <w:rPr>
                <w:rFonts w:asciiTheme="minorBidi" w:hAnsiTheme="minorBidi" w:cstheme="minorBidi"/>
                <w:sz w:val="22"/>
                <w:szCs w:val="22"/>
              </w:rPr>
              <w:t xml:space="preserve"> Tsunami Ready, </w:t>
            </w:r>
            <w:r w:rsidR="00581849" w:rsidRPr="00577FAF">
              <w:rPr>
                <w:rFonts w:asciiTheme="minorBidi" w:hAnsiTheme="minorBidi" w:cstheme="minorBidi"/>
                <w:sz w:val="22"/>
                <w:szCs w:val="22"/>
              </w:rPr>
              <w:t>habida cuenta de</w:t>
            </w:r>
            <w:r w:rsidRPr="00577FAF">
              <w:rPr>
                <w:rFonts w:asciiTheme="minorBidi" w:hAnsiTheme="minorBidi" w:cstheme="minorBidi"/>
                <w:sz w:val="22"/>
                <w:szCs w:val="22"/>
              </w:rPr>
              <w:t xml:space="preserve"> la necesidad de centrarse </w:t>
            </w:r>
            <w:r w:rsidR="00581849" w:rsidRPr="00577FAF">
              <w:rPr>
                <w:rFonts w:asciiTheme="minorBidi" w:hAnsiTheme="minorBidi" w:cstheme="minorBidi"/>
                <w:sz w:val="22"/>
                <w:szCs w:val="22"/>
              </w:rPr>
              <w:t>en mayor medida en la tarea de</w:t>
            </w:r>
            <w:r w:rsidRPr="00577FAF">
              <w:rPr>
                <w:rFonts w:asciiTheme="minorBidi" w:hAnsiTheme="minorBidi" w:cstheme="minorBidi"/>
                <w:sz w:val="22"/>
                <w:szCs w:val="22"/>
              </w:rPr>
              <w:t xml:space="preserve"> encontrar y emplear estrategias adecuadas en el Caribe y las regiones adyacentes para alcanzar el segundo objetivo del Programa de Tsunamis del Decenio del Océano</w:t>
            </w:r>
            <w:r w:rsidR="00581849" w:rsidRPr="00577FAF">
              <w:rPr>
                <w:rFonts w:asciiTheme="minorBidi" w:hAnsiTheme="minorBidi" w:cstheme="minorBidi"/>
                <w:sz w:val="22"/>
                <w:szCs w:val="22"/>
              </w:rPr>
              <w:t>, esto es,</w:t>
            </w:r>
            <w:r w:rsidRPr="00577FAF">
              <w:rPr>
                <w:rFonts w:asciiTheme="minorBidi" w:hAnsiTheme="minorBidi" w:cstheme="minorBidi"/>
                <w:sz w:val="22"/>
                <w:szCs w:val="22"/>
              </w:rPr>
              <w:t xml:space="preserve"> lograr que la totalidad de las comunidades en situación de riesgo estén preparadas y sean resilientes </w:t>
            </w:r>
            <w:r w:rsidR="00581849" w:rsidRPr="00577FAF">
              <w:rPr>
                <w:rFonts w:asciiTheme="minorBidi" w:hAnsiTheme="minorBidi" w:cstheme="minorBidi"/>
                <w:sz w:val="22"/>
                <w:szCs w:val="22"/>
              </w:rPr>
              <w:t>frente a</w:t>
            </w:r>
            <w:r w:rsidRPr="00577FAF">
              <w:rPr>
                <w:rFonts w:asciiTheme="minorBidi" w:hAnsiTheme="minorBidi" w:cstheme="minorBidi"/>
                <w:sz w:val="22"/>
                <w:szCs w:val="22"/>
              </w:rPr>
              <w:t xml:space="preserve"> los tsunamis de aquí a 2030, gracias a iniciativas como el Programa de Reconocimiento Tsunami Ready de la COI</w:t>
            </w:r>
            <w:r w:rsidR="00642DBA" w:rsidRPr="00577FAF">
              <w:rPr>
                <w:rFonts w:asciiTheme="minorBidi" w:hAnsiTheme="minorBidi" w:cstheme="minorBidi"/>
                <w:sz w:val="22"/>
                <w:szCs w:val="22"/>
              </w:rPr>
              <w:t>-</w:t>
            </w:r>
            <w:r w:rsidRPr="00577FAF">
              <w:rPr>
                <w:rFonts w:asciiTheme="minorBidi" w:hAnsiTheme="minorBidi" w:cstheme="minorBidi"/>
                <w:sz w:val="22"/>
                <w:szCs w:val="22"/>
              </w:rPr>
              <w:t>UNESCO;</w:t>
            </w:r>
          </w:p>
          <w:p w14:paraId="0BF01977" w14:textId="33438123" w:rsidR="00CE4CA3" w:rsidRPr="00577FAF" w:rsidRDefault="00581849" w:rsidP="006B65EB">
            <w:pPr>
              <w:pStyle w:val="ListParagraph"/>
              <w:numPr>
                <w:ilvl w:val="0"/>
                <w:numId w:val="41"/>
              </w:numPr>
              <w:spacing w:after="120"/>
              <w:ind w:left="1134" w:hanging="567"/>
              <w:contextualSpacing w:val="0"/>
              <w:jc w:val="both"/>
              <w:rPr>
                <w:rFonts w:asciiTheme="minorBidi" w:hAnsiTheme="minorBidi" w:cstheme="minorBidi"/>
                <w:bCs/>
                <w:color w:val="0E101A"/>
                <w:sz w:val="22"/>
                <w:szCs w:val="22"/>
              </w:rPr>
            </w:pPr>
            <w:r w:rsidRPr="00577FAF">
              <w:rPr>
                <w:rFonts w:asciiTheme="minorBidi" w:hAnsiTheme="minorBidi" w:cstheme="minorBidi"/>
                <w:sz w:val="22"/>
                <w:szCs w:val="22"/>
              </w:rPr>
              <w:t>la posibilidad de organizar sus futuras reuniones, a partir de 2026, de forma presencial solo cada dos años, y de forma virtual los demás años</w:t>
            </w:r>
            <w:r w:rsidR="00CE4CA3" w:rsidRPr="00577FAF">
              <w:rPr>
                <w:rFonts w:asciiTheme="minorBidi" w:hAnsiTheme="minorBidi" w:cstheme="minorBidi"/>
                <w:sz w:val="22"/>
                <w:szCs w:val="22"/>
              </w:rPr>
              <w:t>, señalando que la UNESCO pretende reducir su huella de carbono para alcanzar la meta de disminuir sus emisiones en un 31 % de aquí a 2030, en consonancia con los objetivos del Acuerdo de París;</w:t>
            </w:r>
          </w:p>
          <w:p w14:paraId="4D476139" w14:textId="77777777" w:rsidR="003A60E3" w:rsidRPr="00577FAF" w:rsidRDefault="003A60E3">
            <w:pPr>
              <w:ind w:left="360"/>
              <w:jc w:val="center"/>
              <w:rPr>
                <w:rFonts w:asciiTheme="minorBidi" w:hAnsiTheme="minorBidi" w:cstheme="minorBidi"/>
                <w:b/>
                <w:color w:val="0E101A"/>
                <w:sz w:val="22"/>
                <w:szCs w:val="22"/>
              </w:rPr>
            </w:pPr>
          </w:p>
          <w:p w14:paraId="132B8414" w14:textId="77777777" w:rsidR="00CE4CA3" w:rsidRPr="00577FAF" w:rsidRDefault="00CB6A57">
            <w:pPr>
              <w:ind w:left="360"/>
              <w:jc w:val="center"/>
              <w:rPr>
                <w:rFonts w:asciiTheme="minorBidi" w:hAnsiTheme="minorBidi" w:cstheme="minorBidi"/>
                <w:b/>
                <w:bCs/>
                <w:sz w:val="22"/>
                <w:szCs w:val="22"/>
              </w:rPr>
            </w:pPr>
            <w:r w:rsidRPr="00577FAF">
              <w:rPr>
                <w:rFonts w:asciiTheme="minorBidi" w:hAnsiTheme="minorBidi" w:cstheme="minorBidi"/>
                <w:b/>
                <w:bCs/>
                <w:sz w:val="22"/>
                <w:szCs w:val="22"/>
              </w:rPr>
              <w:t xml:space="preserve">Parte II: </w:t>
            </w:r>
          </w:p>
          <w:p w14:paraId="4669B5ED" w14:textId="253EACA6" w:rsidR="003A60E3" w:rsidRPr="00577FAF" w:rsidRDefault="00CB6A57">
            <w:pPr>
              <w:ind w:left="360"/>
              <w:jc w:val="center"/>
              <w:rPr>
                <w:rFonts w:asciiTheme="minorBidi" w:hAnsiTheme="minorBidi" w:cstheme="minorBidi"/>
                <w:b/>
                <w:color w:val="0E101A"/>
                <w:sz w:val="22"/>
                <w:szCs w:val="22"/>
              </w:rPr>
            </w:pPr>
            <w:r w:rsidRPr="00577FAF">
              <w:rPr>
                <w:rFonts w:asciiTheme="minorBidi" w:hAnsiTheme="minorBidi" w:cstheme="minorBidi"/>
                <w:b/>
                <w:bCs/>
                <w:sz w:val="22"/>
                <w:szCs w:val="22"/>
              </w:rPr>
              <w:t xml:space="preserve">Grupo Intergubernamental de Coordinación del Sistema de Alerta Temprana contra </w:t>
            </w:r>
            <w:r w:rsidR="00CE600D" w:rsidRPr="00577FAF">
              <w:rPr>
                <w:rFonts w:asciiTheme="minorBidi" w:hAnsiTheme="minorBidi" w:cstheme="minorBidi"/>
                <w:b/>
                <w:bCs/>
                <w:sz w:val="22"/>
                <w:szCs w:val="22"/>
              </w:rPr>
              <w:br/>
            </w:r>
            <w:r w:rsidRPr="00577FAF">
              <w:rPr>
                <w:rFonts w:asciiTheme="minorBidi" w:hAnsiTheme="minorBidi" w:cstheme="minorBidi"/>
                <w:b/>
                <w:bCs/>
                <w:sz w:val="22"/>
                <w:szCs w:val="22"/>
              </w:rPr>
              <w:t>los Tsunamis y Atenuación de sus Efectos en el Atlántico Nororiental y el Mediterráneo y Mares Adyacentes (ICG/NEAMTWS)</w:t>
            </w:r>
          </w:p>
          <w:p w14:paraId="6075265A" w14:textId="77777777" w:rsidR="003A60E3" w:rsidRPr="00577FAF" w:rsidRDefault="003A60E3">
            <w:pPr>
              <w:ind w:left="360"/>
              <w:jc w:val="center"/>
              <w:rPr>
                <w:rFonts w:asciiTheme="minorBidi" w:eastAsia="Calibri" w:hAnsiTheme="minorBidi" w:cstheme="minorBidi"/>
                <w:b/>
                <w:sz w:val="22"/>
                <w:szCs w:val="22"/>
              </w:rPr>
            </w:pPr>
          </w:p>
          <w:p w14:paraId="094D420F" w14:textId="77777777" w:rsidR="004C1803" w:rsidRPr="00577FAF" w:rsidRDefault="00CB6A57" w:rsidP="006B65EB">
            <w:pPr>
              <w:keepNext/>
              <w:numPr>
                <w:ilvl w:val="0"/>
                <w:numId w:val="16"/>
              </w:numPr>
              <w:spacing w:after="120"/>
              <w:ind w:left="567" w:hanging="567"/>
              <w:jc w:val="both"/>
              <w:rPr>
                <w:rFonts w:ascii="Arial" w:hAnsi="Arial" w:cs="Arial"/>
                <w:sz w:val="22"/>
                <w:szCs w:val="22"/>
              </w:rPr>
            </w:pPr>
            <w:r w:rsidRPr="00577FAF">
              <w:rPr>
                <w:rFonts w:ascii="Arial" w:hAnsi="Arial" w:cs="Arial"/>
                <w:sz w:val="22"/>
                <w:szCs w:val="22"/>
                <w:u w:val="single"/>
              </w:rPr>
              <w:t>Toma nota con reconocimiento</w:t>
            </w:r>
            <w:r w:rsidRPr="00577FAF">
              <w:rPr>
                <w:rFonts w:ascii="Arial" w:hAnsi="Arial" w:cs="Arial"/>
                <w:sz w:val="22"/>
                <w:szCs w:val="22"/>
              </w:rPr>
              <w:t xml:space="preserve"> de:</w:t>
            </w:r>
          </w:p>
          <w:p w14:paraId="73EBFA7C" w14:textId="77777777" w:rsidR="003A60E3" w:rsidRPr="00577FAF" w:rsidRDefault="00CB6A57" w:rsidP="006B65EB">
            <w:pPr>
              <w:numPr>
                <w:ilvl w:val="0"/>
                <w:numId w:val="35"/>
              </w:numPr>
              <w:spacing w:after="120"/>
              <w:ind w:left="1134" w:hanging="567"/>
              <w:jc w:val="both"/>
              <w:rPr>
                <w:rFonts w:ascii="Arial" w:eastAsia="Calibri" w:hAnsi="Arial" w:cs="Arial"/>
                <w:iCs/>
                <w:sz w:val="22"/>
                <w:szCs w:val="22"/>
              </w:rPr>
            </w:pPr>
            <w:r w:rsidRPr="00577FAF">
              <w:rPr>
                <w:rFonts w:ascii="Arial" w:hAnsi="Arial" w:cs="Arial"/>
                <w:sz w:val="22"/>
                <w:szCs w:val="22"/>
              </w:rPr>
              <w:t>los resultados positivos del quinto simulacro de tsunami de la región (NEAMWave23), realizado los días 6 y 7 de noviembre de 2023;</w:t>
            </w:r>
          </w:p>
          <w:p w14:paraId="3EF55A5D" w14:textId="77777777" w:rsidR="003A60E3" w:rsidRPr="00577FAF" w:rsidRDefault="00CB6A57" w:rsidP="006B65EB">
            <w:pPr>
              <w:numPr>
                <w:ilvl w:val="0"/>
                <w:numId w:val="35"/>
              </w:numPr>
              <w:spacing w:after="120"/>
              <w:ind w:left="1134" w:hanging="567"/>
              <w:jc w:val="both"/>
              <w:rPr>
                <w:rFonts w:ascii="Arial" w:eastAsia="Calibri" w:hAnsi="Arial" w:cs="Arial"/>
                <w:iCs/>
                <w:sz w:val="22"/>
                <w:szCs w:val="22"/>
              </w:rPr>
            </w:pPr>
            <w:r w:rsidRPr="00577FAF">
              <w:rPr>
                <w:rFonts w:ascii="Arial" w:hAnsi="Arial" w:cs="Arial"/>
                <w:sz w:val="22"/>
                <w:szCs w:val="22"/>
              </w:rPr>
              <w:t>el reconocimiento del municipio de Cannes (Alpes Marítimos, Francia), primera comunidad que recibe el reconocimiento Tsunami Ready de la UNESCO/COI en Francia continental y en la región del Atlántico Nororiental y el Mediterráneo y mares adyacentes, y la ceremonia organizada en Cannes el 19 de enero de 2024;</w:t>
            </w:r>
          </w:p>
          <w:p w14:paraId="65986A3D" w14:textId="77777777" w:rsidR="003A60E3" w:rsidRPr="00577FAF" w:rsidRDefault="00CB6A57" w:rsidP="006B65EB">
            <w:pPr>
              <w:numPr>
                <w:ilvl w:val="0"/>
                <w:numId w:val="35"/>
              </w:numPr>
              <w:spacing w:after="120"/>
              <w:ind w:left="1134" w:hanging="567"/>
              <w:jc w:val="both"/>
              <w:rPr>
                <w:rFonts w:ascii="Arial" w:eastAsia="Calibri" w:hAnsi="Arial" w:cs="Arial"/>
                <w:iCs/>
                <w:sz w:val="22"/>
                <w:szCs w:val="22"/>
              </w:rPr>
            </w:pPr>
            <w:r w:rsidRPr="00577FAF">
              <w:rPr>
                <w:rFonts w:ascii="Arial" w:hAnsi="Arial" w:cs="Arial"/>
                <w:sz w:val="22"/>
                <w:szCs w:val="22"/>
              </w:rPr>
              <w:t>la fase II del proyecto CoastWAVE (CoastWAVE 2.0), de dos años de duración, recientemente aprobada y financiada por la Dirección General de Protección Civil y Operaciones de Ayuda Humanitaria Europeas (DG ECHO), que comenzará el 1 de julio de 2024 y estará dedicada al aumento y el fortalecimiento de la resiliencia de las comunidades costeras de la región del Atlántico Nororiental y el Mediterráneo ante el impacto de los tsunamis y otros peligros costeros relacionados con el nivel del mar;</w:t>
            </w:r>
          </w:p>
          <w:p w14:paraId="233098CD" w14:textId="77777777" w:rsidR="003A60E3" w:rsidRPr="00577FAF" w:rsidRDefault="00CB6A57" w:rsidP="006B65EB">
            <w:pPr>
              <w:numPr>
                <w:ilvl w:val="0"/>
                <w:numId w:val="35"/>
              </w:numPr>
              <w:spacing w:after="120"/>
              <w:ind w:left="1134" w:hanging="567"/>
              <w:jc w:val="both"/>
              <w:rPr>
                <w:rFonts w:ascii="Arial" w:eastAsia="Calibri" w:hAnsi="Arial" w:cs="Arial"/>
                <w:iCs/>
                <w:sz w:val="22"/>
                <w:szCs w:val="22"/>
              </w:rPr>
            </w:pPr>
            <w:r w:rsidRPr="00577FAF">
              <w:rPr>
                <w:rFonts w:ascii="Arial" w:hAnsi="Arial" w:cs="Arial"/>
                <w:sz w:val="22"/>
                <w:szCs w:val="22"/>
              </w:rPr>
              <w:t>la propuesta de Egipto de acoger la 19ª reunión del ICG/NEAMTWS en octubre de 2024 y la intención de Italia de acoger la 20ª reunión del ICG/NEAMTWS;</w:t>
            </w:r>
          </w:p>
          <w:p w14:paraId="1A62C6DE" w14:textId="77777777" w:rsidR="003A60E3" w:rsidRPr="00577FAF" w:rsidRDefault="003A60E3">
            <w:pPr>
              <w:spacing w:after="120"/>
              <w:jc w:val="center"/>
              <w:rPr>
                <w:rFonts w:ascii="Arial" w:hAnsi="Arial" w:cs="Arial"/>
                <w:b/>
                <w:bCs/>
                <w:iCs/>
                <w:sz w:val="22"/>
                <w:szCs w:val="22"/>
              </w:rPr>
            </w:pPr>
          </w:p>
          <w:p w14:paraId="1FDE4512" w14:textId="77777777" w:rsidR="00CE4CA3" w:rsidRPr="00577FAF" w:rsidRDefault="00CB6A57">
            <w:pPr>
              <w:spacing w:after="120"/>
              <w:jc w:val="center"/>
              <w:rPr>
                <w:rFonts w:ascii="Arial" w:hAnsi="Arial" w:cs="Arial"/>
                <w:b/>
                <w:bCs/>
                <w:sz w:val="22"/>
                <w:szCs w:val="22"/>
              </w:rPr>
            </w:pPr>
            <w:r w:rsidRPr="00577FAF">
              <w:rPr>
                <w:rFonts w:ascii="Arial" w:hAnsi="Arial" w:cs="Arial"/>
                <w:b/>
                <w:bCs/>
                <w:sz w:val="22"/>
                <w:szCs w:val="22"/>
              </w:rPr>
              <w:t xml:space="preserve">Parte III: </w:t>
            </w:r>
          </w:p>
          <w:p w14:paraId="5A73F6AF" w14:textId="75C19E2E" w:rsidR="003A60E3" w:rsidRPr="00577FAF" w:rsidRDefault="00CB6A57">
            <w:pPr>
              <w:spacing w:after="120"/>
              <w:jc w:val="center"/>
              <w:rPr>
                <w:rFonts w:ascii="Arial" w:hAnsi="Arial" w:cs="Arial"/>
                <w:b/>
                <w:bCs/>
                <w:iCs/>
                <w:sz w:val="22"/>
                <w:szCs w:val="22"/>
              </w:rPr>
            </w:pPr>
            <w:r w:rsidRPr="00577FAF">
              <w:rPr>
                <w:rFonts w:ascii="Arial" w:hAnsi="Arial" w:cs="Arial"/>
                <w:b/>
                <w:bCs/>
                <w:sz w:val="22"/>
                <w:szCs w:val="22"/>
              </w:rPr>
              <w:t>Grupo Intergubernamental de Coordinación del Sistema de Alerta contra los Tsunamis y Atenuación de sus Efectos en el Pacífico (ICG/PTWS)</w:t>
            </w:r>
          </w:p>
          <w:p w14:paraId="2DCB6EB8" w14:textId="77777777" w:rsidR="004C1803" w:rsidRPr="00577FAF" w:rsidRDefault="00CB6A57" w:rsidP="006B65EB">
            <w:pPr>
              <w:keepNext/>
              <w:numPr>
                <w:ilvl w:val="0"/>
                <w:numId w:val="16"/>
              </w:numPr>
              <w:spacing w:after="120"/>
              <w:ind w:left="567" w:hanging="567"/>
              <w:jc w:val="both"/>
              <w:rPr>
                <w:rFonts w:ascii="Arial" w:hAnsi="Arial" w:cs="Arial"/>
                <w:sz w:val="22"/>
                <w:szCs w:val="22"/>
              </w:rPr>
            </w:pPr>
            <w:r w:rsidRPr="00577FAF">
              <w:rPr>
                <w:rFonts w:ascii="Arial" w:hAnsi="Arial" w:cs="Arial"/>
                <w:sz w:val="22"/>
                <w:szCs w:val="22"/>
                <w:u w:val="single"/>
              </w:rPr>
              <w:t>Toma nota con reconocimiento</w:t>
            </w:r>
            <w:r w:rsidRPr="00577FAF">
              <w:rPr>
                <w:rFonts w:ascii="Arial" w:hAnsi="Arial" w:cs="Arial"/>
                <w:sz w:val="22"/>
                <w:szCs w:val="22"/>
              </w:rPr>
              <w:t xml:space="preserve"> de:</w:t>
            </w:r>
          </w:p>
          <w:p w14:paraId="706345D5" w14:textId="77777777" w:rsidR="003A60E3" w:rsidRPr="00577FAF" w:rsidRDefault="00CB6A57" w:rsidP="006B65EB">
            <w:pPr>
              <w:numPr>
                <w:ilvl w:val="0"/>
                <w:numId w:val="36"/>
              </w:numPr>
              <w:snapToGrid w:val="0"/>
              <w:spacing w:after="120"/>
              <w:ind w:left="1134" w:hanging="567"/>
              <w:jc w:val="both"/>
              <w:rPr>
                <w:rFonts w:ascii="Arial" w:hAnsi="Arial" w:cs="Arial"/>
                <w:bCs/>
                <w:sz w:val="22"/>
                <w:szCs w:val="22"/>
              </w:rPr>
            </w:pPr>
            <w:r w:rsidRPr="00577FAF">
              <w:rPr>
                <w:rFonts w:ascii="Arial" w:hAnsi="Arial" w:cs="Arial"/>
                <w:sz w:val="22"/>
                <w:szCs w:val="22"/>
              </w:rPr>
              <w:t>el undécimo simulacro Pacific Wave (PacWave 24), previsto entre los meses de septiembre y noviembre de 2024, como contribución al Día Internacional para la Reducción del Riesgo de Desastres (13 de octubre) y al Día Mundial de Concienciación sobre los Tsunamis (5 de noviembre), según se indica en su mandato;</w:t>
            </w:r>
          </w:p>
          <w:p w14:paraId="2B7AF70A" w14:textId="77777777" w:rsidR="003A60E3" w:rsidRPr="00577FAF" w:rsidRDefault="00CB6A57" w:rsidP="006B65EB">
            <w:pPr>
              <w:numPr>
                <w:ilvl w:val="0"/>
                <w:numId w:val="36"/>
              </w:numPr>
              <w:snapToGrid w:val="0"/>
              <w:spacing w:after="120"/>
              <w:ind w:left="1134" w:hanging="567"/>
              <w:jc w:val="both"/>
              <w:rPr>
                <w:rFonts w:ascii="Arial" w:hAnsi="Arial" w:cs="Arial"/>
                <w:bCs/>
                <w:sz w:val="22"/>
                <w:szCs w:val="22"/>
              </w:rPr>
            </w:pPr>
            <w:r w:rsidRPr="00577FAF">
              <w:rPr>
                <w:rFonts w:ascii="Arial" w:hAnsi="Arial" w:cs="Arial"/>
                <w:sz w:val="22"/>
                <w:szCs w:val="22"/>
              </w:rPr>
              <w:t>la propuesta de China de acoger la 31ª reunión del ICG/PTWS en abril de 2025 en Beijing y la propuesta de Francia de acoger la 32ª reunión del ICG/PTWS en 2027 en Numea (Nueva Caledonia);</w:t>
            </w:r>
          </w:p>
          <w:p w14:paraId="2763FB73" w14:textId="77777777" w:rsidR="003A60E3" w:rsidRPr="00577FAF" w:rsidRDefault="00CB6A57" w:rsidP="006B65EB">
            <w:pPr>
              <w:numPr>
                <w:ilvl w:val="0"/>
                <w:numId w:val="36"/>
              </w:numPr>
              <w:snapToGrid w:val="0"/>
              <w:spacing w:after="120"/>
              <w:ind w:left="1134" w:hanging="567"/>
              <w:jc w:val="both"/>
              <w:rPr>
                <w:rFonts w:ascii="Arial" w:hAnsi="Arial" w:cs="Arial"/>
                <w:bCs/>
                <w:sz w:val="22"/>
                <w:szCs w:val="22"/>
              </w:rPr>
            </w:pPr>
            <w:r w:rsidRPr="00577FAF">
              <w:rPr>
                <w:rFonts w:ascii="Arial" w:hAnsi="Arial" w:cs="Arial"/>
                <w:sz w:val="22"/>
                <w:szCs w:val="22"/>
              </w:rPr>
              <w:t>la celebración de la reunión de expertos, albergada por Vanuatu, sobre fuentes de tsunamis, peligros, riesgos e incertidumbres en relación con las zonas de subducción de Vanuatu, San Cristóbal y Nueva Bretaña, del 14 al 17 de mayo de 2024;</w:t>
            </w:r>
          </w:p>
          <w:p w14:paraId="41B222D3" w14:textId="77777777" w:rsidR="003A60E3" w:rsidRPr="00577FAF" w:rsidRDefault="00CB6A57" w:rsidP="006B65EB">
            <w:pPr>
              <w:numPr>
                <w:ilvl w:val="0"/>
                <w:numId w:val="36"/>
              </w:numPr>
              <w:snapToGrid w:val="0"/>
              <w:spacing w:after="120"/>
              <w:ind w:left="1134" w:hanging="567"/>
              <w:jc w:val="both"/>
              <w:rPr>
                <w:rFonts w:ascii="Arial" w:hAnsi="Arial" w:cs="Arial"/>
                <w:bCs/>
                <w:sz w:val="22"/>
                <w:szCs w:val="22"/>
              </w:rPr>
            </w:pPr>
            <w:r w:rsidRPr="00577FAF">
              <w:rPr>
                <w:rFonts w:ascii="Arial" w:hAnsi="Arial" w:cs="Arial"/>
                <w:sz w:val="22"/>
                <w:szCs w:val="22"/>
              </w:rPr>
              <w:t>la decisión del ICG/PTWS de ampliar la zona de origen de seísmos del PTWS a la zona comprendida entre los 63º y los 52º de latitud sur y entre los 72º y los 18º de longitud oeste a fin de incluir el Arco de las Antillas Australes y sus zonas sísmicas adyacentes;</w:t>
            </w:r>
          </w:p>
          <w:p w14:paraId="69EECD65" w14:textId="77777777" w:rsidR="003A60E3" w:rsidRPr="00577FAF" w:rsidRDefault="00CB6A57" w:rsidP="006B65EB">
            <w:pPr>
              <w:numPr>
                <w:ilvl w:val="0"/>
                <w:numId w:val="36"/>
              </w:numPr>
              <w:snapToGrid w:val="0"/>
              <w:spacing w:after="120"/>
              <w:ind w:left="1134" w:hanging="567"/>
              <w:jc w:val="both"/>
              <w:rPr>
                <w:rFonts w:ascii="Arial" w:hAnsi="Arial" w:cs="Arial"/>
                <w:bCs/>
                <w:sz w:val="22"/>
                <w:szCs w:val="22"/>
              </w:rPr>
            </w:pPr>
            <w:r w:rsidRPr="00577FAF">
              <w:rPr>
                <w:rFonts w:ascii="Arial" w:hAnsi="Arial" w:cs="Arial"/>
                <w:sz w:val="22"/>
                <w:szCs w:val="22"/>
              </w:rPr>
              <w:t>la decisión del ICG/PTWS de poner plenamente en funcionamiento con carácter oficial el Centro de Asesoramiento sobre los Tsunamis de América Central (CATAC), cuya fecha concreta de puesta en marcha se decidirá previa coordinación con el ICG/CARIBE-EWS;</w:t>
            </w:r>
          </w:p>
          <w:p w14:paraId="094A863E" w14:textId="77777777" w:rsidR="003A60E3" w:rsidRPr="00577FAF" w:rsidRDefault="00CB6A57" w:rsidP="006B65EB">
            <w:pPr>
              <w:numPr>
                <w:ilvl w:val="0"/>
                <w:numId w:val="36"/>
              </w:numPr>
              <w:snapToGrid w:val="0"/>
              <w:spacing w:after="120"/>
              <w:ind w:left="1134" w:hanging="567"/>
              <w:jc w:val="both"/>
              <w:rPr>
                <w:rFonts w:ascii="Arial" w:hAnsi="Arial" w:cs="Arial"/>
                <w:iCs/>
                <w:sz w:val="22"/>
                <w:szCs w:val="22"/>
              </w:rPr>
            </w:pPr>
            <w:r w:rsidRPr="00577FAF">
              <w:rPr>
                <w:rFonts w:ascii="Arial" w:hAnsi="Arial" w:cs="Arial"/>
                <w:sz w:val="22"/>
                <w:szCs w:val="22"/>
              </w:rPr>
              <w:t>la aprobación de las competencias, el marco y los requisitos de formación de los centros nacionales de alerta contra los tsunamis, que se describen en el documento de trabajo correspondiente de la 30ª reunión del ICG/PTWS (informe del equipo de trabajo sobre los niveles mínimos de competencia del personal operacional de los centros nacionales de alerta contra los tsunamis);</w:t>
            </w:r>
          </w:p>
          <w:p w14:paraId="0B0CB73E" w14:textId="77777777" w:rsidR="003A60E3" w:rsidRPr="00577FAF" w:rsidRDefault="00CB6A57" w:rsidP="006B65EB">
            <w:pPr>
              <w:numPr>
                <w:ilvl w:val="0"/>
                <w:numId w:val="16"/>
              </w:numPr>
              <w:spacing w:after="120"/>
              <w:ind w:left="567" w:hanging="567"/>
              <w:jc w:val="both"/>
              <w:rPr>
                <w:rFonts w:ascii="Arial" w:hAnsi="Arial" w:cs="Arial"/>
                <w:iCs/>
                <w:sz w:val="22"/>
                <w:szCs w:val="22"/>
              </w:rPr>
            </w:pPr>
            <w:r w:rsidRPr="00577FAF">
              <w:rPr>
                <w:rFonts w:ascii="Arial" w:hAnsi="Arial" w:cs="Arial"/>
                <w:sz w:val="22"/>
                <w:szCs w:val="22"/>
                <w:u w:val="single"/>
              </w:rPr>
              <w:t>Pide</w:t>
            </w:r>
            <w:r w:rsidRPr="00577FAF">
              <w:rPr>
                <w:rFonts w:ascii="Arial" w:hAnsi="Arial" w:cs="Arial"/>
                <w:sz w:val="22"/>
                <w:szCs w:val="22"/>
              </w:rPr>
              <w:t xml:space="preserve"> al PTWC que ultime los preparativos necesarios para proporcionar productos especiales de seguridad marítima en caso de tsunami, específicos para los buques, a todos los coordinadores NAVAREA del Pacífico y del Atlántico Sudoccidental (NAVAREA VI, X, XI, XII, XIII, XIV, XV y XVI) para que los transmitan a los centros nacionales de alerta contra los tsunamis a fin de que estos los remitan a los coordinadores NAVAREA de sus países o, a petición de estos, directamente a los coordinadores NAVAREA cuando no exista un centro nacional;</w:t>
            </w:r>
          </w:p>
          <w:p w14:paraId="6A3BC31B" w14:textId="1CD51061" w:rsidR="00CE4CA3" w:rsidRPr="00577FAF" w:rsidRDefault="00CB6A57" w:rsidP="006B65EB">
            <w:pPr>
              <w:spacing w:before="120" w:after="120"/>
              <w:jc w:val="center"/>
              <w:rPr>
                <w:rFonts w:ascii="Arial" w:hAnsi="Arial" w:cs="Arial"/>
                <w:b/>
                <w:bCs/>
                <w:sz w:val="22"/>
                <w:szCs w:val="22"/>
              </w:rPr>
            </w:pPr>
            <w:r w:rsidRPr="00577FAF">
              <w:rPr>
                <w:rFonts w:ascii="Arial" w:hAnsi="Arial" w:cs="Arial"/>
                <w:b/>
                <w:bCs/>
                <w:sz w:val="22"/>
                <w:szCs w:val="22"/>
              </w:rPr>
              <w:t xml:space="preserve">Parte IV: </w:t>
            </w:r>
          </w:p>
          <w:p w14:paraId="01DE7A47" w14:textId="1DE80CB2" w:rsidR="003A60E3" w:rsidRPr="00577FAF" w:rsidRDefault="00CB6A57">
            <w:pPr>
              <w:spacing w:after="120"/>
              <w:jc w:val="center"/>
              <w:rPr>
                <w:rFonts w:ascii="Arial" w:hAnsi="Arial" w:cs="Arial"/>
                <w:b/>
                <w:bCs/>
                <w:iCs/>
                <w:sz w:val="22"/>
                <w:szCs w:val="22"/>
              </w:rPr>
            </w:pPr>
            <w:r w:rsidRPr="00577FAF">
              <w:rPr>
                <w:rFonts w:ascii="Arial" w:hAnsi="Arial" w:cs="Arial"/>
                <w:b/>
                <w:bCs/>
                <w:sz w:val="22"/>
                <w:szCs w:val="22"/>
              </w:rPr>
              <w:t>Grupo de Trabajo sobre los Sistemas de Alerta contra los Tsunamis y Otros Peligros relacionados con el Nivel del Mar y Atenuación de sus Efectos (TOWS-WG)</w:t>
            </w:r>
          </w:p>
          <w:p w14:paraId="4F05A479" w14:textId="77777777" w:rsidR="003A60E3" w:rsidRPr="00577FAF" w:rsidRDefault="00CB6A57" w:rsidP="006B65EB">
            <w:pPr>
              <w:numPr>
                <w:ilvl w:val="0"/>
                <w:numId w:val="16"/>
              </w:numPr>
              <w:spacing w:after="120"/>
              <w:ind w:left="567" w:hanging="567"/>
              <w:jc w:val="both"/>
              <w:rPr>
                <w:rFonts w:ascii="Arial" w:hAnsi="Arial" w:cs="Arial"/>
                <w:sz w:val="22"/>
                <w:szCs w:val="22"/>
              </w:rPr>
            </w:pPr>
            <w:r w:rsidRPr="00577FAF">
              <w:rPr>
                <w:rFonts w:ascii="Arial" w:hAnsi="Arial" w:cs="Arial"/>
                <w:sz w:val="22"/>
                <w:szCs w:val="22"/>
                <w:u w:val="single"/>
              </w:rPr>
              <w:t>Decide</w:t>
            </w:r>
            <w:r w:rsidRPr="00577FAF">
              <w:rPr>
                <w:rFonts w:ascii="Arial" w:hAnsi="Arial" w:cs="Arial"/>
                <w:sz w:val="22"/>
                <w:szCs w:val="22"/>
              </w:rPr>
              <w:t xml:space="preserve"> que la COI debería colaborar más estrechamente con la OMM para conectar las actividades relativas a los tsunamis con los sistemas de alerta temprana de peligros múltiples (MHEWS) y la iniciativa Alertas Tempranas para Todos del Secretario General de las Naciones Unidas, al igual que la iniciativa de la OMM para la predicción de inundaciones costeras (CIFI), que es un ejemplo de actividad múltiple que se ocupa de las inundaciones costeras, independientemente de su origen;</w:t>
            </w:r>
          </w:p>
          <w:p w14:paraId="26839605" w14:textId="77777777" w:rsidR="003A60E3" w:rsidRPr="00577FAF" w:rsidRDefault="00CB6A57" w:rsidP="006B65EB">
            <w:pPr>
              <w:numPr>
                <w:ilvl w:val="0"/>
                <w:numId w:val="16"/>
              </w:numPr>
              <w:spacing w:after="120"/>
              <w:ind w:left="567" w:hanging="567"/>
              <w:jc w:val="both"/>
              <w:rPr>
                <w:rFonts w:ascii="Arial" w:hAnsi="Arial" w:cs="Arial"/>
                <w:sz w:val="22"/>
                <w:szCs w:val="22"/>
              </w:rPr>
            </w:pPr>
            <w:r w:rsidRPr="00577FAF">
              <w:rPr>
                <w:rFonts w:ascii="Arial" w:hAnsi="Arial" w:cs="Arial"/>
                <w:sz w:val="22"/>
                <w:szCs w:val="22"/>
                <w:u w:val="single"/>
              </w:rPr>
              <w:t>Reconoce</w:t>
            </w:r>
            <w:r w:rsidRPr="00577FAF">
              <w:rPr>
                <w:rFonts w:ascii="Arial" w:hAnsi="Arial" w:cs="Arial"/>
                <w:sz w:val="22"/>
                <w:szCs w:val="22"/>
              </w:rPr>
              <w:t xml:space="preserve"> que la OMM solicitó a la Junta Mixta de Colaboración OMM-COI que examinara aspectos de los tsunamis relacionados con los tsunamis meteorológicos, definiera las </w:t>
            </w:r>
            <w:r w:rsidRPr="00577FAF">
              <w:rPr>
                <w:rFonts w:ascii="Arial" w:hAnsi="Arial" w:cs="Arial"/>
                <w:sz w:val="22"/>
                <w:szCs w:val="22"/>
              </w:rPr>
              <w:lastRenderedPageBreak/>
              <w:t>funciones y responsabilidades de la OMM y la COI/UNESCO y determinara la mejor manera de estrechar la colaboración para brindar respaldo a los Estados Miembros;</w:t>
            </w:r>
          </w:p>
          <w:p w14:paraId="211F030D" w14:textId="77777777" w:rsidR="003A60E3" w:rsidRPr="00577FAF" w:rsidRDefault="00CB6A57" w:rsidP="006B65EB">
            <w:pPr>
              <w:numPr>
                <w:ilvl w:val="0"/>
                <w:numId w:val="16"/>
              </w:numPr>
              <w:spacing w:after="120"/>
              <w:ind w:left="567" w:hanging="567"/>
              <w:jc w:val="both"/>
              <w:rPr>
                <w:rFonts w:ascii="Arial" w:hAnsi="Arial" w:cs="Arial"/>
                <w:iCs/>
                <w:sz w:val="22"/>
                <w:szCs w:val="22"/>
              </w:rPr>
            </w:pPr>
            <w:r w:rsidRPr="00577FAF">
              <w:rPr>
                <w:rFonts w:ascii="Arial" w:hAnsi="Arial" w:cs="Arial"/>
                <w:sz w:val="22"/>
                <w:szCs w:val="22"/>
                <w:u w:val="single"/>
              </w:rPr>
              <w:t>Encarga</w:t>
            </w:r>
            <w:r w:rsidRPr="00577FAF">
              <w:rPr>
                <w:rFonts w:ascii="Arial" w:hAnsi="Arial" w:cs="Arial"/>
                <w:sz w:val="22"/>
                <w:szCs w:val="22"/>
              </w:rPr>
              <w:t xml:space="preserve"> a los grupos intergubernamentales de coordinación (ICG) regionales que:</w:t>
            </w:r>
          </w:p>
          <w:p w14:paraId="3DC4DD45" w14:textId="77777777" w:rsidR="003A60E3" w:rsidRPr="00577FAF" w:rsidRDefault="00CB6A57" w:rsidP="006B65EB">
            <w:pPr>
              <w:pStyle w:val="ListParagraph"/>
              <w:numPr>
                <w:ilvl w:val="0"/>
                <w:numId w:val="33"/>
              </w:numPr>
              <w:snapToGrid w:val="0"/>
              <w:spacing w:after="120"/>
              <w:ind w:left="1134" w:hanging="567"/>
              <w:contextualSpacing w:val="0"/>
              <w:jc w:val="both"/>
              <w:rPr>
                <w:rFonts w:ascii="Arial" w:hAnsi="Arial" w:cs="Arial"/>
                <w:sz w:val="22"/>
                <w:szCs w:val="22"/>
              </w:rPr>
            </w:pPr>
            <w:r w:rsidRPr="00577FAF">
              <w:rPr>
                <w:rFonts w:ascii="Arial" w:hAnsi="Arial" w:cs="Arial"/>
                <w:sz w:val="22"/>
                <w:szCs w:val="22"/>
              </w:rPr>
              <w:t>consideren la posibilidad de realizar simulacros fuera de las horas de trabajo, en particular durante la noche, pero procurando tener en cuenta las dificultades y los posibles problemas de implicar al público en simulacros nocturnos;</w:t>
            </w:r>
          </w:p>
          <w:p w14:paraId="446967D9" w14:textId="77777777" w:rsidR="003A60E3" w:rsidRPr="00577FAF" w:rsidRDefault="00CB6A57" w:rsidP="006B65EB">
            <w:pPr>
              <w:pStyle w:val="ListParagraph"/>
              <w:numPr>
                <w:ilvl w:val="0"/>
                <w:numId w:val="33"/>
              </w:numPr>
              <w:snapToGrid w:val="0"/>
              <w:spacing w:after="120"/>
              <w:ind w:left="1134" w:hanging="567"/>
              <w:contextualSpacing w:val="0"/>
              <w:jc w:val="both"/>
              <w:rPr>
                <w:rFonts w:ascii="Arial" w:hAnsi="Arial" w:cs="Arial"/>
                <w:sz w:val="22"/>
                <w:szCs w:val="22"/>
              </w:rPr>
            </w:pPr>
            <w:r w:rsidRPr="00577FAF">
              <w:rPr>
                <w:rFonts w:ascii="Arial" w:hAnsi="Arial" w:cs="Arial"/>
                <w:sz w:val="22"/>
                <w:szCs w:val="22"/>
              </w:rPr>
              <w:t>se planteen si los proveedores de servicios sobre tsunamis también tendrían que prestar servicios cuando un tsunami generado por un volcán pueda afectar a varios Estados Miembros;</w:t>
            </w:r>
          </w:p>
          <w:p w14:paraId="1AC1CA20" w14:textId="77777777" w:rsidR="003A60E3" w:rsidRPr="00577FAF" w:rsidRDefault="00CB6A57" w:rsidP="006B65EB">
            <w:pPr>
              <w:pStyle w:val="ListParagraph"/>
              <w:numPr>
                <w:ilvl w:val="0"/>
                <w:numId w:val="33"/>
              </w:numPr>
              <w:snapToGrid w:val="0"/>
              <w:spacing w:after="120"/>
              <w:ind w:left="1134" w:hanging="567"/>
              <w:contextualSpacing w:val="0"/>
              <w:jc w:val="both"/>
              <w:rPr>
                <w:rFonts w:ascii="Arial" w:hAnsi="Arial" w:cs="Arial"/>
                <w:sz w:val="22"/>
                <w:szCs w:val="22"/>
              </w:rPr>
            </w:pPr>
            <w:r w:rsidRPr="00577FAF">
              <w:rPr>
                <w:rFonts w:ascii="Arial" w:hAnsi="Arial" w:cs="Arial"/>
                <w:sz w:val="22"/>
                <w:szCs w:val="22"/>
              </w:rPr>
              <w:t>utilicen los simulacros y las pruebas de comunicación como una oportunidad para controlar simultáneamente la disponibilidad y la calidad de los datos;</w:t>
            </w:r>
          </w:p>
          <w:p w14:paraId="1773DC62" w14:textId="77777777" w:rsidR="003A60E3" w:rsidRPr="00577FAF" w:rsidRDefault="00CB6A57" w:rsidP="006B65EB">
            <w:pPr>
              <w:pStyle w:val="ListParagraph"/>
              <w:numPr>
                <w:ilvl w:val="0"/>
                <w:numId w:val="33"/>
              </w:numPr>
              <w:snapToGrid w:val="0"/>
              <w:spacing w:after="120"/>
              <w:ind w:left="1134" w:hanging="567"/>
              <w:contextualSpacing w:val="0"/>
              <w:jc w:val="both"/>
              <w:rPr>
                <w:rFonts w:ascii="Arial" w:hAnsi="Arial" w:cs="Arial"/>
                <w:sz w:val="22"/>
                <w:szCs w:val="22"/>
              </w:rPr>
            </w:pPr>
            <w:r w:rsidRPr="00577FAF">
              <w:rPr>
                <w:rFonts w:ascii="Arial" w:hAnsi="Arial" w:cs="Arial"/>
                <w:sz w:val="22"/>
                <w:szCs w:val="22"/>
              </w:rPr>
              <w:t>utilicen estaciones polivalentes de observación del nivel del mar —y promuevan su uso— como complemento de los sistemas de alerta temprana de peligros múltiples para mejorar la cobertura de los datos y reducir los costos;</w:t>
            </w:r>
          </w:p>
          <w:p w14:paraId="52DA5C44" w14:textId="77777777" w:rsidR="003A60E3" w:rsidRPr="00577FAF" w:rsidRDefault="00CB6A57" w:rsidP="006B65EB">
            <w:pPr>
              <w:pStyle w:val="ListParagraph"/>
              <w:numPr>
                <w:ilvl w:val="0"/>
                <w:numId w:val="33"/>
              </w:numPr>
              <w:snapToGrid w:val="0"/>
              <w:spacing w:after="120"/>
              <w:ind w:left="1134" w:hanging="567"/>
              <w:contextualSpacing w:val="0"/>
              <w:jc w:val="both"/>
              <w:rPr>
                <w:rFonts w:ascii="Arial" w:hAnsi="Arial" w:cs="Arial"/>
                <w:sz w:val="22"/>
                <w:szCs w:val="22"/>
              </w:rPr>
            </w:pPr>
            <w:r w:rsidRPr="00577FAF">
              <w:rPr>
                <w:rFonts w:ascii="Arial" w:hAnsi="Arial" w:cs="Arial"/>
                <w:sz w:val="22"/>
                <w:szCs w:val="22"/>
              </w:rPr>
              <w:t xml:space="preserve">compartan información y procedimientos sobre la implantación de nuevas tecnologías para observar las variaciones del nivel del mar utilizadas con fines de alerta contra tsunamis, como el proyecto en curso del cable CAM SMART frente a las costas de Portugal, el cable TAM </w:t>
            </w:r>
            <w:proofErr w:type="spellStart"/>
            <w:r w:rsidRPr="00577FAF">
              <w:rPr>
                <w:rFonts w:ascii="Arial" w:hAnsi="Arial" w:cs="Arial"/>
                <w:sz w:val="22"/>
                <w:szCs w:val="22"/>
              </w:rPr>
              <w:t>TAM</w:t>
            </w:r>
            <w:proofErr w:type="spellEnd"/>
            <w:r w:rsidRPr="00577FAF">
              <w:rPr>
                <w:rFonts w:ascii="Arial" w:hAnsi="Arial" w:cs="Arial"/>
                <w:sz w:val="22"/>
                <w:szCs w:val="22"/>
              </w:rPr>
              <w:t xml:space="preserve"> SMART entre Nueva Caledonia y Vanuatu, las instalaciones de cableado submarino que están llevando a cabo Indonesia y la India y el cable inteligente </w:t>
            </w:r>
            <w:proofErr w:type="spellStart"/>
            <w:r w:rsidRPr="00577FAF">
              <w:rPr>
                <w:rFonts w:ascii="Arial" w:hAnsi="Arial" w:cs="Arial"/>
                <w:sz w:val="22"/>
                <w:szCs w:val="22"/>
              </w:rPr>
              <w:t>InSEA</w:t>
            </w:r>
            <w:proofErr w:type="spellEnd"/>
            <w:r w:rsidRPr="00577FAF">
              <w:rPr>
                <w:rFonts w:ascii="Arial" w:hAnsi="Arial" w:cs="Arial"/>
                <w:sz w:val="22"/>
                <w:szCs w:val="22"/>
              </w:rPr>
              <w:t xml:space="preserve"> </w:t>
            </w:r>
            <w:proofErr w:type="spellStart"/>
            <w:r w:rsidRPr="00577FAF">
              <w:rPr>
                <w:rFonts w:ascii="Arial" w:hAnsi="Arial" w:cs="Arial"/>
                <w:sz w:val="22"/>
                <w:szCs w:val="22"/>
              </w:rPr>
              <w:t>Wet</w:t>
            </w:r>
            <w:proofErr w:type="spellEnd"/>
            <w:r w:rsidRPr="00577FAF">
              <w:rPr>
                <w:rFonts w:ascii="Arial" w:hAnsi="Arial" w:cs="Arial"/>
                <w:sz w:val="22"/>
                <w:szCs w:val="22"/>
              </w:rPr>
              <w:t xml:space="preserve"> Demo en el mar Jónico frente a las costas de Sicilia;</w:t>
            </w:r>
          </w:p>
          <w:p w14:paraId="1E126D2E" w14:textId="77777777" w:rsidR="003A60E3" w:rsidRPr="00577FAF" w:rsidRDefault="00CB6A57" w:rsidP="006B65EB">
            <w:pPr>
              <w:pStyle w:val="ListParagraph"/>
              <w:numPr>
                <w:ilvl w:val="0"/>
                <w:numId w:val="33"/>
              </w:numPr>
              <w:snapToGrid w:val="0"/>
              <w:spacing w:after="120"/>
              <w:ind w:left="1134" w:hanging="567"/>
              <w:contextualSpacing w:val="0"/>
              <w:jc w:val="both"/>
              <w:rPr>
                <w:rFonts w:ascii="Arial" w:hAnsi="Arial" w:cs="Arial"/>
                <w:sz w:val="22"/>
                <w:szCs w:val="22"/>
              </w:rPr>
            </w:pPr>
            <w:r w:rsidRPr="00577FAF">
              <w:rPr>
                <w:rFonts w:ascii="Arial" w:hAnsi="Arial" w:cs="Arial"/>
                <w:sz w:val="22"/>
                <w:szCs w:val="22"/>
              </w:rPr>
              <w:t>determinen proveedores de servicios sobre tsunamis en cada ICG para que experimenten la difusión de boletines marítimos a los operadores NAVAREA respectivos en su zona de servicio en la segunda mitad de 2024 de modo que este servicio esté plenamente operacional en 2025;</w:t>
            </w:r>
          </w:p>
          <w:p w14:paraId="43F33455" w14:textId="77777777" w:rsidR="003A60E3" w:rsidRPr="00577FAF" w:rsidRDefault="00CB6A57" w:rsidP="006B65EB">
            <w:pPr>
              <w:pStyle w:val="ListParagraph"/>
              <w:numPr>
                <w:ilvl w:val="0"/>
                <w:numId w:val="33"/>
              </w:numPr>
              <w:snapToGrid w:val="0"/>
              <w:spacing w:after="120"/>
              <w:ind w:left="1134" w:hanging="567"/>
              <w:contextualSpacing w:val="0"/>
              <w:jc w:val="both"/>
              <w:rPr>
                <w:rFonts w:ascii="Arial" w:eastAsia="Arial" w:hAnsi="Arial" w:cs="Arial"/>
                <w:sz w:val="22"/>
                <w:szCs w:val="22"/>
              </w:rPr>
            </w:pPr>
            <w:r w:rsidRPr="00577FAF">
              <w:rPr>
                <w:rFonts w:ascii="Arial" w:hAnsi="Arial" w:cs="Arial"/>
                <w:sz w:val="22"/>
                <w:szCs w:val="22"/>
              </w:rPr>
              <w:t>el equipo de trabajo del ICG/PTWS sobre Tsunami Ready comparta las orientaciones del ICG/PTWS sobre la equivalencia de Tsunami Ready para su consideración por el TT-DMP, como mecanismo potencial para informar sobre la consecución de este objetivo;</w:t>
            </w:r>
          </w:p>
          <w:p w14:paraId="642B8AAD" w14:textId="77777777" w:rsidR="003A60E3" w:rsidRPr="00577FAF" w:rsidRDefault="00CB6A57" w:rsidP="006B65EB">
            <w:pPr>
              <w:pStyle w:val="ListParagraph"/>
              <w:numPr>
                <w:ilvl w:val="0"/>
                <w:numId w:val="33"/>
              </w:numPr>
              <w:snapToGrid w:val="0"/>
              <w:spacing w:after="120"/>
              <w:ind w:left="1134" w:hanging="567"/>
              <w:contextualSpacing w:val="0"/>
              <w:jc w:val="both"/>
              <w:rPr>
                <w:rFonts w:ascii="Arial" w:eastAsia="Arial" w:hAnsi="Arial" w:cs="Arial"/>
                <w:sz w:val="22"/>
                <w:szCs w:val="22"/>
              </w:rPr>
            </w:pPr>
            <w:r w:rsidRPr="00577FAF">
              <w:rPr>
                <w:rFonts w:ascii="Arial" w:hAnsi="Arial" w:cs="Arial"/>
                <w:sz w:val="22"/>
                <w:szCs w:val="22"/>
              </w:rPr>
              <w:t>los grupos de trabajo 1 y 3 del ICG/IOTWMS elaboren y difundan directrices sobre la preparación de las infraestructuras críticas para casos de tsunami;</w:t>
            </w:r>
          </w:p>
          <w:p w14:paraId="7573FAF7" w14:textId="77777777" w:rsidR="003A60E3" w:rsidRPr="00577FAF" w:rsidRDefault="00CB6A57" w:rsidP="006B65EB">
            <w:pPr>
              <w:numPr>
                <w:ilvl w:val="0"/>
                <w:numId w:val="16"/>
              </w:numPr>
              <w:spacing w:after="120"/>
              <w:ind w:left="567" w:hanging="567"/>
              <w:jc w:val="both"/>
              <w:rPr>
                <w:rFonts w:ascii="Arial" w:hAnsi="Arial" w:cs="Arial"/>
                <w:sz w:val="22"/>
                <w:szCs w:val="22"/>
              </w:rPr>
            </w:pPr>
            <w:r w:rsidRPr="00577FAF">
              <w:rPr>
                <w:rFonts w:ascii="Arial" w:hAnsi="Arial" w:cs="Arial"/>
                <w:sz w:val="22"/>
                <w:szCs w:val="22"/>
                <w:u w:val="single"/>
              </w:rPr>
              <w:t>Alienta</w:t>
            </w:r>
            <w:r w:rsidRPr="00577FAF">
              <w:rPr>
                <w:rFonts w:ascii="Arial" w:hAnsi="Arial" w:cs="Arial"/>
                <w:sz w:val="22"/>
                <w:szCs w:val="22"/>
              </w:rPr>
              <w:t xml:space="preserve"> a los Estados Miembros a que aporten contribuciones financieras voluntarias a la cuenta especial de la COI y contribuciones en especie para apoyar el Programa de Tsunamis del Decenio del Océano y el Programa de Reconocimiento Tsunami Ready de la UNESCO/COI;</w:t>
            </w:r>
          </w:p>
          <w:p w14:paraId="7D6FDA0D" w14:textId="77777777" w:rsidR="003A60E3" w:rsidRPr="00577FAF" w:rsidRDefault="00CB6A57" w:rsidP="006B65EB">
            <w:pPr>
              <w:numPr>
                <w:ilvl w:val="0"/>
                <w:numId w:val="16"/>
              </w:numPr>
              <w:spacing w:after="120"/>
              <w:ind w:left="567" w:hanging="567"/>
              <w:jc w:val="both"/>
              <w:rPr>
                <w:rFonts w:ascii="Arial" w:hAnsi="Arial" w:cs="Arial"/>
                <w:iCs/>
                <w:sz w:val="22"/>
                <w:szCs w:val="22"/>
              </w:rPr>
            </w:pPr>
            <w:r w:rsidRPr="00577FAF">
              <w:rPr>
                <w:rFonts w:ascii="Arial" w:hAnsi="Arial" w:cs="Arial"/>
                <w:sz w:val="22"/>
                <w:szCs w:val="22"/>
                <w:u w:val="single"/>
              </w:rPr>
              <w:t>Recomienda</w:t>
            </w:r>
            <w:r w:rsidRPr="00577FAF">
              <w:rPr>
                <w:rFonts w:ascii="Arial" w:hAnsi="Arial" w:cs="Arial"/>
                <w:sz w:val="22"/>
                <w:szCs w:val="22"/>
              </w:rPr>
              <w:t>, para los lugares en que no se sienta el seísmo, el uso del texto estándar de la señalización de Tsunami Ready de la UNESCO/COI, como “En caso de recibir cualquier mensaje oficial de tsunami, diríjase a una zona elevada o tierra adentro”, como alternativa a “En caso de terremoto fuerte o de larga duración, o si se recibe cualquier mensaje oficial, diríjase a una zona elevada o tierra adentro”;</w:t>
            </w:r>
          </w:p>
          <w:p w14:paraId="470D1C88" w14:textId="77777777" w:rsidR="003A60E3" w:rsidRPr="00577FAF" w:rsidRDefault="00CB6A57" w:rsidP="006B65EB">
            <w:pPr>
              <w:keepNext/>
              <w:numPr>
                <w:ilvl w:val="0"/>
                <w:numId w:val="16"/>
              </w:numPr>
              <w:spacing w:after="120"/>
              <w:ind w:left="567" w:hanging="567"/>
              <w:jc w:val="both"/>
              <w:rPr>
                <w:rFonts w:ascii="Arial" w:hAnsi="Arial" w:cs="Arial"/>
                <w:iCs/>
                <w:sz w:val="22"/>
                <w:szCs w:val="22"/>
              </w:rPr>
            </w:pPr>
            <w:r w:rsidRPr="00577FAF">
              <w:rPr>
                <w:rFonts w:ascii="Arial" w:hAnsi="Arial" w:cs="Arial"/>
                <w:sz w:val="22"/>
                <w:szCs w:val="22"/>
                <w:u w:val="single"/>
              </w:rPr>
              <w:t>Pide</w:t>
            </w:r>
            <w:r w:rsidRPr="00577FAF">
              <w:rPr>
                <w:rFonts w:ascii="Arial" w:hAnsi="Arial" w:cs="Arial"/>
                <w:sz w:val="22"/>
                <w:szCs w:val="22"/>
              </w:rPr>
              <w:t xml:space="preserve"> a la Secretaría de la COI que:</w:t>
            </w:r>
          </w:p>
          <w:p w14:paraId="5D0C7854" w14:textId="77777777" w:rsidR="003A60E3" w:rsidRPr="00577FAF" w:rsidRDefault="00CB6A57" w:rsidP="006B65EB">
            <w:pPr>
              <w:numPr>
                <w:ilvl w:val="0"/>
                <w:numId w:val="37"/>
              </w:numPr>
              <w:spacing w:after="120"/>
              <w:ind w:left="1134" w:hanging="567"/>
              <w:jc w:val="both"/>
              <w:rPr>
                <w:rFonts w:ascii="Arial" w:hAnsi="Arial" w:cs="Arial"/>
                <w:iCs/>
                <w:sz w:val="22"/>
                <w:szCs w:val="22"/>
              </w:rPr>
            </w:pPr>
            <w:r w:rsidRPr="00577FAF">
              <w:rPr>
                <w:rFonts w:ascii="Arial" w:hAnsi="Arial" w:cs="Arial"/>
                <w:sz w:val="22"/>
                <w:szCs w:val="22"/>
              </w:rPr>
              <w:t>avise mediante circular a todos los Estados Miembros de que se pondrá fin a las transmisiones por fax de productos de información sobre tsunamis por parte de los proveedores de servicios seis meses después de la fecha de la circular, a menos que los Estados Miembros indiquen en un plazo de tres meses que dichas transmisiones por fax son esenciales para las funciones de su centro nacional de alerta contra los tsunamis y que no existe ninguna otra alternativa;</w:t>
            </w:r>
          </w:p>
          <w:p w14:paraId="42711013" w14:textId="77777777" w:rsidR="003A60E3" w:rsidRPr="00577FAF" w:rsidRDefault="00CB6A57" w:rsidP="006B65EB">
            <w:pPr>
              <w:numPr>
                <w:ilvl w:val="0"/>
                <w:numId w:val="37"/>
              </w:numPr>
              <w:spacing w:after="120"/>
              <w:ind w:left="1134" w:hanging="567"/>
              <w:jc w:val="both"/>
              <w:rPr>
                <w:rFonts w:ascii="Arial" w:hAnsi="Arial" w:cs="Arial"/>
                <w:iCs/>
                <w:sz w:val="22"/>
                <w:szCs w:val="22"/>
              </w:rPr>
            </w:pPr>
            <w:r w:rsidRPr="00577FAF">
              <w:rPr>
                <w:rFonts w:ascii="Arial" w:hAnsi="Arial" w:cs="Arial"/>
                <w:sz w:val="22"/>
                <w:szCs w:val="22"/>
              </w:rPr>
              <w:lastRenderedPageBreak/>
              <w:t>elabore un mecanismo que permita a los ICG informar sobre los avances de los proyectos relacionados con el Decenio del Océano y sobre los indicadores clave del desempeño del Plan de Investigación, Desarrollo y Ejecución del Programa de Tsunamis del Decenio del Océano, en consonancia con el marco global de indicadores clave del desempeño propuesto para el Programa sobre los Tsunamis de la COI;</w:t>
            </w:r>
          </w:p>
          <w:p w14:paraId="06826F6A" w14:textId="77777777" w:rsidR="003A60E3" w:rsidRPr="00577FAF" w:rsidRDefault="00CB6A57" w:rsidP="006B65EB">
            <w:pPr>
              <w:numPr>
                <w:ilvl w:val="0"/>
                <w:numId w:val="37"/>
              </w:numPr>
              <w:spacing w:after="120"/>
              <w:ind w:left="1134" w:hanging="567"/>
              <w:jc w:val="both"/>
              <w:rPr>
                <w:rFonts w:ascii="Arial" w:hAnsi="Arial" w:cs="Arial"/>
                <w:iCs/>
                <w:sz w:val="22"/>
                <w:szCs w:val="22"/>
              </w:rPr>
            </w:pPr>
            <w:r w:rsidRPr="00577FAF">
              <w:rPr>
                <w:rFonts w:ascii="Arial" w:hAnsi="Arial" w:cs="Arial"/>
                <w:sz w:val="22"/>
                <w:szCs w:val="22"/>
              </w:rPr>
              <w:t>distribuya el informe sobre la vigilancia y la alerta contra los tsunamis generados por volcanes (</w:t>
            </w:r>
            <w:hyperlink r:id="rId25" w:history="1">
              <w:r w:rsidRPr="00577FAF">
                <w:rPr>
                  <w:rStyle w:val="Hyperlink"/>
                  <w:rFonts w:ascii="Arial" w:hAnsi="Arial" w:cs="Arial"/>
                  <w:sz w:val="22"/>
                  <w:szCs w:val="22"/>
                </w:rPr>
                <w:t>IOC/2024/TS/183</w:t>
              </w:r>
            </w:hyperlink>
            <w:r w:rsidRPr="00577FAF">
              <w:rPr>
                <w:rFonts w:ascii="Arial" w:hAnsi="Arial" w:cs="Arial"/>
                <w:sz w:val="22"/>
                <w:szCs w:val="22"/>
              </w:rPr>
              <w:t>), incluida la lista de volcanes tsunamigénicos, a los observatorios de volcanes y a los Estados Miembros de la COI;</w:t>
            </w:r>
          </w:p>
          <w:p w14:paraId="54F8E60F" w14:textId="77777777" w:rsidR="003A60E3" w:rsidRPr="00577FAF" w:rsidRDefault="00CB6A57" w:rsidP="006B65EB">
            <w:pPr>
              <w:numPr>
                <w:ilvl w:val="0"/>
                <w:numId w:val="37"/>
              </w:numPr>
              <w:spacing w:after="120"/>
              <w:ind w:left="1134" w:hanging="567"/>
              <w:jc w:val="both"/>
              <w:rPr>
                <w:rFonts w:ascii="Arial" w:hAnsi="Arial" w:cs="Arial"/>
                <w:iCs/>
                <w:sz w:val="22"/>
                <w:szCs w:val="22"/>
              </w:rPr>
            </w:pPr>
            <w:r w:rsidRPr="00577FAF">
              <w:rPr>
                <w:rFonts w:ascii="Arial" w:hAnsi="Arial" w:cs="Arial"/>
                <w:sz w:val="22"/>
                <w:szCs w:val="22"/>
              </w:rPr>
              <w:t>organice webinarios para cada ICG en los que participen los observatorios de volcanes y centros de avisos de cenizas volcánicas pertinentes, con el fin de:</w:t>
            </w:r>
          </w:p>
          <w:p w14:paraId="6B9EC243" w14:textId="77777777" w:rsidR="003A60E3" w:rsidRPr="00577FAF" w:rsidRDefault="00CB6A57" w:rsidP="006B65EB">
            <w:pPr>
              <w:numPr>
                <w:ilvl w:val="0"/>
                <w:numId w:val="38"/>
              </w:numPr>
              <w:spacing w:after="120"/>
              <w:ind w:left="1559" w:hanging="425"/>
              <w:jc w:val="both"/>
              <w:rPr>
                <w:rFonts w:ascii="Arial" w:hAnsi="Arial" w:cs="Arial"/>
                <w:iCs/>
                <w:sz w:val="22"/>
                <w:szCs w:val="22"/>
              </w:rPr>
            </w:pPr>
            <w:r w:rsidRPr="00577FAF">
              <w:rPr>
                <w:rFonts w:ascii="Arial" w:hAnsi="Arial" w:cs="Arial"/>
                <w:sz w:val="22"/>
                <w:szCs w:val="22"/>
              </w:rPr>
              <w:t>presentar el informe sobre la vigilancia y la alerta contra los tsunamis generados por volcanes (</w:t>
            </w:r>
            <w:hyperlink r:id="rId26" w:history="1">
              <w:r w:rsidRPr="00577FAF">
                <w:rPr>
                  <w:rStyle w:val="Hyperlink"/>
                  <w:rFonts w:ascii="Arial" w:hAnsi="Arial" w:cs="Arial"/>
                  <w:sz w:val="22"/>
                  <w:szCs w:val="22"/>
                </w:rPr>
                <w:t>IOC/2024/TS/183</w:t>
              </w:r>
            </w:hyperlink>
            <w:r w:rsidRPr="00577FAF">
              <w:rPr>
                <w:rFonts w:ascii="Arial" w:hAnsi="Arial" w:cs="Arial"/>
                <w:sz w:val="22"/>
                <w:szCs w:val="22"/>
              </w:rPr>
              <w:t>) y sus recomendaciones;</w:t>
            </w:r>
          </w:p>
          <w:p w14:paraId="448F64FF" w14:textId="77777777" w:rsidR="003A60E3" w:rsidRPr="00577FAF" w:rsidRDefault="00CB6A57" w:rsidP="006B65EB">
            <w:pPr>
              <w:numPr>
                <w:ilvl w:val="0"/>
                <w:numId w:val="38"/>
              </w:numPr>
              <w:spacing w:after="120"/>
              <w:ind w:left="1559" w:hanging="425"/>
              <w:jc w:val="both"/>
              <w:rPr>
                <w:rFonts w:ascii="Arial" w:hAnsi="Arial" w:cs="Arial"/>
                <w:iCs/>
                <w:sz w:val="22"/>
                <w:szCs w:val="22"/>
              </w:rPr>
            </w:pPr>
            <w:r w:rsidRPr="00577FAF">
              <w:rPr>
                <w:rFonts w:ascii="Arial" w:hAnsi="Arial" w:cs="Arial"/>
                <w:sz w:val="22"/>
                <w:szCs w:val="22"/>
              </w:rPr>
              <w:t>destacar los peligros y la vulnerabilidad de los Estados Miembros;</w:t>
            </w:r>
          </w:p>
          <w:p w14:paraId="4C2270C3" w14:textId="77777777" w:rsidR="003A60E3" w:rsidRPr="00577FAF" w:rsidRDefault="00CB6A57" w:rsidP="006B65EB">
            <w:pPr>
              <w:numPr>
                <w:ilvl w:val="0"/>
                <w:numId w:val="38"/>
              </w:numPr>
              <w:spacing w:after="120"/>
              <w:ind w:left="1559" w:hanging="425"/>
              <w:jc w:val="both"/>
              <w:rPr>
                <w:rFonts w:ascii="Arial" w:hAnsi="Arial" w:cs="Arial"/>
                <w:iCs/>
                <w:sz w:val="22"/>
                <w:szCs w:val="22"/>
              </w:rPr>
            </w:pPr>
            <w:r w:rsidRPr="00577FAF">
              <w:rPr>
                <w:rFonts w:ascii="Arial" w:hAnsi="Arial" w:cs="Arial"/>
                <w:sz w:val="22"/>
                <w:szCs w:val="22"/>
              </w:rPr>
              <w:t>suscitar las alianzas necesarias entre los centros nacionales de alerta contra los tsunamis y los observatorios de volcanes y centros de avisos de cenizas volcánicas;</w:t>
            </w:r>
          </w:p>
          <w:p w14:paraId="604CD8C8" w14:textId="77777777" w:rsidR="003A60E3" w:rsidRPr="00577FAF" w:rsidRDefault="00CB6A57" w:rsidP="006B65EB">
            <w:pPr>
              <w:numPr>
                <w:ilvl w:val="0"/>
                <w:numId w:val="38"/>
              </w:numPr>
              <w:spacing w:after="120"/>
              <w:ind w:left="1559" w:hanging="425"/>
              <w:jc w:val="both"/>
              <w:rPr>
                <w:rFonts w:ascii="Arial" w:hAnsi="Arial" w:cs="Arial"/>
                <w:iCs/>
                <w:sz w:val="22"/>
                <w:szCs w:val="22"/>
              </w:rPr>
            </w:pPr>
            <w:r w:rsidRPr="00577FAF">
              <w:rPr>
                <w:rFonts w:ascii="Arial" w:hAnsi="Arial" w:cs="Arial"/>
                <w:sz w:val="22"/>
                <w:szCs w:val="22"/>
              </w:rPr>
              <w:t>empezar a plantearse si los proveedores de servicios sobre tsunamis también tendrían que prestar servicios cuando un tsunami generado por un volcán pueda afectar a varios Estados Miembros;</w:t>
            </w:r>
          </w:p>
          <w:p w14:paraId="7F2558BA" w14:textId="77777777" w:rsidR="003A60E3" w:rsidRPr="00577FAF" w:rsidRDefault="00CB6A57" w:rsidP="006B65EB">
            <w:pPr>
              <w:numPr>
                <w:ilvl w:val="0"/>
                <w:numId w:val="37"/>
              </w:numPr>
              <w:spacing w:after="120"/>
              <w:ind w:left="1134" w:hanging="567"/>
              <w:jc w:val="both"/>
              <w:rPr>
                <w:rFonts w:ascii="Arial" w:hAnsi="Arial" w:cs="Arial"/>
                <w:iCs/>
                <w:sz w:val="22"/>
                <w:szCs w:val="22"/>
              </w:rPr>
            </w:pPr>
            <w:r w:rsidRPr="00577FAF">
              <w:rPr>
                <w:rFonts w:ascii="Arial" w:hAnsi="Arial" w:cs="Arial"/>
                <w:sz w:val="22"/>
                <w:szCs w:val="22"/>
              </w:rPr>
              <w:t>organice webinarios en 2024, en coordinación con la OHI, para los operadores NAVAREA y los operadores METAREA de respaldo con el fin de presentar el nuevo servicio y los nuevos productos para la comunidad marítima, y obtenga, para su notificación a los proveedores, la información de contacto de sus operadores NAVAREA y METAREA respectivos con miras a la difusión de los nuevos boletines marítimos;</w:t>
            </w:r>
          </w:p>
          <w:p w14:paraId="56C9E33C" w14:textId="77777777" w:rsidR="003A60E3" w:rsidRPr="00577FAF" w:rsidRDefault="00CB6A57" w:rsidP="006B65EB">
            <w:pPr>
              <w:numPr>
                <w:ilvl w:val="0"/>
                <w:numId w:val="37"/>
              </w:numPr>
              <w:spacing w:after="120"/>
              <w:ind w:left="1134" w:hanging="567"/>
              <w:jc w:val="both"/>
              <w:rPr>
                <w:rFonts w:ascii="Arial" w:hAnsi="Arial" w:cs="Arial"/>
                <w:iCs/>
                <w:sz w:val="22"/>
                <w:szCs w:val="22"/>
              </w:rPr>
            </w:pPr>
            <w:r w:rsidRPr="00577FAF">
              <w:rPr>
                <w:rFonts w:ascii="Arial" w:hAnsi="Arial" w:cs="Arial"/>
                <w:sz w:val="22"/>
                <w:szCs w:val="22"/>
              </w:rPr>
              <w:t>bajo la coordinación de los centros de información sobre los tsunamis, elabore y difunda un conjunto de herramientas sobre Tsunami Ready para ayudar a los Estados Miembros en la ejecución del Programa de Reconocimiento Tsunami Ready de la UNESCO/COI; este conjunto de herramientas podría incluir un procedimiento, un formato y un método claros y normalizados para presentar la solicitud de reconocimiento Tsunami Ready y la documentación correspondiente, así como una aclaración sobre la definición de comunidad en el marco del Programa de Reconocimiento;</w:t>
            </w:r>
          </w:p>
          <w:p w14:paraId="1A1F64D1" w14:textId="77777777" w:rsidR="003A60E3" w:rsidRPr="00577FAF" w:rsidRDefault="00CB6A57" w:rsidP="006B65EB">
            <w:pPr>
              <w:numPr>
                <w:ilvl w:val="0"/>
                <w:numId w:val="37"/>
              </w:numPr>
              <w:spacing w:after="120"/>
              <w:ind w:left="1134" w:hanging="567"/>
              <w:jc w:val="both"/>
              <w:rPr>
                <w:rFonts w:ascii="Arial" w:hAnsi="Arial" w:cs="Arial"/>
                <w:iCs/>
                <w:sz w:val="22"/>
                <w:szCs w:val="22"/>
              </w:rPr>
            </w:pPr>
            <w:r w:rsidRPr="00577FAF">
              <w:rPr>
                <w:rFonts w:ascii="Arial" w:hAnsi="Arial" w:cs="Arial"/>
                <w:sz w:val="22"/>
                <w:szCs w:val="22"/>
              </w:rPr>
              <w:t>informe a los Estados Miembros sobre la disponibilidad del conjunto de herramientas sobre Tsunami Ready mediante el envío de una circular de la COI a los contactos nacionales sobre los tsunamis y a las juntas nacionales de Tsunami Ready y lo difunda ampliamente incluyéndolo como apéndice de las directrices generales del Programa de Reconocimiento (</w:t>
            </w:r>
            <w:hyperlink r:id="rId27" w:history="1">
              <w:r w:rsidRPr="00577FAF">
                <w:rPr>
                  <w:rStyle w:val="Hyperlink"/>
                  <w:rFonts w:ascii="Arial" w:hAnsi="Arial" w:cs="Arial"/>
                  <w:sz w:val="22"/>
                  <w:szCs w:val="22"/>
                </w:rPr>
                <w:t>IOC/2022/MG/74</w:t>
              </w:r>
            </w:hyperlink>
            <w:r w:rsidRPr="00577FAF">
              <w:rPr>
                <w:rFonts w:ascii="Arial" w:hAnsi="Arial" w:cs="Arial"/>
                <w:sz w:val="22"/>
                <w:szCs w:val="22"/>
              </w:rPr>
              <w:t>);</w:t>
            </w:r>
          </w:p>
          <w:p w14:paraId="416B6E9B" w14:textId="62B45F63" w:rsidR="003A60E3" w:rsidRPr="00577FAF" w:rsidRDefault="00CB6A57" w:rsidP="006B65EB">
            <w:pPr>
              <w:numPr>
                <w:ilvl w:val="0"/>
                <w:numId w:val="16"/>
              </w:numPr>
              <w:spacing w:after="120"/>
              <w:ind w:left="567" w:hanging="567"/>
              <w:jc w:val="both"/>
              <w:rPr>
                <w:rFonts w:ascii="Arial" w:hAnsi="Arial" w:cs="Arial"/>
                <w:iCs/>
                <w:sz w:val="22"/>
                <w:szCs w:val="22"/>
              </w:rPr>
            </w:pPr>
            <w:r w:rsidRPr="00577FAF">
              <w:rPr>
                <w:rFonts w:ascii="Arial" w:hAnsi="Arial" w:cs="Arial"/>
                <w:sz w:val="22"/>
                <w:szCs w:val="22"/>
                <w:u w:val="single"/>
              </w:rPr>
              <w:t>Prorroga</w:t>
            </w:r>
            <w:r w:rsidRPr="00577FAF">
              <w:rPr>
                <w:rFonts w:ascii="Arial" w:hAnsi="Arial" w:cs="Arial"/>
                <w:sz w:val="22"/>
                <w:szCs w:val="22"/>
              </w:rPr>
              <w:t xml:space="preserve"> los mandatos del Grupo de Trabajo sobre los Sistemas de Alerta contra los Tsunamis y Otros Peligros relacionados con el Nivel del Mar y Atenuación de sus Efectos y de sus equipos de trabajo sobre: i) gestión de desastres y preparación (TT-DMP) y</w:t>
            </w:r>
            <w:r w:rsidR="00CE600D" w:rsidRPr="00577FAF">
              <w:rPr>
                <w:rFonts w:ascii="Arial" w:hAnsi="Arial" w:cs="Arial"/>
                <w:sz w:val="22"/>
                <w:szCs w:val="22"/>
              </w:rPr>
              <w:t> </w:t>
            </w:r>
            <w:r w:rsidRPr="00577FAF">
              <w:rPr>
                <w:rFonts w:ascii="Arial" w:hAnsi="Arial" w:cs="Arial"/>
                <w:sz w:val="22"/>
                <w:szCs w:val="22"/>
              </w:rPr>
              <w:t>ii)</w:t>
            </w:r>
            <w:r w:rsidR="00CE600D" w:rsidRPr="00577FAF">
              <w:rPr>
                <w:rFonts w:ascii="Arial" w:hAnsi="Arial" w:cs="Arial"/>
                <w:sz w:val="22"/>
                <w:szCs w:val="22"/>
              </w:rPr>
              <w:t> </w:t>
            </w:r>
            <w:r w:rsidRPr="00577FAF">
              <w:rPr>
                <w:rFonts w:ascii="Arial" w:hAnsi="Arial" w:cs="Arial"/>
                <w:sz w:val="22"/>
                <w:szCs w:val="22"/>
              </w:rPr>
              <w:t>operaciones de vigilancia de los tsunamis (TT-TWO), que figuran en la resolución</w:t>
            </w:r>
            <w:r w:rsidR="00CE600D" w:rsidRPr="00577FAF">
              <w:rPr>
                <w:rFonts w:ascii="Arial" w:hAnsi="Arial" w:cs="Arial"/>
                <w:sz w:val="22"/>
                <w:szCs w:val="22"/>
              </w:rPr>
              <w:t> </w:t>
            </w:r>
            <w:r w:rsidRPr="00577FAF">
              <w:rPr>
                <w:rFonts w:ascii="Arial" w:hAnsi="Arial" w:cs="Arial"/>
                <w:sz w:val="22"/>
                <w:szCs w:val="22"/>
              </w:rPr>
              <w:t>XXIV</w:t>
            </w:r>
            <w:r w:rsidR="00CE600D" w:rsidRPr="00577FAF">
              <w:rPr>
                <w:rFonts w:ascii="Arial" w:hAnsi="Arial" w:cs="Arial"/>
                <w:sz w:val="22"/>
                <w:szCs w:val="22"/>
              </w:rPr>
              <w:noBreakHyphen/>
            </w:r>
            <w:r w:rsidRPr="00577FAF">
              <w:rPr>
                <w:rFonts w:ascii="Arial" w:hAnsi="Arial" w:cs="Arial"/>
                <w:sz w:val="22"/>
                <w:szCs w:val="22"/>
              </w:rPr>
              <w:t>14 de la COI [para el TOWS-WG], el informe IOC/TOWS-WG-VI/3, anexo II [para el TT</w:t>
            </w:r>
            <w:r w:rsidR="00B24BC9" w:rsidRPr="00577FAF">
              <w:rPr>
                <w:rFonts w:ascii="Arial" w:hAnsi="Arial" w:cs="Arial"/>
                <w:sz w:val="22"/>
                <w:szCs w:val="22"/>
              </w:rPr>
              <w:noBreakHyphen/>
            </w:r>
            <w:r w:rsidRPr="00577FAF">
              <w:rPr>
                <w:rFonts w:ascii="Arial" w:hAnsi="Arial" w:cs="Arial"/>
                <w:sz w:val="22"/>
                <w:szCs w:val="22"/>
              </w:rPr>
              <w:t>DMP] y el informe IOC/TOWS-WG-X/3, anexo II (apéndice 1) [para el TT</w:t>
            </w:r>
            <w:r w:rsidR="00CE600D" w:rsidRPr="00577FAF">
              <w:rPr>
                <w:rFonts w:ascii="Arial" w:hAnsi="Arial" w:cs="Arial"/>
                <w:sz w:val="22"/>
                <w:szCs w:val="22"/>
              </w:rPr>
              <w:noBreakHyphen/>
            </w:r>
            <w:r w:rsidRPr="00577FAF">
              <w:rPr>
                <w:rFonts w:ascii="Arial" w:hAnsi="Arial" w:cs="Arial"/>
                <w:sz w:val="22"/>
                <w:szCs w:val="22"/>
              </w:rPr>
              <w:t>TWO];</w:t>
            </w:r>
          </w:p>
          <w:p w14:paraId="517F117D" w14:textId="65C2EE6D" w:rsidR="003A60E3" w:rsidRPr="00577FAF" w:rsidRDefault="00CB6A57" w:rsidP="006B65EB">
            <w:pPr>
              <w:numPr>
                <w:ilvl w:val="0"/>
                <w:numId w:val="16"/>
              </w:numPr>
              <w:spacing w:after="120"/>
              <w:ind w:left="567" w:hanging="567"/>
              <w:jc w:val="both"/>
              <w:rPr>
                <w:rFonts w:ascii="Arial" w:hAnsi="Arial" w:cs="Arial"/>
                <w:iCs/>
                <w:sz w:val="22"/>
                <w:szCs w:val="22"/>
              </w:rPr>
            </w:pPr>
            <w:r w:rsidRPr="00577FAF">
              <w:rPr>
                <w:rFonts w:ascii="Arial" w:hAnsi="Arial" w:cs="Arial"/>
                <w:sz w:val="22"/>
                <w:szCs w:val="22"/>
                <w:u w:val="single"/>
              </w:rPr>
              <w:t>Toma nota</w:t>
            </w:r>
            <w:r w:rsidRPr="00577FAF">
              <w:rPr>
                <w:rFonts w:ascii="Arial" w:hAnsi="Arial" w:cs="Arial"/>
                <w:sz w:val="22"/>
                <w:szCs w:val="22"/>
              </w:rPr>
              <w:t xml:space="preserve"> de que el TOWS-WG examinará y revisará el mandato del TT-DMP y del TT</w:t>
            </w:r>
            <w:r w:rsidR="00B24BC9" w:rsidRPr="00577FAF">
              <w:rPr>
                <w:rFonts w:ascii="Arial" w:hAnsi="Arial" w:cs="Arial"/>
                <w:sz w:val="22"/>
                <w:szCs w:val="22"/>
              </w:rPr>
              <w:noBreakHyphen/>
            </w:r>
            <w:r w:rsidRPr="00577FAF">
              <w:rPr>
                <w:rFonts w:ascii="Arial" w:hAnsi="Arial" w:cs="Arial"/>
                <w:sz w:val="22"/>
                <w:szCs w:val="22"/>
              </w:rPr>
              <w:t>TWO para su aprobación en la próxima Asamblea de la COI, en 2025;</w:t>
            </w:r>
          </w:p>
          <w:p w14:paraId="12CED8CE" w14:textId="77777777" w:rsidR="003A60E3" w:rsidRPr="00577FAF" w:rsidRDefault="00CB6A57" w:rsidP="006B65EB">
            <w:pPr>
              <w:numPr>
                <w:ilvl w:val="0"/>
                <w:numId w:val="16"/>
              </w:numPr>
              <w:spacing w:after="120"/>
              <w:ind w:left="567" w:hanging="567"/>
              <w:jc w:val="both"/>
              <w:rPr>
                <w:rFonts w:ascii="Arial" w:hAnsi="Arial" w:cs="Arial"/>
                <w:iCs/>
                <w:sz w:val="22"/>
                <w:szCs w:val="22"/>
              </w:rPr>
            </w:pPr>
            <w:r w:rsidRPr="00577FAF">
              <w:rPr>
                <w:rFonts w:ascii="Arial" w:hAnsi="Arial" w:cs="Arial"/>
                <w:sz w:val="22"/>
                <w:szCs w:val="22"/>
                <w:u w:val="single"/>
              </w:rPr>
              <w:lastRenderedPageBreak/>
              <w:t>Toma nota también</w:t>
            </w:r>
            <w:r w:rsidRPr="00577FAF">
              <w:rPr>
                <w:rFonts w:ascii="Arial" w:hAnsi="Arial" w:cs="Arial"/>
                <w:sz w:val="22"/>
                <w:szCs w:val="22"/>
              </w:rPr>
              <w:t xml:space="preserve"> de que el presupuesto ordinario para estas actividades se determinará en el marco de la resolución general sobre asuntos de gobernanza, programación y presupuesto de la Comisión. </w:t>
            </w:r>
          </w:p>
        </w:tc>
      </w:tr>
      <w:bookmarkEnd w:id="142"/>
    </w:tbl>
    <w:p w14:paraId="161ED237" w14:textId="77777777" w:rsidR="003A60E3" w:rsidRPr="00577FAF" w:rsidRDefault="003A60E3">
      <w:pPr>
        <w:pStyle w:val="Style2"/>
        <w:tabs>
          <w:tab w:val="clear" w:pos="1400"/>
          <w:tab w:val="left" w:pos="709"/>
        </w:tabs>
        <w:spacing w:after="0"/>
        <w:ind w:left="0"/>
        <w:rPr>
          <w:rFonts w:cs="Arial"/>
        </w:rPr>
      </w:pPr>
    </w:p>
    <w:p w14:paraId="377353E2" w14:textId="77777777" w:rsidR="003A60E3" w:rsidRPr="00577FAF" w:rsidRDefault="00CB6A57">
      <w:pPr>
        <w:pStyle w:val="Style2"/>
        <w:numPr>
          <w:ilvl w:val="0"/>
          <w:numId w:val="7"/>
        </w:numPr>
        <w:tabs>
          <w:tab w:val="left" w:pos="709"/>
        </w:tabs>
        <w:ind w:left="0" w:hanging="567"/>
        <w:rPr>
          <w:rFonts w:cs="Arial"/>
        </w:rPr>
      </w:pPr>
      <w:r w:rsidRPr="00577FAF">
        <w:rPr>
          <w:rFonts w:cs="Aria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5E65DF04" w14:textId="77777777" w:rsidR="004C1803" w:rsidRPr="00577FAF" w:rsidRDefault="00CB6A57" w:rsidP="00326BDC">
      <w:pPr>
        <w:pStyle w:val="Heading1"/>
      </w:pPr>
      <w:bookmarkStart w:id="147" w:name="_Toc168933426"/>
      <w:r w:rsidRPr="00577FAF">
        <w:t>ASUNTOS RELACIONADOS CON EL PROGRAMA</w:t>
      </w:r>
      <w:bookmarkEnd w:id="147"/>
    </w:p>
    <w:p w14:paraId="05297519" w14:textId="2444EBB0" w:rsidR="003A60E3" w:rsidRPr="00577FAF" w:rsidRDefault="00CB6A57">
      <w:pPr>
        <w:pStyle w:val="Heading2"/>
        <w:ind w:left="709" w:hanging="709"/>
        <w:rPr>
          <w:rFonts w:cs="Arial"/>
          <w:szCs w:val="22"/>
        </w:rPr>
      </w:pPr>
      <w:bookmarkStart w:id="148" w:name="_Toc85469070"/>
      <w:bookmarkStart w:id="149" w:name="_Toc92752500"/>
      <w:bookmarkStart w:id="150" w:name="_Toc168933427"/>
      <w:r w:rsidRPr="00577FAF">
        <w:rPr>
          <w:rFonts w:cs="Arial"/>
          <w:szCs w:val="22"/>
        </w:rPr>
        <w:t>4.1</w:t>
      </w:r>
      <w:r w:rsidRPr="00577FAF">
        <w:rPr>
          <w:rFonts w:cs="Arial"/>
          <w:szCs w:val="22"/>
        </w:rPr>
        <w:tab/>
        <w:t xml:space="preserve">GOBERNANZA DEL SISTEMA MUNDIAL DE OBSERVACIÓN DEL OCÉANO (GOOS) </w:t>
      </w:r>
      <w:r w:rsidR="00CF370D" w:rsidRPr="00577FAF">
        <w:rPr>
          <w:rFonts w:cs="Arial"/>
          <w:szCs w:val="22"/>
        </w:rPr>
        <w:br/>
      </w:r>
      <w:r w:rsidRPr="00577FAF">
        <w:rPr>
          <w:rFonts w:cs="Arial"/>
          <w:szCs w:val="22"/>
        </w:rPr>
        <w:t>[decisión A-32/4.8.1]</w:t>
      </w:r>
      <w:bookmarkEnd w:id="148"/>
      <w:bookmarkEnd w:id="149"/>
      <w:bookmarkEnd w:id="150"/>
    </w:p>
    <w:tbl>
      <w:tblPr>
        <w:tblW w:w="9781" w:type="dxa"/>
        <w:tblLayout w:type="fixed"/>
        <w:tblLook w:val="0000" w:firstRow="0" w:lastRow="0" w:firstColumn="0" w:lastColumn="0" w:noHBand="0" w:noVBand="0"/>
      </w:tblPr>
      <w:tblGrid>
        <w:gridCol w:w="2518"/>
        <w:gridCol w:w="2444"/>
        <w:gridCol w:w="4819"/>
      </w:tblGrid>
      <w:tr w:rsidR="003A60E3" w:rsidRPr="00577FAF" w14:paraId="12989907" w14:textId="77777777" w:rsidTr="001F0620">
        <w:tc>
          <w:tcPr>
            <w:tcW w:w="2518" w:type="dxa"/>
            <w:shd w:val="clear" w:color="auto" w:fill="FFFF99"/>
            <w:tcMar>
              <w:top w:w="57" w:type="dxa"/>
              <w:bottom w:w="57" w:type="dxa"/>
            </w:tcMar>
          </w:tcPr>
          <w:p w14:paraId="227DEEFD" w14:textId="77777777" w:rsidR="003A60E3" w:rsidRPr="00577FAF" w:rsidRDefault="00CB6A57">
            <w:pPr>
              <w:rPr>
                <w:rFonts w:ascii="Arial" w:hAnsi="Arial" w:cs="Arial"/>
                <w:i/>
                <w:color w:val="000000"/>
                <w:sz w:val="20"/>
                <w:szCs w:val="20"/>
                <w:u w:val="single"/>
              </w:rPr>
            </w:pPr>
            <w:r w:rsidRPr="00577FAF">
              <w:rPr>
                <w:rFonts w:ascii="Arial" w:hAnsi="Arial" w:cs="Arial"/>
                <w:i/>
                <w:iCs/>
                <w:sz w:val="20"/>
                <w:szCs w:val="20"/>
                <w:u w:val="single"/>
              </w:rPr>
              <w:t>Documento de trabajo</w:t>
            </w:r>
          </w:p>
        </w:tc>
        <w:tc>
          <w:tcPr>
            <w:tcW w:w="2444" w:type="dxa"/>
            <w:shd w:val="clear" w:color="auto" w:fill="FFFF99"/>
            <w:tcMar>
              <w:top w:w="57" w:type="dxa"/>
              <w:bottom w:w="57" w:type="dxa"/>
            </w:tcMar>
          </w:tcPr>
          <w:p w14:paraId="54462E82" w14:textId="77777777" w:rsidR="003A60E3" w:rsidRPr="00577FAF" w:rsidRDefault="00CB6A57">
            <w:pPr>
              <w:rPr>
                <w:rFonts w:ascii="Arial" w:hAnsi="Arial" w:cs="Arial"/>
                <w:color w:val="000000"/>
                <w:sz w:val="20"/>
                <w:szCs w:val="20"/>
              </w:rPr>
            </w:pPr>
            <w:r w:rsidRPr="00577FAF">
              <w:rPr>
                <w:rFonts w:ascii="Arial" w:hAnsi="Arial" w:cs="Arial"/>
                <w:sz w:val="20"/>
                <w:szCs w:val="20"/>
              </w:rPr>
              <w:t>IOC/EC-57/4.1.Doc(1)</w:t>
            </w:r>
          </w:p>
        </w:tc>
        <w:tc>
          <w:tcPr>
            <w:tcW w:w="4819" w:type="dxa"/>
            <w:shd w:val="clear" w:color="auto" w:fill="FFFF99"/>
            <w:tcMar>
              <w:top w:w="57" w:type="dxa"/>
              <w:bottom w:w="57" w:type="dxa"/>
            </w:tcMar>
          </w:tcPr>
          <w:p w14:paraId="23731FD3" w14:textId="77777777" w:rsidR="003A60E3" w:rsidRPr="00577FAF" w:rsidRDefault="00CB6A57">
            <w:pPr>
              <w:spacing w:after="60"/>
              <w:rPr>
                <w:rFonts w:ascii="Arial" w:hAnsi="Arial" w:cs="Arial"/>
                <w:bCs/>
                <w:color w:val="000000"/>
                <w:sz w:val="20"/>
                <w:szCs w:val="20"/>
              </w:rPr>
            </w:pPr>
            <w:r w:rsidRPr="00577FAF">
              <w:rPr>
                <w:rFonts w:ascii="Arial" w:hAnsi="Arial" w:cs="Arial"/>
                <w:sz w:val="20"/>
                <w:szCs w:val="20"/>
              </w:rPr>
              <w:t>Gobernanza del Sistema Mundial de Observación del Océano (GOOS)</w:t>
            </w:r>
          </w:p>
        </w:tc>
      </w:tr>
      <w:tr w:rsidR="00B24BC9" w:rsidRPr="00577FAF" w14:paraId="17C84FFD" w14:textId="77777777" w:rsidTr="001F0620">
        <w:tc>
          <w:tcPr>
            <w:tcW w:w="2518" w:type="dxa"/>
            <w:shd w:val="clear" w:color="auto" w:fill="D5DCE4"/>
            <w:tcMar>
              <w:top w:w="57" w:type="dxa"/>
              <w:bottom w:w="57" w:type="dxa"/>
            </w:tcMar>
          </w:tcPr>
          <w:p w14:paraId="03335DF0" w14:textId="77777777" w:rsidR="00B24BC9" w:rsidRPr="00577FAF" w:rsidRDefault="00B24BC9">
            <w:pPr>
              <w:tabs>
                <w:tab w:val="left" w:pos="1132"/>
              </w:tabs>
              <w:rPr>
                <w:rFonts w:ascii="Arial" w:hAnsi="Arial" w:cs="Arial"/>
                <w:i/>
                <w:color w:val="000000"/>
                <w:sz w:val="20"/>
                <w:szCs w:val="20"/>
                <w:u w:val="single"/>
              </w:rPr>
            </w:pPr>
            <w:r w:rsidRPr="00577FAF">
              <w:rPr>
                <w:rFonts w:ascii="Arial" w:hAnsi="Arial" w:cs="Arial"/>
                <w:i/>
                <w:iCs/>
                <w:sz w:val="20"/>
                <w:szCs w:val="20"/>
                <w:u w:val="single"/>
              </w:rPr>
              <w:t>Referencias</w:t>
            </w:r>
          </w:p>
        </w:tc>
        <w:tc>
          <w:tcPr>
            <w:tcW w:w="2444" w:type="dxa"/>
            <w:shd w:val="clear" w:color="auto" w:fill="auto"/>
            <w:tcMar>
              <w:top w:w="57" w:type="dxa"/>
              <w:bottom w:w="57" w:type="dxa"/>
            </w:tcMar>
          </w:tcPr>
          <w:p w14:paraId="64A78319" w14:textId="77777777" w:rsidR="00B24BC9" w:rsidRPr="00577FAF" w:rsidRDefault="00EA695A">
            <w:pPr>
              <w:rPr>
                <w:rFonts w:ascii="Arial" w:hAnsi="Arial" w:cs="Arial"/>
                <w:color w:val="000000"/>
                <w:sz w:val="20"/>
                <w:szCs w:val="20"/>
              </w:rPr>
            </w:pPr>
            <w:hyperlink r:id="rId28" w:history="1">
              <w:r w:rsidR="00B24BC9" w:rsidRPr="00577FAF">
                <w:rPr>
                  <w:rFonts w:ascii="Arial" w:hAnsi="Arial" w:cs="Arial"/>
                  <w:sz w:val="20"/>
                  <w:szCs w:val="20"/>
                  <w:u w:val="single"/>
                </w:rPr>
                <w:t>IOC/BRO/2019/5 rev.2</w:t>
              </w:r>
            </w:hyperlink>
          </w:p>
        </w:tc>
        <w:tc>
          <w:tcPr>
            <w:tcW w:w="4819" w:type="dxa"/>
            <w:shd w:val="clear" w:color="auto" w:fill="auto"/>
            <w:tcMar>
              <w:top w:w="57" w:type="dxa"/>
              <w:bottom w:w="57" w:type="dxa"/>
            </w:tcMar>
          </w:tcPr>
          <w:p w14:paraId="58322BD4" w14:textId="4C1D3F8F" w:rsidR="00B24BC9" w:rsidRPr="00577FAF" w:rsidRDefault="00B24BC9">
            <w:pPr>
              <w:spacing w:after="60"/>
              <w:rPr>
                <w:rFonts w:ascii="Arial" w:hAnsi="Arial" w:cs="Arial"/>
                <w:color w:val="000000"/>
                <w:sz w:val="20"/>
                <w:szCs w:val="20"/>
              </w:rPr>
            </w:pPr>
            <w:r w:rsidRPr="00577FAF">
              <w:rPr>
                <w:rFonts w:ascii="Arial" w:hAnsi="Arial" w:cs="Arial"/>
                <w:sz w:val="20"/>
                <w:szCs w:val="20"/>
              </w:rPr>
              <w:t>Sistema Mundial de Observación del Océano (GOOS): Estrategia para 2030</w:t>
            </w:r>
          </w:p>
        </w:tc>
      </w:tr>
      <w:tr w:rsidR="00B24BC9" w:rsidRPr="00577FAF" w14:paraId="73F5B5FF" w14:textId="77777777" w:rsidTr="001F0620">
        <w:tc>
          <w:tcPr>
            <w:tcW w:w="2518" w:type="dxa"/>
            <w:shd w:val="clear" w:color="auto" w:fill="D5DCE4"/>
            <w:tcMar>
              <w:top w:w="57" w:type="dxa"/>
              <w:bottom w:w="57" w:type="dxa"/>
            </w:tcMar>
          </w:tcPr>
          <w:p w14:paraId="7AB16CEE" w14:textId="77777777" w:rsidR="00B24BC9" w:rsidRPr="00577FAF" w:rsidRDefault="00B24BC9">
            <w:pPr>
              <w:tabs>
                <w:tab w:val="left" w:pos="1132"/>
              </w:tabs>
              <w:rPr>
                <w:rFonts w:ascii="Arial" w:hAnsi="Arial" w:cs="Arial"/>
                <w:i/>
                <w:color w:val="000000"/>
                <w:sz w:val="20"/>
                <w:szCs w:val="20"/>
                <w:u w:val="single"/>
              </w:rPr>
            </w:pPr>
          </w:p>
        </w:tc>
        <w:tc>
          <w:tcPr>
            <w:tcW w:w="2444" w:type="dxa"/>
            <w:shd w:val="clear" w:color="auto" w:fill="auto"/>
            <w:tcMar>
              <w:top w:w="57" w:type="dxa"/>
              <w:bottom w:w="57" w:type="dxa"/>
            </w:tcMar>
          </w:tcPr>
          <w:p w14:paraId="03ACE65E" w14:textId="77777777" w:rsidR="00B24BC9" w:rsidRPr="00577FAF" w:rsidRDefault="00EA695A">
            <w:pPr>
              <w:rPr>
                <w:rFonts w:ascii="Arial" w:hAnsi="Arial" w:cs="Arial"/>
                <w:color w:val="000000"/>
                <w:sz w:val="20"/>
                <w:szCs w:val="20"/>
                <w:shd w:val="clear" w:color="auto" w:fill="FFFFFF"/>
              </w:rPr>
            </w:pPr>
            <w:hyperlink r:id="rId29" w:history="1">
              <w:r w:rsidR="00B24BC9" w:rsidRPr="00577FAF">
                <w:rPr>
                  <w:rFonts w:ascii="Arial" w:hAnsi="Arial" w:cs="Arial"/>
                  <w:sz w:val="20"/>
                  <w:szCs w:val="20"/>
                  <w:u w:val="single"/>
                </w:rPr>
                <w:t>Resolución XXVI-8</w:t>
              </w:r>
            </w:hyperlink>
          </w:p>
        </w:tc>
        <w:tc>
          <w:tcPr>
            <w:tcW w:w="4819" w:type="dxa"/>
            <w:shd w:val="clear" w:color="auto" w:fill="auto"/>
            <w:tcMar>
              <w:top w:w="57" w:type="dxa"/>
              <w:bottom w:w="57" w:type="dxa"/>
            </w:tcMar>
          </w:tcPr>
          <w:p w14:paraId="10A062A9" w14:textId="10B4AF38" w:rsidR="00B24BC9" w:rsidRPr="00577FAF" w:rsidRDefault="00B24BC9">
            <w:pPr>
              <w:spacing w:after="60"/>
              <w:rPr>
                <w:rFonts w:ascii="Arial" w:hAnsi="Arial" w:cs="Arial"/>
                <w:color w:val="000000"/>
                <w:sz w:val="20"/>
                <w:szCs w:val="20"/>
              </w:rPr>
            </w:pPr>
            <w:r w:rsidRPr="00577FAF">
              <w:rPr>
                <w:rFonts w:ascii="Arial" w:hAnsi="Arial" w:cs="Arial"/>
                <w:sz w:val="20"/>
                <w:szCs w:val="20"/>
              </w:rPr>
              <w:t>Mandato del Comité de Dirección del GOOS (Grupo de Expertos) (2011)</w:t>
            </w:r>
          </w:p>
        </w:tc>
      </w:tr>
      <w:tr w:rsidR="00B24BC9" w:rsidRPr="00577FAF" w14:paraId="511D5B12" w14:textId="77777777" w:rsidTr="001F0620">
        <w:tc>
          <w:tcPr>
            <w:tcW w:w="2518" w:type="dxa"/>
            <w:shd w:val="clear" w:color="auto" w:fill="D5DCE4"/>
            <w:tcMar>
              <w:top w:w="57" w:type="dxa"/>
              <w:bottom w:w="57" w:type="dxa"/>
            </w:tcMar>
          </w:tcPr>
          <w:p w14:paraId="3453F837" w14:textId="77777777" w:rsidR="00B24BC9" w:rsidRPr="00577FAF" w:rsidRDefault="00B24BC9">
            <w:pPr>
              <w:tabs>
                <w:tab w:val="left" w:pos="1132"/>
              </w:tabs>
              <w:rPr>
                <w:rFonts w:ascii="Arial" w:hAnsi="Arial" w:cs="Arial"/>
                <w:i/>
                <w:color w:val="000000"/>
                <w:sz w:val="20"/>
                <w:szCs w:val="20"/>
                <w:u w:val="single"/>
              </w:rPr>
            </w:pPr>
          </w:p>
        </w:tc>
        <w:tc>
          <w:tcPr>
            <w:tcW w:w="2444" w:type="dxa"/>
            <w:shd w:val="clear" w:color="auto" w:fill="auto"/>
            <w:tcMar>
              <w:top w:w="57" w:type="dxa"/>
              <w:bottom w:w="57" w:type="dxa"/>
            </w:tcMar>
          </w:tcPr>
          <w:p w14:paraId="14662422" w14:textId="56C89FD5" w:rsidR="00B24BC9" w:rsidRPr="00577FAF" w:rsidRDefault="00CE4CA3">
            <w:pPr>
              <w:rPr>
                <w:rFonts w:ascii="Arial" w:eastAsia="Arial" w:hAnsi="Arial" w:cs="Arial"/>
                <w:sz w:val="20"/>
                <w:szCs w:val="20"/>
              </w:rPr>
            </w:pPr>
            <w:r w:rsidRPr="00577FAF">
              <w:rPr>
                <w:rFonts w:ascii="Arial" w:hAnsi="Arial" w:cs="Arial"/>
                <w:color w:val="000000"/>
                <w:sz w:val="20"/>
                <w:szCs w:val="20"/>
              </w:rPr>
              <w:t xml:space="preserve">IOC </w:t>
            </w:r>
            <w:proofErr w:type="spellStart"/>
            <w:r w:rsidRPr="00577FAF">
              <w:rPr>
                <w:rFonts w:ascii="Arial" w:hAnsi="Arial" w:cs="Arial"/>
                <w:color w:val="000000"/>
                <w:sz w:val="20"/>
                <w:szCs w:val="20"/>
              </w:rPr>
              <w:t>Technical</w:t>
            </w:r>
            <w:proofErr w:type="spellEnd"/>
            <w:r w:rsidRPr="00577FAF">
              <w:rPr>
                <w:rFonts w:ascii="Arial" w:hAnsi="Arial" w:cs="Arial"/>
                <w:color w:val="000000"/>
                <w:sz w:val="20"/>
                <w:szCs w:val="20"/>
              </w:rPr>
              <w:t xml:space="preserve"> Series, 51.7</w:t>
            </w:r>
          </w:p>
        </w:tc>
        <w:tc>
          <w:tcPr>
            <w:tcW w:w="4819" w:type="dxa"/>
            <w:shd w:val="clear" w:color="auto" w:fill="auto"/>
            <w:tcMar>
              <w:top w:w="57" w:type="dxa"/>
              <w:bottom w:w="57" w:type="dxa"/>
            </w:tcMar>
          </w:tcPr>
          <w:p w14:paraId="60239BD0" w14:textId="639ACAE8" w:rsidR="00B24BC9" w:rsidRPr="00577FAF" w:rsidRDefault="00B24BC9">
            <w:pPr>
              <w:spacing w:after="60"/>
              <w:rPr>
                <w:rFonts w:ascii="Arial" w:hAnsi="Arial" w:cs="Arial"/>
                <w:color w:val="000000"/>
                <w:sz w:val="20"/>
                <w:szCs w:val="20"/>
              </w:rPr>
            </w:pPr>
            <w:r w:rsidRPr="00577FAF">
              <w:rPr>
                <w:rFonts w:ascii="Arial" w:hAnsi="Arial" w:cs="Arial"/>
                <w:sz w:val="20"/>
                <w:szCs w:val="20"/>
              </w:rPr>
              <w:t xml:space="preserve">Desafío 7 del Decenio del Océano: Ampliar el Sistema Mundial de Observación del Océano </w:t>
            </w:r>
          </w:p>
        </w:tc>
      </w:tr>
    </w:tbl>
    <w:p w14:paraId="6E3B9994" w14:textId="77777777" w:rsidR="003A60E3" w:rsidRPr="00577FAF" w:rsidRDefault="003A60E3">
      <w:pPr>
        <w:pStyle w:val="Style2"/>
        <w:tabs>
          <w:tab w:val="clear" w:pos="1400"/>
          <w:tab w:val="left" w:pos="709"/>
        </w:tabs>
        <w:spacing w:after="0"/>
        <w:rPr>
          <w:rFonts w:cs="Arial"/>
        </w:rPr>
      </w:pPr>
    </w:p>
    <w:p w14:paraId="7F7FAD03" w14:textId="77777777" w:rsidR="004C1803" w:rsidRPr="00577FAF" w:rsidRDefault="00CB6A57">
      <w:pPr>
        <w:pStyle w:val="Style2"/>
        <w:numPr>
          <w:ilvl w:val="0"/>
          <w:numId w:val="7"/>
        </w:numPr>
        <w:tabs>
          <w:tab w:val="left" w:pos="709"/>
        </w:tabs>
        <w:ind w:left="0" w:hanging="567"/>
        <w:rPr>
          <w:rFonts w:cs="Arial"/>
        </w:rPr>
      </w:pPr>
      <w:r w:rsidRPr="00577FAF">
        <w:rPr>
          <w:rFonts w:cs="Arial"/>
        </w:rPr>
        <w:t>Presentó este punto la Sra. Joanna Post, Jefa de la Sección de Observaciones y Servicios Oceánicos, quien se refirió a los avances en la observación del océano, especialmente en el marco de la aplicación de la Estrategia 2030 del GOOS. Cada vez hay una mayor conciencia de la necesidad imperiosa de ampliar de manera sostenible el sistema mundial de observación del océano para que cumpla su función de forma idónea, y se reconoce en particular la necesidad de una infraestructura crítica de observación y un ecosistema de datos, a escala nacional y mundial, que respondan a las expectativas de los usuarios finales y faciliten la gestión de los riesgos oceánicos, la planificación sostenible del océano y la previsión operacional, así como la comprensión científica.</w:t>
      </w:r>
    </w:p>
    <w:p w14:paraId="601D3BCE" w14:textId="77777777" w:rsidR="003A60E3" w:rsidRPr="00577FAF" w:rsidRDefault="00CB6A57">
      <w:pPr>
        <w:pStyle w:val="Style2"/>
        <w:numPr>
          <w:ilvl w:val="0"/>
          <w:numId w:val="7"/>
        </w:numPr>
        <w:tabs>
          <w:tab w:val="left" w:pos="709"/>
        </w:tabs>
        <w:ind w:left="0" w:hanging="567"/>
        <w:rPr>
          <w:rFonts w:cs="Arial"/>
        </w:rPr>
      </w:pPr>
      <w:r w:rsidRPr="00577FAF">
        <w:rPr>
          <w:rFonts w:cs="Arial"/>
        </w:rPr>
        <w:t xml:space="preserve">La Sra. Post presentó una sinopsis de los avances en la reforma de la gobernanza del GOOS desde la </w:t>
      </w:r>
      <w:hyperlink r:id="rId30" w:history="1">
        <w:r w:rsidRPr="00577FAF">
          <w:rPr>
            <w:rStyle w:val="Hyperlink"/>
            <w:rFonts w:cs="Arial"/>
          </w:rPr>
          <w:t>decisión A-32/4.8.1</w:t>
        </w:r>
      </w:hyperlink>
      <w:r w:rsidRPr="00577FAF">
        <w:rPr>
          <w:rFonts w:cs="Arial"/>
        </w:rPr>
        <w:t xml:space="preserve"> de la Asamblea, y se refirió al mandato del GOOS y de su Comité de Dirección (resolución XXVI-8, 2011). De conformidad con su mandato, el Comité de Dirección del GOOS está compuesto por 15 miembros designados —cinco expertos nombrados por los grupos electorales de los Estados Miembros durante la Asamblea de la COI y diez expertos científicos y técnicos nombrados por el Secretario Ejecutivo, en consulta con la Mesa de la COI y los copatrocinadores—, así como por miembros de oficio y expertos invitados. En su </w:t>
      </w:r>
      <w:hyperlink r:id="rId31" w:history="1">
        <w:r w:rsidRPr="00577FAF">
          <w:rPr>
            <w:rStyle w:val="Hyperlink"/>
            <w:rFonts w:cs="Arial"/>
          </w:rPr>
          <w:t>decisión A-32/4.8.1</w:t>
        </w:r>
      </w:hyperlink>
      <w:r w:rsidRPr="00577FAF">
        <w:rPr>
          <w:rFonts w:cs="Arial"/>
        </w:rPr>
        <w:t xml:space="preserve">, la Asamblea de la COI tomó nota del nombramiento de los cinco expertos regionales por los grupos electorales de los Estados Miembros para cada una de las cinco regiones de la COI para el periodo 2024-2025. Al haber expirado el mandato de los anteriores expertos científicos y técnicos, el Secretario Ejecutivo, mediante la </w:t>
      </w:r>
      <w:hyperlink r:id="rId32" w:history="1">
        <w:r w:rsidRPr="00577FAF">
          <w:rPr>
            <w:rStyle w:val="Hyperlink"/>
            <w:rFonts w:cs="Arial"/>
          </w:rPr>
          <w:t xml:space="preserve">circular </w:t>
        </w:r>
        <w:proofErr w:type="spellStart"/>
        <w:r w:rsidRPr="00577FAF">
          <w:rPr>
            <w:rStyle w:val="Hyperlink"/>
            <w:rFonts w:cs="Arial"/>
          </w:rPr>
          <w:t>nº</w:t>
        </w:r>
        <w:proofErr w:type="spellEnd"/>
        <w:r w:rsidRPr="00577FAF">
          <w:rPr>
            <w:rStyle w:val="Hyperlink"/>
            <w:rFonts w:cs="Arial"/>
          </w:rPr>
          <w:t> 2983 de la COI</w:t>
        </w:r>
      </w:hyperlink>
      <w:r w:rsidRPr="00577FAF">
        <w:rPr>
          <w:rFonts w:cs="Arial"/>
        </w:rPr>
        <w:t>, publicada en enero de 2024, inició el proceso para nombrar a diez nuevos expertos científicos y técnicos para apoyar la ejecución del mandato del GOOS, en consulta con la Mesa de la COI y los copatrocinadores, que fueron designados en mayo de 2024.</w:t>
      </w:r>
    </w:p>
    <w:p w14:paraId="5C8C4771" w14:textId="77777777" w:rsidR="003A60E3" w:rsidRPr="00577FAF" w:rsidRDefault="00CB6A57">
      <w:pPr>
        <w:pStyle w:val="Style2"/>
        <w:numPr>
          <w:ilvl w:val="0"/>
          <w:numId w:val="7"/>
        </w:numPr>
        <w:tabs>
          <w:tab w:val="left" w:pos="709"/>
        </w:tabs>
        <w:ind w:left="0" w:hanging="567"/>
        <w:rPr>
          <w:rFonts w:cs="Arial"/>
        </w:rPr>
      </w:pPr>
      <w:r w:rsidRPr="00577FAF">
        <w:rPr>
          <w:rFonts w:cs="Arial"/>
        </w:rPr>
        <w:t xml:space="preserve">Además, la Sra. Post se refirió al documento IOC/EC-57/4.1.Doc(1) y a las medidas que en él se proponen. A fin de velar por la idoneidad de la gobernanza del GOOS, el informe debe considerarse como un peldaño de un proceso de gobernanza en evolución, junto con la COI, la OMM y los demás copatrocinadores del GOOS, que responda a las necesidades y prioridades de los Estados Miembros. Deben tenerse en cuenta los mandatos de los patrocinadores y los componentes del GOOS, el contexto cambiante, en particular en el marco del Decenio del Océano y la Visión 2030, </w:t>
      </w:r>
      <w:r w:rsidRPr="00577FAF">
        <w:rPr>
          <w:rFonts w:cs="Arial"/>
        </w:rPr>
        <w:lastRenderedPageBreak/>
        <w:t xml:space="preserve">la necesidad de un enfoque basado en el sistema Tierra y la </w:t>
      </w:r>
      <w:proofErr w:type="spellStart"/>
      <w:r w:rsidRPr="00577FAF">
        <w:rPr>
          <w:rFonts w:cs="Arial"/>
        </w:rPr>
        <w:t>coformulación</w:t>
      </w:r>
      <w:proofErr w:type="spellEnd"/>
      <w:r w:rsidRPr="00577FAF">
        <w:rPr>
          <w:rFonts w:cs="Arial"/>
        </w:rPr>
        <w:t>, el posicionamiento estratégico y la planificación de la COI, así como los mandatos de los acuerdos multilaterales pertinentes.</w:t>
      </w:r>
    </w:p>
    <w:tbl>
      <w:tblPr>
        <w:tblW w:w="0" w:type="auto"/>
        <w:shd w:val="clear" w:color="auto" w:fill="CCFFCC"/>
        <w:tblLayout w:type="fixed"/>
        <w:tblCellMar>
          <w:top w:w="113" w:type="dxa"/>
          <w:bottom w:w="113" w:type="dxa"/>
        </w:tblCellMar>
        <w:tblLook w:val="0000" w:firstRow="0" w:lastRow="0" w:firstColumn="0" w:lastColumn="0" w:noHBand="0" w:noVBand="0"/>
      </w:tblPr>
      <w:tblGrid>
        <w:gridCol w:w="9747"/>
      </w:tblGrid>
      <w:tr w:rsidR="003A60E3" w:rsidRPr="00577FAF" w14:paraId="028C328D" w14:textId="77777777">
        <w:trPr>
          <w:trHeight w:val="604"/>
        </w:trPr>
        <w:tc>
          <w:tcPr>
            <w:tcW w:w="9747" w:type="dxa"/>
            <w:shd w:val="clear" w:color="auto" w:fill="CCFFCC"/>
            <w:tcMar>
              <w:top w:w="113" w:type="dxa"/>
              <w:bottom w:w="113" w:type="dxa"/>
            </w:tcMar>
          </w:tcPr>
          <w:p w14:paraId="0C9DB2B0" w14:textId="77777777" w:rsidR="003A60E3" w:rsidRPr="00577FAF" w:rsidRDefault="00CB6A57">
            <w:pPr>
              <w:spacing w:after="120"/>
              <w:jc w:val="both"/>
              <w:rPr>
                <w:rFonts w:ascii="Arial" w:hAnsi="Arial" w:cs="Arial"/>
                <w:sz w:val="22"/>
                <w:szCs w:val="22"/>
                <w:u w:val="single"/>
              </w:rPr>
            </w:pPr>
            <w:r w:rsidRPr="00577FAF">
              <w:rPr>
                <w:rFonts w:ascii="Arial" w:hAnsi="Arial" w:cs="Arial"/>
                <w:sz w:val="22"/>
                <w:szCs w:val="22"/>
                <w:u w:val="single"/>
              </w:rPr>
              <w:t>Decisión EC-57/4.1</w:t>
            </w:r>
          </w:p>
          <w:p w14:paraId="18DCCE5A" w14:textId="77777777" w:rsidR="004C1803" w:rsidRPr="00577FAF" w:rsidRDefault="00CB6A57">
            <w:pPr>
              <w:spacing w:after="240"/>
              <w:jc w:val="center"/>
              <w:rPr>
                <w:rFonts w:ascii="Arial" w:hAnsi="Arial" w:cs="Arial"/>
                <w:sz w:val="22"/>
                <w:szCs w:val="22"/>
              </w:rPr>
            </w:pPr>
            <w:r w:rsidRPr="00577FAF">
              <w:rPr>
                <w:rFonts w:ascii="Arial" w:hAnsi="Arial" w:cs="Arial"/>
                <w:b/>
                <w:bCs/>
                <w:sz w:val="22"/>
                <w:szCs w:val="22"/>
              </w:rPr>
              <w:t>Gobernanza del Sistema Mundial de Observación del Océano (GOOS)</w:t>
            </w:r>
          </w:p>
          <w:p w14:paraId="69E4FFF3" w14:textId="77777777" w:rsidR="004C1803" w:rsidRPr="00577FAF" w:rsidRDefault="00CB6A57">
            <w:pPr>
              <w:spacing w:after="120"/>
              <w:ind w:left="709" w:hanging="709"/>
              <w:rPr>
                <w:rFonts w:ascii="Arial" w:hAnsi="Arial" w:cs="Arial"/>
                <w:sz w:val="22"/>
                <w:szCs w:val="22"/>
              </w:rPr>
            </w:pPr>
            <w:r w:rsidRPr="00577FAF">
              <w:rPr>
                <w:rFonts w:ascii="Arial" w:hAnsi="Arial" w:cs="Arial"/>
                <w:sz w:val="22"/>
                <w:szCs w:val="22"/>
              </w:rPr>
              <w:t>El Consejo Ejecutivo,</w:t>
            </w:r>
          </w:p>
          <w:p w14:paraId="113C0265" w14:textId="77777777" w:rsidR="003A60E3" w:rsidRPr="00577FAF" w:rsidRDefault="00CB6A57" w:rsidP="006B65EB">
            <w:pPr>
              <w:numPr>
                <w:ilvl w:val="3"/>
                <w:numId w:val="17"/>
              </w:numPr>
              <w:spacing w:after="240"/>
              <w:ind w:left="567" w:hanging="567"/>
              <w:jc w:val="both"/>
              <w:rPr>
                <w:rFonts w:ascii="Arial" w:hAnsi="Arial" w:cs="Arial"/>
                <w:sz w:val="22"/>
                <w:szCs w:val="22"/>
              </w:rPr>
            </w:pPr>
            <w:r w:rsidRPr="00577FAF">
              <w:rPr>
                <w:rFonts w:ascii="Arial" w:hAnsi="Arial" w:cs="Arial"/>
                <w:sz w:val="22"/>
                <w:szCs w:val="22"/>
                <w:u w:val="single"/>
              </w:rPr>
              <w:t>Habiendo examinado</w:t>
            </w:r>
            <w:r w:rsidRPr="00577FAF">
              <w:rPr>
                <w:rFonts w:ascii="Arial" w:hAnsi="Arial" w:cs="Arial"/>
                <w:sz w:val="22"/>
                <w:szCs w:val="22"/>
              </w:rPr>
              <w:t xml:space="preserve"> el documento IOC/EC-57/4.1.Doc(1),</w:t>
            </w:r>
          </w:p>
          <w:p w14:paraId="46348C7F" w14:textId="77777777" w:rsidR="003A60E3" w:rsidRPr="00577FAF" w:rsidRDefault="00CB6A57" w:rsidP="006B65EB">
            <w:pPr>
              <w:numPr>
                <w:ilvl w:val="3"/>
                <w:numId w:val="17"/>
              </w:numPr>
              <w:spacing w:after="240"/>
              <w:ind w:left="567" w:hanging="567"/>
              <w:jc w:val="both"/>
              <w:rPr>
                <w:rFonts w:ascii="Arial" w:hAnsi="Arial" w:cs="Arial"/>
                <w:sz w:val="22"/>
                <w:szCs w:val="22"/>
              </w:rPr>
            </w:pPr>
            <w:r w:rsidRPr="00577FAF">
              <w:rPr>
                <w:rFonts w:ascii="Arial" w:hAnsi="Arial" w:cs="Arial"/>
                <w:sz w:val="22"/>
                <w:szCs w:val="22"/>
                <w:u w:val="single"/>
              </w:rPr>
              <w:t>Reafirmando</w:t>
            </w:r>
            <w:r w:rsidRPr="00577FAF">
              <w:rPr>
                <w:rFonts w:ascii="Arial" w:hAnsi="Arial" w:cs="Arial"/>
                <w:sz w:val="22"/>
                <w:szCs w:val="22"/>
              </w:rPr>
              <w:t xml:space="preserve"> que el GOOS es una prioridad para la COI,</w:t>
            </w:r>
          </w:p>
          <w:p w14:paraId="68FEB9A1" w14:textId="77777777" w:rsidR="003A60E3" w:rsidRPr="00577FAF" w:rsidRDefault="00CB6A57" w:rsidP="006B65EB">
            <w:pPr>
              <w:numPr>
                <w:ilvl w:val="3"/>
                <w:numId w:val="17"/>
              </w:numPr>
              <w:spacing w:after="240"/>
              <w:ind w:left="567" w:hanging="567"/>
              <w:jc w:val="both"/>
              <w:rPr>
                <w:rFonts w:ascii="Arial" w:hAnsi="Arial" w:cs="Arial"/>
                <w:sz w:val="22"/>
                <w:szCs w:val="22"/>
              </w:rPr>
            </w:pPr>
            <w:r w:rsidRPr="00577FAF">
              <w:rPr>
                <w:rFonts w:ascii="Arial" w:hAnsi="Arial" w:cs="Arial"/>
                <w:sz w:val="22"/>
                <w:szCs w:val="22"/>
                <w:u w:val="single"/>
              </w:rPr>
              <w:t>Recordando</w:t>
            </w:r>
            <w:r w:rsidRPr="00577FAF">
              <w:rPr>
                <w:rFonts w:ascii="Arial" w:hAnsi="Arial" w:cs="Arial"/>
                <w:sz w:val="22"/>
                <w:szCs w:val="22"/>
              </w:rPr>
              <w:t xml:space="preserve"> la Estrategia 2030 del GOOS y </w:t>
            </w:r>
            <w:r w:rsidRPr="00577FAF">
              <w:rPr>
                <w:rFonts w:ascii="Arial" w:hAnsi="Arial" w:cs="Arial"/>
                <w:sz w:val="22"/>
                <w:szCs w:val="22"/>
                <w:u w:val="single"/>
              </w:rPr>
              <w:t>tomando nota</w:t>
            </w:r>
            <w:r w:rsidRPr="00577FAF">
              <w:rPr>
                <w:rFonts w:ascii="Arial" w:hAnsi="Arial" w:cs="Arial"/>
                <w:sz w:val="22"/>
                <w:szCs w:val="22"/>
              </w:rPr>
              <w:t xml:space="preserve"> del libro blanco del proceso Visión 2030 relativo al desafío 7 del Decenio del Océano, “Ampliar el Sistema Mundial de Observación del Océano”,</w:t>
            </w:r>
          </w:p>
          <w:p w14:paraId="0F2438FF" w14:textId="77777777" w:rsidR="003A60E3" w:rsidRPr="00577FAF" w:rsidRDefault="00CB6A57" w:rsidP="006B65EB">
            <w:pPr>
              <w:numPr>
                <w:ilvl w:val="3"/>
                <w:numId w:val="17"/>
              </w:numPr>
              <w:spacing w:after="240"/>
              <w:ind w:left="567" w:hanging="567"/>
              <w:jc w:val="both"/>
              <w:rPr>
                <w:rFonts w:ascii="Arial" w:eastAsia="Arial" w:hAnsi="Arial" w:cs="Arial"/>
                <w:sz w:val="22"/>
                <w:szCs w:val="22"/>
              </w:rPr>
            </w:pPr>
            <w:r w:rsidRPr="00577FAF">
              <w:rPr>
                <w:rFonts w:ascii="Arial" w:hAnsi="Arial" w:cs="Arial"/>
                <w:sz w:val="22"/>
                <w:szCs w:val="22"/>
                <w:u w:val="single"/>
              </w:rPr>
              <w:t>Teniendo presente</w:t>
            </w:r>
            <w:r w:rsidRPr="00577FAF">
              <w:rPr>
                <w:rFonts w:ascii="Arial" w:hAnsi="Arial" w:cs="Arial"/>
                <w:sz w:val="22"/>
                <w:szCs w:val="22"/>
              </w:rPr>
              <w:t xml:space="preserve"> la decisión A-32/4.7,</w:t>
            </w:r>
          </w:p>
          <w:p w14:paraId="7BAB4A80" w14:textId="77777777" w:rsidR="003A60E3" w:rsidRPr="00577FAF" w:rsidRDefault="00CB6A57" w:rsidP="006B65EB">
            <w:pPr>
              <w:numPr>
                <w:ilvl w:val="3"/>
                <w:numId w:val="17"/>
              </w:numPr>
              <w:spacing w:after="240"/>
              <w:ind w:left="567" w:hanging="567"/>
              <w:jc w:val="both"/>
              <w:rPr>
                <w:rFonts w:ascii="Arial" w:hAnsi="Arial" w:cs="Arial"/>
                <w:sz w:val="22"/>
                <w:szCs w:val="22"/>
              </w:rPr>
            </w:pPr>
            <w:r w:rsidRPr="00577FAF">
              <w:rPr>
                <w:rFonts w:ascii="Arial" w:hAnsi="Arial" w:cs="Arial"/>
                <w:sz w:val="22"/>
                <w:szCs w:val="22"/>
                <w:u w:val="single"/>
              </w:rPr>
              <w:t>Acoge con beneplácito</w:t>
            </w:r>
            <w:r w:rsidRPr="00577FAF">
              <w:rPr>
                <w:rFonts w:ascii="Arial" w:hAnsi="Arial" w:cs="Arial"/>
                <w:sz w:val="22"/>
                <w:szCs w:val="22"/>
              </w:rPr>
              <w:t xml:space="preserve"> la información que figura en el documento IOC/EC-57/4.1.Doc(1) y las medidas que en él se proponen;</w:t>
            </w:r>
          </w:p>
          <w:p w14:paraId="755615B8" w14:textId="77777777" w:rsidR="003A60E3" w:rsidRPr="00577FAF" w:rsidRDefault="00CB6A57" w:rsidP="006B65EB">
            <w:pPr>
              <w:numPr>
                <w:ilvl w:val="3"/>
                <w:numId w:val="17"/>
              </w:numPr>
              <w:spacing w:after="240"/>
              <w:ind w:left="567" w:hanging="567"/>
              <w:jc w:val="both"/>
              <w:rPr>
                <w:rFonts w:ascii="Arial" w:hAnsi="Arial" w:cs="Arial"/>
                <w:sz w:val="22"/>
                <w:szCs w:val="22"/>
              </w:rPr>
            </w:pPr>
            <w:r w:rsidRPr="00577FAF">
              <w:rPr>
                <w:rFonts w:ascii="Arial" w:hAnsi="Arial" w:cs="Arial"/>
                <w:sz w:val="22"/>
                <w:szCs w:val="22"/>
                <w:u w:val="single"/>
              </w:rPr>
              <w:t>Hace suyas</w:t>
            </w:r>
            <w:r w:rsidRPr="00577FAF">
              <w:rPr>
                <w:rFonts w:ascii="Arial" w:hAnsi="Arial" w:cs="Arial"/>
                <w:sz w:val="22"/>
                <w:szCs w:val="22"/>
              </w:rPr>
              <w:t xml:space="preserve"> las medidas para hacer evolucionar la gobernanza del GOOS que se proponen en el documento IOC/EC-57/4.1.Doc(1), así como las modificaciones que puedan solicitar los Estados Miembros.</w:t>
            </w:r>
          </w:p>
        </w:tc>
      </w:tr>
    </w:tbl>
    <w:p w14:paraId="577C04B1" w14:textId="77777777" w:rsidR="003A60E3" w:rsidRPr="00577FAF" w:rsidRDefault="003A60E3">
      <w:pPr>
        <w:pStyle w:val="Style2"/>
        <w:tabs>
          <w:tab w:val="clear" w:pos="1400"/>
          <w:tab w:val="left" w:pos="709"/>
        </w:tabs>
        <w:spacing w:after="0"/>
        <w:rPr>
          <w:rFonts w:cs="Arial"/>
        </w:rPr>
      </w:pPr>
    </w:p>
    <w:p w14:paraId="4BCCE05B" w14:textId="77777777" w:rsidR="003A60E3" w:rsidRPr="00577FAF" w:rsidRDefault="00CB6A57">
      <w:pPr>
        <w:pStyle w:val="Style2"/>
        <w:numPr>
          <w:ilvl w:val="0"/>
          <w:numId w:val="7"/>
        </w:numPr>
        <w:tabs>
          <w:tab w:val="left" w:pos="709"/>
        </w:tabs>
        <w:ind w:left="0" w:hanging="567"/>
        <w:rPr>
          <w:rFonts w:cs="Arial"/>
        </w:rPr>
      </w:pPr>
      <w:r w:rsidRPr="00577FAF">
        <w:rPr>
          <w:rFonts w:cs="Aria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0DC7DCAD" w14:textId="77777777" w:rsidR="003A60E3" w:rsidRPr="00577FAF" w:rsidRDefault="00CB6A57">
      <w:pPr>
        <w:pStyle w:val="Heading2"/>
        <w:ind w:left="709" w:hanging="709"/>
        <w:rPr>
          <w:rFonts w:cs="Arial"/>
          <w:szCs w:val="22"/>
        </w:rPr>
      </w:pPr>
      <w:bookmarkStart w:id="151" w:name="_Toc92752501"/>
      <w:bookmarkStart w:id="152" w:name="_Toc168933428"/>
      <w:r w:rsidRPr="00577FAF">
        <w:rPr>
          <w:rFonts w:cs="Arial"/>
          <w:szCs w:val="22"/>
        </w:rPr>
        <w:t>4.2</w:t>
      </w:r>
      <w:r w:rsidRPr="00577FAF">
        <w:rPr>
          <w:rFonts w:cs="Arial"/>
          <w:szCs w:val="22"/>
        </w:rPr>
        <w:tab/>
        <w:t>INFORME SOBRE LOS AVANCES DE LAS OBSERVACIONES OCEÁNICAS EN LAS ZONAS SUJETAS A LA JURISDICCIÓN NACIONAL [decisión A-32/4.8.2]</w:t>
      </w:r>
      <w:bookmarkStart w:id="153" w:name="_Toc85469071"/>
      <w:bookmarkEnd w:id="151"/>
      <w:bookmarkEnd w:id="153"/>
      <w:bookmarkEnd w:id="152"/>
    </w:p>
    <w:tbl>
      <w:tblPr>
        <w:tblW w:w="9747" w:type="dxa"/>
        <w:tblLayout w:type="fixed"/>
        <w:tblLook w:val="0000" w:firstRow="0" w:lastRow="0" w:firstColumn="0" w:lastColumn="0" w:noHBand="0" w:noVBand="0"/>
      </w:tblPr>
      <w:tblGrid>
        <w:gridCol w:w="2376"/>
        <w:gridCol w:w="2586"/>
        <w:gridCol w:w="4785"/>
      </w:tblGrid>
      <w:tr w:rsidR="003A60E3" w:rsidRPr="00577FAF" w14:paraId="563DAA5D" w14:textId="77777777" w:rsidTr="001F0620">
        <w:tc>
          <w:tcPr>
            <w:tcW w:w="2376" w:type="dxa"/>
            <w:shd w:val="clear" w:color="auto" w:fill="FFFF99"/>
            <w:tcMar>
              <w:top w:w="57" w:type="dxa"/>
              <w:bottom w:w="57" w:type="dxa"/>
            </w:tcMar>
          </w:tcPr>
          <w:p w14:paraId="4769959D" w14:textId="77777777" w:rsidR="003A60E3" w:rsidRPr="00577FAF" w:rsidRDefault="00CB6A57">
            <w:pPr>
              <w:rPr>
                <w:rFonts w:ascii="Arial" w:hAnsi="Arial" w:cs="Arial"/>
                <w:i/>
                <w:color w:val="000000"/>
                <w:sz w:val="20"/>
                <w:szCs w:val="20"/>
                <w:u w:val="single"/>
              </w:rPr>
            </w:pPr>
            <w:r w:rsidRPr="00577FAF">
              <w:rPr>
                <w:rFonts w:ascii="Arial" w:hAnsi="Arial" w:cs="Arial"/>
                <w:i/>
                <w:iCs/>
                <w:sz w:val="20"/>
                <w:szCs w:val="20"/>
                <w:u w:val="single"/>
              </w:rPr>
              <w:t>Documento de trabajo</w:t>
            </w:r>
          </w:p>
        </w:tc>
        <w:tc>
          <w:tcPr>
            <w:tcW w:w="2586" w:type="dxa"/>
            <w:shd w:val="clear" w:color="auto" w:fill="FFFF99"/>
            <w:tcMar>
              <w:top w:w="57" w:type="dxa"/>
              <w:bottom w:w="57" w:type="dxa"/>
            </w:tcMar>
          </w:tcPr>
          <w:p w14:paraId="389D8DCA" w14:textId="77777777" w:rsidR="003A60E3" w:rsidRPr="00577FAF" w:rsidRDefault="00CB6A57">
            <w:pPr>
              <w:rPr>
                <w:rFonts w:ascii="Arial" w:hAnsi="Arial" w:cs="Arial"/>
                <w:color w:val="000000"/>
                <w:sz w:val="20"/>
                <w:szCs w:val="20"/>
              </w:rPr>
            </w:pPr>
            <w:r w:rsidRPr="00577FAF">
              <w:rPr>
                <w:rFonts w:ascii="Arial" w:hAnsi="Arial" w:cs="Arial"/>
                <w:sz w:val="20"/>
                <w:szCs w:val="20"/>
              </w:rPr>
              <w:t>IOC/EC-57/4.2.Doc(1)</w:t>
            </w:r>
            <w:r w:rsidR="004C1803" w:rsidRPr="00577FAF">
              <w:rPr>
                <w:rFonts w:ascii="Arial" w:hAnsi="Arial" w:cs="Arial"/>
                <w:sz w:val="20"/>
                <w:szCs w:val="20"/>
              </w:rPr>
              <w:t xml:space="preserve"> </w:t>
            </w:r>
          </w:p>
        </w:tc>
        <w:tc>
          <w:tcPr>
            <w:tcW w:w="4785" w:type="dxa"/>
            <w:shd w:val="clear" w:color="auto" w:fill="FFFF99"/>
            <w:tcMar>
              <w:top w:w="57" w:type="dxa"/>
              <w:bottom w:w="57" w:type="dxa"/>
            </w:tcMar>
          </w:tcPr>
          <w:p w14:paraId="0F554B7D" w14:textId="77777777" w:rsidR="003A60E3" w:rsidRPr="00577FAF" w:rsidRDefault="00CB6A57">
            <w:pPr>
              <w:spacing w:after="60"/>
              <w:rPr>
                <w:rFonts w:ascii="Arial" w:hAnsi="Arial" w:cs="Arial"/>
                <w:color w:val="000000"/>
                <w:sz w:val="20"/>
                <w:szCs w:val="20"/>
              </w:rPr>
            </w:pPr>
            <w:r w:rsidRPr="00577FAF">
              <w:rPr>
                <w:rFonts w:ascii="Arial" w:hAnsi="Arial" w:cs="Arial"/>
                <w:sz w:val="20"/>
                <w:szCs w:val="20"/>
              </w:rPr>
              <w:t>Informe sobre la marcha de los trabajos del grupo de trabajo especial de la COI para el periodo entre reuniones sobre las observaciones oceánicas en las zonas sujetas a la jurisdicción nacional</w:t>
            </w:r>
          </w:p>
        </w:tc>
      </w:tr>
      <w:tr w:rsidR="003A60E3" w:rsidRPr="00EA695A" w14:paraId="17FE0FAF" w14:textId="77777777" w:rsidTr="001F0620">
        <w:tc>
          <w:tcPr>
            <w:tcW w:w="2376" w:type="dxa"/>
            <w:shd w:val="clear" w:color="auto" w:fill="D5DCE4"/>
            <w:tcMar>
              <w:top w:w="57" w:type="dxa"/>
              <w:bottom w:w="57" w:type="dxa"/>
            </w:tcMar>
          </w:tcPr>
          <w:p w14:paraId="16BD9538" w14:textId="77777777" w:rsidR="003A60E3" w:rsidRPr="00577FAF" w:rsidRDefault="00CB6A57">
            <w:pPr>
              <w:tabs>
                <w:tab w:val="left" w:pos="1132"/>
              </w:tabs>
              <w:rPr>
                <w:rFonts w:ascii="Arial" w:hAnsi="Arial" w:cs="Arial"/>
                <w:i/>
                <w:color w:val="000000"/>
                <w:sz w:val="20"/>
                <w:szCs w:val="20"/>
                <w:u w:val="single"/>
              </w:rPr>
            </w:pPr>
            <w:r w:rsidRPr="00577FAF">
              <w:rPr>
                <w:rFonts w:ascii="Arial" w:hAnsi="Arial" w:cs="Arial"/>
                <w:i/>
                <w:iCs/>
                <w:sz w:val="20"/>
                <w:szCs w:val="20"/>
                <w:u w:val="single"/>
              </w:rPr>
              <w:t>Referencias</w:t>
            </w:r>
          </w:p>
        </w:tc>
        <w:tc>
          <w:tcPr>
            <w:tcW w:w="2586" w:type="dxa"/>
            <w:shd w:val="clear" w:color="auto" w:fill="auto"/>
            <w:tcMar>
              <w:top w:w="57" w:type="dxa"/>
              <w:bottom w:w="57" w:type="dxa"/>
            </w:tcMar>
          </w:tcPr>
          <w:p w14:paraId="02123A3F" w14:textId="77777777" w:rsidR="003A60E3" w:rsidRPr="00577FAF" w:rsidRDefault="00EA695A">
            <w:pPr>
              <w:rPr>
                <w:rFonts w:ascii="Arial" w:hAnsi="Arial" w:cs="Arial"/>
                <w:color w:val="000000"/>
                <w:sz w:val="20"/>
                <w:szCs w:val="20"/>
              </w:rPr>
            </w:pPr>
            <w:hyperlink r:id="rId33" w:history="1">
              <w:r w:rsidR="00CB6A57" w:rsidRPr="00577FAF">
                <w:rPr>
                  <w:rFonts w:ascii="Arial" w:hAnsi="Arial" w:cs="Arial"/>
                  <w:sz w:val="20"/>
                  <w:szCs w:val="20"/>
                  <w:u w:val="single"/>
                </w:rPr>
                <w:t xml:space="preserve">Informe </w:t>
              </w:r>
              <w:proofErr w:type="spellStart"/>
              <w:r w:rsidR="00CB6A57" w:rsidRPr="00577FAF">
                <w:rPr>
                  <w:rFonts w:ascii="Arial" w:hAnsi="Arial" w:cs="Arial"/>
                  <w:sz w:val="20"/>
                  <w:szCs w:val="20"/>
                  <w:u w:val="single"/>
                </w:rPr>
                <w:t>nº</w:t>
              </w:r>
              <w:proofErr w:type="spellEnd"/>
              <w:r w:rsidR="00CB6A57" w:rsidRPr="00577FAF">
                <w:rPr>
                  <w:rFonts w:ascii="Arial" w:hAnsi="Arial" w:cs="Arial"/>
                  <w:sz w:val="20"/>
                  <w:szCs w:val="20"/>
                  <w:u w:val="single"/>
                </w:rPr>
                <w:t> 246 del GOOS</w:t>
              </w:r>
            </w:hyperlink>
          </w:p>
        </w:tc>
        <w:tc>
          <w:tcPr>
            <w:tcW w:w="4785" w:type="dxa"/>
            <w:shd w:val="clear" w:color="auto" w:fill="auto"/>
            <w:tcMar>
              <w:top w:w="57" w:type="dxa"/>
              <w:bottom w:w="57" w:type="dxa"/>
            </w:tcMar>
          </w:tcPr>
          <w:p w14:paraId="10513F82" w14:textId="77777777" w:rsidR="003A60E3" w:rsidRPr="00667A5C" w:rsidRDefault="00CB6A57">
            <w:pPr>
              <w:spacing w:after="60"/>
              <w:rPr>
                <w:rFonts w:ascii="Arial" w:hAnsi="Arial" w:cs="Arial"/>
                <w:color w:val="000000"/>
                <w:sz w:val="20"/>
                <w:szCs w:val="20"/>
                <w:lang w:val="en-US"/>
              </w:rPr>
            </w:pPr>
            <w:r w:rsidRPr="00667A5C">
              <w:rPr>
                <w:rFonts w:ascii="Arial" w:hAnsi="Arial" w:cs="Arial"/>
                <w:sz w:val="20"/>
                <w:szCs w:val="20"/>
                <w:lang w:val="en-US"/>
              </w:rPr>
              <w:t>Ocean Observations in Areas under National Jurisdiction (OONJ) Workshop, 12-13 February 2020, IOC/UNESCO</w:t>
            </w:r>
          </w:p>
        </w:tc>
      </w:tr>
    </w:tbl>
    <w:p w14:paraId="08AC7290" w14:textId="77777777" w:rsidR="004C1803" w:rsidRPr="00577FAF" w:rsidRDefault="00CB6A57">
      <w:pPr>
        <w:pStyle w:val="Style2"/>
        <w:numPr>
          <w:ilvl w:val="0"/>
          <w:numId w:val="7"/>
        </w:numPr>
        <w:tabs>
          <w:tab w:val="left" w:pos="709"/>
        </w:tabs>
        <w:spacing w:before="240"/>
        <w:ind w:left="0" w:hanging="567"/>
        <w:textDirection w:val="btLr"/>
        <w:rPr>
          <w:rFonts w:cs="Arial"/>
        </w:rPr>
      </w:pPr>
      <w:r w:rsidRPr="00577FAF">
        <w:rPr>
          <w:rFonts w:cs="Arial"/>
        </w:rPr>
        <w:t>Presentó este punto del orden del día la Sra. </w:t>
      </w:r>
      <w:proofErr w:type="spellStart"/>
      <w:r w:rsidRPr="00577FAF">
        <w:rPr>
          <w:rFonts w:cs="Arial"/>
        </w:rPr>
        <w:t>Suzan</w:t>
      </w:r>
      <w:proofErr w:type="spellEnd"/>
      <w:r w:rsidRPr="00577FAF">
        <w:rPr>
          <w:rFonts w:cs="Arial"/>
        </w:rPr>
        <w:t xml:space="preserve"> M. El-</w:t>
      </w:r>
      <w:proofErr w:type="spellStart"/>
      <w:r w:rsidRPr="00577FAF">
        <w:rPr>
          <w:rFonts w:cs="Arial"/>
        </w:rPr>
        <w:t>Gharabawy</w:t>
      </w:r>
      <w:proofErr w:type="spellEnd"/>
      <w:r w:rsidRPr="00577FAF">
        <w:rPr>
          <w:rFonts w:cs="Arial"/>
        </w:rPr>
        <w:t>, Copresidenta del grupo de trabajo especial de la COI para el periodo entre reuniones sobre las observaciones oceánicas en las zonas sujetas a la jurisdicción nacional, quien informó de los avances del grupo de trabajo creado en virtud de la decisión A-32/4.8.2, destacando que en el grupo están representados 25 Estados Miembros.</w:t>
      </w:r>
    </w:p>
    <w:p w14:paraId="5AB3A473" w14:textId="77777777" w:rsidR="003A60E3" w:rsidRPr="00577FAF" w:rsidRDefault="00CB6A57">
      <w:pPr>
        <w:pStyle w:val="Style2"/>
        <w:numPr>
          <w:ilvl w:val="0"/>
          <w:numId w:val="7"/>
        </w:numPr>
        <w:tabs>
          <w:tab w:val="left" w:pos="709"/>
        </w:tabs>
        <w:ind w:left="0" w:hanging="567"/>
        <w:rPr>
          <w:rFonts w:cs="Arial"/>
        </w:rPr>
      </w:pPr>
      <w:r w:rsidRPr="00577FAF">
        <w:rPr>
          <w:rFonts w:cs="Arial"/>
        </w:rPr>
        <w:t>El grupo de trabajo está analizando metódicamente la información facilitada y tratará de recurrir al asesoramiento de otros expertos de ser necesario. De conformidad con su mandato, en la Asamblea de la COI, en junio de 2025, el grupo presentará los resultados de su trabajo y las posibles medidas que desee recomendar.</w:t>
      </w:r>
    </w:p>
    <w:tbl>
      <w:tblPr>
        <w:tblW w:w="0" w:type="auto"/>
        <w:shd w:val="clear" w:color="auto" w:fill="CCFFCC"/>
        <w:tblLayout w:type="fixed"/>
        <w:tblCellMar>
          <w:top w:w="113" w:type="dxa"/>
          <w:bottom w:w="113" w:type="dxa"/>
        </w:tblCellMar>
        <w:tblLook w:val="0000" w:firstRow="0" w:lastRow="0" w:firstColumn="0" w:lastColumn="0" w:noHBand="0" w:noVBand="0"/>
      </w:tblPr>
      <w:tblGrid>
        <w:gridCol w:w="9747"/>
      </w:tblGrid>
      <w:tr w:rsidR="003A60E3" w:rsidRPr="00577FAF" w14:paraId="2FC5E7B0" w14:textId="77777777">
        <w:trPr>
          <w:trHeight w:val="604"/>
        </w:trPr>
        <w:tc>
          <w:tcPr>
            <w:tcW w:w="9747" w:type="dxa"/>
            <w:shd w:val="clear" w:color="auto" w:fill="CCFFCC"/>
            <w:tcMar>
              <w:top w:w="113" w:type="dxa"/>
              <w:bottom w:w="113" w:type="dxa"/>
            </w:tcMar>
          </w:tcPr>
          <w:p w14:paraId="38B8BB13" w14:textId="77777777" w:rsidR="003A60E3" w:rsidRPr="00577FAF" w:rsidRDefault="00CB6A57">
            <w:pPr>
              <w:spacing w:after="120"/>
              <w:jc w:val="both"/>
              <w:rPr>
                <w:rFonts w:ascii="Arial" w:hAnsi="Arial" w:cs="Arial"/>
                <w:sz w:val="22"/>
                <w:szCs w:val="22"/>
                <w:u w:val="single"/>
              </w:rPr>
            </w:pPr>
            <w:r w:rsidRPr="00577FAF">
              <w:rPr>
                <w:rFonts w:ascii="Arial" w:hAnsi="Arial" w:cs="Arial"/>
                <w:sz w:val="22"/>
                <w:szCs w:val="22"/>
                <w:u w:val="single"/>
              </w:rPr>
              <w:lastRenderedPageBreak/>
              <w:t>Decisión EC-57/4.2</w:t>
            </w:r>
          </w:p>
          <w:p w14:paraId="21EDA5F1" w14:textId="7693B47A" w:rsidR="003A60E3" w:rsidRPr="00577FAF" w:rsidRDefault="00CB6A57">
            <w:pPr>
              <w:spacing w:after="240"/>
              <w:jc w:val="center"/>
              <w:rPr>
                <w:rFonts w:ascii="Arial" w:hAnsi="Arial" w:cs="Arial"/>
                <w:b/>
                <w:bCs/>
                <w:sz w:val="22"/>
                <w:szCs w:val="22"/>
              </w:rPr>
            </w:pPr>
            <w:r w:rsidRPr="00577FAF">
              <w:rPr>
                <w:rFonts w:ascii="Arial" w:hAnsi="Arial" w:cs="Arial"/>
                <w:b/>
                <w:bCs/>
                <w:sz w:val="22"/>
                <w:szCs w:val="22"/>
              </w:rPr>
              <w:t xml:space="preserve">Informe sobre la marcha de los trabajos del grupo de trabajo especial de la COI </w:t>
            </w:r>
            <w:r w:rsidR="00CF370D" w:rsidRPr="00577FAF">
              <w:rPr>
                <w:rFonts w:ascii="Arial" w:hAnsi="Arial" w:cs="Arial"/>
                <w:b/>
                <w:bCs/>
                <w:sz w:val="22"/>
                <w:szCs w:val="22"/>
              </w:rPr>
              <w:br/>
            </w:r>
            <w:r w:rsidRPr="00577FAF">
              <w:rPr>
                <w:rFonts w:ascii="Arial" w:hAnsi="Arial" w:cs="Arial"/>
                <w:b/>
                <w:bCs/>
                <w:sz w:val="22"/>
                <w:szCs w:val="22"/>
              </w:rPr>
              <w:t xml:space="preserve">para el periodo entre reuniones sobre las observaciones oceánicas en las zonas </w:t>
            </w:r>
            <w:r w:rsidR="00CF370D" w:rsidRPr="00577FAF">
              <w:rPr>
                <w:rFonts w:ascii="Arial" w:hAnsi="Arial" w:cs="Arial"/>
                <w:b/>
                <w:bCs/>
                <w:sz w:val="22"/>
                <w:szCs w:val="22"/>
              </w:rPr>
              <w:br/>
            </w:r>
            <w:r w:rsidRPr="00577FAF">
              <w:rPr>
                <w:rFonts w:ascii="Arial" w:hAnsi="Arial" w:cs="Arial"/>
                <w:b/>
                <w:bCs/>
                <w:sz w:val="22"/>
                <w:szCs w:val="22"/>
              </w:rPr>
              <w:t>sujetas a la jurisdicción nacional</w:t>
            </w:r>
          </w:p>
          <w:p w14:paraId="3503C074" w14:textId="77777777" w:rsidR="004C1803" w:rsidRPr="00577FAF" w:rsidRDefault="00CB6A57">
            <w:pPr>
              <w:spacing w:after="240"/>
              <w:ind w:left="709" w:hanging="709"/>
              <w:rPr>
                <w:rFonts w:ascii="Arial" w:hAnsi="Arial" w:cs="Arial"/>
                <w:sz w:val="22"/>
                <w:szCs w:val="22"/>
              </w:rPr>
            </w:pPr>
            <w:r w:rsidRPr="00577FAF">
              <w:rPr>
                <w:rFonts w:ascii="Arial" w:hAnsi="Arial" w:cs="Arial"/>
                <w:sz w:val="22"/>
                <w:szCs w:val="22"/>
              </w:rPr>
              <w:t>El Consejo Ejecutivo,</w:t>
            </w:r>
          </w:p>
          <w:p w14:paraId="6BFAFAEE" w14:textId="77777777" w:rsidR="004C1803" w:rsidRPr="00577FAF" w:rsidRDefault="00CB6A57" w:rsidP="006B65EB">
            <w:pPr>
              <w:numPr>
                <w:ilvl w:val="0"/>
                <w:numId w:val="20"/>
              </w:numPr>
              <w:spacing w:after="240"/>
              <w:ind w:left="567" w:hanging="567"/>
              <w:jc w:val="both"/>
              <w:rPr>
                <w:rFonts w:ascii="Arial" w:hAnsi="Arial" w:cs="Arial"/>
                <w:sz w:val="22"/>
                <w:szCs w:val="22"/>
              </w:rPr>
            </w:pPr>
            <w:r w:rsidRPr="00577FAF">
              <w:rPr>
                <w:rFonts w:ascii="Arial" w:hAnsi="Arial" w:cs="Arial"/>
                <w:sz w:val="22"/>
                <w:szCs w:val="22"/>
                <w:u w:val="single"/>
              </w:rPr>
              <w:t>Recordando</w:t>
            </w:r>
            <w:r w:rsidRPr="00577FAF">
              <w:rPr>
                <w:rFonts w:ascii="Arial" w:hAnsi="Arial" w:cs="Arial"/>
                <w:sz w:val="22"/>
                <w:szCs w:val="22"/>
              </w:rPr>
              <w:t xml:space="preserve"> la decisión A-32/4.8.2 de la Asamblea,</w:t>
            </w:r>
          </w:p>
          <w:p w14:paraId="16795FAB" w14:textId="77777777" w:rsidR="003A60E3" w:rsidRPr="00577FAF" w:rsidRDefault="00CB6A57" w:rsidP="006B65EB">
            <w:pPr>
              <w:numPr>
                <w:ilvl w:val="0"/>
                <w:numId w:val="20"/>
              </w:numPr>
              <w:spacing w:after="240"/>
              <w:ind w:left="567" w:hanging="567"/>
              <w:jc w:val="both"/>
              <w:rPr>
                <w:rFonts w:ascii="Arial" w:hAnsi="Arial" w:cs="Arial"/>
                <w:sz w:val="22"/>
                <w:szCs w:val="22"/>
              </w:rPr>
            </w:pPr>
            <w:r w:rsidRPr="00577FAF">
              <w:rPr>
                <w:rFonts w:ascii="Arial" w:hAnsi="Arial" w:cs="Arial"/>
                <w:sz w:val="22"/>
                <w:szCs w:val="22"/>
                <w:u w:val="single"/>
              </w:rPr>
              <w:t>Acoge con beneplácito</w:t>
            </w:r>
            <w:r w:rsidRPr="00577FAF">
              <w:rPr>
                <w:rFonts w:ascii="Arial" w:hAnsi="Arial" w:cs="Arial"/>
                <w:sz w:val="22"/>
                <w:szCs w:val="22"/>
              </w:rPr>
              <w:t xml:space="preserve"> la creación del grupo de trabajo y la elección de sus copresidentes;</w:t>
            </w:r>
          </w:p>
          <w:p w14:paraId="4957E97B" w14:textId="77777777" w:rsidR="003A60E3" w:rsidRPr="00577FAF" w:rsidRDefault="00CB6A57" w:rsidP="006B65EB">
            <w:pPr>
              <w:numPr>
                <w:ilvl w:val="0"/>
                <w:numId w:val="20"/>
              </w:numPr>
              <w:spacing w:after="240"/>
              <w:ind w:left="567" w:hanging="567"/>
              <w:jc w:val="both"/>
              <w:rPr>
                <w:rFonts w:ascii="Arial" w:hAnsi="Arial" w:cs="Arial"/>
                <w:sz w:val="22"/>
                <w:szCs w:val="22"/>
              </w:rPr>
            </w:pPr>
            <w:r w:rsidRPr="00577FAF">
              <w:rPr>
                <w:rFonts w:ascii="Arial" w:hAnsi="Arial" w:cs="Arial"/>
                <w:sz w:val="22"/>
                <w:szCs w:val="22"/>
                <w:u w:val="single"/>
              </w:rPr>
              <w:t>Habiendo examinado</w:t>
            </w:r>
            <w:r w:rsidRPr="00577FAF">
              <w:rPr>
                <w:rFonts w:ascii="Arial" w:hAnsi="Arial" w:cs="Arial"/>
                <w:sz w:val="22"/>
                <w:szCs w:val="22"/>
              </w:rPr>
              <w:t xml:space="preserve"> el documento IOC/EC-57/4.2.Doc(1),</w:t>
            </w:r>
          </w:p>
          <w:p w14:paraId="4CA4DCAA" w14:textId="77777777" w:rsidR="003A60E3" w:rsidRPr="00577FAF" w:rsidRDefault="00CB6A57" w:rsidP="006B65EB">
            <w:pPr>
              <w:numPr>
                <w:ilvl w:val="0"/>
                <w:numId w:val="20"/>
              </w:numPr>
              <w:spacing w:after="240"/>
              <w:ind w:left="567" w:hanging="567"/>
              <w:jc w:val="both"/>
              <w:rPr>
                <w:rFonts w:ascii="Arial" w:hAnsi="Arial" w:cs="Arial"/>
                <w:sz w:val="22"/>
                <w:szCs w:val="22"/>
              </w:rPr>
            </w:pPr>
            <w:r w:rsidRPr="00577FAF">
              <w:rPr>
                <w:rFonts w:ascii="Arial" w:hAnsi="Arial" w:cs="Arial"/>
                <w:sz w:val="22"/>
                <w:szCs w:val="22"/>
                <w:u w:val="single"/>
              </w:rPr>
              <w:t>Alienta</w:t>
            </w:r>
            <w:r w:rsidRPr="00577FAF">
              <w:rPr>
                <w:rFonts w:ascii="Arial" w:hAnsi="Arial" w:cs="Arial"/>
                <w:sz w:val="22"/>
                <w:szCs w:val="22"/>
              </w:rPr>
              <w:t xml:space="preserve"> al grupo de trabajo a que prosiga su labor, en particular examinando cualquier documento adicional que pueda proporcionar información pertinente para apoyar su labor;</w:t>
            </w:r>
          </w:p>
          <w:p w14:paraId="6BB23C73" w14:textId="77777777" w:rsidR="003A60E3" w:rsidRPr="00577FAF" w:rsidRDefault="00CB6A57" w:rsidP="006B65EB">
            <w:pPr>
              <w:numPr>
                <w:ilvl w:val="0"/>
                <w:numId w:val="20"/>
              </w:numPr>
              <w:spacing w:after="240"/>
              <w:ind w:left="567" w:hanging="567"/>
              <w:jc w:val="both"/>
              <w:rPr>
                <w:rFonts w:ascii="Arial" w:hAnsi="Arial" w:cs="Arial"/>
                <w:sz w:val="22"/>
                <w:szCs w:val="22"/>
              </w:rPr>
            </w:pPr>
            <w:r w:rsidRPr="00577FAF">
              <w:rPr>
                <w:rFonts w:ascii="Arial" w:hAnsi="Arial" w:cs="Arial"/>
                <w:sz w:val="22"/>
                <w:szCs w:val="22"/>
                <w:u w:val="single"/>
              </w:rPr>
              <w:t>Alienta</w:t>
            </w:r>
            <w:r w:rsidRPr="00577FAF">
              <w:rPr>
                <w:rFonts w:ascii="Arial" w:hAnsi="Arial" w:cs="Arial"/>
                <w:sz w:val="22"/>
                <w:szCs w:val="22"/>
              </w:rPr>
              <w:t xml:space="preserve"> a que un mayor número de Estados Miembros contribuyan a la labor del grupo de trabajo respondiendo a la circular </w:t>
            </w:r>
            <w:proofErr w:type="spellStart"/>
            <w:r w:rsidRPr="00577FAF">
              <w:rPr>
                <w:rFonts w:ascii="Arial" w:hAnsi="Arial" w:cs="Arial"/>
                <w:sz w:val="22"/>
                <w:szCs w:val="22"/>
              </w:rPr>
              <w:t>nº</w:t>
            </w:r>
            <w:proofErr w:type="spellEnd"/>
            <w:r w:rsidRPr="00577FAF">
              <w:rPr>
                <w:rFonts w:ascii="Arial" w:hAnsi="Arial" w:cs="Arial"/>
                <w:sz w:val="22"/>
                <w:szCs w:val="22"/>
              </w:rPr>
              <w:t> 2971 de la COI y a que den permiso para que sus respuestas se transmitan al grupo de trabajo.</w:t>
            </w:r>
          </w:p>
        </w:tc>
      </w:tr>
    </w:tbl>
    <w:p w14:paraId="56561198" w14:textId="77777777" w:rsidR="003A60E3" w:rsidRPr="00577FAF" w:rsidRDefault="003A60E3">
      <w:pPr>
        <w:pStyle w:val="Style2"/>
        <w:tabs>
          <w:tab w:val="clear" w:pos="1400"/>
          <w:tab w:val="left" w:pos="709"/>
        </w:tabs>
        <w:spacing w:after="0"/>
        <w:ind w:left="0"/>
        <w:rPr>
          <w:rFonts w:cs="Arial"/>
        </w:rPr>
      </w:pPr>
    </w:p>
    <w:p w14:paraId="3EEDD913" w14:textId="77777777" w:rsidR="003A60E3" w:rsidRPr="00577FAF" w:rsidRDefault="00CB6A57">
      <w:pPr>
        <w:pStyle w:val="Style2"/>
        <w:numPr>
          <w:ilvl w:val="0"/>
          <w:numId w:val="7"/>
        </w:numPr>
        <w:tabs>
          <w:tab w:val="left" w:pos="709"/>
        </w:tabs>
        <w:ind w:left="0" w:hanging="567"/>
        <w:rPr>
          <w:rFonts w:cs="Arial"/>
        </w:rPr>
      </w:pPr>
      <w:r w:rsidRPr="00577FAF">
        <w:rPr>
          <w:rFonts w:cs="Aria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45AD741C" w14:textId="77777777" w:rsidR="003A60E3" w:rsidRPr="00577FAF" w:rsidRDefault="00CB6A57">
      <w:pPr>
        <w:pStyle w:val="Heading2"/>
        <w:ind w:left="709" w:hanging="709"/>
        <w:rPr>
          <w:rFonts w:cs="Arial"/>
          <w:szCs w:val="22"/>
        </w:rPr>
      </w:pPr>
      <w:bookmarkStart w:id="154" w:name="_Toc168933429"/>
      <w:r w:rsidRPr="00577FAF">
        <w:rPr>
          <w:rFonts w:cs="Arial"/>
          <w:szCs w:val="22"/>
        </w:rPr>
        <w:t>4.3</w:t>
      </w:r>
      <w:r w:rsidRPr="00577FAF">
        <w:rPr>
          <w:rFonts w:cs="Arial"/>
          <w:szCs w:val="22"/>
        </w:rPr>
        <w:tab/>
        <w:t>PROYECTO DE ESTRATEGIA SOBRE LA PLANIFICACIÓN Y LA GESTIÓN SOSTENIBLES DEL OCÉANO [decisión A-32/4.7]</w:t>
      </w:r>
      <w:bookmarkEnd w:id="154"/>
    </w:p>
    <w:tbl>
      <w:tblPr>
        <w:tblW w:w="9747" w:type="dxa"/>
        <w:tblLayout w:type="fixed"/>
        <w:tblLook w:val="0000" w:firstRow="0" w:lastRow="0" w:firstColumn="0" w:lastColumn="0" w:noHBand="0" w:noVBand="0"/>
      </w:tblPr>
      <w:tblGrid>
        <w:gridCol w:w="2235"/>
        <w:gridCol w:w="2268"/>
        <w:gridCol w:w="5244"/>
      </w:tblGrid>
      <w:tr w:rsidR="003A60E3" w:rsidRPr="00577FAF" w14:paraId="32C12824" w14:textId="77777777" w:rsidTr="007D0CB2">
        <w:tc>
          <w:tcPr>
            <w:tcW w:w="2235" w:type="dxa"/>
            <w:shd w:val="clear" w:color="auto" w:fill="FFFF99"/>
            <w:tcMar>
              <w:top w:w="57" w:type="dxa"/>
              <w:bottom w:w="57" w:type="dxa"/>
            </w:tcMar>
          </w:tcPr>
          <w:p w14:paraId="2A4C3795" w14:textId="77777777" w:rsidR="003A60E3" w:rsidRPr="00577FAF" w:rsidRDefault="00CB6A57">
            <w:pPr>
              <w:rPr>
                <w:rFonts w:ascii="Arial" w:hAnsi="Arial" w:cs="Arial"/>
                <w:i/>
                <w:color w:val="000000"/>
                <w:sz w:val="20"/>
                <w:szCs w:val="20"/>
                <w:u w:val="single"/>
              </w:rPr>
            </w:pPr>
            <w:r w:rsidRPr="00577FAF">
              <w:rPr>
                <w:rFonts w:ascii="Arial" w:hAnsi="Arial" w:cs="Arial"/>
                <w:i/>
                <w:iCs/>
                <w:sz w:val="20"/>
                <w:szCs w:val="20"/>
                <w:u w:val="single"/>
              </w:rPr>
              <w:t>Documento de trabajo</w:t>
            </w:r>
          </w:p>
        </w:tc>
        <w:tc>
          <w:tcPr>
            <w:tcW w:w="2268" w:type="dxa"/>
            <w:shd w:val="clear" w:color="auto" w:fill="FFFF99"/>
            <w:tcMar>
              <w:top w:w="57" w:type="dxa"/>
              <w:bottom w:w="57" w:type="dxa"/>
            </w:tcMar>
          </w:tcPr>
          <w:p w14:paraId="48FD07B3" w14:textId="5569791E" w:rsidR="003A60E3" w:rsidRPr="00577FAF" w:rsidRDefault="00CB6A57">
            <w:pPr>
              <w:rPr>
                <w:rFonts w:ascii="Arial" w:hAnsi="Arial" w:cs="Arial"/>
                <w:color w:val="000000"/>
                <w:sz w:val="20"/>
                <w:szCs w:val="20"/>
              </w:rPr>
            </w:pPr>
            <w:r w:rsidRPr="00577FAF">
              <w:rPr>
                <w:rFonts w:ascii="Arial" w:hAnsi="Arial" w:cs="Arial"/>
                <w:sz w:val="20"/>
                <w:szCs w:val="20"/>
              </w:rPr>
              <w:t>IOC/EC-57/4.3.Doc(1)</w:t>
            </w:r>
            <w:r w:rsidR="004142F4" w:rsidRPr="00577FAF">
              <w:rPr>
                <w:rFonts w:ascii="Arial" w:hAnsi="Arial" w:cs="Arial"/>
                <w:sz w:val="20"/>
                <w:szCs w:val="20"/>
              </w:rPr>
              <w:t xml:space="preserve"> Rev.</w:t>
            </w:r>
            <w:r w:rsidR="004C1803" w:rsidRPr="00577FAF">
              <w:rPr>
                <w:rFonts w:ascii="Arial" w:hAnsi="Arial" w:cs="Arial"/>
                <w:sz w:val="20"/>
                <w:szCs w:val="20"/>
              </w:rPr>
              <w:t xml:space="preserve"> </w:t>
            </w:r>
          </w:p>
        </w:tc>
        <w:tc>
          <w:tcPr>
            <w:tcW w:w="5244" w:type="dxa"/>
            <w:shd w:val="clear" w:color="auto" w:fill="FFFF99"/>
            <w:tcMar>
              <w:top w:w="57" w:type="dxa"/>
              <w:bottom w:w="57" w:type="dxa"/>
            </w:tcMar>
          </w:tcPr>
          <w:p w14:paraId="2E1D3D30" w14:textId="77777777" w:rsidR="003A60E3" w:rsidRPr="00577FAF" w:rsidRDefault="00CB6A57">
            <w:pPr>
              <w:spacing w:after="60"/>
              <w:rPr>
                <w:rFonts w:ascii="Arial" w:hAnsi="Arial" w:cs="Arial"/>
                <w:color w:val="000000"/>
                <w:sz w:val="20"/>
                <w:szCs w:val="20"/>
              </w:rPr>
            </w:pPr>
            <w:r w:rsidRPr="00577FAF">
              <w:rPr>
                <w:rFonts w:ascii="Arial" w:hAnsi="Arial" w:cs="Arial"/>
                <w:sz w:val="20"/>
                <w:szCs w:val="20"/>
              </w:rPr>
              <w:t>Proyecto de estrategia sobre la planificación y la gestión sostenibles del océano</w:t>
            </w:r>
          </w:p>
        </w:tc>
      </w:tr>
      <w:tr w:rsidR="003A60E3" w:rsidRPr="00EA695A" w14:paraId="6EB04408" w14:textId="77777777" w:rsidTr="007D0CB2">
        <w:tc>
          <w:tcPr>
            <w:tcW w:w="2235" w:type="dxa"/>
            <w:shd w:val="clear" w:color="auto" w:fill="FBD4B4"/>
            <w:tcMar>
              <w:top w:w="57" w:type="dxa"/>
              <w:bottom w:w="57" w:type="dxa"/>
            </w:tcMar>
          </w:tcPr>
          <w:p w14:paraId="372DAE6B" w14:textId="77777777" w:rsidR="003A60E3" w:rsidRPr="00577FAF" w:rsidRDefault="00CB6A57">
            <w:pPr>
              <w:rPr>
                <w:rFonts w:ascii="Arial" w:hAnsi="Arial" w:cs="Arial"/>
                <w:i/>
                <w:color w:val="000000"/>
                <w:sz w:val="20"/>
                <w:szCs w:val="20"/>
                <w:u w:val="single"/>
              </w:rPr>
            </w:pPr>
            <w:r w:rsidRPr="00577FAF">
              <w:rPr>
                <w:rFonts w:ascii="Arial" w:hAnsi="Arial" w:cs="Arial"/>
                <w:i/>
                <w:iCs/>
                <w:sz w:val="20"/>
                <w:szCs w:val="20"/>
                <w:u w:val="single"/>
              </w:rPr>
              <w:t>Información</w:t>
            </w:r>
          </w:p>
        </w:tc>
        <w:tc>
          <w:tcPr>
            <w:tcW w:w="2268" w:type="dxa"/>
            <w:shd w:val="clear" w:color="auto" w:fill="auto"/>
            <w:tcMar>
              <w:top w:w="57" w:type="dxa"/>
              <w:bottom w:w="57" w:type="dxa"/>
            </w:tcMar>
          </w:tcPr>
          <w:p w14:paraId="6E890154" w14:textId="77777777" w:rsidR="003A60E3" w:rsidRPr="00577FAF" w:rsidRDefault="00CB6A57">
            <w:pPr>
              <w:rPr>
                <w:rFonts w:ascii="Arial" w:hAnsi="Arial" w:cs="Arial"/>
                <w:color w:val="000000"/>
                <w:sz w:val="20"/>
                <w:szCs w:val="20"/>
              </w:rPr>
            </w:pPr>
            <w:r w:rsidRPr="00577FAF">
              <w:rPr>
                <w:rFonts w:ascii="Arial" w:hAnsi="Arial" w:cs="Arial"/>
                <w:sz w:val="20"/>
                <w:szCs w:val="20"/>
              </w:rPr>
              <w:t>IOC/INF-1537</w:t>
            </w:r>
          </w:p>
        </w:tc>
        <w:tc>
          <w:tcPr>
            <w:tcW w:w="5244" w:type="dxa"/>
            <w:shd w:val="clear" w:color="auto" w:fill="auto"/>
            <w:tcMar>
              <w:top w:w="57" w:type="dxa"/>
              <w:bottom w:w="57" w:type="dxa"/>
            </w:tcMar>
          </w:tcPr>
          <w:p w14:paraId="1904F824" w14:textId="77777777" w:rsidR="003A60E3" w:rsidRPr="00667A5C" w:rsidRDefault="00CB6A57">
            <w:pPr>
              <w:spacing w:after="60"/>
              <w:rPr>
                <w:rFonts w:ascii="Arial" w:hAnsi="Arial" w:cs="Arial"/>
                <w:color w:val="000000"/>
                <w:sz w:val="20"/>
                <w:szCs w:val="20"/>
                <w:lang w:val="en-US"/>
              </w:rPr>
            </w:pPr>
            <w:r w:rsidRPr="00667A5C">
              <w:rPr>
                <w:rFonts w:ascii="Arial" w:hAnsi="Arial" w:cs="Arial"/>
                <w:sz w:val="20"/>
                <w:szCs w:val="20"/>
                <w:lang w:val="en-US"/>
              </w:rPr>
              <w:t>Compendium of IOC Member State inputs to IOC Circular Letter 2968 (IOC-wide Strategy on Sustainable Ocean Planning and Management)</w:t>
            </w:r>
          </w:p>
        </w:tc>
      </w:tr>
      <w:tr w:rsidR="003A60E3" w:rsidRPr="00EA695A" w14:paraId="225F8438" w14:textId="77777777" w:rsidTr="007D0CB2">
        <w:tc>
          <w:tcPr>
            <w:tcW w:w="2235" w:type="dxa"/>
            <w:shd w:val="clear" w:color="auto" w:fill="FBD4B4"/>
            <w:tcMar>
              <w:top w:w="57" w:type="dxa"/>
              <w:bottom w:w="57" w:type="dxa"/>
            </w:tcMar>
          </w:tcPr>
          <w:p w14:paraId="7B2EE7A1" w14:textId="77777777" w:rsidR="003A60E3" w:rsidRPr="00667A5C" w:rsidRDefault="003A60E3">
            <w:pPr>
              <w:rPr>
                <w:rFonts w:ascii="Arial" w:hAnsi="Arial" w:cs="Arial"/>
                <w:i/>
                <w:color w:val="000000"/>
                <w:sz w:val="20"/>
                <w:szCs w:val="20"/>
                <w:u w:val="single"/>
                <w:lang w:val="en-US"/>
              </w:rPr>
            </w:pPr>
          </w:p>
        </w:tc>
        <w:tc>
          <w:tcPr>
            <w:tcW w:w="2268" w:type="dxa"/>
            <w:shd w:val="clear" w:color="auto" w:fill="auto"/>
            <w:tcMar>
              <w:top w:w="57" w:type="dxa"/>
              <w:bottom w:w="57" w:type="dxa"/>
            </w:tcMar>
          </w:tcPr>
          <w:p w14:paraId="51790E16" w14:textId="4C3ED72D" w:rsidR="003A60E3" w:rsidRPr="00577FAF" w:rsidRDefault="004142F4">
            <w:pPr>
              <w:rPr>
                <w:rFonts w:ascii="Arial" w:hAnsi="Arial" w:cs="Arial"/>
                <w:color w:val="000000"/>
                <w:sz w:val="20"/>
                <w:szCs w:val="20"/>
              </w:rPr>
            </w:pPr>
            <w:r w:rsidRPr="00577FAF">
              <w:rPr>
                <w:rFonts w:ascii="Arial" w:hAnsi="Arial" w:cs="Arial"/>
                <w:color w:val="000000"/>
                <w:sz w:val="20"/>
                <w:szCs w:val="20"/>
              </w:rPr>
              <w:t xml:space="preserve">UNSW SDR Hub </w:t>
            </w:r>
            <w:proofErr w:type="spellStart"/>
            <w:r w:rsidRPr="00577FAF">
              <w:rPr>
                <w:rFonts w:ascii="Arial" w:hAnsi="Arial" w:cs="Arial"/>
                <w:color w:val="000000"/>
                <w:sz w:val="20"/>
                <w:szCs w:val="20"/>
              </w:rPr>
              <w:t>Brief</w:t>
            </w:r>
            <w:proofErr w:type="spellEnd"/>
            <w:r w:rsidR="00EA695A">
              <w:rPr>
                <w:rFonts w:ascii="Arial" w:hAnsi="Arial" w:cs="Arial"/>
                <w:color w:val="000000"/>
                <w:sz w:val="20"/>
                <w:szCs w:val="20"/>
              </w:rPr>
              <w:t> </w:t>
            </w:r>
            <w:r w:rsidRPr="00577FAF">
              <w:rPr>
                <w:rFonts w:ascii="Arial" w:hAnsi="Arial" w:cs="Arial"/>
                <w:color w:val="000000"/>
                <w:sz w:val="20"/>
                <w:szCs w:val="20"/>
              </w:rPr>
              <w:t>28</w:t>
            </w:r>
          </w:p>
        </w:tc>
        <w:tc>
          <w:tcPr>
            <w:tcW w:w="5244" w:type="dxa"/>
            <w:shd w:val="clear" w:color="auto" w:fill="auto"/>
            <w:tcMar>
              <w:top w:w="57" w:type="dxa"/>
              <w:bottom w:w="57" w:type="dxa"/>
            </w:tcMar>
          </w:tcPr>
          <w:p w14:paraId="2C1E52E9" w14:textId="02255685" w:rsidR="003A60E3" w:rsidRPr="00667A5C" w:rsidRDefault="004142F4">
            <w:pPr>
              <w:spacing w:after="60"/>
              <w:rPr>
                <w:rFonts w:ascii="Arial" w:hAnsi="Arial" w:cs="Arial"/>
                <w:color w:val="000000"/>
                <w:sz w:val="20"/>
                <w:szCs w:val="20"/>
                <w:lang w:val="en-US"/>
              </w:rPr>
            </w:pPr>
            <w:r w:rsidRPr="00667A5C">
              <w:rPr>
                <w:rFonts w:ascii="Arial" w:hAnsi="Arial" w:cs="Arial"/>
                <w:color w:val="000000"/>
                <w:sz w:val="20"/>
                <w:szCs w:val="20"/>
                <w:lang w:val="en-US"/>
              </w:rPr>
              <w:t>Survey and interviews to inform initiatives on sustainable ocean planning and management: Ocean Decade results brief</w:t>
            </w:r>
          </w:p>
        </w:tc>
      </w:tr>
    </w:tbl>
    <w:p w14:paraId="45602E70" w14:textId="77777777" w:rsidR="003A60E3" w:rsidRPr="00667A5C" w:rsidRDefault="003A60E3">
      <w:pPr>
        <w:pStyle w:val="Marge"/>
        <w:spacing w:after="0"/>
        <w:rPr>
          <w:rFonts w:ascii="Arial" w:hAnsi="Arial" w:cs="Arial"/>
          <w:sz w:val="22"/>
          <w:szCs w:val="22"/>
          <w:lang w:val="en-US"/>
        </w:rPr>
      </w:pPr>
    </w:p>
    <w:p w14:paraId="15E24D37" w14:textId="77777777" w:rsidR="004C1803" w:rsidRPr="00577FAF" w:rsidRDefault="00CB6A57">
      <w:pPr>
        <w:pStyle w:val="Style2"/>
        <w:numPr>
          <w:ilvl w:val="0"/>
          <w:numId w:val="7"/>
        </w:numPr>
        <w:tabs>
          <w:tab w:val="left" w:pos="709"/>
        </w:tabs>
        <w:ind w:left="0" w:hanging="567"/>
        <w:rPr>
          <w:rFonts w:cs="Arial"/>
        </w:rPr>
      </w:pPr>
      <w:r w:rsidRPr="00577FAF">
        <w:rPr>
          <w:rFonts w:cs="Arial"/>
        </w:rPr>
        <w:t>Presentó este punto el Sr. Julian Barbière, Jefe de la Sección de Políticas Marinas y Coordinación Regional, quien se refirió a los recientes avances en el ámbito de la gestión del océano, los objetivos de la Estrategia a Plazo Medio de la COI (2022-2029) —que incluyen en particular la sostenibilidad de la economía oceánica y de la planificación del océano— y las recomendaciones de la evaluación realizada por la División de Servicios de Supervisión Interna (IOS) —en las que se pide, entre otras cosas, que “se defina el marco organizativo más adecuado, habida cuenta del papel mundial previsto para la COI en la gestión de los océanos basada en la ciencia”—, elementos todos ellos que se han tenido en cuenta para la formulación de una estrategia para toda la COI sobre la planificación y la gestión sostenibles del océano. Dicha estrategia también está en consonancia con los Estatutos de la COI, en los que, entre otras cosas, se aboga por la aplicación de los conocimientos oceánicos generados por la COI “para mejorar la gestión, el desarrollo sostenible, la protección del medio ambiente marino y el proceso de adopción de decisiones de sus Estados Miembros” (artículo 2 - Finalidad).</w:t>
      </w:r>
    </w:p>
    <w:p w14:paraId="25B8F83F" w14:textId="77777777" w:rsidR="004C1803" w:rsidRPr="00577FAF" w:rsidRDefault="00CB6A57">
      <w:pPr>
        <w:pStyle w:val="Style2"/>
        <w:numPr>
          <w:ilvl w:val="0"/>
          <w:numId w:val="7"/>
        </w:numPr>
        <w:tabs>
          <w:tab w:val="left" w:pos="709"/>
        </w:tabs>
        <w:ind w:left="0" w:hanging="567"/>
        <w:rPr>
          <w:rFonts w:cs="Arial"/>
        </w:rPr>
      </w:pPr>
      <w:r w:rsidRPr="00577FAF">
        <w:rPr>
          <w:rFonts w:cs="Arial"/>
        </w:rPr>
        <w:t xml:space="preserve">Así pues, la estrategia tiene por objeto orientar la contribución de la Comisión en sus programas relativos a las ciencias, la observación y los datos oceánicos, los servicios de alerta temprana y las </w:t>
      </w:r>
      <w:r w:rsidRPr="00577FAF">
        <w:rPr>
          <w:rFonts w:cs="Arial"/>
        </w:rPr>
        <w:lastRenderedPageBreak/>
        <w:t>evaluaciones, mediante la prestación de servicios científicos adaptados, la difusión de herramientas de gestión basada en los ecosistemas, evaluaciones y recursos de información conexos, así como el desarrollo de capacidades para fomentar la gestión sostenible del océano. El Sr. Barbière recordó que en la 32ª reunión de la Asamblea se examinó un marco inicial en el que se describía el alcance de la estrategia y su proceso de elaboración (véase el documento </w:t>
      </w:r>
      <w:hyperlink r:id="rId34" w:history="1">
        <w:r w:rsidRPr="00577FAF">
          <w:rPr>
            <w:rStyle w:val="Hyperlink"/>
            <w:rFonts w:cs="Arial"/>
          </w:rPr>
          <w:t>IOC/A-32/4.7.Doc(1)</w:t>
        </w:r>
      </w:hyperlink>
      <w:r w:rsidRPr="00577FAF">
        <w:rPr>
          <w:rFonts w:cs="Arial"/>
        </w:rPr>
        <w:t>).</w:t>
      </w:r>
    </w:p>
    <w:p w14:paraId="44184461" w14:textId="4F48D6B8" w:rsidR="003A60E3" w:rsidRPr="00577FAF" w:rsidRDefault="00CB6A57">
      <w:pPr>
        <w:pStyle w:val="Style2"/>
        <w:numPr>
          <w:ilvl w:val="0"/>
          <w:numId w:val="7"/>
        </w:numPr>
        <w:tabs>
          <w:tab w:val="left" w:pos="709"/>
        </w:tabs>
        <w:ind w:left="0" w:hanging="567"/>
        <w:rPr>
          <w:rFonts w:cs="Arial"/>
        </w:rPr>
      </w:pPr>
      <w:r w:rsidRPr="00577FAF">
        <w:rPr>
          <w:rFonts w:cs="Arial"/>
        </w:rPr>
        <w:t xml:space="preserve">Mediante la </w:t>
      </w:r>
      <w:hyperlink r:id="rId35" w:history="1">
        <w:r w:rsidRPr="00577FAF">
          <w:rPr>
            <w:rStyle w:val="Hyperlink"/>
            <w:rFonts w:cs="Arial"/>
          </w:rPr>
          <w:t xml:space="preserve">circular </w:t>
        </w:r>
        <w:proofErr w:type="spellStart"/>
        <w:r w:rsidRPr="00577FAF">
          <w:rPr>
            <w:rStyle w:val="Hyperlink"/>
            <w:rFonts w:cs="Arial"/>
          </w:rPr>
          <w:t>nº</w:t>
        </w:r>
        <w:proofErr w:type="spellEnd"/>
        <w:r w:rsidRPr="00577FAF">
          <w:rPr>
            <w:rStyle w:val="Hyperlink"/>
            <w:rFonts w:cs="Arial"/>
          </w:rPr>
          <w:t> 2968 de la COI</w:t>
        </w:r>
      </w:hyperlink>
      <w:r w:rsidRPr="00577FAF">
        <w:rPr>
          <w:rFonts w:cs="Arial"/>
        </w:rPr>
        <w:t>, de noviembre de 2023, la Secretaría recabó nuevas aportaciones de los Estados Miembros y los programas y órganos técnicos de la COI sobre el documento IOC/A-32/4.7.Doc(1), con miras a presentar un proyecto de estrategia al Consejo Ejecutivo en su 57ª reunión. A fin de seguir orientando la elaboración de la estrategia, se preparó y realizó una encuesta para conocer mejor el panorama existente en materia de planificación y gestión sostenibles del océano y determinar las necesidades de las partes interesadas en términos de apoyo técnico y científico. El objetivo de la encuesta era recabar las opiniones de la comunidad de la COI y sus asociados (tanto de dentro como de fuera del sistema de las Naciones Unidas), así como de otras partes interesadas internacionales que trabajan a lo largo de toda la cadena de valor (investigación, observación, datos, servicios, productos de información pertinentes para fundamentar las políticas y la gestión y desarrollo de capacidades). Esto proporcionó la base para elaboración de un primer proyecto de estrategia que se sometió a la consideración de los Estados Miembros de la COI en dos sesiones de consulta en línea organizadas en mayo de 2024. Las nuevas aportaciones que se recabaron se incorporaron a la versión final del proyecto de estrategia sobre la planificación y la gestión sostenibles del océano, que figura en el documento IOC/EC</w:t>
      </w:r>
      <w:r w:rsidR="00CF370D" w:rsidRPr="00577FAF">
        <w:rPr>
          <w:rFonts w:cs="Arial"/>
        </w:rPr>
        <w:noBreakHyphen/>
      </w:r>
      <w:r w:rsidRPr="00577FAF">
        <w:rPr>
          <w:rFonts w:cs="Arial"/>
        </w:rPr>
        <w:t>57/4.3.Doc(1)</w:t>
      </w:r>
      <w:r w:rsidR="004142F4" w:rsidRPr="00577FAF">
        <w:rPr>
          <w:rFonts w:cs="Arial"/>
        </w:rPr>
        <w:t xml:space="preserve"> Rev</w:t>
      </w:r>
      <w:r w:rsidRPr="00577FAF">
        <w:rPr>
          <w:rFonts w:cs="Arial"/>
        </w:rPr>
        <w:t xml:space="preserve">. </w:t>
      </w:r>
    </w:p>
    <w:tbl>
      <w:tblPr>
        <w:tblW w:w="0" w:type="auto"/>
        <w:shd w:val="clear" w:color="auto" w:fill="CCFFCC"/>
        <w:tblLayout w:type="fixed"/>
        <w:tblCellMar>
          <w:top w:w="113" w:type="dxa"/>
          <w:bottom w:w="113" w:type="dxa"/>
        </w:tblCellMar>
        <w:tblLook w:val="0000" w:firstRow="0" w:lastRow="0" w:firstColumn="0" w:lastColumn="0" w:noHBand="0" w:noVBand="0"/>
      </w:tblPr>
      <w:tblGrid>
        <w:gridCol w:w="9747"/>
      </w:tblGrid>
      <w:tr w:rsidR="003A60E3" w:rsidRPr="00577FAF" w14:paraId="6D39CDDA" w14:textId="77777777">
        <w:trPr>
          <w:trHeight w:val="604"/>
        </w:trPr>
        <w:tc>
          <w:tcPr>
            <w:tcW w:w="9747" w:type="dxa"/>
            <w:shd w:val="clear" w:color="auto" w:fill="CCFFCC"/>
            <w:tcMar>
              <w:top w:w="113" w:type="dxa"/>
              <w:bottom w:w="113" w:type="dxa"/>
            </w:tcMar>
          </w:tcPr>
          <w:p w14:paraId="72041F9E" w14:textId="3655D075" w:rsidR="003A60E3" w:rsidRPr="00577FAF" w:rsidRDefault="00CB6A57" w:rsidP="004142F4">
            <w:pPr>
              <w:spacing w:after="240"/>
              <w:jc w:val="both"/>
              <w:rPr>
                <w:rFonts w:asciiTheme="minorBidi" w:hAnsiTheme="minorBidi" w:cstheme="minorBidi"/>
                <w:i/>
                <w:iCs/>
                <w:sz w:val="22"/>
                <w:szCs w:val="22"/>
              </w:rPr>
            </w:pPr>
            <w:r w:rsidRPr="00577FAF">
              <w:rPr>
                <w:rFonts w:asciiTheme="minorBidi" w:hAnsiTheme="minorBidi" w:cstheme="minorBidi"/>
                <w:sz w:val="22"/>
                <w:szCs w:val="22"/>
                <w:u w:val="single"/>
              </w:rPr>
              <w:t>Decisión EC-57/4.3</w:t>
            </w:r>
            <w:r w:rsidRPr="00577FAF">
              <w:rPr>
                <w:rFonts w:asciiTheme="minorBidi" w:hAnsiTheme="minorBidi" w:cstheme="minorBidi"/>
                <w:sz w:val="22"/>
                <w:szCs w:val="22"/>
              </w:rPr>
              <w:t xml:space="preserve"> </w:t>
            </w:r>
          </w:p>
          <w:p w14:paraId="233DDD32" w14:textId="56232B7B" w:rsidR="003A60E3" w:rsidRPr="00577FAF" w:rsidRDefault="00CB6A57">
            <w:pPr>
              <w:spacing w:after="240"/>
              <w:jc w:val="center"/>
              <w:rPr>
                <w:rFonts w:asciiTheme="minorBidi" w:hAnsiTheme="minorBidi" w:cstheme="minorBidi"/>
                <w:b/>
                <w:bCs/>
                <w:sz w:val="22"/>
                <w:szCs w:val="22"/>
              </w:rPr>
            </w:pPr>
            <w:r w:rsidRPr="00577FAF">
              <w:rPr>
                <w:rFonts w:asciiTheme="minorBidi" w:hAnsiTheme="minorBidi" w:cstheme="minorBidi"/>
                <w:b/>
                <w:bCs/>
                <w:sz w:val="22"/>
                <w:szCs w:val="22"/>
              </w:rPr>
              <w:t>Estrategia sobre la Planificación y la Gestión Sostenibles del Océano</w:t>
            </w:r>
            <w:r w:rsidR="004142F4" w:rsidRPr="00577FAF">
              <w:rPr>
                <w:rFonts w:asciiTheme="minorBidi" w:hAnsiTheme="minorBidi" w:cstheme="minorBidi"/>
                <w:b/>
                <w:bCs/>
                <w:sz w:val="22"/>
                <w:szCs w:val="22"/>
              </w:rPr>
              <w:t xml:space="preserve"> para 2024-2030</w:t>
            </w:r>
          </w:p>
          <w:p w14:paraId="175B971E" w14:textId="77777777" w:rsidR="004C1803" w:rsidRPr="00577FAF" w:rsidRDefault="00CB6A57">
            <w:pPr>
              <w:spacing w:after="120"/>
              <w:ind w:left="709" w:hanging="709"/>
              <w:rPr>
                <w:rFonts w:asciiTheme="minorBidi" w:hAnsiTheme="minorBidi" w:cstheme="minorBidi"/>
                <w:sz w:val="22"/>
                <w:szCs w:val="22"/>
              </w:rPr>
            </w:pPr>
            <w:r w:rsidRPr="00577FAF">
              <w:rPr>
                <w:rFonts w:asciiTheme="minorBidi" w:hAnsiTheme="minorBidi" w:cstheme="minorBidi"/>
                <w:sz w:val="22"/>
                <w:szCs w:val="22"/>
              </w:rPr>
              <w:t>El Consejo Ejecutivo,</w:t>
            </w:r>
          </w:p>
          <w:p w14:paraId="079E044D" w14:textId="77777777" w:rsidR="00D27E04" w:rsidRPr="00577FAF" w:rsidRDefault="00D27E04" w:rsidP="006B65EB">
            <w:pPr>
              <w:numPr>
                <w:ilvl w:val="0"/>
                <w:numId w:val="25"/>
              </w:numPr>
              <w:spacing w:after="120"/>
              <w:ind w:left="567" w:hanging="567"/>
              <w:jc w:val="both"/>
              <w:rPr>
                <w:rFonts w:asciiTheme="minorBidi" w:hAnsiTheme="minorBidi" w:cstheme="minorBidi"/>
                <w:sz w:val="22"/>
                <w:szCs w:val="22"/>
              </w:rPr>
            </w:pPr>
            <w:r w:rsidRPr="00577FAF">
              <w:rPr>
                <w:rFonts w:asciiTheme="minorBidi" w:hAnsiTheme="minorBidi" w:cstheme="minorBidi"/>
                <w:sz w:val="22"/>
                <w:szCs w:val="22"/>
                <w:u w:val="single"/>
              </w:rPr>
              <w:t>Habiendo examinado</w:t>
            </w:r>
            <w:r w:rsidRPr="00577FAF">
              <w:rPr>
                <w:rFonts w:asciiTheme="minorBidi" w:hAnsiTheme="minorBidi" w:cstheme="minorBidi"/>
                <w:sz w:val="22"/>
                <w:szCs w:val="22"/>
              </w:rPr>
              <w:t xml:space="preserve"> el documento IOC/EC-57/4.3.Doc(1) Rev., </w:t>
            </w:r>
          </w:p>
          <w:p w14:paraId="5417BD96" w14:textId="6B2D83A0" w:rsidR="00D27E04" w:rsidRPr="00577FAF" w:rsidRDefault="00D27E04" w:rsidP="006B65EB">
            <w:pPr>
              <w:numPr>
                <w:ilvl w:val="0"/>
                <w:numId w:val="25"/>
              </w:numPr>
              <w:spacing w:before="100" w:beforeAutospacing="1" w:after="100" w:afterAutospacing="1"/>
              <w:ind w:left="567" w:hanging="567"/>
              <w:jc w:val="both"/>
              <w:rPr>
                <w:rFonts w:asciiTheme="minorBidi" w:hAnsiTheme="minorBidi" w:cstheme="minorBidi"/>
                <w:iCs/>
                <w:sz w:val="22"/>
                <w:szCs w:val="22"/>
              </w:rPr>
            </w:pPr>
            <w:r w:rsidRPr="00577FAF">
              <w:rPr>
                <w:rFonts w:asciiTheme="minorBidi" w:hAnsiTheme="minorBidi" w:cstheme="minorBidi"/>
                <w:sz w:val="22"/>
                <w:szCs w:val="22"/>
                <w:u w:val="single"/>
              </w:rPr>
              <w:t>Reconociendo</w:t>
            </w:r>
            <w:r w:rsidRPr="00577FAF">
              <w:rPr>
                <w:rFonts w:asciiTheme="minorBidi" w:hAnsiTheme="minorBidi" w:cstheme="minorBidi"/>
                <w:sz w:val="22"/>
                <w:szCs w:val="22"/>
              </w:rPr>
              <w:t xml:space="preserve"> la importancia de que la COI elabore un marco global para aportar conocimientos y capacidades en respuesta a las necesidades</w:t>
            </w:r>
            <w:r w:rsidR="00F76D20" w:rsidRPr="00577FAF">
              <w:rPr>
                <w:rFonts w:asciiTheme="minorBidi" w:hAnsiTheme="minorBidi" w:cstheme="minorBidi"/>
                <w:sz w:val="22"/>
                <w:szCs w:val="22"/>
              </w:rPr>
              <w:t xml:space="preserve"> de los Estados Miembros de la COI en materia</w:t>
            </w:r>
            <w:r w:rsidRPr="00577FAF">
              <w:rPr>
                <w:rFonts w:asciiTheme="minorBidi" w:hAnsiTheme="minorBidi" w:cstheme="minorBidi"/>
                <w:sz w:val="22"/>
                <w:szCs w:val="22"/>
              </w:rPr>
              <w:t xml:space="preserve"> de planificación y gestión sostenibles de los océanos, de conformidad con sus Estatutos</w:t>
            </w:r>
            <w:r w:rsidR="00F76D20" w:rsidRPr="00577FAF">
              <w:rPr>
                <w:rFonts w:asciiTheme="minorBidi" w:hAnsiTheme="minorBidi" w:cstheme="minorBidi"/>
                <w:sz w:val="22"/>
                <w:szCs w:val="22"/>
              </w:rPr>
              <w:t>,</w:t>
            </w:r>
            <w:r w:rsidRPr="00577FAF">
              <w:rPr>
                <w:rFonts w:asciiTheme="minorBidi" w:hAnsiTheme="minorBidi" w:cstheme="minorBidi"/>
                <w:sz w:val="22"/>
                <w:szCs w:val="22"/>
              </w:rPr>
              <w:t xml:space="preserve"> y en apoyo de la Estrategia a Plazo Medio de la COI (2022-2029) y </w:t>
            </w:r>
            <w:r w:rsidR="00F76D20" w:rsidRPr="00577FAF">
              <w:rPr>
                <w:rFonts w:asciiTheme="minorBidi" w:hAnsiTheme="minorBidi" w:cstheme="minorBidi"/>
                <w:sz w:val="22"/>
                <w:szCs w:val="22"/>
              </w:rPr>
              <w:t>d</w:t>
            </w:r>
            <w:r w:rsidRPr="00577FAF">
              <w:rPr>
                <w:rFonts w:asciiTheme="minorBidi" w:hAnsiTheme="minorBidi" w:cstheme="minorBidi"/>
                <w:sz w:val="22"/>
                <w:szCs w:val="22"/>
              </w:rPr>
              <w:t>el Programa y Presupuesto Aprobados para 2024-2025 (42 C/5),</w:t>
            </w:r>
          </w:p>
          <w:p w14:paraId="2DD10580" w14:textId="57E64BD6" w:rsidR="00D27E04" w:rsidRPr="00577FAF" w:rsidRDefault="00D27E04" w:rsidP="006B65EB">
            <w:pPr>
              <w:numPr>
                <w:ilvl w:val="0"/>
                <w:numId w:val="25"/>
              </w:numPr>
              <w:spacing w:before="100" w:beforeAutospacing="1" w:after="240"/>
              <w:ind w:left="567" w:hanging="567"/>
              <w:jc w:val="both"/>
              <w:rPr>
                <w:rFonts w:asciiTheme="minorBidi" w:hAnsiTheme="minorBidi" w:cstheme="minorBidi"/>
                <w:sz w:val="22"/>
                <w:szCs w:val="22"/>
              </w:rPr>
            </w:pPr>
            <w:r w:rsidRPr="00577FAF">
              <w:rPr>
                <w:rFonts w:asciiTheme="minorBidi" w:hAnsiTheme="minorBidi" w:cstheme="minorBidi"/>
                <w:sz w:val="22"/>
                <w:szCs w:val="22"/>
                <w:u w:val="single"/>
              </w:rPr>
              <w:t>Aprueba</w:t>
            </w:r>
            <w:r w:rsidRPr="00577FAF">
              <w:rPr>
                <w:rFonts w:asciiTheme="minorBidi" w:hAnsiTheme="minorBidi" w:cstheme="minorBidi"/>
                <w:sz w:val="22"/>
                <w:szCs w:val="22"/>
              </w:rPr>
              <w:t xml:space="preserve"> la Estrategia para toda la COI sobre la Planificación y la Gestión Sostenibles del Océano para 2024-2030;</w:t>
            </w:r>
          </w:p>
          <w:p w14:paraId="46CCC974" w14:textId="32DCF043" w:rsidR="00D27E04" w:rsidRPr="00577FAF" w:rsidRDefault="00D27E04" w:rsidP="006B65EB">
            <w:pPr>
              <w:numPr>
                <w:ilvl w:val="0"/>
                <w:numId w:val="25"/>
              </w:numPr>
              <w:spacing w:before="100" w:beforeAutospacing="1" w:after="240"/>
              <w:ind w:left="567" w:hanging="567"/>
              <w:jc w:val="both"/>
              <w:rPr>
                <w:rFonts w:asciiTheme="minorBidi" w:hAnsiTheme="minorBidi" w:cstheme="minorBidi"/>
                <w:sz w:val="22"/>
                <w:szCs w:val="22"/>
              </w:rPr>
            </w:pPr>
            <w:r w:rsidRPr="00577FAF">
              <w:rPr>
                <w:rFonts w:asciiTheme="minorBidi" w:hAnsiTheme="minorBidi" w:cstheme="minorBidi"/>
                <w:sz w:val="22"/>
                <w:szCs w:val="22"/>
                <w:u w:val="single"/>
              </w:rPr>
              <w:t>Decide</w:t>
            </w:r>
            <w:r w:rsidRPr="00577FAF">
              <w:rPr>
                <w:rFonts w:asciiTheme="minorBidi" w:hAnsiTheme="minorBidi" w:cstheme="minorBidi"/>
                <w:sz w:val="22"/>
                <w:szCs w:val="22"/>
              </w:rPr>
              <w:t xml:space="preserve"> crear el Grupo de Trabajo de la COI sobre Planificación y Gestión Sostenibles del Océano con el mandato que figura en el anexo de la presente decisión; </w:t>
            </w:r>
          </w:p>
          <w:p w14:paraId="39594BB2" w14:textId="77777777" w:rsidR="00D27E04" w:rsidRPr="00577FAF" w:rsidRDefault="00D27E04" w:rsidP="006B65EB">
            <w:pPr>
              <w:numPr>
                <w:ilvl w:val="0"/>
                <w:numId w:val="25"/>
              </w:numPr>
              <w:spacing w:after="120"/>
              <w:ind w:left="567" w:hanging="567"/>
              <w:jc w:val="both"/>
              <w:rPr>
                <w:rFonts w:asciiTheme="minorBidi" w:hAnsiTheme="minorBidi" w:cstheme="minorBidi"/>
                <w:sz w:val="22"/>
                <w:szCs w:val="22"/>
              </w:rPr>
            </w:pPr>
            <w:r w:rsidRPr="00577FAF">
              <w:rPr>
                <w:rFonts w:asciiTheme="minorBidi" w:hAnsiTheme="minorBidi" w:cstheme="minorBidi"/>
                <w:sz w:val="22"/>
                <w:szCs w:val="22"/>
                <w:u w:val="single"/>
              </w:rPr>
              <w:t>Pide</w:t>
            </w:r>
            <w:r w:rsidRPr="00577FAF">
              <w:rPr>
                <w:rFonts w:asciiTheme="minorBidi" w:hAnsiTheme="minorBidi" w:cstheme="minorBidi"/>
                <w:sz w:val="22"/>
                <w:szCs w:val="22"/>
              </w:rPr>
              <w:t xml:space="preserve"> al Grupo de Trabajo que presente un informe a la Asamblea de la COI en su 33ª reunión.</w:t>
            </w:r>
          </w:p>
          <w:p w14:paraId="3D7C0750" w14:textId="77777777" w:rsidR="00D27E04" w:rsidRPr="00577FAF" w:rsidRDefault="00D27E04" w:rsidP="00CE600D">
            <w:pPr>
              <w:spacing w:before="120" w:after="120"/>
              <w:jc w:val="center"/>
              <w:rPr>
                <w:rFonts w:asciiTheme="minorBidi" w:hAnsiTheme="minorBidi" w:cstheme="minorBidi"/>
                <w:sz w:val="22"/>
                <w:szCs w:val="22"/>
                <w:u w:val="single"/>
              </w:rPr>
            </w:pPr>
            <w:r w:rsidRPr="00577FAF">
              <w:rPr>
                <w:rFonts w:asciiTheme="minorBidi" w:hAnsiTheme="minorBidi" w:cstheme="minorBidi"/>
                <w:sz w:val="22"/>
                <w:szCs w:val="22"/>
                <w:u w:val="single"/>
              </w:rPr>
              <w:t>Anexo de la decisión EC-57/4.3</w:t>
            </w:r>
          </w:p>
          <w:p w14:paraId="5A31657F" w14:textId="191F02BD" w:rsidR="00D27E04" w:rsidRPr="00577FAF" w:rsidRDefault="00D27E04" w:rsidP="00D27E04">
            <w:pPr>
              <w:spacing w:after="120"/>
              <w:jc w:val="center"/>
              <w:rPr>
                <w:rFonts w:asciiTheme="minorBidi" w:hAnsiTheme="minorBidi" w:cstheme="minorBidi"/>
                <w:b/>
                <w:bCs/>
                <w:color w:val="000000"/>
                <w:sz w:val="22"/>
                <w:szCs w:val="22"/>
              </w:rPr>
            </w:pPr>
            <w:r w:rsidRPr="00577FAF">
              <w:rPr>
                <w:rFonts w:asciiTheme="minorBidi" w:hAnsiTheme="minorBidi" w:cstheme="minorBidi"/>
                <w:b/>
                <w:bCs/>
                <w:sz w:val="22"/>
                <w:szCs w:val="22"/>
              </w:rPr>
              <w:t xml:space="preserve">[Proyecto de] Mandato del Grupo de Trabajo de la COI sobre Planificación </w:t>
            </w:r>
            <w:r w:rsidR="00CE600D" w:rsidRPr="00577FAF">
              <w:rPr>
                <w:rFonts w:asciiTheme="minorBidi" w:hAnsiTheme="minorBidi" w:cstheme="minorBidi"/>
                <w:b/>
                <w:bCs/>
                <w:sz w:val="22"/>
                <w:szCs w:val="22"/>
              </w:rPr>
              <w:br/>
            </w:r>
            <w:r w:rsidRPr="00577FAF">
              <w:rPr>
                <w:rFonts w:asciiTheme="minorBidi" w:hAnsiTheme="minorBidi" w:cstheme="minorBidi"/>
                <w:b/>
                <w:bCs/>
                <w:sz w:val="22"/>
                <w:szCs w:val="22"/>
              </w:rPr>
              <w:t>y Gestión Sostenibles del Océano (WG-SOPM)</w:t>
            </w:r>
          </w:p>
          <w:p w14:paraId="340FA662" w14:textId="6AE21DD6" w:rsidR="00D27E04" w:rsidRPr="00577FAF" w:rsidRDefault="00D27E04" w:rsidP="00D27E04">
            <w:pPr>
              <w:spacing w:after="120"/>
              <w:jc w:val="both"/>
              <w:rPr>
                <w:rFonts w:asciiTheme="minorBidi" w:hAnsiTheme="minorBidi" w:cstheme="minorBidi"/>
                <w:color w:val="000000"/>
                <w:sz w:val="22"/>
                <w:szCs w:val="22"/>
              </w:rPr>
            </w:pPr>
            <w:r w:rsidRPr="00577FAF">
              <w:rPr>
                <w:rFonts w:asciiTheme="minorBidi" w:hAnsiTheme="minorBidi" w:cstheme="minorBidi"/>
                <w:sz w:val="22"/>
                <w:szCs w:val="22"/>
              </w:rPr>
              <w:t>El Grupo de Trabajo de la COI sobre Planificación y Gestión Sostenibles del Océano está integrado por representantes designados por los órganos subsidiarios regionales de la COI y los órganos rectores de los programas de la COI (cuando proceda), así como por expertos designados por los Estados Miembros de la COI en respuesta a una convocatoria mediante circular.</w:t>
            </w:r>
          </w:p>
          <w:p w14:paraId="576ED0FF" w14:textId="63D40FFC" w:rsidR="00D27E04" w:rsidRPr="00577FAF" w:rsidRDefault="00D27E04" w:rsidP="00D27E04">
            <w:pPr>
              <w:spacing w:after="120"/>
              <w:jc w:val="both"/>
              <w:rPr>
                <w:rFonts w:asciiTheme="minorBidi" w:eastAsia="Yu Mincho" w:hAnsiTheme="minorBidi" w:cstheme="minorBidi"/>
                <w:sz w:val="22"/>
                <w:szCs w:val="22"/>
              </w:rPr>
            </w:pPr>
            <w:r w:rsidRPr="00577FAF">
              <w:rPr>
                <w:rFonts w:asciiTheme="minorBidi" w:hAnsiTheme="minorBidi" w:cstheme="minorBidi"/>
                <w:sz w:val="22"/>
                <w:szCs w:val="22"/>
              </w:rPr>
              <w:lastRenderedPageBreak/>
              <w:t xml:space="preserve">El Grupo de Trabajo de la COI sobre Planificación y Gestión Sostenibles del Océano (WG-SOPM) </w:t>
            </w:r>
            <w:r w:rsidR="00313CC8" w:rsidRPr="00577FAF">
              <w:rPr>
                <w:rFonts w:asciiTheme="minorBidi" w:hAnsiTheme="minorBidi" w:cstheme="minorBidi"/>
                <w:sz w:val="22"/>
                <w:szCs w:val="22"/>
              </w:rPr>
              <w:t>se encarga de</w:t>
            </w:r>
            <w:r w:rsidRPr="00577FAF">
              <w:rPr>
                <w:rFonts w:asciiTheme="minorBidi" w:hAnsiTheme="minorBidi" w:cstheme="minorBidi"/>
                <w:sz w:val="22"/>
                <w:szCs w:val="22"/>
              </w:rPr>
              <w:t xml:space="preserve"> las siguientes tareas: </w:t>
            </w:r>
          </w:p>
          <w:p w14:paraId="5154A6D8" w14:textId="674CE08D" w:rsidR="00D27E04" w:rsidRPr="00577FAF" w:rsidRDefault="00D27E04" w:rsidP="006B65EB">
            <w:pPr>
              <w:pStyle w:val="ListParagraph"/>
              <w:numPr>
                <w:ilvl w:val="0"/>
                <w:numId w:val="43"/>
              </w:numPr>
              <w:spacing w:after="120"/>
              <w:ind w:left="567" w:hanging="567"/>
              <w:contextualSpacing w:val="0"/>
              <w:jc w:val="both"/>
              <w:rPr>
                <w:rFonts w:asciiTheme="minorBidi" w:hAnsiTheme="minorBidi" w:cstheme="minorBidi"/>
                <w:color w:val="0D0D0D"/>
                <w:sz w:val="22"/>
                <w:szCs w:val="22"/>
              </w:rPr>
            </w:pPr>
            <w:r w:rsidRPr="00577FAF">
              <w:rPr>
                <w:rFonts w:asciiTheme="minorBidi" w:hAnsiTheme="minorBidi" w:cstheme="minorBidi"/>
                <w:sz w:val="22"/>
                <w:szCs w:val="22"/>
              </w:rPr>
              <w:t xml:space="preserve">Brindar asesoramiento sobre la aplicación efectiva de la Estrategia sobre la Planificación y la Gestión Sostenibles del Océano, y supervisar y orientar las actividades relacionadas con dicha planificación y gestión en todos los programas de la COI, abordando cuestiones específicas relacionadas con los programas, así como cuestiones nuevas. </w:t>
            </w:r>
          </w:p>
          <w:p w14:paraId="37918F00" w14:textId="1EA197BE" w:rsidR="00D27E04" w:rsidRPr="00577FAF" w:rsidRDefault="00D27E04" w:rsidP="006B65EB">
            <w:pPr>
              <w:pStyle w:val="ListParagraph"/>
              <w:numPr>
                <w:ilvl w:val="0"/>
                <w:numId w:val="43"/>
              </w:numPr>
              <w:spacing w:after="120"/>
              <w:ind w:left="567" w:hanging="567"/>
              <w:contextualSpacing w:val="0"/>
              <w:jc w:val="both"/>
              <w:rPr>
                <w:rFonts w:asciiTheme="minorBidi" w:hAnsiTheme="minorBidi" w:cstheme="minorBidi"/>
                <w:color w:val="0D0D0D"/>
                <w:sz w:val="22"/>
                <w:szCs w:val="22"/>
              </w:rPr>
            </w:pPr>
            <w:r w:rsidRPr="00577FAF">
              <w:rPr>
                <w:rFonts w:asciiTheme="minorBidi" w:hAnsiTheme="minorBidi" w:cstheme="minorBidi"/>
                <w:sz w:val="22"/>
                <w:szCs w:val="22"/>
              </w:rPr>
              <w:t>Formular y actualizar periódicamente un plan bienal de ejecución de la planificación y la gestión sostenibles del océano en consonancia con la evolución de las herramientas y los marcos científicos internacionales, que deberá ser aprobado por la Asamblea de la COI.</w:t>
            </w:r>
          </w:p>
          <w:p w14:paraId="6627C75E" w14:textId="6109A333" w:rsidR="00D27E04" w:rsidRPr="00577FAF" w:rsidRDefault="00D27E04" w:rsidP="006B65EB">
            <w:pPr>
              <w:pStyle w:val="ListParagraph"/>
              <w:numPr>
                <w:ilvl w:val="0"/>
                <w:numId w:val="43"/>
              </w:numPr>
              <w:spacing w:after="120"/>
              <w:ind w:left="567" w:hanging="567"/>
              <w:contextualSpacing w:val="0"/>
              <w:jc w:val="both"/>
              <w:rPr>
                <w:rFonts w:asciiTheme="minorBidi" w:hAnsiTheme="minorBidi" w:cstheme="minorBidi"/>
                <w:color w:val="0D0D0D"/>
                <w:sz w:val="22"/>
                <w:szCs w:val="22"/>
              </w:rPr>
            </w:pPr>
            <w:r w:rsidRPr="00577FAF">
              <w:rPr>
                <w:rFonts w:asciiTheme="minorBidi" w:hAnsiTheme="minorBidi" w:cstheme="minorBidi"/>
                <w:sz w:val="22"/>
                <w:szCs w:val="22"/>
              </w:rPr>
              <w:t>Orientar la evaluación periódica de las necesidades de capacidad técnica de los Estados Miembros en relación con la planificación y la gestión sostenibles del océano y asesorar sobre la concepción de las intervenciones pertinentes de la COI en materia de desarrollo de capacidades, en el marco de la Estrategia de Desarrollo de Capacidades de la COI para 2023-2030.</w:t>
            </w:r>
          </w:p>
          <w:p w14:paraId="1F184F38" w14:textId="490E9EE3" w:rsidR="00D27E04" w:rsidRPr="00577FAF" w:rsidRDefault="00D27E04" w:rsidP="006B65EB">
            <w:pPr>
              <w:pStyle w:val="ListParagraph"/>
              <w:numPr>
                <w:ilvl w:val="0"/>
                <w:numId w:val="43"/>
              </w:numPr>
              <w:spacing w:after="120"/>
              <w:ind w:left="567" w:hanging="567"/>
              <w:contextualSpacing w:val="0"/>
              <w:jc w:val="both"/>
              <w:rPr>
                <w:rFonts w:asciiTheme="minorBidi" w:hAnsiTheme="minorBidi" w:cstheme="minorBidi"/>
                <w:color w:val="0D0D0D"/>
                <w:sz w:val="22"/>
                <w:szCs w:val="22"/>
              </w:rPr>
            </w:pPr>
            <w:r w:rsidRPr="00577FAF">
              <w:rPr>
                <w:rFonts w:asciiTheme="minorBidi" w:hAnsiTheme="minorBidi" w:cstheme="minorBidi"/>
                <w:sz w:val="22"/>
                <w:szCs w:val="22"/>
              </w:rPr>
              <w:t xml:space="preserve">Aportar contribuciones, según proceda, al proceso de consulta "La COI y el futuro del océano: ejecución sostenible y ampliación de las actividades de la COI" en lo que respecta a la labor de la COI en materia de planificación y gestión sostenibles del océano, así como </w:t>
            </w:r>
            <w:r w:rsidR="00C25B72" w:rsidRPr="00577FAF">
              <w:rPr>
                <w:rFonts w:asciiTheme="minorBidi" w:hAnsiTheme="minorBidi" w:cstheme="minorBidi"/>
                <w:sz w:val="22"/>
                <w:szCs w:val="22"/>
              </w:rPr>
              <w:t xml:space="preserve">al </w:t>
            </w:r>
            <w:r w:rsidRPr="00577FAF">
              <w:rPr>
                <w:rFonts w:asciiTheme="minorBidi" w:hAnsiTheme="minorBidi" w:cstheme="minorBidi"/>
                <w:sz w:val="22"/>
                <w:szCs w:val="22"/>
              </w:rPr>
              <w:t>proceso de</w:t>
            </w:r>
            <w:r w:rsidR="00C25B72" w:rsidRPr="00577FAF">
              <w:rPr>
                <w:rFonts w:asciiTheme="minorBidi" w:hAnsiTheme="minorBidi" w:cstheme="minorBidi"/>
                <w:sz w:val="22"/>
                <w:szCs w:val="22"/>
              </w:rPr>
              <w:t xml:space="preserve"> elaboración de</w:t>
            </w:r>
            <w:r w:rsidRPr="00577FAF">
              <w:rPr>
                <w:rFonts w:asciiTheme="minorBidi" w:hAnsiTheme="minorBidi" w:cstheme="minorBidi"/>
                <w:sz w:val="22"/>
                <w:szCs w:val="22"/>
              </w:rPr>
              <w:t xml:space="preserve"> la Estrategia a Plazo Medio de la COI que se iniciará en 2027.</w:t>
            </w:r>
          </w:p>
          <w:p w14:paraId="02A3EAAB" w14:textId="1E965FF2" w:rsidR="00D27E04" w:rsidRPr="00577FAF" w:rsidRDefault="00C25B72" w:rsidP="006B65EB">
            <w:pPr>
              <w:numPr>
                <w:ilvl w:val="0"/>
                <w:numId w:val="43"/>
              </w:numPr>
              <w:spacing w:after="120"/>
              <w:ind w:left="567" w:hanging="567"/>
              <w:jc w:val="both"/>
              <w:rPr>
                <w:rFonts w:asciiTheme="minorBidi" w:eastAsia="Yu Mincho" w:hAnsiTheme="minorBidi" w:cstheme="minorBidi"/>
                <w:sz w:val="22"/>
                <w:szCs w:val="22"/>
              </w:rPr>
            </w:pPr>
            <w:r w:rsidRPr="00577FAF">
              <w:rPr>
                <w:rFonts w:asciiTheme="minorBidi" w:hAnsiTheme="minorBidi" w:cstheme="minorBidi"/>
                <w:sz w:val="22"/>
                <w:szCs w:val="22"/>
              </w:rPr>
              <w:t>Establecer</w:t>
            </w:r>
            <w:r w:rsidR="00D27E04" w:rsidRPr="00577FAF">
              <w:rPr>
                <w:rFonts w:asciiTheme="minorBidi" w:hAnsiTheme="minorBidi" w:cstheme="minorBidi"/>
                <w:sz w:val="22"/>
                <w:szCs w:val="22"/>
              </w:rPr>
              <w:t xml:space="preserve"> la coordinación con el programa del Decenio </w:t>
            </w:r>
            <w:r w:rsidRPr="00577FAF">
              <w:rPr>
                <w:rFonts w:asciiTheme="minorBidi" w:hAnsiTheme="minorBidi" w:cstheme="minorBidi"/>
                <w:sz w:val="22"/>
                <w:szCs w:val="22"/>
              </w:rPr>
              <w:t>relativo a</w:t>
            </w:r>
            <w:r w:rsidR="00D27E04" w:rsidRPr="00577FAF">
              <w:rPr>
                <w:rFonts w:asciiTheme="minorBidi" w:hAnsiTheme="minorBidi" w:cstheme="minorBidi"/>
                <w:sz w:val="22"/>
                <w:szCs w:val="22"/>
              </w:rPr>
              <w:t xml:space="preserve"> la planificación sostenible del océano</w:t>
            </w:r>
            <w:r w:rsidRPr="00577FAF">
              <w:rPr>
                <w:rFonts w:asciiTheme="minorBidi" w:hAnsiTheme="minorBidi" w:cstheme="minorBidi"/>
                <w:sz w:val="22"/>
                <w:szCs w:val="22"/>
              </w:rPr>
              <w:t>, así como con su grupo consultivo provisional,</w:t>
            </w:r>
            <w:r w:rsidR="00D27E04" w:rsidRPr="00577FAF">
              <w:rPr>
                <w:rFonts w:asciiTheme="minorBidi" w:hAnsiTheme="minorBidi" w:cstheme="minorBidi"/>
                <w:sz w:val="22"/>
                <w:szCs w:val="22"/>
              </w:rPr>
              <w:t xml:space="preserve"> </w:t>
            </w:r>
            <w:r w:rsidRPr="00577FAF">
              <w:rPr>
                <w:rFonts w:asciiTheme="minorBidi" w:hAnsiTheme="minorBidi" w:cstheme="minorBidi"/>
                <w:sz w:val="22"/>
                <w:szCs w:val="22"/>
              </w:rPr>
              <w:t>y contribuir a estos</w:t>
            </w:r>
            <w:r w:rsidR="00D27E04" w:rsidRPr="00577FAF">
              <w:rPr>
                <w:rFonts w:asciiTheme="minorBidi" w:hAnsiTheme="minorBidi" w:cstheme="minorBidi"/>
                <w:sz w:val="22"/>
                <w:szCs w:val="22"/>
              </w:rPr>
              <w:t>.</w:t>
            </w:r>
          </w:p>
          <w:p w14:paraId="656E54FF" w14:textId="318D5A9B" w:rsidR="00D27E04" w:rsidRPr="00577FAF" w:rsidRDefault="00D27E04" w:rsidP="006B65EB">
            <w:pPr>
              <w:numPr>
                <w:ilvl w:val="0"/>
                <w:numId w:val="43"/>
              </w:numPr>
              <w:spacing w:after="120"/>
              <w:ind w:left="567" w:hanging="567"/>
              <w:jc w:val="both"/>
              <w:rPr>
                <w:rFonts w:asciiTheme="minorBidi" w:eastAsia="Yu Mincho" w:hAnsiTheme="minorBidi" w:cstheme="minorBidi"/>
                <w:sz w:val="22"/>
                <w:szCs w:val="22"/>
              </w:rPr>
            </w:pPr>
            <w:r w:rsidRPr="00577FAF">
              <w:rPr>
                <w:rFonts w:asciiTheme="minorBidi" w:hAnsiTheme="minorBidi" w:cstheme="minorBidi"/>
                <w:sz w:val="22"/>
                <w:szCs w:val="22"/>
              </w:rPr>
              <w:t xml:space="preserve">Prestar asesoramiento a los Estados Miembros sobre la promoción de la notoriedad y el alcance de la </w:t>
            </w:r>
            <w:r w:rsidR="00C25B72" w:rsidRPr="00577FAF">
              <w:rPr>
                <w:rFonts w:asciiTheme="minorBidi" w:hAnsiTheme="minorBidi" w:cstheme="minorBidi"/>
                <w:sz w:val="22"/>
                <w:szCs w:val="22"/>
              </w:rPr>
              <w:t>Estrategia de la COI sobre la Planificación y la Gestión Sostenibles del Océano</w:t>
            </w:r>
            <w:r w:rsidR="00C25B72" w:rsidRPr="00577FAF">
              <w:rPr>
                <w:rFonts w:asciiTheme="minorBidi" w:hAnsiTheme="minorBidi" w:cstheme="minorBidi"/>
                <w:b/>
                <w:bCs/>
                <w:sz w:val="22"/>
                <w:szCs w:val="22"/>
              </w:rPr>
              <w:t xml:space="preserve"> </w:t>
            </w:r>
            <w:r w:rsidRPr="00577FAF">
              <w:rPr>
                <w:rFonts w:asciiTheme="minorBidi" w:hAnsiTheme="minorBidi" w:cstheme="minorBidi"/>
                <w:sz w:val="22"/>
                <w:szCs w:val="22"/>
              </w:rPr>
              <w:t xml:space="preserve">para ayudarles a planificar y ejecutar sus iniciativas nacionales. </w:t>
            </w:r>
          </w:p>
          <w:p w14:paraId="54BFA14A" w14:textId="4899C94A" w:rsidR="00D27E04" w:rsidRPr="00577FAF" w:rsidRDefault="00C25B72" w:rsidP="006B65EB">
            <w:pPr>
              <w:pStyle w:val="ListParagraph"/>
              <w:numPr>
                <w:ilvl w:val="0"/>
                <w:numId w:val="43"/>
              </w:numPr>
              <w:spacing w:after="120"/>
              <w:ind w:left="567" w:hanging="567"/>
              <w:contextualSpacing w:val="0"/>
              <w:jc w:val="both"/>
              <w:rPr>
                <w:rFonts w:asciiTheme="minorBidi" w:hAnsiTheme="minorBidi" w:cstheme="minorBidi"/>
                <w:sz w:val="22"/>
                <w:szCs w:val="22"/>
              </w:rPr>
            </w:pPr>
            <w:r w:rsidRPr="00577FAF">
              <w:rPr>
                <w:rFonts w:asciiTheme="minorBidi" w:hAnsiTheme="minorBidi" w:cstheme="minorBidi"/>
                <w:sz w:val="22"/>
                <w:szCs w:val="22"/>
              </w:rPr>
              <w:t>E</w:t>
            </w:r>
            <w:r w:rsidR="00D27E04" w:rsidRPr="00577FAF">
              <w:rPr>
                <w:rFonts w:asciiTheme="minorBidi" w:hAnsiTheme="minorBidi" w:cstheme="minorBidi"/>
                <w:sz w:val="22"/>
                <w:szCs w:val="22"/>
              </w:rPr>
              <w:t>mprender nuevas iniciativas a petición de los órganos rectores de la COI</w:t>
            </w:r>
            <w:r w:rsidRPr="00577FAF">
              <w:rPr>
                <w:rFonts w:asciiTheme="minorBidi" w:hAnsiTheme="minorBidi" w:cstheme="minorBidi"/>
                <w:sz w:val="22"/>
                <w:szCs w:val="22"/>
              </w:rPr>
              <w:t>.</w:t>
            </w:r>
          </w:p>
          <w:p w14:paraId="569B7EE1" w14:textId="4E5F06E8" w:rsidR="00D27E04" w:rsidRPr="00577FAF" w:rsidRDefault="00D27E04" w:rsidP="006B65EB">
            <w:pPr>
              <w:pStyle w:val="ListParagraph"/>
              <w:numPr>
                <w:ilvl w:val="0"/>
                <w:numId w:val="43"/>
              </w:numPr>
              <w:spacing w:after="120"/>
              <w:ind w:left="567" w:hanging="567"/>
              <w:contextualSpacing w:val="0"/>
              <w:jc w:val="both"/>
              <w:rPr>
                <w:rFonts w:asciiTheme="minorBidi" w:hAnsiTheme="minorBidi" w:cstheme="minorBidi"/>
                <w:sz w:val="22"/>
                <w:szCs w:val="22"/>
              </w:rPr>
            </w:pPr>
            <w:r w:rsidRPr="00577FAF">
              <w:rPr>
                <w:rFonts w:asciiTheme="minorBidi" w:hAnsiTheme="minorBidi" w:cstheme="minorBidi"/>
                <w:sz w:val="22"/>
                <w:szCs w:val="22"/>
              </w:rPr>
              <w:t xml:space="preserve">Informar en las reuniones de la Asamblea de la COI sobre la ejecución de la </w:t>
            </w:r>
            <w:r w:rsidR="001B03F2" w:rsidRPr="00577FAF">
              <w:rPr>
                <w:rFonts w:asciiTheme="minorBidi" w:hAnsiTheme="minorBidi" w:cstheme="minorBidi"/>
                <w:sz w:val="22"/>
                <w:szCs w:val="22"/>
              </w:rPr>
              <w:t>E</w:t>
            </w:r>
            <w:r w:rsidRPr="00577FAF">
              <w:rPr>
                <w:rFonts w:asciiTheme="minorBidi" w:hAnsiTheme="minorBidi" w:cstheme="minorBidi"/>
                <w:sz w:val="22"/>
                <w:szCs w:val="22"/>
              </w:rPr>
              <w:t>strategia y el plan de aplicación</w:t>
            </w:r>
            <w:r w:rsidR="00C15A0D" w:rsidRPr="00577FAF">
              <w:rPr>
                <w:rFonts w:asciiTheme="minorBidi" w:hAnsiTheme="minorBidi" w:cstheme="minorBidi"/>
                <w:sz w:val="22"/>
                <w:szCs w:val="22"/>
              </w:rPr>
              <w:t>.</w:t>
            </w:r>
          </w:p>
          <w:p w14:paraId="1B141A18" w14:textId="2B1BB197" w:rsidR="003A60E3" w:rsidRPr="00577FAF" w:rsidRDefault="00D27E04" w:rsidP="00CE600D">
            <w:pPr>
              <w:spacing w:after="120"/>
              <w:jc w:val="both"/>
              <w:rPr>
                <w:rFonts w:ascii="Arial" w:hAnsi="Arial" w:cs="Arial"/>
                <w:sz w:val="22"/>
                <w:szCs w:val="22"/>
              </w:rPr>
            </w:pPr>
            <w:r w:rsidRPr="00577FAF">
              <w:rPr>
                <w:rFonts w:asciiTheme="minorBidi" w:hAnsiTheme="minorBidi" w:cstheme="minorBidi"/>
                <w:sz w:val="22"/>
                <w:szCs w:val="22"/>
              </w:rPr>
              <w:t>El Grupo de Trabajo elegirá dos copresidentes entre sus miembros y su composición se renovará cada cuatro años.</w:t>
            </w:r>
          </w:p>
        </w:tc>
      </w:tr>
    </w:tbl>
    <w:p w14:paraId="5D9B1ACE" w14:textId="77777777" w:rsidR="003A60E3" w:rsidRPr="00577FAF" w:rsidRDefault="003A60E3">
      <w:pPr>
        <w:pStyle w:val="Style2"/>
        <w:tabs>
          <w:tab w:val="clear" w:pos="1400"/>
          <w:tab w:val="left" w:pos="709"/>
        </w:tabs>
        <w:spacing w:after="0"/>
        <w:ind w:left="0"/>
        <w:rPr>
          <w:rFonts w:cs="Arial"/>
        </w:rPr>
      </w:pPr>
    </w:p>
    <w:p w14:paraId="22603F5B" w14:textId="77777777" w:rsidR="003A60E3" w:rsidRPr="00577FAF" w:rsidRDefault="00CB6A57">
      <w:pPr>
        <w:pStyle w:val="Style2"/>
        <w:numPr>
          <w:ilvl w:val="0"/>
          <w:numId w:val="7"/>
        </w:numPr>
        <w:tabs>
          <w:tab w:val="left" w:pos="709"/>
        </w:tabs>
        <w:ind w:left="0" w:hanging="567"/>
        <w:rPr>
          <w:rFonts w:cs="Arial"/>
        </w:rPr>
      </w:pPr>
      <w:r w:rsidRPr="00577FAF">
        <w:rPr>
          <w:rFonts w:cs="Aria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616B5CD3" w14:textId="77777777" w:rsidR="003A60E3" w:rsidRPr="00577FAF" w:rsidRDefault="00CB6A57">
      <w:pPr>
        <w:pStyle w:val="Heading2"/>
        <w:ind w:left="709" w:hanging="709"/>
        <w:rPr>
          <w:rFonts w:cs="Arial"/>
          <w:szCs w:val="22"/>
        </w:rPr>
      </w:pPr>
      <w:bookmarkStart w:id="155" w:name="_Toc168933430"/>
      <w:r w:rsidRPr="00577FAF">
        <w:rPr>
          <w:rFonts w:cs="Arial"/>
          <w:szCs w:val="22"/>
        </w:rPr>
        <w:t>4.4</w:t>
      </w:r>
      <w:r w:rsidRPr="00577FAF">
        <w:rPr>
          <w:rFonts w:cs="Arial"/>
          <w:szCs w:val="22"/>
        </w:rPr>
        <w:tab/>
        <w:t>EXAMEN DE LA GOBERNANZA DEL GEBCO (2023) Y EXAMEN TRIENAL DE LAS NECESIDADES DE LOS USUARIOS [decisiones A-31/3.5.1 y A-32/4.1]</w:t>
      </w:r>
      <w:bookmarkEnd w:id="155"/>
      <w:r w:rsidRPr="00577FAF">
        <w:rPr>
          <w:rFonts w:cs="Arial"/>
          <w:szCs w:val="22"/>
        </w:rPr>
        <w:t xml:space="preserve"> </w:t>
      </w:r>
    </w:p>
    <w:tbl>
      <w:tblPr>
        <w:tblW w:w="9747" w:type="dxa"/>
        <w:tblLayout w:type="fixed"/>
        <w:tblLook w:val="0000" w:firstRow="0" w:lastRow="0" w:firstColumn="0" w:lastColumn="0" w:noHBand="0" w:noVBand="0"/>
      </w:tblPr>
      <w:tblGrid>
        <w:gridCol w:w="2410"/>
        <w:gridCol w:w="2268"/>
        <w:gridCol w:w="5069"/>
      </w:tblGrid>
      <w:tr w:rsidR="003A60E3" w:rsidRPr="00577FAF" w14:paraId="4C90A56B" w14:textId="77777777" w:rsidTr="001F0620">
        <w:tc>
          <w:tcPr>
            <w:tcW w:w="2410" w:type="dxa"/>
            <w:shd w:val="clear" w:color="auto" w:fill="FFFF99"/>
            <w:tcMar>
              <w:top w:w="57" w:type="dxa"/>
              <w:bottom w:w="57" w:type="dxa"/>
            </w:tcMar>
          </w:tcPr>
          <w:p w14:paraId="6ED4F187" w14:textId="77777777" w:rsidR="003A60E3" w:rsidRPr="00577FAF" w:rsidRDefault="00CB6A57">
            <w:pPr>
              <w:rPr>
                <w:rFonts w:ascii="Arial" w:hAnsi="Arial" w:cs="Arial"/>
                <w:i/>
                <w:color w:val="000000"/>
                <w:sz w:val="20"/>
                <w:szCs w:val="20"/>
                <w:u w:val="single"/>
              </w:rPr>
            </w:pPr>
            <w:r w:rsidRPr="00577FAF">
              <w:rPr>
                <w:rFonts w:ascii="Arial" w:hAnsi="Arial" w:cs="Arial"/>
                <w:i/>
                <w:iCs/>
                <w:sz w:val="20"/>
                <w:szCs w:val="20"/>
                <w:u w:val="single"/>
              </w:rPr>
              <w:t>Documentos de trabajo</w:t>
            </w:r>
          </w:p>
        </w:tc>
        <w:tc>
          <w:tcPr>
            <w:tcW w:w="2268" w:type="dxa"/>
            <w:shd w:val="clear" w:color="auto" w:fill="FFFF99"/>
            <w:tcMar>
              <w:top w:w="57" w:type="dxa"/>
              <w:bottom w:w="57" w:type="dxa"/>
            </w:tcMar>
          </w:tcPr>
          <w:p w14:paraId="7A42B0F0" w14:textId="77777777" w:rsidR="003A60E3" w:rsidRPr="00577FAF" w:rsidRDefault="00CB6A57">
            <w:pPr>
              <w:rPr>
                <w:rFonts w:ascii="Arial" w:hAnsi="Arial" w:cs="Arial"/>
                <w:color w:val="000000"/>
                <w:sz w:val="20"/>
                <w:szCs w:val="20"/>
              </w:rPr>
            </w:pPr>
            <w:r w:rsidRPr="00577FAF">
              <w:rPr>
                <w:rFonts w:ascii="Arial" w:hAnsi="Arial" w:cs="Arial"/>
                <w:sz w:val="20"/>
                <w:szCs w:val="20"/>
              </w:rPr>
              <w:t>IOC/EC-57/4.4.Doc(1)</w:t>
            </w:r>
            <w:r w:rsidR="004C1803" w:rsidRPr="00577FAF">
              <w:rPr>
                <w:rFonts w:ascii="Arial" w:hAnsi="Arial" w:cs="Arial"/>
                <w:sz w:val="20"/>
                <w:szCs w:val="20"/>
              </w:rPr>
              <w:t xml:space="preserve"> </w:t>
            </w:r>
          </w:p>
        </w:tc>
        <w:tc>
          <w:tcPr>
            <w:tcW w:w="5069" w:type="dxa"/>
            <w:shd w:val="clear" w:color="auto" w:fill="FFFF99"/>
            <w:tcMar>
              <w:top w:w="57" w:type="dxa"/>
              <w:bottom w:w="57" w:type="dxa"/>
            </w:tcMar>
          </w:tcPr>
          <w:p w14:paraId="6B8AF2C7" w14:textId="77777777" w:rsidR="003A60E3" w:rsidRPr="00577FAF" w:rsidRDefault="00CB6A57">
            <w:pPr>
              <w:spacing w:after="60"/>
              <w:rPr>
                <w:rFonts w:ascii="Arial" w:hAnsi="Arial" w:cs="Arial"/>
                <w:color w:val="000000"/>
                <w:sz w:val="20"/>
                <w:szCs w:val="20"/>
              </w:rPr>
            </w:pPr>
            <w:r w:rsidRPr="00577FAF">
              <w:rPr>
                <w:rFonts w:ascii="Arial" w:hAnsi="Arial" w:cs="Arial"/>
                <w:sz w:val="20"/>
                <w:szCs w:val="20"/>
              </w:rPr>
              <w:t>Informe y recomendaciones del Equipo del Proyecto de Examen de la Gobernanza del GEBCO (2024)</w:t>
            </w:r>
          </w:p>
        </w:tc>
      </w:tr>
      <w:tr w:rsidR="003A60E3" w:rsidRPr="00577FAF" w14:paraId="1F7E7DF0" w14:textId="77777777" w:rsidTr="001F0620">
        <w:tc>
          <w:tcPr>
            <w:tcW w:w="2410" w:type="dxa"/>
            <w:shd w:val="clear" w:color="auto" w:fill="FFFF99"/>
            <w:tcMar>
              <w:top w:w="57" w:type="dxa"/>
              <w:bottom w:w="57" w:type="dxa"/>
            </w:tcMar>
          </w:tcPr>
          <w:p w14:paraId="6426CDB7" w14:textId="77777777" w:rsidR="003A60E3" w:rsidRPr="00577FAF" w:rsidRDefault="003A60E3">
            <w:pPr>
              <w:rPr>
                <w:rFonts w:ascii="Arial" w:hAnsi="Arial" w:cs="Arial"/>
                <w:i/>
                <w:color w:val="000000"/>
                <w:sz w:val="20"/>
                <w:szCs w:val="20"/>
                <w:u w:val="single"/>
              </w:rPr>
            </w:pPr>
          </w:p>
        </w:tc>
        <w:tc>
          <w:tcPr>
            <w:tcW w:w="2268" w:type="dxa"/>
            <w:shd w:val="clear" w:color="auto" w:fill="FFFF99"/>
            <w:tcMar>
              <w:top w:w="57" w:type="dxa"/>
              <w:bottom w:w="57" w:type="dxa"/>
            </w:tcMar>
          </w:tcPr>
          <w:p w14:paraId="3FAEC923" w14:textId="77777777" w:rsidR="003A60E3" w:rsidRPr="00577FAF" w:rsidRDefault="00CB6A57">
            <w:pPr>
              <w:rPr>
                <w:rFonts w:ascii="Arial" w:hAnsi="Arial" w:cs="Arial"/>
                <w:color w:val="000000"/>
                <w:sz w:val="20"/>
                <w:szCs w:val="20"/>
              </w:rPr>
            </w:pPr>
            <w:bookmarkStart w:id="156" w:name="_Hlk164328806"/>
            <w:r w:rsidRPr="00577FAF">
              <w:rPr>
                <w:rFonts w:ascii="Arial" w:hAnsi="Arial" w:cs="Arial"/>
                <w:sz w:val="20"/>
                <w:szCs w:val="20"/>
              </w:rPr>
              <w:t>IOC/EC-57/4.4.Doc(2)</w:t>
            </w:r>
            <w:r w:rsidR="004C1803" w:rsidRPr="00577FAF">
              <w:rPr>
                <w:rFonts w:ascii="Arial" w:hAnsi="Arial" w:cs="Arial"/>
                <w:sz w:val="20"/>
                <w:szCs w:val="20"/>
              </w:rPr>
              <w:t xml:space="preserve"> </w:t>
            </w:r>
            <w:bookmarkEnd w:id="156"/>
          </w:p>
        </w:tc>
        <w:tc>
          <w:tcPr>
            <w:tcW w:w="5069" w:type="dxa"/>
            <w:shd w:val="clear" w:color="auto" w:fill="FFFF99"/>
            <w:tcMar>
              <w:top w:w="57" w:type="dxa"/>
              <w:bottom w:w="57" w:type="dxa"/>
            </w:tcMar>
          </w:tcPr>
          <w:p w14:paraId="2F670D85" w14:textId="77777777" w:rsidR="003A60E3" w:rsidRPr="00577FAF" w:rsidRDefault="00CB6A57">
            <w:pPr>
              <w:spacing w:after="60"/>
              <w:rPr>
                <w:rFonts w:ascii="Arial" w:hAnsi="Arial" w:cs="Arial"/>
                <w:color w:val="000000"/>
                <w:sz w:val="20"/>
                <w:szCs w:val="20"/>
              </w:rPr>
            </w:pPr>
            <w:r w:rsidRPr="00577FAF">
              <w:rPr>
                <w:rFonts w:ascii="Arial" w:hAnsi="Arial" w:cs="Arial"/>
                <w:sz w:val="20"/>
                <w:szCs w:val="20"/>
              </w:rPr>
              <w:t>Examen trienal del Grupo de Trabajo de la COI sobre las Necesidades de los Usuarios y las Contribuciones a los Productos del GEBCO (2024)</w:t>
            </w:r>
          </w:p>
        </w:tc>
      </w:tr>
      <w:tr w:rsidR="003A60E3" w:rsidRPr="00577FAF" w14:paraId="188EAB7D" w14:textId="77777777" w:rsidTr="001F0620">
        <w:tc>
          <w:tcPr>
            <w:tcW w:w="2410" w:type="dxa"/>
            <w:shd w:val="clear" w:color="auto" w:fill="FBD4B4"/>
            <w:tcMar>
              <w:top w:w="57" w:type="dxa"/>
              <w:bottom w:w="57" w:type="dxa"/>
            </w:tcMar>
          </w:tcPr>
          <w:p w14:paraId="52B212C3" w14:textId="77777777" w:rsidR="003A60E3" w:rsidRPr="00577FAF" w:rsidRDefault="00CB6A57">
            <w:pPr>
              <w:rPr>
                <w:rFonts w:ascii="Arial" w:hAnsi="Arial" w:cs="Arial"/>
                <w:i/>
                <w:color w:val="000000"/>
                <w:sz w:val="20"/>
                <w:szCs w:val="20"/>
                <w:u w:val="single"/>
              </w:rPr>
            </w:pPr>
            <w:r w:rsidRPr="00577FAF">
              <w:rPr>
                <w:rFonts w:ascii="Arial" w:hAnsi="Arial" w:cs="Arial"/>
                <w:i/>
                <w:iCs/>
                <w:sz w:val="20"/>
                <w:szCs w:val="20"/>
                <w:u w:val="single"/>
              </w:rPr>
              <w:t>Información</w:t>
            </w:r>
          </w:p>
        </w:tc>
        <w:tc>
          <w:tcPr>
            <w:tcW w:w="2268" w:type="dxa"/>
            <w:shd w:val="clear" w:color="auto" w:fill="auto"/>
            <w:tcMar>
              <w:top w:w="57" w:type="dxa"/>
              <w:bottom w:w="57" w:type="dxa"/>
            </w:tcMar>
          </w:tcPr>
          <w:p w14:paraId="1486B3FC" w14:textId="77777777" w:rsidR="003A60E3" w:rsidRPr="00577FAF" w:rsidRDefault="00CB6A57">
            <w:pPr>
              <w:rPr>
                <w:rFonts w:ascii="Arial" w:hAnsi="Arial" w:cs="Arial"/>
                <w:color w:val="000000"/>
                <w:sz w:val="20"/>
                <w:szCs w:val="20"/>
              </w:rPr>
            </w:pPr>
            <w:r w:rsidRPr="00577FAF">
              <w:rPr>
                <w:rFonts w:ascii="Arial" w:hAnsi="Arial" w:cs="Arial"/>
                <w:sz w:val="20"/>
                <w:szCs w:val="20"/>
              </w:rPr>
              <w:t>IOC/INF-1538</w:t>
            </w:r>
          </w:p>
        </w:tc>
        <w:tc>
          <w:tcPr>
            <w:tcW w:w="5069" w:type="dxa"/>
            <w:shd w:val="clear" w:color="auto" w:fill="auto"/>
            <w:tcMar>
              <w:top w:w="57" w:type="dxa"/>
              <w:bottom w:w="57" w:type="dxa"/>
            </w:tcMar>
          </w:tcPr>
          <w:p w14:paraId="0EB388AA" w14:textId="77777777" w:rsidR="003A60E3" w:rsidRPr="00577FAF" w:rsidRDefault="00CB6A57">
            <w:pPr>
              <w:spacing w:after="60"/>
              <w:rPr>
                <w:rFonts w:ascii="Arial" w:hAnsi="Arial" w:cs="Arial"/>
                <w:color w:val="000000"/>
                <w:sz w:val="20"/>
                <w:szCs w:val="20"/>
              </w:rPr>
            </w:pPr>
            <w:r w:rsidRPr="00577FAF">
              <w:rPr>
                <w:rFonts w:ascii="Arial" w:hAnsi="Arial" w:cs="Arial"/>
                <w:sz w:val="20"/>
                <w:szCs w:val="20"/>
              </w:rPr>
              <w:t xml:space="preserve">New GEBCO </w:t>
            </w:r>
            <w:proofErr w:type="spellStart"/>
            <w:r w:rsidRPr="00577FAF">
              <w:rPr>
                <w:rFonts w:ascii="Arial" w:hAnsi="Arial" w:cs="Arial"/>
                <w:sz w:val="20"/>
                <w:szCs w:val="20"/>
              </w:rPr>
              <w:t>Strategy</w:t>
            </w:r>
            <w:proofErr w:type="spellEnd"/>
          </w:p>
        </w:tc>
      </w:tr>
    </w:tbl>
    <w:p w14:paraId="3455AA0F" w14:textId="77777777" w:rsidR="003A60E3" w:rsidRPr="00577FAF" w:rsidRDefault="003A60E3">
      <w:pPr>
        <w:pStyle w:val="Marge"/>
        <w:spacing w:after="0"/>
        <w:rPr>
          <w:rFonts w:ascii="Arial" w:hAnsi="Arial" w:cs="Arial"/>
          <w:sz w:val="22"/>
          <w:szCs w:val="22"/>
        </w:rPr>
      </w:pPr>
    </w:p>
    <w:p w14:paraId="5569DE82" w14:textId="77777777" w:rsidR="003A60E3" w:rsidRPr="00577FAF" w:rsidRDefault="00CB6A57">
      <w:pPr>
        <w:pStyle w:val="Style2"/>
        <w:numPr>
          <w:ilvl w:val="0"/>
          <w:numId w:val="7"/>
        </w:numPr>
        <w:tabs>
          <w:tab w:val="left" w:pos="709"/>
        </w:tabs>
        <w:ind w:left="0" w:hanging="567"/>
        <w:rPr>
          <w:rFonts w:cs="Arial"/>
        </w:rPr>
      </w:pPr>
      <w:r w:rsidRPr="00577FAF">
        <w:rPr>
          <w:rFonts w:cs="Arial"/>
        </w:rPr>
        <w:t xml:space="preserve">Presentó este punto del orden del día el Vicepresidente Juan Forero Hauzeur, en su calidad de Presidente del Grupo de Trabajo de la COI sobre las Necesidades de los Usuarios y las Contribuciones a los Productos del GEBCO. El Vicepresidente se refirió al mandato del Grupo de Trabajo, establecido mediante la decisión EC-XLIX/Dec.4.4 del Consejo Ejecutivo, en 2016, que, entre otras cosas, tiene por objeto: i) recopilar, integrar y evaluar las necesidades de los usuarios </w:t>
      </w:r>
      <w:r w:rsidRPr="00577FAF">
        <w:rPr>
          <w:rFonts w:cs="Arial"/>
        </w:rPr>
        <w:lastRenderedPageBreak/>
        <w:t xml:space="preserve">para orientar la elaboración de los productos GEBCO presentes y futuros; y ii) estudiar formas de reforzar las contribuciones de los programas de la COI y las actividades de los Estados Miembros a los datos y productos del GEBCO. De conformidad con su mandato, el Grupo de Trabajo está integrado por representantes de los Estados Miembros de la COI y un experto del Comité de Orientación sobre el GEBCO y de cada uno de los órganos subsidiarios técnicos y regionales pertinentes de la COI (GLOSS, GOOS-SC, IODE, TOWS-WG, IOCAFRICA, IOCARIBE, IOCINDIO, IPHAB, WESTPAC y alianzas regionales del GOOS). El Grupo de Trabajo actual fue restablecido tras su anterior evaluación (2021), mediante la </w:t>
      </w:r>
      <w:hyperlink r:id="rId36" w:history="1">
        <w:r w:rsidRPr="00577FAF">
          <w:rPr>
            <w:rStyle w:val="Hyperlink"/>
            <w:rFonts w:cs="Arial"/>
          </w:rPr>
          <w:t xml:space="preserve">circular </w:t>
        </w:r>
        <w:proofErr w:type="spellStart"/>
        <w:r w:rsidRPr="00577FAF">
          <w:rPr>
            <w:rStyle w:val="Hyperlink"/>
            <w:rFonts w:cs="Arial"/>
          </w:rPr>
          <w:t>nº</w:t>
        </w:r>
        <w:proofErr w:type="spellEnd"/>
        <w:r w:rsidRPr="00577FAF">
          <w:rPr>
            <w:rStyle w:val="Hyperlink"/>
            <w:rFonts w:cs="Arial"/>
          </w:rPr>
          <w:t> 2981 de la COI</w:t>
        </w:r>
      </w:hyperlink>
      <w:r w:rsidRPr="00577FAF">
        <w:rPr>
          <w:rFonts w:cs="Arial"/>
        </w:rPr>
        <w:t xml:space="preserve">, publicada en diciembre de 2023. Está compuesto por expertos designados por los presidentes de los órganos subsidiarios técnicos y regionales pertinentes de la COI y las alianzas regionales del GOOS, así como por expertos nacionales. El Vicepresidente destacó que las aportaciones se recopilaron mediante una encuesta internacional enviada a los Estados Miembros de la COI mediante la </w:t>
      </w:r>
      <w:hyperlink r:id="rId37" w:history="1">
        <w:r w:rsidRPr="00577FAF">
          <w:rPr>
            <w:rStyle w:val="Hyperlink"/>
            <w:rFonts w:cs="Arial"/>
          </w:rPr>
          <w:t xml:space="preserve">circular </w:t>
        </w:r>
        <w:proofErr w:type="spellStart"/>
        <w:r w:rsidRPr="00577FAF">
          <w:rPr>
            <w:rStyle w:val="Hyperlink"/>
            <w:rFonts w:cs="Arial"/>
          </w:rPr>
          <w:t>nº</w:t>
        </w:r>
        <w:proofErr w:type="spellEnd"/>
        <w:r w:rsidRPr="00577FAF">
          <w:rPr>
            <w:rStyle w:val="Hyperlink"/>
            <w:rFonts w:cs="Arial"/>
          </w:rPr>
          <w:t> 2989 de la COI</w:t>
        </w:r>
      </w:hyperlink>
      <w:r w:rsidRPr="00577FAF">
        <w:rPr>
          <w:rFonts w:cs="Arial"/>
        </w:rPr>
        <w:t xml:space="preserve">. Por medio de la red del proyecto </w:t>
      </w:r>
      <w:proofErr w:type="spellStart"/>
      <w:r w:rsidRPr="00577FAF">
        <w:rPr>
          <w:rFonts w:cs="Arial"/>
        </w:rPr>
        <w:t>Seabed</w:t>
      </w:r>
      <w:proofErr w:type="spellEnd"/>
      <w:r w:rsidRPr="00577FAF">
        <w:rPr>
          <w:rFonts w:cs="Arial"/>
        </w:rPr>
        <w:t xml:space="preserve"> 2030 de la </w:t>
      </w:r>
      <w:proofErr w:type="spellStart"/>
      <w:r w:rsidRPr="00577FAF">
        <w:rPr>
          <w:rFonts w:cs="Arial"/>
        </w:rPr>
        <w:t>Nippon</w:t>
      </w:r>
      <w:proofErr w:type="spellEnd"/>
      <w:r w:rsidRPr="00577FAF">
        <w:rPr>
          <w:rFonts w:cs="Arial"/>
        </w:rPr>
        <w:t xml:space="preserve"> </w:t>
      </w:r>
      <w:proofErr w:type="spellStart"/>
      <w:r w:rsidRPr="00577FAF">
        <w:rPr>
          <w:rFonts w:cs="Arial"/>
        </w:rPr>
        <w:t>Foundation</w:t>
      </w:r>
      <w:proofErr w:type="spellEnd"/>
      <w:r w:rsidRPr="00577FAF">
        <w:rPr>
          <w:rFonts w:cs="Arial"/>
        </w:rPr>
        <w:t xml:space="preserve"> y el GEBCO, la encuesta se difundió también a un grupo más amplio de partes interesadas en las cuestiones oceánicas, en particular organizaciones del sector y de la sociedad civil. A continuación, el Vicepresidente presentó las principales conclusiones y recomendaciones del Grupo de Trabajo refiriéndose al documento IOC/EC-57/4.4.Doc(2).</w:t>
      </w:r>
    </w:p>
    <w:p w14:paraId="598A11FE" w14:textId="77777777" w:rsidR="003A60E3" w:rsidRPr="00577FAF" w:rsidRDefault="00CB6A57">
      <w:pPr>
        <w:pStyle w:val="Style2"/>
        <w:numPr>
          <w:ilvl w:val="0"/>
          <w:numId w:val="7"/>
        </w:numPr>
        <w:tabs>
          <w:tab w:val="left" w:pos="709"/>
        </w:tabs>
        <w:ind w:left="0" w:hanging="567"/>
        <w:rPr>
          <w:rFonts w:cs="Arial"/>
        </w:rPr>
      </w:pPr>
      <w:r w:rsidRPr="00577FAF">
        <w:rPr>
          <w:rFonts w:cs="Arial"/>
        </w:rPr>
        <w:t>El Sr. Sam Harper, Secretario Técnico de la Organización Hidrográfica Internacional (OHI) y Presidente del Equipo del Proyecto de Examen de la Gobernanza del GEBCO, destacó que el informe sobre el examen de la gobernanza (IOC/EC-57/4.4.Doc(1)) proporciona un análisis exhaustivo de las estructuras y prácticas de gobernanza de la entidad, destinado a mejorar su eficacia operacional y su adecuación con los objetivos estratégicos de sus organizaciones matrices, la OHI y la COI. El examen estuvo motivado por el reconocimiento de la rápida evolución del panorama de las ciencias oceánicas y la cartografía de los fondos marinos, lo que requiere una gestión más sólida del programa y un enfoque de mejora continua. Uno de los componentes principales del examen consiste en un análisis de los acuerdos organizativos y de gobernanza en relación con el GEBCO, sus comités y sus interacciones con organismos externos. El examen también destaca la importancia del trabajo del GEBCO teniendo en cuenta el Decenio de las Naciones Unidas de las Ciencias Oceánicas para el Desarrollo Sostenible y la necesidad de aumentar la coordinación internacional en cuanto a la recopilación de datos oceánicos. Las conclusiones y recomendaciones se refieren a la necesidad de disponer de estructuras de gobernanza más claras, una mayor participación de las partes interesadas, prácticas de gestión de riesgos y el establecimiento de una cultura de mejora continua. El examen subraya la importancia de armonizar la labor del GEBCO con la nueva Estrategia del GEBCO (IOC/INF-1538), que se elaboró de forma paralela a este examen de la gobernanza.</w:t>
      </w:r>
    </w:p>
    <w:tbl>
      <w:tblPr>
        <w:tblW w:w="0" w:type="auto"/>
        <w:shd w:val="clear" w:color="auto" w:fill="CCFFCC"/>
        <w:tblLayout w:type="fixed"/>
        <w:tblCellMar>
          <w:top w:w="113" w:type="dxa"/>
          <w:bottom w:w="113" w:type="dxa"/>
        </w:tblCellMar>
        <w:tblLook w:val="0000" w:firstRow="0" w:lastRow="0" w:firstColumn="0" w:lastColumn="0" w:noHBand="0" w:noVBand="0"/>
      </w:tblPr>
      <w:tblGrid>
        <w:gridCol w:w="9747"/>
      </w:tblGrid>
      <w:tr w:rsidR="003A60E3" w:rsidRPr="00577FAF" w14:paraId="05867A41" w14:textId="77777777">
        <w:trPr>
          <w:trHeight w:val="604"/>
        </w:trPr>
        <w:tc>
          <w:tcPr>
            <w:tcW w:w="9747" w:type="dxa"/>
            <w:shd w:val="clear" w:color="auto" w:fill="CCFFCC"/>
            <w:tcMar>
              <w:top w:w="113" w:type="dxa"/>
              <w:bottom w:w="113" w:type="dxa"/>
            </w:tcMar>
          </w:tcPr>
          <w:p w14:paraId="20E12547" w14:textId="77777777" w:rsidR="003A60E3" w:rsidRPr="00577FAF" w:rsidRDefault="00CB6A57">
            <w:pPr>
              <w:spacing w:after="240"/>
              <w:jc w:val="both"/>
              <w:rPr>
                <w:rFonts w:ascii="Arial" w:hAnsi="Arial" w:cs="Arial"/>
                <w:sz w:val="22"/>
                <w:szCs w:val="22"/>
                <w:u w:val="single"/>
              </w:rPr>
            </w:pPr>
            <w:r w:rsidRPr="00577FAF">
              <w:rPr>
                <w:rFonts w:ascii="Arial" w:hAnsi="Arial" w:cs="Arial"/>
                <w:sz w:val="22"/>
                <w:szCs w:val="22"/>
                <w:u w:val="single"/>
              </w:rPr>
              <w:t>Decisión EC-57/4.4</w:t>
            </w:r>
          </w:p>
          <w:p w14:paraId="785FCCC3" w14:textId="7B4EFB17" w:rsidR="003A60E3" w:rsidRPr="00577FAF" w:rsidRDefault="00CB6A57">
            <w:pPr>
              <w:spacing w:after="240"/>
              <w:jc w:val="center"/>
              <w:rPr>
                <w:rFonts w:ascii="Arial" w:hAnsi="Arial" w:cs="Arial"/>
                <w:b/>
                <w:bCs/>
                <w:sz w:val="22"/>
                <w:szCs w:val="22"/>
              </w:rPr>
            </w:pPr>
            <w:r w:rsidRPr="00577FAF">
              <w:rPr>
                <w:rFonts w:ascii="Arial" w:hAnsi="Arial" w:cs="Arial"/>
                <w:b/>
                <w:bCs/>
                <w:sz w:val="22"/>
                <w:szCs w:val="22"/>
              </w:rPr>
              <w:t xml:space="preserve">Examen de la gobernanza del GEBCO (2023) y examen trienal de las necesidades </w:t>
            </w:r>
            <w:r w:rsidR="004A01FB" w:rsidRPr="00577FAF">
              <w:rPr>
                <w:rFonts w:ascii="Arial" w:hAnsi="Arial" w:cs="Arial"/>
                <w:b/>
                <w:bCs/>
                <w:sz w:val="22"/>
                <w:szCs w:val="22"/>
              </w:rPr>
              <w:br/>
            </w:r>
            <w:r w:rsidRPr="00577FAF">
              <w:rPr>
                <w:rFonts w:ascii="Arial" w:hAnsi="Arial" w:cs="Arial"/>
                <w:b/>
                <w:bCs/>
                <w:sz w:val="22"/>
                <w:szCs w:val="22"/>
              </w:rPr>
              <w:t>de los usuarios</w:t>
            </w:r>
          </w:p>
          <w:p w14:paraId="0E3F48FB" w14:textId="77777777" w:rsidR="004C1803" w:rsidRPr="00577FAF" w:rsidRDefault="00CB6A57">
            <w:pPr>
              <w:spacing w:after="120"/>
              <w:ind w:left="709" w:hanging="709"/>
              <w:rPr>
                <w:rFonts w:ascii="Arial" w:hAnsi="Arial" w:cs="Arial"/>
                <w:sz w:val="22"/>
                <w:szCs w:val="22"/>
              </w:rPr>
            </w:pPr>
            <w:r w:rsidRPr="00577FAF">
              <w:rPr>
                <w:rFonts w:ascii="Arial" w:hAnsi="Arial" w:cs="Arial"/>
                <w:sz w:val="22"/>
                <w:szCs w:val="22"/>
              </w:rPr>
              <w:t>El Consejo Ejecutivo,</w:t>
            </w:r>
          </w:p>
          <w:p w14:paraId="2CDF8DA4" w14:textId="77777777" w:rsidR="003A60E3" w:rsidRPr="00577FAF" w:rsidRDefault="00CB6A57">
            <w:pPr>
              <w:spacing w:after="120"/>
              <w:ind w:left="709" w:hanging="709"/>
              <w:jc w:val="center"/>
              <w:rPr>
                <w:rFonts w:ascii="Arial" w:hAnsi="Arial" w:cs="Arial"/>
                <w:b/>
                <w:bCs/>
                <w:sz w:val="22"/>
                <w:szCs w:val="22"/>
              </w:rPr>
            </w:pPr>
            <w:r w:rsidRPr="00577FAF">
              <w:rPr>
                <w:rFonts w:ascii="Arial" w:hAnsi="Arial" w:cs="Arial"/>
                <w:b/>
                <w:bCs/>
                <w:sz w:val="22"/>
                <w:szCs w:val="22"/>
              </w:rPr>
              <w:t>I. Examen trienal de las necesidades de los usuarios</w:t>
            </w:r>
          </w:p>
          <w:p w14:paraId="174998DC" w14:textId="7E0145DE" w:rsidR="004C1803" w:rsidRPr="00577FAF" w:rsidRDefault="00CB6A57" w:rsidP="00745C10">
            <w:pPr>
              <w:keepNext/>
              <w:numPr>
                <w:ilvl w:val="0"/>
                <w:numId w:val="24"/>
              </w:numPr>
              <w:spacing w:after="120"/>
              <w:ind w:left="567" w:hanging="567"/>
              <w:jc w:val="both"/>
              <w:rPr>
                <w:rFonts w:ascii="Arial" w:hAnsi="Arial" w:cs="Arial"/>
                <w:sz w:val="22"/>
                <w:szCs w:val="22"/>
              </w:rPr>
            </w:pPr>
            <w:r w:rsidRPr="00577FAF">
              <w:rPr>
                <w:rFonts w:ascii="Arial" w:hAnsi="Arial" w:cs="Arial"/>
                <w:sz w:val="22"/>
                <w:szCs w:val="22"/>
                <w:u w:val="single"/>
              </w:rPr>
              <w:t>Recordando</w:t>
            </w:r>
            <w:r w:rsidRPr="00577FAF">
              <w:rPr>
                <w:rFonts w:ascii="Arial" w:hAnsi="Arial" w:cs="Arial"/>
                <w:sz w:val="22"/>
                <w:szCs w:val="22"/>
              </w:rPr>
              <w:t xml:space="preserve"> la decisión IOC</w:t>
            </w:r>
            <w:r w:rsidR="001B03F2" w:rsidRPr="00577FAF">
              <w:rPr>
                <w:rFonts w:ascii="Arial" w:hAnsi="Arial" w:cs="Arial"/>
                <w:sz w:val="22"/>
                <w:szCs w:val="22"/>
              </w:rPr>
              <w:t>/A</w:t>
            </w:r>
            <w:r w:rsidRPr="00577FAF">
              <w:rPr>
                <w:rFonts w:ascii="Arial" w:hAnsi="Arial" w:cs="Arial"/>
                <w:sz w:val="22"/>
                <w:szCs w:val="22"/>
              </w:rPr>
              <w:t>-32/3.5.1, en la que, entre otras cosas, se dispuso la realización cada dos años del examen de las necesidades de los usuarios y las posibles contribuciones al GEBCO,</w:t>
            </w:r>
          </w:p>
          <w:p w14:paraId="7D79DFF3" w14:textId="77777777" w:rsidR="004C1803" w:rsidRPr="00577FAF" w:rsidRDefault="00CB6A57" w:rsidP="00745C10">
            <w:pPr>
              <w:keepNext/>
              <w:numPr>
                <w:ilvl w:val="0"/>
                <w:numId w:val="24"/>
              </w:numPr>
              <w:spacing w:after="120"/>
              <w:ind w:left="567" w:hanging="567"/>
              <w:jc w:val="both"/>
              <w:rPr>
                <w:rFonts w:ascii="Arial" w:hAnsi="Arial" w:cs="Arial"/>
                <w:sz w:val="22"/>
                <w:szCs w:val="22"/>
              </w:rPr>
            </w:pPr>
            <w:r w:rsidRPr="00577FAF">
              <w:rPr>
                <w:rFonts w:ascii="Arial" w:hAnsi="Arial" w:cs="Arial"/>
                <w:sz w:val="22"/>
                <w:szCs w:val="22"/>
                <w:u w:val="single"/>
              </w:rPr>
              <w:t>Habiendo examinado</w:t>
            </w:r>
            <w:r w:rsidRPr="00577FAF">
              <w:rPr>
                <w:rFonts w:ascii="Arial" w:hAnsi="Arial" w:cs="Arial"/>
                <w:sz w:val="22"/>
                <w:szCs w:val="22"/>
              </w:rPr>
              <w:t xml:space="preserve"> el informe del Grupo de Trabajo sobre las Necesidades de los Usuarios y las Contribuciones a los Productos del GEBCO, que figura en el documento IOC/EC-57/4.4.Doc(2),</w:t>
            </w:r>
          </w:p>
          <w:p w14:paraId="479157AD" w14:textId="77777777" w:rsidR="004C1803" w:rsidRPr="00577FAF" w:rsidRDefault="00CB6A57" w:rsidP="00745C10">
            <w:pPr>
              <w:keepNext/>
              <w:numPr>
                <w:ilvl w:val="0"/>
                <w:numId w:val="24"/>
              </w:numPr>
              <w:spacing w:after="120"/>
              <w:ind w:left="567" w:hanging="567"/>
              <w:jc w:val="both"/>
              <w:rPr>
                <w:rFonts w:ascii="Arial" w:hAnsi="Arial" w:cs="Arial"/>
                <w:sz w:val="22"/>
                <w:szCs w:val="22"/>
              </w:rPr>
            </w:pPr>
            <w:r w:rsidRPr="00577FAF">
              <w:rPr>
                <w:rFonts w:ascii="Arial" w:hAnsi="Arial" w:cs="Arial"/>
                <w:sz w:val="22"/>
                <w:szCs w:val="22"/>
                <w:u w:val="single"/>
              </w:rPr>
              <w:t>Reconociendo</w:t>
            </w:r>
            <w:r w:rsidRPr="00577FAF">
              <w:rPr>
                <w:rFonts w:ascii="Arial" w:hAnsi="Arial" w:cs="Arial"/>
                <w:sz w:val="22"/>
                <w:szCs w:val="22"/>
              </w:rPr>
              <w:t xml:space="preserve"> que la comunidad científica de la COI sigue necesitando productos batimétricos y que el acceso a una batimetría de alta calidad es importante no solo para la </w:t>
            </w:r>
            <w:r w:rsidRPr="00577FAF">
              <w:rPr>
                <w:rFonts w:ascii="Arial" w:hAnsi="Arial" w:cs="Arial"/>
                <w:sz w:val="22"/>
                <w:szCs w:val="22"/>
              </w:rPr>
              <w:lastRenderedPageBreak/>
              <w:t>navegación, sino también para otros fines, como las ciencias oceánicas, la alerta y la preparación frente a los tsunamis y la modelización del clima,</w:t>
            </w:r>
          </w:p>
          <w:p w14:paraId="2DDD5EFE" w14:textId="77777777" w:rsidR="004C1803" w:rsidRPr="00577FAF" w:rsidRDefault="00CB6A57" w:rsidP="00745C10">
            <w:pPr>
              <w:keepNext/>
              <w:numPr>
                <w:ilvl w:val="0"/>
                <w:numId w:val="24"/>
              </w:numPr>
              <w:spacing w:after="120"/>
              <w:ind w:left="567" w:hanging="567"/>
              <w:jc w:val="both"/>
              <w:rPr>
                <w:rFonts w:ascii="Arial" w:hAnsi="Arial" w:cs="Arial"/>
                <w:sz w:val="22"/>
                <w:szCs w:val="22"/>
              </w:rPr>
            </w:pPr>
            <w:r w:rsidRPr="00577FAF">
              <w:rPr>
                <w:rFonts w:ascii="Arial" w:hAnsi="Arial" w:cs="Arial"/>
                <w:sz w:val="22"/>
                <w:szCs w:val="22"/>
                <w:u w:val="single"/>
              </w:rPr>
              <w:t>Observando</w:t>
            </w:r>
            <w:r w:rsidRPr="00577FAF">
              <w:rPr>
                <w:rFonts w:ascii="Arial" w:hAnsi="Arial" w:cs="Arial"/>
                <w:sz w:val="22"/>
                <w:szCs w:val="22"/>
              </w:rPr>
              <w:t xml:space="preserve"> que los sectores científico y comercial recopilan volúmenes significativos de datos batimétricos para fines distintos de la mejora de los mapas, pero que no son fáciles de descubrir ni están disponibles para fines secundarios,</w:t>
            </w:r>
          </w:p>
          <w:p w14:paraId="2091F344" w14:textId="77777777" w:rsidR="004C1803" w:rsidRPr="00577FAF" w:rsidRDefault="00CB6A57" w:rsidP="00745C10">
            <w:pPr>
              <w:keepNext/>
              <w:numPr>
                <w:ilvl w:val="0"/>
                <w:numId w:val="24"/>
              </w:numPr>
              <w:spacing w:after="120"/>
              <w:ind w:left="567" w:hanging="567"/>
              <w:jc w:val="both"/>
              <w:rPr>
                <w:rFonts w:ascii="Arial" w:hAnsi="Arial" w:cs="Arial"/>
                <w:sz w:val="22"/>
                <w:szCs w:val="22"/>
              </w:rPr>
            </w:pPr>
            <w:r w:rsidRPr="00577FAF">
              <w:rPr>
                <w:rFonts w:ascii="Arial" w:hAnsi="Arial" w:cs="Arial"/>
                <w:sz w:val="22"/>
                <w:szCs w:val="22"/>
                <w:u w:val="single"/>
              </w:rPr>
              <w:t>Toma nota</w:t>
            </w:r>
            <w:r w:rsidRPr="00577FAF">
              <w:rPr>
                <w:rFonts w:ascii="Arial" w:hAnsi="Arial" w:cs="Arial"/>
                <w:sz w:val="22"/>
                <w:szCs w:val="22"/>
              </w:rPr>
              <w:t xml:space="preserve"> de las conclusiones del Grupo de Trabajo, que figuran en el documento IOC/EC-57/4.4.Doc(2);</w:t>
            </w:r>
          </w:p>
          <w:p w14:paraId="1A2E4C00" w14:textId="77777777" w:rsidR="004C1803" w:rsidRPr="00577FAF" w:rsidRDefault="00CB6A57" w:rsidP="00745C10">
            <w:pPr>
              <w:keepNext/>
              <w:numPr>
                <w:ilvl w:val="0"/>
                <w:numId w:val="24"/>
              </w:numPr>
              <w:spacing w:after="120"/>
              <w:ind w:left="567" w:hanging="567"/>
              <w:jc w:val="both"/>
              <w:rPr>
                <w:rFonts w:ascii="Arial" w:hAnsi="Arial" w:cs="Arial"/>
                <w:sz w:val="22"/>
                <w:szCs w:val="22"/>
              </w:rPr>
            </w:pPr>
            <w:r w:rsidRPr="00577FAF">
              <w:rPr>
                <w:rFonts w:ascii="Arial" w:hAnsi="Arial" w:cs="Arial"/>
                <w:sz w:val="22"/>
                <w:szCs w:val="22"/>
                <w:u w:val="single"/>
              </w:rPr>
              <w:t>Pide</w:t>
            </w:r>
            <w:r w:rsidRPr="00577FAF">
              <w:rPr>
                <w:rFonts w:ascii="Arial" w:hAnsi="Arial" w:cs="Arial"/>
                <w:sz w:val="22"/>
                <w:szCs w:val="22"/>
              </w:rPr>
              <w:t xml:space="preserve"> al Secretario Ejecutivo que:</w:t>
            </w:r>
          </w:p>
          <w:p w14:paraId="7D265CBC" w14:textId="189BE9D8" w:rsidR="004C1803" w:rsidRPr="00577FAF" w:rsidRDefault="00CB6A57" w:rsidP="00745C10">
            <w:pPr>
              <w:numPr>
                <w:ilvl w:val="1"/>
                <w:numId w:val="28"/>
              </w:numPr>
              <w:spacing w:after="120"/>
              <w:ind w:left="992" w:hanging="425"/>
              <w:jc w:val="both"/>
              <w:rPr>
                <w:rFonts w:ascii="Arial" w:hAnsi="Arial" w:cs="Arial"/>
                <w:sz w:val="22"/>
                <w:szCs w:val="22"/>
              </w:rPr>
            </w:pPr>
            <w:r w:rsidRPr="00577FAF">
              <w:rPr>
                <w:rFonts w:ascii="Arial" w:hAnsi="Arial" w:cs="Arial"/>
                <w:sz w:val="22"/>
                <w:szCs w:val="22"/>
              </w:rPr>
              <w:t>comunique la conclusión de este examen a la Organización Hidrográfica Internacional (OHI) y al Comité de Orientación sobre el GEBCO;</w:t>
            </w:r>
          </w:p>
          <w:p w14:paraId="43C0961A" w14:textId="4F476B45" w:rsidR="004C1803" w:rsidRPr="00577FAF" w:rsidRDefault="00CB6A57" w:rsidP="00745C10">
            <w:pPr>
              <w:numPr>
                <w:ilvl w:val="1"/>
                <w:numId w:val="28"/>
              </w:numPr>
              <w:spacing w:after="120"/>
              <w:ind w:left="992" w:hanging="425"/>
              <w:jc w:val="both"/>
              <w:rPr>
                <w:rFonts w:ascii="Arial" w:hAnsi="Arial" w:cs="Arial"/>
                <w:sz w:val="22"/>
                <w:szCs w:val="22"/>
              </w:rPr>
            </w:pPr>
            <w:r w:rsidRPr="00577FAF">
              <w:rPr>
                <w:rFonts w:ascii="Arial" w:hAnsi="Arial" w:cs="Arial"/>
                <w:sz w:val="22"/>
                <w:szCs w:val="22"/>
              </w:rPr>
              <w:t>busque formas de aumentar la participación de los encuestados, especialmente los que representan los intereses de los programas de la COI, así como de los órganos subsidiarios regionales, en las futuras evaluaciones que realice el Grupo de Trabajo;</w:t>
            </w:r>
          </w:p>
          <w:p w14:paraId="4E4B3C62" w14:textId="01EB0F4F" w:rsidR="004C1803" w:rsidRPr="00577FAF" w:rsidRDefault="00CB6A57" w:rsidP="00745C10">
            <w:pPr>
              <w:numPr>
                <w:ilvl w:val="1"/>
                <w:numId w:val="28"/>
              </w:numPr>
              <w:spacing w:after="120"/>
              <w:ind w:left="992" w:hanging="425"/>
              <w:jc w:val="both"/>
              <w:rPr>
                <w:rFonts w:ascii="Arial" w:hAnsi="Arial" w:cs="Arial"/>
                <w:sz w:val="22"/>
                <w:szCs w:val="22"/>
              </w:rPr>
            </w:pPr>
            <w:r w:rsidRPr="00577FAF">
              <w:rPr>
                <w:rFonts w:ascii="Arial" w:hAnsi="Arial" w:cs="Arial"/>
                <w:sz w:val="22"/>
                <w:szCs w:val="22"/>
              </w:rPr>
              <w:t>transmita los resultados del examen a las comunidades de la COI pertinentes;</w:t>
            </w:r>
          </w:p>
          <w:p w14:paraId="37586CBE" w14:textId="77777777" w:rsidR="004C1803" w:rsidRPr="00577FAF" w:rsidRDefault="00CB6A57" w:rsidP="00745C10">
            <w:pPr>
              <w:keepNext/>
              <w:numPr>
                <w:ilvl w:val="0"/>
                <w:numId w:val="24"/>
              </w:numPr>
              <w:spacing w:after="120"/>
              <w:ind w:left="567" w:hanging="567"/>
              <w:jc w:val="both"/>
              <w:rPr>
                <w:rFonts w:ascii="Arial" w:hAnsi="Arial" w:cs="Arial"/>
                <w:sz w:val="22"/>
                <w:szCs w:val="22"/>
              </w:rPr>
            </w:pPr>
            <w:r w:rsidRPr="00577FAF">
              <w:rPr>
                <w:rFonts w:ascii="Arial" w:hAnsi="Arial" w:cs="Arial"/>
                <w:sz w:val="22"/>
                <w:szCs w:val="22"/>
                <w:u w:val="single"/>
              </w:rPr>
              <w:t>Decide</w:t>
            </w:r>
            <w:r w:rsidRPr="00577FAF">
              <w:rPr>
                <w:rFonts w:ascii="Arial" w:hAnsi="Arial" w:cs="Arial"/>
                <w:sz w:val="22"/>
                <w:szCs w:val="22"/>
              </w:rPr>
              <w:t xml:space="preserve"> llevar a cabo el próximo examen de las necesidades de los usuarios y las posibles contribuciones al GEBCO, cuya próxima evaluación se presentará a la Asamblea de la COI en 2027;</w:t>
            </w:r>
          </w:p>
          <w:p w14:paraId="56509980" w14:textId="77777777" w:rsidR="004C1803" w:rsidRPr="00577FAF" w:rsidRDefault="00CB6A57" w:rsidP="00745C10">
            <w:pPr>
              <w:keepNext/>
              <w:numPr>
                <w:ilvl w:val="0"/>
                <w:numId w:val="24"/>
              </w:numPr>
              <w:spacing w:after="120"/>
              <w:ind w:left="567" w:hanging="567"/>
              <w:jc w:val="both"/>
              <w:rPr>
                <w:rFonts w:ascii="Arial" w:hAnsi="Arial" w:cs="Arial"/>
                <w:sz w:val="22"/>
                <w:szCs w:val="22"/>
              </w:rPr>
            </w:pPr>
            <w:r w:rsidRPr="00577FAF">
              <w:rPr>
                <w:rFonts w:ascii="Arial" w:hAnsi="Arial" w:cs="Arial"/>
                <w:sz w:val="22"/>
                <w:szCs w:val="22"/>
                <w:u w:val="single"/>
              </w:rPr>
              <w:t>Alienta</w:t>
            </w:r>
            <w:r w:rsidRPr="00577FAF">
              <w:rPr>
                <w:rFonts w:ascii="Arial" w:hAnsi="Arial" w:cs="Arial"/>
                <w:sz w:val="22"/>
                <w:szCs w:val="22"/>
              </w:rPr>
              <w:t xml:space="preserve"> a los Estados Miembros a que:</w:t>
            </w:r>
          </w:p>
          <w:p w14:paraId="6D1DB397" w14:textId="77777777" w:rsidR="004C1803" w:rsidRPr="00577FAF" w:rsidRDefault="00CB6A57" w:rsidP="00745C10">
            <w:pPr>
              <w:numPr>
                <w:ilvl w:val="0"/>
                <w:numId w:val="29"/>
              </w:numPr>
              <w:spacing w:after="120"/>
              <w:ind w:left="992" w:hanging="425"/>
              <w:jc w:val="both"/>
              <w:rPr>
                <w:rFonts w:ascii="Arial" w:hAnsi="Arial" w:cs="Arial"/>
                <w:sz w:val="22"/>
                <w:szCs w:val="22"/>
              </w:rPr>
            </w:pPr>
            <w:r w:rsidRPr="00577FAF">
              <w:rPr>
                <w:rFonts w:ascii="Arial" w:hAnsi="Arial" w:cs="Arial"/>
                <w:sz w:val="22"/>
                <w:szCs w:val="22"/>
              </w:rPr>
              <w:t xml:space="preserve">cooperen para promover campañas de cartografía a escala de cuenca y acelerar el cumplimiento de los objetivos del GEBCO y el conocimiento general del océano, en particular prestando apoyo y contribuyendo al proyecto </w:t>
            </w:r>
            <w:proofErr w:type="spellStart"/>
            <w:r w:rsidRPr="00577FAF">
              <w:rPr>
                <w:rFonts w:ascii="Arial" w:hAnsi="Arial" w:cs="Arial"/>
                <w:sz w:val="22"/>
                <w:szCs w:val="22"/>
              </w:rPr>
              <w:t>Seabed</w:t>
            </w:r>
            <w:proofErr w:type="spellEnd"/>
            <w:r w:rsidRPr="00577FAF">
              <w:rPr>
                <w:rFonts w:ascii="Arial" w:hAnsi="Arial" w:cs="Arial"/>
                <w:sz w:val="22"/>
                <w:szCs w:val="22"/>
              </w:rPr>
              <w:t xml:space="preserve"> 2030 de la </w:t>
            </w:r>
            <w:proofErr w:type="spellStart"/>
            <w:r w:rsidRPr="00577FAF">
              <w:rPr>
                <w:rFonts w:ascii="Arial" w:hAnsi="Arial" w:cs="Arial"/>
                <w:sz w:val="22"/>
                <w:szCs w:val="22"/>
              </w:rPr>
              <w:t>Nippon</w:t>
            </w:r>
            <w:proofErr w:type="spellEnd"/>
            <w:r w:rsidRPr="00577FAF">
              <w:rPr>
                <w:rFonts w:ascii="Arial" w:hAnsi="Arial" w:cs="Arial"/>
                <w:sz w:val="22"/>
                <w:szCs w:val="22"/>
              </w:rPr>
              <w:t xml:space="preserve"> </w:t>
            </w:r>
            <w:proofErr w:type="spellStart"/>
            <w:r w:rsidRPr="00577FAF">
              <w:rPr>
                <w:rFonts w:ascii="Arial" w:hAnsi="Arial" w:cs="Arial"/>
                <w:sz w:val="22"/>
                <w:szCs w:val="22"/>
              </w:rPr>
              <w:t>Foundation</w:t>
            </w:r>
            <w:proofErr w:type="spellEnd"/>
            <w:r w:rsidRPr="00577FAF">
              <w:rPr>
                <w:rFonts w:ascii="Arial" w:hAnsi="Arial" w:cs="Arial"/>
                <w:sz w:val="22"/>
                <w:szCs w:val="22"/>
              </w:rPr>
              <w:t xml:space="preserve"> y el GEBCO;</w:t>
            </w:r>
          </w:p>
          <w:p w14:paraId="277F9DDF" w14:textId="77777777" w:rsidR="004C1803" w:rsidRPr="00577FAF" w:rsidRDefault="00CB6A57" w:rsidP="00745C10">
            <w:pPr>
              <w:numPr>
                <w:ilvl w:val="0"/>
                <w:numId w:val="29"/>
              </w:numPr>
              <w:spacing w:after="120"/>
              <w:ind w:left="992" w:hanging="425"/>
              <w:jc w:val="both"/>
              <w:rPr>
                <w:rFonts w:ascii="Arial" w:hAnsi="Arial" w:cs="Arial"/>
                <w:sz w:val="22"/>
                <w:szCs w:val="22"/>
              </w:rPr>
            </w:pPr>
            <w:r w:rsidRPr="00577FAF">
              <w:rPr>
                <w:rFonts w:ascii="Arial" w:hAnsi="Arial" w:cs="Arial"/>
                <w:sz w:val="22"/>
                <w:szCs w:val="22"/>
              </w:rPr>
              <w:t>faciliten el desarrollo de capacidades en relación con el GEBCO, en particular las oportunidades de formación; y</w:t>
            </w:r>
          </w:p>
          <w:p w14:paraId="65D82AC8" w14:textId="77777777" w:rsidR="004C1803" w:rsidRPr="00577FAF" w:rsidRDefault="00CB6A57" w:rsidP="00745C10">
            <w:pPr>
              <w:numPr>
                <w:ilvl w:val="0"/>
                <w:numId w:val="29"/>
              </w:numPr>
              <w:spacing w:after="120"/>
              <w:ind w:left="992" w:hanging="425"/>
              <w:jc w:val="both"/>
              <w:rPr>
                <w:rFonts w:ascii="Arial" w:hAnsi="Arial" w:cs="Arial"/>
                <w:sz w:val="22"/>
                <w:szCs w:val="22"/>
              </w:rPr>
            </w:pPr>
            <w:r w:rsidRPr="00577FAF">
              <w:rPr>
                <w:rFonts w:ascii="Arial" w:hAnsi="Arial" w:cs="Arial"/>
                <w:sz w:val="22"/>
                <w:szCs w:val="22"/>
              </w:rPr>
              <w:t>participen activamente en la próxima evaluación, que llevará a cabo el Grupo de Trabajo;</w:t>
            </w:r>
          </w:p>
          <w:p w14:paraId="30EE3265" w14:textId="0E8C6758" w:rsidR="003A60E3" w:rsidRPr="00577FAF" w:rsidRDefault="00CB6A57" w:rsidP="00745C10">
            <w:pPr>
              <w:tabs>
                <w:tab w:val="left" w:pos="709"/>
                <w:tab w:val="left" w:pos="1276"/>
              </w:tabs>
              <w:spacing w:before="120" w:after="240"/>
              <w:jc w:val="center"/>
              <w:rPr>
                <w:rFonts w:ascii="Arial" w:hAnsi="Arial" w:cs="Arial"/>
                <w:b/>
                <w:bCs/>
                <w:sz w:val="22"/>
                <w:szCs w:val="22"/>
              </w:rPr>
            </w:pPr>
            <w:r w:rsidRPr="00577FAF">
              <w:rPr>
                <w:rFonts w:ascii="Arial" w:hAnsi="Arial" w:cs="Arial"/>
                <w:b/>
                <w:bCs/>
                <w:sz w:val="22"/>
                <w:szCs w:val="22"/>
              </w:rPr>
              <w:t>II. Examen de la gobernanza</w:t>
            </w:r>
            <w:r w:rsidR="000502D8" w:rsidRPr="00577FAF">
              <w:rPr>
                <w:rFonts w:ascii="Arial" w:hAnsi="Arial" w:cs="Arial"/>
                <w:b/>
                <w:bCs/>
                <w:sz w:val="22"/>
                <w:szCs w:val="22"/>
              </w:rPr>
              <w:t xml:space="preserve"> y estrategia</w:t>
            </w:r>
            <w:r w:rsidRPr="00577FAF">
              <w:rPr>
                <w:rFonts w:ascii="Arial" w:hAnsi="Arial" w:cs="Arial"/>
                <w:b/>
                <w:bCs/>
                <w:sz w:val="22"/>
                <w:szCs w:val="22"/>
              </w:rPr>
              <w:t xml:space="preserve"> de</w:t>
            </w:r>
            <w:r w:rsidR="001B03F2" w:rsidRPr="00577FAF">
              <w:rPr>
                <w:rFonts w:ascii="Arial" w:hAnsi="Arial" w:cs="Arial"/>
                <w:b/>
                <w:bCs/>
                <w:sz w:val="22"/>
                <w:szCs w:val="22"/>
              </w:rPr>
              <w:t>l</w:t>
            </w:r>
            <w:r w:rsidRPr="00577FAF">
              <w:rPr>
                <w:rFonts w:ascii="Arial" w:hAnsi="Arial" w:cs="Arial"/>
                <w:b/>
                <w:bCs/>
                <w:sz w:val="22"/>
                <w:szCs w:val="22"/>
              </w:rPr>
              <w:t xml:space="preserve"> GEBCO</w:t>
            </w:r>
            <w:r w:rsidR="001B03F2" w:rsidRPr="00577FAF">
              <w:rPr>
                <w:rFonts w:ascii="Arial" w:hAnsi="Arial" w:cs="Arial"/>
                <w:b/>
                <w:bCs/>
                <w:sz w:val="22"/>
                <w:szCs w:val="22"/>
              </w:rPr>
              <w:t xml:space="preserve"> </w:t>
            </w:r>
          </w:p>
          <w:p w14:paraId="3D100A35" w14:textId="77777777" w:rsidR="003A60E3" w:rsidRPr="00577FAF" w:rsidRDefault="00CB6A57" w:rsidP="00745C10">
            <w:pPr>
              <w:keepNext/>
              <w:numPr>
                <w:ilvl w:val="0"/>
                <w:numId w:val="24"/>
              </w:numPr>
              <w:spacing w:after="120"/>
              <w:ind w:left="567" w:hanging="567"/>
              <w:jc w:val="both"/>
              <w:rPr>
                <w:rFonts w:ascii="Arial" w:hAnsi="Arial" w:cs="Arial"/>
                <w:color w:val="000000"/>
                <w:sz w:val="22"/>
                <w:szCs w:val="22"/>
              </w:rPr>
            </w:pPr>
            <w:r w:rsidRPr="00577FAF">
              <w:rPr>
                <w:rFonts w:ascii="Arial" w:hAnsi="Arial" w:cs="Arial"/>
                <w:sz w:val="22"/>
                <w:szCs w:val="22"/>
                <w:u w:val="single"/>
              </w:rPr>
              <w:t>Recordando</w:t>
            </w:r>
            <w:r w:rsidRPr="00577FAF">
              <w:rPr>
                <w:rFonts w:ascii="Arial" w:hAnsi="Arial" w:cs="Arial"/>
                <w:sz w:val="22"/>
                <w:szCs w:val="22"/>
              </w:rPr>
              <w:t xml:space="preserve"> la decisión A-32/4.1 de la COI,</w:t>
            </w:r>
          </w:p>
          <w:p w14:paraId="2B6471F7" w14:textId="77777777" w:rsidR="003A60E3" w:rsidRPr="00577FAF" w:rsidRDefault="00CB6A57" w:rsidP="00745C10">
            <w:pPr>
              <w:keepNext/>
              <w:numPr>
                <w:ilvl w:val="0"/>
                <w:numId w:val="24"/>
              </w:numPr>
              <w:spacing w:after="120"/>
              <w:ind w:left="567" w:hanging="567"/>
              <w:jc w:val="both"/>
              <w:rPr>
                <w:rFonts w:ascii="Arial" w:hAnsi="Arial" w:cs="Arial"/>
                <w:color w:val="000000"/>
                <w:sz w:val="22"/>
                <w:szCs w:val="22"/>
              </w:rPr>
            </w:pPr>
            <w:r w:rsidRPr="00577FAF">
              <w:rPr>
                <w:rFonts w:ascii="Arial" w:hAnsi="Arial" w:cs="Arial"/>
                <w:sz w:val="22"/>
                <w:szCs w:val="22"/>
                <w:u w:val="single"/>
              </w:rPr>
              <w:t>Habiendo examinado</w:t>
            </w:r>
            <w:r w:rsidRPr="00577FAF">
              <w:rPr>
                <w:rFonts w:ascii="Arial" w:hAnsi="Arial" w:cs="Arial"/>
                <w:sz w:val="22"/>
                <w:szCs w:val="22"/>
              </w:rPr>
              <w:t xml:space="preserve"> el documento IOC/EC-57/4.4.Doc(1), en el que figuran el informe y las recomendaciones del Equipo del Proyecto de Examen de la Gobernanza del GEBCO (2024), y el documento IOC/INF-1538, en el que se presenta la nueva Estrategia del GEBCO,</w:t>
            </w:r>
          </w:p>
          <w:p w14:paraId="4774DAFC" w14:textId="77777777" w:rsidR="003A60E3" w:rsidRPr="00577FAF" w:rsidRDefault="00CB6A57" w:rsidP="00745C10">
            <w:pPr>
              <w:keepNext/>
              <w:numPr>
                <w:ilvl w:val="0"/>
                <w:numId w:val="24"/>
              </w:numPr>
              <w:spacing w:after="120"/>
              <w:ind w:left="567" w:hanging="567"/>
              <w:jc w:val="both"/>
              <w:rPr>
                <w:rFonts w:ascii="Arial" w:hAnsi="Arial" w:cs="Arial"/>
                <w:color w:val="000000"/>
                <w:sz w:val="22"/>
                <w:szCs w:val="22"/>
              </w:rPr>
            </w:pPr>
            <w:r w:rsidRPr="00577FAF">
              <w:rPr>
                <w:rFonts w:ascii="Arial" w:hAnsi="Arial" w:cs="Arial"/>
                <w:sz w:val="22"/>
                <w:szCs w:val="22"/>
                <w:u w:val="single"/>
              </w:rPr>
              <w:t>Toma nota</w:t>
            </w:r>
            <w:r w:rsidRPr="00577FAF">
              <w:rPr>
                <w:rFonts w:ascii="Arial" w:hAnsi="Arial" w:cs="Arial"/>
                <w:sz w:val="22"/>
                <w:szCs w:val="22"/>
              </w:rPr>
              <w:t xml:space="preserve"> del informe y de sus recomendaciones, así como de la Estrategia del GEBCO;</w:t>
            </w:r>
          </w:p>
          <w:p w14:paraId="6901CF9C" w14:textId="142A4DFF" w:rsidR="003A60E3" w:rsidRPr="00577FAF" w:rsidRDefault="00CB6A57" w:rsidP="00745C10">
            <w:pPr>
              <w:keepNext/>
              <w:numPr>
                <w:ilvl w:val="0"/>
                <w:numId w:val="24"/>
              </w:numPr>
              <w:spacing w:after="120"/>
              <w:ind w:left="567" w:hanging="567"/>
              <w:jc w:val="both"/>
              <w:rPr>
                <w:rFonts w:ascii="Arial" w:hAnsi="Arial" w:cs="Arial"/>
                <w:sz w:val="22"/>
                <w:szCs w:val="22"/>
              </w:rPr>
            </w:pPr>
            <w:r w:rsidRPr="00577FAF">
              <w:rPr>
                <w:rFonts w:ascii="Arial" w:hAnsi="Arial" w:cs="Arial"/>
                <w:sz w:val="22"/>
                <w:szCs w:val="22"/>
                <w:u w:val="single"/>
              </w:rPr>
              <w:t>Pide</w:t>
            </w:r>
            <w:r w:rsidRPr="00577FAF">
              <w:rPr>
                <w:rFonts w:ascii="Arial" w:hAnsi="Arial" w:cs="Arial"/>
                <w:sz w:val="22"/>
                <w:szCs w:val="22"/>
              </w:rPr>
              <w:t xml:space="preserve"> al Comité de Orientación sobre el GEBCO que</w:t>
            </w:r>
            <w:r w:rsidR="001B03F2" w:rsidRPr="00577FAF">
              <w:rPr>
                <w:rFonts w:ascii="Arial" w:hAnsi="Arial" w:cs="Arial"/>
                <w:sz w:val="22"/>
                <w:szCs w:val="22"/>
              </w:rPr>
              <w:t xml:space="preserve"> examine las recomendaciones y</w:t>
            </w:r>
            <w:r w:rsidRPr="00577FAF">
              <w:rPr>
                <w:rFonts w:ascii="Arial" w:hAnsi="Arial" w:cs="Arial"/>
                <w:sz w:val="22"/>
                <w:szCs w:val="22"/>
              </w:rPr>
              <w:t xml:space="preserve"> elabore un plan de </w:t>
            </w:r>
            <w:r w:rsidR="001B03F2" w:rsidRPr="00577FAF">
              <w:rPr>
                <w:rFonts w:ascii="Arial" w:hAnsi="Arial" w:cs="Arial"/>
                <w:sz w:val="22"/>
                <w:szCs w:val="22"/>
              </w:rPr>
              <w:t xml:space="preserve">aplicación </w:t>
            </w:r>
            <w:r w:rsidRPr="00577FAF">
              <w:rPr>
                <w:rFonts w:ascii="Arial" w:hAnsi="Arial" w:cs="Arial"/>
                <w:sz w:val="22"/>
                <w:szCs w:val="22"/>
              </w:rPr>
              <w:t xml:space="preserve">para </w:t>
            </w:r>
            <w:r w:rsidR="001B03F2" w:rsidRPr="00577FAF">
              <w:rPr>
                <w:rFonts w:ascii="Arial" w:hAnsi="Arial" w:cs="Arial"/>
                <w:sz w:val="22"/>
                <w:szCs w:val="22"/>
              </w:rPr>
              <w:t xml:space="preserve">dar curso a </w:t>
            </w:r>
            <w:r w:rsidRPr="00577FAF">
              <w:rPr>
                <w:rFonts w:ascii="Arial" w:hAnsi="Arial" w:cs="Arial"/>
                <w:sz w:val="22"/>
                <w:szCs w:val="22"/>
              </w:rPr>
              <w:t>las recomendaciones del examen de la gobernanza del GEBCO y que informe a los órganos rectores de la COI sobre los progresos realizados, en el marco del informe del Presidente del GEBCO a la Asamblea de la COI.</w:t>
            </w:r>
          </w:p>
        </w:tc>
      </w:tr>
    </w:tbl>
    <w:p w14:paraId="130CB648" w14:textId="77777777" w:rsidR="003A60E3" w:rsidRPr="00577FAF" w:rsidRDefault="003A60E3">
      <w:pPr>
        <w:pStyle w:val="Style2"/>
        <w:tabs>
          <w:tab w:val="clear" w:pos="1400"/>
          <w:tab w:val="left" w:pos="709"/>
        </w:tabs>
        <w:spacing w:after="0"/>
        <w:ind w:left="0"/>
        <w:rPr>
          <w:rFonts w:cs="Arial"/>
        </w:rPr>
      </w:pPr>
    </w:p>
    <w:p w14:paraId="69B99124" w14:textId="77777777" w:rsidR="003A60E3" w:rsidRPr="00577FAF" w:rsidRDefault="00CB6A57">
      <w:pPr>
        <w:pStyle w:val="Style2"/>
        <w:numPr>
          <w:ilvl w:val="0"/>
          <w:numId w:val="7"/>
        </w:numPr>
        <w:tabs>
          <w:tab w:val="left" w:pos="709"/>
        </w:tabs>
        <w:ind w:left="0" w:hanging="567"/>
        <w:rPr>
          <w:rFonts w:cs="Arial"/>
        </w:rPr>
      </w:pPr>
      <w:r w:rsidRPr="00577FAF">
        <w:rPr>
          <w:rFonts w:cs="Aria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0F01F9A2" w14:textId="77777777" w:rsidR="003A60E3" w:rsidRPr="00577FAF" w:rsidRDefault="00CB6A57">
      <w:pPr>
        <w:pStyle w:val="Heading2"/>
        <w:ind w:left="709" w:hanging="709"/>
        <w:rPr>
          <w:rFonts w:cs="Arial"/>
          <w:szCs w:val="22"/>
        </w:rPr>
      </w:pPr>
      <w:bookmarkStart w:id="157" w:name="_Toc168933431"/>
      <w:r w:rsidRPr="00577FAF">
        <w:rPr>
          <w:rFonts w:cs="Arial"/>
          <w:szCs w:val="22"/>
        </w:rPr>
        <w:lastRenderedPageBreak/>
        <w:t>4.5</w:t>
      </w:r>
      <w:r w:rsidRPr="00577FAF">
        <w:rPr>
          <w:rFonts w:cs="Arial"/>
          <w:szCs w:val="22"/>
        </w:rPr>
        <w:tab/>
        <w:t>INFORME DEL CONSEJO CONSULTIVO SOBRE LA SEGUNDA EDICIÓN DEL INFORME DE LA COI SOBRE EL ESTADO DEL OCÉANO [decisión A-32/4.2]</w:t>
      </w:r>
      <w:bookmarkEnd w:id="157"/>
    </w:p>
    <w:tbl>
      <w:tblPr>
        <w:tblW w:w="9747" w:type="dxa"/>
        <w:tblLayout w:type="fixed"/>
        <w:tblLook w:val="0000" w:firstRow="0" w:lastRow="0" w:firstColumn="0" w:lastColumn="0" w:noHBand="0" w:noVBand="0"/>
      </w:tblPr>
      <w:tblGrid>
        <w:gridCol w:w="2222"/>
        <w:gridCol w:w="2598"/>
        <w:gridCol w:w="4927"/>
      </w:tblGrid>
      <w:tr w:rsidR="003A60E3" w:rsidRPr="00577FAF" w14:paraId="5EAB6B27" w14:textId="77777777" w:rsidTr="001F0620">
        <w:tc>
          <w:tcPr>
            <w:tcW w:w="2222" w:type="dxa"/>
            <w:shd w:val="clear" w:color="auto" w:fill="FFFF99"/>
            <w:tcMar>
              <w:top w:w="57" w:type="dxa"/>
              <w:bottom w:w="57" w:type="dxa"/>
            </w:tcMar>
          </w:tcPr>
          <w:p w14:paraId="59D27060" w14:textId="77777777" w:rsidR="003A60E3" w:rsidRPr="00577FAF" w:rsidRDefault="00CB6A57">
            <w:pPr>
              <w:rPr>
                <w:rFonts w:ascii="Arial" w:hAnsi="Arial" w:cs="Arial"/>
                <w:i/>
                <w:color w:val="000000"/>
                <w:sz w:val="20"/>
                <w:szCs w:val="20"/>
                <w:u w:val="single"/>
              </w:rPr>
            </w:pPr>
            <w:r w:rsidRPr="00577FAF">
              <w:rPr>
                <w:rFonts w:ascii="Arial" w:hAnsi="Arial" w:cs="Arial"/>
                <w:i/>
                <w:iCs/>
                <w:sz w:val="20"/>
                <w:szCs w:val="20"/>
                <w:u w:val="single"/>
              </w:rPr>
              <w:t>Documento de trabajo</w:t>
            </w:r>
          </w:p>
        </w:tc>
        <w:tc>
          <w:tcPr>
            <w:tcW w:w="2598" w:type="dxa"/>
            <w:shd w:val="clear" w:color="auto" w:fill="FFFF99"/>
            <w:tcMar>
              <w:top w:w="57" w:type="dxa"/>
              <w:bottom w:w="57" w:type="dxa"/>
            </w:tcMar>
          </w:tcPr>
          <w:p w14:paraId="792DF960" w14:textId="77777777" w:rsidR="003A60E3" w:rsidRPr="00577FAF" w:rsidRDefault="00CB6A57">
            <w:pPr>
              <w:rPr>
                <w:rFonts w:ascii="Arial" w:hAnsi="Arial" w:cs="Arial"/>
                <w:color w:val="000000"/>
                <w:sz w:val="20"/>
                <w:szCs w:val="20"/>
              </w:rPr>
            </w:pPr>
            <w:r w:rsidRPr="00577FAF">
              <w:rPr>
                <w:rFonts w:ascii="Arial" w:hAnsi="Arial" w:cs="Arial"/>
                <w:sz w:val="20"/>
                <w:szCs w:val="20"/>
              </w:rPr>
              <w:t>IOC/EC-57/4.5.Doc(1)</w:t>
            </w:r>
            <w:r w:rsidR="004C1803" w:rsidRPr="00577FAF">
              <w:rPr>
                <w:rFonts w:ascii="Arial" w:hAnsi="Arial" w:cs="Arial"/>
                <w:sz w:val="20"/>
                <w:szCs w:val="20"/>
              </w:rPr>
              <w:t xml:space="preserve"> </w:t>
            </w:r>
          </w:p>
        </w:tc>
        <w:tc>
          <w:tcPr>
            <w:tcW w:w="4927" w:type="dxa"/>
            <w:shd w:val="clear" w:color="auto" w:fill="FFFF99"/>
            <w:tcMar>
              <w:top w:w="57" w:type="dxa"/>
              <w:bottom w:w="57" w:type="dxa"/>
            </w:tcMar>
          </w:tcPr>
          <w:p w14:paraId="73C4C44B" w14:textId="35FEDD92" w:rsidR="003A60E3" w:rsidRPr="00577FAF" w:rsidRDefault="00CB6A57">
            <w:pPr>
              <w:spacing w:after="60"/>
              <w:rPr>
                <w:rFonts w:ascii="Arial" w:hAnsi="Arial" w:cs="Arial"/>
                <w:color w:val="000000"/>
                <w:sz w:val="20"/>
                <w:szCs w:val="20"/>
              </w:rPr>
            </w:pPr>
            <w:r w:rsidRPr="00577FAF">
              <w:rPr>
                <w:rFonts w:ascii="Arial" w:hAnsi="Arial" w:cs="Arial"/>
                <w:sz w:val="20"/>
                <w:szCs w:val="20"/>
              </w:rPr>
              <w:t xml:space="preserve">Informe sobre la segunda edición del </w:t>
            </w:r>
            <w:r w:rsidRPr="00577FAF">
              <w:rPr>
                <w:rFonts w:ascii="Arial" w:hAnsi="Arial" w:cs="Arial"/>
                <w:i/>
                <w:iCs/>
                <w:sz w:val="20"/>
                <w:szCs w:val="20"/>
              </w:rPr>
              <w:t xml:space="preserve">Informe sobre el estado del océano </w:t>
            </w:r>
            <w:r w:rsidRPr="00577FAF">
              <w:rPr>
                <w:rFonts w:ascii="Arial" w:hAnsi="Arial" w:cs="Arial"/>
                <w:sz w:val="20"/>
                <w:szCs w:val="20"/>
              </w:rPr>
              <w:t>de la COI y orientaciones para futuras ediciones</w:t>
            </w:r>
          </w:p>
        </w:tc>
      </w:tr>
      <w:tr w:rsidR="003A60E3" w:rsidRPr="00EA695A" w14:paraId="6B5C979B" w14:textId="77777777" w:rsidTr="001F0620">
        <w:tc>
          <w:tcPr>
            <w:tcW w:w="2222" w:type="dxa"/>
            <w:shd w:val="clear" w:color="auto" w:fill="FBD4B4"/>
            <w:tcMar>
              <w:top w:w="57" w:type="dxa"/>
              <w:bottom w:w="57" w:type="dxa"/>
            </w:tcMar>
          </w:tcPr>
          <w:p w14:paraId="713AA563" w14:textId="77777777" w:rsidR="003A60E3" w:rsidRPr="00577FAF" w:rsidRDefault="00CB6A57">
            <w:pPr>
              <w:rPr>
                <w:rFonts w:ascii="Arial" w:hAnsi="Arial" w:cs="Arial"/>
                <w:i/>
                <w:color w:val="000000"/>
                <w:sz w:val="20"/>
                <w:szCs w:val="20"/>
                <w:u w:val="single"/>
              </w:rPr>
            </w:pPr>
            <w:r w:rsidRPr="00577FAF">
              <w:rPr>
                <w:rFonts w:ascii="Arial" w:hAnsi="Arial" w:cs="Arial"/>
                <w:i/>
                <w:iCs/>
                <w:sz w:val="20"/>
                <w:szCs w:val="20"/>
                <w:u w:val="single"/>
              </w:rPr>
              <w:t>Información</w:t>
            </w:r>
          </w:p>
        </w:tc>
        <w:tc>
          <w:tcPr>
            <w:tcW w:w="2598" w:type="dxa"/>
            <w:shd w:val="clear" w:color="auto" w:fill="auto"/>
            <w:tcMar>
              <w:top w:w="57" w:type="dxa"/>
              <w:bottom w:w="57" w:type="dxa"/>
            </w:tcMar>
          </w:tcPr>
          <w:p w14:paraId="71E7A838" w14:textId="0D86EAC8" w:rsidR="003A60E3" w:rsidRPr="00577FAF" w:rsidRDefault="00CB6A57">
            <w:pPr>
              <w:rPr>
                <w:rFonts w:ascii="Arial" w:hAnsi="Arial" w:cs="Arial"/>
                <w:color w:val="000000"/>
                <w:sz w:val="20"/>
                <w:szCs w:val="20"/>
              </w:rPr>
            </w:pPr>
            <w:r w:rsidRPr="00577FAF">
              <w:rPr>
                <w:rFonts w:ascii="Arial" w:hAnsi="Arial" w:cs="Arial"/>
                <w:sz w:val="20"/>
                <w:szCs w:val="20"/>
              </w:rPr>
              <w:t xml:space="preserve">IOC </w:t>
            </w:r>
            <w:proofErr w:type="spellStart"/>
            <w:r w:rsidRPr="00577FAF">
              <w:rPr>
                <w:rFonts w:ascii="Arial" w:hAnsi="Arial" w:cs="Arial"/>
                <w:sz w:val="20"/>
                <w:szCs w:val="20"/>
              </w:rPr>
              <w:t>Technical</w:t>
            </w:r>
            <w:proofErr w:type="spellEnd"/>
            <w:r w:rsidRPr="00577FAF">
              <w:rPr>
                <w:rFonts w:ascii="Arial" w:hAnsi="Arial" w:cs="Arial"/>
                <w:sz w:val="20"/>
                <w:szCs w:val="20"/>
              </w:rPr>
              <w:t xml:space="preserve"> Series, </w:t>
            </w:r>
            <w:r w:rsidR="007D1E99" w:rsidRPr="00577FAF">
              <w:rPr>
                <w:rFonts w:ascii="Arial" w:hAnsi="Arial" w:cs="Arial"/>
                <w:sz w:val="20"/>
                <w:szCs w:val="20"/>
              </w:rPr>
              <w:t>190</w:t>
            </w:r>
          </w:p>
        </w:tc>
        <w:tc>
          <w:tcPr>
            <w:tcW w:w="4927" w:type="dxa"/>
            <w:shd w:val="clear" w:color="auto" w:fill="auto"/>
            <w:tcMar>
              <w:top w:w="57" w:type="dxa"/>
              <w:bottom w:w="57" w:type="dxa"/>
            </w:tcMar>
          </w:tcPr>
          <w:p w14:paraId="5F2D63DA" w14:textId="77777777" w:rsidR="003A60E3" w:rsidRPr="00667A5C" w:rsidRDefault="00CB6A57">
            <w:pPr>
              <w:spacing w:after="60"/>
              <w:rPr>
                <w:rFonts w:ascii="Arial" w:hAnsi="Arial" w:cs="Arial"/>
                <w:color w:val="000000"/>
                <w:sz w:val="20"/>
                <w:szCs w:val="20"/>
                <w:lang w:val="en-US"/>
              </w:rPr>
            </w:pPr>
            <w:r w:rsidRPr="00667A5C">
              <w:rPr>
                <w:rFonts w:ascii="Arial" w:hAnsi="Arial" w:cs="Arial"/>
                <w:sz w:val="20"/>
                <w:szCs w:val="20"/>
                <w:lang w:val="en-US"/>
              </w:rPr>
              <w:t>Second edition of the IOC State of the Ocean Report (StOR)</w:t>
            </w:r>
          </w:p>
        </w:tc>
      </w:tr>
    </w:tbl>
    <w:p w14:paraId="5A310759" w14:textId="77777777" w:rsidR="003A60E3" w:rsidRPr="00667A5C" w:rsidRDefault="003A60E3">
      <w:pPr>
        <w:pStyle w:val="Marge"/>
        <w:spacing w:after="0"/>
        <w:rPr>
          <w:rFonts w:ascii="Arial" w:hAnsi="Arial" w:cs="Arial"/>
          <w:sz w:val="22"/>
          <w:szCs w:val="22"/>
          <w:lang w:val="en-US"/>
        </w:rPr>
      </w:pPr>
    </w:p>
    <w:p w14:paraId="25F3CCDB" w14:textId="59DD7DDF" w:rsidR="003A60E3" w:rsidRPr="00577FAF" w:rsidRDefault="00CB6A57">
      <w:pPr>
        <w:pStyle w:val="Style2"/>
        <w:numPr>
          <w:ilvl w:val="0"/>
          <w:numId w:val="7"/>
        </w:numPr>
        <w:tabs>
          <w:tab w:val="left" w:pos="709"/>
        </w:tabs>
        <w:ind w:left="0" w:hanging="567"/>
        <w:rPr>
          <w:rFonts w:cs="Arial"/>
        </w:rPr>
      </w:pPr>
      <w:r w:rsidRPr="00577FAF">
        <w:rPr>
          <w:rFonts w:cs="Arial"/>
        </w:rPr>
        <w:t xml:space="preserve">El Sr. Matthias </w:t>
      </w:r>
      <w:proofErr w:type="spellStart"/>
      <w:r w:rsidRPr="00577FAF">
        <w:rPr>
          <w:rFonts w:cs="Arial"/>
        </w:rPr>
        <w:t>Wun</w:t>
      </w:r>
      <w:r w:rsidR="007D1E99" w:rsidRPr="00577FAF">
        <w:rPr>
          <w:rFonts w:cs="Arial"/>
        </w:rPr>
        <w:t>s</w:t>
      </w:r>
      <w:r w:rsidRPr="00577FAF">
        <w:rPr>
          <w:rFonts w:cs="Arial"/>
        </w:rPr>
        <w:t>ch</w:t>
      </w:r>
      <w:proofErr w:type="spellEnd"/>
      <w:r w:rsidRPr="00577FAF">
        <w:rPr>
          <w:rFonts w:cs="Arial"/>
        </w:rPr>
        <w:t xml:space="preserve"> (Alemania), miembro del Consejo Consultivo del </w:t>
      </w:r>
      <w:r w:rsidRPr="00577FAF">
        <w:rPr>
          <w:rFonts w:cs="Arial"/>
          <w:i/>
        </w:rPr>
        <w:t>Informe sobre el estado del océano</w:t>
      </w:r>
      <w:r w:rsidRPr="00577FAF">
        <w:rPr>
          <w:rFonts w:cs="Arial"/>
        </w:rPr>
        <w:t xml:space="preserve">, presentó este punto del orden del día refiriéndose al informe y las orientaciones del Consejo Consultivo sobre la segunda edición del </w:t>
      </w:r>
      <w:r w:rsidRPr="00577FAF">
        <w:rPr>
          <w:rFonts w:cs="Arial"/>
          <w:i/>
        </w:rPr>
        <w:t>Informe sobre el estado del océano</w:t>
      </w:r>
      <w:r w:rsidRPr="00577FAF">
        <w:rPr>
          <w:rFonts w:cs="Arial"/>
        </w:rPr>
        <w:t xml:space="preserve"> de la COI (IOC/A</w:t>
      </w:r>
      <w:r w:rsidR="009842A2" w:rsidRPr="00577FAF">
        <w:rPr>
          <w:rFonts w:cs="Arial"/>
        </w:rPr>
        <w:noBreakHyphen/>
      </w:r>
      <w:r w:rsidRPr="00577FAF">
        <w:rPr>
          <w:rFonts w:cs="Arial"/>
        </w:rPr>
        <w:t xml:space="preserve">32/4.2.Doc(1)). El </w:t>
      </w:r>
      <w:r w:rsidRPr="00577FAF">
        <w:rPr>
          <w:rFonts w:cs="Arial"/>
          <w:i/>
        </w:rPr>
        <w:t>Informe sobre el estado del océano</w:t>
      </w:r>
      <w:r w:rsidRPr="00577FAF">
        <w:rPr>
          <w:rFonts w:cs="Arial"/>
        </w:rPr>
        <w:t xml:space="preserve"> 2024 de la COI, publicado en junio, presenta el estado actual del océano en sus aspectos físicos, químicos, ecológicos, socioeconómicos y de gobernanza, así como sus perspectivas de futuro, sobre la base de estudios y análisis actuales procedentes principalmente de programas y proyectos de la COI. La segunda edición del </w:t>
      </w:r>
      <w:r w:rsidRPr="00577FAF">
        <w:rPr>
          <w:rFonts w:cs="Arial"/>
          <w:i/>
        </w:rPr>
        <w:t>Informe</w:t>
      </w:r>
      <w:r w:rsidRPr="00577FAF">
        <w:rPr>
          <w:rFonts w:cs="Arial"/>
        </w:rPr>
        <w:t xml:space="preserve"> se centra en los siete </w:t>
      </w:r>
      <w:hyperlink r:id="rId38" w:history="1">
        <w:r w:rsidRPr="00577FAF">
          <w:rPr>
            <w:rStyle w:val="Hyperlink"/>
            <w:rFonts w:cs="Arial"/>
          </w:rPr>
          <w:t>resultados</w:t>
        </w:r>
      </w:hyperlink>
      <w:r w:rsidRPr="00577FAF">
        <w:rPr>
          <w:rFonts w:cs="Arial"/>
        </w:rPr>
        <w:t xml:space="preserve"> del Decenio de las Naciones Unidas de las Ciencias Oceánicas para el Desarrollo Sostenible. La publicación incluye contribuciones de 100 autores de 29 países.</w:t>
      </w:r>
    </w:p>
    <w:p w14:paraId="1506BA23" w14:textId="770C6065" w:rsidR="003A60E3" w:rsidRPr="00577FAF" w:rsidRDefault="00CB6A57">
      <w:pPr>
        <w:pStyle w:val="Style2"/>
        <w:numPr>
          <w:ilvl w:val="0"/>
          <w:numId w:val="7"/>
        </w:numPr>
        <w:tabs>
          <w:tab w:val="left" w:pos="709"/>
        </w:tabs>
        <w:ind w:left="0" w:hanging="567"/>
        <w:rPr>
          <w:rFonts w:cs="Arial"/>
        </w:rPr>
      </w:pPr>
      <w:r w:rsidRPr="00577FAF">
        <w:rPr>
          <w:rFonts w:cs="Arial"/>
        </w:rPr>
        <w:t>El Sr. Ma</w:t>
      </w:r>
      <w:r w:rsidR="007D1E99" w:rsidRPr="00577FAF">
        <w:rPr>
          <w:rFonts w:cs="Arial"/>
        </w:rPr>
        <w:t>t</w:t>
      </w:r>
      <w:r w:rsidRPr="00577FAF">
        <w:rPr>
          <w:rFonts w:cs="Arial"/>
        </w:rPr>
        <w:t xml:space="preserve">thias </w:t>
      </w:r>
      <w:proofErr w:type="spellStart"/>
      <w:r w:rsidRPr="00577FAF">
        <w:rPr>
          <w:rFonts w:cs="Arial"/>
        </w:rPr>
        <w:t>Wun</w:t>
      </w:r>
      <w:r w:rsidR="007D1E99" w:rsidRPr="00577FAF">
        <w:rPr>
          <w:rFonts w:cs="Arial"/>
        </w:rPr>
        <w:t>s</w:t>
      </w:r>
      <w:r w:rsidRPr="00577FAF">
        <w:rPr>
          <w:rFonts w:cs="Arial"/>
        </w:rPr>
        <w:t>ch</w:t>
      </w:r>
      <w:proofErr w:type="spellEnd"/>
      <w:r w:rsidRPr="00577FAF">
        <w:rPr>
          <w:rFonts w:cs="Arial"/>
        </w:rPr>
        <w:t xml:space="preserve"> destacó el papel fundamental que desempeñó el Consejo Consultivo del </w:t>
      </w:r>
      <w:r w:rsidRPr="00577FAF">
        <w:rPr>
          <w:rFonts w:cs="Arial"/>
          <w:i/>
        </w:rPr>
        <w:t xml:space="preserve">Informe </w:t>
      </w:r>
      <w:r w:rsidRPr="00577FAF">
        <w:rPr>
          <w:rFonts w:cs="Arial"/>
        </w:rPr>
        <w:t xml:space="preserve">en la definición del alcance, la revisión y la edición del </w:t>
      </w:r>
      <w:r w:rsidRPr="00577FAF">
        <w:rPr>
          <w:rFonts w:cs="Arial"/>
          <w:i/>
        </w:rPr>
        <w:t xml:space="preserve">Informe </w:t>
      </w:r>
      <w:r w:rsidRPr="00577FAF">
        <w:rPr>
          <w:rFonts w:cs="Arial"/>
        </w:rPr>
        <w:t xml:space="preserve">tras la reunión de la Asamblea de la COI de junio de 2023. El Consejo Consultivo está formado por representantes de nueve países. La Secretaría, con el apoyo del Consejo Consultivo, actualizó la nota conceptual sobre la base de las observaciones recibidas durante la Asamblea de la COI. La nota conceptual actualizada se presentó a los Estados Miembros de la COI en dos sesiones de consulta en línea el 31 de octubre de 2023 (véase la </w:t>
      </w:r>
      <w:hyperlink r:id="rId39" w:history="1">
        <w:r w:rsidRPr="00577FAF">
          <w:rPr>
            <w:rStyle w:val="Hyperlink"/>
            <w:rFonts w:cs="Arial"/>
          </w:rPr>
          <w:t xml:space="preserve">circular </w:t>
        </w:r>
        <w:proofErr w:type="spellStart"/>
        <w:r w:rsidRPr="00577FAF">
          <w:rPr>
            <w:rStyle w:val="Hyperlink"/>
            <w:rFonts w:cs="Arial"/>
          </w:rPr>
          <w:t>nº</w:t>
        </w:r>
        <w:proofErr w:type="spellEnd"/>
        <w:r w:rsidRPr="00577FAF">
          <w:rPr>
            <w:rStyle w:val="Hyperlink"/>
            <w:rFonts w:cs="Arial"/>
          </w:rPr>
          <w:t> 2963</w:t>
        </w:r>
      </w:hyperlink>
      <w:r w:rsidRPr="00577FAF">
        <w:rPr>
          <w:rFonts w:cs="Arial"/>
        </w:rPr>
        <w:t xml:space="preserve">). La nota conceptual indica ahora específicamente el público destinatario del </w:t>
      </w:r>
      <w:r w:rsidRPr="00577FAF">
        <w:rPr>
          <w:rFonts w:cs="Arial"/>
          <w:i/>
        </w:rPr>
        <w:t>Informe,</w:t>
      </w:r>
      <w:r w:rsidRPr="00577FAF">
        <w:rPr>
          <w:rFonts w:cs="Arial"/>
        </w:rPr>
        <w:t xml:space="preserve"> que son principalmente los responsables de la formulación de políticas, si bien el contenido puede servir también como fuente de información sobre el estado del océano para los medios de comunicación. Asimismo, en la nota conceptual se determina que los programas de la COI y los proyectos conexos constituyen la principal fuente de información, si bien se tienen en cuenta datos complementarios de otras organizaciones internacionales cuando es necesario para que el </w:t>
      </w:r>
      <w:r w:rsidRPr="00577FAF">
        <w:rPr>
          <w:rFonts w:cs="Arial"/>
          <w:i/>
        </w:rPr>
        <w:t xml:space="preserve">Informe </w:t>
      </w:r>
      <w:r w:rsidRPr="00577FAF">
        <w:rPr>
          <w:rFonts w:cs="Arial"/>
        </w:rPr>
        <w:t xml:space="preserve">abarque todos los resultados del Decenio del Océano. Además, se acordó que el </w:t>
      </w:r>
      <w:r w:rsidRPr="00577FAF">
        <w:rPr>
          <w:rFonts w:cs="Arial"/>
          <w:i/>
        </w:rPr>
        <w:t xml:space="preserve">Informe </w:t>
      </w:r>
      <w:r w:rsidRPr="00577FAF">
        <w:rPr>
          <w:rFonts w:cs="Arial"/>
        </w:rPr>
        <w:t>debería tener una periodicidad regular, pero sujeta a las limitaciones de los recursos financieros y humanos disponibles.</w:t>
      </w:r>
    </w:p>
    <w:p w14:paraId="3E1F9C9E" w14:textId="413A3970" w:rsidR="003A60E3" w:rsidRPr="00577FAF" w:rsidRDefault="00CB6A57">
      <w:pPr>
        <w:pStyle w:val="Style2"/>
        <w:numPr>
          <w:ilvl w:val="0"/>
          <w:numId w:val="7"/>
        </w:numPr>
        <w:tabs>
          <w:tab w:val="left" w:pos="709"/>
        </w:tabs>
        <w:ind w:left="0" w:hanging="567"/>
        <w:rPr>
          <w:rFonts w:cs="Arial"/>
        </w:rPr>
      </w:pPr>
      <w:r w:rsidRPr="00577FAF">
        <w:rPr>
          <w:rFonts w:cs="Arial"/>
        </w:rPr>
        <w:t>A continuación, el Sr. Mat</w:t>
      </w:r>
      <w:r w:rsidR="007D1E99" w:rsidRPr="00577FAF">
        <w:rPr>
          <w:rFonts w:cs="Arial"/>
        </w:rPr>
        <w:t>t</w:t>
      </w:r>
      <w:r w:rsidRPr="00577FAF">
        <w:rPr>
          <w:rFonts w:cs="Arial"/>
        </w:rPr>
        <w:t xml:space="preserve">hias </w:t>
      </w:r>
      <w:proofErr w:type="spellStart"/>
      <w:r w:rsidRPr="00577FAF">
        <w:rPr>
          <w:rFonts w:cs="Arial"/>
        </w:rPr>
        <w:t>Wun</w:t>
      </w:r>
      <w:r w:rsidR="007D1E99" w:rsidRPr="00577FAF">
        <w:rPr>
          <w:rFonts w:cs="Arial"/>
        </w:rPr>
        <w:t>s</w:t>
      </w:r>
      <w:r w:rsidRPr="00577FAF">
        <w:rPr>
          <w:rFonts w:cs="Arial"/>
        </w:rPr>
        <w:t>ch</w:t>
      </w:r>
      <w:proofErr w:type="spellEnd"/>
      <w:r w:rsidRPr="00577FAF">
        <w:rPr>
          <w:rFonts w:cs="Arial"/>
        </w:rPr>
        <w:t xml:space="preserve"> invitó al Consejo a aprobar la publicación periódica del </w:t>
      </w:r>
      <w:r w:rsidRPr="00577FAF">
        <w:rPr>
          <w:rFonts w:cs="Arial"/>
          <w:i/>
        </w:rPr>
        <w:t>Informe,</w:t>
      </w:r>
      <w:r w:rsidRPr="00577FAF">
        <w:rPr>
          <w:rFonts w:cs="Arial"/>
        </w:rPr>
        <w:t xml:space="preserve"> en consonancia con la nota conceptual actualizada, señalando que el contenido de la publicación evolucionará en función de los avances de la ciencia. </w:t>
      </w:r>
    </w:p>
    <w:tbl>
      <w:tblPr>
        <w:tblW w:w="0" w:type="auto"/>
        <w:shd w:val="clear" w:color="auto" w:fill="CCFFCC"/>
        <w:tblLayout w:type="fixed"/>
        <w:tblCellMar>
          <w:top w:w="113" w:type="dxa"/>
          <w:bottom w:w="113" w:type="dxa"/>
        </w:tblCellMar>
        <w:tblLook w:val="0000" w:firstRow="0" w:lastRow="0" w:firstColumn="0" w:lastColumn="0" w:noHBand="0" w:noVBand="0"/>
      </w:tblPr>
      <w:tblGrid>
        <w:gridCol w:w="9747"/>
      </w:tblGrid>
      <w:tr w:rsidR="003A60E3" w:rsidRPr="00577FAF" w14:paraId="6FF75A5F" w14:textId="77777777">
        <w:trPr>
          <w:trHeight w:val="604"/>
        </w:trPr>
        <w:tc>
          <w:tcPr>
            <w:tcW w:w="9747" w:type="dxa"/>
            <w:shd w:val="clear" w:color="auto" w:fill="CCFFCC"/>
            <w:tcMar>
              <w:top w:w="113" w:type="dxa"/>
              <w:bottom w:w="113" w:type="dxa"/>
            </w:tcMar>
          </w:tcPr>
          <w:p w14:paraId="5DC83350" w14:textId="77777777" w:rsidR="003A60E3" w:rsidRPr="00577FAF" w:rsidRDefault="00CB6A57">
            <w:pPr>
              <w:spacing w:after="120"/>
              <w:jc w:val="both"/>
              <w:rPr>
                <w:rFonts w:ascii="Arial" w:hAnsi="Arial" w:cs="Arial"/>
                <w:sz w:val="22"/>
                <w:szCs w:val="22"/>
                <w:u w:val="single"/>
              </w:rPr>
            </w:pPr>
            <w:r w:rsidRPr="00577FAF">
              <w:rPr>
                <w:rFonts w:ascii="Arial" w:hAnsi="Arial" w:cs="Arial"/>
                <w:sz w:val="22"/>
                <w:szCs w:val="22"/>
                <w:u w:val="single"/>
              </w:rPr>
              <w:t>Decisión EC-57/4.5</w:t>
            </w:r>
          </w:p>
          <w:p w14:paraId="64655CB3" w14:textId="77777777" w:rsidR="004C1803" w:rsidRPr="00577FAF" w:rsidRDefault="00CB6A57">
            <w:pPr>
              <w:spacing w:after="240"/>
              <w:jc w:val="center"/>
              <w:rPr>
                <w:rFonts w:ascii="Arial" w:hAnsi="Arial" w:cs="Arial"/>
                <w:sz w:val="22"/>
                <w:szCs w:val="22"/>
              </w:rPr>
            </w:pPr>
            <w:r w:rsidRPr="00577FAF">
              <w:rPr>
                <w:rFonts w:ascii="Arial" w:hAnsi="Arial" w:cs="Arial"/>
                <w:b/>
                <w:bCs/>
                <w:sz w:val="22"/>
                <w:szCs w:val="22"/>
              </w:rPr>
              <w:t xml:space="preserve">Informe sobre la segunda edición del </w:t>
            </w:r>
            <w:r w:rsidRPr="00577FAF">
              <w:rPr>
                <w:rFonts w:ascii="Arial" w:hAnsi="Arial" w:cs="Arial"/>
                <w:b/>
                <w:bCs/>
                <w:i/>
                <w:iCs/>
                <w:sz w:val="22"/>
                <w:szCs w:val="22"/>
              </w:rPr>
              <w:t>Informe sobre el estado del océano</w:t>
            </w:r>
            <w:r w:rsidRPr="00577FAF">
              <w:rPr>
                <w:rFonts w:ascii="Arial" w:hAnsi="Arial" w:cs="Arial"/>
                <w:b/>
                <w:bCs/>
                <w:sz w:val="22"/>
                <w:szCs w:val="22"/>
              </w:rPr>
              <w:t xml:space="preserve"> de la COI</w:t>
            </w:r>
          </w:p>
          <w:p w14:paraId="1FA23AA9" w14:textId="77777777" w:rsidR="004C1803" w:rsidRPr="00577FAF" w:rsidRDefault="00CB6A57">
            <w:pPr>
              <w:spacing w:after="120"/>
              <w:ind w:left="709" w:hanging="709"/>
              <w:rPr>
                <w:rFonts w:ascii="Arial" w:hAnsi="Arial" w:cs="Arial"/>
                <w:sz w:val="22"/>
                <w:szCs w:val="22"/>
              </w:rPr>
            </w:pPr>
            <w:r w:rsidRPr="00577FAF">
              <w:rPr>
                <w:rFonts w:ascii="Arial" w:hAnsi="Arial" w:cs="Arial"/>
                <w:sz w:val="22"/>
                <w:szCs w:val="22"/>
              </w:rPr>
              <w:t>El Consejo Ejecutivo,</w:t>
            </w:r>
          </w:p>
          <w:p w14:paraId="2DB133FF" w14:textId="77777777" w:rsidR="004C1803" w:rsidRPr="00577FAF" w:rsidRDefault="00CB6A57" w:rsidP="00745C10">
            <w:pPr>
              <w:numPr>
                <w:ilvl w:val="0"/>
                <w:numId w:val="21"/>
              </w:numPr>
              <w:spacing w:after="240"/>
              <w:ind w:left="567" w:hanging="567"/>
              <w:jc w:val="both"/>
              <w:rPr>
                <w:rFonts w:ascii="Arial" w:hAnsi="Arial" w:cs="Arial"/>
                <w:sz w:val="22"/>
                <w:szCs w:val="22"/>
              </w:rPr>
            </w:pPr>
            <w:r w:rsidRPr="00577FAF">
              <w:rPr>
                <w:rFonts w:ascii="Arial" w:hAnsi="Arial" w:cs="Arial"/>
                <w:sz w:val="22"/>
                <w:szCs w:val="22"/>
                <w:u w:val="single"/>
              </w:rPr>
              <w:t>Habiendo examinado</w:t>
            </w:r>
            <w:r w:rsidRPr="00577FAF">
              <w:rPr>
                <w:rFonts w:ascii="Arial" w:hAnsi="Arial" w:cs="Arial"/>
                <w:sz w:val="22"/>
                <w:szCs w:val="22"/>
              </w:rPr>
              <w:t xml:space="preserve"> el documento IOC/EC-57/4.5.Doc(1),</w:t>
            </w:r>
          </w:p>
          <w:p w14:paraId="022485DF" w14:textId="77777777" w:rsidR="003A60E3" w:rsidRPr="00577FAF" w:rsidRDefault="00CB6A57" w:rsidP="00745C10">
            <w:pPr>
              <w:numPr>
                <w:ilvl w:val="0"/>
                <w:numId w:val="21"/>
              </w:numPr>
              <w:spacing w:after="240"/>
              <w:ind w:left="567" w:hanging="567"/>
              <w:jc w:val="both"/>
              <w:rPr>
                <w:rFonts w:ascii="Arial" w:hAnsi="Arial" w:cs="Arial"/>
                <w:sz w:val="22"/>
                <w:szCs w:val="22"/>
              </w:rPr>
            </w:pPr>
            <w:r w:rsidRPr="00577FAF">
              <w:rPr>
                <w:rFonts w:ascii="Arial" w:hAnsi="Arial" w:cs="Arial"/>
                <w:sz w:val="22"/>
                <w:szCs w:val="22"/>
                <w:u w:val="single"/>
              </w:rPr>
              <w:t>Acoge con beneplácito</w:t>
            </w:r>
            <w:r w:rsidRPr="00577FAF">
              <w:rPr>
                <w:rFonts w:ascii="Arial" w:hAnsi="Arial" w:cs="Arial"/>
                <w:sz w:val="22"/>
                <w:szCs w:val="22"/>
              </w:rPr>
              <w:t xml:space="preserve"> la publicación de la segunda edición del </w:t>
            </w:r>
            <w:r w:rsidRPr="00577FAF">
              <w:rPr>
                <w:rFonts w:ascii="Arial" w:hAnsi="Arial" w:cs="Arial"/>
                <w:i/>
                <w:iCs/>
                <w:sz w:val="22"/>
                <w:szCs w:val="22"/>
              </w:rPr>
              <w:t>Informe sobre el estado del océano</w:t>
            </w:r>
            <w:r w:rsidRPr="00577FAF">
              <w:rPr>
                <w:rFonts w:ascii="Arial" w:hAnsi="Arial" w:cs="Arial"/>
                <w:sz w:val="22"/>
                <w:szCs w:val="22"/>
              </w:rPr>
              <w:t xml:space="preserve"> de la COI (2024), publicada dentro de la Colección Técnica de la COI (</w:t>
            </w:r>
            <w:proofErr w:type="spellStart"/>
            <w:r w:rsidRPr="00577FAF">
              <w:rPr>
                <w:rFonts w:ascii="Arial" w:hAnsi="Arial" w:cs="Arial"/>
                <w:sz w:val="22"/>
                <w:szCs w:val="22"/>
              </w:rPr>
              <w:t>nº</w:t>
            </w:r>
            <w:proofErr w:type="spellEnd"/>
            <w:r w:rsidRPr="00577FAF">
              <w:rPr>
                <w:rFonts w:ascii="Arial" w:hAnsi="Arial" w:cs="Arial"/>
                <w:sz w:val="22"/>
                <w:szCs w:val="22"/>
              </w:rPr>
              <w:t> 189);</w:t>
            </w:r>
          </w:p>
          <w:p w14:paraId="4E307362" w14:textId="77777777" w:rsidR="004C1803" w:rsidRPr="00577FAF" w:rsidRDefault="00CB6A57" w:rsidP="00745C10">
            <w:pPr>
              <w:numPr>
                <w:ilvl w:val="0"/>
                <w:numId w:val="21"/>
              </w:numPr>
              <w:spacing w:after="240"/>
              <w:ind w:left="567" w:hanging="567"/>
              <w:jc w:val="both"/>
              <w:rPr>
                <w:rFonts w:ascii="Arial" w:hAnsi="Arial" w:cs="Arial"/>
                <w:sz w:val="22"/>
                <w:szCs w:val="22"/>
              </w:rPr>
            </w:pPr>
            <w:r w:rsidRPr="00577FAF">
              <w:rPr>
                <w:rFonts w:ascii="Arial" w:hAnsi="Arial" w:cs="Arial"/>
                <w:sz w:val="22"/>
                <w:szCs w:val="22"/>
                <w:u w:val="single"/>
              </w:rPr>
              <w:t>Aprecia</w:t>
            </w:r>
            <w:r w:rsidRPr="00577FAF">
              <w:rPr>
                <w:rFonts w:ascii="Arial" w:hAnsi="Arial" w:cs="Arial"/>
                <w:sz w:val="22"/>
                <w:szCs w:val="22"/>
              </w:rPr>
              <w:t xml:space="preserve"> la labor del Consejo Consultivo del </w:t>
            </w:r>
            <w:r w:rsidRPr="00577FAF">
              <w:rPr>
                <w:rFonts w:ascii="Arial" w:hAnsi="Arial" w:cs="Arial"/>
                <w:i/>
                <w:iCs/>
                <w:sz w:val="22"/>
                <w:szCs w:val="22"/>
              </w:rPr>
              <w:t>Informe</w:t>
            </w:r>
            <w:r w:rsidRPr="00577FAF">
              <w:rPr>
                <w:rFonts w:ascii="Arial" w:hAnsi="Arial" w:cs="Arial"/>
                <w:sz w:val="22"/>
                <w:szCs w:val="22"/>
              </w:rPr>
              <w:t xml:space="preserve"> y sus orientaciones;</w:t>
            </w:r>
          </w:p>
          <w:p w14:paraId="33C7595C" w14:textId="77777777" w:rsidR="003A60E3" w:rsidRPr="00577FAF" w:rsidRDefault="00CB6A57" w:rsidP="00745C10">
            <w:pPr>
              <w:numPr>
                <w:ilvl w:val="0"/>
                <w:numId w:val="21"/>
              </w:numPr>
              <w:spacing w:after="240"/>
              <w:ind w:left="567" w:hanging="567"/>
              <w:jc w:val="both"/>
              <w:rPr>
                <w:rFonts w:ascii="Arial" w:hAnsi="Arial" w:cs="Arial"/>
                <w:sz w:val="22"/>
                <w:szCs w:val="22"/>
              </w:rPr>
            </w:pPr>
            <w:r w:rsidRPr="00577FAF">
              <w:rPr>
                <w:rFonts w:ascii="Arial" w:hAnsi="Arial" w:cs="Arial"/>
                <w:sz w:val="22"/>
                <w:szCs w:val="22"/>
                <w:u w:val="single"/>
              </w:rPr>
              <w:lastRenderedPageBreak/>
              <w:t>Acoge con beneplácito también</w:t>
            </w:r>
            <w:r w:rsidRPr="00577FAF">
              <w:rPr>
                <w:rFonts w:ascii="Arial" w:hAnsi="Arial" w:cs="Arial"/>
                <w:sz w:val="22"/>
                <w:szCs w:val="22"/>
              </w:rPr>
              <w:t xml:space="preserve"> la nota conceptual actualizada y las consultas celebradas, como se detalla en la </w:t>
            </w:r>
            <w:hyperlink r:id="rId40" w:history="1">
              <w:r w:rsidRPr="00577FAF">
                <w:rPr>
                  <w:rStyle w:val="Hyperlink"/>
                  <w:rFonts w:ascii="Arial" w:hAnsi="Arial" w:cs="Arial"/>
                  <w:sz w:val="22"/>
                  <w:szCs w:val="22"/>
                </w:rPr>
                <w:t xml:space="preserve">circular </w:t>
              </w:r>
              <w:proofErr w:type="spellStart"/>
              <w:r w:rsidRPr="00577FAF">
                <w:rPr>
                  <w:rStyle w:val="Hyperlink"/>
                  <w:rFonts w:ascii="Arial" w:hAnsi="Arial" w:cs="Arial"/>
                  <w:sz w:val="22"/>
                  <w:szCs w:val="22"/>
                </w:rPr>
                <w:t>nº</w:t>
              </w:r>
              <w:proofErr w:type="spellEnd"/>
              <w:r w:rsidRPr="00577FAF">
                <w:rPr>
                  <w:rStyle w:val="Hyperlink"/>
                  <w:rFonts w:ascii="Arial" w:hAnsi="Arial" w:cs="Arial"/>
                  <w:sz w:val="22"/>
                  <w:szCs w:val="22"/>
                </w:rPr>
                <w:t> 2963 de la COI</w:t>
              </w:r>
            </w:hyperlink>
            <w:r w:rsidRPr="00577FAF">
              <w:rPr>
                <w:rFonts w:ascii="Arial" w:hAnsi="Arial" w:cs="Arial"/>
                <w:sz w:val="22"/>
                <w:szCs w:val="22"/>
              </w:rPr>
              <w:t>;</w:t>
            </w:r>
          </w:p>
          <w:p w14:paraId="01BBF857" w14:textId="77777777" w:rsidR="003A60E3" w:rsidRPr="00577FAF" w:rsidRDefault="00CB6A57" w:rsidP="00745C10">
            <w:pPr>
              <w:numPr>
                <w:ilvl w:val="0"/>
                <w:numId w:val="21"/>
              </w:numPr>
              <w:spacing w:after="240"/>
              <w:ind w:left="567" w:hanging="567"/>
              <w:jc w:val="both"/>
              <w:rPr>
                <w:rFonts w:ascii="Arial" w:hAnsi="Arial" w:cs="Arial"/>
                <w:sz w:val="22"/>
                <w:szCs w:val="22"/>
              </w:rPr>
            </w:pPr>
            <w:r w:rsidRPr="00577FAF">
              <w:rPr>
                <w:rFonts w:ascii="Arial" w:hAnsi="Arial" w:cs="Arial"/>
                <w:sz w:val="22"/>
                <w:szCs w:val="22"/>
                <w:u w:val="single"/>
              </w:rPr>
              <w:t>Aprueba</w:t>
            </w:r>
            <w:r w:rsidRPr="00577FAF">
              <w:rPr>
                <w:rFonts w:ascii="Arial" w:hAnsi="Arial" w:cs="Arial"/>
                <w:sz w:val="22"/>
                <w:szCs w:val="22"/>
              </w:rPr>
              <w:t xml:space="preserve"> la coordinación y la publicación del </w:t>
            </w:r>
            <w:r w:rsidRPr="00577FAF">
              <w:rPr>
                <w:rFonts w:ascii="Arial" w:hAnsi="Arial" w:cs="Arial"/>
                <w:i/>
                <w:iCs/>
                <w:sz w:val="22"/>
                <w:szCs w:val="22"/>
              </w:rPr>
              <w:t>Informe sobre el estado del océano</w:t>
            </w:r>
            <w:r w:rsidRPr="00577FAF">
              <w:rPr>
                <w:rFonts w:ascii="Arial" w:hAnsi="Arial" w:cs="Arial"/>
                <w:sz w:val="22"/>
                <w:szCs w:val="22"/>
              </w:rPr>
              <w:t xml:space="preserve"> de la COI con carácter periódico bajo la dirección del Consejo Consultivo del </w:t>
            </w:r>
            <w:r w:rsidRPr="00577FAF">
              <w:rPr>
                <w:rFonts w:ascii="Arial" w:hAnsi="Arial" w:cs="Arial"/>
                <w:i/>
                <w:iCs/>
                <w:sz w:val="22"/>
                <w:szCs w:val="22"/>
              </w:rPr>
              <w:t>Informe</w:t>
            </w:r>
            <w:r w:rsidRPr="00577FAF">
              <w:rPr>
                <w:rFonts w:ascii="Arial" w:hAnsi="Arial" w:cs="Arial"/>
                <w:sz w:val="22"/>
                <w:szCs w:val="22"/>
              </w:rPr>
              <w:t xml:space="preserve"> y en la medida en que se disponga de recursos extrapresupuestarios;</w:t>
            </w:r>
          </w:p>
          <w:p w14:paraId="2332D3E2" w14:textId="77777777" w:rsidR="003A60E3" w:rsidRPr="00577FAF" w:rsidRDefault="00CB6A57" w:rsidP="00745C10">
            <w:pPr>
              <w:numPr>
                <w:ilvl w:val="0"/>
                <w:numId w:val="21"/>
              </w:numPr>
              <w:spacing w:after="240"/>
              <w:ind w:left="567" w:hanging="567"/>
              <w:jc w:val="both"/>
              <w:rPr>
                <w:rFonts w:ascii="Arial" w:hAnsi="Arial" w:cs="Arial"/>
                <w:sz w:val="22"/>
                <w:szCs w:val="22"/>
              </w:rPr>
            </w:pPr>
            <w:r w:rsidRPr="00577FAF">
              <w:rPr>
                <w:rFonts w:ascii="Arial" w:hAnsi="Arial" w:cs="Arial"/>
                <w:sz w:val="22"/>
                <w:szCs w:val="22"/>
                <w:u w:val="single"/>
              </w:rPr>
              <w:t>Invita</w:t>
            </w:r>
            <w:r w:rsidRPr="00577FAF">
              <w:rPr>
                <w:rFonts w:ascii="Arial" w:hAnsi="Arial" w:cs="Arial"/>
                <w:sz w:val="22"/>
                <w:szCs w:val="22"/>
              </w:rPr>
              <w:t xml:space="preserve"> a los Estados Miembros de la COI a que aporten recursos financieros extrapresupuestarios para la elaboración del </w:t>
            </w:r>
            <w:r w:rsidRPr="00577FAF">
              <w:rPr>
                <w:rFonts w:ascii="Arial" w:hAnsi="Arial" w:cs="Arial"/>
                <w:i/>
                <w:iCs/>
                <w:sz w:val="22"/>
                <w:szCs w:val="22"/>
              </w:rPr>
              <w:t>Informe sobre el estado del océano</w:t>
            </w:r>
            <w:r w:rsidRPr="00577FAF">
              <w:rPr>
                <w:rFonts w:ascii="Arial" w:hAnsi="Arial" w:cs="Arial"/>
                <w:sz w:val="22"/>
                <w:szCs w:val="22"/>
              </w:rPr>
              <w:t xml:space="preserve"> de la COI.</w:t>
            </w:r>
          </w:p>
        </w:tc>
      </w:tr>
    </w:tbl>
    <w:p w14:paraId="7F52D41C" w14:textId="77777777" w:rsidR="003A60E3" w:rsidRPr="00577FAF" w:rsidRDefault="003A60E3">
      <w:pPr>
        <w:pStyle w:val="Style2"/>
        <w:tabs>
          <w:tab w:val="clear" w:pos="1400"/>
          <w:tab w:val="left" w:pos="709"/>
        </w:tabs>
        <w:spacing w:after="0"/>
        <w:rPr>
          <w:rFonts w:cs="Arial"/>
        </w:rPr>
      </w:pPr>
    </w:p>
    <w:p w14:paraId="27A04211" w14:textId="77777777" w:rsidR="003A60E3" w:rsidRPr="00577FAF" w:rsidRDefault="00CB6A57">
      <w:pPr>
        <w:pStyle w:val="Style2"/>
        <w:numPr>
          <w:ilvl w:val="0"/>
          <w:numId w:val="7"/>
        </w:numPr>
        <w:tabs>
          <w:tab w:val="left" w:pos="709"/>
        </w:tabs>
        <w:ind w:left="0" w:hanging="567"/>
        <w:rPr>
          <w:rFonts w:cs="Arial"/>
        </w:rPr>
      </w:pPr>
      <w:r w:rsidRPr="00577FAF">
        <w:rPr>
          <w:rFonts w:cs="Aria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4A133E72" w14:textId="77777777" w:rsidR="003A60E3" w:rsidRPr="00577FAF" w:rsidRDefault="00CB6A57">
      <w:pPr>
        <w:pStyle w:val="Heading2"/>
        <w:ind w:left="709" w:hanging="709"/>
        <w:rPr>
          <w:rFonts w:cs="Arial"/>
          <w:szCs w:val="22"/>
        </w:rPr>
      </w:pPr>
      <w:bookmarkStart w:id="158" w:name="_Toc168933432"/>
      <w:r w:rsidRPr="00577FAF">
        <w:rPr>
          <w:rFonts w:cs="Arial"/>
          <w:szCs w:val="22"/>
        </w:rPr>
        <w:t>4.6</w:t>
      </w:r>
      <w:r w:rsidRPr="00577FAF">
        <w:rPr>
          <w:rFonts w:cs="Arial"/>
          <w:szCs w:val="22"/>
        </w:rPr>
        <w:tab/>
        <w:t>EJECUCIÓN DE LA ESTRATEGIA DE DESARROLLO DE CAPACIDADES DE LA COI PARA 2023-2030 [decisión A-32/4.3]</w:t>
      </w:r>
      <w:bookmarkEnd w:id="158"/>
    </w:p>
    <w:tbl>
      <w:tblPr>
        <w:tblW w:w="9747" w:type="dxa"/>
        <w:tblLayout w:type="fixed"/>
        <w:tblLook w:val="0000" w:firstRow="0" w:lastRow="0" w:firstColumn="0" w:lastColumn="0" w:noHBand="0" w:noVBand="0"/>
      </w:tblPr>
      <w:tblGrid>
        <w:gridCol w:w="2235"/>
        <w:gridCol w:w="2268"/>
        <w:gridCol w:w="5244"/>
      </w:tblGrid>
      <w:tr w:rsidR="003A60E3" w:rsidRPr="00577FAF" w14:paraId="2ECE68A8" w14:textId="77777777" w:rsidTr="007D0CB2">
        <w:tc>
          <w:tcPr>
            <w:tcW w:w="2235" w:type="dxa"/>
            <w:shd w:val="clear" w:color="auto" w:fill="FFFF99"/>
            <w:tcMar>
              <w:top w:w="57" w:type="dxa"/>
              <w:bottom w:w="57" w:type="dxa"/>
            </w:tcMar>
          </w:tcPr>
          <w:p w14:paraId="5F4F8510" w14:textId="77777777" w:rsidR="003A60E3" w:rsidRPr="00577FAF" w:rsidRDefault="00CB6A57" w:rsidP="00B24BC9">
            <w:pPr>
              <w:keepNext/>
              <w:rPr>
                <w:rFonts w:ascii="Arial" w:hAnsi="Arial" w:cs="Arial"/>
                <w:i/>
                <w:color w:val="000000"/>
                <w:sz w:val="20"/>
                <w:szCs w:val="20"/>
                <w:u w:val="single"/>
              </w:rPr>
            </w:pPr>
            <w:r w:rsidRPr="00577FAF">
              <w:rPr>
                <w:rFonts w:ascii="Arial" w:hAnsi="Arial" w:cs="Arial"/>
                <w:i/>
                <w:iCs/>
                <w:sz w:val="20"/>
                <w:szCs w:val="20"/>
                <w:u w:val="single"/>
              </w:rPr>
              <w:t>Documento de trabajo</w:t>
            </w:r>
          </w:p>
        </w:tc>
        <w:tc>
          <w:tcPr>
            <w:tcW w:w="2268" w:type="dxa"/>
            <w:shd w:val="clear" w:color="auto" w:fill="FFFF99"/>
            <w:tcMar>
              <w:top w:w="57" w:type="dxa"/>
              <w:bottom w:w="57" w:type="dxa"/>
            </w:tcMar>
          </w:tcPr>
          <w:p w14:paraId="08B09500" w14:textId="77777777" w:rsidR="003A60E3" w:rsidRPr="00577FAF" w:rsidRDefault="00CB6A57" w:rsidP="00B24BC9">
            <w:pPr>
              <w:keepNext/>
              <w:rPr>
                <w:rFonts w:ascii="Arial" w:hAnsi="Arial" w:cs="Arial"/>
                <w:color w:val="000000"/>
                <w:sz w:val="20"/>
                <w:szCs w:val="20"/>
              </w:rPr>
            </w:pPr>
            <w:r w:rsidRPr="00577FAF">
              <w:rPr>
                <w:rFonts w:ascii="Arial" w:hAnsi="Arial" w:cs="Arial"/>
                <w:sz w:val="20"/>
                <w:szCs w:val="20"/>
              </w:rPr>
              <w:t>IOC/EC-57/4.6.Doc(1)</w:t>
            </w:r>
            <w:r w:rsidR="004C1803" w:rsidRPr="00577FAF">
              <w:rPr>
                <w:rFonts w:ascii="Arial" w:hAnsi="Arial" w:cs="Arial"/>
                <w:sz w:val="20"/>
                <w:szCs w:val="20"/>
              </w:rPr>
              <w:t xml:space="preserve"> </w:t>
            </w:r>
          </w:p>
        </w:tc>
        <w:tc>
          <w:tcPr>
            <w:tcW w:w="5244" w:type="dxa"/>
            <w:shd w:val="clear" w:color="auto" w:fill="FFFF99"/>
            <w:tcMar>
              <w:top w:w="57" w:type="dxa"/>
              <w:bottom w:w="57" w:type="dxa"/>
            </w:tcMar>
          </w:tcPr>
          <w:p w14:paraId="7950E0D6" w14:textId="77777777" w:rsidR="003A60E3" w:rsidRPr="00577FAF" w:rsidRDefault="00CB6A57" w:rsidP="00B24BC9">
            <w:pPr>
              <w:keepNext/>
              <w:spacing w:after="60"/>
              <w:rPr>
                <w:rFonts w:ascii="Arial" w:hAnsi="Arial" w:cs="Arial"/>
                <w:color w:val="000000"/>
                <w:sz w:val="20"/>
                <w:szCs w:val="20"/>
              </w:rPr>
            </w:pPr>
            <w:r w:rsidRPr="00577FAF">
              <w:rPr>
                <w:rFonts w:ascii="Arial" w:hAnsi="Arial" w:cs="Arial"/>
                <w:sz w:val="20"/>
                <w:szCs w:val="20"/>
              </w:rPr>
              <w:t xml:space="preserve">Ejecución de la Estrategia de Desarrollo de Capacidades de la COI para 2023-2030 </w:t>
            </w:r>
          </w:p>
        </w:tc>
      </w:tr>
      <w:tr w:rsidR="003A60E3" w:rsidRPr="00EA695A" w14:paraId="1B5BB1B8" w14:textId="77777777" w:rsidTr="007D0CB2">
        <w:tc>
          <w:tcPr>
            <w:tcW w:w="2235" w:type="dxa"/>
            <w:shd w:val="clear" w:color="auto" w:fill="E2EFD9"/>
            <w:tcMar>
              <w:top w:w="57" w:type="dxa"/>
              <w:bottom w:w="57" w:type="dxa"/>
            </w:tcMar>
          </w:tcPr>
          <w:p w14:paraId="3F91B2B3" w14:textId="77777777" w:rsidR="003A60E3" w:rsidRPr="00577FAF" w:rsidRDefault="00CB6A57">
            <w:pPr>
              <w:tabs>
                <w:tab w:val="left" w:pos="1132"/>
              </w:tabs>
              <w:rPr>
                <w:rFonts w:ascii="Arial" w:hAnsi="Arial" w:cs="Arial"/>
                <w:i/>
                <w:color w:val="000000"/>
                <w:sz w:val="20"/>
                <w:szCs w:val="20"/>
                <w:u w:val="single"/>
              </w:rPr>
            </w:pPr>
            <w:r w:rsidRPr="00577FAF">
              <w:rPr>
                <w:rFonts w:ascii="Arial" w:hAnsi="Arial" w:cs="Arial"/>
                <w:i/>
                <w:iCs/>
                <w:sz w:val="20"/>
                <w:szCs w:val="20"/>
                <w:u w:val="single"/>
              </w:rPr>
              <w:t>Informe</w:t>
            </w:r>
          </w:p>
        </w:tc>
        <w:tc>
          <w:tcPr>
            <w:tcW w:w="2268" w:type="dxa"/>
            <w:shd w:val="clear" w:color="auto" w:fill="auto"/>
            <w:tcMar>
              <w:top w:w="57" w:type="dxa"/>
              <w:bottom w:w="57" w:type="dxa"/>
            </w:tcMar>
          </w:tcPr>
          <w:p w14:paraId="5381434F" w14:textId="77777777" w:rsidR="003A60E3" w:rsidRPr="00577FAF" w:rsidRDefault="00EA695A">
            <w:pPr>
              <w:rPr>
                <w:rFonts w:ascii="Arial" w:hAnsi="Arial" w:cs="Arial"/>
                <w:color w:val="000000"/>
                <w:sz w:val="20"/>
                <w:szCs w:val="20"/>
              </w:rPr>
            </w:pPr>
            <w:hyperlink r:id="rId41" w:history="1">
              <w:r w:rsidR="00CB6A57" w:rsidRPr="00577FAF">
                <w:rPr>
                  <w:rFonts w:ascii="Arial" w:hAnsi="Arial" w:cs="Arial"/>
                  <w:sz w:val="20"/>
                  <w:szCs w:val="20"/>
                  <w:u w:val="single"/>
                </w:rPr>
                <w:t>IOC/GE-CD-V/3</w:t>
              </w:r>
            </w:hyperlink>
          </w:p>
        </w:tc>
        <w:tc>
          <w:tcPr>
            <w:tcW w:w="5244" w:type="dxa"/>
            <w:shd w:val="clear" w:color="auto" w:fill="auto"/>
            <w:tcMar>
              <w:top w:w="57" w:type="dxa"/>
              <w:bottom w:w="57" w:type="dxa"/>
            </w:tcMar>
          </w:tcPr>
          <w:p w14:paraId="21001614" w14:textId="77777777" w:rsidR="003A60E3" w:rsidRPr="00667A5C" w:rsidRDefault="00CB6A57">
            <w:pPr>
              <w:spacing w:after="60"/>
              <w:rPr>
                <w:rFonts w:ascii="Arial" w:hAnsi="Arial" w:cs="Arial"/>
                <w:color w:val="000000"/>
                <w:sz w:val="20"/>
                <w:szCs w:val="20"/>
                <w:lang w:val="en-US"/>
              </w:rPr>
            </w:pPr>
            <w:r w:rsidRPr="00667A5C">
              <w:rPr>
                <w:rFonts w:ascii="Arial" w:hAnsi="Arial" w:cs="Arial"/>
                <w:sz w:val="20"/>
                <w:szCs w:val="20"/>
                <w:lang w:val="en-US"/>
              </w:rPr>
              <w:t>Report of the Fifth Session of the IOC Group of Experts on Capacity Development (27–29 February 2024, Paris, France)</w:t>
            </w:r>
          </w:p>
        </w:tc>
      </w:tr>
      <w:tr w:rsidR="003A60E3" w:rsidRPr="00577FAF" w14:paraId="7736FB9C" w14:textId="77777777" w:rsidTr="007D0CB2">
        <w:tc>
          <w:tcPr>
            <w:tcW w:w="2235" w:type="dxa"/>
            <w:shd w:val="clear" w:color="auto" w:fill="D5DCE4"/>
            <w:tcMar>
              <w:top w:w="57" w:type="dxa"/>
              <w:bottom w:w="57" w:type="dxa"/>
            </w:tcMar>
          </w:tcPr>
          <w:p w14:paraId="27BD9904" w14:textId="77777777" w:rsidR="003A60E3" w:rsidRPr="00577FAF" w:rsidRDefault="00CB6A57">
            <w:pPr>
              <w:tabs>
                <w:tab w:val="left" w:pos="1132"/>
              </w:tabs>
              <w:rPr>
                <w:rFonts w:ascii="Arial" w:hAnsi="Arial" w:cs="Arial"/>
                <w:i/>
                <w:color w:val="000000"/>
                <w:sz w:val="20"/>
                <w:szCs w:val="20"/>
                <w:u w:val="single"/>
              </w:rPr>
            </w:pPr>
            <w:r w:rsidRPr="00577FAF">
              <w:rPr>
                <w:rFonts w:ascii="Arial" w:hAnsi="Arial" w:cs="Arial"/>
                <w:i/>
                <w:iCs/>
                <w:sz w:val="20"/>
                <w:szCs w:val="20"/>
                <w:u w:val="single"/>
              </w:rPr>
              <w:t>Referencias</w:t>
            </w:r>
          </w:p>
        </w:tc>
        <w:tc>
          <w:tcPr>
            <w:tcW w:w="2268" w:type="dxa"/>
            <w:shd w:val="clear" w:color="auto" w:fill="auto"/>
            <w:tcMar>
              <w:top w:w="57" w:type="dxa"/>
              <w:bottom w:w="57" w:type="dxa"/>
            </w:tcMar>
          </w:tcPr>
          <w:p w14:paraId="2FA3F8A2" w14:textId="77777777" w:rsidR="003A60E3" w:rsidRPr="00577FAF" w:rsidRDefault="00CB6A57">
            <w:pPr>
              <w:rPr>
                <w:rFonts w:ascii="Arial" w:hAnsi="Arial" w:cs="Arial"/>
                <w:color w:val="000000"/>
                <w:sz w:val="20"/>
                <w:szCs w:val="20"/>
              </w:rPr>
            </w:pPr>
            <w:r w:rsidRPr="00577FAF">
              <w:rPr>
                <w:rFonts w:ascii="Arial" w:hAnsi="Arial" w:cs="Arial"/>
                <w:sz w:val="20"/>
                <w:szCs w:val="20"/>
              </w:rPr>
              <w:t>IOC/INF-1433</w:t>
            </w:r>
          </w:p>
        </w:tc>
        <w:tc>
          <w:tcPr>
            <w:tcW w:w="5244" w:type="dxa"/>
            <w:shd w:val="clear" w:color="auto" w:fill="auto"/>
            <w:tcMar>
              <w:top w:w="57" w:type="dxa"/>
              <w:bottom w:w="57" w:type="dxa"/>
            </w:tcMar>
          </w:tcPr>
          <w:p w14:paraId="408631F3" w14:textId="77777777" w:rsidR="003A60E3" w:rsidRPr="00577FAF" w:rsidRDefault="00CB6A57">
            <w:pPr>
              <w:spacing w:after="60"/>
              <w:rPr>
                <w:rFonts w:ascii="Arial" w:hAnsi="Arial" w:cs="Arial"/>
                <w:color w:val="000000"/>
                <w:sz w:val="20"/>
                <w:szCs w:val="20"/>
              </w:rPr>
            </w:pPr>
            <w:r w:rsidRPr="00577FAF">
              <w:rPr>
                <w:rFonts w:ascii="Arial" w:hAnsi="Arial" w:cs="Arial"/>
                <w:sz w:val="20"/>
                <w:szCs w:val="20"/>
              </w:rPr>
              <w:t>Estrategia de Desarrollo de Capacidades de la COI para 2023-2030</w:t>
            </w:r>
          </w:p>
        </w:tc>
      </w:tr>
      <w:tr w:rsidR="003A60E3" w:rsidRPr="00577FAF" w14:paraId="1EE1512E" w14:textId="77777777" w:rsidTr="007D0CB2">
        <w:tc>
          <w:tcPr>
            <w:tcW w:w="2235" w:type="dxa"/>
            <w:shd w:val="clear" w:color="auto" w:fill="D5DCE4"/>
            <w:tcMar>
              <w:top w:w="57" w:type="dxa"/>
              <w:bottom w:w="57" w:type="dxa"/>
            </w:tcMar>
          </w:tcPr>
          <w:p w14:paraId="135F82B1" w14:textId="77777777" w:rsidR="003A60E3" w:rsidRPr="00577FAF" w:rsidRDefault="003A60E3">
            <w:pPr>
              <w:tabs>
                <w:tab w:val="left" w:pos="1132"/>
              </w:tabs>
              <w:rPr>
                <w:rFonts w:ascii="Arial" w:hAnsi="Arial" w:cs="Arial"/>
                <w:i/>
                <w:color w:val="000000"/>
                <w:sz w:val="20"/>
                <w:szCs w:val="20"/>
                <w:u w:val="single"/>
              </w:rPr>
            </w:pPr>
          </w:p>
        </w:tc>
        <w:tc>
          <w:tcPr>
            <w:tcW w:w="2268" w:type="dxa"/>
            <w:shd w:val="clear" w:color="auto" w:fill="auto"/>
            <w:tcMar>
              <w:top w:w="57" w:type="dxa"/>
              <w:bottom w:w="57" w:type="dxa"/>
            </w:tcMar>
          </w:tcPr>
          <w:p w14:paraId="52256CE2" w14:textId="77777777" w:rsidR="003A60E3" w:rsidRPr="00577FAF" w:rsidRDefault="00EA695A">
            <w:pPr>
              <w:rPr>
                <w:rFonts w:ascii="Arial" w:hAnsi="Arial" w:cs="Arial"/>
                <w:sz w:val="20"/>
                <w:szCs w:val="20"/>
              </w:rPr>
            </w:pPr>
            <w:hyperlink r:id="rId42" w:history="1">
              <w:r w:rsidR="00CB6A57" w:rsidRPr="00577FAF">
                <w:rPr>
                  <w:rFonts w:ascii="Arial" w:hAnsi="Arial" w:cs="Arial"/>
                  <w:sz w:val="20"/>
                  <w:szCs w:val="20"/>
                  <w:u w:val="single"/>
                </w:rPr>
                <w:t>IOC-32/4.3.Doc(2)</w:t>
              </w:r>
            </w:hyperlink>
          </w:p>
        </w:tc>
        <w:tc>
          <w:tcPr>
            <w:tcW w:w="5244" w:type="dxa"/>
            <w:shd w:val="clear" w:color="auto" w:fill="auto"/>
            <w:tcMar>
              <w:top w:w="57" w:type="dxa"/>
              <w:bottom w:w="57" w:type="dxa"/>
            </w:tcMar>
          </w:tcPr>
          <w:p w14:paraId="00CEF6DE" w14:textId="77777777" w:rsidR="003A60E3" w:rsidRPr="00577FAF" w:rsidRDefault="00CB6A57">
            <w:pPr>
              <w:spacing w:after="60"/>
              <w:rPr>
                <w:rFonts w:ascii="Arial" w:hAnsi="Arial" w:cs="Arial"/>
                <w:sz w:val="20"/>
                <w:szCs w:val="20"/>
              </w:rPr>
            </w:pPr>
            <w:r w:rsidRPr="00577FAF">
              <w:rPr>
                <w:rFonts w:ascii="Arial" w:hAnsi="Arial" w:cs="Arial"/>
                <w:sz w:val="20"/>
                <w:szCs w:val="20"/>
              </w:rPr>
              <w:t>Plan de divulgación y comunicación para promover la notoriedad y el alcance de la Estrategia de Desarrollo de Capacidades de la COI para 2023-2030</w:t>
            </w:r>
          </w:p>
        </w:tc>
      </w:tr>
    </w:tbl>
    <w:p w14:paraId="44F423D5" w14:textId="77777777" w:rsidR="003A60E3" w:rsidRPr="00577FAF" w:rsidRDefault="003A60E3">
      <w:pPr>
        <w:pStyle w:val="Marge"/>
        <w:spacing w:after="0"/>
        <w:rPr>
          <w:rFonts w:ascii="Arial" w:hAnsi="Arial" w:cs="Arial"/>
          <w:sz w:val="22"/>
          <w:szCs w:val="22"/>
        </w:rPr>
      </w:pPr>
    </w:p>
    <w:p w14:paraId="650F8AB7" w14:textId="77777777" w:rsidR="004C1803" w:rsidRPr="00577FAF" w:rsidRDefault="00CB6A57">
      <w:pPr>
        <w:pStyle w:val="Style2"/>
        <w:numPr>
          <w:ilvl w:val="0"/>
          <w:numId w:val="7"/>
        </w:numPr>
        <w:tabs>
          <w:tab w:val="left" w:pos="709"/>
        </w:tabs>
        <w:ind w:left="0" w:hanging="567"/>
        <w:rPr>
          <w:rFonts w:cs="Arial"/>
        </w:rPr>
      </w:pPr>
      <w:r w:rsidRPr="00577FAF">
        <w:rPr>
          <w:rFonts w:cs="Arial"/>
        </w:rPr>
        <w:t>Presentó este punto el Sr. Alan Evans, Presidente del Grupo de Expertos de la COI sobre Desarrollo de Capacidades, quien recordó al Consejo todas las decisiones que han guiado la labor del Grupo, desde su creación en 2017 (</w:t>
      </w:r>
      <w:hyperlink r:id="rId43" w:history="1">
        <w:r w:rsidRPr="00577FAF">
          <w:rPr>
            <w:rStyle w:val="Hyperlink"/>
            <w:rFonts w:cs="Arial"/>
          </w:rPr>
          <w:t>decisión IOC-XXIX/10.1</w:t>
        </w:r>
      </w:hyperlink>
      <w:r w:rsidRPr="00577FAF">
        <w:rPr>
          <w:rFonts w:cs="Arial"/>
        </w:rPr>
        <w:t>) hasta el encargo que se le confirió, en 2021, de revisar la Estrategia de Desarrollo de Capacidades de la COI y preparar una propuesta para promover la notoriedad y el alcance de la Estrategia revisada (</w:t>
      </w:r>
      <w:hyperlink r:id="rId44" w:history="1">
        <w:r w:rsidRPr="00577FAF">
          <w:rPr>
            <w:rStyle w:val="Hyperlink"/>
            <w:rFonts w:cs="Arial"/>
          </w:rPr>
          <w:t>decisión A-31/3.5.3</w:t>
        </w:r>
      </w:hyperlink>
      <w:r w:rsidRPr="00577FAF">
        <w:rPr>
          <w:rFonts w:cs="Arial"/>
        </w:rPr>
        <w:t>). Asimismo, recordó que, a lo largo de los años, el mandato del Grupo ha consistido en ayudar a los programas mundiales y regionales a evaluar las necesidades en materia de desarrollo de capacidades, elaborar los correspondientes planes de trabajo, movilizar recursos y asesorar sobre los métodos y herramientas pertinentes para el desarrollo de capacidades.</w:t>
      </w:r>
    </w:p>
    <w:p w14:paraId="20497908" w14:textId="77777777" w:rsidR="004C1803" w:rsidRPr="00577FAF" w:rsidRDefault="00CB6A57">
      <w:pPr>
        <w:pStyle w:val="Style2"/>
        <w:numPr>
          <w:ilvl w:val="0"/>
          <w:numId w:val="7"/>
        </w:numPr>
        <w:tabs>
          <w:tab w:val="left" w:pos="709"/>
        </w:tabs>
        <w:ind w:left="0" w:hanging="567"/>
        <w:rPr>
          <w:rFonts w:cs="Arial"/>
        </w:rPr>
      </w:pPr>
      <w:r w:rsidRPr="00577FAF">
        <w:rPr>
          <w:rFonts w:cs="Arial"/>
        </w:rPr>
        <w:t xml:space="preserve">Mediante su </w:t>
      </w:r>
      <w:hyperlink r:id="rId45" w:history="1">
        <w:r w:rsidRPr="00577FAF">
          <w:rPr>
            <w:rStyle w:val="Hyperlink"/>
            <w:rFonts w:cs="Arial"/>
          </w:rPr>
          <w:t>decisión A-32/4.3</w:t>
        </w:r>
      </w:hyperlink>
      <w:r w:rsidRPr="00577FAF">
        <w:rPr>
          <w:rFonts w:cs="Arial"/>
        </w:rPr>
        <w:t>, la Asamblea de la COI, en su 32ª reunión, aprobó la Estrategia de Desarrollo de Capacidades de la COI para 2023-2030 (publicada como documento IOC/INF-1433) y su plan de divulgación y comunicación (</w:t>
      </w:r>
      <w:hyperlink r:id="rId46" w:history="1">
        <w:r w:rsidRPr="00577FAF">
          <w:rPr>
            <w:rStyle w:val="Hyperlink"/>
            <w:rFonts w:cs="Arial"/>
          </w:rPr>
          <w:t>IOC-32/4.3.Doc(2)</w:t>
        </w:r>
      </w:hyperlink>
      <w:r w:rsidRPr="00577FAF">
        <w:rPr>
          <w:rFonts w:cs="Arial"/>
        </w:rPr>
        <w:t>).</w:t>
      </w:r>
    </w:p>
    <w:p w14:paraId="3DB4E69F" w14:textId="77777777" w:rsidR="003A60E3" w:rsidRPr="00577FAF" w:rsidRDefault="00CB6A57">
      <w:pPr>
        <w:pStyle w:val="Style2"/>
        <w:numPr>
          <w:ilvl w:val="0"/>
          <w:numId w:val="7"/>
        </w:numPr>
        <w:tabs>
          <w:tab w:val="left" w:pos="709"/>
        </w:tabs>
        <w:ind w:left="0" w:hanging="567"/>
        <w:rPr>
          <w:rFonts w:cs="Arial"/>
        </w:rPr>
      </w:pPr>
      <w:r w:rsidRPr="00577FAF">
        <w:rPr>
          <w:rFonts w:cs="Arial"/>
        </w:rPr>
        <w:t xml:space="preserve">El Dr. Evans se refirió a los debates de la quinta reunión del Grupo de Expertos de la COI sobre Desarrollo de Capacidades, celebrada en febrero de 2024 (véase el informe </w:t>
      </w:r>
      <w:hyperlink r:id="rId47" w:history="1">
        <w:r w:rsidRPr="00577FAF">
          <w:rPr>
            <w:rStyle w:val="Hyperlink"/>
            <w:rFonts w:cs="Arial"/>
          </w:rPr>
          <w:t>IOC/GE-CD-V/3</w:t>
        </w:r>
      </w:hyperlink>
      <w:r w:rsidRPr="00577FAF">
        <w:rPr>
          <w:rFonts w:cs="Arial"/>
        </w:rPr>
        <w:t xml:space="preserve">). Aunque el Grupo ha cumplido el mandato que le encomendó la Asamblea en su 31ª reunión, la nueva Estrategia de Desarrollo de Capacidades de la COI requiere medidas adicionales, como las siguientes: la elaboración de un plan de ejecución; la armonización con los nuevos elementos de desarrollo de capacidades del Decenio del Océano (como el mecanismo de desarrollo de capacidades y el </w:t>
      </w:r>
      <w:hyperlink r:id="rId48" w:history="1">
        <w:r w:rsidRPr="00577FAF">
          <w:rPr>
            <w:rStyle w:val="Hyperlink"/>
            <w:rFonts w:cs="Arial"/>
          </w:rPr>
          <w:t>libro blanco sobre el desafío 9 del Decenio</w:t>
        </w:r>
      </w:hyperlink>
      <w:r w:rsidRPr="00577FAF">
        <w:rPr>
          <w:rFonts w:cs="Arial"/>
        </w:rPr>
        <w:t xml:space="preserve">, “Habilidades, conocimientos y tecnologías para todos”); el desarrollo de </w:t>
      </w:r>
      <w:proofErr w:type="spellStart"/>
      <w:r w:rsidRPr="00577FAF">
        <w:rPr>
          <w:rFonts w:cs="Arial"/>
        </w:rPr>
        <w:t>Ocean</w:t>
      </w:r>
      <w:proofErr w:type="spellEnd"/>
      <w:r w:rsidRPr="00577FAF">
        <w:rPr>
          <w:rFonts w:cs="Arial"/>
        </w:rPr>
        <w:t xml:space="preserve"> CD-Hub; y una mayor divulgación y promoción en apoyo de la nueva Estrategia. El Grupo y la Secretaría consideraron que sería beneficioso para las iniciativas y los esfuerzos en materia de desarrollo de capacidades, nuevos o ya existentes, </w:t>
      </w:r>
      <w:r w:rsidRPr="00577FAF">
        <w:rPr>
          <w:rFonts w:cs="Arial"/>
        </w:rPr>
        <w:lastRenderedPageBreak/>
        <w:t>destinados a contribuir al logro de los seis productos de la nueva Estrategia, que se mantuviera la función del Grupo de Expertos de prestar asesoramiento y ayuda a la Secretaría de la COI, como responsable del desarrollo de capacidades, para la ejecución de la Estrategia.</w:t>
      </w:r>
    </w:p>
    <w:p w14:paraId="60003CDF" w14:textId="77777777" w:rsidR="004C1803" w:rsidRPr="00577FAF" w:rsidRDefault="00CB6A57">
      <w:pPr>
        <w:pStyle w:val="Style2"/>
        <w:numPr>
          <w:ilvl w:val="0"/>
          <w:numId w:val="7"/>
        </w:numPr>
        <w:tabs>
          <w:tab w:val="left" w:pos="709"/>
        </w:tabs>
        <w:ind w:left="0" w:hanging="567"/>
        <w:rPr>
          <w:rFonts w:cs="Arial"/>
        </w:rPr>
      </w:pPr>
      <w:r w:rsidRPr="00577FAF">
        <w:rPr>
          <w:rFonts w:cs="Arial"/>
        </w:rPr>
        <w:t>En la quinta reunión del Grupo se revisó su mandato para reflejar los requisitos de la nueva Estrategia de Desarrollo de Capacidades de la COI para 2023-2030, incluido su plan de ejecución, así como las consultas con los programas mundiales y los órganos subsidiarios regionales en relación con sus planes de trabajo sobre desarrollo de capacidades y la necesaria coordinación con los objetivos de desarrollo de capacidades del Decenio de las Naciones Unidas de las Ciencias Oceánicas para el Desarrollo Sostenible.</w:t>
      </w:r>
    </w:p>
    <w:p w14:paraId="042C326C" w14:textId="77777777" w:rsidR="003A60E3" w:rsidRPr="00577FAF" w:rsidRDefault="00CB6A57">
      <w:pPr>
        <w:pStyle w:val="Style2"/>
        <w:numPr>
          <w:ilvl w:val="0"/>
          <w:numId w:val="7"/>
        </w:numPr>
        <w:tabs>
          <w:tab w:val="left" w:pos="709"/>
        </w:tabs>
        <w:ind w:left="0" w:hanging="567"/>
        <w:rPr>
          <w:rFonts w:cs="Arial"/>
        </w:rPr>
      </w:pPr>
      <w:r w:rsidRPr="00577FAF">
        <w:rPr>
          <w:rFonts w:cs="Arial"/>
        </w:rPr>
        <w:t xml:space="preserve">A continuación, el Sr. Evans explicó que, dado que la labor relativa al plan de ejecución no podía comenzar hasta que la Asamblea hubiera aprobado la Estrategia de Desarrollo de Capacidades de la COI para 2023-2030 en su 32ª reunión, se había acordado proponer al Consejo Ejecutivo que el Grupo prosiguiera su labor con un mandato revisado y solicitara la aprobación de dicho mandato en la presente reunión del Consejo Ejecutivo. </w:t>
      </w:r>
    </w:p>
    <w:tbl>
      <w:tblPr>
        <w:tblW w:w="0" w:type="auto"/>
        <w:shd w:val="clear" w:color="auto" w:fill="CCFFCC"/>
        <w:tblLayout w:type="fixed"/>
        <w:tblCellMar>
          <w:top w:w="113" w:type="dxa"/>
          <w:bottom w:w="113" w:type="dxa"/>
        </w:tblCellMar>
        <w:tblLook w:val="0000" w:firstRow="0" w:lastRow="0" w:firstColumn="0" w:lastColumn="0" w:noHBand="0" w:noVBand="0"/>
      </w:tblPr>
      <w:tblGrid>
        <w:gridCol w:w="9747"/>
      </w:tblGrid>
      <w:tr w:rsidR="003A60E3" w:rsidRPr="00577FAF" w14:paraId="322D5C94" w14:textId="77777777" w:rsidTr="00B24BC9">
        <w:trPr>
          <w:trHeight w:val="604"/>
        </w:trPr>
        <w:tc>
          <w:tcPr>
            <w:tcW w:w="9747" w:type="dxa"/>
            <w:shd w:val="clear" w:color="auto" w:fill="CCFFCC"/>
            <w:tcMar>
              <w:top w:w="113" w:type="dxa"/>
              <w:bottom w:w="113" w:type="dxa"/>
            </w:tcMar>
          </w:tcPr>
          <w:p w14:paraId="2E9712EE" w14:textId="77777777" w:rsidR="003A60E3" w:rsidRPr="00577FAF" w:rsidRDefault="00CB6A57">
            <w:pPr>
              <w:spacing w:after="120"/>
              <w:jc w:val="both"/>
              <w:rPr>
                <w:rFonts w:ascii="Arial" w:hAnsi="Arial" w:cs="Arial"/>
                <w:sz w:val="22"/>
                <w:szCs w:val="22"/>
                <w:u w:val="single"/>
              </w:rPr>
            </w:pPr>
            <w:r w:rsidRPr="00577FAF">
              <w:rPr>
                <w:rFonts w:ascii="Arial" w:hAnsi="Arial" w:cs="Arial"/>
                <w:sz w:val="22"/>
                <w:szCs w:val="22"/>
                <w:u w:val="single"/>
              </w:rPr>
              <w:t>Decisión EC-57/4.6</w:t>
            </w:r>
          </w:p>
          <w:p w14:paraId="74BE090D" w14:textId="77777777" w:rsidR="003A60E3" w:rsidRPr="00577FAF" w:rsidRDefault="00CB6A57">
            <w:pPr>
              <w:spacing w:after="240"/>
              <w:jc w:val="center"/>
              <w:rPr>
                <w:rFonts w:ascii="Arial" w:hAnsi="Arial" w:cs="Arial"/>
                <w:b/>
                <w:bCs/>
                <w:sz w:val="22"/>
                <w:szCs w:val="22"/>
              </w:rPr>
            </w:pPr>
            <w:r w:rsidRPr="00577FAF">
              <w:rPr>
                <w:rFonts w:ascii="Arial" w:hAnsi="Arial" w:cs="Arial"/>
                <w:b/>
                <w:bCs/>
                <w:sz w:val="22"/>
                <w:szCs w:val="22"/>
              </w:rPr>
              <w:t>Ejecución de la Estrategia de Desarrollo de Capacidades de la COI para 2023-2030</w:t>
            </w:r>
          </w:p>
          <w:p w14:paraId="396E3AB3" w14:textId="77777777" w:rsidR="004C1803" w:rsidRPr="00577FAF" w:rsidRDefault="00CB6A57">
            <w:pPr>
              <w:spacing w:after="120"/>
              <w:ind w:left="709" w:hanging="709"/>
              <w:rPr>
                <w:rFonts w:ascii="Arial" w:hAnsi="Arial" w:cs="Arial"/>
                <w:sz w:val="22"/>
                <w:szCs w:val="22"/>
              </w:rPr>
            </w:pPr>
            <w:r w:rsidRPr="00577FAF">
              <w:rPr>
                <w:rFonts w:ascii="Arial" w:hAnsi="Arial" w:cs="Arial"/>
                <w:sz w:val="22"/>
                <w:szCs w:val="22"/>
              </w:rPr>
              <w:t>El Consejo Ejecutivo,</w:t>
            </w:r>
          </w:p>
          <w:p w14:paraId="54CEABFC" w14:textId="77777777" w:rsidR="003A60E3" w:rsidRPr="00577FAF" w:rsidRDefault="00CB6A57" w:rsidP="00745C10">
            <w:pPr>
              <w:numPr>
                <w:ilvl w:val="0"/>
                <w:numId w:val="26"/>
              </w:numPr>
              <w:spacing w:before="100" w:beforeAutospacing="1" w:after="100" w:afterAutospacing="1"/>
              <w:ind w:left="567" w:hanging="567"/>
              <w:jc w:val="both"/>
              <w:rPr>
                <w:rFonts w:ascii="Arial" w:hAnsi="Arial" w:cs="Arial"/>
                <w:sz w:val="22"/>
                <w:szCs w:val="22"/>
              </w:rPr>
            </w:pPr>
            <w:r w:rsidRPr="00577FAF">
              <w:rPr>
                <w:rFonts w:ascii="Arial" w:hAnsi="Arial" w:cs="Arial"/>
                <w:sz w:val="22"/>
                <w:szCs w:val="22"/>
                <w:u w:val="single"/>
              </w:rPr>
              <w:t>Habiendo examinado</w:t>
            </w:r>
            <w:r w:rsidRPr="00577FAF">
              <w:rPr>
                <w:rFonts w:ascii="Arial" w:hAnsi="Arial" w:cs="Arial"/>
                <w:sz w:val="22"/>
                <w:szCs w:val="22"/>
              </w:rPr>
              <w:t xml:space="preserve"> el documento IOC/EC-57/4.6.Doc(1) y el informe IOC/GE-CD-V/3,</w:t>
            </w:r>
          </w:p>
          <w:p w14:paraId="17A8BCEA" w14:textId="77777777" w:rsidR="003A60E3" w:rsidRPr="00577FAF" w:rsidRDefault="00CB6A57" w:rsidP="00745C10">
            <w:pPr>
              <w:numPr>
                <w:ilvl w:val="0"/>
                <w:numId w:val="26"/>
              </w:numPr>
              <w:spacing w:before="100" w:beforeAutospacing="1" w:after="100" w:afterAutospacing="1"/>
              <w:ind w:left="567" w:hanging="567"/>
              <w:jc w:val="both"/>
              <w:rPr>
                <w:rFonts w:ascii="Arial" w:hAnsi="Arial" w:cs="Arial"/>
                <w:sz w:val="22"/>
                <w:szCs w:val="22"/>
              </w:rPr>
            </w:pPr>
            <w:r w:rsidRPr="00577FAF">
              <w:rPr>
                <w:rFonts w:ascii="Arial" w:hAnsi="Arial" w:cs="Arial"/>
                <w:sz w:val="22"/>
                <w:szCs w:val="22"/>
                <w:u w:val="single"/>
              </w:rPr>
              <w:t>Reconociendo</w:t>
            </w:r>
            <w:r w:rsidRPr="00577FAF">
              <w:rPr>
                <w:rFonts w:ascii="Arial" w:hAnsi="Arial" w:cs="Arial"/>
                <w:sz w:val="22"/>
                <w:szCs w:val="22"/>
              </w:rPr>
              <w:t xml:space="preserve"> la importancia del desarrollo de capacidades, que constituye una de las seis funciones definidas en la Estrategia a Plazo Medio de la COI para 2022-2029 y permite a todos los Estados Miembros participar en la investigación y los servicios oceanográficos, y beneficiarse de ellos, teniendo en cuenta que son vitales para el desarrollo sostenible y el bienestar humano en el planeta,</w:t>
            </w:r>
          </w:p>
          <w:p w14:paraId="3F6412BB" w14:textId="77777777" w:rsidR="004C1803" w:rsidRPr="00577FAF" w:rsidRDefault="00CB6A57" w:rsidP="00745C10">
            <w:pPr>
              <w:numPr>
                <w:ilvl w:val="0"/>
                <w:numId w:val="26"/>
              </w:numPr>
              <w:spacing w:before="100" w:beforeAutospacing="1" w:after="100" w:afterAutospacing="1"/>
              <w:ind w:left="567" w:hanging="567"/>
              <w:jc w:val="both"/>
              <w:rPr>
                <w:rFonts w:ascii="Arial" w:hAnsi="Arial" w:cs="Arial"/>
                <w:sz w:val="22"/>
                <w:szCs w:val="22"/>
              </w:rPr>
            </w:pPr>
            <w:r w:rsidRPr="00577FAF">
              <w:rPr>
                <w:rFonts w:ascii="Arial" w:hAnsi="Arial" w:cs="Arial"/>
                <w:sz w:val="22"/>
                <w:szCs w:val="22"/>
                <w:u w:val="single"/>
              </w:rPr>
              <w:t>Recordando</w:t>
            </w:r>
            <w:r w:rsidRPr="00577FAF">
              <w:rPr>
                <w:rFonts w:ascii="Arial" w:hAnsi="Arial" w:cs="Arial"/>
                <w:sz w:val="22"/>
                <w:szCs w:val="22"/>
              </w:rPr>
              <w:t xml:space="preserve"> la aprobación de la Estrategia de Desarrollo de Capacidades de la COI para 2023-2030 mediante la decisión A-32/4.3 de la COI,</w:t>
            </w:r>
          </w:p>
          <w:p w14:paraId="7D2F72D6" w14:textId="77777777" w:rsidR="003A60E3" w:rsidRPr="00577FAF" w:rsidRDefault="00CB6A57" w:rsidP="00745C10">
            <w:pPr>
              <w:numPr>
                <w:ilvl w:val="0"/>
                <w:numId w:val="26"/>
              </w:numPr>
              <w:spacing w:before="100" w:beforeAutospacing="1" w:after="100" w:afterAutospacing="1"/>
              <w:ind w:left="567" w:hanging="567"/>
              <w:jc w:val="both"/>
              <w:rPr>
                <w:rFonts w:ascii="Arial" w:hAnsi="Arial" w:cs="Arial"/>
                <w:sz w:val="22"/>
                <w:szCs w:val="22"/>
              </w:rPr>
            </w:pPr>
            <w:r w:rsidRPr="00577FAF">
              <w:rPr>
                <w:rFonts w:ascii="Arial" w:hAnsi="Arial" w:cs="Arial"/>
                <w:sz w:val="22"/>
                <w:szCs w:val="22"/>
                <w:u w:val="single"/>
              </w:rPr>
              <w:t>Teniendo presente</w:t>
            </w:r>
            <w:r w:rsidRPr="00577FAF">
              <w:rPr>
                <w:rFonts w:ascii="Arial" w:hAnsi="Arial" w:cs="Arial"/>
                <w:sz w:val="22"/>
                <w:szCs w:val="22"/>
              </w:rPr>
              <w:t xml:space="preserve"> la función del Grupo de Expertos de la COI sobre Desarrollo de Capacidades de asesorar y, cuando proceda, ayudar a la Secretaría en la ejecución de las iniciativas de la COI en materia de desarrollo de capacidades,</w:t>
            </w:r>
          </w:p>
          <w:p w14:paraId="205572F5" w14:textId="77777777" w:rsidR="004C1803" w:rsidRPr="00577FAF" w:rsidRDefault="00CB6A57" w:rsidP="00745C10">
            <w:pPr>
              <w:numPr>
                <w:ilvl w:val="0"/>
                <w:numId w:val="26"/>
              </w:numPr>
              <w:spacing w:before="100" w:beforeAutospacing="1" w:after="100" w:afterAutospacing="1"/>
              <w:ind w:left="567" w:hanging="567"/>
              <w:jc w:val="both"/>
              <w:rPr>
                <w:rFonts w:ascii="Arial" w:hAnsi="Arial" w:cs="Arial"/>
                <w:sz w:val="22"/>
                <w:szCs w:val="22"/>
              </w:rPr>
            </w:pPr>
            <w:r w:rsidRPr="00577FAF">
              <w:rPr>
                <w:rFonts w:ascii="Arial" w:hAnsi="Arial" w:cs="Arial"/>
                <w:sz w:val="22"/>
                <w:szCs w:val="22"/>
                <w:u w:val="single"/>
              </w:rPr>
              <w:t>Decide</w:t>
            </w:r>
            <w:r w:rsidRPr="00577FAF">
              <w:rPr>
                <w:rFonts w:ascii="Arial" w:hAnsi="Arial" w:cs="Arial"/>
                <w:sz w:val="22"/>
                <w:szCs w:val="22"/>
              </w:rPr>
              <w:t xml:space="preserve"> mantener en funcionamiento el Grupo de Expertos de la COI sobre Desarrollo de Capacidades y revisar su mandato según figura en el anexo de la presente decisión;</w:t>
            </w:r>
          </w:p>
          <w:p w14:paraId="0927D42F" w14:textId="77777777" w:rsidR="004C1803" w:rsidRPr="00577FAF" w:rsidRDefault="00CB6A57" w:rsidP="00745C10">
            <w:pPr>
              <w:numPr>
                <w:ilvl w:val="0"/>
                <w:numId w:val="26"/>
              </w:numPr>
              <w:spacing w:before="100" w:beforeAutospacing="1" w:after="100" w:afterAutospacing="1"/>
              <w:ind w:left="567" w:hanging="567"/>
              <w:jc w:val="both"/>
              <w:rPr>
                <w:rFonts w:ascii="Arial" w:hAnsi="Arial" w:cs="Arial"/>
                <w:sz w:val="22"/>
                <w:szCs w:val="22"/>
              </w:rPr>
            </w:pPr>
            <w:r w:rsidRPr="00577FAF">
              <w:rPr>
                <w:rFonts w:ascii="Arial" w:hAnsi="Arial" w:cs="Arial"/>
                <w:sz w:val="22"/>
                <w:szCs w:val="22"/>
                <w:u w:val="single"/>
              </w:rPr>
              <w:t>Pide</w:t>
            </w:r>
            <w:r w:rsidRPr="00577FAF">
              <w:rPr>
                <w:rFonts w:ascii="Arial" w:hAnsi="Arial" w:cs="Arial"/>
                <w:sz w:val="22"/>
                <w:szCs w:val="22"/>
              </w:rPr>
              <w:t xml:space="preserve"> al Secretario Ejecutivo que informe a la Asamblea en su 33ª reunión.</w:t>
            </w:r>
          </w:p>
          <w:p w14:paraId="5803C4DF" w14:textId="77777777" w:rsidR="003A60E3" w:rsidRPr="00577FAF" w:rsidRDefault="00CB6A57" w:rsidP="00CE600D">
            <w:pPr>
              <w:spacing w:before="240" w:after="240"/>
              <w:jc w:val="center"/>
              <w:rPr>
                <w:rFonts w:ascii="Arial" w:hAnsi="Arial" w:cs="Arial"/>
                <w:sz w:val="22"/>
                <w:szCs w:val="22"/>
                <w:u w:val="single"/>
              </w:rPr>
            </w:pPr>
            <w:r w:rsidRPr="00577FAF">
              <w:rPr>
                <w:rFonts w:ascii="Arial" w:hAnsi="Arial" w:cs="Arial"/>
                <w:sz w:val="22"/>
                <w:szCs w:val="22"/>
                <w:u w:val="single"/>
              </w:rPr>
              <w:t>Anexo de la decisión EC-57/4.6</w:t>
            </w:r>
          </w:p>
          <w:p w14:paraId="23A488E3" w14:textId="7F4B8D22" w:rsidR="003A60E3" w:rsidRPr="00577FAF" w:rsidRDefault="00CB6A57">
            <w:pPr>
              <w:spacing w:after="240"/>
              <w:jc w:val="center"/>
              <w:rPr>
                <w:rFonts w:ascii="Arial" w:hAnsi="Arial" w:cs="Arial"/>
                <w:b/>
                <w:bCs/>
                <w:sz w:val="22"/>
                <w:szCs w:val="22"/>
              </w:rPr>
            </w:pPr>
            <w:r w:rsidRPr="00577FAF">
              <w:rPr>
                <w:rFonts w:ascii="Arial" w:hAnsi="Arial" w:cs="Arial"/>
                <w:b/>
                <w:bCs/>
                <w:sz w:val="22"/>
                <w:szCs w:val="22"/>
              </w:rPr>
              <w:t xml:space="preserve">(Proyecto de) Mandato del Grupo de Expertos de la COI </w:t>
            </w:r>
            <w:r w:rsidR="00CE600D" w:rsidRPr="00577FAF">
              <w:rPr>
                <w:rFonts w:ascii="Arial" w:hAnsi="Arial" w:cs="Arial"/>
                <w:b/>
                <w:bCs/>
                <w:sz w:val="22"/>
                <w:szCs w:val="22"/>
              </w:rPr>
              <w:br/>
            </w:r>
            <w:r w:rsidRPr="00577FAF">
              <w:rPr>
                <w:rFonts w:ascii="Arial" w:hAnsi="Arial" w:cs="Arial"/>
                <w:b/>
                <w:bCs/>
                <w:sz w:val="22"/>
                <w:szCs w:val="22"/>
              </w:rPr>
              <w:t>sobre Desarrollo de Capacidades</w:t>
            </w:r>
          </w:p>
          <w:p w14:paraId="7A243930" w14:textId="77777777" w:rsidR="003A60E3" w:rsidRPr="00577FAF" w:rsidRDefault="00CB6A57" w:rsidP="00745C10">
            <w:pPr>
              <w:spacing w:after="120"/>
              <w:jc w:val="both"/>
              <w:rPr>
                <w:rFonts w:ascii="Arial" w:hAnsi="Arial" w:cs="Arial"/>
                <w:color w:val="000000"/>
                <w:sz w:val="22"/>
                <w:szCs w:val="22"/>
              </w:rPr>
            </w:pPr>
            <w:r w:rsidRPr="00577FAF">
              <w:rPr>
                <w:rFonts w:ascii="Arial" w:hAnsi="Arial" w:cs="Arial"/>
                <w:sz w:val="22"/>
                <w:szCs w:val="22"/>
              </w:rPr>
              <w:t>El Grupo de Expertos de la COI sobre Desarrollo de Capacidades está compuesto por expertos designados por los Estados Miembros de la COI en respuesta a una convocatoria mediante circular en la que se detalla la composición del Grupo.</w:t>
            </w:r>
          </w:p>
          <w:p w14:paraId="5AB2E6A3" w14:textId="77777777" w:rsidR="004C1803" w:rsidRPr="00577FAF" w:rsidRDefault="00CB6A57" w:rsidP="00745C10">
            <w:pPr>
              <w:keepNext/>
              <w:spacing w:after="120"/>
              <w:jc w:val="both"/>
              <w:rPr>
                <w:rFonts w:ascii="Arial" w:hAnsi="Arial" w:cs="Arial"/>
                <w:sz w:val="22"/>
                <w:szCs w:val="22"/>
              </w:rPr>
            </w:pPr>
            <w:r w:rsidRPr="00577FAF">
              <w:rPr>
                <w:rFonts w:ascii="Arial" w:hAnsi="Arial" w:cs="Arial"/>
                <w:sz w:val="22"/>
                <w:szCs w:val="22"/>
              </w:rPr>
              <w:lastRenderedPageBreak/>
              <w:t>El Grupo de Expertos de la COI sobre Desarrollo de Capacidades se encarga de las siguientes tareas:</w:t>
            </w:r>
          </w:p>
          <w:p w14:paraId="1C46F354" w14:textId="77777777" w:rsidR="003A60E3" w:rsidRPr="00577FAF" w:rsidRDefault="00CB6A57" w:rsidP="00745C10">
            <w:pPr>
              <w:numPr>
                <w:ilvl w:val="0"/>
                <w:numId w:val="27"/>
              </w:numPr>
              <w:spacing w:after="120"/>
              <w:ind w:left="1134" w:hanging="567"/>
              <w:jc w:val="both"/>
              <w:rPr>
                <w:rFonts w:ascii="Arial" w:eastAsia="Yu Mincho" w:hAnsi="Arial" w:cs="Arial"/>
                <w:sz w:val="22"/>
                <w:szCs w:val="22"/>
              </w:rPr>
            </w:pPr>
            <w:r w:rsidRPr="00577FAF">
              <w:rPr>
                <w:rFonts w:ascii="Arial" w:hAnsi="Arial" w:cs="Arial"/>
                <w:sz w:val="22"/>
                <w:szCs w:val="22"/>
              </w:rPr>
              <w:t>ayudar a los programas mundiales y regionales a realizar evaluaciones de las necesidades de desarrollo de capacidades de manera coherente;</w:t>
            </w:r>
          </w:p>
          <w:p w14:paraId="68F19782" w14:textId="77777777" w:rsidR="003A60E3" w:rsidRPr="00577FAF" w:rsidRDefault="00CB6A57" w:rsidP="00745C10">
            <w:pPr>
              <w:numPr>
                <w:ilvl w:val="0"/>
                <w:numId w:val="27"/>
              </w:numPr>
              <w:spacing w:after="120"/>
              <w:ind w:left="1134" w:hanging="567"/>
              <w:jc w:val="both"/>
              <w:rPr>
                <w:rFonts w:ascii="Arial" w:eastAsia="Yu Mincho" w:hAnsi="Arial" w:cs="Arial"/>
                <w:sz w:val="22"/>
                <w:szCs w:val="22"/>
              </w:rPr>
            </w:pPr>
            <w:r w:rsidRPr="00577FAF">
              <w:rPr>
                <w:rFonts w:ascii="Arial" w:hAnsi="Arial" w:cs="Arial"/>
                <w:sz w:val="22"/>
                <w:szCs w:val="22"/>
              </w:rPr>
              <w:t>ayudar también a los programas mundiales y regionales a elaborar planes de trabajo sobre desarrollo de capacidades programáticos y regionalmente pertinentes, basados en la Estrategia de Desarrollo de Capacidades de la COI y en las correspondientes evaluaciones de las necesidades, aprovechando las actividades en curso y utilizando las instalaciones de formación y educación existentes;</w:t>
            </w:r>
          </w:p>
          <w:p w14:paraId="174E46B2" w14:textId="77777777" w:rsidR="004C1803" w:rsidRPr="00577FAF" w:rsidRDefault="00CB6A57" w:rsidP="00745C10">
            <w:pPr>
              <w:numPr>
                <w:ilvl w:val="0"/>
                <w:numId w:val="27"/>
              </w:numPr>
              <w:spacing w:after="120"/>
              <w:ind w:left="1134" w:hanging="567"/>
              <w:jc w:val="both"/>
              <w:rPr>
                <w:rFonts w:ascii="Arial" w:hAnsi="Arial" w:cs="Arial"/>
                <w:sz w:val="22"/>
                <w:szCs w:val="22"/>
              </w:rPr>
            </w:pPr>
            <w:r w:rsidRPr="00577FAF">
              <w:rPr>
                <w:rFonts w:ascii="Arial" w:hAnsi="Arial" w:cs="Arial"/>
                <w:sz w:val="22"/>
                <w:szCs w:val="22"/>
              </w:rPr>
              <w:t>elaborar un plan de ejecución para la actual Estrategia de Desarrollo de Capacidades de la COI para 2023-2030, para su presentación a la Asamblea de la COI en su 33ª reunión, en junio de 2025;</w:t>
            </w:r>
          </w:p>
          <w:p w14:paraId="30FAE6CB" w14:textId="77777777" w:rsidR="003A60E3" w:rsidRPr="00577FAF" w:rsidRDefault="00CB6A57" w:rsidP="00745C10">
            <w:pPr>
              <w:numPr>
                <w:ilvl w:val="0"/>
                <w:numId w:val="27"/>
              </w:numPr>
              <w:spacing w:after="120"/>
              <w:ind w:left="1134" w:hanging="567"/>
              <w:jc w:val="both"/>
              <w:rPr>
                <w:rFonts w:ascii="Arial" w:eastAsia="Yu Mincho" w:hAnsi="Arial" w:cs="Arial"/>
                <w:sz w:val="22"/>
                <w:szCs w:val="22"/>
              </w:rPr>
            </w:pPr>
            <w:r w:rsidRPr="00577FAF">
              <w:rPr>
                <w:rFonts w:ascii="Arial" w:hAnsi="Arial" w:cs="Arial"/>
                <w:sz w:val="22"/>
                <w:szCs w:val="22"/>
              </w:rPr>
              <w:t>asesorar a los programas mundiales y regionales sobre la ejecución de la Estrategia de Desarrollo de Capacidades de la COI para 2023-2030 y sobre los métodos y herramientas pertinentes para mejorar la calidad y la repercusión de las iniciativas de desarrollo de capacidades;</w:t>
            </w:r>
          </w:p>
          <w:p w14:paraId="2474C234" w14:textId="77777777" w:rsidR="003A60E3" w:rsidRPr="00577FAF" w:rsidRDefault="00CB6A57" w:rsidP="00745C10">
            <w:pPr>
              <w:numPr>
                <w:ilvl w:val="0"/>
                <w:numId w:val="27"/>
              </w:numPr>
              <w:spacing w:after="120"/>
              <w:ind w:left="1134" w:hanging="567"/>
              <w:jc w:val="both"/>
              <w:rPr>
                <w:rFonts w:ascii="Arial" w:eastAsia="Yu Mincho" w:hAnsi="Arial" w:cs="Arial"/>
                <w:sz w:val="22"/>
                <w:szCs w:val="22"/>
              </w:rPr>
            </w:pPr>
            <w:r w:rsidRPr="00577FAF">
              <w:rPr>
                <w:rFonts w:ascii="Arial" w:hAnsi="Arial" w:cs="Arial"/>
                <w:sz w:val="22"/>
                <w:szCs w:val="22"/>
              </w:rPr>
              <w:t>asesorar a la Secretaría de la COI sobre la elaboración y la realización de la encuesta bienal sobre el desarrollo de capacidades en estrecha colaboración con las regiones, incluyendo posiblemente el seguimiento o la medición de la repercusión de las iniciativas de desarrollo de capacidades, teniendo en cuenta también otros métodos como los exámenes regionales, las conferencias científicas, etc.;</w:t>
            </w:r>
          </w:p>
          <w:p w14:paraId="2E4B112B" w14:textId="77777777" w:rsidR="003A60E3" w:rsidRPr="00577FAF" w:rsidRDefault="00CB6A57" w:rsidP="00745C10">
            <w:pPr>
              <w:numPr>
                <w:ilvl w:val="0"/>
                <w:numId w:val="27"/>
              </w:numPr>
              <w:spacing w:after="120"/>
              <w:ind w:left="1134" w:hanging="567"/>
              <w:jc w:val="both"/>
              <w:rPr>
                <w:rFonts w:ascii="Arial" w:eastAsia="Yu Mincho" w:hAnsi="Arial" w:cs="Arial"/>
                <w:sz w:val="22"/>
                <w:szCs w:val="22"/>
              </w:rPr>
            </w:pPr>
            <w:r w:rsidRPr="00577FAF">
              <w:rPr>
                <w:rFonts w:ascii="Arial" w:hAnsi="Arial" w:cs="Arial"/>
                <w:sz w:val="22"/>
                <w:szCs w:val="22"/>
              </w:rPr>
              <w:t xml:space="preserve">velar por la coordinación de la labor del Grupo de Expertos y de sus equipos de trabajo con los aspectos del Decenio de las Naciones Unidas de las Ciencias Oceánicas para el Desarrollo Sostenible relativos al </w:t>
            </w:r>
            <w:r w:rsidRPr="00577FAF">
              <w:rPr>
                <w:rFonts w:ascii="Arial" w:hAnsi="Arial" w:cs="Arial"/>
                <w:i/>
                <w:iCs/>
                <w:sz w:val="22"/>
                <w:szCs w:val="22"/>
              </w:rPr>
              <w:t>Informe mundial sobre las ciencias oceánicas</w:t>
            </w:r>
            <w:r w:rsidRPr="00577FAF">
              <w:rPr>
                <w:rFonts w:ascii="Arial" w:hAnsi="Arial" w:cs="Arial"/>
                <w:sz w:val="22"/>
                <w:szCs w:val="22"/>
              </w:rPr>
              <w:t xml:space="preserve"> y al desarrollo de capacidades, en particular el mecanismo de desarrollo de capacidades y el grupo de trabajo 9 del proceso Visión 2030;</w:t>
            </w:r>
          </w:p>
          <w:p w14:paraId="10DE7504" w14:textId="77777777" w:rsidR="003A60E3" w:rsidRPr="00577FAF" w:rsidRDefault="00CB6A57" w:rsidP="00745C10">
            <w:pPr>
              <w:numPr>
                <w:ilvl w:val="0"/>
                <w:numId w:val="27"/>
              </w:numPr>
              <w:spacing w:after="120"/>
              <w:ind w:left="1134" w:hanging="567"/>
              <w:jc w:val="both"/>
              <w:rPr>
                <w:rFonts w:ascii="Arial" w:eastAsia="Yu Mincho" w:hAnsi="Arial" w:cs="Arial"/>
                <w:sz w:val="22"/>
                <w:szCs w:val="22"/>
              </w:rPr>
            </w:pPr>
            <w:r w:rsidRPr="00577FAF">
              <w:rPr>
                <w:rFonts w:ascii="Arial" w:hAnsi="Arial" w:cs="Arial"/>
                <w:sz w:val="22"/>
                <w:szCs w:val="22"/>
              </w:rPr>
              <w:t xml:space="preserve">orientar el desarrollo y la promoción de </w:t>
            </w:r>
            <w:proofErr w:type="spellStart"/>
            <w:r w:rsidRPr="00577FAF">
              <w:rPr>
                <w:rFonts w:ascii="Arial" w:hAnsi="Arial" w:cs="Arial"/>
                <w:sz w:val="22"/>
                <w:szCs w:val="22"/>
              </w:rPr>
              <w:t>Ocean</w:t>
            </w:r>
            <w:proofErr w:type="spellEnd"/>
            <w:r w:rsidRPr="00577FAF">
              <w:rPr>
                <w:rFonts w:ascii="Arial" w:hAnsi="Arial" w:cs="Arial"/>
                <w:sz w:val="22"/>
                <w:szCs w:val="22"/>
              </w:rPr>
              <w:t xml:space="preserve"> CD-Hub destacando los vínculos de las actividades de desarrollo de capacidades y las oportunidades de colaboración entre usuarios y proveedores y entre otras organizaciones mundiales, regionales y nacionales;</w:t>
            </w:r>
          </w:p>
          <w:p w14:paraId="413BDE7D" w14:textId="77777777" w:rsidR="004C1803" w:rsidRPr="00577FAF" w:rsidRDefault="00CB6A57" w:rsidP="00745C10">
            <w:pPr>
              <w:numPr>
                <w:ilvl w:val="0"/>
                <w:numId w:val="27"/>
              </w:numPr>
              <w:spacing w:after="120"/>
              <w:ind w:left="1134" w:hanging="567"/>
              <w:jc w:val="both"/>
              <w:rPr>
                <w:rFonts w:ascii="Arial" w:hAnsi="Arial" w:cs="Arial"/>
                <w:sz w:val="22"/>
                <w:szCs w:val="22"/>
              </w:rPr>
            </w:pPr>
            <w:r w:rsidRPr="00577FAF">
              <w:rPr>
                <w:rFonts w:ascii="Arial" w:hAnsi="Arial" w:cs="Arial"/>
                <w:sz w:val="22"/>
                <w:szCs w:val="22"/>
              </w:rPr>
              <w:t>asesorar a los Estados Miembros sobre la promoción de la notoriedad y el alcance de la Estrategia de Desarrollo de Capacidades de la COI para 2023-2030 para ayudarles en la planificación y la ejecución de sus iniciativas de desarrollo de capacidades;</w:t>
            </w:r>
          </w:p>
          <w:p w14:paraId="30D3388E" w14:textId="77777777" w:rsidR="003A60E3" w:rsidRPr="00577FAF" w:rsidRDefault="00CB6A57" w:rsidP="00745C10">
            <w:pPr>
              <w:numPr>
                <w:ilvl w:val="0"/>
                <w:numId w:val="27"/>
              </w:numPr>
              <w:spacing w:after="120"/>
              <w:ind w:left="1134" w:hanging="567"/>
              <w:jc w:val="both"/>
              <w:rPr>
                <w:rFonts w:ascii="Arial" w:hAnsi="Arial" w:cs="Arial"/>
                <w:sz w:val="22"/>
                <w:szCs w:val="22"/>
                <w:u w:val="single"/>
              </w:rPr>
            </w:pPr>
            <w:r w:rsidRPr="00577FAF">
              <w:rPr>
                <w:rFonts w:ascii="Arial" w:hAnsi="Arial" w:cs="Arial"/>
                <w:sz w:val="22"/>
                <w:szCs w:val="22"/>
              </w:rPr>
              <w:t>comunicar los resultados a la Asamblea en su 33ª reunión.</w:t>
            </w:r>
          </w:p>
        </w:tc>
      </w:tr>
    </w:tbl>
    <w:p w14:paraId="11456E10" w14:textId="77777777" w:rsidR="003A60E3" w:rsidRPr="00577FAF" w:rsidRDefault="003A60E3">
      <w:pPr>
        <w:pStyle w:val="Style2"/>
        <w:tabs>
          <w:tab w:val="clear" w:pos="1400"/>
          <w:tab w:val="left" w:pos="709"/>
        </w:tabs>
        <w:spacing w:after="0"/>
        <w:ind w:left="0"/>
        <w:rPr>
          <w:rFonts w:cs="Arial"/>
        </w:rPr>
      </w:pPr>
    </w:p>
    <w:p w14:paraId="2F9C1C8D" w14:textId="77777777" w:rsidR="003A60E3" w:rsidRPr="00577FAF" w:rsidRDefault="00CB6A57">
      <w:pPr>
        <w:pStyle w:val="Style2"/>
        <w:numPr>
          <w:ilvl w:val="0"/>
          <w:numId w:val="7"/>
        </w:numPr>
        <w:tabs>
          <w:tab w:val="left" w:pos="709"/>
        </w:tabs>
        <w:ind w:left="0" w:hanging="567"/>
        <w:rPr>
          <w:rFonts w:cs="Arial"/>
        </w:rPr>
      </w:pPr>
      <w:r w:rsidRPr="00577FAF">
        <w:rPr>
          <w:rFonts w:cs="Aria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130024AB" w14:textId="77777777" w:rsidR="003A60E3" w:rsidRPr="00577FAF" w:rsidRDefault="00CB6A57">
      <w:pPr>
        <w:pStyle w:val="Heading2"/>
        <w:ind w:left="709" w:hanging="709"/>
        <w:rPr>
          <w:rFonts w:cs="Arial"/>
          <w:szCs w:val="22"/>
        </w:rPr>
      </w:pPr>
      <w:bookmarkStart w:id="159" w:name="_Toc168933433"/>
      <w:r w:rsidRPr="00577FAF">
        <w:rPr>
          <w:rFonts w:cs="Arial"/>
          <w:szCs w:val="22"/>
        </w:rPr>
        <w:t>4.7</w:t>
      </w:r>
      <w:r w:rsidRPr="00577FAF">
        <w:rPr>
          <w:rFonts w:cs="Arial"/>
          <w:szCs w:val="22"/>
        </w:rPr>
        <w:tab/>
        <w:t>INFORME SOBRE LA EJECUCIÓN DEL DECENIO DE LAS NACIONES UNIDAS DE LAS CIENCIAS OCEÁNICAS PARA EL DESARROLLO SOSTENIBLE (2021-2030) [resolución 39 C/25; resoluciones XXIX-1, XXX-1, A-31/1 y A-32/3]</w:t>
      </w:r>
      <w:bookmarkEnd w:id="159"/>
      <w:r w:rsidRPr="00577FAF">
        <w:rPr>
          <w:rFonts w:cs="Arial"/>
          <w:szCs w:val="22"/>
        </w:rPr>
        <w:t xml:space="preserve"> </w:t>
      </w:r>
    </w:p>
    <w:tbl>
      <w:tblPr>
        <w:tblW w:w="9747" w:type="dxa"/>
        <w:tblLayout w:type="fixed"/>
        <w:tblLook w:val="0000" w:firstRow="0" w:lastRow="0" w:firstColumn="0" w:lastColumn="0" w:noHBand="0" w:noVBand="0"/>
      </w:tblPr>
      <w:tblGrid>
        <w:gridCol w:w="2410"/>
        <w:gridCol w:w="2268"/>
        <w:gridCol w:w="5069"/>
      </w:tblGrid>
      <w:tr w:rsidR="003A60E3" w:rsidRPr="00577FAF" w14:paraId="4910B6F4" w14:textId="77777777" w:rsidTr="00AC70B1">
        <w:tc>
          <w:tcPr>
            <w:tcW w:w="2410" w:type="dxa"/>
            <w:shd w:val="clear" w:color="auto" w:fill="FFFF99"/>
            <w:tcMar>
              <w:top w:w="57" w:type="dxa"/>
              <w:bottom w:w="57" w:type="dxa"/>
            </w:tcMar>
          </w:tcPr>
          <w:p w14:paraId="078B66A0" w14:textId="77777777" w:rsidR="003A60E3" w:rsidRPr="00577FAF" w:rsidRDefault="00CB6A57">
            <w:pPr>
              <w:rPr>
                <w:rFonts w:ascii="Arial" w:hAnsi="Arial" w:cs="Arial"/>
                <w:i/>
                <w:color w:val="000000"/>
                <w:sz w:val="20"/>
                <w:szCs w:val="20"/>
                <w:u w:val="single"/>
              </w:rPr>
            </w:pPr>
            <w:r w:rsidRPr="00577FAF">
              <w:rPr>
                <w:rFonts w:ascii="Arial" w:hAnsi="Arial" w:cs="Arial"/>
                <w:i/>
                <w:iCs/>
                <w:sz w:val="20"/>
                <w:szCs w:val="20"/>
                <w:u w:val="single"/>
              </w:rPr>
              <w:t>Documentos de trabajo</w:t>
            </w:r>
          </w:p>
        </w:tc>
        <w:tc>
          <w:tcPr>
            <w:tcW w:w="2268" w:type="dxa"/>
            <w:shd w:val="clear" w:color="auto" w:fill="FFFF99"/>
            <w:tcMar>
              <w:top w:w="57" w:type="dxa"/>
              <w:bottom w:w="57" w:type="dxa"/>
            </w:tcMar>
          </w:tcPr>
          <w:p w14:paraId="09ECCBF0" w14:textId="77777777" w:rsidR="003A60E3" w:rsidRPr="00577FAF" w:rsidRDefault="00CB6A57">
            <w:pPr>
              <w:rPr>
                <w:rFonts w:ascii="Arial" w:hAnsi="Arial" w:cs="Arial"/>
                <w:color w:val="000000"/>
                <w:sz w:val="20"/>
                <w:szCs w:val="20"/>
              </w:rPr>
            </w:pPr>
            <w:r w:rsidRPr="00577FAF">
              <w:rPr>
                <w:rFonts w:ascii="Arial" w:hAnsi="Arial" w:cs="Arial"/>
                <w:sz w:val="20"/>
                <w:szCs w:val="20"/>
              </w:rPr>
              <w:t>IOC/EC-57/4.7.Doc(1)</w:t>
            </w:r>
            <w:r w:rsidR="004C1803" w:rsidRPr="00577FAF">
              <w:rPr>
                <w:rFonts w:ascii="Arial" w:hAnsi="Arial" w:cs="Arial"/>
                <w:sz w:val="20"/>
                <w:szCs w:val="20"/>
              </w:rPr>
              <w:t xml:space="preserve"> </w:t>
            </w:r>
          </w:p>
        </w:tc>
        <w:tc>
          <w:tcPr>
            <w:tcW w:w="5069" w:type="dxa"/>
            <w:shd w:val="clear" w:color="auto" w:fill="FFFF99"/>
            <w:tcMar>
              <w:top w:w="57" w:type="dxa"/>
              <w:bottom w:w="57" w:type="dxa"/>
            </w:tcMar>
          </w:tcPr>
          <w:p w14:paraId="5C58786C" w14:textId="77777777" w:rsidR="003A60E3" w:rsidRPr="00577FAF" w:rsidRDefault="00CB6A57">
            <w:pPr>
              <w:spacing w:after="60"/>
              <w:rPr>
                <w:rFonts w:ascii="Arial" w:hAnsi="Arial" w:cs="Arial"/>
                <w:color w:val="000000"/>
                <w:sz w:val="20"/>
                <w:szCs w:val="20"/>
              </w:rPr>
            </w:pPr>
            <w:r w:rsidRPr="00577FAF">
              <w:rPr>
                <w:rFonts w:ascii="Arial" w:hAnsi="Arial" w:cs="Arial"/>
                <w:sz w:val="20"/>
                <w:szCs w:val="20"/>
              </w:rPr>
              <w:t>Estado de la ejecución del Decenio de las Naciones Unidas de las Ciencias Oceánicas para el Desarrollo Sostenible y perspectivas para 2025</w:t>
            </w:r>
          </w:p>
        </w:tc>
      </w:tr>
      <w:tr w:rsidR="003A60E3" w:rsidRPr="00577FAF" w14:paraId="7B0C1BF4" w14:textId="77777777" w:rsidTr="00AC70B1">
        <w:tc>
          <w:tcPr>
            <w:tcW w:w="2410" w:type="dxa"/>
            <w:shd w:val="clear" w:color="auto" w:fill="FFFF99"/>
            <w:tcMar>
              <w:top w:w="57" w:type="dxa"/>
              <w:bottom w:w="57" w:type="dxa"/>
            </w:tcMar>
          </w:tcPr>
          <w:p w14:paraId="214781D0" w14:textId="77777777" w:rsidR="003A60E3" w:rsidRPr="00577FAF" w:rsidRDefault="003A60E3">
            <w:pPr>
              <w:rPr>
                <w:rFonts w:ascii="Arial" w:hAnsi="Arial" w:cs="Arial"/>
                <w:i/>
                <w:color w:val="000000"/>
                <w:sz w:val="20"/>
                <w:szCs w:val="20"/>
                <w:u w:val="single"/>
              </w:rPr>
            </w:pPr>
          </w:p>
        </w:tc>
        <w:tc>
          <w:tcPr>
            <w:tcW w:w="2268" w:type="dxa"/>
            <w:shd w:val="clear" w:color="auto" w:fill="FFFF99"/>
            <w:tcMar>
              <w:top w:w="57" w:type="dxa"/>
              <w:bottom w:w="57" w:type="dxa"/>
            </w:tcMar>
          </w:tcPr>
          <w:p w14:paraId="4F4BD3DD" w14:textId="77777777" w:rsidR="003A60E3" w:rsidRPr="00577FAF" w:rsidRDefault="00CB6A57">
            <w:pPr>
              <w:rPr>
                <w:rFonts w:ascii="Arial" w:hAnsi="Arial" w:cs="Arial"/>
                <w:color w:val="000000"/>
                <w:sz w:val="20"/>
                <w:szCs w:val="20"/>
              </w:rPr>
            </w:pPr>
            <w:r w:rsidRPr="00577FAF">
              <w:rPr>
                <w:rFonts w:ascii="Arial" w:hAnsi="Arial" w:cs="Arial"/>
                <w:sz w:val="20"/>
                <w:szCs w:val="20"/>
              </w:rPr>
              <w:t>IOC/EC-57/4.7.Doc(2)</w:t>
            </w:r>
          </w:p>
        </w:tc>
        <w:tc>
          <w:tcPr>
            <w:tcW w:w="5069" w:type="dxa"/>
            <w:shd w:val="clear" w:color="auto" w:fill="FFFF99"/>
            <w:tcMar>
              <w:top w:w="57" w:type="dxa"/>
              <w:bottom w:w="57" w:type="dxa"/>
            </w:tcMar>
          </w:tcPr>
          <w:p w14:paraId="2B0BB42E" w14:textId="0BE9ABBD" w:rsidR="003A60E3" w:rsidRPr="00577FAF" w:rsidRDefault="00CB6A57">
            <w:pPr>
              <w:spacing w:after="60"/>
              <w:rPr>
                <w:rFonts w:ascii="Arial" w:hAnsi="Arial" w:cs="Arial"/>
                <w:color w:val="000000"/>
                <w:sz w:val="20"/>
                <w:szCs w:val="20"/>
              </w:rPr>
            </w:pPr>
            <w:r w:rsidRPr="00577FAF">
              <w:rPr>
                <w:rFonts w:ascii="Arial" w:hAnsi="Arial" w:cs="Arial"/>
                <w:sz w:val="20"/>
                <w:szCs w:val="20"/>
              </w:rPr>
              <w:t xml:space="preserve">Proyecto de marco para </w:t>
            </w:r>
            <w:r w:rsidR="007D1E99" w:rsidRPr="00577FAF">
              <w:rPr>
                <w:rFonts w:ascii="Arial" w:hAnsi="Arial" w:cs="Arial"/>
                <w:sz w:val="20"/>
                <w:szCs w:val="20"/>
              </w:rPr>
              <w:t>la evaluación</w:t>
            </w:r>
            <w:r w:rsidRPr="00577FAF">
              <w:rPr>
                <w:rFonts w:ascii="Arial" w:hAnsi="Arial" w:cs="Arial"/>
                <w:sz w:val="20"/>
                <w:szCs w:val="20"/>
              </w:rPr>
              <w:t xml:space="preserve"> de mitad de periodo del Decenio del Océano</w:t>
            </w:r>
            <w:r w:rsidR="004C1803" w:rsidRPr="00577FAF">
              <w:rPr>
                <w:rFonts w:ascii="Arial" w:hAnsi="Arial" w:cs="Arial"/>
                <w:sz w:val="20"/>
                <w:szCs w:val="20"/>
              </w:rPr>
              <w:t xml:space="preserve"> </w:t>
            </w:r>
          </w:p>
        </w:tc>
      </w:tr>
      <w:tr w:rsidR="003A60E3" w:rsidRPr="00EA695A" w14:paraId="5C860A1F" w14:textId="77777777" w:rsidTr="00AC70B1">
        <w:tc>
          <w:tcPr>
            <w:tcW w:w="2410" w:type="dxa"/>
            <w:shd w:val="clear" w:color="auto" w:fill="FBD4B4"/>
            <w:tcMar>
              <w:top w:w="57" w:type="dxa"/>
              <w:bottom w:w="57" w:type="dxa"/>
            </w:tcMar>
          </w:tcPr>
          <w:p w14:paraId="1A995847" w14:textId="77777777" w:rsidR="003A60E3" w:rsidRPr="00577FAF" w:rsidRDefault="00CB6A57">
            <w:pPr>
              <w:rPr>
                <w:rFonts w:ascii="Arial" w:hAnsi="Arial" w:cs="Arial"/>
                <w:i/>
                <w:color w:val="000000"/>
                <w:sz w:val="20"/>
                <w:szCs w:val="20"/>
                <w:u w:val="single"/>
              </w:rPr>
            </w:pPr>
            <w:r w:rsidRPr="00577FAF">
              <w:rPr>
                <w:rFonts w:ascii="Arial" w:hAnsi="Arial" w:cs="Arial"/>
                <w:i/>
                <w:iCs/>
                <w:sz w:val="20"/>
                <w:szCs w:val="20"/>
                <w:u w:val="single"/>
              </w:rPr>
              <w:lastRenderedPageBreak/>
              <w:t>Información</w:t>
            </w:r>
          </w:p>
        </w:tc>
        <w:tc>
          <w:tcPr>
            <w:tcW w:w="2268" w:type="dxa"/>
            <w:shd w:val="clear" w:color="auto" w:fill="auto"/>
            <w:tcMar>
              <w:top w:w="57" w:type="dxa"/>
              <w:bottom w:w="57" w:type="dxa"/>
            </w:tcMar>
          </w:tcPr>
          <w:p w14:paraId="07DC605B" w14:textId="77777777" w:rsidR="003A60E3" w:rsidRPr="00577FAF" w:rsidRDefault="00CB6A57">
            <w:pPr>
              <w:rPr>
                <w:rFonts w:ascii="Arial" w:hAnsi="Arial" w:cs="Arial"/>
                <w:color w:val="000000"/>
                <w:sz w:val="20"/>
                <w:szCs w:val="20"/>
              </w:rPr>
            </w:pPr>
            <w:r w:rsidRPr="00577FAF">
              <w:rPr>
                <w:rFonts w:ascii="Arial" w:hAnsi="Arial" w:cs="Arial"/>
                <w:sz w:val="20"/>
                <w:szCs w:val="20"/>
              </w:rPr>
              <w:t>IOC/INF-1539</w:t>
            </w:r>
          </w:p>
        </w:tc>
        <w:tc>
          <w:tcPr>
            <w:tcW w:w="5069" w:type="dxa"/>
            <w:shd w:val="clear" w:color="auto" w:fill="auto"/>
            <w:tcMar>
              <w:top w:w="57" w:type="dxa"/>
              <w:bottom w:w="57" w:type="dxa"/>
            </w:tcMar>
          </w:tcPr>
          <w:p w14:paraId="2C693E41" w14:textId="1E6E242A" w:rsidR="003A60E3" w:rsidRPr="00667A5C" w:rsidRDefault="00815337">
            <w:pPr>
              <w:spacing w:after="60"/>
              <w:rPr>
                <w:rFonts w:ascii="Arial" w:hAnsi="Arial" w:cs="Arial"/>
                <w:color w:val="000000"/>
                <w:sz w:val="20"/>
                <w:szCs w:val="20"/>
                <w:lang w:val="en-US"/>
              </w:rPr>
            </w:pPr>
            <w:r w:rsidRPr="00667A5C">
              <w:rPr>
                <w:rFonts w:ascii="Arial" w:hAnsi="Arial" w:cs="Arial"/>
                <w:bCs/>
                <w:iCs/>
                <w:color w:val="000000"/>
                <w:sz w:val="20"/>
                <w:szCs w:val="20"/>
                <w:lang w:val="en-US"/>
              </w:rPr>
              <w:t>Status of IOC and non-IOC Decade Actions and Resource Needs</w:t>
            </w:r>
          </w:p>
        </w:tc>
      </w:tr>
      <w:tr w:rsidR="003A60E3" w:rsidRPr="00577FAF" w14:paraId="380F3340" w14:textId="77777777" w:rsidTr="00AC70B1">
        <w:tc>
          <w:tcPr>
            <w:tcW w:w="2410" w:type="dxa"/>
            <w:shd w:val="clear" w:color="auto" w:fill="FBD4B4"/>
            <w:tcMar>
              <w:top w:w="57" w:type="dxa"/>
              <w:bottom w:w="57" w:type="dxa"/>
            </w:tcMar>
          </w:tcPr>
          <w:p w14:paraId="088F83BD" w14:textId="77777777" w:rsidR="003A60E3" w:rsidRPr="00667A5C" w:rsidRDefault="003A60E3">
            <w:pPr>
              <w:rPr>
                <w:rFonts w:ascii="Arial" w:hAnsi="Arial" w:cs="Arial"/>
                <w:i/>
                <w:color w:val="000000"/>
                <w:sz w:val="20"/>
                <w:szCs w:val="20"/>
                <w:u w:val="single"/>
                <w:lang w:val="en-US"/>
              </w:rPr>
            </w:pPr>
          </w:p>
        </w:tc>
        <w:tc>
          <w:tcPr>
            <w:tcW w:w="2268" w:type="dxa"/>
            <w:shd w:val="clear" w:color="auto" w:fill="auto"/>
            <w:tcMar>
              <w:top w:w="57" w:type="dxa"/>
              <w:bottom w:w="57" w:type="dxa"/>
            </w:tcMar>
          </w:tcPr>
          <w:p w14:paraId="04BDA7B5" w14:textId="50535317" w:rsidR="003A60E3" w:rsidRPr="00577FAF" w:rsidRDefault="00815337">
            <w:pPr>
              <w:rPr>
                <w:rFonts w:ascii="Arial" w:hAnsi="Arial" w:cs="Arial"/>
                <w:i/>
                <w:iCs/>
                <w:color w:val="000000"/>
                <w:sz w:val="20"/>
                <w:szCs w:val="20"/>
              </w:rPr>
            </w:pPr>
            <w:r w:rsidRPr="00577FAF">
              <w:rPr>
                <w:rFonts w:ascii="Arial" w:hAnsi="Arial" w:cs="Arial"/>
                <w:color w:val="000000"/>
                <w:sz w:val="20"/>
                <w:szCs w:val="20"/>
              </w:rPr>
              <w:t xml:space="preserve">IOC </w:t>
            </w:r>
            <w:proofErr w:type="spellStart"/>
            <w:r w:rsidRPr="00577FAF">
              <w:rPr>
                <w:rFonts w:ascii="Arial" w:hAnsi="Arial" w:cs="Arial"/>
                <w:color w:val="000000"/>
                <w:sz w:val="20"/>
                <w:szCs w:val="20"/>
              </w:rPr>
              <w:t>Ocean</w:t>
            </w:r>
            <w:proofErr w:type="spellEnd"/>
            <w:r w:rsidRPr="00577FAF">
              <w:rPr>
                <w:rFonts w:ascii="Arial" w:hAnsi="Arial" w:cs="Arial"/>
                <w:color w:val="000000"/>
                <w:sz w:val="20"/>
                <w:szCs w:val="20"/>
              </w:rPr>
              <w:t xml:space="preserve"> </w:t>
            </w:r>
            <w:proofErr w:type="spellStart"/>
            <w:r w:rsidRPr="00577FAF">
              <w:rPr>
                <w:rFonts w:ascii="Arial" w:hAnsi="Arial" w:cs="Arial"/>
                <w:color w:val="000000"/>
                <w:sz w:val="20"/>
                <w:szCs w:val="20"/>
              </w:rPr>
              <w:t>Decade</w:t>
            </w:r>
            <w:proofErr w:type="spellEnd"/>
            <w:r w:rsidRPr="00577FAF">
              <w:rPr>
                <w:rFonts w:ascii="Arial" w:hAnsi="Arial" w:cs="Arial"/>
                <w:color w:val="000000"/>
                <w:sz w:val="20"/>
                <w:szCs w:val="20"/>
              </w:rPr>
              <w:t xml:space="preserve"> Series, 50</w:t>
            </w:r>
          </w:p>
        </w:tc>
        <w:tc>
          <w:tcPr>
            <w:tcW w:w="5069" w:type="dxa"/>
            <w:shd w:val="clear" w:color="auto" w:fill="auto"/>
            <w:tcMar>
              <w:top w:w="57" w:type="dxa"/>
              <w:bottom w:w="57" w:type="dxa"/>
            </w:tcMar>
          </w:tcPr>
          <w:p w14:paraId="7AD77E24" w14:textId="77777777" w:rsidR="003A60E3" w:rsidRPr="00577FAF" w:rsidRDefault="00CB6A57">
            <w:pPr>
              <w:spacing w:after="60"/>
              <w:rPr>
                <w:rFonts w:ascii="Arial" w:hAnsi="Arial" w:cs="Arial"/>
                <w:bCs/>
                <w:iCs/>
                <w:color w:val="000000"/>
                <w:sz w:val="20"/>
                <w:szCs w:val="20"/>
              </w:rPr>
            </w:pPr>
            <w:proofErr w:type="spellStart"/>
            <w:r w:rsidRPr="00577FAF">
              <w:rPr>
                <w:rFonts w:ascii="Arial" w:hAnsi="Arial" w:cs="Arial"/>
                <w:sz w:val="20"/>
                <w:szCs w:val="20"/>
              </w:rPr>
              <w:t>Vision</w:t>
            </w:r>
            <w:proofErr w:type="spellEnd"/>
            <w:r w:rsidRPr="00577FAF">
              <w:rPr>
                <w:rFonts w:ascii="Arial" w:hAnsi="Arial" w:cs="Arial"/>
                <w:sz w:val="20"/>
                <w:szCs w:val="20"/>
              </w:rPr>
              <w:t xml:space="preserve"> 2030 </w:t>
            </w:r>
            <w:proofErr w:type="spellStart"/>
            <w:r w:rsidRPr="00577FAF">
              <w:rPr>
                <w:rFonts w:ascii="Arial" w:hAnsi="Arial" w:cs="Arial"/>
                <w:sz w:val="20"/>
                <w:szCs w:val="20"/>
              </w:rPr>
              <w:t>Outcomes</w:t>
            </w:r>
            <w:proofErr w:type="spellEnd"/>
            <w:r w:rsidRPr="00577FAF">
              <w:rPr>
                <w:rFonts w:ascii="Arial" w:hAnsi="Arial" w:cs="Arial"/>
                <w:sz w:val="20"/>
                <w:szCs w:val="20"/>
              </w:rPr>
              <w:t xml:space="preserve"> </w:t>
            </w:r>
            <w:proofErr w:type="spellStart"/>
            <w:r w:rsidRPr="00577FAF">
              <w:rPr>
                <w:rFonts w:ascii="Arial" w:hAnsi="Arial" w:cs="Arial"/>
                <w:sz w:val="20"/>
                <w:szCs w:val="20"/>
              </w:rPr>
              <w:t>Report</w:t>
            </w:r>
            <w:proofErr w:type="spellEnd"/>
          </w:p>
        </w:tc>
      </w:tr>
    </w:tbl>
    <w:p w14:paraId="3A2E0115" w14:textId="77777777" w:rsidR="003A60E3" w:rsidRPr="00577FAF" w:rsidRDefault="003A60E3">
      <w:pPr>
        <w:pStyle w:val="Style2"/>
        <w:tabs>
          <w:tab w:val="clear" w:pos="1400"/>
          <w:tab w:val="left" w:pos="709"/>
        </w:tabs>
        <w:spacing w:after="0"/>
        <w:ind w:left="0"/>
        <w:rPr>
          <w:rFonts w:cs="Arial"/>
        </w:rPr>
      </w:pPr>
    </w:p>
    <w:p w14:paraId="11EC4C83" w14:textId="77777777" w:rsidR="004C1803" w:rsidRPr="00577FAF" w:rsidRDefault="00CB6A57">
      <w:pPr>
        <w:pStyle w:val="Style2"/>
        <w:numPr>
          <w:ilvl w:val="0"/>
          <w:numId w:val="7"/>
        </w:numPr>
        <w:tabs>
          <w:tab w:val="left" w:pos="709"/>
        </w:tabs>
        <w:ind w:left="0" w:hanging="567"/>
        <w:rPr>
          <w:rFonts w:cs="Arial"/>
        </w:rPr>
      </w:pPr>
      <w:r w:rsidRPr="00577FAF">
        <w:rPr>
          <w:rFonts w:cs="Arial"/>
        </w:rPr>
        <w:t>Presentó este punto el Secretario Ejecutivo, quien destacó que el Decenio entra ahora en su cuarto año de ejecución y que la cartera de acciones del Decenio y la red de estructuras de coordinación descentralizadas siguen creciendo rápidamente. El Secretario Ejecutivo reconoció la importancia de la Conferencia del Decenio del Océano de 2024 (Barcelona, abril de 2024) y de la Declaración de Barcelona resultante de dicha Conferencia para configurar las futuras prioridades del Decenio. A este respecto, dio las gracias al Reino de España por haber acogido la Conferencia y destacó con agradecimiento la labor de los miembros de los grupos de trabajo del proceso Visión 2030, así como la de todos los demás asociados que contribuyeron al éxito de la Conferencia. Asimismo, subrayó la importancia de la labor realizada por la Junta Asesora del Decenio para brindar orientaciones estratégicas sobre la aplicación de las prioridades enunciadas en el informe sobre los resultados del proceso Visión 2030 y en la Declaración de Barcelona, y agradeció el compromiso de sus copresidentes y miembros.</w:t>
      </w:r>
    </w:p>
    <w:p w14:paraId="313FF4D0" w14:textId="77777777" w:rsidR="004C1803" w:rsidRPr="00577FAF" w:rsidRDefault="00CB6A57">
      <w:pPr>
        <w:pStyle w:val="Style2"/>
        <w:numPr>
          <w:ilvl w:val="0"/>
          <w:numId w:val="7"/>
        </w:numPr>
        <w:tabs>
          <w:tab w:val="left" w:pos="709"/>
        </w:tabs>
        <w:ind w:left="0" w:hanging="567"/>
        <w:rPr>
          <w:rFonts w:cs="Arial"/>
        </w:rPr>
      </w:pPr>
      <w:r w:rsidRPr="00577FAF">
        <w:rPr>
          <w:rFonts w:cs="Arial"/>
        </w:rPr>
        <w:t>El Secretario Ejecutivo destacó varias recomendaciones que surgieron de la Conferencia por ser de especial relevancia para los Estados Miembros, entre ellas la importancia de la acción en el plano nacional, la mejora de los marcos normativos para impulsar la ciencia y la generación de conocimientos, el apoyo a los PEID y los PMA y las alianzas con ellos y los cambios necesarios en el volumen y la estructura de la inversión en iniciativas e infraestructuras de ciencias oceánicas. En este sentido, alentó a todos los Estados Miembros a que tuvieran presentes estas prioridades al elaborar sus actividades de apoyo al Decenio del Océano. Por último, recordó a los Estados Miembros que la COI dirige una serie de acciones y estructuras de coordinación del Decenio y que, si cuentan con los recursos adecuados, estas iniciativas pueden contribuir sustancialmente al crecimiento sostenido, el posicionamiento y las repercusiones de la COI.</w:t>
      </w:r>
    </w:p>
    <w:p w14:paraId="7D9FA461" w14:textId="77777777" w:rsidR="004C1803" w:rsidRPr="00577FAF" w:rsidRDefault="00CB6A57">
      <w:pPr>
        <w:pStyle w:val="Style2"/>
        <w:numPr>
          <w:ilvl w:val="0"/>
          <w:numId w:val="7"/>
        </w:numPr>
        <w:tabs>
          <w:tab w:val="left" w:pos="709"/>
        </w:tabs>
        <w:ind w:left="0" w:hanging="567"/>
        <w:rPr>
          <w:rFonts w:cs="Arial"/>
        </w:rPr>
      </w:pPr>
      <w:r w:rsidRPr="00577FAF">
        <w:rPr>
          <w:rFonts w:cs="Arial"/>
        </w:rPr>
        <w:t>Tras la introducción del Secretario Ejecutivo, el Sr. Julian Barbière, coordinador interino del Decenio del Océano, con el apoyo de la Sra. Alison Clausen, especialista del programa, presentó una sinopsis de los progresos realizados en la puesta en práctica del plan de ejecución. El Sr. Barbière informó de que, hasta la fecha, se han concluido seis convocatorias de acciones del Decenio que han dado lugar a la aprobación de 52 programas del Decenio, 320 proyectos del Decenio y 99 contribuciones para el Decenio. Actualmente está abierta la séptima Convocatoria de Acciones del Decenio, hasta el 31 de agosto de 2024, que se centra principalmente en la aportación de recursos financieros y en especie esenciales para reforzar la cartera de acciones del Decenio ya existentes. El Sr. Barbière señaló que, aunque la cartera de acciones del Decenio presenta una gran diversidad temática, sigue habiendo importantes carencias en los PEID y los PMA, y recordó a los Estados Miembros que en la Convocatoria de Acciones del Decenio n.º 06/2023 se habían seleccionado nuevas acciones del Decenio de los PEID y los PMA que están recibiendo apoyo y mentoría en procesos de formulación conjunta. Además, indicó que las futuras convocatorias de acciones del Decenio se centrarían cada vez más en las importantes lagunas geográficas y temáticas existentes en el ecosistema general de las acciones del Decenio, basándose en los resultados del proceso Visión 2030.</w:t>
      </w:r>
    </w:p>
    <w:p w14:paraId="70720EC1" w14:textId="77777777" w:rsidR="004C1803" w:rsidRPr="00577FAF" w:rsidRDefault="00CB6A57">
      <w:pPr>
        <w:pStyle w:val="Style2"/>
        <w:numPr>
          <w:ilvl w:val="0"/>
          <w:numId w:val="7"/>
        </w:numPr>
        <w:tabs>
          <w:tab w:val="left" w:pos="709"/>
        </w:tabs>
        <w:ind w:left="0" w:hanging="567"/>
        <w:rPr>
          <w:rFonts w:cs="Arial"/>
        </w:rPr>
      </w:pPr>
      <w:r w:rsidRPr="00577FAF">
        <w:rPr>
          <w:rFonts w:cs="Arial"/>
        </w:rPr>
        <w:t xml:space="preserve">El Sr. Barbière informó sobre la red cada vez más amplia compuesta por 12 estructuras de coordinación descentralizadas, que asociados esenciales para coordinar y apoyar las acciones del Decenio existentes, analizar las deficiencias y las prioridades futuras y catalizar nuevas acciones del Decenio en respuesta a futuras convocatorias. Asimismo, agradeció a las instituciones asociadas su compromiso de establecer estructuras de coordinación descentralizadas. A este respecto, destacó que la actual Convocatoria de Acciones del Decenio </w:t>
      </w:r>
      <w:proofErr w:type="spellStart"/>
      <w:r w:rsidRPr="00577FAF">
        <w:rPr>
          <w:rFonts w:cs="Arial"/>
        </w:rPr>
        <w:t>nº</w:t>
      </w:r>
      <w:proofErr w:type="spellEnd"/>
      <w:r w:rsidRPr="00577FAF">
        <w:rPr>
          <w:rFonts w:cs="Arial"/>
        </w:rPr>
        <w:t xml:space="preserve"> 07/2024 también solicita a las nuevas estructuras de coordinación descentralizadas que colmen las lagunas temáticas y </w:t>
      </w:r>
      <w:r w:rsidRPr="00577FAF">
        <w:rPr>
          <w:rFonts w:cs="Arial"/>
        </w:rPr>
        <w:lastRenderedPageBreak/>
        <w:t>geográficas críticas. También recordó al Consejo Ejecutivo que las oficinas de coordinación del Decenio dirigidas por la COI necesitaban recursos adicionales para ser plenamente operativas.</w:t>
      </w:r>
    </w:p>
    <w:p w14:paraId="62ACE325" w14:textId="77777777" w:rsidR="004C1803" w:rsidRPr="00577FAF" w:rsidRDefault="00CB6A57">
      <w:pPr>
        <w:pStyle w:val="Style2"/>
        <w:numPr>
          <w:ilvl w:val="0"/>
          <w:numId w:val="7"/>
        </w:numPr>
        <w:tabs>
          <w:tab w:val="left" w:pos="709"/>
        </w:tabs>
        <w:ind w:left="0" w:hanging="567"/>
        <w:rPr>
          <w:rFonts w:cs="Arial"/>
        </w:rPr>
      </w:pPr>
      <w:r w:rsidRPr="00577FAF">
        <w:rPr>
          <w:rFonts w:cs="Arial"/>
        </w:rPr>
        <w:t>El Sr. Barbière informó sobre la labor de la Junta Asesora del Decenio, cuya composición se renovó en enero de 2024, y que se reunió cuatro veces en los últimos 12 meses. En este sentido, reconoció la labor de la Junta en cuanto a la formulación de recomendaciones sobre la aprobación de los programas del Decenio, así como en la prestación de asesoramiento estratégico sobre la aplicación de las recomendaciones del proceso Visión 2030.</w:t>
      </w:r>
    </w:p>
    <w:p w14:paraId="1D92E4F9" w14:textId="77777777" w:rsidR="004C1803" w:rsidRPr="00577FAF" w:rsidRDefault="00CB6A57">
      <w:pPr>
        <w:pStyle w:val="Style2"/>
        <w:numPr>
          <w:ilvl w:val="0"/>
          <w:numId w:val="7"/>
        </w:numPr>
        <w:tabs>
          <w:tab w:val="left" w:pos="709"/>
        </w:tabs>
        <w:ind w:left="0" w:hanging="567"/>
        <w:rPr>
          <w:rFonts w:cs="Arial"/>
        </w:rPr>
      </w:pPr>
      <w:r w:rsidRPr="00577FAF">
        <w:rPr>
          <w:rFonts w:cs="Arial"/>
        </w:rPr>
        <w:t>El Sr. Barbière confirmó que se habían creado 39 comités nacionales del Decenio, que ya están en funcionamiento, pero recalcó la desigual distribución geográfica de estos comités, ya que hay muy pocos en los PEID o los PMA. A este respecto, destacó que una recomendación clave del proceso Visión 2030 tenía que ver con el fortalecimiento de la función de los comités nacionales del Decenio como forma de incrementar la acción en el plano nacional en relación con el Decenio. Además, alentó a los Estados Miembros a crear nuevos comités nacionales del Decenio e indicó que la Unidad de Coordinación del Decenio y el grupo existente de comités nacionales del Decenio podrían proporcionar mentoría y apoyo a este proceso.</w:t>
      </w:r>
    </w:p>
    <w:p w14:paraId="2766F8D4" w14:textId="77777777" w:rsidR="004C1803" w:rsidRPr="00577FAF" w:rsidRDefault="00CB6A57">
      <w:pPr>
        <w:pStyle w:val="Style2"/>
        <w:numPr>
          <w:ilvl w:val="0"/>
          <w:numId w:val="7"/>
        </w:numPr>
        <w:tabs>
          <w:tab w:val="left" w:pos="709"/>
        </w:tabs>
        <w:ind w:left="0" w:hanging="567"/>
        <w:rPr>
          <w:rFonts w:cs="Arial"/>
        </w:rPr>
      </w:pPr>
      <w:r w:rsidRPr="00577FAF">
        <w:rPr>
          <w:rFonts w:cs="Arial"/>
        </w:rPr>
        <w:t>El Sr. Barbière expuso la contribución que aporta la COI al Decenio, mediante programas y proyectos del Decenio, la Unidad de Coordinación del Decenio y la función de apoyo de las secretarías de sus subcomisiones, que actúan como oficinas de coordinación del Decenio. Además, destacó el gran potencial de las acciones del Decenio dirigidas por la COI y de las estructuras de coordinación para contribuir al fortalecimiento y la ampliación estratégica de los programas y los órganos subsidiarios regionales de la COI, pero señaló las importantes limitaciones de recursos que persisten. En este sentido, alentó encarecidamente a los Estados Miembros a que proporcionaran recursos adicionales en especie y financieros para respaldar la posición central de la COI en el marco del Decenio, tanto a través de su función de coordinación como mediante sus contribuciones programáticas.</w:t>
      </w:r>
    </w:p>
    <w:p w14:paraId="3464A4B9" w14:textId="77777777" w:rsidR="003A60E3" w:rsidRPr="00577FAF" w:rsidRDefault="00CB6A57">
      <w:pPr>
        <w:pStyle w:val="Style2"/>
        <w:numPr>
          <w:ilvl w:val="0"/>
          <w:numId w:val="7"/>
        </w:numPr>
        <w:tabs>
          <w:tab w:val="left" w:pos="709"/>
        </w:tabs>
        <w:ind w:left="0" w:hanging="567"/>
        <w:rPr>
          <w:rFonts w:cs="Arial"/>
        </w:rPr>
      </w:pPr>
      <w:r w:rsidRPr="00577FAF">
        <w:rPr>
          <w:rFonts w:cs="Arial"/>
        </w:rPr>
        <w:t>El Sr. Barbière indicó que las prioridades del Decenio del Océano para los próximos 12 a 18 meses se guiarán por los resultados del proceso Visión 2030 y la Declaración de Barcelona, e incluirán lo siguiente: reforzar los mecanismos para velar por que las necesidades políticas impulsen la ciencia y la generación de conocimientos, en particular en el plano nacional; mantener los mecanismos destinados a apoyar el compromiso y la participación demostrados de los PEID y los PMA en el Decenio, en particular a través del mecanismo de desarrollo de capacidades del Decenio del Océano; poner plenamente en marcha los procesos para implicar en el Decenio a los depositarios de conocimientos indígenas y locales; incrementar los esfuerzos de movilización de recursos; y proseguir el fortalecimiento de las estructuras y los procesos de coordinación.</w:t>
      </w:r>
    </w:p>
    <w:p w14:paraId="14102088" w14:textId="27A76C87" w:rsidR="003A60E3" w:rsidRPr="00577FAF" w:rsidRDefault="00CB6A57">
      <w:pPr>
        <w:pStyle w:val="Style2"/>
        <w:numPr>
          <w:ilvl w:val="0"/>
          <w:numId w:val="7"/>
        </w:numPr>
        <w:tabs>
          <w:tab w:val="left" w:pos="709"/>
        </w:tabs>
        <w:ind w:left="0" w:hanging="567"/>
        <w:rPr>
          <w:rFonts w:cs="Arial"/>
        </w:rPr>
      </w:pPr>
      <w:r w:rsidRPr="00577FAF">
        <w:rPr>
          <w:rFonts w:cs="Arial"/>
        </w:rPr>
        <w:t>El Sr. Barbière subrayó la importancia de utilizar la serie de eventos y conferencias internacionales que han tenido o tendrán lugar en 2024 y 2025 como plataformas para aumentar la notoriedad de los resultados del proceso Visión 2030 y catalizar nuevas alianzas e iniciativas. Entre estos eventos figuran la Conferencia “Nuestro Océano” (Grecia, abril de 202</w:t>
      </w:r>
      <w:r w:rsidR="00BB330C" w:rsidRPr="00577FAF">
        <w:rPr>
          <w:rFonts w:cs="Arial"/>
        </w:rPr>
        <w:t>4</w:t>
      </w:r>
      <w:r w:rsidRPr="00577FAF">
        <w:rPr>
          <w:rFonts w:cs="Arial"/>
        </w:rPr>
        <w:t>), la Cuarta Conferencia Internacional sobre los Pequeños Estados Insulares en Desarrollo (Antigua y Barbuda, mayo de 2024), la conferencia “Inmersos en el cambio” (Costa Rica, junio de 2024), la 16ª Conferencia de las Partes en el Convenio sobre la Diversidad Biológica (Colombia, noviembre de 2024) y la 29ª Conferencia de las Partes en la CMNUCC (Azerbaiyán, noviembre de 2024), y culminarán en la Conferencia de las Naciones Unidas sobre el Océano que se celebrará en Niza (Francia) en junio de 2025. Además de estos eventos se celebrarán numerosos eventos regionales y nacionales que permitirán trasladar los resultados globales del proceso Visión 2030 a los diferentes contextos geográficos.</w:t>
      </w:r>
    </w:p>
    <w:p w14:paraId="49BCB448" w14:textId="77777777" w:rsidR="004C1803" w:rsidRPr="00577FAF" w:rsidRDefault="00CB6A57">
      <w:pPr>
        <w:pStyle w:val="Style2"/>
        <w:numPr>
          <w:ilvl w:val="0"/>
          <w:numId w:val="7"/>
        </w:numPr>
        <w:tabs>
          <w:tab w:val="left" w:pos="709"/>
        </w:tabs>
        <w:ind w:left="0" w:hanging="567"/>
        <w:rPr>
          <w:rFonts w:cs="Arial"/>
        </w:rPr>
      </w:pPr>
      <w:r w:rsidRPr="00577FAF">
        <w:rPr>
          <w:rFonts w:cs="Arial"/>
        </w:rPr>
        <w:t xml:space="preserve">El Sr. Barbière recordó al Consejo Ejecutivo que 2025 será el punto intermedio del Decenio del Océano y señaló a la atención de los Estados Miembros el documento IOC/EC-57/4.7.Doc(2), en el que figura el proyecto de marco para el examen de mitad de periodo del Decenio. A este respecto, </w:t>
      </w:r>
      <w:r w:rsidRPr="00577FAF">
        <w:rPr>
          <w:rFonts w:cs="Arial"/>
        </w:rPr>
        <w:lastRenderedPageBreak/>
        <w:t>señaló que los resultados y las recomendaciones de esta evaluación se presentarán a la Asamblea de la COI en su 33ª reunión, en 2025.</w:t>
      </w:r>
    </w:p>
    <w:p w14:paraId="675D14CE" w14:textId="5CFB4258" w:rsidR="003A60E3" w:rsidRPr="00577FAF" w:rsidRDefault="00CB6A57">
      <w:pPr>
        <w:pStyle w:val="Style2"/>
        <w:numPr>
          <w:ilvl w:val="0"/>
          <w:numId w:val="7"/>
        </w:numPr>
        <w:tabs>
          <w:tab w:val="left" w:pos="709"/>
        </w:tabs>
        <w:ind w:left="0" w:hanging="567"/>
        <w:rPr>
          <w:rFonts w:cs="Arial"/>
        </w:rPr>
      </w:pPr>
      <w:r w:rsidRPr="00577FAF">
        <w:rPr>
          <w:rFonts w:cs="Arial"/>
        </w:rPr>
        <w:t>Por último, el Sr. Barbière informó al Consejo Ejecutivo acerca de los documentos de información relativos a la ejecución del Decenio, que incluyen información actualizada sobre la situación de las acciones del Decenio y las necesidades de recursos para la COI y las iniciativas dirigidas por sus asociados, así como un informe sobre la labor de la Junta Asesora del Decenio y el informe final sobre los resultados del proceso Visión 2030</w:t>
      </w:r>
      <w:r w:rsidRPr="00577FAF">
        <w:rPr>
          <w:rFonts w:cs="Arial"/>
          <w:i/>
        </w:rPr>
        <w:t xml:space="preserve"> </w:t>
      </w:r>
      <w:r w:rsidR="00BB330C" w:rsidRPr="00577FAF">
        <w:rPr>
          <w:rFonts w:cs="Arial"/>
        </w:rPr>
        <w:t>(</w:t>
      </w:r>
      <w:r w:rsidR="00BB330C" w:rsidRPr="00577FAF">
        <w:rPr>
          <w:rFonts w:cs="Arial"/>
          <w:color w:val="000000"/>
        </w:rPr>
        <w:t xml:space="preserve">IOC </w:t>
      </w:r>
      <w:proofErr w:type="spellStart"/>
      <w:r w:rsidR="00BB330C" w:rsidRPr="00577FAF">
        <w:rPr>
          <w:rFonts w:cs="Arial"/>
          <w:color w:val="000000"/>
        </w:rPr>
        <w:t>Ocean</w:t>
      </w:r>
      <w:proofErr w:type="spellEnd"/>
      <w:r w:rsidR="00BB330C" w:rsidRPr="00577FAF">
        <w:rPr>
          <w:rFonts w:cs="Arial"/>
          <w:color w:val="000000"/>
        </w:rPr>
        <w:t xml:space="preserve"> </w:t>
      </w:r>
      <w:proofErr w:type="spellStart"/>
      <w:r w:rsidR="00BB330C" w:rsidRPr="00577FAF">
        <w:rPr>
          <w:rFonts w:cs="Arial"/>
          <w:color w:val="000000"/>
        </w:rPr>
        <w:t>Decade</w:t>
      </w:r>
      <w:proofErr w:type="spellEnd"/>
      <w:r w:rsidR="00BB330C" w:rsidRPr="00577FAF">
        <w:rPr>
          <w:rFonts w:cs="Arial"/>
          <w:color w:val="000000"/>
        </w:rPr>
        <w:t xml:space="preserve"> Series, 50)</w:t>
      </w:r>
      <w:r w:rsidRPr="00577FAF">
        <w:rPr>
          <w:rFonts w:cs="Arial"/>
        </w:rPr>
        <w:t>. Recordó al Consejo Ejecutivo que el Decenio es un mecanismo voluntario y que la coordinación se financia íntegramente con fondos extrapresupuestarios. Asimismo, destacó el llamamiento dirigido a los Estados Miembros en anteriores circulares para que prestaran apoyo financiero y en especie para el Decenio y expresó su sincero agradecimiento a los Estados Miembros y a los asociados que han prestado un apoyo esencial para la coordinación y las acciones del Decenio.</w:t>
      </w:r>
    </w:p>
    <w:tbl>
      <w:tblPr>
        <w:tblW w:w="0" w:type="auto"/>
        <w:shd w:val="clear" w:color="auto" w:fill="FBE4D5"/>
        <w:tblLayout w:type="fixed"/>
        <w:tblCellMar>
          <w:top w:w="113" w:type="dxa"/>
          <w:bottom w:w="113" w:type="dxa"/>
        </w:tblCellMar>
        <w:tblLook w:val="0000" w:firstRow="0" w:lastRow="0" w:firstColumn="0" w:lastColumn="0" w:noHBand="0" w:noVBand="0"/>
      </w:tblPr>
      <w:tblGrid>
        <w:gridCol w:w="9747"/>
      </w:tblGrid>
      <w:tr w:rsidR="003A60E3" w:rsidRPr="00577FAF" w14:paraId="0402082E" w14:textId="77777777" w:rsidTr="00B24BC9">
        <w:trPr>
          <w:cantSplit/>
          <w:trHeight w:val="604"/>
        </w:trPr>
        <w:tc>
          <w:tcPr>
            <w:tcW w:w="9747" w:type="dxa"/>
            <w:shd w:val="clear" w:color="auto" w:fill="FBE4D5"/>
            <w:tcMar>
              <w:top w:w="113" w:type="dxa"/>
              <w:bottom w:w="113" w:type="dxa"/>
            </w:tcMar>
          </w:tcPr>
          <w:p w14:paraId="78F41D31" w14:textId="77777777" w:rsidR="003A60E3" w:rsidRPr="00577FAF" w:rsidRDefault="00CB6A57">
            <w:pPr>
              <w:spacing w:after="120"/>
              <w:jc w:val="both"/>
              <w:rPr>
                <w:rFonts w:ascii="Arial" w:eastAsia="Calibri" w:hAnsi="Arial" w:cs="Arial"/>
                <w:bCs/>
                <w:i/>
                <w:iCs/>
                <w:sz w:val="22"/>
                <w:szCs w:val="22"/>
                <w:u w:val="single"/>
              </w:rPr>
            </w:pPr>
            <w:r w:rsidRPr="00577FAF">
              <w:rPr>
                <w:rFonts w:ascii="Arial" w:hAnsi="Arial" w:cs="Arial"/>
                <w:sz w:val="22"/>
                <w:szCs w:val="22"/>
                <w:u w:val="single"/>
              </w:rPr>
              <w:t>Proyecto de resolución EC-57/[4.7]</w:t>
            </w:r>
            <w:r w:rsidRPr="00577FAF">
              <w:rPr>
                <w:rFonts w:ascii="Arial" w:hAnsi="Arial" w:cs="Arial"/>
                <w:sz w:val="22"/>
                <w:szCs w:val="22"/>
              </w:rPr>
              <w:t xml:space="preserve"> </w:t>
            </w:r>
            <w:r w:rsidRPr="00577FAF">
              <w:rPr>
                <w:rFonts w:ascii="Arial" w:hAnsi="Arial" w:cs="Arial"/>
                <w:i/>
                <w:iCs/>
                <w:sz w:val="22"/>
                <w:szCs w:val="22"/>
              </w:rPr>
              <w:t>[por completar]</w:t>
            </w:r>
          </w:p>
          <w:p w14:paraId="4810D264" w14:textId="77777777" w:rsidR="004C1803" w:rsidRPr="00577FAF" w:rsidRDefault="00CB6A57">
            <w:pPr>
              <w:spacing w:after="360"/>
              <w:jc w:val="both"/>
              <w:rPr>
                <w:rFonts w:ascii="Arial" w:hAnsi="Arial" w:cs="Arial"/>
                <w:sz w:val="22"/>
                <w:szCs w:val="22"/>
              </w:rPr>
            </w:pPr>
            <w:r w:rsidRPr="00577FAF">
              <w:rPr>
                <w:rFonts w:ascii="Arial" w:hAnsi="Arial" w:cs="Arial"/>
                <w:sz w:val="22"/>
                <w:szCs w:val="22"/>
              </w:rPr>
              <w:t>Presentado por</w:t>
            </w:r>
          </w:p>
          <w:p w14:paraId="48642E41" w14:textId="77777777" w:rsidR="003A60E3" w:rsidRPr="00577FAF" w:rsidRDefault="00CB6A57">
            <w:pPr>
              <w:spacing w:after="120"/>
              <w:jc w:val="center"/>
              <w:rPr>
                <w:rFonts w:ascii="Arial" w:hAnsi="Arial" w:cs="Arial"/>
                <w:b/>
                <w:bCs/>
                <w:sz w:val="22"/>
                <w:szCs w:val="22"/>
              </w:rPr>
            </w:pPr>
            <w:r w:rsidRPr="00577FAF">
              <w:rPr>
                <w:rFonts w:ascii="Arial" w:hAnsi="Arial" w:cs="Arial"/>
                <w:b/>
                <w:bCs/>
                <w:sz w:val="22"/>
                <w:szCs w:val="22"/>
              </w:rPr>
              <w:t>Título</w:t>
            </w:r>
          </w:p>
          <w:p w14:paraId="464F4AFB" w14:textId="77777777" w:rsidR="004C1803" w:rsidRPr="00577FAF" w:rsidRDefault="00CB6A57">
            <w:pPr>
              <w:spacing w:after="120"/>
              <w:ind w:left="709" w:hanging="709"/>
              <w:rPr>
                <w:rFonts w:ascii="Arial" w:hAnsi="Arial" w:cs="Arial"/>
                <w:sz w:val="22"/>
                <w:szCs w:val="22"/>
              </w:rPr>
            </w:pPr>
            <w:r w:rsidRPr="00577FAF">
              <w:rPr>
                <w:rFonts w:ascii="Arial" w:hAnsi="Arial" w:cs="Arial"/>
                <w:sz w:val="22"/>
                <w:szCs w:val="22"/>
              </w:rPr>
              <w:t>El Consejo Ejecutivo,</w:t>
            </w:r>
          </w:p>
          <w:p w14:paraId="6AFC5114" w14:textId="77777777" w:rsidR="004C1803" w:rsidRPr="00577FAF" w:rsidRDefault="00CB6A57" w:rsidP="00632FD6">
            <w:pPr>
              <w:pStyle w:val="NormalWeb"/>
              <w:numPr>
                <w:ilvl w:val="0"/>
                <w:numId w:val="19"/>
              </w:numPr>
              <w:spacing w:after="240" w:afterAutospacing="0"/>
              <w:ind w:hanging="720"/>
              <w:jc w:val="both"/>
              <w:rPr>
                <w:rFonts w:ascii="Arial" w:hAnsi="Arial" w:cs="Arial"/>
                <w:sz w:val="22"/>
                <w:szCs w:val="22"/>
                <w:u w:val="single"/>
                <w:lang w:val="es-ES"/>
              </w:rPr>
            </w:pPr>
            <w:r w:rsidRPr="00577FAF">
              <w:rPr>
                <w:rFonts w:ascii="Arial" w:hAnsi="Arial" w:cs="Arial"/>
                <w:sz w:val="22"/>
                <w:szCs w:val="22"/>
                <w:u w:val="single"/>
                <w:lang w:val="es-ES"/>
              </w:rPr>
              <w:t>Recordando</w:t>
            </w:r>
          </w:p>
          <w:p w14:paraId="6CBF5A8F" w14:textId="77777777" w:rsidR="003A60E3" w:rsidRPr="00577FAF" w:rsidRDefault="003A60E3" w:rsidP="00632FD6">
            <w:pPr>
              <w:numPr>
                <w:ilvl w:val="0"/>
                <w:numId w:val="19"/>
              </w:numPr>
              <w:spacing w:after="240"/>
              <w:ind w:left="567" w:hanging="567"/>
              <w:jc w:val="both"/>
              <w:rPr>
                <w:rFonts w:ascii="Arial" w:hAnsi="Arial" w:cs="Arial"/>
                <w:iCs/>
                <w:sz w:val="22"/>
                <w:szCs w:val="22"/>
              </w:rPr>
            </w:pPr>
          </w:p>
        </w:tc>
      </w:tr>
    </w:tbl>
    <w:p w14:paraId="5D00734C" w14:textId="77777777" w:rsidR="003A60E3" w:rsidRPr="00577FAF" w:rsidRDefault="003A60E3">
      <w:pPr>
        <w:pStyle w:val="Style2"/>
        <w:tabs>
          <w:tab w:val="clear" w:pos="1400"/>
          <w:tab w:val="left" w:pos="709"/>
        </w:tabs>
        <w:spacing w:after="0"/>
        <w:ind w:left="0"/>
        <w:rPr>
          <w:rFonts w:cs="Arial"/>
        </w:rPr>
      </w:pPr>
    </w:p>
    <w:p w14:paraId="7554195A" w14:textId="77777777" w:rsidR="003A60E3" w:rsidRPr="00577FAF" w:rsidRDefault="00CB6A57">
      <w:pPr>
        <w:pStyle w:val="Style2"/>
        <w:numPr>
          <w:ilvl w:val="0"/>
          <w:numId w:val="7"/>
        </w:numPr>
        <w:tabs>
          <w:tab w:val="left" w:pos="709"/>
        </w:tabs>
        <w:ind w:left="0" w:hanging="567"/>
        <w:rPr>
          <w:rFonts w:cs="Arial"/>
        </w:rPr>
      </w:pPr>
      <w:r w:rsidRPr="00577FAF">
        <w:rPr>
          <w:rFonts w:cs="Aria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365D7D5E" w14:textId="77777777" w:rsidR="003A60E3" w:rsidRPr="00577FAF" w:rsidRDefault="00CB6A57" w:rsidP="00326BDC">
      <w:pPr>
        <w:pStyle w:val="Heading1"/>
      </w:pPr>
      <w:bookmarkStart w:id="160" w:name="_Toc85469072"/>
      <w:bookmarkStart w:id="161" w:name="_Toc92752502"/>
      <w:bookmarkStart w:id="162" w:name="_Toc168933434"/>
      <w:r w:rsidRPr="00577FAF">
        <w:t>GOBERNANZA, PROGRAMACIÓN Y PRESUPUESTACIÓN</w:t>
      </w:r>
      <w:r w:rsidR="00F66F8C" w:rsidRPr="00577FAF">
        <w:br/>
      </w:r>
      <w:r w:rsidRPr="00577FAF">
        <w:t>[artículo 6.B de los Estatutos]</w:t>
      </w:r>
      <w:bookmarkEnd w:id="160"/>
      <w:bookmarkEnd w:id="161"/>
      <w:bookmarkEnd w:id="162"/>
    </w:p>
    <w:p w14:paraId="3B9F59BD" w14:textId="77777777" w:rsidR="003A60E3" w:rsidRPr="00577FAF" w:rsidRDefault="00CB6A57">
      <w:pPr>
        <w:pStyle w:val="Heading2"/>
        <w:ind w:left="709" w:hanging="709"/>
        <w:rPr>
          <w:rFonts w:cs="Arial"/>
          <w:szCs w:val="22"/>
        </w:rPr>
      </w:pPr>
      <w:bookmarkStart w:id="163" w:name="_Toc85469073"/>
      <w:bookmarkStart w:id="164" w:name="_Toc92752503"/>
      <w:bookmarkStart w:id="165" w:name="_Toc168933435"/>
      <w:r w:rsidRPr="00577FAF">
        <w:rPr>
          <w:rFonts w:cs="Arial"/>
          <w:szCs w:val="22"/>
        </w:rPr>
        <w:t>5.1</w:t>
      </w:r>
      <w:r w:rsidRPr="00577FAF">
        <w:rPr>
          <w:rFonts w:cs="Arial"/>
          <w:szCs w:val="22"/>
        </w:rPr>
        <w:tab/>
        <w:t>PROGRAMA Y PRESUPUESTO REVISADOS PARA 2024-2025 (42 C/5) Y PROPUESTAS PROVISIONALES PARA 2026-2027 (PROYECTO DE 43 C/5)</w:t>
      </w:r>
      <w:bookmarkEnd w:id="163"/>
      <w:bookmarkEnd w:id="164"/>
      <w:bookmarkEnd w:id="165"/>
    </w:p>
    <w:tbl>
      <w:tblPr>
        <w:tblW w:w="9747" w:type="dxa"/>
        <w:tblLayout w:type="fixed"/>
        <w:tblLook w:val="0000" w:firstRow="0" w:lastRow="0" w:firstColumn="0" w:lastColumn="0" w:noHBand="0" w:noVBand="0"/>
      </w:tblPr>
      <w:tblGrid>
        <w:gridCol w:w="2410"/>
        <w:gridCol w:w="2268"/>
        <w:gridCol w:w="5069"/>
      </w:tblGrid>
      <w:tr w:rsidR="003A60E3" w:rsidRPr="00577FAF" w14:paraId="02A509E3" w14:textId="77777777" w:rsidTr="001F0620">
        <w:tc>
          <w:tcPr>
            <w:tcW w:w="2410" w:type="dxa"/>
            <w:shd w:val="clear" w:color="auto" w:fill="FFFF99"/>
            <w:tcMar>
              <w:top w:w="57" w:type="dxa"/>
              <w:bottom w:w="57" w:type="dxa"/>
            </w:tcMar>
          </w:tcPr>
          <w:p w14:paraId="6B427249" w14:textId="77777777" w:rsidR="003A60E3" w:rsidRPr="00577FAF" w:rsidRDefault="00CB6A57" w:rsidP="00F1291F">
            <w:pPr>
              <w:keepNext/>
              <w:rPr>
                <w:rFonts w:ascii="Arial" w:hAnsi="Arial" w:cs="Arial"/>
                <w:i/>
                <w:color w:val="000000"/>
                <w:sz w:val="20"/>
                <w:szCs w:val="20"/>
                <w:u w:val="single"/>
              </w:rPr>
            </w:pPr>
            <w:r w:rsidRPr="00577FAF">
              <w:rPr>
                <w:rFonts w:ascii="Arial" w:hAnsi="Arial" w:cs="Arial"/>
                <w:i/>
                <w:iCs/>
                <w:sz w:val="20"/>
                <w:szCs w:val="20"/>
                <w:u w:val="single"/>
              </w:rPr>
              <w:t>Documentos de trabajo</w:t>
            </w:r>
          </w:p>
        </w:tc>
        <w:tc>
          <w:tcPr>
            <w:tcW w:w="2268" w:type="dxa"/>
            <w:shd w:val="clear" w:color="auto" w:fill="FFFF99"/>
            <w:tcMar>
              <w:top w:w="57" w:type="dxa"/>
              <w:bottom w:w="57" w:type="dxa"/>
            </w:tcMar>
          </w:tcPr>
          <w:p w14:paraId="6F27576C" w14:textId="77777777" w:rsidR="003A60E3" w:rsidRPr="00577FAF" w:rsidRDefault="00CB6A57" w:rsidP="00F1291F">
            <w:pPr>
              <w:keepNext/>
              <w:rPr>
                <w:rFonts w:ascii="Arial" w:hAnsi="Arial" w:cs="Arial"/>
                <w:color w:val="000000"/>
                <w:sz w:val="20"/>
                <w:szCs w:val="20"/>
              </w:rPr>
            </w:pPr>
            <w:r w:rsidRPr="00577FAF">
              <w:rPr>
                <w:rFonts w:ascii="Arial" w:hAnsi="Arial" w:cs="Arial"/>
                <w:sz w:val="20"/>
                <w:szCs w:val="20"/>
              </w:rPr>
              <w:t>IOC/EC-57/5.1.Doc(1)</w:t>
            </w:r>
          </w:p>
        </w:tc>
        <w:tc>
          <w:tcPr>
            <w:tcW w:w="5069" w:type="dxa"/>
            <w:shd w:val="clear" w:color="auto" w:fill="FFFF99"/>
            <w:tcMar>
              <w:top w:w="57" w:type="dxa"/>
              <w:bottom w:w="57" w:type="dxa"/>
            </w:tcMar>
          </w:tcPr>
          <w:p w14:paraId="5351C2A5" w14:textId="77777777" w:rsidR="003A60E3" w:rsidRPr="00577FAF" w:rsidRDefault="00CB6A57" w:rsidP="00F1291F">
            <w:pPr>
              <w:keepNext/>
              <w:spacing w:after="60"/>
              <w:rPr>
                <w:rFonts w:ascii="Arial" w:hAnsi="Arial" w:cs="Arial"/>
                <w:color w:val="000000"/>
                <w:sz w:val="20"/>
                <w:szCs w:val="20"/>
              </w:rPr>
            </w:pPr>
            <w:r w:rsidRPr="00577FAF">
              <w:rPr>
                <w:rFonts w:ascii="Arial" w:hAnsi="Arial" w:cs="Arial"/>
                <w:sz w:val="20"/>
                <w:szCs w:val="20"/>
              </w:rPr>
              <w:t>Programa y Presupuesto revisados para 2024-2025 (42 C/5) y propuestas provisionales para 2026-2027 (Proyecto de 43 C/5)</w:t>
            </w:r>
          </w:p>
        </w:tc>
      </w:tr>
      <w:tr w:rsidR="003A60E3" w:rsidRPr="00EA695A" w14:paraId="3966C017" w14:textId="77777777" w:rsidTr="001F0620">
        <w:tc>
          <w:tcPr>
            <w:tcW w:w="2410" w:type="dxa"/>
            <w:shd w:val="clear" w:color="auto" w:fill="F7CAAC"/>
            <w:tcMar>
              <w:top w:w="57" w:type="dxa"/>
              <w:bottom w:w="57" w:type="dxa"/>
            </w:tcMar>
          </w:tcPr>
          <w:p w14:paraId="10790A0E" w14:textId="77777777" w:rsidR="003A60E3" w:rsidRPr="00577FAF" w:rsidRDefault="00CB6A57">
            <w:pPr>
              <w:rPr>
                <w:rFonts w:ascii="Arial" w:hAnsi="Arial" w:cs="Arial"/>
                <w:i/>
                <w:color w:val="000000"/>
                <w:sz w:val="20"/>
                <w:szCs w:val="20"/>
                <w:u w:val="single"/>
              </w:rPr>
            </w:pPr>
            <w:r w:rsidRPr="00577FAF">
              <w:rPr>
                <w:rFonts w:ascii="Arial" w:hAnsi="Arial" w:cs="Arial"/>
                <w:i/>
                <w:iCs/>
                <w:sz w:val="20"/>
                <w:szCs w:val="20"/>
                <w:u w:val="single"/>
              </w:rPr>
              <w:t>Información</w:t>
            </w:r>
          </w:p>
        </w:tc>
        <w:tc>
          <w:tcPr>
            <w:tcW w:w="2268" w:type="dxa"/>
            <w:shd w:val="clear" w:color="auto" w:fill="auto"/>
            <w:tcMar>
              <w:top w:w="57" w:type="dxa"/>
              <w:bottom w:w="57" w:type="dxa"/>
            </w:tcMar>
          </w:tcPr>
          <w:p w14:paraId="0E838499" w14:textId="77777777" w:rsidR="003A60E3" w:rsidRPr="00577FAF" w:rsidRDefault="00CB6A57">
            <w:pPr>
              <w:rPr>
                <w:rFonts w:ascii="Arial" w:hAnsi="Arial" w:cs="Arial"/>
                <w:color w:val="000000"/>
                <w:sz w:val="20"/>
                <w:szCs w:val="20"/>
              </w:rPr>
            </w:pPr>
            <w:r w:rsidRPr="00577FAF">
              <w:rPr>
                <w:rFonts w:ascii="Arial" w:hAnsi="Arial" w:cs="Arial"/>
                <w:sz w:val="20"/>
                <w:szCs w:val="20"/>
              </w:rPr>
              <w:t>IOC/EC-57/5.2.Doc(2)</w:t>
            </w:r>
            <w:r w:rsidR="004C1803" w:rsidRPr="00577FAF">
              <w:rPr>
                <w:rFonts w:ascii="Arial" w:hAnsi="Arial" w:cs="Arial"/>
                <w:sz w:val="20"/>
                <w:szCs w:val="20"/>
              </w:rPr>
              <w:t xml:space="preserve"> </w:t>
            </w:r>
          </w:p>
        </w:tc>
        <w:tc>
          <w:tcPr>
            <w:tcW w:w="5069" w:type="dxa"/>
            <w:shd w:val="clear" w:color="auto" w:fill="auto"/>
            <w:tcMar>
              <w:top w:w="57" w:type="dxa"/>
              <w:bottom w:w="57" w:type="dxa"/>
            </w:tcMar>
          </w:tcPr>
          <w:p w14:paraId="66828CF7" w14:textId="77777777" w:rsidR="003A60E3" w:rsidRPr="00667A5C" w:rsidRDefault="00CB6A57">
            <w:pPr>
              <w:spacing w:after="60"/>
              <w:rPr>
                <w:rFonts w:ascii="Arial" w:hAnsi="Arial" w:cs="Arial"/>
                <w:color w:val="000000"/>
                <w:sz w:val="20"/>
                <w:szCs w:val="20"/>
                <w:lang w:val="en-US"/>
              </w:rPr>
            </w:pPr>
            <w:r w:rsidRPr="00667A5C">
              <w:rPr>
                <w:rFonts w:ascii="Arial" w:hAnsi="Arial" w:cs="Arial"/>
                <w:sz w:val="20"/>
                <w:szCs w:val="20"/>
                <w:lang w:val="en-US"/>
              </w:rPr>
              <w:t>Report of the Chair of the Intersessional Financial Advisory Group (intersessional period January–June 2024)</w:t>
            </w:r>
          </w:p>
        </w:tc>
      </w:tr>
      <w:tr w:rsidR="003A60E3" w:rsidRPr="00577FAF" w14:paraId="3DC4BDFF" w14:textId="77777777" w:rsidTr="001F0620">
        <w:tc>
          <w:tcPr>
            <w:tcW w:w="2410" w:type="dxa"/>
            <w:shd w:val="clear" w:color="auto" w:fill="D5DCE4"/>
            <w:tcMar>
              <w:top w:w="57" w:type="dxa"/>
              <w:bottom w:w="57" w:type="dxa"/>
            </w:tcMar>
          </w:tcPr>
          <w:p w14:paraId="35E3FC76" w14:textId="77777777" w:rsidR="003A60E3" w:rsidRPr="00577FAF" w:rsidRDefault="00CB6A57">
            <w:pPr>
              <w:tabs>
                <w:tab w:val="left" w:pos="1132"/>
              </w:tabs>
              <w:rPr>
                <w:rFonts w:ascii="Arial" w:hAnsi="Arial" w:cs="Arial"/>
                <w:i/>
                <w:color w:val="000000"/>
                <w:sz w:val="20"/>
                <w:szCs w:val="20"/>
                <w:u w:val="single"/>
              </w:rPr>
            </w:pPr>
            <w:r w:rsidRPr="00577FAF">
              <w:rPr>
                <w:rFonts w:ascii="Arial" w:hAnsi="Arial" w:cs="Arial"/>
                <w:i/>
                <w:iCs/>
                <w:sz w:val="20"/>
                <w:szCs w:val="20"/>
                <w:u w:val="single"/>
              </w:rPr>
              <w:t>Referencias</w:t>
            </w:r>
          </w:p>
        </w:tc>
        <w:tc>
          <w:tcPr>
            <w:tcW w:w="2268" w:type="dxa"/>
            <w:shd w:val="clear" w:color="auto" w:fill="auto"/>
            <w:tcMar>
              <w:top w:w="57" w:type="dxa"/>
              <w:bottom w:w="57" w:type="dxa"/>
            </w:tcMar>
          </w:tcPr>
          <w:p w14:paraId="06590700" w14:textId="77777777" w:rsidR="003A60E3" w:rsidRPr="00577FAF" w:rsidRDefault="00CB6A57">
            <w:pPr>
              <w:rPr>
                <w:rFonts w:ascii="Arial" w:hAnsi="Arial" w:cs="Arial"/>
                <w:color w:val="000000"/>
                <w:sz w:val="20"/>
                <w:szCs w:val="20"/>
              </w:rPr>
            </w:pPr>
            <w:r w:rsidRPr="00577FAF">
              <w:rPr>
                <w:rFonts w:ascii="Arial" w:hAnsi="Arial" w:cs="Arial"/>
                <w:sz w:val="20"/>
                <w:szCs w:val="20"/>
              </w:rPr>
              <w:t>IOC/A-32/6.1.Doc(1)</w:t>
            </w:r>
          </w:p>
        </w:tc>
        <w:tc>
          <w:tcPr>
            <w:tcW w:w="5069" w:type="dxa"/>
            <w:shd w:val="clear" w:color="auto" w:fill="auto"/>
            <w:tcMar>
              <w:top w:w="57" w:type="dxa"/>
              <w:bottom w:w="57" w:type="dxa"/>
            </w:tcMar>
          </w:tcPr>
          <w:p w14:paraId="206E2D18" w14:textId="77777777" w:rsidR="003A60E3" w:rsidRPr="00577FAF" w:rsidRDefault="00CB6A57">
            <w:pPr>
              <w:spacing w:after="60"/>
              <w:rPr>
                <w:rFonts w:ascii="Arial" w:hAnsi="Arial" w:cs="Arial"/>
                <w:color w:val="000000"/>
                <w:sz w:val="20"/>
                <w:szCs w:val="20"/>
              </w:rPr>
            </w:pPr>
            <w:r w:rsidRPr="00577FAF">
              <w:rPr>
                <w:rFonts w:ascii="Arial" w:hAnsi="Arial" w:cs="Arial"/>
                <w:sz w:val="20"/>
                <w:szCs w:val="20"/>
              </w:rPr>
              <w:t>Proyecto de Programa y Presupuesto para 2022-2025 (42 C/5) - Segundo bienio (2024-2025)</w:t>
            </w:r>
          </w:p>
        </w:tc>
      </w:tr>
    </w:tbl>
    <w:p w14:paraId="3FB9B608" w14:textId="77777777" w:rsidR="003A60E3" w:rsidRPr="00577FAF" w:rsidRDefault="003A60E3">
      <w:pPr>
        <w:rPr>
          <w:rFonts w:ascii="Arial" w:hAnsi="Arial" w:cs="Arial"/>
          <w:sz w:val="22"/>
          <w:szCs w:val="22"/>
        </w:rPr>
      </w:pPr>
    </w:p>
    <w:p w14:paraId="528914F1" w14:textId="77777777" w:rsidR="004C1803" w:rsidRPr="00577FAF" w:rsidRDefault="00CB6A57">
      <w:pPr>
        <w:pStyle w:val="Style2"/>
        <w:numPr>
          <w:ilvl w:val="0"/>
          <w:numId w:val="7"/>
        </w:numPr>
        <w:tabs>
          <w:tab w:val="left" w:pos="709"/>
        </w:tabs>
        <w:ind w:left="0" w:hanging="567"/>
        <w:rPr>
          <w:rFonts w:cs="Arial"/>
        </w:rPr>
      </w:pPr>
      <w:r w:rsidRPr="00577FAF">
        <w:rPr>
          <w:rFonts w:cs="Arial"/>
        </w:rPr>
        <w:t xml:space="preserve">Presentó este punto el Secretario Ejecutivo, quien comenzó dando las gracias a los Estados Miembros por su apoyo, que había permitido lograr que el Consejo Ejecutivo de la UNESCO, en su 216ª reunión (mayo de 2023), recomendara a la Conferencia General de la UNESCO que, en su 42ª reunión, aprobara un aumento del 1 % de la proporción del presupuesto ordinario de la UNESCO asignada a la COI, que no podrá reducirse por transferencias de fondos a otros títulos del presupuesto, y que decidiera que “se defina de común acuerdo una base de referencia para la proporción del presupuesto ordinario de la UNESCO asignada a la [COI] en el documento 42 C/5 y </w:t>
      </w:r>
      <w:r w:rsidRPr="00577FAF">
        <w:rPr>
          <w:rFonts w:cs="Arial"/>
        </w:rPr>
        <w:lastRenderedPageBreak/>
        <w:t>los futuros documentos C/5, y que esa base de referencia no se reduzca más adelante, a menos que así lo acuerde la Conferencia General” (decisión 216 EX/44).</w:t>
      </w:r>
    </w:p>
    <w:p w14:paraId="6FF538B1" w14:textId="77777777" w:rsidR="003A60E3" w:rsidRPr="00577FAF" w:rsidRDefault="00CB6A57">
      <w:pPr>
        <w:pStyle w:val="Style2"/>
        <w:numPr>
          <w:ilvl w:val="0"/>
          <w:numId w:val="7"/>
        </w:numPr>
        <w:tabs>
          <w:tab w:val="left" w:pos="709"/>
        </w:tabs>
        <w:ind w:left="0" w:hanging="567"/>
        <w:rPr>
          <w:rFonts w:cs="Arial"/>
        </w:rPr>
      </w:pPr>
      <w:r w:rsidRPr="00577FAF">
        <w:rPr>
          <w:rFonts w:cs="Arial"/>
        </w:rPr>
        <w:t>Con la aceptación de esta recomendación por la Conferencia General de la UNESCO y la aprobación del tope presupuestario revisado debido a la reincorporación de los Estados Unidos de América a la Organización en julio de 2023, el presupuesto ordinario de la COI para 2024-2025 (42 C/5) pasó de 13,5 millones de dólares (el importe examinado por la Asamblea en su 32ª reunión) a 21,1 millones de dólares.</w:t>
      </w:r>
    </w:p>
    <w:p w14:paraId="2D8CC1A8" w14:textId="77777777" w:rsidR="004C1803" w:rsidRPr="00577FAF" w:rsidRDefault="00CB6A57" w:rsidP="00B24BC9">
      <w:pPr>
        <w:pStyle w:val="Style2"/>
        <w:keepNext/>
        <w:numPr>
          <w:ilvl w:val="0"/>
          <w:numId w:val="7"/>
        </w:numPr>
        <w:tabs>
          <w:tab w:val="left" w:pos="709"/>
        </w:tabs>
        <w:spacing w:after="120"/>
        <w:ind w:left="0" w:hanging="567"/>
        <w:rPr>
          <w:rFonts w:cs="Arial"/>
        </w:rPr>
      </w:pPr>
      <w:r w:rsidRPr="00577FAF">
        <w:rPr>
          <w:rFonts w:cs="Arial"/>
        </w:rPr>
        <w:t xml:space="preserve">El Secretario Ejecutivo destacó que, al elaborar sus planes de trabajo para 2024-2025, la Secretaría se guio por los siguientes principios de alto nivel aprobados por los Estados Miembros de la COI en la </w:t>
      </w:r>
      <w:hyperlink r:id="rId49" w:history="1">
        <w:r w:rsidRPr="00577FAF">
          <w:rPr>
            <w:rStyle w:val="Hyperlink"/>
            <w:rFonts w:cs="Arial"/>
          </w:rPr>
          <w:t>resolución A-32/4.II</w:t>
        </w:r>
      </w:hyperlink>
      <w:r w:rsidRPr="00577FAF">
        <w:rPr>
          <w:rFonts w:cs="Arial"/>
        </w:rPr>
        <w:t xml:space="preserve"> de la COI, relativa a la asignación de recursos adicionales con cargo al presupuesto ordinario, con miras a “la estabilización de las funciones de la COI, incluidos los recursos humanos, para subsanar las carencias y atender los riesgos críticos a fin de proporcionar una base sólida para el futuro”:</w:t>
      </w:r>
    </w:p>
    <w:p w14:paraId="0BEE1E7B" w14:textId="77777777" w:rsidR="003A60E3" w:rsidRPr="00577FAF" w:rsidRDefault="00CB6A57" w:rsidP="002F4D65">
      <w:pPr>
        <w:pStyle w:val="ListParagraph"/>
        <w:numPr>
          <w:ilvl w:val="0"/>
          <w:numId w:val="30"/>
        </w:numPr>
        <w:spacing w:after="120"/>
        <w:ind w:left="992" w:hanging="425"/>
        <w:contextualSpacing w:val="0"/>
        <w:jc w:val="both"/>
        <w:rPr>
          <w:rFonts w:ascii="Arial" w:hAnsi="Arial" w:cs="Arial"/>
          <w:sz w:val="22"/>
          <w:szCs w:val="22"/>
        </w:rPr>
      </w:pPr>
      <w:r w:rsidRPr="00577FAF">
        <w:rPr>
          <w:rFonts w:ascii="Arial" w:hAnsi="Arial" w:cs="Arial"/>
          <w:sz w:val="22"/>
          <w:szCs w:val="22"/>
        </w:rPr>
        <w:t>velar por la asignación a la IOCAFRICA de un incremento no inferior al 1 % del presupuesto ordinario de la COI;</w:t>
      </w:r>
    </w:p>
    <w:p w14:paraId="4913FCFF" w14:textId="77777777" w:rsidR="003A60E3" w:rsidRPr="00577FAF" w:rsidRDefault="00CB6A57" w:rsidP="002F4D65">
      <w:pPr>
        <w:pStyle w:val="ListParagraph"/>
        <w:numPr>
          <w:ilvl w:val="0"/>
          <w:numId w:val="30"/>
        </w:numPr>
        <w:spacing w:after="120"/>
        <w:ind w:left="992" w:hanging="425"/>
        <w:contextualSpacing w:val="0"/>
        <w:jc w:val="both"/>
        <w:rPr>
          <w:rFonts w:ascii="Arial" w:hAnsi="Arial" w:cs="Arial"/>
          <w:sz w:val="22"/>
          <w:szCs w:val="22"/>
        </w:rPr>
      </w:pPr>
      <w:r w:rsidRPr="00577FAF">
        <w:rPr>
          <w:rFonts w:ascii="Arial" w:hAnsi="Arial" w:cs="Arial"/>
          <w:sz w:val="22"/>
          <w:szCs w:val="22"/>
        </w:rPr>
        <w:t xml:space="preserve">procurar respetar la proporción entre los gastos de personal y los gastos no relacionados con el personal sufragados con cargo al presupuesto ordinario, como recomendó anteriormente la Asamblea de la COI en su </w:t>
      </w:r>
      <w:hyperlink r:id="rId50" w:history="1">
        <w:r w:rsidRPr="00577FAF">
          <w:rPr>
            <w:rStyle w:val="Hyperlink"/>
            <w:rFonts w:ascii="Arial" w:hAnsi="Arial" w:cs="Arial"/>
            <w:sz w:val="22"/>
            <w:szCs w:val="22"/>
          </w:rPr>
          <w:t>resolución XXVII-2</w:t>
        </w:r>
      </w:hyperlink>
      <w:r w:rsidRPr="00577FAF">
        <w:rPr>
          <w:rFonts w:ascii="Arial" w:hAnsi="Arial" w:cs="Arial"/>
          <w:sz w:val="22"/>
          <w:szCs w:val="22"/>
        </w:rPr>
        <w:t>;</w:t>
      </w:r>
    </w:p>
    <w:p w14:paraId="1EDD91D7" w14:textId="67EF828C" w:rsidR="003A60E3" w:rsidRPr="00577FAF" w:rsidRDefault="00CB6A57" w:rsidP="002F4D65">
      <w:pPr>
        <w:pStyle w:val="ListParagraph"/>
        <w:numPr>
          <w:ilvl w:val="0"/>
          <w:numId w:val="30"/>
        </w:numPr>
        <w:spacing w:after="120"/>
        <w:ind w:left="992" w:hanging="425"/>
        <w:contextualSpacing w:val="0"/>
        <w:jc w:val="both"/>
        <w:rPr>
          <w:rFonts w:ascii="Arial" w:hAnsi="Arial" w:cs="Arial"/>
          <w:sz w:val="22"/>
          <w:szCs w:val="22"/>
        </w:rPr>
      </w:pPr>
      <w:r w:rsidRPr="00577FAF">
        <w:rPr>
          <w:rFonts w:ascii="Arial" w:hAnsi="Arial" w:cs="Arial"/>
          <w:sz w:val="22"/>
          <w:szCs w:val="22"/>
        </w:rPr>
        <w:t>garantizar que al menos una tercera parte de los recursos adicionales se asigne a estabilizar todas las funciones existentes de la COI, con la base indicativa de prorrateo para la distribución incluida en el anexo 1 de la resolución A-32/4 de la COI;</w:t>
      </w:r>
    </w:p>
    <w:p w14:paraId="3530985B" w14:textId="77777777" w:rsidR="003A60E3" w:rsidRPr="00577FAF" w:rsidRDefault="00CB6A57" w:rsidP="002F4D65">
      <w:pPr>
        <w:pStyle w:val="ListParagraph"/>
        <w:numPr>
          <w:ilvl w:val="0"/>
          <w:numId w:val="30"/>
        </w:numPr>
        <w:spacing w:after="120"/>
        <w:ind w:left="992" w:hanging="425"/>
        <w:contextualSpacing w:val="0"/>
        <w:jc w:val="both"/>
        <w:rPr>
          <w:rFonts w:ascii="Arial" w:hAnsi="Arial" w:cs="Arial"/>
          <w:sz w:val="22"/>
          <w:szCs w:val="22"/>
        </w:rPr>
      </w:pPr>
      <w:r w:rsidRPr="00577FAF">
        <w:rPr>
          <w:rFonts w:ascii="Arial" w:hAnsi="Arial" w:cs="Arial"/>
          <w:sz w:val="22"/>
          <w:szCs w:val="22"/>
        </w:rPr>
        <w:t>asignar al menos una tercera parte de los recursos adicionales a inversiones específicas centradas en ámbitos de vulnerabilidad crítica:</w:t>
      </w:r>
    </w:p>
    <w:p w14:paraId="2451BE31" w14:textId="77777777" w:rsidR="003A60E3" w:rsidRPr="00577FAF" w:rsidRDefault="00CB6A57" w:rsidP="002F4D65">
      <w:pPr>
        <w:numPr>
          <w:ilvl w:val="0"/>
          <w:numId w:val="31"/>
        </w:numPr>
        <w:ind w:left="1417" w:hanging="425"/>
        <w:jc w:val="both"/>
        <w:rPr>
          <w:rFonts w:ascii="Arial" w:hAnsi="Arial" w:cs="Arial"/>
          <w:sz w:val="22"/>
          <w:szCs w:val="22"/>
        </w:rPr>
      </w:pPr>
      <w:r w:rsidRPr="00577FAF">
        <w:rPr>
          <w:rFonts w:ascii="Arial" w:hAnsi="Arial" w:cs="Arial"/>
          <w:sz w:val="22"/>
          <w:szCs w:val="22"/>
        </w:rPr>
        <w:t>el IODE;</w:t>
      </w:r>
    </w:p>
    <w:p w14:paraId="6EFA1D30" w14:textId="77777777" w:rsidR="003A60E3" w:rsidRPr="00577FAF" w:rsidRDefault="00CB6A57" w:rsidP="002F4D65">
      <w:pPr>
        <w:numPr>
          <w:ilvl w:val="0"/>
          <w:numId w:val="31"/>
        </w:numPr>
        <w:ind w:left="1417" w:hanging="425"/>
        <w:jc w:val="both"/>
        <w:rPr>
          <w:rFonts w:ascii="Arial" w:hAnsi="Arial" w:cs="Arial"/>
          <w:sz w:val="22"/>
          <w:szCs w:val="22"/>
        </w:rPr>
      </w:pPr>
      <w:r w:rsidRPr="00577FAF">
        <w:rPr>
          <w:rFonts w:ascii="Arial" w:hAnsi="Arial" w:cs="Arial"/>
          <w:sz w:val="22"/>
          <w:szCs w:val="22"/>
        </w:rPr>
        <w:t>el GOOS;</w:t>
      </w:r>
    </w:p>
    <w:p w14:paraId="0C3EADE8" w14:textId="77777777" w:rsidR="003A60E3" w:rsidRPr="00577FAF" w:rsidRDefault="00CB6A57" w:rsidP="002F4D65">
      <w:pPr>
        <w:numPr>
          <w:ilvl w:val="0"/>
          <w:numId w:val="31"/>
        </w:numPr>
        <w:ind w:left="1417" w:hanging="425"/>
        <w:jc w:val="both"/>
        <w:rPr>
          <w:rFonts w:ascii="Arial" w:hAnsi="Arial" w:cs="Arial"/>
          <w:sz w:val="22"/>
          <w:szCs w:val="22"/>
        </w:rPr>
      </w:pPr>
      <w:r w:rsidRPr="00577FAF">
        <w:rPr>
          <w:rFonts w:ascii="Arial" w:hAnsi="Arial" w:cs="Arial"/>
          <w:sz w:val="22"/>
          <w:szCs w:val="22"/>
        </w:rPr>
        <w:t>el desarrollo de capacidades;</w:t>
      </w:r>
    </w:p>
    <w:p w14:paraId="5BA24D4F" w14:textId="77777777" w:rsidR="003A60E3" w:rsidRPr="00577FAF" w:rsidRDefault="00CB6A57" w:rsidP="00B24BC9">
      <w:pPr>
        <w:numPr>
          <w:ilvl w:val="0"/>
          <w:numId w:val="31"/>
        </w:numPr>
        <w:spacing w:after="240"/>
        <w:ind w:left="1417" w:hanging="425"/>
        <w:jc w:val="both"/>
        <w:rPr>
          <w:rFonts w:ascii="Arial" w:hAnsi="Arial" w:cs="Arial"/>
          <w:sz w:val="22"/>
          <w:szCs w:val="22"/>
        </w:rPr>
      </w:pPr>
      <w:r w:rsidRPr="00577FAF">
        <w:rPr>
          <w:rFonts w:ascii="Arial" w:hAnsi="Arial" w:cs="Arial"/>
          <w:sz w:val="22"/>
          <w:szCs w:val="22"/>
        </w:rPr>
        <w:t>los órganos subsidiarios regionales;</w:t>
      </w:r>
    </w:p>
    <w:p w14:paraId="7C7CBA18" w14:textId="6EFBA854" w:rsidR="003A60E3" w:rsidRPr="00577FAF" w:rsidRDefault="00CB6A57">
      <w:pPr>
        <w:pStyle w:val="Style2"/>
        <w:numPr>
          <w:ilvl w:val="0"/>
          <w:numId w:val="7"/>
        </w:numPr>
        <w:tabs>
          <w:tab w:val="left" w:pos="709"/>
        </w:tabs>
        <w:spacing w:after="120"/>
        <w:ind w:left="0" w:hanging="567"/>
        <w:rPr>
          <w:rFonts w:cs="Arial"/>
        </w:rPr>
      </w:pPr>
      <w:r w:rsidRPr="00577FAF">
        <w:rPr>
          <w:rFonts w:cs="Arial"/>
        </w:rPr>
        <w:t>Con los detalles de las asignaciones presupuestarias que figuran en el documento</w:t>
      </w:r>
      <w:r w:rsidR="00753F03" w:rsidRPr="00577FAF">
        <w:rPr>
          <w:rFonts w:cs="Arial"/>
        </w:rPr>
        <w:t xml:space="preserve"> </w:t>
      </w:r>
      <w:r w:rsidRPr="00577FAF">
        <w:rPr>
          <w:rFonts w:cs="Arial"/>
        </w:rPr>
        <w:t>IOC/EC</w:t>
      </w:r>
      <w:r w:rsidR="00753F03" w:rsidRPr="00577FAF">
        <w:rPr>
          <w:rFonts w:cs="Arial"/>
        </w:rPr>
        <w:noBreakHyphen/>
      </w:r>
      <w:r w:rsidRPr="00577FAF">
        <w:rPr>
          <w:rFonts w:cs="Arial"/>
        </w:rPr>
        <w:t>57/5</w:t>
      </w:r>
      <w:r w:rsidR="00215F66" w:rsidRPr="00577FAF">
        <w:rPr>
          <w:rFonts w:cs="Arial"/>
        </w:rPr>
        <w:t>.</w:t>
      </w:r>
      <w:r w:rsidRPr="00577FAF">
        <w:rPr>
          <w:rFonts w:cs="Arial"/>
        </w:rPr>
        <w:t>1.Doc(1), el resumen de los principales cambios introducidos en relación con el presupuesto ordinario es el siguiente:</w:t>
      </w:r>
    </w:p>
    <w:p w14:paraId="57FC2839" w14:textId="77777777" w:rsidR="003A60E3" w:rsidRPr="00577FAF" w:rsidRDefault="00CB6A57" w:rsidP="002F4D65">
      <w:pPr>
        <w:pStyle w:val="ListParagraph"/>
        <w:numPr>
          <w:ilvl w:val="0"/>
          <w:numId w:val="30"/>
        </w:numPr>
        <w:spacing w:after="120"/>
        <w:ind w:left="992" w:hanging="425"/>
        <w:contextualSpacing w:val="0"/>
        <w:jc w:val="both"/>
        <w:rPr>
          <w:rFonts w:ascii="Arial" w:hAnsi="Arial" w:cs="Arial"/>
          <w:sz w:val="22"/>
          <w:szCs w:val="22"/>
        </w:rPr>
      </w:pPr>
      <w:r w:rsidRPr="00577FAF">
        <w:rPr>
          <w:rFonts w:ascii="Arial" w:hAnsi="Arial" w:cs="Arial"/>
          <w:sz w:val="22"/>
          <w:szCs w:val="22"/>
        </w:rPr>
        <w:t>el 32 % de los recursos adicionales no relacionados con el personal se asignan de forma generalizada para estabilizar todas las funciones de la COI;</w:t>
      </w:r>
    </w:p>
    <w:p w14:paraId="7F9FF622" w14:textId="77777777" w:rsidR="003A60E3" w:rsidRPr="00577FAF" w:rsidRDefault="00CB6A57" w:rsidP="002F4D65">
      <w:pPr>
        <w:pStyle w:val="ListParagraph"/>
        <w:numPr>
          <w:ilvl w:val="0"/>
          <w:numId w:val="30"/>
        </w:numPr>
        <w:spacing w:after="120"/>
        <w:ind w:left="992" w:hanging="425"/>
        <w:contextualSpacing w:val="0"/>
        <w:jc w:val="both"/>
        <w:rPr>
          <w:rFonts w:ascii="Arial" w:hAnsi="Arial" w:cs="Arial"/>
          <w:sz w:val="22"/>
          <w:szCs w:val="22"/>
        </w:rPr>
      </w:pPr>
      <w:r w:rsidRPr="00577FAF">
        <w:rPr>
          <w:rFonts w:ascii="Arial" w:hAnsi="Arial" w:cs="Arial"/>
          <w:sz w:val="22"/>
          <w:szCs w:val="22"/>
        </w:rPr>
        <w:t>el 68 % de los recursos adicionales no relacionados con el personal se asignan a inversiones específicas en el IODE, el GOOS, el desarrollo de capacidades y los órganos subsidiarios regionales;</w:t>
      </w:r>
    </w:p>
    <w:p w14:paraId="36B277FA" w14:textId="77777777" w:rsidR="003A60E3" w:rsidRPr="00577FAF" w:rsidRDefault="00CB6A57" w:rsidP="002F4D65">
      <w:pPr>
        <w:pStyle w:val="ListParagraph"/>
        <w:numPr>
          <w:ilvl w:val="0"/>
          <w:numId w:val="30"/>
        </w:numPr>
        <w:spacing w:after="120"/>
        <w:ind w:left="992" w:hanging="425"/>
        <w:contextualSpacing w:val="0"/>
        <w:jc w:val="both"/>
        <w:rPr>
          <w:rFonts w:ascii="Arial" w:hAnsi="Arial" w:cs="Arial"/>
          <w:sz w:val="22"/>
          <w:szCs w:val="22"/>
        </w:rPr>
      </w:pPr>
      <w:r w:rsidRPr="00577FAF">
        <w:rPr>
          <w:rFonts w:ascii="Arial" w:hAnsi="Arial" w:cs="Arial"/>
          <w:sz w:val="22"/>
          <w:szCs w:val="22"/>
        </w:rPr>
        <w:t xml:space="preserve">el presupuesto ordinario no relacionado con el personal asignado a la IOCAFRICA se incrementa en un 3 % del presupuesto ordinario total de la COI en el </w:t>
      </w:r>
      <w:hyperlink r:id="rId51" w:history="1">
        <w:r w:rsidRPr="00577FAF">
          <w:rPr>
            <w:rStyle w:val="Hyperlink"/>
            <w:rFonts w:ascii="Arial" w:hAnsi="Arial" w:cs="Arial"/>
            <w:sz w:val="22"/>
            <w:szCs w:val="22"/>
          </w:rPr>
          <w:t>42 C/5 Aprobado</w:t>
        </w:r>
      </w:hyperlink>
      <w:r w:rsidRPr="00577FAF">
        <w:rPr>
          <w:rFonts w:ascii="Arial" w:hAnsi="Arial" w:cs="Arial"/>
          <w:sz w:val="22"/>
          <w:szCs w:val="22"/>
        </w:rPr>
        <w:t>: de 239 000 dólares a 937 000 dólares;</w:t>
      </w:r>
    </w:p>
    <w:p w14:paraId="77B194F3" w14:textId="77777777" w:rsidR="003A60E3" w:rsidRPr="00577FAF" w:rsidRDefault="00CB6A57" w:rsidP="002F4D65">
      <w:pPr>
        <w:pStyle w:val="ListParagraph"/>
        <w:numPr>
          <w:ilvl w:val="0"/>
          <w:numId w:val="30"/>
        </w:numPr>
        <w:spacing w:after="120"/>
        <w:ind w:left="992" w:hanging="425"/>
        <w:contextualSpacing w:val="0"/>
        <w:jc w:val="both"/>
        <w:rPr>
          <w:rFonts w:ascii="Arial" w:hAnsi="Arial" w:cs="Arial"/>
          <w:sz w:val="22"/>
          <w:szCs w:val="22"/>
        </w:rPr>
      </w:pPr>
      <w:r w:rsidRPr="00577FAF">
        <w:rPr>
          <w:rFonts w:ascii="Arial" w:hAnsi="Arial" w:cs="Arial"/>
          <w:sz w:val="22"/>
          <w:szCs w:val="22"/>
        </w:rPr>
        <w:t>en general, el 73 % de los recursos adicionales se asignan a entidades fuera de la Sede y el 27 % a la Sede;</w:t>
      </w:r>
    </w:p>
    <w:p w14:paraId="72AC1407" w14:textId="77777777" w:rsidR="003A60E3" w:rsidRPr="00577FAF" w:rsidRDefault="00CB6A57" w:rsidP="002F4D65">
      <w:pPr>
        <w:pStyle w:val="ListParagraph"/>
        <w:numPr>
          <w:ilvl w:val="0"/>
          <w:numId w:val="30"/>
        </w:numPr>
        <w:spacing w:after="120"/>
        <w:ind w:left="992" w:hanging="425"/>
        <w:contextualSpacing w:val="0"/>
        <w:jc w:val="both"/>
        <w:rPr>
          <w:rFonts w:ascii="Arial" w:hAnsi="Arial" w:cs="Arial"/>
          <w:sz w:val="22"/>
          <w:szCs w:val="22"/>
        </w:rPr>
      </w:pPr>
      <w:r w:rsidRPr="00577FAF">
        <w:rPr>
          <w:rFonts w:ascii="Arial" w:hAnsi="Arial" w:cs="Arial"/>
          <w:sz w:val="22"/>
          <w:szCs w:val="22"/>
        </w:rPr>
        <w:t>se crea un nuevo puesto en la Sede para el GOOS;</w:t>
      </w:r>
    </w:p>
    <w:p w14:paraId="4E894428" w14:textId="77777777" w:rsidR="003A60E3" w:rsidRPr="00577FAF" w:rsidRDefault="00CB6A57" w:rsidP="002F4D65">
      <w:pPr>
        <w:pStyle w:val="ListParagraph"/>
        <w:numPr>
          <w:ilvl w:val="0"/>
          <w:numId w:val="30"/>
        </w:numPr>
        <w:spacing w:after="120"/>
        <w:ind w:left="992" w:hanging="425"/>
        <w:contextualSpacing w:val="0"/>
        <w:jc w:val="both"/>
        <w:rPr>
          <w:rFonts w:ascii="Arial" w:hAnsi="Arial" w:cs="Arial"/>
          <w:sz w:val="22"/>
          <w:szCs w:val="22"/>
        </w:rPr>
      </w:pPr>
      <w:r w:rsidRPr="00577FAF">
        <w:rPr>
          <w:rFonts w:ascii="Arial" w:hAnsi="Arial" w:cs="Arial"/>
          <w:sz w:val="22"/>
          <w:szCs w:val="22"/>
        </w:rPr>
        <w:t>se crean cuatro nuevos puestos fuera de la Sede: uno para el IODE en Ostende, uno para reforzar la Secretaría de la IOCAFRICA en Nairobi, uno para la nueva Secretaría del IOCINDIO que se establecerá en consulta con los Estados Miembros y uno para reforzar nuestra acción en favor de los PEID del Pacífico;</w:t>
      </w:r>
    </w:p>
    <w:p w14:paraId="030896DD" w14:textId="77777777" w:rsidR="003A60E3" w:rsidRPr="00577FAF" w:rsidRDefault="00CB6A57" w:rsidP="002F4D65">
      <w:pPr>
        <w:pStyle w:val="ListParagraph"/>
        <w:numPr>
          <w:ilvl w:val="0"/>
          <w:numId w:val="30"/>
        </w:numPr>
        <w:spacing w:after="120"/>
        <w:ind w:left="992" w:hanging="425"/>
        <w:contextualSpacing w:val="0"/>
        <w:jc w:val="both"/>
        <w:rPr>
          <w:rFonts w:ascii="Arial" w:hAnsi="Arial" w:cs="Arial"/>
          <w:sz w:val="22"/>
          <w:szCs w:val="22"/>
        </w:rPr>
      </w:pPr>
      <w:r w:rsidRPr="00577FAF">
        <w:rPr>
          <w:rFonts w:ascii="Arial" w:hAnsi="Arial" w:cs="Arial"/>
          <w:sz w:val="22"/>
          <w:szCs w:val="22"/>
        </w:rPr>
        <w:lastRenderedPageBreak/>
        <w:t>el producto intersectorial 3.IP2 (relativo al fortalecimiento de la cultura oceánica en los sitios designados por la UNESCO) registra un aumento del 69 %;</w:t>
      </w:r>
    </w:p>
    <w:p w14:paraId="7B905813" w14:textId="77777777" w:rsidR="003A60E3" w:rsidRPr="00577FAF" w:rsidRDefault="00CB6A57" w:rsidP="002F4D65">
      <w:pPr>
        <w:pStyle w:val="ListParagraph"/>
        <w:numPr>
          <w:ilvl w:val="0"/>
          <w:numId w:val="30"/>
        </w:numPr>
        <w:spacing w:after="120"/>
        <w:ind w:left="992" w:hanging="425"/>
        <w:contextualSpacing w:val="0"/>
        <w:jc w:val="both"/>
        <w:rPr>
          <w:rFonts w:ascii="Arial" w:hAnsi="Arial" w:cs="Arial"/>
          <w:sz w:val="22"/>
          <w:szCs w:val="22"/>
        </w:rPr>
      </w:pPr>
      <w:r w:rsidRPr="00577FAF">
        <w:rPr>
          <w:rFonts w:ascii="Arial" w:hAnsi="Arial" w:cs="Arial"/>
          <w:sz w:val="22"/>
          <w:szCs w:val="22"/>
        </w:rPr>
        <w:t>en cuanto a la proporción entre gastos de personal y no relacionados con el personal, el 57 % corresponde a gastos de personal y el 43 % a gastos no relacionados con el personal (en comparación con el 74 % y el 26 % en la hipótesis examinada por la Asamblea, teniendo en cuenta que en la resolución XXVI-2 de la Asamblea de la COI se pidió un porcentaje no inferior al 25 % del presupuesto ordinario para gastos no relacionados con el personal).</w:t>
      </w:r>
    </w:p>
    <w:p w14:paraId="6B8FCF28" w14:textId="77777777" w:rsidR="003A60E3" w:rsidRPr="00577FAF" w:rsidRDefault="00CB6A57">
      <w:pPr>
        <w:pStyle w:val="Style2"/>
        <w:numPr>
          <w:ilvl w:val="0"/>
          <w:numId w:val="7"/>
        </w:numPr>
        <w:tabs>
          <w:tab w:val="left" w:pos="709"/>
        </w:tabs>
        <w:ind w:left="0" w:hanging="567"/>
        <w:rPr>
          <w:rFonts w:cs="Arial"/>
        </w:rPr>
      </w:pPr>
      <w:r w:rsidRPr="00577FAF">
        <w:rPr>
          <w:rFonts w:cs="Arial"/>
        </w:rPr>
        <w:t>El Sr. Helgesen señaló también que, para complementar la descripción facilitada en el 42 C/5 Aprobado de la UNESCO, en el documento presentado al Consejo Ejecutivo se ofrece una visión más detallada de la ejecución del programa reforzado, desglosada por funciones y ámbitos prioritarios.</w:t>
      </w:r>
    </w:p>
    <w:p w14:paraId="070B24DA" w14:textId="2571A5CA" w:rsidR="003A60E3" w:rsidRPr="00577FAF" w:rsidRDefault="00CB6A57">
      <w:pPr>
        <w:pStyle w:val="Style2"/>
        <w:numPr>
          <w:ilvl w:val="0"/>
          <w:numId w:val="7"/>
        </w:numPr>
        <w:tabs>
          <w:tab w:val="left" w:pos="709"/>
        </w:tabs>
        <w:ind w:left="0" w:hanging="567"/>
        <w:rPr>
          <w:rFonts w:cs="Arial"/>
          <w:b/>
          <w:bCs/>
          <w:color w:val="000000"/>
        </w:rPr>
      </w:pPr>
      <w:r w:rsidRPr="00577FAF">
        <w:rPr>
          <w:rFonts w:cs="Arial"/>
        </w:rPr>
        <w:t>El Secretario Ejecutivo concluyó presentando brevemente el proceso y el calendario de preparación del Proyecto de 43 C/5 de la UNESCO (Programa y Presupuesto para 2026-2029, primer bienio, 2026-2027). Dado que no se dispone de tiempo suficiente para celebrar las consultas adecuadas con los Estados Miembros, la propuesta de la Secretaría, que figura en el documento IOC/EC</w:t>
      </w:r>
      <w:r w:rsidR="00B60EEA" w:rsidRPr="00577FAF">
        <w:rPr>
          <w:rFonts w:cs="Arial"/>
        </w:rPr>
        <w:noBreakHyphen/>
      </w:r>
      <w:r w:rsidRPr="00577FAF">
        <w:rPr>
          <w:rFonts w:cs="Arial"/>
        </w:rPr>
        <w:t>57/5.1.Doc</w:t>
      </w:r>
      <w:r w:rsidR="00BB330C" w:rsidRPr="00577FAF">
        <w:rPr>
          <w:rFonts w:cs="Arial"/>
        </w:rPr>
        <w:t>(1)</w:t>
      </w:r>
      <w:r w:rsidRPr="00577FAF">
        <w:rPr>
          <w:rFonts w:cs="Arial"/>
        </w:rPr>
        <w:t xml:space="preserve">, es que la labor del primer bienio del 43 C/5 siga contribuyendo al logro del </w:t>
      </w:r>
      <w:r w:rsidRPr="00577FAF">
        <w:rPr>
          <w:rFonts w:cs="Arial"/>
          <w:b/>
          <w:bCs/>
        </w:rPr>
        <w:t>producto 1 de la COI: “Prestación de un apoyo fundamental a los Estados Miembros para fortalecer su capacidad de realizar investigaciones científicas marinas, generar conocimientos y elaborar y aplicar herramientas, servicios y políticas basados en la ciencia a fin de invertir el deterioro de la salud del océano y acelerar la transición hacia una gestión sostenible de los riesgos y las oportunidades relacionados con el océano”.</w:t>
      </w:r>
    </w:p>
    <w:p w14:paraId="51916149" w14:textId="77777777" w:rsidR="003A60E3" w:rsidRPr="00577FAF" w:rsidRDefault="00CB6A57">
      <w:pPr>
        <w:pStyle w:val="Style2"/>
        <w:numPr>
          <w:ilvl w:val="0"/>
          <w:numId w:val="7"/>
        </w:numPr>
        <w:tabs>
          <w:tab w:val="left" w:pos="709"/>
        </w:tabs>
        <w:ind w:left="0" w:hanging="567"/>
        <w:rPr>
          <w:rFonts w:cs="Arial"/>
        </w:rPr>
      </w:pPr>
      <w:r w:rsidRPr="00577FAF">
        <w:rPr>
          <w:rFonts w:cs="Arial"/>
        </w:rPr>
        <w:t>De conformidad con la resolución A-32/4 de la Asamblea de la COI (2023), la Secretaría hará todo lo posible por reflejar en la propuesta de Proyecto de Programa y Presupuesto para 2026-2029 (primer bienio, 2026-2027) las prioridades de la COI en lo que respecta a las observaciones sostenidas a largo plazo y la gestión de datos e información, así como los órganos subsidiarios y actividades regionales y el fortalecimiento de las capacidades de los Estados Miembros, que son fundamentales para la consecución de los objetivos de alto nivel de la Comisión para el periodo 2022-2029. Este trabajo se guiará además por el proceso de consulta de los Estados Miembros “La</w:t>
      </w:r>
      <w:r w:rsidR="008511F8" w:rsidRPr="00577FAF">
        <w:rPr>
          <w:rFonts w:cs="Arial"/>
        </w:rPr>
        <w:t> </w:t>
      </w:r>
      <w:r w:rsidRPr="00577FAF">
        <w:rPr>
          <w:rFonts w:cs="Arial"/>
        </w:rPr>
        <w:t>COI y el futuro del océano”, con el fin de hacer balance y analizar la mejor manera en que la Comisión puede contribuir a un mayor cambio en materia de desarrollo en los ámbitos de su mandato.</w:t>
      </w:r>
    </w:p>
    <w:tbl>
      <w:tblPr>
        <w:tblW w:w="9781" w:type="dxa"/>
        <w:shd w:val="clear" w:color="auto" w:fill="CCFFCC"/>
        <w:tblLayout w:type="fixed"/>
        <w:tblCellMar>
          <w:top w:w="113" w:type="dxa"/>
          <w:bottom w:w="113" w:type="dxa"/>
        </w:tblCellMar>
        <w:tblLook w:val="0000" w:firstRow="0" w:lastRow="0" w:firstColumn="0" w:lastColumn="0" w:noHBand="0" w:noVBand="0"/>
      </w:tblPr>
      <w:tblGrid>
        <w:gridCol w:w="9781"/>
      </w:tblGrid>
      <w:tr w:rsidR="003A60E3" w:rsidRPr="00577FAF" w14:paraId="68C0D735" w14:textId="77777777" w:rsidTr="00B24BC9">
        <w:trPr>
          <w:trHeight w:val="380"/>
        </w:trPr>
        <w:tc>
          <w:tcPr>
            <w:tcW w:w="9781" w:type="dxa"/>
            <w:shd w:val="clear" w:color="auto" w:fill="CCFFCC"/>
            <w:tcMar>
              <w:top w:w="113" w:type="dxa"/>
              <w:bottom w:w="113" w:type="dxa"/>
            </w:tcMar>
          </w:tcPr>
          <w:p w14:paraId="514E2029" w14:textId="77777777" w:rsidR="003A60E3" w:rsidRPr="00577FAF" w:rsidRDefault="00CB6A57">
            <w:pPr>
              <w:spacing w:after="240"/>
              <w:rPr>
                <w:rFonts w:ascii="Arial" w:eastAsia="Calibri" w:hAnsi="Arial" w:cs="Arial"/>
                <w:sz w:val="22"/>
                <w:szCs w:val="22"/>
                <w:u w:val="single"/>
              </w:rPr>
            </w:pPr>
            <w:bookmarkStart w:id="166" w:name="_Hlk85468101"/>
            <w:r w:rsidRPr="00577FAF">
              <w:rPr>
                <w:rFonts w:ascii="Arial" w:hAnsi="Arial" w:cs="Arial"/>
                <w:sz w:val="22"/>
                <w:szCs w:val="22"/>
                <w:u w:val="single"/>
              </w:rPr>
              <w:t>Decisión EC-57/5.1</w:t>
            </w:r>
          </w:p>
          <w:p w14:paraId="3D349B4A" w14:textId="77777777" w:rsidR="003A60E3" w:rsidRPr="00577FAF" w:rsidRDefault="00CB6A57">
            <w:pPr>
              <w:tabs>
                <w:tab w:val="num" w:pos="1400"/>
              </w:tabs>
              <w:spacing w:after="240"/>
              <w:jc w:val="center"/>
              <w:rPr>
                <w:rFonts w:ascii="Arial" w:hAnsi="Arial" w:cs="Arial"/>
                <w:b/>
                <w:color w:val="000000"/>
                <w:sz w:val="22"/>
                <w:szCs w:val="22"/>
              </w:rPr>
            </w:pPr>
            <w:r w:rsidRPr="00577FAF">
              <w:rPr>
                <w:rFonts w:ascii="Arial" w:hAnsi="Arial" w:cs="Arial"/>
                <w:b/>
                <w:bCs/>
                <w:sz w:val="22"/>
                <w:szCs w:val="22"/>
              </w:rPr>
              <w:t>Asuntos relativos a la gobernanza, la programación</w:t>
            </w:r>
            <w:r w:rsidR="004C1803" w:rsidRPr="00577FAF">
              <w:rPr>
                <w:rFonts w:ascii="Arial" w:hAnsi="Arial" w:cs="Arial"/>
                <w:b/>
                <w:bCs/>
                <w:sz w:val="22"/>
                <w:szCs w:val="22"/>
              </w:rPr>
              <w:t xml:space="preserve"> </w:t>
            </w:r>
            <w:r w:rsidRPr="00577FAF">
              <w:rPr>
                <w:rFonts w:ascii="Arial" w:hAnsi="Arial" w:cs="Arial"/>
                <w:b/>
                <w:bCs/>
                <w:sz w:val="22"/>
                <w:szCs w:val="22"/>
              </w:rPr>
              <w:t>y la presupuestación de la Comisión</w:t>
            </w:r>
          </w:p>
          <w:p w14:paraId="263629EB" w14:textId="77777777" w:rsidR="004C1803" w:rsidRPr="00577FAF" w:rsidRDefault="00CB6A57">
            <w:pPr>
              <w:spacing w:after="120"/>
              <w:rPr>
                <w:rFonts w:ascii="Arial" w:hAnsi="Arial" w:cs="Arial"/>
                <w:sz w:val="22"/>
                <w:szCs w:val="22"/>
              </w:rPr>
            </w:pPr>
            <w:r w:rsidRPr="00577FAF">
              <w:rPr>
                <w:rFonts w:ascii="Arial" w:hAnsi="Arial" w:cs="Arial"/>
                <w:sz w:val="22"/>
                <w:szCs w:val="22"/>
              </w:rPr>
              <w:t>El Consejo Ejecutivo,</w:t>
            </w:r>
          </w:p>
          <w:p w14:paraId="06F2F384" w14:textId="77777777" w:rsidR="003A60E3" w:rsidRPr="00577FAF" w:rsidRDefault="00CB6A57" w:rsidP="00745C10">
            <w:pPr>
              <w:numPr>
                <w:ilvl w:val="0"/>
                <w:numId w:val="10"/>
              </w:numPr>
              <w:spacing w:after="120"/>
              <w:ind w:left="567" w:hanging="567"/>
              <w:jc w:val="both"/>
              <w:rPr>
                <w:rFonts w:ascii="Arial" w:hAnsi="Arial" w:cs="Arial"/>
                <w:iCs/>
                <w:sz w:val="22"/>
                <w:szCs w:val="22"/>
              </w:rPr>
            </w:pPr>
            <w:r w:rsidRPr="00577FAF">
              <w:rPr>
                <w:rFonts w:ascii="Arial" w:hAnsi="Arial" w:cs="Arial"/>
                <w:sz w:val="22"/>
                <w:szCs w:val="22"/>
                <w:u w:val="single"/>
              </w:rPr>
              <w:t>Habiendo examinado</w:t>
            </w:r>
            <w:r w:rsidRPr="00577FAF">
              <w:rPr>
                <w:rFonts w:ascii="Arial" w:hAnsi="Arial" w:cs="Arial"/>
                <w:sz w:val="22"/>
                <w:szCs w:val="22"/>
              </w:rPr>
              <w:t xml:space="preserve"> el documento IOC/EC-57/5.1.Doc(1),</w:t>
            </w:r>
          </w:p>
          <w:p w14:paraId="3174CBF2" w14:textId="77777777" w:rsidR="003A60E3" w:rsidRPr="00577FAF" w:rsidRDefault="00CB6A57" w:rsidP="00745C10">
            <w:pPr>
              <w:numPr>
                <w:ilvl w:val="0"/>
                <w:numId w:val="10"/>
              </w:numPr>
              <w:spacing w:after="120"/>
              <w:ind w:left="567" w:hanging="567"/>
              <w:jc w:val="both"/>
              <w:rPr>
                <w:rFonts w:ascii="Arial" w:hAnsi="Arial" w:cs="Arial"/>
                <w:sz w:val="22"/>
                <w:szCs w:val="22"/>
              </w:rPr>
            </w:pPr>
            <w:r w:rsidRPr="00577FAF">
              <w:rPr>
                <w:rFonts w:ascii="Arial" w:hAnsi="Arial" w:cs="Arial"/>
                <w:sz w:val="22"/>
                <w:szCs w:val="22"/>
                <w:u w:val="single"/>
              </w:rPr>
              <w:t>Toma nota</w:t>
            </w:r>
            <w:r w:rsidRPr="00577FAF">
              <w:rPr>
                <w:rFonts w:ascii="Arial" w:hAnsi="Arial" w:cs="Arial"/>
                <w:sz w:val="22"/>
                <w:szCs w:val="22"/>
              </w:rPr>
              <w:t xml:space="preserve"> del documento IOC/A-32/6.1.Doc(1), sin perjuicio de un examen ulterior por el Comité de Finanzas con miras a formular un proyecto de resolución para su debate en sesión plenaria en el marco del punto 5.4 del orden del día y su consiguiente aprobación.</w:t>
            </w:r>
          </w:p>
        </w:tc>
      </w:tr>
      <w:bookmarkEnd w:id="166"/>
    </w:tbl>
    <w:p w14:paraId="490CF35B" w14:textId="77777777" w:rsidR="003A60E3" w:rsidRPr="00577FAF" w:rsidRDefault="003A60E3">
      <w:pPr>
        <w:rPr>
          <w:rFonts w:ascii="Arial" w:hAnsi="Arial" w:cs="Arial"/>
          <w:sz w:val="22"/>
          <w:szCs w:val="22"/>
        </w:rPr>
      </w:pPr>
    </w:p>
    <w:p w14:paraId="10E0C181" w14:textId="77777777" w:rsidR="003A60E3" w:rsidRPr="00577FAF" w:rsidRDefault="00CB6A57">
      <w:pPr>
        <w:pStyle w:val="Style2"/>
        <w:numPr>
          <w:ilvl w:val="0"/>
          <w:numId w:val="7"/>
        </w:numPr>
        <w:tabs>
          <w:tab w:val="left" w:pos="709"/>
        </w:tabs>
        <w:ind w:left="0" w:hanging="567"/>
        <w:rPr>
          <w:rFonts w:cs="Arial"/>
        </w:rPr>
      </w:pPr>
      <w:r w:rsidRPr="00577FAF">
        <w:rPr>
          <w:rFonts w:cs="Aria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196C245E" w14:textId="77777777" w:rsidR="003A60E3" w:rsidRPr="00577FAF" w:rsidRDefault="00CB6A57">
      <w:pPr>
        <w:pStyle w:val="Heading2"/>
        <w:tabs>
          <w:tab w:val="clear" w:pos="737"/>
          <w:tab w:val="left" w:pos="709"/>
        </w:tabs>
        <w:ind w:left="709" w:hanging="709"/>
        <w:rPr>
          <w:rFonts w:cs="Arial"/>
          <w:szCs w:val="22"/>
        </w:rPr>
      </w:pPr>
      <w:bookmarkStart w:id="167" w:name="_Toc168933436"/>
      <w:bookmarkStart w:id="168" w:name="_Toc57369055"/>
      <w:bookmarkStart w:id="169" w:name="_Toc85469074"/>
      <w:bookmarkStart w:id="170" w:name="_Toc92752504"/>
      <w:r w:rsidRPr="00577FAF">
        <w:rPr>
          <w:rFonts w:cs="Arial"/>
          <w:szCs w:val="22"/>
        </w:rPr>
        <w:lastRenderedPageBreak/>
        <w:t>5.2</w:t>
      </w:r>
      <w:r w:rsidRPr="00577FAF">
        <w:rPr>
          <w:rFonts w:cs="Arial"/>
          <w:szCs w:val="22"/>
        </w:rPr>
        <w:tab/>
        <w:t>PLAN DE ACCIÓN EN RESPUESTA A LA EVALUACIÓN POR LA IOS DEL POSICIONAMIENTO ESTRATÉGICO DE LA COI - INFORMACIÓN ACTUALIZADA SOBRE LA EJECUCIÓN [decisión EC-55/3.2; resolución A-32/4(IV)]</w:t>
      </w:r>
      <w:bookmarkEnd w:id="167"/>
      <w:r w:rsidRPr="00577FAF">
        <w:rPr>
          <w:rFonts w:cs="Arial"/>
          <w:szCs w:val="22"/>
        </w:rPr>
        <w:t xml:space="preserve"> </w:t>
      </w:r>
      <w:bookmarkEnd w:id="168"/>
      <w:bookmarkEnd w:id="169"/>
      <w:bookmarkEnd w:id="170"/>
    </w:p>
    <w:tbl>
      <w:tblPr>
        <w:tblW w:w="9747" w:type="dxa"/>
        <w:tblLayout w:type="fixed"/>
        <w:tblLook w:val="0000" w:firstRow="0" w:lastRow="0" w:firstColumn="0" w:lastColumn="0" w:noHBand="0" w:noVBand="0"/>
      </w:tblPr>
      <w:tblGrid>
        <w:gridCol w:w="2410"/>
        <w:gridCol w:w="2268"/>
        <w:gridCol w:w="5069"/>
      </w:tblGrid>
      <w:tr w:rsidR="003A60E3" w:rsidRPr="00577FAF" w14:paraId="0CD9DBEF" w14:textId="77777777" w:rsidTr="001F0620">
        <w:tc>
          <w:tcPr>
            <w:tcW w:w="2410" w:type="dxa"/>
            <w:shd w:val="clear" w:color="auto" w:fill="FFFF99"/>
            <w:tcMar>
              <w:top w:w="57" w:type="dxa"/>
              <w:bottom w:w="57" w:type="dxa"/>
            </w:tcMar>
          </w:tcPr>
          <w:p w14:paraId="64BBEDF5" w14:textId="77777777" w:rsidR="003A60E3" w:rsidRPr="00577FAF" w:rsidRDefault="00CB6A57">
            <w:pPr>
              <w:rPr>
                <w:rFonts w:ascii="Arial" w:hAnsi="Arial" w:cs="Arial"/>
                <w:i/>
                <w:color w:val="000000"/>
                <w:sz w:val="20"/>
                <w:szCs w:val="20"/>
                <w:u w:val="single"/>
              </w:rPr>
            </w:pPr>
            <w:r w:rsidRPr="00577FAF">
              <w:rPr>
                <w:rFonts w:ascii="Arial" w:hAnsi="Arial" w:cs="Arial"/>
                <w:i/>
                <w:iCs/>
                <w:sz w:val="20"/>
                <w:szCs w:val="20"/>
                <w:u w:val="single"/>
              </w:rPr>
              <w:t>Documentos de trabajo</w:t>
            </w:r>
          </w:p>
        </w:tc>
        <w:tc>
          <w:tcPr>
            <w:tcW w:w="2268" w:type="dxa"/>
            <w:shd w:val="clear" w:color="auto" w:fill="FFFF99"/>
            <w:tcMar>
              <w:top w:w="57" w:type="dxa"/>
              <w:bottom w:w="57" w:type="dxa"/>
            </w:tcMar>
          </w:tcPr>
          <w:p w14:paraId="18A4B89B" w14:textId="77777777" w:rsidR="003A60E3" w:rsidRPr="00577FAF" w:rsidRDefault="00CB6A57">
            <w:pPr>
              <w:rPr>
                <w:rFonts w:ascii="Arial" w:hAnsi="Arial" w:cs="Arial"/>
                <w:color w:val="000000"/>
                <w:sz w:val="20"/>
                <w:szCs w:val="20"/>
              </w:rPr>
            </w:pPr>
            <w:r w:rsidRPr="00577FAF">
              <w:rPr>
                <w:rFonts w:ascii="Arial" w:hAnsi="Arial" w:cs="Arial"/>
                <w:sz w:val="20"/>
                <w:szCs w:val="20"/>
              </w:rPr>
              <w:t>IOC/EC-57/5.2.Doc(1)</w:t>
            </w:r>
            <w:r w:rsidR="004C1803" w:rsidRPr="00577FAF">
              <w:rPr>
                <w:rFonts w:ascii="Arial" w:hAnsi="Arial" w:cs="Arial"/>
                <w:sz w:val="20"/>
                <w:szCs w:val="20"/>
              </w:rPr>
              <w:t xml:space="preserve"> </w:t>
            </w:r>
          </w:p>
        </w:tc>
        <w:tc>
          <w:tcPr>
            <w:tcW w:w="5069" w:type="dxa"/>
            <w:shd w:val="clear" w:color="auto" w:fill="FFFF99"/>
            <w:tcMar>
              <w:top w:w="57" w:type="dxa"/>
              <w:bottom w:w="57" w:type="dxa"/>
            </w:tcMar>
          </w:tcPr>
          <w:p w14:paraId="024ADBAB" w14:textId="77777777" w:rsidR="003A60E3" w:rsidRPr="00577FAF" w:rsidRDefault="00CB6A57">
            <w:pPr>
              <w:spacing w:after="60"/>
              <w:rPr>
                <w:rFonts w:ascii="Arial" w:hAnsi="Arial" w:cs="Arial"/>
                <w:color w:val="000000"/>
                <w:sz w:val="20"/>
                <w:szCs w:val="20"/>
              </w:rPr>
            </w:pPr>
            <w:r w:rsidRPr="00577FAF">
              <w:rPr>
                <w:rFonts w:ascii="Arial" w:hAnsi="Arial" w:cs="Arial"/>
                <w:sz w:val="20"/>
                <w:szCs w:val="20"/>
              </w:rPr>
              <w:t>Plan de acción en respuesta a la evaluación por la IOS del posicionamiento estratégico de la COI - Información actualizada sobre la ejecución</w:t>
            </w:r>
          </w:p>
        </w:tc>
      </w:tr>
      <w:tr w:rsidR="003A60E3" w:rsidRPr="00EA695A" w14:paraId="22BF8810" w14:textId="77777777" w:rsidTr="001F0620">
        <w:tc>
          <w:tcPr>
            <w:tcW w:w="2410" w:type="dxa"/>
            <w:shd w:val="clear" w:color="auto" w:fill="FFFF99"/>
            <w:tcMar>
              <w:top w:w="57" w:type="dxa"/>
              <w:bottom w:w="57" w:type="dxa"/>
            </w:tcMar>
          </w:tcPr>
          <w:p w14:paraId="1CD704C5" w14:textId="77777777" w:rsidR="003A60E3" w:rsidRPr="00577FAF" w:rsidRDefault="003A60E3">
            <w:pPr>
              <w:rPr>
                <w:rFonts w:ascii="Arial" w:hAnsi="Arial" w:cs="Arial"/>
                <w:i/>
                <w:color w:val="000000"/>
                <w:sz w:val="20"/>
                <w:szCs w:val="20"/>
                <w:u w:val="single"/>
              </w:rPr>
            </w:pPr>
          </w:p>
        </w:tc>
        <w:tc>
          <w:tcPr>
            <w:tcW w:w="2268" w:type="dxa"/>
            <w:shd w:val="clear" w:color="auto" w:fill="FFFF99"/>
            <w:tcMar>
              <w:top w:w="57" w:type="dxa"/>
              <w:bottom w:w="57" w:type="dxa"/>
            </w:tcMar>
          </w:tcPr>
          <w:p w14:paraId="7FDEB2B9" w14:textId="77777777" w:rsidR="003A60E3" w:rsidRPr="00577FAF" w:rsidRDefault="00CB6A57">
            <w:pPr>
              <w:rPr>
                <w:rFonts w:ascii="Arial" w:hAnsi="Arial" w:cs="Arial"/>
                <w:color w:val="000000"/>
                <w:sz w:val="20"/>
                <w:szCs w:val="20"/>
              </w:rPr>
            </w:pPr>
            <w:r w:rsidRPr="00577FAF">
              <w:rPr>
                <w:rFonts w:ascii="Arial" w:hAnsi="Arial" w:cs="Arial"/>
                <w:sz w:val="20"/>
                <w:szCs w:val="20"/>
              </w:rPr>
              <w:t>IOC/EC-57/5.2.Doc(2)</w:t>
            </w:r>
            <w:r w:rsidR="004C1803" w:rsidRPr="00577FAF">
              <w:rPr>
                <w:rFonts w:ascii="Arial" w:hAnsi="Arial" w:cs="Arial"/>
                <w:sz w:val="20"/>
                <w:szCs w:val="20"/>
              </w:rPr>
              <w:t xml:space="preserve"> </w:t>
            </w:r>
          </w:p>
        </w:tc>
        <w:tc>
          <w:tcPr>
            <w:tcW w:w="5069" w:type="dxa"/>
            <w:shd w:val="clear" w:color="auto" w:fill="FFFF99"/>
            <w:tcMar>
              <w:top w:w="57" w:type="dxa"/>
              <w:bottom w:w="57" w:type="dxa"/>
            </w:tcMar>
          </w:tcPr>
          <w:p w14:paraId="1D7B6ADE" w14:textId="77777777" w:rsidR="003A60E3" w:rsidRPr="00667A5C" w:rsidRDefault="00CB6A57">
            <w:pPr>
              <w:spacing w:after="60"/>
              <w:rPr>
                <w:rFonts w:ascii="Arial" w:hAnsi="Arial" w:cs="Arial"/>
                <w:color w:val="000000"/>
                <w:sz w:val="20"/>
                <w:szCs w:val="20"/>
                <w:lang w:val="en-US"/>
              </w:rPr>
            </w:pPr>
            <w:r w:rsidRPr="00667A5C">
              <w:rPr>
                <w:rFonts w:ascii="Arial" w:hAnsi="Arial" w:cs="Arial"/>
                <w:sz w:val="20"/>
                <w:szCs w:val="20"/>
                <w:lang w:val="en-US"/>
              </w:rPr>
              <w:t>Report of the Chair of the Intersessional Financial Advisory Group (intersessional period January–June 2024)</w:t>
            </w:r>
          </w:p>
        </w:tc>
      </w:tr>
      <w:tr w:rsidR="003A60E3" w:rsidRPr="00EA695A" w14:paraId="2DA65D75" w14:textId="77777777" w:rsidTr="001F0620">
        <w:tc>
          <w:tcPr>
            <w:tcW w:w="2410" w:type="dxa"/>
            <w:shd w:val="clear" w:color="auto" w:fill="D5DCE4"/>
            <w:tcMar>
              <w:top w:w="57" w:type="dxa"/>
              <w:bottom w:w="57" w:type="dxa"/>
            </w:tcMar>
          </w:tcPr>
          <w:p w14:paraId="28D3973E" w14:textId="77777777" w:rsidR="003A60E3" w:rsidRPr="00577FAF" w:rsidRDefault="00CB6A57">
            <w:pPr>
              <w:tabs>
                <w:tab w:val="left" w:pos="1132"/>
              </w:tabs>
              <w:rPr>
                <w:rFonts w:ascii="Arial" w:hAnsi="Arial" w:cs="Arial"/>
                <w:i/>
                <w:color w:val="000000"/>
                <w:sz w:val="20"/>
                <w:szCs w:val="20"/>
                <w:u w:val="single"/>
              </w:rPr>
            </w:pPr>
            <w:r w:rsidRPr="00577FAF">
              <w:rPr>
                <w:rFonts w:ascii="Arial" w:hAnsi="Arial" w:cs="Arial"/>
                <w:i/>
                <w:iCs/>
                <w:sz w:val="20"/>
                <w:szCs w:val="20"/>
                <w:u w:val="single"/>
              </w:rPr>
              <w:t>Referencia</w:t>
            </w:r>
          </w:p>
        </w:tc>
        <w:tc>
          <w:tcPr>
            <w:tcW w:w="2268" w:type="dxa"/>
            <w:shd w:val="clear" w:color="auto" w:fill="auto"/>
            <w:tcMar>
              <w:top w:w="57" w:type="dxa"/>
              <w:bottom w:w="57" w:type="dxa"/>
            </w:tcMar>
          </w:tcPr>
          <w:p w14:paraId="585DFFA9" w14:textId="77777777" w:rsidR="003A60E3" w:rsidRPr="00577FAF" w:rsidRDefault="00CB6A57">
            <w:pPr>
              <w:rPr>
                <w:rFonts w:ascii="Arial" w:hAnsi="Arial" w:cs="Arial"/>
                <w:color w:val="000000"/>
                <w:sz w:val="20"/>
                <w:szCs w:val="20"/>
              </w:rPr>
            </w:pPr>
            <w:r w:rsidRPr="00577FAF">
              <w:rPr>
                <w:rFonts w:ascii="Arial" w:hAnsi="Arial" w:cs="Arial"/>
                <w:sz w:val="20"/>
                <w:szCs w:val="20"/>
              </w:rPr>
              <w:t>IOS/EVS/PI/197</w:t>
            </w:r>
          </w:p>
        </w:tc>
        <w:tc>
          <w:tcPr>
            <w:tcW w:w="5069" w:type="dxa"/>
            <w:shd w:val="clear" w:color="auto" w:fill="auto"/>
            <w:tcMar>
              <w:top w:w="57" w:type="dxa"/>
              <w:bottom w:w="57" w:type="dxa"/>
            </w:tcMar>
          </w:tcPr>
          <w:p w14:paraId="2925E3F1" w14:textId="5737467A" w:rsidR="003A60E3" w:rsidRPr="00667A5C" w:rsidRDefault="00CB6A57">
            <w:pPr>
              <w:spacing w:after="60"/>
              <w:rPr>
                <w:rFonts w:ascii="Arial" w:hAnsi="Arial" w:cs="Arial"/>
                <w:color w:val="000000"/>
                <w:sz w:val="20"/>
                <w:szCs w:val="20"/>
                <w:lang w:val="en-US"/>
              </w:rPr>
            </w:pPr>
            <w:r w:rsidRPr="00667A5C">
              <w:rPr>
                <w:rFonts w:ascii="Arial" w:hAnsi="Arial" w:cs="Arial"/>
                <w:sz w:val="20"/>
                <w:szCs w:val="20"/>
                <w:lang w:val="en-US"/>
              </w:rPr>
              <w:t>Evaluation of the strategic positioning of IOC</w:t>
            </w:r>
            <w:r w:rsidR="00753F03" w:rsidRPr="00667A5C">
              <w:rPr>
                <w:rFonts w:ascii="Arial" w:hAnsi="Arial" w:cs="Arial"/>
                <w:sz w:val="20"/>
                <w:szCs w:val="20"/>
                <w:lang w:val="en-US"/>
              </w:rPr>
              <w:noBreakHyphen/>
            </w:r>
            <w:r w:rsidRPr="00667A5C">
              <w:rPr>
                <w:rFonts w:ascii="Arial" w:hAnsi="Arial" w:cs="Arial"/>
                <w:sz w:val="20"/>
                <w:szCs w:val="20"/>
                <w:lang w:val="en-US"/>
              </w:rPr>
              <w:t>UNESCO</w:t>
            </w:r>
          </w:p>
        </w:tc>
      </w:tr>
    </w:tbl>
    <w:p w14:paraId="625C213A" w14:textId="77777777" w:rsidR="003A60E3" w:rsidRPr="00577FAF" w:rsidRDefault="00CB6A57">
      <w:pPr>
        <w:pStyle w:val="Style2"/>
        <w:numPr>
          <w:ilvl w:val="0"/>
          <w:numId w:val="7"/>
        </w:numPr>
        <w:tabs>
          <w:tab w:val="left" w:pos="709"/>
        </w:tabs>
        <w:spacing w:before="240"/>
        <w:ind w:left="0" w:hanging="567"/>
        <w:rPr>
          <w:rFonts w:cs="Arial"/>
        </w:rPr>
      </w:pPr>
      <w:r w:rsidRPr="00577FAF">
        <w:rPr>
          <w:rFonts w:cs="Arial"/>
        </w:rPr>
        <w:t xml:space="preserve">El Secretario Ejecutivo recordó al Consejo la resolución A-32/4.IV de la Asamblea de la COI, aprobada en su 32ª reunión, en la que aprobó el plan de acción presentado en el documento </w:t>
      </w:r>
      <w:hyperlink r:id="rId52" w:history="1">
        <w:r w:rsidRPr="00577FAF">
          <w:rPr>
            <w:rStyle w:val="Hyperlink"/>
            <w:rFonts w:cs="Arial"/>
          </w:rPr>
          <w:t>IOC/A</w:t>
        </w:r>
        <w:r w:rsidR="001C25F5" w:rsidRPr="00577FAF">
          <w:rPr>
            <w:rStyle w:val="Hyperlink"/>
            <w:rFonts w:cs="Arial"/>
          </w:rPr>
          <w:noBreakHyphen/>
        </w:r>
        <w:r w:rsidRPr="00577FAF">
          <w:rPr>
            <w:rStyle w:val="Hyperlink"/>
            <w:rFonts w:cs="Arial"/>
          </w:rPr>
          <w:t>32/6.3.Doc(1)</w:t>
        </w:r>
      </w:hyperlink>
      <w:r w:rsidRPr="00577FAF">
        <w:rPr>
          <w:rFonts w:cs="Arial"/>
        </w:rPr>
        <w:t xml:space="preserve"> y pidió al Secretario Ejecutivo de la COI que “[llevara] adelante su aplicación teniendo en cuenta la evolución de la situación de la COI, incluidos los recursos disponibles, proponiendo ajustes en consecuencia e informando sobre los progresos realizados a los órganos rectores de la COI y de la UNESCO”.</w:t>
      </w:r>
    </w:p>
    <w:p w14:paraId="0373921B" w14:textId="77777777" w:rsidR="003A60E3" w:rsidRPr="00577FAF" w:rsidRDefault="00CB6A57">
      <w:pPr>
        <w:pStyle w:val="Style2"/>
        <w:numPr>
          <w:ilvl w:val="0"/>
          <w:numId w:val="7"/>
        </w:numPr>
        <w:tabs>
          <w:tab w:val="left" w:pos="709"/>
        </w:tabs>
        <w:ind w:left="0" w:hanging="567"/>
        <w:rPr>
          <w:rFonts w:cs="Arial"/>
        </w:rPr>
      </w:pPr>
      <w:r w:rsidRPr="00577FAF">
        <w:rPr>
          <w:rFonts w:cs="Arial"/>
        </w:rPr>
        <w:t>El Sr. Helgesen destacó que, si bien algunas medidas ya se han puesto en práctica y otras están en curso, varias medidas estratégicas requerirán una mayor reflexión por parte de la Secretaría y consultas con los Estados Miembros en el contexto de la nueva fase de la consulta “La COI y el futuro del océano”. La 33ª reunión de la Asamblea de la COI, en junio de 2025, será un hito importante.</w:t>
      </w:r>
    </w:p>
    <w:tbl>
      <w:tblPr>
        <w:tblW w:w="9781" w:type="dxa"/>
        <w:shd w:val="clear" w:color="auto" w:fill="CCFFCC"/>
        <w:tblLayout w:type="fixed"/>
        <w:tblCellMar>
          <w:top w:w="113" w:type="dxa"/>
          <w:bottom w:w="113" w:type="dxa"/>
        </w:tblCellMar>
        <w:tblLook w:val="0000" w:firstRow="0" w:lastRow="0" w:firstColumn="0" w:lastColumn="0" w:noHBand="0" w:noVBand="0"/>
      </w:tblPr>
      <w:tblGrid>
        <w:gridCol w:w="9781"/>
      </w:tblGrid>
      <w:tr w:rsidR="003A60E3" w:rsidRPr="00577FAF" w14:paraId="0B9BB302" w14:textId="77777777" w:rsidTr="00B24BC9">
        <w:trPr>
          <w:cantSplit/>
          <w:trHeight w:val="380"/>
        </w:trPr>
        <w:tc>
          <w:tcPr>
            <w:tcW w:w="9781" w:type="dxa"/>
            <w:shd w:val="clear" w:color="auto" w:fill="CCFFCC"/>
            <w:tcMar>
              <w:top w:w="113" w:type="dxa"/>
              <w:bottom w:w="113" w:type="dxa"/>
            </w:tcMar>
          </w:tcPr>
          <w:p w14:paraId="03B8B5BB" w14:textId="77777777" w:rsidR="003A60E3" w:rsidRPr="00577FAF" w:rsidRDefault="00CB6A57">
            <w:pPr>
              <w:spacing w:after="240"/>
              <w:rPr>
                <w:rFonts w:ascii="Arial" w:eastAsia="Calibri" w:hAnsi="Arial" w:cs="Arial"/>
                <w:sz w:val="22"/>
                <w:szCs w:val="22"/>
                <w:u w:val="single"/>
              </w:rPr>
            </w:pPr>
            <w:r w:rsidRPr="00577FAF">
              <w:rPr>
                <w:rFonts w:ascii="Arial" w:hAnsi="Arial" w:cs="Arial"/>
                <w:sz w:val="22"/>
                <w:szCs w:val="22"/>
                <w:u w:val="single"/>
              </w:rPr>
              <w:t>Decisión EC-57/5.2</w:t>
            </w:r>
          </w:p>
          <w:p w14:paraId="602088F2" w14:textId="01922856" w:rsidR="003A60E3" w:rsidRPr="00577FAF" w:rsidRDefault="00CB6A57">
            <w:pPr>
              <w:tabs>
                <w:tab w:val="num" w:pos="1400"/>
              </w:tabs>
              <w:spacing w:after="240"/>
              <w:jc w:val="center"/>
              <w:rPr>
                <w:rFonts w:ascii="Arial" w:hAnsi="Arial" w:cs="Arial"/>
                <w:b/>
                <w:color w:val="000000"/>
                <w:sz w:val="22"/>
                <w:szCs w:val="22"/>
              </w:rPr>
            </w:pPr>
            <w:r w:rsidRPr="00577FAF">
              <w:rPr>
                <w:rFonts w:ascii="Arial" w:hAnsi="Arial" w:cs="Arial"/>
                <w:b/>
                <w:bCs/>
                <w:sz w:val="22"/>
                <w:szCs w:val="22"/>
              </w:rPr>
              <w:t xml:space="preserve">Plan de acción en respuesta a la evaluación por la IOS del posicionamiento estratégico </w:t>
            </w:r>
            <w:r w:rsidR="00880362" w:rsidRPr="00577FAF">
              <w:rPr>
                <w:rFonts w:ascii="Arial" w:hAnsi="Arial" w:cs="Arial"/>
                <w:b/>
                <w:bCs/>
                <w:sz w:val="22"/>
                <w:szCs w:val="22"/>
              </w:rPr>
              <w:br/>
            </w:r>
            <w:r w:rsidRPr="00577FAF">
              <w:rPr>
                <w:rFonts w:ascii="Arial" w:hAnsi="Arial" w:cs="Arial"/>
                <w:b/>
                <w:bCs/>
                <w:sz w:val="22"/>
                <w:szCs w:val="22"/>
              </w:rPr>
              <w:t>de la</w:t>
            </w:r>
            <w:r w:rsidR="00D177D3" w:rsidRPr="00577FAF">
              <w:rPr>
                <w:rFonts w:ascii="Arial" w:hAnsi="Arial" w:cs="Arial"/>
                <w:b/>
                <w:bCs/>
                <w:sz w:val="22"/>
                <w:szCs w:val="22"/>
              </w:rPr>
              <w:t> </w:t>
            </w:r>
            <w:r w:rsidRPr="00577FAF">
              <w:rPr>
                <w:rFonts w:ascii="Arial" w:hAnsi="Arial" w:cs="Arial"/>
                <w:b/>
                <w:bCs/>
                <w:sz w:val="22"/>
                <w:szCs w:val="22"/>
              </w:rPr>
              <w:t>COI - Información actualizada sobre la ejecución</w:t>
            </w:r>
          </w:p>
          <w:p w14:paraId="5B3286BA" w14:textId="77777777" w:rsidR="004C1803" w:rsidRPr="00577FAF" w:rsidRDefault="00CB6A57">
            <w:pPr>
              <w:keepLines/>
              <w:tabs>
                <w:tab w:val="num" w:pos="1400"/>
              </w:tabs>
              <w:spacing w:after="120"/>
              <w:ind w:left="720" w:hanging="720"/>
              <w:jc w:val="both"/>
              <w:rPr>
                <w:rFonts w:ascii="Arial" w:hAnsi="Arial" w:cs="Arial"/>
                <w:sz w:val="22"/>
                <w:szCs w:val="22"/>
              </w:rPr>
            </w:pPr>
            <w:r w:rsidRPr="00577FAF">
              <w:rPr>
                <w:rFonts w:ascii="Arial" w:hAnsi="Arial" w:cs="Arial"/>
                <w:sz w:val="22"/>
                <w:szCs w:val="22"/>
              </w:rPr>
              <w:t>El Consejo Ejecutivo,</w:t>
            </w:r>
          </w:p>
          <w:p w14:paraId="3C676D1B" w14:textId="77777777" w:rsidR="003A60E3" w:rsidRPr="00577FAF" w:rsidRDefault="00CB6A57" w:rsidP="00745C10">
            <w:pPr>
              <w:keepLines/>
              <w:numPr>
                <w:ilvl w:val="0"/>
                <w:numId w:val="9"/>
              </w:numPr>
              <w:spacing w:after="120"/>
              <w:ind w:left="567" w:hanging="567"/>
              <w:jc w:val="both"/>
              <w:rPr>
                <w:rFonts w:ascii="Arial" w:hAnsi="Arial" w:cs="Arial"/>
                <w:snapToGrid w:val="0"/>
                <w:sz w:val="22"/>
                <w:szCs w:val="22"/>
              </w:rPr>
            </w:pPr>
            <w:r w:rsidRPr="00577FAF">
              <w:rPr>
                <w:rFonts w:ascii="Arial" w:hAnsi="Arial" w:cs="Arial"/>
                <w:sz w:val="22"/>
                <w:szCs w:val="22"/>
                <w:u w:val="single"/>
              </w:rPr>
              <w:t>Habiendo examinado</w:t>
            </w:r>
            <w:r w:rsidRPr="00577FAF">
              <w:rPr>
                <w:rFonts w:ascii="Arial" w:hAnsi="Arial" w:cs="Arial"/>
                <w:sz w:val="22"/>
                <w:szCs w:val="22"/>
              </w:rPr>
              <w:t xml:space="preserve"> el documento IOC/EC-57/5.2.Doc(1),</w:t>
            </w:r>
          </w:p>
          <w:p w14:paraId="66D16EFC" w14:textId="77777777" w:rsidR="003A60E3" w:rsidRPr="00577FAF" w:rsidRDefault="00CB6A57" w:rsidP="00745C10">
            <w:pPr>
              <w:keepLines/>
              <w:numPr>
                <w:ilvl w:val="0"/>
                <w:numId w:val="9"/>
              </w:numPr>
              <w:spacing w:after="120"/>
              <w:ind w:left="567" w:hanging="567"/>
              <w:jc w:val="both"/>
              <w:rPr>
                <w:rFonts w:ascii="Arial" w:hAnsi="Arial" w:cs="Arial"/>
                <w:snapToGrid w:val="0"/>
                <w:sz w:val="22"/>
                <w:szCs w:val="22"/>
              </w:rPr>
            </w:pPr>
            <w:r w:rsidRPr="00577FAF">
              <w:rPr>
                <w:rFonts w:ascii="Arial" w:hAnsi="Arial" w:cs="Arial"/>
                <w:sz w:val="22"/>
                <w:szCs w:val="22"/>
                <w:u w:val="single"/>
              </w:rPr>
              <w:t>Toma nota</w:t>
            </w:r>
            <w:r w:rsidRPr="00577FAF">
              <w:rPr>
                <w:rFonts w:ascii="Arial" w:hAnsi="Arial" w:cs="Arial"/>
                <w:sz w:val="22"/>
                <w:szCs w:val="22"/>
              </w:rPr>
              <w:t xml:space="preserve"> del documento IOC/EC-57/5.2.Doc(1), sin perjuicio de un examen ulterior por el Comité de Finanzas con miras a formular un proyecto de resolución para su debate en sesión plenaria en el marco del punto 5.4 del orden del día y su consiguiente aprobación.</w:t>
            </w:r>
          </w:p>
        </w:tc>
      </w:tr>
    </w:tbl>
    <w:p w14:paraId="6F2F180F" w14:textId="77777777" w:rsidR="003A60E3" w:rsidRPr="00577FAF" w:rsidRDefault="003A60E3">
      <w:pPr>
        <w:rPr>
          <w:rFonts w:ascii="Arial" w:hAnsi="Arial" w:cs="Arial"/>
          <w:sz w:val="22"/>
          <w:szCs w:val="22"/>
        </w:rPr>
      </w:pPr>
    </w:p>
    <w:p w14:paraId="7CBAEA76" w14:textId="77777777" w:rsidR="003A60E3" w:rsidRPr="00577FAF" w:rsidRDefault="00CB6A57">
      <w:pPr>
        <w:pStyle w:val="Style2"/>
        <w:numPr>
          <w:ilvl w:val="0"/>
          <w:numId w:val="7"/>
        </w:numPr>
        <w:tabs>
          <w:tab w:val="left" w:pos="709"/>
        </w:tabs>
        <w:spacing w:after="0"/>
        <w:ind w:left="0" w:hanging="567"/>
        <w:rPr>
          <w:rFonts w:cs="Arial"/>
        </w:rPr>
      </w:pPr>
      <w:r w:rsidRPr="00577FAF">
        <w:rPr>
          <w:rFonts w:cs="Aria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29C1AA2E" w14:textId="77777777" w:rsidR="003A60E3" w:rsidRPr="00577FAF" w:rsidRDefault="003A60E3">
      <w:pPr>
        <w:pStyle w:val="Style2"/>
        <w:tabs>
          <w:tab w:val="clear" w:pos="1400"/>
          <w:tab w:val="left" w:pos="709"/>
        </w:tabs>
        <w:spacing w:after="0"/>
        <w:ind w:left="0" w:hanging="567"/>
        <w:rPr>
          <w:rFonts w:cs="Arial"/>
        </w:rPr>
      </w:pPr>
    </w:p>
    <w:p w14:paraId="05AA5D30" w14:textId="77777777" w:rsidR="003A60E3" w:rsidRPr="00577FAF" w:rsidRDefault="00CB6A57">
      <w:pPr>
        <w:pStyle w:val="Heading2"/>
        <w:ind w:left="709" w:hanging="709"/>
        <w:rPr>
          <w:rFonts w:eastAsia="Calibri" w:cs="Arial"/>
          <w:szCs w:val="22"/>
        </w:rPr>
      </w:pPr>
      <w:bookmarkStart w:id="171" w:name="_Toc168933437"/>
      <w:bookmarkStart w:id="172" w:name="_Toc85469075"/>
      <w:bookmarkStart w:id="173" w:name="_Toc92752505"/>
      <w:r w:rsidRPr="00577FAF">
        <w:rPr>
          <w:rFonts w:cs="Arial"/>
          <w:szCs w:val="22"/>
        </w:rPr>
        <w:t>5.3</w:t>
      </w:r>
      <w:r w:rsidRPr="00577FAF">
        <w:rPr>
          <w:rFonts w:cs="Arial"/>
          <w:szCs w:val="22"/>
        </w:rPr>
        <w:tab/>
        <w:t>APLICACIÓN DE LA RESOLUCIÓN A-32/4: ASUNTOS RELATIVOS A LA GOBERNANZA, LA PROGRAMACIÓN Y LA PRESUPUESTACIÓN DE LA COMISIÓN [resolución A-32/4]</w:t>
      </w:r>
      <w:bookmarkEnd w:id="171"/>
      <w:r w:rsidRPr="00577FAF">
        <w:rPr>
          <w:rFonts w:cs="Arial"/>
          <w:szCs w:val="22"/>
        </w:rPr>
        <w:t xml:space="preserve"> </w:t>
      </w:r>
      <w:bookmarkEnd w:id="172"/>
      <w:bookmarkEnd w:id="173"/>
    </w:p>
    <w:tbl>
      <w:tblPr>
        <w:tblW w:w="9781" w:type="dxa"/>
        <w:tblLayout w:type="fixed"/>
        <w:tblLook w:val="0000" w:firstRow="0" w:lastRow="0" w:firstColumn="0" w:lastColumn="0" w:noHBand="0" w:noVBand="0"/>
      </w:tblPr>
      <w:tblGrid>
        <w:gridCol w:w="2410"/>
        <w:gridCol w:w="2410"/>
        <w:gridCol w:w="4961"/>
      </w:tblGrid>
      <w:tr w:rsidR="003A60E3" w:rsidRPr="00577FAF" w14:paraId="31D5C685" w14:textId="77777777" w:rsidTr="001F0620">
        <w:tc>
          <w:tcPr>
            <w:tcW w:w="2410" w:type="dxa"/>
            <w:shd w:val="clear" w:color="auto" w:fill="FFFF99"/>
            <w:tcMar>
              <w:top w:w="57" w:type="dxa"/>
              <w:bottom w:w="57" w:type="dxa"/>
            </w:tcMar>
          </w:tcPr>
          <w:p w14:paraId="73C5AFEF" w14:textId="77777777" w:rsidR="003A60E3" w:rsidRPr="00577FAF" w:rsidRDefault="00CB6A57">
            <w:pPr>
              <w:rPr>
                <w:rFonts w:ascii="Arial" w:hAnsi="Arial" w:cs="Arial"/>
                <w:i/>
                <w:color w:val="000000"/>
                <w:sz w:val="22"/>
                <w:szCs w:val="22"/>
                <w:u w:val="single"/>
              </w:rPr>
            </w:pPr>
            <w:r w:rsidRPr="00577FAF">
              <w:rPr>
                <w:rFonts w:ascii="Arial" w:hAnsi="Arial" w:cs="Arial"/>
                <w:i/>
                <w:iCs/>
                <w:sz w:val="22"/>
                <w:szCs w:val="22"/>
                <w:u w:val="single"/>
              </w:rPr>
              <w:t>Documento de trabajo</w:t>
            </w:r>
          </w:p>
        </w:tc>
        <w:tc>
          <w:tcPr>
            <w:tcW w:w="2410" w:type="dxa"/>
            <w:shd w:val="clear" w:color="auto" w:fill="FFFF99"/>
            <w:tcMar>
              <w:top w:w="57" w:type="dxa"/>
              <w:bottom w:w="57" w:type="dxa"/>
            </w:tcMar>
          </w:tcPr>
          <w:p w14:paraId="01FB5831" w14:textId="77777777" w:rsidR="003A60E3" w:rsidRPr="00577FAF" w:rsidRDefault="00CB6A57">
            <w:pPr>
              <w:rPr>
                <w:rFonts w:ascii="Arial" w:hAnsi="Arial" w:cs="Arial"/>
                <w:color w:val="000000"/>
                <w:sz w:val="22"/>
                <w:szCs w:val="22"/>
              </w:rPr>
            </w:pPr>
            <w:r w:rsidRPr="00577FAF">
              <w:rPr>
                <w:rFonts w:ascii="Arial" w:hAnsi="Arial" w:cs="Arial"/>
                <w:sz w:val="22"/>
                <w:szCs w:val="22"/>
              </w:rPr>
              <w:t>IOC/EC-57/5.3.Doc(1)</w:t>
            </w:r>
            <w:r w:rsidR="004C1803" w:rsidRPr="00577FAF">
              <w:rPr>
                <w:rFonts w:ascii="Arial" w:hAnsi="Arial" w:cs="Arial"/>
                <w:sz w:val="22"/>
                <w:szCs w:val="22"/>
              </w:rPr>
              <w:t xml:space="preserve"> </w:t>
            </w:r>
          </w:p>
        </w:tc>
        <w:tc>
          <w:tcPr>
            <w:tcW w:w="4961" w:type="dxa"/>
            <w:shd w:val="clear" w:color="auto" w:fill="FFFF99"/>
            <w:tcMar>
              <w:top w:w="57" w:type="dxa"/>
              <w:bottom w:w="57" w:type="dxa"/>
            </w:tcMar>
          </w:tcPr>
          <w:p w14:paraId="227306BA" w14:textId="77777777" w:rsidR="003A60E3" w:rsidRPr="00577FAF" w:rsidRDefault="00CB6A57">
            <w:pPr>
              <w:spacing w:after="60"/>
              <w:rPr>
                <w:rFonts w:ascii="Arial" w:hAnsi="Arial" w:cs="Arial"/>
                <w:color w:val="000000"/>
                <w:sz w:val="22"/>
                <w:szCs w:val="22"/>
              </w:rPr>
            </w:pPr>
            <w:r w:rsidRPr="00577FAF">
              <w:rPr>
                <w:rFonts w:ascii="Arial" w:hAnsi="Arial" w:cs="Arial"/>
                <w:sz w:val="22"/>
                <w:szCs w:val="22"/>
              </w:rPr>
              <w:t>Proyecto de directrices para la preparación de los Estados Miembros y su participación en las elecciones bienales de la Mesa de la Comisión (Presidente y vicepresidentes de la COI) y de los Estados miembros del Consejo Ejecutivo</w:t>
            </w:r>
          </w:p>
        </w:tc>
      </w:tr>
      <w:tr w:rsidR="003A60E3" w:rsidRPr="00577FAF" w14:paraId="706735A0" w14:textId="77777777" w:rsidTr="001F0620">
        <w:tc>
          <w:tcPr>
            <w:tcW w:w="2410" w:type="dxa"/>
            <w:shd w:val="clear" w:color="auto" w:fill="D5DCE4"/>
            <w:tcMar>
              <w:top w:w="57" w:type="dxa"/>
              <w:bottom w:w="57" w:type="dxa"/>
            </w:tcMar>
          </w:tcPr>
          <w:p w14:paraId="712DA897" w14:textId="77777777" w:rsidR="003A60E3" w:rsidRPr="00577FAF" w:rsidRDefault="00CB6A57">
            <w:pPr>
              <w:tabs>
                <w:tab w:val="left" w:pos="1132"/>
              </w:tabs>
              <w:rPr>
                <w:rFonts w:ascii="Arial" w:hAnsi="Arial" w:cs="Arial"/>
                <w:i/>
                <w:color w:val="000000"/>
                <w:sz w:val="22"/>
                <w:szCs w:val="22"/>
                <w:u w:val="single"/>
              </w:rPr>
            </w:pPr>
            <w:r w:rsidRPr="00577FAF">
              <w:rPr>
                <w:rFonts w:ascii="Arial" w:hAnsi="Arial" w:cs="Arial"/>
                <w:i/>
                <w:iCs/>
                <w:sz w:val="22"/>
                <w:szCs w:val="22"/>
                <w:u w:val="single"/>
              </w:rPr>
              <w:lastRenderedPageBreak/>
              <w:t>Referencias</w:t>
            </w:r>
          </w:p>
        </w:tc>
        <w:tc>
          <w:tcPr>
            <w:tcW w:w="2410" w:type="dxa"/>
            <w:shd w:val="clear" w:color="auto" w:fill="auto"/>
            <w:tcMar>
              <w:top w:w="57" w:type="dxa"/>
              <w:bottom w:w="57" w:type="dxa"/>
            </w:tcMar>
          </w:tcPr>
          <w:p w14:paraId="7FA9A59C" w14:textId="77777777" w:rsidR="003A60E3" w:rsidRPr="00577FAF" w:rsidRDefault="00CB6A57">
            <w:pPr>
              <w:rPr>
                <w:rFonts w:ascii="Arial" w:hAnsi="Arial" w:cs="Arial"/>
                <w:color w:val="000000"/>
                <w:sz w:val="22"/>
                <w:szCs w:val="22"/>
              </w:rPr>
            </w:pPr>
            <w:r w:rsidRPr="00577FAF">
              <w:rPr>
                <w:rFonts w:ascii="Arial" w:hAnsi="Arial" w:cs="Arial"/>
                <w:sz w:val="22"/>
                <w:szCs w:val="22"/>
              </w:rPr>
              <w:t>IOC/INF-1148</w:t>
            </w:r>
          </w:p>
        </w:tc>
        <w:tc>
          <w:tcPr>
            <w:tcW w:w="4961" w:type="dxa"/>
            <w:shd w:val="clear" w:color="auto" w:fill="auto"/>
            <w:tcMar>
              <w:top w:w="57" w:type="dxa"/>
              <w:bottom w:w="57" w:type="dxa"/>
            </w:tcMar>
          </w:tcPr>
          <w:p w14:paraId="2A433C26" w14:textId="77777777" w:rsidR="003A60E3" w:rsidRPr="00577FAF" w:rsidRDefault="00CB6A57">
            <w:pPr>
              <w:spacing w:after="60"/>
              <w:rPr>
                <w:rFonts w:ascii="Arial" w:hAnsi="Arial" w:cs="Arial"/>
                <w:color w:val="000000"/>
                <w:sz w:val="22"/>
                <w:szCs w:val="22"/>
              </w:rPr>
            </w:pPr>
            <w:r w:rsidRPr="00577FAF">
              <w:rPr>
                <w:rFonts w:ascii="Arial" w:hAnsi="Arial" w:cs="Arial"/>
                <w:sz w:val="22"/>
                <w:szCs w:val="22"/>
              </w:rPr>
              <w:t>Estatutos de la COI</w:t>
            </w:r>
          </w:p>
        </w:tc>
      </w:tr>
      <w:tr w:rsidR="003A60E3" w:rsidRPr="00577FAF" w14:paraId="76D84E07" w14:textId="77777777" w:rsidTr="001F0620">
        <w:tc>
          <w:tcPr>
            <w:tcW w:w="2410" w:type="dxa"/>
            <w:shd w:val="clear" w:color="auto" w:fill="D5DCE4"/>
            <w:tcMar>
              <w:top w:w="57" w:type="dxa"/>
              <w:bottom w:w="57" w:type="dxa"/>
            </w:tcMar>
          </w:tcPr>
          <w:p w14:paraId="42812154" w14:textId="77777777" w:rsidR="003A60E3" w:rsidRPr="00577FAF" w:rsidRDefault="003A60E3">
            <w:pPr>
              <w:tabs>
                <w:tab w:val="left" w:pos="1132"/>
              </w:tabs>
              <w:rPr>
                <w:rFonts w:ascii="Arial" w:hAnsi="Arial" w:cs="Arial"/>
                <w:i/>
                <w:color w:val="000000"/>
                <w:sz w:val="22"/>
                <w:szCs w:val="22"/>
                <w:u w:val="single"/>
              </w:rPr>
            </w:pPr>
          </w:p>
        </w:tc>
        <w:tc>
          <w:tcPr>
            <w:tcW w:w="2410" w:type="dxa"/>
            <w:shd w:val="clear" w:color="auto" w:fill="auto"/>
            <w:tcMar>
              <w:top w:w="57" w:type="dxa"/>
              <w:bottom w:w="57" w:type="dxa"/>
            </w:tcMar>
          </w:tcPr>
          <w:p w14:paraId="6EE86410" w14:textId="77777777" w:rsidR="003A60E3" w:rsidRPr="00577FAF" w:rsidRDefault="00CB6A57">
            <w:pPr>
              <w:rPr>
                <w:rFonts w:ascii="Arial" w:hAnsi="Arial" w:cs="Arial"/>
                <w:color w:val="000000"/>
                <w:sz w:val="22"/>
                <w:szCs w:val="22"/>
              </w:rPr>
            </w:pPr>
            <w:r w:rsidRPr="00577FAF">
              <w:rPr>
                <w:rFonts w:ascii="Arial" w:hAnsi="Arial" w:cs="Arial"/>
                <w:sz w:val="22"/>
                <w:szCs w:val="22"/>
              </w:rPr>
              <w:t>IOC/INF-1166 Rev.</w:t>
            </w:r>
          </w:p>
        </w:tc>
        <w:tc>
          <w:tcPr>
            <w:tcW w:w="4961" w:type="dxa"/>
            <w:shd w:val="clear" w:color="auto" w:fill="auto"/>
            <w:tcMar>
              <w:top w:w="57" w:type="dxa"/>
              <w:bottom w:w="57" w:type="dxa"/>
            </w:tcMar>
          </w:tcPr>
          <w:p w14:paraId="64539DC4" w14:textId="77777777" w:rsidR="003A60E3" w:rsidRPr="00577FAF" w:rsidRDefault="00CB6A57">
            <w:pPr>
              <w:spacing w:after="60"/>
              <w:rPr>
                <w:rFonts w:ascii="Arial" w:hAnsi="Arial" w:cs="Arial"/>
                <w:color w:val="000000"/>
                <w:sz w:val="22"/>
                <w:szCs w:val="22"/>
              </w:rPr>
            </w:pPr>
            <w:r w:rsidRPr="00577FAF">
              <w:rPr>
                <w:rFonts w:ascii="Arial" w:hAnsi="Arial" w:cs="Arial"/>
                <w:sz w:val="22"/>
                <w:szCs w:val="22"/>
              </w:rPr>
              <w:t>Reglamento de la COI</w:t>
            </w:r>
          </w:p>
        </w:tc>
      </w:tr>
    </w:tbl>
    <w:p w14:paraId="63365CF9" w14:textId="77777777" w:rsidR="003A60E3" w:rsidRPr="00577FAF" w:rsidRDefault="003A60E3">
      <w:pPr>
        <w:pStyle w:val="Marge"/>
        <w:spacing w:after="0"/>
        <w:rPr>
          <w:rFonts w:ascii="Arial" w:hAnsi="Arial" w:cs="Arial"/>
          <w:sz w:val="22"/>
          <w:szCs w:val="22"/>
          <w:lang w:eastAsia="en-GB"/>
        </w:rPr>
      </w:pPr>
    </w:p>
    <w:p w14:paraId="3799B52B" w14:textId="77777777" w:rsidR="003A60E3" w:rsidRPr="00577FAF" w:rsidRDefault="00CB6A57">
      <w:pPr>
        <w:pStyle w:val="Style2"/>
        <w:numPr>
          <w:ilvl w:val="0"/>
          <w:numId w:val="7"/>
        </w:numPr>
        <w:tabs>
          <w:tab w:val="left" w:pos="709"/>
        </w:tabs>
        <w:ind w:left="0" w:hanging="567"/>
        <w:rPr>
          <w:rFonts w:cs="Arial"/>
        </w:rPr>
      </w:pPr>
      <w:r w:rsidRPr="00577FAF">
        <w:rPr>
          <w:rFonts w:cs="Arial"/>
        </w:rPr>
        <w:t xml:space="preserve">El Secretario Ejecutivo de la COI recordó al Consejo la </w:t>
      </w:r>
      <w:hyperlink r:id="rId53" w:history="1">
        <w:r w:rsidRPr="00577FAF">
          <w:rPr>
            <w:rStyle w:val="Hyperlink"/>
            <w:rFonts w:cs="Arial"/>
          </w:rPr>
          <w:t>resolución A-32/4</w:t>
        </w:r>
      </w:hyperlink>
      <w:r w:rsidRPr="00577FAF">
        <w:rPr>
          <w:rFonts w:cs="Arial"/>
        </w:rPr>
        <w:t xml:space="preserve"> de la Asamblea de la COI, aprobada en su 32ª reunión, así como el proceso recientemente finalizado de aprobación del Reglamento revisado de la COI, publicado ahora como documento IOC/INF-1166 Rev. El proyecto de directrices para la preparación de los Estados Miembros y su participación en las elecciones bienales de la Mesa de la Comisión (Presidente y vicepresidentes de la COI) y de los Estados miembros del Consejo Ejecutivo (IOC/EC-57/5.3.Doc(1)) se presenta al Consejo Ejecutivo para que lo examine y formule observaciones, con miras a finalizarlo para la 33ª reunión de la Asamblea de la COI. Atendiendo la petición de los Estados Miembros, se organizará una reunión de información antes de la reunión de la Asamblea para facilitar los preparativos.</w:t>
      </w:r>
    </w:p>
    <w:tbl>
      <w:tblPr>
        <w:tblW w:w="9781" w:type="dxa"/>
        <w:shd w:val="clear" w:color="auto" w:fill="CCFFCC"/>
        <w:tblLayout w:type="fixed"/>
        <w:tblCellMar>
          <w:top w:w="113" w:type="dxa"/>
          <w:bottom w:w="113" w:type="dxa"/>
        </w:tblCellMar>
        <w:tblLook w:val="0000" w:firstRow="0" w:lastRow="0" w:firstColumn="0" w:lastColumn="0" w:noHBand="0" w:noVBand="0"/>
      </w:tblPr>
      <w:tblGrid>
        <w:gridCol w:w="9781"/>
      </w:tblGrid>
      <w:tr w:rsidR="003A60E3" w:rsidRPr="00577FAF" w14:paraId="1ED1B54E" w14:textId="77777777" w:rsidTr="00B24BC9">
        <w:trPr>
          <w:cantSplit/>
          <w:trHeight w:val="380"/>
        </w:trPr>
        <w:tc>
          <w:tcPr>
            <w:tcW w:w="9781" w:type="dxa"/>
            <w:shd w:val="clear" w:color="auto" w:fill="CCFFCC"/>
            <w:tcMar>
              <w:top w:w="113" w:type="dxa"/>
              <w:bottom w:w="113" w:type="dxa"/>
            </w:tcMar>
          </w:tcPr>
          <w:p w14:paraId="1EC7FE00" w14:textId="2E2D18DD" w:rsidR="003A60E3" w:rsidRPr="00577FAF" w:rsidRDefault="00CB6A57">
            <w:pPr>
              <w:spacing w:after="240"/>
              <w:rPr>
                <w:rFonts w:ascii="Arial" w:eastAsia="Calibri" w:hAnsi="Arial" w:cs="Arial"/>
                <w:sz w:val="22"/>
                <w:szCs w:val="22"/>
                <w:u w:val="single"/>
              </w:rPr>
            </w:pPr>
            <w:r w:rsidRPr="00577FAF">
              <w:rPr>
                <w:rFonts w:ascii="Arial" w:hAnsi="Arial" w:cs="Arial"/>
                <w:sz w:val="22"/>
                <w:szCs w:val="22"/>
                <w:u w:val="single"/>
              </w:rPr>
              <w:t>Decisión EC-57/5.</w:t>
            </w:r>
            <w:r w:rsidR="00BB330C" w:rsidRPr="00577FAF">
              <w:rPr>
                <w:rFonts w:ascii="Arial" w:hAnsi="Arial" w:cs="Arial"/>
                <w:sz w:val="22"/>
                <w:szCs w:val="22"/>
                <w:u w:val="single"/>
              </w:rPr>
              <w:t>3</w:t>
            </w:r>
          </w:p>
          <w:p w14:paraId="7968157F" w14:textId="69C36F90" w:rsidR="003A60E3" w:rsidRPr="00577FAF" w:rsidRDefault="00CB6A57">
            <w:pPr>
              <w:spacing w:after="240"/>
              <w:jc w:val="center"/>
              <w:rPr>
                <w:rFonts w:ascii="Arial" w:eastAsia="Calibri" w:hAnsi="Arial" w:cs="Arial"/>
                <w:b/>
                <w:bCs/>
                <w:sz w:val="22"/>
                <w:szCs w:val="22"/>
              </w:rPr>
            </w:pPr>
            <w:r w:rsidRPr="00577FAF">
              <w:rPr>
                <w:rFonts w:ascii="Arial" w:hAnsi="Arial" w:cs="Arial"/>
                <w:b/>
                <w:bCs/>
                <w:sz w:val="22"/>
                <w:szCs w:val="22"/>
              </w:rPr>
              <w:t xml:space="preserve">Aplicación de la resolución A-32/4: asuntos relativos a la gobernanza, </w:t>
            </w:r>
            <w:r w:rsidR="002F4D65" w:rsidRPr="00577FAF">
              <w:rPr>
                <w:rFonts w:ascii="Arial" w:hAnsi="Arial" w:cs="Arial"/>
                <w:b/>
                <w:bCs/>
                <w:sz w:val="22"/>
                <w:szCs w:val="22"/>
              </w:rPr>
              <w:br/>
            </w:r>
            <w:r w:rsidRPr="00577FAF">
              <w:rPr>
                <w:rFonts w:ascii="Arial" w:hAnsi="Arial" w:cs="Arial"/>
                <w:b/>
                <w:bCs/>
                <w:sz w:val="22"/>
                <w:szCs w:val="22"/>
              </w:rPr>
              <w:t>la programación y la presupuestación de la Comisión</w:t>
            </w:r>
          </w:p>
          <w:p w14:paraId="290D9EA0" w14:textId="77777777" w:rsidR="004C1803" w:rsidRPr="00577FAF" w:rsidRDefault="00CB6A57">
            <w:pPr>
              <w:spacing w:after="240"/>
              <w:rPr>
                <w:rFonts w:ascii="Arial" w:hAnsi="Arial" w:cs="Arial"/>
                <w:sz w:val="22"/>
                <w:szCs w:val="22"/>
              </w:rPr>
            </w:pPr>
            <w:r w:rsidRPr="00577FAF">
              <w:rPr>
                <w:rFonts w:ascii="Arial" w:hAnsi="Arial" w:cs="Arial"/>
                <w:sz w:val="22"/>
                <w:szCs w:val="22"/>
              </w:rPr>
              <w:t>El Consejo Ejecutivo,</w:t>
            </w:r>
          </w:p>
          <w:p w14:paraId="0A8B32C6" w14:textId="77777777" w:rsidR="003A60E3" w:rsidRPr="00577FAF" w:rsidRDefault="00CB6A57" w:rsidP="00745C10">
            <w:pPr>
              <w:keepLines/>
              <w:numPr>
                <w:ilvl w:val="0"/>
                <w:numId w:val="22"/>
              </w:numPr>
              <w:spacing w:after="120"/>
              <w:ind w:left="567" w:hanging="567"/>
              <w:jc w:val="both"/>
              <w:rPr>
                <w:rFonts w:ascii="Arial" w:eastAsia="Calibri" w:hAnsi="Arial" w:cs="Arial"/>
                <w:sz w:val="22"/>
                <w:szCs w:val="22"/>
                <w:u w:val="single"/>
              </w:rPr>
            </w:pPr>
            <w:r w:rsidRPr="00577FAF">
              <w:rPr>
                <w:rFonts w:ascii="Arial" w:hAnsi="Arial" w:cs="Arial"/>
                <w:sz w:val="22"/>
                <w:szCs w:val="22"/>
                <w:u w:val="single"/>
              </w:rPr>
              <w:t>Habiendo examinado</w:t>
            </w:r>
            <w:r w:rsidRPr="00577FAF">
              <w:rPr>
                <w:rFonts w:ascii="Arial" w:hAnsi="Arial" w:cs="Arial"/>
                <w:sz w:val="22"/>
                <w:szCs w:val="22"/>
              </w:rPr>
              <w:t xml:space="preserve"> el documento IOC/EC-57/5.3.Doc(1),</w:t>
            </w:r>
          </w:p>
          <w:p w14:paraId="192796D2" w14:textId="77777777" w:rsidR="003A60E3" w:rsidRPr="00577FAF" w:rsidRDefault="00CB6A57" w:rsidP="00745C10">
            <w:pPr>
              <w:keepLines/>
              <w:numPr>
                <w:ilvl w:val="0"/>
                <w:numId w:val="22"/>
              </w:numPr>
              <w:spacing w:after="120"/>
              <w:ind w:left="567" w:hanging="567"/>
              <w:jc w:val="both"/>
              <w:rPr>
                <w:rFonts w:ascii="Arial" w:eastAsia="Calibri" w:hAnsi="Arial" w:cs="Arial"/>
                <w:sz w:val="22"/>
                <w:szCs w:val="22"/>
                <w:u w:val="single"/>
              </w:rPr>
            </w:pPr>
            <w:r w:rsidRPr="00577FAF">
              <w:rPr>
                <w:rFonts w:ascii="Arial" w:hAnsi="Arial" w:cs="Arial"/>
                <w:sz w:val="22"/>
                <w:szCs w:val="22"/>
                <w:u w:val="single"/>
              </w:rPr>
              <w:t>Toma nota</w:t>
            </w:r>
            <w:r w:rsidRPr="00577FAF">
              <w:rPr>
                <w:rFonts w:ascii="Arial" w:hAnsi="Arial" w:cs="Arial"/>
                <w:sz w:val="22"/>
                <w:szCs w:val="22"/>
              </w:rPr>
              <w:t xml:space="preserve"> del proyecto de directrices para la preparación de los Estados Miembros y su participación en las elecciones bienales de la Mesa de la Comisión (Presidente y vicepresidentes de la COI) y de los Estados miembros del Consejo Ejecutivo, sin perjuicio de un examen ulterior por el Comité de Finanzas con miras a formular un proyecto de resolución para su debate en sesión plenaria en el marco del punto 5.4 del orden del día y su consiguiente aprobación.</w:t>
            </w:r>
          </w:p>
        </w:tc>
      </w:tr>
    </w:tbl>
    <w:p w14:paraId="6E2541F5" w14:textId="77777777" w:rsidR="003A60E3" w:rsidRPr="00577FAF" w:rsidRDefault="003A60E3">
      <w:pPr>
        <w:pStyle w:val="Style2"/>
        <w:tabs>
          <w:tab w:val="clear" w:pos="1400"/>
          <w:tab w:val="left" w:pos="709"/>
        </w:tabs>
        <w:spacing w:after="0"/>
        <w:rPr>
          <w:rFonts w:cs="Arial"/>
        </w:rPr>
      </w:pPr>
    </w:p>
    <w:p w14:paraId="26603EEE" w14:textId="77777777" w:rsidR="003A60E3" w:rsidRPr="00577FAF" w:rsidRDefault="00CB6A57">
      <w:pPr>
        <w:pStyle w:val="Style2"/>
        <w:numPr>
          <w:ilvl w:val="0"/>
          <w:numId w:val="7"/>
        </w:numPr>
        <w:tabs>
          <w:tab w:val="left" w:pos="709"/>
        </w:tabs>
        <w:ind w:left="0" w:hanging="567"/>
        <w:rPr>
          <w:rFonts w:cs="Arial"/>
        </w:rPr>
      </w:pPr>
      <w:r w:rsidRPr="00577FAF">
        <w:rPr>
          <w:rFonts w:cs="Aria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555AEBBA" w14:textId="77777777" w:rsidR="003A60E3" w:rsidRPr="00577FAF" w:rsidRDefault="00CB6A57">
      <w:pPr>
        <w:pStyle w:val="Heading2"/>
        <w:ind w:left="709" w:hanging="709"/>
        <w:rPr>
          <w:rFonts w:eastAsia="Calibri" w:cs="Arial"/>
          <w:szCs w:val="22"/>
        </w:rPr>
      </w:pPr>
      <w:bookmarkStart w:id="174" w:name="_Toc168933438"/>
      <w:r w:rsidRPr="00577FAF">
        <w:rPr>
          <w:rFonts w:cs="Arial"/>
          <w:szCs w:val="22"/>
        </w:rPr>
        <w:t>5.4</w:t>
      </w:r>
      <w:r w:rsidRPr="00577FAF">
        <w:rPr>
          <w:rFonts w:cs="Arial"/>
          <w:szCs w:val="22"/>
        </w:rPr>
        <w:tab/>
        <w:t>INFORME DEL PRESIDENTE DEL COMITÉ DE FINANZAS [artículo 1.2 de los Estatutos]</w:t>
      </w:r>
      <w:bookmarkEnd w:id="174"/>
    </w:p>
    <w:p w14:paraId="1C123269" w14:textId="77777777" w:rsidR="003A60E3" w:rsidRPr="00577FAF" w:rsidRDefault="00CB6A57">
      <w:pPr>
        <w:pStyle w:val="Style2"/>
        <w:numPr>
          <w:ilvl w:val="0"/>
          <w:numId w:val="7"/>
        </w:numPr>
        <w:tabs>
          <w:tab w:val="left" w:pos="709"/>
        </w:tabs>
        <w:ind w:left="0" w:hanging="567"/>
        <w:rPr>
          <w:rFonts w:cs="Arial"/>
        </w:rPr>
      </w:pPr>
      <w:r w:rsidRPr="00577FAF">
        <w:rPr>
          <w:rFonts w:cs="Arial"/>
        </w:rPr>
        <w:t>El Presidente del Comité de Finanzas, el Vicepresidente de la COI Juan Forero Hauzeur (Colombia), informó al Consejo Ejecutivo sobre los resultados del examen realizado por el Comité de los puntos que le había encomendado la plenaria, además de las cuestiones previstas en el artículo 45.1 c) del Reglamento.</w:t>
      </w:r>
    </w:p>
    <w:tbl>
      <w:tblPr>
        <w:tblW w:w="0" w:type="auto"/>
        <w:shd w:val="clear" w:color="auto" w:fill="FBE4D5"/>
        <w:tblLayout w:type="fixed"/>
        <w:tblCellMar>
          <w:top w:w="113" w:type="dxa"/>
          <w:bottom w:w="113" w:type="dxa"/>
        </w:tblCellMar>
        <w:tblLook w:val="0000" w:firstRow="0" w:lastRow="0" w:firstColumn="0" w:lastColumn="0" w:noHBand="0" w:noVBand="0"/>
      </w:tblPr>
      <w:tblGrid>
        <w:gridCol w:w="9747"/>
      </w:tblGrid>
      <w:tr w:rsidR="003A60E3" w:rsidRPr="00577FAF" w14:paraId="16D39881" w14:textId="77777777">
        <w:trPr>
          <w:trHeight w:val="536"/>
        </w:trPr>
        <w:tc>
          <w:tcPr>
            <w:tcW w:w="9747" w:type="dxa"/>
            <w:shd w:val="clear" w:color="auto" w:fill="FBE4D5"/>
            <w:tcMar>
              <w:top w:w="113" w:type="dxa"/>
              <w:bottom w:w="113" w:type="dxa"/>
            </w:tcMar>
          </w:tcPr>
          <w:p w14:paraId="0124B8F2" w14:textId="77777777" w:rsidR="003A60E3" w:rsidRPr="00577FAF" w:rsidRDefault="00CB6A57">
            <w:pPr>
              <w:spacing w:after="240"/>
              <w:rPr>
                <w:rFonts w:ascii="Arial" w:eastAsia="Calibri" w:hAnsi="Arial" w:cs="Arial"/>
                <w:sz w:val="22"/>
                <w:szCs w:val="22"/>
                <w:u w:val="single"/>
              </w:rPr>
            </w:pPr>
            <w:r w:rsidRPr="00577FAF">
              <w:rPr>
                <w:rFonts w:ascii="Arial" w:hAnsi="Arial" w:cs="Arial"/>
                <w:sz w:val="22"/>
                <w:szCs w:val="22"/>
                <w:u w:val="single"/>
              </w:rPr>
              <w:t>Proyecto de resolución EC-57/[5.4]</w:t>
            </w:r>
          </w:p>
          <w:p w14:paraId="78D7C45F" w14:textId="77777777" w:rsidR="003A60E3" w:rsidRPr="00577FAF" w:rsidRDefault="00CB6A57">
            <w:pPr>
              <w:spacing w:after="240"/>
              <w:rPr>
                <w:rFonts w:ascii="Arial" w:eastAsia="Calibri" w:hAnsi="Arial" w:cs="Arial"/>
                <w:i/>
                <w:iCs/>
                <w:sz w:val="22"/>
                <w:szCs w:val="22"/>
              </w:rPr>
            </w:pPr>
            <w:r w:rsidRPr="00577FAF">
              <w:rPr>
                <w:rFonts w:ascii="Arial" w:hAnsi="Arial" w:cs="Arial"/>
                <w:i/>
                <w:iCs/>
                <w:sz w:val="22"/>
                <w:szCs w:val="22"/>
              </w:rPr>
              <w:t>Presentado por __________________________</w:t>
            </w:r>
          </w:p>
          <w:p w14:paraId="08957404" w14:textId="77777777" w:rsidR="003A60E3" w:rsidRPr="00577FAF" w:rsidRDefault="00CB6A57">
            <w:pPr>
              <w:spacing w:after="240"/>
              <w:jc w:val="center"/>
              <w:rPr>
                <w:rFonts w:ascii="Arial" w:eastAsia="Calibri" w:hAnsi="Arial" w:cs="Arial"/>
                <w:b/>
                <w:bCs/>
                <w:sz w:val="22"/>
                <w:szCs w:val="22"/>
              </w:rPr>
            </w:pPr>
            <w:r w:rsidRPr="00577FAF">
              <w:rPr>
                <w:rFonts w:ascii="Arial" w:hAnsi="Arial" w:cs="Arial"/>
                <w:b/>
                <w:bCs/>
                <w:sz w:val="22"/>
                <w:szCs w:val="22"/>
              </w:rPr>
              <w:t>Asuntos relativos a la gobernanza, la programación</w:t>
            </w:r>
            <w:r w:rsidR="004C1803" w:rsidRPr="00577FAF">
              <w:rPr>
                <w:rFonts w:ascii="Arial" w:hAnsi="Arial" w:cs="Arial"/>
                <w:b/>
                <w:bCs/>
                <w:sz w:val="22"/>
                <w:szCs w:val="22"/>
              </w:rPr>
              <w:t xml:space="preserve"> </w:t>
            </w:r>
            <w:r w:rsidRPr="00577FAF">
              <w:rPr>
                <w:rFonts w:ascii="Arial" w:hAnsi="Arial" w:cs="Arial"/>
                <w:b/>
                <w:bCs/>
                <w:sz w:val="22"/>
                <w:szCs w:val="22"/>
              </w:rPr>
              <w:t>y la presupuestación de la Comisión</w:t>
            </w:r>
          </w:p>
          <w:p w14:paraId="68907413" w14:textId="77777777" w:rsidR="003A60E3" w:rsidRPr="00577FAF" w:rsidRDefault="00CB6A57">
            <w:pPr>
              <w:spacing w:after="240"/>
              <w:rPr>
                <w:rFonts w:ascii="Arial" w:eastAsia="Calibri" w:hAnsi="Arial" w:cs="Arial"/>
                <w:sz w:val="22"/>
                <w:szCs w:val="22"/>
              </w:rPr>
            </w:pPr>
            <w:r w:rsidRPr="00577FAF">
              <w:rPr>
                <w:rFonts w:ascii="Arial" w:hAnsi="Arial" w:cs="Arial"/>
                <w:sz w:val="22"/>
                <w:szCs w:val="22"/>
              </w:rPr>
              <w:t>El Consejo Ejecutivo,</w:t>
            </w:r>
          </w:p>
          <w:p w14:paraId="08C1E6B4" w14:textId="77777777" w:rsidR="003A60E3" w:rsidRPr="00577FAF" w:rsidRDefault="00CB6A57" w:rsidP="00880362">
            <w:pPr>
              <w:pStyle w:val="b"/>
              <w:numPr>
                <w:ilvl w:val="0"/>
                <w:numId w:val="12"/>
              </w:numPr>
              <w:tabs>
                <w:tab w:val="clear" w:pos="-737"/>
                <w:tab w:val="clear" w:pos="1134"/>
              </w:tabs>
              <w:snapToGrid w:val="0"/>
              <w:ind w:left="595" w:hanging="595"/>
              <w:rPr>
                <w:rFonts w:ascii="Arial" w:eastAsia="Calibri" w:hAnsi="Arial" w:cs="Arial"/>
                <w:snapToGrid w:val="0"/>
                <w:sz w:val="22"/>
                <w:szCs w:val="22"/>
              </w:rPr>
            </w:pPr>
            <w:r w:rsidRPr="00577FAF">
              <w:rPr>
                <w:rFonts w:ascii="Arial" w:hAnsi="Arial" w:cs="Arial"/>
                <w:sz w:val="22"/>
                <w:szCs w:val="22"/>
                <w:u w:val="single"/>
              </w:rPr>
              <w:t>Habiendo examinado</w:t>
            </w:r>
            <w:r w:rsidRPr="00577FAF">
              <w:rPr>
                <w:rFonts w:ascii="Arial" w:hAnsi="Arial" w:cs="Arial"/>
                <w:sz w:val="22"/>
                <w:szCs w:val="22"/>
              </w:rPr>
              <w:t xml:space="preserve"> los documentos</w:t>
            </w:r>
          </w:p>
          <w:p w14:paraId="7FE888C3" w14:textId="77777777" w:rsidR="003A60E3" w:rsidRPr="00577FAF" w:rsidRDefault="00CB6A57">
            <w:pPr>
              <w:pStyle w:val="ListParagraph"/>
              <w:keepNext/>
              <w:snapToGrid w:val="0"/>
              <w:spacing w:after="120"/>
              <w:ind w:left="0"/>
              <w:contextualSpacing w:val="0"/>
              <w:jc w:val="both"/>
              <w:rPr>
                <w:rFonts w:ascii="Arial" w:eastAsia="Calibri" w:hAnsi="Arial" w:cs="Arial"/>
                <w:snapToGrid w:val="0"/>
                <w:sz w:val="22"/>
                <w:szCs w:val="22"/>
              </w:rPr>
            </w:pPr>
            <w:r w:rsidRPr="00577FAF">
              <w:rPr>
                <w:rFonts w:ascii="Arial" w:hAnsi="Arial" w:cs="Arial"/>
                <w:i/>
                <w:iCs/>
                <w:sz w:val="22"/>
                <w:szCs w:val="22"/>
              </w:rPr>
              <w:t>[el proyecto de resolución se finalizará durante la reunión]</w:t>
            </w:r>
          </w:p>
        </w:tc>
      </w:tr>
    </w:tbl>
    <w:p w14:paraId="4E8E437C" w14:textId="77777777" w:rsidR="003A60E3" w:rsidRPr="00577FAF" w:rsidRDefault="003A60E3">
      <w:pPr>
        <w:pStyle w:val="Style2"/>
        <w:tabs>
          <w:tab w:val="clear" w:pos="1400"/>
          <w:tab w:val="left" w:pos="709"/>
        </w:tabs>
        <w:spacing w:after="0"/>
        <w:ind w:left="0"/>
        <w:rPr>
          <w:rFonts w:cs="Arial"/>
        </w:rPr>
      </w:pPr>
    </w:p>
    <w:p w14:paraId="42BFD5D9" w14:textId="77777777" w:rsidR="003A60E3" w:rsidRPr="00577FAF" w:rsidRDefault="00CB6A57">
      <w:pPr>
        <w:pStyle w:val="Style2"/>
        <w:numPr>
          <w:ilvl w:val="0"/>
          <w:numId w:val="7"/>
        </w:numPr>
        <w:tabs>
          <w:tab w:val="left" w:pos="709"/>
        </w:tabs>
        <w:ind w:left="0" w:hanging="567"/>
        <w:rPr>
          <w:rFonts w:cs="Arial"/>
        </w:rPr>
      </w:pPr>
      <w:r w:rsidRPr="00577FAF">
        <w:rPr>
          <w:rFonts w:cs="Arial"/>
        </w:rPr>
        <w:lastRenderedPageBreak/>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547BAB97" w14:textId="0833C1E1" w:rsidR="003A60E3" w:rsidRPr="00577FAF" w:rsidRDefault="00CB6A57" w:rsidP="00326BDC">
      <w:pPr>
        <w:pStyle w:val="Heading1"/>
      </w:pPr>
      <w:bookmarkStart w:id="175" w:name="_Toc168933439"/>
      <w:bookmarkStart w:id="176" w:name="_Toc415051565"/>
      <w:bookmarkStart w:id="177" w:name="_Toc445908060"/>
      <w:r w:rsidRPr="00577FAF">
        <w:t xml:space="preserve">PREPARACIÓN DE LAS PRÓXIMAS REUNIONES DE LA ASAMBLEA </w:t>
      </w:r>
      <w:r w:rsidR="00D177D3" w:rsidRPr="00577FAF">
        <w:br/>
      </w:r>
      <w:r w:rsidRPr="00577FAF">
        <w:t>Y DEL CONSEJO EJECUTIVO</w:t>
      </w:r>
      <w:r w:rsidR="002F4D65" w:rsidRPr="00577FAF">
        <w:t xml:space="preserve"> </w:t>
      </w:r>
      <w:r w:rsidRPr="00577FAF">
        <w:t>[artículo 53.2 del Reglamento; decisión A-32/6.6]</w:t>
      </w:r>
      <w:bookmarkEnd w:id="175"/>
    </w:p>
    <w:p w14:paraId="27729DD1" w14:textId="77777777" w:rsidR="003A60E3" w:rsidRPr="00577FAF" w:rsidRDefault="00CB6A57">
      <w:pPr>
        <w:pStyle w:val="Style2"/>
        <w:numPr>
          <w:ilvl w:val="0"/>
          <w:numId w:val="7"/>
        </w:numPr>
        <w:tabs>
          <w:tab w:val="left" w:pos="709"/>
        </w:tabs>
        <w:ind w:left="0" w:hanging="567"/>
        <w:rPr>
          <w:rFonts w:cs="Arial"/>
        </w:rPr>
      </w:pPr>
      <w:bookmarkStart w:id="178" w:name="_Toc289696468"/>
      <w:bookmarkStart w:id="179" w:name="_Toc357517573"/>
      <w:bookmarkStart w:id="180" w:name="_Toc358657316"/>
      <w:bookmarkEnd w:id="126"/>
      <w:bookmarkEnd w:id="127"/>
      <w:bookmarkEnd w:id="128"/>
      <w:bookmarkEnd w:id="129"/>
      <w:bookmarkEnd w:id="130"/>
      <w:bookmarkEnd w:id="131"/>
      <w:bookmarkEnd w:id="132"/>
      <w:bookmarkEnd w:id="176"/>
      <w:bookmarkEnd w:id="177"/>
      <w:r w:rsidRPr="00577FAF">
        <w:rPr>
          <w:rFonts w:cs="Arial"/>
        </w:rPr>
        <w:t>El Secretario Ejecutivo recordó al Consejo Ejecutivo la decisión A-32/6.6 de la COI, aprobada por la Asamblea en su 32ª reunión.</w:t>
      </w:r>
    </w:p>
    <w:tbl>
      <w:tblPr>
        <w:tblW w:w="9781" w:type="dxa"/>
        <w:shd w:val="clear" w:color="auto" w:fill="CCFFCC"/>
        <w:tblLayout w:type="fixed"/>
        <w:tblCellMar>
          <w:top w:w="113" w:type="dxa"/>
          <w:bottom w:w="113" w:type="dxa"/>
        </w:tblCellMar>
        <w:tblLook w:val="0000" w:firstRow="0" w:lastRow="0" w:firstColumn="0" w:lastColumn="0" w:noHBand="0" w:noVBand="0"/>
      </w:tblPr>
      <w:tblGrid>
        <w:gridCol w:w="9781"/>
      </w:tblGrid>
      <w:tr w:rsidR="003A60E3" w:rsidRPr="00577FAF" w14:paraId="27A2FC41" w14:textId="77777777" w:rsidTr="00B24BC9">
        <w:trPr>
          <w:cantSplit/>
          <w:trHeight w:val="380"/>
        </w:trPr>
        <w:tc>
          <w:tcPr>
            <w:tcW w:w="9781" w:type="dxa"/>
            <w:shd w:val="clear" w:color="auto" w:fill="CCFFCC"/>
            <w:tcMar>
              <w:top w:w="113" w:type="dxa"/>
              <w:bottom w:w="113" w:type="dxa"/>
            </w:tcMar>
          </w:tcPr>
          <w:p w14:paraId="731D2C38" w14:textId="77777777" w:rsidR="003A60E3" w:rsidRPr="00577FAF" w:rsidRDefault="00CB6A57">
            <w:pPr>
              <w:spacing w:after="240"/>
              <w:rPr>
                <w:rFonts w:ascii="Arial" w:eastAsia="Calibri" w:hAnsi="Arial" w:cs="Arial"/>
                <w:sz w:val="22"/>
                <w:szCs w:val="22"/>
                <w:u w:val="single"/>
              </w:rPr>
            </w:pPr>
            <w:r w:rsidRPr="00577FAF">
              <w:rPr>
                <w:rFonts w:ascii="Arial" w:hAnsi="Arial" w:cs="Arial"/>
                <w:sz w:val="22"/>
                <w:szCs w:val="22"/>
                <w:u w:val="single"/>
              </w:rPr>
              <w:t>Decisión EC-57/6</w:t>
            </w:r>
          </w:p>
          <w:p w14:paraId="4136639E" w14:textId="7F2A2B46" w:rsidR="003A60E3" w:rsidRPr="00577FAF" w:rsidRDefault="00CB6A57">
            <w:pPr>
              <w:tabs>
                <w:tab w:val="num" w:pos="1400"/>
              </w:tabs>
              <w:spacing w:after="240"/>
              <w:jc w:val="center"/>
              <w:rPr>
                <w:rFonts w:ascii="Arial" w:hAnsi="Arial" w:cs="Arial"/>
                <w:b/>
                <w:color w:val="000000"/>
                <w:sz w:val="22"/>
                <w:szCs w:val="22"/>
              </w:rPr>
            </w:pPr>
            <w:r w:rsidRPr="00577FAF">
              <w:rPr>
                <w:rFonts w:ascii="Arial" w:hAnsi="Arial" w:cs="Arial"/>
                <w:b/>
                <w:bCs/>
                <w:sz w:val="22"/>
                <w:szCs w:val="22"/>
              </w:rPr>
              <w:t xml:space="preserve">Preparación de la 33ª reunión de la Asamblea y de las próximas reuniones </w:t>
            </w:r>
            <w:r w:rsidR="002F4D65" w:rsidRPr="00577FAF">
              <w:rPr>
                <w:rFonts w:ascii="Arial" w:hAnsi="Arial" w:cs="Arial"/>
                <w:b/>
                <w:bCs/>
                <w:sz w:val="22"/>
                <w:szCs w:val="22"/>
              </w:rPr>
              <w:br/>
            </w:r>
            <w:r w:rsidRPr="00577FAF">
              <w:rPr>
                <w:rFonts w:ascii="Arial" w:hAnsi="Arial" w:cs="Arial"/>
                <w:b/>
                <w:bCs/>
                <w:sz w:val="22"/>
                <w:szCs w:val="22"/>
              </w:rPr>
              <w:t>del Consejo Ejecutivo</w:t>
            </w:r>
          </w:p>
          <w:p w14:paraId="5E98873A" w14:textId="77777777" w:rsidR="004C1803" w:rsidRPr="00577FAF" w:rsidRDefault="00CB6A57">
            <w:pPr>
              <w:keepLines/>
              <w:tabs>
                <w:tab w:val="num" w:pos="1400"/>
              </w:tabs>
              <w:spacing w:after="120"/>
              <w:ind w:left="720" w:hanging="720"/>
              <w:jc w:val="both"/>
              <w:rPr>
                <w:rFonts w:ascii="Arial" w:hAnsi="Arial" w:cs="Arial"/>
                <w:sz w:val="22"/>
                <w:szCs w:val="22"/>
              </w:rPr>
            </w:pPr>
            <w:r w:rsidRPr="00577FAF">
              <w:rPr>
                <w:rFonts w:ascii="Arial" w:hAnsi="Arial" w:cs="Arial"/>
                <w:sz w:val="22"/>
                <w:szCs w:val="22"/>
              </w:rPr>
              <w:t>El Consejo Ejecutivo,</w:t>
            </w:r>
          </w:p>
          <w:p w14:paraId="1C88AC51" w14:textId="77777777" w:rsidR="004C1803" w:rsidRPr="00577FAF" w:rsidRDefault="00CB6A57" w:rsidP="00745C10">
            <w:pPr>
              <w:keepLines/>
              <w:numPr>
                <w:ilvl w:val="0"/>
                <w:numId w:val="23"/>
              </w:numPr>
              <w:spacing w:after="120"/>
              <w:ind w:left="567" w:hanging="567"/>
              <w:jc w:val="both"/>
              <w:rPr>
                <w:rFonts w:ascii="Arial" w:hAnsi="Arial" w:cs="Arial"/>
                <w:sz w:val="22"/>
                <w:szCs w:val="22"/>
              </w:rPr>
            </w:pPr>
            <w:r w:rsidRPr="00577FAF">
              <w:rPr>
                <w:rFonts w:ascii="Arial" w:hAnsi="Arial" w:cs="Arial"/>
                <w:sz w:val="22"/>
                <w:szCs w:val="22"/>
                <w:u w:val="single"/>
              </w:rPr>
              <w:t>Recordando</w:t>
            </w:r>
            <w:r w:rsidRPr="00577FAF">
              <w:rPr>
                <w:rFonts w:ascii="Arial" w:hAnsi="Arial" w:cs="Arial"/>
                <w:sz w:val="22"/>
                <w:szCs w:val="22"/>
              </w:rPr>
              <w:t xml:space="preserve"> las recomendaciones formuladas por el Consejo Ejecutivo en su 55ª reunión (decisión EC-55/5.3) sobre la duración de sus reuniones, así como la decisión A-32/6.6, aprobada por la Asamblea de la COI en su 32ª reunión,</w:t>
            </w:r>
          </w:p>
          <w:p w14:paraId="424756A6" w14:textId="77777777" w:rsidR="003A60E3" w:rsidRPr="00577FAF" w:rsidRDefault="00CB6A57" w:rsidP="00745C10">
            <w:pPr>
              <w:keepNext/>
              <w:keepLines/>
              <w:numPr>
                <w:ilvl w:val="0"/>
                <w:numId w:val="23"/>
              </w:numPr>
              <w:spacing w:after="120"/>
              <w:ind w:left="567" w:hanging="567"/>
              <w:jc w:val="both"/>
              <w:rPr>
                <w:rFonts w:ascii="Arial" w:hAnsi="Arial" w:cs="Arial"/>
                <w:sz w:val="22"/>
                <w:szCs w:val="22"/>
              </w:rPr>
            </w:pPr>
            <w:r w:rsidRPr="00577FAF">
              <w:rPr>
                <w:rFonts w:ascii="Arial" w:hAnsi="Arial" w:cs="Arial"/>
                <w:sz w:val="22"/>
                <w:szCs w:val="22"/>
                <w:u w:val="single"/>
              </w:rPr>
              <w:t>Decide</w:t>
            </w:r>
            <w:r w:rsidRPr="00577FAF">
              <w:rPr>
                <w:rFonts w:ascii="Arial" w:hAnsi="Arial" w:cs="Arial"/>
                <w:sz w:val="22"/>
                <w:szCs w:val="22"/>
              </w:rPr>
              <w:t xml:space="preserve"> celebrar:</w:t>
            </w:r>
          </w:p>
          <w:p w14:paraId="45D3F320" w14:textId="77777777" w:rsidR="003A60E3" w:rsidRPr="00577FAF" w:rsidRDefault="00CB6A57" w:rsidP="00745C10">
            <w:pPr>
              <w:keepLines/>
              <w:numPr>
                <w:ilvl w:val="0"/>
                <w:numId w:val="14"/>
              </w:numPr>
              <w:spacing w:after="120"/>
              <w:ind w:left="992" w:hanging="425"/>
              <w:jc w:val="both"/>
              <w:rPr>
                <w:rFonts w:ascii="Arial" w:hAnsi="Arial" w:cs="Arial"/>
                <w:sz w:val="22"/>
                <w:szCs w:val="22"/>
              </w:rPr>
            </w:pPr>
            <w:r w:rsidRPr="00577FAF">
              <w:rPr>
                <w:rFonts w:ascii="Arial" w:hAnsi="Arial" w:cs="Arial"/>
                <w:sz w:val="22"/>
                <w:szCs w:val="22"/>
              </w:rPr>
              <w:t>la 33ª reunión de la Asamblea, con una duración de seis días y medio más un Día de las Ciencias Oceánicas, en la Sede de la UNESCO, durante el periodo de junio-julio de 2025, precedida de una reunión de un día del Consejo Ejecutivo (58ª reunión) en su función de Comité de Dirección de la Asamblea;</w:t>
            </w:r>
          </w:p>
          <w:p w14:paraId="6F22DDC7" w14:textId="77777777" w:rsidR="003A60E3" w:rsidRPr="00577FAF" w:rsidRDefault="00CB6A57" w:rsidP="00745C10">
            <w:pPr>
              <w:keepLines/>
              <w:numPr>
                <w:ilvl w:val="0"/>
                <w:numId w:val="14"/>
              </w:numPr>
              <w:spacing w:after="120"/>
              <w:ind w:left="992" w:hanging="425"/>
              <w:jc w:val="both"/>
              <w:rPr>
                <w:rFonts w:ascii="Arial" w:hAnsi="Arial" w:cs="Arial"/>
                <w:snapToGrid w:val="0"/>
                <w:sz w:val="22"/>
                <w:szCs w:val="22"/>
              </w:rPr>
            </w:pPr>
            <w:r w:rsidRPr="00577FAF">
              <w:rPr>
                <w:rFonts w:ascii="Arial" w:hAnsi="Arial" w:cs="Arial"/>
                <w:sz w:val="22"/>
                <w:szCs w:val="22"/>
              </w:rPr>
              <w:t xml:space="preserve">la 59ª reunión del Consejo Ejecutivo, con una duración de tres días y medio, en la Sede de la UNESCO en París, durante el periodo de _______ </w:t>
            </w:r>
            <w:proofErr w:type="spellStart"/>
            <w:r w:rsidRPr="00577FAF">
              <w:rPr>
                <w:rFonts w:ascii="Arial" w:hAnsi="Arial" w:cs="Arial"/>
                <w:sz w:val="22"/>
                <w:szCs w:val="22"/>
              </w:rPr>
              <w:t>de</w:t>
            </w:r>
            <w:proofErr w:type="spellEnd"/>
            <w:r w:rsidRPr="00577FAF">
              <w:rPr>
                <w:rFonts w:ascii="Arial" w:hAnsi="Arial" w:cs="Arial"/>
                <w:sz w:val="22"/>
                <w:szCs w:val="22"/>
              </w:rPr>
              <w:t xml:space="preserve"> 2026.</w:t>
            </w:r>
          </w:p>
        </w:tc>
      </w:tr>
    </w:tbl>
    <w:p w14:paraId="32B3FEE3" w14:textId="77777777" w:rsidR="003A60E3" w:rsidRPr="00577FAF" w:rsidRDefault="003A60E3">
      <w:pPr>
        <w:pStyle w:val="Style2"/>
        <w:tabs>
          <w:tab w:val="clear" w:pos="1400"/>
          <w:tab w:val="left" w:pos="709"/>
        </w:tabs>
        <w:ind w:left="0"/>
        <w:rPr>
          <w:rFonts w:cs="Arial"/>
        </w:rPr>
      </w:pPr>
    </w:p>
    <w:p w14:paraId="3E4629ED" w14:textId="77777777" w:rsidR="003A60E3" w:rsidRPr="00577FAF" w:rsidRDefault="00CB6A57" w:rsidP="002F4D65">
      <w:pPr>
        <w:pStyle w:val="Style2"/>
        <w:numPr>
          <w:ilvl w:val="0"/>
          <w:numId w:val="7"/>
        </w:numPr>
        <w:tabs>
          <w:tab w:val="left" w:pos="709"/>
        </w:tabs>
        <w:ind w:left="0" w:hanging="567"/>
        <w:rPr>
          <w:rFonts w:cs="Arial"/>
        </w:rPr>
      </w:pPr>
      <w:r w:rsidRPr="00577FAF">
        <w:rPr>
          <w:rFonts w:cs="Aria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24C32C4F" w14:textId="7B83B93A" w:rsidR="003A60E3" w:rsidRPr="00577FAF" w:rsidRDefault="00CB6A57" w:rsidP="00326BDC">
      <w:pPr>
        <w:pStyle w:val="Heading1"/>
      </w:pPr>
      <w:bookmarkStart w:id="181" w:name="_Toc141510531"/>
      <w:bookmarkStart w:id="182" w:name="_Toc168933440"/>
      <w:bookmarkEnd w:id="178"/>
      <w:bookmarkEnd w:id="179"/>
      <w:bookmarkEnd w:id="180"/>
      <w:r w:rsidRPr="00577FAF">
        <w:t>APROBACIÓN DE LAS RESOLUCIONES Y MODALIDADES PARA LA FINALIZACIÓN DEL INFORME [artículo C.7 de los Estatutos; artículo 30 del Reglamento]</w:t>
      </w:r>
      <w:bookmarkEnd w:id="181"/>
      <w:bookmarkEnd w:id="182"/>
    </w:p>
    <w:p w14:paraId="6E87A9EA" w14:textId="77777777" w:rsidR="003A60E3" w:rsidRPr="00577FAF" w:rsidRDefault="00CB6A57">
      <w:pPr>
        <w:pStyle w:val="Style2"/>
        <w:numPr>
          <w:ilvl w:val="0"/>
          <w:numId w:val="7"/>
        </w:numPr>
        <w:tabs>
          <w:tab w:val="left" w:pos="709"/>
        </w:tabs>
        <w:ind w:left="0" w:hanging="567"/>
        <w:rPr>
          <w:rFonts w:cs="Arial"/>
        </w:rPr>
      </w:pPr>
      <w:bookmarkStart w:id="183" w:name="_Toc289696443"/>
      <w:bookmarkStart w:id="184" w:name="_Toc358657278"/>
      <w:r w:rsidRPr="00577FAF">
        <w:rPr>
          <w:rFonts w:cs="Arial"/>
        </w:rPr>
        <w:t>El Presidente de la COI dio las gracias al/a la Relator(a), el/la Sr./Sra. ____________, de [país], por su excelente contribución a los trabajos de la reunión.</w:t>
      </w:r>
    </w:p>
    <w:p w14:paraId="658E6054" w14:textId="77777777" w:rsidR="003A60E3" w:rsidRPr="00577FAF" w:rsidRDefault="00CB6A57">
      <w:pPr>
        <w:pStyle w:val="Style2"/>
        <w:numPr>
          <w:ilvl w:val="0"/>
          <w:numId w:val="7"/>
        </w:numPr>
        <w:tabs>
          <w:tab w:val="left" w:pos="709"/>
        </w:tabs>
        <w:ind w:left="0" w:hanging="567"/>
        <w:rPr>
          <w:rFonts w:cs="Arial"/>
        </w:rPr>
      </w:pPr>
      <w:r w:rsidRPr="00577FAF">
        <w:rPr>
          <w:rFonts w:cs="Arial"/>
        </w:rPr>
        <w:t>El Presidente del Comité de Resoluciones informó al Consejo Ejecutivo de la labor del Comité durante la reunión (anexo __ del presente informe).</w:t>
      </w:r>
    </w:p>
    <w:p w14:paraId="22126D21" w14:textId="77777777" w:rsidR="003A60E3" w:rsidRPr="00577FAF" w:rsidRDefault="00CB6A57">
      <w:pPr>
        <w:pStyle w:val="Style2"/>
        <w:numPr>
          <w:ilvl w:val="0"/>
          <w:numId w:val="7"/>
        </w:numPr>
        <w:tabs>
          <w:tab w:val="left" w:pos="709"/>
        </w:tabs>
        <w:ind w:left="0" w:hanging="567"/>
        <w:rPr>
          <w:rFonts w:cs="Arial"/>
        </w:rPr>
      </w:pPr>
      <w:r w:rsidRPr="00577FAF">
        <w:rPr>
          <w:rFonts w:cs="Arial"/>
        </w:rPr>
        <w:t>A continuación, el Presidente de la COI invitó al Consejo Ejecutivo a que aprobara, en plenaria, los proyectos de decisión que seguían pendientes tras su debate en plenaria y las __ resoluciones. Algunas partes del proyecto de informe resumido de las deliberaciones de la reunión en curso se presentaron al Consejo Ejecutivo en inglés únicamente a título informativo.</w:t>
      </w:r>
    </w:p>
    <w:tbl>
      <w:tblPr>
        <w:tblW w:w="9781" w:type="dxa"/>
        <w:shd w:val="clear" w:color="auto" w:fill="CCFFCC"/>
        <w:tblLayout w:type="fixed"/>
        <w:tblCellMar>
          <w:top w:w="113" w:type="dxa"/>
          <w:bottom w:w="113" w:type="dxa"/>
        </w:tblCellMar>
        <w:tblLook w:val="0000" w:firstRow="0" w:lastRow="0" w:firstColumn="0" w:lastColumn="0" w:noHBand="0" w:noVBand="0"/>
      </w:tblPr>
      <w:tblGrid>
        <w:gridCol w:w="9781"/>
      </w:tblGrid>
      <w:tr w:rsidR="003A60E3" w:rsidRPr="00577FAF" w14:paraId="52CA4051" w14:textId="77777777" w:rsidTr="00B24BC9">
        <w:trPr>
          <w:trHeight w:val="751"/>
        </w:trPr>
        <w:tc>
          <w:tcPr>
            <w:tcW w:w="9781" w:type="dxa"/>
            <w:shd w:val="clear" w:color="auto" w:fill="CCFFCC"/>
            <w:tcMar>
              <w:top w:w="113" w:type="dxa"/>
              <w:bottom w:w="113" w:type="dxa"/>
            </w:tcMar>
          </w:tcPr>
          <w:p w14:paraId="37F15312" w14:textId="77777777" w:rsidR="003A60E3" w:rsidRPr="00577FAF" w:rsidRDefault="00CB6A57" w:rsidP="00745C10">
            <w:pPr>
              <w:keepNext/>
              <w:spacing w:after="240"/>
              <w:rPr>
                <w:rFonts w:ascii="Arial" w:eastAsia="Calibri" w:hAnsi="Arial" w:cs="Arial"/>
                <w:sz w:val="22"/>
                <w:szCs w:val="22"/>
                <w:u w:val="single"/>
              </w:rPr>
            </w:pPr>
            <w:bookmarkStart w:id="185" w:name="_ADOPTION_OF_RESOLUTIONS"/>
            <w:bookmarkEnd w:id="183"/>
            <w:bookmarkEnd w:id="184"/>
            <w:bookmarkEnd w:id="185"/>
            <w:r w:rsidRPr="00577FAF">
              <w:rPr>
                <w:rFonts w:ascii="Arial" w:hAnsi="Arial" w:cs="Arial"/>
                <w:sz w:val="22"/>
                <w:szCs w:val="22"/>
                <w:u w:val="single"/>
              </w:rPr>
              <w:lastRenderedPageBreak/>
              <w:t>Decisión EC-57/7</w:t>
            </w:r>
          </w:p>
          <w:p w14:paraId="400CA957" w14:textId="77777777" w:rsidR="004C1803" w:rsidRPr="00577FAF" w:rsidRDefault="00CB6A57" w:rsidP="00745C10">
            <w:pPr>
              <w:keepNext/>
              <w:keepLines/>
              <w:spacing w:after="240"/>
              <w:jc w:val="center"/>
              <w:rPr>
                <w:rFonts w:ascii="Arial" w:hAnsi="Arial" w:cs="Arial"/>
                <w:sz w:val="22"/>
                <w:szCs w:val="22"/>
              </w:rPr>
            </w:pPr>
            <w:r w:rsidRPr="00577FAF">
              <w:rPr>
                <w:rFonts w:ascii="Arial" w:hAnsi="Arial" w:cs="Arial"/>
                <w:b/>
                <w:bCs/>
                <w:sz w:val="22"/>
                <w:szCs w:val="22"/>
              </w:rPr>
              <w:t>Aprobación de las resoluciones y modalidades para la finalización del informe</w:t>
            </w:r>
          </w:p>
          <w:p w14:paraId="40C9333D" w14:textId="77777777" w:rsidR="004C1803" w:rsidRPr="00577FAF" w:rsidRDefault="00CB6A57" w:rsidP="00745C10">
            <w:pPr>
              <w:keepNext/>
              <w:keepLines/>
              <w:tabs>
                <w:tab w:val="num" w:pos="1400"/>
              </w:tabs>
              <w:spacing w:after="120"/>
              <w:ind w:left="720" w:hanging="720"/>
              <w:jc w:val="both"/>
              <w:rPr>
                <w:rFonts w:ascii="Arial" w:hAnsi="Arial" w:cs="Arial"/>
                <w:sz w:val="22"/>
                <w:szCs w:val="22"/>
              </w:rPr>
            </w:pPr>
            <w:r w:rsidRPr="00577FAF">
              <w:rPr>
                <w:rFonts w:ascii="Arial" w:hAnsi="Arial" w:cs="Arial"/>
                <w:sz w:val="22"/>
                <w:szCs w:val="22"/>
              </w:rPr>
              <w:t>El Consejo Ejecutivo,</w:t>
            </w:r>
          </w:p>
          <w:p w14:paraId="01BF93B0" w14:textId="77777777" w:rsidR="004C1803" w:rsidRPr="00577FAF" w:rsidRDefault="00CB6A57" w:rsidP="00745C10">
            <w:pPr>
              <w:keepLines/>
              <w:numPr>
                <w:ilvl w:val="0"/>
                <w:numId w:val="18"/>
              </w:numPr>
              <w:spacing w:after="120"/>
              <w:ind w:left="567" w:hanging="567"/>
              <w:jc w:val="both"/>
              <w:rPr>
                <w:rFonts w:ascii="Arial" w:hAnsi="Arial" w:cs="Arial"/>
                <w:sz w:val="22"/>
                <w:szCs w:val="22"/>
              </w:rPr>
            </w:pPr>
            <w:r w:rsidRPr="00577FAF">
              <w:rPr>
                <w:rFonts w:ascii="Arial" w:hAnsi="Arial" w:cs="Arial"/>
                <w:sz w:val="22"/>
                <w:szCs w:val="22"/>
                <w:u w:val="single"/>
              </w:rPr>
              <w:t>Recordando</w:t>
            </w:r>
            <w:r w:rsidRPr="00577FAF">
              <w:rPr>
                <w:rFonts w:ascii="Arial" w:hAnsi="Arial" w:cs="Arial"/>
                <w:sz w:val="22"/>
                <w:szCs w:val="22"/>
              </w:rPr>
              <w:t xml:space="preserve"> las recomendaciones formuladas por el Consejo Ejecutivo en su 52ª reunión (decisión EC-LII/3.3) sobre las cuestiones de organización,</w:t>
            </w:r>
          </w:p>
          <w:p w14:paraId="2D918953" w14:textId="77777777" w:rsidR="004C1803" w:rsidRPr="00577FAF" w:rsidRDefault="00CB6A57" w:rsidP="00745C10">
            <w:pPr>
              <w:keepLines/>
              <w:numPr>
                <w:ilvl w:val="0"/>
                <w:numId w:val="18"/>
              </w:numPr>
              <w:spacing w:after="120"/>
              <w:ind w:left="567" w:hanging="567"/>
              <w:jc w:val="both"/>
              <w:rPr>
                <w:rFonts w:ascii="Arial" w:hAnsi="Arial" w:cs="Arial"/>
                <w:sz w:val="22"/>
                <w:szCs w:val="22"/>
              </w:rPr>
            </w:pPr>
            <w:r w:rsidRPr="00577FAF">
              <w:rPr>
                <w:rFonts w:ascii="Arial" w:hAnsi="Arial" w:cs="Arial"/>
                <w:sz w:val="22"/>
                <w:szCs w:val="22"/>
                <w:u w:val="single"/>
              </w:rPr>
              <w:t>Aprueba</w:t>
            </w:r>
            <w:r w:rsidRPr="00577FAF">
              <w:rPr>
                <w:rFonts w:ascii="Arial" w:hAnsi="Arial" w:cs="Arial"/>
                <w:sz w:val="22"/>
                <w:szCs w:val="22"/>
              </w:rPr>
              <w:t xml:space="preserve"> las decisiones y las ___ resoluciones de la reunión que figuran en el documento IOC/EC-57/Decisiones;</w:t>
            </w:r>
          </w:p>
          <w:p w14:paraId="434E0C72" w14:textId="77777777" w:rsidR="004C1803" w:rsidRPr="00577FAF" w:rsidRDefault="00CB6A57" w:rsidP="00745C10">
            <w:pPr>
              <w:keepLines/>
              <w:numPr>
                <w:ilvl w:val="0"/>
                <w:numId w:val="18"/>
              </w:numPr>
              <w:spacing w:after="120"/>
              <w:ind w:left="567" w:hanging="567"/>
              <w:jc w:val="both"/>
              <w:rPr>
                <w:rFonts w:ascii="Arial" w:hAnsi="Arial" w:cs="Arial"/>
                <w:sz w:val="22"/>
                <w:szCs w:val="22"/>
              </w:rPr>
            </w:pPr>
            <w:r w:rsidRPr="00577FAF">
              <w:rPr>
                <w:rFonts w:ascii="Arial" w:hAnsi="Arial" w:cs="Arial"/>
                <w:sz w:val="22"/>
                <w:szCs w:val="22"/>
                <w:u w:val="single"/>
              </w:rPr>
              <w:t>Toma nota</w:t>
            </w:r>
            <w:r w:rsidRPr="00577FAF">
              <w:rPr>
                <w:rFonts w:ascii="Arial" w:hAnsi="Arial" w:cs="Arial"/>
                <w:sz w:val="22"/>
                <w:szCs w:val="22"/>
              </w:rPr>
              <w:t xml:space="preserve"> del proyecto de informe resumido de la reunión preparado por la Secretaría;</w:t>
            </w:r>
          </w:p>
          <w:p w14:paraId="24405359" w14:textId="77777777" w:rsidR="003A60E3" w:rsidRPr="00577FAF" w:rsidRDefault="00CB6A57" w:rsidP="00745C10">
            <w:pPr>
              <w:keepLines/>
              <w:numPr>
                <w:ilvl w:val="0"/>
                <w:numId w:val="18"/>
              </w:numPr>
              <w:spacing w:after="120"/>
              <w:ind w:left="567" w:hanging="567"/>
              <w:jc w:val="both"/>
              <w:rPr>
                <w:rFonts w:ascii="Arial" w:hAnsi="Arial" w:cs="Arial"/>
                <w:sz w:val="22"/>
                <w:szCs w:val="22"/>
              </w:rPr>
            </w:pPr>
            <w:r w:rsidRPr="00577FAF">
              <w:rPr>
                <w:rFonts w:ascii="Arial" w:hAnsi="Arial" w:cs="Arial"/>
                <w:sz w:val="22"/>
                <w:szCs w:val="22"/>
                <w:u w:val="single"/>
              </w:rPr>
              <w:t>Pide</w:t>
            </w:r>
            <w:r w:rsidRPr="00577FAF">
              <w:rPr>
                <w:rFonts w:ascii="Arial" w:hAnsi="Arial" w:cs="Arial"/>
                <w:sz w:val="22"/>
                <w:szCs w:val="22"/>
              </w:rPr>
              <w:t xml:space="preserve"> al Secretario Ejecutivo que distribuya la parte descriptiva del informe a los Estados Miembros en los cuatro idiomas de trabajo de la Comisión a más tardar en septiembre de 2024.</w:t>
            </w:r>
          </w:p>
        </w:tc>
      </w:tr>
    </w:tbl>
    <w:p w14:paraId="34124C1A" w14:textId="77777777" w:rsidR="003A60E3" w:rsidRPr="00577FAF" w:rsidRDefault="003A60E3">
      <w:pPr>
        <w:pStyle w:val="Style2"/>
        <w:tabs>
          <w:tab w:val="clear" w:pos="1400"/>
          <w:tab w:val="left" w:pos="709"/>
        </w:tabs>
        <w:spacing w:after="0"/>
        <w:rPr>
          <w:rFonts w:cs="Arial"/>
        </w:rPr>
      </w:pPr>
    </w:p>
    <w:p w14:paraId="3CFE51C5" w14:textId="77777777" w:rsidR="003A60E3" w:rsidRPr="00577FAF" w:rsidRDefault="00CB6A57">
      <w:pPr>
        <w:pStyle w:val="Style2"/>
        <w:numPr>
          <w:ilvl w:val="0"/>
          <w:numId w:val="7"/>
        </w:numPr>
        <w:tabs>
          <w:tab w:val="left" w:pos="709"/>
        </w:tabs>
        <w:ind w:left="0" w:hanging="567"/>
        <w:rPr>
          <w:rFonts w:cs="Arial"/>
        </w:rPr>
      </w:pPr>
      <w:r w:rsidRPr="00577FAF">
        <w:rPr>
          <w:rFonts w:cs="Arial"/>
        </w:rPr>
        <w:t>Hicieron uso de la palabra los representantes de __ Estados Miembros. Los Estados Miembros siguientes decidieron proporcionar por escrito sus intervenciones en plenaria sobre este punto del orden del día para que constaran en el anexo informativo del informe de la reunión: ___________.</w:t>
      </w:r>
    </w:p>
    <w:p w14:paraId="0393C19F" w14:textId="77777777" w:rsidR="003A60E3" w:rsidRPr="00577FAF" w:rsidRDefault="00CB6A57" w:rsidP="00326BDC">
      <w:pPr>
        <w:pStyle w:val="Heading1"/>
      </w:pPr>
      <w:bookmarkStart w:id="186" w:name="_Toc141510532"/>
      <w:bookmarkStart w:id="187" w:name="OLE_LINK1"/>
      <w:bookmarkStart w:id="188" w:name="OLE_LINK2"/>
      <w:bookmarkStart w:id="189" w:name="_Toc168933441"/>
      <w:r w:rsidRPr="00577FAF">
        <w:t>CLAUSURA</w:t>
      </w:r>
      <w:bookmarkEnd w:id="186"/>
      <w:bookmarkEnd w:id="187"/>
      <w:bookmarkEnd w:id="188"/>
      <w:bookmarkEnd w:id="189"/>
    </w:p>
    <w:p w14:paraId="56779613" w14:textId="77777777" w:rsidR="003A60E3" w:rsidRPr="00577FAF" w:rsidRDefault="00CB6A57">
      <w:pPr>
        <w:pStyle w:val="Style2"/>
        <w:numPr>
          <w:ilvl w:val="0"/>
          <w:numId w:val="7"/>
        </w:numPr>
        <w:tabs>
          <w:tab w:val="left" w:pos="709"/>
        </w:tabs>
        <w:ind w:left="0" w:hanging="567"/>
        <w:rPr>
          <w:rFonts w:cs="Arial"/>
        </w:rPr>
      </w:pPr>
      <w:r w:rsidRPr="00577FAF">
        <w:rPr>
          <w:rFonts w:cs="Arial"/>
        </w:rPr>
        <w:t>El Consejo Ejecutivo se reunió en sesión plenaria durante __ días, del 25 al 28 de junio de 2024, examinó ___ puntos de su orden del día y aprobó ___ decisiones y ___ resoluciones. La sesión plenaria estuvo complementada por __ sesiones preparatorias, __ sesiones paralelas, __ sesiones de información y __ sesiones de los comités de la reunión. La proporción de hombres y mujeres entre los representantes de los Estados Miembros y todos los participantes en el Consejo Ejecutivo, incluidos los oradores, fue de ________ (mujeres/hombres).</w:t>
      </w:r>
    </w:p>
    <w:p w14:paraId="44C54246" w14:textId="77777777" w:rsidR="003A60E3" w:rsidRPr="00577FAF" w:rsidRDefault="00CB6A57" w:rsidP="00D177D3">
      <w:pPr>
        <w:pStyle w:val="Style2"/>
        <w:numPr>
          <w:ilvl w:val="0"/>
          <w:numId w:val="7"/>
        </w:numPr>
        <w:tabs>
          <w:tab w:val="left" w:pos="709"/>
        </w:tabs>
        <w:ind w:left="0" w:hanging="567"/>
        <w:rPr>
          <w:rFonts w:cs="Arial"/>
        </w:rPr>
      </w:pPr>
      <w:r w:rsidRPr="00577FAF">
        <w:rPr>
          <w:rFonts w:cs="Arial"/>
        </w:rPr>
        <w:t>El Presidente de la COI clausuró la 57ª reunión del Consejo Ejecutivo a las ___ horas (hora de París).</w:t>
      </w:r>
    </w:p>
    <w:sectPr w:rsidR="003A60E3" w:rsidRPr="00577FAF">
      <w:headerReference w:type="even" r:id="rId54"/>
      <w:headerReference w:type="default" r:id="rId55"/>
      <w:headerReference w:type="first" r:id="rId56"/>
      <w:type w:val="oddPage"/>
      <w:pgSz w:w="11907" w:h="16840" w:code="9"/>
      <w:pgMar w:top="1418" w:right="1134" w:bottom="1389" w:left="1134" w:header="851"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6C89C" w14:textId="77777777" w:rsidR="00A64E25" w:rsidRDefault="00A64E25">
      <w:r>
        <w:separator/>
      </w:r>
    </w:p>
    <w:p w14:paraId="12EAD8B3" w14:textId="77777777" w:rsidR="00A64E25" w:rsidRDefault="00A64E25"/>
  </w:endnote>
  <w:endnote w:type="continuationSeparator" w:id="0">
    <w:p w14:paraId="3A2FED0E" w14:textId="77777777" w:rsidR="00A64E25" w:rsidRDefault="00A64E25">
      <w:r>
        <w:continuationSeparator/>
      </w:r>
    </w:p>
    <w:p w14:paraId="5BA5F598" w14:textId="77777777" w:rsidR="00A64E25" w:rsidRDefault="00A64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enton Sans">
    <w:altName w:val="Times New Roman"/>
    <w:panose1 w:val="00000000000000000000"/>
    <w:charset w:val="00"/>
    <w:family w:val="auto"/>
    <w:notTrueType/>
    <w:pitch w:val="default"/>
    <w:sig w:usb0="00000003" w:usb1="00000000" w:usb2="00000000" w:usb3="00000000" w:csb0="00000001" w:csb1="00000000"/>
  </w:font>
  <w:font w:name="Vera Humana 95">
    <w:altName w:val="Calibri"/>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2E278" w14:textId="77777777" w:rsidR="00A64E25" w:rsidRDefault="00A64E25">
      <w:r>
        <w:separator/>
      </w:r>
    </w:p>
    <w:p w14:paraId="5476EEC2" w14:textId="77777777" w:rsidR="00A64E25" w:rsidRDefault="00A64E25"/>
  </w:footnote>
  <w:footnote w:type="continuationSeparator" w:id="0">
    <w:p w14:paraId="6452C502" w14:textId="77777777" w:rsidR="00A64E25" w:rsidRDefault="00A64E25">
      <w:r>
        <w:continuationSeparator/>
      </w:r>
    </w:p>
    <w:p w14:paraId="565CCEF1" w14:textId="77777777" w:rsidR="00A64E25" w:rsidRDefault="00A64E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35A3" w14:textId="77777777" w:rsidR="003A60E3" w:rsidRPr="004C1803" w:rsidRDefault="00CB6A57">
    <w:pPr>
      <w:pStyle w:val="Header"/>
      <w:tabs>
        <w:tab w:val="clear" w:pos="8306"/>
      </w:tabs>
      <w:rPr>
        <w:rFonts w:ascii="Arial" w:hAnsi="Arial" w:cs="Arial"/>
        <w:sz w:val="20"/>
        <w:szCs w:val="20"/>
        <w:lang w:val="en-US"/>
      </w:rPr>
    </w:pPr>
    <w:r>
      <w:rPr>
        <w:rFonts w:ascii="Arial" w:hAnsi="Arial" w:cs="Arial"/>
        <w:sz w:val="20"/>
        <w:szCs w:val="20"/>
        <w:lang w:val="en-US"/>
      </w:rPr>
      <w:t>IOC/EC-57/AP</w:t>
    </w:r>
    <w:r w:rsidRPr="004C1803">
      <w:rPr>
        <w:rFonts w:ascii="Arial" w:hAnsi="Arial" w:cs="Arial"/>
        <w:sz w:val="20"/>
        <w:szCs w:val="20"/>
        <w:lang w:val="en-US"/>
      </w:rPr>
      <w:t xml:space="preserve"> – p</w:t>
    </w:r>
    <w:r w:rsidR="004C1803">
      <w:rPr>
        <w:rFonts w:ascii="Arial" w:hAnsi="Arial" w:cs="Arial"/>
        <w:sz w:val="20"/>
        <w:szCs w:val="20"/>
        <w:lang w:val="en-US"/>
      </w:rPr>
      <w:t>á</w:t>
    </w:r>
    <w:r w:rsidRPr="004C1803">
      <w:rPr>
        <w:rFonts w:ascii="Arial" w:hAnsi="Arial" w:cs="Arial"/>
        <w:sz w:val="20"/>
        <w:szCs w:val="20"/>
        <w:lang w:val="en-US"/>
      </w:rPr>
      <w:t>g</w:t>
    </w:r>
    <w:r w:rsidR="004C1803">
      <w:rPr>
        <w:rFonts w:ascii="Arial" w:hAnsi="Arial" w:cs="Arial"/>
        <w:sz w:val="20"/>
        <w:szCs w:val="20"/>
        <w:lang w:val="en-US"/>
      </w:rPr>
      <w:t>.</w:t>
    </w:r>
    <w:r w:rsidRPr="004C1803">
      <w:rPr>
        <w:rFonts w:ascii="Arial" w:hAnsi="Arial" w:cs="Arial"/>
        <w:sz w:val="20"/>
        <w:szCs w:val="20"/>
        <w:lang w:val="en-US"/>
      </w:rPr>
      <w:t xml:space="preserve"> </w:t>
    </w:r>
    <w:r>
      <w:rPr>
        <w:rFonts w:ascii="Arial" w:hAnsi="Arial" w:cs="Arial"/>
        <w:sz w:val="20"/>
        <w:szCs w:val="20"/>
      </w:rPr>
      <w:fldChar w:fldCharType="begin"/>
    </w:r>
    <w:r w:rsidRPr="004C1803">
      <w:rPr>
        <w:rFonts w:ascii="Arial" w:hAnsi="Arial" w:cs="Arial"/>
        <w:sz w:val="20"/>
        <w:szCs w:val="20"/>
        <w:lang w:val="en-US"/>
      </w:rPr>
      <w:instrText xml:space="preserve"> PAGE   \* MERGEFORMAT </w:instrText>
    </w:r>
    <w:r>
      <w:rPr>
        <w:rFonts w:ascii="Arial" w:hAnsi="Arial" w:cs="Arial"/>
        <w:sz w:val="20"/>
        <w:szCs w:val="20"/>
      </w:rPr>
      <w:fldChar w:fldCharType="separate"/>
    </w:r>
    <w:r w:rsidRPr="004C1803">
      <w:rPr>
        <w:rFonts w:ascii="Arial" w:hAnsi="Arial" w:cs="Arial"/>
        <w:noProof/>
        <w:sz w:val="20"/>
        <w:szCs w:val="20"/>
        <w:lang w:val="en-US"/>
      </w:rPr>
      <w:t>ii</w:t>
    </w:r>
    <w:r>
      <w:rPr>
        <w:rFonts w:ascii="Arial" w:hAnsi="Arial" w:cs="Arial"/>
        <w:noProof/>
        <w:sz w:val="20"/>
        <w:szCs w:val="20"/>
      </w:rPr>
      <w:fldChar w:fldCharType="end"/>
    </w:r>
  </w:p>
  <w:p w14:paraId="6A74AD5E" w14:textId="77777777" w:rsidR="003A60E3" w:rsidRPr="004C1803" w:rsidRDefault="003A60E3">
    <w:pPr>
      <w:pStyle w:val="Header"/>
      <w:rPr>
        <w:rFonts w:ascii="Arial" w:hAnsi="Arial" w:cs="Arial"/>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934A" w14:textId="77777777" w:rsidR="003A60E3" w:rsidRDefault="00CB6A57">
    <w:pPr>
      <w:pStyle w:val="Header"/>
      <w:tabs>
        <w:tab w:val="clear" w:pos="8306"/>
      </w:tabs>
      <w:ind w:firstLine="7230"/>
      <w:rPr>
        <w:rFonts w:ascii="Arial" w:hAnsi="Arial" w:cs="Arial"/>
        <w:sz w:val="20"/>
        <w:szCs w:val="20"/>
        <w:lang w:val="en-US"/>
      </w:rPr>
    </w:pPr>
    <w:r>
      <w:rPr>
        <w:rFonts w:ascii="Arial" w:hAnsi="Arial" w:cs="Arial"/>
        <w:sz w:val="20"/>
        <w:szCs w:val="20"/>
        <w:lang w:val="en-US"/>
      </w:rPr>
      <w:t xml:space="preserve">IOC/EC-57/AP – </w:t>
    </w:r>
    <w:r w:rsidRPr="004C1803">
      <w:rPr>
        <w:rFonts w:ascii="Arial" w:hAnsi="Arial" w:cs="Arial"/>
        <w:sz w:val="20"/>
        <w:szCs w:val="20"/>
        <w:lang w:val="en-US"/>
      </w:rPr>
      <w:t>p</w:t>
    </w:r>
    <w:r w:rsidR="004C1803">
      <w:rPr>
        <w:rFonts w:ascii="Arial" w:hAnsi="Arial" w:cs="Arial"/>
        <w:sz w:val="20"/>
        <w:szCs w:val="20"/>
        <w:lang w:val="en-US"/>
      </w:rPr>
      <w:t>á</w:t>
    </w:r>
    <w:r w:rsidRPr="004C1803">
      <w:rPr>
        <w:rFonts w:ascii="Arial" w:hAnsi="Arial" w:cs="Arial"/>
        <w:sz w:val="20"/>
        <w:szCs w:val="20"/>
        <w:lang w:val="en-US"/>
      </w:rPr>
      <w:t>g</w:t>
    </w:r>
    <w:r w:rsidR="004C1803">
      <w:rPr>
        <w:rFonts w:ascii="Arial" w:hAnsi="Arial" w:cs="Arial"/>
        <w:sz w:val="20"/>
        <w:szCs w:val="20"/>
        <w:lang w:val="en-US"/>
      </w:rPr>
      <w:t>.</w:t>
    </w:r>
    <w:r w:rsidRPr="004C1803">
      <w:rPr>
        <w:rFonts w:ascii="Arial" w:hAnsi="Arial" w:cs="Arial"/>
        <w:sz w:val="20"/>
        <w:szCs w:val="20"/>
        <w:lang w:val="en-US"/>
      </w:rPr>
      <w:t xml:space="preserve"> </w:t>
    </w:r>
    <w:r>
      <w:rPr>
        <w:rFonts w:ascii="Arial" w:hAnsi="Arial" w:cs="Arial"/>
        <w:sz w:val="20"/>
        <w:szCs w:val="20"/>
      </w:rPr>
      <w:fldChar w:fldCharType="begin"/>
    </w:r>
    <w:r w:rsidRPr="004C1803">
      <w:rPr>
        <w:rFonts w:ascii="Arial" w:hAnsi="Arial" w:cs="Arial"/>
        <w:sz w:val="20"/>
        <w:szCs w:val="20"/>
        <w:lang w:val="en-US"/>
      </w:rPr>
      <w:instrText xml:space="preserve"> PAGE   \* MERGEFORMAT </w:instrText>
    </w:r>
    <w:r>
      <w:rPr>
        <w:rFonts w:ascii="Arial" w:hAnsi="Arial" w:cs="Arial"/>
        <w:sz w:val="20"/>
        <w:szCs w:val="20"/>
      </w:rPr>
      <w:fldChar w:fldCharType="separate"/>
    </w:r>
    <w:r w:rsidRPr="004C1803">
      <w:rPr>
        <w:rFonts w:ascii="Arial" w:hAnsi="Arial" w:cs="Arial"/>
        <w:noProof/>
        <w:sz w:val="20"/>
        <w:szCs w:val="20"/>
        <w:lang w:val="en-US"/>
      </w:rPr>
      <w:t>i</w:t>
    </w:r>
    <w:r>
      <w:rPr>
        <w:rFonts w:ascii="Arial" w:hAnsi="Arial" w:cs="Arial"/>
        <w:noProof/>
        <w:sz w:val="20"/>
        <w:szCs w:val="20"/>
      </w:rPr>
      <w:fldChar w:fldCharType="end"/>
    </w:r>
  </w:p>
  <w:p w14:paraId="190342BF" w14:textId="77777777" w:rsidR="003A60E3" w:rsidRDefault="003A60E3">
    <w:pPr>
      <w:pStyle w:val="Header"/>
      <w:tabs>
        <w:tab w:val="clear" w:pos="8306"/>
      </w:tabs>
      <w:ind w:right="499"/>
      <w:rPr>
        <w:rStyle w:val="PageNumber"/>
        <w:rFonts w:ascii="Arial" w:hAnsi="Arial" w:cs="Arial"/>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8D3A8" w14:textId="3958AAE4" w:rsidR="00D77A0F" w:rsidRPr="004C1803" w:rsidRDefault="00D77A0F" w:rsidP="00231BD6">
    <w:pPr>
      <w:pStyle w:val="Marge"/>
      <w:tabs>
        <w:tab w:val="left" w:pos="5812"/>
      </w:tabs>
      <w:spacing w:after="0"/>
      <w:rPr>
        <w:rFonts w:ascii="Arial" w:hAnsi="Arial" w:cs="Arial"/>
        <w:bCs/>
        <w:sz w:val="22"/>
        <w:szCs w:val="22"/>
      </w:rPr>
    </w:pPr>
    <w:r w:rsidRPr="004C1803">
      <w:rPr>
        <w:rFonts w:ascii="Arial" w:hAnsi="Arial" w:cs="Arial"/>
        <w:sz w:val="22"/>
        <w:szCs w:val="22"/>
      </w:rPr>
      <w:t>Distribución limitada</w:t>
    </w:r>
    <w:r w:rsidRPr="004C1803">
      <w:rPr>
        <w:rFonts w:ascii="Arial" w:hAnsi="Arial" w:cs="Arial"/>
        <w:sz w:val="22"/>
        <w:szCs w:val="22"/>
      </w:rPr>
      <w:tab/>
    </w:r>
    <w:r w:rsidRPr="00D77A0F">
      <w:rPr>
        <w:rFonts w:ascii="Arial" w:hAnsi="Arial" w:cs="Arial"/>
        <w:b/>
        <w:bCs/>
        <w:sz w:val="32"/>
        <w:szCs w:val="32"/>
      </w:rPr>
      <w:t>IOC/EC-57/AP Prov.</w:t>
    </w:r>
    <w:r w:rsidR="00165B31">
      <w:rPr>
        <w:rFonts w:ascii="Arial" w:hAnsi="Arial" w:cs="Arial"/>
        <w:b/>
        <w:bCs/>
        <w:sz w:val="32"/>
        <w:szCs w:val="32"/>
      </w:rPr>
      <w:t xml:space="preserve"> Rev.</w:t>
    </w:r>
  </w:p>
  <w:p w14:paraId="040CA09D" w14:textId="40B798AE" w:rsidR="00D77A0F" w:rsidRPr="004C1803" w:rsidRDefault="00D77A0F" w:rsidP="00231BD6">
    <w:pPr>
      <w:pStyle w:val="Marge"/>
      <w:tabs>
        <w:tab w:val="left" w:pos="5812"/>
      </w:tabs>
      <w:spacing w:after="0"/>
      <w:rPr>
        <w:rFonts w:ascii="Arial" w:hAnsi="Arial" w:cs="Arial"/>
        <w:sz w:val="22"/>
        <w:szCs w:val="22"/>
      </w:rPr>
    </w:pPr>
    <w:r w:rsidRPr="004C1803">
      <w:rPr>
        <w:rFonts w:ascii="Arial" w:hAnsi="Arial" w:cs="Arial"/>
        <w:noProof/>
        <w:sz w:val="22"/>
        <w:szCs w:val="22"/>
      </w:rPr>
      <w:drawing>
        <wp:anchor distT="0" distB="0" distL="114300" distR="114300" simplePos="0" relativeHeight="251659264" behindDoc="0" locked="0" layoutInCell="1" allowOverlap="1" wp14:anchorId="676E7A29" wp14:editId="14516EEF">
          <wp:simplePos x="0" y="0"/>
          <wp:positionH relativeFrom="column">
            <wp:posOffset>-46990</wp:posOffset>
          </wp:positionH>
          <wp:positionV relativeFrom="paragraph">
            <wp:posOffset>155575</wp:posOffset>
          </wp:positionV>
          <wp:extent cx="1578610" cy="1047115"/>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1803">
      <w:rPr>
        <w:rFonts w:ascii="Arial" w:hAnsi="Arial" w:cs="Arial"/>
        <w:sz w:val="22"/>
        <w:szCs w:val="22"/>
      </w:rPr>
      <w:tab/>
      <w:t xml:space="preserve">París, </w:t>
    </w:r>
    <w:r w:rsidR="00165B31">
      <w:rPr>
        <w:rFonts w:ascii="Arial" w:hAnsi="Arial" w:cs="Arial"/>
        <w:sz w:val="22"/>
        <w:szCs w:val="22"/>
      </w:rPr>
      <w:t>28</w:t>
    </w:r>
    <w:r w:rsidRPr="004C1803">
      <w:rPr>
        <w:rFonts w:ascii="Arial" w:hAnsi="Arial" w:cs="Arial"/>
        <w:sz w:val="22"/>
        <w:szCs w:val="22"/>
      </w:rPr>
      <w:t xml:space="preserve"> de </w:t>
    </w:r>
    <w:r w:rsidR="00165B31">
      <w:rPr>
        <w:rFonts w:ascii="Arial" w:hAnsi="Arial" w:cs="Arial"/>
        <w:sz w:val="22"/>
        <w:szCs w:val="22"/>
      </w:rPr>
      <w:t>mayo</w:t>
    </w:r>
    <w:r w:rsidRPr="004C1803">
      <w:rPr>
        <w:rFonts w:ascii="Arial" w:hAnsi="Arial" w:cs="Arial"/>
        <w:sz w:val="22"/>
        <w:szCs w:val="22"/>
      </w:rPr>
      <w:t xml:space="preserve"> de 2024</w:t>
    </w:r>
  </w:p>
  <w:p w14:paraId="737A4C92" w14:textId="4E30FED2" w:rsidR="00D77A0F" w:rsidRPr="004C1803" w:rsidRDefault="00D77A0F" w:rsidP="00231BD6">
    <w:pPr>
      <w:pStyle w:val="Marge"/>
      <w:tabs>
        <w:tab w:val="left" w:pos="5812"/>
      </w:tabs>
      <w:spacing w:after="0"/>
      <w:rPr>
        <w:rFonts w:ascii="Arial" w:hAnsi="Arial" w:cs="Arial"/>
        <w:sz w:val="22"/>
        <w:szCs w:val="22"/>
      </w:rPr>
    </w:pPr>
    <w:r w:rsidRPr="004C1803">
      <w:rPr>
        <w:rFonts w:ascii="Arial" w:hAnsi="Arial" w:cs="Arial"/>
        <w:sz w:val="22"/>
        <w:szCs w:val="22"/>
      </w:rPr>
      <w:tab/>
      <w:t>Original: inglés</w:t>
    </w:r>
  </w:p>
  <w:p w14:paraId="35D87D51" w14:textId="77777777" w:rsidR="00D77A0F" w:rsidRPr="004C1803" w:rsidRDefault="00D77A0F" w:rsidP="00D77A0F">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387"/>
        <w:tab w:val="left" w:pos="5523"/>
        <w:tab w:val="left" w:pos="5640"/>
        <w:tab w:val="left" w:pos="6379"/>
        <w:tab w:val="left" w:pos="6480"/>
        <w:tab w:val="left" w:pos="6660"/>
        <w:tab w:val="left" w:pos="7020"/>
      </w:tabs>
      <w:jc w:val="both"/>
      <w:rPr>
        <w:rFonts w:ascii="Arial" w:hAnsi="Arial" w:cs="Arial"/>
        <w:b/>
        <w:sz w:val="22"/>
        <w:szCs w:val="22"/>
      </w:rPr>
    </w:pPr>
  </w:p>
  <w:p w14:paraId="4D4C6511" w14:textId="77777777" w:rsidR="00D77A0F" w:rsidRPr="004C1803" w:rsidRDefault="00D77A0F" w:rsidP="00D77A0F">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387"/>
        <w:tab w:val="left" w:pos="5523"/>
        <w:tab w:val="left" w:pos="5640"/>
        <w:tab w:val="left" w:pos="6379"/>
        <w:tab w:val="left" w:pos="6480"/>
        <w:tab w:val="left" w:pos="6660"/>
        <w:tab w:val="left" w:pos="7020"/>
      </w:tabs>
      <w:jc w:val="both"/>
      <w:rPr>
        <w:rFonts w:ascii="Arial" w:hAnsi="Arial" w:cs="Arial"/>
        <w:b/>
        <w:sz w:val="22"/>
        <w:szCs w:val="22"/>
      </w:rPr>
    </w:pPr>
  </w:p>
  <w:p w14:paraId="06CE1273" w14:textId="77777777" w:rsidR="00D77A0F" w:rsidRPr="004C1803" w:rsidRDefault="00D77A0F" w:rsidP="00D77A0F">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rPr>
    </w:pPr>
  </w:p>
  <w:p w14:paraId="2AA66E04" w14:textId="77777777" w:rsidR="00D77A0F" w:rsidRPr="004C1803" w:rsidRDefault="00D77A0F" w:rsidP="00D77A0F">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rPr>
    </w:pPr>
  </w:p>
  <w:p w14:paraId="4DD757AF" w14:textId="77777777" w:rsidR="00D77A0F" w:rsidRDefault="00D77A0F" w:rsidP="00D77A0F">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rPr>
    </w:pPr>
  </w:p>
  <w:p w14:paraId="23011CE2" w14:textId="77777777" w:rsidR="00D77A0F" w:rsidRPr="004C1803" w:rsidRDefault="00D77A0F" w:rsidP="00D77A0F">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rPr>
    </w:pPr>
  </w:p>
  <w:p w14:paraId="594BB24F" w14:textId="77777777" w:rsidR="00D77A0F" w:rsidRPr="004C1803" w:rsidRDefault="00D77A0F" w:rsidP="00D77A0F">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r w:rsidRPr="004C1803">
      <w:rPr>
        <w:rFonts w:ascii="Arial" w:hAnsi="Arial" w:cs="Arial"/>
        <w:b/>
        <w:bCs/>
        <w:sz w:val="22"/>
        <w:szCs w:val="22"/>
      </w:rPr>
      <w:t>COMISIÓN OCEANOGRÁFICA INTERGUBERNAMENTAL</w:t>
    </w:r>
  </w:p>
  <w:p w14:paraId="48046374" w14:textId="77777777" w:rsidR="00D77A0F" w:rsidRPr="004C1803" w:rsidRDefault="00D77A0F" w:rsidP="00D77A0F">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sz w:val="22"/>
        <w:szCs w:val="22"/>
      </w:rPr>
    </w:pPr>
    <w:r w:rsidRPr="004C1803">
      <w:rPr>
        <w:rFonts w:ascii="Arial" w:hAnsi="Arial" w:cs="Arial"/>
        <w:sz w:val="22"/>
        <w:szCs w:val="22"/>
      </w:rPr>
      <w:t>(de la UNESCO)</w:t>
    </w:r>
  </w:p>
  <w:p w14:paraId="6B68426A" w14:textId="77777777" w:rsidR="00D77A0F" w:rsidRPr="004C1803" w:rsidRDefault="00D77A0F" w:rsidP="00D77A0F">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p>
  <w:p w14:paraId="19C8BE38" w14:textId="77777777" w:rsidR="00D77A0F" w:rsidRPr="004C1803" w:rsidRDefault="00D77A0F" w:rsidP="00D77A0F">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sz w:val="22"/>
        <w:szCs w:val="22"/>
      </w:rPr>
    </w:pPr>
    <w:r w:rsidRPr="004C1803">
      <w:rPr>
        <w:rFonts w:ascii="Arial" w:hAnsi="Arial" w:cs="Arial"/>
        <w:b/>
        <w:bCs/>
        <w:sz w:val="22"/>
        <w:szCs w:val="22"/>
      </w:rPr>
      <w:t>57ª reunión del Consejo Ejecutivo</w:t>
    </w:r>
  </w:p>
  <w:p w14:paraId="4536186D" w14:textId="77777777" w:rsidR="00D77A0F" w:rsidRPr="004C1803" w:rsidRDefault="00D77A0F" w:rsidP="00D77A0F">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r w:rsidRPr="004C1803">
      <w:rPr>
        <w:rFonts w:ascii="Arial" w:hAnsi="Arial" w:cs="Arial"/>
        <w:sz w:val="22"/>
        <w:szCs w:val="22"/>
      </w:rPr>
      <w:t>UNESCO, París, 25-28 de junio de 2024</w:t>
    </w:r>
  </w:p>
  <w:p w14:paraId="4753DC46" w14:textId="77777777" w:rsidR="00D77A0F" w:rsidRPr="004C1803" w:rsidRDefault="00D77A0F" w:rsidP="00D77A0F">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Cs/>
        <w:sz w:val="22"/>
        <w:szCs w:val="22"/>
      </w:rPr>
    </w:pPr>
  </w:p>
  <w:p w14:paraId="773638A0" w14:textId="77777777" w:rsidR="00D77A0F" w:rsidRPr="004C1803" w:rsidRDefault="00D77A0F" w:rsidP="00D77A0F">
    <w:pPr>
      <w:jc w:val="center"/>
      <w:rPr>
        <w:rFonts w:ascii="Arial" w:hAnsi="Arial" w:cs="Arial"/>
        <w:sz w:val="22"/>
        <w:szCs w:val="22"/>
      </w:rPr>
    </w:pPr>
  </w:p>
  <w:p w14:paraId="76275219" w14:textId="77777777" w:rsidR="00D77A0F" w:rsidRPr="004C1803" w:rsidRDefault="00D77A0F" w:rsidP="00D77A0F">
    <w:pPr>
      <w:jc w:val="center"/>
      <w:rPr>
        <w:rFonts w:ascii="Arial" w:hAnsi="Arial" w:cs="Arial"/>
        <w:sz w:val="22"/>
        <w:szCs w:val="22"/>
      </w:rPr>
    </w:pPr>
  </w:p>
  <w:p w14:paraId="5D859293" w14:textId="77777777" w:rsidR="00D77A0F" w:rsidRPr="004C1803" w:rsidRDefault="00D77A0F" w:rsidP="00D77A0F">
    <w:pPr>
      <w:pStyle w:val="Heading7"/>
      <w:tabs>
        <w:tab w:val="right" w:pos="9540"/>
      </w:tabs>
      <w:ind w:left="0"/>
      <w:rPr>
        <w:rFonts w:ascii="Arial" w:hAnsi="Arial" w:cs="Arial"/>
        <w:sz w:val="22"/>
        <w:szCs w:val="22"/>
      </w:rPr>
    </w:pPr>
    <w:r w:rsidRPr="004C1803">
      <w:rPr>
        <w:rFonts w:ascii="Arial" w:hAnsi="Arial" w:cs="Arial"/>
        <w:sz w:val="22"/>
        <w:szCs w:val="22"/>
      </w:rPr>
      <w:t>Abarca todos los puntos del orden del día provisional</w:t>
    </w:r>
  </w:p>
  <w:p w14:paraId="6854F73A" w14:textId="77777777" w:rsidR="00D77A0F" w:rsidRPr="004C1803" w:rsidRDefault="00D77A0F" w:rsidP="00D77A0F">
    <w:pPr>
      <w:rPr>
        <w:rFonts w:ascii="Arial" w:hAnsi="Arial" w:cs="Arial"/>
        <w:sz w:val="22"/>
        <w:szCs w:val="22"/>
      </w:rPr>
    </w:pPr>
  </w:p>
  <w:p w14:paraId="1E9D6681" w14:textId="77777777" w:rsidR="00D77A0F" w:rsidRPr="004C1803" w:rsidRDefault="00D77A0F" w:rsidP="00D77A0F">
    <w:pPr>
      <w:rPr>
        <w:rFonts w:ascii="Arial" w:hAnsi="Arial" w:cs="Arial"/>
        <w:sz w:val="22"/>
        <w:szCs w:val="22"/>
      </w:rPr>
    </w:pPr>
  </w:p>
  <w:p w14:paraId="17723510" w14:textId="77777777" w:rsidR="00D77A0F" w:rsidRPr="004C1803" w:rsidRDefault="00D77A0F" w:rsidP="00D77A0F">
    <w:pPr>
      <w:rPr>
        <w:rFonts w:ascii="Arial" w:hAnsi="Arial" w:cs="Arial"/>
        <w:sz w:val="22"/>
        <w:szCs w:val="22"/>
      </w:rPr>
    </w:pPr>
  </w:p>
  <w:p w14:paraId="136A6442" w14:textId="32785858" w:rsidR="00D77A0F" w:rsidRPr="004C1803" w:rsidRDefault="00D77A0F" w:rsidP="00D77A0F">
    <w:pPr>
      <w:pStyle w:val="Docheading"/>
      <w:spacing w:after="240"/>
      <w:rPr>
        <w:sz w:val="22"/>
        <w:szCs w:val="22"/>
      </w:rPr>
    </w:pPr>
    <w:r w:rsidRPr="004C1803">
      <w:rPr>
        <w:sz w:val="22"/>
        <w:szCs w:val="22"/>
      </w:rPr>
      <w:t>PROYECTO DE DOCUMENTO DE DECISIÓN PROVISIONAL</w:t>
    </w:r>
    <w:r w:rsidR="00165B31">
      <w:rPr>
        <w:sz w:val="22"/>
        <w:szCs w:val="22"/>
      </w:rPr>
      <w:t xml:space="preserve"> REVISADO</w:t>
    </w:r>
  </w:p>
  <w:p w14:paraId="32C9166F" w14:textId="77777777" w:rsidR="00D77A0F" w:rsidRPr="004C1803" w:rsidRDefault="00D77A0F" w:rsidP="00D77A0F">
    <w:pPr>
      <w:pStyle w:val="Header"/>
      <w:rPr>
        <w:rFonts w:ascii="Arial" w:hAnsi="Arial" w:cs="Arial"/>
        <w:sz w:val="22"/>
        <w:szCs w:val="22"/>
      </w:rPr>
    </w:pPr>
  </w:p>
  <w:p w14:paraId="7BB5759B" w14:textId="77777777" w:rsidR="00D77A0F" w:rsidRDefault="00D77A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168E" w14:textId="6E855BD8" w:rsidR="00D77A0F" w:rsidRPr="00D77A0F" w:rsidRDefault="00D77A0F" w:rsidP="00D77A0F">
    <w:pPr>
      <w:pStyle w:val="Header"/>
      <w:tabs>
        <w:tab w:val="clear" w:pos="8306"/>
      </w:tabs>
      <w:jc w:val="center"/>
      <w:rPr>
        <w:rFonts w:ascii="Arial" w:hAnsi="Arial" w:cs="Arial"/>
        <w:sz w:val="22"/>
        <w:szCs w:val="22"/>
        <w:lang w:val="en-US"/>
      </w:rPr>
    </w:pPr>
    <w:r w:rsidRPr="00D77A0F">
      <w:rPr>
        <w:rFonts w:ascii="Arial" w:hAnsi="Arial" w:cs="Arial"/>
        <w:sz w:val="22"/>
        <w:szCs w:val="22"/>
      </w:rPr>
      <w:t xml:space="preserve">- </w:t>
    </w:r>
    <w:r w:rsidRPr="00D77A0F">
      <w:rPr>
        <w:rFonts w:ascii="Arial" w:hAnsi="Arial" w:cs="Arial"/>
        <w:sz w:val="22"/>
        <w:szCs w:val="22"/>
      </w:rPr>
      <w:fldChar w:fldCharType="begin"/>
    </w:r>
    <w:r w:rsidRPr="00D77A0F">
      <w:rPr>
        <w:rFonts w:ascii="Arial" w:hAnsi="Arial" w:cs="Arial"/>
        <w:sz w:val="22"/>
        <w:szCs w:val="22"/>
        <w:lang w:val="en-US"/>
      </w:rPr>
      <w:instrText xml:space="preserve"> PAGE   \* MERGEFORMAT </w:instrText>
    </w:r>
    <w:r w:rsidRPr="00D77A0F">
      <w:rPr>
        <w:rFonts w:ascii="Arial" w:hAnsi="Arial" w:cs="Arial"/>
        <w:sz w:val="22"/>
        <w:szCs w:val="22"/>
      </w:rPr>
      <w:fldChar w:fldCharType="separate"/>
    </w:r>
    <w:r w:rsidRPr="00D77A0F">
      <w:rPr>
        <w:rFonts w:ascii="Arial" w:hAnsi="Arial" w:cs="Arial"/>
        <w:noProof/>
        <w:sz w:val="22"/>
        <w:szCs w:val="22"/>
        <w:lang w:val="en-US"/>
      </w:rPr>
      <w:t>ii</w:t>
    </w:r>
    <w:r w:rsidRPr="00D77A0F">
      <w:rPr>
        <w:rFonts w:ascii="Arial" w:hAnsi="Arial" w:cs="Arial"/>
        <w:noProof/>
        <w:sz w:val="22"/>
        <w:szCs w:val="22"/>
      </w:rPr>
      <w:fldChar w:fldCharType="end"/>
    </w:r>
    <w:r w:rsidRPr="00D77A0F">
      <w:rPr>
        <w:rFonts w:ascii="Arial" w:hAnsi="Arial" w:cs="Arial"/>
        <w:noProof/>
        <w:sz w:val="22"/>
        <w:szCs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B9598" w14:textId="15C562C9" w:rsidR="00D77A0F" w:rsidRPr="00D77A0F" w:rsidRDefault="00D77A0F" w:rsidP="00D77A0F">
    <w:pPr>
      <w:pStyle w:val="Header"/>
      <w:jc w:val="center"/>
      <w:rPr>
        <w:rFonts w:asciiTheme="minorBidi" w:hAnsiTheme="minorBidi" w:cstheme="minorBidi"/>
        <w:sz w:val="22"/>
        <w:szCs w:val="22"/>
      </w:rPr>
    </w:pPr>
    <w:r w:rsidRPr="00D77A0F">
      <w:rPr>
        <w:rFonts w:asciiTheme="minorBidi" w:hAnsiTheme="minorBidi" w:cstheme="minorBidi"/>
        <w:sz w:val="22"/>
        <w:szCs w:val="22"/>
      </w:rPr>
      <w:t xml:space="preserve">- </w:t>
    </w:r>
    <w:r w:rsidRPr="00D77A0F">
      <w:rPr>
        <w:rFonts w:asciiTheme="minorBidi" w:hAnsiTheme="minorBidi" w:cstheme="minorBidi"/>
        <w:sz w:val="22"/>
        <w:szCs w:val="22"/>
      </w:rPr>
      <w:fldChar w:fldCharType="begin"/>
    </w:r>
    <w:r w:rsidRPr="00D77A0F">
      <w:rPr>
        <w:rFonts w:asciiTheme="minorBidi" w:hAnsiTheme="minorBidi" w:cstheme="minorBidi"/>
        <w:sz w:val="22"/>
        <w:szCs w:val="22"/>
      </w:rPr>
      <w:instrText>PAGE   \* MERGEFORMAT</w:instrText>
    </w:r>
    <w:r w:rsidRPr="00D77A0F">
      <w:rPr>
        <w:rFonts w:asciiTheme="minorBidi" w:hAnsiTheme="minorBidi" w:cstheme="minorBidi"/>
        <w:sz w:val="22"/>
        <w:szCs w:val="22"/>
      </w:rPr>
      <w:fldChar w:fldCharType="separate"/>
    </w:r>
    <w:r w:rsidRPr="00D77A0F">
      <w:rPr>
        <w:rFonts w:asciiTheme="minorBidi" w:hAnsiTheme="minorBidi" w:cstheme="minorBidi"/>
        <w:sz w:val="22"/>
        <w:szCs w:val="22"/>
      </w:rPr>
      <w:t>1</w:t>
    </w:r>
    <w:r w:rsidRPr="00D77A0F">
      <w:rPr>
        <w:rFonts w:asciiTheme="minorBidi" w:hAnsiTheme="minorBidi" w:cstheme="minorBidi"/>
        <w:sz w:val="22"/>
        <w:szCs w:val="22"/>
      </w:rPr>
      <w:fldChar w:fldCharType="end"/>
    </w:r>
    <w:r w:rsidRPr="00D77A0F">
      <w:rPr>
        <w:rFonts w:asciiTheme="minorBidi" w:hAnsiTheme="minorBidi" w:cstheme="minorBidi"/>
        <w:sz w:val="22"/>
        <w:szCs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BE11" w14:textId="0D3EC154" w:rsidR="003A60E3" w:rsidRPr="0031434D" w:rsidRDefault="00CB6A57">
    <w:pPr>
      <w:pStyle w:val="Header"/>
      <w:tabs>
        <w:tab w:val="clear" w:pos="8306"/>
      </w:tabs>
      <w:rPr>
        <w:rFonts w:ascii="Arial" w:hAnsi="Arial" w:cs="Arial"/>
        <w:sz w:val="22"/>
        <w:szCs w:val="22"/>
      </w:rPr>
    </w:pPr>
    <w:r w:rsidRPr="0031434D">
      <w:rPr>
        <w:rFonts w:ascii="Arial" w:hAnsi="Arial" w:cs="Arial"/>
        <w:sz w:val="22"/>
        <w:szCs w:val="22"/>
        <w:lang w:val="en-US"/>
      </w:rPr>
      <w:t>IOC/EC-57/AP Prov</w:t>
    </w:r>
    <w:r w:rsidR="00326BDC" w:rsidRPr="0031434D">
      <w:rPr>
        <w:rFonts w:ascii="Arial" w:hAnsi="Arial" w:cs="Arial"/>
        <w:sz w:val="22"/>
        <w:szCs w:val="22"/>
        <w:lang w:val="en-US"/>
      </w:rPr>
      <w:t>.</w:t>
    </w:r>
    <w:r w:rsidR="00165B31" w:rsidRPr="0031434D">
      <w:rPr>
        <w:rFonts w:ascii="Arial" w:hAnsi="Arial" w:cs="Arial"/>
        <w:sz w:val="22"/>
        <w:szCs w:val="22"/>
        <w:lang w:val="en-US"/>
      </w:rPr>
      <w:t xml:space="preserve"> Rev.</w:t>
    </w:r>
    <w:r w:rsidRPr="0031434D">
      <w:rPr>
        <w:rFonts w:ascii="Arial" w:hAnsi="Arial" w:cs="Arial"/>
        <w:sz w:val="22"/>
        <w:szCs w:val="22"/>
        <w:lang w:val="en-US"/>
      </w:rPr>
      <w:t xml:space="preserve"> – p</w:t>
    </w:r>
    <w:r w:rsidR="004C1803" w:rsidRPr="0031434D">
      <w:rPr>
        <w:rFonts w:ascii="Arial" w:hAnsi="Arial" w:cs="Arial"/>
        <w:sz w:val="22"/>
        <w:szCs w:val="22"/>
        <w:lang w:val="en-US"/>
      </w:rPr>
      <w:t>á</w:t>
    </w:r>
    <w:r w:rsidRPr="0031434D">
      <w:rPr>
        <w:rFonts w:ascii="Arial" w:hAnsi="Arial" w:cs="Arial"/>
        <w:sz w:val="22"/>
        <w:szCs w:val="22"/>
        <w:lang w:val="en-US"/>
      </w:rPr>
      <w:t>g</w:t>
    </w:r>
    <w:r w:rsidR="004C1803" w:rsidRPr="0031434D">
      <w:rPr>
        <w:rFonts w:ascii="Arial" w:hAnsi="Arial" w:cs="Arial"/>
        <w:sz w:val="22"/>
        <w:szCs w:val="22"/>
        <w:lang w:val="en-US"/>
      </w:rPr>
      <w:t>.</w:t>
    </w:r>
    <w:r w:rsidRPr="0031434D">
      <w:rPr>
        <w:rFonts w:ascii="Arial" w:hAnsi="Arial" w:cs="Arial"/>
        <w:sz w:val="22"/>
        <w:szCs w:val="22"/>
        <w:lang w:val="en-US"/>
      </w:rPr>
      <w:t xml:space="preserve"> </w:t>
    </w:r>
    <w:r w:rsidRPr="0031434D">
      <w:rPr>
        <w:rStyle w:val="PageNumber"/>
        <w:rFonts w:ascii="Arial" w:hAnsi="Arial" w:cs="Arial"/>
        <w:sz w:val="22"/>
        <w:szCs w:val="22"/>
      </w:rPr>
      <w:fldChar w:fldCharType="begin"/>
    </w:r>
    <w:r w:rsidRPr="0031434D">
      <w:rPr>
        <w:rStyle w:val="PageNumber"/>
        <w:rFonts w:ascii="Arial" w:hAnsi="Arial" w:cs="Arial"/>
        <w:sz w:val="22"/>
        <w:szCs w:val="22"/>
        <w:lang w:val="en-US"/>
      </w:rPr>
      <w:instrText xml:space="preserve"> PAGE </w:instrText>
    </w:r>
    <w:r w:rsidRPr="0031434D">
      <w:rPr>
        <w:rStyle w:val="PageNumber"/>
        <w:rFonts w:ascii="Arial" w:hAnsi="Arial" w:cs="Arial"/>
        <w:sz w:val="22"/>
        <w:szCs w:val="22"/>
      </w:rPr>
      <w:fldChar w:fldCharType="separate"/>
    </w:r>
    <w:r w:rsidRPr="0031434D">
      <w:rPr>
        <w:rStyle w:val="PageNumber"/>
        <w:rFonts w:ascii="Arial" w:hAnsi="Arial" w:cs="Arial"/>
        <w:noProof/>
        <w:sz w:val="22"/>
        <w:szCs w:val="22"/>
        <w:lang w:val="en-US"/>
      </w:rPr>
      <w:t>3</w:t>
    </w:r>
    <w:r w:rsidRPr="0031434D">
      <w:rPr>
        <w:rStyle w:val="PageNumber"/>
        <w:rFonts w:ascii="Arial" w:hAnsi="Arial" w:cs="Arial"/>
        <w:noProof/>
        <w:sz w:val="22"/>
        <w:szCs w:val="22"/>
      </w:rPr>
      <w:t>0</w:t>
    </w:r>
    <w:r w:rsidRPr="0031434D">
      <w:rPr>
        <w:rStyle w:val="PageNumber"/>
        <w:rFonts w:ascii="Arial" w:hAnsi="Arial" w:cs="Arial"/>
        <w:sz w:val="22"/>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F92ED" w14:textId="5DF9057B" w:rsidR="00997DDC" w:rsidRPr="00E83FD0" w:rsidRDefault="00997DDC" w:rsidP="00997DDC">
    <w:pPr>
      <w:pStyle w:val="Header"/>
      <w:tabs>
        <w:tab w:val="clear" w:pos="8306"/>
      </w:tabs>
      <w:jc w:val="right"/>
      <w:rPr>
        <w:rFonts w:ascii="Arial" w:hAnsi="Arial" w:cs="Arial"/>
        <w:sz w:val="22"/>
        <w:szCs w:val="22"/>
      </w:rPr>
    </w:pPr>
    <w:r w:rsidRPr="00EA695A">
      <w:rPr>
        <w:rFonts w:ascii="Arial" w:hAnsi="Arial" w:cs="Arial"/>
        <w:sz w:val="22"/>
        <w:szCs w:val="22"/>
        <w:lang w:val="en-US"/>
      </w:rPr>
      <w:t xml:space="preserve">IOC/EC-57/AP Prov. </w:t>
    </w:r>
    <w:r w:rsidR="00165B31" w:rsidRPr="00EA695A">
      <w:rPr>
        <w:rFonts w:ascii="Arial" w:hAnsi="Arial" w:cs="Arial"/>
        <w:sz w:val="22"/>
        <w:szCs w:val="22"/>
        <w:lang w:val="en-US"/>
      </w:rPr>
      <w:t>Rev.</w:t>
    </w:r>
    <w:r w:rsidR="00E83FD0" w:rsidRPr="00EA695A">
      <w:rPr>
        <w:rFonts w:ascii="Arial" w:hAnsi="Arial" w:cs="Arial"/>
        <w:sz w:val="22"/>
        <w:szCs w:val="22"/>
        <w:lang w:val="en-US"/>
      </w:rPr>
      <w:t xml:space="preserve"> </w:t>
    </w:r>
    <w:r w:rsidRPr="00EA695A">
      <w:rPr>
        <w:rFonts w:ascii="Arial" w:hAnsi="Arial" w:cs="Arial"/>
        <w:sz w:val="22"/>
        <w:szCs w:val="22"/>
        <w:lang w:val="en-US"/>
      </w:rPr>
      <w:t xml:space="preserve">– pág. </w:t>
    </w:r>
    <w:r w:rsidRPr="00E83FD0">
      <w:rPr>
        <w:rFonts w:ascii="Arial" w:hAnsi="Arial" w:cs="Arial"/>
        <w:sz w:val="22"/>
        <w:szCs w:val="22"/>
      </w:rPr>
      <w:fldChar w:fldCharType="begin"/>
    </w:r>
    <w:r w:rsidRPr="00EA695A">
      <w:rPr>
        <w:rFonts w:ascii="Arial" w:hAnsi="Arial" w:cs="Arial"/>
        <w:sz w:val="22"/>
        <w:szCs w:val="22"/>
        <w:lang w:val="en-US"/>
      </w:rPr>
      <w:instrText xml:space="preserve"> PAGE </w:instrText>
    </w:r>
    <w:r w:rsidRPr="00E83FD0">
      <w:rPr>
        <w:rFonts w:ascii="Arial" w:hAnsi="Arial" w:cs="Arial"/>
        <w:sz w:val="22"/>
        <w:szCs w:val="22"/>
      </w:rPr>
      <w:fldChar w:fldCharType="separate"/>
    </w:r>
    <w:r w:rsidRPr="00E83FD0">
      <w:rPr>
        <w:rFonts w:ascii="Arial" w:hAnsi="Arial" w:cs="Arial"/>
        <w:sz w:val="22"/>
        <w:szCs w:val="22"/>
      </w:rPr>
      <w:t>2</w:t>
    </w:r>
    <w:r w:rsidRPr="00E83FD0">
      <w:rPr>
        <w:rFonts w:ascii="Arial" w:hAnsi="Arial" w:cs="Arial"/>
        <w:sz w:val="22"/>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BB41" w14:textId="3764A8DC" w:rsidR="003A60E3" w:rsidRPr="0031434D" w:rsidRDefault="00CB6A57">
    <w:pPr>
      <w:pStyle w:val="Header"/>
      <w:tabs>
        <w:tab w:val="clear" w:pos="8306"/>
      </w:tabs>
      <w:jc w:val="right"/>
      <w:rPr>
        <w:rFonts w:ascii="Arial" w:hAnsi="Arial" w:cs="Arial"/>
        <w:sz w:val="22"/>
        <w:szCs w:val="22"/>
        <w:lang w:val="en-US"/>
      </w:rPr>
    </w:pPr>
    <w:r w:rsidRPr="0031434D">
      <w:rPr>
        <w:rFonts w:ascii="Arial" w:hAnsi="Arial" w:cs="Arial"/>
        <w:sz w:val="22"/>
        <w:szCs w:val="22"/>
        <w:lang w:val="en-US"/>
      </w:rPr>
      <w:t>IOC/EC-57/AP Prov.</w:t>
    </w:r>
    <w:r w:rsidR="00165B31" w:rsidRPr="0031434D">
      <w:rPr>
        <w:rFonts w:ascii="Arial" w:hAnsi="Arial" w:cs="Arial"/>
        <w:sz w:val="22"/>
        <w:szCs w:val="22"/>
        <w:lang w:val="en-US"/>
      </w:rPr>
      <w:t xml:space="preserve"> Rev.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512492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125113"/>
    <w:multiLevelType w:val="hybridMultilevel"/>
    <w:tmpl w:val="88CA450C"/>
    <w:lvl w:ilvl="0" w:tplc="1116F816">
      <w:start w:val="1"/>
      <w:numFmt w:val="lowerRoman"/>
      <w:lvlText w:val="%1)"/>
      <w:lvlJc w:val="left"/>
      <w:pPr>
        <w:ind w:left="144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7537DE"/>
    <w:multiLevelType w:val="hybridMultilevel"/>
    <w:tmpl w:val="1A8AA5A6"/>
    <w:lvl w:ilvl="0" w:tplc="1116F816">
      <w:start w:val="1"/>
      <w:numFmt w:val="lowerRoman"/>
      <w:lvlText w:val="%1)"/>
      <w:lvlJc w:val="left"/>
      <w:pPr>
        <w:ind w:left="1287" w:hanging="360"/>
      </w:pPr>
      <w:rPr>
        <w:rFonts w:hint="default"/>
        <w:b w:val="0"/>
        <w:bCs w:val="0"/>
        <w:sz w:val="22"/>
        <w:szCs w:val="22"/>
        <w:lang w:val="es-E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7DF1D9A"/>
    <w:multiLevelType w:val="hybridMultilevel"/>
    <w:tmpl w:val="8382B9C6"/>
    <w:lvl w:ilvl="0" w:tplc="51F22C4C">
      <w:start w:val="1"/>
      <w:numFmt w:val="decimal"/>
      <w:lvlText w:val="%1."/>
      <w:lvlJc w:val="left"/>
      <w:pPr>
        <w:ind w:left="288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8D2C42"/>
    <w:multiLevelType w:val="hybridMultilevel"/>
    <w:tmpl w:val="177A2178"/>
    <w:lvl w:ilvl="0" w:tplc="8B2CAB4C">
      <w:start w:val="4"/>
      <w:numFmt w:val="decimal"/>
      <w:lvlText w:val="%1."/>
      <w:lvlJc w:val="left"/>
      <w:pPr>
        <w:ind w:left="1421"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AD03E2"/>
    <w:multiLevelType w:val="hybridMultilevel"/>
    <w:tmpl w:val="7E6EAF08"/>
    <w:lvl w:ilvl="0" w:tplc="1116F816">
      <w:start w:val="1"/>
      <w:numFmt w:val="lowerRoman"/>
      <w:lvlText w:val="%1)"/>
      <w:lvlJc w:val="left"/>
      <w:pPr>
        <w:ind w:left="720" w:hanging="360"/>
      </w:pPr>
      <w:rPr>
        <w:rFonts w:hint="default"/>
        <w:b w:val="0"/>
        <w:bCs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CF44B4"/>
    <w:multiLevelType w:val="hybridMultilevel"/>
    <w:tmpl w:val="68A2A6F0"/>
    <w:lvl w:ilvl="0" w:tplc="B49E8BC4">
      <w:start w:val="1"/>
      <w:numFmt w:val="lowerRoman"/>
      <w:lvlText w:val="%1)"/>
      <w:lvlJc w:val="left"/>
      <w:pPr>
        <w:ind w:left="1854" w:hanging="720"/>
      </w:pPr>
      <w:rPr>
        <w:rFonts w:asciiTheme="minorBidi" w:hAnsiTheme="minorBidi" w:cstheme="minorBidi" w:hint="default"/>
        <w:color w:val="auto"/>
        <w:sz w:val="22"/>
        <w:szCs w:val="22"/>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1B76266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8" w15:restartNumberingAfterBreak="0">
    <w:nsid w:val="1BC33398"/>
    <w:multiLevelType w:val="hybridMultilevel"/>
    <w:tmpl w:val="DB4814D2"/>
    <w:lvl w:ilvl="0" w:tplc="243ECE30">
      <w:start w:val="1"/>
      <w:numFmt w:val="decimal"/>
      <w:lvlText w:val="%1."/>
      <w:lvlJc w:val="left"/>
      <w:pPr>
        <w:ind w:left="720" w:hanging="360"/>
      </w:pPr>
      <w:rPr>
        <w:rFonts w:ascii="Arial" w:hAnsi="Arial" w:cs="Arial" w:hint="default"/>
        <w:b w:val="0"/>
        <w:bCs/>
        <w:sz w:val="22"/>
        <w:szCs w:val="22"/>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E142465"/>
    <w:multiLevelType w:val="hybridMultilevel"/>
    <w:tmpl w:val="DEF04A4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CB0D19"/>
    <w:multiLevelType w:val="hybridMultilevel"/>
    <w:tmpl w:val="78ACF6E6"/>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CB4963"/>
    <w:multiLevelType w:val="hybridMultilevel"/>
    <w:tmpl w:val="66EA7C08"/>
    <w:lvl w:ilvl="0" w:tplc="05583D68">
      <w:start w:val="9"/>
      <w:numFmt w:val="lowerLetter"/>
      <w:lvlText w:val="%1."/>
      <w:lvlJc w:val="left"/>
      <w:pPr>
        <w:ind w:left="2149" w:hanging="360"/>
      </w:pPr>
      <w:rPr>
        <w:rFonts w:hint="default"/>
      </w:rPr>
    </w:lvl>
    <w:lvl w:ilvl="1" w:tplc="1116F816">
      <w:start w:val="1"/>
      <w:numFmt w:val="lowerRoman"/>
      <w:lvlText w:val="%2)"/>
      <w:lvlJc w:val="left"/>
      <w:pPr>
        <w:ind w:left="1854" w:hanging="360"/>
      </w:pPr>
      <w:rPr>
        <w:rFonts w:hint="default"/>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D420C3"/>
    <w:multiLevelType w:val="hybridMultilevel"/>
    <w:tmpl w:val="F14A5D44"/>
    <w:lvl w:ilvl="0" w:tplc="52B67B26">
      <w:start w:val="1"/>
      <w:numFmt w:val="decimal"/>
      <w:lvlText w:val="%1."/>
      <w:lvlJc w:val="left"/>
      <w:pPr>
        <w:ind w:left="720" w:hanging="360"/>
      </w:pPr>
      <w:rPr>
        <w:rFonts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166F4A"/>
    <w:multiLevelType w:val="hybridMultilevel"/>
    <w:tmpl w:val="B5484382"/>
    <w:lvl w:ilvl="0" w:tplc="1116F816">
      <w:start w:val="1"/>
      <w:numFmt w:val="lowerRoman"/>
      <w:lvlText w:val="%1)"/>
      <w:lvlJc w:val="left"/>
      <w:pPr>
        <w:ind w:left="720" w:hanging="360"/>
      </w:pPr>
      <w:rPr>
        <w:rFonts w:hint="default"/>
        <w:b w:val="0"/>
        <w:bCs w:val="0"/>
        <w:i w:val="0"/>
        <w:caps w:val="0"/>
        <w:strike w:val="0"/>
        <w:dstrike w:val="0"/>
        <w:vanish w:val="0"/>
        <w:sz w:val="22"/>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491349"/>
    <w:multiLevelType w:val="hybridMultilevel"/>
    <w:tmpl w:val="E6C81FF0"/>
    <w:lvl w:ilvl="0" w:tplc="928EE43C">
      <w:start w:val="1"/>
      <w:numFmt w:val="decimal"/>
      <w:lvlText w:val="%1."/>
      <w:lvlJc w:val="left"/>
      <w:pPr>
        <w:ind w:left="1211" w:hanging="360"/>
      </w:pPr>
      <w:rPr>
        <w:rFonts w:ascii="Arial" w:hAnsi="Arial" w:cs="Arial" w:hint="default"/>
        <w:b w:val="0"/>
        <w:bCs w:val="0"/>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5" w15:restartNumberingAfterBreak="0">
    <w:nsid w:val="30270DE4"/>
    <w:multiLevelType w:val="hybridMultilevel"/>
    <w:tmpl w:val="2208E86A"/>
    <w:lvl w:ilvl="0" w:tplc="FFFFFFFF">
      <w:start w:val="1"/>
      <w:numFmt w:val="decimal"/>
      <w:lvlText w:val="%1."/>
      <w:lvlJc w:val="left"/>
      <w:pPr>
        <w:ind w:left="930" w:hanging="57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6E52D4"/>
    <w:multiLevelType w:val="hybridMultilevel"/>
    <w:tmpl w:val="6EE23BE4"/>
    <w:lvl w:ilvl="0" w:tplc="B4163634">
      <w:start w:val="1"/>
      <w:numFmt w:val="bullet"/>
      <w:lvlText w:val="-"/>
      <w:lvlJc w:val="left"/>
      <w:pPr>
        <w:ind w:left="924" w:hanging="564"/>
      </w:pPr>
      <w:rPr>
        <w:rFonts w:ascii="Walbaum Display Light" w:hAnsi="Walbaum Display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4712019"/>
    <w:multiLevelType w:val="hybridMultilevel"/>
    <w:tmpl w:val="6D58424A"/>
    <w:lvl w:ilvl="0" w:tplc="1116F816">
      <w:start w:val="1"/>
      <w:numFmt w:val="lowerRoman"/>
      <w:lvlText w:val="%1)"/>
      <w:lvlJc w:val="left"/>
      <w:pPr>
        <w:ind w:left="2204" w:hanging="360"/>
      </w:pPr>
      <w:rPr>
        <w:rFonts w:hint="default"/>
        <w:b w:val="0"/>
        <w:b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D33782"/>
    <w:multiLevelType w:val="multilevel"/>
    <w:tmpl w:val="22125D7A"/>
    <w:lvl w:ilvl="0">
      <w:start w:val="2"/>
      <w:numFmt w:val="decimal"/>
      <w:lvlText w:val="%1"/>
      <w:lvlJc w:val="left"/>
      <w:pPr>
        <w:ind w:left="360" w:hanging="360"/>
      </w:pPr>
      <w:rPr>
        <w:rFonts w:hint="default"/>
        <w:b/>
        <w:sz w:val="22"/>
      </w:rPr>
    </w:lvl>
    <w:lvl w:ilvl="1">
      <w:start w:val="1"/>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b/>
        <w:sz w:val="22"/>
      </w:rPr>
    </w:lvl>
    <w:lvl w:ilvl="3">
      <w:start w:val="1"/>
      <w:numFmt w:val="decimal"/>
      <w:lvlText w:val="%1.%2.%3.%4"/>
      <w:lvlJc w:val="left"/>
      <w:pPr>
        <w:ind w:left="2847" w:hanging="720"/>
      </w:pPr>
      <w:rPr>
        <w:rFonts w:hint="default"/>
        <w:b w:val="0"/>
        <w:sz w:val="22"/>
      </w:rPr>
    </w:lvl>
    <w:lvl w:ilvl="4">
      <w:start w:val="1"/>
      <w:numFmt w:val="decimal"/>
      <w:lvlText w:val="%1.%2.%3.%4.%5"/>
      <w:lvlJc w:val="left"/>
      <w:pPr>
        <w:ind w:left="3916" w:hanging="1080"/>
      </w:pPr>
      <w:rPr>
        <w:rFonts w:hint="default"/>
        <w:b w:val="0"/>
        <w:sz w:val="22"/>
      </w:rPr>
    </w:lvl>
    <w:lvl w:ilvl="5">
      <w:start w:val="1"/>
      <w:numFmt w:val="decimal"/>
      <w:lvlText w:val="%1.%2.%3.%4.%5.%6"/>
      <w:lvlJc w:val="left"/>
      <w:pPr>
        <w:ind w:left="4625" w:hanging="1080"/>
      </w:pPr>
      <w:rPr>
        <w:rFonts w:hint="default"/>
        <w:b w:val="0"/>
        <w:sz w:val="22"/>
      </w:rPr>
    </w:lvl>
    <w:lvl w:ilvl="6">
      <w:start w:val="1"/>
      <w:numFmt w:val="decimal"/>
      <w:lvlText w:val="%1.%2.%3.%4.%5.%6.%7"/>
      <w:lvlJc w:val="left"/>
      <w:pPr>
        <w:ind w:left="5694" w:hanging="1440"/>
      </w:pPr>
      <w:rPr>
        <w:rFonts w:hint="default"/>
        <w:b w:val="0"/>
        <w:sz w:val="22"/>
      </w:rPr>
    </w:lvl>
    <w:lvl w:ilvl="7">
      <w:start w:val="1"/>
      <w:numFmt w:val="decimal"/>
      <w:lvlText w:val="%1.%2.%3.%4.%5.%6.%7.%8"/>
      <w:lvlJc w:val="left"/>
      <w:pPr>
        <w:ind w:left="6403" w:hanging="1440"/>
      </w:pPr>
      <w:rPr>
        <w:rFonts w:hint="default"/>
        <w:b w:val="0"/>
        <w:sz w:val="22"/>
      </w:rPr>
    </w:lvl>
    <w:lvl w:ilvl="8">
      <w:start w:val="1"/>
      <w:numFmt w:val="decimal"/>
      <w:lvlText w:val="%1.%2.%3.%4.%5.%6.%7.%8.%9"/>
      <w:lvlJc w:val="left"/>
      <w:pPr>
        <w:ind w:left="7472" w:hanging="1800"/>
      </w:pPr>
      <w:rPr>
        <w:rFonts w:hint="default"/>
        <w:b w:val="0"/>
        <w:sz w:val="22"/>
      </w:rPr>
    </w:lvl>
  </w:abstractNum>
  <w:abstractNum w:abstractNumId="19" w15:restartNumberingAfterBreak="0">
    <w:nsid w:val="36396FF4"/>
    <w:multiLevelType w:val="multilevel"/>
    <w:tmpl w:val="D338BD0E"/>
    <w:lvl w:ilvl="0">
      <w:start w:val="1"/>
      <w:numFmt w:val="decimal"/>
      <w:pStyle w:val="Heading1"/>
      <w:lvlText w:val="%1."/>
      <w:lvlJc w:val="left"/>
      <w:pPr>
        <w:ind w:left="360" w:hanging="360"/>
      </w:pPr>
      <w:rPr>
        <w:rFonts w:ascii="Arial" w:hAnsi="Arial" w:hint="default"/>
        <w:b/>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8206007"/>
    <w:multiLevelType w:val="hybridMultilevel"/>
    <w:tmpl w:val="0C9863F0"/>
    <w:lvl w:ilvl="0" w:tplc="8B943264">
      <w:start w:val="1"/>
      <w:numFmt w:val="decimal"/>
      <w:lvlText w:val="%1."/>
      <w:lvlJc w:val="left"/>
      <w:pPr>
        <w:ind w:left="2204" w:hanging="360"/>
      </w:pPr>
      <w:rPr>
        <w:rFonts w:eastAsia="Calibri" w:hint="default"/>
        <w:b w:val="0"/>
        <w:bCs/>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CC608F"/>
    <w:multiLevelType w:val="hybridMultilevel"/>
    <w:tmpl w:val="9BD60E2E"/>
    <w:lvl w:ilvl="0" w:tplc="FFFFFFFF">
      <w:start w:val="1"/>
      <w:numFmt w:val="decimal"/>
      <w:lvlText w:val="%1."/>
      <w:lvlJc w:val="left"/>
      <w:pPr>
        <w:ind w:left="2880" w:hanging="360"/>
      </w:pPr>
      <w:rPr>
        <w:rFonts w:ascii="Arial" w:hAnsi="Arial" w:cs="Arial" w:hint="default"/>
      </w:rPr>
    </w:lvl>
    <w:lvl w:ilvl="1" w:tplc="3F74D7AE">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9B4BA3"/>
    <w:multiLevelType w:val="hybridMultilevel"/>
    <w:tmpl w:val="67140962"/>
    <w:lvl w:ilvl="0" w:tplc="FFFFFFFF">
      <w:start w:val="1"/>
      <w:numFmt w:val="decimal"/>
      <w:lvlText w:val="%1."/>
      <w:lvlJc w:val="left"/>
      <w:pPr>
        <w:ind w:left="288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E801B0"/>
    <w:multiLevelType w:val="hybridMultilevel"/>
    <w:tmpl w:val="DE72602C"/>
    <w:lvl w:ilvl="0" w:tplc="EDB26A68">
      <w:start w:val="1"/>
      <w:numFmt w:val="bullet"/>
      <w:pStyle w:val="TIRETbul1cm"/>
      <w:lvlText w:val=""/>
      <w:lvlJc w:val="left"/>
      <w:pPr>
        <w:tabs>
          <w:tab w:val="num" w:pos="644"/>
        </w:tabs>
        <w:ind w:left="284"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270825"/>
    <w:multiLevelType w:val="hybridMultilevel"/>
    <w:tmpl w:val="595A5F08"/>
    <w:lvl w:ilvl="0" w:tplc="215C2D04">
      <w:start w:val="4"/>
      <w:numFmt w:val="lowerRoman"/>
      <w:lvlText w:val="%1)"/>
      <w:lvlJc w:val="left"/>
      <w:pPr>
        <w:ind w:left="1080" w:hanging="72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7F1D2C"/>
    <w:multiLevelType w:val="hybridMultilevel"/>
    <w:tmpl w:val="EE6C2D82"/>
    <w:lvl w:ilvl="0" w:tplc="237CD3F4">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6" w15:restartNumberingAfterBreak="0">
    <w:nsid w:val="566E12E0"/>
    <w:multiLevelType w:val="hybridMultilevel"/>
    <w:tmpl w:val="BBDEC972"/>
    <w:lvl w:ilvl="0" w:tplc="2A626EFA">
      <w:start w:val="1"/>
      <w:numFmt w:val="lowerRoman"/>
      <w:lvlText w:val="(%1)"/>
      <w:lvlJc w:val="left"/>
      <w:pPr>
        <w:ind w:left="1854" w:hanging="360"/>
      </w:pPr>
      <w:rPr>
        <w:rFonts w:hint="default"/>
        <w:sz w:val="22"/>
        <w:szCs w:val="28"/>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7" w15:restartNumberingAfterBreak="0">
    <w:nsid w:val="58601F5A"/>
    <w:multiLevelType w:val="hybridMultilevel"/>
    <w:tmpl w:val="2208E86A"/>
    <w:lvl w:ilvl="0" w:tplc="BBE2714E">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1243FB"/>
    <w:multiLevelType w:val="hybridMultilevel"/>
    <w:tmpl w:val="2208E86A"/>
    <w:lvl w:ilvl="0" w:tplc="FFFFFFFF">
      <w:start w:val="1"/>
      <w:numFmt w:val="decimal"/>
      <w:lvlText w:val="%1."/>
      <w:lvlJc w:val="left"/>
      <w:pPr>
        <w:ind w:left="930" w:hanging="57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C21DFB"/>
    <w:multiLevelType w:val="hybridMultilevel"/>
    <w:tmpl w:val="91BE8DB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C544A01"/>
    <w:multiLevelType w:val="hybridMultilevel"/>
    <w:tmpl w:val="2208E86A"/>
    <w:lvl w:ilvl="0" w:tplc="BBE2714E">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377716"/>
    <w:multiLevelType w:val="hybridMultilevel"/>
    <w:tmpl w:val="A22CE374"/>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60600731"/>
    <w:multiLevelType w:val="multilevel"/>
    <w:tmpl w:val="3D1CB5A8"/>
    <w:lvl w:ilvl="0">
      <w:start w:val="1"/>
      <w:numFmt w:val="decimal"/>
      <w:lvlText w:val="%1."/>
      <w:lvlJc w:val="left"/>
      <w:pPr>
        <w:ind w:left="720" w:hanging="360"/>
      </w:pPr>
      <w:rPr>
        <w:color w:val="00000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rPr>
        <w:b w:val="0"/>
        <w:bCs/>
      </w:r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3" w15:restartNumberingAfterBreak="0">
    <w:nsid w:val="62AF29BD"/>
    <w:multiLevelType w:val="hybridMultilevel"/>
    <w:tmpl w:val="CAC812E0"/>
    <w:lvl w:ilvl="0" w:tplc="1116F816">
      <w:start w:val="1"/>
      <w:numFmt w:val="lowerRoman"/>
      <w:lvlText w:val="%1)"/>
      <w:lvlJc w:val="left"/>
      <w:pPr>
        <w:ind w:left="720" w:hanging="360"/>
      </w:pPr>
      <w:rPr>
        <w:rFonts w:hint="default"/>
        <w:b w:val="0"/>
        <w:bCs w:val="0"/>
        <w:i w:val="0"/>
        <w:caps w:val="0"/>
        <w:strike w:val="0"/>
        <w:dstrike w:val="0"/>
        <w:vanish w:val="0"/>
        <w:w w:val="99"/>
        <w:sz w:val="22"/>
        <w:szCs w:val="20"/>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69C2949"/>
    <w:multiLevelType w:val="hybridMultilevel"/>
    <w:tmpl w:val="8382B9C6"/>
    <w:lvl w:ilvl="0" w:tplc="FFFFFFFF">
      <w:start w:val="1"/>
      <w:numFmt w:val="decimal"/>
      <w:lvlText w:val="%1."/>
      <w:lvlJc w:val="left"/>
      <w:pPr>
        <w:ind w:left="288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D20206C"/>
    <w:multiLevelType w:val="hybridMultilevel"/>
    <w:tmpl w:val="B5367A88"/>
    <w:lvl w:ilvl="0" w:tplc="2D60363C">
      <w:start w:val="1"/>
      <w:numFmt w:val="lowerRoman"/>
      <w:lvlText w:val="(%1)"/>
      <w:lvlJc w:val="right"/>
      <w:pPr>
        <w:ind w:left="720" w:hanging="360"/>
      </w:pPr>
      <w:rPr>
        <w:rFonts w:hint="default"/>
        <w:w w:val="99"/>
        <w:sz w:val="22"/>
        <w:szCs w:val="22"/>
      </w:rPr>
    </w:lvl>
    <w:lvl w:ilvl="1" w:tplc="040C0017">
      <w:start w:val="1"/>
      <w:numFmt w:val="lowerLetter"/>
      <w:lvlText w:val="%2)"/>
      <w:lvlJc w:val="left"/>
      <w:pPr>
        <w:ind w:left="1440" w:hanging="360"/>
      </w:pPr>
    </w:lvl>
    <w:lvl w:ilvl="2" w:tplc="040C001B">
      <w:start w:val="1"/>
      <w:numFmt w:val="lowerRoman"/>
      <w:lvlText w:val="%3."/>
      <w:lvlJc w:val="right"/>
      <w:pPr>
        <w:ind w:left="2160" w:hanging="180"/>
      </w:pPr>
    </w:lvl>
    <w:lvl w:ilvl="3" w:tplc="51F22C4C">
      <w:start w:val="1"/>
      <w:numFmt w:val="decimal"/>
      <w:lvlText w:val="%4."/>
      <w:lvlJc w:val="left"/>
      <w:pPr>
        <w:ind w:left="2880" w:hanging="360"/>
      </w:pPr>
      <w:rPr>
        <w:rFonts w:ascii="Arial" w:hAnsi="Arial" w:cs="Arial" w:hint="default"/>
      </w:r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3542A3E"/>
    <w:multiLevelType w:val="hybridMultilevel"/>
    <w:tmpl w:val="FF9A6904"/>
    <w:lvl w:ilvl="0" w:tplc="04090001">
      <w:start w:val="1"/>
      <w:numFmt w:val="decimal"/>
      <w:pStyle w:val="Quick1"/>
      <w:lvlText w:val="%1"/>
      <w:lvlJc w:val="left"/>
      <w:pPr>
        <w:tabs>
          <w:tab w:val="num" w:pos="720"/>
        </w:tabs>
        <w:ind w:left="720" w:hanging="1440"/>
      </w:pPr>
      <w:rPr>
        <w:rFonts w:ascii="Times New Roman" w:hAnsi="Times New Roman" w:hint="default"/>
        <w:b w:val="0"/>
        <w:i/>
        <w:sz w:val="22"/>
      </w:rPr>
    </w:lvl>
    <w:lvl w:ilvl="1" w:tplc="04090003">
      <w:start w:val="4"/>
      <w:numFmt w:val="lowerRoman"/>
      <w:lvlText w:val="(%2)"/>
      <w:lvlJc w:val="left"/>
      <w:pPr>
        <w:tabs>
          <w:tab w:val="num" w:pos="1457"/>
        </w:tabs>
        <w:ind w:left="1304" w:hanging="567"/>
      </w:pPr>
      <w:rPr>
        <w:rFonts w:hint="default"/>
      </w:rPr>
    </w:lvl>
    <w:lvl w:ilvl="2" w:tplc="04090005">
      <w:numFmt w:val="bullet"/>
      <w:lvlText w:val="-"/>
      <w:lvlJc w:val="left"/>
      <w:pPr>
        <w:tabs>
          <w:tab w:val="num" w:pos="4680"/>
        </w:tabs>
        <w:ind w:left="4680" w:hanging="1260"/>
      </w:pPr>
      <w:rPr>
        <w:rFonts w:ascii="Times New Roman" w:eastAsia="Times New Roman" w:hAnsi="Times New Roman" w:cs="Times New Roman" w:hint="default"/>
      </w:r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38" w15:restartNumberingAfterBreak="0">
    <w:nsid w:val="73804274"/>
    <w:multiLevelType w:val="hybridMultilevel"/>
    <w:tmpl w:val="294477C4"/>
    <w:lvl w:ilvl="0" w:tplc="040C0017">
      <w:start w:val="1"/>
      <w:numFmt w:val="lowerLetter"/>
      <w:lvlText w:val="%1)"/>
      <w:lvlJc w:val="left"/>
      <w:pPr>
        <w:ind w:left="2421" w:hanging="360"/>
      </w:p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39" w15:restartNumberingAfterBreak="0">
    <w:nsid w:val="79657590"/>
    <w:multiLevelType w:val="hybridMultilevel"/>
    <w:tmpl w:val="D152DA10"/>
    <w:lvl w:ilvl="0" w:tplc="77E28542">
      <w:start w:val="1"/>
      <w:numFmt w:val="decimal"/>
      <w:pStyle w:val="Paragrafonumerato"/>
      <w:lvlText w:val="%1"/>
      <w:lvlJc w:val="left"/>
      <w:pPr>
        <w:tabs>
          <w:tab w:val="num" w:pos="720"/>
        </w:tabs>
        <w:ind w:left="720" w:hanging="360"/>
      </w:pPr>
      <w:rPr>
        <w:rFonts w:hint="default"/>
        <w:b w:val="0"/>
        <w:i/>
      </w:rPr>
    </w:lvl>
    <w:lvl w:ilvl="1" w:tplc="04090019">
      <w:start w:val="1"/>
      <w:numFmt w:val="bullet"/>
      <w:lvlText w:val=""/>
      <w:lvlJc w:val="left"/>
      <w:pPr>
        <w:tabs>
          <w:tab w:val="num" w:pos="1440"/>
        </w:tabs>
        <w:ind w:left="1440" w:hanging="360"/>
      </w:pPr>
      <w:rPr>
        <w:rFonts w:ascii="Symbol" w:hAnsi="Symbol"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B5C3C77"/>
    <w:multiLevelType w:val="hybridMultilevel"/>
    <w:tmpl w:val="E64EE878"/>
    <w:lvl w:ilvl="0" w:tplc="F03E1750">
      <w:start w:val="1"/>
      <w:numFmt w:val="decimal"/>
      <w:lvlText w:val="%1."/>
      <w:lvlJc w:val="left"/>
      <w:pPr>
        <w:ind w:left="720" w:hanging="360"/>
      </w:pPr>
      <w:rPr>
        <w:rFonts w:ascii="Arial" w:hAnsi="Arial" w:cs="Arial" w:hint="default"/>
        <w:b w:val="0"/>
        <w:bCs w:val="0"/>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3A63DC"/>
    <w:multiLevelType w:val="hybridMultilevel"/>
    <w:tmpl w:val="143E1320"/>
    <w:lvl w:ilvl="0" w:tplc="1116F816">
      <w:start w:val="1"/>
      <w:numFmt w:val="lowerRoman"/>
      <w:lvlText w:val="%1)"/>
      <w:lvlJc w:val="left"/>
      <w:pPr>
        <w:ind w:left="1854" w:hanging="360"/>
      </w:pPr>
      <w:rPr>
        <w:rFonts w:hint="default"/>
        <w:b w:val="0"/>
        <w:bCs w:val="0"/>
        <w:w w:val="99"/>
        <w:sz w:val="22"/>
        <w:szCs w:val="28"/>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42" w15:restartNumberingAfterBreak="0">
    <w:nsid w:val="7DE33371"/>
    <w:multiLevelType w:val="hybridMultilevel"/>
    <w:tmpl w:val="2C90E12E"/>
    <w:lvl w:ilvl="0" w:tplc="1116F816">
      <w:start w:val="1"/>
      <w:numFmt w:val="lowerRoman"/>
      <w:lvlText w:val="%1)"/>
      <w:lvlJc w:val="left"/>
      <w:pPr>
        <w:ind w:left="1800" w:hanging="720"/>
      </w:pPr>
      <w:rPr>
        <w:rFonts w:hint="default"/>
        <w:b w:val="0"/>
        <w:bCs w:val="0"/>
        <w:sz w:val="22"/>
        <w:szCs w:val="2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53740792">
    <w:abstractNumId w:val="37"/>
  </w:num>
  <w:num w:numId="2" w16cid:durableId="1594243205">
    <w:abstractNumId w:val="35"/>
  </w:num>
  <w:num w:numId="3" w16cid:durableId="48263883">
    <w:abstractNumId w:val="23"/>
  </w:num>
  <w:num w:numId="4" w16cid:durableId="609552985">
    <w:abstractNumId w:val="39"/>
  </w:num>
  <w:num w:numId="5" w16cid:durableId="906455841">
    <w:abstractNumId w:val="10"/>
  </w:num>
  <w:num w:numId="6" w16cid:durableId="274293639">
    <w:abstractNumId w:val="0"/>
  </w:num>
  <w:num w:numId="7" w16cid:durableId="160004553">
    <w:abstractNumId w:val="14"/>
  </w:num>
  <w:num w:numId="8" w16cid:durableId="1821920748">
    <w:abstractNumId w:val="19"/>
  </w:num>
  <w:num w:numId="9" w16cid:durableId="352074264">
    <w:abstractNumId w:val="27"/>
  </w:num>
  <w:num w:numId="10" w16cid:durableId="1886091426">
    <w:abstractNumId w:val="7"/>
  </w:num>
  <w:num w:numId="11" w16cid:durableId="1052316497">
    <w:abstractNumId w:val="18"/>
  </w:num>
  <w:num w:numId="12" w16cid:durableId="925111847">
    <w:abstractNumId w:val="8"/>
  </w:num>
  <w:num w:numId="13" w16cid:durableId="188297835">
    <w:abstractNumId w:val="12"/>
  </w:num>
  <w:num w:numId="14" w16cid:durableId="339966649">
    <w:abstractNumId w:val="42"/>
  </w:num>
  <w:num w:numId="15" w16cid:durableId="470489762">
    <w:abstractNumId w:val="4"/>
  </w:num>
  <w:num w:numId="16" w16cid:durableId="2008973100">
    <w:abstractNumId w:val="20"/>
  </w:num>
  <w:num w:numId="17" w16cid:durableId="257718932">
    <w:abstractNumId w:val="36"/>
  </w:num>
  <w:num w:numId="18" w16cid:durableId="1538540801">
    <w:abstractNumId w:val="30"/>
  </w:num>
  <w:num w:numId="19" w16cid:durableId="1090009117">
    <w:abstractNumId w:val="40"/>
  </w:num>
  <w:num w:numId="20" w16cid:durableId="1639874273">
    <w:abstractNumId w:val="3"/>
  </w:num>
  <w:num w:numId="21" w16cid:durableId="1502938238">
    <w:abstractNumId w:val="22"/>
  </w:num>
  <w:num w:numId="22" w16cid:durableId="1120951185">
    <w:abstractNumId w:val="15"/>
  </w:num>
  <w:num w:numId="23" w16cid:durableId="382096157">
    <w:abstractNumId w:val="28"/>
  </w:num>
  <w:num w:numId="24" w16cid:durableId="1105617449">
    <w:abstractNumId w:val="21"/>
  </w:num>
  <w:num w:numId="25" w16cid:durableId="115415332">
    <w:abstractNumId w:val="34"/>
  </w:num>
  <w:num w:numId="26" w16cid:durableId="1707948967">
    <w:abstractNumId w:val="31"/>
  </w:num>
  <w:num w:numId="27" w16cid:durableId="2058697953">
    <w:abstractNumId w:val="2"/>
  </w:num>
  <w:num w:numId="28" w16cid:durableId="1104962072">
    <w:abstractNumId w:val="11"/>
  </w:num>
  <w:num w:numId="29" w16cid:durableId="1821311649">
    <w:abstractNumId w:val="1"/>
  </w:num>
  <w:num w:numId="30" w16cid:durableId="841352817">
    <w:abstractNumId w:val="29"/>
  </w:num>
  <w:num w:numId="31" w16cid:durableId="1260334038">
    <w:abstractNumId w:val="16"/>
  </w:num>
  <w:num w:numId="32" w16cid:durableId="1907648983">
    <w:abstractNumId w:val="9"/>
  </w:num>
  <w:num w:numId="33" w16cid:durableId="1787893780">
    <w:abstractNumId w:val="5"/>
  </w:num>
  <w:num w:numId="34" w16cid:durableId="1929970188">
    <w:abstractNumId w:val="33"/>
  </w:num>
  <w:num w:numId="35" w16cid:durableId="1119758988">
    <w:abstractNumId w:val="13"/>
  </w:num>
  <w:num w:numId="36" w16cid:durableId="1741168304">
    <w:abstractNumId w:val="17"/>
  </w:num>
  <w:num w:numId="37" w16cid:durableId="13852263">
    <w:abstractNumId w:val="41"/>
  </w:num>
  <w:num w:numId="38" w16cid:durableId="1601372435">
    <w:abstractNumId w:val="38"/>
  </w:num>
  <w:num w:numId="39" w16cid:durableId="545682520">
    <w:abstractNumId w:val="25"/>
  </w:num>
  <w:num w:numId="40" w16cid:durableId="1594170605">
    <w:abstractNumId w:val="26"/>
  </w:num>
  <w:num w:numId="41" w16cid:durableId="319163713">
    <w:abstractNumId w:val="6"/>
  </w:num>
  <w:num w:numId="42" w16cid:durableId="1849634075">
    <w:abstractNumId w:val="24"/>
  </w:num>
  <w:num w:numId="43" w16cid:durableId="543522758">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ES" w:vendorID="64" w:dllVersion="6" w:nlCheck="1" w:checkStyle="1"/>
  <w:activeWritingStyle w:appName="MSWord" w:lang="en-IN" w:vendorID="64" w:dllVersion="0" w:nlCheck="1" w:checkStyle="0"/>
  <w:activeWritingStyle w:appName="MSWord" w:lang="en-IN" w:vendorID="64" w:dllVersion="6" w:nlCheck="1" w:checkStyle="1"/>
  <w:activeWritingStyle w:appName="MSWord" w:lang="en-PH" w:vendorID="64" w:dllVersion="0" w:nlCheck="1" w:checkStyle="0"/>
  <w:activeWritingStyle w:appName="MSWord" w:lang="es-ES" w:vendorID="64" w:dllVersion="4096" w:nlCheck="1" w:checkStyle="0"/>
  <w:activeWritingStyle w:appName="MSWord" w:lang="en-PH" w:vendorID="64" w:dllVersion="4096"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54"/>
    <w:rsid w:val="00000F06"/>
    <w:rsid w:val="00001936"/>
    <w:rsid w:val="00001F0D"/>
    <w:rsid w:val="00002EBD"/>
    <w:rsid w:val="00003473"/>
    <w:rsid w:val="00005CF9"/>
    <w:rsid w:val="000063B8"/>
    <w:rsid w:val="00006A4E"/>
    <w:rsid w:val="000108AD"/>
    <w:rsid w:val="00011413"/>
    <w:rsid w:val="000114A5"/>
    <w:rsid w:val="00011715"/>
    <w:rsid w:val="000118BA"/>
    <w:rsid w:val="000122F5"/>
    <w:rsid w:val="0001270E"/>
    <w:rsid w:val="000131D0"/>
    <w:rsid w:val="00013BCD"/>
    <w:rsid w:val="00014A50"/>
    <w:rsid w:val="000152F2"/>
    <w:rsid w:val="000155E6"/>
    <w:rsid w:val="00017136"/>
    <w:rsid w:val="00017A18"/>
    <w:rsid w:val="00017A9F"/>
    <w:rsid w:val="00017AC1"/>
    <w:rsid w:val="00017CCB"/>
    <w:rsid w:val="00017EDE"/>
    <w:rsid w:val="000202B5"/>
    <w:rsid w:val="00020608"/>
    <w:rsid w:val="00020AC1"/>
    <w:rsid w:val="000218B7"/>
    <w:rsid w:val="00021D03"/>
    <w:rsid w:val="00022555"/>
    <w:rsid w:val="000226CF"/>
    <w:rsid w:val="00022C6D"/>
    <w:rsid w:val="00024176"/>
    <w:rsid w:val="0002478F"/>
    <w:rsid w:val="0002593E"/>
    <w:rsid w:val="00026012"/>
    <w:rsid w:val="000302B8"/>
    <w:rsid w:val="00030649"/>
    <w:rsid w:val="0003080C"/>
    <w:rsid w:val="00031077"/>
    <w:rsid w:val="00031720"/>
    <w:rsid w:val="00032D33"/>
    <w:rsid w:val="000364E2"/>
    <w:rsid w:val="00036779"/>
    <w:rsid w:val="00037EB4"/>
    <w:rsid w:val="000409EE"/>
    <w:rsid w:val="00040B94"/>
    <w:rsid w:val="0004170F"/>
    <w:rsid w:val="00043673"/>
    <w:rsid w:val="0004381B"/>
    <w:rsid w:val="00044B62"/>
    <w:rsid w:val="00044D7E"/>
    <w:rsid w:val="00045046"/>
    <w:rsid w:val="000450CD"/>
    <w:rsid w:val="00045CBC"/>
    <w:rsid w:val="0004707E"/>
    <w:rsid w:val="00047324"/>
    <w:rsid w:val="00047BD8"/>
    <w:rsid w:val="000502D8"/>
    <w:rsid w:val="000522F8"/>
    <w:rsid w:val="00053068"/>
    <w:rsid w:val="00053198"/>
    <w:rsid w:val="000540E9"/>
    <w:rsid w:val="000547BA"/>
    <w:rsid w:val="000558BE"/>
    <w:rsid w:val="0005722C"/>
    <w:rsid w:val="00057CA3"/>
    <w:rsid w:val="0006147E"/>
    <w:rsid w:val="000619B4"/>
    <w:rsid w:val="00062D35"/>
    <w:rsid w:val="00063A91"/>
    <w:rsid w:val="0006599A"/>
    <w:rsid w:val="000663E0"/>
    <w:rsid w:val="00066869"/>
    <w:rsid w:val="000668BF"/>
    <w:rsid w:val="00067ACA"/>
    <w:rsid w:val="0007086E"/>
    <w:rsid w:val="00070C90"/>
    <w:rsid w:val="0007186C"/>
    <w:rsid w:val="00071B48"/>
    <w:rsid w:val="0007206A"/>
    <w:rsid w:val="0007361F"/>
    <w:rsid w:val="00073771"/>
    <w:rsid w:val="00073DD7"/>
    <w:rsid w:val="00074704"/>
    <w:rsid w:val="00075DE3"/>
    <w:rsid w:val="000769D6"/>
    <w:rsid w:val="000771F2"/>
    <w:rsid w:val="000771FD"/>
    <w:rsid w:val="0007730F"/>
    <w:rsid w:val="000778BC"/>
    <w:rsid w:val="00077EC7"/>
    <w:rsid w:val="00080F79"/>
    <w:rsid w:val="00081475"/>
    <w:rsid w:val="00081CCD"/>
    <w:rsid w:val="00081D82"/>
    <w:rsid w:val="0008222F"/>
    <w:rsid w:val="00082465"/>
    <w:rsid w:val="00082AC1"/>
    <w:rsid w:val="00083008"/>
    <w:rsid w:val="00087179"/>
    <w:rsid w:val="00090449"/>
    <w:rsid w:val="00091728"/>
    <w:rsid w:val="00093B5E"/>
    <w:rsid w:val="00094856"/>
    <w:rsid w:val="0009517C"/>
    <w:rsid w:val="00096321"/>
    <w:rsid w:val="0009660C"/>
    <w:rsid w:val="00096BFB"/>
    <w:rsid w:val="00097683"/>
    <w:rsid w:val="000A04CE"/>
    <w:rsid w:val="000A0930"/>
    <w:rsid w:val="000A095A"/>
    <w:rsid w:val="000A0AF9"/>
    <w:rsid w:val="000A5643"/>
    <w:rsid w:val="000A5EF0"/>
    <w:rsid w:val="000A606E"/>
    <w:rsid w:val="000A632F"/>
    <w:rsid w:val="000B051E"/>
    <w:rsid w:val="000B2560"/>
    <w:rsid w:val="000B383A"/>
    <w:rsid w:val="000B4EAD"/>
    <w:rsid w:val="000B4FB4"/>
    <w:rsid w:val="000B5559"/>
    <w:rsid w:val="000B6105"/>
    <w:rsid w:val="000B7A03"/>
    <w:rsid w:val="000B7B9B"/>
    <w:rsid w:val="000C0388"/>
    <w:rsid w:val="000C03B5"/>
    <w:rsid w:val="000C209A"/>
    <w:rsid w:val="000C3195"/>
    <w:rsid w:val="000C3592"/>
    <w:rsid w:val="000C4CC1"/>
    <w:rsid w:val="000C57D6"/>
    <w:rsid w:val="000C58A3"/>
    <w:rsid w:val="000C5ABF"/>
    <w:rsid w:val="000C5C16"/>
    <w:rsid w:val="000C6921"/>
    <w:rsid w:val="000C6BF3"/>
    <w:rsid w:val="000C70DB"/>
    <w:rsid w:val="000D1C92"/>
    <w:rsid w:val="000D1D41"/>
    <w:rsid w:val="000D269F"/>
    <w:rsid w:val="000D2C4B"/>
    <w:rsid w:val="000D2FE5"/>
    <w:rsid w:val="000D304C"/>
    <w:rsid w:val="000D3E54"/>
    <w:rsid w:val="000D484C"/>
    <w:rsid w:val="000D61DC"/>
    <w:rsid w:val="000D6B8D"/>
    <w:rsid w:val="000D74FB"/>
    <w:rsid w:val="000D777A"/>
    <w:rsid w:val="000D7B28"/>
    <w:rsid w:val="000E0701"/>
    <w:rsid w:val="000E1465"/>
    <w:rsid w:val="000E16F6"/>
    <w:rsid w:val="000E1C78"/>
    <w:rsid w:val="000E2802"/>
    <w:rsid w:val="000E2DB5"/>
    <w:rsid w:val="000E2F38"/>
    <w:rsid w:val="000E3764"/>
    <w:rsid w:val="000E655D"/>
    <w:rsid w:val="000E6CF1"/>
    <w:rsid w:val="000E6D7A"/>
    <w:rsid w:val="000E7194"/>
    <w:rsid w:val="000F0BE7"/>
    <w:rsid w:val="000F0E14"/>
    <w:rsid w:val="000F152D"/>
    <w:rsid w:val="000F20FC"/>
    <w:rsid w:val="000F2E9D"/>
    <w:rsid w:val="000F3480"/>
    <w:rsid w:val="000F3841"/>
    <w:rsid w:val="000F4DD1"/>
    <w:rsid w:val="000F50C8"/>
    <w:rsid w:val="000F56F6"/>
    <w:rsid w:val="000F5867"/>
    <w:rsid w:val="000F5C86"/>
    <w:rsid w:val="000F6034"/>
    <w:rsid w:val="000F6CB5"/>
    <w:rsid w:val="000F6D82"/>
    <w:rsid w:val="000F6F7E"/>
    <w:rsid w:val="000F740F"/>
    <w:rsid w:val="000F7DEB"/>
    <w:rsid w:val="001006C2"/>
    <w:rsid w:val="001027FF"/>
    <w:rsid w:val="00103E11"/>
    <w:rsid w:val="00104246"/>
    <w:rsid w:val="001043D2"/>
    <w:rsid w:val="0010463F"/>
    <w:rsid w:val="00104B8F"/>
    <w:rsid w:val="001068A8"/>
    <w:rsid w:val="00107521"/>
    <w:rsid w:val="001108F1"/>
    <w:rsid w:val="00110D7D"/>
    <w:rsid w:val="00110F4E"/>
    <w:rsid w:val="001116E5"/>
    <w:rsid w:val="001119BC"/>
    <w:rsid w:val="00111FD9"/>
    <w:rsid w:val="00112F30"/>
    <w:rsid w:val="00113386"/>
    <w:rsid w:val="001139AE"/>
    <w:rsid w:val="00114E20"/>
    <w:rsid w:val="00115C1B"/>
    <w:rsid w:val="001167EA"/>
    <w:rsid w:val="00116FA6"/>
    <w:rsid w:val="001170BF"/>
    <w:rsid w:val="00117A78"/>
    <w:rsid w:val="001203B9"/>
    <w:rsid w:val="0012058E"/>
    <w:rsid w:val="00121204"/>
    <w:rsid w:val="001215D1"/>
    <w:rsid w:val="00121839"/>
    <w:rsid w:val="0012306C"/>
    <w:rsid w:val="0012379E"/>
    <w:rsid w:val="00124B57"/>
    <w:rsid w:val="001253C3"/>
    <w:rsid w:val="001270B9"/>
    <w:rsid w:val="00127CC6"/>
    <w:rsid w:val="00127DC3"/>
    <w:rsid w:val="00127F85"/>
    <w:rsid w:val="0013018B"/>
    <w:rsid w:val="0013068F"/>
    <w:rsid w:val="0013099A"/>
    <w:rsid w:val="00131A55"/>
    <w:rsid w:val="00132278"/>
    <w:rsid w:val="00132964"/>
    <w:rsid w:val="00132A0A"/>
    <w:rsid w:val="00132B8D"/>
    <w:rsid w:val="00132E17"/>
    <w:rsid w:val="00132FEC"/>
    <w:rsid w:val="001346DF"/>
    <w:rsid w:val="001349BC"/>
    <w:rsid w:val="001349FC"/>
    <w:rsid w:val="00134ED6"/>
    <w:rsid w:val="00135CA1"/>
    <w:rsid w:val="00140043"/>
    <w:rsid w:val="00140361"/>
    <w:rsid w:val="00141031"/>
    <w:rsid w:val="0014166A"/>
    <w:rsid w:val="001421C6"/>
    <w:rsid w:val="00142F35"/>
    <w:rsid w:val="001431DF"/>
    <w:rsid w:val="00143A10"/>
    <w:rsid w:val="001447D9"/>
    <w:rsid w:val="0014576B"/>
    <w:rsid w:val="00145C4C"/>
    <w:rsid w:val="00145E97"/>
    <w:rsid w:val="00146B35"/>
    <w:rsid w:val="00146CB2"/>
    <w:rsid w:val="00146CB5"/>
    <w:rsid w:val="00147040"/>
    <w:rsid w:val="0015099B"/>
    <w:rsid w:val="001513C1"/>
    <w:rsid w:val="001518B4"/>
    <w:rsid w:val="00152045"/>
    <w:rsid w:val="00152897"/>
    <w:rsid w:val="00152BE4"/>
    <w:rsid w:val="0015373B"/>
    <w:rsid w:val="00154580"/>
    <w:rsid w:val="00155004"/>
    <w:rsid w:val="001557BE"/>
    <w:rsid w:val="001561ED"/>
    <w:rsid w:val="00156CE3"/>
    <w:rsid w:val="00157D74"/>
    <w:rsid w:val="00161975"/>
    <w:rsid w:val="00163A6B"/>
    <w:rsid w:val="00163C11"/>
    <w:rsid w:val="001645D8"/>
    <w:rsid w:val="00164A06"/>
    <w:rsid w:val="00165B31"/>
    <w:rsid w:val="00167FC6"/>
    <w:rsid w:val="0017091F"/>
    <w:rsid w:val="001709EE"/>
    <w:rsid w:val="00171E8C"/>
    <w:rsid w:val="0017224A"/>
    <w:rsid w:val="00172AB1"/>
    <w:rsid w:val="00172AF2"/>
    <w:rsid w:val="00172C7C"/>
    <w:rsid w:val="00173742"/>
    <w:rsid w:val="00173E90"/>
    <w:rsid w:val="00173EBC"/>
    <w:rsid w:val="001742D7"/>
    <w:rsid w:val="00174C2D"/>
    <w:rsid w:val="0017558F"/>
    <w:rsid w:val="001769E5"/>
    <w:rsid w:val="00177862"/>
    <w:rsid w:val="0017786A"/>
    <w:rsid w:val="00177C40"/>
    <w:rsid w:val="001810FE"/>
    <w:rsid w:val="00183286"/>
    <w:rsid w:val="001834A0"/>
    <w:rsid w:val="001834EB"/>
    <w:rsid w:val="00183FA4"/>
    <w:rsid w:val="00184A64"/>
    <w:rsid w:val="00185ED4"/>
    <w:rsid w:val="00186CA1"/>
    <w:rsid w:val="0018705D"/>
    <w:rsid w:val="0018755B"/>
    <w:rsid w:val="0018758C"/>
    <w:rsid w:val="00187648"/>
    <w:rsid w:val="00190D7E"/>
    <w:rsid w:val="00190E8F"/>
    <w:rsid w:val="00192FFA"/>
    <w:rsid w:val="00194702"/>
    <w:rsid w:val="00195276"/>
    <w:rsid w:val="00195725"/>
    <w:rsid w:val="00196BD4"/>
    <w:rsid w:val="001A17B9"/>
    <w:rsid w:val="001A4878"/>
    <w:rsid w:val="001A4ABF"/>
    <w:rsid w:val="001A4E88"/>
    <w:rsid w:val="001A5D3B"/>
    <w:rsid w:val="001A5EBF"/>
    <w:rsid w:val="001A6C82"/>
    <w:rsid w:val="001A7E89"/>
    <w:rsid w:val="001B03F2"/>
    <w:rsid w:val="001B0CE5"/>
    <w:rsid w:val="001B14DD"/>
    <w:rsid w:val="001B1B4D"/>
    <w:rsid w:val="001B2E04"/>
    <w:rsid w:val="001B3220"/>
    <w:rsid w:val="001B3B0D"/>
    <w:rsid w:val="001B4FC8"/>
    <w:rsid w:val="001B53DD"/>
    <w:rsid w:val="001B5878"/>
    <w:rsid w:val="001B5B10"/>
    <w:rsid w:val="001B7520"/>
    <w:rsid w:val="001C0F7C"/>
    <w:rsid w:val="001C1363"/>
    <w:rsid w:val="001C19A9"/>
    <w:rsid w:val="001C25F5"/>
    <w:rsid w:val="001C2F45"/>
    <w:rsid w:val="001C3049"/>
    <w:rsid w:val="001C37A6"/>
    <w:rsid w:val="001C45C8"/>
    <w:rsid w:val="001C4D60"/>
    <w:rsid w:val="001C5201"/>
    <w:rsid w:val="001C533D"/>
    <w:rsid w:val="001C5B0D"/>
    <w:rsid w:val="001C63E2"/>
    <w:rsid w:val="001C6575"/>
    <w:rsid w:val="001C6CCA"/>
    <w:rsid w:val="001D0895"/>
    <w:rsid w:val="001D1660"/>
    <w:rsid w:val="001D1E68"/>
    <w:rsid w:val="001D3354"/>
    <w:rsid w:val="001D34CC"/>
    <w:rsid w:val="001D3AE2"/>
    <w:rsid w:val="001D3D38"/>
    <w:rsid w:val="001D420B"/>
    <w:rsid w:val="001D4B5D"/>
    <w:rsid w:val="001D5DEE"/>
    <w:rsid w:val="001D6BE1"/>
    <w:rsid w:val="001E184E"/>
    <w:rsid w:val="001E1AC8"/>
    <w:rsid w:val="001E1EAC"/>
    <w:rsid w:val="001E292C"/>
    <w:rsid w:val="001E350E"/>
    <w:rsid w:val="001E3C9A"/>
    <w:rsid w:val="001E4C08"/>
    <w:rsid w:val="001E4DC1"/>
    <w:rsid w:val="001E539C"/>
    <w:rsid w:val="001E55F8"/>
    <w:rsid w:val="001E5D6A"/>
    <w:rsid w:val="001E5FA6"/>
    <w:rsid w:val="001E6044"/>
    <w:rsid w:val="001E6102"/>
    <w:rsid w:val="001E79DD"/>
    <w:rsid w:val="001F0620"/>
    <w:rsid w:val="001F0DD6"/>
    <w:rsid w:val="001F100F"/>
    <w:rsid w:val="001F187B"/>
    <w:rsid w:val="001F2685"/>
    <w:rsid w:val="001F2769"/>
    <w:rsid w:val="001F2C6F"/>
    <w:rsid w:val="001F4E93"/>
    <w:rsid w:val="001F5092"/>
    <w:rsid w:val="001F57F2"/>
    <w:rsid w:val="001F6078"/>
    <w:rsid w:val="001F66A2"/>
    <w:rsid w:val="001F6E4E"/>
    <w:rsid w:val="001F77A4"/>
    <w:rsid w:val="001F7944"/>
    <w:rsid w:val="001F7AFF"/>
    <w:rsid w:val="00200F2A"/>
    <w:rsid w:val="00201B4C"/>
    <w:rsid w:val="0020297F"/>
    <w:rsid w:val="00203D08"/>
    <w:rsid w:val="00206556"/>
    <w:rsid w:val="00207148"/>
    <w:rsid w:val="002071CB"/>
    <w:rsid w:val="002074A1"/>
    <w:rsid w:val="00210707"/>
    <w:rsid w:val="00211E34"/>
    <w:rsid w:val="00211F51"/>
    <w:rsid w:val="002132A8"/>
    <w:rsid w:val="002139EC"/>
    <w:rsid w:val="00215F66"/>
    <w:rsid w:val="00216F4A"/>
    <w:rsid w:val="002176A8"/>
    <w:rsid w:val="00217A46"/>
    <w:rsid w:val="00217C90"/>
    <w:rsid w:val="00217CB8"/>
    <w:rsid w:val="00220161"/>
    <w:rsid w:val="002212C0"/>
    <w:rsid w:val="00221835"/>
    <w:rsid w:val="002225D7"/>
    <w:rsid w:val="00223E03"/>
    <w:rsid w:val="002240DF"/>
    <w:rsid w:val="0022420A"/>
    <w:rsid w:val="00225F95"/>
    <w:rsid w:val="00226417"/>
    <w:rsid w:val="002270BB"/>
    <w:rsid w:val="00227218"/>
    <w:rsid w:val="0022754E"/>
    <w:rsid w:val="0023094F"/>
    <w:rsid w:val="00231086"/>
    <w:rsid w:val="00231BD6"/>
    <w:rsid w:val="00231E62"/>
    <w:rsid w:val="00231F1F"/>
    <w:rsid w:val="002320F2"/>
    <w:rsid w:val="002324BC"/>
    <w:rsid w:val="00232C89"/>
    <w:rsid w:val="00233C3F"/>
    <w:rsid w:val="00234274"/>
    <w:rsid w:val="00234D27"/>
    <w:rsid w:val="00234F72"/>
    <w:rsid w:val="00236933"/>
    <w:rsid w:val="00236EB0"/>
    <w:rsid w:val="00237BD8"/>
    <w:rsid w:val="002420A9"/>
    <w:rsid w:val="00243102"/>
    <w:rsid w:val="0024352B"/>
    <w:rsid w:val="00243F52"/>
    <w:rsid w:val="0024550A"/>
    <w:rsid w:val="00245FAC"/>
    <w:rsid w:val="0024635E"/>
    <w:rsid w:val="002464A5"/>
    <w:rsid w:val="00246BE8"/>
    <w:rsid w:val="002470BD"/>
    <w:rsid w:val="00247FD5"/>
    <w:rsid w:val="002501BF"/>
    <w:rsid w:val="002504DF"/>
    <w:rsid w:val="00250E1E"/>
    <w:rsid w:val="00251B81"/>
    <w:rsid w:val="00252006"/>
    <w:rsid w:val="0025391C"/>
    <w:rsid w:val="00253A9B"/>
    <w:rsid w:val="00253DC9"/>
    <w:rsid w:val="00253F45"/>
    <w:rsid w:val="002545BE"/>
    <w:rsid w:val="002546BA"/>
    <w:rsid w:val="00254CBD"/>
    <w:rsid w:val="00254FBB"/>
    <w:rsid w:val="00255724"/>
    <w:rsid w:val="002559F8"/>
    <w:rsid w:val="00255F77"/>
    <w:rsid w:val="00260961"/>
    <w:rsid w:val="00262137"/>
    <w:rsid w:val="00262208"/>
    <w:rsid w:val="00262B6F"/>
    <w:rsid w:val="002632AD"/>
    <w:rsid w:val="00263350"/>
    <w:rsid w:val="00263575"/>
    <w:rsid w:val="0026435E"/>
    <w:rsid w:val="00264B3D"/>
    <w:rsid w:val="00265D62"/>
    <w:rsid w:val="0026708F"/>
    <w:rsid w:val="0026754E"/>
    <w:rsid w:val="00267E33"/>
    <w:rsid w:val="00271317"/>
    <w:rsid w:val="00271761"/>
    <w:rsid w:val="00272BD1"/>
    <w:rsid w:val="00274FCD"/>
    <w:rsid w:val="002752D7"/>
    <w:rsid w:val="002755CC"/>
    <w:rsid w:val="00275668"/>
    <w:rsid w:val="002757F5"/>
    <w:rsid w:val="00275F39"/>
    <w:rsid w:val="00276079"/>
    <w:rsid w:val="0027608F"/>
    <w:rsid w:val="0028014B"/>
    <w:rsid w:val="00280F2B"/>
    <w:rsid w:val="00281464"/>
    <w:rsid w:val="002820C5"/>
    <w:rsid w:val="002821C7"/>
    <w:rsid w:val="00282558"/>
    <w:rsid w:val="002828A6"/>
    <w:rsid w:val="002840E4"/>
    <w:rsid w:val="00285857"/>
    <w:rsid w:val="002858D3"/>
    <w:rsid w:val="00286B1C"/>
    <w:rsid w:val="00286D84"/>
    <w:rsid w:val="00287B66"/>
    <w:rsid w:val="0029071F"/>
    <w:rsid w:val="0029164B"/>
    <w:rsid w:val="00291809"/>
    <w:rsid w:val="00291A24"/>
    <w:rsid w:val="002934A0"/>
    <w:rsid w:val="002947D9"/>
    <w:rsid w:val="00295E42"/>
    <w:rsid w:val="0029643C"/>
    <w:rsid w:val="00296900"/>
    <w:rsid w:val="00296A09"/>
    <w:rsid w:val="00297E18"/>
    <w:rsid w:val="002A220F"/>
    <w:rsid w:val="002A227B"/>
    <w:rsid w:val="002A22AC"/>
    <w:rsid w:val="002A36ED"/>
    <w:rsid w:val="002A3813"/>
    <w:rsid w:val="002A3AF4"/>
    <w:rsid w:val="002A42CE"/>
    <w:rsid w:val="002A5200"/>
    <w:rsid w:val="002A549D"/>
    <w:rsid w:val="002A697B"/>
    <w:rsid w:val="002A7AE1"/>
    <w:rsid w:val="002B012F"/>
    <w:rsid w:val="002B1324"/>
    <w:rsid w:val="002B1E25"/>
    <w:rsid w:val="002B1E89"/>
    <w:rsid w:val="002B1FDE"/>
    <w:rsid w:val="002B2FA1"/>
    <w:rsid w:val="002B3280"/>
    <w:rsid w:val="002B3830"/>
    <w:rsid w:val="002B3FE4"/>
    <w:rsid w:val="002B5193"/>
    <w:rsid w:val="002B5247"/>
    <w:rsid w:val="002B5DC6"/>
    <w:rsid w:val="002B620C"/>
    <w:rsid w:val="002B706E"/>
    <w:rsid w:val="002B7087"/>
    <w:rsid w:val="002C110C"/>
    <w:rsid w:val="002C1698"/>
    <w:rsid w:val="002C1F63"/>
    <w:rsid w:val="002C21DF"/>
    <w:rsid w:val="002C2B8C"/>
    <w:rsid w:val="002C4293"/>
    <w:rsid w:val="002C44BA"/>
    <w:rsid w:val="002C4635"/>
    <w:rsid w:val="002C5736"/>
    <w:rsid w:val="002C6239"/>
    <w:rsid w:val="002C6909"/>
    <w:rsid w:val="002C795F"/>
    <w:rsid w:val="002D017B"/>
    <w:rsid w:val="002D091C"/>
    <w:rsid w:val="002D171F"/>
    <w:rsid w:val="002D1CF1"/>
    <w:rsid w:val="002D1D7F"/>
    <w:rsid w:val="002D449F"/>
    <w:rsid w:val="002D75E2"/>
    <w:rsid w:val="002E2DDD"/>
    <w:rsid w:val="002E3246"/>
    <w:rsid w:val="002E32B3"/>
    <w:rsid w:val="002E4E70"/>
    <w:rsid w:val="002E586F"/>
    <w:rsid w:val="002E61DA"/>
    <w:rsid w:val="002E69BC"/>
    <w:rsid w:val="002E7716"/>
    <w:rsid w:val="002E7908"/>
    <w:rsid w:val="002E7BB5"/>
    <w:rsid w:val="002F1E7D"/>
    <w:rsid w:val="002F21B3"/>
    <w:rsid w:val="002F4D30"/>
    <w:rsid w:val="002F4D65"/>
    <w:rsid w:val="002F6237"/>
    <w:rsid w:val="002F71F0"/>
    <w:rsid w:val="002F7D47"/>
    <w:rsid w:val="003003B5"/>
    <w:rsid w:val="00300995"/>
    <w:rsid w:val="00300E66"/>
    <w:rsid w:val="003024A1"/>
    <w:rsid w:val="003024F3"/>
    <w:rsid w:val="0030286A"/>
    <w:rsid w:val="00302C23"/>
    <w:rsid w:val="003037AD"/>
    <w:rsid w:val="00304BA7"/>
    <w:rsid w:val="00305549"/>
    <w:rsid w:val="003059CD"/>
    <w:rsid w:val="00305B0D"/>
    <w:rsid w:val="00305FEE"/>
    <w:rsid w:val="0031097C"/>
    <w:rsid w:val="00311366"/>
    <w:rsid w:val="003127D1"/>
    <w:rsid w:val="00312E7C"/>
    <w:rsid w:val="0031381E"/>
    <w:rsid w:val="00313C2C"/>
    <w:rsid w:val="00313CC8"/>
    <w:rsid w:val="0031434D"/>
    <w:rsid w:val="00314B34"/>
    <w:rsid w:val="00314CB3"/>
    <w:rsid w:val="00314E83"/>
    <w:rsid w:val="0031759A"/>
    <w:rsid w:val="0032581E"/>
    <w:rsid w:val="00325E95"/>
    <w:rsid w:val="00326BDC"/>
    <w:rsid w:val="00330036"/>
    <w:rsid w:val="00330539"/>
    <w:rsid w:val="003306B6"/>
    <w:rsid w:val="00330B52"/>
    <w:rsid w:val="00330C10"/>
    <w:rsid w:val="00330F52"/>
    <w:rsid w:val="00330FA4"/>
    <w:rsid w:val="00333316"/>
    <w:rsid w:val="003343A3"/>
    <w:rsid w:val="00334794"/>
    <w:rsid w:val="00340F8B"/>
    <w:rsid w:val="00341957"/>
    <w:rsid w:val="00341AB8"/>
    <w:rsid w:val="00343326"/>
    <w:rsid w:val="00343BE3"/>
    <w:rsid w:val="0034416A"/>
    <w:rsid w:val="00344CA7"/>
    <w:rsid w:val="00346816"/>
    <w:rsid w:val="00347912"/>
    <w:rsid w:val="00351054"/>
    <w:rsid w:val="0035149D"/>
    <w:rsid w:val="00351B25"/>
    <w:rsid w:val="00351F25"/>
    <w:rsid w:val="00353DEC"/>
    <w:rsid w:val="003541FB"/>
    <w:rsid w:val="00354A6A"/>
    <w:rsid w:val="0035519E"/>
    <w:rsid w:val="0035638C"/>
    <w:rsid w:val="003565C1"/>
    <w:rsid w:val="00360241"/>
    <w:rsid w:val="00360B86"/>
    <w:rsid w:val="0036148B"/>
    <w:rsid w:val="00361A86"/>
    <w:rsid w:val="00362B84"/>
    <w:rsid w:val="00362ECA"/>
    <w:rsid w:val="0036390D"/>
    <w:rsid w:val="00364AB4"/>
    <w:rsid w:val="003657EC"/>
    <w:rsid w:val="00365A38"/>
    <w:rsid w:val="00365C82"/>
    <w:rsid w:val="003679F5"/>
    <w:rsid w:val="00367C3F"/>
    <w:rsid w:val="00367DF7"/>
    <w:rsid w:val="00370084"/>
    <w:rsid w:val="0037027B"/>
    <w:rsid w:val="00370E07"/>
    <w:rsid w:val="00370FE3"/>
    <w:rsid w:val="00371CDF"/>
    <w:rsid w:val="0037245B"/>
    <w:rsid w:val="003729D2"/>
    <w:rsid w:val="00372A11"/>
    <w:rsid w:val="00373EE6"/>
    <w:rsid w:val="00374482"/>
    <w:rsid w:val="00375F79"/>
    <w:rsid w:val="003774FA"/>
    <w:rsid w:val="00377903"/>
    <w:rsid w:val="00377B88"/>
    <w:rsid w:val="00377D9F"/>
    <w:rsid w:val="00381156"/>
    <w:rsid w:val="0038269B"/>
    <w:rsid w:val="00382DCB"/>
    <w:rsid w:val="00383B03"/>
    <w:rsid w:val="0038417D"/>
    <w:rsid w:val="003846D4"/>
    <w:rsid w:val="00384F8D"/>
    <w:rsid w:val="00385184"/>
    <w:rsid w:val="0038546A"/>
    <w:rsid w:val="00385798"/>
    <w:rsid w:val="00385972"/>
    <w:rsid w:val="00385FA1"/>
    <w:rsid w:val="00386515"/>
    <w:rsid w:val="00386A3A"/>
    <w:rsid w:val="00386B35"/>
    <w:rsid w:val="00390DE9"/>
    <w:rsid w:val="00391250"/>
    <w:rsid w:val="00391A17"/>
    <w:rsid w:val="0039208B"/>
    <w:rsid w:val="0039311E"/>
    <w:rsid w:val="0039335F"/>
    <w:rsid w:val="0039471F"/>
    <w:rsid w:val="003964C2"/>
    <w:rsid w:val="003A03A1"/>
    <w:rsid w:val="003A06C7"/>
    <w:rsid w:val="003A0CEF"/>
    <w:rsid w:val="003A1494"/>
    <w:rsid w:val="003A17DF"/>
    <w:rsid w:val="003A2538"/>
    <w:rsid w:val="003A3948"/>
    <w:rsid w:val="003A482F"/>
    <w:rsid w:val="003A59CF"/>
    <w:rsid w:val="003A5A24"/>
    <w:rsid w:val="003A5EC7"/>
    <w:rsid w:val="003A5F0A"/>
    <w:rsid w:val="003A60E3"/>
    <w:rsid w:val="003A6B4D"/>
    <w:rsid w:val="003B015C"/>
    <w:rsid w:val="003B1D87"/>
    <w:rsid w:val="003B29A6"/>
    <w:rsid w:val="003B2D60"/>
    <w:rsid w:val="003B3BF5"/>
    <w:rsid w:val="003B4777"/>
    <w:rsid w:val="003B4A59"/>
    <w:rsid w:val="003B5D07"/>
    <w:rsid w:val="003B68E5"/>
    <w:rsid w:val="003B702D"/>
    <w:rsid w:val="003C01FF"/>
    <w:rsid w:val="003C02A1"/>
    <w:rsid w:val="003C0AC2"/>
    <w:rsid w:val="003C16AA"/>
    <w:rsid w:val="003C1856"/>
    <w:rsid w:val="003C1D6C"/>
    <w:rsid w:val="003C2EEE"/>
    <w:rsid w:val="003C418C"/>
    <w:rsid w:val="003C4EAD"/>
    <w:rsid w:val="003C5002"/>
    <w:rsid w:val="003C59AE"/>
    <w:rsid w:val="003C5F6D"/>
    <w:rsid w:val="003C72FE"/>
    <w:rsid w:val="003C732B"/>
    <w:rsid w:val="003C7424"/>
    <w:rsid w:val="003C79E5"/>
    <w:rsid w:val="003D11CA"/>
    <w:rsid w:val="003D12E1"/>
    <w:rsid w:val="003D17DC"/>
    <w:rsid w:val="003D194D"/>
    <w:rsid w:val="003D1C64"/>
    <w:rsid w:val="003D1C6F"/>
    <w:rsid w:val="003D22E3"/>
    <w:rsid w:val="003D24CC"/>
    <w:rsid w:val="003D2E1E"/>
    <w:rsid w:val="003D32E2"/>
    <w:rsid w:val="003D5373"/>
    <w:rsid w:val="003D6B58"/>
    <w:rsid w:val="003D719A"/>
    <w:rsid w:val="003D7FE8"/>
    <w:rsid w:val="003E3702"/>
    <w:rsid w:val="003E3F00"/>
    <w:rsid w:val="003E4561"/>
    <w:rsid w:val="003E498F"/>
    <w:rsid w:val="003E4DFE"/>
    <w:rsid w:val="003E59A1"/>
    <w:rsid w:val="003E5ACF"/>
    <w:rsid w:val="003E5FE3"/>
    <w:rsid w:val="003E736D"/>
    <w:rsid w:val="003E7849"/>
    <w:rsid w:val="003E7B9A"/>
    <w:rsid w:val="003E7C70"/>
    <w:rsid w:val="003F1336"/>
    <w:rsid w:val="003F211A"/>
    <w:rsid w:val="003F24EA"/>
    <w:rsid w:val="003F2A10"/>
    <w:rsid w:val="003F36CC"/>
    <w:rsid w:val="003F4578"/>
    <w:rsid w:val="003F54AC"/>
    <w:rsid w:val="003F54FF"/>
    <w:rsid w:val="003F6F70"/>
    <w:rsid w:val="003F7D8F"/>
    <w:rsid w:val="00400B2C"/>
    <w:rsid w:val="00400B60"/>
    <w:rsid w:val="00400C14"/>
    <w:rsid w:val="00400F8F"/>
    <w:rsid w:val="004014A1"/>
    <w:rsid w:val="00402DD1"/>
    <w:rsid w:val="00402F48"/>
    <w:rsid w:val="00405FE1"/>
    <w:rsid w:val="004061CC"/>
    <w:rsid w:val="004064CB"/>
    <w:rsid w:val="00406DA8"/>
    <w:rsid w:val="00406F9C"/>
    <w:rsid w:val="00407B08"/>
    <w:rsid w:val="00410177"/>
    <w:rsid w:val="00411771"/>
    <w:rsid w:val="0041246D"/>
    <w:rsid w:val="00412481"/>
    <w:rsid w:val="0041263E"/>
    <w:rsid w:val="00412CB1"/>
    <w:rsid w:val="004142DD"/>
    <w:rsid w:val="004142F4"/>
    <w:rsid w:val="00414627"/>
    <w:rsid w:val="00414773"/>
    <w:rsid w:val="00414E71"/>
    <w:rsid w:val="00414F1A"/>
    <w:rsid w:val="0041561A"/>
    <w:rsid w:val="0041602E"/>
    <w:rsid w:val="00416B2F"/>
    <w:rsid w:val="00416BF0"/>
    <w:rsid w:val="004178E5"/>
    <w:rsid w:val="00417E83"/>
    <w:rsid w:val="004202FC"/>
    <w:rsid w:val="00420491"/>
    <w:rsid w:val="00421816"/>
    <w:rsid w:val="00423467"/>
    <w:rsid w:val="00423BDE"/>
    <w:rsid w:val="004241E8"/>
    <w:rsid w:val="004249B7"/>
    <w:rsid w:val="00424C61"/>
    <w:rsid w:val="0042588D"/>
    <w:rsid w:val="00425BE4"/>
    <w:rsid w:val="00425BEB"/>
    <w:rsid w:val="004275F8"/>
    <w:rsid w:val="00427CCD"/>
    <w:rsid w:val="00430663"/>
    <w:rsid w:val="0043138D"/>
    <w:rsid w:val="00431572"/>
    <w:rsid w:val="00431C31"/>
    <w:rsid w:val="00432DB7"/>
    <w:rsid w:val="00432FBF"/>
    <w:rsid w:val="00433B51"/>
    <w:rsid w:val="00436BDB"/>
    <w:rsid w:val="00436DB4"/>
    <w:rsid w:val="00437B74"/>
    <w:rsid w:val="004416BF"/>
    <w:rsid w:val="00441A8F"/>
    <w:rsid w:val="004423B2"/>
    <w:rsid w:val="0044492A"/>
    <w:rsid w:val="00444BD8"/>
    <w:rsid w:val="00444F96"/>
    <w:rsid w:val="00445FFC"/>
    <w:rsid w:val="004462BD"/>
    <w:rsid w:val="004463C6"/>
    <w:rsid w:val="0044721A"/>
    <w:rsid w:val="0045038F"/>
    <w:rsid w:val="00451462"/>
    <w:rsid w:val="00452560"/>
    <w:rsid w:val="0045265F"/>
    <w:rsid w:val="00452881"/>
    <w:rsid w:val="00452DD8"/>
    <w:rsid w:val="004533A2"/>
    <w:rsid w:val="0045360B"/>
    <w:rsid w:val="004557E3"/>
    <w:rsid w:val="00455E18"/>
    <w:rsid w:val="00455E48"/>
    <w:rsid w:val="00455F65"/>
    <w:rsid w:val="00457150"/>
    <w:rsid w:val="00457533"/>
    <w:rsid w:val="00457981"/>
    <w:rsid w:val="00457F68"/>
    <w:rsid w:val="0046100B"/>
    <w:rsid w:val="00462683"/>
    <w:rsid w:val="00462C88"/>
    <w:rsid w:val="00463008"/>
    <w:rsid w:val="004636C5"/>
    <w:rsid w:val="004643F9"/>
    <w:rsid w:val="00464E51"/>
    <w:rsid w:val="00465B9A"/>
    <w:rsid w:val="004666E6"/>
    <w:rsid w:val="00466D28"/>
    <w:rsid w:val="00466F2A"/>
    <w:rsid w:val="004713CB"/>
    <w:rsid w:val="00472F54"/>
    <w:rsid w:val="004736A3"/>
    <w:rsid w:val="00473FE5"/>
    <w:rsid w:val="004755FD"/>
    <w:rsid w:val="00475B7C"/>
    <w:rsid w:val="00476DD2"/>
    <w:rsid w:val="004801A0"/>
    <w:rsid w:val="00480294"/>
    <w:rsid w:val="004805AE"/>
    <w:rsid w:val="0048134E"/>
    <w:rsid w:val="00482974"/>
    <w:rsid w:val="0048328B"/>
    <w:rsid w:val="00483D6D"/>
    <w:rsid w:val="0048405E"/>
    <w:rsid w:val="00484512"/>
    <w:rsid w:val="00484ADA"/>
    <w:rsid w:val="0048606B"/>
    <w:rsid w:val="00486CD5"/>
    <w:rsid w:val="00486F87"/>
    <w:rsid w:val="0049066B"/>
    <w:rsid w:val="00490A22"/>
    <w:rsid w:val="00490E3B"/>
    <w:rsid w:val="00490EA9"/>
    <w:rsid w:val="0049123A"/>
    <w:rsid w:val="00491A60"/>
    <w:rsid w:val="0049237A"/>
    <w:rsid w:val="004930CA"/>
    <w:rsid w:val="00494E72"/>
    <w:rsid w:val="00495C83"/>
    <w:rsid w:val="00495EDC"/>
    <w:rsid w:val="00496B16"/>
    <w:rsid w:val="00497302"/>
    <w:rsid w:val="00497B86"/>
    <w:rsid w:val="004A01FB"/>
    <w:rsid w:val="004A036A"/>
    <w:rsid w:val="004A0795"/>
    <w:rsid w:val="004A0ECC"/>
    <w:rsid w:val="004A2CD6"/>
    <w:rsid w:val="004A2EB8"/>
    <w:rsid w:val="004A36B2"/>
    <w:rsid w:val="004A383A"/>
    <w:rsid w:val="004A4856"/>
    <w:rsid w:val="004A4AEF"/>
    <w:rsid w:val="004A5695"/>
    <w:rsid w:val="004A57E3"/>
    <w:rsid w:val="004A5803"/>
    <w:rsid w:val="004A5B35"/>
    <w:rsid w:val="004A5C44"/>
    <w:rsid w:val="004A5F99"/>
    <w:rsid w:val="004A734E"/>
    <w:rsid w:val="004B1661"/>
    <w:rsid w:val="004B16A7"/>
    <w:rsid w:val="004B1853"/>
    <w:rsid w:val="004B1CF5"/>
    <w:rsid w:val="004B2B51"/>
    <w:rsid w:val="004B49B3"/>
    <w:rsid w:val="004B650D"/>
    <w:rsid w:val="004B68FC"/>
    <w:rsid w:val="004B7941"/>
    <w:rsid w:val="004B7F26"/>
    <w:rsid w:val="004C05C9"/>
    <w:rsid w:val="004C107D"/>
    <w:rsid w:val="004C1803"/>
    <w:rsid w:val="004C1DA8"/>
    <w:rsid w:val="004C2A55"/>
    <w:rsid w:val="004C32FD"/>
    <w:rsid w:val="004C37A0"/>
    <w:rsid w:val="004C3BD8"/>
    <w:rsid w:val="004C3C0C"/>
    <w:rsid w:val="004C54F2"/>
    <w:rsid w:val="004C55E9"/>
    <w:rsid w:val="004C57F5"/>
    <w:rsid w:val="004C5E26"/>
    <w:rsid w:val="004C6089"/>
    <w:rsid w:val="004C676F"/>
    <w:rsid w:val="004D0CE4"/>
    <w:rsid w:val="004D147D"/>
    <w:rsid w:val="004D2175"/>
    <w:rsid w:val="004D2DC1"/>
    <w:rsid w:val="004D3792"/>
    <w:rsid w:val="004D3A8D"/>
    <w:rsid w:val="004D3EEC"/>
    <w:rsid w:val="004D42EB"/>
    <w:rsid w:val="004D4313"/>
    <w:rsid w:val="004D45B8"/>
    <w:rsid w:val="004D4B76"/>
    <w:rsid w:val="004D5055"/>
    <w:rsid w:val="004D5084"/>
    <w:rsid w:val="004D5BF7"/>
    <w:rsid w:val="004D64FC"/>
    <w:rsid w:val="004D67EC"/>
    <w:rsid w:val="004D6FF9"/>
    <w:rsid w:val="004D72AD"/>
    <w:rsid w:val="004D78FF"/>
    <w:rsid w:val="004E046B"/>
    <w:rsid w:val="004E10CD"/>
    <w:rsid w:val="004E13E5"/>
    <w:rsid w:val="004E2D1B"/>
    <w:rsid w:val="004E31E6"/>
    <w:rsid w:val="004E3E86"/>
    <w:rsid w:val="004E41A5"/>
    <w:rsid w:val="004E43D0"/>
    <w:rsid w:val="004E4CC0"/>
    <w:rsid w:val="004E52FC"/>
    <w:rsid w:val="004E584A"/>
    <w:rsid w:val="004E6E30"/>
    <w:rsid w:val="004E7E41"/>
    <w:rsid w:val="004F0324"/>
    <w:rsid w:val="004F0676"/>
    <w:rsid w:val="004F0887"/>
    <w:rsid w:val="004F133A"/>
    <w:rsid w:val="004F19AA"/>
    <w:rsid w:val="004F2D13"/>
    <w:rsid w:val="004F3FB7"/>
    <w:rsid w:val="004F4815"/>
    <w:rsid w:val="004F4A86"/>
    <w:rsid w:val="004F4C24"/>
    <w:rsid w:val="004F60EB"/>
    <w:rsid w:val="004F628C"/>
    <w:rsid w:val="004F67CB"/>
    <w:rsid w:val="00502299"/>
    <w:rsid w:val="00502726"/>
    <w:rsid w:val="00503E8B"/>
    <w:rsid w:val="00503F54"/>
    <w:rsid w:val="00506175"/>
    <w:rsid w:val="005063BE"/>
    <w:rsid w:val="00506E85"/>
    <w:rsid w:val="00507767"/>
    <w:rsid w:val="005079AC"/>
    <w:rsid w:val="0051094D"/>
    <w:rsid w:val="005111BA"/>
    <w:rsid w:val="00512DCE"/>
    <w:rsid w:val="00513ABF"/>
    <w:rsid w:val="00513EE3"/>
    <w:rsid w:val="0051444E"/>
    <w:rsid w:val="00514BBB"/>
    <w:rsid w:val="00514FAE"/>
    <w:rsid w:val="0051524A"/>
    <w:rsid w:val="00515A31"/>
    <w:rsid w:val="00516079"/>
    <w:rsid w:val="00516E5A"/>
    <w:rsid w:val="00516EE8"/>
    <w:rsid w:val="00520297"/>
    <w:rsid w:val="0052076A"/>
    <w:rsid w:val="00523076"/>
    <w:rsid w:val="00523B06"/>
    <w:rsid w:val="00525AB8"/>
    <w:rsid w:val="00525CC2"/>
    <w:rsid w:val="0052620B"/>
    <w:rsid w:val="00526756"/>
    <w:rsid w:val="00527225"/>
    <w:rsid w:val="005319D6"/>
    <w:rsid w:val="00531E37"/>
    <w:rsid w:val="00532CE7"/>
    <w:rsid w:val="0053312D"/>
    <w:rsid w:val="00533347"/>
    <w:rsid w:val="00533EE0"/>
    <w:rsid w:val="00534056"/>
    <w:rsid w:val="00535BD5"/>
    <w:rsid w:val="00536F6E"/>
    <w:rsid w:val="0053719B"/>
    <w:rsid w:val="00540065"/>
    <w:rsid w:val="005403E9"/>
    <w:rsid w:val="00541E05"/>
    <w:rsid w:val="005422E1"/>
    <w:rsid w:val="00543B52"/>
    <w:rsid w:val="00544046"/>
    <w:rsid w:val="00545631"/>
    <w:rsid w:val="00546571"/>
    <w:rsid w:val="00547546"/>
    <w:rsid w:val="00551AB9"/>
    <w:rsid w:val="00551D8B"/>
    <w:rsid w:val="00551F02"/>
    <w:rsid w:val="005527D5"/>
    <w:rsid w:val="00552896"/>
    <w:rsid w:val="00552D24"/>
    <w:rsid w:val="00557431"/>
    <w:rsid w:val="005600B1"/>
    <w:rsid w:val="005602F9"/>
    <w:rsid w:val="005609EA"/>
    <w:rsid w:val="00560B49"/>
    <w:rsid w:val="00560E2C"/>
    <w:rsid w:val="00560EA0"/>
    <w:rsid w:val="005610F2"/>
    <w:rsid w:val="0056218D"/>
    <w:rsid w:val="00562A5E"/>
    <w:rsid w:val="00563C19"/>
    <w:rsid w:val="005652C3"/>
    <w:rsid w:val="00566815"/>
    <w:rsid w:val="005676A3"/>
    <w:rsid w:val="005708C6"/>
    <w:rsid w:val="00571EBD"/>
    <w:rsid w:val="00572C8F"/>
    <w:rsid w:val="00574044"/>
    <w:rsid w:val="00574867"/>
    <w:rsid w:val="005756A9"/>
    <w:rsid w:val="00575F4F"/>
    <w:rsid w:val="00576ADA"/>
    <w:rsid w:val="00577FAF"/>
    <w:rsid w:val="00581849"/>
    <w:rsid w:val="0058272D"/>
    <w:rsid w:val="00582869"/>
    <w:rsid w:val="00583D10"/>
    <w:rsid w:val="00584267"/>
    <w:rsid w:val="00584F2B"/>
    <w:rsid w:val="00585016"/>
    <w:rsid w:val="0058570A"/>
    <w:rsid w:val="00587BFB"/>
    <w:rsid w:val="00591393"/>
    <w:rsid w:val="005916B5"/>
    <w:rsid w:val="005928B2"/>
    <w:rsid w:val="005937A7"/>
    <w:rsid w:val="005951F8"/>
    <w:rsid w:val="005973A3"/>
    <w:rsid w:val="00597D50"/>
    <w:rsid w:val="005A04E6"/>
    <w:rsid w:val="005A0766"/>
    <w:rsid w:val="005A1DE5"/>
    <w:rsid w:val="005A20C0"/>
    <w:rsid w:val="005A248C"/>
    <w:rsid w:val="005A3F17"/>
    <w:rsid w:val="005A3F86"/>
    <w:rsid w:val="005A4707"/>
    <w:rsid w:val="005A49C9"/>
    <w:rsid w:val="005A4C5A"/>
    <w:rsid w:val="005A51F6"/>
    <w:rsid w:val="005A5335"/>
    <w:rsid w:val="005A5E74"/>
    <w:rsid w:val="005A5EA4"/>
    <w:rsid w:val="005A69D5"/>
    <w:rsid w:val="005A6D63"/>
    <w:rsid w:val="005A71FD"/>
    <w:rsid w:val="005A7763"/>
    <w:rsid w:val="005A7C7E"/>
    <w:rsid w:val="005B037A"/>
    <w:rsid w:val="005B15D0"/>
    <w:rsid w:val="005B1B37"/>
    <w:rsid w:val="005B1FCB"/>
    <w:rsid w:val="005B5F6C"/>
    <w:rsid w:val="005B70F9"/>
    <w:rsid w:val="005B72F7"/>
    <w:rsid w:val="005B7492"/>
    <w:rsid w:val="005B7657"/>
    <w:rsid w:val="005C032C"/>
    <w:rsid w:val="005C2582"/>
    <w:rsid w:val="005C3715"/>
    <w:rsid w:val="005C3F40"/>
    <w:rsid w:val="005C4166"/>
    <w:rsid w:val="005C43B7"/>
    <w:rsid w:val="005C4BC9"/>
    <w:rsid w:val="005C67B6"/>
    <w:rsid w:val="005D0044"/>
    <w:rsid w:val="005D0317"/>
    <w:rsid w:val="005D10DF"/>
    <w:rsid w:val="005D1225"/>
    <w:rsid w:val="005D3270"/>
    <w:rsid w:val="005D369C"/>
    <w:rsid w:val="005D3F03"/>
    <w:rsid w:val="005D43C8"/>
    <w:rsid w:val="005D550A"/>
    <w:rsid w:val="005D58C7"/>
    <w:rsid w:val="005D5D6D"/>
    <w:rsid w:val="005D6422"/>
    <w:rsid w:val="005D70C7"/>
    <w:rsid w:val="005E01F6"/>
    <w:rsid w:val="005E07DF"/>
    <w:rsid w:val="005E18FB"/>
    <w:rsid w:val="005E2CC7"/>
    <w:rsid w:val="005E3DCC"/>
    <w:rsid w:val="005E6E92"/>
    <w:rsid w:val="005F02E0"/>
    <w:rsid w:val="005F043C"/>
    <w:rsid w:val="005F1352"/>
    <w:rsid w:val="005F1BF5"/>
    <w:rsid w:val="005F1DEA"/>
    <w:rsid w:val="005F3A39"/>
    <w:rsid w:val="005F3BFE"/>
    <w:rsid w:val="005F53AE"/>
    <w:rsid w:val="005F6501"/>
    <w:rsid w:val="005F701E"/>
    <w:rsid w:val="006005BE"/>
    <w:rsid w:val="00600D6B"/>
    <w:rsid w:val="00601B44"/>
    <w:rsid w:val="00601E86"/>
    <w:rsid w:val="00601FEA"/>
    <w:rsid w:val="00602326"/>
    <w:rsid w:val="00603E17"/>
    <w:rsid w:val="006045B5"/>
    <w:rsid w:val="00604D9F"/>
    <w:rsid w:val="006052DE"/>
    <w:rsid w:val="0060560F"/>
    <w:rsid w:val="0060561F"/>
    <w:rsid w:val="006069E3"/>
    <w:rsid w:val="00606FC2"/>
    <w:rsid w:val="0060718E"/>
    <w:rsid w:val="00607928"/>
    <w:rsid w:val="006110A4"/>
    <w:rsid w:val="006119C9"/>
    <w:rsid w:val="006120B4"/>
    <w:rsid w:val="00612CF7"/>
    <w:rsid w:val="00613C00"/>
    <w:rsid w:val="006149EA"/>
    <w:rsid w:val="00614B61"/>
    <w:rsid w:val="00614D50"/>
    <w:rsid w:val="00616396"/>
    <w:rsid w:val="00616726"/>
    <w:rsid w:val="0061685C"/>
    <w:rsid w:val="006169E5"/>
    <w:rsid w:val="00617A20"/>
    <w:rsid w:val="00617E05"/>
    <w:rsid w:val="00620982"/>
    <w:rsid w:val="00621849"/>
    <w:rsid w:val="006226F7"/>
    <w:rsid w:val="006232BD"/>
    <w:rsid w:val="006239A0"/>
    <w:rsid w:val="00623B3D"/>
    <w:rsid w:val="006243F8"/>
    <w:rsid w:val="00624B8C"/>
    <w:rsid w:val="00625697"/>
    <w:rsid w:val="006257AD"/>
    <w:rsid w:val="00626C61"/>
    <w:rsid w:val="00626C8E"/>
    <w:rsid w:val="00627A96"/>
    <w:rsid w:val="00627C0C"/>
    <w:rsid w:val="006303ED"/>
    <w:rsid w:val="006310D8"/>
    <w:rsid w:val="006313F2"/>
    <w:rsid w:val="006314AF"/>
    <w:rsid w:val="0063189A"/>
    <w:rsid w:val="00631C78"/>
    <w:rsid w:val="00631D48"/>
    <w:rsid w:val="00632FD6"/>
    <w:rsid w:val="00633962"/>
    <w:rsid w:val="00633C29"/>
    <w:rsid w:val="0063482A"/>
    <w:rsid w:val="00635FAE"/>
    <w:rsid w:val="0063620E"/>
    <w:rsid w:val="0063640A"/>
    <w:rsid w:val="0063645C"/>
    <w:rsid w:val="00636896"/>
    <w:rsid w:val="00640D3D"/>
    <w:rsid w:val="00641101"/>
    <w:rsid w:val="00641140"/>
    <w:rsid w:val="0064177E"/>
    <w:rsid w:val="006419C5"/>
    <w:rsid w:val="00642818"/>
    <w:rsid w:val="00642DBA"/>
    <w:rsid w:val="00644659"/>
    <w:rsid w:val="00645F5A"/>
    <w:rsid w:val="0064698C"/>
    <w:rsid w:val="00646DAE"/>
    <w:rsid w:val="00647524"/>
    <w:rsid w:val="0065028A"/>
    <w:rsid w:val="0065044C"/>
    <w:rsid w:val="0065063B"/>
    <w:rsid w:val="00650D1C"/>
    <w:rsid w:val="0065159A"/>
    <w:rsid w:val="006515DA"/>
    <w:rsid w:val="00652135"/>
    <w:rsid w:val="00652345"/>
    <w:rsid w:val="0065376B"/>
    <w:rsid w:val="00655262"/>
    <w:rsid w:val="006553F9"/>
    <w:rsid w:val="006570C3"/>
    <w:rsid w:val="00660718"/>
    <w:rsid w:val="00660CE9"/>
    <w:rsid w:val="006610F2"/>
    <w:rsid w:val="00661DC8"/>
    <w:rsid w:val="006620C0"/>
    <w:rsid w:val="00662A49"/>
    <w:rsid w:val="00662CDD"/>
    <w:rsid w:val="006636EE"/>
    <w:rsid w:val="006637E2"/>
    <w:rsid w:val="0066420F"/>
    <w:rsid w:val="006643FB"/>
    <w:rsid w:val="00664C2F"/>
    <w:rsid w:val="00665A70"/>
    <w:rsid w:val="00666503"/>
    <w:rsid w:val="00667A5C"/>
    <w:rsid w:val="0067070C"/>
    <w:rsid w:val="00670C39"/>
    <w:rsid w:val="00671141"/>
    <w:rsid w:val="0067130B"/>
    <w:rsid w:val="0067176C"/>
    <w:rsid w:val="006728F6"/>
    <w:rsid w:val="00672C13"/>
    <w:rsid w:val="00672E4B"/>
    <w:rsid w:val="00672FE5"/>
    <w:rsid w:val="00672FFC"/>
    <w:rsid w:val="006733B2"/>
    <w:rsid w:val="0067560E"/>
    <w:rsid w:val="00676538"/>
    <w:rsid w:val="006768D0"/>
    <w:rsid w:val="006769DD"/>
    <w:rsid w:val="00677FEB"/>
    <w:rsid w:val="00682588"/>
    <w:rsid w:val="00683252"/>
    <w:rsid w:val="00683347"/>
    <w:rsid w:val="006836A6"/>
    <w:rsid w:val="006854A4"/>
    <w:rsid w:val="00685DE1"/>
    <w:rsid w:val="00686F66"/>
    <w:rsid w:val="006874CA"/>
    <w:rsid w:val="0068758F"/>
    <w:rsid w:val="0069092F"/>
    <w:rsid w:val="00692286"/>
    <w:rsid w:val="00692E36"/>
    <w:rsid w:val="00693B17"/>
    <w:rsid w:val="00694081"/>
    <w:rsid w:val="00694852"/>
    <w:rsid w:val="0069633F"/>
    <w:rsid w:val="006969C1"/>
    <w:rsid w:val="006974A6"/>
    <w:rsid w:val="006978E9"/>
    <w:rsid w:val="006A2553"/>
    <w:rsid w:val="006A30D6"/>
    <w:rsid w:val="006A32E1"/>
    <w:rsid w:val="006A476B"/>
    <w:rsid w:val="006A48B7"/>
    <w:rsid w:val="006A49AB"/>
    <w:rsid w:val="006A4C1D"/>
    <w:rsid w:val="006A5049"/>
    <w:rsid w:val="006A62D8"/>
    <w:rsid w:val="006A737B"/>
    <w:rsid w:val="006A7614"/>
    <w:rsid w:val="006A7C33"/>
    <w:rsid w:val="006A7D54"/>
    <w:rsid w:val="006B0115"/>
    <w:rsid w:val="006B0899"/>
    <w:rsid w:val="006B0B0B"/>
    <w:rsid w:val="006B0E5C"/>
    <w:rsid w:val="006B204A"/>
    <w:rsid w:val="006B27E9"/>
    <w:rsid w:val="006B2C39"/>
    <w:rsid w:val="006B33AD"/>
    <w:rsid w:val="006B4038"/>
    <w:rsid w:val="006B4852"/>
    <w:rsid w:val="006B4CE6"/>
    <w:rsid w:val="006B4E85"/>
    <w:rsid w:val="006B5D57"/>
    <w:rsid w:val="006B65EB"/>
    <w:rsid w:val="006B6DE8"/>
    <w:rsid w:val="006B7E57"/>
    <w:rsid w:val="006C0081"/>
    <w:rsid w:val="006C1A3D"/>
    <w:rsid w:val="006C22D1"/>
    <w:rsid w:val="006C2A97"/>
    <w:rsid w:val="006C2DC1"/>
    <w:rsid w:val="006C337E"/>
    <w:rsid w:val="006C3F27"/>
    <w:rsid w:val="006C41A5"/>
    <w:rsid w:val="006C4826"/>
    <w:rsid w:val="006C4B04"/>
    <w:rsid w:val="006C5815"/>
    <w:rsid w:val="006C5892"/>
    <w:rsid w:val="006C5CFA"/>
    <w:rsid w:val="006C6D92"/>
    <w:rsid w:val="006C7E77"/>
    <w:rsid w:val="006D0436"/>
    <w:rsid w:val="006D11EA"/>
    <w:rsid w:val="006D1402"/>
    <w:rsid w:val="006D16E2"/>
    <w:rsid w:val="006D201D"/>
    <w:rsid w:val="006D2EBE"/>
    <w:rsid w:val="006D48EB"/>
    <w:rsid w:val="006D5BCF"/>
    <w:rsid w:val="006D6768"/>
    <w:rsid w:val="006D72DF"/>
    <w:rsid w:val="006E0756"/>
    <w:rsid w:val="006E198A"/>
    <w:rsid w:val="006E1AE6"/>
    <w:rsid w:val="006E1DF0"/>
    <w:rsid w:val="006E1E47"/>
    <w:rsid w:val="006E1F84"/>
    <w:rsid w:val="006E505F"/>
    <w:rsid w:val="006E523C"/>
    <w:rsid w:val="006E5672"/>
    <w:rsid w:val="006E7108"/>
    <w:rsid w:val="006E79A7"/>
    <w:rsid w:val="006E7C19"/>
    <w:rsid w:val="006F003D"/>
    <w:rsid w:val="006F2A5B"/>
    <w:rsid w:val="006F4024"/>
    <w:rsid w:val="006F46E3"/>
    <w:rsid w:val="006F4A7E"/>
    <w:rsid w:val="006F5445"/>
    <w:rsid w:val="006F6450"/>
    <w:rsid w:val="006F70F6"/>
    <w:rsid w:val="006F7449"/>
    <w:rsid w:val="007000EF"/>
    <w:rsid w:val="0070195D"/>
    <w:rsid w:val="007019C7"/>
    <w:rsid w:val="00701E35"/>
    <w:rsid w:val="00701FB6"/>
    <w:rsid w:val="007021E5"/>
    <w:rsid w:val="0070268E"/>
    <w:rsid w:val="007029D1"/>
    <w:rsid w:val="007034EF"/>
    <w:rsid w:val="007039AE"/>
    <w:rsid w:val="00704139"/>
    <w:rsid w:val="00704766"/>
    <w:rsid w:val="0070600C"/>
    <w:rsid w:val="00706A37"/>
    <w:rsid w:val="0071080C"/>
    <w:rsid w:val="0071196E"/>
    <w:rsid w:val="00712216"/>
    <w:rsid w:val="00712854"/>
    <w:rsid w:val="007137DC"/>
    <w:rsid w:val="00713B5B"/>
    <w:rsid w:val="0071469E"/>
    <w:rsid w:val="00714BE2"/>
    <w:rsid w:val="007159DC"/>
    <w:rsid w:val="00715D1B"/>
    <w:rsid w:val="00715FDD"/>
    <w:rsid w:val="007200BA"/>
    <w:rsid w:val="00721E20"/>
    <w:rsid w:val="007232FB"/>
    <w:rsid w:val="007235AB"/>
    <w:rsid w:val="00723B39"/>
    <w:rsid w:val="00724336"/>
    <w:rsid w:val="00725B59"/>
    <w:rsid w:val="00727A48"/>
    <w:rsid w:val="00730876"/>
    <w:rsid w:val="00730C27"/>
    <w:rsid w:val="00731C2B"/>
    <w:rsid w:val="007320E9"/>
    <w:rsid w:val="00734339"/>
    <w:rsid w:val="007357C7"/>
    <w:rsid w:val="00735F94"/>
    <w:rsid w:val="00736D77"/>
    <w:rsid w:val="00737435"/>
    <w:rsid w:val="007400F1"/>
    <w:rsid w:val="00740A59"/>
    <w:rsid w:val="007412D1"/>
    <w:rsid w:val="007415A9"/>
    <w:rsid w:val="007421D9"/>
    <w:rsid w:val="00743495"/>
    <w:rsid w:val="007446B3"/>
    <w:rsid w:val="0074500D"/>
    <w:rsid w:val="00745C10"/>
    <w:rsid w:val="00746920"/>
    <w:rsid w:val="007469C4"/>
    <w:rsid w:val="00747ACF"/>
    <w:rsid w:val="007504A0"/>
    <w:rsid w:val="00752525"/>
    <w:rsid w:val="007527A4"/>
    <w:rsid w:val="007530DA"/>
    <w:rsid w:val="00753D09"/>
    <w:rsid w:val="00753F03"/>
    <w:rsid w:val="007575E7"/>
    <w:rsid w:val="0076041F"/>
    <w:rsid w:val="00760A49"/>
    <w:rsid w:val="00761081"/>
    <w:rsid w:val="0076186A"/>
    <w:rsid w:val="00761AF3"/>
    <w:rsid w:val="00761B0B"/>
    <w:rsid w:val="00761D26"/>
    <w:rsid w:val="00762083"/>
    <w:rsid w:val="00762551"/>
    <w:rsid w:val="007625C4"/>
    <w:rsid w:val="00762850"/>
    <w:rsid w:val="00762E2F"/>
    <w:rsid w:val="0076331B"/>
    <w:rsid w:val="00764933"/>
    <w:rsid w:val="00764D9A"/>
    <w:rsid w:val="00764E53"/>
    <w:rsid w:val="007654D4"/>
    <w:rsid w:val="00765553"/>
    <w:rsid w:val="00766B1B"/>
    <w:rsid w:val="007675E1"/>
    <w:rsid w:val="007700A1"/>
    <w:rsid w:val="0077113C"/>
    <w:rsid w:val="00771D5D"/>
    <w:rsid w:val="007726C9"/>
    <w:rsid w:val="00774187"/>
    <w:rsid w:val="0077438B"/>
    <w:rsid w:val="007750CF"/>
    <w:rsid w:val="00775584"/>
    <w:rsid w:val="00776893"/>
    <w:rsid w:val="007771D1"/>
    <w:rsid w:val="00777356"/>
    <w:rsid w:val="007800C1"/>
    <w:rsid w:val="007811B1"/>
    <w:rsid w:val="00781D4D"/>
    <w:rsid w:val="007822DF"/>
    <w:rsid w:val="00782AA7"/>
    <w:rsid w:val="00782CA2"/>
    <w:rsid w:val="00784178"/>
    <w:rsid w:val="007841F4"/>
    <w:rsid w:val="007845C9"/>
    <w:rsid w:val="00784A27"/>
    <w:rsid w:val="00784C2D"/>
    <w:rsid w:val="007859E2"/>
    <w:rsid w:val="00786C8C"/>
    <w:rsid w:val="0079075C"/>
    <w:rsid w:val="007916C6"/>
    <w:rsid w:val="007918CB"/>
    <w:rsid w:val="00791E2D"/>
    <w:rsid w:val="007931B5"/>
    <w:rsid w:val="007932D4"/>
    <w:rsid w:val="00793A00"/>
    <w:rsid w:val="00793A1A"/>
    <w:rsid w:val="00793AED"/>
    <w:rsid w:val="00795769"/>
    <w:rsid w:val="0079703C"/>
    <w:rsid w:val="00797C2A"/>
    <w:rsid w:val="007A0180"/>
    <w:rsid w:val="007A0757"/>
    <w:rsid w:val="007A152F"/>
    <w:rsid w:val="007A2BB2"/>
    <w:rsid w:val="007A2CA6"/>
    <w:rsid w:val="007A2F6C"/>
    <w:rsid w:val="007A53DD"/>
    <w:rsid w:val="007A5764"/>
    <w:rsid w:val="007A5F2E"/>
    <w:rsid w:val="007A644E"/>
    <w:rsid w:val="007A679B"/>
    <w:rsid w:val="007A72F3"/>
    <w:rsid w:val="007B2A94"/>
    <w:rsid w:val="007B3D0B"/>
    <w:rsid w:val="007B3F27"/>
    <w:rsid w:val="007B52F3"/>
    <w:rsid w:val="007B5405"/>
    <w:rsid w:val="007B7579"/>
    <w:rsid w:val="007B774B"/>
    <w:rsid w:val="007C0719"/>
    <w:rsid w:val="007C2BE7"/>
    <w:rsid w:val="007C2D89"/>
    <w:rsid w:val="007C309C"/>
    <w:rsid w:val="007C3202"/>
    <w:rsid w:val="007C326F"/>
    <w:rsid w:val="007C3CB4"/>
    <w:rsid w:val="007C5B63"/>
    <w:rsid w:val="007C5F95"/>
    <w:rsid w:val="007C636E"/>
    <w:rsid w:val="007C674C"/>
    <w:rsid w:val="007C6B81"/>
    <w:rsid w:val="007C6F4F"/>
    <w:rsid w:val="007C710A"/>
    <w:rsid w:val="007C7358"/>
    <w:rsid w:val="007D0CB2"/>
    <w:rsid w:val="007D1CCB"/>
    <w:rsid w:val="007D1E99"/>
    <w:rsid w:val="007D22BF"/>
    <w:rsid w:val="007D26CB"/>
    <w:rsid w:val="007D27C7"/>
    <w:rsid w:val="007D2AFC"/>
    <w:rsid w:val="007D2C92"/>
    <w:rsid w:val="007D3159"/>
    <w:rsid w:val="007D315C"/>
    <w:rsid w:val="007D36D3"/>
    <w:rsid w:val="007D4E4C"/>
    <w:rsid w:val="007D51F7"/>
    <w:rsid w:val="007D59C0"/>
    <w:rsid w:val="007D6136"/>
    <w:rsid w:val="007D63E7"/>
    <w:rsid w:val="007D6DDD"/>
    <w:rsid w:val="007D6F6E"/>
    <w:rsid w:val="007E23EA"/>
    <w:rsid w:val="007E2C6C"/>
    <w:rsid w:val="007E37AE"/>
    <w:rsid w:val="007E4410"/>
    <w:rsid w:val="007E46A6"/>
    <w:rsid w:val="007E5442"/>
    <w:rsid w:val="007E5BFB"/>
    <w:rsid w:val="007E5E93"/>
    <w:rsid w:val="007E7A94"/>
    <w:rsid w:val="007E7D04"/>
    <w:rsid w:val="007F0286"/>
    <w:rsid w:val="007F0A52"/>
    <w:rsid w:val="007F1A26"/>
    <w:rsid w:val="007F2368"/>
    <w:rsid w:val="007F34BF"/>
    <w:rsid w:val="007F430C"/>
    <w:rsid w:val="007F4A97"/>
    <w:rsid w:val="007F5D03"/>
    <w:rsid w:val="007F67C2"/>
    <w:rsid w:val="007F7566"/>
    <w:rsid w:val="007F77A2"/>
    <w:rsid w:val="007F7BE1"/>
    <w:rsid w:val="00800389"/>
    <w:rsid w:val="00800490"/>
    <w:rsid w:val="00801A7A"/>
    <w:rsid w:val="00803142"/>
    <w:rsid w:val="00803703"/>
    <w:rsid w:val="0080372C"/>
    <w:rsid w:val="00803FD4"/>
    <w:rsid w:val="00805C58"/>
    <w:rsid w:val="00812A8D"/>
    <w:rsid w:val="00812E66"/>
    <w:rsid w:val="00813296"/>
    <w:rsid w:val="00813AF7"/>
    <w:rsid w:val="00814684"/>
    <w:rsid w:val="00815337"/>
    <w:rsid w:val="00815C14"/>
    <w:rsid w:val="00815FD9"/>
    <w:rsid w:val="008166C0"/>
    <w:rsid w:val="00816F51"/>
    <w:rsid w:val="0082087A"/>
    <w:rsid w:val="008215A0"/>
    <w:rsid w:val="008221A1"/>
    <w:rsid w:val="00822233"/>
    <w:rsid w:val="00823311"/>
    <w:rsid w:val="00823735"/>
    <w:rsid w:val="00823DB8"/>
    <w:rsid w:val="008243DC"/>
    <w:rsid w:val="00825494"/>
    <w:rsid w:val="00825703"/>
    <w:rsid w:val="00827557"/>
    <w:rsid w:val="00832777"/>
    <w:rsid w:val="00833C3B"/>
    <w:rsid w:val="00834133"/>
    <w:rsid w:val="00834ED5"/>
    <w:rsid w:val="008365AD"/>
    <w:rsid w:val="008404CD"/>
    <w:rsid w:val="00842245"/>
    <w:rsid w:val="008431E4"/>
    <w:rsid w:val="00843890"/>
    <w:rsid w:val="00843894"/>
    <w:rsid w:val="008447EA"/>
    <w:rsid w:val="008453C5"/>
    <w:rsid w:val="008475B6"/>
    <w:rsid w:val="008476CC"/>
    <w:rsid w:val="008511F8"/>
    <w:rsid w:val="008526FB"/>
    <w:rsid w:val="00852875"/>
    <w:rsid w:val="00853853"/>
    <w:rsid w:val="00853C2C"/>
    <w:rsid w:val="00854D11"/>
    <w:rsid w:val="00855410"/>
    <w:rsid w:val="008562F8"/>
    <w:rsid w:val="00857C55"/>
    <w:rsid w:val="00860527"/>
    <w:rsid w:val="00861103"/>
    <w:rsid w:val="008618E3"/>
    <w:rsid w:val="0086205E"/>
    <w:rsid w:val="008622A7"/>
    <w:rsid w:val="008651DB"/>
    <w:rsid w:val="008653A8"/>
    <w:rsid w:val="008677B6"/>
    <w:rsid w:val="00867D9F"/>
    <w:rsid w:val="008703AC"/>
    <w:rsid w:val="0087130F"/>
    <w:rsid w:val="00871828"/>
    <w:rsid w:val="00871C7A"/>
    <w:rsid w:val="00871F71"/>
    <w:rsid w:val="0087296D"/>
    <w:rsid w:val="00872C23"/>
    <w:rsid w:val="00872C60"/>
    <w:rsid w:val="00873B59"/>
    <w:rsid w:val="00875167"/>
    <w:rsid w:val="008754B4"/>
    <w:rsid w:val="0087598E"/>
    <w:rsid w:val="00875F9C"/>
    <w:rsid w:val="00880362"/>
    <w:rsid w:val="00881190"/>
    <w:rsid w:val="00881696"/>
    <w:rsid w:val="00881833"/>
    <w:rsid w:val="00881862"/>
    <w:rsid w:val="00881FE7"/>
    <w:rsid w:val="00882138"/>
    <w:rsid w:val="00882175"/>
    <w:rsid w:val="00882AF4"/>
    <w:rsid w:val="008851F7"/>
    <w:rsid w:val="00885ABB"/>
    <w:rsid w:val="00885B07"/>
    <w:rsid w:val="00885C38"/>
    <w:rsid w:val="00885F5D"/>
    <w:rsid w:val="00887181"/>
    <w:rsid w:val="008900E2"/>
    <w:rsid w:val="00890870"/>
    <w:rsid w:val="00891537"/>
    <w:rsid w:val="00891688"/>
    <w:rsid w:val="00891937"/>
    <w:rsid w:val="00891EDF"/>
    <w:rsid w:val="00893B42"/>
    <w:rsid w:val="00893D04"/>
    <w:rsid w:val="008946BD"/>
    <w:rsid w:val="008947BA"/>
    <w:rsid w:val="008948D4"/>
    <w:rsid w:val="00895EE7"/>
    <w:rsid w:val="00897572"/>
    <w:rsid w:val="008979E0"/>
    <w:rsid w:val="008A254E"/>
    <w:rsid w:val="008A32AD"/>
    <w:rsid w:val="008A41AC"/>
    <w:rsid w:val="008A44DE"/>
    <w:rsid w:val="008A537B"/>
    <w:rsid w:val="008A5764"/>
    <w:rsid w:val="008A5D56"/>
    <w:rsid w:val="008A6A4D"/>
    <w:rsid w:val="008A6ABE"/>
    <w:rsid w:val="008A7154"/>
    <w:rsid w:val="008B0DEC"/>
    <w:rsid w:val="008B1888"/>
    <w:rsid w:val="008B1F43"/>
    <w:rsid w:val="008B28E2"/>
    <w:rsid w:val="008B5E78"/>
    <w:rsid w:val="008B65FB"/>
    <w:rsid w:val="008B6D11"/>
    <w:rsid w:val="008B7325"/>
    <w:rsid w:val="008B7744"/>
    <w:rsid w:val="008B7757"/>
    <w:rsid w:val="008C0934"/>
    <w:rsid w:val="008C12B6"/>
    <w:rsid w:val="008C1BFE"/>
    <w:rsid w:val="008C1F6A"/>
    <w:rsid w:val="008C2DA5"/>
    <w:rsid w:val="008C31A8"/>
    <w:rsid w:val="008C32D1"/>
    <w:rsid w:val="008C4C02"/>
    <w:rsid w:val="008C5FB5"/>
    <w:rsid w:val="008C6A3A"/>
    <w:rsid w:val="008C70D5"/>
    <w:rsid w:val="008C7129"/>
    <w:rsid w:val="008C72EE"/>
    <w:rsid w:val="008C75A6"/>
    <w:rsid w:val="008D04FE"/>
    <w:rsid w:val="008D09CC"/>
    <w:rsid w:val="008D1B6F"/>
    <w:rsid w:val="008D2E76"/>
    <w:rsid w:val="008D5469"/>
    <w:rsid w:val="008D54FF"/>
    <w:rsid w:val="008D5521"/>
    <w:rsid w:val="008D5E47"/>
    <w:rsid w:val="008D5FD9"/>
    <w:rsid w:val="008D60EF"/>
    <w:rsid w:val="008D65DA"/>
    <w:rsid w:val="008E0AE7"/>
    <w:rsid w:val="008E0AEB"/>
    <w:rsid w:val="008E0E61"/>
    <w:rsid w:val="008E0EBE"/>
    <w:rsid w:val="008E1268"/>
    <w:rsid w:val="008E2499"/>
    <w:rsid w:val="008E2BB2"/>
    <w:rsid w:val="008E2D5C"/>
    <w:rsid w:val="008E3331"/>
    <w:rsid w:val="008E3E9A"/>
    <w:rsid w:val="008E44B7"/>
    <w:rsid w:val="008E4945"/>
    <w:rsid w:val="008E7BBD"/>
    <w:rsid w:val="008E7BE3"/>
    <w:rsid w:val="008F115B"/>
    <w:rsid w:val="008F15D6"/>
    <w:rsid w:val="008F1750"/>
    <w:rsid w:val="008F1C32"/>
    <w:rsid w:val="008F2E6F"/>
    <w:rsid w:val="008F3876"/>
    <w:rsid w:val="008F41EA"/>
    <w:rsid w:val="008F4815"/>
    <w:rsid w:val="008F547C"/>
    <w:rsid w:val="008F75F3"/>
    <w:rsid w:val="00900194"/>
    <w:rsid w:val="00901229"/>
    <w:rsid w:val="00901EA1"/>
    <w:rsid w:val="00902C47"/>
    <w:rsid w:val="00902E07"/>
    <w:rsid w:val="00903215"/>
    <w:rsid w:val="00903E79"/>
    <w:rsid w:val="00905F31"/>
    <w:rsid w:val="009060CE"/>
    <w:rsid w:val="00910D48"/>
    <w:rsid w:val="00911074"/>
    <w:rsid w:val="009119BB"/>
    <w:rsid w:val="00913FF3"/>
    <w:rsid w:val="0091419D"/>
    <w:rsid w:val="0091508C"/>
    <w:rsid w:val="00915AEF"/>
    <w:rsid w:val="00915DB3"/>
    <w:rsid w:val="0091685B"/>
    <w:rsid w:val="009170E5"/>
    <w:rsid w:val="00917C96"/>
    <w:rsid w:val="009207AA"/>
    <w:rsid w:val="00920A91"/>
    <w:rsid w:val="00920DF0"/>
    <w:rsid w:val="0092116B"/>
    <w:rsid w:val="009217FE"/>
    <w:rsid w:val="00921FBB"/>
    <w:rsid w:val="009234C3"/>
    <w:rsid w:val="009243A3"/>
    <w:rsid w:val="009249D8"/>
    <w:rsid w:val="00924DF9"/>
    <w:rsid w:val="00926826"/>
    <w:rsid w:val="00930D51"/>
    <w:rsid w:val="00931574"/>
    <w:rsid w:val="00931BE5"/>
    <w:rsid w:val="00933819"/>
    <w:rsid w:val="009356D1"/>
    <w:rsid w:val="00935D0B"/>
    <w:rsid w:val="00936A15"/>
    <w:rsid w:val="00940840"/>
    <w:rsid w:val="00940C08"/>
    <w:rsid w:val="0094115B"/>
    <w:rsid w:val="00941747"/>
    <w:rsid w:val="00942989"/>
    <w:rsid w:val="009439E8"/>
    <w:rsid w:val="0094413F"/>
    <w:rsid w:val="00945A6D"/>
    <w:rsid w:val="00946300"/>
    <w:rsid w:val="0094700B"/>
    <w:rsid w:val="009470AA"/>
    <w:rsid w:val="009478FE"/>
    <w:rsid w:val="009510D9"/>
    <w:rsid w:val="00951B56"/>
    <w:rsid w:val="00951F27"/>
    <w:rsid w:val="009522AC"/>
    <w:rsid w:val="009535CD"/>
    <w:rsid w:val="00954B7B"/>
    <w:rsid w:val="009555E2"/>
    <w:rsid w:val="00955EBF"/>
    <w:rsid w:val="00956644"/>
    <w:rsid w:val="00957724"/>
    <w:rsid w:val="00957CFC"/>
    <w:rsid w:val="009606F3"/>
    <w:rsid w:val="0096072E"/>
    <w:rsid w:val="00961014"/>
    <w:rsid w:val="0096102B"/>
    <w:rsid w:val="00961A85"/>
    <w:rsid w:val="00963F73"/>
    <w:rsid w:val="00964B17"/>
    <w:rsid w:val="009653F7"/>
    <w:rsid w:val="009656E8"/>
    <w:rsid w:val="00965C2C"/>
    <w:rsid w:val="00965E51"/>
    <w:rsid w:val="00966139"/>
    <w:rsid w:val="009666E7"/>
    <w:rsid w:val="00967649"/>
    <w:rsid w:val="009702FB"/>
    <w:rsid w:val="0097129A"/>
    <w:rsid w:val="009714CB"/>
    <w:rsid w:val="009720A5"/>
    <w:rsid w:val="0097289C"/>
    <w:rsid w:val="009737FB"/>
    <w:rsid w:val="00974740"/>
    <w:rsid w:val="00974BF3"/>
    <w:rsid w:val="009777B5"/>
    <w:rsid w:val="00977A36"/>
    <w:rsid w:val="00980918"/>
    <w:rsid w:val="0098165A"/>
    <w:rsid w:val="009824BD"/>
    <w:rsid w:val="009825E1"/>
    <w:rsid w:val="00982854"/>
    <w:rsid w:val="009838C5"/>
    <w:rsid w:val="009842A2"/>
    <w:rsid w:val="009842DB"/>
    <w:rsid w:val="00985949"/>
    <w:rsid w:val="009866CC"/>
    <w:rsid w:val="009868FB"/>
    <w:rsid w:val="00986934"/>
    <w:rsid w:val="00987C01"/>
    <w:rsid w:val="0099009F"/>
    <w:rsid w:val="00991627"/>
    <w:rsid w:val="00991FDC"/>
    <w:rsid w:val="00992566"/>
    <w:rsid w:val="009926B7"/>
    <w:rsid w:val="00992A82"/>
    <w:rsid w:val="00994A07"/>
    <w:rsid w:val="00994E69"/>
    <w:rsid w:val="00994F0A"/>
    <w:rsid w:val="00996EA2"/>
    <w:rsid w:val="009975D5"/>
    <w:rsid w:val="009976E8"/>
    <w:rsid w:val="009979D1"/>
    <w:rsid w:val="00997DDC"/>
    <w:rsid w:val="00997E57"/>
    <w:rsid w:val="009A0359"/>
    <w:rsid w:val="009A08AC"/>
    <w:rsid w:val="009A11FC"/>
    <w:rsid w:val="009A177A"/>
    <w:rsid w:val="009A196B"/>
    <w:rsid w:val="009A1D2F"/>
    <w:rsid w:val="009A1F48"/>
    <w:rsid w:val="009A2C22"/>
    <w:rsid w:val="009A32DF"/>
    <w:rsid w:val="009A3330"/>
    <w:rsid w:val="009A371A"/>
    <w:rsid w:val="009A3F73"/>
    <w:rsid w:val="009A4A47"/>
    <w:rsid w:val="009A4E3E"/>
    <w:rsid w:val="009A50EB"/>
    <w:rsid w:val="009A55E7"/>
    <w:rsid w:val="009A6DFC"/>
    <w:rsid w:val="009A7181"/>
    <w:rsid w:val="009A7E81"/>
    <w:rsid w:val="009B04D1"/>
    <w:rsid w:val="009B09FA"/>
    <w:rsid w:val="009B28E8"/>
    <w:rsid w:val="009B33F7"/>
    <w:rsid w:val="009B3A54"/>
    <w:rsid w:val="009B4632"/>
    <w:rsid w:val="009B48D4"/>
    <w:rsid w:val="009B5307"/>
    <w:rsid w:val="009B5741"/>
    <w:rsid w:val="009B5E44"/>
    <w:rsid w:val="009B6DCB"/>
    <w:rsid w:val="009B6E65"/>
    <w:rsid w:val="009B70B8"/>
    <w:rsid w:val="009B70C4"/>
    <w:rsid w:val="009B7E00"/>
    <w:rsid w:val="009C1AC6"/>
    <w:rsid w:val="009C5B5C"/>
    <w:rsid w:val="009C6924"/>
    <w:rsid w:val="009C6C2E"/>
    <w:rsid w:val="009C76D9"/>
    <w:rsid w:val="009D0374"/>
    <w:rsid w:val="009D2299"/>
    <w:rsid w:val="009D22E2"/>
    <w:rsid w:val="009D2807"/>
    <w:rsid w:val="009D2823"/>
    <w:rsid w:val="009D3154"/>
    <w:rsid w:val="009D3443"/>
    <w:rsid w:val="009D4202"/>
    <w:rsid w:val="009D5B54"/>
    <w:rsid w:val="009D5DFD"/>
    <w:rsid w:val="009D77EB"/>
    <w:rsid w:val="009E044C"/>
    <w:rsid w:val="009E082B"/>
    <w:rsid w:val="009E187B"/>
    <w:rsid w:val="009E22F2"/>
    <w:rsid w:val="009E2DF8"/>
    <w:rsid w:val="009E382E"/>
    <w:rsid w:val="009E3BAB"/>
    <w:rsid w:val="009E50AC"/>
    <w:rsid w:val="009E5338"/>
    <w:rsid w:val="009E5E2D"/>
    <w:rsid w:val="009E7837"/>
    <w:rsid w:val="009F3673"/>
    <w:rsid w:val="009F3744"/>
    <w:rsid w:val="009F42DC"/>
    <w:rsid w:val="009F679A"/>
    <w:rsid w:val="009F67E9"/>
    <w:rsid w:val="009F6D5E"/>
    <w:rsid w:val="009F752A"/>
    <w:rsid w:val="009F7535"/>
    <w:rsid w:val="009F7E33"/>
    <w:rsid w:val="00A00873"/>
    <w:rsid w:val="00A00EF5"/>
    <w:rsid w:val="00A01F9B"/>
    <w:rsid w:val="00A0341F"/>
    <w:rsid w:val="00A0566E"/>
    <w:rsid w:val="00A1093D"/>
    <w:rsid w:val="00A115A5"/>
    <w:rsid w:val="00A11712"/>
    <w:rsid w:val="00A12640"/>
    <w:rsid w:val="00A16B09"/>
    <w:rsid w:val="00A17255"/>
    <w:rsid w:val="00A179DD"/>
    <w:rsid w:val="00A17D90"/>
    <w:rsid w:val="00A2212B"/>
    <w:rsid w:val="00A22958"/>
    <w:rsid w:val="00A22CEB"/>
    <w:rsid w:val="00A24081"/>
    <w:rsid w:val="00A24E49"/>
    <w:rsid w:val="00A24F63"/>
    <w:rsid w:val="00A2554D"/>
    <w:rsid w:val="00A26021"/>
    <w:rsid w:val="00A262C0"/>
    <w:rsid w:val="00A3033D"/>
    <w:rsid w:val="00A3218A"/>
    <w:rsid w:val="00A3522F"/>
    <w:rsid w:val="00A352F0"/>
    <w:rsid w:val="00A35C96"/>
    <w:rsid w:val="00A363B1"/>
    <w:rsid w:val="00A36827"/>
    <w:rsid w:val="00A403C6"/>
    <w:rsid w:val="00A40408"/>
    <w:rsid w:val="00A406E2"/>
    <w:rsid w:val="00A407B1"/>
    <w:rsid w:val="00A419B3"/>
    <w:rsid w:val="00A43045"/>
    <w:rsid w:val="00A43B9D"/>
    <w:rsid w:val="00A46362"/>
    <w:rsid w:val="00A4764B"/>
    <w:rsid w:val="00A5082E"/>
    <w:rsid w:val="00A51AE1"/>
    <w:rsid w:val="00A52C33"/>
    <w:rsid w:val="00A5449F"/>
    <w:rsid w:val="00A54C4C"/>
    <w:rsid w:val="00A56BF8"/>
    <w:rsid w:val="00A578CD"/>
    <w:rsid w:val="00A5797C"/>
    <w:rsid w:val="00A60034"/>
    <w:rsid w:val="00A60F5D"/>
    <w:rsid w:val="00A61102"/>
    <w:rsid w:val="00A62162"/>
    <w:rsid w:val="00A64A91"/>
    <w:rsid w:val="00A64DFD"/>
    <w:rsid w:val="00A64E25"/>
    <w:rsid w:val="00A6558E"/>
    <w:rsid w:val="00A65936"/>
    <w:rsid w:val="00A65DCC"/>
    <w:rsid w:val="00A65F27"/>
    <w:rsid w:val="00A66614"/>
    <w:rsid w:val="00A66617"/>
    <w:rsid w:val="00A66714"/>
    <w:rsid w:val="00A6713D"/>
    <w:rsid w:val="00A67AC8"/>
    <w:rsid w:val="00A70BED"/>
    <w:rsid w:val="00A70FB0"/>
    <w:rsid w:val="00A71550"/>
    <w:rsid w:val="00A7336E"/>
    <w:rsid w:val="00A73B61"/>
    <w:rsid w:val="00A74079"/>
    <w:rsid w:val="00A743AE"/>
    <w:rsid w:val="00A74B29"/>
    <w:rsid w:val="00A75888"/>
    <w:rsid w:val="00A75ADB"/>
    <w:rsid w:val="00A75FA6"/>
    <w:rsid w:val="00A77986"/>
    <w:rsid w:val="00A82DD9"/>
    <w:rsid w:val="00A859F4"/>
    <w:rsid w:val="00A85E40"/>
    <w:rsid w:val="00A86D93"/>
    <w:rsid w:val="00A879D7"/>
    <w:rsid w:val="00A917B0"/>
    <w:rsid w:val="00A91918"/>
    <w:rsid w:val="00A91C4C"/>
    <w:rsid w:val="00A92B16"/>
    <w:rsid w:val="00A930B4"/>
    <w:rsid w:val="00A93735"/>
    <w:rsid w:val="00A95D3A"/>
    <w:rsid w:val="00A968E8"/>
    <w:rsid w:val="00A96B3F"/>
    <w:rsid w:val="00A974EB"/>
    <w:rsid w:val="00AA0595"/>
    <w:rsid w:val="00AA0B71"/>
    <w:rsid w:val="00AA1BA2"/>
    <w:rsid w:val="00AA2E8A"/>
    <w:rsid w:val="00AA341B"/>
    <w:rsid w:val="00AA36A5"/>
    <w:rsid w:val="00AA4120"/>
    <w:rsid w:val="00AA50B6"/>
    <w:rsid w:val="00AA599A"/>
    <w:rsid w:val="00AA5CF4"/>
    <w:rsid w:val="00AA62C6"/>
    <w:rsid w:val="00AA6343"/>
    <w:rsid w:val="00AA6ABA"/>
    <w:rsid w:val="00AA73F3"/>
    <w:rsid w:val="00AA7B54"/>
    <w:rsid w:val="00AB0357"/>
    <w:rsid w:val="00AB2522"/>
    <w:rsid w:val="00AB3F82"/>
    <w:rsid w:val="00AB433E"/>
    <w:rsid w:val="00AB4507"/>
    <w:rsid w:val="00AB4FB7"/>
    <w:rsid w:val="00AB6A0C"/>
    <w:rsid w:val="00AB7A12"/>
    <w:rsid w:val="00AC09DE"/>
    <w:rsid w:val="00AC1A0A"/>
    <w:rsid w:val="00AC1C2F"/>
    <w:rsid w:val="00AC1F81"/>
    <w:rsid w:val="00AC46B9"/>
    <w:rsid w:val="00AC70B1"/>
    <w:rsid w:val="00AC745A"/>
    <w:rsid w:val="00AD1657"/>
    <w:rsid w:val="00AD1B62"/>
    <w:rsid w:val="00AD35BD"/>
    <w:rsid w:val="00AD4973"/>
    <w:rsid w:val="00AD4D43"/>
    <w:rsid w:val="00AD4D4C"/>
    <w:rsid w:val="00AD4E7F"/>
    <w:rsid w:val="00AD4FCB"/>
    <w:rsid w:val="00AD55EA"/>
    <w:rsid w:val="00AD56C1"/>
    <w:rsid w:val="00AD61E1"/>
    <w:rsid w:val="00AD633D"/>
    <w:rsid w:val="00AE0690"/>
    <w:rsid w:val="00AE29AC"/>
    <w:rsid w:val="00AE377B"/>
    <w:rsid w:val="00AE3F92"/>
    <w:rsid w:val="00AE429B"/>
    <w:rsid w:val="00AE45B0"/>
    <w:rsid w:val="00AE47B5"/>
    <w:rsid w:val="00AE4EB9"/>
    <w:rsid w:val="00AE4ED1"/>
    <w:rsid w:val="00AE53F6"/>
    <w:rsid w:val="00AE5843"/>
    <w:rsid w:val="00AE6892"/>
    <w:rsid w:val="00AF035B"/>
    <w:rsid w:val="00AF0CC4"/>
    <w:rsid w:val="00AF0F7C"/>
    <w:rsid w:val="00AF1569"/>
    <w:rsid w:val="00AF230B"/>
    <w:rsid w:val="00AF23F0"/>
    <w:rsid w:val="00AF29F0"/>
    <w:rsid w:val="00AF3291"/>
    <w:rsid w:val="00AF329D"/>
    <w:rsid w:val="00AF3680"/>
    <w:rsid w:val="00AF3A07"/>
    <w:rsid w:val="00B01E16"/>
    <w:rsid w:val="00B030D2"/>
    <w:rsid w:val="00B031A0"/>
    <w:rsid w:val="00B057F2"/>
    <w:rsid w:val="00B05E96"/>
    <w:rsid w:val="00B063E3"/>
    <w:rsid w:val="00B06DBB"/>
    <w:rsid w:val="00B0701C"/>
    <w:rsid w:val="00B071E2"/>
    <w:rsid w:val="00B07CEA"/>
    <w:rsid w:val="00B1033C"/>
    <w:rsid w:val="00B10D65"/>
    <w:rsid w:val="00B1208D"/>
    <w:rsid w:val="00B130B3"/>
    <w:rsid w:val="00B1314F"/>
    <w:rsid w:val="00B13937"/>
    <w:rsid w:val="00B13938"/>
    <w:rsid w:val="00B13980"/>
    <w:rsid w:val="00B153AB"/>
    <w:rsid w:val="00B15636"/>
    <w:rsid w:val="00B157D0"/>
    <w:rsid w:val="00B15957"/>
    <w:rsid w:val="00B15F2B"/>
    <w:rsid w:val="00B16233"/>
    <w:rsid w:val="00B16BB9"/>
    <w:rsid w:val="00B174FC"/>
    <w:rsid w:val="00B20694"/>
    <w:rsid w:val="00B23B33"/>
    <w:rsid w:val="00B23E86"/>
    <w:rsid w:val="00B23F67"/>
    <w:rsid w:val="00B24286"/>
    <w:rsid w:val="00B24BC9"/>
    <w:rsid w:val="00B24D1D"/>
    <w:rsid w:val="00B256D7"/>
    <w:rsid w:val="00B25707"/>
    <w:rsid w:val="00B25889"/>
    <w:rsid w:val="00B25BEC"/>
    <w:rsid w:val="00B25F41"/>
    <w:rsid w:val="00B26A21"/>
    <w:rsid w:val="00B34531"/>
    <w:rsid w:val="00B348CB"/>
    <w:rsid w:val="00B34E2C"/>
    <w:rsid w:val="00B350E0"/>
    <w:rsid w:val="00B365DB"/>
    <w:rsid w:val="00B37133"/>
    <w:rsid w:val="00B37DDE"/>
    <w:rsid w:val="00B4058E"/>
    <w:rsid w:val="00B40CD9"/>
    <w:rsid w:val="00B434D5"/>
    <w:rsid w:val="00B448FE"/>
    <w:rsid w:val="00B44CA2"/>
    <w:rsid w:val="00B450FA"/>
    <w:rsid w:val="00B45821"/>
    <w:rsid w:val="00B45ABF"/>
    <w:rsid w:val="00B46127"/>
    <w:rsid w:val="00B46AD9"/>
    <w:rsid w:val="00B472AD"/>
    <w:rsid w:val="00B510C9"/>
    <w:rsid w:val="00B514DC"/>
    <w:rsid w:val="00B5169D"/>
    <w:rsid w:val="00B51D04"/>
    <w:rsid w:val="00B52857"/>
    <w:rsid w:val="00B52902"/>
    <w:rsid w:val="00B5360E"/>
    <w:rsid w:val="00B53811"/>
    <w:rsid w:val="00B54398"/>
    <w:rsid w:val="00B55B42"/>
    <w:rsid w:val="00B5617E"/>
    <w:rsid w:val="00B56463"/>
    <w:rsid w:val="00B56E93"/>
    <w:rsid w:val="00B5731B"/>
    <w:rsid w:val="00B6092A"/>
    <w:rsid w:val="00B60D1F"/>
    <w:rsid w:val="00B60EEA"/>
    <w:rsid w:val="00B628F2"/>
    <w:rsid w:val="00B62C59"/>
    <w:rsid w:val="00B638D8"/>
    <w:rsid w:val="00B6551A"/>
    <w:rsid w:val="00B65580"/>
    <w:rsid w:val="00B65B05"/>
    <w:rsid w:val="00B65D04"/>
    <w:rsid w:val="00B660C7"/>
    <w:rsid w:val="00B66C8D"/>
    <w:rsid w:val="00B66C8E"/>
    <w:rsid w:val="00B67119"/>
    <w:rsid w:val="00B700C1"/>
    <w:rsid w:val="00B711D5"/>
    <w:rsid w:val="00B712A3"/>
    <w:rsid w:val="00B712C7"/>
    <w:rsid w:val="00B71F89"/>
    <w:rsid w:val="00B72204"/>
    <w:rsid w:val="00B726F8"/>
    <w:rsid w:val="00B729AA"/>
    <w:rsid w:val="00B73B48"/>
    <w:rsid w:val="00B755C3"/>
    <w:rsid w:val="00B75EAD"/>
    <w:rsid w:val="00B762F3"/>
    <w:rsid w:val="00B77E01"/>
    <w:rsid w:val="00B800C7"/>
    <w:rsid w:val="00B80331"/>
    <w:rsid w:val="00B80E13"/>
    <w:rsid w:val="00B81337"/>
    <w:rsid w:val="00B816A2"/>
    <w:rsid w:val="00B8452A"/>
    <w:rsid w:val="00B85105"/>
    <w:rsid w:val="00B855F5"/>
    <w:rsid w:val="00B85C50"/>
    <w:rsid w:val="00B8699D"/>
    <w:rsid w:val="00B87E2B"/>
    <w:rsid w:val="00B90BA6"/>
    <w:rsid w:val="00B91DE8"/>
    <w:rsid w:val="00B92B94"/>
    <w:rsid w:val="00B934F4"/>
    <w:rsid w:val="00B958BC"/>
    <w:rsid w:val="00B96039"/>
    <w:rsid w:val="00B96CF3"/>
    <w:rsid w:val="00B9702A"/>
    <w:rsid w:val="00BA0400"/>
    <w:rsid w:val="00BA1764"/>
    <w:rsid w:val="00BA3182"/>
    <w:rsid w:val="00BA37FA"/>
    <w:rsid w:val="00BA544E"/>
    <w:rsid w:val="00BA6181"/>
    <w:rsid w:val="00BA7736"/>
    <w:rsid w:val="00BB11C2"/>
    <w:rsid w:val="00BB2B2F"/>
    <w:rsid w:val="00BB2BDF"/>
    <w:rsid w:val="00BB330C"/>
    <w:rsid w:val="00BB41F3"/>
    <w:rsid w:val="00BB53AF"/>
    <w:rsid w:val="00BB5C88"/>
    <w:rsid w:val="00BB7619"/>
    <w:rsid w:val="00BB7937"/>
    <w:rsid w:val="00BC13C2"/>
    <w:rsid w:val="00BC1C7E"/>
    <w:rsid w:val="00BC1DC5"/>
    <w:rsid w:val="00BC26E3"/>
    <w:rsid w:val="00BC33E0"/>
    <w:rsid w:val="00BC36AF"/>
    <w:rsid w:val="00BC46AB"/>
    <w:rsid w:val="00BC5C37"/>
    <w:rsid w:val="00BC74B8"/>
    <w:rsid w:val="00BC74BC"/>
    <w:rsid w:val="00BC76E7"/>
    <w:rsid w:val="00BD08A8"/>
    <w:rsid w:val="00BD0F4D"/>
    <w:rsid w:val="00BD286A"/>
    <w:rsid w:val="00BD3683"/>
    <w:rsid w:val="00BD3A4A"/>
    <w:rsid w:val="00BD400E"/>
    <w:rsid w:val="00BD42F6"/>
    <w:rsid w:val="00BD6214"/>
    <w:rsid w:val="00BD6A30"/>
    <w:rsid w:val="00BD7345"/>
    <w:rsid w:val="00BD73B2"/>
    <w:rsid w:val="00BE0173"/>
    <w:rsid w:val="00BE1E7B"/>
    <w:rsid w:val="00BE2F4E"/>
    <w:rsid w:val="00BE3CC6"/>
    <w:rsid w:val="00BE41B3"/>
    <w:rsid w:val="00BE4F78"/>
    <w:rsid w:val="00BE5451"/>
    <w:rsid w:val="00BE62DF"/>
    <w:rsid w:val="00BE6561"/>
    <w:rsid w:val="00BF061E"/>
    <w:rsid w:val="00BF0F3C"/>
    <w:rsid w:val="00BF1130"/>
    <w:rsid w:val="00BF1686"/>
    <w:rsid w:val="00BF1B57"/>
    <w:rsid w:val="00BF20C1"/>
    <w:rsid w:val="00BF21D8"/>
    <w:rsid w:val="00BF3CD9"/>
    <w:rsid w:val="00BF522A"/>
    <w:rsid w:val="00BF53DE"/>
    <w:rsid w:val="00BF68A0"/>
    <w:rsid w:val="00BF6FD7"/>
    <w:rsid w:val="00BF71DF"/>
    <w:rsid w:val="00BF78CF"/>
    <w:rsid w:val="00BF7F81"/>
    <w:rsid w:val="00C002C2"/>
    <w:rsid w:val="00C01909"/>
    <w:rsid w:val="00C01BC5"/>
    <w:rsid w:val="00C0476A"/>
    <w:rsid w:val="00C05784"/>
    <w:rsid w:val="00C07C57"/>
    <w:rsid w:val="00C07CDA"/>
    <w:rsid w:val="00C07EA2"/>
    <w:rsid w:val="00C10096"/>
    <w:rsid w:val="00C10288"/>
    <w:rsid w:val="00C10378"/>
    <w:rsid w:val="00C113FE"/>
    <w:rsid w:val="00C11574"/>
    <w:rsid w:val="00C11708"/>
    <w:rsid w:val="00C132A7"/>
    <w:rsid w:val="00C15A0D"/>
    <w:rsid w:val="00C1744D"/>
    <w:rsid w:val="00C17641"/>
    <w:rsid w:val="00C20193"/>
    <w:rsid w:val="00C20ABA"/>
    <w:rsid w:val="00C2149B"/>
    <w:rsid w:val="00C21DDE"/>
    <w:rsid w:val="00C2263B"/>
    <w:rsid w:val="00C22A4B"/>
    <w:rsid w:val="00C233D9"/>
    <w:rsid w:val="00C23FDA"/>
    <w:rsid w:val="00C2410F"/>
    <w:rsid w:val="00C24B6A"/>
    <w:rsid w:val="00C25B72"/>
    <w:rsid w:val="00C26136"/>
    <w:rsid w:val="00C264CE"/>
    <w:rsid w:val="00C26955"/>
    <w:rsid w:val="00C27BE5"/>
    <w:rsid w:val="00C305B3"/>
    <w:rsid w:val="00C306E4"/>
    <w:rsid w:val="00C312C9"/>
    <w:rsid w:val="00C31EBA"/>
    <w:rsid w:val="00C333B5"/>
    <w:rsid w:val="00C33403"/>
    <w:rsid w:val="00C336E5"/>
    <w:rsid w:val="00C33E43"/>
    <w:rsid w:val="00C34496"/>
    <w:rsid w:val="00C3473F"/>
    <w:rsid w:val="00C35251"/>
    <w:rsid w:val="00C363CC"/>
    <w:rsid w:val="00C36D5E"/>
    <w:rsid w:val="00C3795A"/>
    <w:rsid w:val="00C37A51"/>
    <w:rsid w:val="00C402D8"/>
    <w:rsid w:val="00C404B8"/>
    <w:rsid w:val="00C405D4"/>
    <w:rsid w:val="00C409EA"/>
    <w:rsid w:val="00C40B45"/>
    <w:rsid w:val="00C42262"/>
    <w:rsid w:val="00C423C8"/>
    <w:rsid w:val="00C4269F"/>
    <w:rsid w:val="00C42D63"/>
    <w:rsid w:val="00C4334C"/>
    <w:rsid w:val="00C43905"/>
    <w:rsid w:val="00C4502C"/>
    <w:rsid w:val="00C45D76"/>
    <w:rsid w:val="00C45E58"/>
    <w:rsid w:val="00C45E80"/>
    <w:rsid w:val="00C4685E"/>
    <w:rsid w:val="00C46F68"/>
    <w:rsid w:val="00C476B5"/>
    <w:rsid w:val="00C51CAD"/>
    <w:rsid w:val="00C5228C"/>
    <w:rsid w:val="00C5292C"/>
    <w:rsid w:val="00C52C4A"/>
    <w:rsid w:val="00C533DA"/>
    <w:rsid w:val="00C543FC"/>
    <w:rsid w:val="00C54573"/>
    <w:rsid w:val="00C547C6"/>
    <w:rsid w:val="00C55C31"/>
    <w:rsid w:val="00C5600A"/>
    <w:rsid w:val="00C57B98"/>
    <w:rsid w:val="00C57FAB"/>
    <w:rsid w:val="00C57FDB"/>
    <w:rsid w:val="00C57FE9"/>
    <w:rsid w:val="00C60F43"/>
    <w:rsid w:val="00C614A7"/>
    <w:rsid w:val="00C63143"/>
    <w:rsid w:val="00C63D9E"/>
    <w:rsid w:val="00C6404D"/>
    <w:rsid w:val="00C655DD"/>
    <w:rsid w:val="00C65F9B"/>
    <w:rsid w:val="00C66D5C"/>
    <w:rsid w:val="00C66E40"/>
    <w:rsid w:val="00C67A49"/>
    <w:rsid w:val="00C67F8D"/>
    <w:rsid w:val="00C704EE"/>
    <w:rsid w:val="00C72831"/>
    <w:rsid w:val="00C72A0A"/>
    <w:rsid w:val="00C72AB8"/>
    <w:rsid w:val="00C72FBA"/>
    <w:rsid w:val="00C73E3A"/>
    <w:rsid w:val="00C755AD"/>
    <w:rsid w:val="00C76378"/>
    <w:rsid w:val="00C8011F"/>
    <w:rsid w:val="00C82B7D"/>
    <w:rsid w:val="00C8358C"/>
    <w:rsid w:val="00C8529B"/>
    <w:rsid w:val="00C85595"/>
    <w:rsid w:val="00C869D1"/>
    <w:rsid w:val="00C86E17"/>
    <w:rsid w:val="00C86F6E"/>
    <w:rsid w:val="00C87B80"/>
    <w:rsid w:val="00C902DC"/>
    <w:rsid w:val="00C90E0A"/>
    <w:rsid w:val="00C924B3"/>
    <w:rsid w:val="00C92945"/>
    <w:rsid w:val="00C9474D"/>
    <w:rsid w:val="00C94B70"/>
    <w:rsid w:val="00C95BCD"/>
    <w:rsid w:val="00C95E60"/>
    <w:rsid w:val="00C960AC"/>
    <w:rsid w:val="00C96EB8"/>
    <w:rsid w:val="00C97C58"/>
    <w:rsid w:val="00CA018B"/>
    <w:rsid w:val="00CA0F07"/>
    <w:rsid w:val="00CA1924"/>
    <w:rsid w:val="00CA19D2"/>
    <w:rsid w:val="00CA1C2F"/>
    <w:rsid w:val="00CA20B8"/>
    <w:rsid w:val="00CA3EC6"/>
    <w:rsid w:val="00CA5016"/>
    <w:rsid w:val="00CA5753"/>
    <w:rsid w:val="00CA69E7"/>
    <w:rsid w:val="00CA7DB0"/>
    <w:rsid w:val="00CB141C"/>
    <w:rsid w:val="00CB1C15"/>
    <w:rsid w:val="00CB1C67"/>
    <w:rsid w:val="00CB1EE5"/>
    <w:rsid w:val="00CB2CB0"/>
    <w:rsid w:val="00CB2DD1"/>
    <w:rsid w:val="00CB327A"/>
    <w:rsid w:val="00CB5000"/>
    <w:rsid w:val="00CB55BE"/>
    <w:rsid w:val="00CB6486"/>
    <w:rsid w:val="00CB6A57"/>
    <w:rsid w:val="00CC122C"/>
    <w:rsid w:val="00CC137D"/>
    <w:rsid w:val="00CC3492"/>
    <w:rsid w:val="00CC3A67"/>
    <w:rsid w:val="00CC4773"/>
    <w:rsid w:val="00CC6B77"/>
    <w:rsid w:val="00CC6BA5"/>
    <w:rsid w:val="00CD04AA"/>
    <w:rsid w:val="00CD0E3D"/>
    <w:rsid w:val="00CD2F50"/>
    <w:rsid w:val="00CD34A4"/>
    <w:rsid w:val="00CD47C6"/>
    <w:rsid w:val="00CD54FC"/>
    <w:rsid w:val="00CD56B4"/>
    <w:rsid w:val="00CD5A10"/>
    <w:rsid w:val="00CD5B4A"/>
    <w:rsid w:val="00CD5DD4"/>
    <w:rsid w:val="00CD5EBB"/>
    <w:rsid w:val="00CD648E"/>
    <w:rsid w:val="00CD77CE"/>
    <w:rsid w:val="00CD7DCD"/>
    <w:rsid w:val="00CE0E5A"/>
    <w:rsid w:val="00CE1000"/>
    <w:rsid w:val="00CE13C6"/>
    <w:rsid w:val="00CE1DDF"/>
    <w:rsid w:val="00CE219A"/>
    <w:rsid w:val="00CE2EE4"/>
    <w:rsid w:val="00CE351B"/>
    <w:rsid w:val="00CE3BD0"/>
    <w:rsid w:val="00CE4CA3"/>
    <w:rsid w:val="00CE4F87"/>
    <w:rsid w:val="00CE5916"/>
    <w:rsid w:val="00CE5FF3"/>
    <w:rsid w:val="00CE600D"/>
    <w:rsid w:val="00CE6C0C"/>
    <w:rsid w:val="00CE6C47"/>
    <w:rsid w:val="00CE74ED"/>
    <w:rsid w:val="00CE7C38"/>
    <w:rsid w:val="00CE7E4B"/>
    <w:rsid w:val="00CF0334"/>
    <w:rsid w:val="00CF0A5E"/>
    <w:rsid w:val="00CF2B33"/>
    <w:rsid w:val="00CF3385"/>
    <w:rsid w:val="00CF3429"/>
    <w:rsid w:val="00CF370D"/>
    <w:rsid w:val="00CF3C28"/>
    <w:rsid w:val="00CF3CB5"/>
    <w:rsid w:val="00CF451B"/>
    <w:rsid w:val="00CF48CD"/>
    <w:rsid w:val="00CF49FF"/>
    <w:rsid w:val="00CF5139"/>
    <w:rsid w:val="00CF5C24"/>
    <w:rsid w:val="00CF5FFF"/>
    <w:rsid w:val="00CF6A7C"/>
    <w:rsid w:val="00CF71E1"/>
    <w:rsid w:val="00CF7382"/>
    <w:rsid w:val="00D00740"/>
    <w:rsid w:val="00D00BDB"/>
    <w:rsid w:val="00D02334"/>
    <w:rsid w:val="00D025CB"/>
    <w:rsid w:val="00D0275B"/>
    <w:rsid w:val="00D0334B"/>
    <w:rsid w:val="00D037BF"/>
    <w:rsid w:val="00D03C48"/>
    <w:rsid w:val="00D05E8C"/>
    <w:rsid w:val="00D06081"/>
    <w:rsid w:val="00D06D04"/>
    <w:rsid w:val="00D0704F"/>
    <w:rsid w:val="00D07278"/>
    <w:rsid w:val="00D07592"/>
    <w:rsid w:val="00D07DF9"/>
    <w:rsid w:val="00D10113"/>
    <w:rsid w:val="00D11465"/>
    <w:rsid w:val="00D129AD"/>
    <w:rsid w:val="00D13193"/>
    <w:rsid w:val="00D1399F"/>
    <w:rsid w:val="00D14CCA"/>
    <w:rsid w:val="00D14DB0"/>
    <w:rsid w:val="00D15473"/>
    <w:rsid w:val="00D177D3"/>
    <w:rsid w:val="00D2187D"/>
    <w:rsid w:val="00D21A1B"/>
    <w:rsid w:val="00D21F9E"/>
    <w:rsid w:val="00D22233"/>
    <w:rsid w:val="00D2341A"/>
    <w:rsid w:val="00D23C8A"/>
    <w:rsid w:val="00D23D60"/>
    <w:rsid w:val="00D2499A"/>
    <w:rsid w:val="00D24A0F"/>
    <w:rsid w:val="00D25144"/>
    <w:rsid w:val="00D25A50"/>
    <w:rsid w:val="00D25F49"/>
    <w:rsid w:val="00D2642B"/>
    <w:rsid w:val="00D27E04"/>
    <w:rsid w:val="00D30010"/>
    <w:rsid w:val="00D30342"/>
    <w:rsid w:val="00D30B4D"/>
    <w:rsid w:val="00D30F74"/>
    <w:rsid w:val="00D312F7"/>
    <w:rsid w:val="00D3182D"/>
    <w:rsid w:val="00D31AE5"/>
    <w:rsid w:val="00D334D6"/>
    <w:rsid w:val="00D33B0B"/>
    <w:rsid w:val="00D33C95"/>
    <w:rsid w:val="00D3474D"/>
    <w:rsid w:val="00D347A6"/>
    <w:rsid w:val="00D369C9"/>
    <w:rsid w:val="00D413B2"/>
    <w:rsid w:val="00D42EB5"/>
    <w:rsid w:val="00D43A4A"/>
    <w:rsid w:val="00D43CFC"/>
    <w:rsid w:val="00D46991"/>
    <w:rsid w:val="00D46E1C"/>
    <w:rsid w:val="00D507DB"/>
    <w:rsid w:val="00D53A88"/>
    <w:rsid w:val="00D540DF"/>
    <w:rsid w:val="00D5520E"/>
    <w:rsid w:val="00D55324"/>
    <w:rsid w:val="00D56F68"/>
    <w:rsid w:val="00D571E8"/>
    <w:rsid w:val="00D5724D"/>
    <w:rsid w:val="00D5785D"/>
    <w:rsid w:val="00D57D0D"/>
    <w:rsid w:val="00D6056C"/>
    <w:rsid w:val="00D60C30"/>
    <w:rsid w:val="00D61FA6"/>
    <w:rsid w:val="00D62972"/>
    <w:rsid w:val="00D63591"/>
    <w:rsid w:val="00D639C4"/>
    <w:rsid w:val="00D639CC"/>
    <w:rsid w:val="00D6433D"/>
    <w:rsid w:val="00D655A6"/>
    <w:rsid w:val="00D659CD"/>
    <w:rsid w:val="00D71B97"/>
    <w:rsid w:val="00D733E0"/>
    <w:rsid w:val="00D74F45"/>
    <w:rsid w:val="00D7525B"/>
    <w:rsid w:val="00D75780"/>
    <w:rsid w:val="00D75B9D"/>
    <w:rsid w:val="00D77085"/>
    <w:rsid w:val="00D7797D"/>
    <w:rsid w:val="00D77A0F"/>
    <w:rsid w:val="00D808EF"/>
    <w:rsid w:val="00D820B6"/>
    <w:rsid w:val="00D82805"/>
    <w:rsid w:val="00D84C76"/>
    <w:rsid w:val="00D84F2C"/>
    <w:rsid w:val="00D85305"/>
    <w:rsid w:val="00D85939"/>
    <w:rsid w:val="00D85A27"/>
    <w:rsid w:val="00D86C13"/>
    <w:rsid w:val="00D871AE"/>
    <w:rsid w:val="00D8788E"/>
    <w:rsid w:val="00D922B9"/>
    <w:rsid w:val="00D9275C"/>
    <w:rsid w:val="00D92BB9"/>
    <w:rsid w:val="00D93D2C"/>
    <w:rsid w:val="00D94AE4"/>
    <w:rsid w:val="00D94B36"/>
    <w:rsid w:val="00D94B82"/>
    <w:rsid w:val="00D96004"/>
    <w:rsid w:val="00D96235"/>
    <w:rsid w:val="00D97927"/>
    <w:rsid w:val="00DA00D5"/>
    <w:rsid w:val="00DA0146"/>
    <w:rsid w:val="00DA0392"/>
    <w:rsid w:val="00DA0A33"/>
    <w:rsid w:val="00DA2293"/>
    <w:rsid w:val="00DA2913"/>
    <w:rsid w:val="00DA2FFE"/>
    <w:rsid w:val="00DA38D2"/>
    <w:rsid w:val="00DA3CE6"/>
    <w:rsid w:val="00DA53E8"/>
    <w:rsid w:val="00DA54CE"/>
    <w:rsid w:val="00DA6BC9"/>
    <w:rsid w:val="00DA6C05"/>
    <w:rsid w:val="00DA7AEF"/>
    <w:rsid w:val="00DB0F9D"/>
    <w:rsid w:val="00DB1F3D"/>
    <w:rsid w:val="00DB2295"/>
    <w:rsid w:val="00DB2762"/>
    <w:rsid w:val="00DB2AC7"/>
    <w:rsid w:val="00DB3868"/>
    <w:rsid w:val="00DB6568"/>
    <w:rsid w:val="00DB6845"/>
    <w:rsid w:val="00DC0040"/>
    <w:rsid w:val="00DC2A1F"/>
    <w:rsid w:val="00DC43C8"/>
    <w:rsid w:val="00DC4AAD"/>
    <w:rsid w:val="00DD0287"/>
    <w:rsid w:val="00DD127B"/>
    <w:rsid w:val="00DD1314"/>
    <w:rsid w:val="00DD1BA6"/>
    <w:rsid w:val="00DD3FAB"/>
    <w:rsid w:val="00DD4263"/>
    <w:rsid w:val="00DD70ED"/>
    <w:rsid w:val="00DE0271"/>
    <w:rsid w:val="00DE1108"/>
    <w:rsid w:val="00DE2230"/>
    <w:rsid w:val="00DE2391"/>
    <w:rsid w:val="00DE268E"/>
    <w:rsid w:val="00DE2B08"/>
    <w:rsid w:val="00DE2BDA"/>
    <w:rsid w:val="00DE5E9E"/>
    <w:rsid w:val="00DE612A"/>
    <w:rsid w:val="00DE679B"/>
    <w:rsid w:val="00DF091E"/>
    <w:rsid w:val="00DF261B"/>
    <w:rsid w:val="00DF3095"/>
    <w:rsid w:val="00DF3BF4"/>
    <w:rsid w:val="00DF4DB6"/>
    <w:rsid w:val="00DF53FA"/>
    <w:rsid w:val="00DF679C"/>
    <w:rsid w:val="00DF775D"/>
    <w:rsid w:val="00E00B45"/>
    <w:rsid w:val="00E01C3B"/>
    <w:rsid w:val="00E022AA"/>
    <w:rsid w:val="00E03093"/>
    <w:rsid w:val="00E0321A"/>
    <w:rsid w:val="00E06186"/>
    <w:rsid w:val="00E06529"/>
    <w:rsid w:val="00E06B3E"/>
    <w:rsid w:val="00E10DC3"/>
    <w:rsid w:val="00E10DDC"/>
    <w:rsid w:val="00E10F19"/>
    <w:rsid w:val="00E11225"/>
    <w:rsid w:val="00E11882"/>
    <w:rsid w:val="00E1218D"/>
    <w:rsid w:val="00E1318B"/>
    <w:rsid w:val="00E13BBD"/>
    <w:rsid w:val="00E14872"/>
    <w:rsid w:val="00E1502E"/>
    <w:rsid w:val="00E1527D"/>
    <w:rsid w:val="00E15710"/>
    <w:rsid w:val="00E16419"/>
    <w:rsid w:val="00E17A85"/>
    <w:rsid w:val="00E21A56"/>
    <w:rsid w:val="00E21EFB"/>
    <w:rsid w:val="00E222AF"/>
    <w:rsid w:val="00E2233E"/>
    <w:rsid w:val="00E2242A"/>
    <w:rsid w:val="00E22D9E"/>
    <w:rsid w:val="00E23C14"/>
    <w:rsid w:val="00E24996"/>
    <w:rsid w:val="00E2687E"/>
    <w:rsid w:val="00E2696A"/>
    <w:rsid w:val="00E26CF8"/>
    <w:rsid w:val="00E27086"/>
    <w:rsid w:val="00E2757E"/>
    <w:rsid w:val="00E30F1E"/>
    <w:rsid w:val="00E337D7"/>
    <w:rsid w:val="00E35B77"/>
    <w:rsid w:val="00E3636E"/>
    <w:rsid w:val="00E3713E"/>
    <w:rsid w:val="00E3797A"/>
    <w:rsid w:val="00E411A6"/>
    <w:rsid w:val="00E41BA0"/>
    <w:rsid w:val="00E420D0"/>
    <w:rsid w:val="00E432AB"/>
    <w:rsid w:val="00E43C4C"/>
    <w:rsid w:val="00E44771"/>
    <w:rsid w:val="00E46A6D"/>
    <w:rsid w:val="00E47C27"/>
    <w:rsid w:val="00E50452"/>
    <w:rsid w:val="00E504AA"/>
    <w:rsid w:val="00E5174A"/>
    <w:rsid w:val="00E51B1F"/>
    <w:rsid w:val="00E51C3C"/>
    <w:rsid w:val="00E5249C"/>
    <w:rsid w:val="00E5340A"/>
    <w:rsid w:val="00E54602"/>
    <w:rsid w:val="00E5494F"/>
    <w:rsid w:val="00E54976"/>
    <w:rsid w:val="00E56103"/>
    <w:rsid w:val="00E56FB2"/>
    <w:rsid w:val="00E57242"/>
    <w:rsid w:val="00E57935"/>
    <w:rsid w:val="00E5798D"/>
    <w:rsid w:val="00E609C1"/>
    <w:rsid w:val="00E60DAE"/>
    <w:rsid w:val="00E6307D"/>
    <w:rsid w:val="00E65108"/>
    <w:rsid w:val="00E66A25"/>
    <w:rsid w:val="00E67575"/>
    <w:rsid w:val="00E67990"/>
    <w:rsid w:val="00E701A2"/>
    <w:rsid w:val="00E71068"/>
    <w:rsid w:val="00E714A8"/>
    <w:rsid w:val="00E72768"/>
    <w:rsid w:val="00E72CD4"/>
    <w:rsid w:val="00E731B0"/>
    <w:rsid w:val="00E73F07"/>
    <w:rsid w:val="00E74C08"/>
    <w:rsid w:val="00E76288"/>
    <w:rsid w:val="00E800A9"/>
    <w:rsid w:val="00E8029B"/>
    <w:rsid w:val="00E80659"/>
    <w:rsid w:val="00E806C0"/>
    <w:rsid w:val="00E80C25"/>
    <w:rsid w:val="00E8396E"/>
    <w:rsid w:val="00E83D89"/>
    <w:rsid w:val="00E83FD0"/>
    <w:rsid w:val="00E84E47"/>
    <w:rsid w:val="00E85C7A"/>
    <w:rsid w:val="00E86C18"/>
    <w:rsid w:val="00E876D5"/>
    <w:rsid w:val="00E9059C"/>
    <w:rsid w:val="00E9167D"/>
    <w:rsid w:val="00E9232F"/>
    <w:rsid w:val="00E92F9F"/>
    <w:rsid w:val="00E9401A"/>
    <w:rsid w:val="00E944E6"/>
    <w:rsid w:val="00E96BF3"/>
    <w:rsid w:val="00E973E2"/>
    <w:rsid w:val="00EA0136"/>
    <w:rsid w:val="00EA01E0"/>
    <w:rsid w:val="00EA08DC"/>
    <w:rsid w:val="00EA0A2D"/>
    <w:rsid w:val="00EA26CA"/>
    <w:rsid w:val="00EA2859"/>
    <w:rsid w:val="00EA2A40"/>
    <w:rsid w:val="00EA4375"/>
    <w:rsid w:val="00EA492C"/>
    <w:rsid w:val="00EA4A2C"/>
    <w:rsid w:val="00EA5D30"/>
    <w:rsid w:val="00EA644D"/>
    <w:rsid w:val="00EA695A"/>
    <w:rsid w:val="00EB1BC2"/>
    <w:rsid w:val="00EB1FFA"/>
    <w:rsid w:val="00EB2DF8"/>
    <w:rsid w:val="00EB3AF5"/>
    <w:rsid w:val="00EB3EC8"/>
    <w:rsid w:val="00EB5893"/>
    <w:rsid w:val="00EB6177"/>
    <w:rsid w:val="00EB690A"/>
    <w:rsid w:val="00EB70C5"/>
    <w:rsid w:val="00EB7162"/>
    <w:rsid w:val="00EB7DB9"/>
    <w:rsid w:val="00EC01EC"/>
    <w:rsid w:val="00EC0276"/>
    <w:rsid w:val="00EC0469"/>
    <w:rsid w:val="00EC1049"/>
    <w:rsid w:val="00EC10EA"/>
    <w:rsid w:val="00EC1D29"/>
    <w:rsid w:val="00EC1E80"/>
    <w:rsid w:val="00EC2BA6"/>
    <w:rsid w:val="00EC2EBD"/>
    <w:rsid w:val="00EC313B"/>
    <w:rsid w:val="00EC5114"/>
    <w:rsid w:val="00EC5E1E"/>
    <w:rsid w:val="00EC6908"/>
    <w:rsid w:val="00EC6E41"/>
    <w:rsid w:val="00EC7467"/>
    <w:rsid w:val="00EC7E67"/>
    <w:rsid w:val="00ED0973"/>
    <w:rsid w:val="00ED1810"/>
    <w:rsid w:val="00ED34B7"/>
    <w:rsid w:val="00ED3A58"/>
    <w:rsid w:val="00ED52D2"/>
    <w:rsid w:val="00ED5435"/>
    <w:rsid w:val="00ED6207"/>
    <w:rsid w:val="00ED671C"/>
    <w:rsid w:val="00ED6963"/>
    <w:rsid w:val="00ED7566"/>
    <w:rsid w:val="00EE0CB4"/>
    <w:rsid w:val="00EE3FEE"/>
    <w:rsid w:val="00EE43C9"/>
    <w:rsid w:val="00EE5BDD"/>
    <w:rsid w:val="00EE6284"/>
    <w:rsid w:val="00EE62D8"/>
    <w:rsid w:val="00EE7F22"/>
    <w:rsid w:val="00EF00B8"/>
    <w:rsid w:val="00EF1DC3"/>
    <w:rsid w:val="00EF24B4"/>
    <w:rsid w:val="00EF42B2"/>
    <w:rsid w:val="00EF7479"/>
    <w:rsid w:val="00F006DD"/>
    <w:rsid w:val="00F00CFF"/>
    <w:rsid w:val="00F015F1"/>
    <w:rsid w:val="00F0176A"/>
    <w:rsid w:val="00F01911"/>
    <w:rsid w:val="00F055B8"/>
    <w:rsid w:val="00F05BB1"/>
    <w:rsid w:val="00F104C5"/>
    <w:rsid w:val="00F105A4"/>
    <w:rsid w:val="00F110B1"/>
    <w:rsid w:val="00F119FB"/>
    <w:rsid w:val="00F11D31"/>
    <w:rsid w:val="00F1213B"/>
    <w:rsid w:val="00F127B9"/>
    <w:rsid w:val="00F1291F"/>
    <w:rsid w:val="00F13E9D"/>
    <w:rsid w:val="00F14361"/>
    <w:rsid w:val="00F15310"/>
    <w:rsid w:val="00F15541"/>
    <w:rsid w:val="00F15B65"/>
    <w:rsid w:val="00F16DC0"/>
    <w:rsid w:val="00F16F30"/>
    <w:rsid w:val="00F20645"/>
    <w:rsid w:val="00F216CC"/>
    <w:rsid w:val="00F21F99"/>
    <w:rsid w:val="00F225E6"/>
    <w:rsid w:val="00F23122"/>
    <w:rsid w:val="00F231C3"/>
    <w:rsid w:val="00F2326A"/>
    <w:rsid w:val="00F2452E"/>
    <w:rsid w:val="00F24A51"/>
    <w:rsid w:val="00F251DB"/>
    <w:rsid w:val="00F25597"/>
    <w:rsid w:val="00F25D3F"/>
    <w:rsid w:val="00F2684F"/>
    <w:rsid w:val="00F26B84"/>
    <w:rsid w:val="00F30351"/>
    <w:rsid w:val="00F307D4"/>
    <w:rsid w:val="00F30A13"/>
    <w:rsid w:val="00F31A06"/>
    <w:rsid w:val="00F32B72"/>
    <w:rsid w:val="00F33D1E"/>
    <w:rsid w:val="00F3523E"/>
    <w:rsid w:val="00F36A4E"/>
    <w:rsid w:val="00F37296"/>
    <w:rsid w:val="00F37380"/>
    <w:rsid w:val="00F40299"/>
    <w:rsid w:val="00F402D4"/>
    <w:rsid w:val="00F4114C"/>
    <w:rsid w:val="00F41D97"/>
    <w:rsid w:val="00F42042"/>
    <w:rsid w:val="00F42138"/>
    <w:rsid w:val="00F423CF"/>
    <w:rsid w:val="00F4249F"/>
    <w:rsid w:val="00F42B97"/>
    <w:rsid w:val="00F42E92"/>
    <w:rsid w:val="00F431F7"/>
    <w:rsid w:val="00F43BD7"/>
    <w:rsid w:val="00F442B4"/>
    <w:rsid w:val="00F4481B"/>
    <w:rsid w:val="00F45889"/>
    <w:rsid w:val="00F4633A"/>
    <w:rsid w:val="00F464D0"/>
    <w:rsid w:val="00F46EE2"/>
    <w:rsid w:val="00F47A6A"/>
    <w:rsid w:val="00F51541"/>
    <w:rsid w:val="00F527CE"/>
    <w:rsid w:val="00F56562"/>
    <w:rsid w:val="00F56AD3"/>
    <w:rsid w:val="00F60F1D"/>
    <w:rsid w:val="00F6144D"/>
    <w:rsid w:val="00F61541"/>
    <w:rsid w:val="00F621BB"/>
    <w:rsid w:val="00F63478"/>
    <w:rsid w:val="00F634FA"/>
    <w:rsid w:val="00F64C09"/>
    <w:rsid w:val="00F64DE0"/>
    <w:rsid w:val="00F6510F"/>
    <w:rsid w:val="00F6536B"/>
    <w:rsid w:val="00F66250"/>
    <w:rsid w:val="00F66F8C"/>
    <w:rsid w:val="00F70AE2"/>
    <w:rsid w:val="00F71B2E"/>
    <w:rsid w:val="00F73583"/>
    <w:rsid w:val="00F74169"/>
    <w:rsid w:val="00F741AF"/>
    <w:rsid w:val="00F756A2"/>
    <w:rsid w:val="00F767D6"/>
    <w:rsid w:val="00F7696A"/>
    <w:rsid w:val="00F76C12"/>
    <w:rsid w:val="00F76D20"/>
    <w:rsid w:val="00F8042D"/>
    <w:rsid w:val="00F806D3"/>
    <w:rsid w:val="00F81B7E"/>
    <w:rsid w:val="00F82A87"/>
    <w:rsid w:val="00F83780"/>
    <w:rsid w:val="00F840F3"/>
    <w:rsid w:val="00F84E59"/>
    <w:rsid w:val="00F87EBA"/>
    <w:rsid w:val="00F90255"/>
    <w:rsid w:val="00F91E5D"/>
    <w:rsid w:val="00F91FA9"/>
    <w:rsid w:val="00F929BD"/>
    <w:rsid w:val="00F92DE8"/>
    <w:rsid w:val="00F9337C"/>
    <w:rsid w:val="00F933EA"/>
    <w:rsid w:val="00F93450"/>
    <w:rsid w:val="00F93A2F"/>
    <w:rsid w:val="00F959D7"/>
    <w:rsid w:val="00F95D7E"/>
    <w:rsid w:val="00F9615F"/>
    <w:rsid w:val="00FA0EAF"/>
    <w:rsid w:val="00FA1555"/>
    <w:rsid w:val="00FA1A0E"/>
    <w:rsid w:val="00FA300D"/>
    <w:rsid w:val="00FA4B37"/>
    <w:rsid w:val="00FA548B"/>
    <w:rsid w:val="00FA5B11"/>
    <w:rsid w:val="00FA78FE"/>
    <w:rsid w:val="00FA7CC6"/>
    <w:rsid w:val="00FB08CB"/>
    <w:rsid w:val="00FB0B9F"/>
    <w:rsid w:val="00FB132D"/>
    <w:rsid w:val="00FB39C4"/>
    <w:rsid w:val="00FB4249"/>
    <w:rsid w:val="00FB4266"/>
    <w:rsid w:val="00FB48D3"/>
    <w:rsid w:val="00FB4F3A"/>
    <w:rsid w:val="00FB5D1A"/>
    <w:rsid w:val="00FB5ECA"/>
    <w:rsid w:val="00FB6741"/>
    <w:rsid w:val="00FC09C1"/>
    <w:rsid w:val="00FC1C09"/>
    <w:rsid w:val="00FC261B"/>
    <w:rsid w:val="00FC2656"/>
    <w:rsid w:val="00FC2EEF"/>
    <w:rsid w:val="00FC404C"/>
    <w:rsid w:val="00FC4C5B"/>
    <w:rsid w:val="00FC57EF"/>
    <w:rsid w:val="00FC7634"/>
    <w:rsid w:val="00FC794A"/>
    <w:rsid w:val="00FC7E59"/>
    <w:rsid w:val="00FD08D0"/>
    <w:rsid w:val="00FD120D"/>
    <w:rsid w:val="00FD2B71"/>
    <w:rsid w:val="00FD3897"/>
    <w:rsid w:val="00FD38CE"/>
    <w:rsid w:val="00FD40EA"/>
    <w:rsid w:val="00FD54F3"/>
    <w:rsid w:val="00FD56B5"/>
    <w:rsid w:val="00FD57D3"/>
    <w:rsid w:val="00FD5A20"/>
    <w:rsid w:val="00FD69F7"/>
    <w:rsid w:val="00FE1AB3"/>
    <w:rsid w:val="00FE1BEE"/>
    <w:rsid w:val="00FE1DB1"/>
    <w:rsid w:val="00FE1F69"/>
    <w:rsid w:val="00FE2E9E"/>
    <w:rsid w:val="00FE30E2"/>
    <w:rsid w:val="00FE3595"/>
    <w:rsid w:val="00FE4431"/>
    <w:rsid w:val="00FE466E"/>
    <w:rsid w:val="00FE47BF"/>
    <w:rsid w:val="00FE4FE8"/>
    <w:rsid w:val="00FE53AB"/>
    <w:rsid w:val="00FE553D"/>
    <w:rsid w:val="00FE5832"/>
    <w:rsid w:val="00FE7344"/>
    <w:rsid w:val="00FF106F"/>
    <w:rsid w:val="00FF14C7"/>
    <w:rsid w:val="00FF1B74"/>
    <w:rsid w:val="00FF258B"/>
    <w:rsid w:val="00FF25A2"/>
    <w:rsid w:val="00FF2AAD"/>
    <w:rsid w:val="00FF2DF7"/>
    <w:rsid w:val="00FF310D"/>
    <w:rsid w:val="00FF3193"/>
    <w:rsid w:val="00FF535C"/>
    <w:rsid w:val="00FF546C"/>
    <w:rsid w:val="00FF555E"/>
    <w:rsid w:val="00FF5853"/>
    <w:rsid w:val="00FF5DD6"/>
    <w:rsid w:val="00FF6A30"/>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67B84"/>
  <w15:chartTrackingRefBased/>
  <w15:docId w15:val="{E68D5D34-13CF-4B26-A5A6-9CDBFD4F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216"/>
    <w:rPr>
      <w:sz w:val="24"/>
      <w:szCs w:val="24"/>
      <w:lang w:eastAsia="en-GB"/>
    </w:rPr>
  </w:style>
  <w:style w:type="paragraph" w:styleId="Heading1">
    <w:name w:val="heading 1"/>
    <w:basedOn w:val="Normal"/>
    <w:next w:val="Marge"/>
    <w:qFormat/>
    <w:rsid w:val="002F4D65"/>
    <w:pPr>
      <w:keepNext/>
      <w:keepLines/>
      <w:numPr>
        <w:numId w:val="8"/>
      </w:numPr>
      <w:tabs>
        <w:tab w:val="left" w:pos="709"/>
      </w:tabs>
      <w:spacing w:after="240"/>
      <w:ind w:left="709" w:hanging="720"/>
      <w:outlineLvl w:val="0"/>
    </w:pPr>
    <w:rPr>
      <w:rFonts w:ascii="Arial" w:hAnsi="Arial" w:cs="Arial"/>
      <w:b/>
      <w:bCs/>
      <w:kern w:val="28"/>
      <w:sz w:val="22"/>
      <w:szCs w:val="22"/>
    </w:rPr>
  </w:style>
  <w:style w:type="paragraph" w:styleId="Heading2">
    <w:name w:val="heading 2"/>
    <w:basedOn w:val="Normal"/>
    <w:next w:val="Marge"/>
    <w:qFormat/>
    <w:rsid w:val="003E7849"/>
    <w:pPr>
      <w:keepNext/>
      <w:keepLines/>
      <w:tabs>
        <w:tab w:val="left" w:pos="737"/>
      </w:tabs>
      <w:spacing w:after="240"/>
      <w:ind w:left="567" w:hanging="567"/>
      <w:outlineLvl w:val="1"/>
    </w:pPr>
    <w:rPr>
      <w:rFonts w:ascii="Arial" w:hAnsi="Arial"/>
      <w:bCs/>
      <w:sz w:val="22"/>
    </w:rPr>
  </w:style>
  <w:style w:type="paragraph" w:styleId="Heading3">
    <w:name w:val="heading 3"/>
    <w:basedOn w:val="Normal"/>
    <w:next w:val="Marge"/>
    <w:link w:val="Heading3Char"/>
    <w:qFormat/>
    <w:rsid w:val="00642818"/>
    <w:pPr>
      <w:keepNext/>
      <w:keepLines/>
      <w:tabs>
        <w:tab w:val="left" w:pos="1134"/>
        <w:tab w:val="left" w:pos="1701"/>
        <w:tab w:val="left" w:pos="2268"/>
        <w:tab w:val="left" w:pos="2835"/>
        <w:tab w:val="left" w:pos="3402"/>
        <w:tab w:val="left" w:pos="3969"/>
        <w:tab w:val="left" w:pos="4536"/>
        <w:tab w:val="left" w:pos="5103"/>
        <w:tab w:val="left" w:pos="5670"/>
        <w:tab w:val="left" w:pos="6970"/>
      </w:tabs>
      <w:spacing w:after="240"/>
      <w:ind w:left="709" w:hanging="709"/>
      <w:outlineLvl w:val="2"/>
    </w:pPr>
    <w:rPr>
      <w:rFonts w:ascii="Arial" w:hAnsi="Arial" w:cs="Arial"/>
      <w:b/>
      <w:bCs/>
      <w:sz w:val="22"/>
      <w:szCs w:val="22"/>
    </w:rPr>
  </w:style>
  <w:style w:type="paragraph" w:styleId="Heading4">
    <w:name w:val="heading 4"/>
    <w:basedOn w:val="Normal"/>
    <w:next w:val="Marge"/>
    <w:link w:val="Heading4Char"/>
    <w:qFormat/>
    <w:rsid w:val="00642818"/>
    <w:pPr>
      <w:keepNext/>
      <w:keepLines/>
      <w:spacing w:after="240"/>
      <w:ind w:left="1560" w:hanging="851"/>
      <w:outlineLvl w:val="3"/>
    </w:pPr>
    <w:rPr>
      <w:rFonts w:asciiTheme="minorBidi" w:hAnsiTheme="minorBidi" w:cstheme="minorBidi"/>
      <w:i/>
      <w:iCs/>
      <w:sz w:val="22"/>
      <w:szCs w:val="22"/>
      <w:lang w:eastAsia="en-US"/>
    </w:rPr>
  </w:style>
  <w:style w:type="paragraph" w:styleId="Heading5">
    <w:name w:val="heading 5"/>
    <w:basedOn w:val="Normal"/>
    <w:next w:val="Marge"/>
    <w:autoRedefine/>
    <w:qFormat/>
    <w:rsid w:val="00F47A6A"/>
    <w:pPr>
      <w:keepNext/>
      <w:keepLines/>
      <w:spacing w:after="240"/>
      <w:ind w:left="1701" w:hanging="992"/>
      <w:outlineLvl w:val="4"/>
    </w:pPr>
    <w:rPr>
      <w:rFonts w:ascii="Arial" w:hAnsi="Arial"/>
      <w:bCs/>
      <w:i/>
      <w:sz w:val="22"/>
    </w:rPr>
  </w:style>
  <w:style w:type="paragraph" w:styleId="Heading6">
    <w:name w:val="heading 6"/>
    <w:basedOn w:val="Normal"/>
    <w:next w:val="Marge"/>
    <w:qFormat/>
    <w:pPr>
      <w:keepNext/>
      <w:keepLines/>
      <w:tabs>
        <w:tab w:val="left" w:pos="1134"/>
      </w:tabs>
      <w:spacing w:after="240"/>
      <w:ind w:left="567"/>
      <w:outlineLvl w:val="5"/>
    </w:pPr>
    <w:rPr>
      <w:b/>
      <w:bCs/>
    </w:rPr>
  </w:style>
  <w:style w:type="paragraph" w:styleId="Heading7">
    <w:name w:val="heading 7"/>
    <w:basedOn w:val="Normal"/>
    <w:next w:val="Normal"/>
    <w:qFormat/>
    <w:pPr>
      <w:keepNext/>
      <w:ind w:left="540"/>
      <w:outlineLvl w:val="6"/>
    </w:pPr>
    <w:rPr>
      <w:b/>
      <w:bCs/>
    </w:rPr>
  </w:style>
  <w:style w:type="paragraph" w:styleId="Heading8">
    <w:name w:val="heading 8"/>
    <w:basedOn w:val="Normal"/>
    <w:next w:val="Normal"/>
    <w:qFormat/>
    <w:pPr>
      <w:keepNext/>
      <w:tabs>
        <w:tab w:val="left" w:pos="-1440"/>
      </w:tabs>
      <w:ind w:left="2880" w:hanging="2880"/>
      <w:jc w:val="both"/>
      <w:outlineLvl w:val="7"/>
    </w:pPr>
    <w:rPr>
      <w:u w:val="single"/>
      <w:lang w:val="es-ES_tradnl"/>
    </w:rPr>
  </w:style>
  <w:style w:type="paragraph" w:styleId="Heading9">
    <w:name w:val="heading 9"/>
    <w:basedOn w:val="Normal"/>
    <w:next w:val="Normal"/>
    <w:qFormat/>
    <w:pPr>
      <w:keepNext/>
      <w:spacing w:after="24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qFormat/>
    <w:pPr>
      <w:ind w:firstLine="0"/>
    </w:pPr>
  </w:style>
  <w:style w:type="paragraph" w:customStyle="1" w:styleId="Par">
    <w:name w:val="Par"/>
    <w:basedOn w:val="Normal"/>
    <w:pPr>
      <w:spacing w:after="240"/>
      <w:ind w:firstLine="567"/>
      <w:jc w:val="both"/>
    </w:pPr>
    <w:rPr>
      <w:lang w:eastAsia="en-US"/>
    </w:rPr>
  </w:style>
  <w:style w:type="paragraph" w:customStyle="1" w:styleId="a">
    <w:name w:val="(a)"/>
    <w:basedOn w:val="Normal"/>
    <w:pPr>
      <w:tabs>
        <w:tab w:val="left" w:pos="-737"/>
      </w:tabs>
      <w:spacing w:after="240"/>
      <w:ind w:left="567" w:hanging="567"/>
      <w:jc w:val="both"/>
    </w:pPr>
    <w:rPr>
      <w:lang w:eastAsia="en-US"/>
    </w:rPr>
  </w:style>
  <w:style w:type="paragraph" w:customStyle="1" w:styleId="b">
    <w:name w:val="(b)"/>
    <w:basedOn w:val="a"/>
    <w:pPr>
      <w:tabs>
        <w:tab w:val="left" w:pos="1134"/>
      </w:tabs>
      <w:ind w:left="1134"/>
    </w:pPr>
  </w:style>
  <w:style w:type="paragraph" w:customStyle="1" w:styleId="c">
    <w:name w:val="(c)"/>
    <w:basedOn w:val="Normal"/>
    <w:pPr>
      <w:tabs>
        <w:tab w:val="left" w:pos="1701"/>
      </w:tabs>
      <w:spacing w:after="240"/>
      <w:ind w:left="1701" w:hanging="567"/>
      <w:jc w:val="both"/>
    </w:pPr>
  </w:style>
  <w:style w:type="paragraph" w:customStyle="1" w:styleId="alina">
    <w:name w:val="alinéa"/>
    <w:basedOn w:val="Normal"/>
    <w:pPr>
      <w:spacing w:after="240"/>
      <w:ind w:left="567"/>
      <w:jc w:val="both"/>
    </w:pPr>
    <w:rPr>
      <w:lang w:eastAsia="en-US"/>
    </w:rPr>
  </w:style>
  <w:style w:type="character" w:styleId="FootnoteReference">
    <w:name w:val="footnote reference"/>
    <w:semiHidden/>
    <w:rPr>
      <w:vertAlign w:val="superscript"/>
    </w:rPr>
  </w:style>
  <w:style w:type="paragraph" w:styleId="Header">
    <w:name w:val="header"/>
    <w:basedOn w:val="Normal"/>
    <w:link w:val="HeaderChar"/>
    <w:uiPriority w:val="99"/>
    <w:pPr>
      <w:tabs>
        <w:tab w:val="center" w:pos="4153"/>
        <w:tab w:val="right" w:pos="8306"/>
      </w:tabs>
    </w:pPr>
    <w:rPr>
      <w:lang w:eastAsia="en-US"/>
    </w:rPr>
  </w:style>
  <w:style w:type="paragraph" w:styleId="FootnoteText">
    <w:name w:val="footnote text"/>
    <w:basedOn w:val="Normal"/>
    <w:semiHidden/>
    <w:pPr>
      <w:ind w:left="567" w:hanging="567"/>
    </w:pPr>
    <w:rPr>
      <w:sz w:val="20"/>
      <w:szCs w:val="20"/>
      <w:lang w:eastAsia="en-US"/>
    </w:rPr>
  </w:style>
  <w:style w:type="paragraph" w:styleId="Footer">
    <w:name w:val="footer"/>
    <w:basedOn w:val="Normal"/>
    <w:pPr>
      <w:tabs>
        <w:tab w:val="center" w:pos="4153"/>
        <w:tab w:val="right" w:pos="8306"/>
      </w:tabs>
    </w:pPr>
    <w:rPr>
      <w:lang w:eastAsia="en-US"/>
    </w:rPr>
  </w:style>
  <w:style w:type="paragraph" w:styleId="BodyText">
    <w:name w:val="Body Text"/>
    <w:basedOn w:val="Normal"/>
    <w:link w:val="BodyTextChar"/>
    <w:rPr>
      <w:i/>
      <w:iCs/>
    </w:rPr>
  </w:style>
  <w:style w:type="paragraph" w:customStyle="1" w:styleId="paragraphnumerote">
    <w:name w:val="paragraph numerote"/>
    <w:basedOn w:val="Normal"/>
    <w:link w:val="paragraphnumeroteCharChar"/>
    <w:autoRedefine/>
    <w:rsid w:val="00C27BE5"/>
    <w:pPr>
      <w:shd w:val="clear" w:color="auto" w:fill="FFFFFF"/>
      <w:spacing w:after="240"/>
      <w:jc w:val="both"/>
    </w:pPr>
    <w:rPr>
      <w:rFonts w:ascii="Arial" w:hAnsi="Arial"/>
      <w:iCs/>
      <w:sz w:val="22"/>
      <w:szCs w:val="22"/>
    </w:rPr>
  </w:style>
  <w:style w:type="paragraph" w:customStyle="1" w:styleId="TIRETbul1cm">
    <w:name w:val="TIRET bul 1cm"/>
    <w:basedOn w:val="Normal"/>
    <w:pPr>
      <w:numPr>
        <w:numId w:val="3"/>
      </w:numPr>
      <w:adjustRightInd w:val="0"/>
      <w:spacing w:after="240"/>
      <w:jc w:val="both"/>
    </w:pPr>
  </w:style>
  <w:style w:type="paragraph" w:customStyle="1" w:styleId="Serre">
    <w:name w:val="Serre"/>
    <w:basedOn w:val="Normal"/>
    <w:pPr>
      <w:suppressAutoHyphens/>
      <w:jc w:val="both"/>
      <w:outlineLvl w:val="2"/>
    </w:pPr>
    <w:rPr>
      <w:lang w:eastAsia="fr-FR"/>
    </w:rPr>
  </w:style>
  <w:style w:type="paragraph" w:styleId="BodyTextIndent">
    <w:name w:val="Body Text Indent"/>
    <w:basedOn w:val="Normal"/>
    <w:link w:val="BodyTextIndentChar"/>
    <w:pPr>
      <w:spacing w:before="120" w:after="120"/>
      <w:ind w:firstLine="1134"/>
    </w:pPr>
    <w:rPr>
      <w:rFonts w:ascii="Arial" w:hAnsi="Arial" w:cs="Arial"/>
      <w:sz w:val="22"/>
      <w:szCs w:val="22"/>
    </w:rPr>
  </w:style>
  <w:style w:type="paragraph" w:styleId="BodyText3">
    <w:name w:val="Body Text 3"/>
    <w:basedOn w:val="Normal"/>
    <w:pPr>
      <w:spacing w:before="120" w:after="120"/>
      <w:ind w:right="-58"/>
      <w:jc w:val="both"/>
    </w:pPr>
    <w:rPr>
      <w:rFonts w:ascii="Arial" w:hAnsi="Arial" w:cs="Arial"/>
      <w:sz w:val="22"/>
      <w:szCs w:val="22"/>
    </w:rPr>
  </w:style>
  <w:style w:type="paragraph" w:customStyle="1" w:styleId="non-decis">
    <w:name w:val="non-decis"/>
    <w:basedOn w:val="Normal"/>
    <w:pPr>
      <w:ind w:left="737" w:right="737"/>
      <w:jc w:val="both"/>
    </w:pPr>
    <w:rPr>
      <w:sz w:val="20"/>
      <w:szCs w:val="20"/>
    </w:rPr>
  </w:style>
  <w:style w:type="paragraph" w:customStyle="1" w:styleId="decis">
    <w:name w:val="decis"/>
    <w:basedOn w:val="BodyText"/>
    <w:pPr>
      <w:numPr>
        <w:numId w:val="2"/>
      </w:numPr>
      <w:jc w:val="both"/>
    </w:pPr>
    <w:rPr>
      <w:i w:val="0"/>
      <w:iCs w:val="0"/>
    </w:rPr>
  </w:style>
  <w:style w:type="paragraph" w:styleId="BodyTextIndent2">
    <w:name w:val="Body Text Indent 2"/>
    <w:basedOn w:val="Normal"/>
    <w:pPr>
      <w:ind w:left="1440" w:hanging="1440"/>
    </w:pPr>
    <w:rPr>
      <w:i/>
      <w:iCs/>
    </w:rPr>
  </w:style>
  <w:style w:type="paragraph" w:styleId="BodyTextIndent3">
    <w:name w:val="Body Text Indent 3"/>
    <w:basedOn w:val="Normal"/>
    <w:pPr>
      <w:widowControl w:val="0"/>
      <w:ind w:left="3600" w:hanging="2880"/>
    </w:pPr>
    <w:rPr>
      <w:b/>
      <w:bCs/>
      <w:sz w:val="20"/>
      <w:szCs w:val="20"/>
      <w:lang w:val="en-US"/>
    </w:rPr>
  </w:style>
  <w:style w:type="paragraph" w:styleId="BodyText2">
    <w:name w:val="Body Text 2"/>
    <w:basedOn w:val="Normal"/>
    <w:rPr>
      <w:i/>
      <w:iCs/>
      <w:color w:val="000000"/>
    </w:rPr>
  </w:style>
  <w:style w:type="character" w:styleId="PageNumber">
    <w:name w:val="page number"/>
    <w:basedOn w:val="DefaultParagraphFont"/>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styleId="TOC1">
    <w:name w:val="toc 1"/>
    <w:basedOn w:val="Normal"/>
    <w:next w:val="Normal"/>
    <w:autoRedefine/>
    <w:uiPriority w:val="39"/>
    <w:rsid w:val="009A4A47"/>
    <w:pPr>
      <w:keepNext/>
      <w:tabs>
        <w:tab w:val="left" w:pos="709"/>
        <w:tab w:val="right" w:leader="dot" w:pos="9628"/>
      </w:tabs>
      <w:spacing w:before="120" w:after="120"/>
      <w:ind w:left="567" w:hanging="567"/>
    </w:pPr>
    <w:rPr>
      <w:rFonts w:ascii="Arial" w:hAnsi="Arial" w:cs="Arial"/>
      <w:b/>
      <w:noProof/>
      <w:sz w:val="22"/>
      <w:szCs w:val="22"/>
    </w:rPr>
  </w:style>
  <w:style w:type="paragraph" w:styleId="TOC2">
    <w:name w:val="toc 2"/>
    <w:basedOn w:val="Normal"/>
    <w:next w:val="Normal"/>
    <w:autoRedefine/>
    <w:uiPriority w:val="39"/>
    <w:rsid w:val="009A4A47"/>
    <w:pPr>
      <w:tabs>
        <w:tab w:val="right" w:leader="dot" w:pos="9639"/>
      </w:tabs>
      <w:spacing w:before="120" w:after="120"/>
      <w:ind w:left="1134" w:hanging="567"/>
    </w:pPr>
    <w:rPr>
      <w:rFonts w:ascii="Arial" w:hAnsi="Arial" w:cs="Arial"/>
      <w:bCs/>
      <w:iCs/>
      <w:noProof/>
      <w:sz w:val="22"/>
      <w:szCs w:val="22"/>
    </w:rPr>
  </w:style>
  <w:style w:type="paragraph" w:styleId="TOC3">
    <w:name w:val="toc 3"/>
    <w:basedOn w:val="Normal"/>
    <w:next w:val="Normal"/>
    <w:autoRedefine/>
    <w:uiPriority w:val="39"/>
    <w:rsid w:val="00B37133"/>
    <w:pPr>
      <w:tabs>
        <w:tab w:val="left" w:pos="709"/>
        <w:tab w:val="left" w:pos="1560"/>
        <w:tab w:val="right" w:leader="dot" w:pos="9639"/>
      </w:tabs>
      <w:spacing w:before="120" w:after="120"/>
      <w:ind w:left="1985" w:hanging="851"/>
    </w:pPr>
    <w:rPr>
      <w:rFonts w:ascii="Arial" w:hAnsi="Arial" w:cs="Arial"/>
      <w:noProof/>
      <w:color w:val="000000"/>
      <w:sz w:val="22"/>
      <w:szCs w:val="22"/>
    </w:rPr>
  </w:style>
  <w:style w:type="paragraph" w:styleId="TOC4">
    <w:name w:val="toc 4"/>
    <w:basedOn w:val="Normal"/>
    <w:next w:val="Normal"/>
    <w:autoRedefine/>
    <w:uiPriority w:val="39"/>
    <w:rsid w:val="00B37133"/>
    <w:pPr>
      <w:tabs>
        <w:tab w:val="right" w:leader="dot" w:pos="9639"/>
      </w:tabs>
      <w:spacing w:after="120"/>
      <w:ind w:left="1985" w:hanging="850"/>
    </w:pPr>
    <w:rPr>
      <w:rFonts w:ascii="Arial" w:eastAsiaTheme="minorEastAsia" w:hAnsi="Arial" w:cs="Arial"/>
      <w:i/>
      <w:iCs/>
      <w:noProof/>
      <w:color w:val="000000"/>
      <w:sz w:val="22"/>
      <w:szCs w:val="22"/>
    </w:rPr>
  </w:style>
  <w:style w:type="paragraph" w:styleId="TOC5">
    <w:name w:val="toc 5"/>
    <w:basedOn w:val="Normal"/>
    <w:next w:val="Normal"/>
    <w:autoRedefine/>
    <w:uiPriority w:val="39"/>
    <w:rsid w:val="00B52857"/>
    <w:pPr>
      <w:tabs>
        <w:tab w:val="left" w:pos="1920"/>
        <w:tab w:val="left" w:pos="2340"/>
        <w:tab w:val="right" w:leader="dot" w:pos="9360"/>
      </w:tabs>
      <w:spacing w:after="60"/>
      <w:ind w:left="2340" w:hanging="900"/>
    </w:pPr>
    <w:rPr>
      <w:rFonts w:ascii="Arial" w:hAnsi="Arial" w:cs="Arial"/>
      <w:i/>
      <w:noProof/>
      <w:sz w:val="22"/>
      <w:szCs w:val="22"/>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standard">
    <w:name w:val="standard"/>
    <w:basedOn w:val="Header"/>
    <w:autoRedefine/>
    <w:pPr>
      <w:tabs>
        <w:tab w:val="clear" w:pos="4153"/>
        <w:tab w:val="clear" w:pos="8306"/>
        <w:tab w:val="center" w:pos="4419"/>
        <w:tab w:val="right" w:pos="8838"/>
      </w:tabs>
      <w:jc w:val="both"/>
    </w:pPr>
    <w:rPr>
      <w:rFonts w:eastAsia="Arial Unicode MS"/>
      <w:sz w:val="22"/>
      <w:szCs w:val="22"/>
      <w:u w:val="single"/>
    </w:rPr>
  </w:style>
  <w:style w:type="paragraph" w:customStyle="1" w:styleId="Quick1">
    <w:name w:val="Quick 1."/>
    <w:basedOn w:val="Normal"/>
    <w:pPr>
      <w:widowControl w:val="0"/>
      <w:numPr>
        <w:numId w:val="1"/>
      </w:numPr>
      <w:jc w:val="both"/>
    </w:pPr>
    <w:rPr>
      <w:sz w:val="22"/>
      <w:szCs w:val="22"/>
      <w:lang w:val="en-AU"/>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lang w:eastAsia="x-none"/>
    </w:rPr>
  </w:style>
  <w:style w:type="paragraph" w:styleId="Title">
    <w:name w:val="Title"/>
    <w:basedOn w:val="Normal"/>
    <w:qFormat/>
    <w:pPr>
      <w:jc w:val="center"/>
    </w:pPr>
    <w:rPr>
      <w:b/>
      <w:bCs/>
      <w:lang w:val="en-US"/>
    </w:rPr>
  </w:style>
  <w:style w:type="paragraph" w:styleId="BlockText">
    <w:name w:val="Block Text"/>
    <w:basedOn w:val="Normal"/>
    <w:pPr>
      <w:ind w:left="1440" w:right="615"/>
    </w:pPr>
    <w:rPr>
      <w:sz w:val="20"/>
      <w:szCs w:val="20"/>
    </w:rPr>
  </w:style>
  <w:style w:type="paragraph" w:customStyle="1" w:styleId="COI">
    <w:name w:val="COI"/>
    <w:basedOn w:val="Marge"/>
    <w:link w:val="COIChar"/>
    <w:pPr>
      <w:tabs>
        <w:tab w:val="left" w:pos="709"/>
      </w:tabs>
      <w:ind w:hanging="709"/>
    </w:pPr>
    <w:rPr>
      <w:lang w:val="x-none"/>
    </w:rPr>
  </w:style>
  <w:style w:type="paragraph" w:customStyle="1" w:styleId="Textedebulles2">
    <w:name w:val="Texte de bulles2"/>
    <w:basedOn w:val="Normal"/>
    <w:semiHidden/>
    <w:rPr>
      <w:rFonts w:ascii="Tahoma" w:hAnsi="Tahoma" w:cs="Tahoma"/>
      <w:sz w:val="16"/>
      <w:szCs w:val="16"/>
    </w:rPr>
  </w:style>
  <w:style w:type="paragraph" w:customStyle="1" w:styleId="Textedebulles1">
    <w:name w:val="Texte de bulles1"/>
    <w:basedOn w:val="Normal"/>
    <w:semiHidden/>
    <w:pPr>
      <w:widowControl w:val="0"/>
      <w:autoSpaceDE w:val="0"/>
      <w:autoSpaceDN w:val="0"/>
      <w:adjustRightInd w:val="0"/>
      <w:jc w:val="both"/>
    </w:pPr>
    <w:rPr>
      <w:rFonts w:ascii="Tahoma" w:hAnsi="Tahoma" w:cs="Tahoma"/>
      <w:sz w:val="16"/>
      <w:szCs w:val="16"/>
    </w:rPr>
  </w:style>
  <w:style w:type="paragraph" w:customStyle="1" w:styleId="Docheading">
    <w:name w:val="Doc. heading"/>
    <w:basedOn w:val="Header"/>
    <w:rsid w:val="00D07DB3"/>
    <w:pPr>
      <w:spacing w:after="480"/>
      <w:jc w:val="center"/>
    </w:pPr>
    <w:rPr>
      <w:rFonts w:ascii="Arial" w:hAnsi="Arial" w:cs="Arial"/>
      <w:b/>
      <w:bCs/>
    </w:rPr>
  </w:style>
  <w:style w:type="paragraph" w:customStyle="1" w:styleId="content">
    <w:name w:val="content"/>
    <w:basedOn w:val="Normal"/>
    <w:rsid w:val="00CE4AE5"/>
    <w:pPr>
      <w:spacing w:before="100" w:beforeAutospacing="1" w:after="100" w:afterAutospacing="1" w:line="255" w:lineRule="atLeast"/>
    </w:pPr>
    <w:rPr>
      <w:rFonts w:ascii="Verdana" w:eastAsia="Arial Unicode MS" w:hAnsi="Verdana" w:cs="Arial Unicode MS"/>
      <w:color w:val="000000"/>
      <w:sz w:val="17"/>
      <w:szCs w:val="17"/>
      <w:lang w:val="en-US"/>
    </w:rPr>
  </w:style>
  <w:style w:type="paragraph" w:customStyle="1" w:styleId="Default">
    <w:name w:val="Default"/>
    <w:rsid w:val="00B753D6"/>
    <w:pPr>
      <w:autoSpaceDE w:val="0"/>
      <w:autoSpaceDN w:val="0"/>
      <w:adjustRightInd w:val="0"/>
    </w:pPr>
    <w:rPr>
      <w:rFonts w:eastAsia="SimSun"/>
      <w:color w:val="000000"/>
      <w:sz w:val="24"/>
      <w:szCs w:val="24"/>
      <w:lang w:val="en-US" w:eastAsia="zh-CN"/>
    </w:rPr>
  </w:style>
  <w:style w:type="table" w:styleId="TableGrid">
    <w:name w:val="Table Grid"/>
    <w:basedOn w:val="TableNormal"/>
    <w:rsid w:val="00BD3CB1"/>
    <w:pPr>
      <w:tabs>
        <w:tab w:val="left" w:pos="567"/>
      </w:tabs>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508A9"/>
    <w:rPr>
      <w:b/>
      <w:bCs/>
    </w:rPr>
  </w:style>
  <w:style w:type="character" w:customStyle="1" w:styleId="uwolf">
    <w:name w:val="u_wolf"/>
    <w:semiHidden/>
    <w:rsid w:val="008559E8"/>
    <w:rPr>
      <w:rFonts w:ascii="Arial" w:hAnsi="Arial" w:cs="Arial"/>
      <w:color w:val="auto"/>
      <w:sz w:val="20"/>
      <w:szCs w:val="20"/>
    </w:rPr>
  </w:style>
  <w:style w:type="paragraph" w:styleId="NormalIndent">
    <w:name w:val="Normal Indent"/>
    <w:basedOn w:val="Normal"/>
    <w:rsid w:val="008559E8"/>
    <w:pPr>
      <w:overflowPunct w:val="0"/>
      <w:autoSpaceDE w:val="0"/>
      <w:autoSpaceDN w:val="0"/>
      <w:spacing w:before="120" w:after="120"/>
      <w:ind w:left="708"/>
      <w:jc w:val="both"/>
    </w:pPr>
    <w:rPr>
      <w:rFonts w:ascii="Garamond" w:eastAsia="MS Mincho" w:hAnsi="Garamond"/>
      <w:lang w:val="en-US" w:eastAsia="ja-JP"/>
    </w:rPr>
  </w:style>
  <w:style w:type="character" w:customStyle="1" w:styleId="paragraphnumeroteCharChar">
    <w:name w:val="paragraph numerote Char Char"/>
    <w:link w:val="paragraphnumerote"/>
    <w:rsid w:val="00C27BE5"/>
    <w:rPr>
      <w:rFonts w:ascii="Arial" w:hAnsi="Arial"/>
      <w:iCs/>
      <w:snapToGrid w:val="0"/>
      <w:sz w:val="22"/>
      <w:szCs w:val="22"/>
      <w:shd w:val="clear" w:color="auto" w:fill="FFFFFF"/>
      <w:lang w:eastAsia="en-US"/>
    </w:rPr>
  </w:style>
  <w:style w:type="paragraph" w:styleId="BalloonText">
    <w:name w:val="Balloon Text"/>
    <w:basedOn w:val="Normal"/>
    <w:link w:val="BalloonTextChar"/>
    <w:semiHidden/>
    <w:rsid w:val="00087BE4"/>
    <w:rPr>
      <w:rFonts w:ascii="Tahoma" w:hAnsi="Tahoma" w:cs="Tahoma"/>
      <w:sz w:val="16"/>
      <w:szCs w:val="16"/>
    </w:rPr>
  </w:style>
  <w:style w:type="paragraph" w:customStyle="1" w:styleId="paragraphnumerote0">
    <w:name w:val="paragraphnumerote"/>
    <w:basedOn w:val="Normal"/>
    <w:rsid w:val="00B3026B"/>
    <w:pPr>
      <w:spacing w:before="100" w:beforeAutospacing="1" w:after="100" w:afterAutospacing="1"/>
    </w:pPr>
    <w:rPr>
      <w:lang w:val="en-US"/>
    </w:rPr>
  </w:style>
  <w:style w:type="character" w:customStyle="1" w:styleId="paragraphnumerotechar">
    <w:name w:val="paragraphnumerotechar"/>
    <w:basedOn w:val="DefaultParagraphFont"/>
    <w:rsid w:val="00B3026B"/>
  </w:style>
  <w:style w:type="character" w:customStyle="1" w:styleId="size10w1">
    <w:name w:val="size10w1"/>
    <w:rsid w:val="00522EA8"/>
    <w:rPr>
      <w:rFonts w:ascii="Verdana" w:hAnsi="Verdana" w:hint="default"/>
      <w:strike w:val="0"/>
      <w:dstrike w:val="0"/>
      <w:color w:val="FFFFFF"/>
      <w:sz w:val="11"/>
      <w:szCs w:val="11"/>
      <w:u w:val="none"/>
      <w:effect w:val="none"/>
    </w:rPr>
  </w:style>
  <w:style w:type="paragraph" w:customStyle="1" w:styleId="Norm">
    <w:name w:val="Norm"/>
    <w:basedOn w:val="paragraphnumerote"/>
    <w:rsid w:val="004B6D65"/>
  </w:style>
  <w:style w:type="paragraph" w:customStyle="1" w:styleId="Style1">
    <w:name w:val="Style1"/>
    <w:basedOn w:val="PlainText"/>
    <w:next w:val="PlainText"/>
    <w:autoRedefine/>
    <w:rsid w:val="001D3D38"/>
    <w:rPr>
      <w:rFonts w:ascii="Arial" w:hAnsi="Arial" w:cs="Arial"/>
      <w:sz w:val="24"/>
    </w:rPr>
  </w:style>
  <w:style w:type="paragraph" w:styleId="PlainText">
    <w:name w:val="Plain Text"/>
    <w:basedOn w:val="Normal"/>
    <w:rsid w:val="001D3D38"/>
    <w:rPr>
      <w:rFonts w:ascii="Courier New" w:hAnsi="Courier New" w:cs="Courier New"/>
      <w:sz w:val="20"/>
      <w:szCs w:val="20"/>
    </w:rPr>
  </w:style>
  <w:style w:type="character" w:customStyle="1" w:styleId="A1">
    <w:name w:val="A1"/>
    <w:rsid w:val="00F442B4"/>
    <w:rPr>
      <w:rFonts w:cs="Benton Sans"/>
      <w:color w:val="000000"/>
      <w:sz w:val="15"/>
      <w:szCs w:val="15"/>
    </w:rPr>
  </w:style>
  <w:style w:type="paragraph" w:styleId="NormalWeb">
    <w:name w:val="Normal (Web)"/>
    <w:basedOn w:val="Normal"/>
    <w:uiPriority w:val="99"/>
    <w:rsid w:val="00F442B4"/>
    <w:pPr>
      <w:spacing w:before="100" w:beforeAutospacing="1" w:after="100" w:afterAutospacing="1"/>
    </w:pPr>
    <w:rPr>
      <w:rFonts w:eastAsia="MS Mincho"/>
      <w:lang w:val="en-US" w:eastAsia="ja-JP"/>
    </w:rPr>
  </w:style>
  <w:style w:type="paragraph" w:customStyle="1" w:styleId="CM52">
    <w:name w:val="CM52"/>
    <w:basedOn w:val="Default"/>
    <w:next w:val="Default"/>
    <w:rsid w:val="00DD1314"/>
    <w:pPr>
      <w:widowControl w:val="0"/>
      <w:spacing w:after="245"/>
    </w:pPr>
    <w:rPr>
      <w:color w:val="auto"/>
    </w:rPr>
  </w:style>
  <w:style w:type="paragraph" w:customStyle="1" w:styleId="Paragrafonumerato">
    <w:name w:val="Paragrafo numerato"/>
    <w:basedOn w:val="Normal"/>
    <w:rsid w:val="00D24A0F"/>
    <w:pPr>
      <w:numPr>
        <w:numId w:val="4"/>
      </w:numPr>
      <w:spacing w:after="240"/>
      <w:jc w:val="both"/>
    </w:pPr>
    <w:rPr>
      <w:rFonts w:eastAsia="MS Mincho"/>
      <w:lang w:val="en-US"/>
    </w:rPr>
  </w:style>
  <w:style w:type="paragraph" w:styleId="ListBullet2">
    <w:name w:val="List Bullet 2"/>
    <w:basedOn w:val="Normal"/>
    <w:rsid w:val="00FB39C4"/>
    <w:pPr>
      <w:numPr>
        <w:numId w:val="5"/>
      </w:numPr>
    </w:pPr>
  </w:style>
  <w:style w:type="paragraph" w:customStyle="1" w:styleId="marge0">
    <w:name w:val="marge"/>
    <w:basedOn w:val="Normal"/>
    <w:rsid w:val="000C209A"/>
    <w:pPr>
      <w:spacing w:before="100" w:beforeAutospacing="1" w:after="100" w:afterAutospacing="1"/>
    </w:pPr>
    <w:rPr>
      <w:rFonts w:eastAsia="MS Mincho"/>
      <w:lang w:val="en-US" w:eastAsia="ja-JP" w:bidi="hi-IN"/>
    </w:rPr>
  </w:style>
  <w:style w:type="character" w:customStyle="1" w:styleId="msoins0">
    <w:name w:val="msoins"/>
    <w:basedOn w:val="DefaultParagraphFont"/>
    <w:rsid w:val="000C209A"/>
  </w:style>
  <w:style w:type="paragraph" w:customStyle="1" w:styleId="coi0">
    <w:name w:val="coi"/>
    <w:basedOn w:val="Normal"/>
    <w:rsid w:val="00872C23"/>
    <w:pPr>
      <w:spacing w:before="240" w:after="240"/>
      <w:jc w:val="both"/>
    </w:pPr>
    <w:rPr>
      <w:rFonts w:ascii="Arial" w:eastAsia="SimSun" w:hAnsi="Arial" w:cs="Arial"/>
      <w:sz w:val="22"/>
      <w:szCs w:val="22"/>
      <w:lang w:val="en-US" w:eastAsia="zh-CN"/>
    </w:rPr>
  </w:style>
  <w:style w:type="paragraph" w:styleId="DocumentMap">
    <w:name w:val="Document Map"/>
    <w:basedOn w:val="Normal"/>
    <w:semiHidden/>
    <w:rsid w:val="006169E5"/>
    <w:pPr>
      <w:shd w:val="clear" w:color="auto" w:fill="000080"/>
    </w:pPr>
    <w:rPr>
      <w:rFonts w:ascii="Tahoma" w:hAnsi="Tahoma" w:cs="Tahoma"/>
      <w:sz w:val="20"/>
      <w:szCs w:val="20"/>
    </w:rPr>
  </w:style>
  <w:style w:type="paragraph" w:customStyle="1" w:styleId="Norma">
    <w:name w:val="Norma"/>
    <w:basedOn w:val="Heading4"/>
    <w:rsid w:val="0087130F"/>
    <w:pPr>
      <w:tabs>
        <w:tab w:val="left" w:pos="720"/>
      </w:tabs>
      <w:spacing w:before="240" w:after="0"/>
      <w:ind w:left="720" w:hanging="720"/>
    </w:pPr>
    <w:rPr>
      <w:rFonts w:ascii="Arial" w:hAnsi="Arial" w:cs="Arial"/>
    </w:rPr>
  </w:style>
  <w:style w:type="paragraph" w:customStyle="1" w:styleId="Heading5111">
    <w:name w:val="Heading 5111"/>
    <w:basedOn w:val="Normal"/>
    <w:link w:val="Heading5111Char"/>
    <w:rsid w:val="005B037A"/>
    <w:pPr>
      <w:spacing w:after="240"/>
      <w:ind w:left="1800" w:hanging="1080"/>
    </w:pPr>
    <w:rPr>
      <w:rFonts w:ascii="Arial" w:hAnsi="Arial" w:cs="Arial"/>
      <w:i/>
      <w:sz w:val="22"/>
      <w:szCs w:val="22"/>
    </w:rPr>
  </w:style>
  <w:style w:type="character" w:customStyle="1" w:styleId="Heading5111Char">
    <w:name w:val="Heading 5111 Char"/>
    <w:link w:val="Heading5111"/>
    <w:rsid w:val="005B037A"/>
    <w:rPr>
      <w:rFonts w:ascii="Arial" w:hAnsi="Arial" w:cs="Arial"/>
      <w:i/>
      <w:snapToGrid w:val="0"/>
      <w:sz w:val="22"/>
      <w:szCs w:val="22"/>
      <w:lang w:val="en-GB" w:eastAsia="en-US" w:bidi="ar-SA"/>
    </w:rPr>
  </w:style>
  <w:style w:type="paragraph" w:styleId="ListBullet3">
    <w:name w:val="List Bullet 3"/>
    <w:basedOn w:val="Normal"/>
    <w:rsid w:val="00DE2230"/>
    <w:pPr>
      <w:numPr>
        <w:numId w:val="6"/>
      </w:numPr>
    </w:pPr>
  </w:style>
  <w:style w:type="character" w:customStyle="1" w:styleId="apple-style-span">
    <w:name w:val="apple-style-span"/>
    <w:basedOn w:val="DefaultParagraphFont"/>
    <w:rsid w:val="001C37A6"/>
  </w:style>
  <w:style w:type="paragraph" w:customStyle="1" w:styleId="Paragrafoelenco">
    <w:name w:val="Paragrafo elenco"/>
    <w:basedOn w:val="paragraphnumerote"/>
    <w:qFormat/>
    <w:rsid w:val="003E5ACF"/>
    <w:rPr>
      <w:lang w:val="en-US"/>
    </w:rPr>
  </w:style>
  <w:style w:type="paragraph" w:customStyle="1" w:styleId="Paragrafoelenco1">
    <w:name w:val="Paragrafo elenco1"/>
    <w:basedOn w:val="Normal"/>
    <w:rsid w:val="0043138D"/>
    <w:pPr>
      <w:widowControl w:val="0"/>
      <w:autoSpaceDE w:val="0"/>
      <w:autoSpaceDN w:val="0"/>
      <w:adjustRightInd w:val="0"/>
      <w:ind w:left="720"/>
      <w:contextualSpacing/>
      <w:jc w:val="both"/>
    </w:pPr>
  </w:style>
  <w:style w:type="character" w:customStyle="1" w:styleId="BodyTextChar">
    <w:name w:val="Body Text Char"/>
    <w:link w:val="BodyText"/>
    <w:rsid w:val="00286D84"/>
    <w:rPr>
      <w:i/>
      <w:iCs/>
      <w:snapToGrid w:val="0"/>
      <w:sz w:val="24"/>
      <w:szCs w:val="24"/>
      <w:lang w:val="en-GB" w:eastAsia="en-US" w:bidi="ar-SA"/>
    </w:rPr>
  </w:style>
  <w:style w:type="character" w:customStyle="1" w:styleId="CharChar2">
    <w:name w:val="Char Char2"/>
    <w:rsid w:val="00C11574"/>
    <w:rPr>
      <w:sz w:val="24"/>
      <w:szCs w:val="24"/>
      <w:lang w:val="en-GB"/>
    </w:rPr>
  </w:style>
  <w:style w:type="paragraph" w:customStyle="1" w:styleId="ColorfulList-Accent11">
    <w:name w:val="Colorful List - Accent 11"/>
    <w:basedOn w:val="Normal"/>
    <w:qFormat/>
    <w:rsid w:val="00CE2EE4"/>
    <w:pPr>
      <w:widowControl w:val="0"/>
      <w:autoSpaceDE w:val="0"/>
      <w:autoSpaceDN w:val="0"/>
      <w:adjustRightInd w:val="0"/>
      <w:ind w:left="720"/>
      <w:contextualSpacing/>
      <w:jc w:val="both"/>
    </w:pPr>
  </w:style>
  <w:style w:type="paragraph" w:customStyle="1" w:styleId="Revisione">
    <w:name w:val="Revisione"/>
    <w:hidden/>
    <w:semiHidden/>
    <w:rsid w:val="004643F9"/>
    <w:rPr>
      <w:sz w:val="24"/>
      <w:szCs w:val="24"/>
      <w:lang w:val="en-GB" w:eastAsia="en-US"/>
    </w:rPr>
  </w:style>
  <w:style w:type="character" w:customStyle="1" w:styleId="BalloonTextChar">
    <w:name w:val="Balloon Text Char"/>
    <w:link w:val="BalloonText"/>
    <w:rsid w:val="002755CC"/>
    <w:rPr>
      <w:rFonts w:ascii="Tahoma" w:hAnsi="Tahoma" w:cs="Tahoma"/>
      <w:snapToGrid w:val="0"/>
      <w:sz w:val="16"/>
      <w:szCs w:val="16"/>
      <w:lang w:val="en-GB" w:eastAsia="en-US" w:bidi="ar-SA"/>
    </w:rPr>
  </w:style>
  <w:style w:type="character" w:customStyle="1" w:styleId="A31">
    <w:name w:val="A3+1"/>
    <w:rsid w:val="00433B51"/>
    <w:rPr>
      <w:rFonts w:cs="Vera Humana 95"/>
      <w:color w:val="221E1F"/>
      <w:sz w:val="18"/>
      <w:szCs w:val="18"/>
    </w:rPr>
  </w:style>
  <w:style w:type="paragraph" w:customStyle="1" w:styleId="Recommendation">
    <w:name w:val="Recommendation"/>
    <w:basedOn w:val="Normal"/>
    <w:rsid w:val="002E69BC"/>
    <w:pPr>
      <w:keepNext/>
      <w:keepLines/>
      <w:spacing w:before="480" w:after="240"/>
      <w:jc w:val="center"/>
      <w:outlineLvl w:val="0"/>
    </w:pPr>
    <w:rPr>
      <w:rFonts w:eastAsia="SimSun"/>
      <w:bCs/>
      <w:kern w:val="28"/>
      <w:u w:val="single"/>
      <w:lang w:val="en-US"/>
    </w:rPr>
  </w:style>
  <w:style w:type="paragraph" w:styleId="CommentSubject">
    <w:name w:val="annotation subject"/>
    <w:basedOn w:val="CommentText"/>
    <w:next w:val="CommentText"/>
    <w:link w:val="CommentSubjectChar"/>
    <w:rsid w:val="002E32B3"/>
    <w:rPr>
      <w:b/>
      <w:bCs/>
    </w:rPr>
  </w:style>
  <w:style w:type="character" w:customStyle="1" w:styleId="CommentTextChar">
    <w:name w:val="Comment Text Char"/>
    <w:link w:val="CommentText"/>
    <w:uiPriority w:val="99"/>
    <w:rsid w:val="002E32B3"/>
    <w:rPr>
      <w:snapToGrid w:val="0"/>
      <w:lang w:val="en-GB"/>
    </w:rPr>
  </w:style>
  <w:style w:type="character" w:customStyle="1" w:styleId="CommentSubjectChar">
    <w:name w:val="Comment Subject Char"/>
    <w:link w:val="CommentSubject"/>
    <w:rsid w:val="002E32B3"/>
    <w:rPr>
      <w:b/>
      <w:bCs/>
      <w:snapToGrid w:val="0"/>
      <w:lang w:val="en-GB"/>
    </w:rPr>
  </w:style>
  <w:style w:type="paragraph" w:customStyle="1" w:styleId="ListParagraph1">
    <w:name w:val="List Paragraph1"/>
    <w:basedOn w:val="Normal"/>
    <w:qFormat/>
    <w:rsid w:val="007E37AE"/>
    <w:pPr>
      <w:widowControl w:val="0"/>
      <w:autoSpaceDE w:val="0"/>
      <w:autoSpaceDN w:val="0"/>
      <w:adjustRightInd w:val="0"/>
      <w:ind w:left="720"/>
      <w:contextualSpacing/>
      <w:jc w:val="both"/>
    </w:pPr>
  </w:style>
  <w:style w:type="paragraph" w:customStyle="1" w:styleId="Title5">
    <w:name w:val="Title 5"/>
    <w:basedOn w:val="Normal"/>
    <w:link w:val="Title5Car"/>
    <w:qFormat/>
    <w:rsid w:val="00F47A6A"/>
    <w:pPr>
      <w:spacing w:after="240"/>
      <w:ind w:left="1707" w:hanging="981"/>
    </w:pPr>
    <w:rPr>
      <w:rFonts w:ascii="Arial" w:hAnsi="Arial"/>
      <w:i/>
    </w:rPr>
  </w:style>
  <w:style w:type="paragraph" w:customStyle="1" w:styleId="TableauGrille31">
    <w:name w:val="Tableau Grille 31"/>
    <w:basedOn w:val="Heading1"/>
    <w:next w:val="Normal"/>
    <w:uiPriority w:val="39"/>
    <w:semiHidden/>
    <w:unhideWhenUsed/>
    <w:qFormat/>
    <w:rsid w:val="0070600C"/>
    <w:pPr>
      <w:spacing w:before="480" w:after="0" w:line="276" w:lineRule="auto"/>
      <w:outlineLvl w:val="9"/>
    </w:pPr>
    <w:rPr>
      <w:rFonts w:ascii="Cambria" w:hAnsi="Cambria"/>
      <w:color w:val="365F91"/>
      <w:kern w:val="0"/>
      <w:sz w:val="28"/>
      <w:szCs w:val="28"/>
      <w:lang w:val="fr-FR" w:eastAsia="fr-FR"/>
    </w:rPr>
  </w:style>
  <w:style w:type="character" w:customStyle="1" w:styleId="Title5Car">
    <w:name w:val="Title 5 Car"/>
    <w:link w:val="Title5"/>
    <w:rsid w:val="00F47A6A"/>
    <w:rPr>
      <w:rFonts w:ascii="Arial" w:hAnsi="Arial" w:cs="Arial"/>
      <w:i/>
      <w:snapToGrid w:val="0"/>
      <w:sz w:val="24"/>
      <w:szCs w:val="24"/>
      <w:lang w:val="en-GB" w:eastAsia="en-US"/>
    </w:rPr>
  </w:style>
  <w:style w:type="paragraph" w:customStyle="1" w:styleId="ColorfulList-Accent12">
    <w:name w:val="Colorful List - Accent 12"/>
    <w:basedOn w:val="Normal"/>
    <w:uiPriority w:val="34"/>
    <w:qFormat/>
    <w:rsid w:val="00885ABB"/>
    <w:pPr>
      <w:ind w:left="720"/>
      <w:contextualSpacing/>
    </w:pPr>
    <w:rPr>
      <w:rFonts w:ascii="Arial" w:hAnsi="Arial"/>
      <w:sz w:val="22"/>
    </w:rPr>
  </w:style>
  <w:style w:type="character" w:customStyle="1" w:styleId="COIChar">
    <w:name w:val="COI Char"/>
    <w:link w:val="COI"/>
    <w:locked/>
    <w:rsid w:val="003A03A1"/>
    <w:rPr>
      <w:sz w:val="24"/>
      <w:szCs w:val="24"/>
      <w:lang w:eastAsia="en-US"/>
    </w:rPr>
  </w:style>
  <w:style w:type="paragraph" w:customStyle="1" w:styleId="ColorfulShading-Accent11">
    <w:name w:val="Colorful Shading - Accent 11"/>
    <w:hidden/>
    <w:uiPriority w:val="99"/>
    <w:semiHidden/>
    <w:rsid w:val="00472F54"/>
    <w:rPr>
      <w:snapToGrid w:val="0"/>
      <w:sz w:val="24"/>
      <w:szCs w:val="24"/>
      <w:lang w:val="en-GB" w:eastAsia="en-US"/>
    </w:rPr>
  </w:style>
  <w:style w:type="character" w:customStyle="1" w:styleId="Heading3Char">
    <w:name w:val="Heading 3 Char"/>
    <w:link w:val="Heading3"/>
    <w:rsid w:val="00642818"/>
    <w:rPr>
      <w:rFonts w:ascii="Arial" w:hAnsi="Arial" w:cs="Arial"/>
      <w:b/>
      <w:bCs/>
      <w:sz w:val="22"/>
      <w:szCs w:val="22"/>
      <w:lang w:eastAsia="en-GB"/>
    </w:rPr>
  </w:style>
  <w:style w:type="character" w:customStyle="1" w:styleId="Heading4Char">
    <w:name w:val="Heading 4 Char"/>
    <w:link w:val="Heading4"/>
    <w:rsid w:val="00642818"/>
    <w:rPr>
      <w:rFonts w:asciiTheme="minorBidi" w:hAnsiTheme="minorBidi" w:cstheme="minorBidi"/>
      <w:i/>
      <w:iCs/>
      <w:sz w:val="22"/>
      <w:szCs w:val="22"/>
      <w:lang w:eastAsia="en-US"/>
    </w:rPr>
  </w:style>
  <w:style w:type="paragraph" w:styleId="ListParagraph">
    <w:name w:val="List Paragraph"/>
    <w:aliases w:val="ADB List Paragraph,Dot pt,List Paragraph Char Char Char,Indicator Text,Numbered Para 1,List Paragraph12,Bullet Points,MAIN CONTENT,Bullet 1,Light Grid - Accent 31,References,Indent Paragraph,stil3,List Paragraph (numbered (a))"/>
    <w:basedOn w:val="Normal"/>
    <w:link w:val="ListParagraphChar"/>
    <w:uiPriority w:val="34"/>
    <w:qFormat/>
    <w:rsid w:val="00C72A0A"/>
    <w:pPr>
      <w:ind w:left="720"/>
      <w:contextualSpacing/>
    </w:pPr>
  </w:style>
  <w:style w:type="character" w:customStyle="1" w:styleId="textstory">
    <w:name w:val="textstory"/>
    <w:rsid w:val="00132FEC"/>
  </w:style>
  <w:style w:type="character" w:customStyle="1" w:styleId="MargeChar">
    <w:name w:val="Marge Char"/>
    <w:link w:val="Marge"/>
    <w:qFormat/>
    <w:rsid w:val="00CD7DCD"/>
    <w:rPr>
      <w:snapToGrid w:val="0"/>
      <w:sz w:val="24"/>
      <w:szCs w:val="24"/>
      <w:lang w:val="en-GB" w:eastAsia="en-US"/>
    </w:rPr>
  </w:style>
  <w:style w:type="paragraph" w:customStyle="1" w:styleId="Style2">
    <w:name w:val="Style2"/>
    <w:basedOn w:val="paragraphnumerote"/>
    <w:link w:val="Style2Car"/>
    <w:qFormat/>
    <w:rsid w:val="00163C11"/>
    <w:pPr>
      <w:tabs>
        <w:tab w:val="num" w:pos="1400"/>
      </w:tabs>
      <w:ind w:left="720"/>
    </w:pPr>
  </w:style>
  <w:style w:type="character" w:customStyle="1" w:styleId="HeaderChar">
    <w:name w:val="Header Char"/>
    <w:link w:val="Header"/>
    <w:uiPriority w:val="99"/>
    <w:rsid w:val="001D1E68"/>
    <w:rPr>
      <w:snapToGrid w:val="0"/>
      <w:sz w:val="24"/>
      <w:szCs w:val="24"/>
      <w:lang w:eastAsia="en-US"/>
    </w:rPr>
  </w:style>
  <w:style w:type="character" w:customStyle="1" w:styleId="Style2Car">
    <w:name w:val="Style2 Car"/>
    <w:basedOn w:val="paragraphnumeroteCharChar"/>
    <w:link w:val="Style2"/>
    <w:rsid w:val="00163C11"/>
    <w:rPr>
      <w:rFonts w:ascii="Arial" w:hAnsi="Arial"/>
      <w:iCs/>
      <w:snapToGrid w:val="0"/>
      <w:sz w:val="22"/>
      <w:szCs w:val="22"/>
      <w:shd w:val="clear" w:color="auto" w:fill="FFFFFF"/>
      <w:lang w:eastAsia="en-US"/>
    </w:rPr>
  </w:style>
  <w:style w:type="paragraph" w:styleId="EndnoteText">
    <w:name w:val="endnote text"/>
    <w:basedOn w:val="Normal"/>
    <w:link w:val="EndnoteTextChar"/>
    <w:rsid w:val="00724336"/>
    <w:rPr>
      <w:sz w:val="20"/>
      <w:szCs w:val="20"/>
    </w:rPr>
  </w:style>
  <w:style w:type="character" w:customStyle="1" w:styleId="EndnoteTextChar">
    <w:name w:val="Endnote Text Char"/>
    <w:link w:val="EndnoteText"/>
    <w:rsid w:val="00724336"/>
    <w:rPr>
      <w:snapToGrid w:val="0"/>
      <w:lang w:val="en-GB"/>
    </w:rPr>
  </w:style>
  <w:style w:type="character" w:styleId="EndnoteReference">
    <w:name w:val="endnote reference"/>
    <w:rsid w:val="00724336"/>
    <w:rPr>
      <w:vertAlign w:val="superscript"/>
    </w:rPr>
  </w:style>
  <w:style w:type="paragraph" w:styleId="Revision">
    <w:name w:val="Revision"/>
    <w:hidden/>
    <w:uiPriority w:val="99"/>
    <w:semiHidden/>
    <w:rsid w:val="00E57935"/>
    <w:rPr>
      <w:snapToGrid w:val="0"/>
      <w:sz w:val="24"/>
      <w:szCs w:val="24"/>
      <w:lang w:val="en-GB" w:eastAsia="en-US"/>
    </w:rPr>
  </w:style>
  <w:style w:type="character" w:customStyle="1" w:styleId="A4">
    <w:name w:val="A4"/>
    <w:uiPriority w:val="99"/>
    <w:rsid w:val="00514BBB"/>
    <w:rPr>
      <w:rFonts w:cs="Roboto"/>
      <w:color w:val="000000"/>
      <w:sz w:val="18"/>
      <w:szCs w:val="18"/>
    </w:rPr>
  </w:style>
  <w:style w:type="paragraph" w:customStyle="1" w:styleId="Listecouleur-Accent11">
    <w:name w:val="Liste couleur - Accent 11"/>
    <w:basedOn w:val="Normal"/>
    <w:uiPriority w:val="34"/>
    <w:qFormat/>
    <w:rsid w:val="00E8029B"/>
    <w:pPr>
      <w:ind w:left="720"/>
      <w:contextualSpacing/>
    </w:pPr>
    <w:rPr>
      <w:rFonts w:ascii="Arial" w:hAnsi="Arial"/>
      <w:sz w:val="22"/>
    </w:rPr>
  </w:style>
  <w:style w:type="paragraph" w:styleId="NoSpacing">
    <w:name w:val="No Spacing"/>
    <w:link w:val="NoSpacingChar"/>
    <w:uiPriority w:val="1"/>
    <w:qFormat/>
    <w:rsid w:val="003B5D07"/>
    <w:rPr>
      <w:rFonts w:ascii="Calibri" w:hAnsi="Calibri"/>
      <w:sz w:val="22"/>
      <w:szCs w:val="22"/>
      <w:lang w:val="en-US" w:eastAsia="en-US"/>
    </w:rPr>
  </w:style>
  <w:style w:type="character" w:customStyle="1" w:styleId="NoSpacingChar">
    <w:name w:val="No Spacing Char"/>
    <w:link w:val="NoSpacing"/>
    <w:uiPriority w:val="1"/>
    <w:rsid w:val="003B5D07"/>
    <w:rPr>
      <w:rFonts w:ascii="Calibri" w:hAnsi="Calibri"/>
      <w:sz w:val="22"/>
      <w:szCs w:val="22"/>
      <w:lang w:val="en-US" w:eastAsia="en-US"/>
    </w:rPr>
  </w:style>
  <w:style w:type="character" w:customStyle="1" w:styleId="Mencinsinresolver1">
    <w:name w:val="Mención sin resolver1"/>
    <w:uiPriority w:val="99"/>
    <w:semiHidden/>
    <w:unhideWhenUsed/>
    <w:rsid w:val="006C0081"/>
    <w:rPr>
      <w:color w:val="605E5C"/>
      <w:shd w:val="clear" w:color="auto" w:fill="E1DFDD"/>
    </w:rPr>
  </w:style>
  <w:style w:type="character" w:styleId="UnresolvedMention">
    <w:name w:val="Unresolved Mention"/>
    <w:uiPriority w:val="99"/>
    <w:semiHidden/>
    <w:unhideWhenUsed/>
    <w:rsid w:val="00BD3A4A"/>
    <w:rPr>
      <w:color w:val="605E5C"/>
      <w:shd w:val="clear" w:color="auto" w:fill="E1DFDD"/>
    </w:rPr>
  </w:style>
  <w:style w:type="paragraph" w:styleId="TOCHeading">
    <w:name w:val="TOC Heading"/>
    <w:basedOn w:val="Heading1"/>
    <w:next w:val="Normal"/>
    <w:uiPriority w:val="39"/>
    <w:unhideWhenUsed/>
    <w:qFormat/>
    <w:rsid w:val="00455F65"/>
    <w:pPr>
      <w:spacing w:before="240" w:after="0" w:line="259" w:lineRule="auto"/>
      <w:outlineLvl w:val="9"/>
    </w:pPr>
    <w:rPr>
      <w:rFonts w:ascii="Calibri Light" w:eastAsia="DengXian Light" w:hAnsi="Calibri Light"/>
      <w:b w:val="0"/>
      <w:bCs w:val="0"/>
      <w:color w:val="2F5496"/>
      <w:kern w:val="0"/>
      <w:sz w:val="32"/>
      <w:szCs w:val="32"/>
      <w:lang w:val="en-US"/>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7E5442"/>
    <w:rPr>
      <w:snapToGrid w:val="0"/>
      <w:sz w:val="24"/>
      <w:szCs w:val="24"/>
      <w:lang w:eastAsia="en-US"/>
    </w:rPr>
  </w:style>
  <w:style w:type="character" w:customStyle="1" w:styleId="apple-converted-space">
    <w:name w:val="apple-converted-space"/>
    <w:basedOn w:val="DefaultParagraphFont"/>
    <w:rsid w:val="00A85E40"/>
  </w:style>
  <w:style w:type="character" w:styleId="Emphasis">
    <w:name w:val="Emphasis"/>
    <w:uiPriority w:val="20"/>
    <w:qFormat/>
    <w:rsid w:val="003A5EC7"/>
    <w:rPr>
      <w:i/>
      <w:iCs/>
    </w:rPr>
  </w:style>
  <w:style w:type="character" w:customStyle="1" w:styleId="BodyTextIndentChar">
    <w:name w:val="Body Text Indent Char"/>
    <w:link w:val="BodyTextIndent"/>
    <w:rsid w:val="00A85E40"/>
    <w:rPr>
      <w:rFonts w:ascii="Arial" w:hAnsi="Arial" w:cs="Arial"/>
      <w:sz w:val="22"/>
      <w:szCs w:val="22"/>
      <w:lang w:val="en-GB" w:eastAsia="en-US"/>
    </w:rPr>
  </w:style>
  <w:style w:type="character" w:customStyle="1" w:styleId="Ingen">
    <w:name w:val="Ingen"/>
    <w:rsid w:val="00A64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221">
      <w:bodyDiv w:val="1"/>
      <w:marLeft w:val="0"/>
      <w:marRight w:val="0"/>
      <w:marTop w:val="0"/>
      <w:marBottom w:val="0"/>
      <w:divBdr>
        <w:top w:val="none" w:sz="0" w:space="0" w:color="auto"/>
        <w:left w:val="none" w:sz="0" w:space="0" w:color="auto"/>
        <w:bottom w:val="none" w:sz="0" w:space="0" w:color="auto"/>
        <w:right w:val="none" w:sz="0" w:space="0" w:color="auto"/>
      </w:divBdr>
    </w:div>
    <w:div w:id="98183147">
      <w:bodyDiv w:val="1"/>
      <w:marLeft w:val="0"/>
      <w:marRight w:val="0"/>
      <w:marTop w:val="0"/>
      <w:marBottom w:val="0"/>
      <w:divBdr>
        <w:top w:val="none" w:sz="0" w:space="0" w:color="auto"/>
        <w:left w:val="none" w:sz="0" w:space="0" w:color="auto"/>
        <w:bottom w:val="none" w:sz="0" w:space="0" w:color="auto"/>
        <w:right w:val="none" w:sz="0" w:space="0" w:color="auto"/>
      </w:divBdr>
    </w:div>
    <w:div w:id="102698511">
      <w:bodyDiv w:val="1"/>
      <w:marLeft w:val="0"/>
      <w:marRight w:val="0"/>
      <w:marTop w:val="0"/>
      <w:marBottom w:val="0"/>
      <w:divBdr>
        <w:top w:val="none" w:sz="0" w:space="0" w:color="auto"/>
        <w:left w:val="none" w:sz="0" w:space="0" w:color="auto"/>
        <w:bottom w:val="none" w:sz="0" w:space="0" w:color="auto"/>
        <w:right w:val="none" w:sz="0" w:space="0" w:color="auto"/>
      </w:divBdr>
    </w:div>
    <w:div w:id="111823937">
      <w:bodyDiv w:val="1"/>
      <w:marLeft w:val="0"/>
      <w:marRight w:val="0"/>
      <w:marTop w:val="0"/>
      <w:marBottom w:val="0"/>
      <w:divBdr>
        <w:top w:val="none" w:sz="0" w:space="0" w:color="auto"/>
        <w:left w:val="none" w:sz="0" w:space="0" w:color="auto"/>
        <w:bottom w:val="none" w:sz="0" w:space="0" w:color="auto"/>
        <w:right w:val="none" w:sz="0" w:space="0" w:color="auto"/>
      </w:divBdr>
      <w:divsChild>
        <w:div w:id="599527322">
          <w:marLeft w:val="0"/>
          <w:marRight w:val="0"/>
          <w:marTop w:val="0"/>
          <w:marBottom w:val="0"/>
          <w:divBdr>
            <w:top w:val="none" w:sz="0" w:space="0" w:color="auto"/>
            <w:left w:val="none" w:sz="0" w:space="0" w:color="auto"/>
            <w:bottom w:val="none" w:sz="0" w:space="0" w:color="auto"/>
            <w:right w:val="none" w:sz="0" w:space="0" w:color="auto"/>
          </w:divBdr>
        </w:div>
      </w:divsChild>
    </w:div>
    <w:div w:id="165170023">
      <w:bodyDiv w:val="1"/>
      <w:marLeft w:val="0"/>
      <w:marRight w:val="0"/>
      <w:marTop w:val="0"/>
      <w:marBottom w:val="0"/>
      <w:divBdr>
        <w:top w:val="none" w:sz="0" w:space="0" w:color="auto"/>
        <w:left w:val="none" w:sz="0" w:space="0" w:color="auto"/>
        <w:bottom w:val="none" w:sz="0" w:space="0" w:color="auto"/>
        <w:right w:val="none" w:sz="0" w:space="0" w:color="auto"/>
      </w:divBdr>
    </w:div>
    <w:div w:id="167213827">
      <w:bodyDiv w:val="1"/>
      <w:marLeft w:val="0"/>
      <w:marRight w:val="0"/>
      <w:marTop w:val="0"/>
      <w:marBottom w:val="0"/>
      <w:divBdr>
        <w:top w:val="none" w:sz="0" w:space="0" w:color="auto"/>
        <w:left w:val="none" w:sz="0" w:space="0" w:color="auto"/>
        <w:bottom w:val="none" w:sz="0" w:space="0" w:color="auto"/>
        <w:right w:val="none" w:sz="0" w:space="0" w:color="auto"/>
      </w:divBdr>
    </w:div>
    <w:div w:id="168642476">
      <w:bodyDiv w:val="1"/>
      <w:marLeft w:val="0"/>
      <w:marRight w:val="0"/>
      <w:marTop w:val="0"/>
      <w:marBottom w:val="0"/>
      <w:divBdr>
        <w:top w:val="none" w:sz="0" w:space="0" w:color="auto"/>
        <w:left w:val="none" w:sz="0" w:space="0" w:color="auto"/>
        <w:bottom w:val="none" w:sz="0" w:space="0" w:color="auto"/>
        <w:right w:val="none" w:sz="0" w:space="0" w:color="auto"/>
      </w:divBdr>
    </w:div>
    <w:div w:id="243881530">
      <w:bodyDiv w:val="1"/>
      <w:marLeft w:val="0"/>
      <w:marRight w:val="0"/>
      <w:marTop w:val="0"/>
      <w:marBottom w:val="0"/>
      <w:divBdr>
        <w:top w:val="none" w:sz="0" w:space="0" w:color="auto"/>
        <w:left w:val="none" w:sz="0" w:space="0" w:color="auto"/>
        <w:bottom w:val="none" w:sz="0" w:space="0" w:color="auto"/>
        <w:right w:val="none" w:sz="0" w:space="0" w:color="auto"/>
      </w:divBdr>
    </w:div>
    <w:div w:id="279652546">
      <w:bodyDiv w:val="1"/>
      <w:marLeft w:val="0"/>
      <w:marRight w:val="0"/>
      <w:marTop w:val="0"/>
      <w:marBottom w:val="0"/>
      <w:divBdr>
        <w:top w:val="none" w:sz="0" w:space="0" w:color="auto"/>
        <w:left w:val="none" w:sz="0" w:space="0" w:color="auto"/>
        <w:bottom w:val="none" w:sz="0" w:space="0" w:color="auto"/>
        <w:right w:val="none" w:sz="0" w:space="0" w:color="auto"/>
      </w:divBdr>
      <w:divsChild>
        <w:div w:id="77796657">
          <w:marLeft w:val="0"/>
          <w:marRight w:val="0"/>
          <w:marTop w:val="0"/>
          <w:marBottom w:val="0"/>
          <w:divBdr>
            <w:top w:val="none" w:sz="0" w:space="0" w:color="auto"/>
            <w:left w:val="none" w:sz="0" w:space="0" w:color="auto"/>
            <w:bottom w:val="none" w:sz="0" w:space="0" w:color="auto"/>
            <w:right w:val="none" w:sz="0" w:space="0" w:color="auto"/>
          </w:divBdr>
        </w:div>
        <w:div w:id="215629343">
          <w:marLeft w:val="0"/>
          <w:marRight w:val="0"/>
          <w:marTop w:val="0"/>
          <w:marBottom w:val="0"/>
          <w:divBdr>
            <w:top w:val="none" w:sz="0" w:space="0" w:color="auto"/>
            <w:left w:val="none" w:sz="0" w:space="0" w:color="auto"/>
            <w:bottom w:val="none" w:sz="0" w:space="0" w:color="auto"/>
            <w:right w:val="none" w:sz="0" w:space="0" w:color="auto"/>
          </w:divBdr>
        </w:div>
        <w:div w:id="276833566">
          <w:marLeft w:val="0"/>
          <w:marRight w:val="0"/>
          <w:marTop w:val="0"/>
          <w:marBottom w:val="0"/>
          <w:divBdr>
            <w:top w:val="none" w:sz="0" w:space="0" w:color="auto"/>
            <w:left w:val="none" w:sz="0" w:space="0" w:color="auto"/>
            <w:bottom w:val="none" w:sz="0" w:space="0" w:color="auto"/>
            <w:right w:val="none" w:sz="0" w:space="0" w:color="auto"/>
          </w:divBdr>
        </w:div>
        <w:div w:id="579752312">
          <w:marLeft w:val="0"/>
          <w:marRight w:val="0"/>
          <w:marTop w:val="0"/>
          <w:marBottom w:val="0"/>
          <w:divBdr>
            <w:top w:val="none" w:sz="0" w:space="0" w:color="auto"/>
            <w:left w:val="none" w:sz="0" w:space="0" w:color="auto"/>
            <w:bottom w:val="none" w:sz="0" w:space="0" w:color="auto"/>
            <w:right w:val="none" w:sz="0" w:space="0" w:color="auto"/>
          </w:divBdr>
        </w:div>
        <w:div w:id="598485711">
          <w:marLeft w:val="0"/>
          <w:marRight w:val="0"/>
          <w:marTop w:val="0"/>
          <w:marBottom w:val="0"/>
          <w:divBdr>
            <w:top w:val="none" w:sz="0" w:space="0" w:color="auto"/>
            <w:left w:val="none" w:sz="0" w:space="0" w:color="auto"/>
            <w:bottom w:val="none" w:sz="0" w:space="0" w:color="auto"/>
            <w:right w:val="none" w:sz="0" w:space="0" w:color="auto"/>
          </w:divBdr>
        </w:div>
        <w:div w:id="734737925">
          <w:marLeft w:val="0"/>
          <w:marRight w:val="0"/>
          <w:marTop w:val="0"/>
          <w:marBottom w:val="0"/>
          <w:divBdr>
            <w:top w:val="none" w:sz="0" w:space="0" w:color="auto"/>
            <w:left w:val="none" w:sz="0" w:space="0" w:color="auto"/>
            <w:bottom w:val="none" w:sz="0" w:space="0" w:color="auto"/>
            <w:right w:val="none" w:sz="0" w:space="0" w:color="auto"/>
          </w:divBdr>
        </w:div>
        <w:div w:id="1078138763">
          <w:marLeft w:val="0"/>
          <w:marRight w:val="0"/>
          <w:marTop w:val="0"/>
          <w:marBottom w:val="0"/>
          <w:divBdr>
            <w:top w:val="none" w:sz="0" w:space="0" w:color="auto"/>
            <w:left w:val="none" w:sz="0" w:space="0" w:color="auto"/>
            <w:bottom w:val="none" w:sz="0" w:space="0" w:color="auto"/>
            <w:right w:val="none" w:sz="0" w:space="0" w:color="auto"/>
          </w:divBdr>
        </w:div>
        <w:div w:id="1317951245">
          <w:marLeft w:val="0"/>
          <w:marRight w:val="0"/>
          <w:marTop w:val="0"/>
          <w:marBottom w:val="0"/>
          <w:divBdr>
            <w:top w:val="none" w:sz="0" w:space="0" w:color="auto"/>
            <w:left w:val="none" w:sz="0" w:space="0" w:color="auto"/>
            <w:bottom w:val="none" w:sz="0" w:space="0" w:color="auto"/>
            <w:right w:val="none" w:sz="0" w:space="0" w:color="auto"/>
          </w:divBdr>
        </w:div>
        <w:div w:id="1362126088">
          <w:marLeft w:val="0"/>
          <w:marRight w:val="0"/>
          <w:marTop w:val="0"/>
          <w:marBottom w:val="0"/>
          <w:divBdr>
            <w:top w:val="none" w:sz="0" w:space="0" w:color="auto"/>
            <w:left w:val="none" w:sz="0" w:space="0" w:color="auto"/>
            <w:bottom w:val="none" w:sz="0" w:space="0" w:color="auto"/>
            <w:right w:val="none" w:sz="0" w:space="0" w:color="auto"/>
          </w:divBdr>
        </w:div>
        <w:div w:id="1988050683">
          <w:marLeft w:val="0"/>
          <w:marRight w:val="0"/>
          <w:marTop w:val="0"/>
          <w:marBottom w:val="0"/>
          <w:divBdr>
            <w:top w:val="none" w:sz="0" w:space="0" w:color="auto"/>
            <w:left w:val="none" w:sz="0" w:space="0" w:color="auto"/>
            <w:bottom w:val="none" w:sz="0" w:space="0" w:color="auto"/>
            <w:right w:val="none" w:sz="0" w:space="0" w:color="auto"/>
          </w:divBdr>
        </w:div>
      </w:divsChild>
    </w:div>
    <w:div w:id="302321096">
      <w:bodyDiv w:val="1"/>
      <w:marLeft w:val="0"/>
      <w:marRight w:val="0"/>
      <w:marTop w:val="0"/>
      <w:marBottom w:val="0"/>
      <w:divBdr>
        <w:top w:val="none" w:sz="0" w:space="0" w:color="auto"/>
        <w:left w:val="none" w:sz="0" w:space="0" w:color="auto"/>
        <w:bottom w:val="none" w:sz="0" w:space="0" w:color="auto"/>
        <w:right w:val="none" w:sz="0" w:space="0" w:color="auto"/>
      </w:divBdr>
      <w:divsChild>
        <w:div w:id="16396101">
          <w:marLeft w:val="0"/>
          <w:marRight w:val="0"/>
          <w:marTop w:val="0"/>
          <w:marBottom w:val="0"/>
          <w:divBdr>
            <w:top w:val="none" w:sz="0" w:space="0" w:color="auto"/>
            <w:left w:val="none" w:sz="0" w:space="0" w:color="auto"/>
            <w:bottom w:val="none" w:sz="0" w:space="0" w:color="auto"/>
            <w:right w:val="none" w:sz="0" w:space="0" w:color="auto"/>
          </w:divBdr>
          <w:divsChild>
            <w:div w:id="1091510541">
              <w:marLeft w:val="0"/>
              <w:marRight w:val="0"/>
              <w:marTop w:val="0"/>
              <w:marBottom w:val="0"/>
              <w:divBdr>
                <w:top w:val="none" w:sz="0" w:space="0" w:color="auto"/>
                <w:left w:val="none" w:sz="0" w:space="0" w:color="auto"/>
                <w:bottom w:val="none" w:sz="0" w:space="0" w:color="auto"/>
                <w:right w:val="none" w:sz="0" w:space="0" w:color="auto"/>
              </w:divBdr>
              <w:divsChild>
                <w:div w:id="91378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40478">
      <w:bodyDiv w:val="1"/>
      <w:marLeft w:val="0"/>
      <w:marRight w:val="0"/>
      <w:marTop w:val="0"/>
      <w:marBottom w:val="0"/>
      <w:divBdr>
        <w:top w:val="none" w:sz="0" w:space="0" w:color="auto"/>
        <w:left w:val="none" w:sz="0" w:space="0" w:color="auto"/>
        <w:bottom w:val="none" w:sz="0" w:space="0" w:color="auto"/>
        <w:right w:val="none" w:sz="0" w:space="0" w:color="auto"/>
      </w:divBdr>
    </w:div>
    <w:div w:id="344720606">
      <w:bodyDiv w:val="1"/>
      <w:marLeft w:val="0"/>
      <w:marRight w:val="0"/>
      <w:marTop w:val="0"/>
      <w:marBottom w:val="0"/>
      <w:divBdr>
        <w:top w:val="none" w:sz="0" w:space="0" w:color="auto"/>
        <w:left w:val="none" w:sz="0" w:space="0" w:color="auto"/>
        <w:bottom w:val="none" w:sz="0" w:space="0" w:color="auto"/>
        <w:right w:val="none" w:sz="0" w:space="0" w:color="auto"/>
      </w:divBdr>
      <w:divsChild>
        <w:div w:id="28921992">
          <w:marLeft w:val="0"/>
          <w:marRight w:val="0"/>
          <w:marTop w:val="0"/>
          <w:marBottom w:val="0"/>
          <w:divBdr>
            <w:top w:val="none" w:sz="0" w:space="0" w:color="auto"/>
            <w:left w:val="none" w:sz="0" w:space="0" w:color="auto"/>
            <w:bottom w:val="none" w:sz="0" w:space="0" w:color="auto"/>
            <w:right w:val="none" w:sz="0" w:space="0" w:color="auto"/>
          </w:divBdr>
        </w:div>
        <w:div w:id="68501613">
          <w:marLeft w:val="0"/>
          <w:marRight w:val="0"/>
          <w:marTop w:val="0"/>
          <w:marBottom w:val="0"/>
          <w:divBdr>
            <w:top w:val="none" w:sz="0" w:space="0" w:color="auto"/>
            <w:left w:val="none" w:sz="0" w:space="0" w:color="auto"/>
            <w:bottom w:val="none" w:sz="0" w:space="0" w:color="auto"/>
            <w:right w:val="none" w:sz="0" w:space="0" w:color="auto"/>
          </w:divBdr>
        </w:div>
        <w:div w:id="193547128">
          <w:marLeft w:val="0"/>
          <w:marRight w:val="0"/>
          <w:marTop w:val="0"/>
          <w:marBottom w:val="0"/>
          <w:divBdr>
            <w:top w:val="none" w:sz="0" w:space="0" w:color="auto"/>
            <w:left w:val="none" w:sz="0" w:space="0" w:color="auto"/>
            <w:bottom w:val="none" w:sz="0" w:space="0" w:color="auto"/>
            <w:right w:val="none" w:sz="0" w:space="0" w:color="auto"/>
          </w:divBdr>
        </w:div>
        <w:div w:id="355810534">
          <w:marLeft w:val="0"/>
          <w:marRight w:val="0"/>
          <w:marTop w:val="0"/>
          <w:marBottom w:val="0"/>
          <w:divBdr>
            <w:top w:val="none" w:sz="0" w:space="0" w:color="auto"/>
            <w:left w:val="none" w:sz="0" w:space="0" w:color="auto"/>
            <w:bottom w:val="none" w:sz="0" w:space="0" w:color="auto"/>
            <w:right w:val="none" w:sz="0" w:space="0" w:color="auto"/>
          </w:divBdr>
        </w:div>
        <w:div w:id="451939429">
          <w:marLeft w:val="0"/>
          <w:marRight w:val="0"/>
          <w:marTop w:val="0"/>
          <w:marBottom w:val="0"/>
          <w:divBdr>
            <w:top w:val="none" w:sz="0" w:space="0" w:color="auto"/>
            <w:left w:val="none" w:sz="0" w:space="0" w:color="auto"/>
            <w:bottom w:val="none" w:sz="0" w:space="0" w:color="auto"/>
            <w:right w:val="none" w:sz="0" w:space="0" w:color="auto"/>
          </w:divBdr>
        </w:div>
        <w:div w:id="472867851">
          <w:marLeft w:val="0"/>
          <w:marRight w:val="0"/>
          <w:marTop w:val="0"/>
          <w:marBottom w:val="0"/>
          <w:divBdr>
            <w:top w:val="none" w:sz="0" w:space="0" w:color="auto"/>
            <w:left w:val="none" w:sz="0" w:space="0" w:color="auto"/>
            <w:bottom w:val="none" w:sz="0" w:space="0" w:color="auto"/>
            <w:right w:val="none" w:sz="0" w:space="0" w:color="auto"/>
          </w:divBdr>
        </w:div>
        <w:div w:id="560554890">
          <w:marLeft w:val="0"/>
          <w:marRight w:val="0"/>
          <w:marTop w:val="0"/>
          <w:marBottom w:val="0"/>
          <w:divBdr>
            <w:top w:val="none" w:sz="0" w:space="0" w:color="auto"/>
            <w:left w:val="none" w:sz="0" w:space="0" w:color="auto"/>
            <w:bottom w:val="none" w:sz="0" w:space="0" w:color="auto"/>
            <w:right w:val="none" w:sz="0" w:space="0" w:color="auto"/>
          </w:divBdr>
        </w:div>
        <w:div w:id="576289644">
          <w:marLeft w:val="0"/>
          <w:marRight w:val="0"/>
          <w:marTop w:val="0"/>
          <w:marBottom w:val="0"/>
          <w:divBdr>
            <w:top w:val="none" w:sz="0" w:space="0" w:color="auto"/>
            <w:left w:val="none" w:sz="0" w:space="0" w:color="auto"/>
            <w:bottom w:val="none" w:sz="0" w:space="0" w:color="auto"/>
            <w:right w:val="none" w:sz="0" w:space="0" w:color="auto"/>
          </w:divBdr>
        </w:div>
        <w:div w:id="692653921">
          <w:marLeft w:val="0"/>
          <w:marRight w:val="0"/>
          <w:marTop w:val="0"/>
          <w:marBottom w:val="0"/>
          <w:divBdr>
            <w:top w:val="none" w:sz="0" w:space="0" w:color="auto"/>
            <w:left w:val="none" w:sz="0" w:space="0" w:color="auto"/>
            <w:bottom w:val="none" w:sz="0" w:space="0" w:color="auto"/>
            <w:right w:val="none" w:sz="0" w:space="0" w:color="auto"/>
          </w:divBdr>
        </w:div>
        <w:div w:id="753093143">
          <w:marLeft w:val="0"/>
          <w:marRight w:val="0"/>
          <w:marTop w:val="0"/>
          <w:marBottom w:val="0"/>
          <w:divBdr>
            <w:top w:val="none" w:sz="0" w:space="0" w:color="auto"/>
            <w:left w:val="none" w:sz="0" w:space="0" w:color="auto"/>
            <w:bottom w:val="none" w:sz="0" w:space="0" w:color="auto"/>
            <w:right w:val="none" w:sz="0" w:space="0" w:color="auto"/>
          </w:divBdr>
        </w:div>
        <w:div w:id="784930747">
          <w:marLeft w:val="0"/>
          <w:marRight w:val="0"/>
          <w:marTop w:val="0"/>
          <w:marBottom w:val="0"/>
          <w:divBdr>
            <w:top w:val="none" w:sz="0" w:space="0" w:color="auto"/>
            <w:left w:val="none" w:sz="0" w:space="0" w:color="auto"/>
            <w:bottom w:val="none" w:sz="0" w:space="0" w:color="auto"/>
            <w:right w:val="none" w:sz="0" w:space="0" w:color="auto"/>
          </w:divBdr>
        </w:div>
        <w:div w:id="802577504">
          <w:marLeft w:val="0"/>
          <w:marRight w:val="0"/>
          <w:marTop w:val="0"/>
          <w:marBottom w:val="0"/>
          <w:divBdr>
            <w:top w:val="none" w:sz="0" w:space="0" w:color="auto"/>
            <w:left w:val="none" w:sz="0" w:space="0" w:color="auto"/>
            <w:bottom w:val="none" w:sz="0" w:space="0" w:color="auto"/>
            <w:right w:val="none" w:sz="0" w:space="0" w:color="auto"/>
          </w:divBdr>
        </w:div>
        <w:div w:id="809790259">
          <w:marLeft w:val="0"/>
          <w:marRight w:val="0"/>
          <w:marTop w:val="0"/>
          <w:marBottom w:val="0"/>
          <w:divBdr>
            <w:top w:val="none" w:sz="0" w:space="0" w:color="auto"/>
            <w:left w:val="none" w:sz="0" w:space="0" w:color="auto"/>
            <w:bottom w:val="none" w:sz="0" w:space="0" w:color="auto"/>
            <w:right w:val="none" w:sz="0" w:space="0" w:color="auto"/>
          </w:divBdr>
        </w:div>
        <w:div w:id="833375506">
          <w:marLeft w:val="0"/>
          <w:marRight w:val="0"/>
          <w:marTop w:val="0"/>
          <w:marBottom w:val="0"/>
          <w:divBdr>
            <w:top w:val="none" w:sz="0" w:space="0" w:color="auto"/>
            <w:left w:val="none" w:sz="0" w:space="0" w:color="auto"/>
            <w:bottom w:val="none" w:sz="0" w:space="0" w:color="auto"/>
            <w:right w:val="none" w:sz="0" w:space="0" w:color="auto"/>
          </w:divBdr>
        </w:div>
        <w:div w:id="890385259">
          <w:marLeft w:val="0"/>
          <w:marRight w:val="0"/>
          <w:marTop w:val="0"/>
          <w:marBottom w:val="0"/>
          <w:divBdr>
            <w:top w:val="none" w:sz="0" w:space="0" w:color="auto"/>
            <w:left w:val="none" w:sz="0" w:space="0" w:color="auto"/>
            <w:bottom w:val="none" w:sz="0" w:space="0" w:color="auto"/>
            <w:right w:val="none" w:sz="0" w:space="0" w:color="auto"/>
          </w:divBdr>
        </w:div>
        <w:div w:id="986590949">
          <w:marLeft w:val="0"/>
          <w:marRight w:val="0"/>
          <w:marTop w:val="0"/>
          <w:marBottom w:val="0"/>
          <w:divBdr>
            <w:top w:val="none" w:sz="0" w:space="0" w:color="auto"/>
            <w:left w:val="none" w:sz="0" w:space="0" w:color="auto"/>
            <w:bottom w:val="none" w:sz="0" w:space="0" w:color="auto"/>
            <w:right w:val="none" w:sz="0" w:space="0" w:color="auto"/>
          </w:divBdr>
        </w:div>
        <w:div w:id="1024018210">
          <w:marLeft w:val="0"/>
          <w:marRight w:val="0"/>
          <w:marTop w:val="0"/>
          <w:marBottom w:val="0"/>
          <w:divBdr>
            <w:top w:val="none" w:sz="0" w:space="0" w:color="auto"/>
            <w:left w:val="none" w:sz="0" w:space="0" w:color="auto"/>
            <w:bottom w:val="none" w:sz="0" w:space="0" w:color="auto"/>
            <w:right w:val="none" w:sz="0" w:space="0" w:color="auto"/>
          </w:divBdr>
        </w:div>
        <w:div w:id="1056127410">
          <w:marLeft w:val="0"/>
          <w:marRight w:val="0"/>
          <w:marTop w:val="0"/>
          <w:marBottom w:val="0"/>
          <w:divBdr>
            <w:top w:val="none" w:sz="0" w:space="0" w:color="auto"/>
            <w:left w:val="none" w:sz="0" w:space="0" w:color="auto"/>
            <w:bottom w:val="none" w:sz="0" w:space="0" w:color="auto"/>
            <w:right w:val="none" w:sz="0" w:space="0" w:color="auto"/>
          </w:divBdr>
        </w:div>
        <w:div w:id="1228110039">
          <w:marLeft w:val="0"/>
          <w:marRight w:val="0"/>
          <w:marTop w:val="0"/>
          <w:marBottom w:val="0"/>
          <w:divBdr>
            <w:top w:val="none" w:sz="0" w:space="0" w:color="auto"/>
            <w:left w:val="none" w:sz="0" w:space="0" w:color="auto"/>
            <w:bottom w:val="none" w:sz="0" w:space="0" w:color="auto"/>
            <w:right w:val="none" w:sz="0" w:space="0" w:color="auto"/>
          </w:divBdr>
        </w:div>
        <w:div w:id="1249467034">
          <w:marLeft w:val="0"/>
          <w:marRight w:val="0"/>
          <w:marTop w:val="0"/>
          <w:marBottom w:val="0"/>
          <w:divBdr>
            <w:top w:val="none" w:sz="0" w:space="0" w:color="auto"/>
            <w:left w:val="none" w:sz="0" w:space="0" w:color="auto"/>
            <w:bottom w:val="none" w:sz="0" w:space="0" w:color="auto"/>
            <w:right w:val="none" w:sz="0" w:space="0" w:color="auto"/>
          </w:divBdr>
        </w:div>
        <w:div w:id="1305619018">
          <w:marLeft w:val="0"/>
          <w:marRight w:val="0"/>
          <w:marTop w:val="0"/>
          <w:marBottom w:val="0"/>
          <w:divBdr>
            <w:top w:val="none" w:sz="0" w:space="0" w:color="auto"/>
            <w:left w:val="none" w:sz="0" w:space="0" w:color="auto"/>
            <w:bottom w:val="none" w:sz="0" w:space="0" w:color="auto"/>
            <w:right w:val="none" w:sz="0" w:space="0" w:color="auto"/>
          </w:divBdr>
        </w:div>
        <w:div w:id="1308434897">
          <w:marLeft w:val="0"/>
          <w:marRight w:val="0"/>
          <w:marTop w:val="0"/>
          <w:marBottom w:val="0"/>
          <w:divBdr>
            <w:top w:val="none" w:sz="0" w:space="0" w:color="auto"/>
            <w:left w:val="none" w:sz="0" w:space="0" w:color="auto"/>
            <w:bottom w:val="none" w:sz="0" w:space="0" w:color="auto"/>
            <w:right w:val="none" w:sz="0" w:space="0" w:color="auto"/>
          </w:divBdr>
        </w:div>
        <w:div w:id="1340548246">
          <w:marLeft w:val="0"/>
          <w:marRight w:val="0"/>
          <w:marTop w:val="0"/>
          <w:marBottom w:val="0"/>
          <w:divBdr>
            <w:top w:val="none" w:sz="0" w:space="0" w:color="auto"/>
            <w:left w:val="none" w:sz="0" w:space="0" w:color="auto"/>
            <w:bottom w:val="none" w:sz="0" w:space="0" w:color="auto"/>
            <w:right w:val="none" w:sz="0" w:space="0" w:color="auto"/>
          </w:divBdr>
        </w:div>
        <w:div w:id="1417241174">
          <w:marLeft w:val="0"/>
          <w:marRight w:val="0"/>
          <w:marTop w:val="0"/>
          <w:marBottom w:val="0"/>
          <w:divBdr>
            <w:top w:val="none" w:sz="0" w:space="0" w:color="auto"/>
            <w:left w:val="none" w:sz="0" w:space="0" w:color="auto"/>
            <w:bottom w:val="none" w:sz="0" w:space="0" w:color="auto"/>
            <w:right w:val="none" w:sz="0" w:space="0" w:color="auto"/>
          </w:divBdr>
        </w:div>
        <w:div w:id="1601253534">
          <w:marLeft w:val="0"/>
          <w:marRight w:val="0"/>
          <w:marTop w:val="0"/>
          <w:marBottom w:val="0"/>
          <w:divBdr>
            <w:top w:val="none" w:sz="0" w:space="0" w:color="auto"/>
            <w:left w:val="none" w:sz="0" w:space="0" w:color="auto"/>
            <w:bottom w:val="none" w:sz="0" w:space="0" w:color="auto"/>
            <w:right w:val="none" w:sz="0" w:space="0" w:color="auto"/>
          </w:divBdr>
        </w:div>
        <w:div w:id="1618293572">
          <w:marLeft w:val="0"/>
          <w:marRight w:val="0"/>
          <w:marTop w:val="0"/>
          <w:marBottom w:val="0"/>
          <w:divBdr>
            <w:top w:val="none" w:sz="0" w:space="0" w:color="auto"/>
            <w:left w:val="none" w:sz="0" w:space="0" w:color="auto"/>
            <w:bottom w:val="none" w:sz="0" w:space="0" w:color="auto"/>
            <w:right w:val="none" w:sz="0" w:space="0" w:color="auto"/>
          </w:divBdr>
        </w:div>
        <w:div w:id="1628003889">
          <w:marLeft w:val="0"/>
          <w:marRight w:val="0"/>
          <w:marTop w:val="0"/>
          <w:marBottom w:val="0"/>
          <w:divBdr>
            <w:top w:val="none" w:sz="0" w:space="0" w:color="auto"/>
            <w:left w:val="none" w:sz="0" w:space="0" w:color="auto"/>
            <w:bottom w:val="none" w:sz="0" w:space="0" w:color="auto"/>
            <w:right w:val="none" w:sz="0" w:space="0" w:color="auto"/>
          </w:divBdr>
        </w:div>
        <w:div w:id="1644849142">
          <w:marLeft w:val="0"/>
          <w:marRight w:val="0"/>
          <w:marTop w:val="0"/>
          <w:marBottom w:val="0"/>
          <w:divBdr>
            <w:top w:val="none" w:sz="0" w:space="0" w:color="auto"/>
            <w:left w:val="none" w:sz="0" w:space="0" w:color="auto"/>
            <w:bottom w:val="none" w:sz="0" w:space="0" w:color="auto"/>
            <w:right w:val="none" w:sz="0" w:space="0" w:color="auto"/>
          </w:divBdr>
        </w:div>
        <w:div w:id="1654141250">
          <w:marLeft w:val="0"/>
          <w:marRight w:val="0"/>
          <w:marTop w:val="0"/>
          <w:marBottom w:val="0"/>
          <w:divBdr>
            <w:top w:val="none" w:sz="0" w:space="0" w:color="auto"/>
            <w:left w:val="none" w:sz="0" w:space="0" w:color="auto"/>
            <w:bottom w:val="none" w:sz="0" w:space="0" w:color="auto"/>
            <w:right w:val="none" w:sz="0" w:space="0" w:color="auto"/>
          </w:divBdr>
        </w:div>
        <w:div w:id="1659262595">
          <w:marLeft w:val="0"/>
          <w:marRight w:val="0"/>
          <w:marTop w:val="0"/>
          <w:marBottom w:val="0"/>
          <w:divBdr>
            <w:top w:val="none" w:sz="0" w:space="0" w:color="auto"/>
            <w:left w:val="none" w:sz="0" w:space="0" w:color="auto"/>
            <w:bottom w:val="none" w:sz="0" w:space="0" w:color="auto"/>
            <w:right w:val="none" w:sz="0" w:space="0" w:color="auto"/>
          </w:divBdr>
        </w:div>
        <w:div w:id="1678771741">
          <w:marLeft w:val="0"/>
          <w:marRight w:val="0"/>
          <w:marTop w:val="0"/>
          <w:marBottom w:val="0"/>
          <w:divBdr>
            <w:top w:val="none" w:sz="0" w:space="0" w:color="auto"/>
            <w:left w:val="none" w:sz="0" w:space="0" w:color="auto"/>
            <w:bottom w:val="none" w:sz="0" w:space="0" w:color="auto"/>
            <w:right w:val="none" w:sz="0" w:space="0" w:color="auto"/>
          </w:divBdr>
        </w:div>
        <w:div w:id="1724865681">
          <w:marLeft w:val="0"/>
          <w:marRight w:val="0"/>
          <w:marTop w:val="0"/>
          <w:marBottom w:val="0"/>
          <w:divBdr>
            <w:top w:val="none" w:sz="0" w:space="0" w:color="auto"/>
            <w:left w:val="none" w:sz="0" w:space="0" w:color="auto"/>
            <w:bottom w:val="none" w:sz="0" w:space="0" w:color="auto"/>
            <w:right w:val="none" w:sz="0" w:space="0" w:color="auto"/>
          </w:divBdr>
        </w:div>
        <w:div w:id="1783571340">
          <w:marLeft w:val="0"/>
          <w:marRight w:val="0"/>
          <w:marTop w:val="0"/>
          <w:marBottom w:val="0"/>
          <w:divBdr>
            <w:top w:val="none" w:sz="0" w:space="0" w:color="auto"/>
            <w:left w:val="none" w:sz="0" w:space="0" w:color="auto"/>
            <w:bottom w:val="none" w:sz="0" w:space="0" w:color="auto"/>
            <w:right w:val="none" w:sz="0" w:space="0" w:color="auto"/>
          </w:divBdr>
        </w:div>
        <w:div w:id="1886915113">
          <w:marLeft w:val="0"/>
          <w:marRight w:val="0"/>
          <w:marTop w:val="0"/>
          <w:marBottom w:val="0"/>
          <w:divBdr>
            <w:top w:val="none" w:sz="0" w:space="0" w:color="auto"/>
            <w:left w:val="none" w:sz="0" w:space="0" w:color="auto"/>
            <w:bottom w:val="none" w:sz="0" w:space="0" w:color="auto"/>
            <w:right w:val="none" w:sz="0" w:space="0" w:color="auto"/>
          </w:divBdr>
        </w:div>
        <w:div w:id="1931767737">
          <w:marLeft w:val="0"/>
          <w:marRight w:val="0"/>
          <w:marTop w:val="0"/>
          <w:marBottom w:val="0"/>
          <w:divBdr>
            <w:top w:val="none" w:sz="0" w:space="0" w:color="auto"/>
            <w:left w:val="none" w:sz="0" w:space="0" w:color="auto"/>
            <w:bottom w:val="none" w:sz="0" w:space="0" w:color="auto"/>
            <w:right w:val="none" w:sz="0" w:space="0" w:color="auto"/>
          </w:divBdr>
        </w:div>
        <w:div w:id="1974094385">
          <w:marLeft w:val="0"/>
          <w:marRight w:val="0"/>
          <w:marTop w:val="0"/>
          <w:marBottom w:val="0"/>
          <w:divBdr>
            <w:top w:val="none" w:sz="0" w:space="0" w:color="auto"/>
            <w:left w:val="none" w:sz="0" w:space="0" w:color="auto"/>
            <w:bottom w:val="none" w:sz="0" w:space="0" w:color="auto"/>
            <w:right w:val="none" w:sz="0" w:space="0" w:color="auto"/>
          </w:divBdr>
        </w:div>
        <w:div w:id="1997109205">
          <w:marLeft w:val="0"/>
          <w:marRight w:val="0"/>
          <w:marTop w:val="0"/>
          <w:marBottom w:val="0"/>
          <w:divBdr>
            <w:top w:val="none" w:sz="0" w:space="0" w:color="auto"/>
            <w:left w:val="none" w:sz="0" w:space="0" w:color="auto"/>
            <w:bottom w:val="none" w:sz="0" w:space="0" w:color="auto"/>
            <w:right w:val="none" w:sz="0" w:space="0" w:color="auto"/>
          </w:divBdr>
        </w:div>
        <w:div w:id="1999533464">
          <w:marLeft w:val="0"/>
          <w:marRight w:val="0"/>
          <w:marTop w:val="0"/>
          <w:marBottom w:val="0"/>
          <w:divBdr>
            <w:top w:val="none" w:sz="0" w:space="0" w:color="auto"/>
            <w:left w:val="none" w:sz="0" w:space="0" w:color="auto"/>
            <w:bottom w:val="none" w:sz="0" w:space="0" w:color="auto"/>
            <w:right w:val="none" w:sz="0" w:space="0" w:color="auto"/>
          </w:divBdr>
        </w:div>
        <w:div w:id="2050491011">
          <w:marLeft w:val="0"/>
          <w:marRight w:val="0"/>
          <w:marTop w:val="0"/>
          <w:marBottom w:val="0"/>
          <w:divBdr>
            <w:top w:val="none" w:sz="0" w:space="0" w:color="auto"/>
            <w:left w:val="none" w:sz="0" w:space="0" w:color="auto"/>
            <w:bottom w:val="none" w:sz="0" w:space="0" w:color="auto"/>
            <w:right w:val="none" w:sz="0" w:space="0" w:color="auto"/>
          </w:divBdr>
        </w:div>
        <w:div w:id="2111966437">
          <w:marLeft w:val="0"/>
          <w:marRight w:val="0"/>
          <w:marTop w:val="0"/>
          <w:marBottom w:val="0"/>
          <w:divBdr>
            <w:top w:val="none" w:sz="0" w:space="0" w:color="auto"/>
            <w:left w:val="none" w:sz="0" w:space="0" w:color="auto"/>
            <w:bottom w:val="none" w:sz="0" w:space="0" w:color="auto"/>
            <w:right w:val="none" w:sz="0" w:space="0" w:color="auto"/>
          </w:divBdr>
        </w:div>
        <w:div w:id="2124108013">
          <w:marLeft w:val="0"/>
          <w:marRight w:val="0"/>
          <w:marTop w:val="0"/>
          <w:marBottom w:val="0"/>
          <w:divBdr>
            <w:top w:val="none" w:sz="0" w:space="0" w:color="auto"/>
            <w:left w:val="none" w:sz="0" w:space="0" w:color="auto"/>
            <w:bottom w:val="none" w:sz="0" w:space="0" w:color="auto"/>
            <w:right w:val="none" w:sz="0" w:space="0" w:color="auto"/>
          </w:divBdr>
        </w:div>
      </w:divsChild>
    </w:div>
    <w:div w:id="389154999">
      <w:bodyDiv w:val="1"/>
      <w:marLeft w:val="0"/>
      <w:marRight w:val="0"/>
      <w:marTop w:val="0"/>
      <w:marBottom w:val="0"/>
      <w:divBdr>
        <w:top w:val="none" w:sz="0" w:space="0" w:color="auto"/>
        <w:left w:val="none" w:sz="0" w:space="0" w:color="auto"/>
        <w:bottom w:val="none" w:sz="0" w:space="0" w:color="auto"/>
        <w:right w:val="none" w:sz="0" w:space="0" w:color="auto"/>
      </w:divBdr>
    </w:div>
    <w:div w:id="398409247">
      <w:bodyDiv w:val="1"/>
      <w:marLeft w:val="0"/>
      <w:marRight w:val="0"/>
      <w:marTop w:val="0"/>
      <w:marBottom w:val="0"/>
      <w:divBdr>
        <w:top w:val="none" w:sz="0" w:space="0" w:color="auto"/>
        <w:left w:val="none" w:sz="0" w:space="0" w:color="auto"/>
        <w:bottom w:val="none" w:sz="0" w:space="0" w:color="auto"/>
        <w:right w:val="none" w:sz="0" w:space="0" w:color="auto"/>
      </w:divBdr>
    </w:div>
    <w:div w:id="400061623">
      <w:bodyDiv w:val="1"/>
      <w:marLeft w:val="0"/>
      <w:marRight w:val="0"/>
      <w:marTop w:val="0"/>
      <w:marBottom w:val="0"/>
      <w:divBdr>
        <w:top w:val="none" w:sz="0" w:space="0" w:color="auto"/>
        <w:left w:val="none" w:sz="0" w:space="0" w:color="auto"/>
        <w:bottom w:val="none" w:sz="0" w:space="0" w:color="auto"/>
        <w:right w:val="none" w:sz="0" w:space="0" w:color="auto"/>
      </w:divBdr>
    </w:div>
    <w:div w:id="401173736">
      <w:bodyDiv w:val="1"/>
      <w:marLeft w:val="0"/>
      <w:marRight w:val="0"/>
      <w:marTop w:val="0"/>
      <w:marBottom w:val="0"/>
      <w:divBdr>
        <w:top w:val="none" w:sz="0" w:space="0" w:color="auto"/>
        <w:left w:val="none" w:sz="0" w:space="0" w:color="auto"/>
        <w:bottom w:val="none" w:sz="0" w:space="0" w:color="auto"/>
        <w:right w:val="none" w:sz="0" w:space="0" w:color="auto"/>
      </w:divBdr>
    </w:div>
    <w:div w:id="657003749">
      <w:bodyDiv w:val="1"/>
      <w:marLeft w:val="0"/>
      <w:marRight w:val="0"/>
      <w:marTop w:val="0"/>
      <w:marBottom w:val="0"/>
      <w:divBdr>
        <w:top w:val="none" w:sz="0" w:space="0" w:color="auto"/>
        <w:left w:val="none" w:sz="0" w:space="0" w:color="auto"/>
        <w:bottom w:val="none" w:sz="0" w:space="0" w:color="auto"/>
        <w:right w:val="none" w:sz="0" w:space="0" w:color="auto"/>
      </w:divBdr>
    </w:div>
    <w:div w:id="663167028">
      <w:bodyDiv w:val="1"/>
      <w:marLeft w:val="0"/>
      <w:marRight w:val="0"/>
      <w:marTop w:val="0"/>
      <w:marBottom w:val="0"/>
      <w:divBdr>
        <w:top w:val="none" w:sz="0" w:space="0" w:color="auto"/>
        <w:left w:val="none" w:sz="0" w:space="0" w:color="auto"/>
        <w:bottom w:val="none" w:sz="0" w:space="0" w:color="auto"/>
        <w:right w:val="none" w:sz="0" w:space="0" w:color="auto"/>
      </w:divBdr>
      <w:divsChild>
        <w:div w:id="1513372764">
          <w:marLeft w:val="0"/>
          <w:marRight w:val="0"/>
          <w:marTop w:val="0"/>
          <w:marBottom w:val="0"/>
          <w:divBdr>
            <w:top w:val="none" w:sz="0" w:space="0" w:color="auto"/>
            <w:left w:val="none" w:sz="0" w:space="0" w:color="auto"/>
            <w:bottom w:val="none" w:sz="0" w:space="0" w:color="auto"/>
            <w:right w:val="none" w:sz="0" w:space="0" w:color="auto"/>
          </w:divBdr>
        </w:div>
      </w:divsChild>
    </w:div>
    <w:div w:id="664816984">
      <w:bodyDiv w:val="1"/>
      <w:marLeft w:val="0"/>
      <w:marRight w:val="0"/>
      <w:marTop w:val="0"/>
      <w:marBottom w:val="0"/>
      <w:divBdr>
        <w:top w:val="none" w:sz="0" w:space="0" w:color="auto"/>
        <w:left w:val="none" w:sz="0" w:space="0" w:color="auto"/>
        <w:bottom w:val="none" w:sz="0" w:space="0" w:color="auto"/>
        <w:right w:val="none" w:sz="0" w:space="0" w:color="auto"/>
      </w:divBdr>
    </w:div>
    <w:div w:id="703408599">
      <w:bodyDiv w:val="1"/>
      <w:marLeft w:val="0"/>
      <w:marRight w:val="0"/>
      <w:marTop w:val="0"/>
      <w:marBottom w:val="0"/>
      <w:divBdr>
        <w:top w:val="none" w:sz="0" w:space="0" w:color="auto"/>
        <w:left w:val="none" w:sz="0" w:space="0" w:color="auto"/>
        <w:bottom w:val="none" w:sz="0" w:space="0" w:color="auto"/>
        <w:right w:val="none" w:sz="0" w:space="0" w:color="auto"/>
      </w:divBdr>
    </w:div>
    <w:div w:id="815536806">
      <w:bodyDiv w:val="1"/>
      <w:marLeft w:val="0"/>
      <w:marRight w:val="0"/>
      <w:marTop w:val="0"/>
      <w:marBottom w:val="0"/>
      <w:divBdr>
        <w:top w:val="none" w:sz="0" w:space="0" w:color="auto"/>
        <w:left w:val="none" w:sz="0" w:space="0" w:color="auto"/>
        <w:bottom w:val="none" w:sz="0" w:space="0" w:color="auto"/>
        <w:right w:val="none" w:sz="0" w:space="0" w:color="auto"/>
      </w:divBdr>
    </w:div>
    <w:div w:id="820314272">
      <w:bodyDiv w:val="1"/>
      <w:marLeft w:val="0"/>
      <w:marRight w:val="0"/>
      <w:marTop w:val="0"/>
      <w:marBottom w:val="0"/>
      <w:divBdr>
        <w:top w:val="none" w:sz="0" w:space="0" w:color="auto"/>
        <w:left w:val="none" w:sz="0" w:space="0" w:color="auto"/>
        <w:bottom w:val="none" w:sz="0" w:space="0" w:color="auto"/>
        <w:right w:val="none" w:sz="0" w:space="0" w:color="auto"/>
      </w:divBdr>
    </w:div>
    <w:div w:id="831141773">
      <w:bodyDiv w:val="1"/>
      <w:marLeft w:val="0"/>
      <w:marRight w:val="0"/>
      <w:marTop w:val="0"/>
      <w:marBottom w:val="0"/>
      <w:divBdr>
        <w:top w:val="none" w:sz="0" w:space="0" w:color="auto"/>
        <w:left w:val="none" w:sz="0" w:space="0" w:color="auto"/>
        <w:bottom w:val="none" w:sz="0" w:space="0" w:color="auto"/>
        <w:right w:val="none" w:sz="0" w:space="0" w:color="auto"/>
      </w:divBdr>
    </w:div>
    <w:div w:id="831608770">
      <w:bodyDiv w:val="1"/>
      <w:marLeft w:val="0"/>
      <w:marRight w:val="0"/>
      <w:marTop w:val="0"/>
      <w:marBottom w:val="0"/>
      <w:divBdr>
        <w:top w:val="none" w:sz="0" w:space="0" w:color="auto"/>
        <w:left w:val="none" w:sz="0" w:space="0" w:color="auto"/>
        <w:bottom w:val="none" w:sz="0" w:space="0" w:color="auto"/>
        <w:right w:val="none" w:sz="0" w:space="0" w:color="auto"/>
      </w:divBdr>
    </w:div>
    <w:div w:id="833032893">
      <w:bodyDiv w:val="1"/>
      <w:marLeft w:val="0"/>
      <w:marRight w:val="0"/>
      <w:marTop w:val="0"/>
      <w:marBottom w:val="0"/>
      <w:divBdr>
        <w:top w:val="none" w:sz="0" w:space="0" w:color="auto"/>
        <w:left w:val="none" w:sz="0" w:space="0" w:color="auto"/>
        <w:bottom w:val="none" w:sz="0" w:space="0" w:color="auto"/>
        <w:right w:val="none" w:sz="0" w:space="0" w:color="auto"/>
      </w:divBdr>
    </w:div>
    <w:div w:id="859704264">
      <w:bodyDiv w:val="1"/>
      <w:marLeft w:val="0"/>
      <w:marRight w:val="0"/>
      <w:marTop w:val="0"/>
      <w:marBottom w:val="0"/>
      <w:divBdr>
        <w:top w:val="none" w:sz="0" w:space="0" w:color="auto"/>
        <w:left w:val="none" w:sz="0" w:space="0" w:color="auto"/>
        <w:bottom w:val="none" w:sz="0" w:space="0" w:color="auto"/>
        <w:right w:val="none" w:sz="0" w:space="0" w:color="auto"/>
      </w:divBdr>
    </w:div>
    <w:div w:id="866061726">
      <w:bodyDiv w:val="1"/>
      <w:marLeft w:val="0"/>
      <w:marRight w:val="0"/>
      <w:marTop w:val="0"/>
      <w:marBottom w:val="0"/>
      <w:divBdr>
        <w:top w:val="none" w:sz="0" w:space="0" w:color="auto"/>
        <w:left w:val="none" w:sz="0" w:space="0" w:color="auto"/>
        <w:bottom w:val="none" w:sz="0" w:space="0" w:color="auto"/>
        <w:right w:val="none" w:sz="0" w:space="0" w:color="auto"/>
      </w:divBdr>
    </w:div>
    <w:div w:id="875388449">
      <w:bodyDiv w:val="1"/>
      <w:marLeft w:val="0"/>
      <w:marRight w:val="0"/>
      <w:marTop w:val="0"/>
      <w:marBottom w:val="0"/>
      <w:divBdr>
        <w:top w:val="none" w:sz="0" w:space="0" w:color="auto"/>
        <w:left w:val="none" w:sz="0" w:space="0" w:color="auto"/>
        <w:bottom w:val="none" w:sz="0" w:space="0" w:color="auto"/>
        <w:right w:val="none" w:sz="0" w:space="0" w:color="auto"/>
      </w:divBdr>
    </w:div>
    <w:div w:id="888033677">
      <w:bodyDiv w:val="1"/>
      <w:marLeft w:val="0"/>
      <w:marRight w:val="0"/>
      <w:marTop w:val="0"/>
      <w:marBottom w:val="0"/>
      <w:divBdr>
        <w:top w:val="none" w:sz="0" w:space="0" w:color="auto"/>
        <w:left w:val="none" w:sz="0" w:space="0" w:color="auto"/>
        <w:bottom w:val="none" w:sz="0" w:space="0" w:color="auto"/>
        <w:right w:val="none" w:sz="0" w:space="0" w:color="auto"/>
      </w:divBdr>
    </w:div>
    <w:div w:id="924992748">
      <w:bodyDiv w:val="1"/>
      <w:marLeft w:val="0"/>
      <w:marRight w:val="0"/>
      <w:marTop w:val="0"/>
      <w:marBottom w:val="0"/>
      <w:divBdr>
        <w:top w:val="none" w:sz="0" w:space="0" w:color="auto"/>
        <w:left w:val="none" w:sz="0" w:space="0" w:color="auto"/>
        <w:bottom w:val="none" w:sz="0" w:space="0" w:color="auto"/>
        <w:right w:val="none" w:sz="0" w:space="0" w:color="auto"/>
      </w:divBdr>
    </w:div>
    <w:div w:id="955411714">
      <w:bodyDiv w:val="1"/>
      <w:marLeft w:val="0"/>
      <w:marRight w:val="0"/>
      <w:marTop w:val="0"/>
      <w:marBottom w:val="0"/>
      <w:divBdr>
        <w:top w:val="none" w:sz="0" w:space="0" w:color="auto"/>
        <w:left w:val="none" w:sz="0" w:space="0" w:color="auto"/>
        <w:bottom w:val="none" w:sz="0" w:space="0" w:color="auto"/>
        <w:right w:val="none" w:sz="0" w:space="0" w:color="auto"/>
      </w:divBdr>
    </w:div>
    <w:div w:id="988560617">
      <w:bodyDiv w:val="1"/>
      <w:marLeft w:val="0"/>
      <w:marRight w:val="0"/>
      <w:marTop w:val="0"/>
      <w:marBottom w:val="0"/>
      <w:divBdr>
        <w:top w:val="none" w:sz="0" w:space="0" w:color="auto"/>
        <w:left w:val="none" w:sz="0" w:space="0" w:color="auto"/>
        <w:bottom w:val="none" w:sz="0" w:space="0" w:color="auto"/>
        <w:right w:val="none" w:sz="0" w:space="0" w:color="auto"/>
      </w:divBdr>
    </w:div>
    <w:div w:id="1016031632">
      <w:bodyDiv w:val="1"/>
      <w:marLeft w:val="0"/>
      <w:marRight w:val="0"/>
      <w:marTop w:val="0"/>
      <w:marBottom w:val="0"/>
      <w:divBdr>
        <w:top w:val="none" w:sz="0" w:space="0" w:color="auto"/>
        <w:left w:val="none" w:sz="0" w:space="0" w:color="auto"/>
        <w:bottom w:val="none" w:sz="0" w:space="0" w:color="auto"/>
        <w:right w:val="none" w:sz="0" w:space="0" w:color="auto"/>
      </w:divBdr>
    </w:div>
    <w:div w:id="1077745300">
      <w:bodyDiv w:val="1"/>
      <w:marLeft w:val="0"/>
      <w:marRight w:val="0"/>
      <w:marTop w:val="0"/>
      <w:marBottom w:val="0"/>
      <w:divBdr>
        <w:top w:val="none" w:sz="0" w:space="0" w:color="auto"/>
        <w:left w:val="none" w:sz="0" w:space="0" w:color="auto"/>
        <w:bottom w:val="none" w:sz="0" w:space="0" w:color="auto"/>
        <w:right w:val="none" w:sz="0" w:space="0" w:color="auto"/>
      </w:divBdr>
    </w:div>
    <w:div w:id="1156459685">
      <w:bodyDiv w:val="1"/>
      <w:marLeft w:val="0"/>
      <w:marRight w:val="0"/>
      <w:marTop w:val="0"/>
      <w:marBottom w:val="0"/>
      <w:divBdr>
        <w:top w:val="none" w:sz="0" w:space="0" w:color="auto"/>
        <w:left w:val="none" w:sz="0" w:space="0" w:color="auto"/>
        <w:bottom w:val="none" w:sz="0" w:space="0" w:color="auto"/>
        <w:right w:val="none" w:sz="0" w:space="0" w:color="auto"/>
      </w:divBdr>
    </w:div>
    <w:div w:id="1214148400">
      <w:bodyDiv w:val="1"/>
      <w:marLeft w:val="0"/>
      <w:marRight w:val="0"/>
      <w:marTop w:val="0"/>
      <w:marBottom w:val="0"/>
      <w:divBdr>
        <w:top w:val="none" w:sz="0" w:space="0" w:color="auto"/>
        <w:left w:val="none" w:sz="0" w:space="0" w:color="auto"/>
        <w:bottom w:val="none" w:sz="0" w:space="0" w:color="auto"/>
        <w:right w:val="none" w:sz="0" w:space="0" w:color="auto"/>
      </w:divBdr>
    </w:div>
    <w:div w:id="1241258113">
      <w:bodyDiv w:val="1"/>
      <w:marLeft w:val="0"/>
      <w:marRight w:val="0"/>
      <w:marTop w:val="0"/>
      <w:marBottom w:val="0"/>
      <w:divBdr>
        <w:top w:val="none" w:sz="0" w:space="0" w:color="auto"/>
        <w:left w:val="none" w:sz="0" w:space="0" w:color="auto"/>
        <w:bottom w:val="none" w:sz="0" w:space="0" w:color="auto"/>
        <w:right w:val="none" w:sz="0" w:space="0" w:color="auto"/>
      </w:divBdr>
    </w:div>
    <w:div w:id="1303731758">
      <w:bodyDiv w:val="1"/>
      <w:marLeft w:val="0"/>
      <w:marRight w:val="0"/>
      <w:marTop w:val="0"/>
      <w:marBottom w:val="0"/>
      <w:divBdr>
        <w:top w:val="none" w:sz="0" w:space="0" w:color="auto"/>
        <w:left w:val="none" w:sz="0" w:space="0" w:color="auto"/>
        <w:bottom w:val="none" w:sz="0" w:space="0" w:color="auto"/>
        <w:right w:val="none" w:sz="0" w:space="0" w:color="auto"/>
      </w:divBdr>
    </w:div>
    <w:div w:id="1309868690">
      <w:bodyDiv w:val="1"/>
      <w:marLeft w:val="0"/>
      <w:marRight w:val="0"/>
      <w:marTop w:val="0"/>
      <w:marBottom w:val="0"/>
      <w:divBdr>
        <w:top w:val="none" w:sz="0" w:space="0" w:color="auto"/>
        <w:left w:val="none" w:sz="0" w:space="0" w:color="auto"/>
        <w:bottom w:val="none" w:sz="0" w:space="0" w:color="auto"/>
        <w:right w:val="none" w:sz="0" w:space="0" w:color="auto"/>
      </w:divBdr>
    </w:div>
    <w:div w:id="1318923895">
      <w:bodyDiv w:val="1"/>
      <w:marLeft w:val="0"/>
      <w:marRight w:val="0"/>
      <w:marTop w:val="0"/>
      <w:marBottom w:val="0"/>
      <w:divBdr>
        <w:top w:val="none" w:sz="0" w:space="0" w:color="auto"/>
        <w:left w:val="none" w:sz="0" w:space="0" w:color="auto"/>
        <w:bottom w:val="none" w:sz="0" w:space="0" w:color="auto"/>
        <w:right w:val="none" w:sz="0" w:space="0" w:color="auto"/>
      </w:divBdr>
    </w:div>
    <w:div w:id="1437284077">
      <w:bodyDiv w:val="1"/>
      <w:marLeft w:val="0"/>
      <w:marRight w:val="0"/>
      <w:marTop w:val="0"/>
      <w:marBottom w:val="0"/>
      <w:divBdr>
        <w:top w:val="none" w:sz="0" w:space="0" w:color="auto"/>
        <w:left w:val="none" w:sz="0" w:space="0" w:color="auto"/>
        <w:bottom w:val="none" w:sz="0" w:space="0" w:color="auto"/>
        <w:right w:val="none" w:sz="0" w:space="0" w:color="auto"/>
      </w:divBdr>
      <w:divsChild>
        <w:div w:id="2095932906">
          <w:marLeft w:val="0"/>
          <w:marRight w:val="0"/>
          <w:marTop w:val="0"/>
          <w:marBottom w:val="0"/>
          <w:divBdr>
            <w:top w:val="none" w:sz="0" w:space="0" w:color="auto"/>
            <w:left w:val="none" w:sz="0" w:space="0" w:color="auto"/>
            <w:bottom w:val="none" w:sz="0" w:space="0" w:color="auto"/>
            <w:right w:val="none" w:sz="0" w:space="0" w:color="auto"/>
          </w:divBdr>
        </w:div>
      </w:divsChild>
    </w:div>
    <w:div w:id="1504127337">
      <w:bodyDiv w:val="1"/>
      <w:marLeft w:val="0"/>
      <w:marRight w:val="0"/>
      <w:marTop w:val="0"/>
      <w:marBottom w:val="0"/>
      <w:divBdr>
        <w:top w:val="none" w:sz="0" w:space="0" w:color="auto"/>
        <w:left w:val="none" w:sz="0" w:space="0" w:color="auto"/>
        <w:bottom w:val="none" w:sz="0" w:space="0" w:color="auto"/>
        <w:right w:val="none" w:sz="0" w:space="0" w:color="auto"/>
      </w:divBdr>
    </w:div>
    <w:div w:id="1508783886">
      <w:bodyDiv w:val="1"/>
      <w:marLeft w:val="0"/>
      <w:marRight w:val="0"/>
      <w:marTop w:val="0"/>
      <w:marBottom w:val="0"/>
      <w:divBdr>
        <w:top w:val="none" w:sz="0" w:space="0" w:color="auto"/>
        <w:left w:val="none" w:sz="0" w:space="0" w:color="auto"/>
        <w:bottom w:val="none" w:sz="0" w:space="0" w:color="auto"/>
        <w:right w:val="none" w:sz="0" w:space="0" w:color="auto"/>
      </w:divBdr>
    </w:div>
    <w:div w:id="1542133488">
      <w:bodyDiv w:val="1"/>
      <w:marLeft w:val="0"/>
      <w:marRight w:val="0"/>
      <w:marTop w:val="0"/>
      <w:marBottom w:val="0"/>
      <w:divBdr>
        <w:top w:val="none" w:sz="0" w:space="0" w:color="auto"/>
        <w:left w:val="none" w:sz="0" w:space="0" w:color="auto"/>
        <w:bottom w:val="none" w:sz="0" w:space="0" w:color="auto"/>
        <w:right w:val="none" w:sz="0" w:space="0" w:color="auto"/>
      </w:divBdr>
    </w:div>
    <w:div w:id="1562208461">
      <w:bodyDiv w:val="1"/>
      <w:marLeft w:val="0"/>
      <w:marRight w:val="0"/>
      <w:marTop w:val="0"/>
      <w:marBottom w:val="0"/>
      <w:divBdr>
        <w:top w:val="none" w:sz="0" w:space="0" w:color="auto"/>
        <w:left w:val="none" w:sz="0" w:space="0" w:color="auto"/>
        <w:bottom w:val="none" w:sz="0" w:space="0" w:color="auto"/>
        <w:right w:val="none" w:sz="0" w:space="0" w:color="auto"/>
      </w:divBdr>
    </w:div>
    <w:div w:id="1584606483">
      <w:bodyDiv w:val="1"/>
      <w:marLeft w:val="0"/>
      <w:marRight w:val="0"/>
      <w:marTop w:val="0"/>
      <w:marBottom w:val="0"/>
      <w:divBdr>
        <w:top w:val="none" w:sz="0" w:space="0" w:color="auto"/>
        <w:left w:val="none" w:sz="0" w:space="0" w:color="auto"/>
        <w:bottom w:val="none" w:sz="0" w:space="0" w:color="auto"/>
        <w:right w:val="none" w:sz="0" w:space="0" w:color="auto"/>
      </w:divBdr>
    </w:div>
    <w:div w:id="1591809763">
      <w:bodyDiv w:val="1"/>
      <w:marLeft w:val="0"/>
      <w:marRight w:val="0"/>
      <w:marTop w:val="0"/>
      <w:marBottom w:val="0"/>
      <w:divBdr>
        <w:top w:val="none" w:sz="0" w:space="0" w:color="auto"/>
        <w:left w:val="none" w:sz="0" w:space="0" w:color="auto"/>
        <w:bottom w:val="none" w:sz="0" w:space="0" w:color="auto"/>
        <w:right w:val="none" w:sz="0" w:space="0" w:color="auto"/>
      </w:divBdr>
    </w:div>
    <w:div w:id="1593009495">
      <w:bodyDiv w:val="1"/>
      <w:marLeft w:val="0"/>
      <w:marRight w:val="0"/>
      <w:marTop w:val="0"/>
      <w:marBottom w:val="0"/>
      <w:divBdr>
        <w:top w:val="none" w:sz="0" w:space="0" w:color="auto"/>
        <w:left w:val="none" w:sz="0" w:space="0" w:color="auto"/>
        <w:bottom w:val="none" w:sz="0" w:space="0" w:color="auto"/>
        <w:right w:val="none" w:sz="0" w:space="0" w:color="auto"/>
      </w:divBdr>
    </w:div>
    <w:div w:id="1642733535">
      <w:bodyDiv w:val="1"/>
      <w:marLeft w:val="0"/>
      <w:marRight w:val="0"/>
      <w:marTop w:val="0"/>
      <w:marBottom w:val="0"/>
      <w:divBdr>
        <w:top w:val="none" w:sz="0" w:space="0" w:color="auto"/>
        <w:left w:val="none" w:sz="0" w:space="0" w:color="auto"/>
        <w:bottom w:val="none" w:sz="0" w:space="0" w:color="auto"/>
        <w:right w:val="none" w:sz="0" w:space="0" w:color="auto"/>
      </w:divBdr>
    </w:div>
    <w:div w:id="1653825678">
      <w:bodyDiv w:val="1"/>
      <w:marLeft w:val="0"/>
      <w:marRight w:val="0"/>
      <w:marTop w:val="0"/>
      <w:marBottom w:val="0"/>
      <w:divBdr>
        <w:top w:val="none" w:sz="0" w:space="0" w:color="auto"/>
        <w:left w:val="none" w:sz="0" w:space="0" w:color="auto"/>
        <w:bottom w:val="none" w:sz="0" w:space="0" w:color="auto"/>
        <w:right w:val="none" w:sz="0" w:space="0" w:color="auto"/>
      </w:divBdr>
    </w:div>
    <w:div w:id="1686326735">
      <w:bodyDiv w:val="1"/>
      <w:marLeft w:val="0"/>
      <w:marRight w:val="0"/>
      <w:marTop w:val="0"/>
      <w:marBottom w:val="0"/>
      <w:divBdr>
        <w:top w:val="none" w:sz="0" w:space="0" w:color="auto"/>
        <w:left w:val="none" w:sz="0" w:space="0" w:color="auto"/>
        <w:bottom w:val="none" w:sz="0" w:space="0" w:color="auto"/>
        <w:right w:val="none" w:sz="0" w:space="0" w:color="auto"/>
      </w:divBdr>
    </w:div>
    <w:div w:id="1731609128">
      <w:bodyDiv w:val="1"/>
      <w:marLeft w:val="0"/>
      <w:marRight w:val="0"/>
      <w:marTop w:val="0"/>
      <w:marBottom w:val="0"/>
      <w:divBdr>
        <w:top w:val="none" w:sz="0" w:space="0" w:color="auto"/>
        <w:left w:val="none" w:sz="0" w:space="0" w:color="auto"/>
        <w:bottom w:val="none" w:sz="0" w:space="0" w:color="auto"/>
        <w:right w:val="none" w:sz="0" w:space="0" w:color="auto"/>
      </w:divBdr>
    </w:div>
    <w:div w:id="1740134369">
      <w:bodyDiv w:val="1"/>
      <w:marLeft w:val="0"/>
      <w:marRight w:val="0"/>
      <w:marTop w:val="0"/>
      <w:marBottom w:val="0"/>
      <w:divBdr>
        <w:top w:val="none" w:sz="0" w:space="0" w:color="auto"/>
        <w:left w:val="none" w:sz="0" w:space="0" w:color="auto"/>
        <w:bottom w:val="none" w:sz="0" w:space="0" w:color="auto"/>
        <w:right w:val="none" w:sz="0" w:space="0" w:color="auto"/>
      </w:divBdr>
    </w:div>
    <w:div w:id="1762986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59">
          <w:marLeft w:val="0"/>
          <w:marRight w:val="0"/>
          <w:marTop w:val="0"/>
          <w:marBottom w:val="0"/>
          <w:divBdr>
            <w:top w:val="none" w:sz="0" w:space="0" w:color="auto"/>
            <w:left w:val="none" w:sz="0" w:space="0" w:color="auto"/>
            <w:bottom w:val="none" w:sz="0" w:space="0" w:color="auto"/>
            <w:right w:val="none" w:sz="0" w:space="0" w:color="auto"/>
          </w:divBdr>
          <w:divsChild>
            <w:div w:id="1162357582">
              <w:marLeft w:val="0"/>
              <w:marRight w:val="0"/>
              <w:marTop w:val="0"/>
              <w:marBottom w:val="0"/>
              <w:divBdr>
                <w:top w:val="none" w:sz="0" w:space="0" w:color="auto"/>
                <w:left w:val="none" w:sz="0" w:space="0" w:color="auto"/>
                <w:bottom w:val="none" w:sz="0" w:space="0" w:color="auto"/>
                <w:right w:val="none" w:sz="0" w:space="0" w:color="auto"/>
              </w:divBdr>
              <w:divsChild>
                <w:div w:id="14767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54613">
      <w:bodyDiv w:val="1"/>
      <w:marLeft w:val="0"/>
      <w:marRight w:val="0"/>
      <w:marTop w:val="0"/>
      <w:marBottom w:val="0"/>
      <w:divBdr>
        <w:top w:val="none" w:sz="0" w:space="0" w:color="auto"/>
        <w:left w:val="none" w:sz="0" w:space="0" w:color="auto"/>
        <w:bottom w:val="none" w:sz="0" w:space="0" w:color="auto"/>
        <w:right w:val="none" w:sz="0" w:space="0" w:color="auto"/>
      </w:divBdr>
    </w:div>
    <w:div w:id="1885750748">
      <w:bodyDiv w:val="1"/>
      <w:marLeft w:val="0"/>
      <w:marRight w:val="0"/>
      <w:marTop w:val="0"/>
      <w:marBottom w:val="0"/>
      <w:divBdr>
        <w:top w:val="none" w:sz="0" w:space="0" w:color="auto"/>
        <w:left w:val="none" w:sz="0" w:space="0" w:color="auto"/>
        <w:bottom w:val="none" w:sz="0" w:space="0" w:color="auto"/>
        <w:right w:val="none" w:sz="0" w:space="0" w:color="auto"/>
      </w:divBdr>
    </w:div>
    <w:div w:id="1965887744">
      <w:bodyDiv w:val="1"/>
      <w:marLeft w:val="0"/>
      <w:marRight w:val="0"/>
      <w:marTop w:val="0"/>
      <w:marBottom w:val="0"/>
      <w:divBdr>
        <w:top w:val="none" w:sz="0" w:space="0" w:color="auto"/>
        <w:left w:val="none" w:sz="0" w:space="0" w:color="auto"/>
        <w:bottom w:val="none" w:sz="0" w:space="0" w:color="auto"/>
        <w:right w:val="none" w:sz="0" w:space="0" w:color="auto"/>
      </w:divBdr>
    </w:div>
    <w:div w:id="1973318479">
      <w:bodyDiv w:val="1"/>
      <w:marLeft w:val="0"/>
      <w:marRight w:val="0"/>
      <w:marTop w:val="0"/>
      <w:marBottom w:val="0"/>
      <w:divBdr>
        <w:top w:val="none" w:sz="0" w:space="0" w:color="auto"/>
        <w:left w:val="none" w:sz="0" w:space="0" w:color="auto"/>
        <w:bottom w:val="none" w:sz="0" w:space="0" w:color="auto"/>
        <w:right w:val="none" w:sz="0" w:space="0" w:color="auto"/>
      </w:divBdr>
    </w:div>
    <w:div w:id="1982997676">
      <w:bodyDiv w:val="1"/>
      <w:marLeft w:val="0"/>
      <w:marRight w:val="0"/>
      <w:marTop w:val="0"/>
      <w:marBottom w:val="0"/>
      <w:divBdr>
        <w:top w:val="none" w:sz="0" w:space="0" w:color="auto"/>
        <w:left w:val="none" w:sz="0" w:space="0" w:color="auto"/>
        <w:bottom w:val="none" w:sz="0" w:space="0" w:color="auto"/>
        <w:right w:val="none" w:sz="0" w:space="0" w:color="auto"/>
      </w:divBdr>
    </w:div>
    <w:div w:id="1989820653">
      <w:bodyDiv w:val="1"/>
      <w:marLeft w:val="0"/>
      <w:marRight w:val="0"/>
      <w:marTop w:val="0"/>
      <w:marBottom w:val="0"/>
      <w:divBdr>
        <w:top w:val="none" w:sz="0" w:space="0" w:color="auto"/>
        <w:left w:val="none" w:sz="0" w:space="0" w:color="auto"/>
        <w:bottom w:val="none" w:sz="0" w:space="0" w:color="auto"/>
        <w:right w:val="none" w:sz="0" w:space="0" w:color="auto"/>
      </w:divBdr>
    </w:div>
    <w:div w:id="2006737713">
      <w:bodyDiv w:val="1"/>
      <w:marLeft w:val="0"/>
      <w:marRight w:val="0"/>
      <w:marTop w:val="0"/>
      <w:marBottom w:val="0"/>
      <w:divBdr>
        <w:top w:val="none" w:sz="0" w:space="0" w:color="auto"/>
        <w:left w:val="none" w:sz="0" w:space="0" w:color="auto"/>
        <w:bottom w:val="none" w:sz="0" w:space="0" w:color="auto"/>
        <w:right w:val="none" w:sz="0" w:space="0" w:color="auto"/>
      </w:divBdr>
    </w:div>
    <w:div w:id="2024086202">
      <w:bodyDiv w:val="1"/>
      <w:marLeft w:val="0"/>
      <w:marRight w:val="0"/>
      <w:marTop w:val="0"/>
      <w:marBottom w:val="0"/>
      <w:divBdr>
        <w:top w:val="none" w:sz="0" w:space="0" w:color="auto"/>
        <w:left w:val="none" w:sz="0" w:space="0" w:color="auto"/>
        <w:bottom w:val="none" w:sz="0" w:space="0" w:color="auto"/>
        <w:right w:val="none" w:sz="0" w:space="0" w:color="auto"/>
      </w:divBdr>
    </w:div>
    <w:div w:id="2028867365">
      <w:bodyDiv w:val="1"/>
      <w:marLeft w:val="0"/>
      <w:marRight w:val="0"/>
      <w:marTop w:val="0"/>
      <w:marBottom w:val="0"/>
      <w:divBdr>
        <w:top w:val="none" w:sz="0" w:space="0" w:color="auto"/>
        <w:left w:val="none" w:sz="0" w:space="0" w:color="auto"/>
        <w:bottom w:val="none" w:sz="0" w:space="0" w:color="auto"/>
        <w:right w:val="none" w:sz="0" w:space="0" w:color="auto"/>
      </w:divBdr>
    </w:div>
    <w:div w:id="2038307860">
      <w:bodyDiv w:val="1"/>
      <w:marLeft w:val="0"/>
      <w:marRight w:val="0"/>
      <w:marTop w:val="0"/>
      <w:marBottom w:val="0"/>
      <w:divBdr>
        <w:top w:val="none" w:sz="0" w:space="0" w:color="auto"/>
        <w:left w:val="none" w:sz="0" w:space="0" w:color="auto"/>
        <w:bottom w:val="none" w:sz="0" w:space="0" w:color="auto"/>
        <w:right w:val="none" w:sz="0" w:space="0" w:color="auto"/>
      </w:divBdr>
      <w:divsChild>
        <w:div w:id="923026406">
          <w:marLeft w:val="0"/>
          <w:marRight w:val="0"/>
          <w:marTop w:val="0"/>
          <w:marBottom w:val="0"/>
          <w:divBdr>
            <w:top w:val="none" w:sz="0" w:space="0" w:color="auto"/>
            <w:left w:val="none" w:sz="0" w:space="0" w:color="auto"/>
            <w:bottom w:val="none" w:sz="0" w:space="0" w:color="auto"/>
            <w:right w:val="none" w:sz="0" w:space="0" w:color="auto"/>
          </w:divBdr>
          <w:divsChild>
            <w:div w:id="1810780978">
              <w:marLeft w:val="0"/>
              <w:marRight w:val="0"/>
              <w:marTop w:val="0"/>
              <w:marBottom w:val="0"/>
              <w:divBdr>
                <w:top w:val="none" w:sz="0" w:space="0" w:color="auto"/>
                <w:left w:val="none" w:sz="0" w:space="0" w:color="auto"/>
                <w:bottom w:val="none" w:sz="0" w:space="0" w:color="auto"/>
                <w:right w:val="none" w:sz="0" w:space="0" w:color="auto"/>
              </w:divBdr>
              <w:divsChild>
                <w:div w:id="9601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30935">
      <w:bodyDiv w:val="1"/>
      <w:marLeft w:val="0"/>
      <w:marRight w:val="0"/>
      <w:marTop w:val="0"/>
      <w:marBottom w:val="0"/>
      <w:divBdr>
        <w:top w:val="none" w:sz="0" w:space="0" w:color="auto"/>
        <w:left w:val="none" w:sz="0" w:space="0" w:color="auto"/>
        <w:bottom w:val="none" w:sz="0" w:space="0" w:color="auto"/>
        <w:right w:val="none" w:sz="0" w:space="0" w:color="auto"/>
      </w:divBdr>
    </w:div>
    <w:div w:id="2045981644">
      <w:bodyDiv w:val="1"/>
      <w:marLeft w:val="0"/>
      <w:marRight w:val="0"/>
      <w:marTop w:val="0"/>
      <w:marBottom w:val="0"/>
      <w:divBdr>
        <w:top w:val="none" w:sz="0" w:space="0" w:color="auto"/>
        <w:left w:val="none" w:sz="0" w:space="0" w:color="auto"/>
        <w:bottom w:val="none" w:sz="0" w:space="0" w:color="auto"/>
        <w:right w:val="none" w:sz="0" w:space="0" w:color="auto"/>
      </w:divBdr>
    </w:div>
    <w:div w:id="2063093661">
      <w:bodyDiv w:val="1"/>
      <w:marLeft w:val="0"/>
      <w:marRight w:val="0"/>
      <w:marTop w:val="0"/>
      <w:marBottom w:val="0"/>
      <w:divBdr>
        <w:top w:val="none" w:sz="0" w:space="0" w:color="auto"/>
        <w:left w:val="none" w:sz="0" w:space="0" w:color="auto"/>
        <w:bottom w:val="none" w:sz="0" w:space="0" w:color="auto"/>
        <w:right w:val="none" w:sz="0" w:space="0" w:color="auto"/>
      </w:divBdr>
    </w:div>
    <w:div w:id="2127506153">
      <w:bodyDiv w:val="1"/>
      <w:marLeft w:val="0"/>
      <w:marRight w:val="0"/>
      <w:marTop w:val="0"/>
      <w:marBottom w:val="0"/>
      <w:divBdr>
        <w:top w:val="none" w:sz="0" w:space="0" w:color="auto"/>
        <w:left w:val="none" w:sz="0" w:space="0" w:color="auto"/>
        <w:bottom w:val="none" w:sz="0" w:space="0" w:color="auto"/>
        <w:right w:val="none" w:sz="0" w:space="0" w:color="auto"/>
      </w:divBdr>
      <w:divsChild>
        <w:div w:id="1205950020">
          <w:marLeft w:val="0"/>
          <w:marRight w:val="0"/>
          <w:marTop w:val="0"/>
          <w:marBottom w:val="0"/>
          <w:divBdr>
            <w:top w:val="none" w:sz="0" w:space="0" w:color="auto"/>
            <w:left w:val="none" w:sz="0" w:space="0" w:color="auto"/>
            <w:bottom w:val="none" w:sz="0" w:space="0" w:color="auto"/>
            <w:right w:val="none" w:sz="0" w:space="0" w:color="auto"/>
          </w:divBdr>
        </w:div>
      </w:divsChild>
    </w:div>
    <w:div w:id="214145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iocgovbody@unesco.org" TargetMode="External"/><Relationship Id="rId26" Type="http://schemas.openxmlformats.org/officeDocument/2006/relationships/hyperlink" Target="https://unesdoc.unesco.org/ark:/48223/pf0000388765.locale=en" TargetMode="External"/><Relationship Id="rId39" Type="http://schemas.openxmlformats.org/officeDocument/2006/relationships/hyperlink" Target="https://oceanexpert.org/document/33305" TargetMode="External"/><Relationship Id="rId21" Type="http://schemas.openxmlformats.org/officeDocument/2006/relationships/hyperlink" Target="https://unesdoc.unesco.org/ark:/48223/pf0000388765.locale=en" TargetMode="External"/><Relationship Id="rId34" Type="http://schemas.openxmlformats.org/officeDocument/2006/relationships/hyperlink" Target="https://oceanexpert.org/document/32672" TargetMode="External"/><Relationship Id="rId42" Type="http://schemas.openxmlformats.org/officeDocument/2006/relationships/hyperlink" Target="https://oceanexpert.org/document/32558" TargetMode="External"/><Relationship Id="rId47" Type="http://schemas.openxmlformats.org/officeDocument/2006/relationships/hyperlink" Target="https://oceanexpert.org/document/33973" TargetMode="External"/><Relationship Id="rId50" Type="http://schemas.openxmlformats.org/officeDocument/2006/relationships/hyperlink" Target="https://unesdoc.unesco.org/ark:/48223/pf0000373231.locale=en" TargetMode="External"/><Relationship Id="rId55" Type="http://schemas.openxmlformats.org/officeDocument/2006/relationships/header" Target="head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5" Type="http://schemas.openxmlformats.org/officeDocument/2006/relationships/hyperlink" Target="https://unesdoc.unesco.org/ark:/48223/pf0000388765.locale=en" TargetMode="External"/><Relationship Id="rId33" Type="http://schemas.openxmlformats.org/officeDocument/2006/relationships/hyperlink" Target="https://goosocean.org/document/26607" TargetMode="External"/><Relationship Id="rId38" Type="http://schemas.openxmlformats.org/officeDocument/2006/relationships/hyperlink" Target="https://oceandecade.org/vision-mission/" TargetMode="External"/><Relationship Id="rId46" Type="http://schemas.openxmlformats.org/officeDocument/2006/relationships/hyperlink" Target="https://oceanexpert.org/document/32558"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unesdoc.unesco.org/ark:/48223/pf0000386603.locale=en" TargetMode="External"/><Relationship Id="rId29" Type="http://schemas.openxmlformats.org/officeDocument/2006/relationships/hyperlink" Target="https://goosocean.org/document/8600" TargetMode="External"/><Relationship Id="rId41" Type="http://schemas.openxmlformats.org/officeDocument/2006/relationships/hyperlink" Target="https://oceanexpert.org/document/33973"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oceanexpert.org/downloadFile/55453" TargetMode="External"/><Relationship Id="rId32" Type="http://schemas.openxmlformats.org/officeDocument/2006/relationships/hyperlink" Target="https://oceanexpert.org/document/33646" TargetMode="External"/><Relationship Id="rId37" Type="http://schemas.openxmlformats.org/officeDocument/2006/relationships/hyperlink" Target="https://oceanexpert.org/document/33985" TargetMode="External"/><Relationship Id="rId40" Type="http://schemas.openxmlformats.org/officeDocument/2006/relationships/hyperlink" Target="https://oceanexpert.org/document/33305" TargetMode="External"/><Relationship Id="rId45" Type="http://schemas.openxmlformats.org/officeDocument/2006/relationships/hyperlink" Target="https://oceanexpert.org/document/32558" TargetMode="External"/><Relationship Id="rId53" Type="http://schemas.openxmlformats.org/officeDocument/2006/relationships/hyperlink" Target="https://unesdoc.unesco.org/ark:/48223/pf0000387982.locale=en"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unesdoc.unesco.org/ark:/48223/pf0000388765.locale=en" TargetMode="External"/><Relationship Id="rId28" Type="http://schemas.openxmlformats.org/officeDocument/2006/relationships/hyperlink" Target="https://unesdoc.unesco.org/ark:/48223/pf0000368020_spa" TargetMode="External"/><Relationship Id="rId36" Type="http://schemas.openxmlformats.org/officeDocument/2006/relationships/hyperlink" Target="https://oceanexpert.org/document/33527" TargetMode="External"/><Relationship Id="rId49" Type="http://schemas.openxmlformats.org/officeDocument/2006/relationships/hyperlink" Target="https://unesdoc.unesco.org/ark:/48223/pf0000387982.locale=en" TargetMode="External"/><Relationship Id="rId57"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unesdoc.unesco.org/ark:/48223/pf0000386319_spa" TargetMode="External"/><Relationship Id="rId31" Type="http://schemas.openxmlformats.org/officeDocument/2006/relationships/hyperlink" Target="https://oceanexpert.org/document/32845" TargetMode="External"/><Relationship Id="rId44" Type="http://schemas.openxmlformats.org/officeDocument/2006/relationships/hyperlink" Target="https://oceanexpert.org/document/28652" TargetMode="External"/><Relationship Id="rId52" Type="http://schemas.openxmlformats.org/officeDocument/2006/relationships/hyperlink" Target="https://oceanexpert.org/document/3254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infobmkg.github.io/" TargetMode="External"/><Relationship Id="rId27" Type="http://schemas.openxmlformats.org/officeDocument/2006/relationships/hyperlink" Target="https://unesdoc.unesco.org/ark:/48223/pf0000381353.locale=en" TargetMode="External"/><Relationship Id="rId30" Type="http://schemas.openxmlformats.org/officeDocument/2006/relationships/hyperlink" Target="https://oceanexpert.org/document/32845" TargetMode="External"/><Relationship Id="rId35" Type="http://schemas.openxmlformats.org/officeDocument/2006/relationships/hyperlink" Target="https://oceanexpert.org/document/33359" TargetMode="External"/><Relationship Id="rId43" Type="http://schemas.openxmlformats.org/officeDocument/2006/relationships/hyperlink" Target="https://unesdoc.unesco.org/ark:/48223/pf0000367678.locale=en.page=73" TargetMode="External"/><Relationship Id="rId48" Type="http://schemas.openxmlformats.org/officeDocument/2006/relationships/hyperlink" Target="https://oceanexpert.org/document/33599" TargetMode="External"/><Relationship Id="rId56" Type="http://schemas.openxmlformats.org/officeDocument/2006/relationships/header" Target="header8.xml"/><Relationship Id="rId8" Type="http://schemas.openxmlformats.org/officeDocument/2006/relationships/styles" Target="styles.xml"/><Relationship Id="rId51" Type="http://schemas.openxmlformats.org/officeDocument/2006/relationships/hyperlink" Target="https://unesdoc.unesco.org/ark:/48223/pf0000389188_spa" TargetMode="Externa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12723509170D458988892ACF1FCA1F" ma:contentTypeVersion="1" ma:contentTypeDescription="Create a new document." ma:contentTypeScope="" ma:versionID="4f7139866b79854ac0d98d34767c60a5">
  <xsd:schema xmlns:xsd="http://www.w3.org/2001/XMLSchema" xmlns:xs="http://www.w3.org/2001/XMLSchema" xmlns:p="http://schemas.microsoft.com/office/2006/metadata/properties" xmlns:ns1="http://schemas.microsoft.com/sharepoint/v3" xmlns:ns2="58e932d1-8919-4331-b239-5cc8cbf973ca" targetNamespace="http://schemas.microsoft.com/office/2006/metadata/properties" ma:root="true" ma:fieldsID="a51669b3c477a9d8aae406b62068cce3" ns1:_="" ns2:_="">
    <xsd:import namespace="http://schemas.microsoft.com/sharepoint/v3"/>
    <xsd:import namespace="58e932d1-8919-4331-b239-5cc8cbf973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932d1-8919-4331-b239-5cc8cbf973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6625B8-5A92-4546-AC73-E39BB55C2DEC}">
  <ds:schemaRefs>
    <ds:schemaRef ds:uri="http://schemas.microsoft.com/office/2006/metadata/longProperties"/>
  </ds:schemaRefs>
</ds:datastoreItem>
</file>

<file path=customXml/itemProps2.xml><?xml version="1.0" encoding="utf-8"?>
<ds:datastoreItem xmlns:ds="http://schemas.openxmlformats.org/officeDocument/2006/customXml" ds:itemID="{5C6F2E61-D399-45A9-9B02-53667B12F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932d1-8919-4331-b239-5cc8cbf9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ABF843-A589-4C85-98EB-F13E008521E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3E0158-10AF-48A2-A42E-3C2A88C6A904}">
  <ds:schemaRefs>
    <ds:schemaRef ds:uri="http://schemas.microsoft.com/sharepoint/events"/>
  </ds:schemaRefs>
</ds:datastoreItem>
</file>

<file path=customXml/itemProps5.xml><?xml version="1.0" encoding="utf-8"?>
<ds:datastoreItem xmlns:ds="http://schemas.openxmlformats.org/officeDocument/2006/customXml" ds:itemID="{22043486-87E8-8F4E-B869-72B3E3D8A418}">
  <ds:schemaRefs>
    <ds:schemaRef ds:uri="http://schemas.openxmlformats.org/officeDocument/2006/bibliography"/>
  </ds:schemaRefs>
</ds:datastoreItem>
</file>

<file path=customXml/itemProps6.xml><?xml version="1.0" encoding="utf-8"?>
<ds:datastoreItem xmlns:ds="http://schemas.openxmlformats.org/officeDocument/2006/customXml" ds:itemID="{52965696-FF32-4D5D-8B0B-41EB5417B2D7}">
  <ds:schemaRefs>
    <ds:schemaRef ds:uri="http://schemas.microsoft.com/sharepoint/v3/contenttype/forms"/>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52</TotalTime>
  <Pages>37</Pages>
  <Words>17112</Words>
  <Characters>94078</Characters>
  <Application>Microsoft Office Word</Application>
  <DocSecurity>0</DocSecurity>
  <Lines>1650</Lines>
  <Paragraphs>650</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IOC 49th session of the Executive Council: Draft provisional action paper</vt:lpstr>
      <vt:lpstr>IOC 49th session of the Executive Council: Draft provisional action paper</vt:lpstr>
      <vt:lpstr>IOC 49th session of the Executive Council: Draft provisional action paper</vt:lpstr>
    </vt:vector>
  </TitlesOfParts>
  <Company>UNESCO</Company>
  <LinksUpToDate>false</LinksUpToDate>
  <CharactersWithSpaces>110540</CharactersWithSpaces>
  <SharedDoc>false</SharedDoc>
  <HLinks>
    <vt:vector size="402" baseType="variant">
      <vt:variant>
        <vt:i4>5374022</vt:i4>
      </vt:variant>
      <vt:variant>
        <vt:i4>288</vt:i4>
      </vt:variant>
      <vt:variant>
        <vt:i4>0</vt:i4>
      </vt:variant>
      <vt:variant>
        <vt:i4>5</vt:i4>
      </vt:variant>
      <vt:variant>
        <vt:lpwstr>https://unesdoc.unesco.org/ark:/48223/pf0000387982.locale=en</vt:lpwstr>
      </vt:variant>
      <vt:variant>
        <vt:lpwstr/>
      </vt:variant>
      <vt:variant>
        <vt:i4>3801192</vt:i4>
      </vt:variant>
      <vt:variant>
        <vt:i4>285</vt:i4>
      </vt:variant>
      <vt:variant>
        <vt:i4>0</vt:i4>
      </vt:variant>
      <vt:variant>
        <vt:i4>5</vt:i4>
      </vt:variant>
      <vt:variant>
        <vt:lpwstr>https://oceanexpert.org/document/32540</vt:lpwstr>
      </vt:variant>
      <vt:variant>
        <vt:lpwstr/>
      </vt:variant>
      <vt:variant>
        <vt:i4>5242952</vt:i4>
      </vt:variant>
      <vt:variant>
        <vt:i4>282</vt:i4>
      </vt:variant>
      <vt:variant>
        <vt:i4>0</vt:i4>
      </vt:variant>
      <vt:variant>
        <vt:i4>5</vt:i4>
      </vt:variant>
      <vt:variant>
        <vt:lpwstr>https://unesdoc.unesco.org/ark:/48223/pf0000389188.locale=en</vt:lpwstr>
      </vt:variant>
      <vt:variant>
        <vt:lpwstr/>
      </vt:variant>
      <vt:variant>
        <vt:i4>5570633</vt:i4>
      </vt:variant>
      <vt:variant>
        <vt:i4>279</vt:i4>
      </vt:variant>
      <vt:variant>
        <vt:i4>0</vt:i4>
      </vt:variant>
      <vt:variant>
        <vt:i4>5</vt:i4>
      </vt:variant>
      <vt:variant>
        <vt:lpwstr>https://unesdoc.unesco.org/ark:/48223/pf0000373231.locale=en</vt:lpwstr>
      </vt:variant>
      <vt:variant>
        <vt:lpwstr/>
      </vt:variant>
      <vt:variant>
        <vt:i4>5374022</vt:i4>
      </vt:variant>
      <vt:variant>
        <vt:i4>276</vt:i4>
      </vt:variant>
      <vt:variant>
        <vt:i4>0</vt:i4>
      </vt:variant>
      <vt:variant>
        <vt:i4>5</vt:i4>
      </vt:variant>
      <vt:variant>
        <vt:lpwstr>https://unesdoc.unesco.org/ark:/48223/pf0000387982.locale=en</vt:lpwstr>
      </vt:variant>
      <vt:variant>
        <vt:lpwstr/>
      </vt:variant>
      <vt:variant>
        <vt:i4>3342436</vt:i4>
      </vt:variant>
      <vt:variant>
        <vt:i4>273</vt:i4>
      </vt:variant>
      <vt:variant>
        <vt:i4>0</vt:i4>
      </vt:variant>
      <vt:variant>
        <vt:i4>5</vt:i4>
      </vt:variant>
      <vt:variant>
        <vt:lpwstr>https://oceanexpert.org/document/33599</vt:lpwstr>
      </vt:variant>
      <vt:variant>
        <vt:lpwstr/>
      </vt:variant>
      <vt:variant>
        <vt:i4>3473514</vt:i4>
      </vt:variant>
      <vt:variant>
        <vt:i4>270</vt:i4>
      </vt:variant>
      <vt:variant>
        <vt:i4>0</vt:i4>
      </vt:variant>
      <vt:variant>
        <vt:i4>5</vt:i4>
      </vt:variant>
      <vt:variant>
        <vt:lpwstr>https://oceanexpert.org/document/33973</vt:lpwstr>
      </vt:variant>
      <vt:variant>
        <vt:lpwstr/>
      </vt:variant>
      <vt:variant>
        <vt:i4>3276905</vt:i4>
      </vt:variant>
      <vt:variant>
        <vt:i4>267</vt:i4>
      </vt:variant>
      <vt:variant>
        <vt:i4>0</vt:i4>
      </vt:variant>
      <vt:variant>
        <vt:i4>5</vt:i4>
      </vt:variant>
      <vt:variant>
        <vt:lpwstr>https://oceanexpert.org/document/32558</vt:lpwstr>
      </vt:variant>
      <vt:variant>
        <vt:lpwstr/>
      </vt:variant>
      <vt:variant>
        <vt:i4>3276905</vt:i4>
      </vt:variant>
      <vt:variant>
        <vt:i4>264</vt:i4>
      </vt:variant>
      <vt:variant>
        <vt:i4>0</vt:i4>
      </vt:variant>
      <vt:variant>
        <vt:i4>5</vt:i4>
      </vt:variant>
      <vt:variant>
        <vt:lpwstr>https://oceanexpert.org/document/32558</vt:lpwstr>
      </vt:variant>
      <vt:variant>
        <vt:lpwstr/>
      </vt:variant>
      <vt:variant>
        <vt:i4>3801187</vt:i4>
      </vt:variant>
      <vt:variant>
        <vt:i4>261</vt:i4>
      </vt:variant>
      <vt:variant>
        <vt:i4>0</vt:i4>
      </vt:variant>
      <vt:variant>
        <vt:i4>5</vt:i4>
      </vt:variant>
      <vt:variant>
        <vt:lpwstr>https://oceanexpert.org/document/28652</vt:lpwstr>
      </vt:variant>
      <vt:variant>
        <vt:lpwstr/>
      </vt:variant>
      <vt:variant>
        <vt:i4>4194388</vt:i4>
      </vt:variant>
      <vt:variant>
        <vt:i4>258</vt:i4>
      </vt:variant>
      <vt:variant>
        <vt:i4>0</vt:i4>
      </vt:variant>
      <vt:variant>
        <vt:i4>5</vt:i4>
      </vt:variant>
      <vt:variant>
        <vt:lpwstr>https://unesdoc.unesco.org/ark:/48223/pf0000367678.locale=en.page=73</vt:lpwstr>
      </vt:variant>
      <vt:variant>
        <vt:lpwstr/>
      </vt:variant>
      <vt:variant>
        <vt:i4>3276905</vt:i4>
      </vt:variant>
      <vt:variant>
        <vt:i4>255</vt:i4>
      </vt:variant>
      <vt:variant>
        <vt:i4>0</vt:i4>
      </vt:variant>
      <vt:variant>
        <vt:i4>5</vt:i4>
      </vt:variant>
      <vt:variant>
        <vt:lpwstr>https://oceanexpert.org/document/32558</vt:lpwstr>
      </vt:variant>
      <vt:variant>
        <vt:lpwstr/>
      </vt:variant>
      <vt:variant>
        <vt:i4>3473514</vt:i4>
      </vt:variant>
      <vt:variant>
        <vt:i4>252</vt:i4>
      </vt:variant>
      <vt:variant>
        <vt:i4>0</vt:i4>
      </vt:variant>
      <vt:variant>
        <vt:i4>5</vt:i4>
      </vt:variant>
      <vt:variant>
        <vt:lpwstr>https://oceanexpert.org/document/33973</vt:lpwstr>
      </vt:variant>
      <vt:variant>
        <vt:lpwstr/>
      </vt:variant>
      <vt:variant>
        <vt:i4>3735661</vt:i4>
      </vt:variant>
      <vt:variant>
        <vt:i4>249</vt:i4>
      </vt:variant>
      <vt:variant>
        <vt:i4>0</vt:i4>
      </vt:variant>
      <vt:variant>
        <vt:i4>5</vt:i4>
      </vt:variant>
      <vt:variant>
        <vt:lpwstr>https://oceanexpert.org/document/33305</vt:lpwstr>
      </vt:variant>
      <vt:variant>
        <vt:lpwstr/>
      </vt:variant>
      <vt:variant>
        <vt:i4>3735661</vt:i4>
      </vt:variant>
      <vt:variant>
        <vt:i4>246</vt:i4>
      </vt:variant>
      <vt:variant>
        <vt:i4>0</vt:i4>
      </vt:variant>
      <vt:variant>
        <vt:i4>5</vt:i4>
      </vt:variant>
      <vt:variant>
        <vt:lpwstr>https://oceanexpert.org/document/33305</vt:lpwstr>
      </vt:variant>
      <vt:variant>
        <vt:lpwstr/>
      </vt:variant>
      <vt:variant>
        <vt:i4>7602303</vt:i4>
      </vt:variant>
      <vt:variant>
        <vt:i4>243</vt:i4>
      </vt:variant>
      <vt:variant>
        <vt:i4>0</vt:i4>
      </vt:variant>
      <vt:variant>
        <vt:i4>5</vt:i4>
      </vt:variant>
      <vt:variant>
        <vt:lpwstr>https://oceandecade.org/vision-mission/</vt:lpwstr>
      </vt:variant>
      <vt:variant>
        <vt:lpwstr/>
      </vt:variant>
      <vt:variant>
        <vt:i4>3342437</vt:i4>
      </vt:variant>
      <vt:variant>
        <vt:i4>240</vt:i4>
      </vt:variant>
      <vt:variant>
        <vt:i4>0</vt:i4>
      </vt:variant>
      <vt:variant>
        <vt:i4>5</vt:i4>
      </vt:variant>
      <vt:variant>
        <vt:lpwstr>https://oceanexpert.org/document/33985</vt:lpwstr>
      </vt:variant>
      <vt:variant>
        <vt:lpwstr/>
      </vt:variant>
      <vt:variant>
        <vt:i4>3997807</vt:i4>
      </vt:variant>
      <vt:variant>
        <vt:i4>237</vt:i4>
      </vt:variant>
      <vt:variant>
        <vt:i4>0</vt:i4>
      </vt:variant>
      <vt:variant>
        <vt:i4>5</vt:i4>
      </vt:variant>
      <vt:variant>
        <vt:lpwstr>https://oceanexpert.org/document/33527</vt:lpwstr>
      </vt:variant>
      <vt:variant>
        <vt:lpwstr/>
      </vt:variant>
      <vt:variant>
        <vt:i4>3473512</vt:i4>
      </vt:variant>
      <vt:variant>
        <vt:i4>234</vt:i4>
      </vt:variant>
      <vt:variant>
        <vt:i4>0</vt:i4>
      </vt:variant>
      <vt:variant>
        <vt:i4>5</vt:i4>
      </vt:variant>
      <vt:variant>
        <vt:lpwstr>https://oceanexpert.org/document/33359</vt:lpwstr>
      </vt:variant>
      <vt:variant>
        <vt:lpwstr/>
      </vt:variant>
      <vt:variant>
        <vt:i4>3866731</vt:i4>
      </vt:variant>
      <vt:variant>
        <vt:i4>231</vt:i4>
      </vt:variant>
      <vt:variant>
        <vt:i4>0</vt:i4>
      </vt:variant>
      <vt:variant>
        <vt:i4>5</vt:i4>
      </vt:variant>
      <vt:variant>
        <vt:lpwstr>https://oceanexpert.org/document/32672</vt:lpwstr>
      </vt:variant>
      <vt:variant>
        <vt:lpwstr/>
      </vt:variant>
      <vt:variant>
        <vt:i4>4456457</vt:i4>
      </vt:variant>
      <vt:variant>
        <vt:i4>228</vt:i4>
      </vt:variant>
      <vt:variant>
        <vt:i4>0</vt:i4>
      </vt:variant>
      <vt:variant>
        <vt:i4>5</vt:i4>
      </vt:variant>
      <vt:variant>
        <vt:lpwstr>https://goosocean.org/document/26607</vt:lpwstr>
      </vt:variant>
      <vt:variant>
        <vt:lpwstr/>
      </vt:variant>
      <vt:variant>
        <vt:i4>4128873</vt:i4>
      </vt:variant>
      <vt:variant>
        <vt:i4>225</vt:i4>
      </vt:variant>
      <vt:variant>
        <vt:i4>0</vt:i4>
      </vt:variant>
      <vt:variant>
        <vt:i4>5</vt:i4>
      </vt:variant>
      <vt:variant>
        <vt:lpwstr>https://oceanexpert.org/document/33646</vt:lpwstr>
      </vt:variant>
      <vt:variant>
        <vt:lpwstr/>
      </vt:variant>
      <vt:variant>
        <vt:i4>3276904</vt:i4>
      </vt:variant>
      <vt:variant>
        <vt:i4>222</vt:i4>
      </vt:variant>
      <vt:variant>
        <vt:i4>0</vt:i4>
      </vt:variant>
      <vt:variant>
        <vt:i4>5</vt:i4>
      </vt:variant>
      <vt:variant>
        <vt:lpwstr>https://oceanexpert.org/document/32845</vt:lpwstr>
      </vt:variant>
      <vt:variant>
        <vt:lpwstr/>
      </vt:variant>
      <vt:variant>
        <vt:i4>3276904</vt:i4>
      </vt:variant>
      <vt:variant>
        <vt:i4>219</vt:i4>
      </vt:variant>
      <vt:variant>
        <vt:i4>0</vt:i4>
      </vt:variant>
      <vt:variant>
        <vt:i4>5</vt:i4>
      </vt:variant>
      <vt:variant>
        <vt:lpwstr>https://oceanexpert.org/document/32845</vt:lpwstr>
      </vt:variant>
      <vt:variant>
        <vt:lpwstr/>
      </vt:variant>
      <vt:variant>
        <vt:i4>3342436</vt:i4>
      </vt:variant>
      <vt:variant>
        <vt:i4>216</vt:i4>
      </vt:variant>
      <vt:variant>
        <vt:i4>0</vt:i4>
      </vt:variant>
      <vt:variant>
        <vt:i4>5</vt:i4>
      </vt:variant>
      <vt:variant>
        <vt:lpwstr>https://oceanexpert.org/document/33599</vt:lpwstr>
      </vt:variant>
      <vt:variant>
        <vt:lpwstr/>
      </vt:variant>
      <vt:variant>
        <vt:i4>8323129</vt:i4>
      </vt:variant>
      <vt:variant>
        <vt:i4>213</vt:i4>
      </vt:variant>
      <vt:variant>
        <vt:i4>0</vt:i4>
      </vt:variant>
      <vt:variant>
        <vt:i4>5</vt:i4>
      </vt:variant>
      <vt:variant>
        <vt:lpwstr>https://goosocean.org/document/8600</vt:lpwstr>
      </vt:variant>
      <vt:variant>
        <vt:lpwstr/>
      </vt:variant>
      <vt:variant>
        <vt:i4>4915264</vt:i4>
      </vt:variant>
      <vt:variant>
        <vt:i4>210</vt:i4>
      </vt:variant>
      <vt:variant>
        <vt:i4>0</vt:i4>
      </vt:variant>
      <vt:variant>
        <vt:i4>5</vt:i4>
      </vt:variant>
      <vt:variant>
        <vt:lpwstr>https://unesdoc.unesco.org/ark:/48223/pf0000368020.locale=fr</vt:lpwstr>
      </vt:variant>
      <vt:variant>
        <vt:lpwstr/>
      </vt:variant>
      <vt:variant>
        <vt:i4>5832781</vt:i4>
      </vt:variant>
      <vt:variant>
        <vt:i4>207</vt:i4>
      </vt:variant>
      <vt:variant>
        <vt:i4>0</vt:i4>
      </vt:variant>
      <vt:variant>
        <vt:i4>5</vt:i4>
      </vt:variant>
      <vt:variant>
        <vt:lpwstr>https://unesdoc.unesco.org/ark:/48223/pf0000381353.locale=en</vt:lpwstr>
      </vt:variant>
      <vt:variant>
        <vt:lpwstr/>
      </vt:variant>
      <vt:variant>
        <vt:i4>5963847</vt:i4>
      </vt:variant>
      <vt:variant>
        <vt:i4>204</vt:i4>
      </vt:variant>
      <vt:variant>
        <vt:i4>0</vt:i4>
      </vt:variant>
      <vt:variant>
        <vt:i4>5</vt:i4>
      </vt:variant>
      <vt:variant>
        <vt:lpwstr>https://unesdoc.unesco.org/ark:/48223/pf0000388765.locale=en</vt:lpwstr>
      </vt:variant>
      <vt:variant>
        <vt:lpwstr/>
      </vt:variant>
      <vt:variant>
        <vt:i4>5963847</vt:i4>
      </vt:variant>
      <vt:variant>
        <vt:i4>201</vt:i4>
      </vt:variant>
      <vt:variant>
        <vt:i4>0</vt:i4>
      </vt:variant>
      <vt:variant>
        <vt:i4>5</vt:i4>
      </vt:variant>
      <vt:variant>
        <vt:lpwstr>https://unesdoc.unesco.org/ark:/48223/pf0000388765.locale=en</vt:lpwstr>
      </vt:variant>
      <vt:variant>
        <vt:lpwstr/>
      </vt:variant>
      <vt:variant>
        <vt:i4>3997794</vt:i4>
      </vt:variant>
      <vt:variant>
        <vt:i4>198</vt:i4>
      </vt:variant>
      <vt:variant>
        <vt:i4>0</vt:i4>
      </vt:variant>
      <vt:variant>
        <vt:i4>5</vt:i4>
      </vt:variant>
      <vt:variant>
        <vt:lpwstr>https://infobmkg.github.io/</vt:lpwstr>
      </vt:variant>
      <vt:variant>
        <vt:lpwstr/>
      </vt:variant>
      <vt:variant>
        <vt:i4>3342462</vt:i4>
      </vt:variant>
      <vt:variant>
        <vt:i4>195</vt:i4>
      </vt:variant>
      <vt:variant>
        <vt:i4>0</vt:i4>
      </vt:variant>
      <vt:variant>
        <vt:i4>5</vt:i4>
      </vt:variant>
      <vt:variant>
        <vt:lpwstr>https://oceanexpert.org/downloadFile/55453</vt:lpwstr>
      </vt:variant>
      <vt:variant>
        <vt:lpwstr/>
      </vt:variant>
      <vt:variant>
        <vt:i4>5963847</vt:i4>
      </vt:variant>
      <vt:variant>
        <vt:i4>192</vt:i4>
      </vt:variant>
      <vt:variant>
        <vt:i4>0</vt:i4>
      </vt:variant>
      <vt:variant>
        <vt:i4>5</vt:i4>
      </vt:variant>
      <vt:variant>
        <vt:lpwstr>https://unesdoc.unesco.org/ark:/48223/pf0000388765.locale=en</vt:lpwstr>
      </vt:variant>
      <vt:variant>
        <vt:lpwstr/>
      </vt:variant>
      <vt:variant>
        <vt:i4>3997794</vt:i4>
      </vt:variant>
      <vt:variant>
        <vt:i4>189</vt:i4>
      </vt:variant>
      <vt:variant>
        <vt:i4>0</vt:i4>
      </vt:variant>
      <vt:variant>
        <vt:i4>5</vt:i4>
      </vt:variant>
      <vt:variant>
        <vt:lpwstr>https://infobmkg.github.io/</vt:lpwstr>
      </vt:variant>
      <vt:variant>
        <vt:lpwstr/>
      </vt:variant>
      <vt:variant>
        <vt:i4>5963847</vt:i4>
      </vt:variant>
      <vt:variant>
        <vt:i4>186</vt:i4>
      </vt:variant>
      <vt:variant>
        <vt:i4>0</vt:i4>
      </vt:variant>
      <vt:variant>
        <vt:i4>5</vt:i4>
      </vt:variant>
      <vt:variant>
        <vt:lpwstr>https://unesdoc.unesco.org/ark:/48223/pf0000388765.locale=en</vt:lpwstr>
      </vt:variant>
      <vt:variant>
        <vt:lpwstr/>
      </vt:variant>
      <vt:variant>
        <vt:i4>6029391</vt:i4>
      </vt:variant>
      <vt:variant>
        <vt:i4>183</vt:i4>
      </vt:variant>
      <vt:variant>
        <vt:i4>0</vt:i4>
      </vt:variant>
      <vt:variant>
        <vt:i4>5</vt:i4>
      </vt:variant>
      <vt:variant>
        <vt:lpwstr>https://unesdoc.unesco.org/ark:/48223/pf0000386603.locale=en</vt:lpwstr>
      </vt:variant>
      <vt:variant>
        <vt:lpwstr/>
      </vt:variant>
      <vt:variant>
        <vt:i4>5439566</vt:i4>
      </vt:variant>
      <vt:variant>
        <vt:i4>180</vt:i4>
      </vt:variant>
      <vt:variant>
        <vt:i4>0</vt:i4>
      </vt:variant>
      <vt:variant>
        <vt:i4>5</vt:i4>
      </vt:variant>
      <vt:variant>
        <vt:lpwstr>https://unesdoc.unesco.org/ark:/48223/pf0000386319.locale=en</vt:lpwstr>
      </vt:variant>
      <vt:variant>
        <vt:lpwstr/>
      </vt:variant>
      <vt:variant>
        <vt:i4>3866637</vt:i4>
      </vt:variant>
      <vt:variant>
        <vt:i4>177</vt:i4>
      </vt:variant>
      <vt:variant>
        <vt:i4>0</vt:i4>
      </vt:variant>
      <vt:variant>
        <vt:i4>5</vt:i4>
      </vt:variant>
      <vt:variant>
        <vt:lpwstr>mailto:iocgovbody@unesco.org</vt:lpwstr>
      </vt:variant>
      <vt:variant>
        <vt:lpwstr/>
      </vt:variant>
      <vt:variant>
        <vt:i4>1179698</vt:i4>
      </vt:variant>
      <vt:variant>
        <vt:i4>170</vt:i4>
      </vt:variant>
      <vt:variant>
        <vt:i4>0</vt:i4>
      </vt:variant>
      <vt:variant>
        <vt:i4>5</vt:i4>
      </vt:variant>
      <vt:variant>
        <vt:lpwstr/>
      </vt:variant>
      <vt:variant>
        <vt:lpwstr>_Toc158225978</vt:lpwstr>
      </vt:variant>
      <vt:variant>
        <vt:i4>1179698</vt:i4>
      </vt:variant>
      <vt:variant>
        <vt:i4>164</vt:i4>
      </vt:variant>
      <vt:variant>
        <vt:i4>0</vt:i4>
      </vt:variant>
      <vt:variant>
        <vt:i4>5</vt:i4>
      </vt:variant>
      <vt:variant>
        <vt:lpwstr/>
      </vt:variant>
      <vt:variant>
        <vt:lpwstr>_Toc158225977</vt:lpwstr>
      </vt:variant>
      <vt:variant>
        <vt:i4>1179698</vt:i4>
      </vt:variant>
      <vt:variant>
        <vt:i4>158</vt:i4>
      </vt:variant>
      <vt:variant>
        <vt:i4>0</vt:i4>
      </vt:variant>
      <vt:variant>
        <vt:i4>5</vt:i4>
      </vt:variant>
      <vt:variant>
        <vt:lpwstr/>
      </vt:variant>
      <vt:variant>
        <vt:lpwstr>_Toc158225976</vt:lpwstr>
      </vt:variant>
      <vt:variant>
        <vt:i4>1179698</vt:i4>
      </vt:variant>
      <vt:variant>
        <vt:i4>152</vt:i4>
      </vt:variant>
      <vt:variant>
        <vt:i4>0</vt:i4>
      </vt:variant>
      <vt:variant>
        <vt:i4>5</vt:i4>
      </vt:variant>
      <vt:variant>
        <vt:lpwstr/>
      </vt:variant>
      <vt:variant>
        <vt:lpwstr>_Toc158225975</vt:lpwstr>
      </vt:variant>
      <vt:variant>
        <vt:i4>1179698</vt:i4>
      </vt:variant>
      <vt:variant>
        <vt:i4>146</vt:i4>
      </vt:variant>
      <vt:variant>
        <vt:i4>0</vt:i4>
      </vt:variant>
      <vt:variant>
        <vt:i4>5</vt:i4>
      </vt:variant>
      <vt:variant>
        <vt:lpwstr/>
      </vt:variant>
      <vt:variant>
        <vt:lpwstr>_Toc158225974</vt:lpwstr>
      </vt:variant>
      <vt:variant>
        <vt:i4>1179698</vt:i4>
      </vt:variant>
      <vt:variant>
        <vt:i4>140</vt:i4>
      </vt:variant>
      <vt:variant>
        <vt:i4>0</vt:i4>
      </vt:variant>
      <vt:variant>
        <vt:i4>5</vt:i4>
      </vt:variant>
      <vt:variant>
        <vt:lpwstr/>
      </vt:variant>
      <vt:variant>
        <vt:lpwstr>_Toc158225973</vt:lpwstr>
      </vt:variant>
      <vt:variant>
        <vt:i4>1179698</vt:i4>
      </vt:variant>
      <vt:variant>
        <vt:i4>134</vt:i4>
      </vt:variant>
      <vt:variant>
        <vt:i4>0</vt:i4>
      </vt:variant>
      <vt:variant>
        <vt:i4>5</vt:i4>
      </vt:variant>
      <vt:variant>
        <vt:lpwstr/>
      </vt:variant>
      <vt:variant>
        <vt:lpwstr>_Toc158225972</vt:lpwstr>
      </vt:variant>
      <vt:variant>
        <vt:i4>1179698</vt:i4>
      </vt:variant>
      <vt:variant>
        <vt:i4>128</vt:i4>
      </vt:variant>
      <vt:variant>
        <vt:i4>0</vt:i4>
      </vt:variant>
      <vt:variant>
        <vt:i4>5</vt:i4>
      </vt:variant>
      <vt:variant>
        <vt:lpwstr/>
      </vt:variant>
      <vt:variant>
        <vt:lpwstr>_Toc158225971</vt:lpwstr>
      </vt:variant>
      <vt:variant>
        <vt:i4>1179698</vt:i4>
      </vt:variant>
      <vt:variant>
        <vt:i4>122</vt:i4>
      </vt:variant>
      <vt:variant>
        <vt:i4>0</vt:i4>
      </vt:variant>
      <vt:variant>
        <vt:i4>5</vt:i4>
      </vt:variant>
      <vt:variant>
        <vt:lpwstr/>
      </vt:variant>
      <vt:variant>
        <vt:lpwstr>_Toc158225970</vt:lpwstr>
      </vt:variant>
      <vt:variant>
        <vt:i4>1245234</vt:i4>
      </vt:variant>
      <vt:variant>
        <vt:i4>116</vt:i4>
      </vt:variant>
      <vt:variant>
        <vt:i4>0</vt:i4>
      </vt:variant>
      <vt:variant>
        <vt:i4>5</vt:i4>
      </vt:variant>
      <vt:variant>
        <vt:lpwstr/>
      </vt:variant>
      <vt:variant>
        <vt:lpwstr>_Toc158225969</vt:lpwstr>
      </vt:variant>
      <vt:variant>
        <vt:i4>1245234</vt:i4>
      </vt:variant>
      <vt:variant>
        <vt:i4>110</vt:i4>
      </vt:variant>
      <vt:variant>
        <vt:i4>0</vt:i4>
      </vt:variant>
      <vt:variant>
        <vt:i4>5</vt:i4>
      </vt:variant>
      <vt:variant>
        <vt:lpwstr/>
      </vt:variant>
      <vt:variant>
        <vt:lpwstr>_Toc158225968</vt:lpwstr>
      </vt:variant>
      <vt:variant>
        <vt:i4>1245234</vt:i4>
      </vt:variant>
      <vt:variant>
        <vt:i4>104</vt:i4>
      </vt:variant>
      <vt:variant>
        <vt:i4>0</vt:i4>
      </vt:variant>
      <vt:variant>
        <vt:i4>5</vt:i4>
      </vt:variant>
      <vt:variant>
        <vt:lpwstr/>
      </vt:variant>
      <vt:variant>
        <vt:lpwstr>_Toc158225967</vt:lpwstr>
      </vt:variant>
      <vt:variant>
        <vt:i4>1245234</vt:i4>
      </vt:variant>
      <vt:variant>
        <vt:i4>98</vt:i4>
      </vt:variant>
      <vt:variant>
        <vt:i4>0</vt:i4>
      </vt:variant>
      <vt:variant>
        <vt:i4>5</vt:i4>
      </vt:variant>
      <vt:variant>
        <vt:lpwstr/>
      </vt:variant>
      <vt:variant>
        <vt:lpwstr>_Toc158225966</vt:lpwstr>
      </vt:variant>
      <vt:variant>
        <vt:i4>1245234</vt:i4>
      </vt:variant>
      <vt:variant>
        <vt:i4>92</vt:i4>
      </vt:variant>
      <vt:variant>
        <vt:i4>0</vt:i4>
      </vt:variant>
      <vt:variant>
        <vt:i4>5</vt:i4>
      </vt:variant>
      <vt:variant>
        <vt:lpwstr/>
      </vt:variant>
      <vt:variant>
        <vt:lpwstr>_Toc158225965</vt:lpwstr>
      </vt:variant>
      <vt:variant>
        <vt:i4>1245234</vt:i4>
      </vt:variant>
      <vt:variant>
        <vt:i4>86</vt:i4>
      </vt:variant>
      <vt:variant>
        <vt:i4>0</vt:i4>
      </vt:variant>
      <vt:variant>
        <vt:i4>5</vt:i4>
      </vt:variant>
      <vt:variant>
        <vt:lpwstr/>
      </vt:variant>
      <vt:variant>
        <vt:lpwstr>_Toc158225964</vt:lpwstr>
      </vt:variant>
      <vt:variant>
        <vt:i4>1245234</vt:i4>
      </vt:variant>
      <vt:variant>
        <vt:i4>80</vt:i4>
      </vt:variant>
      <vt:variant>
        <vt:i4>0</vt:i4>
      </vt:variant>
      <vt:variant>
        <vt:i4>5</vt:i4>
      </vt:variant>
      <vt:variant>
        <vt:lpwstr/>
      </vt:variant>
      <vt:variant>
        <vt:lpwstr>_Toc158225963</vt:lpwstr>
      </vt:variant>
      <vt:variant>
        <vt:i4>1245234</vt:i4>
      </vt:variant>
      <vt:variant>
        <vt:i4>74</vt:i4>
      </vt:variant>
      <vt:variant>
        <vt:i4>0</vt:i4>
      </vt:variant>
      <vt:variant>
        <vt:i4>5</vt:i4>
      </vt:variant>
      <vt:variant>
        <vt:lpwstr/>
      </vt:variant>
      <vt:variant>
        <vt:lpwstr>_Toc158225962</vt:lpwstr>
      </vt:variant>
      <vt:variant>
        <vt:i4>1245234</vt:i4>
      </vt:variant>
      <vt:variant>
        <vt:i4>68</vt:i4>
      </vt:variant>
      <vt:variant>
        <vt:i4>0</vt:i4>
      </vt:variant>
      <vt:variant>
        <vt:i4>5</vt:i4>
      </vt:variant>
      <vt:variant>
        <vt:lpwstr/>
      </vt:variant>
      <vt:variant>
        <vt:lpwstr>_Toc158225961</vt:lpwstr>
      </vt:variant>
      <vt:variant>
        <vt:i4>1245234</vt:i4>
      </vt:variant>
      <vt:variant>
        <vt:i4>62</vt:i4>
      </vt:variant>
      <vt:variant>
        <vt:i4>0</vt:i4>
      </vt:variant>
      <vt:variant>
        <vt:i4>5</vt:i4>
      </vt:variant>
      <vt:variant>
        <vt:lpwstr/>
      </vt:variant>
      <vt:variant>
        <vt:lpwstr>_Toc158225960</vt:lpwstr>
      </vt:variant>
      <vt:variant>
        <vt:i4>1048626</vt:i4>
      </vt:variant>
      <vt:variant>
        <vt:i4>56</vt:i4>
      </vt:variant>
      <vt:variant>
        <vt:i4>0</vt:i4>
      </vt:variant>
      <vt:variant>
        <vt:i4>5</vt:i4>
      </vt:variant>
      <vt:variant>
        <vt:lpwstr/>
      </vt:variant>
      <vt:variant>
        <vt:lpwstr>_Toc158225959</vt:lpwstr>
      </vt:variant>
      <vt:variant>
        <vt:i4>1048626</vt:i4>
      </vt:variant>
      <vt:variant>
        <vt:i4>50</vt:i4>
      </vt:variant>
      <vt:variant>
        <vt:i4>0</vt:i4>
      </vt:variant>
      <vt:variant>
        <vt:i4>5</vt:i4>
      </vt:variant>
      <vt:variant>
        <vt:lpwstr/>
      </vt:variant>
      <vt:variant>
        <vt:lpwstr>_Toc158225958</vt:lpwstr>
      </vt:variant>
      <vt:variant>
        <vt:i4>1048626</vt:i4>
      </vt:variant>
      <vt:variant>
        <vt:i4>44</vt:i4>
      </vt:variant>
      <vt:variant>
        <vt:i4>0</vt:i4>
      </vt:variant>
      <vt:variant>
        <vt:i4>5</vt:i4>
      </vt:variant>
      <vt:variant>
        <vt:lpwstr/>
      </vt:variant>
      <vt:variant>
        <vt:lpwstr>_Toc158225957</vt:lpwstr>
      </vt:variant>
      <vt:variant>
        <vt:i4>1048626</vt:i4>
      </vt:variant>
      <vt:variant>
        <vt:i4>38</vt:i4>
      </vt:variant>
      <vt:variant>
        <vt:i4>0</vt:i4>
      </vt:variant>
      <vt:variant>
        <vt:i4>5</vt:i4>
      </vt:variant>
      <vt:variant>
        <vt:lpwstr/>
      </vt:variant>
      <vt:variant>
        <vt:lpwstr>_Toc158225956</vt:lpwstr>
      </vt:variant>
      <vt:variant>
        <vt:i4>1048626</vt:i4>
      </vt:variant>
      <vt:variant>
        <vt:i4>32</vt:i4>
      </vt:variant>
      <vt:variant>
        <vt:i4>0</vt:i4>
      </vt:variant>
      <vt:variant>
        <vt:i4>5</vt:i4>
      </vt:variant>
      <vt:variant>
        <vt:lpwstr/>
      </vt:variant>
      <vt:variant>
        <vt:lpwstr>_Toc158225955</vt:lpwstr>
      </vt:variant>
      <vt:variant>
        <vt:i4>1048626</vt:i4>
      </vt:variant>
      <vt:variant>
        <vt:i4>26</vt:i4>
      </vt:variant>
      <vt:variant>
        <vt:i4>0</vt:i4>
      </vt:variant>
      <vt:variant>
        <vt:i4>5</vt:i4>
      </vt:variant>
      <vt:variant>
        <vt:lpwstr/>
      </vt:variant>
      <vt:variant>
        <vt:lpwstr>_Toc158225954</vt:lpwstr>
      </vt:variant>
      <vt:variant>
        <vt:i4>1048626</vt:i4>
      </vt:variant>
      <vt:variant>
        <vt:i4>20</vt:i4>
      </vt:variant>
      <vt:variant>
        <vt:i4>0</vt:i4>
      </vt:variant>
      <vt:variant>
        <vt:i4>5</vt:i4>
      </vt:variant>
      <vt:variant>
        <vt:lpwstr/>
      </vt:variant>
      <vt:variant>
        <vt:lpwstr>_Toc158225953</vt:lpwstr>
      </vt:variant>
      <vt:variant>
        <vt:i4>1048626</vt:i4>
      </vt:variant>
      <vt:variant>
        <vt:i4>14</vt:i4>
      </vt:variant>
      <vt:variant>
        <vt:i4>0</vt:i4>
      </vt:variant>
      <vt:variant>
        <vt:i4>5</vt:i4>
      </vt:variant>
      <vt:variant>
        <vt:lpwstr/>
      </vt:variant>
      <vt:variant>
        <vt:lpwstr>_Toc158225952</vt:lpwstr>
      </vt:variant>
      <vt:variant>
        <vt:i4>1048626</vt:i4>
      </vt:variant>
      <vt:variant>
        <vt:i4>8</vt:i4>
      </vt:variant>
      <vt:variant>
        <vt:i4>0</vt:i4>
      </vt:variant>
      <vt:variant>
        <vt:i4>5</vt:i4>
      </vt:variant>
      <vt:variant>
        <vt:lpwstr/>
      </vt:variant>
      <vt:variant>
        <vt:lpwstr>_Toc158225951</vt:lpwstr>
      </vt:variant>
      <vt:variant>
        <vt:i4>1048626</vt:i4>
      </vt:variant>
      <vt:variant>
        <vt:i4>2</vt:i4>
      </vt:variant>
      <vt:variant>
        <vt:i4>0</vt:i4>
      </vt:variant>
      <vt:variant>
        <vt:i4>5</vt:i4>
      </vt:variant>
      <vt:variant>
        <vt:lpwstr/>
      </vt:variant>
      <vt:variant>
        <vt:lpwstr>_Toc158225950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IOC 49th session of the Executive Council: Draft provisional action paper</dc:title>
  <dc:subject>IOC/EC-XLIX/2 PROV.</dc:subject>
  <dc:creator>p_boned</dc:creator>
  <cp:keywords>1053.16E</cp:keywords>
  <dc:description/>
  <cp:lastModifiedBy>Lain, Ruben</cp:lastModifiedBy>
  <cp:revision>14</cp:revision>
  <cp:lastPrinted>2024-04-29T08:31:00Z</cp:lastPrinted>
  <dcterms:created xsi:type="dcterms:W3CDTF">2024-06-10T15:13:00Z</dcterms:created>
  <dcterms:modified xsi:type="dcterms:W3CDTF">2024-06-10T16:20:00Z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DN3HXZNSAUTS-2414-48</vt:lpwstr>
  </property>
  <property fmtid="{D5CDD505-2E9C-101B-9397-08002B2CF9AE}" pid="3" name="_dlc_DocIdItemGuid">
    <vt:lpwstr>8c334f66-a1c5-4d93-98c9-f03cc1966411</vt:lpwstr>
  </property>
  <property fmtid="{D5CDD505-2E9C-101B-9397-08002B2CF9AE}" pid="4" name="_dlc_DocIdUrl">
    <vt:lpwstr>https://teams.unesco.org/ORG/ioc/_layouts/15/DocIdRedir.aspx?ID=DN3HXZNSAUTS-2414-48, DN3HXZNSAUTS-2414-48</vt:lpwstr>
  </property>
  <property fmtid="{D5CDD505-2E9C-101B-9397-08002B2CF9AE}" pid="5" name="Job no">
    <vt:i4>97074</vt:i4>
  </property>
  <property fmtid="{D5CDD505-2E9C-101B-9397-08002B2CF9AE}" pid="6" name="JobDMS">
    <vt:r8>1053.16</vt:r8>
  </property>
  <property fmtid="{D5CDD505-2E9C-101B-9397-08002B2CF9AE}" pid="7" name="Language">
    <vt:lpwstr>E</vt:lpwstr>
  </property>
  <property fmtid="{D5CDD505-2E9C-101B-9397-08002B2CF9AE}" pid="8" name="TranslatedWith">
    <vt:lpwstr>Mercury</vt:lpwstr>
  </property>
  <property fmtid="{D5CDD505-2E9C-101B-9397-08002B2CF9AE}" pid="9" name="GeneratedBy">
    <vt:lpwstr>jp_ramos-gutierrez</vt:lpwstr>
  </property>
  <property fmtid="{D5CDD505-2E9C-101B-9397-08002B2CF9AE}" pid="10" name="GeneratedDate">
    <vt:lpwstr>05/31/2024 13:09:32</vt:lpwstr>
  </property>
  <property fmtid="{D5CDD505-2E9C-101B-9397-08002B2CF9AE}" pid="11" name="OriginalDocID">
    <vt:lpwstr>5a2abf4d-eea7-4728-8751-c90e2feca23d</vt:lpwstr>
  </property>
</Properties>
</file>