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89F" w:rsidRPr="00017CDF" w:rsidRDefault="0079189F" w:rsidP="0079189F">
      <w:pPr>
        <w:pBdr>
          <w:bottom w:val="single" w:sz="4" w:space="12" w:color="auto"/>
        </w:pBdr>
        <w:spacing w:before="120"/>
        <w:jc w:val="center"/>
        <w:rPr>
          <w:rFonts w:cs="Arial"/>
          <w:b/>
          <w:bCs/>
          <w:sz w:val="32"/>
          <w:lang w:val="en-US"/>
        </w:rPr>
      </w:pPr>
      <w:r w:rsidRPr="00017CDF">
        <w:rPr>
          <w:rFonts w:cs="Arial"/>
          <w:b/>
          <w:bCs/>
          <w:sz w:val="32"/>
          <w:lang w:val="en-US"/>
        </w:rPr>
        <w:t xml:space="preserve">Working Group </w:t>
      </w:r>
      <w:r>
        <w:rPr>
          <w:rFonts w:cs="Arial"/>
          <w:b/>
          <w:bCs/>
          <w:sz w:val="32"/>
          <w:lang w:val="en-US"/>
        </w:rPr>
        <w:t>2</w:t>
      </w:r>
    </w:p>
    <w:p w:rsidR="0079189F" w:rsidRDefault="0079189F" w:rsidP="0079189F">
      <w:pPr>
        <w:pBdr>
          <w:bottom w:val="single" w:sz="4" w:space="12" w:color="auto"/>
        </w:pBdr>
        <w:spacing w:before="120"/>
        <w:jc w:val="center"/>
        <w:rPr>
          <w:rFonts w:cs="Arial"/>
          <w:b/>
          <w:bCs/>
          <w:sz w:val="32"/>
          <w:lang w:val="en-US"/>
        </w:rPr>
      </w:pPr>
      <w:r w:rsidRPr="0079189F">
        <w:rPr>
          <w:rFonts w:cs="Arial"/>
          <w:b/>
          <w:bCs/>
          <w:sz w:val="32"/>
          <w:lang w:val="en-US"/>
        </w:rPr>
        <w:t>TSUNAMI DETECTION, ANALYSIS AND FORECASTING</w:t>
      </w:r>
    </w:p>
    <w:p w:rsidR="0079189F" w:rsidRPr="00017CDF" w:rsidRDefault="0079189F" w:rsidP="0079189F">
      <w:pPr>
        <w:pBdr>
          <w:bottom w:val="single" w:sz="4" w:space="12" w:color="auto"/>
        </w:pBdr>
        <w:spacing w:before="120"/>
        <w:jc w:val="center"/>
        <w:rPr>
          <w:rFonts w:cs="Arial"/>
          <w:b/>
          <w:bCs/>
          <w:sz w:val="32"/>
          <w:lang w:val="en-US"/>
        </w:rPr>
      </w:pPr>
      <w:r w:rsidRPr="00017CDF">
        <w:rPr>
          <w:rFonts w:cs="Arial"/>
          <w:b/>
          <w:bCs/>
          <w:sz w:val="32"/>
          <w:lang w:val="en-US"/>
        </w:rPr>
        <w:t>Progress Report</w:t>
      </w:r>
    </w:p>
    <w:p w:rsidR="00000000" w:rsidRDefault="00264EEB">
      <w:pPr>
        <w:rPr>
          <w:rFonts w:cs="Arial"/>
          <w:b/>
          <w:sz w:val="24"/>
        </w:rPr>
      </w:pPr>
      <w:r w:rsidRPr="00017CDF">
        <w:rPr>
          <w:rFonts w:cs="Arial"/>
          <w:b/>
          <w:sz w:val="24"/>
        </w:rPr>
        <w:t>Introduction</w:t>
      </w:r>
    </w:p>
    <w:p w:rsidR="00264EEB" w:rsidRDefault="00264EEB">
      <w:pPr>
        <w:rPr>
          <w:rFonts w:cs="Arial"/>
          <w:b/>
          <w:sz w:val="24"/>
        </w:rPr>
      </w:pPr>
    </w:p>
    <w:p w:rsidR="00E47068" w:rsidRDefault="00264EEB">
      <w:pPr>
        <w:rPr>
          <w:bCs/>
          <w:sz w:val="24"/>
          <w:lang w:val="en-US"/>
        </w:rPr>
      </w:pPr>
      <w:r w:rsidRPr="00264EEB">
        <w:rPr>
          <w:bCs/>
          <w:sz w:val="24"/>
          <w:lang w:val="en-US"/>
        </w:rPr>
        <w:t>At the sixteenth</w:t>
      </w:r>
      <w:r w:rsidRPr="00264EEB">
        <w:rPr>
          <w:sz w:val="24"/>
          <w:lang w:val="en-US"/>
        </w:rPr>
        <w:t xml:space="preserve"> </w:t>
      </w:r>
      <w:r w:rsidRPr="00264EEB">
        <w:rPr>
          <w:bCs/>
          <w:sz w:val="24"/>
          <w:lang w:val="en-US"/>
        </w:rPr>
        <w:t>Session of the Intergovernmental Coordination Group Warning System for Tsunami and Other Coastal Hazards in the Caribbean and Adjacent Regions (ICG / CARIBE-EWS-VIII), held</w:t>
      </w:r>
      <w:r w:rsidRPr="00264EEB"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in XXXXX on XXX to XXX, it was decided to reorganize </w:t>
      </w:r>
      <w:r w:rsidR="00981A7E">
        <w:rPr>
          <w:bCs/>
          <w:sz w:val="24"/>
          <w:lang w:val="en-US"/>
        </w:rPr>
        <w:t xml:space="preserve">the working group structure to align with the pillars of the UNESCO Ocean Decade. </w:t>
      </w:r>
      <w:r w:rsidR="008D0284">
        <w:rPr>
          <w:bCs/>
          <w:sz w:val="24"/>
          <w:lang w:val="en-US"/>
        </w:rPr>
        <w:t>Among these a new Working Group 2: Tsunami Detection Analysis and Forecasting</w:t>
      </w:r>
      <w:r w:rsidR="007B1792">
        <w:rPr>
          <w:bCs/>
          <w:sz w:val="24"/>
          <w:lang w:val="en-US"/>
        </w:rPr>
        <w:t xml:space="preserve"> was established.</w:t>
      </w:r>
      <w:r w:rsidR="00E47068">
        <w:rPr>
          <w:bCs/>
          <w:sz w:val="24"/>
          <w:lang w:val="en-US"/>
        </w:rPr>
        <w:t xml:space="preserve"> </w:t>
      </w:r>
    </w:p>
    <w:p w:rsidR="00E47068" w:rsidRDefault="00E47068">
      <w:pPr>
        <w:rPr>
          <w:bCs/>
          <w:sz w:val="24"/>
          <w:lang w:val="en-US"/>
        </w:rPr>
      </w:pPr>
    </w:p>
    <w:p w:rsidR="00E47068" w:rsidRDefault="00E47068">
      <w:pPr>
        <w:rPr>
          <w:bCs/>
          <w:sz w:val="24"/>
          <w:lang w:val="en-US"/>
        </w:rPr>
      </w:pPr>
      <w:r>
        <w:rPr>
          <w:bCs/>
          <w:sz w:val="24"/>
          <w:lang w:val="en-US"/>
        </w:rPr>
        <w:t>As established the General Tasks of the Group are as follows:</w:t>
      </w:r>
    </w:p>
    <w:p w:rsidR="00E47068" w:rsidRPr="00E47068" w:rsidRDefault="00E47068" w:rsidP="00E47068">
      <w:pPr>
        <w:numPr>
          <w:ilvl w:val="0"/>
          <w:numId w:val="1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Support the operations of a fully interoperable regional tsunami warning system.</w:t>
      </w:r>
    </w:p>
    <w:p w:rsidR="00E47068" w:rsidRPr="00E47068" w:rsidRDefault="00E47068" w:rsidP="00E47068">
      <w:pPr>
        <w:numPr>
          <w:ilvl w:val="0"/>
          <w:numId w:val="1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Support and integrate the work of the subgroups.</w:t>
      </w:r>
    </w:p>
    <w:p w:rsidR="00E47068" w:rsidRPr="00E47068" w:rsidRDefault="00E47068" w:rsidP="00E47068">
      <w:pPr>
        <w:numPr>
          <w:ilvl w:val="0"/>
          <w:numId w:val="1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Present a progress report based on the Key Performance Indicators related to the UN ODTP.</w:t>
      </w:r>
    </w:p>
    <w:p w:rsidR="00E47068" w:rsidRPr="00E47068" w:rsidRDefault="00E47068" w:rsidP="00E47068">
      <w:pPr>
        <w:numPr>
          <w:ilvl w:val="0"/>
          <w:numId w:val="1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Establish strategies to enhance the warning system by including the detection, analysis and forecasting of other coastal hazards.</w:t>
      </w:r>
    </w:p>
    <w:p w:rsidR="00E47068" w:rsidRPr="00E47068" w:rsidRDefault="00E47068" w:rsidP="00E47068">
      <w:pPr>
        <w:numPr>
          <w:ilvl w:val="0"/>
          <w:numId w:val="1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Promote the sharing of experience and expertise, and capacity building essential to effective tsunami source characterization, detection and forecasting.</w:t>
      </w:r>
    </w:p>
    <w:p w:rsidR="00E47068" w:rsidRDefault="00E47068">
      <w:pPr>
        <w:rPr>
          <w:bCs/>
          <w:sz w:val="24"/>
          <w:lang w:val="en-PR"/>
        </w:rPr>
      </w:pPr>
    </w:p>
    <w:p w:rsidR="009B3046" w:rsidRDefault="00B64B96">
      <w:pPr>
        <w:rPr>
          <w:bCs/>
          <w:sz w:val="24"/>
          <w:lang w:val="en-US"/>
        </w:rPr>
      </w:pPr>
      <w:r>
        <w:rPr>
          <w:bCs/>
          <w:sz w:val="24"/>
          <w:lang w:val="en-US"/>
        </w:rPr>
        <w:t xml:space="preserve">In addition to the General tasks, goals and tasks related to the working </w:t>
      </w:r>
      <w:r w:rsidR="009B3046">
        <w:rPr>
          <w:bCs/>
          <w:sz w:val="24"/>
          <w:lang w:val="en-US"/>
        </w:rPr>
        <w:t xml:space="preserve">group </w:t>
      </w:r>
      <w:r w:rsidR="00E47068">
        <w:rPr>
          <w:bCs/>
          <w:sz w:val="24"/>
          <w:lang w:val="en-US"/>
        </w:rPr>
        <w:t xml:space="preserve">linked with </w:t>
      </w:r>
      <w:r w:rsidR="009B3046">
        <w:rPr>
          <w:bCs/>
          <w:sz w:val="24"/>
          <w:lang w:val="en-US"/>
        </w:rPr>
        <w:t xml:space="preserve">different tsunami subareas are as follows: </w:t>
      </w:r>
    </w:p>
    <w:p w:rsidR="009B3046" w:rsidRDefault="009B3046">
      <w:pPr>
        <w:rPr>
          <w:bCs/>
          <w:sz w:val="24"/>
          <w:lang w:val="en-US"/>
        </w:rPr>
      </w:pPr>
    </w:p>
    <w:p w:rsidR="007B1792" w:rsidRDefault="00E47068">
      <w:pPr>
        <w:rPr>
          <w:bCs/>
          <w:sz w:val="24"/>
          <w:lang w:val="en-US"/>
        </w:rPr>
      </w:pPr>
      <w:r w:rsidRPr="00E47068">
        <w:rPr>
          <w:bCs/>
          <w:sz w:val="24"/>
          <w:lang w:val="en-US"/>
        </w:rPr>
        <w:t>Tsunami Source Detection, Identification and Characterization</w:t>
      </w:r>
      <w:r>
        <w:rPr>
          <w:bCs/>
          <w:sz w:val="24"/>
          <w:lang w:val="en-US"/>
        </w:rPr>
        <w:t>:</w:t>
      </w:r>
    </w:p>
    <w:p w:rsidR="00E47068" w:rsidRPr="00E47068" w:rsidRDefault="00E47068" w:rsidP="00E47068">
      <w:pPr>
        <w:numPr>
          <w:ilvl w:val="0"/>
          <w:numId w:val="2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Ensure the effectiveness of the observational system by promoting the open exchange of seismic and other relevant data in real time.</w:t>
      </w:r>
    </w:p>
    <w:p w:rsidR="00E47068" w:rsidRPr="00E47068" w:rsidRDefault="00E47068" w:rsidP="00E47068">
      <w:pPr>
        <w:numPr>
          <w:ilvl w:val="0"/>
          <w:numId w:val="2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Advise member states on the monitoring and detection capabilities of tsunamigenic sources needed for operating national tsunami warning centre.</w:t>
      </w:r>
    </w:p>
    <w:p w:rsidR="00E47068" w:rsidRPr="00E47068" w:rsidRDefault="00E47068" w:rsidP="00E47068">
      <w:pPr>
        <w:numPr>
          <w:ilvl w:val="0"/>
          <w:numId w:val="2"/>
        </w:numPr>
        <w:rPr>
          <w:bCs/>
          <w:sz w:val="24"/>
          <w:lang w:val="en-PR"/>
        </w:rPr>
      </w:pPr>
      <w:r w:rsidRPr="00E47068">
        <w:rPr>
          <w:bCs/>
          <w:sz w:val="24"/>
          <w:lang w:val="en-PR"/>
        </w:rPr>
        <w:t>Assure the compliance with the agreed standards for the detection systems.</w:t>
      </w:r>
    </w:p>
    <w:p w:rsidR="00E47068" w:rsidRDefault="00B64B96">
      <w:pPr>
        <w:rPr>
          <w:bCs/>
          <w:sz w:val="24"/>
          <w:lang w:val="en-US"/>
        </w:rPr>
      </w:pPr>
      <w:r>
        <w:rPr>
          <w:bCs/>
          <w:sz w:val="24"/>
          <w:lang w:val="en-US"/>
        </w:rPr>
        <w:t xml:space="preserve">Tasks linked with </w:t>
      </w:r>
      <w:r w:rsidR="009B3046">
        <w:rPr>
          <w:bCs/>
          <w:sz w:val="24"/>
          <w:lang w:val="en-US"/>
        </w:rPr>
        <w:t>Tsunami</w:t>
      </w:r>
      <w:r>
        <w:rPr>
          <w:bCs/>
          <w:sz w:val="24"/>
          <w:lang w:val="en-US"/>
        </w:rPr>
        <w:t xml:space="preserve"> Wave Detection:</w:t>
      </w:r>
    </w:p>
    <w:p w:rsidR="00B64B96" w:rsidRPr="00B64B96" w:rsidRDefault="00B64B96" w:rsidP="00B64B96">
      <w:pPr>
        <w:numPr>
          <w:ilvl w:val="0"/>
          <w:numId w:val="3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Ensure the effectiveness of the observational system by promoting the open exchange of sea level data in real time.</w:t>
      </w:r>
    </w:p>
    <w:p w:rsidR="00B64B96" w:rsidRPr="00B64B96" w:rsidRDefault="00B64B96" w:rsidP="00B64B96">
      <w:pPr>
        <w:numPr>
          <w:ilvl w:val="0"/>
          <w:numId w:val="3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Advise member states on the tsunami monitoring and detection capabilities needed for operating national tsunami warning centres.</w:t>
      </w:r>
    </w:p>
    <w:p w:rsidR="00B64B96" w:rsidRPr="00B64B96" w:rsidRDefault="00B64B96" w:rsidP="00B64B96">
      <w:pPr>
        <w:numPr>
          <w:ilvl w:val="0"/>
          <w:numId w:val="3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Assure the compliance with the agreed standards for the tsunami detection systems.</w:t>
      </w:r>
    </w:p>
    <w:p w:rsidR="00B64B96" w:rsidRDefault="00B64B96">
      <w:pPr>
        <w:rPr>
          <w:bCs/>
          <w:sz w:val="24"/>
          <w:lang w:val="en-US"/>
        </w:rPr>
      </w:pPr>
      <w:r>
        <w:rPr>
          <w:bCs/>
          <w:sz w:val="24"/>
          <w:lang w:val="en-US"/>
        </w:rPr>
        <w:t>Tasks linked with Tsunami Forecasting:</w:t>
      </w:r>
    </w:p>
    <w:p w:rsidR="00B64B96" w:rsidRPr="00B64B96" w:rsidRDefault="00B64B96" w:rsidP="00B64B96">
      <w:pPr>
        <w:numPr>
          <w:ilvl w:val="0"/>
          <w:numId w:val="4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Define the operational requirements for the monitoring and forecasting systems.</w:t>
      </w:r>
    </w:p>
    <w:p w:rsidR="00B64B96" w:rsidRPr="00B64B96" w:rsidRDefault="00B64B96" w:rsidP="00B64B96">
      <w:pPr>
        <w:numPr>
          <w:ilvl w:val="0"/>
          <w:numId w:val="4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Provide guidance on tsunami forecasting tools to TSPs, NTWCs and provide actionable information to emergency managers.</w:t>
      </w:r>
    </w:p>
    <w:p w:rsidR="008C19CE" w:rsidRPr="009268D3" w:rsidRDefault="00B64B96" w:rsidP="009268D3">
      <w:pPr>
        <w:numPr>
          <w:ilvl w:val="0"/>
          <w:numId w:val="4"/>
        </w:numPr>
        <w:rPr>
          <w:bCs/>
          <w:sz w:val="24"/>
          <w:lang w:val="en-PR"/>
        </w:rPr>
      </w:pPr>
      <w:r w:rsidRPr="00B64B96">
        <w:rPr>
          <w:bCs/>
          <w:sz w:val="24"/>
          <w:lang w:val="en-PR"/>
        </w:rPr>
        <w:t>Explore, experiment and test novel approaches for tsunami forecasting.</w:t>
      </w:r>
    </w:p>
    <w:p w:rsidR="00485A9A" w:rsidRDefault="00485A9A" w:rsidP="008C19CE">
      <w:pPr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lastRenderedPageBreak/>
        <w:t>Significant Actions/Notes Since the Last Session</w:t>
      </w:r>
    </w:p>
    <w:p w:rsidR="00485A9A" w:rsidRDefault="00485A9A" w:rsidP="008C19CE">
      <w:pPr>
        <w:rPr>
          <w:rFonts w:cs="Arial"/>
          <w:bCs/>
          <w:sz w:val="24"/>
          <w:lang w:val="en-US"/>
        </w:rPr>
      </w:pPr>
    </w:p>
    <w:p w:rsidR="005B05DD" w:rsidRDefault="00485A9A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 xml:space="preserve">On August 7-11, 2023 </w:t>
      </w:r>
      <w:proofErr w:type="gramStart"/>
      <w:r>
        <w:rPr>
          <w:rFonts w:cs="Arial"/>
          <w:bCs/>
          <w:sz w:val="24"/>
          <w:lang w:val="en-US"/>
        </w:rPr>
        <w:t>The</w:t>
      </w:r>
      <w:proofErr w:type="gramEnd"/>
      <w:r>
        <w:rPr>
          <w:rFonts w:cs="Arial"/>
          <w:bCs/>
          <w:sz w:val="24"/>
          <w:lang w:val="en-US"/>
        </w:rPr>
        <w:t xml:space="preserve"> Puerto Rico Seismic Network hosted a GNSS workshop in Aguadilla, PR. The workshop was further supported by the US NOAA </w:t>
      </w:r>
      <w:r w:rsidR="007126F3">
        <w:rPr>
          <w:rFonts w:cs="Arial"/>
          <w:bCs/>
          <w:sz w:val="24"/>
          <w:lang w:val="en-US"/>
        </w:rPr>
        <w:t xml:space="preserve">ITIC Caribbean office. </w:t>
      </w:r>
      <w:r>
        <w:rPr>
          <w:rFonts w:cs="Arial"/>
          <w:bCs/>
          <w:sz w:val="24"/>
          <w:lang w:val="en-US"/>
        </w:rPr>
        <w:t xml:space="preserve"> The goal of this workshop was to enhance capacity building and collaboration across CARIBE-EWS states </w:t>
      </w:r>
      <w:r w:rsidR="005B05DD">
        <w:rPr>
          <w:rFonts w:cs="Arial"/>
          <w:bCs/>
          <w:sz w:val="24"/>
          <w:lang w:val="en-US"/>
        </w:rPr>
        <w:t xml:space="preserve">with regards to GNSS best practices for topics including station installation, data exchange, and data processing. </w:t>
      </w:r>
    </w:p>
    <w:p w:rsidR="00AF5AF3" w:rsidRDefault="00AF5AF3" w:rsidP="008C19CE">
      <w:pPr>
        <w:rPr>
          <w:rFonts w:cs="Arial"/>
          <w:bCs/>
          <w:sz w:val="24"/>
          <w:lang w:val="en-US"/>
        </w:rPr>
      </w:pPr>
    </w:p>
    <w:p w:rsidR="00AF5AF3" w:rsidRDefault="00E6574E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 xml:space="preserve">In October 2023, an IOC circular letter was distributed to the </w:t>
      </w:r>
      <w:r w:rsidRPr="00E6574E">
        <w:rPr>
          <w:rFonts w:cs="Arial"/>
          <w:bCs/>
          <w:sz w:val="24"/>
          <w:lang w:val="en-US"/>
        </w:rPr>
        <w:t>ICG/CARIBE-EWS Tsunami National Contacts (TNC) and Tsunami Warning Focal Points (TWFPs)</w:t>
      </w:r>
      <w:r>
        <w:rPr>
          <w:rFonts w:cs="Arial"/>
          <w:bCs/>
          <w:sz w:val="24"/>
          <w:lang w:val="en-US"/>
        </w:rPr>
        <w:t xml:space="preserve"> requesting nominations for the newly established working group</w:t>
      </w:r>
      <w:r w:rsidR="00A011D3">
        <w:rPr>
          <w:rFonts w:cs="Arial"/>
          <w:bCs/>
          <w:sz w:val="24"/>
          <w:lang w:val="en-US"/>
        </w:rPr>
        <w:t>. Nominations remained open until the middle of November 2023</w:t>
      </w:r>
      <w:r w:rsidR="00296538">
        <w:rPr>
          <w:rFonts w:cs="Arial"/>
          <w:bCs/>
          <w:sz w:val="24"/>
          <w:lang w:val="en-US"/>
        </w:rPr>
        <w:t xml:space="preserve">; preliminary group member lists were circulated in January 2024. </w:t>
      </w:r>
    </w:p>
    <w:p w:rsidR="00B120BC" w:rsidRDefault="00B120BC" w:rsidP="008C19CE">
      <w:pPr>
        <w:rPr>
          <w:rFonts w:cs="Arial"/>
          <w:bCs/>
          <w:sz w:val="24"/>
          <w:lang w:val="en-US"/>
        </w:rPr>
      </w:pPr>
    </w:p>
    <w:p w:rsidR="00B120BC" w:rsidRDefault="00B120BC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>On January 27, 2024 the WG2 chair attended the initial working group meeting for the IOCARIBE GOOS TAC-OOFS</w:t>
      </w:r>
      <w:r w:rsidR="00296538">
        <w:rPr>
          <w:rFonts w:cs="Arial"/>
          <w:bCs/>
          <w:sz w:val="24"/>
          <w:lang w:val="en-US"/>
        </w:rPr>
        <w:t>. TAC-OOFS</w:t>
      </w:r>
      <w:r w:rsidR="00B53363">
        <w:rPr>
          <w:rFonts w:cs="Arial"/>
          <w:bCs/>
          <w:sz w:val="24"/>
          <w:lang w:val="en-US"/>
        </w:rPr>
        <w:t>,</w:t>
      </w:r>
      <w:r w:rsidR="00296538">
        <w:rPr>
          <w:rFonts w:cs="Arial"/>
          <w:bCs/>
          <w:sz w:val="24"/>
          <w:lang w:val="en-US"/>
        </w:rPr>
        <w:t xml:space="preserve"> </w:t>
      </w:r>
      <w:r w:rsidR="00B53363" w:rsidRPr="00B53363">
        <w:rPr>
          <w:rFonts w:cs="Arial"/>
          <w:bCs/>
          <w:sz w:val="24"/>
          <w:lang w:val="en-US"/>
        </w:rPr>
        <w:t>An Ocean Observing and Forecasting System for the Tropical Americas and Caribbean Region</w:t>
      </w:r>
      <w:r w:rsidR="00B53363">
        <w:rPr>
          <w:rFonts w:cs="Arial"/>
          <w:bCs/>
          <w:sz w:val="24"/>
          <w:lang w:val="en-US"/>
        </w:rPr>
        <w:t xml:space="preserve">, </w:t>
      </w:r>
      <w:r w:rsidR="00296538">
        <w:rPr>
          <w:rFonts w:cs="Arial"/>
          <w:bCs/>
          <w:sz w:val="24"/>
          <w:lang w:val="en-US"/>
        </w:rPr>
        <w:t xml:space="preserve">is a UN </w:t>
      </w:r>
      <w:r w:rsidR="00B53363">
        <w:rPr>
          <w:rFonts w:cs="Arial"/>
          <w:bCs/>
          <w:sz w:val="24"/>
          <w:lang w:val="en-US"/>
        </w:rPr>
        <w:t>Decade of Ocean Science supported program with the aim to create a cohesive ocean observing system in the region. Of particular interest to the ICG Caribe-EWS is the inclusion of sea level stations in the effort. TAC-OOFS provides an opportunity to possibly increase the number of sea level stations available</w:t>
      </w:r>
      <w:r w:rsidR="001C6309">
        <w:rPr>
          <w:rFonts w:cs="Arial"/>
          <w:bCs/>
          <w:sz w:val="24"/>
          <w:lang w:val="en-US"/>
        </w:rPr>
        <w:t xml:space="preserve"> for tsunami detection and analysis as well as a possible avenue to create </w:t>
      </w:r>
      <w:r w:rsidR="000A075E">
        <w:rPr>
          <w:rFonts w:cs="Arial"/>
          <w:bCs/>
          <w:sz w:val="24"/>
          <w:lang w:val="en-US"/>
        </w:rPr>
        <w:t xml:space="preserve">more standardization of sea level station meta-data. </w:t>
      </w:r>
      <w:r w:rsidR="001C6309">
        <w:rPr>
          <w:rFonts w:cs="Arial"/>
          <w:bCs/>
          <w:sz w:val="24"/>
          <w:lang w:val="en-US"/>
        </w:rPr>
        <w:t xml:space="preserve"> </w:t>
      </w:r>
    </w:p>
    <w:p w:rsidR="003856BE" w:rsidRDefault="003856BE" w:rsidP="008C19CE">
      <w:pPr>
        <w:rPr>
          <w:rFonts w:cs="Arial"/>
          <w:bCs/>
          <w:sz w:val="24"/>
          <w:lang w:val="en-US"/>
        </w:rPr>
      </w:pPr>
    </w:p>
    <w:p w:rsidR="003856BE" w:rsidRDefault="00DC144E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 xml:space="preserve">In February 2024, a preliminary meeting </w:t>
      </w:r>
      <w:r w:rsidR="00FD23A8">
        <w:rPr>
          <w:rFonts w:cs="Arial"/>
          <w:bCs/>
          <w:sz w:val="24"/>
          <w:lang w:val="en-US"/>
        </w:rPr>
        <w:t xml:space="preserve">of the working group met virtually to establish working goals and dynamics for the coming year. Two key projects were noted: 1. The need to develop a working group of specialists to support implementation of </w:t>
      </w:r>
      <w:proofErr w:type="gramStart"/>
      <w:r w:rsidR="00FD23A8">
        <w:rPr>
          <w:rFonts w:cs="Arial"/>
          <w:bCs/>
          <w:sz w:val="24"/>
          <w:lang w:val="en-US"/>
        </w:rPr>
        <w:t>cable based</w:t>
      </w:r>
      <w:proofErr w:type="gramEnd"/>
      <w:r w:rsidR="00FD23A8">
        <w:rPr>
          <w:rFonts w:cs="Arial"/>
          <w:bCs/>
          <w:sz w:val="24"/>
          <w:lang w:val="en-US"/>
        </w:rPr>
        <w:t xml:space="preserve"> data into tsunami monitoring. 2. Further develop the monthly reports to indicate the impact of data availability on tsunami detection. It was also discussed that a monthly</w:t>
      </w:r>
      <w:r w:rsidR="00EA7034">
        <w:rPr>
          <w:rFonts w:cs="Arial"/>
          <w:bCs/>
          <w:sz w:val="24"/>
          <w:lang w:val="en-US"/>
        </w:rPr>
        <w:t xml:space="preserve"> or bi-monthly</w:t>
      </w:r>
      <w:r w:rsidR="00FD23A8">
        <w:rPr>
          <w:rFonts w:cs="Arial"/>
          <w:bCs/>
          <w:sz w:val="24"/>
          <w:lang w:val="en-US"/>
        </w:rPr>
        <w:t xml:space="preserve"> webinar </w:t>
      </w:r>
      <w:r w:rsidR="00EA7034">
        <w:rPr>
          <w:rFonts w:cs="Arial"/>
          <w:bCs/>
          <w:sz w:val="24"/>
          <w:lang w:val="en-US"/>
        </w:rPr>
        <w:t xml:space="preserve">on topics regarding </w:t>
      </w:r>
      <w:r w:rsidR="00EA7034">
        <w:rPr>
          <w:bCs/>
          <w:sz w:val="24"/>
          <w:lang w:val="en-US"/>
        </w:rPr>
        <w:t>Tsunami Detection Analysis and Forecasting</w:t>
      </w:r>
      <w:r w:rsidR="00EA7034">
        <w:rPr>
          <w:bCs/>
          <w:sz w:val="24"/>
          <w:lang w:val="en-US"/>
        </w:rPr>
        <w:t xml:space="preserve"> would be worth developing. </w:t>
      </w:r>
    </w:p>
    <w:p w:rsidR="00B120BC" w:rsidRDefault="00B120BC" w:rsidP="008C19CE">
      <w:pPr>
        <w:rPr>
          <w:rFonts w:cs="Arial"/>
          <w:bCs/>
          <w:sz w:val="24"/>
          <w:lang w:val="en-US"/>
        </w:rPr>
      </w:pPr>
    </w:p>
    <w:p w:rsidR="00B120BC" w:rsidRPr="00E6574E" w:rsidRDefault="00554C74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>In March 2024, the WG</w:t>
      </w:r>
      <w:r w:rsidR="00DC144E">
        <w:rPr>
          <w:rFonts w:cs="Arial"/>
          <w:bCs/>
          <w:sz w:val="24"/>
          <w:lang w:val="en-US"/>
        </w:rPr>
        <w:t>2</w:t>
      </w:r>
      <w:r>
        <w:rPr>
          <w:rFonts w:cs="Arial"/>
          <w:bCs/>
          <w:sz w:val="24"/>
          <w:lang w:val="en-US"/>
        </w:rPr>
        <w:t xml:space="preserve"> chair participated in a meeting with UNESCO</w:t>
      </w:r>
      <w:r w:rsidR="00E007C3">
        <w:rPr>
          <w:rFonts w:cs="Arial"/>
          <w:bCs/>
          <w:sz w:val="24"/>
          <w:lang w:val="en-US"/>
        </w:rPr>
        <w:t xml:space="preserve"> and NOAA representatives to start the organization of a</w:t>
      </w:r>
      <w:r w:rsidR="003856BE">
        <w:rPr>
          <w:rFonts w:cs="Arial"/>
          <w:bCs/>
          <w:sz w:val="24"/>
          <w:lang w:val="en-US"/>
        </w:rPr>
        <w:t>n English language</w:t>
      </w:r>
      <w:r w:rsidR="00E007C3">
        <w:rPr>
          <w:rFonts w:cs="Arial"/>
          <w:bCs/>
          <w:sz w:val="24"/>
          <w:lang w:val="en-US"/>
        </w:rPr>
        <w:t xml:space="preserve"> sea level training</w:t>
      </w:r>
      <w:r w:rsidR="003856BE">
        <w:rPr>
          <w:rFonts w:cs="Arial"/>
          <w:bCs/>
          <w:sz w:val="24"/>
          <w:lang w:val="en-US"/>
        </w:rPr>
        <w:t>/workshop modelled after the Spanish language workshop</w:t>
      </w:r>
      <w:r w:rsidR="008D1CBB">
        <w:rPr>
          <w:rFonts w:cs="Arial"/>
          <w:bCs/>
          <w:sz w:val="24"/>
          <w:lang w:val="en-US"/>
        </w:rPr>
        <w:t xml:space="preserve"> previously</w:t>
      </w:r>
      <w:r w:rsidR="003856BE">
        <w:rPr>
          <w:rFonts w:cs="Arial"/>
          <w:bCs/>
          <w:sz w:val="24"/>
          <w:lang w:val="en-US"/>
        </w:rPr>
        <w:t xml:space="preserve"> held in Costa Rica</w:t>
      </w:r>
      <w:r w:rsidR="008D1CBB">
        <w:rPr>
          <w:rFonts w:cs="Arial"/>
          <w:bCs/>
          <w:sz w:val="24"/>
          <w:lang w:val="en-US"/>
        </w:rPr>
        <w:t xml:space="preserve">. </w:t>
      </w:r>
    </w:p>
    <w:p w:rsidR="00AF5AF3" w:rsidRDefault="00AF5AF3" w:rsidP="008C19CE">
      <w:pPr>
        <w:rPr>
          <w:rFonts w:cs="Arial"/>
          <w:bCs/>
          <w:sz w:val="24"/>
          <w:lang w:val="en-US"/>
        </w:rPr>
      </w:pPr>
    </w:p>
    <w:p w:rsidR="00AF5AF3" w:rsidRDefault="00AF5AF3" w:rsidP="008C19CE">
      <w:pPr>
        <w:rPr>
          <w:rFonts w:cs="Arial"/>
          <w:bCs/>
          <w:sz w:val="24"/>
          <w:lang w:val="en-US"/>
        </w:rPr>
      </w:pPr>
    </w:p>
    <w:p w:rsidR="00386683" w:rsidRDefault="001C6309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>NOAA</w:t>
      </w:r>
      <w:r w:rsidR="00F1076A">
        <w:rPr>
          <w:rFonts w:cs="Arial"/>
          <w:bCs/>
          <w:sz w:val="24"/>
          <w:lang w:val="en-US"/>
        </w:rPr>
        <w:t xml:space="preserve"> PTWC</w:t>
      </w:r>
      <w:r>
        <w:rPr>
          <w:rFonts w:cs="Arial"/>
          <w:bCs/>
          <w:sz w:val="24"/>
          <w:lang w:val="en-US"/>
        </w:rPr>
        <w:t xml:space="preserve"> and the NOAA ITIC-</w:t>
      </w:r>
      <w:r w:rsidR="00386683">
        <w:rPr>
          <w:rFonts w:cs="Arial"/>
          <w:bCs/>
          <w:sz w:val="24"/>
          <w:lang w:val="en-US"/>
        </w:rPr>
        <w:t>CAR</w:t>
      </w:r>
      <w:r>
        <w:rPr>
          <w:rFonts w:cs="Arial"/>
          <w:bCs/>
          <w:sz w:val="24"/>
          <w:lang w:val="en-US"/>
        </w:rPr>
        <w:t xml:space="preserve"> have been tracking the data availability of sea level and seismic data in the region. </w:t>
      </w:r>
      <w:r w:rsidR="0026228C">
        <w:rPr>
          <w:rFonts w:cs="Arial"/>
          <w:bCs/>
          <w:sz w:val="24"/>
          <w:lang w:val="en-US"/>
        </w:rPr>
        <w:t xml:space="preserve">For sea level data, there is an endemic data gap </w:t>
      </w:r>
      <w:r w:rsidR="00341E8C">
        <w:rPr>
          <w:rFonts w:cs="Arial"/>
          <w:bCs/>
          <w:sz w:val="24"/>
          <w:lang w:val="en-US"/>
        </w:rPr>
        <w:t>in the northwestern Caribbean.</w:t>
      </w:r>
    </w:p>
    <w:p w:rsidR="00485A9A" w:rsidRDefault="00341E8C" w:rsidP="008C19CE">
      <w:pPr>
        <w:rPr>
          <w:rFonts w:cs="Arial"/>
          <w:bCs/>
          <w:sz w:val="24"/>
          <w:lang w:val="en-US"/>
        </w:rPr>
      </w:pPr>
      <w:r>
        <w:rPr>
          <w:rFonts w:cs="Arial"/>
          <w:bCs/>
          <w:sz w:val="24"/>
          <w:lang w:val="en-US"/>
        </w:rPr>
        <w:t xml:space="preserve"> </w:t>
      </w:r>
    </w:p>
    <w:p w:rsidR="00485A9A" w:rsidRDefault="00485A9A" w:rsidP="008C19CE">
      <w:pPr>
        <w:rPr>
          <w:rFonts w:cs="Arial"/>
          <w:bCs/>
          <w:sz w:val="24"/>
          <w:lang w:val="en-US"/>
        </w:rPr>
      </w:pPr>
    </w:p>
    <w:p w:rsidR="00A65FF7" w:rsidRDefault="00A65FF7" w:rsidP="008C19CE">
      <w:pPr>
        <w:rPr>
          <w:rFonts w:cs="Arial"/>
          <w:bCs/>
          <w:sz w:val="24"/>
          <w:lang w:val="en-US"/>
        </w:rPr>
      </w:pPr>
    </w:p>
    <w:p w:rsidR="00A65FF7" w:rsidRDefault="00A65FF7" w:rsidP="008C19CE">
      <w:pPr>
        <w:rPr>
          <w:rFonts w:cs="Arial"/>
          <w:bCs/>
          <w:sz w:val="24"/>
          <w:lang w:val="en-US"/>
        </w:rPr>
      </w:pPr>
    </w:p>
    <w:p w:rsidR="00A65FF7" w:rsidRDefault="00A65FF7" w:rsidP="008C19CE">
      <w:pPr>
        <w:rPr>
          <w:rFonts w:cs="Arial"/>
          <w:bCs/>
          <w:sz w:val="24"/>
          <w:lang w:val="en-US"/>
        </w:rPr>
      </w:pPr>
    </w:p>
    <w:p w:rsidR="00A65FF7" w:rsidRPr="00485A9A" w:rsidRDefault="00A65FF7" w:rsidP="008C19CE">
      <w:pPr>
        <w:rPr>
          <w:rFonts w:cs="Arial"/>
          <w:bCs/>
          <w:sz w:val="24"/>
          <w:lang w:val="en-US"/>
        </w:rPr>
      </w:pPr>
    </w:p>
    <w:p w:rsidR="008C19CE" w:rsidRDefault="00485A9A" w:rsidP="008C19CE">
      <w:pPr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lastRenderedPageBreak/>
        <w:t xml:space="preserve">Draft </w:t>
      </w:r>
      <w:r w:rsidR="009268D3" w:rsidRPr="008C19CE">
        <w:rPr>
          <w:rFonts w:cs="Arial"/>
          <w:b/>
          <w:sz w:val="24"/>
          <w:lang w:val="en-US"/>
        </w:rPr>
        <w:t>Recommendations</w:t>
      </w:r>
      <w:r w:rsidR="008C19CE" w:rsidRPr="008C19CE">
        <w:rPr>
          <w:rFonts w:cs="Arial"/>
          <w:b/>
          <w:sz w:val="24"/>
          <w:lang w:val="en-US"/>
        </w:rPr>
        <w:t xml:space="preserve"> For ICG/CARIBE EWS</w:t>
      </w:r>
    </w:p>
    <w:p w:rsidR="008C19CE" w:rsidRDefault="008C19CE" w:rsidP="008C19CE">
      <w:pPr>
        <w:rPr>
          <w:rFonts w:cs="Arial"/>
          <w:b/>
          <w:sz w:val="24"/>
          <w:lang w:val="en-US"/>
        </w:rPr>
      </w:pPr>
    </w:p>
    <w:p w:rsidR="00DE0A07" w:rsidRPr="00DE0A07" w:rsidRDefault="009268D3" w:rsidP="009268D3">
      <w:pPr>
        <w:pStyle w:val="ListParagraph"/>
        <w:numPr>
          <w:ilvl w:val="0"/>
          <w:numId w:val="5"/>
        </w:numPr>
        <w:rPr>
          <w:rFonts w:cs="Arial"/>
          <w:b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Notes</w:t>
      </w:r>
      <w:r>
        <w:rPr>
          <w:rFonts w:cs="Arial"/>
          <w:bCs/>
          <w:sz w:val="24"/>
          <w:lang w:val="en-US"/>
        </w:rPr>
        <w:t xml:space="preserve"> and </w:t>
      </w:r>
      <w:r w:rsidRPr="00B969E8">
        <w:rPr>
          <w:rFonts w:cs="Arial"/>
          <w:b/>
          <w:sz w:val="24"/>
          <w:lang w:val="en-US"/>
        </w:rPr>
        <w:t>appreciates</w:t>
      </w:r>
      <w:r>
        <w:rPr>
          <w:rFonts w:cs="Arial"/>
          <w:bCs/>
          <w:sz w:val="24"/>
          <w:lang w:val="en-US"/>
        </w:rPr>
        <w:t xml:space="preserve"> the</w:t>
      </w:r>
      <w:r w:rsidR="00386683">
        <w:rPr>
          <w:rFonts w:cs="Arial"/>
          <w:bCs/>
          <w:sz w:val="24"/>
          <w:lang w:val="en-US"/>
        </w:rPr>
        <w:t xml:space="preserve"> member States</w:t>
      </w:r>
      <w:r>
        <w:rPr>
          <w:rFonts w:cs="Arial"/>
          <w:bCs/>
          <w:sz w:val="24"/>
          <w:lang w:val="en-US"/>
        </w:rPr>
        <w:t xml:space="preserve"> role of network operators in the region</w:t>
      </w:r>
      <w:r w:rsidR="00296538">
        <w:rPr>
          <w:rFonts w:cs="Arial"/>
          <w:bCs/>
          <w:sz w:val="24"/>
          <w:lang w:val="en-US"/>
        </w:rPr>
        <w:t xml:space="preserve"> for the installation, maintenance, and </w:t>
      </w:r>
      <w:r w:rsidR="00DE0A07">
        <w:rPr>
          <w:rFonts w:cs="Arial"/>
          <w:bCs/>
          <w:sz w:val="24"/>
          <w:lang w:val="en-US"/>
        </w:rPr>
        <w:t>data transmission from seismic, sea level and GNSS stations in the region</w:t>
      </w:r>
    </w:p>
    <w:p w:rsidR="00B969E8" w:rsidRPr="00B969E8" w:rsidRDefault="00B969E8" w:rsidP="00B969E8">
      <w:pPr>
        <w:rPr>
          <w:rFonts w:cs="Arial"/>
          <w:bCs/>
          <w:sz w:val="24"/>
          <w:lang w:val="en-US"/>
        </w:rPr>
      </w:pPr>
    </w:p>
    <w:p w:rsidR="00EA7034" w:rsidRPr="00B969E8" w:rsidRDefault="00EA7034" w:rsidP="00B969E8">
      <w:pPr>
        <w:pStyle w:val="ListParagraph"/>
        <w:numPr>
          <w:ilvl w:val="0"/>
          <w:numId w:val="5"/>
        </w:numPr>
        <w:rPr>
          <w:rFonts w:cs="Arial"/>
          <w:b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Appreciates</w:t>
      </w:r>
      <w:r w:rsidRPr="00B969E8">
        <w:rPr>
          <w:rFonts w:cs="Arial"/>
          <w:bCs/>
          <w:sz w:val="24"/>
          <w:lang w:val="en-US"/>
        </w:rPr>
        <w:t xml:space="preserve"> the NOAA ITIC-CAR and PTWC for improving the automated processing and continued reporting on the status of seismic and sea level stations;</w:t>
      </w:r>
    </w:p>
    <w:p w:rsidR="00B969E8" w:rsidRPr="00B969E8" w:rsidRDefault="00B969E8" w:rsidP="00B969E8">
      <w:pPr>
        <w:pStyle w:val="ListParagraph"/>
        <w:rPr>
          <w:rFonts w:cs="Arial"/>
          <w:b/>
          <w:sz w:val="24"/>
          <w:lang w:val="en-US"/>
        </w:rPr>
      </w:pPr>
    </w:p>
    <w:p w:rsidR="00523C83" w:rsidRPr="00523C83" w:rsidRDefault="00B969E8" w:rsidP="00523C83">
      <w:pPr>
        <w:pStyle w:val="ListParagraph"/>
        <w:numPr>
          <w:ilvl w:val="0"/>
          <w:numId w:val="5"/>
        </w:numPr>
        <w:spacing w:after="160"/>
        <w:jc w:val="both"/>
        <w:rPr>
          <w:rFonts w:eastAsia="Calibri" w:cs="Arial"/>
          <w:color w:val="212121"/>
          <w:sz w:val="24"/>
          <w:lang w:val="en-US"/>
        </w:rPr>
      </w:pPr>
      <w:r w:rsidRPr="00B969E8">
        <w:rPr>
          <w:rFonts w:eastAsia="Calibri" w:cs="Arial"/>
          <w:b/>
          <w:bCs/>
          <w:color w:val="212121"/>
          <w:sz w:val="24"/>
          <w:lang w:val="en-US"/>
        </w:rPr>
        <w:t>Notes</w:t>
      </w:r>
      <w:r w:rsidRPr="00B969E8">
        <w:rPr>
          <w:rFonts w:eastAsia="Calibri" w:cs="Arial"/>
          <w:color w:val="212121"/>
          <w:sz w:val="24"/>
          <w:lang w:val="en-US"/>
        </w:rPr>
        <w:t xml:space="preserve"> that a high percentage of the stations in the CARIBE-EWS sea level network are currently non-operational and therefore can delay the proper assessment of tsunami events and the issuance of timely and accurate tsunami alerts;</w:t>
      </w:r>
    </w:p>
    <w:p w:rsidR="00B969E8" w:rsidRPr="00B969E8" w:rsidRDefault="00B969E8" w:rsidP="00B969E8">
      <w:pPr>
        <w:pStyle w:val="ListParagraph"/>
        <w:spacing w:after="160"/>
        <w:jc w:val="both"/>
        <w:rPr>
          <w:rFonts w:eastAsia="Calibri" w:cs="Arial"/>
          <w:color w:val="212121"/>
          <w:sz w:val="24"/>
          <w:lang w:val="en-US"/>
        </w:rPr>
      </w:pPr>
    </w:p>
    <w:p w:rsidR="00B969E8" w:rsidRDefault="00B969E8" w:rsidP="00B969E8">
      <w:pPr>
        <w:pStyle w:val="ListParagraph"/>
        <w:numPr>
          <w:ilvl w:val="0"/>
          <w:numId w:val="5"/>
        </w:numPr>
        <w:spacing w:after="160"/>
        <w:jc w:val="both"/>
        <w:rPr>
          <w:rFonts w:eastAsia="Calibri" w:cs="Arial"/>
          <w:color w:val="212121"/>
          <w:sz w:val="24"/>
          <w:lang w:val="en-US"/>
        </w:rPr>
      </w:pPr>
      <w:r w:rsidRPr="00B969E8">
        <w:rPr>
          <w:rFonts w:eastAsia="Calibri" w:cs="Arial"/>
          <w:b/>
          <w:bCs/>
          <w:color w:val="212121"/>
          <w:sz w:val="24"/>
          <w:lang w:val="en-US"/>
        </w:rPr>
        <w:t>Urges</w:t>
      </w:r>
      <w:r w:rsidRPr="00B969E8">
        <w:rPr>
          <w:rFonts w:eastAsia="Calibri" w:cs="Arial"/>
          <w:color w:val="212121"/>
          <w:sz w:val="24"/>
          <w:lang w:val="en-US"/>
        </w:rPr>
        <w:t xml:space="preserve"> Member States and operators of sea level stations contributing to CARIBE EWS to maintain their sea-level stations in an operational status </w:t>
      </w:r>
      <w:proofErr w:type="gramStart"/>
      <w:r w:rsidRPr="00B969E8">
        <w:rPr>
          <w:rFonts w:eastAsia="Calibri" w:cs="Arial"/>
          <w:color w:val="212121"/>
          <w:sz w:val="24"/>
          <w:lang w:val="en-US"/>
        </w:rPr>
        <w:t>and  regularly</w:t>
      </w:r>
      <w:proofErr w:type="gramEnd"/>
      <w:r w:rsidRPr="00B969E8">
        <w:rPr>
          <w:rFonts w:eastAsia="Calibri" w:cs="Arial"/>
          <w:color w:val="212121"/>
          <w:sz w:val="24"/>
          <w:lang w:val="en-US"/>
        </w:rPr>
        <w:t xml:space="preserve"> review and update the status of its stations,  in the IOC Sea Level Monitoring Facility,  and inform ITIC-CAR and Secretariat on plans for repair</w:t>
      </w:r>
      <w:r w:rsidR="00523C83">
        <w:rPr>
          <w:rFonts w:eastAsia="Calibri" w:cs="Arial"/>
          <w:color w:val="212121"/>
          <w:sz w:val="24"/>
          <w:lang w:val="en-US"/>
        </w:rPr>
        <w:t>;</w:t>
      </w:r>
    </w:p>
    <w:p w:rsidR="00523C83" w:rsidRPr="00523C83" w:rsidRDefault="00523C83" w:rsidP="00523C83">
      <w:pPr>
        <w:pStyle w:val="ListParagraph"/>
        <w:rPr>
          <w:rFonts w:eastAsia="Calibri" w:cs="Arial"/>
          <w:color w:val="212121"/>
          <w:sz w:val="24"/>
          <w:lang w:val="en-US"/>
        </w:rPr>
      </w:pPr>
    </w:p>
    <w:p w:rsidR="00523C83" w:rsidRDefault="00523C83" w:rsidP="00B969E8">
      <w:pPr>
        <w:pStyle w:val="ListParagraph"/>
        <w:numPr>
          <w:ilvl w:val="0"/>
          <w:numId w:val="5"/>
        </w:numPr>
        <w:spacing w:after="160"/>
        <w:jc w:val="both"/>
        <w:rPr>
          <w:rFonts w:eastAsia="Calibri" w:cs="Arial"/>
          <w:color w:val="212121"/>
          <w:sz w:val="24"/>
          <w:lang w:val="en-US"/>
        </w:rPr>
      </w:pPr>
      <w:r>
        <w:rPr>
          <w:rFonts w:eastAsia="Calibri" w:cs="Arial"/>
          <w:b/>
          <w:bCs/>
          <w:color w:val="212121"/>
          <w:sz w:val="24"/>
          <w:lang w:val="en-US"/>
        </w:rPr>
        <w:t xml:space="preserve">Recommends </w:t>
      </w:r>
      <w:r w:rsidR="00FB20E7">
        <w:rPr>
          <w:rFonts w:eastAsia="Calibri" w:cs="Arial"/>
          <w:color w:val="212121"/>
          <w:sz w:val="24"/>
          <w:lang w:val="en-US"/>
        </w:rPr>
        <w:t>WG2 perform a quant</w:t>
      </w:r>
      <w:r w:rsidR="00867526">
        <w:rPr>
          <w:rFonts w:eastAsia="Calibri" w:cs="Arial"/>
          <w:color w:val="212121"/>
          <w:sz w:val="24"/>
          <w:lang w:val="en-US"/>
        </w:rPr>
        <w:t>it</w:t>
      </w:r>
      <w:r w:rsidR="00FB20E7">
        <w:rPr>
          <w:rFonts w:eastAsia="Calibri" w:cs="Arial"/>
          <w:color w:val="212121"/>
          <w:sz w:val="24"/>
          <w:lang w:val="en-US"/>
        </w:rPr>
        <w:t>ative study of the impact of outages in the Caribbean</w:t>
      </w:r>
    </w:p>
    <w:p w:rsidR="00FB20E7" w:rsidRPr="00FB20E7" w:rsidRDefault="00FB20E7" w:rsidP="00FB20E7">
      <w:pPr>
        <w:pStyle w:val="ListParagraph"/>
        <w:rPr>
          <w:rFonts w:eastAsia="Calibri" w:cs="Arial"/>
          <w:color w:val="212121"/>
          <w:sz w:val="24"/>
          <w:lang w:val="en-US"/>
        </w:rPr>
      </w:pPr>
    </w:p>
    <w:p w:rsidR="00FB20E7" w:rsidRPr="00287CB2" w:rsidRDefault="00FB20E7" w:rsidP="00B969E8">
      <w:pPr>
        <w:pStyle w:val="ListParagraph"/>
        <w:numPr>
          <w:ilvl w:val="0"/>
          <w:numId w:val="5"/>
        </w:numPr>
        <w:spacing w:after="160"/>
        <w:jc w:val="both"/>
        <w:rPr>
          <w:rFonts w:eastAsia="Calibri" w:cs="Arial"/>
          <w:b/>
          <w:bCs/>
          <w:color w:val="212121"/>
          <w:sz w:val="24"/>
          <w:lang w:val="en-US"/>
        </w:rPr>
      </w:pPr>
      <w:r w:rsidRPr="00287CB2">
        <w:rPr>
          <w:rFonts w:eastAsia="Calibri" w:cs="Arial"/>
          <w:b/>
          <w:bCs/>
          <w:color w:val="212121"/>
          <w:sz w:val="24"/>
          <w:lang w:val="en-US"/>
        </w:rPr>
        <w:t>Further Recommends</w:t>
      </w:r>
      <w:r w:rsidR="00867526">
        <w:rPr>
          <w:rFonts w:eastAsia="Calibri" w:cs="Arial"/>
          <w:color w:val="212121"/>
          <w:sz w:val="24"/>
          <w:lang w:val="en-US"/>
        </w:rPr>
        <w:t xml:space="preserve"> WG2 work with partners to develop a tool to include the impact of outages in the monthly reports. </w:t>
      </w:r>
    </w:p>
    <w:p w:rsidR="00030F69" w:rsidRPr="00030F69" w:rsidRDefault="00030F69" w:rsidP="00030F69">
      <w:pPr>
        <w:pStyle w:val="ListParagraph"/>
        <w:rPr>
          <w:rFonts w:cs="Arial"/>
          <w:b/>
          <w:sz w:val="24"/>
          <w:lang w:val="en-US"/>
        </w:rPr>
      </w:pPr>
    </w:p>
    <w:p w:rsidR="00B969E8" w:rsidRPr="00B969E8" w:rsidRDefault="00FD23A8" w:rsidP="009268D3">
      <w:pPr>
        <w:pStyle w:val="ListParagraph"/>
        <w:numPr>
          <w:ilvl w:val="0"/>
          <w:numId w:val="5"/>
        </w:numPr>
        <w:rPr>
          <w:rFonts w:cs="Arial"/>
          <w:b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Appreciates</w:t>
      </w:r>
      <w:r>
        <w:rPr>
          <w:rFonts w:cs="Arial"/>
          <w:bCs/>
          <w:sz w:val="24"/>
          <w:lang w:val="en-US"/>
        </w:rPr>
        <w:t xml:space="preserve"> the work of the UN Ocean Decade on smart cables</w:t>
      </w:r>
      <w:r w:rsidR="00B969E8">
        <w:rPr>
          <w:rFonts w:cs="Arial"/>
          <w:bCs/>
          <w:sz w:val="24"/>
          <w:lang w:val="en-US"/>
        </w:rPr>
        <w:t>;</w:t>
      </w:r>
    </w:p>
    <w:p w:rsidR="00B969E8" w:rsidRPr="00B969E8" w:rsidRDefault="00B969E8" w:rsidP="00B969E8">
      <w:pPr>
        <w:pStyle w:val="ListParagraph"/>
        <w:rPr>
          <w:rFonts w:cs="Arial"/>
          <w:bCs/>
          <w:sz w:val="24"/>
          <w:lang w:val="en-US"/>
        </w:rPr>
      </w:pPr>
    </w:p>
    <w:p w:rsidR="00030F69" w:rsidRPr="00B969E8" w:rsidRDefault="00B969E8" w:rsidP="009268D3">
      <w:pPr>
        <w:pStyle w:val="ListParagraph"/>
        <w:numPr>
          <w:ilvl w:val="0"/>
          <w:numId w:val="5"/>
        </w:numPr>
        <w:rPr>
          <w:rFonts w:cs="Arial"/>
          <w:b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 xml:space="preserve">Further </w:t>
      </w:r>
      <w:r w:rsidR="00A65FF7" w:rsidRPr="00B969E8">
        <w:rPr>
          <w:rFonts w:cs="Arial"/>
          <w:b/>
          <w:sz w:val="24"/>
          <w:lang w:val="en-US"/>
        </w:rPr>
        <w:t>Recommends</w:t>
      </w:r>
      <w:r w:rsidR="00FD23A8">
        <w:rPr>
          <w:rFonts w:cs="Arial"/>
          <w:bCs/>
          <w:sz w:val="24"/>
          <w:lang w:val="en-US"/>
        </w:rPr>
        <w:t xml:space="preserve"> the formation of a task team under WG2 to specifically address the implementation of such technology in the Caribe-EWS. </w:t>
      </w:r>
    </w:p>
    <w:p w:rsidR="00B969E8" w:rsidRPr="00B969E8" w:rsidRDefault="00B969E8" w:rsidP="00B969E8">
      <w:pPr>
        <w:pStyle w:val="ListParagraph"/>
        <w:rPr>
          <w:rFonts w:cs="Arial"/>
          <w:b/>
          <w:sz w:val="24"/>
          <w:lang w:val="en-US"/>
        </w:rPr>
      </w:pPr>
    </w:p>
    <w:p w:rsidR="00B969E8" w:rsidRPr="00396FDA" w:rsidRDefault="00B969E8" w:rsidP="009268D3">
      <w:pPr>
        <w:pStyle w:val="ListParagraph"/>
        <w:numPr>
          <w:ilvl w:val="0"/>
          <w:numId w:val="5"/>
        </w:numPr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>Recognizing</w:t>
      </w:r>
      <w:r>
        <w:rPr>
          <w:rFonts w:cs="Arial"/>
          <w:bCs/>
          <w:sz w:val="24"/>
          <w:lang w:val="en-US"/>
        </w:rPr>
        <w:t xml:space="preserve"> the importance of digital technologies for capacity building;</w:t>
      </w:r>
    </w:p>
    <w:p w:rsidR="00396FDA" w:rsidRPr="00396FDA" w:rsidRDefault="00396FDA" w:rsidP="00396FDA">
      <w:pPr>
        <w:pStyle w:val="ListParagraph"/>
        <w:rPr>
          <w:rFonts w:cs="Arial"/>
          <w:b/>
          <w:sz w:val="24"/>
          <w:lang w:val="en-US"/>
        </w:rPr>
      </w:pPr>
    </w:p>
    <w:p w:rsidR="00396FDA" w:rsidRDefault="00396FDA" w:rsidP="009268D3">
      <w:pPr>
        <w:pStyle w:val="ListParagraph"/>
        <w:numPr>
          <w:ilvl w:val="0"/>
          <w:numId w:val="5"/>
        </w:numPr>
        <w:rPr>
          <w:rFonts w:cs="Arial"/>
          <w:bCs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Suggests</w:t>
      </w:r>
      <w:r w:rsidRPr="00396FDA">
        <w:rPr>
          <w:rFonts w:cs="Arial"/>
          <w:bCs/>
          <w:sz w:val="24"/>
          <w:lang w:val="en-US"/>
        </w:rPr>
        <w:t xml:space="preserve"> </w:t>
      </w:r>
      <w:r w:rsidR="00EA7034">
        <w:rPr>
          <w:rFonts w:cs="Arial"/>
          <w:bCs/>
          <w:sz w:val="24"/>
          <w:lang w:val="en-US"/>
        </w:rPr>
        <w:t xml:space="preserve">that WG2 explore developing a monthly or bi-monthly webinar </w:t>
      </w:r>
      <w:r w:rsidR="00A65FF7">
        <w:rPr>
          <w:rFonts w:cs="Arial"/>
          <w:bCs/>
          <w:sz w:val="24"/>
          <w:lang w:val="en-US"/>
        </w:rPr>
        <w:t xml:space="preserve">on topics regarding Tsunami Detection Analysis and Forecasting. </w:t>
      </w:r>
    </w:p>
    <w:p w:rsidR="00B969E8" w:rsidRPr="00B969E8" w:rsidRDefault="00B969E8" w:rsidP="00B969E8">
      <w:pPr>
        <w:pStyle w:val="ListParagraph"/>
        <w:rPr>
          <w:rFonts w:cs="Arial"/>
          <w:bCs/>
          <w:sz w:val="24"/>
          <w:lang w:val="en-US"/>
        </w:rPr>
      </w:pPr>
    </w:p>
    <w:p w:rsidR="00B969E8" w:rsidRDefault="00B969E8" w:rsidP="009268D3">
      <w:pPr>
        <w:pStyle w:val="ListParagraph"/>
        <w:numPr>
          <w:ilvl w:val="0"/>
          <w:numId w:val="5"/>
        </w:numPr>
        <w:rPr>
          <w:rFonts w:cs="Arial"/>
          <w:bCs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Recognizing</w:t>
      </w:r>
      <w:r>
        <w:rPr>
          <w:rFonts w:cs="Arial"/>
          <w:bCs/>
          <w:sz w:val="24"/>
          <w:lang w:val="en-US"/>
        </w:rPr>
        <w:t xml:space="preserve"> and </w:t>
      </w:r>
      <w:proofErr w:type="gramStart"/>
      <w:r w:rsidR="004A1843">
        <w:rPr>
          <w:rFonts w:cs="Arial"/>
          <w:b/>
          <w:sz w:val="24"/>
          <w:lang w:val="en-US"/>
        </w:rPr>
        <w:t>A</w:t>
      </w:r>
      <w:r w:rsidR="004A1843" w:rsidRPr="00D2201C">
        <w:rPr>
          <w:rFonts w:cs="Arial"/>
          <w:b/>
          <w:sz w:val="24"/>
          <w:lang w:val="en-US"/>
        </w:rPr>
        <w:t>ppreciating</w:t>
      </w:r>
      <w:proofErr w:type="gramEnd"/>
      <w:r w:rsidRPr="00D2201C">
        <w:rPr>
          <w:rFonts w:cs="Arial"/>
          <w:b/>
          <w:sz w:val="24"/>
          <w:lang w:val="en-US"/>
        </w:rPr>
        <w:t xml:space="preserve"> </w:t>
      </w:r>
      <w:r>
        <w:rPr>
          <w:rFonts w:cs="Arial"/>
          <w:bCs/>
          <w:sz w:val="24"/>
          <w:lang w:val="en-US"/>
        </w:rPr>
        <w:t>the success of the Spanish languag</w:t>
      </w:r>
      <w:r w:rsidR="00D2201C">
        <w:rPr>
          <w:rFonts w:cs="Arial"/>
          <w:bCs/>
          <w:sz w:val="24"/>
          <w:lang w:val="en-US"/>
        </w:rPr>
        <w:t>e sea level training in Costa Rica</w:t>
      </w:r>
    </w:p>
    <w:p w:rsidR="00A65FF7" w:rsidRPr="00A65FF7" w:rsidRDefault="00A65FF7" w:rsidP="00A65FF7">
      <w:pPr>
        <w:pStyle w:val="ListParagraph"/>
        <w:rPr>
          <w:rFonts w:cs="Arial"/>
          <w:bCs/>
          <w:sz w:val="24"/>
          <w:lang w:val="en-US"/>
        </w:rPr>
      </w:pPr>
    </w:p>
    <w:p w:rsidR="00A65FF7" w:rsidRPr="00396FDA" w:rsidRDefault="00A65FF7" w:rsidP="009268D3">
      <w:pPr>
        <w:pStyle w:val="ListParagraph"/>
        <w:numPr>
          <w:ilvl w:val="0"/>
          <w:numId w:val="5"/>
        </w:numPr>
        <w:rPr>
          <w:rFonts w:cs="Arial"/>
          <w:bCs/>
          <w:sz w:val="24"/>
          <w:lang w:val="en-US"/>
        </w:rPr>
      </w:pPr>
      <w:r w:rsidRPr="00B969E8">
        <w:rPr>
          <w:rFonts w:cs="Arial"/>
          <w:b/>
          <w:sz w:val="24"/>
          <w:lang w:val="en-US"/>
        </w:rPr>
        <w:t>Recommends</w:t>
      </w:r>
      <w:r w:rsidRPr="00A65FF7">
        <w:rPr>
          <w:rFonts w:cs="Arial"/>
          <w:bCs/>
          <w:sz w:val="24"/>
          <w:lang w:val="en-US"/>
        </w:rPr>
        <w:t xml:space="preserve"> that WG2 organize a</w:t>
      </w:r>
      <w:r w:rsidR="004A1843">
        <w:rPr>
          <w:rFonts w:cs="Arial"/>
          <w:bCs/>
          <w:sz w:val="24"/>
          <w:lang w:val="en-US"/>
        </w:rPr>
        <w:t>n</w:t>
      </w:r>
      <w:r w:rsidRPr="00A65FF7">
        <w:rPr>
          <w:rFonts w:cs="Arial"/>
          <w:bCs/>
          <w:sz w:val="24"/>
          <w:lang w:val="en-US"/>
        </w:rPr>
        <w:t xml:space="preserve"> English language sea level station workshop with the support of NOAA and the secretariat.</w:t>
      </w:r>
    </w:p>
    <w:p w:rsidR="00341E8C" w:rsidRPr="00341E8C" w:rsidRDefault="00341E8C" w:rsidP="00341E8C">
      <w:pPr>
        <w:pStyle w:val="ListParagraph"/>
        <w:rPr>
          <w:rFonts w:cs="Arial"/>
          <w:b/>
          <w:sz w:val="24"/>
          <w:lang w:val="en-US"/>
        </w:rPr>
      </w:pPr>
    </w:p>
    <w:p w:rsidR="008C19CE" w:rsidRPr="00264EEB" w:rsidRDefault="008C19CE">
      <w:pPr>
        <w:rPr>
          <w:bCs/>
          <w:sz w:val="24"/>
          <w:lang w:val="en-US"/>
        </w:rPr>
      </w:pPr>
    </w:p>
    <w:sectPr w:rsidR="008C19CE" w:rsidRPr="00264EE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40F" w:rsidRDefault="0010240F" w:rsidP="00A2267C">
      <w:r>
        <w:separator/>
      </w:r>
    </w:p>
  </w:endnote>
  <w:endnote w:type="continuationSeparator" w:id="0">
    <w:p w:rsidR="0010240F" w:rsidRDefault="0010240F" w:rsidP="00A2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267C" w:rsidRDefault="00A2267C">
    <w:pPr>
      <w:pStyle w:val="Footer"/>
      <w:jc w:val="right"/>
    </w:pPr>
    <w:r>
      <w:rPr>
        <w:color w:val="4472C4" w:themeColor="accent1"/>
        <w:szCs w:val="20"/>
      </w:rPr>
      <w:t xml:space="preserve">pg. </w:t>
    </w:r>
    <w:r>
      <w:rPr>
        <w:color w:val="4472C4" w:themeColor="accent1"/>
        <w:szCs w:val="20"/>
      </w:rPr>
      <w:fldChar w:fldCharType="begin"/>
    </w:r>
    <w:r>
      <w:rPr>
        <w:color w:val="4472C4" w:themeColor="accent1"/>
        <w:szCs w:val="20"/>
      </w:rPr>
      <w:instrText xml:space="preserve"> PAGE  \* Arabic </w:instrText>
    </w:r>
    <w:r>
      <w:rPr>
        <w:color w:val="4472C4" w:themeColor="accent1"/>
        <w:szCs w:val="20"/>
      </w:rPr>
      <w:fldChar w:fldCharType="separate"/>
    </w:r>
    <w:r>
      <w:rPr>
        <w:noProof/>
        <w:color w:val="4472C4" w:themeColor="accent1"/>
        <w:szCs w:val="20"/>
      </w:rPr>
      <w:t>1</w:t>
    </w:r>
    <w:r>
      <w:rPr>
        <w:color w:val="4472C4" w:themeColor="accent1"/>
        <w:szCs w:val="20"/>
      </w:rPr>
      <w:fldChar w:fldCharType="end"/>
    </w:r>
  </w:p>
  <w:p w:rsidR="00A2267C" w:rsidRDefault="00A2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40F" w:rsidRDefault="0010240F" w:rsidP="00A2267C">
      <w:r>
        <w:separator/>
      </w:r>
    </w:p>
  </w:footnote>
  <w:footnote w:type="continuationSeparator" w:id="0">
    <w:p w:rsidR="0010240F" w:rsidRDefault="0010240F" w:rsidP="00A2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FCF"/>
    <w:multiLevelType w:val="hybridMultilevel"/>
    <w:tmpl w:val="1CB0DF76"/>
    <w:lvl w:ilvl="0" w:tplc="4F0E5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AF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C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A1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C0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45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00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F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0B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FF7720"/>
    <w:multiLevelType w:val="hybridMultilevel"/>
    <w:tmpl w:val="8CA04CF0"/>
    <w:lvl w:ilvl="0" w:tplc="2CD09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A1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07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E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2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8E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4D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2D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0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5812A6"/>
    <w:multiLevelType w:val="hybridMultilevel"/>
    <w:tmpl w:val="2BE8D5E4"/>
    <w:lvl w:ilvl="0" w:tplc="180CE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C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86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8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CC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4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4C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A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65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CD326E"/>
    <w:multiLevelType w:val="hybridMultilevel"/>
    <w:tmpl w:val="A620B9DC"/>
    <w:lvl w:ilvl="0" w:tplc="BB508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CB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EE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A8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0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4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E6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CC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6631C0"/>
    <w:multiLevelType w:val="hybridMultilevel"/>
    <w:tmpl w:val="4DDA0470"/>
    <w:lvl w:ilvl="0" w:tplc="CBE0D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4417">
    <w:abstractNumId w:val="1"/>
  </w:num>
  <w:num w:numId="2" w16cid:durableId="1848985723">
    <w:abstractNumId w:val="0"/>
  </w:num>
  <w:num w:numId="3" w16cid:durableId="1324122030">
    <w:abstractNumId w:val="2"/>
  </w:num>
  <w:num w:numId="4" w16cid:durableId="1188829364">
    <w:abstractNumId w:val="3"/>
  </w:num>
  <w:num w:numId="5" w16cid:durableId="1197425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9F"/>
    <w:rsid w:val="00030F69"/>
    <w:rsid w:val="000A075E"/>
    <w:rsid w:val="0010240F"/>
    <w:rsid w:val="001C6309"/>
    <w:rsid w:val="0026228C"/>
    <w:rsid w:val="00264EEB"/>
    <w:rsid w:val="00287CB2"/>
    <w:rsid w:val="00296538"/>
    <w:rsid w:val="00341E8C"/>
    <w:rsid w:val="003856BE"/>
    <w:rsid w:val="00386683"/>
    <w:rsid w:val="00396FDA"/>
    <w:rsid w:val="003C763B"/>
    <w:rsid w:val="00485A9A"/>
    <w:rsid w:val="004A1843"/>
    <w:rsid w:val="00523C83"/>
    <w:rsid w:val="00554C74"/>
    <w:rsid w:val="005B05DD"/>
    <w:rsid w:val="007126F3"/>
    <w:rsid w:val="00745413"/>
    <w:rsid w:val="0079189F"/>
    <w:rsid w:val="007B1792"/>
    <w:rsid w:val="00867526"/>
    <w:rsid w:val="008C19CE"/>
    <w:rsid w:val="008D0284"/>
    <w:rsid w:val="008D1CBB"/>
    <w:rsid w:val="009268D3"/>
    <w:rsid w:val="009323C0"/>
    <w:rsid w:val="00956A4E"/>
    <w:rsid w:val="00981A7E"/>
    <w:rsid w:val="009B3046"/>
    <w:rsid w:val="00A011D3"/>
    <w:rsid w:val="00A2267C"/>
    <w:rsid w:val="00A65FF7"/>
    <w:rsid w:val="00A9382E"/>
    <w:rsid w:val="00AF5AF3"/>
    <w:rsid w:val="00B120BC"/>
    <w:rsid w:val="00B4543B"/>
    <w:rsid w:val="00B53363"/>
    <w:rsid w:val="00B64B96"/>
    <w:rsid w:val="00B969E8"/>
    <w:rsid w:val="00BD10D2"/>
    <w:rsid w:val="00D2201C"/>
    <w:rsid w:val="00D82268"/>
    <w:rsid w:val="00DC144E"/>
    <w:rsid w:val="00DE0A07"/>
    <w:rsid w:val="00E007C3"/>
    <w:rsid w:val="00E47068"/>
    <w:rsid w:val="00E6574E"/>
    <w:rsid w:val="00EA7034"/>
    <w:rsid w:val="00F1076A"/>
    <w:rsid w:val="00FB20E7"/>
    <w:rsid w:val="00F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6348D"/>
  <w15:chartTrackingRefBased/>
  <w15:docId w15:val="{D441F598-247B-C148-9BC0-6A24EF7D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68"/>
    <w:rPr>
      <w:rFonts w:ascii="Arial" w:eastAsia="Times New Roman" w:hAnsi="Arial" w:cs="Times New Roman"/>
      <w:kern w:val="0"/>
      <w:sz w:val="20"/>
      <w:lang w:val="es-V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67C"/>
    <w:rPr>
      <w:rFonts w:ascii="Arial" w:eastAsia="Times New Roman" w:hAnsi="Arial" w:cs="Times New Roman"/>
      <w:kern w:val="0"/>
      <w:sz w:val="20"/>
      <w:lang w:val="es-V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2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67C"/>
    <w:rPr>
      <w:rFonts w:ascii="Arial" w:eastAsia="Times New Roman" w:hAnsi="Arial" w:cs="Times New Roman"/>
      <w:kern w:val="0"/>
      <w:sz w:val="20"/>
      <w:lang w:val="es-V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6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Vanacore</dc:creator>
  <cp:keywords/>
  <dc:description/>
  <cp:lastModifiedBy>Elizabeth Vanacore</cp:lastModifiedBy>
  <cp:revision>40</cp:revision>
  <dcterms:created xsi:type="dcterms:W3CDTF">2024-05-01T12:42:00Z</dcterms:created>
  <dcterms:modified xsi:type="dcterms:W3CDTF">2024-05-01T20:04:00Z</dcterms:modified>
</cp:coreProperties>
</file>