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charts/chart1.xml" ContentType="application/vnd.openxmlformats-officedocument.drawingml.chart+xml"/>
  <Override PartName="/word/charts/chart2.xml" ContentType="application/vnd.openxmlformats-officedocument.drawingml.chart+xml"/>
  <Override PartName="/word/media/image2.jpeg" ContentType="image/jpeg"/>
  <Override PartName="/word/media/image3.jpeg" ContentType="image/jpeg"/>
  <Override PartName="/word/charts/chart3.xml" ContentType="application/vnd.openxmlformats-officedocument.drawingml.chart+xml"/>
  <Override PartName="/word/charts/chart4.xml" ContentType="application/vnd.openxmlformats-officedocument.drawingml.chart+xml"/>
  <Override PartName="/word/media/image4.jpeg" ContentType="image/jpeg"/>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mc:AlternateContent>
          <mc:Choice Requires="wps">
            <w:drawing xmlns:a="http://schemas.openxmlformats.org/drawingml/2006/main">
              <wp:anchor distT="57150" distB="57150" distL="57150" distR="57150" simplePos="0" relativeHeight="251659264" behindDoc="0" locked="0" layoutInCell="1" allowOverlap="1">
                <wp:simplePos x="0" y="0"/>
                <wp:positionH relativeFrom="page">
                  <wp:posOffset>1824037</wp:posOffset>
                </wp:positionH>
                <wp:positionV relativeFrom="page">
                  <wp:posOffset>7036117</wp:posOffset>
                </wp:positionV>
                <wp:extent cx="5038725" cy="1010964"/>
                <wp:effectExtent l="0" t="0" r="0" b="0"/>
                <wp:wrapSquare wrapText="bothSides" distL="57150" distR="57150" distT="57150" distB="57150"/>
                <wp:docPr id="1073741825" name="officeArt object" descr="Rectangle 221"/>
                <wp:cNvGraphicFramePr/>
                <a:graphic xmlns:a="http://schemas.openxmlformats.org/drawingml/2006/main">
                  <a:graphicData uri="http://schemas.microsoft.com/office/word/2010/wordprocessingShape">
                    <wps:wsp>
                      <wps:cNvSpPr txBox="1"/>
                      <wps:spPr>
                        <a:xfrm>
                          <a:off x="0" y="0"/>
                          <a:ext cx="5038725" cy="1010964"/>
                        </a:xfrm>
                        <a:prstGeom prst="rect">
                          <a:avLst/>
                        </a:prstGeom>
                        <a:noFill/>
                        <a:ln w="12700" cap="flat">
                          <a:noFill/>
                          <a:miter lim="400000"/>
                        </a:ln>
                        <a:effectLst/>
                      </wps:spPr>
                      <wps:txbx>
                        <w:txbxContent>
                          <w:p>
                            <w:pPr>
                              <w:pStyle w:val="Body"/>
                              <w:spacing w:after="0" w:line="240" w:lineRule="auto"/>
                              <w:jc w:val="right"/>
                            </w:pPr>
                            <w:r>
                              <w:rPr>
                                <w:rFonts w:ascii="Arial" w:hAnsi="Arial"/>
                                <w:outline w:val="0"/>
                                <w:color w:val="4472c4"/>
                                <w:sz w:val="28"/>
                                <w:szCs w:val="28"/>
                                <w:u w:color="4472c4"/>
                                <w:rtl w:val="0"/>
                                <w:lang w:val="de-DE"/>
                                <w14:textFill>
                                  <w14:solidFill>
                                    <w14:srgbClr w14:val="4472C4"/>
                                  </w14:solidFill>
                                </w14:textFill>
                              </w:rPr>
                              <w:t>Abstract</w:t>
                            </w:r>
                          </w:p>
                          <w:p>
                            <w:pPr>
                              <w:pStyle w:val="Body"/>
                              <w:spacing w:after="0" w:line="240" w:lineRule="auto"/>
                              <w:jc w:val="right"/>
                            </w:pPr>
                            <w:r>
                              <w:rPr>
                                <w:rFonts w:ascii="Arial" w:hAnsi="Arial"/>
                                <w:outline w:val="0"/>
                                <w:color w:val="595959"/>
                                <w:sz w:val="20"/>
                                <w:szCs w:val="20"/>
                                <w:u w:color="595959"/>
                                <w:rtl w:val="0"/>
                                <w:lang w:val="en-US"/>
                                <w14:textFill>
                                  <w14:solidFill>
                                    <w14:srgbClr w14:val="595959"/>
                                  </w14:solidFill>
                                </w14:textFill>
                              </w:rPr>
                              <w:t xml:space="preserve">Report of coastal sea level stations and DARTs contributing to the CARIBE EWS in 2022.  In December 2022, of the 184 stations in the CARIBE-EWS sea level inventory, data from 68 were available in support of tsunami warning.   </w:t>
                            </w:r>
                          </w:p>
                        </w:txbxContent>
                      </wps:txbx>
                      <wps:bodyPr wrap="square" lIns="0" tIns="0" rIns="0" bIns="0" numCol="1" anchor="t">
                        <a:noAutofit/>
                      </wps:bodyPr>
                    </wps:wsp>
                  </a:graphicData>
                </a:graphic>
              </wp:anchor>
            </w:drawing>
          </mc:Choice>
          <mc:Fallback>
            <w:pict>
              <v:shape id="_x0000_s1026" type="#_x0000_t202" style="visibility:visible;position:absolute;margin-left:143.6pt;margin-top:554.0pt;width:396.8pt;height:79.6pt;z-index:251659264;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line="240" w:lineRule="auto"/>
                        <w:jc w:val="right"/>
                      </w:pPr>
                      <w:r>
                        <w:rPr>
                          <w:rFonts w:ascii="Arial" w:hAnsi="Arial"/>
                          <w:outline w:val="0"/>
                          <w:color w:val="4472c4"/>
                          <w:sz w:val="28"/>
                          <w:szCs w:val="28"/>
                          <w:u w:color="4472c4"/>
                          <w:rtl w:val="0"/>
                          <w:lang w:val="de-DE"/>
                          <w14:textFill>
                            <w14:solidFill>
                              <w14:srgbClr w14:val="4472C4"/>
                            </w14:solidFill>
                          </w14:textFill>
                        </w:rPr>
                        <w:t>Abstract</w:t>
                      </w:r>
                    </w:p>
                    <w:p>
                      <w:pPr>
                        <w:pStyle w:val="Body"/>
                        <w:spacing w:after="0" w:line="240" w:lineRule="auto"/>
                        <w:jc w:val="right"/>
                      </w:pPr>
                      <w:r>
                        <w:rPr>
                          <w:rFonts w:ascii="Arial" w:hAnsi="Arial"/>
                          <w:outline w:val="0"/>
                          <w:color w:val="595959"/>
                          <w:sz w:val="20"/>
                          <w:szCs w:val="20"/>
                          <w:u w:color="595959"/>
                          <w:rtl w:val="0"/>
                          <w:lang w:val="en-US"/>
                          <w14:textFill>
                            <w14:solidFill>
                              <w14:srgbClr w14:val="595959"/>
                            </w14:solidFill>
                          </w14:textFill>
                        </w:rPr>
                        <w:t xml:space="preserve">Report of coastal sea level stations and DARTs contributing to the CARIBE EWS in 2022.  In December 2022, of the 184 stations in the CARIBE-EWS sea level inventory, data from 68 were available in support of tsunami warning.   </w:t>
                      </w:r>
                    </w:p>
                  </w:txbxContent>
                </v:textbox>
                <w10:wrap type="square" side="bothSides" anchorx="page" anchory="page"/>
              </v:shape>
            </w:pict>
          </mc:Fallback>
        </mc:AlternateContent>
      </w:r>
      <w:r>
        <mc:AlternateContent>
          <mc:Choice Requires="wps">
            <w:drawing xmlns:a="http://schemas.openxmlformats.org/drawingml/2006/main">
              <wp:anchor distT="57150" distB="57150" distL="57150" distR="57150" simplePos="0" relativeHeight="251660288" behindDoc="0" locked="0" layoutInCell="1" allowOverlap="1">
                <wp:simplePos x="0" y="0"/>
                <wp:positionH relativeFrom="page">
                  <wp:posOffset>1824037</wp:posOffset>
                </wp:positionH>
                <wp:positionV relativeFrom="page">
                  <wp:posOffset>3012758</wp:posOffset>
                </wp:positionV>
                <wp:extent cx="5038725" cy="3643287"/>
                <wp:effectExtent l="0" t="0" r="0" b="0"/>
                <wp:wrapSquare wrapText="bothSides" distL="57150" distR="57150" distT="57150" distB="57150"/>
                <wp:docPr id="1073741826" name="officeArt object" descr="Rectangle 218"/>
                <wp:cNvGraphicFramePr/>
                <a:graphic xmlns:a="http://schemas.openxmlformats.org/drawingml/2006/main">
                  <a:graphicData uri="http://schemas.microsoft.com/office/word/2010/wordprocessingShape">
                    <wps:wsp>
                      <wps:cNvSpPr txBox="1"/>
                      <wps:spPr>
                        <a:xfrm>
                          <a:off x="0" y="0"/>
                          <a:ext cx="5038725" cy="3643287"/>
                        </a:xfrm>
                        <a:prstGeom prst="rect">
                          <a:avLst/>
                        </a:prstGeom>
                        <a:noFill/>
                        <a:ln w="12700" cap="flat">
                          <a:noFill/>
                          <a:miter lim="400000"/>
                        </a:ln>
                        <a:effectLst/>
                      </wps:spPr>
                      <wps:txbx>
                        <w:txbxContent>
                          <w:p>
                            <w:pPr>
                              <w:pStyle w:val="Body"/>
                              <w:spacing w:line="258" w:lineRule="auto"/>
                              <w:jc w:val="right"/>
                            </w:pPr>
                            <w:r>
                              <w:rPr>
                                <w:smallCaps w:val="1"/>
                                <w:outline w:val="0"/>
                                <w:color w:val="4472c4"/>
                                <w:sz w:val="64"/>
                                <w:szCs w:val="64"/>
                                <w:u w:color="4472c4"/>
                                <w:rtl w:val="0"/>
                                <w:lang w:val="en-US"/>
                                <w14:textFill>
                                  <w14:solidFill>
                                    <w14:srgbClr w14:val="4472C4"/>
                                  </w14:solidFill>
                                </w14:textFill>
                              </w:rPr>
                              <w:t>CARIBE EWS SEA LEVEL DATA AVAILABILITY</w:t>
                            </w:r>
                          </w:p>
                          <w:p>
                            <w:pPr>
                              <w:pStyle w:val="Body"/>
                              <w:spacing w:line="258" w:lineRule="auto"/>
                              <w:jc w:val="right"/>
                            </w:pPr>
                            <w:r>
                              <w:rPr>
                                <w:outline w:val="0"/>
                                <w:color w:val="404040"/>
                                <w:sz w:val="36"/>
                                <w:szCs w:val="36"/>
                                <w:u w:color="404040"/>
                                <w:rtl w:val="0"/>
                                <w:lang w:val="fr-FR"/>
                                <w14:textFill>
                                  <w14:solidFill>
                                    <w14:srgbClr w14:val="404040"/>
                                  </w14:solidFill>
                                </w14:textFill>
                              </w:rPr>
                              <w:t>2022 Report</w:t>
                            </w:r>
                          </w:p>
                        </w:txbxContent>
                      </wps:txbx>
                      <wps:bodyPr wrap="square" lIns="0" tIns="0" rIns="0" bIns="0" numCol="1" anchor="b">
                        <a:noAutofit/>
                      </wps:bodyPr>
                    </wps:wsp>
                  </a:graphicData>
                </a:graphic>
              </wp:anchor>
            </w:drawing>
          </mc:Choice>
          <mc:Fallback>
            <w:pict>
              <v:shape id="_x0000_s1027" type="#_x0000_t202" style="visibility:visible;position:absolute;margin-left:143.6pt;margin-top:237.2pt;width:396.8pt;height:286.9pt;z-index:251660288;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58" w:lineRule="auto"/>
                        <w:jc w:val="right"/>
                      </w:pPr>
                      <w:r>
                        <w:rPr>
                          <w:smallCaps w:val="1"/>
                          <w:outline w:val="0"/>
                          <w:color w:val="4472c4"/>
                          <w:sz w:val="64"/>
                          <w:szCs w:val="64"/>
                          <w:u w:color="4472c4"/>
                          <w:rtl w:val="0"/>
                          <w:lang w:val="en-US"/>
                          <w14:textFill>
                            <w14:solidFill>
                              <w14:srgbClr w14:val="4472C4"/>
                            </w14:solidFill>
                          </w14:textFill>
                        </w:rPr>
                        <w:t>CARIBE EWS SEA LEVEL DATA AVAILABILITY</w:t>
                      </w:r>
                    </w:p>
                    <w:p>
                      <w:pPr>
                        <w:pStyle w:val="Body"/>
                        <w:spacing w:line="258" w:lineRule="auto"/>
                        <w:jc w:val="right"/>
                      </w:pPr>
                      <w:r>
                        <w:rPr>
                          <w:outline w:val="0"/>
                          <w:color w:val="404040"/>
                          <w:sz w:val="36"/>
                          <w:szCs w:val="36"/>
                          <w:u w:color="404040"/>
                          <w:rtl w:val="0"/>
                          <w:lang w:val="fr-FR"/>
                          <w14:textFill>
                            <w14:solidFill>
                              <w14:srgbClr w14:val="404040"/>
                            </w14:solidFill>
                          </w14:textFill>
                        </w:rPr>
                        <w:t>2022 Report</w:t>
                      </w:r>
                    </w:p>
                  </w:txbxContent>
                </v:textbox>
                <w10:wrap type="square" side="bothSides" anchorx="page" anchory="page"/>
              </v:shape>
            </w:pict>
          </mc:Fallback>
        </mc:AlternateContent>
      </w:r>
    </w:p>
    <w:p>
      <w:pPr>
        <w:pStyle w:val="Body"/>
      </w:pPr>
      <w:r>
        <w:drawing xmlns:a="http://schemas.openxmlformats.org/drawingml/2006/main">
          <wp:anchor distT="57150" distB="57150" distL="57150" distR="57150" simplePos="0" relativeHeight="251661312" behindDoc="0" locked="0" layoutInCell="1" allowOverlap="1">
            <wp:simplePos x="0" y="0"/>
            <wp:positionH relativeFrom="page">
              <wp:posOffset>3215322</wp:posOffset>
            </wp:positionH>
            <wp:positionV relativeFrom="page">
              <wp:posOffset>914400</wp:posOffset>
            </wp:positionV>
            <wp:extent cx="1341756" cy="1262381"/>
            <wp:effectExtent l="0" t="0" r="0" b="0"/>
            <wp:wrapSquare wrapText="bothSides" distL="57150" distR="57150" distT="57150" distB="57150"/>
            <wp:docPr id="1073741827" name="officeArt object" descr="image2.png"/>
            <wp:cNvGraphicFramePr/>
            <a:graphic xmlns:a="http://schemas.openxmlformats.org/drawingml/2006/main">
              <a:graphicData uri="http://schemas.openxmlformats.org/drawingml/2006/picture">
                <pic:pic xmlns:pic="http://schemas.openxmlformats.org/drawingml/2006/picture">
                  <pic:nvPicPr>
                    <pic:cNvPr id="1073741827" name="image2.png" descr="image2.png"/>
                    <pic:cNvPicPr>
                      <a:picLocks noChangeAspect="1"/>
                    </pic:cNvPicPr>
                  </pic:nvPicPr>
                  <pic:blipFill>
                    <a:blip r:embed="rId4">
                      <a:extLst/>
                    </a:blip>
                    <a:stretch>
                      <a:fillRect/>
                    </a:stretch>
                  </pic:blipFill>
                  <pic:spPr>
                    <a:xfrm>
                      <a:off x="0" y="0"/>
                      <a:ext cx="1341756" cy="1262381"/>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pPr>
        <w:pStyle w:val="Body"/>
      </w:pPr>
      <w:r>
        <mc:AlternateContent>
          <mc:Choice Requires="wps">
            <w:drawing xmlns:a="http://schemas.openxmlformats.org/drawingml/2006/main">
              <wp:anchor distT="80010" distB="80010" distL="80010" distR="80010" simplePos="0" relativeHeight="251662336" behindDoc="0" locked="0" layoutInCell="1" allowOverlap="1">
                <wp:simplePos x="0" y="0"/>
                <wp:positionH relativeFrom="column">
                  <wp:posOffset>812800</wp:posOffset>
                </wp:positionH>
                <wp:positionV relativeFrom="line">
                  <wp:posOffset>1442719</wp:posOffset>
                </wp:positionV>
                <wp:extent cx="4771390" cy="971585"/>
                <wp:effectExtent l="0" t="0" r="0" b="0"/>
                <wp:wrapSquare wrapText="bothSides" distL="80010" distR="80010" distT="80010" distB="80010"/>
                <wp:docPr id="1073741828" name="officeArt object" descr="Rectangle 219"/>
                <wp:cNvGraphicFramePr/>
                <a:graphic xmlns:a="http://schemas.openxmlformats.org/drawingml/2006/main">
                  <a:graphicData uri="http://schemas.microsoft.com/office/word/2010/wordprocessingShape">
                    <wps:wsp>
                      <wps:cNvSpPr/>
                      <wps:spPr>
                        <a:xfrm>
                          <a:off x="0" y="0"/>
                          <a:ext cx="4771390" cy="971585"/>
                        </a:xfrm>
                        <a:prstGeom prst="rect">
                          <a:avLst/>
                        </a:prstGeom>
                        <a:solidFill>
                          <a:srgbClr val="FFFFFF"/>
                        </a:solidFill>
                        <a:ln w="9525" cap="flat">
                          <a:solidFill>
                            <a:srgbClr val="000000"/>
                          </a:solidFill>
                          <a:prstDash val="solid"/>
                          <a:miter lim="800000"/>
                        </a:ln>
                        <a:effectLst/>
                      </wps:spPr>
                      <wps:txbx>
                        <w:txbxContent>
                          <w:p>
                            <w:pPr>
                              <w:pStyle w:val="Body"/>
                              <w:spacing w:line="258" w:lineRule="auto"/>
                              <w:jc w:val="center"/>
                            </w:pPr>
                            <w:r>
                              <w:rPr>
                                <w:b w:val="1"/>
                                <w:bCs w:val="1"/>
                                <w:outline w:val="0"/>
                                <w:color w:val="000000"/>
                                <w:sz w:val="24"/>
                                <w:szCs w:val="24"/>
                                <w:u w:color="000000"/>
                                <w:rtl w:val="0"/>
                                <w:lang w:val="en-US"/>
                                <w14:textFill>
                                  <w14:solidFill>
                                    <w14:srgbClr w14:val="000000"/>
                                  </w14:solidFill>
                                </w14:textFill>
                              </w:rPr>
                              <w:t>Working Group 1 Monitoring and Detection Systems</w:t>
                            </w:r>
                          </w:p>
                          <w:p>
                            <w:pPr>
                              <w:pStyle w:val="Body"/>
                              <w:spacing w:line="258" w:lineRule="auto"/>
                              <w:jc w:val="center"/>
                            </w:pPr>
                            <w:r>
                              <w:rPr>
                                <w:b w:val="1"/>
                                <w:bCs w:val="1"/>
                                <w:outline w:val="0"/>
                                <w:color w:val="000000"/>
                                <w:sz w:val="24"/>
                                <w:szCs w:val="24"/>
                                <w:u w:color="000000"/>
                                <w:rtl w:val="0"/>
                                <w:lang w:val="en-US"/>
                                <w14:textFill>
                                  <w14:solidFill>
                                    <w14:srgbClr w14:val="000000"/>
                                  </w14:solidFill>
                                </w14:textFill>
                              </w:rPr>
                              <w:t>IOC Intergovernmental Coordination Group for the Tsunami and Other Coastal Hazards Warning System for the Caribbean and Adjacent Regions</w:t>
                            </w:r>
                            <w:r/>
                          </w:p>
                        </w:txbxContent>
                      </wps:txbx>
                      <wps:bodyPr wrap="square" lIns="45699" tIns="45699" rIns="45699" bIns="45699" numCol="1" anchor="t">
                        <a:noAutofit/>
                      </wps:bodyPr>
                    </wps:wsp>
                  </a:graphicData>
                </a:graphic>
              </wp:anchor>
            </w:drawing>
          </mc:Choice>
          <mc:Fallback>
            <w:pict>
              <v:rect id="_x0000_s1028" style="visibility:visible;position:absolute;margin-left:64.0pt;margin-top:113.6pt;width:375.7pt;height:76.5pt;z-index:251662336;mso-position-horizontal:absolute;mso-position-horizontal-relative:text;mso-position-vertical:absolute;mso-position-vertical-relative:line;mso-wrap-distance-left:6.3pt;mso-wrap-distance-top:6.3pt;mso-wrap-distance-right:6.3pt;mso-wrap-distance-bottom:6.3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spacing w:line="258" w:lineRule="auto"/>
                        <w:jc w:val="center"/>
                      </w:pPr>
                      <w:r>
                        <w:rPr>
                          <w:b w:val="1"/>
                          <w:bCs w:val="1"/>
                          <w:outline w:val="0"/>
                          <w:color w:val="000000"/>
                          <w:sz w:val="24"/>
                          <w:szCs w:val="24"/>
                          <w:u w:color="000000"/>
                          <w:rtl w:val="0"/>
                          <w:lang w:val="en-US"/>
                          <w14:textFill>
                            <w14:solidFill>
                              <w14:srgbClr w14:val="000000"/>
                            </w14:solidFill>
                          </w14:textFill>
                        </w:rPr>
                        <w:t>Working Group 1 Monitoring and Detection Systems</w:t>
                      </w:r>
                    </w:p>
                    <w:p>
                      <w:pPr>
                        <w:pStyle w:val="Body"/>
                        <w:spacing w:line="258" w:lineRule="auto"/>
                        <w:jc w:val="center"/>
                      </w:pPr>
                      <w:r>
                        <w:rPr>
                          <w:b w:val="1"/>
                          <w:bCs w:val="1"/>
                          <w:outline w:val="0"/>
                          <w:color w:val="000000"/>
                          <w:sz w:val="24"/>
                          <w:szCs w:val="24"/>
                          <w:u w:color="000000"/>
                          <w:rtl w:val="0"/>
                          <w:lang w:val="en-US"/>
                          <w14:textFill>
                            <w14:solidFill>
                              <w14:srgbClr w14:val="000000"/>
                            </w14:solidFill>
                          </w14:textFill>
                        </w:rPr>
                        <w:t>IOC Intergovernmental Coordination Group for the Tsunami and Other Coastal Hazards Warning System for the Caribbean and Adjacent Regions</w:t>
                      </w:r>
                      <w:r/>
                    </w:p>
                  </w:txbxContent>
                </v:textbox>
                <w10:wrap type="square" side="bothSides" anchorx="text"/>
              </v:rect>
            </w:pict>
          </mc:Fallback>
        </mc:AlternateContent>
      </w:r>
    </w:p>
    <w:p>
      <w:pPr>
        <w:pStyle w:val="Body"/>
        <w:keepNext w:val="1"/>
        <w:keepLines w:val="1"/>
        <w:spacing w:before="480" w:after="0" w:line="276" w:lineRule="auto"/>
        <w:rPr>
          <w:b w:val="1"/>
          <w:bCs w:val="1"/>
          <w:outline w:val="0"/>
          <w:color w:val="2f5496"/>
          <w:sz w:val="28"/>
          <w:szCs w:val="28"/>
          <w:u w:color="2f5496"/>
          <w14:textFill>
            <w14:solidFill>
              <w14:srgbClr w14:val="2F5496"/>
            </w14:solidFill>
          </w14:textFill>
        </w:rPr>
      </w:pPr>
      <w:r>
        <w:rPr>
          <w:b w:val="1"/>
          <w:bCs w:val="1"/>
          <w:outline w:val="0"/>
          <w:color w:val="2f5496"/>
          <w:sz w:val="28"/>
          <w:szCs w:val="28"/>
          <w:u w:color="2f5496"/>
          <w:rtl w:val="0"/>
          <w:lang w:val="en-US"/>
          <w14:textFill>
            <w14:solidFill>
              <w14:srgbClr w14:val="2F5496"/>
            </w14:solidFill>
          </w14:textFill>
        </w:rPr>
        <w:t>Table of Contents</w:t>
      </w:r>
    </w:p>
    <w:p>
      <w:pPr>
        <w:pStyle w:val="toc 1"/>
        <w:tabs>
          <w:tab w:val="right" w:pos="9340"/>
          <w:tab w:val="clear" w:pos="9350"/>
        </w:tabs>
      </w:pP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lang w:val="en-US"/>
        </w:rPr>
        <w:t>Acknowledgments</w:t>
      </w:r>
      <w:r>
        <w:tab/>
      </w:r>
      <w:r>
        <w:rPr/>
        <w:fldChar w:fldCharType="end" w:fldLock="0"/>
      </w:r>
      <w:r>
        <w:rPr>
          <w:rtl w:val="0"/>
          <w:lang w:val="en-US"/>
        </w:rPr>
        <w:t>1</w:t>
      </w:r>
    </w:p>
    <w:p>
      <w:pPr>
        <w:pStyle w:val="toc 1"/>
        <w:tabs>
          <w:tab w:val="right" w:pos="9340"/>
          <w:tab w:val="clear" w:pos="9350"/>
        </w:tabs>
      </w:pPr>
      <w:r>
        <w:rPr>
          <w:rStyle w:val="Hyperlink.0"/>
        </w:rPr>
        <w:fldChar w:fldCharType="begin" w:fldLock="0"/>
      </w:r>
      <w:r>
        <w:rPr>
          <w:rStyle w:val="Hyperlink.0"/>
        </w:rPr>
        <w:instrText xml:space="preserve"> HYPERLINK \l "bookmark1" </w:instrText>
      </w:r>
      <w:r>
        <w:rPr>
          <w:rStyle w:val="Hyperlink.0"/>
        </w:rPr>
        <w:fldChar w:fldCharType="separate" w:fldLock="0"/>
      </w:r>
      <w:r>
        <w:rPr>
          <w:rStyle w:val="Hyperlink.0"/>
          <w:rtl w:val="0"/>
          <w:lang w:val="en-US"/>
        </w:rPr>
        <w:t>Summary</w:t>
      </w:r>
      <w:r>
        <w:tab/>
      </w:r>
      <w:r>
        <w:rPr/>
        <w:fldChar w:fldCharType="end" w:fldLock="0"/>
      </w:r>
      <w:r>
        <w:rPr>
          <w:rtl w:val="0"/>
          <w:lang w:val="en-US"/>
        </w:rPr>
        <w:t>2</w:t>
      </w:r>
    </w:p>
    <w:p>
      <w:pPr>
        <w:pStyle w:val="toc 1"/>
        <w:tabs>
          <w:tab w:val="right" w:pos="9340"/>
          <w:tab w:val="clear" w:pos="9350"/>
        </w:tabs>
      </w:pPr>
      <w:r>
        <w:rPr>
          <w:rStyle w:val="Hyperlink.0"/>
        </w:rPr>
        <w:fldChar w:fldCharType="begin" w:fldLock="0"/>
      </w:r>
      <w:r>
        <w:rPr>
          <w:rStyle w:val="Hyperlink.0"/>
        </w:rPr>
        <w:instrText xml:space="preserve"> HYPERLINK \l "bookmark2" </w:instrText>
      </w:r>
      <w:r>
        <w:rPr>
          <w:rStyle w:val="Hyperlink.0"/>
        </w:rPr>
        <w:fldChar w:fldCharType="separate" w:fldLock="0"/>
      </w:r>
      <w:r>
        <w:rPr>
          <w:rStyle w:val="Hyperlink.0"/>
          <w:rtl w:val="0"/>
          <w:lang w:val="en-US"/>
        </w:rPr>
        <w:t>Introduction</w:t>
      </w:r>
      <w:r>
        <w:tab/>
      </w:r>
      <w:r>
        <w:rPr/>
        <w:fldChar w:fldCharType="end" w:fldLock="0"/>
      </w:r>
      <w:r>
        <w:rPr>
          <w:rtl w:val="0"/>
          <w:lang w:val="en-US"/>
        </w:rPr>
        <w:t>2</w:t>
      </w:r>
    </w:p>
    <w:p>
      <w:pPr>
        <w:pStyle w:val="toc 1"/>
        <w:tabs>
          <w:tab w:val="right" w:pos="9340"/>
          <w:tab w:val="clear" w:pos="9350"/>
        </w:tabs>
      </w:pPr>
      <w:r>
        <w:rPr>
          <w:rStyle w:val="Hyperlink.0"/>
        </w:rPr>
        <w:fldChar w:fldCharType="begin" w:fldLock="0"/>
      </w:r>
      <w:r>
        <w:rPr>
          <w:rStyle w:val="Hyperlink.0"/>
        </w:rPr>
        <w:instrText xml:space="preserve"> HYPERLINK \l "bookmark3" </w:instrText>
      </w:r>
      <w:r>
        <w:rPr>
          <w:rStyle w:val="Hyperlink.0"/>
        </w:rPr>
        <w:fldChar w:fldCharType="separate" w:fldLock="0"/>
      </w:r>
      <w:r>
        <w:rPr>
          <w:rStyle w:val="Hyperlink.0"/>
          <w:rtl w:val="0"/>
          <w:lang w:val="en-US"/>
        </w:rPr>
        <w:t>UNESCO - Intergovernmental Oceanographic Commission (IOC) Sea Level Monitoring Facility (SLMF)</w:t>
      </w:r>
      <w:r>
        <w:tab/>
      </w:r>
      <w:r>
        <w:rPr/>
        <w:fldChar w:fldCharType="end" w:fldLock="0"/>
      </w:r>
      <w:r>
        <w:rPr>
          <w:rtl w:val="0"/>
          <w:lang w:val="en-US"/>
        </w:rPr>
        <w:t>6</w:t>
      </w:r>
    </w:p>
    <w:p>
      <w:pPr>
        <w:pStyle w:val="toc 1"/>
        <w:tabs>
          <w:tab w:val="right" w:pos="9340"/>
          <w:tab w:val="clear" w:pos="9350"/>
        </w:tabs>
      </w:pPr>
      <w:r>
        <w:rPr>
          <w:rStyle w:val="Hyperlink.0"/>
        </w:rPr>
        <w:fldChar w:fldCharType="begin" w:fldLock="0"/>
      </w:r>
      <w:r>
        <w:rPr>
          <w:rStyle w:val="Hyperlink.0"/>
        </w:rPr>
        <w:instrText xml:space="preserve"> HYPERLINK \l "bookmark4" </w:instrText>
      </w:r>
      <w:r>
        <w:rPr>
          <w:rStyle w:val="Hyperlink.0"/>
        </w:rPr>
        <w:fldChar w:fldCharType="separate" w:fldLock="0"/>
      </w:r>
      <w:r>
        <w:rPr>
          <w:rStyle w:val="Hyperlink.0"/>
          <w:rtl w:val="0"/>
          <w:lang w:val="en-US"/>
        </w:rPr>
        <w:t>Pacific Tsunami Warning Center (PTWC)</w:t>
      </w:r>
      <w:r>
        <w:tab/>
      </w:r>
      <w:r>
        <w:rPr/>
        <w:fldChar w:fldCharType="end" w:fldLock="0"/>
      </w:r>
      <w:r>
        <w:rPr>
          <w:rtl w:val="0"/>
          <w:lang w:val="en-US"/>
        </w:rPr>
        <w:t>8</w:t>
      </w:r>
    </w:p>
    <w:p>
      <w:pPr>
        <w:pStyle w:val="toc 1"/>
        <w:tabs>
          <w:tab w:val="right" w:pos="9340"/>
          <w:tab w:val="clear" w:pos="9350"/>
        </w:tabs>
      </w:pPr>
      <w:r>
        <w:rPr>
          <w:rStyle w:val="Hyperlink.0"/>
        </w:rPr>
        <w:fldChar w:fldCharType="begin" w:fldLock="0"/>
      </w:r>
      <w:r>
        <w:rPr>
          <w:rStyle w:val="Hyperlink.0"/>
        </w:rPr>
        <w:instrText xml:space="preserve"> HYPERLINK \l "bookmark5" </w:instrText>
      </w:r>
      <w:r>
        <w:rPr>
          <w:rStyle w:val="Hyperlink.0"/>
        </w:rPr>
        <w:fldChar w:fldCharType="separate" w:fldLock="0"/>
      </w:r>
      <w:r>
        <w:rPr>
          <w:rStyle w:val="Hyperlink.0"/>
          <w:rtl w:val="0"/>
          <w:lang w:val="en-US"/>
        </w:rPr>
        <w:t>Contributing RTX Sea Level Stations</w:t>
      </w:r>
      <w:r>
        <w:tab/>
      </w:r>
      <w:r>
        <w:rPr/>
        <w:fldChar w:fldCharType="end" w:fldLock="0"/>
      </w:r>
      <w:r>
        <w:rPr>
          <w:rtl w:val="0"/>
          <w:lang w:val="en-US"/>
        </w:rPr>
        <w:t>10</w:t>
      </w:r>
    </w:p>
    <w:p>
      <w:pPr>
        <w:pStyle w:val="toc 1"/>
        <w:tabs>
          <w:tab w:val="right" w:pos="9340"/>
          <w:tab w:val="clear" w:pos="9350"/>
        </w:tabs>
      </w:pPr>
      <w:r>
        <w:rPr>
          <w:rStyle w:val="Hyperlink.0"/>
        </w:rPr>
        <w:fldChar w:fldCharType="begin" w:fldLock="0"/>
      </w:r>
      <w:r>
        <w:rPr>
          <w:rStyle w:val="Hyperlink.0"/>
        </w:rPr>
        <w:instrText xml:space="preserve"> HYPERLINK \l "bookmark6" </w:instrText>
      </w:r>
      <w:r>
        <w:rPr>
          <w:rStyle w:val="Hyperlink.0"/>
        </w:rPr>
        <w:fldChar w:fldCharType="separate" w:fldLock="0"/>
      </w:r>
      <w:r>
        <w:rPr>
          <w:rStyle w:val="Hyperlink.0"/>
          <w:rtl w:val="0"/>
          <w:lang w:val="en-US"/>
        </w:rPr>
        <w:t>DART</w:t>
      </w:r>
      <w:r>
        <w:tab/>
      </w:r>
      <w:r>
        <w:rPr/>
        <w:fldChar w:fldCharType="end" w:fldLock="0"/>
      </w:r>
      <w:r>
        <w:rPr>
          <w:rtl w:val="0"/>
          <w:lang w:val="en-US"/>
        </w:rPr>
        <w:t>12</w:t>
      </w:r>
    </w:p>
    <w:p>
      <w:pPr>
        <w:pStyle w:val="toc 1"/>
        <w:tabs>
          <w:tab w:val="right" w:pos="9340"/>
          <w:tab w:val="clear" w:pos="9350"/>
        </w:tabs>
      </w:pPr>
      <w:r>
        <w:rPr>
          <w:rStyle w:val="Hyperlink.0"/>
        </w:rPr>
        <w:fldChar w:fldCharType="begin" w:fldLock="0"/>
      </w:r>
      <w:r>
        <w:rPr>
          <w:rStyle w:val="Hyperlink.0"/>
        </w:rPr>
        <w:instrText xml:space="preserve"> HYPERLINK \l "bookmark7" </w:instrText>
      </w:r>
      <w:r>
        <w:rPr>
          <w:rStyle w:val="Hyperlink.0"/>
        </w:rPr>
        <w:fldChar w:fldCharType="separate" w:fldLock="0"/>
      </w:r>
      <w:r>
        <w:rPr>
          <w:rStyle w:val="Hyperlink.0"/>
          <w:rtl w:val="0"/>
          <w:lang w:val="en-US"/>
        </w:rPr>
        <w:t>Appendix List</w:t>
      </w:r>
      <w:r>
        <w:tab/>
      </w:r>
      <w:r>
        <w:rPr/>
        <w:fldChar w:fldCharType="end" w:fldLock="0"/>
      </w:r>
      <w:r>
        <w:rPr>
          <w:rtl w:val="0"/>
          <w:lang w:val="en-US"/>
        </w:rPr>
        <w:t>15</w:t>
      </w:r>
    </w:p>
    <w:p>
      <w:pPr>
        <w:pStyle w:val="Body"/>
      </w:pPr>
    </w:p>
    <w:p>
      <w:pPr>
        <w:pStyle w:val="Body"/>
        <w:rPr>
          <w:b w:val="1"/>
          <w:bCs w:val="1"/>
          <w:sz w:val="26"/>
          <w:szCs w:val="26"/>
        </w:rPr>
      </w:pPr>
    </w:p>
    <w:p>
      <w:pPr>
        <w:pStyle w:val="Body"/>
        <w:rPr>
          <w:b w:val="1"/>
          <w:bCs w:val="1"/>
          <w:sz w:val="26"/>
          <w:szCs w:val="26"/>
        </w:rPr>
      </w:pPr>
    </w:p>
    <w:p>
      <w:pPr>
        <w:pStyle w:val="Body"/>
        <w:rPr>
          <w:b w:val="1"/>
          <w:bCs w:val="1"/>
          <w:sz w:val="26"/>
          <w:szCs w:val="26"/>
        </w:rPr>
      </w:pPr>
    </w:p>
    <w:p>
      <w:pPr>
        <w:pStyle w:val="Body"/>
        <w:rPr>
          <w:b w:val="1"/>
          <w:bCs w:val="1"/>
          <w:sz w:val="26"/>
          <w:szCs w:val="26"/>
        </w:rPr>
      </w:pPr>
    </w:p>
    <w:p>
      <w:pPr>
        <w:pStyle w:val="Body"/>
        <w:rPr>
          <w:b w:val="1"/>
          <w:bCs w:val="1"/>
          <w:sz w:val="26"/>
          <w:szCs w:val="26"/>
        </w:rPr>
      </w:pPr>
    </w:p>
    <w:p>
      <w:pPr>
        <w:pStyle w:val="Body"/>
        <w:rPr>
          <w:b w:val="1"/>
          <w:bCs w:val="1"/>
          <w:sz w:val="26"/>
          <w:szCs w:val="26"/>
        </w:rPr>
      </w:pPr>
    </w:p>
    <w:p>
      <w:pPr>
        <w:pStyle w:val="Body"/>
        <w:rPr>
          <w:b w:val="1"/>
          <w:bCs w:val="1"/>
          <w:sz w:val="26"/>
          <w:szCs w:val="26"/>
        </w:rPr>
      </w:pPr>
    </w:p>
    <w:p>
      <w:pPr>
        <w:pStyle w:val="Body"/>
        <w:rPr>
          <w:b w:val="1"/>
          <w:bCs w:val="1"/>
          <w:sz w:val="26"/>
          <w:szCs w:val="26"/>
        </w:rPr>
      </w:pPr>
    </w:p>
    <w:p>
      <w:pPr>
        <w:pStyle w:val="Body"/>
        <w:rPr>
          <w:b w:val="1"/>
          <w:bCs w:val="1"/>
          <w:sz w:val="26"/>
          <w:szCs w:val="26"/>
        </w:rPr>
      </w:pPr>
    </w:p>
    <w:p>
      <w:pPr>
        <w:pStyle w:val="Heading"/>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Acknowledgments</w:t>
      </w:r>
    </w:p>
    <w:p>
      <w:pPr>
        <w:pStyle w:val="Body"/>
      </w:pPr>
    </w:p>
    <w:p>
      <w:pPr>
        <w:pStyle w:val="Body"/>
      </w:pPr>
      <w:r>
        <w:rPr>
          <w:rtl w:val="0"/>
          <w:lang w:val="en-US"/>
        </w:rPr>
        <w:t>First and foremost, a special recognition to the sea level station operators and data analysts in the Caribbean and Adjacent Regions; they keep the stations running and create awareness on data issues. Our appreciation also goes out to Stuart Weinstein from the Pacific Tsunami Warning Center for generating the monthly reports and maps on sea level status and for his support and updates to Tide Tool sea level data analysis program.  We also acknowledge Tjess Hernandez and Bart Vanhoorne from the IOC Sea Level Monitoring facility for maintaining this vital tool and clarification on station status and data formats.  An acknowledgement also to the International Tsunami Information Center Caribbean Office (previously known as the Caribbean Tsunami Warning Program), especially Stephanie Soto, Desiree Bayouth-Garc</w:t>
      </w:r>
      <w:r>
        <w:rPr>
          <w:rtl w:val="0"/>
        </w:rPr>
        <w:t>í</w:t>
      </w:r>
      <w:r>
        <w:rPr>
          <w:rtl w:val="0"/>
          <w:lang w:val="en-US"/>
        </w:rPr>
        <w:t xml:space="preserve">a and Christa von Hillebrandt-Andrade for tracking station status and preparing this report.  </w:t>
      </w:r>
    </w:p>
    <w:p>
      <w:pPr>
        <w:pStyle w:val="Heading"/>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Summary</w:t>
      </w:r>
    </w:p>
    <w:p>
      <w:pPr>
        <w:pStyle w:val="Body"/>
        <w:jc w:val="both"/>
        <w:rPr>
          <w:outline w:val="0"/>
          <w:color w:val="000000"/>
          <w:u w:color="000000"/>
          <w:shd w:val="clear" w:color="auto" w:fill="ffff00"/>
          <w14:textFill>
            <w14:solidFill>
              <w14:srgbClr w14:val="000000"/>
            </w14:solidFill>
          </w14:textFill>
        </w:rPr>
      </w:pPr>
      <w:r>
        <w:rPr>
          <w:outline w:val="0"/>
          <w:color w:val="000000"/>
          <w:u w:color="000000"/>
          <w:rtl w:val="0"/>
          <w:lang w:val="en-US"/>
          <w14:textFill>
            <w14:solidFill>
              <w14:srgbClr w14:val="000000"/>
            </w14:solidFill>
          </w14:textFill>
        </w:rPr>
        <w:t xml:space="preserve">Real-time sea level data </w:t>
      </w:r>
      <w:r>
        <w:rPr>
          <w:rtl w:val="0"/>
        </w:rPr>
        <w:t>is</w:t>
      </w:r>
      <w:r>
        <w:rPr>
          <w:outline w:val="0"/>
          <w:color w:val="000000"/>
          <w:u w:color="000000"/>
          <w:rtl w:val="0"/>
          <w:lang w:val="en-US"/>
          <w14:textFill>
            <w14:solidFill>
              <w14:srgbClr w14:val="000000"/>
            </w14:solidFill>
          </w14:textFill>
        </w:rPr>
        <w:t xml:space="preserve"> one of the essential data streams of a tsunami warning system. Tsunami Warning Centers use seismic data to determine whether there is potential for a tsunami threat following an earthquake.  Sea level data are used to detect and confirm the tsunami generation, help forecast its severity and to declare the threat is over. In the case of tsunamis generated by a non-seismic source, the sea level data will be the primary tool for the detection and evaluation of the threat. The main type of sea level data used to detect tsunamis are coastal sea level stations and tsunameters (DARTs).</w:t>
      </w:r>
      <w:r>
        <w:rPr>
          <w:outline w:val="0"/>
          <w:color w:val="000000"/>
          <w:u w:color="000000"/>
          <w:shd w:val="clear" w:color="auto" w:fill="ffff00"/>
          <w:rtl w:val="0"/>
          <w14:textFill>
            <w14:solidFill>
              <w14:srgbClr w14:val="000000"/>
            </w14:solidFill>
          </w14:textFill>
        </w:rPr>
        <w:t xml:space="preserve"> </w:t>
      </w:r>
    </w:p>
    <w:p>
      <w:pPr>
        <w:pStyle w:val="Body"/>
        <w:jc w:val="both"/>
        <w:rPr>
          <w:outline w:val="0"/>
          <w:color w:val="000000"/>
          <w:u w:color="000000"/>
          <w:shd w:val="clear" w:color="auto" w:fill="ffff00"/>
          <w14:textFill>
            <w14:solidFill>
              <w14:srgbClr w14:val="000000"/>
            </w14:solidFill>
          </w14:textFill>
        </w:rPr>
      </w:pPr>
      <w:r>
        <w:rPr>
          <w:outline w:val="0"/>
          <w:color w:val="000000"/>
          <w:u w:color="000000"/>
          <w:rtl w:val="0"/>
          <w:lang w:val="en-US"/>
          <w14:textFill>
            <w14:solidFill>
              <w14:srgbClr w14:val="000000"/>
            </w14:solidFill>
          </w14:textFill>
        </w:rPr>
        <w:t xml:space="preserve">Since 2010, at the request of the Intergovernmental Coordination Group for the Tsunami and Other Coastal Hazards Warning System for the Caribbean and Adjacent Regions (ICG/CARIBE EWS), the Caribbean Office of the International Tsunami Information Center has maintained an inventory of the sea level stations used for tsunami monitoring and warning in the region.  It shares and posts monthly maps on the status of sea level data from the Pacific Tsunami Warning Center, periodically updates and posts the inventory of stations and their status, and produces an annual report on sea level stations and data availability.  </w:t>
      </w:r>
    </w:p>
    <w:p>
      <w:pPr>
        <w:pStyle w:val="Body"/>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For this report, data availability is reported from the UNESCO/IOC Sea Level Station Monitoring Facility (SLMF) for the coastal sea level stations and most recently, DART stations. The data availability at NOAA National Data Buoy Center is reported in the case of the DARTs and at the Pacific Tsunami Warning Center, as the designated Tsunami Service Provider for the CARIBE EWS, for both DART and coastal sea level stations.</w:t>
      </w:r>
    </w:p>
    <w:p>
      <w:pPr>
        <w:pStyle w:val="Body"/>
        <w:jc w:val="both"/>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In December 202</w:t>
      </w:r>
      <w:r>
        <w:rPr>
          <w:rtl w:val="0"/>
        </w:rPr>
        <w:t>2</w:t>
      </w:r>
      <w:r>
        <w:rPr>
          <w:outline w:val="0"/>
          <w:color w:val="000000"/>
          <w:u w:color="000000"/>
          <w:rtl w:val="0"/>
          <w:lang w:val="en-US"/>
          <w14:textFill>
            <w14:solidFill>
              <w14:srgbClr w14:val="000000"/>
            </w14:solidFill>
          </w14:textFill>
        </w:rPr>
        <w:t xml:space="preserve">, of the 184 stations in the CARIBE-EWS sea level inventory, 68 were contributing data in near real time for tsunami warning. This includes 3 of the 8 DART stations.  In contrast, in December 2021 there were a total of 177 stations and 44 contributing. </w:t>
      </w:r>
    </w:p>
    <w:p>
      <w:pPr>
        <w:pStyle w:val="Heading"/>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fr-FR"/>
          <w14:textFill>
            <w14:solidFill>
              <w14:srgbClr w14:val="000000"/>
            </w14:solidFill>
          </w14:textFill>
        </w:rPr>
        <w:t>Introduction</w:t>
      </w:r>
    </w:p>
    <w:p>
      <w:pPr>
        <w:pStyle w:val="Body"/>
        <w:rPr>
          <w:shd w:val="clear" w:color="auto" w:fill="ffff00"/>
        </w:rPr>
      </w:pPr>
      <w:r>
        <w:rPr>
          <w:rtl w:val="0"/>
          <w:lang w:val="en-US"/>
        </w:rPr>
        <w:t>Since 2010, the International Tsunami Information Center Caribbean Office (ITIC-CAR), previously called the Caribbean Tsunami Warning Program, CTWP, has been reviewing the status of seismic and sea level stations contributing to the CARIBE EWS.  In 2021, it transitioned from preparing monthly to biannual reports on the status of coastal sea level stations and DARTs.  The PTWC also prepares monthly maps on sea level data availability at their center and ITIC-CAR has posted these on caribewave.org as well as shared with CARIBE EWS WG1 and operators of sea level stations.</w:t>
      </w:r>
    </w:p>
    <w:p>
      <w:pPr>
        <w:pStyle w:val="Body"/>
      </w:pPr>
      <w:r>
        <w:rPr>
          <w:rtl w:val="0"/>
          <w:lang w:val="en-US"/>
        </w:rPr>
        <w:t>At its Fourteenth Session, the Intergovernmental Coordination Group for the Tsunami and Other Coastal Hazards Warning System for the Caribbean and Adjacent Regions, (ICG/CARIBE EWS-XIV) in its recommendation ICG/CARIBE-EWS-XIV.2 on Tsunami Monitoring and Detection Systems:</w:t>
      </w:r>
    </w:p>
    <w:p>
      <w:pPr>
        <w:pStyle w:val="Body"/>
        <w:numPr>
          <w:ilvl w:val="0"/>
          <w:numId w:val="2"/>
        </w:numPr>
        <w:bidi w:val="0"/>
        <w:ind w:right="0"/>
        <w:jc w:val="left"/>
        <w:rPr>
          <w:rtl w:val="0"/>
          <w:lang w:val="en-US"/>
        </w:rPr>
      </w:pPr>
      <w:r>
        <w:rPr>
          <w:outline w:val="0"/>
          <w:color w:val="000000"/>
          <w:u w:color="000000"/>
          <w:rtl w:val="0"/>
          <w:lang w:val="en-US"/>
          <w14:textFill>
            <w14:solidFill>
              <w14:srgbClr w14:val="000000"/>
            </w14:solidFill>
          </w14:textFill>
        </w:rPr>
        <w:t>Requested CTWP to continue producing up to date maps and data availability reports based on current sea level and seismic stations contributing to the CARIBE-EWS.</w:t>
      </w:r>
    </w:p>
    <w:p>
      <w:pPr>
        <w:pStyle w:val="Body"/>
      </w:pPr>
      <w:r>
        <w:rPr>
          <w:rtl w:val="0"/>
          <w:lang w:val="en-US"/>
        </w:rPr>
        <w:t>Furthermore, at its Fifteenth Session, which took place online 27</w:t>
      </w:r>
      <w:r>
        <w:rPr>
          <w:rtl w:val="0"/>
        </w:rPr>
        <w:t>–</w:t>
      </w:r>
      <w:r>
        <w:rPr>
          <w:rtl w:val="0"/>
          <w:lang w:val="en-US"/>
        </w:rPr>
        <w:t>29 April 2021, the ICG/CARIBE EWS-XV) in its Recommendation ICG/CARIBE-EWS-XV.1 on Tsunami Monitoring and the Systems:</w:t>
      </w:r>
    </w:p>
    <w:p>
      <w:pPr>
        <w:pStyle w:val="Body"/>
        <w:numPr>
          <w:ilvl w:val="0"/>
          <w:numId w:val="4"/>
        </w:numPr>
        <w:bidi w:val="0"/>
        <w:ind w:right="0"/>
        <w:jc w:val="left"/>
        <w:rPr>
          <w:rtl w:val="0"/>
          <w:lang w:val="en-US"/>
        </w:rPr>
      </w:pPr>
      <w:r>
        <w:rPr>
          <w:outline w:val="0"/>
          <w:color w:val="000000"/>
          <w:u w:color="000000"/>
          <w:rtl w:val="0"/>
          <w:lang w:val="en-US"/>
          <w14:textFill>
            <w14:solidFill>
              <w14:srgbClr w14:val="000000"/>
            </w14:solidFill>
          </w14:textFill>
        </w:rPr>
        <w:t>Appreciated the NOAA Caribbean Tsunami Warning Programme (CTWP) for improving the automated processing and reporting on the status of seismic and sea level stations</w:t>
      </w:r>
    </w:p>
    <w:p>
      <w:pPr>
        <w:pStyle w:val="Body"/>
        <w:numPr>
          <w:ilvl w:val="0"/>
          <w:numId w:val="4"/>
        </w:numPr>
        <w:bidi w:val="0"/>
        <w:ind w:right="0"/>
        <w:jc w:val="left"/>
        <w:rPr>
          <w:rtl w:val="0"/>
          <w:lang w:val="en-US"/>
        </w:rPr>
      </w:pPr>
      <w:r>
        <w:rPr>
          <w:outline w:val="0"/>
          <w:color w:val="000000"/>
          <w:u w:color="000000"/>
          <w:rtl w:val="0"/>
          <w:lang w:val="en-US"/>
          <w14:textFill>
            <w14:solidFill>
              <w14:srgbClr w14:val="000000"/>
            </w14:solidFill>
          </w14:textFill>
        </w:rPr>
        <w:t>Urged Member States and sea level station operators contributing to CARIBE-EWS to maintain their sea-level stations to an operational standard,</w:t>
      </w:r>
    </w:p>
    <w:p>
      <w:pPr>
        <w:pStyle w:val="Body"/>
        <w:numPr>
          <w:ilvl w:val="0"/>
          <w:numId w:val="4"/>
        </w:numPr>
        <w:bidi w:val="0"/>
        <w:ind w:right="0"/>
        <w:jc w:val="left"/>
        <w:rPr>
          <w:rtl w:val="0"/>
          <w:lang w:val="en-US"/>
        </w:rPr>
      </w:pPr>
      <w:r>
        <w:rPr>
          <w:outline w:val="0"/>
          <w:color w:val="000000"/>
          <w:u w:color="000000"/>
          <w:rtl w:val="0"/>
          <w:lang w:val="en-US"/>
          <w14:textFill>
            <w14:solidFill>
              <w14:srgbClr w14:val="000000"/>
            </w14:solidFill>
          </w14:textFill>
        </w:rPr>
        <w:t>Also urged Member States and sea level station operators to regularly review and update the status of sea level stations in the web pages of the IOC</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Sea Level Station Monitoring Facility and in the CTWP reports prepared on behalf of the CARIBE-EWS,</w:t>
      </w:r>
    </w:p>
    <w:p>
      <w:pPr>
        <w:pStyle w:val="Body"/>
        <w:numPr>
          <w:ilvl w:val="0"/>
          <w:numId w:val="4"/>
        </w:numPr>
        <w:bidi w:val="0"/>
        <w:ind w:right="0"/>
        <w:jc w:val="left"/>
        <w:rPr>
          <w:rtl w:val="0"/>
          <w:lang w:val="en-US"/>
        </w:rPr>
      </w:pPr>
      <w:r>
        <w:rPr>
          <w:outline w:val="0"/>
          <w:color w:val="000000"/>
          <w:u w:color="000000"/>
          <w:rtl w:val="0"/>
          <w:lang w:val="en-US"/>
          <w14:textFill>
            <w14:solidFill>
              <w14:srgbClr w14:val="000000"/>
            </w14:solidFill>
          </w14:textFill>
        </w:rPr>
        <w:t>Recommended a survey of sea-level network operator status by WG1 and ITIC-CAR with the goal of improving the up time of the sea-level network,</w:t>
      </w:r>
    </w:p>
    <w:p>
      <w:pPr>
        <w:pStyle w:val="Body"/>
      </w:pPr>
      <w:r>
        <w:rPr>
          <w:rtl w:val="0"/>
          <w:lang w:val="en-US"/>
        </w:rPr>
        <w:t xml:space="preserve">This report covers these recommendations. </w:t>
      </w:r>
    </w:p>
    <w:p>
      <w:pPr>
        <w:pStyle w:val="Body"/>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Sea Level Stations Status Categories for 202</w:t>
      </w:r>
      <w:r>
        <w:rPr>
          <w:b w:val="1"/>
          <w:bCs w:val="1"/>
          <w:sz w:val="28"/>
          <w:szCs w:val="28"/>
          <w:rtl w:val="0"/>
        </w:rPr>
        <w:t>2</w:t>
      </w:r>
    </w:p>
    <w:p>
      <w:pPr>
        <w:pStyle w:val="Body"/>
        <w:jc w:val="both"/>
      </w:pPr>
      <w:r>
        <w:rPr>
          <w:rtl w:val="0"/>
          <w:lang w:val="en-US"/>
        </w:rPr>
        <w:t xml:space="preserve">In 2019, at the </w:t>
      </w:r>
      <w:r>
        <w:rPr>
          <w:i w:val="1"/>
          <w:iCs w:val="1"/>
          <w:rtl w:val="0"/>
          <w:lang w:val="en-US"/>
        </w:rPr>
        <w:t xml:space="preserve">Fourteenth Session of the Intergovernmental Coordination Group for the Tsunami and Other Coastal Hazards Warning System for the Caribbean and Adjacent Regions, (ICG/CARIBE EWS-XIV) </w:t>
      </w:r>
      <w:r>
        <w:rPr>
          <w:rtl w:val="0"/>
          <w:lang w:val="en-US"/>
        </w:rPr>
        <w:t>the status categories for sea level stations were updated to the following:</w:t>
      </w:r>
    </w:p>
    <w:tbl>
      <w:tblPr>
        <w:tblW w:w="8630" w:type="dxa"/>
        <w:jc w:val="left"/>
        <w:tblInd w:w="82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10"/>
        <w:gridCol w:w="6920"/>
      </w:tblGrid>
      <w:tr>
        <w:tblPrEx>
          <w:shd w:val="clear" w:color="auto" w:fill="cdd4e9"/>
        </w:tblPrEx>
        <w:trPr>
          <w:trHeight w:val="3088" w:hRule="atLeast"/>
        </w:trPr>
        <w:tc>
          <w:tcPr>
            <w:tcW w:type="dxa" w:w="171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line="360" w:lineRule="auto"/>
              <w:jc w:val="center"/>
              <w:rPr>
                <w:b w:val="1"/>
                <w:bCs w:val="1"/>
                <w:i w:val="1"/>
                <w:iCs w:val="1"/>
                <w:shd w:val="nil" w:color="auto" w:fill="auto"/>
              </w:rPr>
            </w:pPr>
            <w:r>
              <w:rPr>
                <w:b w:val="1"/>
                <w:bCs w:val="1"/>
                <w:i w:val="1"/>
                <w:iCs w:val="1"/>
                <w:shd w:val="nil" w:color="auto" w:fill="auto"/>
                <w:rtl w:val="0"/>
                <w:lang w:val="en-US"/>
              </w:rPr>
              <w:t xml:space="preserve">Contributing Real Time </w:t>
            </w:r>
          </w:p>
          <w:p>
            <w:pPr>
              <w:pStyle w:val="Body"/>
              <w:bidi w:val="0"/>
              <w:spacing w:after="0" w:line="360" w:lineRule="auto"/>
              <w:ind w:left="0" w:right="0" w:firstLine="0"/>
              <w:jc w:val="center"/>
              <w:rPr>
                <w:rtl w:val="0"/>
              </w:rPr>
            </w:pPr>
            <w:r>
              <w:rPr>
                <w:b w:val="1"/>
                <w:bCs w:val="1"/>
                <w:i w:val="1"/>
                <w:iCs w:val="1"/>
                <w:shd w:val="nil" w:color="auto" w:fill="auto"/>
                <w:rtl w:val="0"/>
                <w:lang w:val="en-US"/>
              </w:rPr>
              <w:t>(Contributing RTX)</w:t>
            </w:r>
          </w:p>
        </w:tc>
        <w:tc>
          <w:tcPr>
            <w:tcW w:type="dxa" w:w="6920"/>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jc w:val="both"/>
            </w:pPr>
            <w:r>
              <w:rPr>
                <w:shd w:val="nil" w:color="auto" w:fill="auto"/>
                <w:rtl w:val="0"/>
                <w:lang w:val="en-US"/>
              </w:rPr>
              <w:t>Also known as Active on the SLMF. Data from these stations have been available for the past month in real time or near real time thru FTP or GTS (GOES), are accessible to tsunami service providers and tsunami warning centers and can be accessed thru Tide Tool, IOC SLMF and other sites.  For reports prepared thru 2018, once a station was contributing in real time, it always remained with this status, irrespective of its operational status.  There were stations that had not been contributing data in real time for months or even years.  These non-contributing stations are now classified as down, being consistent with the SLMF.</w:t>
            </w:r>
          </w:p>
        </w:tc>
      </w:tr>
      <w:tr>
        <w:tblPrEx>
          <w:shd w:val="clear" w:color="auto" w:fill="cdd4e9"/>
        </w:tblPrEx>
        <w:trPr>
          <w:trHeight w:val="951" w:hRule="atLeast"/>
        </w:trPr>
        <w:tc>
          <w:tcPr>
            <w:tcW w:type="dxa" w:w="171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jc w:val="center"/>
            </w:pPr>
            <w:r>
              <w:rPr>
                <w:b w:val="1"/>
                <w:bCs w:val="1"/>
                <w:i w:val="1"/>
                <w:iCs w:val="1"/>
                <w:shd w:val="nil" w:color="auto" w:fill="auto"/>
                <w:rtl w:val="0"/>
                <w:lang w:val="en-US"/>
              </w:rPr>
              <w:t>Existing</w:t>
            </w:r>
          </w:p>
        </w:tc>
        <w:tc>
          <w:tcPr>
            <w:tcW w:type="dxa" w:w="692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jc w:val="both"/>
            </w:pPr>
            <w:r>
              <w:rPr>
                <w:shd w:val="nil" w:color="auto" w:fill="auto"/>
                <w:rtl w:val="0"/>
                <w:lang w:val="en-US"/>
              </w:rPr>
              <w:t>Stations that are understood to be operational through national reporting, GLOSS or other mechanisms, but whose data are not shared and are not available in real time or near real time.</w:t>
            </w:r>
          </w:p>
        </w:tc>
      </w:tr>
      <w:tr>
        <w:tblPrEx>
          <w:shd w:val="clear" w:color="auto" w:fill="cdd4e9"/>
        </w:tblPrEx>
        <w:trPr>
          <w:trHeight w:val="951" w:hRule="atLeast"/>
        </w:trPr>
        <w:tc>
          <w:tcPr>
            <w:tcW w:type="dxa" w:w="171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jc w:val="center"/>
            </w:pPr>
            <w:r>
              <w:rPr>
                <w:b w:val="1"/>
                <w:bCs w:val="1"/>
                <w:i w:val="1"/>
                <w:iCs w:val="1"/>
                <w:shd w:val="nil" w:color="auto" w:fill="auto"/>
                <w:rtl w:val="0"/>
                <w:lang w:val="en-US"/>
              </w:rPr>
              <w:t>Down</w:t>
            </w:r>
          </w:p>
        </w:tc>
        <w:tc>
          <w:tcPr>
            <w:tcW w:type="dxa" w:w="692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jc w:val="both"/>
            </w:pPr>
            <w:r>
              <w:rPr>
                <w:shd w:val="nil" w:color="auto" w:fill="auto"/>
                <w:rtl w:val="0"/>
                <w:lang w:val="en-US"/>
              </w:rPr>
              <w:t xml:space="preserve">These stations at one point were Contributing in Real Time but for a period of a month or longer have not been sharing data.  There is the expectation that the data from the station will become available in the future.   </w:t>
            </w:r>
          </w:p>
        </w:tc>
      </w:tr>
      <w:tr>
        <w:tblPrEx>
          <w:shd w:val="clear" w:color="auto" w:fill="cdd4e9"/>
        </w:tblPrEx>
        <w:trPr>
          <w:trHeight w:val="596" w:hRule="atLeast"/>
        </w:trPr>
        <w:tc>
          <w:tcPr>
            <w:tcW w:type="dxa" w:w="171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jc w:val="center"/>
            </w:pPr>
            <w:r>
              <w:rPr>
                <w:b w:val="1"/>
                <w:bCs w:val="1"/>
                <w:i w:val="1"/>
                <w:iCs w:val="1"/>
                <w:shd w:val="nil" w:color="auto" w:fill="auto"/>
                <w:rtl w:val="0"/>
                <w:lang w:val="en-US"/>
              </w:rPr>
              <w:t>Planned</w:t>
            </w:r>
          </w:p>
        </w:tc>
        <w:tc>
          <w:tcPr>
            <w:tcW w:type="dxa" w:w="692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jc w:val="both"/>
            </w:pPr>
            <w:r>
              <w:rPr>
                <w:shd w:val="nil" w:color="auto" w:fill="auto"/>
                <w:rtl w:val="0"/>
                <w:lang w:val="en-US"/>
              </w:rPr>
              <w:t>Stations that Member States or Network Operators have indicated they have funding for and are in the process of acquisition or installation.</w:t>
            </w:r>
          </w:p>
        </w:tc>
      </w:tr>
      <w:tr>
        <w:tblPrEx>
          <w:shd w:val="clear" w:color="auto" w:fill="cdd4e9"/>
        </w:tblPrEx>
        <w:trPr>
          <w:trHeight w:val="951" w:hRule="atLeast"/>
        </w:trPr>
        <w:tc>
          <w:tcPr>
            <w:tcW w:type="dxa" w:w="171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jc w:val="center"/>
            </w:pPr>
            <w:r>
              <w:rPr>
                <w:b w:val="1"/>
                <w:bCs w:val="1"/>
                <w:i w:val="1"/>
                <w:iCs w:val="1"/>
                <w:shd w:val="nil" w:color="auto" w:fill="auto"/>
                <w:rtl w:val="0"/>
                <w:lang w:val="en-US"/>
              </w:rPr>
              <w:t>Gap</w:t>
            </w:r>
          </w:p>
        </w:tc>
        <w:tc>
          <w:tcPr>
            <w:tcW w:type="dxa" w:w="692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jc w:val="both"/>
            </w:pPr>
            <w:r>
              <w:rPr>
                <w:shd w:val="nil" w:color="auto" w:fill="auto"/>
                <w:rtl w:val="0"/>
                <w:lang w:val="en-US"/>
              </w:rPr>
              <w:t>Station locations that the CARIBE EWS has indicated are of high priority but for which no funding has been identified for their acquisition, installation, and operation.</w:t>
            </w:r>
          </w:p>
        </w:tc>
      </w:tr>
      <w:tr>
        <w:tblPrEx>
          <w:shd w:val="clear" w:color="auto" w:fill="cdd4e9"/>
        </w:tblPrEx>
        <w:trPr>
          <w:trHeight w:val="241" w:hRule="atLeast"/>
        </w:trPr>
        <w:tc>
          <w:tcPr>
            <w:tcW w:type="dxa" w:w="171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jc w:val="center"/>
            </w:pPr>
            <w:r>
              <w:rPr>
                <w:b w:val="1"/>
                <w:bCs w:val="1"/>
                <w:i w:val="1"/>
                <w:iCs w:val="1"/>
                <w:shd w:val="nil" w:color="auto" w:fill="auto"/>
                <w:rtl w:val="0"/>
                <w:lang w:val="en-US"/>
              </w:rPr>
              <w:t>Removed</w:t>
            </w:r>
          </w:p>
        </w:tc>
        <w:tc>
          <w:tcPr>
            <w:tcW w:type="dxa" w:w="692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jc w:val="both"/>
            </w:pPr>
            <w:r>
              <w:rPr>
                <w:shd w:val="nil" w:color="auto" w:fill="auto"/>
                <w:rtl w:val="0"/>
                <w:lang w:val="en-US"/>
              </w:rPr>
              <w:t>Stations which have been removed or relocated.</w:t>
            </w:r>
          </w:p>
        </w:tc>
      </w:tr>
      <w:tr>
        <w:tblPrEx>
          <w:shd w:val="clear" w:color="auto" w:fill="cdd4e9"/>
        </w:tblPrEx>
        <w:trPr>
          <w:trHeight w:val="241" w:hRule="atLeast"/>
        </w:trPr>
        <w:tc>
          <w:tcPr>
            <w:tcW w:type="dxa" w:w="171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w:spacing w:after="0" w:line="360" w:lineRule="auto"/>
              <w:jc w:val="center"/>
            </w:pPr>
            <w:r>
              <w:rPr>
                <w:b w:val="1"/>
                <w:bCs w:val="1"/>
                <w:i w:val="1"/>
                <w:iCs w:val="1"/>
                <w:shd w:val="nil" w:color="auto" w:fill="auto"/>
                <w:rtl w:val="0"/>
                <w:lang w:val="en-US"/>
              </w:rPr>
              <w:t>Unknown</w:t>
            </w:r>
          </w:p>
        </w:tc>
        <w:tc>
          <w:tcPr>
            <w:tcW w:type="dxa" w:w="692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after="0" w:line="360" w:lineRule="auto"/>
              <w:jc w:val="both"/>
            </w:pPr>
            <w:r>
              <w:rPr>
                <w:shd w:val="nil" w:color="auto" w:fill="auto"/>
                <w:rtl w:val="0"/>
                <w:lang w:val="en-US"/>
              </w:rPr>
              <w:t xml:space="preserve">Stations for which there is no data on its current operational status. </w:t>
            </w:r>
          </w:p>
        </w:tc>
      </w:tr>
    </w:tbl>
    <w:p>
      <w:pPr>
        <w:pStyle w:val="Body"/>
        <w:widowControl w:val="0"/>
        <w:spacing w:line="240" w:lineRule="auto"/>
        <w:ind w:left="720" w:hanging="720"/>
        <w:jc w:val="both"/>
      </w:pPr>
    </w:p>
    <w:p>
      <w:pPr>
        <w:pStyle w:val="Body"/>
        <w:spacing w:line="360" w:lineRule="auto"/>
        <w:jc w:val="both"/>
        <w:rPr>
          <w:outline w:val="0"/>
          <w:color w:val="000000"/>
          <w:sz w:val="10"/>
          <w:szCs w:val="10"/>
          <w:u w:color="000000"/>
          <w14:textFill>
            <w14:solidFill>
              <w14:srgbClr w14:val="000000"/>
            </w14:solidFill>
          </w14:textFill>
        </w:rPr>
      </w:pPr>
    </w:p>
    <w:p>
      <w:pPr>
        <w:pStyle w:val="Body"/>
        <w:spacing w:line="360" w:lineRule="auto"/>
        <w:jc w:val="both"/>
      </w:pPr>
      <w:r>
        <w:rPr>
          <w:outline w:val="0"/>
          <w:color w:val="000000"/>
          <w:u w:color="000000"/>
          <w:rtl w:val="0"/>
          <w:lang w:val="en-US"/>
          <w14:textFill>
            <w14:solidFill>
              <w14:srgbClr w14:val="000000"/>
            </w14:solidFill>
          </w14:textFill>
        </w:rPr>
        <w:t>This classification was used for the 2022 biannual sea level reports as well as this report. Figure 1 shows the status of the 176 coastal stations in the inventory at the end of 202</w:t>
      </w:r>
      <w:r>
        <w:rPr>
          <w:rtl w:val="0"/>
        </w:rPr>
        <w:t>2</w:t>
      </w:r>
      <w:r>
        <w:rPr>
          <w:outline w:val="0"/>
          <w:color w:val="000000"/>
          <w:u w:color="000000"/>
          <w:rtl w:val="0"/>
          <w:lang w:val="en-US"/>
          <w14:textFill>
            <w14:solidFill>
              <w14:srgbClr w14:val="000000"/>
            </w14:solidFill>
          </w14:textFill>
        </w:rPr>
        <w:t xml:space="preserve">. Graph 1 shows </w:t>
      </w:r>
      <w:r>
        <w:rPr>
          <w:rtl w:val="0"/>
          <w:lang w:val="en-US"/>
        </w:rPr>
        <w:t>the biannual</w:t>
      </w:r>
      <w:r>
        <w:rPr>
          <w:outline w:val="0"/>
          <w:color w:val="000000"/>
          <w:u w:color="000000"/>
          <w:rtl w:val="0"/>
          <w14:textFill>
            <w14:solidFill>
              <w14:srgbClr w14:val="000000"/>
            </w14:solidFill>
          </w14:textFill>
        </w:rPr>
        <w:t xml:space="preserve"> </w:t>
      </w:r>
      <w:r>
        <w:rPr>
          <w:rtl w:val="0"/>
          <w:lang w:val="en-US"/>
        </w:rPr>
        <w:t>number</w:t>
      </w:r>
      <w:r>
        <w:rPr>
          <w:outline w:val="0"/>
          <w:color w:val="000000"/>
          <w:u w:color="000000"/>
          <w:rtl w:val="0"/>
          <w:lang w:val="en-US"/>
          <w14:textFill>
            <w14:solidFill>
              <w14:srgbClr w14:val="000000"/>
            </w14:solidFill>
          </w14:textFill>
        </w:rPr>
        <w:t xml:space="preserve"> of sea level stations from December 20</w:t>
      </w:r>
      <w:r>
        <w:rPr>
          <w:rtl w:val="0"/>
          <w:lang w:val="en-US"/>
        </w:rPr>
        <w:t xml:space="preserve">20 through </w:t>
      </w:r>
      <w:r>
        <w:rPr>
          <w:outline w:val="0"/>
          <w:color w:val="000000"/>
          <w:u w:color="000000"/>
          <w:rtl w:val="0"/>
          <w14:textFill>
            <w14:solidFill>
              <w14:srgbClr w14:val="000000"/>
            </w14:solidFill>
          </w14:textFill>
        </w:rPr>
        <w:t>December 202</w:t>
      </w:r>
      <w:r>
        <w:rPr>
          <w:rtl w:val="0"/>
        </w:rPr>
        <w:t xml:space="preserve">2 </w:t>
      </w:r>
      <w:r>
        <w:rPr>
          <w:outline w:val="0"/>
          <w:color w:val="000000"/>
          <w:u w:color="000000"/>
          <w:rtl w:val="0"/>
          <w:lang w:val="en-US"/>
          <w14:textFill>
            <w14:solidFill>
              <w14:srgbClr w14:val="000000"/>
            </w14:solidFill>
          </w14:textFill>
        </w:rPr>
        <w:t xml:space="preserve">for which data was contributing close to real time (Contributing RTX). According to the statistics, there has been </w:t>
      </w:r>
      <w:r>
        <w:rPr>
          <w:rtl w:val="0"/>
          <w:lang w:val="en-US"/>
        </w:rPr>
        <w:t>an increase in the total number of Contributing RTX stations</w:t>
      </w:r>
      <w:r>
        <w:rPr>
          <w:outline w:val="0"/>
          <w:color w:val="000000"/>
          <w:u w:color="000000"/>
          <w:rtl w:val="0"/>
          <w:lang w:val="en-US"/>
          <w14:textFill>
            <w14:solidFill>
              <w14:srgbClr w14:val="000000"/>
            </w14:solidFill>
          </w14:textFill>
        </w:rPr>
        <w:t xml:space="preserve">, from 44 stations contributing at the end of 2021 to 68 in December 2022. Graph 2 shows all the status categories used for each </w:t>
      </w:r>
      <w:r>
        <w:rPr>
          <w:rtl w:val="0"/>
          <w:lang w:val="en-US"/>
        </w:rPr>
        <w:t>six-month term</w:t>
      </w:r>
      <w:r>
        <w:rPr>
          <w:outline w:val="0"/>
          <w:color w:val="000000"/>
          <w:u w:color="000000"/>
          <w:rtl w:val="0"/>
          <w:lang w:val="en-US"/>
          <w14:textFill>
            <w14:solidFill>
              <w14:srgbClr w14:val="000000"/>
            </w14:solidFill>
          </w14:textFill>
        </w:rPr>
        <w:t xml:space="preserve">. The </w:t>
      </w:r>
      <w:r>
        <w:rPr>
          <w:rtl w:val="0"/>
          <w:lang w:val="it-IT"/>
        </w:rPr>
        <w:t>biannual</w:t>
      </w:r>
      <w:r>
        <w:rPr>
          <w:outline w:val="0"/>
          <w:color w:val="000000"/>
          <w:u w:color="000000"/>
          <w:rtl w:val="0"/>
          <w:lang w:val="en-US"/>
          <w14:textFill>
            <w14:solidFill>
              <w14:srgbClr w14:val="000000"/>
            </w14:solidFill>
          </w14:textFill>
        </w:rPr>
        <w:t xml:space="preserve"> reports/maps were also posted to </w:t>
      </w:r>
      <w:r>
        <w:rPr>
          <w:rtl w:val="0"/>
          <w:lang w:val="en-US"/>
        </w:rPr>
        <w:t xml:space="preserve">the ITIC-CAR website (caribewave.org).  Appendix 1 has a table with the status of all the stations as of December 2022. </w:t>
      </w:r>
    </w:p>
    <w:p>
      <w:pPr>
        <w:pStyle w:val="Body"/>
        <w:spacing w:line="360" w:lineRule="auto"/>
        <w:jc w:val="both"/>
      </w:pPr>
      <w:r>
        <w:rPr>
          <w:rtl w:val="0"/>
          <w:lang w:val="en-US"/>
        </w:rPr>
        <w:t>For the Contributing Real Time stations, the performance ratio statistics per station are based on the data in the UNESCO IOC Sea Level Monitoring Facility (SLMF) and the data from the Pacific Tsunami Warning Center (PTWC) was also used.</w:t>
      </w:r>
    </w:p>
    <w:p>
      <w:pPr>
        <w:pStyle w:val="Body"/>
        <w:keepNext w:val="1"/>
        <w:spacing w:line="360" w:lineRule="auto"/>
        <w:jc w:val="center"/>
      </w:pPr>
      <w:r>
        <w:drawing xmlns:a="http://schemas.openxmlformats.org/drawingml/2006/main">
          <wp:inline distT="0" distB="0" distL="0" distR="0">
            <wp:extent cx="5943600" cy="3573780"/>
            <wp:effectExtent l="0" t="0" r="0" b="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5">
                      <a:extLst/>
                    </a:blip>
                    <a:stretch>
                      <a:fillRect/>
                    </a:stretch>
                  </pic:blipFill>
                  <pic:spPr>
                    <a:xfrm>
                      <a:off x="0" y="0"/>
                      <a:ext cx="5943600" cy="3573780"/>
                    </a:xfrm>
                    <a:prstGeom prst="rect">
                      <a:avLst/>
                    </a:prstGeom>
                    <a:ln w="12700" cap="flat">
                      <a:noFill/>
                      <a:miter lim="400000"/>
                    </a:ln>
                    <a:effectLst/>
                  </pic:spPr>
                </pic:pic>
              </a:graphicData>
            </a:graphic>
          </wp:inline>
        </w:drawing>
      </w:r>
    </w:p>
    <w:p>
      <w:pPr>
        <w:pStyle w:val="Body"/>
        <w:spacing w:after="200" w:line="240" w:lineRule="auto"/>
        <w:jc w:val="center"/>
        <w:rPr>
          <w:i w:val="1"/>
          <w:iCs w:val="1"/>
          <w:outline w:val="0"/>
          <w:color w:val="44546a"/>
          <w:sz w:val="18"/>
          <w:szCs w:val="18"/>
          <w:u w:color="44546a"/>
          <w:vertAlign w:val="superscript"/>
          <w14:textFill>
            <w14:solidFill>
              <w14:srgbClr w14:val="44546A"/>
            </w14:solidFill>
          </w14:textFill>
        </w:rPr>
      </w:pPr>
      <w:r>
        <w:rPr>
          <w:i w:val="1"/>
          <w:iCs w:val="1"/>
          <w:outline w:val="0"/>
          <w:color w:val="44546a"/>
          <w:sz w:val="18"/>
          <w:szCs w:val="18"/>
          <w:u w:color="44546a"/>
          <w:rtl w:val="0"/>
          <w:lang w:val="en-US"/>
          <w14:textFill>
            <w14:solidFill>
              <w14:srgbClr w14:val="44546A"/>
            </w14:solidFill>
          </w14:textFill>
        </w:rPr>
        <w:t>Figure 1. December 2022 Sea Level Stations Status.</w:t>
      </w:r>
    </w:p>
    <w:p>
      <w:pPr>
        <w:pStyle w:val="Body"/>
        <w:spacing w:after="200" w:line="240" w:lineRule="auto"/>
        <w:jc w:val="center"/>
        <w:rPr>
          <w:i w:val="1"/>
          <w:iCs w:val="1"/>
          <w:outline w:val="0"/>
          <w:color w:val="44546a"/>
          <w:sz w:val="18"/>
          <w:szCs w:val="18"/>
          <w:u w:color="44546a"/>
          <w14:textFill>
            <w14:solidFill>
              <w14:srgbClr w14:val="44546A"/>
            </w14:solidFill>
          </w14:textFill>
        </w:rPr>
      </w:pPr>
    </w:p>
    <w:p>
      <w:pPr>
        <w:pStyle w:val="Body"/>
        <w:spacing w:after="200" w:line="240" w:lineRule="auto"/>
        <w:jc w:val="center"/>
        <w:rPr>
          <w:i w:val="1"/>
          <w:iCs w:val="1"/>
          <w:outline w:val="0"/>
          <w:color w:val="44546a"/>
          <w:sz w:val="18"/>
          <w:szCs w:val="18"/>
          <w:u w:color="44546a"/>
          <w14:textFill>
            <w14:solidFill>
              <w14:srgbClr w14:val="44546A"/>
            </w14:solidFill>
          </w14:textFill>
        </w:rPr>
      </w:pPr>
    </w:p>
    <w:p>
      <w:pPr>
        <w:pStyle w:val="Body"/>
        <w:spacing w:after="200" w:line="240" w:lineRule="auto"/>
        <w:jc w:val="center"/>
        <w:rPr>
          <w:i w:val="1"/>
          <w:iCs w:val="1"/>
          <w:outline w:val="0"/>
          <w:color w:val="44546a"/>
          <w:sz w:val="18"/>
          <w:szCs w:val="18"/>
          <w:u w:color="44546a"/>
          <w14:textFill>
            <w14:solidFill>
              <w14:srgbClr w14:val="44546A"/>
            </w14:solidFill>
          </w14:textFill>
        </w:rPr>
      </w:pPr>
    </w:p>
    <w:p>
      <w:pPr>
        <w:pStyle w:val="Body"/>
        <w:spacing w:after="200" w:line="240" w:lineRule="auto"/>
        <w:jc w:val="center"/>
        <w:rPr>
          <w:i w:val="1"/>
          <w:iCs w:val="1"/>
          <w:outline w:val="0"/>
          <w:color w:val="44546a"/>
          <w:sz w:val="18"/>
          <w:szCs w:val="18"/>
          <w:u w:color="44546a"/>
          <w14:textFill>
            <w14:solidFill>
              <w14:srgbClr w14:val="44546A"/>
            </w14:solidFill>
          </w14:textFill>
        </w:rPr>
      </w:pPr>
    </w:p>
    <w:p>
      <w:pPr>
        <w:pStyle w:val="Body"/>
        <w:spacing w:after="200" w:line="240" w:lineRule="auto"/>
        <w:jc w:val="center"/>
        <w:rPr>
          <w:i w:val="1"/>
          <w:iCs w:val="1"/>
          <w:outline w:val="0"/>
          <w:color w:val="44546a"/>
          <w:sz w:val="18"/>
          <w:szCs w:val="18"/>
          <w:u w:color="44546a"/>
          <w14:textFill>
            <w14:solidFill>
              <w14:srgbClr w14:val="44546A"/>
            </w14:solidFill>
          </w14:textFill>
        </w:rPr>
      </w:pPr>
    </w:p>
    <w:p>
      <w:pPr>
        <w:pStyle w:val="Body"/>
        <w:spacing w:after="200" w:line="240" w:lineRule="auto"/>
        <w:jc w:val="center"/>
        <w:rPr>
          <w:i w:val="1"/>
          <w:iCs w:val="1"/>
          <w:outline w:val="0"/>
          <w:color w:val="44546a"/>
          <w:sz w:val="18"/>
          <w:szCs w:val="18"/>
          <w:u w:color="44546a"/>
          <w14:textFill>
            <w14:solidFill>
              <w14:srgbClr w14:val="44546A"/>
            </w14:solidFill>
          </w14:textFill>
        </w:rPr>
      </w:pPr>
    </w:p>
    <w:p>
      <w:pPr>
        <w:pStyle w:val="Body"/>
        <w:keepNext w:val="1"/>
        <w:spacing w:after="200" w:line="240" w:lineRule="auto"/>
        <w:jc w:val="center"/>
        <w:rPr>
          <w:i w:val="1"/>
          <w:iCs w:val="1"/>
          <w:outline w:val="0"/>
          <w:color w:val="44546a"/>
          <w:sz w:val="18"/>
          <w:szCs w:val="18"/>
          <w:u w:color="44546a"/>
          <w14:textFill>
            <w14:solidFill>
              <w14:srgbClr w14:val="44546A"/>
            </w14:solidFill>
          </w14:textFill>
        </w:rPr>
      </w:pPr>
      <w:r>
        <w:drawing xmlns:a="http://schemas.openxmlformats.org/drawingml/2006/main">
          <wp:inline distT="0" distB="0" distL="0" distR="0">
            <wp:extent cx="4266998" cy="2441246"/>
            <wp:effectExtent l="0" t="0" r="0" b="0"/>
            <wp:docPr id="1073741830" name="officeArt object"/>
            <wp:cNvGraphicFramePr/>
            <a:graphic xmlns:a="http://schemas.openxmlformats.org/drawingml/2006/main">
              <a:graphicData uri="http://schemas.openxmlformats.org/drawingml/2006/chart">
                <c:chart xmlns:c="http://schemas.openxmlformats.org/drawingml/2006/chart" r:id="rId6"/>
              </a:graphicData>
            </a:graphic>
          </wp:inline>
        </w:drawing>
      </w:r>
    </w:p>
    <w:p>
      <w:pPr>
        <w:pStyle w:val="Body"/>
        <w:spacing w:after="200" w:line="240" w:lineRule="auto"/>
        <w:jc w:val="center"/>
        <w:rPr>
          <w:i w:val="1"/>
          <w:iCs w:val="1"/>
          <w:outline w:val="0"/>
          <w:color w:val="44546a"/>
          <w:sz w:val="18"/>
          <w:szCs w:val="18"/>
          <w:u w:color="44546a"/>
          <w14:textFill>
            <w14:solidFill>
              <w14:srgbClr w14:val="44546A"/>
            </w14:solidFill>
          </w14:textFill>
        </w:rPr>
      </w:pPr>
      <w:r>
        <w:rPr>
          <w:i w:val="1"/>
          <w:iCs w:val="1"/>
          <w:outline w:val="0"/>
          <w:color w:val="44546a"/>
          <w:sz w:val="18"/>
          <w:szCs w:val="18"/>
          <w:u w:color="44546a"/>
          <w:rtl w:val="0"/>
          <w:lang w:val="en-US"/>
          <w14:textFill>
            <w14:solidFill>
              <w14:srgbClr w14:val="44546A"/>
            </w14:solidFill>
          </w14:textFill>
        </w:rPr>
        <w:t>Graph 1. Biannual variability of number of Contributing RTX coastal sea level stations and DARTs from December 2020 through December 2022.</w:t>
      </w:r>
    </w:p>
    <w:p>
      <w:pPr>
        <w:pStyle w:val="Body"/>
        <w:spacing w:after="200" w:line="240" w:lineRule="auto"/>
        <w:jc w:val="center"/>
        <w:rPr>
          <w:i w:val="1"/>
          <w:iCs w:val="1"/>
          <w:outline w:val="0"/>
          <w:color w:val="44546a"/>
          <w:sz w:val="18"/>
          <w:szCs w:val="18"/>
          <w:u w:color="44546a"/>
          <w14:textFill>
            <w14:solidFill>
              <w14:srgbClr w14:val="44546A"/>
            </w14:solidFill>
          </w14:textFill>
        </w:rPr>
      </w:pPr>
    </w:p>
    <w:p>
      <w:pPr>
        <w:pStyle w:val="Body"/>
        <w:spacing w:after="200" w:line="240" w:lineRule="auto"/>
        <w:jc w:val="center"/>
        <w:rPr>
          <w:i w:val="1"/>
          <w:iCs w:val="1"/>
          <w:outline w:val="0"/>
          <w:color w:val="44546a"/>
          <w:sz w:val="18"/>
          <w:szCs w:val="18"/>
          <w:u w:color="44546a"/>
          <w14:textFill>
            <w14:solidFill>
              <w14:srgbClr w14:val="44546A"/>
            </w14:solidFill>
          </w14:textFill>
        </w:rPr>
      </w:pPr>
    </w:p>
    <w:p>
      <w:pPr>
        <w:pStyle w:val="Body"/>
      </w:pPr>
      <w:r>
        <w:drawing xmlns:a="http://schemas.openxmlformats.org/drawingml/2006/main">
          <wp:inline distT="0" distB="0" distL="0" distR="0">
            <wp:extent cx="5621453" cy="2610155"/>
            <wp:effectExtent l="0" t="0" r="0" b="0"/>
            <wp:docPr id="1073741831" name="officeArt object"/>
            <wp:cNvGraphicFramePr/>
            <a:graphic xmlns:a="http://schemas.openxmlformats.org/drawingml/2006/main">
              <a:graphicData uri="http://schemas.openxmlformats.org/drawingml/2006/chart">
                <c:chart xmlns:c="http://schemas.openxmlformats.org/drawingml/2006/chart" r:id="rId7"/>
              </a:graphicData>
            </a:graphic>
          </wp:inline>
        </w:drawing>
      </w:r>
    </w:p>
    <w:p>
      <w:pPr>
        <w:pStyle w:val="Body"/>
        <w:spacing w:after="200" w:line="240" w:lineRule="auto"/>
        <w:jc w:val="center"/>
        <w:rPr>
          <w:i w:val="1"/>
          <w:iCs w:val="1"/>
          <w:outline w:val="0"/>
          <w:color w:val="44546a"/>
          <w:sz w:val="18"/>
          <w:szCs w:val="18"/>
          <w:u w:color="44546a"/>
          <w14:textFill>
            <w14:solidFill>
              <w14:srgbClr w14:val="44546A"/>
            </w14:solidFill>
          </w14:textFill>
        </w:rPr>
      </w:pPr>
      <w:r>
        <w:rPr>
          <w:i w:val="1"/>
          <w:iCs w:val="1"/>
          <w:outline w:val="0"/>
          <w:color w:val="44546a"/>
          <w:sz w:val="18"/>
          <w:szCs w:val="18"/>
          <w:u w:color="44546a"/>
          <w:rtl w:val="0"/>
          <w:lang w:val="en-US"/>
          <w14:textFill>
            <w14:solidFill>
              <w14:srgbClr w14:val="44546A"/>
            </w14:solidFill>
          </w14:textFill>
        </w:rPr>
        <w:t>Graph 2. Station Status 2020-2022</w:t>
      </w:r>
    </w:p>
    <w:p>
      <w:pPr>
        <w:pStyle w:val="Body"/>
        <w:spacing w:after="200" w:line="240" w:lineRule="auto"/>
        <w:jc w:val="center"/>
        <w:rPr>
          <w:i w:val="1"/>
          <w:iCs w:val="1"/>
          <w:outline w:val="0"/>
          <w:color w:val="44546a"/>
          <w:sz w:val="18"/>
          <w:szCs w:val="18"/>
          <w:u w:color="44546a"/>
          <w14:textFill>
            <w14:solidFill>
              <w14:srgbClr w14:val="44546A"/>
            </w14:solidFill>
          </w14:textFill>
        </w:rPr>
      </w:pPr>
    </w:p>
    <w:p>
      <w:pPr>
        <w:pStyle w:val="Body"/>
        <w:spacing w:after="200" w:line="240" w:lineRule="auto"/>
        <w:jc w:val="center"/>
      </w:pPr>
    </w:p>
    <w:p>
      <w:pPr>
        <w:pStyle w:val="Body"/>
        <w:spacing w:after="200" w:line="240" w:lineRule="auto"/>
        <w:jc w:val="center"/>
      </w:pPr>
    </w:p>
    <w:p>
      <w:pPr>
        <w:pStyle w:val="Heading"/>
        <w:rPr>
          <w:b w:val="1"/>
          <w:bCs w:val="1"/>
          <w:outline w:val="0"/>
          <w:color w:val="000000"/>
          <w:sz w:val="28"/>
          <w:szCs w:val="28"/>
          <w:u w:color="000000"/>
          <w:shd w:val="clear" w:color="auto" w:fill="ffff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UNESCO - Intergovernmental Oceanographic Commission (IOC) Sea Level Monitoring Facility (SLMF)</w:t>
      </w:r>
    </w:p>
    <w:p>
      <w:pPr>
        <w:pStyle w:val="Body"/>
        <w:spacing w:line="360" w:lineRule="auto"/>
        <w:jc w:val="both"/>
      </w:pPr>
    </w:p>
    <w:p>
      <w:pPr>
        <w:pStyle w:val="Body"/>
        <w:spacing w:line="360" w:lineRule="auto"/>
        <w:jc w:val="both"/>
      </w:pPr>
      <w:r>
        <w:rPr>
          <w:rtl w:val="0"/>
          <w:lang w:val="en-US"/>
        </w:rPr>
        <w:t>The objectives of this service are:</w:t>
      </w:r>
    </w:p>
    <w:p>
      <w:pPr>
        <w:pStyle w:val="Body"/>
        <w:numPr>
          <w:ilvl w:val="0"/>
          <w:numId w:val="6"/>
        </w:numPr>
        <w:bidi w:val="0"/>
        <w:spacing w:after="0" w:line="360" w:lineRule="auto"/>
        <w:ind w:right="0"/>
        <w:jc w:val="both"/>
        <w:rPr>
          <w:rtl w:val="0"/>
          <w:lang w:val="en-US"/>
        </w:rPr>
      </w:pPr>
      <w:r>
        <w:rPr>
          <w:outline w:val="0"/>
          <w:color w:val="000000"/>
          <w:u w:color="000000"/>
          <w:rtl w:val="0"/>
          <w:lang w:val="en-US"/>
          <w14:textFill>
            <w14:solidFill>
              <w14:srgbClr w14:val="000000"/>
            </w14:solidFill>
          </w14:textFill>
        </w:rPr>
        <w:t>to provide information about the operational status of global and regional networks of real time sea level stations;</w:t>
      </w:r>
    </w:p>
    <w:p>
      <w:pPr>
        <w:pStyle w:val="Body"/>
        <w:numPr>
          <w:ilvl w:val="0"/>
          <w:numId w:val="6"/>
        </w:numPr>
        <w:bidi w:val="0"/>
        <w:spacing w:line="360" w:lineRule="auto"/>
        <w:ind w:right="0"/>
        <w:jc w:val="both"/>
        <w:rPr>
          <w:rtl w:val="0"/>
          <w:lang w:val="en-US"/>
        </w:rPr>
      </w:pPr>
      <w:r>
        <w:rPr>
          <w:outline w:val="0"/>
          <w:color w:val="000000"/>
          <w:u w:color="000000"/>
          <w:rtl w:val="0"/>
          <w:lang w:val="en-US"/>
          <w14:textFill>
            <w14:solidFill>
              <w14:srgbClr w14:val="000000"/>
            </w14:solidFill>
          </w14:textFill>
        </w:rPr>
        <w:t>to provide a display service for quick inspection of the raw data stream from individual stations.</w:t>
      </w:r>
    </w:p>
    <w:p>
      <w:pPr>
        <w:pStyle w:val="Body"/>
        <w:spacing w:line="360" w:lineRule="auto"/>
        <w:jc w:val="both"/>
      </w:pPr>
      <w:r>
        <w:rPr>
          <w:rtl w:val="0"/>
          <w:lang w:val="en-US"/>
        </w:rPr>
        <w:t>This service and website (Figure 2) initially focused on operational monitoring of sea level measuring stations in Africa and was developed from collaboration between Flanders Marine Institute (VLIZ) and the ODINAFRICA project of IODE. The site has since been expanded to a global station monitoring service for real-time sea-level measuring stations that are part of IOC programs, i.e. (i) the Global Sea Level Observing System Core Network and (ii) the networks under the regional tsunami warning systems in the Indian Ocean (IOTWMS), Northeast Atlantic &amp; Mediterranean (NEAMTWS), Pacific (PTWS) and the Caribbean (CARIBE-EWS).</w:t>
      </w:r>
    </w:p>
    <w:p>
      <w:pPr>
        <w:pStyle w:val="Body"/>
        <w:spacing w:line="360" w:lineRule="auto"/>
        <w:jc w:val="both"/>
      </w:pPr>
      <w:r>
        <w:rPr>
          <w:rtl w:val="0"/>
          <w:lang w:val="en-US"/>
        </w:rPr>
        <w:t>In the case of the IOC SLMF, the performance ratios of the desired stations for specific time periods are accessed. A manual check is done to verify operational status and check inconsistent data. For example, if there is no sea level data, a station might appear as Contributing RTX on IOC SLMF if data on battery voltage is available. ITIC-CAR and the managers of the IOC SLMF are regularly comparing data.</w:t>
      </w:r>
    </w:p>
    <w:p>
      <w:pPr>
        <w:pStyle w:val="Body"/>
        <w:spacing w:line="360" w:lineRule="auto"/>
        <w:jc w:val="both"/>
      </w:pPr>
      <w:r>
        <w:rPr>
          <w:rtl w:val="0"/>
          <w:lang w:val="en-US"/>
        </w:rPr>
        <w:t xml:space="preserve">A document with figures highlighting the variability of data availability per station and sensor in SLMF can also be accessed through the ITIC-CAR website. Figure 2 shows a screenshot of the map of coastal sea level stations in the IOC SLMF data base taken on January 20, 2023.  As of February 2023, SLMF has been including DART stations availability in their website. More information on DARTs will be discussed in another section of this report. </w:t>
      </w:r>
    </w:p>
    <w:p>
      <w:pPr>
        <w:pStyle w:val="Body"/>
        <w:spacing w:line="360" w:lineRule="auto"/>
        <w:jc w:val="center"/>
      </w:pPr>
    </w:p>
    <w:p>
      <w:pPr>
        <w:pStyle w:val="Body"/>
      </w:pPr>
      <w:r>
        <w:drawing xmlns:a="http://schemas.openxmlformats.org/drawingml/2006/main">
          <wp:inline distT="0" distB="0" distL="0" distR="0">
            <wp:extent cx="5943600" cy="3602990"/>
            <wp:effectExtent l="0" t="0" r="0" b="0"/>
            <wp:docPr id="1073741832" name="officeArt object" descr="Picture 8"/>
            <wp:cNvGraphicFramePr/>
            <a:graphic xmlns:a="http://schemas.openxmlformats.org/drawingml/2006/main">
              <a:graphicData uri="http://schemas.openxmlformats.org/drawingml/2006/picture">
                <pic:pic xmlns:pic="http://schemas.openxmlformats.org/drawingml/2006/picture">
                  <pic:nvPicPr>
                    <pic:cNvPr id="1073741832" name="Picture 8" descr="Picture 8"/>
                    <pic:cNvPicPr>
                      <a:picLocks noChangeAspect="1"/>
                    </pic:cNvPicPr>
                  </pic:nvPicPr>
                  <pic:blipFill>
                    <a:blip r:embed="rId8">
                      <a:extLst/>
                    </a:blip>
                    <a:stretch>
                      <a:fillRect/>
                    </a:stretch>
                  </pic:blipFill>
                  <pic:spPr>
                    <a:xfrm>
                      <a:off x="0" y="0"/>
                      <a:ext cx="5943600" cy="3602990"/>
                    </a:xfrm>
                    <a:prstGeom prst="rect">
                      <a:avLst/>
                    </a:prstGeom>
                    <a:ln w="12700" cap="flat">
                      <a:noFill/>
                      <a:miter lim="400000"/>
                    </a:ln>
                    <a:effectLst/>
                  </pic:spPr>
                </pic:pic>
              </a:graphicData>
            </a:graphic>
          </wp:inline>
        </w:drawing>
      </w:r>
    </w:p>
    <w:p>
      <w:pPr>
        <w:pStyle w:val="Body"/>
        <w:spacing w:after="200" w:line="240" w:lineRule="auto"/>
        <w:jc w:val="center"/>
        <w:rPr>
          <w:i w:val="1"/>
          <w:iCs w:val="1"/>
          <w:outline w:val="0"/>
          <w:color w:val="44546a"/>
          <w:sz w:val="18"/>
          <w:szCs w:val="18"/>
          <w:u w:color="44546a"/>
          <w14:textFill>
            <w14:solidFill>
              <w14:srgbClr w14:val="44546A"/>
            </w14:solidFill>
          </w14:textFill>
        </w:rPr>
      </w:pPr>
      <w:r>
        <w:rPr>
          <w:i w:val="1"/>
          <w:iCs w:val="1"/>
          <w:outline w:val="0"/>
          <w:color w:val="44546a"/>
          <w:sz w:val="18"/>
          <w:szCs w:val="18"/>
          <w:u w:color="44546a"/>
          <w:rtl w:val="0"/>
          <w:lang w:val="en-US"/>
          <w14:textFill>
            <w14:solidFill>
              <w14:srgbClr w14:val="44546A"/>
            </w14:solidFill>
          </w14:textFill>
        </w:rPr>
        <w:t>Figure 2. Screenshot of IOC Sea Level Monitoring Station Website on Map on January 20, 2023</w:t>
      </w:r>
    </w:p>
    <w:p>
      <w:pPr>
        <w:pStyle w:val="Body"/>
      </w:pPr>
      <w:r>
        <w:rPr>
          <w:rFonts w:ascii="Arial Unicode MS" w:cs="Arial Unicode MS" w:hAnsi="Arial Unicode MS" w:eastAsia="Arial Unicode MS"/>
          <w:b w:val="0"/>
          <w:bCs w:val="0"/>
          <w:i w:val="0"/>
          <w:iCs w:val="0"/>
        </w:rPr>
        <w:br w:type="page"/>
      </w:r>
    </w:p>
    <w:p>
      <w:pPr>
        <w:pStyle w:val="Heading"/>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Pacific Tsunami Warning Center (PTWC)</w:t>
      </w:r>
    </w:p>
    <w:p>
      <w:pPr>
        <w:pStyle w:val="Body"/>
        <w:jc w:val="both"/>
      </w:pPr>
    </w:p>
    <w:p>
      <w:pPr>
        <w:pStyle w:val="Body"/>
        <w:jc w:val="both"/>
      </w:pPr>
      <w:r>
        <w:rPr>
          <w:rtl w:val="0"/>
          <w:lang w:val="en-US"/>
        </w:rPr>
        <w:t>The Pacific Tsunami Warning Center (PTWC) operated by the United States National Weather Service of NOAA served from 2005-2015 as the interim Tsunami Warning Center.  Since 2016 the PTWC is designated as a Tsunami Service Provider (TSP) for the Tsunami and Other Hazards Warning and Mitigation System for the Caribbean and Adjacent Seas (CARIBE-EWS), a subsidiary body of UNESCO</w:t>
      </w:r>
      <w:r>
        <w:rPr>
          <w:rtl w:val="1"/>
        </w:rPr>
        <w:t>’</w:t>
      </w:r>
      <w:r>
        <w:rPr>
          <w:rtl w:val="0"/>
          <w:lang w:val="en-US"/>
        </w:rPr>
        <w:t xml:space="preserve">s Intergovernmental Oceanographic Commission (IOC).   </w:t>
      </w:r>
    </w:p>
    <w:p>
      <w:pPr>
        <w:pStyle w:val="Body"/>
        <w:jc w:val="both"/>
        <w:rPr>
          <w:sz w:val="26"/>
          <w:szCs w:val="26"/>
        </w:rPr>
      </w:pPr>
      <w:r>
        <w:rPr>
          <w:rtl w:val="0"/>
          <w:lang w:val="en-US"/>
        </w:rPr>
        <w:t>Products issued by PTWC to countries around the Caribbean in support of this mission have evolved over time as supporting data, analysis methods, computational capabilities, and communications have all improved. The products developed by the PTWC are for only advisory for the CARIBE EWS Member State. National authorities are responsible for determining the level of tsunami alert within each Member State.</w:t>
      </w:r>
    </w:p>
    <w:p>
      <w:pPr>
        <w:pStyle w:val="Body"/>
        <w:jc w:val="both"/>
      </w:pPr>
      <w:r>
        <w:rPr>
          <w:rtl w:val="0"/>
          <w:lang w:val="en-US"/>
        </w:rPr>
        <w:t xml:space="preserve">On 1 March 2016, the US NOAA Pacific Tsunami Warning Center (PTWC) commenced issuance of new forecast-based Enhanced Tsunami Products for all Caribbean countries.  The PTWC PTWS and CARIBE-EWS products use the same forecast methodologies and the same graphical formats to depict the tsunami threat for the basin and coastal polygons. </w:t>
      </w:r>
    </w:p>
    <w:p>
      <w:pPr>
        <w:pStyle w:val="Body"/>
        <w:jc w:val="both"/>
      </w:pPr>
      <w:r>
        <w:rPr>
          <w:rtl w:val="0"/>
          <w:lang w:val="en-US"/>
        </w:rPr>
        <w:t>The PTWC depends on sea level data to confirm, forecast and determine end of threat from tsunamis in the region.  In the case of non-seismic generated tsunamis, sea level data are the main mechanism used to detect and inform on tsunami threat.  Over the past years the PTWC has been developing an alarm event detection system based on sea level data.</w:t>
      </w:r>
    </w:p>
    <w:p>
      <w:pPr>
        <w:pStyle w:val="Body"/>
        <w:jc w:val="both"/>
      </w:pPr>
      <w:r>
        <w:rPr>
          <w:rtl w:val="0"/>
          <w:lang w:val="en-US"/>
        </w:rPr>
        <w:t xml:space="preserve">Since November 2019, the PTWC data have been incorporated into the ITIC-CAR Sea Level biannual reports to compare the data reported by the IOC SLMF with the data from PTWC. Stations reported in the PTWC are also included in the Tide Tool Sea Level Data Analysis Program. The PTWC generated map for December 2022 is shown in Figure 3. The color legend is included in the map; sea level stations are represented as circles while the DART stations are represented by triangles. These maps show the ranges of percentage availability of the </w:t>
      </w:r>
      <w:r>
        <w:rPr>
          <w:i w:val="1"/>
          <w:iCs w:val="1"/>
          <w:rtl w:val="0"/>
          <w:lang w:val="en-US"/>
        </w:rPr>
        <w:t>Contributing RTX</w:t>
      </w:r>
      <w:r>
        <w:rPr>
          <w:rtl w:val="0"/>
          <w:lang w:val="en-US"/>
        </w:rPr>
        <w:t xml:space="preserve"> stations.  </w:t>
      </w:r>
      <w:r>
        <w:rPr>
          <w:i w:val="1"/>
          <w:iCs w:val="1"/>
          <w:rtl w:val="0"/>
          <w:lang w:val="en-US"/>
        </w:rPr>
        <w:t>Down</w:t>
      </w:r>
      <w:r>
        <w:rPr>
          <w:rtl w:val="0"/>
          <w:lang w:val="en-US"/>
        </w:rPr>
        <w:t xml:space="preserve"> stations are reported in black.  </w:t>
      </w:r>
      <w:r>
        <w:rPr>
          <w:i w:val="1"/>
          <w:iCs w:val="1"/>
          <w:rtl w:val="0"/>
          <w:lang w:val="en-US"/>
        </w:rPr>
        <w:t>Removed</w:t>
      </w:r>
      <w:r>
        <w:rPr>
          <w:rtl w:val="0"/>
        </w:rPr>
        <w:t xml:space="preserve">, </w:t>
      </w:r>
      <w:r>
        <w:rPr>
          <w:i w:val="1"/>
          <w:iCs w:val="1"/>
          <w:rtl w:val="0"/>
          <w:lang w:val="en-US"/>
        </w:rPr>
        <w:t>Planned, Gap</w:t>
      </w:r>
      <w:r>
        <w:rPr>
          <w:rtl w:val="0"/>
          <w:lang w:val="en-US"/>
        </w:rPr>
        <w:t xml:space="preserve"> and </w:t>
      </w:r>
      <w:r>
        <w:rPr>
          <w:i w:val="1"/>
          <w:iCs w:val="1"/>
          <w:rtl w:val="0"/>
          <w:lang w:val="en-US"/>
        </w:rPr>
        <w:t>Unknown</w:t>
      </w:r>
      <w:r>
        <w:rPr>
          <w:rtl w:val="0"/>
          <w:lang w:val="en-US"/>
        </w:rPr>
        <w:t xml:space="preserve"> stations are not included in the PTWC reports, nor do they appear on this map.</w:t>
      </w:r>
    </w:p>
    <w:p>
      <w:pPr>
        <w:pStyle w:val="Body"/>
        <w:jc w:val="both"/>
      </w:pPr>
    </w:p>
    <w:p>
      <w:pPr>
        <w:pStyle w:val="Body"/>
        <w:keepNext w:val="1"/>
        <w:jc w:val="center"/>
      </w:pPr>
      <w:r>
        <w:drawing xmlns:a="http://schemas.openxmlformats.org/drawingml/2006/main">
          <wp:inline distT="0" distB="0" distL="0" distR="0">
            <wp:extent cx="4181475" cy="4181475"/>
            <wp:effectExtent l="0" t="0" r="0" b="0"/>
            <wp:docPr id="1073741833" name="officeArt object" descr="Picture 9"/>
            <wp:cNvGraphicFramePr/>
            <a:graphic xmlns:a="http://schemas.openxmlformats.org/drawingml/2006/main">
              <a:graphicData uri="http://schemas.openxmlformats.org/drawingml/2006/picture">
                <pic:pic xmlns:pic="http://schemas.openxmlformats.org/drawingml/2006/picture">
                  <pic:nvPicPr>
                    <pic:cNvPr id="1073741833" name="Picture 9" descr="Picture 9"/>
                    <pic:cNvPicPr>
                      <a:picLocks noChangeAspect="1"/>
                    </pic:cNvPicPr>
                  </pic:nvPicPr>
                  <pic:blipFill>
                    <a:blip r:embed="rId9">
                      <a:extLst/>
                    </a:blip>
                    <a:stretch>
                      <a:fillRect/>
                    </a:stretch>
                  </pic:blipFill>
                  <pic:spPr>
                    <a:xfrm>
                      <a:off x="0" y="0"/>
                      <a:ext cx="4181475" cy="4181475"/>
                    </a:xfrm>
                    <a:prstGeom prst="rect">
                      <a:avLst/>
                    </a:prstGeom>
                    <a:ln w="12700" cap="flat">
                      <a:noFill/>
                      <a:miter lim="400000"/>
                    </a:ln>
                    <a:effectLst/>
                  </pic:spPr>
                </pic:pic>
              </a:graphicData>
            </a:graphic>
          </wp:inline>
        </w:drawing>
      </w:r>
    </w:p>
    <w:p>
      <w:pPr>
        <w:pStyle w:val="Body"/>
        <w:keepNext w:val="1"/>
        <w:jc w:val="center"/>
      </w:pPr>
      <w:r>
        <w:drawing xmlns:a="http://schemas.openxmlformats.org/drawingml/2006/main">
          <wp:inline distT="0" distB="0" distL="0" distR="0">
            <wp:extent cx="4210050" cy="3387830"/>
            <wp:effectExtent l="0" t="0" r="0" b="0"/>
            <wp:docPr id="1073741834" name="officeArt object" descr="Picture 10"/>
            <wp:cNvGraphicFramePr/>
            <a:graphic xmlns:a="http://schemas.openxmlformats.org/drawingml/2006/main">
              <a:graphicData uri="http://schemas.openxmlformats.org/drawingml/2006/picture">
                <pic:pic xmlns:pic="http://schemas.openxmlformats.org/drawingml/2006/picture">
                  <pic:nvPicPr>
                    <pic:cNvPr id="1073741834" name="Picture 10" descr="Picture 10"/>
                    <pic:cNvPicPr>
                      <a:picLocks noChangeAspect="1"/>
                    </pic:cNvPicPr>
                  </pic:nvPicPr>
                  <pic:blipFill>
                    <a:blip r:embed="rId10">
                      <a:extLst/>
                    </a:blip>
                    <a:stretch>
                      <a:fillRect/>
                    </a:stretch>
                  </pic:blipFill>
                  <pic:spPr>
                    <a:xfrm>
                      <a:off x="0" y="0"/>
                      <a:ext cx="4210050" cy="3387830"/>
                    </a:xfrm>
                    <a:prstGeom prst="rect">
                      <a:avLst/>
                    </a:prstGeom>
                    <a:ln w="12700" cap="flat">
                      <a:noFill/>
                      <a:miter lim="400000"/>
                    </a:ln>
                    <a:effectLst/>
                  </pic:spPr>
                </pic:pic>
              </a:graphicData>
            </a:graphic>
          </wp:inline>
        </w:drawing>
      </w:r>
    </w:p>
    <w:p>
      <w:pPr>
        <w:pStyle w:val="Body"/>
        <w:spacing w:after="200" w:line="240" w:lineRule="auto"/>
        <w:jc w:val="center"/>
        <w:rPr>
          <w:i w:val="1"/>
          <w:iCs w:val="1"/>
          <w:outline w:val="0"/>
          <w:color w:val="44546a"/>
          <w:u w:color="44546a"/>
          <w:shd w:val="clear" w:color="auto" w:fill="ffff00"/>
          <w14:textFill>
            <w14:solidFill>
              <w14:srgbClr w14:val="44546A"/>
            </w14:solidFill>
          </w14:textFill>
        </w:rPr>
      </w:pPr>
      <w:r>
        <w:rPr>
          <w:i w:val="1"/>
          <w:iCs w:val="1"/>
          <w:outline w:val="0"/>
          <w:color w:val="44546a"/>
          <w:sz w:val="18"/>
          <w:szCs w:val="18"/>
          <w:u w:color="44546a"/>
          <w:rtl w:val="0"/>
          <w:lang w:val="en-US"/>
          <w14:textFill>
            <w14:solidFill>
              <w14:srgbClr w14:val="44546A"/>
            </w14:solidFill>
          </w14:textFill>
        </w:rPr>
        <w:t xml:space="preserve">Figure 3. Regional and Expanded maps of status data from Sea Level and DART Station at PTWCs for December 2022.  Circles represent coastal sea level stations and triangles DARTs.  The percentage refers to the percentage of data received at the PTWC within 15 minutes of recording. </w:t>
      </w:r>
    </w:p>
    <w:p>
      <w:pPr>
        <w:pStyle w:val="Heading"/>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Contributing RTX Sea Level Stations</w:t>
      </w:r>
    </w:p>
    <w:p>
      <w:pPr>
        <w:pStyle w:val="Body"/>
      </w:pPr>
    </w:p>
    <w:p>
      <w:pPr>
        <w:pStyle w:val="Body"/>
      </w:pPr>
      <w:r>
        <w:rPr>
          <w:rtl w:val="0"/>
          <w:lang w:val="en-US"/>
        </w:rPr>
        <w:t xml:space="preserve">The number of Contributing RTX stations increased during the 2021 to 2022 period from 44 stations in December 2021 to 59 stations in June 2022 and the 68 in December 2022 (Table 1). Note that the usual change goes from </w:t>
      </w:r>
      <w:r>
        <w:rPr>
          <w:i w:val="1"/>
          <w:iCs w:val="1"/>
          <w:rtl w:val="0"/>
          <w:lang w:val="en-US"/>
        </w:rPr>
        <w:t>Contributing RTX</w:t>
      </w:r>
      <w:r>
        <w:rPr>
          <w:rtl w:val="0"/>
          <w:lang w:val="en-US"/>
        </w:rPr>
        <w:t xml:space="preserve"> to </w:t>
      </w:r>
      <w:r>
        <w:rPr>
          <w:i w:val="1"/>
          <w:iCs w:val="1"/>
          <w:rtl w:val="0"/>
          <w:lang w:val="en-US"/>
        </w:rPr>
        <w:t>Down</w:t>
      </w:r>
      <w:r>
        <w:rPr>
          <w:rtl w:val="0"/>
          <w:lang w:val="en-US"/>
        </w:rPr>
        <w:t xml:space="preserve"> and vice versa. There were a few stations removed, and others reinstalled. Also, new stations were installed in the Cayman Islands, Saint Vincent and the Grenadines, Haiti, and Puerto Rico. Other stations like from the Dominican Republic were repaired.  The evolution of sea level observations since 1960 is highlighted in Graph 3.  In 2022, after several years of decreasing data availability due to the impacts of Hurricanes Irma, Maria, Eta and Iota and  COVID 19  the trend has reversed thanks to contributions of Member States and Donors.  </w:t>
      </w:r>
    </w:p>
    <w:p>
      <w:pPr>
        <w:pStyle w:val="Body"/>
        <w:rPr>
          <w:shd w:val="clear" w:color="auto" w:fill="ffff00"/>
        </w:rPr>
      </w:pPr>
    </w:p>
    <w:tbl>
      <w:tblPr>
        <w:tblW w:w="998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432"/>
        <w:gridCol w:w="1620"/>
        <w:gridCol w:w="1771"/>
        <w:gridCol w:w="1739"/>
        <w:gridCol w:w="1710"/>
        <w:gridCol w:w="1710"/>
      </w:tblGrid>
      <w:tr>
        <w:tblPrEx>
          <w:shd w:val="clear" w:color="auto" w:fill="cdd4e9"/>
        </w:tblPrEx>
        <w:trPr>
          <w:trHeight w:val="246" w:hRule="atLeast"/>
        </w:trPr>
        <w:tc>
          <w:tcPr>
            <w:tcW w:type="dxa" w:w="9982"/>
            <w:gridSpan w:val="6"/>
            <w:tcBorders>
              <w:top w:val="single" w:color="000000" w:sz="6" w:space="0" w:shadow="0" w:frame="0"/>
              <w:left w:val="single" w:color="000000" w:sz="6" w:space="0" w:shadow="0" w:frame="0"/>
              <w:bottom w:val="single" w:color="cccccc" w:sz="6" w:space="0" w:shadow="0" w:frame="0"/>
              <w:right w:val="single" w:color="000000" w:sz="6" w:space="0" w:shadow="0" w:frame="0"/>
            </w:tcBorders>
            <w:shd w:val="clear" w:color="auto" w:fill="a5a5a5"/>
            <w:tcMar>
              <w:top w:type="dxa" w:w="80"/>
              <w:left w:type="dxa" w:w="80"/>
              <w:bottom w:type="dxa" w:w="80"/>
              <w:right w:type="dxa" w:w="80"/>
            </w:tcMar>
            <w:vAlign w:val="bottom"/>
          </w:tcPr>
          <w:p>
            <w:pPr>
              <w:pStyle w:val="Body"/>
              <w:widowControl w:val="0"/>
              <w:spacing w:after="0" w:line="276" w:lineRule="auto"/>
              <w:jc w:val="center"/>
            </w:pPr>
            <w:r>
              <w:rPr>
                <w:b w:val="1"/>
                <w:bCs w:val="1"/>
                <w:shd w:val="nil" w:color="auto" w:fill="auto"/>
                <w:rtl w:val="0"/>
                <w:lang w:val="en-US"/>
              </w:rPr>
              <w:t>Status by amount</w:t>
            </w:r>
          </w:p>
        </w:tc>
      </w:tr>
      <w:tr>
        <w:tblPrEx>
          <w:shd w:val="clear" w:color="auto" w:fill="cdd4e9"/>
        </w:tblPrEx>
        <w:trPr>
          <w:trHeight w:val="246" w:hRule="atLeast"/>
        </w:trPr>
        <w:tc>
          <w:tcPr>
            <w:tcW w:type="dxa" w:w="1432"/>
            <w:tcBorders>
              <w:top w:val="single" w:color="cccccc" w:sz="6" w:space="0" w:shadow="0" w:frame="0"/>
              <w:left w:val="single" w:color="000000" w:sz="6" w:space="0" w:shadow="0" w:frame="0"/>
              <w:bottom w:val="single" w:color="cccccc" w:sz="6" w:space="0" w:shadow="0" w:frame="0"/>
              <w:right w:val="single" w:color="cccccc" w:sz="6" w:space="0" w:shadow="0" w:frame="0"/>
            </w:tcBorders>
            <w:shd w:val="clear" w:color="auto" w:fill="f2f2f2"/>
            <w:tcMar>
              <w:top w:type="dxa" w:w="80"/>
              <w:left w:type="dxa" w:w="80"/>
              <w:bottom w:type="dxa" w:w="80"/>
              <w:right w:type="dxa" w:w="80"/>
            </w:tcMar>
            <w:vAlign w:val="center"/>
          </w:tcPr>
          <w:p/>
        </w:tc>
        <w:tc>
          <w:tcPr>
            <w:tcW w:type="dxa" w:w="162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f2f2f2"/>
            <w:tcMar>
              <w:top w:type="dxa" w:w="80"/>
              <w:left w:type="dxa" w:w="80"/>
              <w:bottom w:type="dxa" w:w="80"/>
              <w:right w:type="dxa" w:w="80"/>
            </w:tcMar>
            <w:vAlign w:val="center"/>
          </w:tcPr>
          <w:p>
            <w:pPr>
              <w:pStyle w:val="Body"/>
              <w:widowControl w:val="0"/>
              <w:spacing w:after="0" w:line="276" w:lineRule="auto"/>
              <w:jc w:val="center"/>
            </w:pPr>
            <w:r>
              <w:rPr>
                <w:b w:val="1"/>
                <w:bCs w:val="1"/>
                <w:shd w:val="nil" w:color="auto" w:fill="auto"/>
                <w:rtl w:val="0"/>
                <w:lang w:val="en-US"/>
              </w:rPr>
              <w:t>Dec-20</w:t>
            </w:r>
          </w:p>
        </w:tc>
        <w:tc>
          <w:tcPr>
            <w:tcW w:type="dxa" w:w="1771"/>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f2f2f2"/>
            <w:tcMar>
              <w:top w:type="dxa" w:w="80"/>
              <w:left w:type="dxa" w:w="80"/>
              <w:bottom w:type="dxa" w:w="80"/>
              <w:right w:type="dxa" w:w="80"/>
            </w:tcMar>
            <w:vAlign w:val="center"/>
          </w:tcPr>
          <w:p>
            <w:pPr>
              <w:pStyle w:val="Body"/>
              <w:widowControl w:val="0"/>
              <w:spacing w:after="0" w:line="276" w:lineRule="auto"/>
              <w:jc w:val="center"/>
            </w:pPr>
            <w:r>
              <w:rPr>
                <w:b w:val="1"/>
                <w:bCs w:val="1"/>
                <w:shd w:val="nil" w:color="auto" w:fill="auto"/>
                <w:rtl w:val="0"/>
                <w:lang w:val="en-US"/>
              </w:rPr>
              <w:t>Jun-21</w:t>
            </w:r>
          </w:p>
        </w:tc>
        <w:tc>
          <w:tcPr>
            <w:tcW w:type="dxa" w:w="1739"/>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f2f2f2"/>
            <w:tcMar>
              <w:top w:type="dxa" w:w="80"/>
              <w:left w:type="dxa" w:w="80"/>
              <w:bottom w:type="dxa" w:w="80"/>
              <w:right w:type="dxa" w:w="80"/>
            </w:tcMar>
            <w:vAlign w:val="center"/>
          </w:tcPr>
          <w:p>
            <w:pPr>
              <w:pStyle w:val="Body"/>
              <w:widowControl w:val="0"/>
              <w:spacing w:after="0" w:line="276" w:lineRule="auto"/>
              <w:jc w:val="center"/>
            </w:pPr>
            <w:r>
              <w:rPr>
                <w:b w:val="1"/>
                <w:bCs w:val="1"/>
                <w:shd w:val="nil" w:color="auto" w:fill="auto"/>
                <w:rtl w:val="0"/>
                <w:lang w:val="en-US"/>
              </w:rPr>
              <w:t>Dec-21</w:t>
            </w:r>
          </w:p>
        </w:tc>
        <w:tc>
          <w:tcPr>
            <w:tcW w:type="dxa" w:w="171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f2f2f2"/>
            <w:tcMar>
              <w:top w:type="dxa" w:w="80"/>
              <w:left w:type="dxa" w:w="80"/>
              <w:bottom w:type="dxa" w:w="80"/>
              <w:right w:type="dxa" w:w="80"/>
            </w:tcMar>
            <w:vAlign w:val="top"/>
          </w:tcPr>
          <w:p>
            <w:pPr>
              <w:pStyle w:val="Body"/>
              <w:widowControl w:val="0"/>
              <w:spacing w:after="0" w:line="276" w:lineRule="auto"/>
              <w:jc w:val="center"/>
            </w:pPr>
            <w:r>
              <w:rPr>
                <w:b w:val="1"/>
                <w:bCs w:val="1"/>
                <w:shd w:val="nil" w:color="auto" w:fill="auto"/>
                <w:rtl w:val="0"/>
                <w:lang w:val="en-US"/>
              </w:rPr>
              <w:t>Jun-22</w:t>
            </w:r>
          </w:p>
        </w:tc>
        <w:tc>
          <w:tcPr>
            <w:tcW w:type="dxa" w:w="1710"/>
            <w:tcBorders>
              <w:top w:val="single" w:color="cccccc" w:sz="6" w:space="0" w:shadow="0" w:frame="0"/>
              <w:left w:val="single" w:color="cccccc" w:sz="6" w:space="0" w:shadow="0" w:frame="0"/>
              <w:bottom w:val="single" w:color="cccccc" w:sz="6" w:space="0" w:shadow="0" w:frame="0"/>
              <w:right w:val="single" w:color="000000" w:sz="6" w:space="0" w:shadow="0" w:frame="0"/>
            </w:tcBorders>
            <w:shd w:val="clear" w:color="auto" w:fill="f2f2f2"/>
            <w:tcMar>
              <w:top w:type="dxa" w:w="80"/>
              <w:left w:type="dxa" w:w="80"/>
              <w:bottom w:type="dxa" w:w="80"/>
              <w:right w:type="dxa" w:w="80"/>
            </w:tcMar>
            <w:vAlign w:val="top"/>
          </w:tcPr>
          <w:p>
            <w:pPr>
              <w:pStyle w:val="Body"/>
              <w:widowControl w:val="0"/>
              <w:spacing w:after="0" w:line="276" w:lineRule="auto"/>
              <w:jc w:val="center"/>
            </w:pPr>
            <w:r>
              <w:rPr>
                <w:b w:val="1"/>
                <w:bCs w:val="1"/>
                <w:shd w:val="nil" w:color="auto" w:fill="auto"/>
                <w:rtl w:val="0"/>
                <w:lang w:val="en-US"/>
              </w:rPr>
              <w:t>Dec-22</w:t>
            </w:r>
          </w:p>
        </w:tc>
      </w:tr>
      <w:tr>
        <w:tblPrEx>
          <w:shd w:val="clear" w:color="auto" w:fill="cdd4e9"/>
        </w:tblPrEx>
        <w:trPr>
          <w:trHeight w:val="520" w:hRule="atLeast"/>
        </w:trPr>
        <w:tc>
          <w:tcPr>
            <w:tcW w:type="dxa" w:w="1432"/>
            <w:tcBorders>
              <w:top w:val="single" w:color="cccccc" w:sz="6" w:space="0" w:shadow="0" w:frame="0"/>
              <w:left w:val="single" w:color="000000" w:sz="6" w:space="0" w:shadow="0" w:frame="0"/>
              <w:bottom w:val="single" w:color="cccccc" w:sz="6" w:space="0" w:shadow="0" w:frame="0"/>
              <w:right w:val="single" w:color="cccccc" w:sz="6" w:space="0" w:shadow="0" w:frame="0"/>
            </w:tcBorders>
            <w:shd w:val="clear" w:color="auto" w:fill="f2f2f2"/>
            <w:tcMar>
              <w:top w:type="dxa" w:w="80"/>
              <w:left w:type="dxa" w:w="80"/>
              <w:bottom w:type="dxa" w:w="80"/>
              <w:right w:type="dxa" w:w="80"/>
            </w:tcMar>
            <w:vAlign w:val="center"/>
          </w:tcPr>
          <w:p>
            <w:pPr>
              <w:pStyle w:val="Body"/>
              <w:widowControl w:val="0"/>
              <w:spacing w:after="0" w:line="276" w:lineRule="auto"/>
              <w:jc w:val="center"/>
            </w:pPr>
            <w:r>
              <w:rPr>
                <w:b w:val="1"/>
                <w:bCs w:val="1"/>
                <w:shd w:val="nil" w:color="auto" w:fill="auto"/>
                <w:rtl w:val="0"/>
                <w:lang w:val="en-US"/>
              </w:rPr>
              <w:t>Contributing RTX</w:t>
            </w:r>
          </w:p>
        </w:tc>
        <w:tc>
          <w:tcPr>
            <w:tcW w:type="dxa" w:w="162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59</w:t>
            </w:r>
          </w:p>
        </w:tc>
        <w:tc>
          <w:tcPr>
            <w:tcW w:type="dxa" w:w="1771"/>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46</w:t>
            </w:r>
          </w:p>
        </w:tc>
        <w:tc>
          <w:tcPr>
            <w:tcW w:type="dxa" w:w="1739"/>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44</w:t>
            </w:r>
          </w:p>
        </w:tc>
        <w:tc>
          <w:tcPr>
            <w:tcW w:type="dxa" w:w="171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59</w:t>
            </w:r>
          </w:p>
        </w:tc>
        <w:tc>
          <w:tcPr>
            <w:tcW w:type="dxa" w:w="1710"/>
            <w:tcBorders>
              <w:top w:val="single" w:color="cccccc" w:sz="6" w:space="0" w:shadow="0" w:frame="0"/>
              <w:left w:val="single" w:color="cccccc" w:sz="6" w:space="0" w:shadow="0" w:frame="0"/>
              <w:bottom w:val="single" w:color="cccccc"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68</w:t>
            </w:r>
          </w:p>
        </w:tc>
      </w:tr>
      <w:tr>
        <w:tblPrEx>
          <w:shd w:val="clear" w:color="auto" w:fill="cdd4e9"/>
        </w:tblPrEx>
        <w:trPr>
          <w:trHeight w:val="246" w:hRule="atLeast"/>
        </w:trPr>
        <w:tc>
          <w:tcPr>
            <w:tcW w:type="dxa" w:w="1432"/>
            <w:tcBorders>
              <w:top w:val="single" w:color="cccccc" w:sz="6" w:space="0" w:shadow="0" w:frame="0"/>
              <w:left w:val="single" w:color="000000" w:sz="6" w:space="0" w:shadow="0" w:frame="0"/>
              <w:bottom w:val="single" w:color="cccccc" w:sz="6" w:space="0" w:shadow="0" w:frame="0"/>
              <w:right w:val="single" w:color="cccccc" w:sz="6" w:space="0" w:shadow="0" w:frame="0"/>
            </w:tcBorders>
            <w:shd w:val="clear" w:color="auto" w:fill="f2f2f2"/>
            <w:tcMar>
              <w:top w:type="dxa" w:w="80"/>
              <w:left w:type="dxa" w:w="80"/>
              <w:bottom w:type="dxa" w:w="80"/>
              <w:right w:type="dxa" w:w="80"/>
            </w:tcMar>
            <w:vAlign w:val="center"/>
          </w:tcPr>
          <w:p>
            <w:pPr>
              <w:pStyle w:val="Body"/>
              <w:widowControl w:val="0"/>
              <w:spacing w:after="0" w:line="276" w:lineRule="auto"/>
              <w:jc w:val="center"/>
            </w:pPr>
            <w:r>
              <w:rPr>
                <w:b w:val="1"/>
                <w:bCs w:val="1"/>
                <w:shd w:val="nil" w:color="auto" w:fill="auto"/>
                <w:rtl w:val="0"/>
                <w:lang w:val="en-US"/>
              </w:rPr>
              <w:t>Down</w:t>
            </w:r>
          </w:p>
        </w:tc>
        <w:tc>
          <w:tcPr>
            <w:tcW w:type="dxa" w:w="162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51</w:t>
            </w:r>
          </w:p>
        </w:tc>
        <w:tc>
          <w:tcPr>
            <w:tcW w:type="dxa" w:w="1771"/>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55</w:t>
            </w:r>
          </w:p>
        </w:tc>
        <w:tc>
          <w:tcPr>
            <w:tcW w:type="dxa" w:w="1739"/>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39</w:t>
            </w:r>
          </w:p>
        </w:tc>
        <w:tc>
          <w:tcPr>
            <w:tcW w:type="dxa" w:w="171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36</w:t>
            </w:r>
          </w:p>
        </w:tc>
        <w:tc>
          <w:tcPr>
            <w:tcW w:type="dxa" w:w="1710"/>
            <w:tcBorders>
              <w:top w:val="single" w:color="cccccc" w:sz="6" w:space="0" w:shadow="0" w:frame="0"/>
              <w:left w:val="single" w:color="cccccc" w:sz="6" w:space="0" w:shadow="0" w:frame="0"/>
              <w:bottom w:val="single" w:color="cccccc"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30</w:t>
            </w:r>
          </w:p>
        </w:tc>
      </w:tr>
      <w:tr>
        <w:tblPrEx>
          <w:shd w:val="clear" w:color="auto" w:fill="cdd4e9"/>
        </w:tblPrEx>
        <w:trPr>
          <w:trHeight w:val="246" w:hRule="atLeast"/>
        </w:trPr>
        <w:tc>
          <w:tcPr>
            <w:tcW w:type="dxa" w:w="1432"/>
            <w:tcBorders>
              <w:top w:val="single" w:color="cccccc" w:sz="6" w:space="0" w:shadow="0" w:frame="0"/>
              <w:left w:val="single" w:color="000000" w:sz="6" w:space="0" w:shadow="0" w:frame="0"/>
              <w:bottom w:val="single" w:color="cccccc" w:sz="6" w:space="0" w:shadow="0" w:frame="0"/>
              <w:right w:val="single" w:color="cccccc" w:sz="6" w:space="0" w:shadow="0" w:frame="0"/>
            </w:tcBorders>
            <w:shd w:val="clear" w:color="auto" w:fill="f2f2f2"/>
            <w:tcMar>
              <w:top w:type="dxa" w:w="80"/>
              <w:left w:type="dxa" w:w="80"/>
              <w:bottom w:type="dxa" w:w="80"/>
              <w:right w:type="dxa" w:w="80"/>
            </w:tcMar>
            <w:vAlign w:val="center"/>
          </w:tcPr>
          <w:p>
            <w:pPr>
              <w:pStyle w:val="Body"/>
              <w:widowControl w:val="0"/>
              <w:spacing w:after="0" w:line="276" w:lineRule="auto"/>
              <w:jc w:val="center"/>
            </w:pPr>
            <w:r>
              <w:rPr>
                <w:b w:val="1"/>
                <w:bCs w:val="1"/>
                <w:shd w:val="nil" w:color="auto" w:fill="auto"/>
                <w:rtl w:val="0"/>
                <w:lang w:val="en-US"/>
              </w:rPr>
              <w:t>Existing</w:t>
            </w:r>
          </w:p>
        </w:tc>
        <w:tc>
          <w:tcPr>
            <w:tcW w:type="dxa" w:w="162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29</w:t>
            </w:r>
          </w:p>
        </w:tc>
        <w:tc>
          <w:tcPr>
            <w:tcW w:type="dxa" w:w="1771"/>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30</w:t>
            </w:r>
          </w:p>
        </w:tc>
        <w:tc>
          <w:tcPr>
            <w:tcW w:type="dxa" w:w="1739"/>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37</w:t>
            </w:r>
          </w:p>
        </w:tc>
        <w:tc>
          <w:tcPr>
            <w:tcW w:type="dxa" w:w="171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32</w:t>
            </w:r>
          </w:p>
        </w:tc>
        <w:tc>
          <w:tcPr>
            <w:tcW w:type="dxa" w:w="1710"/>
            <w:tcBorders>
              <w:top w:val="single" w:color="cccccc" w:sz="6" w:space="0" w:shadow="0" w:frame="0"/>
              <w:left w:val="single" w:color="cccccc" w:sz="6" w:space="0" w:shadow="0" w:frame="0"/>
              <w:bottom w:val="single" w:color="cccccc"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40</w:t>
            </w:r>
          </w:p>
        </w:tc>
      </w:tr>
      <w:tr>
        <w:tblPrEx>
          <w:shd w:val="clear" w:color="auto" w:fill="cdd4e9"/>
        </w:tblPrEx>
        <w:trPr>
          <w:trHeight w:val="246" w:hRule="atLeast"/>
        </w:trPr>
        <w:tc>
          <w:tcPr>
            <w:tcW w:type="dxa" w:w="1432"/>
            <w:tcBorders>
              <w:top w:val="single" w:color="cccccc" w:sz="6" w:space="0" w:shadow="0" w:frame="0"/>
              <w:left w:val="single" w:color="000000" w:sz="6" w:space="0" w:shadow="0" w:frame="0"/>
              <w:bottom w:val="single" w:color="cccccc" w:sz="6" w:space="0" w:shadow="0" w:frame="0"/>
              <w:right w:val="single" w:color="cccccc" w:sz="6" w:space="0" w:shadow="0" w:frame="0"/>
            </w:tcBorders>
            <w:shd w:val="clear" w:color="auto" w:fill="f2f2f2"/>
            <w:tcMar>
              <w:top w:type="dxa" w:w="80"/>
              <w:left w:type="dxa" w:w="80"/>
              <w:bottom w:type="dxa" w:w="80"/>
              <w:right w:type="dxa" w:w="80"/>
            </w:tcMar>
            <w:vAlign w:val="center"/>
          </w:tcPr>
          <w:p>
            <w:pPr>
              <w:pStyle w:val="Body"/>
              <w:widowControl w:val="0"/>
              <w:spacing w:after="0" w:line="276" w:lineRule="auto"/>
              <w:jc w:val="center"/>
            </w:pPr>
            <w:r>
              <w:rPr>
                <w:b w:val="1"/>
                <w:bCs w:val="1"/>
                <w:shd w:val="nil" w:color="auto" w:fill="auto"/>
                <w:rtl w:val="0"/>
                <w:lang w:val="en-US"/>
              </w:rPr>
              <w:t>Gap</w:t>
            </w:r>
          </w:p>
        </w:tc>
        <w:tc>
          <w:tcPr>
            <w:tcW w:type="dxa" w:w="162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13</w:t>
            </w:r>
          </w:p>
        </w:tc>
        <w:tc>
          <w:tcPr>
            <w:tcW w:type="dxa" w:w="1771"/>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13</w:t>
            </w:r>
          </w:p>
        </w:tc>
        <w:tc>
          <w:tcPr>
            <w:tcW w:type="dxa" w:w="1739"/>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13</w:t>
            </w:r>
          </w:p>
        </w:tc>
        <w:tc>
          <w:tcPr>
            <w:tcW w:type="dxa" w:w="171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15</w:t>
            </w:r>
          </w:p>
        </w:tc>
        <w:tc>
          <w:tcPr>
            <w:tcW w:type="dxa" w:w="1710"/>
            <w:tcBorders>
              <w:top w:val="single" w:color="cccccc" w:sz="6" w:space="0" w:shadow="0" w:frame="0"/>
              <w:left w:val="single" w:color="cccccc" w:sz="6" w:space="0" w:shadow="0" w:frame="0"/>
              <w:bottom w:val="single" w:color="cccccc"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15</w:t>
            </w:r>
          </w:p>
        </w:tc>
      </w:tr>
      <w:tr>
        <w:tblPrEx>
          <w:shd w:val="clear" w:color="auto" w:fill="cdd4e9"/>
        </w:tblPrEx>
        <w:trPr>
          <w:trHeight w:val="246" w:hRule="atLeast"/>
        </w:trPr>
        <w:tc>
          <w:tcPr>
            <w:tcW w:type="dxa" w:w="1432"/>
            <w:tcBorders>
              <w:top w:val="single" w:color="cccccc" w:sz="6" w:space="0" w:shadow="0" w:frame="0"/>
              <w:left w:val="single" w:color="000000" w:sz="6" w:space="0" w:shadow="0" w:frame="0"/>
              <w:bottom w:val="single" w:color="cccccc" w:sz="6" w:space="0" w:shadow="0" w:frame="0"/>
              <w:right w:val="single" w:color="cccccc" w:sz="6" w:space="0" w:shadow="0" w:frame="0"/>
            </w:tcBorders>
            <w:shd w:val="clear" w:color="auto" w:fill="f2f2f2"/>
            <w:tcMar>
              <w:top w:type="dxa" w:w="80"/>
              <w:left w:type="dxa" w:w="80"/>
              <w:bottom w:type="dxa" w:w="80"/>
              <w:right w:type="dxa" w:w="80"/>
            </w:tcMar>
            <w:vAlign w:val="center"/>
          </w:tcPr>
          <w:p>
            <w:pPr>
              <w:pStyle w:val="Body"/>
              <w:widowControl w:val="0"/>
              <w:spacing w:after="0" w:line="276" w:lineRule="auto"/>
              <w:jc w:val="center"/>
            </w:pPr>
            <w:r>
              <w:rPr>
                <w:b w:val="1"/>
                <w:bCs w:val="1"/>
                <w:shd w:val="nil" w:color="auto" w:fill="auto"/>
                <w:rtl w:val="0"/>
                <w:lang w:val="en-US"/>
              </w:rPr>
              <w:t>Planned</w:t>
            </w:r>
          </w:p>
        </w:tc>
        <w:tc>
          <w:tcPr>
            <w:tcW w:type="dxa" w:w="162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13</w:t>
            </w:r>
          </w:p>
        </w:tc>
        <w:tc>
          <w:tcPr>
            <w:tcW w:type="dxa" w:w="1771"/>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13</w:t>
            </w:r>
          </w:p>
        </w:tc>
        <w:tc>
          <w:tcPr>
            <w:tcW w:type="dxa" w:w="1739"/>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13</w:t>
            </w:r>
          </w:p>
        </w:tc>
        <w:tc>
          <w:tcPr>
            <w:tcW w:type="dxa" w:w="171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9</w:t>
            </w:r>
          </w:p>
        </w:tc>
        <w:tc>
          <w:tcPr>
            <w:tcW w:type="dxa" w:w="1710"/>
            <w:tcBorders>
              <w:top w:val="single" w:color="cccccc" w:sz="6" w:space="0" w:shadow="0" w:frame="0"/>
              <w:left w:val="single" w:color="cccccc" w:sz="6" w:space="0" w:shadow="0" w:frame="0"/>
              <w:bottom w:val="single" w:color="cccccc"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9</w:t>
            </w:r>
          </w:p>
        </w:tc>
      </w:tr>
      <w:tr>
        <w:tblPrEx>
          <w:shd w:val="clear" w:color="auto" w:fill="cdd4e9"/>
        </w:tblPrEx>
        <w:trPr>
          <w:trHeight w:val="246" w:hRule="atLeast"/>
        </w:trPr>
        <w:tc>
          <w:tcPr>
            <w:tcW w:type="dxa" w:w="1432"/>
            <w:tcBorders>
              <w:top w:val="single" w:color="cccccc" w:sz="6" w:space="0" w:shadow="0" w:frame="0"/>
              <w:left w:val="single" w:color="000000" w:sz="6" w:space="0" w:shadow="0" w:frame="0"/>
              <w:bottom w:val="single" w:color="cccccc" w:sz="6" w:space="0" w:shadow="0" w:frame="0"/>
              <w:right w:val="single" w:color="cccccc" w:sz="6" w:space="0" w:shadow="0" w:frame="0"/>
            </w:tcBorders>
            <w:shd w:val="clear" w:color="auto" w:fill="f2f2f2"/>
            <w:tcMar>
              <w:top w:type="dxa" w:w="80"/>
              <w:left w:type="dxa" w:w="80"/>
              <w:bottom w:type="dxa" w:w="80"/>
              <w:right w:type="dxa" w:w="80"/>
            </w:tcMar>
            <w:vAlign w:val="center"/>
          </w:tcPr>
          <w:p>
            <w:pPr>
              <w:pStyle w:val="Body"/>
              <w:widowControl w:val="0"/>
              <w:spacing w:after="0" w:line="276" w:lineRule="auto"/>
              <w:jc w:val="center"/>
            </w:pPr>
            <w:r>
              <w:rPr>
                <w:b w:val="1"/>
                <w:bCs w:val="1"/>
                <w:shd w:val="nil" w:color="auto" w:fill="auto"/>
                <w:rtl w:val="0"/>
                <w:lang w:val="en-US"/>
              </w:rPr>
              <w:t>Removed</w:t>
            </w:r>
          </w:p>
        </w:tc>
        <w:tc>
          <w:tcPr>
            <w:tcW w:type="dxa" w:w="162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10</w:t>
            </w:r>
          </w:p>
        </w:tc>
        <w:tc>
          <w:tcPr>
            <w:tcW w:type="dxa" w:w="1771"/>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7</w:t>
            </w:r>
          </w:p>
        </w:tc>
        <w:tc>
          <w:tcPr>
            <w:tcW w:type="dxa" w:w="1739"/>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12</w:t>
            </w:r>
          </w:p>
        </w:tc>
        <w:tc>
          <w:tcPr>
            <w:tcW w:type="dxa" w:w="1710"/>
            <w:tcBorders>
              <w:top w:val="single" w:color="cccccc" w:sz="6" w:space="0" w:shadow="0" w:frame="0"/>
              <w:left w:val="single" w:color="cccccc" w:sz="6" w:space="0" w:shadow="0" w:frame="0"/>
              <w:bottom w:val="single" w:color="cccccc"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14</w:t>
            </w:r>
          </w:p>
        </w:tc>
        <w:tc>
          <w:tcPr>
            <w:tcW w:type="dxa" w:w="1710"/>
            <w:tcBorders>
              <w:top w:val="single" w:color="cccccc" w:sz="6" w:space="0" w:shadow="0" w:frame="0"/>
              <w:left w:val="single" w:color="cccccc" w:sz="6" w:space="0" w:shadow="0" w:frame="0"/>
              <w:bottom w:val="single" w:color="cccccc"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9</w:t>
            </w:r>
          </w:p>
        </w:tc>
      </w:tr>
      <w:tr>
        <w:tblPrEx>
          <w:shd w:val="clear" w:color="auto" w:fill="cdd4e9"/>
        </w:tblPrEx>
        <w:trPr>
          <w:trHeight w:val="246" w:hRule="atLeast"/>
        </w:trPr>
        <w:tc>
          <w:tcPr>
            <w:tcW w:type="dxa" w:w="1432"/>
            <w:tcBorders>
              <w:top w:val="single" w:color="cccccc" w:sz="6" w:space="0" w:shadow="0" w:frame="0"/>
              <w:left w:val="single" w:color="000000" w:sz="6" w:space="0" w:shadow="0" w:frame="0"/>
              <w:bottom w:val="single" w:color="000000" w:sz="6" w:space="0" w:shadow="0" w:frame="0"/>
              <w:right w:val="single" w:color="cccccc" w:sz="6" w:space="0" w:shadow="0" w:frame="0"/>
            </w:tcBorders>
            <w:shd w:val="clear" w:color="auto" w:fill="f2f2f2"/>
            <w:tcMar>
              <w:top w:type="dxa" w:w="80"/>
              <w:left w:type="dxa" w:w="80"/>
              <w:bottom w:type="dxa" w:w="80"/>
              <w:right w:type="dxa" w:w="80"/>
            </w:tcMar>
            <w:vAlign w:val="bottom"/>
          </w:tcPr>
          <w:p>
            <w:pPr>
              <w:pStyle w:val="Body"/>
              <w:widowControl w:val="0"/>
              <w:spacing w:after="0" w:line="276" w:lineRule="auto"/>
              <w:jc w:val="center"/>
            </w:pPr>
            <w:r>
              <w:rPr>
                <w:b w:val="1"/>
                <w:bCs w:val="1"/>
                <w:shd w:val="nil" w:color="auto" w:fill="auto"/>
                <w:rtl w:val="0"/>
                <w:lang w:val="en-US"/>
              </w:rPr>
              <w:t>Unknown</w:t>
            </w:r>
          </w:p>
        </w:tc>
        <w:tc>
          <w:tcPr>
            <w:tcW w:type="dxa" w:w="1620"/>
            <w:tcBorders>
              <w:top w:val="single" w:color="cccccc" w:sz="6" w:space="0" w:shadow="0" w:frame="0"/>
              <w:left w:val="single" w:color="cccccc" w:sz="6" w:space="0" w:shadow="0" w:frame="0"/>
              <w:bottom w:val="single" w:color="000000"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w:t>
            </w:r>
          </w:p>
        </w:tc>
        <w:tc>
          <w:tcPr>
            <w:tcW w:type="dxa" w:w="1771"/>
            <w:tcBorders>
              <w:top w:val="single" w:color="cccccc" w:sz="6" w:space="0" w:shadow="0" w:frame="0"/>
              <w:left w:val="single" w:color="cccccc" w:sz="6" w:space="0" w:shadow="0" w:frame="0"/>
              <w:bottom w:val="single" w:color="000000"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w:t>
            </w:r>
          </w:p>
        </w:tc>
        <w:tc>
          <w:tcPr>
            <w:tcW w:type="dxa" w:w="1739"/>
            <w:tcBorders>
              <w:top w:val="single" w:color="cccccc" w:sz="6" w:space="0" w:shadow="0" w:frame="0"/>
              <w:left w:val="single" w:color="cccccc" w:sz="6" w:space="0" w:shadow="0" w:frame="0"/>
              <w:bottom w:val="single" w:color="000000"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19</w:t>
            </w:r>
          </w:p>
        </w:tc>
        <w:tc>
          <w:tcPr>
            <w:tcW w:type="dxa" w:w="1710"/>
            <w:tcBorders>
              <w:top w:val="single" w:color="cccccc" w:sz="6" w:space="0" w:shadow="0" w:frame="0"/>
              <w:left w:val="single" w:color="cccccc" w:sz="6" w:space="0" w:shadow="0" w:frame="0"/>
              <w:bottom w:val="single" w:color="000000" w:sz="6" w:space="0" w:shadow="0" w:frame="0"/>
              <w:right w:val="single" w:color="cccccc"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16</w:t>
            </w:r>
          </w:p>
        </w:tc>
        <w:tc>
          <w:tcPr>
            <w:tcW w:type="dxa" w:w="1710"/>
            <w:tcBorders>
              <w:top w:val="single" w:color="cccccc" w:sz="6" w:space="0" w:shadow="0" w:frame="0"/>
              <w:left w:val="single" w:color="cccccc"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widowControl w:val="0"/>
              <w:spacing w:after="0" w:line="276" w:lineRule="auto"/>
              <w:jc w:val="center"/>
            </w:pPr>
            <w:r>
              <w:rPr>
                <w:shd w:val="nil" w:color="auto" w:fill="auto"/>
                <w:rtl w:val="0"/>
                <w:lang w:val="en-US"/>
              </w:rPr>
              <w:t>13</w:t>
            </w:r>
          </w:p>
        </w:tc>
      </w:tr>
    </w:tbl>
    <w:p>
      <w:pPr>
        <w:pStyle w:val="Body"/>
        <w:keepNext w:val="1"/>
        <w:spacing w:line="240" w:lineRule="auto"/>
      </w:pPr>
    </w:p>
    <w:p>
      <w:pPr>
        <w:pStyle w:val="Body"/>
        <w:spacing w:after="200" w:line="240" w:lineRule="auto"/>
        <w:jc w:val="center"/>
        <w:rPr>
          <w:i w:val="1"/>
          <w:iCs w:val="1"/>
          <w:outline w:val="0"/>
          <w:color w:val="44546a"/>
          <w:sz w:val="18"/>
          <w:szCs w:val="18"/>
          <w:u w:color="44546a"/>
          <w14:textFill>
            <w14:solidFill>
              <w14:srgbClr w14:val="44546A"/>
            </w14:solidFill>
          </w14:textFill>
        </w:rPr>
      </w:pPr>
      <w:r>
        <w:rPr>
          <w:i w:val="1"/>
          <w:iCs w:val="1"/>
          <w:outline w:val="0"/>
          <w:color w:val="44546a"/>
          <w:sz w:val="18"/>
          <w:szCs w:val="18"/>
          <w:u w:color="44546a"/>
          <w:rtl w:val="0"/>
          <w:lang w:val="en-US"/>
          <w14:textFill>
            <w14:solidFill>
              <w14:srgbClr w14:val="44546A"/>
            </w14:solidFill>
          </w14:textFill>
        </w:rPr>
        <w:t xml:space="preserve">Table 1. Status of Sea Level Stations from December 2020 </w:t>
      </w:r>
      <w:r>
        <w:rPr>
          <w:i w:val="1"/>
          <w:iCs w:val="1"/>
          <w:outline w:val="0"/>
          <w:color w:val="44546a"/>
          <w:sz w:val="18"/>
          <w:szCs w:val="18"/>
          <w:u w:color="44546a"/>
          <w:rtl w:val="0"/>
          <w14:textFill>
            <w14:solidFill>
              <w14:srgbClr w14:val="44546A"/>
            </w14:solidFill>
          </w14:textFill>
        </w:rPr>
        <w:t xml:space="preserve">– </w:t>
      </w:r>
      <w:r>
        <w:rPr>
          <w:i w:val="1"/>
          <w:iCs w:val="1"/>
          <w:outline w:val="0"/>
          <w:color w:val="44546a"/>
          <w:sz w:val="18"/>
          <w:szCs w:val="18"/>
          <w:u w:color="44546a"/>
          <w:rtl w:val="0"/>
          <w14:textFill>
            <w14:solidFill>
              <w14:srgbClr w14:val="44546A"/>
            </w14:solidFill>
          </w14:textFill>
        </w:rPr>
        <w:t xml:space="preserve">December 2022. </w:t>
      </w:r>
    </w:p>
    <w:p>
      <w:pPr>
        <w:pStyle w:val="Body"/>
        <w:keepNext w:val="1"/>
        <w:jc w:val="center"/>
      </w:pPr>
      <w:r>
        <mc:AlternateContent>
          <mc:Choice Requires="wpg">
            <w:drawing xmlns:a="http://schemas.openxmlformats.org/drawingml/2006/main">
              <wp:anchor distT="0" distB="0" distL="0" distR="0" simplePos="0" relativeHeight="251663360" behindDoc="0" locked="0" layoutInCell="1" allowOverlap="1">
                <wp:simplePos x="0" y="0"/>
                <wp:positionH relativeFrom="column">
                  <wp:posOffset>3390899</wp:posOffset>
                </wp:positionH>
                <wp:positionV relativeFrom="line">
                  <wp:posOffset>1945718</wp:posOffset>
                </wp:positionV>
                <wp:extent cx="2047875" cy="1442009"/>
                <wp:effectExtent l="0" t="0" r="0" b="0"/>
                <wp:wrapNone/>
                <wp:docPr id="1073741841" name="officeArt object" descr="Group 23"/>
                <wp:cNvGraphicFramePr/>
                <a:graphic xmlns:a="http://schemas.openxmlformats.org/drawingml/2006/main">
                  <a:graphicData uri="http://schemas.microsoft.com/office/word/2010/wordprocessingGroup">
                    <wpg:wgp>
                      <wpg:cNvGrpSpPr/>
                      <wpg:grpSpPr>
                        <a:xfrm>
                          <a:off x="0" y="0"/>
                          <a:ext cx="2047875" cy="1442009"/>
                          <a:chOff x="0" y="0"/>
                          <a:chExt cx="2047875" cy="1442007"/>
                        </a:xfrm>
                      </wpg:grpSpPr>
                      <wps:wsp>
                        <wps:cNvPr id="1073741835" name="Straight Arrow Connector 11"/>
                        <wps:cNvSpPr/>
                        <wps:spPr>
                          <a:xfrm>
                            <a:off x="0" y="1192320"/>
                            <a:ext cx="216034" cy="205957"/>
                          </a:xfrm>
                          <a:prstGeom prst="line">
                            <a:avLst/>
                          </a:prstGeom>
                          <a:noFill/>
                          <a:ln w="6350" cap="flat">
                            <a:solidFill>
                              <a:srgbClr val="000000"/>
                            </a:solidFill>
                            <a:prstDash val="solid"/>
                            <a:miter lim="800000"/>
                            <a:tailEnd type="triangle" w="med" len="med"/>
                          </a:ln>
                          <a:effectLst/>
                        </wps:spPr>
                        <wps:bodyPr/>
                      </wps:wsp>
                      <wps:wsp>
                        <wps:cNvPr id="1073741836" name="Straight Arrow Connector 12"/>
                        <wps:cNvSpPr/>
                        <wps:spPr>
                          <a:xfrm>
                            <a:off x="792020" y="813970"/>
                            <a:ext cx="214963" cy="202849"/>
                          </a:xfrm>
                          <a:prstGeom prst="line">
                            <a:avLst/>
                          </a:prstGeom>
                          <a:noFill/>
                          <a:ln w="6350" cap="flat">
                            <a:solidFill>
                              <a:srgbClr val="000000"/>
                            </a:solidFill>
                            <a:prstDash val="solid"/>
                            <a:miter lim="800000"/>
                            <a:tailEnd type="triangle" w="med" len="med"/>
                          </a:ln>
                          <a:effectLst/>
                        </wps:spPr>
                        <wps:bodyPr/>
                      </wps:wsp>
                      <wps:wsp>
                        <wps:cNvPr id="1073741837" name="TextBox 1"/>
                        <wps:cNvSpPr txBox="1"/>
                        <wps:spPr>
                          <a:xfrm>
                            <a:off x="527649" y="621680"/>
                            <a:ext cx="441886" cy="223627"/>
                          </a:xfrm>
                          <a:prstGeom prst="rect">
                            <a:avLst/>
                          </a:prstGeom>
                          <a:noFill/>
                          <a:ln w="12700" cap="flat">
                            <a:noFill/>
                            <a:miter lim="400000"/>
                          </a:ln>
                          <a:effectLst/>
                        </wps:spPr>
                        <wps:txbx>
                          <w:txbxContent>
                            <w:p>
                              <w:pPr>
                                <w:pStyle w:val="Normal (Web)"/>
                                <w:spacing w:before="0" w:after="0"/>
                              </w:pPr>
                              <w:r>
                                <w:rPr>
                                  <w:b w:val="1"/>
                                  <w:bCs w:val="1"/>
                                  <w:sz w:val="22"/>
                                  <w:szCs w:val="22"/>
                                  <w:rtl w:val="0"/>
                                  <w:lang w:val="en-US"/>
                                </w:rPr>
                                <w:t>MACC</w:t>
                              </w:r>
                            </w:p>
                          </w:txbxContent>
                        </wps:txbx>
                        <wps:bodyPr wrap="square" lIns="45719" tIns="45719" rIns="45719" bIns="45719" numCol="1" anchor="t">
                          <a:noAutofit/>
                        </wps:bodyPr>
                      </wps:wsp>
                      <wps:wsp>
                        <wps:cNvPr id="1073741838" name="Straight Arrow Connector 15"/>
                        <wps:cNvSpPr/>
                        <wps:spPr>
                          <a:xfrm flipH="1" flipV="1">
                            <a:off x="840136" y="1435621"/>
                            <a:ext cx="245137" cy="6387"/>
                          </a:xfrm>
                          <a:prstGeom prst="line">
                            <a:avLst/>
                          </a:prstGeom>
                          <a:noFill/>
                          <a:ln w="6350" cap="flat">
                            <a:solidFill>
                              <a:srgbClr val="000000"/>
                            </a:solidFill>
                            <a:prstDash val="solid"/>
                            <a:miter lim="800000"/>
                            <a:tailEnd type="triangle" w="med" len="med"/>
                          </a:ln>
                          <a:effectLst/>
                        </wps:spPr>
                        <wps:bodyPr/>
                      </wps:wsp>
                      <wps:wsp>
                        <wps:cNvPr id="1073741839" name="Straight Arrow Connector 16"/>
                        <wps:cNvSpPr/>
                        <wps:spPr>
                          <a:xfrm flipV="1">
                            <a:off x="1819192" y="0"/>
                            <a:ext cx="1" cy="431861"/>
                          </a:xfrm>
                          <a:prstGeom prst="line">
                            <a:avLst/>
                          </a:prstGeom>
                          <a:noFill/>
                          <a:ln w="6350" cap="flat">
                            <a:solidFill>
                              <a:srgbClr val="000000"/>
                            </a:solidFill>
                            <a:prstDash val="solid"/>
                            <a:miter lim="800000"/>
                            <a:tailEnd type="triangle" w="med" len="med"/>
                          </a:ln>
                          <a:effectLst/>
                        </wps:spPr>
                        <wps:bodyPr/>
                      </wps:wsp>
                      <wps:wsp>
                        <wps:cNvPr id="1073741840" name="Straight Arrow Connector 17"/>
                        <wps:cNvSpPr/>
                        <wps:spPr>
                          <a:xfrm flipH="1" flipV="1">
                            <a:off x="2046617" y="0"/>
                            <a:ext cx="1259" cy="244852"/>
                          </a:xfrm>
                          <a:prstGeom prst="line">
                            <a:avLst/>
                          </a:prstGeom>
                          <a:noFill/>
                          <a:ln w="6350" cap="flat">
                            <a:solidFill>
                              <a:srgbClr val="000000"/>
                            </a:solidFill>
                            <a:prstDash val="solid"/>
                            <a:miter lim="800000"/>
                            <a:tailEnd type="triangle" w="med" len="med"/>
                          </a:ln>
                          <a:effectLst/>
                        </wps:spPr>
                        <wps:bodyPr/>
                      </wps:wsp>
                    </wpg:wgp>
                  </a:graphicData>
                </a:graphic>
              </wp:anchor>
            </w:drawing>
          </mc:Choice>
          <mc:Fallback>
            <w:pict>
              <v:group id="_x0000_s1029" style="visibility:visible;position:absolute;margin-left:267.0pt;margin-top:153.2pt;width:161.2pt;height:113.5pt;z-index:251663360;mso-position-horizontal:absolute;mso-position-horizontal-relative:text;mso-position-vertical:absolute;mso-position-vertical-relative:line;mso-wrap-distance-left:0.0pt;mso-wrap-distance-top:0.0pt;mso-wrap-distance-right:0.0pt;mso-wrap-distance-bottom:0.0pt;" coordorigin="0,0" coordsize="2047875,1442008">
                <w10:wrap type="none" side="bothSides" anchorx="text"/>
                <v:line id="_x0000_s1030" style="position:absolute;left:0;top:1192320;width:216033;height:205956;">
                  <v:fill on="f"/>
                  <v:stroke filltype="solid" color="#000000" opacity="100.0%" weight="0.5pt" dashstyle="solid" endcap="flat" miterlimit="800.0%" joinstyle="miter" linestyle="single" startarrow="none" startarrowwidth="medium" startarrowlength="medium" endarrow="block" endarrowwidth="medium" endarrowlength="medium"/>
                </v:line>
                <v:line id="_x0000_s1031" style="position:absolute;left:792021;top:813970;width:214962;height:202848;">
                  <v:fill on="f"/>
                  <v:stroke filltype="solid" color="#000000" opacity="100.0%" weight="0.5pt" dashstyle="solid" endcap="flat" miterlimit="800.0%" joinstyle="miter" linestyle="single" startarrow="none" startarrowwidth="medium" startarrowlength="medium" endarrow="block" endarrowwidth="medium" endarrowlength="medium"/>
                </v:line>
                <v:shape id="_x0000_s1032" type="#_x0000_t202" style="position:absolute;left:527650;top:621681;width:441885;height:223625;">
                  <v:fill on="f"/>
                  <v:stroke on="f" weight="1.0pt" dashstyle="solid" endcap="flat" miterlimit="400.0%" joinstyle="miter" linestyle="single" startarrow="none" startarrowwidth="medium" startarrowlength="medium" endarrow="none" endarrowwidth="medium" endarrowlength="medium"/>
                  <v:textbox>
                    <w:txbxContent>
                      <w:p>
                        <w:pPr>
                          <w:pStyle w:val="Normal (Web)"/>
                          <w:spacing w:before="0" w:after="0"/>
                        </w:pPr>
                        <w:r>
                          <w:rPr>
                            <w:b w:val="1"/>
                            <w:bCs w:val="1"/>
                            <w:sz w:val="22"/>
                            <w:szCs w:val="22"/>
                            <w:rtl w:val="0"/>
                            <w:lang w:val="en-US"/>
                          </w:rPr>
                          <w:t>MACC</w:t>
                        </w:r>
                      </w:p>
                    </w:txbxContent>
                  </v:textbox>
                </v:shape>
                <v:line id="_x0000_s1033" style="position:absolute;left:840136;top:1435621;width:245136;height:6387;flip:x y;">
                  <v:fill on="f"/>
                  <v:stroke filltype="solid" color="#000000" opacity="100.0%" weight="0.5pt" dashstyle="solid" endcap="flat" miterlimit="800.0%" joinstyle="miter" linestyle="single" startarrow="none" startarrowwidth="medium" startarrowlength="medium" endarrow="block" endarrowwidth="medium" endarrowlength="medium"/>
                </v:line>
                <v:line id="_x0000_s1034" style="position:absolute;left:1819193;top:0;width:0;height:431860;flip:y;">
                  <v:fill on="f"/>
                  <v:stroke filltype="solid" color="#000000" opacity="100.0%" weight="0.5pt" dashstyle="solid" endcap="flat" miterlimit="800.0%" joinstyle="miter" linestyle="single" startarrow="none" startarrowwidth="medium" startarrowlength="medium" endarrow="block" endarrowwidth="medium" endarrowlength="medium"/>
                </v:line>
                <v:line id="_x0000_s1035" style="position:absolute;left:2046617;top:0;width:1258;height:244851;flip:x y;">
                  <v:fill on="f"/>
                  <v:stroke filltype="solid" color="#000000" opacity="100.0%" weight="0.5pt" dashstyle="solid" endcap="flat" miterlimit="800.0%" joinstyle="miter" linestyle="single" startarrow="none" startarrowwidth="medium" startarrowlength="medium" endarrow="block" endarrowwidth="medium" endarrowlength="medium"/>
                </v:line>
              </v:group>
            </w:pict>
          </mc:Fallback>
        </mc:AlternateContent>
      </w:r>
      <w:r>
        <w:drawing xmlns:a="http://schemas.openxmlformats.org/drawingml/2006/main">
          <wp:inline distT="0" distB="0" distL="0" distR="0">
            <wp:extent cx="5702317" cy="3894135"/>
            <wp:effectExtent l="0" t="0" r="0" b="0"/>
            <wp:docPr id="1073741842" name="officeArt object"/>
            <wp:cNvGraphicFramePr/>
            <a:graphic xmlns:a="http://schemas.openxmlformats.org/drawingml/2006/main">
              <a:graphicData uri="http://schemas.openxmlformats.org/drawingml/2006/chart">
                <c:chart xmlns:c="http://schemas.openxmlformats.org/drawingml/2006/chart" r:id="rId11"/>
              </a:graphicData>
            </a:graphic>
          </wp:inline>
        </w:drawing>
      </w:r>
      <w:r>
        <mc:AlternateContent>
          <mc:Choice Requires="wps">
            <w:drawing xmlns:a="http://schemas.openxmlformats.org/drawingml/2006/main">
              <wp:inline distT="0" distB="0" distL="0" distR="0">
                <wp:extent cx="512429" cy="203732"/>
                <wp:effectExtent l="0" t="0" r="0" b="0"/>
                <wp:docPr id="1073741843" name="officeArt object" descr="TextBox 1"/>
                <wp:cNvGraphicFramePr/>
                <a:graphic xmlns:a="http://schemas.openxmlformats.org/drawingml/2006/main">
                  <a:graphicData uri="http://schemas.microsoft.com/office/word/2010/wordprocessingShape">
                    <wps:wsp>
                      <wps:cNvSpPr txBox="1"/>
                      <wps:spPr>
                        <a:xfrm>
                          <a:off x="0" y="0"/>
                          <a:ext cx="512429" cy="203732"/>
                        </a:xfrm>
                        <a:prstGeom prst="rect">
                          <a:avLst/>
                        </a:prstGeom>
                        <a:noFill/>
                        <a:ln w="12700" cap="flat">
                          <a:noFill/>
                          <a:miter lim="400000"/>
                        </a:ln>
                        <a:effectLst/>
                      </wps:spPr>
                      <wps:txbx>
                        <w:txbxContent>
                          <w:p>
                            <w:pPr>
                              <w:pStyle w:val="Caption"/>
                            </w:pPr>
                            <w:r>
                              <w:rPr>
                                <w:b w:val="1"/>
                                <w:bCs w:val="1"/>
                                <w:sz w:val="22"/>
                                <w:szCs w:val="22"/>
                                <w:rtl w:val="0"/>
                                <w:lang w:val="en-US"/>
                              </w:rPr>
                              <w:t>CPACC</w:t>
                            </w:r>
                          </w:p>
                        </w:txbxContent>
                      </wps:txbx>
                      <wps:bodyPr wrap="square" lIns="45719" tIns="45719" rIns="45719" bIns="45719" numCol="1" anchor="t">
                        <a:noAutofit/>
                      </wps:bodyPr>
                    </wps:wsp>
                  </a:graphicData>
                </a:graphic>
              </wp:inline>
            </w:drawing>
          </mc:Choice>
          <mc:Fallback>
            <w:pict>
              <v:shape id="_x0000_s1036" type="#_x0000_t202" style="visibility:visible;width:40.3pt;height:16.0pt;">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b w:val="1"/>
                          <w:bCs w:val="1"/>
                          <w:sz w:val="22"/>
                          <w:szCs w:val="22"/>
                          <w:rtl w:val="0"/>
                          <w:lang w:val="en-US"/>
                        </w:rPr>
                        <w:t>CPACC</w:t>
                      </w:r>
                    </w:p>
                  </w:txbxContent>
                </v:textbox>
              </v:shape>
            </w:pict>
          </mc:Fallback>
        </mc:AlternateContent>
      </w:r>
      <w:r>
        <mc:AlternateContent>
          <mc:Choice Requires="wps">
            <w:drawing xmlns:a="http://schemas.openxmlformats.org/drawingml/2006/main">
              <wp:inline distT="0" distB="0" distL="0" distR="0">
                <wp:extent cx="1050623" cy="203692"/>
                <wp:effectExtent l="0" t="0" r="0" b="0"/>
                <wp:docPr id="1073741844" name="officeArt object" descr="TextBox 1"/>
                <wp:cNvGraphicFramePr/>
                <a:graphic xmlns:a="http://schemas.openxmlformats.org/drawingml/2006/main">
                  <a:graphicData uri="http://schemas.microsoft.com/office/word/2010/wordprocessingShape">
                    <wps:wsp>
                      <wps:cNvSpPr txBox="1"/>
                      <wps:spPr>
                        <a:xfrm>
                          <a:off x="0" y="0"/>
                          <a:ext cx="1050623" cy="203692"/>
                        </a:xfrm>
                        <a:prstGeom prst="rect">
                          <a:avLst/>
                        </a:prstGeom>
                        <a:noFill/>
                        <a:ln w="12700" cap="flat">
                          <a:noFill/>
                          <a:miter lim="400000"/>
                        </a:ln>
                        <a:effectLst/>
                      </wps:spPr>
                      <wps:txbx>
                        <w:txbxContent>
                          <w:p>
                            <w:pPr>
                              <w:pStyle w:val="Caption"/>
                              <w:tabs>
                                <w:tab w:val="left" w:pos="1440"/>
                              </w:tabs>
                            </w:pPr>
                            <w:r>
                              <w:rPr>
                                <w:sz w:val="16"/>
                                <w:szCs w:val="16"/>
                                <w:rtl w:val="0"/>
                                <w:lang w:val="en-US"/>
                              </w:rPr>
                              <w:t xml:space="preserve">Indian Ocean Tsunami </w:t>
                            </w:r>
                          </w:p>
                        </w:txbxContent>
                      </wps:txbx>
                      <wps:bodyPr wrap="square" lIns="45719" tIns="45719" rIns="45719" bIns="45719" numCol="1" anchor="t">
                        <a:noAutofit/>
                      </wps:bodyPr>
                    </wps:wsp>
                  </a:graphicData>
                </a:graphic>
              </wp:inline>
            </w:drawing>
          </mc:Choice>
          <mc:Fallback>
            <w:pict>
              <v:shape id="_x0000_s1037" type="#_x0000_t202" style="visibility:visible;width:82.7pt;height:16.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s>
                      </w:pPr>
                      <w:r>
                        <w:rPr>
                          <w:sz w:val="16"/>
                          <w:szCs w:val="16"/>
                          <w:rtl w:val="0"/>
                          <w:lang w:val="en-US"/>
                        </w:rPr>
                        <w:t xml:space="preserve">Indian Ocean Tsunami </w:t>
                      </w:r>
                    </w:p>
                  </w:txbxContent>
                </v:textbox>
              </v:shape>
            </w:pict>
          </mc:Fallback>
        </mc:AlternateContent>
      </w:r>
      <w:r>
        <mc:AlternateContent>
          <mc:Choice Requires="wps">
            <w:drawing xmlns:a="http://schemas.openxmlformats.org/drawingml/2006/main">
              <wp:inline distT="0" distB="0" distL="0" distR="0">
                <wp:extent cx="656859" cy="358035"/>
                <wp:effectExtent l="0" t="0" r="0" b="0"/>
                <wp:docPr id="1073741845" name="officeArt object" descr="TextBox 1"/>
                <wp:cNvGraphicFramePr/>
                <a:graphic xmlns:a="http://schemas.openxmlformats.org/drawingml/2006/main">
                  <a:graphicData uri="http://schemas.microsoft.com/office/word/2010/wordprocessingShape">
                    <wps:wsp>
                      <wps:cNvSpPr txBox="1"/>
                      <wps:spPr>
                        <a:xfrm>
                          <a:off x="0" y="0"/>
                          <a:ext cx="656859" cy="358035"/>
                        </a:xfrm>
                        <a:prstGeom prst="rect">
                          <a:avLst/>
                        </a:prstGeom>
                        <a:noFill/>
                        <a:ln w="12700" cap="flat">
                          <a:noFill/>
                          <a:miter lim="400000"/>
                        </a:ln>
                        <a:effectLst/>
                      </wps:spPr>
                      <wps:txbx>
                        <w:txbxContent>
                          <w:p>
                            <w:pPr>
                              <w:pStyle w:val="Caption"/>
                              <w:jc w:val="center"/>
                              <w:rPr>
                                <w:sz w:val="22"/>
                                <w:szCs w:val="22"/>
                                <w:lang w:val="en-US"/>
                              </w:rPr>
                            </w:pPr>
                            <w:r>
                              <w:rPr>
                                <w:sz w:val="14"/>
                                <w:szCs w:val="14"/>
                                <w:rtl w:val="0"/>
                                <w:lang w:val="en-US"/>
                              </w:rPr>
                              <w:t>Hurricanes</w:t>
                            </w:r>
                          </w:p>
                          <w:p>
                            <w:pPr>
                              <w:pStyle w:val="Caption"/>
                              <w:jc w:val="center"/>
                            </w:pPr>
                            <w:r>
                              <w:rPr>
                                <w:sz w:val="14"/>
                                <w:szCs w:val="14"/>
                                <w:rtl w:val="0"/>
                                <w:lang w:val="en-US"/>
                              </w:rPr>
                              <w:t xml:space="preserve"> Irma and Maria</w:t>
                            </w:r>
                          </w:p>
                        </w:txbxContent>
                      </wps:txbx>
                      <wps:bodyPr wrap="square" lIns="45719" tIns="45719" rIns="45719" bIns="45719" numCol="1" anchor="t">
                        <a:noAutofit/>
                      </wps:bodyPr>
                    </wps:wsp>
                  </a:graphicData>
                </a:graphic>
              </wp:inline>
            </w:drawing>
          </mc:Choice>
          <mc:Fallback>
            <w:pict>
              <v:shape id="_x0000_s1038" type="#_x0000_t202" style="visibility:visible;width:51.7pt;height:28.2pt;">
                <v:fill on="f"/>
                <v:stroke on="f" weight="1.0pt" dashstyle="solid" endcap="flat" miterlimit="400.0%" joinstyle="miter" linestyle="single" startarrow="none" startarrowwidth="medium" startarrowlength="medium" endarrow="none" endarrowwidth="medium" endarrowlength="medium"/>
                <v:textbox>
                  <w:txbxContent>
                    <w:p>
                      <w:pPr>
                        <w:pStyle w:val="Caption"/>
                        <w:jc w:val="center"/>
                        <w:rPr>
                          <w:sz w:val="22"/>
                          <w:szCs w:val="22"/>
                          <w:lang w:val="en-US"/>
                        </w:rPr>
                      </w:pPr>
                      <w:r>
                        <w:rPr>
                          <w:sz w:val="14"/>
                          <w:szCs w:val="14"/>
                          <w:rtl w:val="0"/>
                          <w:lang w:val="en-US"/>
                        </w:rPr>
                        <w:t>Hurricanes</w:t>
                      </w:r>
                    </w:p>
                    <w:p>
                      <w:pPr>
                        <w:pStyle w:val="Caption"/>
                        <w:jc w:val="center"/>
                      </w:pPr>
                      <w:r>
                        <w:rPr>
                          <w:sz w:val="14"/>
                          <w:szCs w:val="14"/>
                          <w:rtl w:val="0"/>
                          <w:lang w:val="en-US"/>
                        </w:rPr>
                        <w:t xml:space="preserve"> Irma and Maria</w:t>
                      </w:r>
                    </w:p>
                  </w:txbxContent>
                </v:textbox>
              </v:shape>
            </w:pict>
          </mc:Fallback>
        </mc:AlternateContent>
      </w:r>
      <w:r>
        <mc:AlternateContent>
          <mc:Choice Requires="wps">
            <w:drawing xmlns:a="http://schemas.openxmlformats.org/drawingml/2006/main">
              <wp:inline distT="0" distB="0" distL="0" distR="0">
                <wp:extent cx="647825" cy="498416"/>
                <wp:effectExtent l="0" t="0" r="0" b="0"/>
                <wp:docPr id="1073741846" name="officeArt object" descr="TextBox 1"/>
                <wp:cNvGraphicFramePr/>
                <a:graphic xmlns:a="http://schemas.openxmlformats.org/drawingml/2006/main">
                  <a:graphicData uri="http://schemas.microsoft.com/office/word/2010/wordprocessingShape">
                    <wps:wsp>
                      <wps:cNvSpPr txBox="1"/>
                      <wps:spPr>
                        <a:xfrm>
                          <a:off x="0" y="0"/>
                          <a:ext cx="647825" cy="498416"/>
                        </a:xfrm>
                        <a:prstGeom prst="rect">
                          <a:avLst/>
                        </a:prstGeom>
                        <a:noFill/>
                        <a:ln w="12700" cap="flat">
                          <a:noFill/>
                          <a:miter lim="400000"/>
                        </a:ln>
                        <a:effectLst/>
                      </wps:spPr>
                      <wps:txbx>
                        <w:txbxContent>
                          <w:p>
                            <w:pPr>
                              <w:pStyle w:val="Caption"/>
                              <w:jc w:val="center"/>
                            </w:pPr>
                            <w:r>
                              <w:rPr>
                                <w:sz w:val="14"/>
                                <w:szCs w:val="14"/>
                                <w:rtl w:val="0"/>
                                <w:lang w:val="en-US"/>
                              </w:rPr>
                              <w:t>COVID-19 Pandemic and Hurricane Iota</w:t>
                            </w:r>
                          </w:p>
                        </w:txbxContent>
                      </wps:txbx>
                      <wps:bodyPr wrap="square" lIns="45719" tIns="45719" rIns="45719" bIns="45719" numCol="1" anchor="t">
                        <a:noAutofit/>
                      </wps:bodyPr>
                    </wps:wsp>
                  </a:graphicData>
                </a:graphic>
              </wp:inline>
            </w:drawing>
          </mc:Choice>
          <mc:Fallback>
            <w:pict>
              <v:shape id="_x0000_s1039" type="#_x0000_t202" style="visibility:visible;width:51.0pt;height:39.2pt;">
                <v:fill on="f"/>
                <v:stroke on="f" weight="1.0pt" dashstyle="solid" endcap="flat" miterlimit="400.0%" joinstyle="miter" linestyle="single" startarrow="none" startarrowwidth="medium" startarrowlength="medium" endarrow="none" endarrowwidth="medium" endarrowlength="medium"/>
                <v:textbox>
                  <w:txbxContent>
                    <w:p>
                      <w:pPr>
                        <w:pStyle w:val="Caption"/>
                        <w:jc w:val="center"/>
                      </w:pPr>
                      <w:r>
                        <w:rPr>
                          <w:sz w:val="14"/>
                          <w:szCs w:val="14"/>
                          <w:rtl w:val="0"/>
                          <w:lang w:val="en-US"/>
                        </w:rPr>
                        <w:t>COVID-19 Pandemic and Hurricane Iota</w:t>
                      </w:r>
                    </w:p>
                  </w:txbxContent>
                </v:textbox>
              </v:shape>
            </w:pict>
          </mc:Fallback>
        </mc:AlternateContent>
      </w:r>
    </w:p>
    <w:p>
      <w:pPr>
        <w:pStyle w:val="Body"/>
        <w:spacing w:after="200" w:line="240" w:lineRule="auto"/>
        <w:jc w:val="center"/>
        <w:rPr>
          <w:i w:val="1"/>
          <w:iCs w:val="1"/>
          <w:outline w:val="0"/>
          <w:color w:val="44546a"/>
          <w:sz w:val="18"/>
          <w:szCs w:val="18"/>
          <w:u w:color="44546a"/>
          <w14:textFill>
            <w14:solidFill>
              <w14:srgbClr w14:val="44546A"/>
            </w14:solidFill>
          </w14:textFill>
        </w:rPr>
      </w:pPr>
      <w:r>
        <w:rPr>
          <w:i w:val="1"/>
          <w:iCs w:val="1"/>
          <w:outline w:val="0"/>
          <w:color w:val="44546a"/>
          <w:sz w:val="18"/>
          <w:szCs w:val="18"/>
          <w:u w:color="44546a"/>
          <w:rtl w:val="0"/>
          <w:lang w:val="en-US"/>
          <w14:textFill>
            <w14:solidFill>
              <w14:srgbClr w14:val="44546A"/>
            </w14:solidFill>
          </w14:textFill>
        </w:rPr>
        <w:t>Graph 3. Number of operational  coastal sea level stations 1960 to 2022.  )</w:t>
      </w:r>
    </w:p>
    <w:p>
      <w:pPr>
        <w:pStyle w:val="Body"/>
      </w:pPr>
      <w:r>
        <w:rPr>
          <w:rtl w:val="0"/>
          <w:lang w:val="en-US"/>
        </w:rPr>
        <w:t>Of the 184 stations being reported, 176 stations are coastal sea level stations and 8 of are DARTs. The DARTs are going to be discussed in another section of this report. For the coastal Sea Level stations, each station has one or more sensors: radars (rad, ra1, ra2), pressure (prs, pr1, pr2), float (flt) or acoustic (Aquatrack, aqu). Graph 4 shows the distribution of types of sensors. For US stations, the nomenclature of primary water level sensor (pwl) or backup water level sensor (bwl) is used depending on operational status, not on the type of sensors. In the past, the pwl were mostly Aquatrack sensors, but these have been replaced with radar sensors, while bwl sensors are bubblers or pressure sensors.</w:t>
      </w:r>
    </w:p>
    <w:p>
      <w:pPr>
        <w:pStyle w:val="Body"/>
      </w:pPr>
      <w:r>
        <w:rPr>
          <w:rtl w:val="0"/>
          <w:lang w:val="en-US"/>
        </w:rPr>
        <w:t>For December 2022</w:t>
      </w:r>
      <w:r>
        <w:rPr>
          <w:outline w:val="0"/>
          <w:color w:val="000000"/>
          <w:u w:color="000000"/>
          <w:rtl w:val="0"/>
          <w14:textFill>
            <w14:solidFill>
              <w14:srgbClr w14:val="000000"/>
            </w14:solidFill>
          </w14:textFill>
        </w:rPr>
        <w:t xml:space="preserve">, </w:t>
      </w:r>
      <w:r>
        <w:rPr>
          <w:rtl w:val="0"/>
        </w:rPr>
        <w:t xml:space="preserve">68 </w:t>
      </w:r>
      <w:r>
        <w:rPr>
          <w:outline w:val="0"/>
          <w:color w:val="000000"/>
          <w:u w:color="000000"/>
          <w:rtl w:val="0"/>
          <w:lang w:val="en-US"/>
          <w14:textFill>
            <w14:solidFill>
              <w14:srgbClr w14:val="000000"/>
            </w14:solidFill>
          </w14:textFill>
        </w:rPr>
        <w:t xml:space="preserve">stations were contributing RTX while 30 stations were down. The other </w:t>
      </w:r>
      <w:r>
        <w:rPr>
          <w:rtl w:val="0"/>
        </w:rPr>
        <w:t>86</w:t>
      </w:r>
      <w:r>
        <w:rPr>
          <w:outline w:val="0"/>
          <w:color w:val="000000"/>
          <w:u w:color="000000"/>
          <w:rtl w:val="0"/>
          <w:lang w:val="en-US"/>
          <w14:textFill>
            <w14:solidFill>
              <w14:srgbClr w14:val="000000"/>
            </w14:solidFill>
          </w14:textFill>
        </w:rPr>
        <w:t xml:space="preserve"> stations are existing (data not available), removed, planned, unknown</w:t>
      </w:r>
      <w:r>
        <w:rPr>
          <w:rtl w:val="0"/>
        </w:rPr>
        <w:t xml:space="preserve"> </w:t>
      </w:r>
      <w:r>
        <w:rPr>
          <w:outline w:val="0"/>
          <w:color w:val="000000"/>
          <w:u w:color="000000"/>
          <w:rtl w:val="0"/>
          <w:lang w:val="it-IT"/>
          <w14:textFill>
            <w14:solidFill>
              <w14:srgbClr w14:val="000000"/>
            </w14:solidFill>
          </w14:textFill>
        </w:rPr>
        <w:t xml:space="preserve">or represent gaps in monitoring. </w:t>
      </w:r>
    </w:p>
    <w:p>
      <w:pPr>
        <w:pStyle w:val="Body"/>
      </w:pPr>
      <w:r>
        <w:drawing xmlns:a="http://schemas.openxmlformats.org/drawingml/2006/main">
          <wp:inline distT="0" distB="0" distL="0" distR="0">
            <wp:extent cx="4931781" cy="2934212"/>
            <wp:effectExtent l="0" t="0" r="0" b="0"/>
            <wp:docPr id="1073741847" name="officeArt object"/>
            <wp:cNvGraphicFramePr/>
            <a:graphic xmlns:a="http://schemas.openxmlformats.org/drawingml/2006/main">
              <a:graphicData uri="http://schemas.openxmlformats.org/drawingml/2006/chart">
                <c:chart xmlns:c="http://schemas.openxmlformats.org/drawingml/2006/chart" r:id="rId12"/>
              </a:graphicData>
            </a:graphic>
          </wp:inline>
        </w:drawing>
      </w:r>
    </w:p>
    <w:p>
      <w:pPr>
        <w:pStyle w:val="Body"/>
        <w:spacing w:after="200" w:line="240" w:lineRule="auto"/>
        <w:jc w:val="center"/>
        <w:rPr>
          <w:i w:val="1"/>
          <w:iCs w:val="1"/>
          <w:outline w:val="0"/>
          <w:color w:val="44546a"/>
          <w:sz w:val="18"/>
          <w:szCs w:val="18"/>
          <w:u w:color="44546a"/>
          <w14:textFill>
            <w14:solidFill>
              <w14:srgbClr w14:val="44546A"/>
            </w14:solidFill>
          </w14:textFill>
        </w:rPr>
      </w:pPr>
      <w:r>
        <w:rPr>
          <w:i w:val="1"/>
          <w:iCs w:val="1"/>
          <w:outline w:val="0"/>
          <w:color w:val="44546a"/>
          <w:sz w:val="18"/>
          <w:szCs w:val="18"/>
          <w:u w:color="44546a"/>
          <w:rtl w:val="0"/>
          <w:lang w:val="en-US"/>
          <w14:textFill>
            <w14:solidFill>
              <w14:srgbClr w14:val="44546A"/>
            </w14:solidFill>
          </w14:textFill>
        </w:rPr>
        <w:t>Graph 4. Types of sensors for 2022.</w:t>
      </w:r>
    </w:p>
    <w:p>
      <w:pPr>
        <w:pStyle w:val="Body"/>
        <w:rPr>
          <w:b w:val="1"/>
          <w:bCs w:val="1"/>
          <w:sz w:val="26"/>
          <w:szCs w:val="26"/>
        </w:rPr>
      </w:pPr>
    </w:p>
    <w:p>
      <w:pPr>
        <w:pStyle w:val="Heading"/>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de-DE"/>
          <w14:textFill>
            <w14:solidFill>
              <w14:srgbClr w14:val="000000"/>
            </w14:solidFill>
          </w14:textFill>
        </w:rPr>
        <w:t xml:space="preserve">DART </w:t>
      </w:r>
    </w:p>
    <w:p>
      <w:pPr>
        <w:pStyle w:val="Body"/>
        <w:jc w:val="both"/>
      </w:pPr>
    </w:p>
    <w:p>
      <w:pPr>
        <w:pStyle w:val="Body"/>
        <w:jc w:val="both"/>
        <w:rPr>
          <w:rStyle w:val="None"/>
          <w:shd w:val="clear" w:color="auto" w:fill="ffff00"/>
        </w:rPr>
      </w:pPr>
      <w:r>
        <w:rPr>
          <w:rtl w:val="0"/>
          <w:lang w:val="en-US"/>
        </w:rPr>
        <w:t>To facilitate early detection of tsunamis and to acquire data critical to real-time forecasts, NOAA operates Deep-ocean Assessment and Reporting of Tsunami (DART</w:t>
      </w:r>
      <w:r>
        <w:rPr>
          <w:rtl w:val="0"/>
        </w:rPr>
        <w:t>®</w:t>
      </w:r>
      <w:r>
        <w:rPr>
          <w:rtl w:val="0"/>
          <w:lang w:val="en-US"/>
        </w:rPr>
        <w:t xml:space="preserve">) stations at sites in regions with a history of generating destructive tsunamis. NOAA completed the original 6-buoy operational array (map of original six stations) in 2001 and expanded to a full network of 39 stations in March 2008.  See </w:t>
      </w:r>
      <w:r>
        <w:rPr>
          <w:rStyle w:val="Hyperlink.1"/>
        </w:rPr>
        <w:fldChar w:fldCharType="begin" w:fldLock="0"/>
      </w:r>
      <w:r>
        <w:rPr>
          <w:rStyle w:val="Hyperlink.1"/>
        </w:rPr>
        <w:instrText xml:space="preserve"> HYPERLINK "https://nctr.pmel.noaa.gov/Dart/index.html"</w:instrText>
      </w:r>
      <w:r>
        <w:rPr>
          <w:rStyle w:val="Hyperlink.1"/>
        </w:rPr>
        <w:fldChar w:fldCharType="separate" w:fldLock="0"/>
      </w:r>
      <w:r>
        <w:rPr>
          <w:rStyle w:val="Hyperlink.1"/>
          <w:rtl w:val="0"/>
          <w:lang w:val="de-DE"/>
        </w:rPr>
        <w:t>DART</w:t>
      </w:r>
      <w:r>
        <w:rPr>
          <w:rStyle w:val="Hyperlink.1"/>
          <w:rtl w:val="0"/>
        </w:rPr>
        <w:t xml:space="preserve">® </w:t>
      </w:r>
      <w:r>
        <w:rPr>
          <w:rStyle w:val="Hyperlink.1"/>
          <w:rtl w:val="0"/>
          <w:lang w:val="en-US"/>
        </w:rPr>
        <w:t>development</w:t>
      </w:r>
      <w:r>
        <w:rPr/>
        <w:fldChar w:fldCharType="end" w:fldLock="0"/>
      </w:r>
      <w:r>
        <w:rPr>
          <w:rStyle w:val="None"/>
          <w:rtl w:val="0"/>
          <w:lang w:val="en-US"/>
        </w:rPr>
        <w:t xml:space="preserve"> for more info. Since 2008 there have been changes of locations and upgraded technology.  </w:t>
      </w:r>
    </w:p>
    <w:p>
      <w:pPr>
        <w:pStyle w:val="Body"/>
        <w:jc w:val="both"/>
      </w:pPr>
      <w:r>
        <w:rPr>
          <w:rStyle w:val="None"/>
          <w:rtl w:val="0"/>
          <w:lang w:val="en-US"/>
        </w:rPr>
        <w:t xml:space="preserve">The National Data Buoy Center (NDBC) currently is responsible for the operation of the DARTs. However, the Pacific Tsunami Warning Centre and the IOC Sea Level Monitoring Facility also report DART stations availability using NOAA web services. </w:t>
      </w:r>
    </w:p>
    <w:p>
      <w:pPr>
        <w:pStyle w:val="Body"/>
        <w:jc w:val="both"/>
      </w:pPr>
      <w:r>
        <w:rPr>
          <w:rStyle w:val="None"/>
          <w:rtl w:val="0"/>
          <w:lang w:val="en-US"/>
        </w:rPr>
        <w:t>The DARTs in the Caribbean and Atlantic and included in the report are: Southeast Block Canyon (</w:t>
      </w:r>
      <w:r>
        <w:rPr>
          <w:rStyle w:val="Hyperlink.1"/>
        </w:rPr>
        <w:fldChar w:fldCharType="begin" w:fldLock="0"/>
      </w:r>
      <w:r>
        <w:rPr>
          <w:rStyle w:val="Hyperlink.1"/>
        </w:rPr>
        <w:instrText xml:space="preserve"> HYPERLINK "https://www.ndbc.noaa.gov/station_page.php?station=44402"</w:instrText>
      </w:r>
      <w:r>
        <w:rPr>
          <w:rStyle w:val="Hyperlink.1"/>
        </w:rPr>
        <w:fldChar w:fldCharType="separate" w:fldLock="0"/>
      </w:r>
      <w:r>
        <w:rPr>
          <w:rStyle w:val="Hyperlink.1"/>
          <w:rtl w:val="0"/>
          <w:lang w:val="de-DE"/>
        </w:rPr>
        <w:t>DART 44402</w:t>
      </w:r>
      <w:r>
        <w:rPr/>
        <w:fldChar w:fldCharType="end" w:fldLock="0"/>
      </w:r>
      <w:r>
        <w:rPr>
          <w:rStyle w:val="None"/>
          <w:rtl w:val="0"/>
          <w:lang w:val="en-US"/>
        </w:rPr>
        <w:t>), Sable Island Bank (</w:t>
      </w:r>
      <w:r>
        <w:rPr>
          <w:rStyle w:val="Hyperlink.1"/>
        </w:rPr>
        <w:fldChar w:fldCharType="begin" w:fldLock="0"/>
      </w:r>
      <w:r>
        <w:rPr>
          <w:rStyle w:val="Hyperlink.1"/>
        </w:rPr>
        <w:instrText xml:space="preserve"> HYPERLINK "https://www.ndbc.noaa.gov/station_page.php?station=44403"</w:instrText>
      </w:r>
      <w:r>
        <w:rPr>
          <w:rStyle w:val="Hyperlink.1"/>
        </w:rPr>
        <w:fldChar w:fldCharType="separate" w:fldLock="0"/>
      </w:r>
      <w:r>
        <w:rPr>
          <w:rStyle w:val="Hyperlink.1"/>
          <w:rtl w:val="0"/>
          <w:lang w:val="de-DE"/>
        </w:rPr>
        <w:t>DART 44403</w:t>
      </w:r>
      <w:r>
        <w:rPr/>
        <w:fldChar w:fldCharType="end" w:fldLock="0"/>
      </w:r>
      <w:r>
        <w:rPr>
          <w:rStyle w:val="None"/>
          <w:rtl w:val="0"/>
          <w:lang w:val="en-US"/>
        </w:rPr>
        <w:t>), Southwest Bermuda (</w:t>
      </w:r>
      <w:r>
        <w:rPr>
          <w:rStyle w:val="Hyperlink.1"/>
        </w:rPr>
        <w:fldChar w:fldCharType="begin" w:fldLock="0"/>
      </w:r>
      <w:r>
        <w:rPr>
          <w:rStyle w:val="Hyperlink.1"/>
        </w:rPr>
        <w:instrText xml:space="preserve"> HYPERLINK "https://www.ndbc.noaa.gov/station_history.php?station=41425"</w:instrText>
      </w:r>
      <w:r>
        <w:rPr>
          <w:rStyle w:val="Hyperlink.1"/>
        </w:rPr>
        <w:fldChar w:fldCharType="separate" w:fldLock="0"/>
      </w:r>
      <w:r>
        <w:rPr>
          <w:rStyle w:val="Hyperlink.1"/>
          <w:rtl w:val="0"/>
          <w:lang w:val="de-DE"/>
        </w:rPr>
        <w:t>DART 41425</w:t>
      </w:r>
      <w:r>
        <w:rPr/>
        <w:fldChar w:fldCharType="end" w:fldLock="0"/>
      </w:r>
      <w:r>
        <w:rPr>
          <w:rStyle w:val="None"/>
          <w:rtl w:val="0"/>
          <w:lang w:val="en-US"/>
        </w:rPr>
        <w:t>), South of Puerto Rico (</w:t>
      </w:r>
      <w:r>
        <w:rPr>
          <w:rStyle w:val="Hyperlink.1"/>
        </w:rPr>
        <w:fldChar w:fldCharType="begin" w:fldLock="0"/>
      </w:r>
      <w:r>
        <w:rPr>
          <w:rStyle w:val="Hyperlink.1"/>
        </w:rPr>
        <w:instrText xml:space="preserve"> HYPERLINK "https://www.ndbc.noaa.gov/station_page.php?station=42407"</w:instrText>
      </w:r>
      <w:r>
        <w:rPr>
          <w:rStyle w:val="Hyperlink.1"/>
        </w:rPr>
        <w:fldChar w:fldCharType="separate" w:fldLock="0"/>
      </w:r>
      <w:r>
        <w:rPr>
          <w:rStyle w:val="Hyperlink.1"/>
          <w:rtl w:val="0"/>
        </w:rPr>
        <w:t>DART 42407</w:t>
      </w:r>
      <w:r>
        <w:rPr/>
        <w:fldChar w:fldCharType="end" w:fldLock="0"/>
      </w:r>
      <w:r>
        <w:rPr>
          <w:rStyle w:val="None"/>
          <w:rtl w:val="0"/>
          <w:lang w:val="en-US"/>
        </w:rPr>
        <w:t>), Gulf of Mexico (</w:t>
      </w:r>
      <w:r>
        <w:rPr>
          <w:rStyle w:val="Hyperlink.1"/>
        </w:rPr>
        <w:fldChar w:fldCharType="begin" w:fldLock="0"/>
      </w:r>
      <w:r>
        <w:rPr>
          <w:rStyle w:val="Hyperlink.1"/>
        </w:rPr>
        <w:instrText xml:space="preserve"> HYPERLINK "https://www.ndbc.noaa.gov/station_history.php?station=42409"</w:instrText>
      </w:r>
      <w:r>
        <w:rPr>
          <w:rStyle w:val="Hyperlink.1"/>
        </w:rPr>
        <w:fldChar w:fldCharType="separate" w:fldLock="0"/>
      </w:r>
      <w:r>
        <w:rPr>
          <w:rStyle w:val="Hyperlink.1"/>
          <w:rtl w:val="0"/>
        </w:rPr>
        <w:t>DART 42409</w:t>
      </w:r>
      <w:r>
        <w:rPr/>
        <w:fldChar w:fldCharType="end" w:fldLock="0"/>
      </w:r>
      <w:r>
        <w:rPr>
          <w:rStyle w:val="None"/>
          <w:rtl w:val="0"/>
          <w:lang w:val="de-DE"/>
        </w:rPr>
        <w:t>), Dart Wave Glider Station, West Florida Area (</w:t>
      </w:r>
      <w:r>
        <w:rPr>
          <w:rStyle w:val="Hyperlink.1"/>
        </w:rPr>
        <w:fldChar w:fldCharType="begin" w:fldLock="0"/>
      </w:r>
      <w:r>
        <w:rPr>
          <w:rStyle w:val="Hyperlink.1"/>
        </w:rPr>
        <w:instrText xml:space="preserve"> HYPERLINK "https://www.ndbc.noaa.gov/station_page.php?station=42429"</w:instrText>
      </w:r>
      <w:r>
        <w:rPr>
          <w:rStyle w:val="Hyperlink.1"/>
        </w:rPr>
        <w:fldChar w:fldCharType="separate" w:fldLock="0"/>
      </w:r>
      <w:r>
        <w:rPr>
          <w:rStyle w:val="Hyperlink.1"/>
          <w:rtl w:val="0"/>
        </w:rPr>
        <w:t>DART 42429</w:t>
      </w:r>
      <w:r>
        <w:rPr/>
        <w:fldChar w:fldCharType="end" w:fldLock="0"/>
      </w:r>
      <w:r>
        <w:rPr>
          <w:rStyle w:val="None"/>
          <w:rtl w:val="0"/>
          <w:lang w:val="en-US"/>
        </w:rPr>
        <w:t>), North of St. Thomas (</w:t>
      </w:r>
      <w:r>
        <w:rPr>
          <w:rStyle w:val="Hyperlink.1"/>
        </w:rPr>
        <w:fldChar w:fldCharType="begin" w:fldLock="0"/>
      </w:r>
      <w:r>
        <w:rPr>
          <w:rStyle w:val="Hyperlink.1"/>
        </w:rPr>
        <w:instrText xml:space="preserve"> HYPERLINK "https://www.ndbc.noaa.gov/station_page.php?station=41421"</w:instrText>
      </w:r>
      <w:r>
        <w:rPr>
          <w:rStyle w:val="Hyperlink.1"/>
        </w:rPr>
        <w:fldChar w:fldCharType="separate" w:fldLock="0"/>
      </w:r>
      <w:r>
        <w:rPr>
          <w:rStyle w:val="Hyperlink.1"/>
          <w:rtl w:val="0"/>
          <w:lang w:val="de-DE"/>
        </w:rPr>
        <w:t>DART 41421</w:t>
      </w:r>
      <w:r>
        <w:rPr/>
        <w:fldChar w:fldCharType="end" w:fldLock="0"/>
      </w:r>
      <w:r>
        <w:rPr>
          <w:rStyle w:val="None"/>
          <w:rtl w:val="0"/>
          <w:lang w:val="en-US"/>
        </w:rPr>
        <w:t>) and  North of Santo Domingo (</w:t>
      </w:r>
      <w:r>
        <w:rPr>
          <w:rStyle w:val="Hyperlink.1"/>
        </w:rPr>
        <w:fldChar w:fldCharType="begin" w:fldLock="0"/>
      </w:r>
      <w:r>
        <w:rPr>
          <w:rStyle w:val="Hyperlink.1"/>
        </w:rPr>
        <w:instrText xml:space="preserve"> HYPERLINK "https://www.ndbc.noaa.gov/station_page.php?station=41420"</w:instrText>
      </w:r>
      <w:r>
        <w:rPr>
          <w:rStyle w:val="Hyperlink.1"/>
        </w:rPr>
        <w:fldChar w:fldCharType="separate" w:fldLock="0"/>
      </w:r>
      <w:r>
        <w:rPr>
          <w:rStyle w:val="Hyperlink.1"/>
          <w:rtl w:val="0"/>
          <w:lang w:val="de-DE"/>
        </w:rPr>
        <w:t>DART 41420</w:t>
      </w:r>
      <w:r>
        <w:rPr/>
        <w:fldChar w:fldCharType="end" w:fldLock="0"/>
      </w:r>
      <w:r>
        <w:rPr>
          <w:rStyle w:val="None"/>
          <w:rtl w:val="0"/>
          <w:lang w:val="en-US"/>
        </w:rPr>
        <w:t>).  At the end of 2022 the only stations reporting data online were the DARTs in the Southeast Block Canyon, Southwest Bermuda, and North of St. Thomas (Figures 4 and 5). Graph 5 illustrates the variability of availability of DART data between December 2020 and 2022.</w:t>
      </w:r>
    </w:p>
    <w:p>
      <w:pPr>
        <w:pStyle w:val="Body"/>
        <w:jc w:val="both"/>
      </w:pPr>
      <w:r>
        <w:rPr>
          <w:rStyle w:val="None"/>
        </w:rPr>
        <w:drawing xmlns:a="http://schemas.openxmlformats.org/drawingml/2006/main">
          <wp:inline distT="0" distB="0" distL="0" distR="0">
            <wp:extent cx="5943600" cy="4284346"/>
            <wp:effectExtent l="0" t="0" r="0" b="0"/>
            <wp:docPr id="1073741848" name="officeArt object" descr="Picture 13"/>
            <wp:cNvGraphicFramePr/>
            <a:graphic xmlns:a="http://schemas.openxmlformats.org/drawingml/2006/main">
              <a:graphicData uri="http://schemas.openxmlformats.org/drawingml/2006/picture">
                <pic:pic xmlns:pic="http://schemas.openxmlformats.org/drawingml/2006/picture">
                  <pic:nvPicPr>
                    <pic:cNvPr id="1073741848" name="Picture 13" descr="Picture 13"/>
                    <pic:cNvPicPr>
                      <a:picLocks noChangeAspect="1"/>
                    </pic:cNvPicPr>
                  </pic:nvPicPr>
                  <pic:blipFill>
                    <a:blip r:embed="rId13">
                      <a:extLst/>
                    </a:blip>
                    <a:stretch>
                      <a:fillRect/>
                    </a:stretch>
                  </pic:blipFill>
                  <pic:spPr>
                    <a:xfrm>
                      <a:off x="0" y="0"/>
                      <a:ext cx="5943600" cy="4284346"/>
                    </a:xfrm>
                    <a:prstGeom prst="rect">
                      <a:avLst/>
                    </a:prstGeom>
                    <a:ln w="12700" cap="flat">
                      <a:noFill/>
                      <a:miter lim="400000"/>
                    </a:ln>
                    <a:effectLst/>
                  </pic:spPr>
                </pic:pic>
              </a:graphicData>
            </a:graphic>
          </wp:inline>
        </w:drawing>
      </w:r>
    </w:p>
    <w:p>
      <w:pPr>
        <w:pStyle w:val="Body"/>
        <w:spacing w:after="200" w:line="240" w:lineRule="auto"/>
        <w:jc w:val="center"/>
        <w:rPr>
          <w:rStyle w:val="None"/>
          <w:i w:val="1"/>
          <w:iCs w:val="1"/>
          <w:outline w:val="0"/>
          <w:color w:val="44546a"/>
          <w:sz w:val="18"/>
          <w:szCs w:val="18"/>
          <w:u w:color="44546a"/>
          <w14:textFill>
            <w14:solidFill>
              <w14:srgbClr w14:val="44546A"/>
            </w14:solidFill>
          </w14:textFill>
        </w:rPr>
      </w:pPr>
      <w:r>
        <w:rPr>
          <w:rStyle w:val="None"/>
          <w:i w:val="1"/>
          <w:iCs w:val="1"/>
          <w:outline w:val="0"/>
          <w:color w:val="44546a"/>
          <w:sz w:val="18"/>
          <w:szCs w:val="18"/>
          <w:u w:color="44546a"/>
          <w:rtl w:val="0"/>
          <w:lang w:val="en-US"/>
          <w14:textFill>
            <w14:solidFill>
              <w14:srgbClr w14:val="44546A"/>
            </w14:solidFill>
          </w14:textFill>
        </w:rPr>
        <w:t>Figure 4. Map of DART stations for December 2022.</w:t>
      </w:r>
    </w:p>
    <w:p>
      <w:pPr>
        <w:pStyle w:val="Body"/>
        <w:keepNext w:val="1"/>
        <w:jc w:val="center"/>
      </w:pPr>
      <w:r>
        <w:rPr>
          <w:rStyle w:val="None"/>
          <w:rtl w:val="0"/>
        </w:rPr>
        <w:t xml:space="preserve"> </w:t>
      </w:r>
      <w:r>
        <w:rPr>
          <w:rStyle w:val="None"/>
        </w:rPr>
        <w:drawing xmlns:a="http://schemas.openxmlformats.org/drawingml/2006/main">
          <wp:inline distT="0" distB="0" distL="0" distR="0">
            <wp:extent cx="5943600" cy="3465196"/>
            <wp:effectExtent l="0" t="0" r="0" b="0"/>
            <wp:docPr id="1073741849" name="officeArt object" descr="Picture 1"/>
            <wp:cNvGraphicFramePr/>
            <a:graphic xmlns:a="http://schemas.openxmlformats.org/drawingml/2006/main">
              <a:graphicData uri="http://schemas.openxmlformats.org/drawingml/2006/picture">
                <pic:pic xmlns:pic="http://schemas.openxmlformats.org/drawingml/2006/picture">
                  <pic:nvPicPr>
                    <pic:cNvPr id="1073741849" name="Picture 1" descr="Picture 1"/>
                    <pic:cNvPicPr>
                      <a:picLocks noChangeAspect="1"/>
                    </pic:cNvPicPr>
                  </pic:nvPicPr>
                  <pic:blipFill>
                    <a:blip r:embed="rId14">
                      <a:extLst/>
                    </a:blip>
                    <a:stretch>
                      <a:fillRect/>
                    </a:stretch>
                  </pic:blipFill>
                  <pic:spPr>
                    <a:xfrm>
                      <a:off x="0" y="0"/>
                      <a:ext cx="5943600" cy="3465196"/>
                    </a:xfrm>
                    <a:prstGeom prst="rect">
                      <a:avLst/>
                    </a:prstGeom>
                    <a:ln w="12700" cap="flat">
                      <a:noFill/>
                      <a:miter lim="400000"/>
                    </a:ln>
                    <a:effectLst/>
                  </pic:spPr>
                </pic:pic>
              </a:graphicData>
            </a:graphic>
          </wp:inline>
        </w:drawing>
      </w:r>
    </w:p>
    <w:p>
      <w:pPr>
        <w:pStyle w:val="Body"/>
        <w:spacing w:after="200" w:line="240" w:lineRule="auto"/>
        <w:jc w:val="center"/>
        <w:rPr>
          <w:rStyle w:val="None"/>
          <w:i w:val="1"/>
          <w:iCs w:val="1"/>
          <w:outline w:val="0"/>
          <w:color w:val="44546a"/>
          <w:sz w:val="18"/>
          <w:szCs w:val="18"/>
          <w:u w:color="44546a"/>
          <w14:textFill>
            <w14:solidFill>
              <w14:srgbClr w14:val="44546A"/>
            </w14:solidFill>
          </w14:textFill>
        </w:rPr>
      </w:pPr>
      <w:r>
        <w:rPr>
          <w:rStyle w:val="None"/>
          <w:i w:val="1"/>
          <w:iCs w:val="1"/>
          <w:outline w:val="0"/>
          <w:color w:val="44546a"/>
          <w:sz w:val="18"/>
          <w:szCs w:val="18"/>
          <w:u w:color="44546a"/>
          <w:rtl w:val="0"/>
          <w:lang w:val="en-US"/>
          <w14:textFill>
            <w14:solidFill>
              <w14:srgbClr w14:val="44546A"/>
            </w14:solidFill>
          </w14:textFill>
        </w:rPr>
        <w:t>Figure 5. Originally developed by NOAA, as part of the U.S. National Tsunami Hazard Mitigation Program (NTHMP), the DART</w:t>
      </w:r>
      <w:r>
        <w:rPr>
          <w:rStyle w:val="None"/>
          <w:i w:val="1"/>
          <w:iCs w:val="1"/>
          <w:outline w:val="0"/>
          <w:color w:val="44546a"/>
          <w:sz w:val="18"/>
          <w:szCs w:val="18"/>
          <w:u w:color="44546a"/>
          <w:rtl w:val="0"/>
          <w14:textFill>
            <w14:solidFill>
              <w14:srgbClr w14:val="44546A"/>
            </w14:solidFill>
          </w14:textFill>
        </w:rPr>
        <w:t xml:space="preserve">® </w:t>
      </w:r>
      <w:r>
        <w:rPr>
          <w:rStyle w:val="None"/>
          <w:i w:val="1"/>
          <w:iCs w:val="1"/>
          <w:outline w:val="0"/>
          <w:color w:val="44546a"/>
          <w:sz w:val="18"/>
          <w:szCs w:val="18"/>
          <w:u w:color="44546a"/>
          <w:rtl w:val="0"/>
          <w:lang w:val="en-US"/>
          <w14:textFill>
            <w14:solidFill>
              <w14:srgbClr w14:val="44546A"/>
            </w14:solidFill>
          </w14:textFill>
        </w:rPr>
        <w:t>Project was an effort to maintain and improve the capability for the early detection and real-time reporting of tsunamis in the open ocean.</w:t>
      </w:r>
      <w:r>
        <w:rPr>
          <w:rStyle w:val="None"/>
          <w:i w:val="1"/>
          <w:iCs w:val="1"/>
          <w:outline w:val="0"/>
          <w:color w:val="44546a"/>
          <w:sz w:val="18"/>
          <w:szCs w:val="18"/>
          <w:u w:color="44546a"/>
          <w:vertAlign w:val="superscript"/>
          <w14:textFill>
            <w14:solidFill>
              <w14:srgbClr w14:val="44546A"/>
            </w14:solidFill>
          </w14:textFill>
        </w:rPr>
        <w:footnoteReference w:id="1"/>
      </w:r>
      <w:r>
        <w:rPr>
          <w:rStyle w:val="None"/>
          <w:i w:val="1"/>
          <w:iCs w:val="1"/>
          <w:outline w:val="0"/>
          <w:color w:val="44546a"/>
          <w:sz w:val="18"/>
          <w:szCs w:val="18"/>
          <w:u w:color="44546a"/>
          <w:rtl w:val="0"/>
          <w:lang w:val="en-US"/>
          <w14:textFill>
            <w14:solidFill>
              <w14:srgbClr w14:val="44546A"/>
            </w14:solidFill>
          </w14:textFill>
        </w:rPr>
        <w:t xml:space="preserve"> January 20, 2023.  Stations in yellow are operational and in red non operational.</w:t>
      </w:r>
    </w:p>
    <w:p>
      <w:pPr>
        <w:pStyle w:val="Body"/>
        <w:keepNext w:val="1"/>
        <w:jc w:val="center"/>
      </w:pPr>
      <w:r>
        <w:drawing xmlns:a="http://schemas.openxmlformats.org/drawingml/2006/main">
          <wp:inline distT="0" distB="0" distL="0" distR="0">
            <wp:extent cx="4249852" cy="2316150"/>
            <wp:effectExtent l="0" t="0" r="0" b="0"/>
            <wp:docPr id="1073741850" name="officeArt object"/>
            <wp:cNvGraphicFramePr/>
            <a:graphic xmlns:a="http://schemas.openxmlformats.org/drawingml/2006/main">
              <a:graphicData uri="http://schemas.openxmlformats.org/drawingml/2006/chart">
                <c:chart xmlns:c="http://schemas.openxmlformats.org/drawingml/2006/chart" r:id="rId15"/>
              </a:graphicData>
            </a:graphic>
          </wp:inline>
        </w:drawing>
      </w:r>
    </w:p>
    <w:p>
      <w:pPr>
        <w:pStyle w:val="Body"/>
        <w:spacing w:after="200" w:line="240" w:lineRule="auto"/>
        <w:jc w:val="center"/>
        <w:rPr>
          <w:rStyle w:val="None"/>
          <w:i w:val="1"/>
          <w:iCs w:val="1"/>
          <w:outline w:val="0"/>
          <w:color w:val="44546a"/>
          <w:sz w:val="18"/>
          <w:szCs w:val="18"/>
          <w:u w:color="44546a"/>
          <w14:textFill>
            <w14:solidFill>
              <w14:srgbClr w14:val="44546A"/>
            </w14:solidFill>
          </w14:textFill>
        </w:rPr>
      </w:pPr>
      <w:r>
        <w:rPr>
          <w:rStyle w:val="None"/>
          <w:i w:val="1"/>
          <w:iCs w:val="1"/>
          <w:outline w:val="0"/>
          <w:color w:val="44546a"/>
          <w:sz w:val="18"/>
          <w:szCs w:val="18"/>
          <w:u w:color="44546a"/>
          <w:rtl w:val="0"/>
          <w:lang w:val="en-US"/>
          <w14:textFill>
            <w14:solidFill>
              <w14:srgbClr w14:val="44546A"/>
            </w14:solidFill>
          </w14:textFill>
        </w:rPr>
        <w:t xml:space="preserve">Graph 5. DART Buoys availability status December 2020 </w:t>
      </w:r>
      <w:r>
        <w:rPr>
          <w:rStyle w:val="None"/>
          <w:i w:val="1"/>
          <w:iCs w:val="1"/>
          <w:outline w:val="0"/>
          <w:color w:val="44546a"/>
          <w:sz w:val="18"/>
          <w:szCs w:val="18"/>
          <w:u w:color="44546a"/>
          <w:rtl w:val="0"/>
          <w14:textFill>
            <w14:solidFill>
              <w14:srgbClr w14:val="44546A"/>
            </w14:solidFill>
          </w14:textFill>
        </w:rPr>
        <w:t xml:space="preserve">– </w:t>
      </w:r>
      <w:r>
        <w:rPr>
          <w:rStyle w:val="None"/>
          <w:i w:val="1"/>
          <w:iCs w:val="1"/>
          <w:outline w:val="0"/>
          <w:color w:val="44546a"/>
          <w:sz w:val="18"/>
          <w:szCs w:val="18"/>
          <w:u w:color="44546a"/>
          <w:rtl w:val="0"/>
          <w14:textFill>
            <w14:solidFill>
              <w14:srgbClr w14:val="44546A"/>
            </w14:solidFill>
          </w14:textFill>
        </w:rPr>
        <w:t>December 2022.</w:t>
      </w:r>
    </w:p>
    <w:p>
      <w:pPr>
        <w:pStyle w:val="Body"/>
        <w:keepNext w:val="1"/>
        <w:rPr>
          <w:rStyle w:val="None"/>
          <w:b w:val="1"/>
          <w:bCs w:val="1"/>
          <w:sz w:val="28"/>
          <w:szCs w:val="28"/>
        </w:rPr>
      </w:pPr>
    </w:p>
    <w:p>
      <w:pPr>
        <w:pStyle w:val="Heading"/>
        <w:rPr>
          <w:rStyle w:val="None"/>
          <w:b w:val="1"/>
          <w:bCs w:val="1"/>
          <w:outline w:val="0"/>
          <w:color w:val="000000"/>
          <w:sz w:val="28"/>
          <w:szCs w:val="28"/>
          <w:u w:color="000000"/>
          <w14:textFill>
            <w14:solidFill>
              <w14:srgbClr w14:val="000000"/>
            </w14:solidFill>
          </w14:textFill>
        </w:rPr>
      </w:pPr>
      <w:r>
        <w:rPr>
          <w:rStyle w:val="None"/>
          <w:b w:val="1"/>
          <w:bCs w:val="1"/>
          <w:outline w:val="0"/>
          <w:color w:val="000000"/>
          <w:sz w:val="28"/>
          <w:szCs w:val="28"/>
          <w:u w:color="000000"/>
          <w:rtl w:val="0"/>
          <w:lang w:val="da-DK"/>
          <w14:textFill>
            <w14:solidFill>
              <w14:srgbClr w14:val="000000"/>
            </w14:solidFill>
          </w14:textFill>
        </w:rPr>
        <w:t>Appendix List</w:t>
      </w:r>
    </w:p>
    <w:p>
      <w:pPr>
        <w:pStyle w:val="Body"/>
        <w:keepNext w:val="1"/>
        <w:numPr>
          <w:ilvl w:val="0"/>
          <w:numId w:val="8"/>
        </w:numPr>
        <w:rPr>
          <w:lang w:val="da-DK"/>
        </w:rPr>
      </w:pPr>
      <w:r>
        <w:rPr>
          <w:rStyle w:val="None"/>
          <w:rtl w:val="0"/>
          <w:lang w:val="da-DK"/>
        </w:rPr>
        <w:t>Appendix A: Sea Level Station List and Status 2022</w:t>
      </w:r>
    </w:p>
    <w:p>
      <w:pPr>
        <w:pStyle w:val="Body"/>
      </w:pPr>
    </w:p>
    <w:tbl>
      <w:tblPr>
        <w:tblW w:w="7576" w:type="dxa"/>
        <w:jc w:val="left"/>
        <w:tblInd w:w="113"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659"/>
        <w:gridCol w:w="2133"/>
        <w:gridCol w:w="1784"/>
      </w:tblGrid>
      <w:tr>
        <w:tblPrEx>
          <w:shd w:val="clear" w:color="auto" w:fill="cdd4e9"/>
        </w:tblPrEx>
        <w:trPr>
          <w:trHeight w:val="251" w:hRule="atLeast"/>
        </w:trPr>
        <w:tc>
          <w:tcPr>
            <w:tcW w:type="dxa" w:w="7576"/>
            <w:gridSpan w:val="3"/>
            <w:tcBorders>
              <w:top w:val="nil"/>
              <w:left w:val="nil"/>
              <w:bottom w:val="nil"/>
              <w:right w:val="nil"/>
            </w:tcBorders>
            <w:shd w:val="clear" w:color="auto" w:fill="ffffff"/>
            <w:tcMar>
              <w:top w:type="dxa" w:w="80"/>
              <w:left w:type="dxa" w:w="80"/>
              <w:bottom w:type="dxa" w:w="80"/>
              <w:right w:type="dxa" w:w="80"/>
            </w:tcMar>
            <w:vAlign w:val="top"/>
          </w:tcPr>
          <w:p>
            <w:pPr>
              <w:pStyle w:val="Body"/>
              <w:keepNext w:val="1"/>
            </w:pPr>
            <w:r>
              <w:rPr>
                <w:rStyle w:val="None"/>
                <w:b w:val="1"/>
                <w:bCs w:val="1"/>
                <w:i w:val="1"/>
                <w:iCs w:val="1"/>
                <w:shd w:val="nil" w:color="auto" w:fill="auto"/>
                <w:rtl w:val="0"/>
                <w:lang w:val="en-US"/>
              </w:rPr>
              <w:t>Appendix A: Sea Level Stations December 2022</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b w:val="1"/>
                <w:bCs w:val="1"/>
                <w:i w:val="1"/>
                <w:iCs w:val="1"/>
                <w:shd w:val="nil" w:color="auto" w:fill="auto"/>
                <w:rtl w:val="0"/>
                <w:lang w:val="en-US"/>
              </w:rPr>
              <w:t>Station name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b w:val="1"/>
                <w:bCs w:val="1"/>
                <w:shd w:val="nil" w:color="auto" w:fill="auto"/>
                <w:rtl w:val="0"/>
                <w:lang w:val="en-US"/>
              </w:rPr>
              <w:t>Country</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b w:val="1"/>
                <w:bCs w:val="1"/>
                <w:shd w:val="nil" w:color="auto" w:fill="auto"/>
                <w:rtl w:val="0"/>
                <w:lang w:val="en-US"/>
              </w:rPr>
              <w:t>Status</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Blowing Point</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Anguilla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Barbuda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Antigua and Barbuda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Parham (Camp Blizard), Antigua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Antigua and Barbuda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Oranjestad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Aruba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Settlement Point</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Bahamas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Lee Stocking Island, Exuma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Bahamas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Matthew Town, Inagua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Bahamas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Nassau Harbour, New Providence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Bahamas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Treasure Cay, Abaco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Bahamas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Bridgetown Port</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Barbados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Port St. Charles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Barbados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Pelican Fort</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Barbados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Removed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Conset Bay</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Barbados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Removed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Speightstown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Barbados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Removed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 xml:space="preserve">Carrie Bow Cay </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Belize</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Belize City</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Belize</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Planned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Belize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Belize</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Port of Belize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Belize</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St. Georges Cruice Pier</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Bermuda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St. Georges Island / Esso Pier</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Bermuda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Bermuda Biological Station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Bermuda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Bermuda Somerset</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Bermuda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Road Town Harbor, Tortola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British Virgin Islands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z w:val="23"/>
                <w:szCs w:val="23"/>
                <w:shd w:val="nil" w:color="auto" w:fill="auto"/>
                <w:rtl w:val="0"/>
                <w:lang w:val="en-US"/>
              </w:rPr>
              <w:t>Cayman Brac</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Cayman Islands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z w:val="23"/>
                <w:szCs w:val="23"/>
                <w:shd w:val="nil" w:color="auto" w:fill="auto"/>
                <w:rtl w:val="0"/>
                <w:lang w:val="en-US"/>
              </w:rPr>
              <w:t>George Town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Cayman Islands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z w:val="23"/>
                <w:szCs w:val="23"/>
                <w:shd w:val="nil" w:color="auto" w:fill="auto"/>
                <w:rtl w:val="0"/>
                <w:lang w:val="en-US"/>
              </w:rPr>
              <w:t>Gun Bay</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Cayman Islands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z w:val="23"/>
                <w:szCs w:val="23"/>
                <w:shd w:val="nil" w:color="auto" w:fill="auto"/>
                <w:rtl w:val="0"/>
                <w:lang w:val="en-US"/>
              </w:rPr>
              <w:t>Little Cayman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Cayman Islands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z w:val="23"/>
                <w:szCs w:val="23"/>
                <w:shd w:val="nil" w:color="auto" w:fill="auto"/>
                <w:rtl w:val="0"/>
                <w:lang w:val="en-US"/>
              </w:rPr>
              <w:t>Ballenas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Cartagena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San Andres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Santa Marta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Capurgan</w:t>
            </w:r>
            <w:r>
              <w:rPr>
                <w:rStyle w:val="None"/>
                <w:i w:val="1"/>
                <w:iCs w:val="1"/>
                <w:shd w:val="nil" w:color="auto" w:fill="auto"/>
                <w:rtl w:val="0"/>
                <w:lang w:val="en-US"/>
              </w:rPr>
              <w:t>á</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Removed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Sapzurro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49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rPr>
                <w:rStyle w:val="None"/>
                <w:shd w:val="nil" w:color="auto" w:fill="auto"/>
              </w:rPr>
            </w:pPr>
            <w:r>
              <w:rPr>
                <w:rStyle w:val="None"/>
                <w:i w:val="1"/>
                <w:iCs w:val="1"/>
                <w:shd w:val="nil" w:color="auto" w:fill="auto"/>
                <w:rtl w:val="0"/>
                <w:lang w:val="en-US"/>
              </w:rPr>
              <w:t>Turbo</w:t>
            </w:r>
          </w:p>
          <w:p>
            <w:pPr>
              <w:pStyle w:val="Body"/>
              <w:tabs>
                <w:tab w:val="left" w:pos="405"/>
              </w:tabs>
              <w:bidi w:val="0"/>
              <w:spacing w:after="0" w:line="240" w:lineRule="auto"/>
              <w:ind w:left="0" w:right="0" w:firstLine="0"/>
              <w:jc w:val="left"/>
              <w:rPr>
                <w:rtl w:val="0"/>
              </w:rPr>
            </w:pPr>
            <w:r>
              <w:rPr>
                <w:rStyle w:val="None"/>
                <w:i w:val="1"/>
                <w:iCs w:val="1"/>
                <w:shd w:val="nil" w:color="auto" w:fill="auto"/>
                <w:lang w:val="en-US"/>
              </w:rPr>
              <w:tab/>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Islas del Rosario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Removed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Isla Naval</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9e2f3"/>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Isla Fuerte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Cove</w:t>
            </w:r>
            <w:r>
              <w:rPr>
                <w:rStyle w:val="None"/>
                <w:i w:val="1"/>
                <w:iCs w:val="1"/>
                <w:shd w:val="nil" w:color="auto" w:fill="auto"/>
                <w:rtl w:val="0"/>
                <w:lang w:val="en-US"/>
              </w:rPr>
              <w:t>ñ</w:t>
            </w:r>
            <w:r>
              <w:rPr>
                <w:rStyle w:val="None"/>
                <w:i w:val="1"/>
                <w:iCs w:val="1"/>
                <w:shd w:val="nil" w:color="auto" w:fill="auto"/>
                <w:rtl w:val="0"/>
                <w:lang w:val="en-US"/>
              </w:rPr>
              <w:t>as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Estrella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Colombia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Lim</w:t>
            </w:r>
            <w:r>
              <w:rPr>
                <w:rStyle w:val="None"/>
                <w:i w:val="1"/>
                <w:iCs w:val="1"/>
                <w:shd w:val="nil" w:color="auto" w:fill="auto"/>
                <w:rtl w:val="0"/>
                <w:lang w:val="en-US"/>
              </w:rPr>
              <w:t>ó</w:t>
            </w:r>
            <w:r>
              <w:rPr>
                <w:rStyle w:val="None"/>
                <w:i w:val="1"/>
                <w:iCs w:val="1"/>
                <w:shd w:val="nil" w:color="auto" w:fill="auto"/>
                <w:rtl w:val="0"/>
                <w:lang w:val="en-US"/>
              </w:rPr>
              <w:t>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Costa Rica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Cabo Cruz</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Cabo San Antonio - Morros de Piedra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Gibara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Isabela de Sagua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Manzanillo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Guantanamo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Casilda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Mais</w:t>
            </w:r>
            <w:r>
              <w:rPr>
                <w:rStyle w:val="None"/>
                <w:i w:val="1"/>
                <w:iCs w:val="1"/>
                <w:shd w:val="nil" w:color="auto" w:fill="auto"/>
                <w:rtl w:val="0"/>
                <w:lang w:val="en-US"/>
              </w:rPr>
              <w:t>í</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Mariel Boca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Bahia de la Habana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Nuevitas Punta de Practicos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Padre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Nuevitas Bufaderos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Siboney</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Santiago de Cuba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Santa Cruz del Sur</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Carapachibey</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Cayo Loco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Cayo Largo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La Coloma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Cuba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 xml:space="preserve">Bullen Bay </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Curacao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Portsmouth</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Planned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Marigot</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Roseau</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 xml:space="preserve">Dominica       </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Portsmouth</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Barahona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Dominican Republic</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49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Caucedo/San Andres/Santo Domingo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Dominican Republic</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Plata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Dominican Republic</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Punta Cana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Dominican Republic</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Bah</w:t>
            </w:r>
            <w:r>
              <w:rPr>
                <w:rStyle w:val="None"/>
                <w:i w:val="1"/>
                <w:iCs w:val="1"/>
                <w:shd w:val="nil" w:color="auto" w:fill="auto"/>
                <w:rtl w:val="0"/>
                <w:lang w:val="en-US"/>
              </w:rPr>
              <w:t>í</w:t>
            </w:r>
            <w:r>
              <w:rPr>
                <w:rStyle w:val="None"/>
                <w:i w:val="1"/>
                <w:iCs w:val="1"/>
                <w:shd w:val="nil" w:color="auto" w:fill="auto"/>
                <w:rtl w:val="0"/>
                <w:lang w:val="en-US"/>
              </w:rPr>
              <w:t>a de Luper</w:t>
            </w:r>
            <w:r>
              <w:rPr>
                <w:rStyle w:val="None"/>
                <w:i w:val="1"/>
                <w:iCs w:val="1"/>
                <w:shd w:val="nil" w:color="auto" w:fill="auto"/>
                <w:rtl w:val="0"/>
                <w:lang w:val="en-US"/>
              </w:rPr>
              <w:t>ó</w:t>
            </w:r>
            <w:r>
              <w:rPr>
                <w:rStyle w:val="None"/>
                <w:i w:val="1"/>
                <w:iCs w:val="1"/>
                <w:shd w:val="nil" w:color="auto" w:fill="auto"/>
                <w:rtl w:val="0"/>
                <w:lang w:val="en-US"/>
              </w:rPr>
              <w:t>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Dominican Republic</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Bah</w:t>
            </w:r>
            <w:r>
              <w:rPr>
                <w:rStyle w:val="None"/>
                <w:i w:val="1"/>
                <w:iCs w:val="1"/>
                <w:shd w:val="nil" w:color="auto" w:fill="auto"/>
                <w:rtl w:val="0"/>
                <w:lang w:val="en-US"/>
              </w:rPr>
              <w:t>í</w:t>
            </w:r>
            <w:r>
              <w:rPr>
                <w:rStyle w:val="None"/>
                <w:i w:val="1"/>
                <w:iCs w:val="1"/>
                <w:shd w:val="nil" w:color="auto" w:fill="auto"/>
                <w:rtl w:val="0"/>
                <w:lang w:val="en-US"/>
              </w:rPr>
              <w:t>a de Saman</w:t>
            </w:r>
            <w:r>
              <w:rPr>
                <w:rStyle w:val="None"/>
                <w:i w:val="1"/>
                <w:iCs w:val="1"/>
                <w:shd w:val="nil" w:color="auto" w:fill="auto"/>
                <w:rtl w:val="0"/>
                <w:lang w:val="en-US"/>
              </w:rPr>
              <w:t>á</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Dominican Republic</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Bayahibe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Dominican Republic</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Pedernales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Dominican Republic</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de Santo Domingo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Dominican Republic</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Removed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Ile Royale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French Guiana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Prickly Bay</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Grenada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Sauteurs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Grenada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Planned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The Sisters Island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Grenada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Planned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 xml:space="preserve">Pointe </w:t>
            </w:r>
            <w:r>
              <w:rPr>
                <w:rStyle w:val="None"/>
                <w:i w:val="1"/>
                <w:iCs w:val="1"/>
                <w:shd w:val="nil" w:color="auto" w:fill="auto"/>
                <w:rtl w:val="0"/>
                <w:lang w:val="en-US"/>
              </w:rPr>
              <w:t xml:space="preserve">à </w:t>
            </w:r>
            <w:r>
              <w:rPr>
                <w:rStyle w:val="None"/>
                <w:i w:val="1"/>
                <w:iCs w:val="1"/>
                <w:shd w:val="nil" w:color="auto" w:fill="auto"/>
                <w:rtl w:val="0"/>
                <w:lang w:val="en-US"/>
              </w:rPr>
              <w:t>Pitre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Guadeloupe</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 xml:space="preserve">Deshaies Harbour </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Guadeloupe</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49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La D</w:t>
            </w:r>
            <w:r>
              <w:rPr>
                <w:rStyle w:val="None"/>
                <w:i w:val="1"/>
                <w:iCs w:val="1"/>
                <w:shd w:val="nil" w:color="auto" w:fill="auto"/>
                <w:rtl w:val="0"/>
                <w:lang w:val="en-US"/>
              </w:rPr>
              <w:t>é</w:t>
            </w:r>
            <w:r>
              <w:rPr>
                <w:rStyle w:val="None"/>
                <w:i w:val="1"/>
                <w:iCs w:val="1"/>
                <w:shd w:val="nil" w:color="auto" w:fill="auto"/>
                <w:rtl w:val="0"/>
                <w:lang w:val="en-US"/>
              </w:rPr>
              <w:t xml:space="preserve">sirade Island, Grande Anse Marina Harbour </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Guadeloupe</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Barrios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Guatemala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Harbour Master Boathouse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Guyana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Market Place Georgetown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Guyana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Rosignol</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Guyana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Parika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Guyana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Cap Haitien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Haiti</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Jacmel</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Haiti</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Port au Prince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Haiti</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Gonaives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Haiti</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Planned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Port de Paix</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Haiti</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Planned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Jeremie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Haiti</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St. Louis du Sud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Haiti</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Guanaja Island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Honduras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Omoa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Honduras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Cortes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Honduras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De Castilla, Trujillo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Honduras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Roatan 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Honduras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Punta Gorda Harbor, Roatan 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Honduras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Tela Harbor</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Honduras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Utila Island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Honduras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Cabotaje Harbor, La Ceiba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Honduras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Cochino Peque</w:t>
            </w:r>
            <w:r>
              <w:rPr>
                <w:rStyle w:val="None"/>
                <w:i w:val="1"/>
                <w:iCs w:val="1"/>
                <w:shd w:val="nil" w:color="auto" w:fill="auto"/>
                <w:rtl w:val="0"/>
                <w:lang w:val="en-US"/>
              </w:rPr>
              <w:t>ñ</w:t>
            </w:r>
            <w:r>
              <w:rPr>
                <w:rStyle w:val="None"/>
                <w:i w:val="1"/>
                <w:iCs w:val="1"/>
                <w:shd w:val="nil" w:color="auto" w:fill="auto"/>
                <w:rtl w:val="0"/>
                <w:lang w:val="en-US"/>
              </w:rPr>
              <w:t>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Honduras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Swan Island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Honduras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Port Royal</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 xml:space="preserve">Jamaica </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Montego Bay</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 xml:space="preserve">Jamaica </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Port Antonio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 xml:space="preserve">Jamaica </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 xml:space="preserve">Discovery Bay, Jamaica </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 xml:space="preserve">Jamaica </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Alligator Pond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 xml:space="preserve">Jamaica </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 xml:space="preserve">Fort de France Harbour </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Martinique</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 xml:space="preserve">Le Precheur Harbour </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Martinique</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Le Robert</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Martinique</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Alvarado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Celestun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Ciudad del Carmen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Lerma Campeche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Frontera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Isla Mujeres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Progreso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Morelos, Q. R.</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Sanchez Magallanes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Sisal</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Tuxpan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Telchac</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Veracruz</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Mexico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Montserrat</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Montserrat</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Corn Island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Nicaragua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Blue Fields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Nicaragua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Bilwi</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Nicaragua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Cabezas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Nicaragua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Puerto El Bluff</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Nicaragua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 xml:space="preserve">El Porvenir </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Panama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Bocas del Toro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Panama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Galeta Point</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Panama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Limon Bay (replaced Coco Solo)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Panama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Existing</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Aguadilla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Arecibo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Culebra Island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Fajardo</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Guayanilla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Isabel II,  Vieques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La Esperanza, Vieques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Magueyes Island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Mayag</w:t>
            </w:r>
            <w:r>
              <w:rPr>
                <w:rStyle w:val="None"/>
                <w:i w:val="1"/>
                <w:iCs w:val="1"/>
                <w:shd w:val="nil" w:color="auto" w:fill="auto"/>
                <w:rtl w:val="0"/>
                <w:lang w:val="en-US"/>
              </w:rPr>
              <w:t>ü</w:t>
            </w:r>
            <w:r>
              <w:rPr>
                <w:rStyle w:val="None"/>
                <w:i w:val="1"/>
                <w:iCs w:val="1"/>
                <w:shd w:val="nil" w:color="auto" w:fill="auto"/>
                <w:rtl w:val="0"/>
                <w:lang w:val="en-US"/>
              </w:rPr>
              <w:t>ez</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Mona Island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Salinas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San Juan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Yabucoa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Pe</w:t>
            </w:r>
            <w:r>
              <w:rPr>
                <w:rStyle w:val="None"/>
                <w:i w:val="1"/>
                <w:iCs w:val="1"/>
                <w:shd w:val="nil" w:color="auto" w:fill="auto"/>
                <w:rtl w:val="0"/>
                <w:lang w:val="en-US"/>
              </w:rPr>
              <w:t>ñ</w:t>
            </w:r>
            <w:r>
              <w:rPr>
                <w:rStyle w:val="None"/>
                <w:i w:val="1"/>
                <w:iCs w:val="1"/>
                <w:shd w:val="nil" w:color="auto" w:fill="auto"/>
                <w:rtl w:val="0"/>
                <w:lang w:val="en-US"/>
              </w:rPr>
              <w:t>uelas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Removed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Caja de Muertos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Puerto Rico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Removed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Baseterre (Coast Guard Base)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St. Kitts &amp; Nevis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Dennery Harbour</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St. Lucia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Soufriere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St. Lucia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Vieux Fort Bay</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St. Lucia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 xml:space="preserve"> Ganter's Bay</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St. Lucia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49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Calliaqua (Coast Guard Base)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St. Vincent &amp; the Grenadines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49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Chateau Bel-Air</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St. Vincent &amp; the Grenadines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Gustavia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St. Barthelemy</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Planned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0"/>
              <w:bottom w:type="dxa" w:w="80"/>
              <w:right w:type="dxa" w:w="80"/>
            </w:tcMar>
            <w:vAlign w:val="top"/>
          </w:tcPr>
          <w:p>
            <w:pPr>
              <w:pStyle w:val="Body"/>
              <w:keepNext w:val="1"/>
              <w:spacing w:after="0" w:line="240" w:lineRule="auto"/>
              <w:ind w:left="720" w:firstLine="0"/>
              <w:jc w:val="right"/>
            </w:pPr>
            <w:r>
              <w:rPr>
                <w:rStyle w:val="None"/>
                <w:i w:val="1"/>
                <w:iCs w:val="1"/>
                <w:shd w:val="nil" w:color="auto" w:fill="auto"/>
                <w:rtl w:val="0"/>
                <w:lang w:val="en-US"/>
              </w:rPr>
              <w:t>Saint Martin Island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St. Martin</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Cedros Bay</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Trinidad and Tobago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Charlotteville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Trinidad and Tobago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Point Fortin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Trinidad and Tobago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Unknown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Port Of Spain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Trinidad and Tobago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Scarborough</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Trinidad and Tobago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u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Toco Trinidad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Trinidad and Tobago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Planned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Point Galeota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Trinidad and Tobago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Point a Pierre</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Trinidad and Tobago</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Planned</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Grand Turk</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Turks and Caicos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Down</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Sapodilla Bay, Providenciales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Turks and Caicos</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Charlotte Amalie, St. Thomas</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USVI</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Christiansted Harbor, St. Croix</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USVI</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Lameshur Bay, St. John</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USVI</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Lime Tree Bay, St. Croix</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USVI</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Contributing RTX</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Aves Island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Venezuela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Punta Arenas, Margarita Island</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Venezuela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auto"/>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r>
        <w:tblPrEx>
          <w:shd w:val="clear" w:color="auto" w:fill="cdd4e9"/>
        </w:tblPrEx>
        <w:trPr>
          <w:trHeight w:val="251" w:hRule="atLeast"/>
        </w:trPr>
        <w:tc>
          <w:tcPr>
            <w:tcW w:type="dxa" w:w="3659"/>
            <w:tcBorders>
              <w:top w:val="nil"/>
              <w:left w:val="nil"/>
              <w:bottom w:val="nil"/>
              <w:right w:val="single" w:color="9cc2e5" w:sz="4" w:space="0" w:shadow="0" w:frame="0"/>
            </w:tcBorders>
            <w:shd w:val="clear" w:color="auto" w:fill="ffffff"/>
            <w:tcMar>
              <w:top w:type="dxa" w:w="80"/>
              <w:left w:type="dxa" w:w="80"/>
              <w:bottom w:type="dxa" w:w="80"/>
              <w:right w:type="dxa" w:w="80"/>
            </w:tcMar>
            <w:vAlign w:val="top"/>
          </w:tcPr>
          <w:p>
            <w:pPr>
              <w:pStyle w:val="Body"/>
              <w:keepNext w:val="1"/>
              <w:spacing w:after="0" w:line="240" w:lineRule="auto"/>
              <w:jc w:val="right"/>
            </w:pPr>
            <w:r>
              <w:rPr>
                <w:rStyle w:val="None"/>
                <w:i w:val="1"/>
                <w:iCs w:val="1"/>
                <w:shd w:val="nil" w:color="auto" w:fill="auto"/>
                <w:rtl w:val="0"/>
                <w:lang w:val="en-US"/>
              </w:rPr>
              <w:t>La Guaira</w:t>
            </w:r>
          </w:p>
        </w:tc>
        <w:tc>
          <w:tcPr>
            <w:tcW w:type="dxa" w:w="2133"/>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pPr>
            <w:r>
              <w:rPr>
                <w:rStyle w:val="None"/>
                <w:shd w:val="nil" w:color="auto" w:fill="auto"/>
                <w:rtl w:val="0"/>
                <w:lang w:val="en-US"/>
              </w:rPr>
              <w:t>Venezuela</w:t>
            </w:r>
          </w:p>
        </w:tc>
        <w:tc>
          <w:tcPr>
            <w:tcW w:type="dxa" w:w="1784"/>
            <w:tcBorders>
              <w:top w:val="single" w:color="9cc2e5" w:sz="4" w:space="0" w:shadow="0" w:frame="0"/>
              <w:left w:val="single" w:color="9cc2e5" w:sz="4" w:space="0" w:shadow="0" w:frame="0"/>
              <w:bottom w:val="single" w:color="9cc2e5" w:sz="4" w:space="0" w:shadow="0" w:frame="0"/>
              <w:right w:val="single" w:color="9cc2e5" w:sz="4" w:space="0" w:shadow="0" w:frame="0"/>
            </w:tcBorders>
            <w:shd w:val="clear" w:color="auto" w:fill="deeaf6"/>
            <w:tcMar>
              <w:top w:type="dxa" w:w="80"/>
              <w:left w:type="dxa" w:w="80"/>
              <w:bottom w:type="dxa" w:w="80"/>
              <w:right w:type="dxa" w:w="80"/>
            </w:tcMar>
            <w:vAlign w:val="top"/>
          </w:tcPr>
          <w:p>
            <w:pPr>
              <w:pStyle w:val="Body"/>
              <w:keepNext w:val="1"/>
              <w:spacing w:after="0" w:line="240" w:lineRule="auto"/>
              <w:jc w:val="center"/>
            </w:pPr>
            <w:r>
              <w:rPr>
                <w:rStyle w:val="None"/>
                <w:shd w:val="nil" w:color="auto" w:fill="auto"/>
                <w:rtl w:val="0"/>
                <w:lang w:val="en-US"/>
              </w:rPr>
              <w:t>Gap</w:t>
            </w:r>
          </w:p>
        </w:tc>
      </w:tr>
    </w:tbl>
    <w:p>
      <w:pPr>
        <w:pStyle w:val="Body"/>
        <w:widowControl w:val="0"/>
        <w:spacing w:line="240" w:lineRule="auto"/>
        <w:ind w:left="5" w:hanging="5"/>
      </w:pPr>
      <w:r/>
    </w:p>
    <w:sectPr>
      <w:headerReference w:type="default" r:id="rId16"/>
      <w:headerReference w:type="first" r:id="rId17"/>
      <w:footerReference w:type="default" r:id="rId18"/>
      <w:footerReference w:type="first" r:id="rId19"/>
      <w:pgSz w:w="12240" w:h="15840" w:orient="portrait"/>
      <w:pgMar w:top="1440" w:right="1440" w:bottom="1440" w:left="1440" w:header="720" w:footer="720"/>
      <w:pgNumType w:start="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Body"/>
        <w:spacing w:after="0" w:line="240" w:lineRule="auto"/>
      </w:pPr>
      <w:r>
        <w:rPr>
          <w:rStyle w:val="None"/>
          <w:i w:val="1"/>
          <w:iCs w:val="1"/>
          <w:outline w:val="0"/>
          <w:color w:val="44546a"/>
          <w:sz w:val="18"/>
          <w:szCs w:val="18"/>
          <w:u w:color="44546a"/>
          <w:vertAlign w:val="superscript"/>
          <w14:textFill>
            <w14:solidFill>
              <w14:srgbClr w14:val="44546A"/>
            </w14:solidFill>
          </w14:textFill>
        </w:rPr>
        <w:footnoteRef/>
      </w:r>
      <w:r>
        <w:rPr>
          <w:rStyle w:val="None"/>
          <w:outline w:val="0"/>
          <w:color w:val="000000"/>
          <w:sz w:val="20"/>
          <w:szCs w:val="20"/>
          <w:u w:color="000000"/>
          <w:rtl w:val="0"/>
          <w14:textFill>
            <w14:solidFill>
              <w14:srgbClr w14:val="000000"/>
            </w14:solidFill>
          </w14:textFill>
        </w:rPr>
        <w:t xml:space="preserve"> </w:t>
      </w:r>
      <w:r>
        <w:rPr>
          <w:rStyle w:val="Hyperlink.2"/>
        </w:rPr>
        <w:fldChar w:fldCharType="begin" w:fldLock="0"/>
      </w:r>
      <w:r>
        <w:rPr>
          <w:rStyle w:val="Hyperlink.2"/>
        </w:rPr>
        <w:instrText xml:space="preserve"> HYPERLINK "https://www.ndbc.noaa.gov/dart/dart.shtml"</w:instrText>
      </w:r>
      <w:r>
        <w:rPr>
          <w:rStyle w:val="Hyperlink.2"/>
        </w:rPr>
        <w:fldChar w:fldCharType="separate" w:fldLock="0"/>
      </w:r>
      <w:r>
        <w:rPr>
          <w:rStyle w:val="Hyperlink.2"/>
          <w:rtl w:val="0"/>
        </w:rPr>
        <w:t>https://www.ndbc.noaa.gov/dart/dart.shtml</w:t>
      </w:r>
      <w:r>
        <w:rPr/>
        <w:fldChar w:fldCharType="end" w:fldLock="0"/>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563c1"/>
      <w:u w:val="single" w:color="0563c1"/>
      <w14:textFill>
        <w14:solidFill>
          <w14:srgbClr w14:val="0563C1"/>
        </w14:solidFill>
      </w14:textFill>
    </w:rPr>
  </w:style>
  <w:style w:type="paragraph" w:styleId="toc 1">
    <w:name w:val="toc 1"/>
    <w:next w:val="Body"/>
    <w:pPr>
      <w:keepNext w:val="0"/>
      <w:keepLines w:val="0"/>
      <w:pageBreakBefore w:val="0"/>
      <w:widowControl w:val="1"/>
      <w:shd w:val="clear" w:color="auto" w:fill="auto"/>
      <w:tabs>
        <w:tab w:val="right" w:pos="9350"/>
      </w:tabs>
      <w:suppressAutoHyphens w:val="0"/>
      <w:bidi w:val="0"/>
      <w:spacing w:before="120" w:after="0" w:line="259" w:lineRule="auto"/>
      <w:ind w:left="0" w:right="0" w:firstLine="0"/>
      <w:jc w:val="left"/>
      <w:outlineLvl w:val="9"/>
    </w:pP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Heading">
    <w:name w:val="Heading"/>
    <w:next w:val="Body"/>
    <w:pPr>
      <w:keepNext w:val="1"/>
      <w:keepLines w:val="1"/>
      <w:pageBreakBefore w:val="0"/>
      <w:widowControl w:val="1"/>
      <w:shd w:val="clear" w:color="auto" w:fill="auto"/>
      <w:suppressAutoHyphens w:val="0"/>
      <w:bidi w:val="0"/>
      <w:spacing w:before="240" w:after="0" w:line="259" w:lineRule="auto"/>
      <w:ind w:left="0" w:right="0" w:firstLine="0"/>
      <w:jc w:val="left"/>
      <w:outlineLvl w:val="0"/>
    </w:pPr>
    <w:rPr>
      <w:rFonts w:ascii="Times New Roman" w:cs="Arial Unicode MS" w:hAnsi="Times New Roman" w:eastAsia="Arial Unicode MS"/>
      <w:b w:val="0"/>
      <w:bCs w:val="0"/>
      <w:i w:val="0"/>
      <w:iCs w:val="0"/>
      <w:caps w:val="0"/>
      <w:smallCaps w:val="0"/>
      <w:strike w:val="0"/>
      <w:dstrike w:val="0"/>
      <w:outline w:val="0"/>
      <w:color w:val="2f5496"/>
      <w:spacing w:val="0"/>
      <w:kern w:val="0"/>
      <w:position w:val="0"/>
      <w:sz w:val="32"/>
      <w:szCs w:val="32"/>
      <w:u w:val="none" w:color="2f5496"/>
      <w:shd w:val="nil" w:color="auto" w:fill="auto"/>
      <w:vertAlign w:val="baseline"/>
      <w:lang w:val="en-US"/>
      <w14:textOutline>
        <w14:noFill/>
      </w14:textOutline>
      <w14:textFill>
        <w14:solidFill>
          <w14:srgbClr w14:val="2F5496"/>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1">
    <w:name w:val="Hyperlink.1"/>
    <w:basedOn w:val="None"/>
    <w:next w:val="Hyperlink.1"/>
    <w:rPr>
      <w:outline w:val="0"/>
      <w:color w:val="0563c1"/>
      <w:u w:val="single" w:color="0563c1"/>
      <w14:textFill>
        <w14:solidFill>
          <w14:srgbClr w14:val="0563C1"/>
        </w14:solidFill>
      </w14:textFill>
    </w:rPr>
  </w:style>
  <w:style w:type="character" w:styleId="Hyperlink.2">
    <w:name w:val="Hyperlink.2"/>
    <w:basedOn w:val="None"/>
    <w:next w:val="Hyperlink.2"/>
    <w:rPr>
      <w:outline w:val="0"/>
      <w:color w:val="0563c1"/>
      <w:sz w:val="20"/>
      <w:szCs w:val="20"/>
      <w:u w:val="single" w:color="0563c1"/>
      <w14:textFill>
        <w14:solidFill>
          <w14:srgbClr w14:val="0563C1"/>
        </w14:solidFill>
      </w14:textFill>
    </w:rPr>
  </w:style>
  <w:style w:type="numbering" w:styleId="Imported Style 4">
    <w:name w:val="Imported Style 4"/>
    <w:pPr>
      <w:numPr>
        <w:numId w:val="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chart" Target="charts/chart1.xml"/><Relationship Id="rId7" Type="http://schemas.openxmlformats.org/officeDocument/2006/relationships/chart" Target="charts/chart2.xml"/><Relationship Id="rId8" Type="http://schemas.openxmlformats.org/officeDocument/2006/relationships/image" Target="media/image2.pn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image" Target="media/image4.jpeg"/><Relationship Id="rId14" Type="http://schemas.openxmlformats.org/officeDocument/2006/relationships/image" Target="media/image3.png"/><Relationship Id="rId15" Type="http://schemas.openxmlformats.org/officeDocument/2006/relationships/chart" Target="charts/chart5.xm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footnotes" Target="footnotes.xml"/><Relationship Id="rId21" Type="http://schemas.openxmlformats.org/officeDocument/2006/relationships/numbering" Target="numbering.xml"/><Relationship Id="rId22" Type="http://schemas.openxmlformats.org/officeDocument/2006/relationships/theme" Target="theme/theme1.xml"/></Relationships>

</file>

<file path=word/charts/_rels/chart1.xml.rels><?xml version="1.0" encoding="UTF-8"?>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Relationships xmlns="http://schemas.openxmlformats.org/package/2006/relationships"><Relationship Id="rId1" Type="http://schemas.openxmlformats.org/officeDocument/2006/relationships/package" Target="../embeddings/Microsoft_Excel_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400" u="none">
                <a:solidFill>
                  <a:srgbClr val="595959"/>
                </a:solidFill>
                <a:latin typeface="Times New Roman"/>
              </a:defRPr>
            </a:pPr>
            <a:r>
              <a:rPr b="0" i="0" strike="noStrike" sz="1400" u="none">
                <a:solidFill>
                  <a:srgbClr val="595959"/>
                </a:solidFill>
                <a:latin typeface="Times New Roman"/>
              </a:rPr>
              <a:t>Stations Contributing RTX</a:t>
            </a:r>
          </a:p>
        </c:rich>
      </c:tx>
      <c:layout>
        <c:manualLayout>
          <c:xMode val="edge"/>
          <c:yMode val="edge"/>
          <c:x val="0.274281"/>
          <c:y val="0"/>
          <c:w val="0.451437"/>
          <c:h val="0.130696"/>
        </c:manualLayout>
      </c:layout>
      <c:overlay val="1"/>
      <c:spPr>
        <a:noFill/>
        <a:effectLst/>
      </c:spPr>
    </c:title>
    <c:autoTitleDeleted val="1"/>
    <c:plotArea>
      <c:layout>
        <c:manualLayout>
          <c:layoutTarget val="inner"/>
          <c:xMode val="edge"/>
          <c:yMode val="edge"/>
          <c:x val="0.105265"/>
          <c:y val="0.130696"/>
          <c:w val="0.889735"/>
          <c:h val="0.788649"/>
        </c:manualLayout>
      </c:layout>
      <c:lineChart>
        <c:grouping val="standard"/>
        <c:varyColors val="0"/>
        <c:ser>
          <c:idx val="0"/>
          <c:order val="0"/>
          <c:tx>
            <c:strRef>
              <c:f>Sheet1!$A$2</c:f>
              <c:strCache>
                <c:ptCount val="1"/>
                <c:pt idx="0">
                  <c:v>Contributing RTX</c:v>
                </c:pt>
              </c:strCache>
            </c:strRef>
          </c:tx>
          <c:spPr>
            <a:solidFill>
              <a:schemeClr val="accent1"/>
            </a:solidFill>
            <a:ln w="28575" cap="rnd">
              <a:solidFill>
                <a:schemeClr val="accent1"/>
              </a:solidFill>
              <a:prstDash val="solid"/>
              <a:round/>
            </a:ln>
            <a:effectLst/>
          </c:spPr>
          <c:marker>
            <c:symbol val="circle"/>
            <c:size val="4"/>
            <c:spPr>
              <a:solidFill>
                <a:schemeClr val="accent1"/>
              </a:solidFill>
              <a:ln w="9525" cap="flat">
                <a:solidFill>
                  <a:schemeClr val="accent1"/>
                </a:solidFill>
                <a:prstDash val="solid"/>
                <a:miter lim="800000"/>
              </a:ln>
              <a:effectLst/>
            </c:spPr>
          </c:marker>
          <c:dLbls>
            <c:numFmt formatCode="0" sourceLinked="0"/>
            <c:txPr>
              <a:bodyPr/>
              <a:lstStyle/>
              <a:p>
                <a:pPr>
                  <a:defRPr b="0" i="0" strike="noStrike" sz="900" u="none">
                    <a:solidFill>
                      <a:srgbClr val="404040"/>
                    </a:solidFill>
                    <a:latin typeface="Times New Roman"/>
                  </a:defRPr>
                </a:pPr>
              </a:p>
            </c:txPr>
            <c:dLblPos val="t"/>
            <c:showLegendKey val="0"/>
            <c:showVal val="1"/>
            <c:showCatName val="0"/>
            <c:showSerName val="0"/>
            <c:showPercent val="0"/>
            <c:showBubbleSize val="0"/>
            <c:showLeaderLines val="0"/>
          </c:dLbls>
          <c:cat>
            <c:strRef>
              <c:f>Sheet1!$B$1:$F$1</c:f>
              <c:strCache>
                <c:ptCount val="5"/>
                <c:pt idx="0">
                  <c:v>December 2020</c:v>
                </c:pt>
                <c:pt idx="1">
                  <c:v>June 2021</c:v>
                </c:pt>
                <c:pt idx="2">
                  <c:v>December 2021</c:v>
                </c:pt>
                <c:pt idx="3">
                  <c:v>June 2022</c:v>
                </c:pt>
                <c:pt idx="4">
                  <c:v>December 2022</c:v>
                </c:pt>
              </c:strCache>
            </c:strRef>
          </c:cat>
          <c:val>
            <c:numRef>
              <c:f>Sheet1!$B$2:$F$2</c:f>
              <c:numCache>
                <c:ptCount val="5"/>
                <c:pt idx="0">
                  <c:v>59.000000</c:v>
                </c:pt>
                <c:pt idx="1">
                  <c:v>46.000000</c:v>
                </c:pt>
                <c:pt idx="2">
                  <c:v>44.000000</c:v>
                </c:pt>
                <c:pt idx="3">
                  <c:v>59.000000</c:v>
                </c:pt>
                <c:pt idx="4">
                  <c:v>68.000000</c:v>
                </c:pt>
              </c:numCache>
            </c:numRef>
          </c:val>
          <c:smooth val="0"/>
        </c:ser>
        <c:marker val="1"/>
        <c:axId val="2094734552"/>
        <c:axId val="2094734553"/>
      </c:line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b="0" i="0" strike="noStrike" sz="900" u="none">
                <a:solidFill>
                  <a:srgbClr val="595959"/>
                </a:solidFill>
                <a:latin typeface="Times New Roman"/>
              </a:defRPr>
            </a:pPr>
          </a:p>
        </c:txPr>
        <c:crossAx val="2094734553"/>
        <c:crosses val="autoZero"/>
        <c:auto val="1"/>
        <c:lblAlgn val="ctr"/>
        <c:noMultiLvlLbl val="1"/>
      </c:catAx>
      <c:valAx>
        <c:axId val="2094734553"/>
        <c:scaling>
          <c:orientation val="minMax"/>
        </c:scaling>
        <c:delete val="0"/>
        <c:axPos val="l"/>
        <c:majorGridlines>
          <c:spPr>
            <a:ln w="12700" cap="flat">
              <a:solidFill>
                <a:srgbClr val="D9D9D9"/>
              </a:solidFill>
              <a:prstDash val="solid"/>
              <a:round/>
            </a:ln>
          </c:spPr>
        </c:majorGridlines>
        <c:title>
          <c:tx>
            <c:rich>
              <a:bodyPr rot="-5400000"/>
              <a:lstStyle/>
              <a:p>
                <a:pPr>
                  <a:defRPr b="0" i="0" strike="noStrike" sz="1000" u="none">
                    <a:solidFill>
                      <a:srgbClr val="595959"/>
                    </a:solidFill>
                    <a:latin typeface="Times New Roman"/>
                  </a:defRPr>
                </a:pPr>
                <a:r>
                  <a:rPr b="0" i="0" strike="noStrike" sz="1000" u="none">
                    <a:solidFill>
                      <a:srgbClr val="595959"/>
                    </a:solidFill>
                    <a:latin typeface="Times New Roman"/>
                  </a:rPr>
                  <a:t>Number of stations</a:t>
                </a:r>
              </a:p>
            </c:rich>
          </c:tx>
          <c:layout/>
          <c:overlay val="1"/>
        </c:title>
        <c:numFmt formatCode="0" sourceLinked="0"/>
        <c:majorTickMark val="none"/>
        <c:minorTickMark val="none"/>
        <c:tickLblPos val="nextTo"/>
        <c:spPr>
          <a:ln w="12700" cap="flat">
            <a:noFill/>
            <a:prstDash val="solid"/>
            <a:round/>
          </a:ln>
        </c:spPr>
        <c:txPr>
          <a:bodyPr rot="0"/>
          <a:lstStyle/>
          <a:p>
            <a:pPr>
              <a:defRPr b="0" i="0" strike="noStrike" sz="900" u="none">
                <a:solidFill>
                  <a:srgbClr val="595959"/>
                </a:solidFill>
                <a:latin typeface="Times New Roman"/>
              </a:defRPr>
            </a:pPr>
          </a:p>
        </c:txPr>
        <c:crossAx val="2094734552"/>
        <c:crosses val="autoZero"/>
        <c:crossBetween val="between"/>
        <c:majorUnit val="17.5"/>
        <c:minorUnit val="8.75"/>
      </c:valAx>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400" u="none">
                <a:solidFill>
                  <a:srgbClr val="595959"/>
                </a:solidFill>
                <a:latin typeface="Times New Roman"/>
              </a:defRPr>
            </a:pPr>
            <a:r>
              <a:rPr b="0" i="0" strike="noStrike" sz="1400" u="none">
                <a:solidFill>
                  <a:srgbClr val="595959"/>
                </a:solidFill>
                <a:latin typeface="Times New Roman"/>
              </a:rPr>
              <a:t>Status of Sea Level Stations Biannually</a:t>
            </a:r>
          </a:p>
        </c:rich>
      </c:tx>
      <c:layout>
        <c:manualLayout>
          <c:xMode val="edge"/>
          <c:yMode val="edge"/>
          <c:x val="0.249201"/>
          <c:y val="0"/>
          <c:w val="0.501598"/>
          <c:h val="0.121752"/>
        </c:manualLayout>
      </c:layout>
      <c:overlay val="1"/>
      <c:spPr>
        <a:noFill/>
        <a:effectLst/>
      </c:spPr>
    </c:title>
    <c:autoTitleDeleted val="1"/>
    <c:plotArea>
      <c:layout>
        <c:manualLayout>
          <c:layoutTarget val="inner"/>
          <c:xMode val="edge"/>
          <c:yMode val="edge"/>
          <c:x val="0.0799022"/>
          <c:y val="0.121752"/>
          <c:w val="0.915098"/>
          <c:h val="0.60519"/>
        </c:manualLayout>
      </c:layout>
      <c:barChart>
        <c:barDir val="col"/>
        <c:grouping val="clustered"/>
        <c:varyColors val="0"/>
        <c:ser>
          <c:idx val="0"/>
          <c:order val="0"/>
          <c:tx>
            <c:strRef>
              <c:f>Sheet1!$A$2</c:f>
              <c:strCache>
                <c:ptCount val="1"/>
                <c:pt idx="0">
                  <c:v>Contributing RTX</c:v>
                </c:pt>
              </c:strCache>
            </c:strRef>
          </c:tx>
          <c:spPr>
            <a:solidFill>
              <a:schemeClr val="accent1"/>
            </a:solidFill>
            <a:ln w="12700" cap="flat">
              <a:noFill/>
              <a:miter lim="400000"/>
            </a:ln>
            <a:effectLst/>
          </c:spPr>
          <c:invertIfNegative val="0"/>
          <c:dLbls>
            <c:numFmt formatCode="0" sourceLinked="0"/>
            <c:txPr>
              <a:bodyPr/>
              <a:lstStyle/>
              <a:p>
                <a:pPr>
                  <a:defRPr b="0" i="0" strike="noStrike" sz="900" u="none">
                    <a:solidFill>
                      <a:srgbClr val="404040"/>
                    </a:solidFill>
                    <a:latin typeface="Times New Roman"/>
                  </a:defRPr>
                </a:pPr>
              </a:p>
            </c:txPr>
            <c:dLblPos val="outEnd"/>
            <c:showLegendKey val="0"/>
            <c:showVal val="1"/>
            <c:showCatName val="0"/>
            <c:showSerName val="0"/>
            <c:showPercent val="0"/>
            <c:showBubbleSize val="0"/>
            <c:showLeaderLines val="0"/>
          </c:dLbls>
          <c:cat>
            <c:strRef>
              <c:f>Sheet1!$B$1:$F$1</c:f>
              <c:strCache>
                <c:ptCount val="5"/>
                <c:pt idx="0">
                  <c:v>December 2020</c:v>
                </c:pt>
                <c:pt idx="1">
                  <c:v>June 2021</c:v>
                </c:pt>
                <c:pt idx="2">
                  <c:v>December 2021</c:v>
                </c:pt>
                <c:pt idx="3">
                  <c:v>June 2022</c:v>
                </c:pt>
                <c:pt idx="4">
                  <c:v>December 2022</c:v>
                </c:pt>
              </c:strCache>
            </c:strRef>
          </c:cat>
          <c:val>
            <c:numRef>
              <c:f>Sheet1!$B$2:$F$2</c:f>
              <c:numCache>
                <c:ptCount val="5"/>
                <c:pt idx="0">
                  <c:v>59.000000</c:v>
                </c:pt>
                <c:pt idx="1">
                  <c:v>46.000000</c:v>
                </c:pt>
                <c:pt idx="2">
                  <c:v>44.000000</c:v>
                </c:pt>
                <c:pt idx="3">
                  <c:v>59.000000</c:v>
                </c:pt>
                <c:pt idx="4">
                  <c:v>68.000000</c:v>
                </c:pt>
              </c:numCache>
            </c:numRef>
          </c:val>
        </c:ser>
        <c:ser>
          <c:idx val="1"/>
          <c:order val="1"/>
          <c:tx>
            <c:strRef>
              <c:f>Sheet1!$A$3</c:f>
              <c:strCache>
                <c:ptCount val="1"/>
                <c:pt idx="0">
                  <c:v>Down</c:v>
                </c:pt>
              </c:strCache>
            </c:strRef>
          </c:tx>
          <c:spPr>
            <a:solidFill>
              <a:schemeClr val="accent2"/>
            </a:solidFill>
            <a:ln w="12700" cap="flat">
              <a:noFill/>
              <a:miter lim="400000"/>
            </a:ln>
            <a:effectLst/>
          </c:spPr>
          <c:invertIfNegative val="0"/>
          <c:dLbls>
            <c:numFmt formatCode="0" sourceLinked="0"/>
            <c:txPr>
              <a:bodyPr/>
              <a:lstStyle/>
              <a:p>
                <a:pPr>
                  <a:defRPr b="0" i="0" strike="noStrike" sz="900" u="none">
                    <a:solidFill>
                      <a:srgbClr val="404040"/>
                    </a:solidFill>
                    <a:latin typeface="Times New Roman"/>
                  </a:defRPr>
                </a:pPr>
              </a:p>
            </c:txPr>
            <c:dLblPos val="outEnd"/>
            <c:showLegendKey val="0"/>
            <c:showVal val="1"/>
            <c:showCatName val="0"/>
            <c:showSerName val="0"/>
            <c:showPercent val="0"/>
            <c:showBubbleSize val="0"/>
            <c:showLeaderLines val="0"/>
          </c:dLbls>
          <c:cat>
            <c:strRef>
              <c:f>Sheet1!$B$1:$F$1</c:f>
              <c:strCache>
                <c:ptCount val="5"/>
                <c:pt idx="0">
                  <c:v>December 2020</c:v>
                </c:pt>
                <c:pt idx="1">
                  <c:v>June 2021</c:v>
                </c:pt>
                <c:pt idx="2">
                  <c:v>December 2021</c:v>
                </c:pt>
                <c:pt idx="3">
                  <c:v>June 2022</c:v>
                </c:pt>
                <c:pt idx="4">
                  <c:v>December 2022</c:v>
                </c:pt>
              </c:strCache>
            </c:strRef>
          </c:cat>
          <c:val>
            <c:numRef>
              <c:f>Sheet1!$B$3:$F$3</c:f>
              <c:numCache>
                <c:ptCount val="5"/>
                <c:pt idx="0">
                  <c:v>51.000000</c:v>
                </c:pt>
                <c:pt idx="1">
                  <c:v>55.000000</c:v>
                </c:pt>
                <c:pt idx="2">
                  <c:v>39.000000</c:v>
                </c:pt>
                <c:pt idx="3">
                  <c:v>36.000000</c:v>
                </c:pt>
                <c:pt idx="4">
                  <c:v>30.000000</c:v>
                </c:pt>
              </c:numCache>
            </c:numRef>
          </c:val>
        </c:ser>
        <c:ser>
          <c:idx val="2"/>
          <c:order val="2"/>
          <c:tx>
            <c:strRef>
              <c:f>Sheet1!$A$4</c:f>
              <c:strCache>
                <c:ptCount val="1"/>
                <c:pt idx="0">
                  <c:v>Existing </c:v>
                </c:pt>
              </c:strCache>
            </c:strRef>
          </c:tx>
          <c:spPr>
            <a:solidFill>
              <a:schemeClr val="accent3"/>
            </a:solidFill>
            <a:ln w="12700" cap="flat">
              <a:noFill/>
              <a:miter lim="400000"/>
            </a:ln>
            <a:effectLst/>
          </c:spPr>
          <c:invertIfNegative val="0"/>
          <c:dLbls>
            <c:numFmt formatCode="0" sourceLinked="0"/>
            <c:txPr>
              <a:bodyPr/>
              <a:lstStyle/>
              <a:p>
                <a:pPr>
                  <a:defRPr b="0" i="0" strike="noStrike" sz="900" u="none">
                    <a:solidFill>
                      <a:srgbClr val="404040"/>
                    </a:solidFill>
                    <a:latin typeface="Times New Roman"/>
                  </a:defRPr>
                </a:pPr>
              </a:p>
            </c:txPr>
            <c:dLblPos val="outEnd"/>
            <c:showLegendKey val="0"/>
            <c:showVal val="1"/>
            <c:showCatName val="0"/>
            <c:showSerName val="0"/>
            <c:showPercent val="0"/>
            <c:showBubbleSize val="0"/>
            <c:showLeaderLines val="0"/>
          </c:dLbls>
          <c:cat>
            <c:strRef>
              <c:f>Sheet1!$B$1:$F$1</c:f>
              <c:strCache>
                <c:ptCount val="5"/>
                <c:pt idx="0">
                  <c:v>December 2020</c:v>
                </c:pt>
                <c:pt idx="1">
                  <c:v>June 2021</c:v>
                </c:pt>
                <c:pt idx="2">
                  <c:v>December 2021</c:v>
                </c:pt>
                <c:pt idx="3">
                  <c:v>June 2022</c:v>
                </c:pt>
                <c:pt idx="4">
                  <c:v>December 2022</c:v>
                </c:pt>
              </c:strCache>
            </c:strRef>
          </c:cat>
          <c:val>
            <c:numRef>
              <c:f>Sheet1!$B$4:$F$4</c:f>
              <c:numCache>
                <c:ptCount val="5"/>
                <c:pt idx="0">
                  <c:v>29.000000</c:v>
                </c:pt>
                <c:pt idx="1">
                  <c:v>30.000000</c:v>
                </c:pt>
                <c:pt idx="2">
                  <c:v>37.000000</c:v>
                </c:pt>
                <c:pt idx="3">
                  <c:v>32.000000</c:v>
                </c:pt>
                <c:pt idx="4">
                  <c:v>40.000000</c:v>
                </c:pt>
              </c:numCache>
            </c:numRef>
          </c:val>
        </c:ser>
        <c:ser>
          <c:idx val="3"/>
          <c:order val="3"/>
          <c:tx>
            <c:strRef>
              <c:f>Sheet1!$A$5</c:f>
              <c:strCache>
                <c:ptCount val="1"/>
                <c:pt idx="0">
                  <c:v>Gap</c:v>
                </c:pt>
              </c:strCache>
            </c:strRef>
          </c:tx>
          <c:spPr>
            <a:solidFill>
              <a:schemeClr val="accent4"/>
            </a:solidFill>
            <a:ln w="12700" cap="flat">
              <a:noFill/>
              <a:miter lim="400000"/>
            </a:ln>
            <a:effectLst/>
          </c:spPr>
          <c:invertIfNegative val="0"/>
          <c:dLbls>
            <c:numFmt formatCode="0" sourceLinked="0"/>
            <c:txPr>
              <a:bodyPr/>
              <a:lstStyle/>
              <a:p>
                <a:pPr>
                  <a:defRPr b="0" i="0" strike="noStrike" sz="900" u="none">
                    <a:solidFill>
                      <a:srgbClr val="404040"/>
                    </a:solidFill>
                    <a:latin typeface="Times New Roman"/>
                  </a:defRPr>
                </a:pPr>
              </a:p>
            </c:txPr>
            <c:dLblPos val="outEnd"/>
            <c:showLegendKey val="0"/>
            <c:showVal val="1"/>
            <c:showCatName val="0"/>
            <c:showSerName val="0"/>
            <c:showPercent val="0"/>
            <c:showBubbleSize val="0"/>
            <c:showLeaderLines val="0"/>
          </c:dLbls>
          <c:cat>
            <c:strRef>
              <c:f>Sheet1!$B$1:$F$1</c:f>
              <c:strCache>
                <c:ptCount val="5"/>
                <c:pt idx="0">
                  <c:v>December 2020</c:v>
                </c:pt>
                <c:pt idx="1">
                  <c:v>June 2021</c:v>
                </c:pt>
                <c:pt idx="2">
                  <c:v>December 2021</c:v>
                </c:pt>
                <c:pt idx="3">
                  <c:v>June 2022</c:v>
                </c:pt>
                <c:pt idx="4">
                  <c:v>December 2022</c:v>
                </c:pt>
              </c:strCache>
            </c:strRef>
          </c:cat>
          <c:val>
            <c:numRef>
              <c:f>Sheet1!$B$5:$F$5</c:f>
              <c:numCache>
                <c:ptCount val="5"/>
                <c:pt idx="0">
                  <c:v>13.000000</c:v>
                </c:pt>
                <c:pt idx="1">
                  <c:v>13.000000</c:v>
                </c:pt>
                <c:pt idx="2">
                  <c:v>13.000000</c:v>
                </c:pt>
                <c:pt idx="3">
                  <c:v>15.000000</c:v>
                </c:pt>
                <c:pt idx="4">
                  <c:v>15.000000</c:v>
                </c:pt>
              </c:numCache>
            </c:numRef>
          </c:val>
        </c:ser>
        <c:ser>
          <c:idx val="4"/>
          <c:order val="4"/>
          <c:tx>
            <c:strRef>
              <c:f>Sheet1!$A$6</c:f>
              <c:strCache>
                <c:ptCount val="1"/>
                <c:pt idx="0">
                  <c:v>Planned</c:v>
                </c:pt>
              </c:strCache>
            </c:strRef>
          </c:tx>
          <c:spPr>
            <a:solidFill>
              <a:schemeClr val="accent5"/>
            </a:solidFill>
            <a:ln w="12700" cap="flat">
              <a:noFill/>
              <a:miter lim="400000"/>
            </a:ln>
            <a:effectLst/>
          </c:spPr>
          <c:invertIfNegative val="0"/>
          <c:dLbls>
            <c:numFmt formatCode="0" sourceLinked="0"/>
            <c:txPr>
              <a:bodyPr/>
              <a:lstStyle/>
              <a:p>
                <a:pPr>
                  <a:defRPr b="0" i="0" strike="noStrike" sz="900" u="none">
                    <a:solidFill>
                      <a:srgbClr val="404040"/>
                    </a:solidFill>
                    <a:latin typeface="Times New Roman"/>
                  </a:defRPr>
                </a:pPr>
              </a:p>
            </c:txPr>
            <c:dLblPos val="outEnd"/>
            <c:showLegendKey val="0"/>
            <c:showVal val="1"/>
            <c:showCatName val="0"/>
            <c:showSerName val="0"/>
            <c:showPercent val="0"/>
            <c:showBubbleSize val="0"/>
            <c:showLeaderLines val="0"/>
          </c:dLbls>
          <c:cat>
            <c:strRef>
              <c:f>Sheet1!$B$1:$F$1</c:f>
              <c:strCache>
                <c:ptCount val="5"/>
                <c:pt idx="0">
                  <c:v>December 2020</c:v>
                </c:pt>
                <c:pt idx="1">
                  <c:v>June 2021</c:v>
                </c:pt>
                <c:pt idx="2">
                  <c:v>December 2021</c:v>
                </c:pt>
                <c:pt idx="3">
                  <c:v>June 2022</c:v>
                </c:pt>
                <c:pt idx="4">
                  <c:v>December 2022</c:v>
                </c:pt>
              </c:strCache>
            </c:strRef>
          </c:cat>
          <c:val>
            <c:numRef>
              <c:f>Sheet1!$B$6:$F$6</c:f>
              <c:numCache>
                <c:ptCount val="5"/>
                <c:pt idx="0">
                  <c:v>13.000000</c:v>
                </c:pt>
                <c:pt idx="1">
                  <c:v>13.000000</c:v>
                </c:pt>
                <c:pt idx="2">
                  <c:v>13.000000</c:v>
                </c:pt>
                <c:pt idx="3">
                  <c:v>9.000000</c:v>
                </c:pt>
                <c:pt idx="4">
                  <c:v>9.000000</c:v>
                </c:pt>
              </c:numCache>
            </c:numRef>
          </c:val>
        </c:ser>
        <c:ser>
          <c:idx val="5"/>
          <c:order val="5"/>
          <c:tx>
            <c:strRef>
              <c:f>Sheet1!$A$7</c:f>
              <c:strCache>
                <c:ptCount val="1"/>
                <c:pt idx="0">
                  <c:v>Removed </c:v>
                </c:pt>
              </c:strCache>
            </c:strRef>
          </c:tx>
          <c:spPr>
            <a:solidFill>
              <a:schemeClr val="accent6"/>
            </a:solidFill>
            <a:ln w="12700" cap="flat">
              <a:noFill/>
              <a:miter lim="400000"/>
            </a:ln>
            <a:effectLst/>
          </c:spPr>
          <c:invertIfNegative val="0"/>
          <c:dLbls>
            <c:numFmt formatCode="0" sourceLinked="0"/>
            <c:txPr>
              <a:bodyPr/>
              <a:lstStyle/>
              <a:p>
                <a:pPr>
                  <a:defRPr b="0" i="0" strike="noStrike" sz="900" u="none">
                    <a:solidFill>
                      <a:srgbClr val="404040"/>
                    </a:solidFill>
                    <a:latin typeface="Times New Roman"/>
                  </a:defRPr>
                </a:pPr>
              </a:p>
            </c:txPr>
            <c:dLblPos val="outEnd"/>
            <c:showLegendKey val="0"/>
            <c:showVal val="1"/>
            <c:showCatName val="0"/>
            <c:showSerName val="0"/>
            <c:showPercent val="0"/>
            <c:showBubbleSize val="0"/>
            <c:showLeaderLines val="0"/>
          </c:dLbls>
          <c:cat>
            <c:strRef>
              <c:f>Sheet1!$B$1:$F$1</c:f>
              <c:strCache>
                <c:ptCount val="5"/>
                <c:pt idx="0">
                  <c:v>December 2020</c:v>
                </c:pt>
                <c:pt idx="1">
                  <c:v>June 2021</c:v>
                </c:pt>
                <c:pt idx="2">
                  <c:v>December 2021</c:v>
                </c:pt>
                <c:pt idx="3">
                  <c:v>June 2022</c:v>
                </c:pt>
                <c:pt idx="4">
                  <c:v>December 2022</c:v>
                </c:pt>
              </c:strCache>
            </c:strRef>
          </c:cat>
          <c:val>
            <c:numRef>
              <c:f>Sheet1!$B$7:$F$7</c:f>
              <c:numCache>
                <c:ptCount val="5"/>
                <c:pt idx="0">
                  <c:v>10.000000</c:v>
                </c:pt>
                <c:pt idx="1">
                  <c:v>7.000000</c:v>
                </c:pt>
                <c:pt idx="2">
                  <c:v>12.000000</c:v>
                </c:pt>
                <c:pt idx="3">
                  <c:v>14.000000</c:v>
                </c:pt>
                <c:pt idx="4">
                  <c:v>9.000000</c:v>
                </c:pt>
              </c:numCache>
            </c:numRef>
          </c:val>
        </c:ser>
        <c:ser>
          <c:idx val="6"/>
          <c:order val="6"/>
          <c:tx>
            <c:strRef>
              <c:f>Sheet1!$A$8</c:f>
              <c:strCache>
                <c:ptCount val="1"/>
                <c:pt idx="0">
                  <c:v>Unknown</c:v>
                </c:pt>
              </c:strCache>
            </c:strRef>
          </c:tx>
          <c:spPr>
            <a:solidFill>
              <a:srgbClr val="264478"/>
            </a:solidFill>
            <a:ln w="12700" cap="flat">
              <a:noFill/>
              <a:miter lim="400000"/>
            </a:ln>
            <a:effectLst/>
          </c:spPr>
          <c:invertIfNegative val="0"/>
          <c:dLbls>
            <c:numFmt formatCode="0" sourceLinked="0"/>
            <c:txPr>
              <a:bodyPr/>
              <a:lstStyle/>
              <a:p>
                <a:pPr>
                  <a:defRPr b="0" i="0" strike="noStrike" sz="900" u="none">
                    <a:solidFill>
                      <a:srgbClr val="404040"/>
                    </a:solidFill>
                    <a:latin typeface="Times New Roman"/>
                  </a:defRPr>
                </a:pPr>
              </a:p>
            </c:txPr>
            <c:dLblPos val="outEnd"/>
            <c:showLegendKey val="0"/>
            <c:showVal val="1"/>
            <c:showCatName val="0"/>
            <c:showSerName val="0"/>
            <c:showPercent val="0"/>
            <c:showBubbleSize val="0"/>
            <c:showLeaderLines val="0"/>
          </c:dLbls>
          <c:cat>
            <c:strRef>
              <c:f>Sheet1!$B$1:$F$1</c:f>
              <c:strCache>
                <c:ptCount val="5"/>
                <c:pt idx="0">
                  <c:v>December 2020</c:v>
                </c:pt>
                <c:pt idx="1">
                  <c:v>June 2021</c:v>
                </c:pt>
                <c:pt idx="2">
                  <c:v>December 2021</c:v>
                </c:pt>
                <c:pt idx="3">
                  <c:v>June 2022</c:v>
                </c:pt>
                <c:pt idx="4">
                  <c:v>December 2022</c:v>
                </c:pt>
              </c:strCache>
            </c:strRef>
          </c:cat>
          <c:val>
            <c:numRef>
              <c:f>Sheet1!$B$8:$F$8</c:f>
              <c:numCache>
                <c:ptCount val="5"/>
                <c:pt idx="0">
                  <c:v>1.000000</c:v>
                </c:pt>
                <c:pt idx="1">
                  <c:v>1.000000</c:v>
                </c:pt>
                <c:pt idx="2">
                  <c:v>19.000000</c:v>
                </c:pt>
                <c:pt idx="3">
                  <c:v>16.000000</c:v>
                </c:pt>
                <c:pt idx="4">
                  <c:v>13.000000</c:v>
                </c:pt>
              </c:numCache>
            </c:numRef>
          </c:val>
        </c:ser>
        <c:gapWidth val="219"/>
        <c:overlap val="-27"/>
        <c:axId val="2094734552"/>
        <c:axId val="2094734553"/>
      </c:barChart>
      <c:catAx>
        <c:axId val="2094734552"/>
        <c:scaling>
          <c:orientation val="minMax"/>
        </c:scaling>
        <c:delete val="0"/>
        <c:axPos val="b"/>
        <c:title>
          <c:tx>
            <c:rich>
              <a:bodyPr rot="0"/>
              <a:lstStyle/>
              <a:p>
                <a:pPr>
                  <a:defRPr b="0" i="0" strike="noStrike" sz="1000" u="none">
                    <a:solidFill>
                      <a:srgbClr val="595959"/>
                    </a:solidFill>
                    <a:latin typeface="Times New Roman"/>
                  </a:defRPr>
                </a:pPr>
                <a:r>
                  <a:rPr b="0" i="0" strike="noStrike" sz="1000" u="none">
                    <a:solidFill>
                      <a:srgbClr val="595959"/>
                    </a:solidFill>
                    <a:latin typeface="Times New Roman"/>
                  </a:rPr>
                  <a:t>Month/Year</a:t>
                </a:r>
              </a:p>
            </c:rich>
          </c:tx>
          <c:layout/>
          <c:overlay val="1"/>
        </c:title>
        <c:numFmt formatCode="General" sourceLinked="0"/>
        <c:majorTickMark val="none"/>
        <c:minorTickMark val="none"/>
        <c:tickLblPos val="low"/>
        <c:spPr>
          <a:ln w="12700" cap="flat">
            <a:solidFill>
              <a:srgbClr val="D9D9D9"/>
            </a:solidFill>
            <a:prstDash val="solid"/>
            <a:round/>
          </a:ln>
        </c:spPr>
        <c:txPr>
          <a:bodyPr rot="0"/>
          <a:lstStyle/>
          <a:p>
            <a:pPr>
              <a:defRPr b="0" i="0" strike="noStrike" sz="900" u="none">
                <a:solidFill>
                  <a:srgbClr val="595959"/>
                </a:solidFill>
                <a:latin typeface="Times New Roman"/>
              </a:defRPr>
            </a:pPr>
          </a:p>
        </c:txPr>
        <c:crossAx val="2094734553"/>
        <c:crosses val="autoZero"/>
        <c:auto val="1"/>
        <c:lblAlgn val="ctr"/>
        <c:noMultiLvlLbl val="1"/>
      </c:catAx>
      <c:valAx>
        <c:axId val="2094734553"/>
        <c:scaling>
          <c:orientation val="minMax"/>
        </c:scaling>
        <c:delete val="0"/>
        <c:axPos val="l"/>
        <c:majorGridlines>
          <c:spPr>
            <a:ln w="12700" cap="flat">
              <a:solidFill>
                <a:srgbClr val="D9D9D9"/>
              </a:solidFill>
              <a:prstDash val="solid"/>
              <a:round/>
            </a:ln>
          </c:spPr>
        </c:majorGridlines>
        <c:title>
          <c:tx>
            <c:rich>
              <a:bodyPr rot="-5400000"/>
              <a:lstStyle/>
              <a:p>
                <a:pPr>
                  <a:defRPr b="0" i="0" strike="noStrike" sz="1000" u="none">
                    <a:solidFill>
                      <a:srgbClr val="595959"/>
                    </a:solidFill>
                    <a:latin typeface="Times New Roman"/>
                  </a:defRPr>
                </a:pPr>
                <a:r>
                  <a:rPr b="0" i="0" strike="noStrike" sz="1000" u="none">
                    <a:solidFill>
                      <a:srgbClr val="595959"/>
                    </a:solidFill>
                    <a:latin typeface="Times New Roman"/>
                  </a:rPr>
                  <a:t>Number of stations</a:t>
                </a:r>
              </a:p>
            </c:rich>
          </c:tx>
          <c:layout/>
          <c:overlay val="1"/>
        </c:title>
        <c:numFmt formatCode="0" sourceLinked="0"/>
        <c:majorTickMark val="none"/>
        <c:minorTickMark val="none"/>
        <c:tickLblPos val="nextTo"/>
        <c:spPr>
          <a:ln w="12700" cap="flat">
            <a:noFill/>
            <a:prstDash val="solid"/>
            <a:round/>
          </a:ln>
        </c:spPr>
        <c:txPr>
          <a:bodyPr rot="0"/>
          <a:lstStyle/>
          <a:p>
            <a:pPr>
              <a:defRPr b="0" i="0" strike="noStrike" sz="900" u="none">
                <a:solidFill>
                  <a:srgbClr val="595959"/>
                </a:solidFill>
                <a:latin typeface="Times New Roman"/>
              </a:defRPr>
            </a:pPr>
          </a:p>
        </c:txPr>
        <c:crossAx val="2094734552"/>
        <c:crosses val="autoZero"/>
        <c:crossBetween val="between"/>
        <c:majorUnit val="17.5"/>
        <c:minorUnit val="8.75"/>
      </c:valAx>
      <c:spPr>
        <a:noFill/>
        <a:ln w="12700" cap="flat">
          <a:noFill/>
          <a:miter lim="400000"/>
        </a:ln>
        <a:effectLst/>
      </c:spPr>
    </c:plotArea>
    <c:legend>
      <c:legendPos val="b"/>
      <c:layout>
        <c:manualLayout>
          <c:xMode val="edge"/>
          <c:yMode val="edge"/>
          <c:x val="0.0163513"/>
          <c:y val="0.940704"/>
          <c:w val="0.96873"/>
          <c:h val="0.0592959"/>
        </c:manualLayout>
      </c:layout>
      <c:overlay val="1"/>
      <c:spPr>
        <a:noFill/>
        <a:ln w="12700" cap="flat">
          <a:noFill/>
          <a:miter lim="400000"/>
        </a:ln>
        <a:effectLst/>
      </c:spPr>
      <c:txPr>
        <a:bodyPr rot="0"/>
        <a:lstStyle/>
        <a:p>
          <a:pPr>
            <a:defRPr b="0" i="0" strike="noStrike" sz="900" u="none">
              <a:solidFill>
                <a:srgbClr val="595959"/>
              </a:solidFill>
              <a:latin typeface="Times New Roman"/>
            </a:defRPr>
          </a:pPr>
        </a:p>
      </c:txPr>
    </c:legend>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400" u="none">
                <a:solidFill>
                  <a:srgbClr val="595959"/>
                </a:solidFill>
                <a:latin typeface="Times New Roman"/>
              </a:defRPr>
            </a:pPr>
            <a:r>
              <a:rPr b="0" i="0" strike="noStrike" sz="1400" u="none">
                <a:solidFill>
                  <a:srgbClr val="595959"/>
                </a:solidFill>
                <a:latin typeface="Times New Roman"/>
              </a:rPr>
              <a:t>CARIBE EWS SEA LEVEL STATIONS TREND IN THE CARIBBEAN</a:t>
            </a:r>
          </a:p>
        </c:rich>
      </c:tx>
      <c:layout>
        <c:manualLayout>
          <c:xMode val="edge"/>
          <c:yMode val="edge"/>
          <c:x val="0.0357818"/>
          <c:y val="0"/>
          <c:w val="0.928436"/>
          <c:h val="0.133789"/>
        </c:manualLayout>
      </c:layout>
      <c:overlay val="1"/>
      <c:spPr>
        <a:noFill/>
        <a:effectLst/>
      </c:spPr>
    </c:title>
    <c:autoTitleDeleted val="1"/>
    <c:plotArea>
      <c:layout>
        <c:manualLayout>
          <c:layoutTarget val="inner"/>
          <c:xMode val="edge"/>
          <c:yMode val="edge"/>
          <c:x val="0.0787691"/>
          <c:y val="0.133789"/>
          <c:w val="0.90705"/>
          <c:h val="0.760812"/>
        </c:manualLayout>
      </c:layout>
      <c:lineChart>
        <c:grouping val="standard"/>
        <c:varyColors val="0"/>
        <c:ser>
          <c:idx val="0"/>
          <c:order val="0"/>
          <c:tx>
            <c:strRef>
              <c:f>Sheet1!$A$2</c:f>
              <c:strCache>
                <c:ptCount val="1"/>
                <c:pt idx="0">
                  <c:v>Historical</c:v>
                </c:pt>
              </c:strCache>
            </c:strRef>
          </c:tx>
          <c:spPr>
            <a:noFill/>
            <a:ln w="28575" cap="rnd">
              <a:solidFill>
                <a:schemeClr val="accent1"/>
              </a:solidFill>
              <a:prstDash val="solid"/>
              <a:round/>
            </a:ln>
            <a:effectLst/>
          </c:spPr>
          <c:marker>
            <c:symbol val="none"/>
            <c:size val="4"/>
            <c:spPr>
              <a:noFill/>
              <a:ln w="28575" cap="rnd">
                <a:solidFill>
                  <a:schemeClr val="accent1"/>
                </a:solidFill>
                <a:prstDash val="solid"/>
                <a:round/>
              </a:ln>
              <a:effectLst/>
            </c:spPr>
          </c:marker>
          <c:dLbls>
            <c:numFmt formatCode="0" sourceLinked="0"/>
            <c:txPr>
              <a:bodyPr/>
              <a:lstStyle/>
              <a:p>
                <a:pPr>
                  <a:defRPr b="0" i="0" strike="noStrike" sz="1000" u="none">
                    <a:solidFill>
                      <a:srgbClr val="000000"/>
                    </a:solidFill>
                    <a:latin typeface="Times New Roman"/>
                  </a:defRPr>
                </a:pPr>
              </a:p>
            </c:txPr>
            <c:dLblPos val="t"/>
            <c:showLegendKey val="0"/>
            <c:showVal val="0"/>
            <c:showCatName val="0"/>
            <c:showSerName val="0"/>
            <c:showPercent val="0"/>
            <c:showBubbleSize val="0"/>
            <c:showLeaderLines val="0"/>
          </c:dLbls>
          <c:cat>
            <c:strRef>
              <c:f>Sheet1!$B$1:$BN$1</c:f>
              <c:strCache>
                <c:ptCount val="6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pt idx="63">
                  <c:v>2023</c:v>
                </c:pt>
                <c:pt idx="64">
                  <c:v>2024</c:v>
                </c:pt>
              </c:strCache>
            </c:strRef>
          </c:cat>
          <c:val>
            <c:numRef>
              <c:f>Sheet1!$B$2:$BN$2</c:f>
              <c:numCache>
                <c:ptCount val="63"/>
                <c:pt idx="0">
                  <c:v>0.000000</c:v>
                </c:pt>
                <c:pt idx="1">
                  <c:v>0.000000</c:v>
                </c:pt>
                <c:pt idx="2">
                  <c:v>2.000000</c:v>
                </c:pt>
                <c:pt idx="3">
                  <c:v>2.000000</c:v>
                </c:pt>
                <c:pt idx="4">
                  <c:v>2.000000</c:v>
                </c:pt>
                <c:pt idx="5">
                  <c:v>2.000000</c:v>
                </c:pt>
                <c:pt idx="6">
                  <c:v>2.000000</c:v>
                </c:pt>
                <c:pt idx="7">
                  <c:v>2.000000</c:v>
                </c:pt>
                <c:pt idx="8">
                  <c:v>2.000000</c:v>
                </c:pt>
                <c:pt idx="9">
                  <c:v>2.000000</c:v>
                </c:pt>
                <c:pt idx="10">
                  <c:v>2.000000</c:v>
                </c:pt>
                <c:pt idx="11">
                  <c:v>2.000000</c:v>
                </c:pt>
                <c:pt idx="12">
                  <c:v>2.000000</c:v>
                </c:pt>
                <c:pt idx="13">
                  <c:v>2.000000</c:v>
                </c:pt>
                <c:pt idx="14">
                  <c:v>2.000000</c:v>
                </c:pt>
                <c:pt idx="15">
                  <c:v>3.000000</c:v>
                </c:pt>
                <c:pt idx="16">
                  <c:v>3.000000</c:v>
                </c:pt>
                <c:pt idx="17">
                  <c:v>4.000000</c:v>
                </c:pt>
                <c:pt idx="18">
                  <c:v>4.000000</c:v>
                </c:pt>
                <c:pt idx="19">
                  <c:v>4.000000</c:v>
                </c:pt>
                <c:pt idx="20">
                  <c:v>4.000000</c:v>
                </c:pt>
                <c:pt idx="21">
                  <c:v>4.000000</c:v>
                </c:pt>
                <c:pt idx="22">
                  <c:v>4.000000</c:v>
                </c:pt>
                <c:pt idx="23">
                  <c:v>4.000000</c:v>
                </c:pt>
                <c:pt idx="24">
                  <c:v>4.000000</c:v>
                </c:pt>
                <c:pt idx="25">
                  <c:v>4.000000</c:v>
                </c:pt>
                <c:pt idx="26">
                  <c:v>4.000000</c:v>
                </c:pt>
                <c:pt idx="27">
                  <c:v>4.000000</c:v>
                </c:pt>
                <c:pt idx="28">
                  <c:v>4.000000</c:v>
                </c:pt>
                <c:pt idx="29">
                  <c:v>4.000000</c:v>
                </c:pt>
                <c:pt idx="30">
                  <c:v>4.000000</c:v>
                </c:pt>
                <c:pt idx="31">
                  <c:v>4.000000</c:v>
                </c:pt>
                <c:pt idx="32">
                  <c:v>4.000000</c:v>
                </c:pt>
                <c:pt idx="33">
                  <c:v>4.000000</c:v>
                </c:pt>
                <c:pt idx="34">
                  <c:v>4.000000</c:v>
                </c:pt>
                <c:pt idx="35">
                  <c:v>4.000000</c:v>
                </c:pt>
                <c:pt idx="36">
                  <c:v>4.000000</c:v>
                </c:pt>
                <c:pt idx="37">
                  <c:v>4.000000</c:v>
                </c:pt>
                <c:pt idx="38">
                  <c:v>18.000000</c:v>
                </c:pt>
                <c:pt idx="39">
                  <c:v>18.000000</c:v>
                </c:pt>
                <c:pt idx="40">
                  <c:v>18.000000</c:v>
                </c:pt>
                <c:pt idx="41">
                  <c:v>18.000000</c:v>
                </c:pt>
                <c:pt idx="42">
                  <c:v>4.000000</c:v>
                </c:pt>
                <c:pt idx="43">
                  <c:v>4.000000</c:v>
                </c:pt>
                <c:pt idx="44">
                  <c:v>4.000000</c:v>
                </c:pt>
                <c:pt idx="45">
                  <c:v>6.000000</c:v>
                </c:pt>
                <c:pt idx="46">
                  <c:v>11.000000</c:v>
                </c:pt>
                <c:pt idx="47">
                  <c:v>16.000000</c:v>
                </c:pt>
                <c:pt idx="48">
                  <c:v>28.000000</c:v>
                </c:pt>
                <c:pt idx="49">
                  <c:v>28.000000</c:v>
                </c:pt>
                <c:pt idx="50">
                  <c:v>16.000000</c:v>
                </c:pt>
                <c:pt idx="51">
                  <c:v>34.000000</c:v>
                </c:pt>
                <c:pt idx="52">
                  <c:v>41.000000</c:v>
                </c:pt>
                <c:pt idx="53">
                  <c:v>50.000000</c:v>
                </c:pt>
                <c:pt idx="54">
                  <c:v>60.000000</c:v>
                </c:pt>
                <c:pt idx="55">
                  <c:v>70.000000</c:v>
                </c:pt>
                <c:pt idx="56">
                  <c:v>77.000000</c:v>
                </c:pt>
                <c:pt idx="57">
                  <c:v>50.000000</c:v>
                </c:pt>
                <c:pt idx="58">
                  <c:v>67.000000</c:v>
                </c:pt>
                <c:pt idx="59">
                  <c:v>59.000000</c:v>
                </c:pt>
                <c:pt idx="60">
                  <c:v>54.000000</c:v>
                </c:pt>
                <c:pt idx="61">
                  <c:v>44.000000</c:v>
                </c:pt>
                <c:pt idx="62">
                  <c:v>68.000000</c:v>
                </c:pt>
              </c:numCache>
            </c:numRef>
          </c:val>
          <c:smooth val="0"/>
        </c:ser>
        <c:marker val="1"/>
        <c:axId val="2094734552"/>
        <c:axId val="2094734553"/>
      </c:lineChart>
      <c:catAx>
        <c:axId val="2094734552"/>
        <c:scaling>
          <c:orientation val="minMax"/>
        </c:scaling>
        <c:delete val="0"/>
        <c:axPos val="b"/>
        <c:title>
          <c:tx>
            <c:rich>
              <a:bodyPr rot="0"/>
              <a:lstStyle/>
              <a:p>
                <a:pPr>
                  <a:defRPr b="1" i="0" strike="noStrike" sz="1000" u="none">
                    <a:solidFill>
                      <a:srgbClr val="595959"/>
                    </a:solidFill>
                    <a:latin typeface="Times New Roman"/>
                  </a:defRPr>
                </a:pPr>
                <a:r>
                  <a:rPr b="1" i="0" strike="noStrike" sz="1000" u="none">
                    <a:solidFill>
                      <a:srgbClr val="595959"/>
                    </a:solidFill>
                    <a:latin typeface="Times New Roman"/>
                  </a:rPr>
                  <a:t>Year</a:t>
                </a:r>
              </a:p>
            </c:rich>
          </c:tx>
          <c:layout/>
          <c:overlay val="1"/>
        </c:title>
        <c:numFmt formatCode="General" sourceLinked="0"/>
        <c:majorTickMark val="none"/>
        <c:minorTickMark val="none"/>
        <c:tickLblPos val="low"/>
        <c:spPr>
          <a:ln w="12700" cap="flat">
            <a:solidFill>
              <a:srgbClr val="D9D9D9"/>
            </a:solidFill>
            <a:prstDash val="solid"/>
            <a:round/>
          </a:ln>
        </c:spPr>
        <c:txPr>
          <a:bodyPr rot="0"/>
          <a:lstStyle/>
          <a:p>
            <a:pPr>
              <a:defRPr b="0" i="0" strike="noStrike" sz="900" u="none">
                <a:solidFill>
                  <a:srgbClr val="595959"/>
                </a:solidFill>
                <a:latin typeface="Times New Roman"/>
              </a:defRPr>
            </a:pPr>
          </a:p>
        </c:txPr>
        <c:crossAx val="2094734553"/>
        <c:crosses val="autoZero"/>
        <c:auto val="1"/>
        <c:lblAlgn val="ctr"/>
        <c:noMultiLvlLbl val="1"/>
      </c:catAx>
      <c:valAx>
        <c:axId val="2094734553"/>
        <c:scaling>
          <c:orientation val="minMax"/>
        </c:scaling>
        <c:delete val="0"/>
        <c:axPos val="l"/>
        <c:majorGridlines>
          <c:spPr>
            <a:ln w="12700" cap="flat">
              <a:solidFill>
                <a:srgbClr val="D9D9D9"/>
              </a:solidFill>
              <a:prstDash val="solid"/>
              <a:round/>
            </a:ln>
          </c:spPr>
        </c:majorGridlines>
        <c:title>
          <c:tx>
            <c:rich>
              <a:bodyPr rot="-5400000"/>
              <a:lstStyle/>
              <a:p>
                <a:pPr>
                  <a:defRPr b="1" i="0" strike="noStrike" sz="1000" u="none">
                    <a:solidFill>
                      <a:srgbClr val="595959"/>
                    </a:solidFill>
                    <a:latin typeface="Times New Roman"/>
                  </a:defRPr>
                </a:pPr>
                <a:r>
                  <a:rPr b="1" i="0" strike="noStrike" sz="1000" u="none">
                    <a:solidFill>
                      <a:srgbClr val="595959"/>
                    </a:solidFill>
                    <a:latin typeface="Times New Roman"/>
                  </a:rPr>
                  <a:t>Number of stations sharing data in  real time </a:t>
                </a:r>
              </a:p>
            </c:rich>
          </c:tx>
          <c:layout/>
          <c:overlay val="1"/>
        </c:title>
        <c:numFmt formatCode="0" sourceLinked="0"/>
        <c:majorTickMark val="none"/>
        <c:minorTickMark val="none"/>
        <c:tickLblPos val="nextTo"/>
        <c:spPr>
          <a:ln w="12700" cap="flat">
            <a:noFill/>
            <a:prstDash val="solid"/>
            <a:round/>
          </a:ln>
        </c:spPr>
        <c:txPr>
          <a:bodyPr rot="0"/>
          <a:lstStyle/>
          <a:p>
            <a:pPr>
              <a:defRPr b="0" i="0" strike="noStrike" sz="900" u="none">
                <a:solidFill>
                  <a:srgbClr val="595959"/>
                </a:solidFill>
                <a:latin typeface="Times New Roman"/>
              </a:defRPr>
            </a:pPr>
          </a:p>
        </c:txPr>
        <c:crossAx val="2094734552"/>
        <c:crosses val="autoZero"/>
        <c:crossBetween val="between"/>
        <c:majorUnit val="20"/>
        <c:minorUnit val="10"/>
      </c:valAx>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400" u="none">
                <a:solidFill>
                  <a:srgbClr val="595959"/>
                </a:solidFill>
                <a:latin typeface="Times New Roman"/>
              </a:defRPr>
            </a:pPr>
            <a:r>
              <a:rPr b="0" i="0" strike="noStrike" sz="1400" u="none">
                <a:solidFill>
                  <a:srgbClr val="595959"/>
                </a:solidFill>
                <a:latin typeface="Times New Roman"/>
              </a:rPr>
              <a:t>Type of Sensors</a:t>
            </a:r>
          </a:p>
        </c:rich>
      </c:tx>
      <c:layout>
        <c:manualLayout>
          <c:xMode val="edge"/>
          <c:yMode val="edge"/>
          <c:x val="0.160868"/>
          <c:y val="0"/>
          <c:w val="0.234302"/>
          <c:h val="0.118617"/>
        </c:manualLayout>
      </c:layout>
      <c:overlay val="1"/>
      <c:spPr>
        <a:noFill/>
        <a:effectLst/>
      </c:spPr>
    </c:title>
    <c:autoTitleDeleted val="1"/>
    <c:plotArea>
      <c:layout>
        <c:manualLayout>
          <c:layoutTarget val="inner"/>
          <c:xMode val="edge"/>
          <c:yMode val="edge"/>
          <c:x val="0.0316499"/>
          <c:y val="0.118617"/>
          <c:w val="0.492738"/>
          <c:h val="0.815686"/>
        </c:manualLayout>
      </c:layout>
      <c:pieChart>
        <c:varyColors val="0"/>
        <c:ser>
          <c:idx val="0"/>
          <c:order val="0"/>
          <c:tx>
            <c:strRef>
              <c:f>Sheet1!$A$2</c:f>
              <c:strCache>
                <c:ptCount val="1"/>
                <c:pt idx="0">
                  <c:v>Sensors</c:v>
                </c:pt>
              </c:strCache>
            </c:strRef>
          </c:tx>
          <c:spPr>
            <a:solidFill>
              <a:schemeClr val="accent1"/>
            </a:solidFill>
            <a:ln w="19050" cap="flat">
              <a:solidFill>
                <a:srgbClr val="FFFFFF"/>
              </a:solidFill>
              <a:prstDash val="solid"/>
              <a:round/>
            </a:ln>
            <a:effectLst/>
          </c:spPr>
          <c:explosion val="0"/>
          <c:dPt>
            <c:idx val="0"/>
            <c:explosion val="0"/>
            <c:spPr>
              <a:solidFill>
                <a:schemeClr val="accent1"/>
              </a:solidFill>
              <a:ln w="19050" cap="flat">
                <a:solidFill>
                  <a:srgbClr val="FFFFFF"/>
                </a:solidFill>
                <a:prstDash val="solid"/>
                <a:round/>
              </a:ln>
              <a:effectLst/>
            </c:spPr>
          </c:dPt>
          <c:dPt>
            <c:idx val="1"/>
            <c:explosion val="0"/>
            <c:spPr>
              <a:solidFill>
                <a:schemeClr val="accent2"/>
              </a:solidFill>
              <a:ln w="19050" cap="flat">
                <a:solidFill>
                  <a:srgbClr val="FFFFFF"/>
                </a:solidFill>
                <a:prstDash val="solid"/>
                <a:round/>
              </a:ln>
              <a:effectLst/>
            </c:spPr>
          </c:dPt>
          <c:dPt>
            <c:idx val="2"/>
            <c:explosion val="0"/>
            <c:spPr>
              <a:solidFill>
                <a:schemeClr val="accent3"/>
              </a:solidFill>
              <a:ln w="19050" cap="flat">
                <a:solidFill>
                  <a:srgbClr val="FFFFFF"/>
                </a:solidFill>
                <a:prstDash val="solid"/>
                <a:round/>
              </a:ln>
              <a:effectLst/>
            </c:spPr>
          </c:dPt>
          <c:dPt>
            <c:idx val="3"/>
            <c:explosion val="0"/>
            <c:spPr>
              <a:solidFill>
                <a:schemeClr val="accent4"/>
              </a:solidFill>
              <a:ln w="19050" cap="flat">
                <a:solidFill>
                  <a:srgbClr val="FFFFFF"/>
                </a:solidFill>
                <a:prstDash val="solid"/>
                <a:round/>
              </a:ln>
              <a:effectLst/>
            </c:spPr>
          </c:dPt>
          <c:dPt>
            <c:idx val="4"/>
            <c:explosion val="0"/>
            <c:spPr>
              <a:solidFill>
                <a:schemeClr val="accent5"/>
              </a:solidFill>
              <a:ln w="19050" cap="flat">
                <a:solidFill>
                  <a:srgbClr val="FFFFFF"/>
                </a:solidFill>
                <a:prstDash val="solid"/>
                <a:round/>
              </a:ln>
              <a:effectLst/>
            </c:spPr>
          </c:dPt>
          <c:dPt>
            <c:idx val="5"/>
            <c:explosion val="0"/>
            <c:spPr>
              <a:solidFill>
                <a:schemeClr val="accent6"/>
              </a:solidFill>
              <a:ln w="19050" cap="flat">
                <a:solidFill>
                  <a:srgbClr val="FFFFFF"/>
                </a:solidFill>
                <a:prstDash val="solid"/>
                <a:round/>
              </a:ln>
              <a:effectLst/>
            </c:spPr>
          </c:dPt>
          <c:dPt>
            <c:idx val="6"/>
            <c:explosion val="0"/>
            <c:spPr>
              <a:solidFill>
                <a:srgbClr val="264478"/>
              </a:solidFill>
              <a:ln w="19050" cap="flat">
                <a:solidFill>
                  <a:srgbClr val="FFFFFF"/>
                </a:solidFill>
                <a:prstDash val="solid"/>
                <a:round/>
              </a:ln>
              <a:effectLst/>
            </c:spPr>
          </c:dPt>
          <c:dPt>
            <c:idx val="7"/>
            <c:explosion val="0"/>
            <c:spPr>
              <a:solidFill>
                <a:srgbClr val="9E480E"/>
              </a:solidFill>
              <a:ln w="19050" cap="flat">
                <a:solidFill>
                  <a:srgbClr val="FFFFFF"/>
                </a:solidFill>
                <a:prstDash val="solid"/>
                <a:round/>
              </a:ln>
              <a:effectLst/>
            </c:spPr>
          </c:dPt>
          <c:dLbls>
            <c:dLbl>
              <c:idx val="0"/>
              <c:numFmt formatCode="#,##0" sourceLinked="0"/>
              <c:txPr>
                <a:bodyPr/>
                <a:lstStyle/>
                <a:p>
                  <a:pPr>
                    <a:defRPr b="0" i="0" strike="noStrike" sz="900" u="none">
                      <a:solidFill>
                        <a:srgbClr val="404040"/>
                      </a:solidFill>
                      <a:latin typeface="Times New Roman"/>
                    </a:defRPr>
                  </a:pPr>
                </a:p>
              </c:txPr>
              <c:dLblPos val="inEnd"/>
              <c:showLegendKey val="0"/>
              <c:showVal val="1"/>
              <c:showCatName val="0"/>
              <c:showSerName val="0"/>
              <c:showPercent val="0"/>
              <c:showBubbleSize val="0"/>
            </c:dLbl>
            <c:dLbl>
              <c:idx val="1"/>
              <c:numFmt formatCode="#,##0" sourceLinked="0"/>
              <c:txPr>
                <a:bodyPr/>
                <a:lstStyle/>
                <a:p>
                  <a:pPr>
                    <a:defRPr b="0" i="0" strike="noStrike" sz="900" u="none">
                      <a:solidFill>
                        <a:srgbClr val="404040"/>
                      </a:solidFill>
                      <a:latin typeface="Times New Roman"/>
                    </a:defRPr>
                  </a:pPr>
                </a:p>
              </c:txPr>
              <c:dLblPos val="inEnd"/>
              <c:showLegendKey val="0"/>
              <c:showVal val="1"/>
              <c:showCatName val="0"/>
              <c:showSerName val="0"/>
              <c:showPercent val="0"/>
              <c:showBubbleSize val="0"/>
            </c:dLbl>
            <c:dLbl>
              <c:idx val="2"/>
              <c:numFmt formatCode="#,##0" sourceLinked="0"/>
              <c:txPr>
                <a:bodyPr/>
                <a:lstStyle/>
                <a:p>
                  <a:pPr>
                    <a:defRPr b="0" i="0" strike="noStrike" sz="900" u="none">
                      <a:solidFill>
                        <a:srgbClr val="404040"/>
                      </a:solidFill>
                      <a:latin typeface="Times New Roman"/>
                    </a:defRPr>
                  </a:pPr>
                </a:p>
              </c:txPr>
              <c:dLblPos val="inEnd"/>
              <c:showLegendKey val="0"/>
              <c:showVal val="1"/>
              <c:showCatName val="0"/>
              <c:showSerName val="0"/>
              <c:showPercent val="0"/>
              <c:showBubbleSize val="0"/>
            </c:dLbl>
            <c:dLbl>
              <c:idx val="3"/>
              <c:numFmt formatCode="#,##0" sourceLinked="0"/>
              <c:txPr>
                <a:bodyPr/>
                <a:lstStyle/>
                <a:p>
                  <a:pPr>
                    <a:defRPr b="0" i="0" strike="noStrike" sz="900" u="none">
                      <a:solidFill>
                        <a:srgbClr val="404040"/>
                      </a:solidFill>
                      <a:latin typeface="Times New Roman"/>
                    </a:defRPr>
                  </a:pPr>
                </a:p>
              </c:txPr>
              <c:dLblPos val="inEnd"/>
              <c:showLegendKey val="0"/>
              <c:showVal val="1"/>
              <c:showCatName val="0"/>
              <c:showSerName val="0"/>
              <c:showPercent val="0"/>
              <c:showBubbleSize val="0"/>
            </c:dLbl>
            <c:dLbl>
              <c:idx val="4"/>
              <c:numFmt formatCode="#,##0" sourceLinked="0"/>
              <c:txPr>
                <a:bodyPr/>
                <a:lstStyle/>
                <a:p>
                  <a:pPr>
                    <a:defRPr b="0" i="0" strike="noStrike" sz="900" u="none">
                      <a:solidFill>
                        <a:srgbClr val="404040"/>
                      </a:solidFill>
                      <a:latin typeface="Times New Roman"/>
                    </a:defRPr>
                  </a:pPr>
                </a:p>
              </c:txPr>
              <c:dLblPos val="inEnd"/>
              <c:showLegendKey val="0"/>
              <c:showVal val="1"/>
              <c:showCatName val="0"/>
              <c:showSerName val="0"/>
              <c:showPercent val="0"/>
              <c:showBubbleSize val="0"/>
            </c:dLbl>
            <c:dLbl>
              <c:idx val="5"/>
              <c:numFmt formatCode="#,##0" sourceLinked="0"/>
              <c:txPr>
                <a:bodyPr/>
                <a:lstStyle/>
                <a:p>
                  <a:pPr>
                    <a:defRPr b="0" i="0" strike="noStrike" sz="900" u="none">
                      <a:solidFill>
                        <a:srgbClr val="404040"/>
                      </a:solidFill>
                      <a:latin typeface="Times New Roman"/>
                    </a:defRPr>
                  </a:pPr>
                </a:p>
              </c:txPr>
              <c:dLblPos val="inEnd"/>
              <c:showLegendKey val="0"/>
              <c:showVal val="1"/>
              <c:showCatName val="0"/>
              <c:showSerName val="0"/>
              <c:showPercent val="0"/>
              <c:showBubbleSize val="0"/>
            </c:dLbl>
            <c:dLbl>
              <c:idx val="6"/>
              <c:numFmt formatCode="#,##0" sourceLinked="0"/>
              <c:txPr>
                <a:bodyPr/>
                <a:lstStyle/>
                <a:p>
                  <a:pPr>
                    <a:defRPr b="0" i="0" strike="noStrike" sz="900" u="none">
                      <a:solidFill>
                        <a:srgbClr val="404040"/>
                      </a:solidFill>
                      <a:latin typeface="Times New Roman"/>
                    </a:defRPr>
                  </a:pPr>
                </a:p>
              </c:txPr>
              <c:dLblPos val="outEnd"/>
              <c:showLegendKey val="0"/>
              <c:showVal val="1"/>
              <c:showCatName val="0"/>
              <c:showSerName val="0"/>
              <c:showPercent val="0"/>
              <c:showBubbleSize val="0"/>
            </c:dLbl>
            <c:dLbl>
              <c:idx val="7"/>
              <c:numFmt formatCode="#,##0" sourceLinked="0"/>
              <c:txPr>
                <a:bodyPr/>
                <a:lstStyle/>
                <a:p>
                  <a:pPr>
                    <a:defRPr b="0" i="0" strike="noStrike" sz="900" u="none">
                      <a:solidFill>
                        <a:srgbClr val="404040"/>
                      </a:solidFill>
                      <a:latin typeface="Times New Roman"/>
                    </a:defRPr>
                  </a:pPr>
                </a:p>
              </c:txPr>
              <c:dLblPos val="inEnd"/>
              <c:showLegendKey val="0"/>
              <c:showVal val="1"/>
              <c:showCatName val="0"/>
              <c:showSerName val="0"/>
              <c:showPercent val="0"/>
              <c:showBubbleSize val="0"/>
            </c:dLbl>
            <c:numFmt formatCode="#,##0" sourceLinked="0"/>
            <c:txPr>
              <a:bodyPr/>
              <a:lstStyle/>
              <a:p>
                <a:pPr>
                  <a:defRPr b="0" i="0" strike="noStrike" sz="900" u="none">
                    <a:solidFill>
                      <a:srgbClr val="404040"/>
                    </a:solidFill>
                    <a:latin typeface="Times New Roman"/>
                  </a:defRPr>
                </a:pPr>
              </a:p>
            </c:txPr>
            <c:dLblPos val="inEnd"/>
            <c:showLegendKey val="0"/>
            <c:showVal val="1"/>
            <c:showCatName val="0"/>
            <c:showSerName val="0"/>
            <c:showPercent val="0"/>
            <c:showBubbleSize val="0"/>
            <c:showLeaderLines val="1"/>
            <c:leaderLines>
              <c:spPr>
                <a:noFill/>
                <a:ln w="9525" cap="flat">
                  <a:solidFill>
                    <a:srgbClr val="A6A6A6"/>
                  </a:solidFill>
                  <a:prstDash val="solid"/>
                  <a:round/>
                </a:ln>
                <a:effectLst/>
              </c:spPr>
            </c:leaderLines>
          </c:dLbls>
          <c:cat>
            <c:strRef>
              <c:f>Sheet1!$B$1:$I$1</c:f>
              <c:strCache>
                <c:ptCount val="8"/>
                <c:pt idx="0">
                  <c:v>Radar (rad)</c:v>
                </c:pt>
                <c:pt idx="1">
                  <c:v>Pressure (prs)</c:v>
                </c:pt>
                <c:pt idx="2">
                  <c:v>Aquatrack (aqu)</c:v>
                </c:pt>
                <c:pt idx="3">
                  <c:v>Bubbler (bub)</c:v>
                </c:pt>
                <c:pt idx="4">
                  <c:v>Float (flt)</c:v>
                </c:pt>
                <c:pt idx="5">
                  <c:v>Primary water level (pwl)</c:v>
                </c:pt>
                <c:pt idx="6">
                  <c:v>Backup water level (bwl)</c:v>
                </c:pt>
                <c:pt idx="7">
                  <c:v>Acoustic Echo Sounder (ecs)</c:v>
                </c:pt>
              </c:strCache>
            </c:strRef>
          </c:cat>
          <c:val>
            <c:numRef>
              <c:f>Sheet1!$B$2:$I$2</c:f>
              <c:numCache>
                <c:ptCount val="8"/>
                <c:pt idx="0">
                  <c:v>78.000000</c:v>
                </c:pt>
                <c:pt idx="1">
                  <c:v>40.000000</c:v>
                </c:pt>
                <c:pt idx="2">
                  <c:v>10.000000</c:v>
                </c:pt>
                <c:pt idx="3">
                  <c:v>13.000000</c:v>
                </c:pt>
                <c:pt idx="4">
                  <c:v>11.000000</c:v>
                </c:pt>
                <c:pt idx="5">
                  <c:v>32.000000</c:v>
                </c:pt>
                <c:pt idx="6">
                  <c:v>19.000000</c:v>
                </c:pt>
                <c:pt idx="7">
                  <c:v>1.000000</c:v>
                </c:pt>
              </c:numCache>
            </c:numRef>
          </c:val>
        </c:ser>
        <c:firstSliceAng val="0"/>
      </c:pieChart>
      <c:spPr>
        <a:noFill/>
        <a:ln w="12700" cap="flat">
          <a:noFill/>
          <a:miter lim="400000"/>
        </a:ln>
        <a:effectLst/>
      </c:spPr>
    </c:plotArea>
    <c:legend>
      <c:legendPos val="r"/>
      <c:layout>
        <c:manualLayout>
          <c:xMode val="edge"/>
          <c:yMode val="edge"/>
          <c:x val="0.654932"/>
          <c:y val="0.239353"/>
          <c:w val="0.345068"/>
          <c:h val="0.358022"/>
        </c:manualLayout>
      </c:layout>
      <c:overlay val="1"/>
      <c:spPr>
        <a:noFill/>
        <a:ln w="12700" cap="flat">
          <a:noFill/>
          <a:miter lim="400000"/>
        </a:ln>
        <a:effectLst/>
      </c:spPr>
      <c:txPr>
        <a:bodyPr rot="0"/>
        <a:lstStyle/>
        <a:p>
          <a:pPr>
            <a:defRPr b="0" i="0" strike="noStrike" sz="900" u="none">
              <a:solidFill>
                <a:srgbClr val="595959"/>
              </a:solidFill>
              <a:latin typeface="Times New Roman"/>
            </a:defRPr>
          </a:pPr>
        </a:p>
      </c:txPr>
    </c:legend>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400" u="none">
                <a:solidFill>
                  <a:srgbClr val="595959"/>
                </a:solidFill>
                <a:latin typeface="Times New Roman"/>
              </a:defRPr>
            </a:pPr>
            <a:r>
              <a:rPr b="0" i="0" strike="noStrike" sz="1400" u="none">
                <a:solidFill>
                  <a:srgbClr val="595959"/>
                </a:solidFill>
                <a:latin typeface="Times New Roman"/>
              </a:rPr>
              <a:t>DART Buoys Availability Status</a:t>
            </a:r>
          </a:p>
        </c:rich>
      </c:tx>
      <c:layout>
        <c:manualLayout>
          <c:xMode val="edge"/>
          <c:yMode val="edge"/>
          <c:x val="0.222832"/>
          <c:y val="0"/>
          <c:w val="0.554337"/>
          <c:h val="0.137207"/>
        </c:manualLayout>
      </c:layout>
      <c:overlay val="1"/>
      <c:spPr>
        <a:noFill/>
        <a:effectLst/>
      </c:spPr>
    </c:title>
    <c:autoTitleDeleted val="1"/>
    <c:plotArea>
      <c:layout>
        <c:manualLayout>
          <c:layoutTarget val="inner"/>
          <c:xMode val="edge"/>
          <c:yMode val="edge"/>
          <c:x val="0.0922424"/>
          <c:y val="0.137207"/>
          <c:w val="0.902758"/>
          <c:h val="0.684602"/>
        </c:manualLayout>
      </c:layout>
      <c:barChart>
        <c:barDir val="col"/>
        <c:grouping val="clustered"/>
        <c:varyColors val="0"/>
        <c:ser>
          <c:idx val="0"/>
          <c:order val="0"/>
          <c:tx>
            <c:strRef>
              <c:f>Sheet1!$A$2</c:f>
              <c:strCache>
                <c:ptCount val="1"/>
                <c:pt idx="0">
                  <c:v>Contributing RTX</c:v>
                </c:pt>
              </c:strCache>
            </c:strRef>
          </c:tx>
          <c:spPr>
            <a:solidFill>
              <a:schemeClr val="accent6"/>
            </a:solidFill>
            <a:ln w="12700" cap="flat">
              <a:noFill/>
              <a:miter lim="400000"/>
            </a:ln>
            <a:effectLst/>
          </c:spPr>
          <c:invertIfNegative val="0"/>
          <c:dLbls>
            <c:numFmt formatCode="0" sourceLinked="0"/>
            <c:txPr>
              <a:bodyPr/>
              <a:lstStyle/>
              <a:p>
                <a:pPr>
                  <a:defRPr b="0" i="0" strike="noStrike" sz="1000" u="none">
                    <a:solidFill>
                      <a:srgbClr val="000000"/>
                    </a:solidFill>
                    <a:latin typeface="Times New Roman"/>
                  </a:defRPr>
                </a:pPr>
              </a:p>
            </c:txPr>
            <c:dLblPos val="outEnd"/>
            <c:showLegendKey val="0"/>
            <c:showVal val="0"/>
            <c:showCatName val="0"/>
            <c:showSerName val="0"/>
            <c:showPercent val="0"/>
            <c:showBubbleSize val="0"/>
            <c:showLeaderLines val="0"/>
          </c:dLbls>
          <c:cat>
            <c:strRef>
              <c:f>Sheet1!$B$1:$D$1</c:f>
              <c:strCache>
                <c:ptCount val="3"/>
                <c:pt idx="0">
                  <c:v>December 2020</c:v>
                </c:pt>
                <c:pt idx="1">
                  <c:v>December 2021</c:v>
                </c:pt>
                <c:pt idx="2">
                  <c:v>December 2022</c:v>
                </c:pt>
              </c:strCache>
            </c:strRef>
          </c:cat>
          <c:val>
            <c:numRef>
              <c:f>Sheet1!$B$2:$D$2</c:f>
              <c:numCache>
                <c:ptCount val="3"/>
                <c:pt idx="0">
                  <c:v>5.000000</c:v>
                </c:pt>
                <c:pt idx="1">
                  <c:v>3.000000</c:v>
                </c:pt>
                <c:pt idx="2">
                  <c:v>3.000000</c:v>
                </c:pt>
              </c:numCache>
            </c:numRef>
          </c:val>
        </c:ser>
        <c:ser>
          <c:idx val="1"/>
          <c:order val="1"/>
          <c:tx>
            <c:strRef>
              <c:f>Sheet1!$A$3</c:f>
              <c:strCache>
                <c:ptCount val="1"/>
                <c:pt idx="0">
                  <c:v>Down</c:v>
                </c:pt>
              </c:strCache>
            </c:strRef>
          </c:tx>
          <c:spPr>
            <a:solidFill>
              <a:srgbClr val="FF0000"/>
            </a:solidFill>
            <a:ln w="12700" cap="flat">
              <a:noFill/>
              <a:miter lim="400000"/>
            </a:ln>
            <a:effectLst/>
          </c:spPr>
          <c:invertIfNegative val="0"/>
          <c:dLbls>
            <c:numFmt formatCode="0" sourceLinked="0"/>
            <c:txPr>
              <a:bodyPr/>
              <a:lstStyle/>
              <a:p>
                <a:pPr>
                  <a:defRPr b="0" i="0" strike="noStrike" sz="1000" u="none">
                    <a:solidFill>
                      <a:srgbClr val="000000"/>
                    </a:solidFill>
                    <a:latin typeface="Times New Roman"/>
                  </a:defRPr>
                </a:pPr>
              </a:p>
            </c:txPr>
            <c:dLblPos val="outEnd"/>
            <c:showLegendKey val="0"/>
            <c:showVal val="0"/>
            <c:showCatName val="0"/>
            <c:showSerName val="0"/>
            <c:showPercent val="0"/>
            <c:showBubbleSize val="0"/>
            <c:showLeaderLines val="0"/>
          </c:dLbls>
          <c:cat>
            <c:strRef>
              <c:f>Sheet1!$B$1:$D$1</c:f>
              <c:strCache>
                <c:ptCount val="3"/>
                <c:pt idx="0">
                  <c:v>December 2020</c:v>
                </c:pt>
                <c:pt idx="1">
                  <c:v>December 2021</c:v>
                </c:pt>
                <c:pt idx="2">
                  <c:v>December 2022</c:v>
                </c:pt>
              </c:strCache>
            </c:strRef>
          </c:cat>
          <c:val>
            <c:numRef>
              <c:f>Sheet1!$B$3:$D$3</c:f>
              <c:numCache>
                <c:ptCount val="3"/>
                <c:pt idx="0">
                  <c:v>3.000000</c:v>
                </c:pt>
                <c:pt idx="1">
                  <c:v>3.000000</c:v>
                </c:pt>
                <c:pt idx="2">
                  <c:v>4.000000</c:v>
                </c:pt>
              </c:numCache>
            </c:numRef>
          </c:val>
        </c:ser>
        <c:ser>
          <c:idx val="2"/>
          <c:order val="2"/>
          <c:tx>
            <c:strRef>
              <c:f>Sheet1!$A$4</c:f>
              <c:strCache>
                <c:ptCount val="1"/>
                <c:pt idx="0">
                  <c:v>Removed</c:v>
                </c:pt>
              </c:strCache>
            </c:strRef>
          </c:tx>
          <c:spPr>
            <a:solidFill>
              <a:schemeClr val="accent4"/>
            </a:solidFill>
            <a:ln w="12700" cap="flat">
              <a:noFill/>
              <a:miter lim="400000"/>
            </a:ln>
            <a:effectLst/>
          </c:spPr>
          <c:invertIfNegative val="0"/>
          <c:dLbls>
            <c:numFmt formatCode="0" sourceLinked="0"/>
            <c:txPr>
              <a:bodyPr/>
              <a:lstStyle/>
              <a:p>
                <a:pPr>
                  <a:defRPr b="0" i="0" strike="noStrike" sz="1000" u="none">
                    <a:solidFill>
                      <a:srgbClr val="000000"/>
                    </a:solidFill>
                    <a:latin typeface="Times New Roman"/>
                  </a:defRPr>
                </a:pPr>
              </a:p>
            </c:txPr>
            <c:dLblPos val="outEnd"/>
            <c:showLegendKey val="0"/>
            <c:showVal val="0"/>
            <c:showCatName val="0"/>
            <c:showSerName val="0"/>
            <c:showPercent val="0"/>
            <c:showBubbleSize val="0"/>
            <c:showLeaderLines val="0"/>
          </c:dLbls>
          <c:cat>
            <c:strRef>
              <c:f>Sheet1!$B$1:$D$1</c:f>
              <c:strCache>
                <c:ptCount val="3"/>
                <c:pt idx="0">
                  <c:v>December 2020</c:v>
                </c:pt>
                <c:pt idx="1">
                  <c:v>December 2021</c:v>
                </c:pt>
                <c:pt idx="2">
                  <c:v>December 2022</c:v>
                </c:pt>
              </c:strCache>
            </c:strRef>
          </c:cat>
          <c:val>
            <c:numRef>
              <c:f>Sheet1!$B$4:$D$4</c:f>
              <c:numCache>
                <c:ptCount val="3"/>
                <c:pt idx="0">
                  <c:v>3.000000</c:v>
                </c:pt>
                <c:pt idx="1">
                  <c:v>5.000000</c:v>
                </c:pt>
                <c:pt idx="2">
                  <c:v>1.000000</c:v>
                </c:pt>
              </c:numCache>
            </c:numRef>
          </c:val>
        </c:ser>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b="0" i="0" strike="noStrike" sz="900" u="none">
                <a:solidFill>
                  <a:srgbClr val="595959"/>
                </a:solidFill>
                <a:latin typeface="Times New Roman"/>
              </a:defRPr>
            </a:pPr>
          </a:p>
        </c:txPr>
        <c:crossAx val="2094734553"/>
        <c:crosses val="autoZero"/>
        <c:auto val="1"/>
        <c:lblAlgn val="ctr"/>
        <c:noMultiLvlLbl val="1"/>
      </c:catAx>
      <c:valAx>
        <c:axId val="2094734553"/>
        <c:scaling>
          <c:orientation val="minMax"/>
        </c:scaling>
        <c:delete val="0"/>
        <c:axPos val="l"/>
        <c:majorGridlines>
          <c:spPr>
            <a:ln w="12700" cap="flat">
              <a:solidFill>
                <a:srgbClr val="D9D9D9"/>
              </a:solidFill>
              <a:prstDash val="solid"/>
              <a:round/>
            </a:ln>
          </c:spPr>
        </c:majorGridlines>
        <c:title>
          <c:tx>
            <c:rich>
              <a:bodyPr rot="-5400000"/>
              <a:lstStyle/>
              <a:p>
                <a:pPr>
                  <a:defRPr b="0" i="0" strike="noStrike" sz="1000" u="none">
                    <a:solidFill>
                      <a:srgbClr val="595959"/>
                    </a:solidFill>
                    <a:latin typeface="Times New Roman"/>
                  </a:defRPr>
                </a:pPr>
                <a:r>
                  <a:rPr b="0" i="0" strike="noStrike" sz="1000" u="none">
                    <a:solidFill>
                      <a:srgbClr val="595959"/>
                    </a:solidFill>
                    <a:latin typeface="Times New Roman"/>
                  </a:rPr>
                  <a:t>Number of Stations</a:t>
                </a:r>
              </a:p>
            </c:rich>
          </c:tx>
          <c:layout/>
          <c:overlay val="1"/>
        </c:title>
        <c:numFmt formatCode="0" sourceLinked="0"/>
        <c:majorTickMark val="none"/>
        <c:minorTickMark val="none"/>
        <c:tickLblPos val="nextTo"/>
        <c:spPr>
          <a:ln w="12700" cap="flat">
            <a:noFill/>
            <a:prstDash val="solid"/>
            <a:round/>
          </a:ln>
        </c:spPr>
        <c:txPr>
          <a:bodyPr rot="0"/>
          <a:lstStyle/>
          <a:p>
            <a:pPr>
              <a:defRPr b="0" i="0" strike="noStrike" sz="900" u="none">
                <a:solidFill>
                  <a:srgbClr val="595959"/>
                </a:solidFill>
                <a:latin typeface="Times New Roman"/>
              </a:defRPr>
            </a:pPr>
          </a:p>
        </c:txPr>
        <c:crossAx val="2094734552"/>
        <c:crosses val="autoZero"/>
        <c:crossBetween val="between"/>
        <c:majorUnit val="1.25"/>
        <c:minorUnit val="0.625"/>
      </c:valAx>
      <c:spPr>
        <a:noFill/>
        <a:ln w="12700" cap="flat">
          <a:noFill/>
          <a:miter lim="400000"/>
        </a:ln>
        <a:effectLst/>
      </c:spPr>
    </c:plotArea>
    <c:legend>
      <c:legendPos val="b"/>
      <c:layout>
        <c:manualLayout>
          <c:xMode val="edge"/>
          <c:yMode val="edge"/>
          <c:x val="0.200714"/>
          <c:y val="0.934764"/>
          <c:w val="0.600466"/>
          <c:h val="0.065236"/>
        </c:manualLayout>
      </c:layout>
      <c:overlay val="1"/>
      <c:spPr>
        <a:noFill/>
        <a:ln w="12700" cap="flat">
          <a:noFill/>
          <a:miter lim="400000"/>
        </a:ln>
        <a:effectLst/>
      </c:spPr>
      <c:txPr>
        <a:bodyPr rot="0"/>
        <a:lstStyle/>
        <a:p>
          <a:pPr>
            <a:defRPr b="0" i="0" strike="noStrike" sz="900" u="none">
              <a:solidFill>
                <a:srgbClr val="595959"/>
              </a:solidFill>
              <a:latin typeface="Times New Roman"/>
            </a:defRPr>
          </a:pPr>
        </a:p>
      </c:txPr>
    </c:legend>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