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DE" w:rsidRPr="00A41F6B" w:rsidRDefault="00A41F6B" w:rsidP="00A41F6B">
      <w:pPr>
        <w:jc w:val="center"/>
        <w:rPr>
          <w:rFonts w:ascii="Arial" w:hAnsi="Arial" w:cs="Arial"/>
          <w:b/>
          <w:i/>
          <w:sz w:val="28"/>
          <w:szCs w:val="28"/>
          <w:bdr w:val="none" w:sz="0" w:space="0" w:color="auto" w:frame="1"/>
          <w:shd w:val="clear" w:color="auto" w:fill="FFFFFF"/>
        </w:rPr>
      </w:pPr>
      <w:bookmarkStart w:id="0" w:name="_GoBack"/>
      <w:bookmarkEnd w:id="0"/>
      <w:r w:rsidRPr="00A41F6B">
        <w:rPr>
          <w:rFonts w:ascii="Arial" w:hAnsi="Arial" w:cs="Arial"/>
          <w:b/>
          <w:i/>
          <w:color w:val="000000"/>
          <w:sz w:val="28"/>
          <w:szCs w:val="28"/>
          <w:shd w:val="clear" w:color="auto" w:fill="FFFFFF"/>
        </w:rPr>
        <w:t>Working Group 2 and 3</w:t>
      </w:r>
      <w:r>
        <w:rPr>
          <w:rFonts w:ascii="Arial" w:hAnsi="Arial" w:cs="Arial"/>
          <w:b/>
          <w:i/>
          <w:color w:val="000000"/>
          <w:sz w:val="28"/>
          <w:szCs w:val="28"/>
          <w:shd w:val="clear" w:color="auto" w:fill="FFFFFF"/>
        </w:rPr>
        <w:t xml:space="preserve"> </w:t>
      </w:r>
      <w:r w:rsidRPr="00A41F6B">
        <w:rPr>
          <w:rFonts w:ascii="Arial" w:hAnsi="Arial" w:cs="Arial"/>
          <w:b/>
          <w:i/>
          <w:color w:val="000000"/>
          <w:sz w:val="28"/>
          <w:szCs w:val="28"/>
          <w:shd w:val="clear" w:color="auto" w:fill="FFFFFF"/>
        </w:rPr>
        <w:t>- Seismic, Geophysical and Sea Level Measurements and Sea Level Data Collection and Exchange, Including Offshore Tsunami Detection and Instruments</w:t>
      </w:r>
    </w:p>
    <w:p w:rsidR="00797E29" w:rsidRPr="005A69C6" w:rsidRDefault="005A69C6" w:rsidP="005A69C6">
      <w:pPr>
        <w:jc w:val="center"/>
        <w:rPr>
          <w:rFonts w:ascii="Arial" w:hAnsi="Arial" w:cs="Arial"/>
          <w:b/>
          <w:sz w:val="24"/>
          <w:szCs w:val="24"/>
          <w:shd w:val="clear" w:color="auto" w:fill="FFFFFF"/>
        </w:rPr>
      </w:pPr>
      <w:r w:rsidRPr="005A69C6">
        <w:rPr>
          <w:rFonts w:ascii="Arial" w:hAnsi="Arial" w:cs="Arial"/>
          <w:b/>
          <w:sz w:val="24"/>
          <w:szCs w:val="24"/>
          <w:shd w:val="clear" w:color="auto" w:fill="FFFFFF"/>
        </w:rPr>
        <w:t>NIEP ACTIVITES FOR 2022</w:t>
      </w:r>
    </w:p>
    <w:p w:rsidR="005A69C6" w:rsidRPr="001B0AF9" w:rsidRDefault="005A69C6" w:rsidP="001B0AF9">
      <w:pPr>
        <w:jc w:val="both"/>
        <w:rPr>
          <w:rFonts w:ascii="Arial" w:hAnsi="Arial" w:cs="Arial"/>
          <w:sz w:val="24"/>
          <w:szCs w:val="24"/>
          <w:shd w:val="clear" w:color="auto" w:fill="FFFFFF"/>
        </w:rPr>
      </w:pPr>
    </w:p>
    <w:p w:rsidR="00797E29" w:rsidRPr="001B0AF9" w:rsidRDefault="005C598D" w:rsidP="001B0AF9">
      <w:pPr>
        <w:jc w:val="both"/>
        <w:rPr>
          <w:rFonts w:ascii="Arial" w:hAnsi="Arial" w:cs="Arial"/>
          <w:sz w:val="24"/>
          <w:szCs w:val="24"/>
          <w:shd w:val="clear" w:color="auto" w:fill="FFFFFF"/>
        </w:rPr>
      </w:pPr>
      <w:r w:rsidRPr="001B0AF9">
        <w:rPr>
          <w:rFonts w:ascii="Arial" w:hAnsi="Arial" w:cs="Arial"/>
          <w:sz w:val="24"/>
          <w:szCs w:val="24"/>
          <w:shd w:val="clear" w:color="auto" w:fill="FFFFFF"/>
        </w:rPr>
        <w:t xml:space="preserve">NIEP </w:t>
      </w:r>
      <w:r w:rsidR="001B0AF9" w:rsidRPr="001B0AF9">
        <w:rPr>
          <w:rFonts w:ascii="Arial" w:hAnsi="Arial" w:cs="Arial"/>
          <w:sz w:val="24"/>
          <w:szCs w:val="24"/>
          <w:shd w:val="clear" w:color="auto" w:fill="FFFFFF"/>
        </w:rPr>
        <w:t>is active member in the following international projects</w:t>
      </w:r>
      <w:r w:rsidR="00797E29" w:rsidRPr="001B0AF9">
        <w:rPr>
          <w:rFonts w:ascii="Arial" w:hAnsi="Arial" w:cs="Arial"/>
          <w:sz w:val="24"/>
          <w:szCs w:val="24"/>
          <w:shd w:val="clear" w:color="auto" w:fill="FFFFFF"/>
        </w:rPr>
        <w:t xml:space="preserve">: </w:t>
      </w:r>
    </w:p>
    <w:p w:rsidR="00294174" w:rsidRDefault="00294174" w:rsidP="00294174">
      <w:pPr>
        <w:jc w:val="both"/>
        <w:rPr>
          <w:rFonts w:ascii="Arial" w:hAnsi="Arial" w:cs="Arial"/>
          <w:sz w:val="24"/>
          <w:szCs w:val="24"/>
          <w:shd w:val="clear" w:color="auto" w:fill="FFFFFF"/>
        </w:rPr>
      </w:pPr>
      <w:r>
        <w:rPr>
          <w:rFonts w:ascii="Arial" w:hAnsi="Arial" w:cs="Arial"/>
          <w:b/>
          <w:sz w:val="24"/>
          <w:szCs w:val="24"/>
          <w:shd w:val="clear" w:color="auto" w:fill="FFFFFF"/>
        </w:rPr>
        <w:t>AGITHAR - Accelerating Global science In Tsunami HAzard and Risk analysis -</w:t>
      </w:r>
      <w:r>
        <w:rPr>
          <w:rFonts w:ascii="Arial" w:hAnsi="Arial" w:cs="Arial"/>
          <w:sz w:val="24"/>
          <w:szCs w:val="24"/>
          <w:shd w:val="clear" w:color="auto" w:fill="FFFFFF"/>
        </w:rPr>
        <w:t xml:space="preserve"> NIEP had few occasional activities, as the project  was mainly structured through online and/or face to face meetings and exchange of scientific materials. There were few annual virtual meetings attended by NIEP personnel, but also specific reports were sent, when requested. A NIEP representative is part of the Management Committee, but also there are participants in each Working Group of the Project. Moreover, NIEP became part AGITHAR Project in the framework of COST, which is</w:t>
      </w:r>
      <w:r>
        <w:rPr>
          <w:rFonts w:ascii="Arial" w:hAnsi="Arial" w:cs="Arial"/>
          <w:color w:val="000000"/>
          <w:sz w:val="24"/>
          <w:szCs w:val="24"/>
        </w:rPr>
        <w:t xml:space="preserve"> an intergovernmental framework consisting of 41 Full Members, 1 Cooperating Member and 1 Partner Member. This allows researchers from these countries to embark upon networking opportunities by participating in science and technology networks called COST Actions.</w:t>
      </w:r>
    </w:p>
    <w:p w:rsidR="00294174" w:rsidRPr="00294174" w:rsidRDefault="00294174" w:rsidP="00294174">
      <w:pPr>
        <w:spacing w:line="254" w:lineRule="auto"/>
        <w:jc w:val="both"/>
        <w:rPr>
          <w:rFonts w:ascii="Arial" w:hAnsi="Arial" w:cs="Arial"/>
          <w:sz w:val="24"/>
          <w:szCs w:val="24"/>
        </w:rPr>
      </w:pPr>
      <w:r>
        <w:rPr>
          <w:rFonts w:ascii="Arial" w:hAnsi="Arial" w:cs="Arial"/>
          <w:b/>
          <w:sz w:val="24"/>
          <w:szCs w:val="24"/>
        </w:rPr>
        <w:t>ARISTOTLE eENHSP - All Risk Integrated System TOwards Trans-boundary hoListic Early-warning - enhanced European Natural Hazards Scientific Partnership Project</w:t>
      </w:r>
      <w:r>
        <w:rPr>
          <w:rFonts w:ascii="Arial" w:hAnsi="Arial" w:cs="Arial"/>
          <w:sz w:val="24"/>
          <w:szCs w:val="24"/>
        </w:rPr>
        <w:t>. In 2022, NIEP, among other partners from Earthquake-Tsunami Hazard Group (EQ-TS HG), contributed to the Emergency Full Reports and Lite Reports (based on ERCC activations) and Routine Operational Reports (three times / week, when Red or Orange EQ - TS events are open). Usually, only for very rare events, tsunami is representing the main hazard, whereas in most of the cases ARISTOTLE is assessing earthquake-triggered tsunamis. Moreover, NIEP has provided the Earthquake Hazard Chair Deputy (January-September) and Earthquake Hazard Chair (October-December) role, one representative participating to the monthly Multi-Hazard Board meeting and discussing the overall performance of the project for all hazards, feedback from ERCC and propose solutions to enhance the service. Further steps where NIEP could contribute, consist in developing a quantitative tsunami impact assessment tool for the TS HG.</w:t>
      </w:r>
    </w:p>
    <w:p w:rsidR="0007259C" w:rsidRDefault="005E56B2" w:rsidP="005E56B2">
      <w:pPr>
        <w:jc w:val="both"/>
        <w:rPr>
          <w:rFonts w:ascii="Arial" w:hAnsi="Arial" w:cs="Arial"/>
          <w:sz w:val="24"/>
          <w:szCs w:val="24"/>
          <w:shd w:val="clear" w:color="auto" w:fill="FFFFFF"/>
        </w:rPr>
      </w:pPr>
      <w:r>
        <w:rPr>
          <w:rFonts w:ascii="Arial" w:hAnsi="Arial" w:cs="Arial"/>
          <w:sz w:val="24"/>
          <w:szCs w:val="24"/>
          <w:shd w:val="clear" w:color="auto" w:fill="FFFFFF"/>
        </w:rPr>
        <w:t>The networks of seismic and GNSS stations has been enlarged in the last few years (not specific in 2022), due to the necessity of more preci</w:t>
      </w:r>
      <w:r w:rsidR="00DD68D5">
        <w:rPr>
          <w:rFonts w:ascii="Arial" w:hAnsi="Arial" w:cs="Arial"/>
          <w:sz w:val="24"/>
          <w:szCs w:val="24"/>
          <w:shd w:val="clear" w:color="auto" w:fill="FFFFFF"/>
        </w:rPr>
        <w:t>se measurements and past events</w:t>
      </w:r>
      <w:r w:rsidR="004C41E4">
        <w:rPr>
          <w:rFonts w:ascii="Arial" w:hAnsi="Arial" w:cs="Arial"/>
          <w:sz w:val="24"/>
          <w:szCs w:val="24"/>
          <w:shd w:val="clear" w:color="auto" w:fill="FFFFFF"/>
        </w:rPr>
        <w:t>.</w:t>
      </w:r>
      <w:r w:rsidR="00A00A01">
        <w:rPr>
          <w:rFonts w:ascii="Arial" w:hAnsi="Arial" w:cs="Arial"/>
          <w:sz w:val="24"/>
          <w:szCs w:val="24"/>
          <w:shd w:val="clear" w:color="auto" w:fill="FFFFFF"/>
        </w:rPr>
        <w:t xml:space="preserve"> For</w:t>
      </w:r>
      <w:r w:rsidR="00DD68D5">
        <w:rPr>
          <w:rFonts w:ascii="Arial" w:hAnsi="Arial" w:cs="Arial"/>
          <w:sz w:val="24"/>
          <w:szCs w:val="24"/>
          <w:shd w:val="clear" w:color="auto" w:fill="FFFFFF"/>
        </w:rPr>
        <w:t xml:space="preserve"> </w:t>
      </w:r>
      <w:r w:rsidR="00A00A01">
        <w:rPr>
          <w:rFonts w:ascii="Arial" w:hAnsi="Arial" w:cs="Arial"/>
          <w:sz w:val="24"/>
          <w:szCs w:val="24"/>
          <w:shd w:val="clear" w:color="auto" w:fill="FFFFFF"/>
        </w:rPr>
        <w:t xml:space="preserve">both earthquake and </w:t>
      </w:r>
      <w:r w:rsidR="00DD68D5">
        <w:rPr>
          <w:rFonts w:ascii="Arial" w:hAnsi="Arial" w:cs="Arial"/>
          <w:sz w:val="24"/>
          <w:szCs w:val="24"/>
          <w:shd w:val="clear" w:color="auto" w:fill="FFFFFF"/>
        </w:rPr>
        <w:t>tsunami monitoring, there are 3 sea level stations, 7 GPS/GNSS s</w:t>
      </w:r>
      <w:r w:rsidR="00294174">
        <w:rPr>
          <w:rFonts w:ascii="Arial" w:hAnsi="Arial" w:cs="Arial"/>
          <w:sz w:val="24"/>
          <w:szCs w:val="24"/>
          <w:shd w:val="clear" w:color="auto" w:fill="FFFFFF"/>
        </w:rPr>
        <w:t>tations and 30</w:t>
      </w:r>
      <w:r w:rsidR="00DD68D5">
        <w:rPr>
          <w:rFonts w:ascii="Arial" w:hAnsi="Arial" w:cs="Arial"/>
          <w:sz w:val="24"/>
          <w:szCs w:val="24"/>
          <w:shd w:val="clear" w:color="auto" w:fill="FFFFFF"/>
        </w:rPr>
        <w:t xml:space="preserve"> </w:t>
      </w:r>
      <w:r w:rsidR="008F599F">
        <w:rPr>
          <w:rFonts w:ascii="Arial" w:hAnsi="Arial" w:cs="Arial"/>
          <w:sz w:val="24"/>
          <w:szCs w:val="24"/>
          <w:shd w:val="clear" w:color="auto" w:fill="FFFFFF"/>
        </w:rPr>
        <w:t>seismic stations installed in D</w:t>
      </w:r>
      <w:r w:rsidR="00DD68D5">
        <w:rPr>
          <w:rFonts w:ascii="Arial" w:hAnsi="Arial" w:cs="Arial"/>
          <w:sz w:val="24"/>
          <w:szCs w:val="24"/>
          <w:shd w:val="clear" w:color="auto" w:fill="FFFFFF"/>
        </w:rPr>
        <w:t xml:space="preserve">obrogea area (along the shore of the Black Sea). </w:t>
      </w:r>
      <w:r>
        <w:rPr>
          <w:rFonts w:ascii="Arial" w:hAnsi="Arial" w:cs="Arial"/>
          <w:sz w:val="24"/>
          <w:szCs w:val="24"/>
          <w:shd w:val="clear" w:color="auto" w:fill="FFFFFF"/>
        </w:rPr>
        <w:t xml:space="preserve"> </w:t>
      </w:r>
    </w:p>
    <w:p w:rsidR="00A00A01" w:rsidRPr="00841171" w:rsidRDefault="00A00A01" w:rsidP="005E56B2">
      <w:pPr>
        <w:jc w:val="both"/>
        <w:rPr>
          <w:rFonts w:ascii="Arial" w:hAnsi="Arial" w:cs="Arial"/>
          <w:sz w:val="24"/>
          <w:szCs w:val="24"/>
          <w:shd w:val="clear" w:color="auto" w:fill="FFFFFF"/>
        </w:rPr>
      </w:pPr>
      <w:r w:rsidRPr="00841171">
        <w:rPr>
          <w:rFonts w:ascii="Arial" w:hAnsi="Arial" w:cs="Arial"/>
          <w:sz w:val="24"/>
          <w:szCs w:val="24"/>
          <w:shd w:val="clear" w:color="auto" w:fill="FFFFFF"/>
        </w:rPr>
        <w:t xml:space="preserve">The sea level </w:t>
      </w:r>
      <w:r w:rsidR="0091417B">
        <w:rPr>
          <w:rFonts w:ascii="Arial" w:hAnsi="Arial" w:cs="Arial"/>
          <w:sz w:val="24"/>
          <w:szCs w:val="24"/>
          <w:shd w:val="clear" w:color="auto" w:fill="FFFFFF"/>
        </w:rPr>
        <w:t>data</w:t>
      </w:r>
      <w:r w:rsidRPr="00841171">
        <w:rPr>
          <w:rFonts w:ascii="Arial" w:hAnsi="Arial" w:cs="Arial"/>
          <w:sz w:val="24"/>
          <w:szCs w:val="24"/>
          <w:shd w:val="clear" w:color="auto" w:fill="FFFFFF"/>
        </w:rPr>
        <w:t xml:space="preserve"> can be found in multiple place</w:t>
      </w:r>
      <w:r w:rsidR="0091417B">
        <w:rPr>
          <w:rFonts w:ascii="Arial" w:hAnsi="Arial" w:cs="Arial"/>
          <w:sz w:val="24"/>
          <w:szCs w:val="24"/>
          <w:shd w:val="clear" w:color="auto" w:fill="FFFFFF"/>
        </w:rPr>
        <w:t>s</w:t>
      </w:r>
      <w:r w:rsidRPr="00841171">
        <w:rPr>
          <w:rFonts w:ascii="Arial" w:hAnsi="Arial" w:cs="Arial"/>
          <w:sz w:val="24"/>
          <w:szCs w:val="24"/>
          <w:shd w:val="clear" w:color="auto" w:fill="FFFFFF"/>
        </w:rPr>
        <w:t>, such as local website</w:t>
      </w:r>
      <w:r w:rsidR="00841171" w:rsidRPr="00841171">
        <w:rPr>
          <w:rFonts w:ascii="Arial" w:hAnsi="Arial" w:cs="Arial"/>
          <w:sz w:val="24"/>
          <w:szCs w:val="24"/>
          <w:shd w:val="clear" w:color="auto" w:fill="FFFFFF"/>
        </w:rPr>
        <w:t>s</w:t>
      </w:r>
      <w:r w:rsidRPr="00841171">
        <w:rPr>
          <w:rFonts w:ascii="Arial" w:hAnsi="Arial" w:cs="Arial"/>
          <w:sz w:val="24"/>
          <w:szCs w:val="24"/>
          <w:shd w:val="clear" w:color="auto" w:fill="FFFFFF"/>
        </w:rPr>
        <w:t xml:space="preserve">, but also they are available on IOC </w:t>
      </w:r>
      <w:r w:rsidR="00841171" w:rsidRPr="00841171">
        <w:rPr>
          <w:rFonts w:ascii="Arial" w:hAnsi="Arial" w:cs="Arial"/>
          <w:sz w:val="24"/>
          <w:szCs w:val="24"/>
          <w:shd w:val="clear" w:color="auto" w:fill="FFFFFF"/>
        </w:rPr>
        <w:t xml:space="preserve">and JRC </w:t>
      </w:r>
      <w:r w:rsidRPr="00841171">
        <w:rPr>
          <w:rFonts w:ascii="Arial" w:hAnsi="Arial" w:cs="Arial"/>
          <w:sz w:val="24"/>
          <w:szCs w:val="24"/>
          <w:shd w:val="clear" w:color="auto" w:fill="FFFFFF"/>
        </w:rPr>
        <w:t xml:space="preserve">website.  </w:t>
      </w:r>
    </w:p>
    <w:p w:rsidR="00A00A01" w:rsidRPr="00841171" w:rsidRDefault="00BF105E" w:rsidP="005E56B2">
      <w:pPr>
        <w:jc w:val="both"/>
        <w:rPr>
          <w:rFonts w:ascii="Arial" w:hAnsi="Arial" w:cs="Arial"/>
          <w:color w:val="000000"/>
          <w:sz w:val="24"/>
          <w:szCs w:val="24"/>
          <w:lang w:val="es-ES"/>
        </w:rPr>
      </w:pPr>
      <w:hyperlink r:id="rId7" w:tgtFrame="_blank" w:history="1">
        <w:r w:rsidR="00A00A01" w:rsidRPr="00841171">
          <w:rPr>
            <w:rStyle w:val="Hyperlink"/>
            <w:rFonts w:ascii="Arial" w:hAnsi="Arial" w:cs="Arial"/>
            <w:sz w:val="24"/>
            <w:szCs w:val="24"/>
            <w:lang w:val="es-ES"/>
          </w:rPr>
          <w:t>http://geobs.infp.ro/echipamente.php</w:t>
        </w:r>
      </w:hyperlink>
      <w:r w:rsidR="00A00A01" w:rsidRPr="00841171">
        <w:rPr>
          <w:rFonts w:ascii="Arial" w:hAnsi="Arial" w:cs="Arial"/>
          <w:color w:val="000000"/>
          <w:sz w:val="24"/>
          <w:szCs w:val="24"/>
          <w:lang w:val="es-ES"/>
        </w:rPr>
        <w:t> </w:t>
      </w:r>
    </w:p>
    <w:p w:rsidR="00A00A01" w:rsidRPr="00841171" w:rsidRDefault="00BF105E" w:rsidP="005E56B2">
      <w:pPr>
        <w:jc w:val="both"/>
        <w:rPr>
          <w:rFonts w:ascii="Arial" w:hAnsi="Arial" w:cs="Arial"/>
          <w:color w:val="000000"/>
          <w:sz w:val="24"/>
          <w:szCs w:val="24"/>
          <w:lang w:val="es-ES"/>
        </w:rPr>
      </w:pPr>
      <w:hyperlink r:id="rId8" w:tgtFrame="_blank" w:history="1">
        <w:r w:rsidR="00A00A01" w:rsidRPr="00841171">
          <w:rPr>
            <w:rStyle w:val="Hyperlink"/>
            <w:rFonts w:ascii="Arial" w:hAnsi="Arial" w:cs="Arial"/>
            <w:sz w:val="24"/>
            <w:szCs w:val="24"/>
            <w:shd w:val="clear" w:color="auto" w:fill="F4F5F5"/>
            <w:lang w:val="es-ES"/>
          </w:rPr>
          <w:t>https://eeris.eu/ERIF-2000-000X-4214</w:t>
        </w:r>
      </w:hyperlink>
      <w:r w:rsidR="00A00A01" w:rsidRPr="00841171">
        <w:rPr>
          <w:rFonts w:ascii="Arial" w:hAnsi="Arial" w:cs="Arial"/>
          <w:color w:val="000000"/>
          <w:sz w:val="24"/>
          <w:szCs w:val="24"/>
          <w:lang w:val="es-ES"/>
        </w:rPr>
        <w:t> </w:t>
      </w:r>
    </w:p>
    <w:p w:rsidR="00A00A01" w:rsidRPr="00841171" w:rsidRDefault="00A00A01" w:rsidP="005E56B2">
      <w:pPr>
        <w:jc w:val="both"/>
        <w:rPr>
          <w:rFonts w:ascii="Arial" w:hAnsi="Arial" w:cs="Arial"/>
          <w:color w:val="000000"/>
          <w:sz w:val="24"/>
          <w:szCs w:val="24"/>
          <w:lang w:val="es-ES"/>
        </w:rPr>
      </w:pPr>
      <w:r w:rsidRPr="00841171">
        <w:rPr>
          <w:rFonts w:ascii="Arial" w:hAnsi="Arial" w:cs="Arial"/>
          <w:sz w:val="24"/>
          <w:szCs w:val="24"/>
        </w:rPr>
        <w:t xml:space="preserve"> </w:t>
      </w:r>
      <w:hyperlink r:id="rId9" w:tgtFrame="_blank" w:history="1">
        <w:r w:rsidRPr="00841171">
          <w:rPr>
            <w:rStyle w:val="Hyperlink"/>
            <w:rFonts w:ascii="Arial" w:hAnsi="Arial" w:cs="Arial"/>
            <w:sz w:val="24"/>
            <w:szCs w:val="24"/>
            <w:lang w:val="es-ES"/>
          </w:rPr>
          <w:t>http://geobs.infp.ro/marea_neagra.php</w:t>
        </w:r>
      </w:hyperlink>
    </w:p>
    <w:p w:rsidR="00A00A01" w:rsidRPr="00841171" w:rsidRDefault="00BF105E" w:rsidP="005E56B2">
      <w:pPr>
        <w:jc w:val="both"/>
        <w:rPr>
          <w:rStyle w:val="Hyperlink"/>
          <w:rFonts w:ascii="Arial" w:hAnsi="Arial" w:cs="Arial"/>
          <w:sz w:val="24"/>
          <w:szCs w:val="24"/>
          <w:lang w:val="es-ES"/>
        </w:rPr>
      </w:pPr>
      <w:hyperlink r:id="rId10" w:tgtFrame="_blank" w:history="1">
        <w:r w:rsidR="00A00A01" w:rsidRPr="00841171">
          <w:rPr>
            <w:rStyle w:val="Hyperlink"/>
            <w:rFonts w:ascii="Arial" w:hAnsi="Arial" w:cs="Arial"/>
            <w:sz w:val="24"/>
            <w:szCs w:val="24"/>
            <w:lang w:val="es-ES"/>
          </w:rPr>
          <w:t>http://www.ioc-sealevelmonitoring.org/list.php?order=delay&amp;dir=asc&amp;contact=161</w:t>
        </w:r>
      </w:hyperlink>
    </w:p>
    <w:p w:rsidR="00841171" w:rsidRDefault="00A00A01" w:rsidP="00841171">
      <w:pPr>
        <w:jc w:val="both"/>
        <w:rPr>
          <w:rFonts w:ascii="Arial" w:hAnsi="Arial" w:cs="Arial"/>
          <w:color w:val="000000"/>
          <w:sz w:val="24"/>
          <w:szCs w:val="24"/>
          <w:lang w:val="es-ES"/>
        </w:rPr>
      </w:pPr>
      <w:r w:rsidRPr="00841171">
        <w:rPr>
          <w:rFonts w:ascii="Arial" w:hAnsi="Arial" w:cs="Arial"/>
          <w:color w:val="000000"/>
          <w:sz w:val="24"/>
          <w:szCs w:val="24"/>
          <w:lang w:val="es-ES"/>
        </w:rPr>
        <w:t> </w:t>
      </w:r>
      <w:hyperlink r:id="rId11" w:tgtFrame="_blank" w:history="1">
        <w:r w:rsidRPr="00841171">
          <w:rPr>
            <w:rStyle w:val="Hyperlink"/>
            <w:rFonts w:ascii="Arial" w:hAnsi="Arial" w:cs="Arial"/>
            <w:sz w:val="24"/>
            <w:szCs w:val="24"/>
            <w:lang w:val="es-ES"/>
          </w:rPr>
          <w:t>https://webcritech.jrc.ec.europa.eu/TAD_server/Device/1428</w:t>
        </w:r>
      </w:hyperlink>
      <w:r w:rsidRPr="00841171">
        <w:rPr>
          <w:rFonts w:ascii="Arial" w:hAnsi="Arial" w:cs="Arial"/>
          <w:color w:val="000000"/>
          <w:sz w:val="24"/>
          <w:szCs w:val="24"/>
          <w:lang w:val="es-ES"/>
        </w:rPr>
        <w:t> (only Mangalia station)</w:t>
      </w:r>
    </w:p>
    <w:p w:rsidR="00841171" w:rsidRPr="00841171" w:rsidRDefault="00841171" w:rsidP="00841171">
      <w:pPr>
        <w:jc w:val="both"/>
        <w:rPr>
          <w:rFonts w:ascii="Arial" w:hAnsi="Arial" w:cs="Arial"/>
          <w:sz w:val="24"/>
          <w:szCs w:val="24"/>
          <w:lang w:val="es-ES"/>
        </w:rPr>
      </w:pPr>
      <w:r w:rsidRPr="00841171">
        <w:rPr>
          <w:rFonts w:ascii="Arial" w:hAnsi="Arial" w:cs="Arial"/>
          <w:b/>
          <w:sz w:val="24"/>
          <w:szCs w:val="24"/>
          <w:shd w:val="clear" w:color="auto" w:fill="FFFFFF"/>
        </w:rPr>
        <w:t xml:space="preserve">Geobs </w:t>
      </w:r>
      <w:r w:rsidRPr="00841171">
        <w:rPr>
          <w:rFonts w:ascii="Arial" w:hAnsi="Arial" w:cs="Arial"/>
          <w:sz w:val="24"/>
          <w:szCs w:val="24"/>
        </w:rPr>
        <w:t>is a database of geophysical observation (radon, air ionization, CO2 and CO, Black Sea level, magnetic field, meteorological information, infrasound, ULF - VLF radio data, telluric currents, atmospheric static electricity etc.), in real time, displayed and sent at 5 minute intervals.</w:t>
      </w:r>
    </w:p>
    <w:p w:rsidR="00841171" w:rsidRPr="00841171" w:rsidRDefault="00841171" w:rsidP="00841171">
      <w:pPr>
        <w:jc w:val="both"/>
        <w:rPr>
          <w:rFonts w:ascii="Arial" w:hAnsi="Arial" w:cs="Arial"/>
          <w:sz w:val="24"/>
          <w:szCs w:val="24"/>
          <w:lang w:val="es-ES"/>
        </w:rPr>
      </w:pPr>
      <w:r w:rsidRPr="00841171">
        <w:rPr>
          <w:rFonts w:ascii="Arial" w:hAnsi="Arial" w:cs="Arial"/>
          <w:b/>
          <w:sz w:val="24"/>
          <w:szCs w:val="24"/>
          <w:shd w:val="clear" w:color="auto" w:fill="FFFFFF"/>
        </w:rPr>
        <w:t>Citation: Toader, Victorin; Ionescu, Constantin; MOLDOVAN, IREN; Palangeanu, Lucian (2022), “geobs”, Mendeley Data, V2, doi: 10.17632/28kv3gsgcz.2</w:t>
      </w:r>
    </w:p>
    <w:p w:rsidR="00841171" w:rsidRDefault="00841171" w:rsidP="005E56B2">
      <w:pPr>
        <w:jc w:val="both"/>
        <w:rPr>
          <w:rFonts w:ascii="Arial" w:hAnsi="Arial" w:cs="Arial"/>
          <w:sz w:val="24"/>
          <w:szCs w:val="24"/>
          <w:lang w:val="es-ES"/>
        </w:rPr>
      </w:pPr>
      <w:r w:rsidRPr="00F51800">
        <w:rPr>
          <w:rFonts w:ascii="Arial" w:hAnsi="Arial" w:cs="Arial"/>
          <w:b/>
          <w:sz w:val="24"/>
          <w:szCs w:val="24"/>
          <w:shd w:val="clear" w:color="auto" w:fill="FFFFFF"/>
        </w:rPr>
        <w:t>Geobs</w:t>
      </w:r>
      <w:r w:rsidRPr="00841171">
        <w:rPr>
          <w:rFonts w:ascii="Arial" w:hAnsi="Arial" w:cs="Arial"/>
          <w:sz w:val="24"/>
          <w:szCs w:val="24"/>
          <w:shd w:val="clear" w:color="auto" w:fill="FFFFFF"/>
        </w:rPr>
        <w:t xml:space="preserve"> is used in two important national projects </w:t>
      </w:r>
      <w:r w:rsidRPr="00F51800">
        <w:rPr>
          <w:rFonts w:ascii="Arial" w:hAnsi="Arial" w:cs="Arial"/>
          <w:b/>
          <w:sz w:val="24"/>
          <w:szCs w:val="24"/>
          <w:shd w:val="clear" w:color="auto" w:fill="FFFFFF"/>
        </w:rPr>
        <w:t xml:space="preserve">PhENOMeNAL </w:t>
      </w:r>
      <w:r w:rsidRPr="00841171">
        <w:rPr>
          <w:rFonts w:ascii="Arial" w:hAnsi="Arial" w:cs="Arial"/>
          <w:sz w:val="24"/>
          <w:szCs w:val="24"/>
          <w:shd w:val="clear" w:color="auto" w:fill="FFFFFF"/>
        </w:rPr>
        <w:t xml:space="preserve">(Virtual Platform for collecting and interactive analysis of multidisciplinary Geophysical Data) and </w:t>
      </w:r>
      <w:r w:rsidRPr="00F51800">
        <w:rPr>
          <w:rFonts w:ascii="Arial" w:hAnsi="Arial" w:cs="Arial"/>
          <w:b/>
          <w:sz w:val="24"/>
          <w:szCs w:val="24"/>
          <w:shd w:val="clear" w:color="auto" w:fill="FFFFFF"/>
        </w:rPr>
        <w:t>AFROS</w:t>
      </w:r>
      <w:r w:rsidRPr="00841171">
        <w:rPr>
          <w:rFonts w:ascii="Arial" w:hAnsi="Arial" w:cs="Arial"/>
          <w:sz w:val="24"/>
          <w:szCs w:val="24"/>
          <w:shd w:val="clear" w:color="auto" w:fill="FFFFFF"/>
        </w:rPr>
        <w:t xml:space="preserve"> (Analysis and Forecasting of Romanian Seismicity)</w:t>
      </w:r>
      <w:r>
        <w:rPr>
          <w:rFonts w:ascii="Arial" w:hAnsi="Arial" w:cs="Arial"/>
          <w:sz w:val="24"/>
          <w:szCs w:val="24"/>
          <w:lang w:val="es-ES"/>
        </w:rPr>
        <w:t>.</w:t>
      </w:r>
    </w:p>
    <w:p w:rsidR="00C123D8" w:rsidRPr="00867362" w:rsidRDefault="00841171" w:rsidP="00867362">
      <w:pPr>
        <w:jc w:val="both"/>
        <w:rPr>
          <w:rFonts w:ascii="Arial" w:eastAsia="Times New Roman" w:hAnsi="Arial" w:cs="Arial"/>
          <w:sz w:val="24"/>
          <w:szCs w:val="24"/>
        </w:rPr>
      </w:pPr>
      <w:r w:rsidRPr="00841171">
        <w:rPr>
          <w:rFonts w:ascii="Arial" w:hAnsi="Arial" w:cs="Arial"/>
          <w:sz w:val="24"/>
          <w:szCs w:val="24"/>
          <w:lang w:val="es-ES"/>
        </w:rPr>
        <w:t>The instalation and maintenance of the sea level stations is accomplished in the fram</w:t>
      </w:r>
      <w:r>
        <w:rPr>
          <w:rFonts w:ascii="Arial" w:hAnsi="Arial" w:cs="Arial"/>
          <w:sz w:val="24"/>
          <w:szCs w:val="24"/>
          <w:lang w:val="es-ES"/>
        </w:rPr>
        <w:t>e</w:t>
      </w:r>
      <w:r w:rsidRPr="00841171">
        <w:rPr>
          <w:rFonts w:ascii="Arial" w:hAnsi="Arial" w:cs="Arial"/>
          <w:sz w:val="24"/>
          <w:szCs w:val="24"/>
          <w:lang w:val="es-ES"/>
        </w:rPr>
        <w:t xml:space="preserve">work of </w:t>
      </w:r>
      <w:r>
        <w:rPr>
          <w:rFonts w:ascii="Arial" w:hAnsi="Arial" w:cs="Arial"/>
          <w:sz w:val="24"/>
          <w:szCs w:val="24"/>
          <w:lang w:val="es-ES"/>
        </w:rPr>
        <w:t xml:space="preserve">the </w:t>
      </w:r>
      <w:r w:rsidRPr="00841171">
        <w:rPr>
          <w:rFonts w:ascii="Arial" w:hAnsi="Arial" w:cs="Arial"/>
          <w:sz w:val="24"/>
          <w:szCs w:val="24"/>
          <w:lang w:val="es-ES"/>
        </w:rPr>
        <w:t xml:space="preserve">National Romanian Project </w:t>
      </w:r>
      <w:r w:rsidR="007A2952" w:rsidRPr="00841171">
        <w:rPr>
          <w:rFonts w:ascii="Arial" w:eastAsia="Times New Roman" w:hAnsi="Arial" w:cs="Arial"/>
          <w:sz w:val="24"/>
          <w:szCs w:val="24"/>
        </w:rPr>
        <w:t>"</w:t>
      </w:r>
      <w:r w:rsidR="007A2952" w:rsidRPr="00841171">
        <w:rPr>
          <w:rFonts w:ascii="Arial" w:eastAsia="Times New Roman" w:hAnsi="Arial" w:cs="Arial"/>
          <w:b/>
          <w:sz w:val="24"/>
          <w:szCs w:val="24"/>
        </w:rPr>
        <w:t>The Research centEr for climAte Change due to naTural dIsasters and extreme weather eVEnts</w:t>
      </w:r>
      <w:r w:rsidR="007A2952" w:rsidRPr="00841171">
        <w:rPr>
          <w:rFonts w:ascii="Arial" w:eastAsia="Times New Roman" w:hAnsi="Arial" w:cs="Arial"/>
          <w:sz w:val="24"/>
          <w:szCs w:val="24"/>
        </w:rPr>
        <w:t xml:space="preserve">" - </w:t>
      </w:r>
      <w:r w:rsidR="007A2952" w:rsidRPr="00841171">
        <w:rPr>
          <w:rFonts w:ascii="Arial" w:eastAsia="Times New Roman" w:hAnsi="Arial" w:cs="Arial"/>
          <w:b/>
          <w:sz w:val="24"/>
          <w:szCs w:val="24"/>
        </w:rPr>
        <w:t>REACTIVE</w:t>
      </w:r>
      <w:r w:rsidR="007A2952" w:rsidRPr="00841171">
        <w:rPr>
          <w:rFonts w:ascii="Arial" w:eastAsia="Times New Roman" w:hAnsi="Arial" w:cs="Arial"/>
          <w:sz w:val="24"/>
          <w:szCs w:val="24"/>
        </w:rPr>
        <w:t>,</w:t>
      </w:r>
      <w:r>
        <w:rPr>
          <w:rFonts w:ascii="Arial" w:eastAsia="Times New Roman" w:hAnsi="Arial" w:cs="Arial"/>
          <w:sz w:val="24"/>
          <w:szCs w:val="24"/>
        </w:rPr>
        <w:t xml:space="preserve"> as part of the </w:t>
      </w:r>
      <w:r w:rsidR="007A2952" w:rsidRPr="00841171">
        <w:rPr>
          <w:rFonts w:ascii="Arial" w:eastAsia="Times New Roman" w:hAnsi="Arial" w:cs="Arial"/>
          <w:sz w:val="24"/>
          <w:szCs w:val="24"/>
        </w:rPr>
        <w:t>"Digital Twin Earth Intelligence for Climate Changes"</w:t>
      </w:r>
      <w:r>
        <w:rPr>
          <w:rFonts w:ascii="Arial" w:eastAsia="Times New Roman" w:hAnsi="Arial" w:cs="Arial"/>
          <w:sz w:val="24"/>
          <w:szCs w:val="24"/>
        </w:rPr>
        <w:t>, coordinated by the Politechnica University of Bucharest.</w:t>
      </w:r>
      <w:r w:rsidR="007A2952" w:rsidRPr="00841171">
        <w:rPr>
          <w:rFonts w:ascii="Arial" w:eastAsia="Times New Roman" w:hAnsi="Arial" w:cs="Arial"/>
          <w:sz w:val="24"/>
          <w:szCs w:val="24"/>
        </w:rPr>
        <w:t xml:space="preserve"> </w:t>
      </w:r>
      <w:r>
        <w:rPr>
          <w:rFonts w:ascii="Arial" w:eastAsia="Times New Roman" w:hAnsi="Arial" w:cs="Arial"/>
          <w:sz w:val="24"/>
          <w:szCs w:val="24"/>
        </w:rPr>
        <w:t xml:space="preserve">Moreover, within this project, new sea level monitoring equipment will be acquired for Mangalia, Constanta and Sulina, in order to replace the old or/and broken sensors. Some equipment for storms and extreme events detection will be also installed in the framework of this same Project. </w:t>
      </w:r>
    </w:p>
    <w:p w:rsidR="000B3340" w:rsidRDefault="00C511D6" w:rsidP="00C511D6">
      <w:pPr>
        <w:jc w:val="both"/>
        <w:rPr>
          <w:rFonts w:ascii="Arial" w:hAnsi="Arial" w:cs="Arial"/>
          <w:sz w:val="24"/>
          <w:szCs w:val="24"/>
          <w:shd w:val="clear" w:color="auto" w:fill="FFFFFF"/>
        </w:rPr>
      </w:pPr>
      <w:r w:rsidRPr="007A5F1C">
        <w:rPr>
          <w:rFonts w:ascii="Arial" w:hAnsi="Arial" w:cs="Arial"/>
          <w:sz w:val="24"/>
          <w:szCs w:val="24"/>
        </w:rPr>
        <w:t xml:space="preserve">For a better dissemination of the info regarding tsunamis, and also for monitoring the area of interest (Black Sea, but also globally), a </w:t>
      </w:r>
      <w:r w:rsidR="00F51800" w:rsidRPr="00F51800">
        <w:rPr>
          <w:rFonts w:ascii="Arial" w:hAnsi="Arial" w:cs="Arial"/>
          <w:b/>
          <w:sz w:val="24"/>
          <w:szCs w:val="24"/>
        </w:rPr>
        <w:t xml:space="preserve">specific tsunami </w:t>
      </w:r>
      <w:r w:rsidRPr="00F51800">
        <w:rPr>
          <w:rFonts w:ascii="Arial" w:hAnsi="Arial" w:cs="Arial"/>
          <w:b/>
          <w:sz w:val="24"/>
          <w:szCs w:val="24"/>
        </w:rPr>
        <w:t>website</w:t>
      </w:r>
      <w:r w:rsidRPr="007A5F1C">
        <w:rPr>
          <w:rFonts w:ascii="Arial" w:hAnsi="Arial" w:cs="Arial"/>
          <w:sz w:val="24"/>
          <w:szCs w:val="24"/>
        </w:rPr>
        <w:t xml:space="preserve"> has been implemented in the past, and imp</w:t>
      </w:r>
      <w:r w:rsidR="0072240B">
        <w:rPr>
          <w:rFonts w:ascii="Arial" w:hAnsi="Arial" w:cs="Arial"/>
          <w:sz w:val="24"/>
          <w:szCs w:val="24"/>
        </w:rPr>
        <w:t>r</w:t>
      </w:r>
      <w:r w:rsidRPr="007A5F1C">
        <w:rPr>
          <w:rFonts w:ascii="Arial" w:hAnsi="Arial" w:cs="Arial"/>
          <w:sz w:val="24"/>
          <w:szCs w:val="24"/>
        </w:rPr>
        <w:t xml:space="preserve">oved recently. </w:t>
      </w:r>
      <w:hyperlink r:id="rId12" w:history="1">
        <w:r w:rsidRPr="00D919E6">
          <w:rPr>
            <w:rStyle w:val="Hyperlink"/>
            <w:rFonts w:ascii="Arial" w:hAnsi="Arial" w:cs="Arial"/>
            <w:sz w:val="24"/>
            <w:szCs w:val="24"/>
            <w:shd w:val="clear" w:color="auto" w:fill="FFFFFF"/>
          </w:rPr>
          <w:t>http://ctwc.infp.ro/index.php</w:t>
        </w:r>
      </w:hyperlink>
    </w:p>
    <w:p w:rsidR="005E56B2" w:rsidRPr="005E56B2" w:rsidRDefault="005E56B2" w:rsidP="005E56B2">
      <w:pPr>
        <w:jc w:val="both"/>
        <w:rPr>
          <w:rFonts w:ascii="Arial" w:hAnsi="Arial" w:cs="Arial"/>
          <w:sz w:val="24"/>
          <w:szCs w:val="24"/>
          <w:shd w:val="clear" w:color="auto" w:fill="FFFFFF"/>
        </w:rPr>
      </w:pPr>
      <w:r>
        <w:rPr>
          <w:rFonts w:ascii="Arial" w:hAnsi="Arial" w:cs="Arial"/>
          <w:sz w:val="24"/>
          <w:szCs w:val="24"/>
          <w:shd w:val="clear" w:color="auto" w:fill="FFFFFF"/>
        </w:rPr>
        <w:t xml:space="preserve">Some related articles, one published in 2019, another one in 2022, are listed below: </w:t>
      </w:r>
    </w:p>
    <w:p w:rsidR="005E56B2" w:rsidRPr="00C27F28" w:rsidRDefault="005E56B2" w:rsidP="005E56B2">
      <w:pPr>
        <w:jc w:val="both"/>
        <w:rPr>
          <w:rFonts w:ascii="Arial" w:hAnsi="Arial" w:cs="Arial"/>
          <w:b/>
          <w:color w:val="FF0000"/>
          <w:sz w:val="24"/>
          <w:szCs w:val="24"/>
          <w:shd w:val="clear" w:color="auto" w:fill="FFFFFF"/>
        </w:rPr>
      </w:pPr>
      <w:r w:rsidRPr="00C27F28">
        <w:rPr>
          <w:rFonts w:ascii="Arial" w:hAnsi="Arial" w:cs="Arial"/>
          <w:b/>
          <w:color w:val="222222"/>
          <w:sz w:val="24"/>
          <w:szCs w:val="24"/>
          <w:shd w:val="clear" w:color="auto" w:fill="FFFFFF"/>
        </w:rPr>
        <w:t>Ghita, C</w:t>
      </w:r>
      <w:r w:rsidRPr="00C27F28">
        <w:rPr>
          <w:rFonts w:ascii="Arial" w:hAnsi="Arial" w:cs="Arial"/>
          <w:color w:val="222222"/>
          <w:sz w:val="24"/>
          <w:szCs w:val="24"/>
          <w:shd w:val="clear" w:color="auto" w:fill="FFFFFF"/>
        </w:rPr>
        <w:t>.; Tuta, L.; Moldovan, I.-A.; Ionescu, C.; Nicolaescu, M. FastICA Algorithm Applied on Black Sea Water-Level Ultrasound Measurements. </w:t>
      </w:r>
      <w:r w:rsidRPr="00C27F28">
        <w:rPr>
          <w:rStyle w:val="Emphasis"/>
          <w:rFonts w:ascii="Arial" w:hAnsi="Arial" w:cs="Arial"/>
          <w:color w:val="222222"/>
          <w:sz w:val="24"/>
          <w:szCs w:val="24"/>
          <w:shd w:val="clear" w:color="auto" w:fill="FFFFFF"/>
        </w:rPr>
        <w:t>Atmosphere</w:t>
      </w:r>
      <w:r w:rsidRPr="00C27F28">
        <w:rPr>
          <w:rFonts w:ascii="Arial" w:hAnsi="Arial" w:cs="Arial"/>
          <w:color w:val="222222"/>
          <w:sz w:val="24"/>
          <w:szCs w:val="24"/>
          <w:shd w:val="clear" w:color="auto" w:fill="FFFFFF"/>
        </w:rPr>
        <w:t> </w:t>
      </w:r>
      <w:r w:rsidRPr="00C27F28">
        <w:rPr>
          <w:rFonts w:ascii="Arial" w:hAnsi="Arial" w:cs="Arial"/>
          <w:b/>
          <w:bCs/>
          <w:color w:val="222222"/>
          <w:sz w:val="24"/>
          <w:szCs w:val="24"/>
          <w:shd w:val="clear" w:color="auto" w:fill="FFFFFF"/>
        </w:rPr>
        <w:t>2022</w:t>
      </w:r>
      <w:r w:rsidRPr="00C27F28">
        <w:rPr>
          <w:rFonts w:ascii="Arial" w:hAnsi="Arial" w:cs="Arial"/>
          <w:color w:val="222222"/>
          <w:sz w:val="24"/>
          <w:szCs w:val="24"/>
          <w:shd w:val="clear" w:color="auto" w:fill="FFFFFF"/>
        </w:rPr>
        <w:t>, </w:t>
      </w:r>
      <w:r w:rsidRPr="00C27F28">
        <w:rPr>
          <w:rStyle w:val="Emphasis"/>
          <w:rFonts w:ascii="Arial" w:hAnsi="Arial" w:cs="Arial"/>
          <w:color w:val="222222"/>
          <w:sz w:val="24"/>
          <w:szCs w:val="24"/>
          <w:shd w:val="clear" w:color="auto" w:fill="FFFFFF"/>
        </w:rPr>
        <w:t>13</w:t>
      </w:r>
      <w:r w:rsidRPr="00C27F28">
        <w:rPr>
          <w:rFonts w:ascii="Arial" w:hAnsi="Arial" w:cs="Arial"/>
          <w:color w:val="222222"/>
          <w:sz w:val="24"/>
          <w:szCs w:val="24"/>
          <w:shd w:val="clear" w:color="auto" w:fill="FFFFFF"/>
        </w:rPr>
        <w:t>, 1973. https://doi.org/10.3390/atmos13121973</w:t>
      </w:r>
    </w:p>
    <w:p w:rsidR="000B3340" w:rsidRPr="007A5F1C" w:rsidRDefault="005E56B2" w:rsidP="005E56B2">
      <w:pPr>
        <w:jc w:val="both"/>
        <w:rPr>
          <w:rFonts w:ascii="Arial" w:hAnsi="Arial" w:cs="Arial"/>
          <w:sz w:val="24"/>
          <w:szCs w:val="24"/>
          <w:lang w:val="en-GB" w:eastAsia="en-GB"/>
        </w:rPr>
      </w:pPr>
      <w:r w:rsidRPr="00C27F28">
        <w:rPr>
          <w:rFonts w:ascii="Arial" w:hAnsi="Arial" w:cs="Arial"/>
          <w:b/>
          <w:sz w:val="24"/>
          <w:szCs w:val="24"/>
        </w:rPr>
        <w:t>Partheniu R</w:t>
      </w:r>
      <w:r w:rsidRPr="00C27F28">
        <w:rPr>
          <w:rFonts w:ascii="Arial" w:hAnsi="Arial" w:cs="Arial"/>
          <w:sz w:val="24"/>
          <w:szCs w:val="24"/>
        </w:rPr>
        <w:t xml:space="preserve">., Ghita C., Victorin T., Nastase E., Muntean A., Murat E., Moldovan I. A., Ionescu C., Monitoring the Black Sea natural hazards using new technology and equipment, </w:t>
      </w:r>
      <w:r w:rsidRPr="00C27F28">
        <w:rPr>
          <w:rFonts w:ascii="Arial" w:hAnsi="Arial" w:cs="Arial"/>
          <w:sz w:val="24"/>
          <w:szCs w:val="24"/>
          <w:lang w:val="en-GB" w:eastAsia="en-GB"/>
        </w:rPr>
        <w:t>Romanian Reports in Physics, 71, 704, 2019</w:t>
      </w:r>
    </w:p>
    <w:p w:rsidR="00D66BA0" w:rsidRDefault="00D66BA0" w:rsidP="00D66BA0">
      <w:pPr>
        <w:jc w:val="both"/>
        <w:rPr>
          <w:rFonts w:ascii="Arial" w:hAnsi="Arial" w:cs="Arial"/>
          <w:b/>
          <w:sz w:val="24"/>
          <w:szCs w:val="24"/>
        </w:rPr>
      </w:pPr>
      <w:r>
        <w:rPr>
          <w:rFonts w:ascii="Arial" w:hAnsi="Arial" w:cs="Arial"/>
          <w:b/>
          <w:sz w:val="24"/>
          <w:szCs w:val="24"/>
        </w:rPr>
        <w:t>P</w:t>
      </w:r>
      <w:r w:rsidRPr="00DD43E6">
        <w:rPr>
          <w:rFonts w:ascii="Arial" w:hAnsi="Arial" w:cs="Arial"/>
          <w:b/>
          <w:sz w:val="24"/>
          <w:szCs w:val="24"/>
        </w:rPr>
        <w:t>roposal</w:t>
      </w:r>
      <w:r>
        <w:rPr>
          <w:rFonts w:ascii="Arial" w:hAnsi="Arial" w:cs="Arial"/>
          <w:b/>
          <w:sz w:val="24"/>
          <w:szCs w:val="24"/>
        </w:rPr>
        <w:t>s and future work</w:t>
      </w:r>
    </w:p>
    <w:p w:rsidR="000B3340" w:rsidRPr="007A5F1C" w:rsidRDefault="00C93D07" w:rsidP="007A5F1C">
      <w:pPr>
        <w:jc w:val="both"/>
        <w:rPr>
          <w:rFonts w:ascii="Arial" w:hAnsi="Arial" w:cs="Arial"/>
          <w:sz w:val="24"/>
          <w:szCs w:val="24"/>
        </w:rPr>
      </w:pPr>
      <w:r>
        <w:rPr>
          <w:rFonts w:ascii="Arial" w:hAnsi="Arial" w:cs="Arial"/>
          <w:sz w:val="24"/>
          <w:szCs w:val="24"/>
        </w:rPr>
        <w:t xml:space="preserve">As future work, we need to emphasize two major subjects. One of them is the  </w:t>
      </w:r>
      <w:r w:rsidR="0072240B">
        <w:rPr>
          <w:rFonts w:ascii="Arial" w:hAnsi="Arial" w:cs="Arial"/>
          <w:sz w:val="24"/>
          <w:szCs w:val="24"/>
        </w:rPr>
        <w:t>accomplishment</w:t>
      </w:r>
      <w:r>
        <w:rPr>
          <w:rFonts w:ascii="Arial" w:hAnsi="Arial" w:cs="Arial"/>
          <w:sz w:val="24"/>
          <w:szCs w:val="24"/>
        </w:rPr>
        <w:t xml:space="preserve"> of an Early Warning System (EWS) for the Black Sea,  in a complex approach, by installing a multidisciplinary network that will include: sea level sensors (radar and pressure), seismic stations (already installed), meteo stations, acoustic </w:t>
      </w:r>
      <w:r>
        <w:rPr>
          <w:rFonts w:ascii="Arial" w:hAnsi="Arial" w:cs="Arial"/>
          <w:sz w:val="24"/>
          <w:szCs w:val="24"/>
        </w:rPr>
        <w:lastRenderedPageBreak/>
        <w:t xml:space="preserve">sensors (including infrasound), and </w:t>
      </w:r>
      <w:r w:rsidR="00B3742E">
        <w:rPr>
          <w:rFonts w:ascii="Arial" w:hAnsi="Arial" w:cs="Arial"/>
          <w:sz w:val="24"/>
          <w:szCs w:val="24"/>
        </w:rPr>
        <w:t xml:space="preserve">electric </w:t>
      </w:r>
      <w:r>
        <w:rPr>
          <w:rFonts w:ascii="Arial" w:hAnsi="Arial" w:cs="Arial"/>
          <w:sz w:val="24"/>
          <w:szCs w:val="24"/>
        </w:rPr>
        <w:t xml:space="preserve">atmospheric </w:t>
      </w:r>
      <w:r w:rsidR="00B3742E">
        <w:rPr>
          <w:rFonts w:ascii="Arial" w:hAnsi="Arial" w:cs="Arial"/>
          <w:sz w:val="24"/>
          <w:szCs w:val="24"/>
        </w:rPr>
        <w:t>fiel</w:t>
      </w:r>
      <w:r>
        <w:rPr>
          <w:rFonts w:ascii="Arial" w:hAnsi="Arial" w:cs="Arial"/>
          <w:sz w:val="24"/>
          <w:szCs w:val="24"/>
        </w:rPr>
        <w:t xml:space="preserve">d measuring sensors. </w:t>
      </w:r>
      <w:r w:rsidR="00B3742E">
        <w:rPr>
          <w:rFonts w:ascii="Arial" w:hAnsi="Arial" w:cs="Arial"/>
          <w:sz w:val="24"/>
          <w:szCs w:val="24"/>
        </w:rPr>
        <w:t>This phase will be part of National Research Funding Project (2023-2026), “Advances research for new knowledge regarding development, implementation and integration of new methods and instrumentation for data rapid processing, used for a better characterization and evaluation of earthquakes or other natural and anthropic effects</w:t>
      </w:r>
      <w:r w:rsidR="007A5F1C">
        <w:rPr>
          <w:rFonts w:ascii="Arial" w:hAnsi="Arial" w:cs="Arial"/>
          <w:sz w:val="24"/>
          <w:szCs w:val="24"/>
        </w:rPr>
        <w:t>”</w:t>
      </w:r>
      <w:r w:rsidR="00B3742E">
        <w:rPr>
          <w:rFonts w:ascii="Arial" w:hAnsi="Arial" w:cs="Arial"/>
          <w:sz w:val="24"/>
          <w:szCs w:val="24"/>
        </w:rPr>
        <w:t xml:space="preserve">. </w:t>
      </w:r>
    </w:p>
    <w:p w:rsidR="007A5F1C" w:rsidRDefault="007A5F1C" w:rsidP="007A5F1C">
      <w:pPr>
        <w:jc w:val="both"/>
        <w:rPr>
          <w:rFonts w:ascii="Arial" w:hAnsi="Arial" w:cs="Arial"/>
          <w:sz w:val="24"/>
          <w:szCs w:val="24"/>
          <w:shd w:val="clear" w:color="auto" w:fill="FFFFFF"/>
        </w:rPr>
      </w:pPr>
      <w:r>
        <w:rPr>
          <w:rFonts w:ascii="Arial" w:hAnsi="Arial" w:cs="Arial"/>
          <w:sz w:val="24"/>
          <w:szCs w:val="24"/>
          <w:shd w:val="clear" w:color="auto" w:fill="FFFFFF"/>
        </w:rPr>
        <w:t xml:space="preserve">As part of the </w:t>
      </w:r>
      <w:r w:rsidR="00DA1B29">
        <w:rPr>
          <w:rFonts w:ascii="Arial" w:hAnsi="Arial" w:cs="Arial"/>
          <w:sz w:val="24"/>
          <w:szCs w:val="24"/>
          <w:shd w:val="clear" w:color="auto" w:fill="FFFFFF"/>
        </w:rPr>
        <w:t xml:space="preserve">same </w:t>
      </w:r>
      <w:r>
        <w:rPr>
          <w:rFonts w:ascii="Arial" w:hAnsi="Arial" w:cs="Arial"/>
          <w:sz w:val="24"/>
          <w:szCs w:val="24"/>
          <w:shd w:val="clear" w:color="auto" w:fill="FFFFFF"/>
        </w:rPr>
        <w:t xml:space="preserve">national research funding program (NUCLEU) proposal, during 2023-2026, called PHAZER - “The seismic phenomena, from global scale to local scale, in a multidisciplinary approach”, specific tsunami related phases are: “Multidisciplinary research for evaluating hazard and risk associated to natural and atrophic phenomena and earthquake prediction”, a more detailed description of future work is “Risk reduction due to tsunami phenomena and other extreme events related to sea level variations”. </w:t>
      </w:r>
    </w:p>
    <w:p w:rsidR="007A5F1C" w:rsidRPr="00C93D07" w:rsidRDefault="007A5F1C" w:rsidP="007A2952">
      <w:pPr>
        <w:ind w:left="360"/>
        <w:jc w:val="both"/>
        <w:rPr>
          <w:rFonts w:ascii="Arial" w:hAnsi="Arial" w:cs="Arial"/>
          <w:sz w:val="24"/>
          <w:szCs w:val="24"/>
          <w:shd w:val="clear" w:color="auto" w:fill="FFFFFF"/>
        </w:rPr>
      </w:pPr>
    </w:p>
    <w:p w:rsidR="000B3340" w:rsidRPr="00C93D07" w:rsidRDefault="000B3340" w:rsidP="007A2952">
      <w:pPr>
        <w:ind w:left="360"/>
        <w:jc w:val="both"/>
        <w:rPr>
          <w:rFonts w:ascii="Arial" w:hAnsi="Arial" w:cs="Arial"/>
          <w:sz w:val="24"/>
          <w:szCs w:val="24"/>
          <w:shd w:val="clear" w:color="auto" w:fill="FFFFFF"/>
        </w:rPr>
      </w:pPr>
    </w:p>
    <w:sectPr w:rsidR="000B3340" w:rsidRPr="00C93D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05E" w:rsidRDefault="00BF105E" w:rsidP="007A2952">
      <w:pPr>
        <w:spacing w:after="0" w:line="240" w:lineRule="auto"/>
      </w:pPr>
      <w:r>
        <w:separator/>
      </w:r>
    </w:p>
  </w:endnote>
  <w:endnote w:type="continuationSeparator" w:id="0">
    <w:p w:rsidR="00BF105E" w:rsidRDefault="00BF105E" w:rsidP="007A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05E" w:rsidRDefault="00BF105E" w:rsidP="007A2952">
      <w:pPr>
        <w:spacing w:after="0" w:line="240" w:lineRule="auto"/>
      </w:pPr>
      <w:r>
        <w:separator/>
      </w:r>
    </w:p>
  </w:footnote>
  <w:footnote w:type="continuationSeparator" w:id="0">
    <w:p w:rsidR="00BF105E" w:rsidRDefault="00BF105E" w:rsidP="007A29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174DD"/>
    <w:multiLevelType w:val="hybridMultilevel"/>
    <w:tmpl w:val="77C64BC8"/>
    <w:lvl w:ilvl="0" w:tplc="AEA8EC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803D59"/>
    <w:multiLevelType w:val="hybridMultilevel"/>
    <w:tmpl w:val="005E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78669B"/>
    <w:multiLevelType w:val="hybridMultilevel"/>
    <w:tmpl w:val="68D08E5E"/>
    <w:lvl w:ilvl="0" w:tplc="627CB19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B2"/>
    <w:rsid w:val="00006AB3"/>
    <w:rsid w:val="000146B5"/>
    <w:rsid w:val="000253DE"/>
    <w:rsid w:val="00055B6B"/>
    <w:rsid w:val="0007259C"/>
    <w:rsid w:val="00097875"/>
    <w:rsid w:val="000B3340"/>
    <w:rsid w:val="001119E8"/>
    <w:rsid w:val="001B0AF9"/>
    <w:rsid w:val="001B625D"/>
    <w:rsid w:val="00207BB2"/>
    <w:rsid w:val="00294174"/>
    <w:rsid w:val="00396D4C"/>
    <w:rsid w:val="00451413"/>
    <w:rsid w:val="00456961"/>
    <w:rsid w:val="004C034C"/>
    <w:rsid w:val="004C41E4"/>
    <w:rsid w:val="004C7EE3"/>
    <w:rsid w:val="004F1E7F"/>
    <w:rsid w:val="00511477"/>
    <w:rsid w:val="0054554E"/>
    <w:rsid w:val="005A69C6"/>
    <w:rsid w:val="005B3885"/>
    <w:rsid w:val="005C598D"/>
    <w:rsid w:val="005E39E2"/>
    <w:rsid w:val="005E56B2"/>
    <w:rsid w:val="00655483"/>
    <w:rsid w:val="0066194C"/>
    <w:rsid w:val="006E7311"/>
    <w:rsid w:val="0072240B"/>
    <w:rsid w:val="00781D52"/>
    <w:rsid w:val="0079082C"/>
    <w:rsid w:val="00797E29"/>
    <w:rsid w:val="007A2952"/>
    <w:rsid w:val="007A5F1C"/>
    <w:rsid w:val="007B3D09"/>
    <w:rsid w:val="007E7417"/>
    <w:rsid w:val="007F5E21"/>
    <w:rsid w:val="007F6185"/>
    <w:rsid w:val="00841171"/>
    <w:rsid w:val="0085062C"/>
    <w:rsid w:val="00867362"/>
    <w:rsid w:val="008B026B"/>
    <w:rsid w:val="008C5E2D"/>
    <w:rsid w:val="008F13DD"/>
    <w:rsid w:val="008F599F"/>
    <w:rsid w:val="00900340"/>
    <w:rsid w:val="00912D57"/>
    <w:rsid w:val="0091417B"/>
    <w:rsid w:val="009A2233"/>
    <w:rsid w:val="009C1E51"/>
    <w:rsid w:val="009C6499"/>
    <w:rsid w:val="009D123B"/>
    <w:rsid w:val="00A00A01"/>
    <w:rsid w:val="00A41F6B"/>
    <w:rsid w:val="00AA0F72"/>
    <w:rsid w:val="00AB3BB7"/>
    <w:rsid w:val="00B3742E"/>
    <w:rsid w:val="00BA3DBD"/>
    <w:rsid w:val="00BA548C"/>
    <w:rsid w:val="00BC51F7"/>
    <w:rsid w:val="00BE6DEC"/>
    <w:rsid w:val="00BF105E"/>
    <w:rsid w:val="00C03C27"/>
    <w:rsid w:val="00C108BD"/>
    <w:rsid w:val="00C123D8"/>
    <w:rsid w:val="00C27F28"/>
    <w:rsid w:val="00C3688E"/>
    <w:rsid w:val="00C511D6"/>
    <w:rsid w:val="00C93D07"/>
    <w:rsid w:val="00CB2A49"/>
    <w:rsid w:val="00D615CD"/>
    <w:rsid w:val="00D66BA0"/>
    <w:rsid w:val="00D80DA8"/>
    <w:rsid w:val="00DA1B29"/>
    <w:rsid w:val="00DD68D5"/>
    <w:rsid w:val="00DF7102"/>
    <w:rsid w:val="00E119B0"/>
    <w:rsid w:val="00E732CF"/>
    <w:rsid w:val="00EC0838"/>
    <w:rsid w:val="00EE108D"/>
    <w:rsid w:val="00F51800"/>
    <w:rsid w:val="00F724B2"/>
    <w:rsid w:val="00FA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0916A-B8E6-457C-950F-F7DA1695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8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97E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7E29"/>
    <w:rPr>
      <w:rFonts w:ascii="Times New Roman" w:eastAsia="Times New Roman" w:hAnsi="Times New Roman" w:cs="Times New Roman"/>
      <w:b/>
      <w:bCs/>
      <w:sz w:val="27"/>
      <w:szCs w:val="27"/>
    </w:rPr>
  </w:style>
  <w:style w:type="character" w:styleId="Strong">
    <w:name w:val="Strong"/>
    <w:basedOn w:val="DefaultParagraphFont"/>
    <w:uiPriority w:val="22"/>
    <w:qFormat/>
    <w:rsid w:val="00797E29"/>
    <w:rPr>
      <w:b/>
      <w:bCs/>
    </w:rPr>
  </w:style>
  <w:style w:type="paragraph" w:styleId="ListParagraph">
    <w:name w:val="List Paragraph"/>
    <w:basedOn w:val="Normal"/>
    <w:uiPriority w:val="34"/>
    <w:qFormat/>
    <w:rsid w:val="00DF7102"/>
    <w:pPr>
      <w:ind w:left="720"/>
      <w:contextualSpacing/>
    </w:pPr>
  </w:style>
  <w:style w:type="paragraph" w:styleId="BalloonText">
    <w:name w:val="Balloon Text"/>
    <w:basedOn w:val="Normal"/>
    <w:link w:val="BalloonTextChar"/>
    <w:uiPriority w:val="99"/>
    <w:semiHidden/>
    <w:unhideWhenUsed/>
    <w:rsid w:val="009C6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499"/>
    <w:rPr>
      <w:rFonts w:ascii="Segoe UI" w:hAnsi="Segoe UI" w:cs="Segoe UI"/>
      <w:sz w:val="18"/>
      <w:szCs w:val="18"/>
    </w:rPr>
  </w:style>
  <w:style w:type="character" w:customStyle="1" w:styleId="Heading1Char">
    <w:name w:val="Heading 1 Char"/>
    <w:basedOn w:val="DefaultParagraphFont"/>
    <w:link w:val="Heading1"/>
    <w:uiPriority w:val="9"/>
    <w:rsid w:val="0009787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A2952"/>
    <w:rPr>
      <w:color w:val="0563C1" w:themeColor="hyperlink"/>
      <w:u w:val="single"/>
    </w:rPr>
  </w:style>
  <w:style w:type="paragraph" w:styleId="FootnoteText">
    <w:name w:val="footnote text"/>
    <w:basedOn w:val="Normal"/>
    <w:link w:val="FootnoteTextChar"/>
    <w:uiPriority w:val="99"/>
    <w:unhideWhenUsed/>
    <w:rsid w:val="007A2952"/>
    <w:pPr>
      <w:suppressAutoHyphens/>
      <w:autoSpaceDN w:val="0"/>
      <w:spacing w:after="0" w:line="240" w:lineRule="auto"/>
      <w:textAlignment w:val="baseline"/>
    </w:pPr>
    <w:rPr>
      <w:rFonts w:ascii="Calibri" w:eastAsia="Calibri" w:hAnsi="Calibri" w:cs="Times New Roman"/>
      <w:b/>
      <w:bCs/>
      <w:sz w:val="20"/>
      <w:szCs w:val="20"/>
      <w:lang w:val="ro-RO"/>
    </w:rPr>
  </w:style>
  <w:style w:type="character" w:customStyle="1" w:styleId="FootnoteTextChar">
    <w:name w:val="Footnote Text Char"/>
    <w:basedOn w:val="DefaultParagraphFont"/>
    <w:link w:val="FootnoteText"/>
    <w:uiPriority w:val="99"/>
    <w:rsid w:val="007A2952"/>
    <w:rPr>
      <w:rFonts w:ascii="Calibri" w:eastAsia="Calibri" w:hAnsi="Calibri" w:cs="Times New Roman"/>
      <w:b/>
      <w:bCs/>
      <w:sz w:val="20"/>
      <w:szCs w:val="20"/>
      <w:lang w:val="ro-RO"/>
    </w:rPr>
  </w:style>
  <w:style w:type="character" w:styleId="FootnoteReference">
    <w:name w:val="footnote reference"/>
    <w:basedOn w:val="DefaultParagraphFont"/>
    <w:uiPriority w:val="99"/>
    <w:semiHidden/>
    <w:unhideWhenUsed/>
    <w:rsid w:val="007A2952"/>
    <w:rPr>
      <w:vertAlign w:val="superscript"/>
    </w:rPr>
  </w:style>
  <w:style w:type="paragraph" w:customStyle="1" w:styleId="yiv6067646126msonormal">
    <w:name w:val="yiv6067646126msonormal"/>
    <w:basedOn w:val="Normal"/>
    <w:rsid w:val="00BA5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DefaultParagraphFont"/>
    <w:rsid w:val="00C27F28"/>
  </w:style>
  <w:style w:type="character" w:customStyle="1" w:styleId="sciprofiles-linkname">
    <w:name w:val="sciprofiles-link__name"/>
    <w:basedOn w:val="DefaultParagraphFont"/>
    <w:rsid w:val="00C27F28"/>
  </w:style>
  <w:style w:type="character" w:styleId="Emphasis">
    <w:name w:val="Emphasis"/>
    <w:basedOn w:val="DefaultParagraphFont"/>
    <w:uiPriority w:val="20"/>
    <w:qFormat/>
    <w:rsid w:val="00C27F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4604">
      <w:bodyDiv w:val="1"/>
      <w:marLeft w:val="0"/>
      <w:marRight w:val="0"/>
      <w:marTop w:val="0"/>
      <w:marBottom w:val="0"/>
      <w:divBdr>
        <w:top w:val="none" w:sz="0" w:space="0" w:color="auto"/>
        <w:left w:val="none" w:sz="0" w:space="0" w:color="auto"/>
        <w:bottom w:val="none" w:sz="0" w:space="0" w:color="auto"/>
        <w:right w:val="none" w:sz="0" w:space="0" w:color="auto"/>
      </w:divBdr>
    </w:div>
    <w:div w:id="305162122">
      <w:bodyDiv w:val="1"/>
      <w:marLeft w:val="0"/>
      <w:marRight w:val="0"/>
      <w:marTop w:val="0"/>
      <w:marBottom w:val="0"/>
      <w:divBdr>
        <w:top w:val="none" w:sz="0" w:space="0" w:color="auto"/>
        <w:left w:val="none" w:sz="0" w:space="0" w:color="auto"/>
        <w:bottom w:val="none" w:sz="0" w:space="0" w:color="auto"/>
        <w:right w:val="none" w:sz="0" w:space="0" w:color="auto"/>
      </w:divBdr>
    </w:div>
    <w:div w:id="821696582">
      <w:bodyDiv w:val="1"/>
      <w:marLeft w:val="0"/>
      <w:marRight w:val="0"/>
      <w:marTop w:val="0"/>
      <w:marBottom w:val="0"/>
      <w:divBdr>
        <w:top w:val="none" w:sz="0" w:space="0" w:color="auto"/>
        <w:left w:val="none" w:sz="0" w:space="0" w:color="auto"/>
        <w:bottom w:val="none" w:sz="0" w:space="0" w:color="auto"/>
        <w:right w:val="none" w:sz="0" w:space="0" w:color="auto"/>
      </w:divBdr>
    </w:div>
    <w:div w:id="893662328">
      <w:bodyDiv w:val="1"/>
      <w:marLeft w:val="0"/>
      <w:marRight w:val="0"/>
      <w:marTop w:val="0"/>
      <w:marBottom w:val="0"/>
      <w:divBdr>
        <w:top w:val="none" w:sz="0" w:space="0" w:color="auto"/>
        <w:left w:val="none" w:sz="0" w:space="0" w:color="auto"/>
        <w:bottom w:val="none" w:sz="0" w:space="0" w:color="auto"/>
        <w:right w:val="none" w:sz="0" w:space="0" w:color="auto"/>
      </w:divBdr>
      <w:divsChild>
        <w:div w:id="806437180">
          <w:marLeft w:val="0"/>
          <w:marRight w:val="0"/>
          <w:marTop w:val="0"/>
          <w:marBottom w:val="0"/>
          <w:divBdr>
            <w:top w:val="none" w:sz="0" w:space="0" w:color="auto"/>
            <w:left w:val="none" w:sz="0" w:space="0" w:color="auto"/>
            <w:bottom w:val="none" w:sz="0" w:space="0" w:color="auto"/>
            <w:right w:val="none" w:sz="0" w:space="0" w:color="auto"/>
          </w:divBdr>
          <w:divsChild>
            <w:div w:id="12123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9658">
      <w:bodyDiv w:val="1"/>
      <w:marLeft w:val="0"/>
      <w:marRight w:val="0"/>
      <w:marTop w:val="0"/>
      <w:marBottom w:val="0"/>
      <w:divBdr>
        <w:top w:val="none" w:sz="0" w:space="0" w:color="auto"/>
        <w:left w:val="none" w:sz="0" w:space="0" w:color="auto"/>
        <w:bottom w:val="none" w:sz="0" w:space="0" w:color="auto"/>
        <w:right w:val="none" w:sz="0" w:space="0" w:color="auto"/>
      </w:divBdr>
      <w:divsChild>
        <w:div w:id="284124300">
          <w:marLeft w:val="0"/>
          <w:marRight w:val="0"/>
          <w:marTop w:val="0"/>
          <w:marBottom w:val="0"/>
          <w:divBdr>
            <w:top w:val="none" w:sz="0" w:space="0" w:color="auto"/>
            <w:left w:val="none" w:sz="0" w:space="0" w:color="auto"/>
            <w:bottom w:val="none" w:sz="0" w:space="0" w:color="auto"/>
            <w:right w:val="none" w:sz="0" w:space="0" w:color="auto"/>
          </w:divBdr>
        </w:div>
        <w:div w:id="1932931953">
          <w:marLeft w:val="0"/>
          <w:marRight w:val="0"/>
          <w:marTop w:val="0"/>
          <w:marBottom w:val="0"/>
          <w:divBdr>
            <w:top w:val="none" w:sz="0" w:space="0" w:color="auto"/>
            <w:left w:val="none" w:sz="0" w:space="0" w:color="auto"/>
            <w:bottom w:val="none" w:sz="0" w:space="0" w:color="auto"/>
            <w:right w:val="none" w:sz="0" w:space="0" w:color="auto"/>
          </w:divBdr>
        </w:div>
        <w:div w:id="234628927">
          <w:marLeft w:val="0"/>
          <w:marRight w:val="0"/>
          <w:marTop w:val="0"/>
          <w:marBottom w:val="0"/>
          <w:divBdr>
            <w:top w:val="none" w:sz="0" w:space="0" w:color="auto"/>
            <w:left w:val="none" w:sz="0" w:space="0" w:color="auto"/>
            <w:bottom w:val="none" w:sz="0" w:space="0" w:color="auto"/>
            <w:right w:val="none" w:sz="0" w:space="0" w:color="auto"/>
          </w:divBdr>
        </w:div>
      </w:divsChild>
    </w:div>
    <w:div w:id="1139761247">
      <w:bodyDiv w:val="1"/>
      <w:marLeft w:val="0"/>
      <w:marRight w:val="0"/>
      <w:marTop w:val="0"/>
      <w:marBottom w:val="0"/>
      <w:divBdr>
        <w:top w:val="none" w:sz="0" w:space="0" w:color="auto"/>
        <w:left w:val="none" w:sz="0" w:space="0" w:color="auto"/>
        <w:bottom w:val="none" w:sz="0" w:space="0" w:color="auto"/>
        <w:right w:val="none" w:sz="0" w:space="0" w:color="auto"/>
      </w:divBdr>
    </w:div>
    <w:div w:id="1342314699">
      <w:bodyDiv w:val="1"/>
      <w:marLeft w:val="0"/>
      <w:marRight w:val="0"/>
      <w:marTop w:val="0"/>
      <w:marBottom w:val="0"/>
      <w:divBdr>
        <w:top w:val="none" w:sz="0" w:space="0" w:color="auto"/>
        <w:left w:val="none" w:sz="0" w:space="0" w:color="auto"/>
        <w:bottom w:val="none" w:sz="0" w:space="0" w:color="auto"/>
        <w:right w:val="none" w:sz="0" w:space="0" w:color="auto"/>
      </w:divBdr>
    </w:div>
    <w:div w:id="1574852060">
      <w:bodyDiv w:val="1"/>
      <w:marLeft w:val="0"/>
      <w:marRight w:val="0"/>
      <w:marTop w:val="0"/>
      <w:marBottom w:val="0"/>
      <w:divBdr>
        <w:top w:val="none" w:sz="0" w:space="0" w:color="auto"/>
        <w:left w:val="none" w:sz="0" w:space="0" w:color="auto"/>
        <w:bottom w:val="none" w:sz="0" w:space="0" w:color="auto"/>
        <w:right w:val="none" w:sz="0" w:space="0" w:color="auto"/>
      </w:divBdr>
      <w:divsChild>
        <w:div w:id="1977762520">
          <w:marLeft w:val="0"/>
          <w:marRight w:val="0"/>
          <w:marTop w:val="0"/>
          <w:marBottom w:val="0"/>
          <w:divBdr>
            <w:top w:val="none" w:sz="0" w:space="0" w:color="auto"/>
            <w:left w:val="none" w:sz="0" w:space="0" w:color="auto"/>
            <w:bottom w:val="none" w:sz="0" w:space="0" w:color="auto"/>
            <w:right w:val="none" w:sz="0" w:space="0" w:color="auto"/>
          </w:divBdr>
          <w:divsChild>
            <w:div w:id="715811694">
              <w:marLeft w:val="0"/>
              <w:marRight w:val="0"/>
              <w:marTop w:val="0"/>
              <w:marBottom w:val="0"/>
              <w:divBdr>
                <w:top w:val="none" w:sz="0" w:space="0" w:color="auto"/>
                <w:left w:val="none" w:sz="0" w:space="0" w:color="auto"/>
                <w:bottom w:val="none" w:sz="0" w:space="0" w:color="auto"/>
                <w:right w:val="none" w:sz="0" w:space="0" w:color="auto"/>
              </w:divBdr>
            </w:div>
            <w:div w:id="2071491628">
              <w:marLeft w:val="0"/>
              <w:marRight w:val="0"/>
              <w:marTop w:val="0"/>
              <w:marBottom w:val="0"/>
              <w:divBdr>
                <w:top w:val="none" w:sz="0" w:space="0" w:color="auto"/>
                <w:left w:val="none" w:sz="0" w:space="0" w:color="auto"/>
                <w:bottom w:val="none" w:sz="0" w:space="0" w:color="auto"/>
                <w:right w:val="none" w:sz="0" w:space="0" w:color="auto"/>
              </w:divBdr>
            </w:div>
          </w:divsChild>
        </w:div>
        <w:div w:id="171777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ris.eu/ERIF-2000-000X-42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eobs.infp.ro/echipamente.php" TargetMode="External"/><Relationship Id="rId12" Type="http://schemas.openxmlformats.org/officeDocument/2006/relationships/hyperlink" Target="http://ctwc.infp.ro/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critech.jrc.ec.europa.eu/TAD_server/Device/1428" TargetMode="External"/><Relationship Id="rId5" Type="http://schemas.openxmlformats.org/officeDocument/2006/relationships/footnotes" Target="footnotes.xml"/><Relationship Id="rId10" Type="http://schemas.openxmlformats.org/officeDocument/2006/relationships/hyperlink" Target="http://www.ioc-sealevelmonitoring.org/list.php?order=delay&amp;dir=asc&amp;contact=161" TargetMode="External"/><Relationship Id="rId4" Type="http://schemas.openxmlformats.org/officeDocument/2006/relationships/webSettings" Target="webSettings.xml"/><Relationship Id="rId9" Type="http://schemas.openxmlformats.org/officeDocument/2006/relationships/hyperlink" Target="http://geobs.infp.ro/marea_neagra.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Alejandro Rojas</cp:lastModifiedBy>
  <cp:revision>2</cp:revision>
  <cp:lastPrinted>2023-04-06T19:46:00Z</cp:lastPrinted>
  <dcterms:created xsi:type="dcterms:W3CDTF">2023-04-10T16:17:00Z</dcterms:created>
  <dcterms:modified xsi:type="dcterms:W3CDTF">2023-04-10T16:17:00Z</dcterms:modified>
</cp:coreProperties>
</file>