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B0B89" w:rsidRDefault="004435AA">
      <w:pPr>
        <w:spacing w:before="240" w:after="240" w:line="276" w:lineRule="auto"/>
        <w:jc w:val="center"/>
        <w:rPr>
          <w:rFonts w:ascii="Arial" w:eastAsia="Arial" w:hAnsi="Arial" w:cs="Arial"/>
          <w:b/>
        </w:rPr>
      </w:pPr>
      <w:r>
        <w:rPr>
          <w:rFonts w:ascii="Arial" w:eastAsia="Arial" w:hAnsi="Arial" w:cs="Arial"/>
          <w:b/>
        </w:rPr>
        <w:t xml:space="preserve">ICG/PTWS Working Group 3 on Disaster Risk Management and Preparedness </w:t>
      </w:r>
    </w:p>
    <w:p w14:paraId="00000002" w14:textId="77777777" w:rsidR="007B0B89" w:rsidRDefault="004435AA">
      <w:pPr>
        <w:spacing w:before="240" w:after="240" w:line="276" w:lineRule="auto"/>
        <w:jc w:val="center"/>
        <w:rPr>
          <w:rFonts w:ascii="Arial" w:eastAsia="Arial" w:hAnsi="Arial" w:cs="Arial"/>
          <w:b/>
        </w:rPr>
      </w:pPr>
      <w:r>
        <w:rPr>
          <w:rFonts w:ascii="Arial" w:eastAsia="Arial" w:hAnsi="Arial" w:cs="Arial"/>
          <w:b/>
        </w:rPr>
        <w:t>Report to the ICG/PTWS Steering Committee</w:t>
      </w:r>
    </w:p>
    <w:p w14:paraId="00000003" w14:textId="77777777" w:rsidR="007B0B89" w:rsidRDefault="004435AA">
      <w:pPr>
        <w:spacing w:before="240" w:after="240" w:line="276" w:lineRule="auto"/>
        <w:jc w:val="center"/>
        <w:rPr>
          <w:rFonts w:ascii="Arial" w:eastAsia="Arial" w:hAnsi="Arial" w:cs="Arial"/>
          <w:b/>
        </w:rPr>
      </w:pPr>
      <w:r>
        <w:rPr>
          <w:rFonts w:ascii="Arial" w:eastAsia="Arial" w:hAnsi="Arial" w:cs="Arial"/>
          <w:b/>
        </w:rPr>
        <w:t>March 2023</w:t>
      </w:r>
    </w:p>
    <w:p w14:paraId="00000004" w14:textId="77777777" w:rsidR="007B0B89" w:rsidRDefault="004435AA">
      <w:pPr>
        <w:spacing w:before="240" w:after="240" w:line="276" w:lineRule="auto"/>
        <w:jc w:val="center"/>
        <w:rPr>
          <w:rFonts w:ascii="Arial" w:eastAsia="Arial" w:hAnsi="Arial" w:cs="Arial"/>
          <w:b/>
        </w:rPr>
      </w:pPr>
      <w:r>
        <w:rPr>
          <w:rFonts w:ascii="Arial" w:eastAsia="Arial" w:hAnsi="Arial" w:cs="Arial"/>
          <w:b/>
        </w:rPr>
        <w:t xml:space="preserve"> </w:t>
      </w:r>
    </w:p>
    <w:p w14:paraId="00000007" w14:textId="427F2EBD" w:rsidR="007B0B89" w:rsidRPr="003C74B8" w:rsidRDefault="004435AA">
      <w:pPr>
        <w:spacing w:before="240" w:after="240" w:line="276" w:lineRule="auto"/>
        <w:jc w:val="both"/>
        <w:rPr>
          <w:rFonts w:ascii="Arial" w:eastAsia="Arial" w:hAnsi="Arial" w:cs="Arial"/>
          <w:b/>
        </w:rPr>
      </w:pPr>
      <w:r>
        <w:rPr>
          <w:rFonts w:ascii="Arial" w:eastAsia="Arial" w:hAnsi="Arial" w:cs="Arial"/>
          <w:b/>
        </w:rPr>
        <w:t>Working Group on Disaster Risk Management and Preparedness</w:t>
      </w:r>
    </w:p>
    <w:p w14:paraId="00000008" w14:textId="77777777" w:rsidR="007B0B89" w:rsidRDefault="004435AA">
      <w:pPr>
        <w:spacing w:before="240" w:after="240" w:line="259" w:lineRule="auto"/>
        <w:ind w:left="640" w:hanging="360"/>
        <w:jc w:val="both"/>
        <w:rPr>
          <w:rFonts w:ascii="Arial" w:eastAsia="Arial" w:hAnsi="Arial" w:cs="Arial"/>
        </w:rPr>
      </w:pPr>
      <w:r>
        <w:rPr>
          <w:rFonts w:ascii="Arial" w:eastAsia="Arial" w:hAnsi="Arial" w:cs="Arial"/>
        </w:rPr>
        <w:t>1.</w:t>
      </w:r>
      <w:r>
        <w:rPr>
          <w:sz w:val="14"/>
          <w:szCs w:val="14"/>
        </w:rPr>
        <w:tab/>
      </w:r>
      <w:r>
        <w:rPr>
          <w:rFonts w:ascii="Arial" w:eastAsia="Arial" w:hAnsi="Arial" w:cs="Arial"/>
        </w:rPr>
        <w:t>Facilitate in collaboration with TOWS Task Team on Disaster Management and Preparedness and organizations such as UNISDR, the exchange of experiences and information on risk reduction and preparedness actions, and matters related to disaster management.</w:t>
      </w:r>
    </w:p>
    <w:p w14:paraId="00000009" w14:textId="77777777" w:rsidR="007B0B89" w:rsidRDefault="004435AA">
      <w:pPr>
        <w:spacing w:before="240" w:after="240" w:line="259" w:lineRule="auto"/>
        <w:ind w:left="640" w:hanging="360"/>
        <w:jc w:val="both"/>
        <w:rPr>
          <w:rFonts w:ascii="Arial" w:eastAsia="Arial" w:hAnsi="Arial" w:cs="Arial"/>
        </w:rPr>
      </w:pPr>
      <w:r>
        <w:rPr>
          <w:rFonts w:ascii="Arial" w:eastAsia="Arial" w:hAnsi="Arial" w:cs="Arial"/>
        </w:rPr>
        <w:t>2.</w:t>
      </w:r>
      <w:r>
        <w:rPr>
          <w:sz w:val="14"/>
          <w:szCs w:val="14"/>
        </w:rPr>
        <w:tab/>
      </w:r>
      <w:r>
        <w:rPr>
          <w:rFonts w:ascii="Arial" w:eastAsia="Arial" w:hAnsi="Arial" w:cs="Arial"/>
        </w:rPr>
        <w:t>Promote preparedness in coastal communities through education and awareness products and campaigns.</w:t>
      </w:r>
    </w:p>
    <w:p w14:paraId="0000000A" w14:textId="77777777" w:rsidR="007B0B89" w:rsidRDefault="004435AA">
      <w:pPr>
        <w:spacing w:before="240" w:after="240" w:line="259" w:lineRule="auto"/>
        <w:ind w:left="640" w:hanging="360"/>
        <w:jc w:val="both"/>
        <w:rPr>
          <w:rFonts w:ascii="Arial" w:eastAsia="Arial" w:hAnsi="Arial" w:cs="Arial"/>
        </w:rPr>
      </w:pPr>
      <w:r>
        <w:rPr>
          <w:rFonts w:ascii="Arial" w:eastAsia="Arial" w:hAnsi="Arial" w:cs="Arial"/>
        </w:rPr>
        <w:t>3.</w:t>
      </w:r>
      <w:r>
        <w:rPr>
          <w:sz w:val="14"/>
          <w:szCs w:val="14"/>
        </w:rPr>
        <w:tab/>
      </w:r>
      <w:r>
        <w:rPr>
          <w:rFonts w:ascii="Arial" w:eastAsia="Arial" w:hAnsi="Arial" w:cs="Arial"/>
        </w:rPr>
        <w:t>Facilitate SOP training across regions to strengthen emergency response capabilities of Member States and their Disaster Management Offices.</w:t>
      </w:r>
    </w:p>
    <w:p w14:paraId="0000000B" w14:textId="77777777" w:rsidR="007B0B89" w:rsidRDefault="004435AA">
      <w:pPr>
        <w:spacing w:before="240" w:after="240" w:line="259" w:lineRule="auto"/>
        <w:ind w:left="640" w:hanging="360"/>
        <w:jc w:val="both"/>
        <w:rPr>
          <w:rFonts w:ascii="Arial" w:eastAsia="Arial" w:hAnsi="Arial" w:cs="Arial"/>
        </w:rPr>
      </w:pPr>
      <w:r>
        <w:rPr>
          <w:rFonts w:ascii="Arial" w:eastAsia="Arial" w:hAnsi="Arial" w:cs="Arial"/>
        </w:rPr>
        <w:t>4.</w:t>
      </w:r>
      <w:r>
        <w:rPr>
          <w:sz w:val="14"/>
          <w:szCs w:val="14"/>
        </w:rPr>
        <w:tab/>
      </w:r>
      <w:r>
        <w:rPr>
          <w:rFonts w:ascii="Arial" w:eastAsia="Arial" w:hAnsi="Arial" w:cs="Arial"/>
        </w:rPr>
        <w:t>Facilitate and monitor Tsunami Ready campaigns and outcomes, and report results to the ICG/PTWS and the TOWS-WG.</w:t>
      </w:r>
    </w:p>
    <w:p w14:paraId="0000000C" w14:textId="77777777" w:rsidR="007B0B89" w:rsidRDefault="004435AA">
      <w:pPr>
        <w:spacing w:before="240" w:after="240" w:line="259" w:lineRule="auto"/>
        <w:ind w:left="640" w:hanging="360"/>
        <w:jc w:val="both"/>
        <w:rPr>
          <w:rFonts w:ascii="Arial" w:eastAsia="Arial" w:hAnsi="Arial" w:cs="Arial"/>
        </w:rPr>
      </w:pPr>
      <w:r>
        <w:rPr>
          <w:rFonts w:ascii="Arial" w:eastAsia="Arial" w:hAnsi="Arial" w:cs="Arial"/>
        </w:rPr>
        <w:t>5.</w:t>
      </w:r>
      <w:r>
        <w:rPr>
          <w:sz w:val="14"/>
          <w:szCs w:val="14"/>
        </w:rPr>
        <w:tab/>
      </w:r>
      <w:r>
        <w:rPr>
          <w:rFonts w:ascii="Arial" w:eastAsia="Arial" w:hAnsi="Arial" w:cs="Arial"/>
        </w:rPr>
        <w:t>Develop and promote best practice preparedness material, programs and assessment tools.</w:t>
      </w:r>
    </w:p>
    <w:p w14:paraId="0000000D" w14:textId="77777777" w:rsidR="007B0B89" w:rsidRDefault="004435AA">
      <w:pPr>
        <w:spacing w:before="240" w:after="240" w:line="259" w:lineRule="auto"/>
        <w:ind w:left="640" w:hanging="360"/>
        <w:jc w:val="both"/>
        <w:rPr>
          <w:rFonts w:ascii="Arial" w:eastAsia="Arial" w:hAnsi="Arial" w:cs="Arial"/>
        </w:rPr>
      </w:pPr>
      <w:r>
        <w:rPr>
          <w:rFonts w:ascii="Arial" w:eastAsia="Arial" w:hAnsi="Arial" w:cs="Arial"/>
        </w:rPr>
        <w:t>6.</w:t>
      </w:r>
      <w:r>
        <w:rPr>
          <w:sz w:val="14"/>
          <w:szCs w:val="14"/>
        </w:rPr>
        <w:tab/>
      </w:r>
      <w:r>
        <w:rPr>
          <w:rFonts w:ascii="Arial" w:eastAsia="Arial" w:hAnsi="Arial" w:cs="Arial"/>
        </w:rPr>
        <w:t>Develop and Promote tsunami risk reduction theory and practice</w:t>
      </w:r>
    </w:p>
    <w:p w14:paraId="0000000E" w14:textId="77777777" w:rsidR="007B0B89" w:rsidRDefault="004435AA">
      <w:pPr>
        <w:spacing w:before="240" w:after="240" w:line="259" w:lineRule="auto"/>
        <w:ind w:left="640" w:hanging="360"/>
        <w:jc w:val="both"/>
        <w:rPr>
          <w:rFonts w:ascii="Arial" w:eastAsia="Arial" w:hAnsi="Arial" w:cs="Arial"/>
        </w:rPr>
      </w:pPr>
      <w:r>
        <w:rPr>
          <w:rFonts w:ascii="Arial" w:eastAsia="Arial" w:hAnsi="Arial" w:cs="Arial"/>
        </w:rPr>
        <w:t>7.</w:t>
      </w:r>
      <w:r>
        <w:rPr>
          <w:sz w:val="14"/>
          <w:szCs w:val="14"/>
        </w:rPr>
        <w:tab/>
      </w:r>
      <w:r>
        <w:rPr>
          <w:rFonts w:ascii="Arial" w:eastAsia="Arial" w:hAnsi="Arial" w:cs="Arial"/>
        </w:rPr>
        <w:t>Support the ITIC of the ICG</w:t>
      </w:r>
    </w:p>
    <w:p w14:paraId="0000000F" w14:textId="77777777" w:rsidR="007B0B89" w:rsidRDefault="004435AA">
      <w:pPr>
        <w:spacing w:before="240" w:after="240" w:line="259" w:lineRule="auto"/>
        <w:rPr>
          <w:rFonts w:ascii="Arial" w:eastAsia="Arial" w:hAnsi="Arial" w:cs="Arial"/>
          <w:b/>
        </w:rPr>
      </w:pPr>
      <w:r>
        <w:rPr>
          <w:rFonts w:ascii="Arial" w:eastAsia="Arial" w:hAnsi="Arial" w:cs="Arial"/>
          <w:b/>
        </w:rPr>
        <w:t xml:space="preserve"> </w:t>
      </w:r>
    </w:p>
    <w:p w14:paraId="00000010" w14:textId="77777777" w:rsidR="007B0B89" w:rsidRDefault="004435AA" w:rsidP="009B4D0C">
      <w:pPr>
        <w:spacing w:before="240" w:after="240" w:line="276" w:lineRule="auto"/>
        <w:jc w:val="both"/>
        <w:rPr>
          <w:rFonts w:ascii="Arial" w:eastAsia="Arial" w:hAnsi="Arial" w:cs="Arial"/>
          <w:b/>
        </w:rPr>
      </w:pPr>
      <w:r>
        <w:rPr>
          <w:rFonts w:ascii="Arial" w:eastAsia="Arial" w:hAnsi="Arial" w:cs="Arial"/>
          <w:b/>
        </w:rPr>
        <w:t xml:space="preserve"> ACTIVITIES</w:t>
      </w:r>
    </w:p>
    <w:p w14:paraId="00000011" w14:textId="77777777" w:rsidR="007B0B89" w:rsidRDefault="004435AA" w:rsidP="009B4D0C">
      <w:pPr>
        <w:spacing w:before="240" w:after="240" w:line="276" w:lineRule="auto"/>
        <w:ind w:left="720" w:hanging="360"/>
        <w:jc w:val="both"/>
        <w:rPr>
          <w:rFonts w:ascii="Arial" w:eastAsia="Arial" w:hAnsi="Arial" w:cs="Arial"/>
          <w:b/>
        </w:rPr>
      </w:pPr>
      <w:r>
        <w:rPr>
          <w:rFonts w:ascii="Arial" w:eastAsia="Arial" w:hAnsi="Arial" w:cs="Arial"/>
          <w:b/>
        </w:rPr>
        <w:t>1.</w:t>
      </w:r>
      <w:r>
        <w:rPr>
          <w:rFonts w:ascii="Arial" w:eastAsia="Arial" w:hAnsi="Arial" w:cs="Arial"/>
          <w:b/>
          <w:sz w:val="14"/>
          <w:szCs w:val="14"/>
        </w:rPr>
        <w:tab/>
      </w:r>
      <w:r>
        <w:rPr>
          <w:rFonts w:ascii="Arial" w:eastAsia="Arial" w:hAnsi="Arial" w:cs="Arial"/>
          <w:b/>
          <w:u w:val="single"/>
        </w:rPr>
        <w:t>Facilitate in collaboration with TOWS Task Team on Disaster Management and Preparedness (TTDMP) and organizations such as UNDRR, the exchange of experiences and information on risk reduction and preparedness actions, and matters related to disaster management</w:t>
      </w:r>
    </w:p>
    <w:p w14:paraId="00000012" w14:textId="12C0FBFE" w:rsidR="007B0B89" w:rsidRDefault="004435AA" w:rsidP="009B4D0C">
      <w:pPr>
        <w:spacing w:before="240" w:after="240" w:line="276" w:lineRule="auto"/>
        <w:jc w:val="both"/>
        <w:rPr>
          <w:rFonts w:ascii="Arial" w:eastAsia="Arial" w:hAnsi="Arial" w:cs="Arial"/>
          <w:b/>
        </w:rPr>
      </w:pPr>
      <w:r w:rsidRPr="009B4D0C">
        <w:rPr>
          <w:rFonts w:ascii="Arial" w:eastAsia="Arial" w:hAnsi="Arial" w:cs="Arial"/>
          <w:b/>
        </w:rPr>
        <w:t>TOWS TT</w:t>
      </w:r>
      <w:r w:rsidR="009A7C42" w:rsidRPr="009B4D0C">
        <w:rPr>
          <w:rFonts w:ascii="Arial" w:eastAsia="Arial" w:hAnsi="Arial" w:cs="Arial"/>
          <w:b/>
        </w:rPr>
        <w:t>-</w:t>
      </w:r>
      <w:r w:rsidRPr="009B4D0C">
        <w:rPr>
          <w:rFonts w:ascii="Arial" w:eastAsia="Arial" w:hAnsi="Arial" w:cs="Arial"/>
          <w:b/>
        </w:rPr>
        <w:t>DMP</w:t>
      </w:r>
    </w:p>
    <w:p w14:paraId="00000013" w14:textId="40C57FF1" w:rsidR="007B0B89" w:rsidRDefault="004435AA" w:rsidP="004E76D3">
      <w:pPr>
        <w:spacing w:before="240" w:after="240" w:line="276" w:lineRule="auto"/>
        <w:jc w:val="both"/>
        <w:rPr>
          <w:rFonts w:ascii="Arial" w:eastAsia="Arial" w:hAnsi="Arial" w:cs="Arial"/>
        </w:rPr>
      </w:pPr>
      <w:r w:rsidRPr="00E57AF3">
        <w:rPr>
          <w:rFonts w:ascii="Arial" w:eastAsia="Arial" w:hAnsi="Arial" w:cs="Arial"/>
        </w:rPr>
        <w:t xml:space="preserve">The Working Group continued to play an active role in the TOWS TT-DMP, </w:t>
      </w:r>
      <w:r w:rsidR="009A7C42" w:rsidRPr="00E57AF3">
        <w:rPr>
          <w:rFonts w:ascii="Arial" w:eastAsia="Arial" w:hAnsi="Arial" w:cs="Arial"/>
        </w:rPr>
        <w:t>with t</w:t>
      </w:r>
      <w:r w:rsidRPr="00E57AF3">
        <w:rPr>
          <w:rFonts w:ascii="Arial" w:eastAsia="Arial" w:hAnsi="Arial" w:cs="Arial"/>
        </w:rPr>
        <w:t>he Director of ITIC br</w:t>
      </w:r>
      <w:r w:rsidR="006C1314" w:rsidRPr="00E57AF3">
        <w:rPr>
          <w:rFonts w:ascii="Arial" w:eastAsia="Arial" w:hAnsi="Arial" w:cs="Arial"/>
        </w:rPr>
        <w:t>inging</w:t>
      </w:r>
      <w:r w:rsidRPr="00E57AF3">
        <w:rPr>
          <w:rFonts w:ascii="Arial" w:eastAsia="Arial" w:hAnsi="Arial" w:cs="Arial"/>
        </w:rPr>
        <w:t xml:space="preserve"> an on-going prominent contribution.</w:t>
      </w:r>
    </w:p>
    <w:p w14:paraId="06820183" w14:textId="77777777" w:rsidR="00FF2FF6" w:rsidRDefault="00FF2FF6" w:rsidP="004E76D3">
      <w:pPr>
        <w:pStyle w:val="paragraph"/>
        <w:spacing w:before="240" w:beforeAutospacing="0" w:after="240" w:afterAutospacing="0" w:line="276" w:lineRule="auto"/>
        <w:jc w:val="both"/>
        <w:textAlignment w:val="baseline"/>
        <w:rPr>
          <w:rFonts w:ascii="Arial" w:hAnsi="Arial" w:cs="Arial"/>
        </w:rPr>
      </w:pPr>
      <w:r>
        <w:rPr>
          <w:rStyle w:val="normaltextrun"/>
          <w:rFonts w:ascii="Arial" w:hAnsi="Arial" w:cs="Arial"/>
          <w:lang w:val="en-US"/>
        </w:rPr>
        <w:t xml:space="preserve">At the TOWS-WG-XVI meeting on 2-3 March 2023, the Working Group welcomed Recommendation ICG/PTWS-XXIX.4 Disaster Risk Management and Preparedness request from the PTWS to </w:t>
      </w:r>
      <w:r>
        <w:rPr>
          <w:rStyle w:val="normaltextrun"/>
          <w:rFonts w:ascii="Arial" w:hAnsi="Arial" w:cs="Arial"/>
          <w:i/>
          <w:iCs/>
          <w:lang w:val="en-US"/>
        </w:rPr>
        <w:t xml:space="preserve">explore, in cooperation with the TOWS Task Team on </w:t>
      </w:r>
      <w:r>
        <w:rPr>
          <w:rStyle w:val="normaltextrun"/>
          <w:rFonts w:ascii="Arial" w:hAnsi="Arial" w:cs="Arial"/>
          <w:i/>
          <w:iCs/>
          <w:lang w:val="en-US"/>
        </w:rPr>
        <w:lastRenderedPageBreak/>
        <w:t xml:space="preserve">Disaster Management and Preparedness, ways to recognize communities that choose not to implement the UNESCO/IOC Tsunami Ready </w:t>
      </w:r>
      <w:proofErr w:type="spellStart"/>
      <w:r>
        <w:rPr>
          <w:rStyle w:val="normaltextrun"/>
          <w:rFonts w:ascii="Arial" w:hAnsi="Arial" w:cs="Arial"/>
          <w:i/>
          <w:iCs/>
          <w:lang w:val="en-US"/>
        </w:rPr>
        <w:t>programme</w:t>
      </w:r>
      <w:proofErr w:type="spellEnd"/>
      <w:r>
        <w:rPr>
          <w:rStyle w:val="normaltextrun"/>
          <w:rFonts w:ascii="Arial" w:hAnsi="Arial" w:cs="Arial"/>
          <w:i/>
          <w:iCs/>
          <w:lang w:val="en-US"/>
        </w:rPr>
        <w:t>, as compliant with the Tsunami Ready indicators</w:t>
      </w:r>
      <w:r>
        <w:rPr>
          <w:rStyle w:val="normaltextrun"/>
          <w:rFonts w:ascii="Arial" w:hAnsi="Arial" w:cs="Arial"/>
          <w:lang w:val="en-US"/>
        </w:rPr>
        <w:t>.  The TOWS-WG also welcomed contributions from the Tsunami Ready Coalition, whose Terms of Reference include the advising to the TT-DMP on implementation including measures related to: </w:t>
      </w:r>
      <w:r>
        <w:rPr>
          <w:rStyle w:val="eop"/>
          <w:rFonts w:ascii="Arial" w:hAnsi="Arial" w:cs="Arial"/>
        </w:rPr>
        <w:t> </w:t>
      </w:r>
    </w:p>
    <w:p w14:paraId="4480ABC6" w14:textId="77777777" w:rsidR="00FF2FF6" w:rsidRPr="004E421F" w:rsidRDefault="00FF2FF6" w:rsidP="004E76D3">
      <w:pPr>
        <w:pStyle w:val="paragraph"/>
        <w:spacing w:before="240" w:beforeAutospacing="0" w:after="240" w:afterAutospacing="0" w:line="276" w:lineRule="auto"/>
        <w:ind w:left="714" w:hanging="357"/>
        <w:contextualSpacing/>
        <w:jc w:val="both"/>
        <w:textAlignment w:val="baseline"/>
        <w:rPr>
          <w:rFonts w:ascii="Arial" w:hAnsi="Arial" w:cs="Arial"/>
        </w:rPr>
      </w:pPr>
      <w:r>
        <w:rPr>
          <w:rStyle w:val="normaltextrun"/>
          <w:rFonts w:ascii="Arial" w:hAnsi="Arial" w:cs="Arial"/>
          <w:lang w:val="en-US"/>
        </w:rPr>
        <w:t>(</w:t>
      </w:r>
      <w:proofErr w:type="spellStart"/>
      <w:r>
        <w:rPr>
          <w:rStyle w:val="normaltextrun"/>
          <w:rFonts w:ascii="Arial" w:hAnsi="Arial" w:cs="Arial"/>
          <w:lang w:val="en-US"/>
        </w:rPr>
        <w:t>i</w:t>
      </w:r>
      <w:proofErr w:type="spellEnd"/>
      <w:r>
        <w:rPr>
          <w:rStyle w:val="normaltextrun"/>
          <w:rFonts w:ascii="Arial" w:hAnsi="Arial" w:cs="Arial"/>
          <w:lang w:val="en-US"/>
        </w:rPr>
        <w:t xml:space="preserve">)  flexibility with regards to accomplishing the indicators to allow for circumstances where </w:t>
      </w:r>
      <w:r w:rsidRPr="004E421F">
        <w:rPr>
          <w:rStyle w:val="normaltextrun"/>
          <w:rFonts w:ascii="Arial" w:hAnsi="Arial" w:cs="Arial"/>
          <w:lang w:val="en-US"/>
        </w:rPr>
        <w:t>formal bureaucratic frameworks/requirements may pose barriers, </w:t>
      </w:r>
      <w:r w:rsidRPr="004E421F">
        <w:rPr>
          <w:rStyle w:val="eop"/>
          <w:rFonts w:ascii="Arial" w:hAnsi="Arial" w:cs="Arial"/>
        </w:rPr>
        <w:t> </w:t>
      </w:r>
    </w:p>
    <w:p w14:paraId="174A92B7" w14:textId="77777777" w:rsidR="00FF2FF6" w:rsidRPr="004E421F" w:rsidRDefault="00FF2FF6" w:rsidP="004E76D3">
      <w:pPr>
        <w:pStyle w:val="paragraph"/>
        <w:spacing w:before="240" w:beforeAutospacing="0" w:after="240" w:afterAutospacing="0" w:line="276" w:lineRule="auto"/>
        <w:ind w:left="714" w:hanging="357"/>
        <w:contextualSpacing/>
        <w:jc w:val="both"/>
        <w:textAlignment w:val="baseline"/>
        <w:rPr>
          <w:rFonts w:ascii="Arial" w:hAnsi="Arial" w:cs="Arial"/>
        </w:rPr>
      </w:pPr>
      <w:r w:rsidRPr="004E421F">
        <w:rPr>
          <w:rStyle w:val="normaltextrun"/>
          <w:rFonts w:ascii="Arial" w:hAnsi="Arial" w:cs="Arial"/>
          <w:lang w:val="en-US"/>
        </w:rPr>
        <w:t>(ii) consideration of unique regional and/or local circumstances, </w:t>
      </w:r>
      <w:r w:rsidRPr="004E421F">
        <w:rPr>
          <w:rStyle w:val="eop"/>
          <w:rFonts w:ascii="Arial" w:hAnsi="Arial" w:cs="Arial"/>
        </w:rPr>
        <w:t> </w:t>
      </w:r>
    </w:p>
    <w:p w14:paraId="22EB2A68" w14:textId="77777777" w:rsidR="00FF2FF6" w:rsidRPr="004E421F" w:rsidRDefault="00FF2FF6" w:rsidP="004E76D3">
      <w:pPr>
        <w:pStyle w:val="paragraph"/>
        <w:spacing w:before="240" w:beforeAutospacing="0" w:after="240" w:afterAutospacing="0" w:line="276" w:lineRule="auto"/>
        <w:ind w:left="714" w:hanging="357"/>
        <w:contextualSpacing/>
        <w:jc w:val="both"/>
        <w:textAlignment w:val="baseline"/>
        <w:rPr>
          <w:rFonts w:ascii="Arial" w:hAnsi="Arial" w:cs="Arial"/>
        </w:rPr>
      </w:pPr>
      <w:r w:rsidRPr="004E421F">
        <w:rPr>
          <w:rStyle w:val="normaltextrun"/>
          <w:rFonts w:ascii="Arial" w:hAnsi="Arial" w:cs="Arial"/>
          <w:lang w:val="en-US"/>
        </w:rPr>
        <w:t>(iii) recognition of similar standards already in place in some countries.</w:t>
      </w:r>
      <w:r w:rsidRPr="004E421F">
        <w:rPr>
          <w:rStyle w:val="eop"/>
          <w:rFonts w:ascii="Arial" w:hAnsi="Arial" w:cs="Arial"/>
        </w:rPr>
        <w:t> </w:t>
      </w:r>
    </w:p>
    <w:p w14:paraId="32C6ACE7" w14:textId="77777777" w:rsidR="00FF2FF6" w:rsidRPr="004E421F" w:rsidRDefault="00FF2FF6" w:rsidP="009B4D0C">
      <w:pPr>
        <w:pStyle w:val="paragraph"/>
        <w:spacing w:before="240" w:beforeAutospacing="0" w:after="240" w:afterAutospacing="0"/>
        <w:ind w:left="720" w:hanging="360"/>
        <w:jc w:val="both"/>
        <w:textAlignment w:val="baseline"/>
        <w:rPr>
          <w:rFonts w:ascii="Arial" w:hAnsi="Arial" w:cs="Arial"/>
        </w:rPr>
      </w:pPr>
      <w:r w:rsidRPr="004E421F">
        <w:rPr>
          <w:rStyle w:val="eop"/>
          <w:rFonts w:ascii="Arial" w:hAnsi="Arial" w:cs="Arial"/>
        </w:rPr>
        <w:t> </w:t>
      </w:r>
    </w:p>
    <w:p w14:paraId="6245569A" w14:textId="1E9D0233" w:rsidR="00FF2FF6" w:rsidRPr="004E421F" w:rsidRDefault="00FF2FF6" w:rsidP="004E421F">
      <w:pPr>
        <w:pStyle w:val="paragraph"/>
        <w:spacing w:before="240" w:beforeAutospacing="0" w:after="240" w:afterAutospacing="0" w:line="276" w:lineRule="auto"/>
        <w:jc w:val="both"/>
        <w:textAlignment w:val="baseline"/>
        <w:rPr>
          <w:rFonts w:ascii="Arial" w:hAnsi="Arial" w:cs="Arial"/>
        </w:rPr>
      </w:pPr>
      <w:r w:rsidRPr="004E421F">
        <w:rPr>
          <w:rStyle w:val="normaltextrun"/>
          <w:rFonts w:ascii="Arial" w:hAnsi="Arial" w:cs="Arial"/>
          <w:lang w:val="en-US"/>
        </w:rPr>
        <w:t>The TOWS WG accepted the report of the TT-DMP, which will continue through the next TOWG WG in 2024.  The TT-DMP tasks include:</w:t>
      </w:r>
      <w:r w:rsidRPr="004E421F">
        <w:rPr>
          <w:rStyle w:val="eop"/>
          <w:rFonts w:ascii="Arial" w:hAnsi="Arial" w:cs="Arial"/>
        </w:rPr>
        <w:t> </w:t>
      </w:r>
    </w:p>
    <w:p w14:paraId="4FCD4A42" w14:textId="5E97ECC2" w:rsidR="00FF2FF6" w:rsidRPr="004E421F" w:rsidRDefault="00FF2FF6" w:rsidP="009B4D0C">
      <w:pPr>
        <w:pStyle w:val="paragraph"/>
        <w:numPr>
          <w:ilvl w:val="0"/>
          <w:numId w:val="13"/>
        </w:numPr>
        <w:spacing w:before="240" w:beforeAutospacing="0" w:after="240" w:afterAutospacing="0" w:line="276" w:lineRule="auto"/>
        <w:ind w:left="714" w:hanging="357"/>
        <w:contextualSpacing/>
        <w:jc w:val="both"/>
        <w:textAlignment w:val="baseline"/>
        <w:rPr>
          <w:rFonts w:ascii="Arial" w:hAnsi="Arial" w:cs="Arial"/>
        </w:rPr>
      </w:pPr>
      <w:r w:rsidRPr="004E421F">
        <w:rPr>
          <w:rStyle w:val="normaltextrun"/>
          <w:rFonts w:ascii="Arial" w:hAnsi="Arial" w:cs="Arial"/>
          <w:color w:val="3A312F"/>
          <w:lang w:val="en-GB"/>
        </w:rPr>
        <w:t xml:space="preserve">Prepare a guideline for mainstreaming tsunami disaster risk reduction for coastal urban development </w:t>
      </w:r>
      <w:proofErr w:type="gramStart"/>
      <w:r w:rsidRPr="004E421F">
        <w:rPr>
          <w:rStyle w:val="normaltextrun"/>
          <w:rFonts w:ascii="Arial" w:hAnsi="Arial" w:cs="Arial"/>
          <w:color w:val="3A312F"/>
          <w:lang w:val="en-GB"/>
        </w:rPr>
        <w:t>planning;</w:t>
      </w:r>
      <w:proofErr w:type="gramEnd"/>
      <w:r w:rsidRPr="004E421F">
        <w:rPr>
          <w:rStyle w:val="eop"/>
          <w:rFonts w:ascii="Arial" w:hAnsi="Arial" w:cs="Arial"/>
          <w:color w:val="3A312F"/>
        </w:rPr>
        <w:t> </w:t>
      </w:r>
    </w:p>
    <w:p w14:paraId="430B470B" w14:textId="280E23A6" w:rsidR="00FF2FF6" w:rsidRPr="004E421F" w:rsidRDefault="00FF2FF6" w:rsidP="009B4D0C">
      <w:pPr>
        <w:pStyle w:val="paragraph"/>
        <w:numPr>
          <w:ilvl w:val="0"/>
          <w:numId w:val="13"/>
        </w:numPr>
        <w:spacing w:before="240" w:beforeAutospacing="0" w:after="240" w:afterAutospacing="0" w:line="276" w:lineRule="auto"/>
        <w:ind w:left="714" w:hanging="357"/>
        <w:contextualSpacing/>
        <w:jc w:val="both"/>
        <w:textAlignment w:val="baseline"/>
        <w:rPr>
          <w:rFonts w:ascii="Arial" w:hAnsi="Arial" w:cs="Arial"/>
        </w:rPr>
      </w:pPr>
      <w:r w:rsidRPr="004E421F">
        <w:rPr>
          <w:rStyle w:val="normaltextrun"/>
          <w:rFonts w:ascii="Arial" w:hAnsi="Arial" w:cs="Arial"/>
          <w:color w:val="3A312F"/>
          <w:lang w:val="en-GB"/>
        </w:rPr>
        <w:t xml:space="preserve">Prepare a guideline </w:t>
      </w:r>
      <w:r w:rsidR="009B4D0C" w:rsidRPr="004E421F">
        <w:rPr>
          <w:rStyle w:val="normaltextrun"/>
          <w:rFonts w:ascii="Arial" w:hAnsi="Arial" w:cs="Arial"/>
          <w:color w:val="3A312F"/>
          <w:lang w:val="en-GB"/>
        </w:rPr>
        <w:t>for critical</w:t>
      </w:r>
      <w:r w:rsidRPr="004E421F">
        <w:rPr>
          <w:rStyle w:val="normaltextrun"/>
          <w:rFonts w:ascii="Arial" w:hAnsi="Arial" w:cs="Arial"/>
          <w:color w:val="3A312F"/>
          <w:lang w:val="en-GB"/>
        </w:rPr>
        <w:t xml:space="preserve"> infrastructure from </w:t>
      </w:r>
      <w:r w:rsidR="009B4D0C" w:rsidRPr="004E421F">
        <w:rPr>
          <w:rStyle w:val="normaltextrun"/>
          <w:rFonts w:ascii="Arial" w:hAnsi="Arial" w:cs="Arial"/>
          <w:color w:val="3A312F"/>
          <w:lang w:val="en-GB"/>
        </w:rPr>
        <w:t>impacts e.g.</w:t>
      </w:r>
      <w:r w:rsidRPr="004E421F">
        <w:rPr>
          <w:rStyle w:val="normaltextrun"/>
          <w:rFonts w:ascii="Arial" w:hAnsi="Arial" w:cs="Arial"/>
          <w:color w:val="3A312F"/>
          <w:lang w:val="en-GB"/>
        </w:rPr>
        <w:t xml:space="preserve">, </w:t>
      </w:r>
      <w:proofErr w:type="spellStart"/>
      <w:r w:rsidRPr="004E421F">
        <w:rPr>
          <w:rStyle w:val="normaltextrun"/>
          <w:rFonts w:ascii="Arial" w:hAnsi="Arial" w:cs="Arial"/>
          <w:color w:val="3A312F"/>
          <w:lang w:val="en-GB"/>
        </w:rPr>
        <w:t>AirportGetReady</w:t>
      </w:r>
      <w:proofErr w:type="spellEnd"/>
      <w:r w:rsidRPr="004E421F">
        <w:rPr>
          <w:rStyle w:val="normaltextrun"/>
          <w:rFonts w:ascii="Arial" w:hAnsi="Arial" w:cs="Arial"/>
          <w:color w:val="3A312F"/>
          <w:lang w:val="en-GB"/>
        </w:rPr>
        <w:t xml:space="preserve"> to </w:t>
      </w:r>
      <w:proofErr w:type="gramStart"/>
      <w:r w:rsidRPr="004E421F">
        <w:rPr>
          <w:rStyle w:val="normaltextrun"/>
          <w:rFonts w:ascii="Arial" w:hAnsi="Arial" w:cs="Arial"/>
          <w:color w:val="3A312F"/>
          <w:lang w:val="en-GB"/>
        </w:rPr>
        <w:t>Tsunami;</w:t>
      </w:r>
      <w:proofErr w:type="gramEnd"/>
      <w:r w:rsidRPr="004E421F">
        <w:rPr>
          <w:rStyle w:val="eop"/>
          <w:rFonts w:ascii="Arial" w:hAnsi="Arial" w:cs="Arial"/>
          <w:color w:val="3A312F"/>
        </w:rPr>
        <w:t> </w:t>
      </w:r>
    </w:p>
    <w:p w14:paraId="22B1424C" w14:textId="77777777" w:rsidR="00FF2FF6" w:rsidRDefault="00FF2FF6" w:rsidP="009B4D0C">
      <w:pPr>
        <w:pStyle w:val="paragraph"/>
        <w:numPr>
          <w:ilvl w:val="0"/>
          <w:numId w:val="13"/>
        </w:numPr>
        <w:spacing w:before="240" w:beforeAutospacing="0" w:after="240" w:afterAutospacing="0" w:line="276" w:lineRule="auto"/>
        <w:ind w:left="714" w:hanging="357"/>
        <w:contextualSpacing/>
        <w:jc w:val="both"/>
        <w:textAlignment w:val="baseline"/>
        <w:rPr>
          <w:rFonts w:ascii="Arial" w:hAnsi="Arial" w:cs="Arial"/>
        </w:rPr>
      </w:pPr>
      <w:r>
        <w:rPr>
          <w:rStyle w:val="normaltextrun"/>
          <w:rFonts w:ascii="Arial" w:hAnsi="Arial" w:cs="Arial"/>
          <w:color w:val="3A312F"/>
          <w:lang w:val="en-GB"/>
        </w:rPr>
        <w:t xml:space="preserve">Update the Tsunami Hotel Guide developed by NEAMTWS in 2012 to include the ITIC materials and other recent documents, and translate in other languages, including other lessons </w:t>
      </w:r>
      <w:proofErr w:type="gramStart"/>
      <w:r>
        <w:rPr>
          <w:rStyle w:val="normaltextrun"/>
          <w:rFonts w:ascii="Arial" w:hAnsi="Arial" w:cs="Arial"/>
          <w:color w:val="3A312F"/>
          <w:lang w:val="en-GB"/>
        </w:rPr>
        <w:t>learned;</w:t>
      </w:r>
      <w:proofErr w:type="gramEnd"/>
      <w:r>
        <w:rPr>
          <w:rStyle w:val="eop"/>
          <w:rFonts w:ascii="Arial" w:hAnsi="Arial" w:cs="Arial"/>
          <w:color w:val="3A312F"/>
        </w:rPr>
        <w:t> </w:t>
      </w:r>
    </w:p>
    <w:p w14:paraId="00000014" w14:textId="77777777" w:rsidR="007B0B89" w:rsidRDefault="007B0B89" w:rsidP="009B4D0C">
      <w:pPr>
        <w:spacing w:before="240" w:after="240" w:line="259" w:lineRule="auto"/>
        <w:jc w:val="both"/>
        <w:rPr>
          <w:rFonts w:ascii="Arial" w:eastAsia="Arial" w:hAnsi="Arial" w:cs="Arial"/>
          <w:b/>
        </w:rPr>
      </w:pPr>
    </w:p>
    <w:p w14:paraId="00000015" w14:textId="77777777" w:rsidR="007B0B89" w:rsidRDefault="003A57F7" w:rsidP="009B4D0C">
      <w:pPr>
        <w:spacing w:before="240" w:after="240" w:line="259" w:lineRule="auto"/>
        <w:jc w:val="both"/>
        <w:rPr>
          <w:rFonts w:ascii="Arial" w:eastAsia="Arial" w:hAnsi="Arial" w:cs="Arial"/>
          <w:b/>
        </w:rPr>
      </w:pPr>
      <w:sdt>
        <w:sdtPr>
          <w:tag w:val="goog_rdk_0"/>
          <w:id w:val="1449595339"/>
        </w:sdtPr>
        <w:sdtEndPr/>
        <w:sdtContent/>
      </w:sdt>
      <w:r w:rsidR="004435AA">
        <w:rPr>
          <w:rFonts w:ascii="Arial" w:eastAsia="Arial" w:hAnsi="Arial" w:cs="Arial"/>
          <w:b/>
        </w:rPr>
        <w:t>Supporting the UN Ocean Decade</w:t>
      </w:r>
    </w:p>
    <w:p w14:paraId="00000016" w14:textId="15D0FA92" w:rsidR="007B0B89" w:rsidRDefault="004435AA" w:rsidP="004E76D3">
      <w:pPr>
        <w:spacing w:before="240" w:after="240" w:line="276" w:lineRule="auto"/>
        <w:jc w:val="both"/>
        <w:rPr>
          <w:rFonts w:ascii="Arial" w:eastAsia="Arial" w:hAnsi="Arial" w:cs="Arial"/>
        </w:rPr>
      </w:pPr>
      <w:r>
        <w:rPr>
          <w:rFonts w:ascii="Arial" w:eastAsia="Arial" w:hAnsi="Arial" w:cs="Arial"/>
        </w:rPr>
        <w:t xml:space="preserve">The implementation of the UNESCO/IOC Tsunami Ready Recognition </w:t>
      </w:r>
      <w:proofErr w:type="spellStart"/>
      <w:r>
        <w:rPr>
          <w:rFonts w:ascii="Arial" w:eastAsia="Arial" w:hAnsi="Arial" w:cs="Arial"/>
        </w:rPr>
        <w:t>Programme</w:t>
      </w:r>
      <w:proofErr w:type="spellEnd"/>
      <w:r>
        <w:rPr>
          <w:rFonts w:ascii="Arial" w:eastAsia="Arial" w:hAnsi="Arial" w:cs="Arial"/>
        </w:rPr>
        <w:t xml:space="preserve"> remains a key contribution to achieve the societal outcome ‘A Safe Ocean’ of the UN Ocean Decade. The Working Group continued to participate in the development of the IOC Tsunami Ready Guideline to promote international consistency in the application of Tsunami Ready. The IOC Guideline (MG 74) was published in April 2022</w:t>
      </w:r>
      <w:r w:rsidR="009447ED">
        <w:rPr>
          <w:rFonts w:ascii="Arial" w:eastAsia="Arial" w:hAnsi="Arial" w:cs="Arial"/>
        </w:rPr>
        <w:t xml:space="preserve"> and is now under implementation in all four ocean basins.</w:t>
      </w:r>
    </w:p>
    <w:p w14:paraId="00000017" w14:textId="71645828" w:rsidR="007B0B89" w:rsidRDefault="004435AA" w:rsidP="004E76D3">
      <w:pPr>
        <w:spacing w:before="240" w:after="240" w:line="276" w:lineRule="auto"/>
        <w:jc w:val="both"/>
        <w:rPr>
          <w:rFonts w:ascii="Arial" w:eastAsia="Arial" w:hAnsi="Arial" w:cs="Arial"/>
        </w:rPr>
      </w:pPr>
      <w:r>
        <w:rPr>
          <w:rFonts w:ascii="Arial" w:eastAsia="Arial" w:hAnsi="Arial" w:cs="Arial"/>
        </w:rPr>
        <w:t xml:space="preserve">In June 2021 the Thirty-first Session of the IOC Assembly, approved the establishment of a Scientific Committee in support of the Ocean Decade Tsunami </w:t>
      </w:r>
      <w:proofErr w:type="spellStart"/>
      <w:r>
        <w:rPr>
          <w:rFonts w:ascii="Arial" w:eastAsia="Arial" w:hAnsi="Arial" w:cs="Arial"/>
        </w:rPr>
        <w:t>Programme</w:t>
      </w:r>
      <w:proofErr w:type="spellEnd"/>
      <w:r>
        <w:rPr>
          <w:rFonts w:ascii="Arial" w:eastAsia="Arial" w:hAnsi="Arial" w:cs="Arial"/>
        </w:rPr>
        <w:t xml:space="preserve">. This Committee has since presented a Draft Ocean Decade Tsunami </w:t>
      </w:r>
      <w:proofErr w:type="spellStart"/>
      <w:r>
        <w:rPr>
          <w:rFonts w:ascii="Arial" w:eastAsia="Arial" w:hAnsi="Arial" w:cs="Arial"/>
        </w:rPr>
        <w:t>Programme</w:t>
      </w:r>
      <w:proofErr w:type="spellEnd"/>
      <w:r>
        <w:rPr>
          <w:rFonts w:ascii="Arial" w:eastAsia="Arial" w:hAnsi="Arial" w:cs="Arial"/>
        </w:rPr>
        <w:t xml:space="preserve"> Research and Development Plan to IOC-UNESCO ICGs for review. The Working Group is represented in the Scientific Committee.</w:t>
      </w:r>
    </w:p>
    <w:p w14:paraId="2D5770B4" w14:textId="392BADD7" w:rsidR="00881344" w:rsidRPr="00FF39F7" w:rsidRDefault="00FF39F7" w:rsidP="004E76D3">
      <w:pPr>
        <w:spacing w:before="240" w:after="240" w:line="276" w:lineRule="auto"/>
        <w:jc w:val="both"/>
        <w:rPr>
          <w:rFonts w:ascii="Arial" w:eastAsia="Arial" w:hAnsi="Arial" w:cs="Arial"/>
        </w:rPr>
      </w:pPr>
      <w:r>
        <w:rPr>
          <w:rFonts w:ascii="Arial" w:eastAsia="Arial" w:hAnsi="Arial" w:cs="Arial"/>
        </w:rPr>
        <w:t>In June 2022</w:t>
      </w:r>
      <w:r w:rsidRPr="003604C8">
        <w:rPr>
          <w:rFonts w:ascii="Arial" w:eastAsia="Arial" w:hAnsi="Arial" w:cs="Arial"/>
        </w:rPr>
        <w:t xml:space="preserve"> the IOC Executive Council at its 55th session approved the establishment of the UNESCO/IOC Tsunami Ready Recognition </w:t>
      </w:r>
      <w:proofErr w:type="spellStart"/>
      <w:r w:rsidRPr="003604C8">
        <w:rPr>
          <w:rFonts w:ascii="Arial" w:eastAsia="Arial" w:hAnsi="Arial" w:cs="Arial"/>
        </w:rPr>
        <w:t>Programme</w:t>
      </w:r>
      <w:proofErr w:type="spellEnd"/>
      <w:r w:rsidRPr="003604C8">
        <w:rPr>
          <w:rFonts w:ascii="Arial" w:eastAsia="Arial" w:hAnsi="Arial" w:cs="Arial"/>
        </w:rPr>
        <w:t xml:space="preserve"> (TRRP) and a Tsunami Ready Coalition, which aims to raise the profile of TRRP in collaboration with critical stakeholders across the UN system, interested regional organizations, national disaster management agencies, and the public.</w:t>
      </w:r>
      <w:r>
        <w:rPr>
          <w:rFonts w:ascii="Arial" w:eastAsia="Arial" w:hAnsi="Arial" w:cs="Arial"/>
        </w:rPr>
        <w:t xml:space="preserve"> The Director of ITIC was appointed Chairperson of the Tsunami Ready Coalition in February 2023. </w:t>
      </w:r>
      <w:r>
        <w:rPr>
          <w:rFonts w:ascii="Arial" w:eastAsia="Arial" w:hAnsi="Arial" w:cs="Arial"/>
        </w:rPr>
        <w:lastRenderedPageBreak/>
        <w:t xml:space="preserve">She will serve for a </w:t>
      </w:r>
      <w:r w:rsidR="00E57AF3">
        <w:rPr>
          <w:rFonts w:ascii="Arial" w:eastAsia="Arial" w:hAnsi="Arial" w:cs="Arial"/>
        </w:rPr>
        <w:t>two-year</w:t>
      </w:r>
      <w:r>
        <w:rPr>
          <w:rFonts w:ascii="Arial" w:eastAsia="Arial" w:hAnsi="Arial" w:cs="Arial"/>
        </w:rPr>
        <w:t xml:space="preserve"> period 2023 -2024, and her mandate includes</w:t>
      </w:r>
      <w:r w:rsidRPr="004C0E8D">
        <w:rPr>
          <w:rFonts w:ascii="Arial" w:eastAsia="Arial" w:hAnsi="Arial" w:cs="Arial"/>
        </w:rPr>
        <w:t xml:space="preserve"> proposing a governing structure to the TOWS-WG and being responsible for reporting activities and progress made in the TRRP to the TOWS-WG.</w:t>
      </w:r>
    </w:p>
    <w:p w14:paraId="00000019" w14:textId="77777777" w:rsidR="007B0B89" w:rsidRDefault="004435AA" w:rsidP="009B4D0C">
      <w:pPr>
        <w:spacing w:before="240" w:after="240" w:line="276" w:lineRule="auto"/>
        <w:jc w:val="both"/>
        <w:rPr>
          <w:rFonts w:ascii="Arial" w:eastAsia="Arial" w:hAnsi="Arial" w:cs="Arial"/>
          <w:b/>
        </w:rPr>
      </w:pPr>
      <w:r>
        <w:rPr>
          <w:rFonts w:ascii="Arial" w:eastAsia="Arial" w:hAnsi="Arial" w:cs="Arial"/>
          <w:b/>
        </w:rPr>
        <w:t>Supporting other bodies</w:t>
      </w:r>
    </w:p>
    <w:p w14:paraId="3774AB73" w14:textId="31C2AA7E" w:rsidR="009B4D0C" w:rsidRPr="004E76D3" w:rsidRDefault="003C74B8" w:rsidP="004E76D3">
      <w:pPr>
        <w:pStyle w:val="paragraph"/>
        <w:spacing w:before="240" w:beforeAutospacing="0" w:after="240" w:afterAutospacing="0" w:line="276" w:lineRule="auto"/>
        <w:jc w:val="both"/>
        <w:textAlignment w:val="baseline"/>
        <w:rPr>
          <w:rFonts w:ascii="Arial" w:hAnsi="Arial" w:cs="Arial"/>
        </w:rPr>
      </w:pPr>
      <w:r>
        <w:rPr>
          <w:rStyle w:val="normaltextrun"/>
          <w:rFonts w:ascii="Arial" w:hAnsi="Arial" w:cs="Arial"/>
          <w:lang w:val="en-US"/>
        </w:rPr>
        <w:t>The Working Group</w:t>
      </w:r>
      <w:r w:rsidR="00FF2FF6">
        <w:rPr>
          <w:rStyle w:val="normaltextrun"/>
          <w:rFonts w:ascii="Arial" w:hAnsi="Arial" w:cs="Arial"/>
          <w:lang w:val="en-US"/>
        </w:rPr>
        <w:t>, through the Director of ITIC, continued to participate in the IUGG Joint Tsunami Commission (JTC). She chairs the JTC Working Group on Science-based Tsunami Warning, and a member of the WG on Tsunami Terminology which contributed to the Tsunami Glossary 2019 updates.</w:t>
      </w:r>
      <w:r w:rsidR="00FF2FF6">
        <w:rPr>
          <w:rStyle w:val="eop"/>
          <w:rFonts w:ascii="Arial" w:hAnsi="Arial" w:cs="Arial"/>
        </w:rPr>
        <w:t> </w:t>
      </w:r>
    </w:p>
    <w:p w14:paraId="7ACB55EB" w14:textId="0E5AD7FC" w:rsidR="00FF2FF6" w:rsidRDefault="00FF2FF6" w:rsidP="004E76D3">
      <w:pPr>
        <w:pStyle w:val="paragraph"/>
        <w:spacing w:before="240" w:beforeAutospacing="0" w:after="240" w:afterAutospacing="0" w:line="276" w:lineRule="auto"/>
        <w:jc w:val="both"/>
        <w:textAlignment w:val="baseline"/>
        <w:rPr>
          <w:rFonts w:ascii="Segoe UI" w:hAnsi="Segoe UI" w:cs="Segoe UI"/>
          <w:sz w:val="18"/>
          <w:szCs w:val="18"/>
        </w:rPr>
      </w:pPr>
      <w:r>
        <w:rPr>
          <w:rStyle w:val="normaltextrun"/>
          <w:rFonts w:ascii="Arial" w:hAnsi="Arial" w:cs="Arial"/>
          <w:lang w:val="en-US"/>
        </w:rPr>
        <w:t xml:space="preserve">The </w:t>
      </w:r>
      <w:r w:rsidR="003C74B8">
        <w:rPr>
          <w:rStyle w:val="normaltextrun"/>
          <w:rFonts w:ascii="Arial" w:hAnsi="Arial" w:cs="Arial"/>
          <w:lang w:val="en-US"/>
        </w:rPr>
        <w:t>Working Group</w:t>
      </w:r>
      <w:r>
        <w:rPr>
          <w:rStyle w:val="normaltextrun"/>
          <w:rFonts w:ascii="Arial" w:hAnsi="Arial" w:cs="Arial"/>
          <w:lang w:val="en-US"/>
        </w:rPr>
        <w:t>, through the ITIC, also works with the WDS/Marine Geology and Geophysics (MGG), which is hosted by the NOAA National Centers for Environmental Information (NCEI), to produce global and regional hazard maps to support hazard assessments, awareness and preparedness.  These include the Global Tsunami Sources, BC 1610-AD 2022; Significant Earthquakes, 2150 BC    to AD 2022 Significant Volcanic Eruptions 4360 BC to AD 2022; and Tsunami Historical Tsunami Effects regional maps for Caribbean, Central America, Mexico, and Adjacent Regions 1530 to 2018; Tonga Trench 1837 to 2022; Papua New Guinea and Solomon Islands  1768 to 2018, and New Hebrides Trench 1849 to 2019</w:t>
      </w:r>
      <w:r w:rsidR="009B4D0C">
        <w:rPr>
          <w:rStyle w:val="normaltextrun"/>
          <w:rFonts w:ascii="Arial" w:hAnsi="Arial" w:cs="Arial"/>
          <w:lang w:val="en-US"/>
        </w:rPr>
        <w:t>.</w:t>
      </w:r>
    </w:p>
    <w:p w14:paraId="0000001B" w14:textId="77777777" w:rsidR="007B0B89" w:rsidRDefault="004435AA" w:rsidP="009B4D0C">
      <w:pPr>
        <w:spacing w:before="240" w:after="240" w:line="276" w:lineRule="auto"/>
        <w:jc w:val="both"/>
        <w:rPr>
          <w:rFonts w:ascii="Arial" w:eastAsia="Arial" w:hAnsi="Arial" w:cs="Arial"/>
          <w:b/>
          <w:highlight w:val="yellow"/>
        </w:rPr>
      </w:pPr>
      <w:r>
        <w:rPr>
          <w:rFonts w:ascii="Arial" w:eastAsia="Arial" w:hAnsi="Arial" w:cs="Arial"/>
          <w:b/>
          <w:highlight w:val="yellow"/>
        </w:rPr>
        <w:t xml:space="preserve"> </w:t>
      </w:r>
    </w:p>
    <w:p w14:paraId="0000001C" w14:textId="77777777" w:rsidR="007B0B89" w:rsidRDefault="004435AA" w:rsidP="009B4D0C">
      <w:pPr>
        <w:spacing w:before="240" w:after="240" w:line="276" w:lineRule="auto"/>
        <w:ind w:left="720" w:hanging="360"/>
        <w:jc w:val="both"/>
        <w:rPr>
          <w:rFonts w:ascii="Arial" w:eastAsia="Arial" w:hAnsi="Arial" w:cs="Arial"/>
          <w:b/>
        </w:rPr>
      </w:pPr>
      <w:r>
        <w:rPr>
          <w:rFonts w:ascii="Arial" w:eastAsia="Arial" w:hAnsi="Arial" w:cs="Arial"/>
          <w:b/>
        </w:rPr>
        <w:t>2.</w:t>
      </w:r>
      <w:r>
        <w:rPr>
          <w:rFonts w:ascii="Arial" w:eastAsia="Arial" w:hAnsi="Arial" w:cs="Arial"/>
          <w:b/>
          <w:sz w:val="14"/>
          <w:szCs w:val="14"/>
        </w:rPr>
        <w:tab/>
      </w:r>
      <w:r>
        <w:rPr>
          <w:rFonts w:ascii="Arial" w:eastAsia="Arial" w:hAnsi="Arial" w:cs="Arial"/>
          <w:b/>
          <w:u w:val="single"/>
        </w:rPr>
        <w:t>Promoting preparedness in coastal communities through education and awareness products and campaigns</w:t>
      </w:r>
    </w:p>
    <w:p w14:paraId="0000001D" w14:textId="77777777" w:rsidR="007B0B89" w:rsidRDefault="004435AA" w:rsidP="009B4D0C">
      <w:pPr>
        <w:spacing w:before="240" w:after="240" w:line="276" w:lineRule="auto"/>
        <w:jc w:val="both"/>
        <w:rPr>
          <w:rFonts w:ascii="Arial" w:eastAsia="Arial" w:hAnsi="Arial" w:cs="Arial"/>
          <w:b/>
        </w:rPr>
      </w:pPr>
      <w:r>
        <w:rPr>
          <w:rFonts w:ascii="Arial" w:eastAsia="Arial" w:hAnsi="Arial" w:cs="Arial"/>
          <w:b/>
        </w:rPr>
        <w:t>World Tsunami Awareness Day</w:t>
      </w:r>
    </w:p>
    <w:p w14:paraId="0000001E" w14:textId="77777777" w:rsidR="007B0B89" w:rsidRDefault="004435AA" w:rsidP="009B4D0C">
      <w:pPr>
        <w:spacing w:before="240" w:after="240" w:line="276" w:lineRule="auto"/>
        <w:jc w:val="both"/>
        <w:rPr>
          <w:rFonts w:ascii="Arial" w:eastAsia="Arial" w:hAnsi="Arial" w:cs="Arial"/>
        </w:rPr>
      </w:pPr>
      <w:r>
        <w:rPr>
          <w:rFonts w:ascii="Arial" w:eastAsia="Arial" w:hAnsi="Arial" w:cs="Arial"/>
        </w:rPr>
        <w:t xml:space="preserve">In 2022, the United Nations Office for Disaster Risk Reduction (UNDRR) positioned the day as an opportunity to advocate for reducing tsunami risk globally in the context of the “Safe Ocean” outcome of the United Nations Decade of Ocean Science for Sustainable Development (2021-2030) and Target G of the Sendai Framework: </w:t>
      </w:r>
      <w:r>
        <w:rPr>
          <w:rFonts w:ascii="Arial" w:eastAsia="Arial" w:hAnsi="Arial" w:cs="Arial"/>
          <w:i/>
        </w:rPr>
        <w:t>Substantially increasing the availability of and access to multi-hazard early warning systems and disaster risk information and assessments to the people by 2030</w:t>
      </w:r>
      <w:r>
        <w:rPr>
          <w:rFonts w:ascii="Arial" w:eastAsia="Arial" w:hAnsi="Arial" w:cs="Arial"/>
        </w:rPr>
        <w:t>.</w:t>
      </w:r>
    </w:p>
    <w:p w14:paraId="5DC9A458" w14:textId="2F7F4132" w:rsidR="00BC5B55" w:rsidRPr="00BC5B55" w:rsidRDefault="00BC5B55" w:rsidP="009B4D0C">
      <w:pPr>
        <w:spacing w:before="240" w:after="240" w:line="276" w:lineRule="auto"/>
        <w:jc w:val="both"/>
        <w:rPr>
          <w:rFonts w:ascii="Arial" w:eastAsia="Arial" w:hAnsi="Arial" w:cs="Arial"/>
        </w:rPr>
      </w:pPr>
      <w:r>
        <w:rPr>
          <w:rFonts w:ascii="Arial" w:eastAsia="Arial" w:hAnsi="Arial" w:cs="Arial"/>
        </w:rPr>
        <w:t xml:space="preserve">PTWS contributions to WTAD include </w:t>
      </w:r>
      <w:r w:rsidRPr="00BC5B55">
        <w:rPr>
          <w:rFonts w:ascii="Arial" w:eastAsia="Arial" w:hAnsi="Arial" w:cs="Arial"/>
        </w:rPr>
        <w:t xml:space="preserve">numerous national activities, including UNDRR - UNESCO IOC video on the Tsunami in Tonga, and SPC DRR Senior Advisor participation to the global Early Warning Early Action Before Every Tsunami Webinar on 4 November 2022 in Bangkok.  </w:t>
      </w:r>
    </w:p>
    <w:p w14:paraId="0000001F" w14:textId="1BB2A561" w:rsidR="007B0B89" w:rsidRDefault="00BC5B55" w:rsidP="009B4D0C">
      <w:pPr>
        <w:spacing w:before="240" w:after="240" w:line="276" w:lineRule="auto"/>
        <w:jc w:val="both"/>
        <w:rPr>
          <w:rFonts w:ascii="Arial" w:eastAsia="Arial" w:hAnsi="Arial" w:cs="Arial"/>
        </w:rPr>
      </w:pPr>
      <w:r w:rsidRPr="00BC5B55">
        <w:rPr>
          <w:rFonts w:ascii="Arial" w:eastAsia="Arial" w:hAnsi="Arial" w:cs="Arial"/>
        </w:rPr>
        <w:t>Previous UNDRR-UNESCO IOC WTAD short videos on joining the Global Tsunami Ready Community in the Pacific have been featured:  Tonga (2022), New Zealand and Solomon Islands (2021), Costa Rica, New Zealand, Fiji, Philippines, Samoa, Tonga, Hawaii, and Vanuatu (2020).  In 2021, the ITIC organized Tsunami Ready ‘shout-outs’ (Be Aware, Be Prepared, Be Tsunami Ready) by PTWS countries in the Western Pacific, Pacific Islands, and Eastern Pacific.</w:t>
      </w:r>
    </w:p>
    <w:p w14:paraId="4680E468" w14:textId="14190413" w:rsidR="003C74B8" w:rsidRPr="003C74B8" w:rsidRDefault="00BC5B55" w:rsidP="009B4D0C">
      <w:pPr>
        <w:spacing w:before="240" w:after="240" w:line="276" w:lineRule="auto"/>
        <w:jc w:val="both"/>
        <w:rPr>
          <w:rFonts w:ascii="Arial" w:eastAsia="Arial" w:hAnsi="Arial" w:cs="Arial"/>
        </w:rPr>
      </w:pPr>
      <w:r w:rsidRPr="00BC5B55">
        <w:rPr>
          <w:rFonts w:ascii="Arial" w:hAnsi="Arial" w:cs="Arial"/>
          <w:color w:val="030303"/>
          <w:shd w:val="clear" w:color="auto" w:fill="FFFFFF"/>
        </w:rPr>
        <w:lastRenderedPageBreak/>
        <w:t>For the 2023 campaign, the theme will focus on fighting inequality for a resilient future</w:t>
      </w:r>
      <w:r w:rsidR="00C8720F">
        <w:rPr>
          <w:rFonts w:ascii="Arial" w:hAnsi="Arial" w:cs="Arial"/>
          <w:color w:val="030303"/>
          <w:shd w:val="clear" w:color="auto" w:fill="FFFFFF"/>
        </w:rPr>
        <w:t xml:space="preserve">. </w:t>
      </w:r>
    </w:p>
    <w:p w14:paraId="00000021" w14:textId="2F0657B1" w:rsidR="007B0B89" w:rsidRDefault="004435AA" w:rsidP="009B4D0C">
      <w:pPr>
        <w:spacing w:before="240" w:after="240" w:line="276" w:lineRule="auto"/>
        <w:jc w:val="both"/>
        <w:rPr>
          <w:rFonts w:ascii="Arial" w:eastAsia="Arial" w:hAnsi="Arial" w:cs="Arial"/>
          <w:highlight w:val="yellow"/>
        </w:rPr>
      </w:pPr>
      <w:r>
        <w:rPr>
          <w:rFonts w:ascii="Arial" w:eastAsia="Arial" w:hAnsi="Arial" w:cs="Arial"/>
          <w:b/>
        </w:rPr>
        <w:t>Exercises – PacWave22</w:t>
      </w:r>
    </w:p>
    <w:p w14:paraId="00000022" w14:textId="77777777" w:rsidR="007B0B89" w:rsidRDefault="004435AA" w:rsidP="009B4D0C">
      <w:pPr>
        <w:spacing w:before="240" w:after="240" w:line="276" w:lineRule="auto"/>
        <w:jc w:val="both"/>
        <w:rPr>
          <w:rFonts w:ascii="Arial" w:eastAsia="Arial" w:hAnsi="Arial" w:cs="Arial"/>
          <w:highlight w:val="yellow"/>
        </w:rPr>
      </w:pPr>
      <w:r>
        <w:rPr>
          <w:rFonts w:ascii="Arial" w:eastAsia="Arial" w:hAnsi="Arial" w:cs="Arial"/>
        </w:rPr>
        <w:t>The PTWS designed and carried out a tenth Exercise Pacific Wave in the months of September through to November 2022 to support International Disaster Risk Reduction Day (31 October) and World Tsunami Awareness Day (5 November).</w:t>
      </w:r>
    </w:p>
    <w:p w14:paraId="00000023" w14:textId="77777777" w:rsidR="007B0B89" w:rsidRDefault="004435AA" w:rsidP="009B4D0C">
      <w:pPr>
        <w:spacing w:before="240" w:after="240" w:line="276" w:lineRule="auto"/>
        <w:jc w:val="both"/>
        <w:rPr>
          <w:rFonts w:ascii="Arial" w:eastAsia="Arial" w:hAnsi="Arial" w:cs="Arial"/>
        </w:rPr>
      </w:pPr>
      <w:r>
        <w:rPr>
          <w:rFonts w:ascii="Arial" w:eastAsia="Arial" w:hAnsi="Arial" w:cs="Arial"/>
        </w:rPr>
        <w:t>PacWave22 was conducted with the same objectives as PacWave20 as agreed by the ICG. These are:</w:t>
      </w:r>
    </w:p>
    <w:p w14:paraId="00000024" w14:textId="77777777" w:rsidR="007B0B89" w:rsidRDefault="004435AA" w:rsidP="009B4D0C">
      <w:pPr>
        <w:spacing w:before="240" w:line="276" w:lineRule="auto"/>
        <w:ind w:left="1077" w:hanging="357"/>
        <w:contextualSpacing/>
        <w:jc w:val="both"/>
        <w:rPr>
          <w:rFonts w:ascii="Arial" w:eastAsia="Arial" w:hAnsi="Arial" w:cs="Arial"/>
        </w:rPr>
      </w:pPr>
      <w:r>
        <w:rPr>
          <w:rFonts w:ascii="Arial" w:eastAsia="Arial" w:hAnsi="Arial" w:cs="Arial"/>
        </w:rPr>
        <w:t>a)</w:t>
      </w:r>
      <w:r>
        <w:rPr>
          <w:sz w:val="14"/>
          <w:szCs w:val="14"/>
        </w:rPr>
        <w:t xml:space="preserve">   </w:t>
      </w:r>
      <w:r>
        <w:rPr>
          <w:rFonts w:ascii="Arial" w:eastAsia="Arial" w:hAnsi="Arial" w:cs="Arial"/>
        </w:rPr>
        <w:t xml:space="preserve">Test communications from the PTWS Tsunami Service Providers (TSP) to the Tsunami Warning Focal Points (TWFP) and National Tsunami Warning </w:t>
      </w:r>
      <w:proofErr w:type="spellStart"/>
      <w:r>
        <w:rPr>
          <w:rFonts w:ascii="Arial" w:eastAsia="Arial" w:hAnsi="Arial" w:cs="Arial"/>
        </w:rPr>
        <w:t>Centres</w:t>
      </w:r>
      <w:proofErr w:type="spellEnd"/>
      <w:r>
        <w:rPr>
          <w:rFonts w:ascii="Arial" w:eastAsia="Arial" w:hAnsi="Arial" w:cs="Arial"/>
        </w:rPr>
        <w:t xml:space="preserve"> (NTWC) of the Member States concerned.</w:t>
      </w:r>
    </w:p>
    <w:p w14:paraId="00000025" w14:textId="77777777" w:rsidR="007B0B89" w:rsidRDefault="004435AA" w:rsidP="009B4D0C">
      <w:pPr>
        <w:spacing w:before="240" w:line="276" w:lineRule="auto"/>
        <w:ind w:left="1077" w:hanging="357"/>
        <w:contextualSpacing/>
        <w:jc w:val="both"/>
        <w:rPr>
          <w:rFonts w:ascii="Arial" w:eastAsia="Arial" w:hAnsi="Arial" w:cs="Arial"/>
        </w:rPr>
      </w:pPr>
      <w:r>
        <w:rPr>
          <w:rFonts w:ascii="Arial" w:eastAsia="Arial" w:hAnsi="Arial" w:cs="Arial"/>
        </w:rPr>
        <w:t>b)</w:t>
      </w:r>
      <w:r>
        <w:rPr>
          <w:sz w:val="14"/>
          <w:szCs w:val="14"/>
        </w:rPr>
        <w:t xml:space="preserve">   </w:t>
      </w:r>
      <w:r>
        <w:rPr>
          <w:rFonts w:ascii="Arial" w:eastAsia="Arial" w:hAnsi="Arial" w:cs="Arial"/>
        </w:rPr>
        <w:t>Test national communication and cooperation, and readiness within each of the participating countries.</w:t>
      </w:r>
    </w:p>
    <w:p w14:paraId="00000026" w14:textId="77777777" w:rsidR="007B0B89" w:rsidRDefault="004435AA" w:rsidP="009B4D0C">
      <w:pPr>
        <w:spacing w:before="240" w:line="276" w:lineRule="auto"/>
        <w:ind w:left="1077" w:hanging="357"/>
        <w:contextualSpacing/>
        <w:jc w:val="both"/>
        <w:rPr>
          <w:rFonts w:ascii="Arial" w:eastAsia="Arial" w:hAnsi="Arial" w:cs="Arial"/>
        </w:rPr>
      </w:pPr>
      <w:r>
        <w:rPr>
          <w:rFonts w:ascii="Arial" w:eastAsia="Arial" w:hAnsi="Arial" w:cs="Arial"/>
        </w:rPr>
        <w:t>c)</w:t>
      </w:r>
      <w:r>
        <w:rPr>
          <w:sz w:val="14"/>
          <w:szCs w:val="14"/>
        </w:rPr>
        <w:tab/>
      </w:r>
      <w:r>
        <w:rPr>
          <w:rFonts w:ascii="Arial" w:eastAsia="Arial" w:hAnsi="Arial" w:cs="Arial"/>
        </w:rPr>
        <w:t>Test regional communication and cooperation between Member States of the tsunami warning system.</w:t>
      </w:r>
    </w:p>
    <w:p w14:paraId="00000027" w14:textId="77777777" w:rsidR="007B0B89" w:rsidRDefault="004435AA" w:rsidP="009B4D0C">
      <w:pPr>
        <w:spacing w:before="240" w:line="276" w:lineRule="auto"/>
        <w:ind w:left="1077" w:hanging="357"/>
        <w:contextualSpacing/>
        <w:jc w:val="both"/>
        <w:rPr>
          <w:rFonts w:ascii="Arial" w:eastAsia="Arial" w:hAnsi="Arial" w:cs="Arial"/>
        </w:rPr>
      </w:pPr>
      <w:r>
        <w:rPr>
          <w:rFonts w:ascii="Arial" w:eastAsia="Arial" w:hAnsi="Arial" w:cs="Arial"/>
        </w:rPr>
        <w:t>d)</w:t>
      </w:r>
      <w:r>
        <w:rPr>
          <w:sz w:val="14"/>
          <w:szCs w:val="14"/>
        </w:rPr>
        <w:t xml:space="preserve">   </w:t>
      </w:r>
      <w:r>
        <w:rPr>
          <w:rFonts w:ascii="Arial" w:eastAsia="Arial" w:hAnsi="Arial" w:cs="Arial"/>
        </w:rPr>
        <w:t>Support the development of tsunami procedures and products by the Central America Tsunami Advisory Centre (CATAC), a potential new Tsunami Service Provider (pending endorsement of full functionality by IOC governing bodies)</w:t>
      </w:r>
    </w:p>
    <w:p w14:paraId="00000028" w14:textId="23F18597" w:rsidR="007B0B89" w:rsidRDefault="004435AA" w:rsidP="009B4D0C">
      <w:pPr>
        <w:spacing w:before="240" w:after="240" w:line="276" w:lineRule="auto"/>
        <w:jc w:val="both"/>
        <w:rPr>
          <w:rFonts w:ascii="Arial" w:eastAsia="Arial" w:hAnsi="Arial" w:cs="Arial"/>
        </w:rPr>
      </w:pPr>
      <w:r>
        <w:rPr>
          <w:rFonts w:ascii="Arial" w:eastAsia="Arial" w:hAnsi="Arial" w:cs="Arial"/>
        </w:rPr>
        <w:t xml:space="preserve">At ICG/PTWS-XXIX the ICG further decided that PacWave22 was to be conducted as a series of regional exercises </w:t>
      </w:r>
      <w:r w:rsidR="00E57AF3">
        <w:rPr>
          <w:rFonts w:ascii="Arial" w:eastAsia="Arial" w:hAnsi="Arial" w:cs="Arial"/>
        </w:rPr>
        <w:t>organized</w:t>
      </w:r>
      <w:r>
        <w:rPr>
          <w:rFonts w:ascii="Arial" w:eastAsia="Arial" w:hAnsi="Arial" w:cs="Arial"/>
        </w:rPr>
        <w:t xml:space="preserve"> through the PTWS regional Working Groups where applicable. </w:t>
      </w:r>
    </w:p>
    <w:p w14:paraId="0000002A" w14:textId="7851C5DC" w:rsidR="007B0B89" w:rsidRPr="00C8720F" w:rsidRDefault="004435AA" w:rsidP="009B4D0C">
      <w:pPr>
        <w:spacing w:before="240" w:after="240" w:line="276" w:lineRule="auto"/>
        <w:jc w:val="both"/>
        <w:rPr>
          <w:rFonts w:ascii="Arial" w:eastAsia="Arial" w:hAnsi="Arial" w:cs="Arial"/>
        </w:rPr>
      </w:pPr>
      <w:r>
        <w:rPr>
          <w:rFonts w:ascii="Arial" w:eastAsia="Arial" w:hAnsi="Arial" w:cs="Arial"/>
        </w:rPr>
        <w:t xml:space="preserve">The PTWS Task Team on PacWave22 will report on the outcomes and will also propose Terms of Reference for PacWave24. </w:t>
      </w:r>
    </w:p>
    <w:p w14:paraId="0000002B" w14:textId="77777777" w:rsidR="007B0B89" w:rsidRDefault="004435AA" w:rsidP="009B4D0C">
      <w:pPr>
        <w:spacing w:before="240" w:after="240" w:line="276" w:lineRule="auto"/>
        <w:jc w:val="both"/>
        <w:rPr>
          <w:rFonts w:ascii="Arial" w:eastAsia="Arial" w:hAnsi="Arial" w:cs="Arial"/>
          <w:b/>
        </w:rPr>
      </w:pPr>
      <w:r>
        <w:rPr>
          <w:rFonts w:ascii="Arial" w:eastAsia="Arial" w:hAnsi="Arial" w:cs="Arial"/>
          <w:b/>
        </w:rPr>
        <w:t>Awareness Products</w:t>
      </w:r>
    </w:p>
    <w:p w14:paraId="687B5E62" w14:textId="273A18F3" w:rsidR="00FF2FF6" w:rsidRDefault="00FF2FF6" w:rsidP="009B4D0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T</w:t>
      </w:r>
      <w:r>
        <w:rPr>
          <w:rStyle w:val="normaltextrun"/>
          <w:rFonts w:ascii="Arial" w:hAnsi="Arial" w:cs="Arial"/>
          <w:lang w:val="en-US"/>
        </w:rPr>
        <w:t>he ITIC continued to update its global and regional awareness products, and to create new ones, many in collaboration with the WDS / NOAA NCEI (see above).   These will be reported in detail in the ITIC Report (Agenda 8).  The materials can be viewed and downloaded from</w:t>
      </w:r>
      <w:r>
        <w:rPr>
          <w:rStyle w:val="eop"/>
          <w:rFonts w:ascii="Arial" w:hAnsi="Arial" w:cs="Arial"/>
        </w:rPr>
        <w:t> </w:t>
      </w:r>
    </w:p>
    <w:p w14:paraId="5FE0CDC9" w14:textId="77777777" w:rsidR="00FF2FF6" w:rsidRDefault="00FF2FF6" w:rsidP="009B4D0C">
      <w:pPr>
        <w:pStyle w:val="paragraph"/>
        <w:spacing w:before="0" w:beforeAutospacing="0" w:after="0" w:afterAutospacing="0"/>
        <w:jc w:val="both"/>
        <w:textAlignment w:val="baseline"/>
        <w:rPr>
          <w:rFonts w:ascii="Segoe UI" w:hAnsi="Segoe UI" w:cs="Segoe UI"/>
          <w:sz w:val="18"/>
          <w:szCs w:val="18"/>
        </w:rPr>
      </w:pPr>
      <w:hyperlink r:id="rId9" w:tgtFrame="_blank" w:history="1">
        <w:r>
          <w:rPr>
            <w:rStyle w:val="normaltextrun"/>
            <w:rFonts w:ascii="Arial" w:hAnsi="Arial" w:cs="Arial"/>
            <w:color w:val="1155CC"/>
            <w:u w:val="single"/>
            <w:lang w:val="en-US"/>
          </w:rPr>
          <w:t>http://itic.ioc-unesco.org/index.php?option=com_content&amp;view=category&amp;layout=blog&amp;id=1075&amp;Itemid=1075</w:t>
        </w:r>
      </w:hyperlink>
      <w:r>
        <w:rPr>
          <w:rStyle w:val="eop"/>
          <w:rFonts w:ascii="Arial" w:hAnsi="Arial" w:cs="Arial"/>
        </w:rPr>
        <w:t> </w:t>
      </w:r>
    </w:p>
    <w:p w14:paraId="3E395823" w14:textId="77777777" w:rsidR="00FF2FF6" w:rsidRDefault="00FF2FF6" w:rsidP="009B4D0C">
      <w:pPr>
        <w:pStyle w:val="paragraph"/>
        <w:spacing w:before="0" w:beforeAutospacing="0" w:after="0" w:afterAutospacing="0"/>
        <w:jc w:val="both"/>
        <w:textAlignment w:val="baseline"/>
        <w:rPr>
          <w:rStyle w:val="normaltextrun"/>
          <w:rFonts w:ascii="Arial" w:hAnsi="Arial" w:cs="Arial"/>
          <w:lang w:val="en-US"/>
        </w:rPr>
      </w:pPr>
    </w:p>
    <w:p w14:paraId="5C6A7451" w14:textId="3A67E388" w:rsidR="00EF23F6" w:rsidRDefault="00FF2FF6" w:rsidP="00EF23F6">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lang w:val="en-US"/>
        </w:rPr>
        <w:t>Updates to 2022 were done for the Global Tsunami Sources, Significant Earthquakes, and Volcanic Eruptions. Printed copies of some maps are available on request to all Member States.</w:t>
      </w:r>
      <w:r>
        <w:rPr>
          <w:rStyle w:val="eop"/>
          <w:rFonts w:ascii="Arial" w:hAnsi="Arial" w:cs="Arial"/>
        </w:rPr>
        <w:t> </w:t>
      </w:r>
    </w:p>
    <w:p w14:paraId="3E90B28C" w14:textId="501E6C0A" w:rsidR="00EF23F6" w:rsidRDefault="00EF23F6" w:rsidP="004E421F">
      <w:pPr>
        <w:pStyle w:val="paragraph"/>
        <w:spacing w:before="0" w:beforeAutospacing="0" w:after="0" w:afterAutospacing="0" w:line="276" w:lineRule="auto"/>
        <w:jc w:val="both"/>
        <w:textAlignment w:val="baseline"/>
        <w:rPr>
          <w:rStyle w:val="eop"/>
          <w:rFonts w:ascii="Arial" w:hAnsi="Arial" w:cs="Arial"/>
        </w:rPr>
      </w:pPr>
    </w:p>
    <w:p w14:paraId="039C0C50" w14:textId="2BEE9D1D" w:rsidR="00F54887" w:rsidRDefault="00F54887" w:rsidP="004E421F">
      <w:pPr>
        <w:pStyle w:val="paragraph"/>
        <w:spacing w:before="0" w:beforeAutospacing="0" w:after="0" w:afterAutospacing="0" w:line="276" w:lineRule="auto"/>
        <w:jc w:val="both"/>
        <w:textAlignment w:val="baseline"/>
        <w:rPr>
          <w:rStyle w:val="eop"/>
          <w:rFonts w:ascii="Arial" w:hAnsi="Arial" w:cs="Arial"/>
        </w:rPr>
      </w:pPr>
      <w:r>
        <w:rPr>
          <w:rStyle w:val="eop"/>
          <w:rFonts w:ascii="Arial" w:hAnsi="Arial" w:cs="Arial"/>
        </w:rPr>
        <w:t xml:space="preserve">The Working Group have identified </w:t>
      </w:r>
      <w:r w:rsidR="004E76D3">
        <w:rPr>
          <w:rStyle w:val="eop"/>
          <w:rFonts w:ascii="Arial" w:hAnsi="Arial" w:cs="Arial"/>
        </w:rPr>
        <w:t>that undertaking</w:t>
      </w:r>
      <w:r>
        <w:rPr>
          <w:rStyle w:val="eop"/>
          <w:rFonts w:ascii="Arial" w:hAnsi="Arial" w:cs="Arial"/>
        </w:rPr>
        <w:t xml:space="preserve"> </w:t>
      </w:r>
      <w:r w:rsidR="00051358">
        <w:rPr>
          <w:rStyle w:val="eop"/>
          <w:rFonts w:ascii="Arial" w:hAnsi="Arial" w:cs="Arial"/>
        </w:rPr>
        <w:t>further identification</w:t>
      </w:r>
      <w:r>
        <w:rPr>
          <w:rStyle w:val="eop"/>
          <w:rFonts w:ascii="Arial" w:hAnsi="Arial" w:cs="Arial"/>
        </w:rPr>
        <w:t xml:space="preserve"> of</w:t>
      </w:r>
      <w:r w:rsidR="00051358">
        <w:rPr>
          <w:rStyle w:val="eop"/>
          <w:rFonts w:ascii="Arial" w:hAnsi="Arial" w:cs="Arial"/>
        </w:rPr>
        <w:t xml:space="preserve"> existing</w:t>
      </w:r>
      <w:r>
        <w:rPr>
          <w:rStyle w:val="eop"/>
          <w:rFonts w:ascii="Arial" w:hAnsi="Arial" w:cs="Arial"/>
        </w:rPr>
        <w:t xml:space="preserve"> awareness products would be beneficial</w:t>
      </w:r>
      <w:r w:rsidR="004E421F">
        <w:rPr>
          <w:rStyle w:val="eop"/>
          <w:rFonts w:ascii="Arial" w:hAnsi="Arial" w:cs="Arial"/>
        </w:rPr>
        <w:t xml:space="preserve">. </w:t>
      </w:r>
      <w:r>
        <w:rPr>
          <w:rStyle w:val="eop"/>
          <w:rFonts w:ascii="Arial" w:hAnsi="Arial" w:cs="Arial"/>
        </w:rPr>
        <w:t xml:space="preserve">In particular, it would be </w:t>
      </w:r>
      <w:r w:rsidR="004E76D3">
        <w:rPr>
          <w:rStyle w:val="eop"/>
          <w:rFonts w:ascii="Arial" w:hAnsi="Arial" w:cs="Arial"/>
        </w:rPr>
        <w:t xml:space="preserve">of value for IOC to </w:t>
      </w:r>
      <w:r w:rsidR="004E76D3">
        <w:rPr>
          <w:rStyle w:val="eop"/>
          <w:rFonts w:ascii="Arial" w:hAnsi="Arial" w:cs="Arial"/>
        </w:rPr>
        <w:lastRenderedPageBreak/>
        <w:t>provide a tabled list of videos in the UNDRR IOC video repository by name, country, description and URL.</w:t>
      </w:r>
    </w:p>
    <w:p w14:paraId="3A23AAE7" w14:textId="585302B7" w:rsidR="00EF23F6" w:rsidRPr="00EF23F6" w:rsidRDefault="00F54887" w:rsidP="00EF23F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xml:space="preserve"> </w:t>
      </w:r>
    </w:p>
    <w:p w14:paraId="00000031" w14:textId="77777777" w:rsidR="007B0B89" w:rsidRDefault="004435AA" w:rsidP="009B4D0C">
      <w:pPr>
        <w:spacing w:before="240" w:after="240" w:line="276" w:lineRule="auto"/>
        <w:ind w:left="360" w:hanging="360"/>
        <w:jc w:val="both"/>
        <w:rPr>
          <w:rFonts w:ascii="Arial" w:eastAsia="Arial" w:hAnsi="Arial" w:cs="Arial"/>
          <w:b/>
          <w:u w:val="single"/>
        </w:rPr>
      </w:pPr>
      <w:r>
        <w:rPr>
          <w:rFonts w:ascii="Arial" w:eastAsia="Arial" w:hAnsi="Arial" w:cs="Arial"/>
          <w:b/>
        </w:rPr>
        <w:t>3.</w:t>
      </w:r>
      <w:r>
        <w:rPr>
          <w:rFonts w:ascii="Arial" w:eastAsia="Arial" w:hAnsi="Arial" w:cs="Arial"/>
          <w:b/>
          <w:sz w:val="14"/>
          <w:szCs w:val="14"/>
        </w:rPr>
        <w:tab/>
      </w:r>
      <w:r>
        <w:rPr>
          <w:rFonts w:ascii="Arial" w:eastAsia="Arial" w:hAnsi="Arial" w:cs="Arial"/>
          <w:b/>
          <w:u w:val="single"/>
        </w:rPr>
        <w:t>Facilitate SOP training across regions to strengthen emergency response capabilities of Member States and their Disaster Management Offices</w:t>
      </w:r>
    </w:p>
    <w:p w14:paraId="4A58DF87" w14:textId="77777777" w:rsidR="00FF2FF6" w:rsidRDefault="00FF2FF6" w:rsidP="009B4D0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rial" w:hAnsi="Arial" w:cs="Arial"/>
          <w:b/>
          <w:bCs/>
          <w:lang w:val="en-US"/>
        </w:rPr>
        <w:t>Training</w:t>
      </w:r>
      <w:r>
        <w:rPr>
          <w:rStyle w:val="eop"/>
          <w:rFonts w:ascii="Arial" w:hAnsi="Arial" w:cs="Arial"/>
        </w:rPr>
        <w:t> </w:t>
      </w:r>
    </w:p>
    <w:p w14:paraId="4E840E97" w14:textId="4F3C3F40" w:rsidR="00FF2FF6" w:rsidRDefault="00FF2FF6" w:rsidP="009B4D0C">
      <w:pPr>
        <w:pStyle w:val="paragraph"/>
        <w:spacing w:before="240" w:beforeAutospacing="0" w:after="240" w:afterAutospacing="0" w:line="276" w:lineRule="auto"/>
        <w:jc w:val="both"/>
        <w:textAlignment w:val="baseline"/>
        <w:rPr>
          <w:rFonts w:ascii="Segoe UI" w:hAnsi="Segoe UI" w:cs="Segoe UI"/>
          <w:sz w:val="18"/>
          <w:szCs w:val="18"/>
        </w:rPr>
      </w:pPr>
      <w:r>
        <w:rPr>
          <w:rStyle w:val="normaltextrun"/>
          <w:rFonts w:ascii="Arial" w:hAnsi="Arial" w:cs="Arial"/>
          <w:lang w:val="en-US"/>
        </w:rPr>
        <w:t xml:space="preserve">ITIC did not conduct any in-person trainings due to the COVID pandemic from March 2020 to October 2022.  From November to </w:t>
      </w:r>
      <w:r w:rsidR="009B4D0C">
        <w:rPr>
          <w:rStyle w:val="normaltextrun"/>
          <w:rFonts w:ascii="Arial" w:hAnsi="Arial" w:cs="Arial"/>
          <w:lang w:val="en-US"/>
        </w:rPr>
        <w:t>February</w:t>
      </w:r>
      <w:r>
        <w:rPr>
          <w:rStyle w:val="normaltextrun"/>
          <w:rFonts w:ascii="Arial" w:hAnsi="Arial" w:cs="Arial"/>
          <w:lang w:val="en-US"/>
        </w:rPr>
        <w:t xml:space="preserve"> 2023, it conducted the following in-person trainings:</w:t>
      </w:r>
      <w:r>
        <w:rPr>
          <w:rStyle w:val="eop"/>
          <w:rFonts w:ascii="Arial" w:hAnsi="Arial" w:cs="Arial"/>
        </w:rPr>
        <w:t> </w:t>
      </w:r>
    </w:p>
    <w:p w14:paraId="3B309ACF" w14:textId="5CA7593A" w:rsidR="00FF2FF6" w:rsidRDefault="009B4D0C" w:rsidP="009B4D0C">
      <w:pPr>
        <w:pStyle w:val="paragraph"/>
        <w:numPr>
          <w:ilvl w:val="0"/>
          <w:numId w:val="11"/>
        </w:numPr>
        <w:spacing w:before="240" w:beforeAutospacing="0" w:after="240" w:afterAutospacing="0" w:line="276" w:lineRule="auto"/>
        <w:ind w:left="714" w:hanging="357"/>
        <w:contextualSpacing/>
        <w:jc w:val="both"/>
        <w:textAlignment w:val="baseline"/>
        <w:rPr>
          <w:rFonts w:ascii="Arial" w:hAnsi="Arial" w:cs="Arial"/>
        </w:rPr>
      </w:pPr>
      <w:r>
        <w:rPr>
          <w:rStyle w:val="normaltextrun"/>
          <w:rFonts w:ascii="Arial" w:hAnsi="Arial" w:cs="Arial"/>
          <w:lang w:val="en-GB"/>
        </w:rPr>
        <w:t>T</w:t>
      </w:r>
      <w:r w:rsidR="00FF2FF6">
        <w:rPr>
          <w:rStyle w:val="normaltextrun"/>
          <w:rFonts w:ascii="Arial" w:hAnsi="Arial" w:cs="Arial"/>
          <w:lang w:val="en-GB"/>
        </w:rPr>
        <w:t>sunami Ready Implementation training, Micronesia (Chuuk, Pohnpei), November 2022</w:t>
      </w:r>
      <w:r w:rsidR="00FF2FF6">
        <w:rPr>
          <w:rStyle w:val="eop"/>
          <w:rFonts w:ascii="Arial" w:hAnsi="Arial" w:cs="Arial"/>
        </w:rPr>
        <w:t> </w:t>
      </w:r>
    </w:p>
    <w:p w14:paraId="52AFDCE0" w14:textId="77777777" w:rsidR="00FF2FF6" w:rsidRDefault="00FF2FF6" w:rsidP="009B4D0C">
      <w:pPr>
        <w:pStyle w:val="paragraph"/>
        <w:numPr>
          <w:ilvl w:val="0"/>
          <w:numId w:val="11"/>
        </w:numPr>
        <w:spacing w:before="240" w:beforeAutospacing="0" w:after="240" w:afterAutospacing="0" w:line="276" w:lineRule="auto"/>
        <w:ind w:left="714" w:hanging="357"/>
        <w:contextualSpacing/>
        <w:jc w:val="both"/>
        <w:textAlignment w:val="baseline"/>
        <w:rPr>
          <w:rFonts w:ascii="Arial" w:hAnsi="Arial" w:cs="Arial"/>
        </w:rPr>
      </w:pPr>
      <w:r>
        <w:rPr>
          <w:rStyle w:val="normaltextrun"/>
          <w:rFonts w:ascii="Arial" w:hAnsi="Arial" w:cs="Arial"/>
          <w:lang w:val="en-GB"/>
        </w:rPr>
        <w:t>Cook Islands Review and Update of TWC and TER SOPs, January 2023</w:t>
      </w:r>
      <w:r>
        <w:rPr>
          <w:rStyle w:val="eop"/>
          <w:rFonts w:ascii="Arial" w:hAnsi="Arial" w:cs="Arial"/>
        </w:rPr>
        <w:t> </w:t>
      </w:r>
    </w:p>
    <w:p w14:paraId="3FB969DF" w14:textId="77777777" w:rsidR="00FF2FF6" w:rsidRDefault="00FF2FF6" w:rsidP="009B4D0C">
      <w:pPr>
        <w:pStyle w:val="paragraph"/>
        <w:numPr>
          <w:ilvl w:val="0"/>
          <w:numId w:val="11"/>
        </w:numPr>
        <w:spacing w:before="240" w:beforeAutospacing="0" w:after="240" w:afterAutospacing="0" w:line="276" w:lineRule="auto"/>
        <w:ind w:left="714" w:hanging="357"/>
        <w:contextualSpacing/>
        <w:jc w:val="both"/>
        <w:textAlignment w:val="baseline"/>
        <w:rPr>
          <w:rFonts w:ascii="Arial" w:hAnsi="Arial" w:cs="Arial"/>
        </w:rPr>
      </w:pPr>
      <w:r>
        <w:rPr>
          <w:rStyle w:val="normaltextrun"/>
          <w:rFonts w:ascii="Arial" w:hAnsi="Arial" w:cs="Arial"/>
          <w:lang w:val="en-GB"/>
        </w:rPr>
        <w:t>PICT Regional Training on Tsunami Ready I, January 2023</w:t>
      </w:r>
      <w:r>
        <w:rPr>
          <w:rStyle w:val="eop"/>
          <w:rFonts w:ascii="Arial" w:hAnsi="Arial" w:cs="Arial"/>
        </w:rPr>
        <w:t> </w:t>
      </w:r>
    </w:p>
    <w:p w14:paraId="5DB4AE59" w14:textId="234F0C83" w:rsidR="009B4D0C" w:rsidRDefault="00FF2FF6" w:rsidP="009B4D0C">
      <w:pPr>
        <w:pStyle w:val="paragraph"/>
        <w:numPr>
          <w:ilvl w:val="0"/>
          <w:numId w:val="11"/>
        </w:numPr>
        <w:spacing w:before="240" w:beforeAutospacing="0" w:after="240" w:afterAutospacing="0" w:line="276" w:lineRule="auto"/>
        <w:ind w:left="714" w:hanging="357"/>
        <w:contextualSpacing/>
        <w:jc w:val="both"/>
        <w:textAlignment w:val="baseline"/>
        <w:rPr>
          <w:rStyle w:val="normaltextrun"/>
          <w:rFonts w:ascii="Arial" w:hAnsi="Arial" w:cs="Arial"/>
        </w:rPr>
      </w:pPr>
      <w:r>
        <w:rPr>
          <w:rStyle w:val="normaltextrun"/>
          <w:rFonts w:ascii="Arial" w:hAnsi="Arial" w:cs="Arial"/>
          <w:lang w:val="en-GB"/>
        </w:rPr>
        <w:t>Fiji Tsunami Ready Stakeholder Training Workshop, February 2023</w:t>
      </w:r>
      <w:r>
        <w:rPr>
          <w:rStyle w:val="eop"/>
          <w:rFonts w:ascii="Arial" w:hAnsi="Arial" w:cs="Arial"/>
        </w:rPr>
        <w:t> </w:t>
      </w:r>
    </w:p>
    <w:p w14:paraId="2A9FCA2C" w14:textId="77777777" w:rsidR="004E421F" w:rsidRPr="004E421F" w:rsidRDefault="004E421F" w:rsidP="004E421F">
      <w:pPr>
        <w:pStyle w:val="paragraph"/>
        <w:spacing w:before="240" w:beforeAutospacing="0" w:after="240" w:afterAutospacing="0" w:line="276" w:lineRule="auto"/>
        <w:ind w:left="714"/>
        <w:contextualSpacing/>
        <w:jc w:val="both"/>
        <w:textAlignment w:val="baseline"/>
        <w:rPr>
          <w:rStyle w:val="normaltextrun"/>
          <w:rFonts w:ascii="Arial" w:hAnsi="Arial" w:cs="Arial"/>
        </w:rPr>
      </w:pPr>
    </w:p>
    <w:p w14:paraId="1B43A0D6" w14:textId="4FBE9706" w:rsidR="00FF2FF6" w:rsidRDefault="00FF2FF6" w:rsidP="009B4D0C">
      <w:pPr>
        <w:pStyle w:val="paragraph"/>
        <w:spacing w:before="240" w:beforeAutospacing="0" w:after="240" w:afterAutospacing="0" w:line="276" w:lineRule="auto"/>
        <w:jc w:val="both"/>
        <w:textAlignment w:val="baseline"/>
        <w:rPr>
          <w:rFonts w:ascii="Arial" w:hAnsi="Arial" w:cs="Arial"/>
        </w:rPr>
      </w:pPr>
      <w:r>
        <w:rPr>
          <w:rStyle w:val="normaltextrun"/>
          <w:rFonts w:ascii="Arial" w:hAnsi="Arial" w:cs="Arial"/>
          <w:lang w:val="en-GB"/>
        </w:rPr>
        <w:t>Planned trainings for 2023 are</w:t>
      </w:r>
      <w:r w:rsidR="009B4D0C">
        <w:rPr>
          <w:rStyle w:val="eop"/>
          <w:rFonts w:ascii="Arial" w:hAnsi="Arial" w:cs="Arial"/>
        </w:rPr>
        <w:t>:</w:t>
      </w:r>
    </w:p>
    <w:p w14:paraId="0C7DEA2B" w14:textId="77777777" w:rsidR="00FF2FF6" w:rsidRDefault="00FF2FF6" w:rsidP="009B4D0C">
      <w:pPr>
        <w:pStyle w:val="paragraph"/>
        <w:numPr>
          <w:ilvl w:val="0"/>
          <w:numId w:val="12"/>
        </w:numPr>
        <w:spacing w:before="240" w:beforeAutospacing="0" w:after="240" w:afterAutospacing="0" w:line="276" w:lineRule="auto"/>
        <w:ind w:left="714" w:hanging="357"/>
        <w:contextualSpacing/>
        <w:jc w:val="both"/>
        <w:textAlignment w:val="baseline"/>
        <w:rPr>
          <w:rFonts w:ascii="Arial" w:hAnsi="Arial" w:cs="Arial"/>
        </w:rPr>
      </w:pPr>
      <w:r>
        <w:rPr>
          <w:rStyle w:val="normaltextrun"/>
          <w:rFonts w:ascii="Arial" w:hAnsi="Arial" w:cs="Arial"/>
          <w:lang w:val="en-GB"/>
        </w:rPr>
        <w:t>Tsunami Ready Implementation training, Micronesia (Yap), Marshall Islands (Majuro), Palau, Fiji</w:t>
      </w:r>
      <w:r>
        <w:rPr>
          <w:rStyle w:val="eop"/>
          <w:rFonts w:ascii="Arial" w:hAnsi="Arial" w:cs="Arial"/>
        </w:rPr>
        <w:t> </w:t>
      </w:r>
    </w:p>
    <w:p w14:paraId="558D1E7B" w14:textId="77777777" w:rsidR="00FF2FF6" w:rsidRDefault="00FF2FF6" w:rsidP="009B4D0C">
      <w:pPr>
        <w:pStyle w:val="paragraph"/>
        <w:numPr>
          <w:ilvl w:val="0"/>
          <w:numId w:val="12"/>
        </w:numPr>
        <w:spacing w:before="240" w:beforeAutospacing="0" w:after="240" w:afterAutospacing="0" w:line="276" w:lineRule="auto"/>
        <w:ind w:left="714" w:hanging="357"/>
        <w:contextualSpacing/>
        <w:jc w:val="both"/>
        <w:textAlignment w:val="baseline"/>
        <w:rPr>
          <w:rFonts w:ascii="Arial" w:hAnsi="Arial" w:cs="Arial"/>
        </w:rPr>
      </w:pPr>
      <w:r>
        <w:rPr>
          <w:rStyle w:val="normaltextrun"/>
          <w:rFonts w:ascii="Arial" w:hAnsi="Arial" w:cs="Arial"/>
          <w:lang w:val="en-GB"/>
        </w:rPr>
        <w:t>Vanuatu TWC and TER SOP Update, April 2023</w:t>
      </w:r>
      <w:r>
        <w:rPr>
          <w:rStyle w:val="eop"/>
          <w:rFonts w:ascii="Arial" w:hAnsi="Arial" w:cs="Arial"/>
        </w:rPr>
        <w:t> </w:t>
      </w:r>
    </w:p>
    <w:p w14:paraId="21D72AA1" w14:textId="77777777" w:rsidR="00FF2FF6" w:rsidRDefault="00FF2FF6" w:rsidP="009B4D0C">
      <w:pPr>
        <w:pStyle w:val="paragraph"/>
        <w:numPr>
          <w:ilvl w:val="0"/>
          <w:numId w:val="12"/>
        </w:numPr>
        <w:spacing w:before="240" w:beforeAutospacing="0" w:after="240" w:afterAutospacing="0" w:line="276" w:lineRule="auto"/>
        <w:ind w:left="714" w:hanging="357"/>
        <w:contextualSpacing/>
        <w:jc w:val="both"/>
        <w:textAlignment w:val="baseline"/>
        <w:rPr>
          <w:rFonts w:ascii="Arial" w:hAnsi="Arial" w:cs="Arial"/>
        </w:rPr>
      </w:pPr>
      <w:r>
        <w:rPr>
          <w:rStyle w:val="normaltextrun"/>
          <w:rFonts w:ascii="Arial" w:hAnsi="Arial" w:cs="Arial"/>
          <w:lang w:val="en-GB"/>
        </w:rPr>
        <w:t>PICT Regional Training on Tsunami Ready II (or TEMPP trainings) – tentative</w:t>
      </w:r>
      <w:r>
        <w:rPr>
          <w:rStyle w:val="eop"/>
          <w:rFonts w:ascii="Arial" w:hAnsi="Arial" w:cs="Arial"/>
        </w:rPr>
        <w:t> </w:t>
      </w:r>
    </w:p>
    <w:p w14:paraId="0B71BAAC" w14:textId="47993EC8" w:rsidR="00347398" w:rsidRDefault="00FF2FF6" w:rsidP="004E421F">
      <w:pPr>
        <w:pStyle w:val="paragraph"/>
        <w:numPr>
          <w:ilvl w:val="0"/>
          <w:numId w:val="12"/>
        </w:numPr>
        <w:spacing w:before="240" w:beforeAutospacing="0" w:after="240" w:afterAutospacing="0" w:line="276" w:lineRule="auto"/>
        <w:ind w:left="714" w:hanging="357"/>
        <w:contextualSpacing/>
        <w:jc w:val="both"/>
        <w:textAlignment w:val="baseline"/>
        <w:rPr>
          <w:rStyle w:val="normaltextrun"/>
          <w:rFonts w:ascii="Arial" w:hAnsi="Arial" w:cs="Arial"/>
        </w:rPr>
      </w:pPr>
      <w:r>
        <w:rPr>
          <w:rStyle w:val="normaltextrun"/>
          <w:rFonts w:ascii="Arial" w:hAnsi="Arial" w:cs="Arial"/>
          <w:lang w:val="en-GB"/>
        </w:rPr>
        <w:t>National Tsunami Ready Stakeholder Training Workshops (PICT, upon request)</w:t>
      </w:r>
      <w:r>
        <w:rPr>
          <w:rStyle w:val="eop"/>
          <w:rFonts w:ascii="Arial" w:hAnsi="Arial" w:cs="Arial"/>
        </w:rPr>
        <w:t> </w:t>
      </w:r>
    </w:p>
    <w:p w14:paraId="5D0A483C" w14:textId="77777777" w:rsidR="004E421F" w:rsidRPr="004E421F" w:rsidRDefault="004E421F" w:rsidP="004E421F">
      <w:pPr>
        <w:pStyle w:val="paragraph"/>
        <w:spacing w:before="240" w:beforeAutospacing="0" w:after="240" w:afterAutospacing="0" w:line="276" w:lineRule="auto"/>
        <w:ind w:left="714"/>
        <w:contextualSpacing/>
        <w:jc w:val="both"/>
        <w:textAlignment w:val="baseline"/>
        <w:rPr>
          <w:rStyle w:val="normaltextrun"/>
          <w:rFonts w:ascii="Arial" w:hAnsi="Arial" w:cs="Arial"/>
        </w:rPr>
      </w:pPr>
    </w:p>
    <w:p w14:paraId="32CD7FC5" w14:textId="7E512E7F" w:rsidR="00FF2FF6" w:rsidRDefault="00FF2FF6" w:rsidP="009B4D0C">
      <w:pPr>
        <w:pStyle w:val="paragraph"/>
        <w:spacing w:before="240" w:beforeAutospacing="0" w:after="240" w:afterAutospacing="0" w:line="276" w:lineRule="auto"/>
        <w:ind w:right="495"/>
        <w:jc w:val="both"/>
        <w:textAlignment w:val="baseline"/>
        <w:rPr>
          <w:rFonts w:ascii="Segoe UI" w:hAnsi="Segoe UI" w:cs="Segoe UI"/>
          <w:sz w:val="18"/>
          <w:szCs w:val="18"/>
        </w:rPr>
      </w:pPr>
      <w:r>
        <w:rPr>
          <w:rStyle w:val="normaltextrun"/>
          <w:rFonts w:ascii="Arial" w:hAnsi="Arial" w:cs="Arial"/>
          <w:lang w:val="en-US"/>
        </w:rPr>
        <w:t>ITIC is supporting the IOC Ocean Teacher Global Academy (OTGA) as a designated Specialized Training Center for Tsunamis.  ITIC and the Indian Tsunami Information Centre are working together to support Tsunami Ready training for the topics of:</w:t>
      </w:r>
      <w:r>
        <w:rPr>
          <w:rStyle w:val="eop"/>
          <w:rFonts w:ascii="Arial" w:hAnsi="Arial" w:cs="Arial"/>
        </w:rPr>
        <w:t> </w:t>
      </w:r>
    </w:p>
    <w:p w14:paraId="10AB89AD" w14:textId="77777777" w:rsidR="00FF2FF6" w:rsidRDefault="00FF2FF6" w:rsidP="009B4D0C">
      <w:pPr>
        <w:pStyle w:val="paragraph"/>
        <w:numPr>
          <w:ilvl w:val="0"/>
          <w:numId w:val="9"/>
        </w:numPr>
        <w:tabs>
          <w:tab w:val="clear" w:pos="720"/>
          <w:tab w:val="num" w:pos="15"/>
        </w:tabs>
        <w:spacing w:before="240" w:beforeAutospacing="0" w:after="240" w:afterAutospacing="0" w:line="276" w:lineRule="auto"/>
        <w:ind w:firstLine="0"/>
        <w:contextualSpacing/>
        <w:jc w:val="both"/>
        <w:textAlignment w:val="baseline"/>
        <w:rPr>
          <w:rFonts w:ascii="Arial" w:hAnsi="Arial" w:cs="Arial"/>
        </w:rPr>
      </w:pPr>
      <w:r>
        <w:rPr>
          <w:rStyle w:val="normaltextrun"/>
          <w:rFonts w:ascii="Arial" w:hAnsi="Arial" w:cs="Arial"/>
          <w:lang w:val="en-GB"/>
        </w:rPr>
        <w:t>Tsunami Awareness (2023 Q2)</w:t>
      </w:r>
      <w:r>
        <w:rPr>
          <w:rStyle w:val="eop"/>
          <w:rFonts w:ascii="Arial" w:hAnsi="Arial" w:cs="Arial"/>
        </w:rPr>
        <w:t> </w:t>
      </w:r>
    </w:p>
    <w:p w14:paraId="1FCD74E9" w14:textId="77777777" w:rsidR="00FF2FF6" w:rsidRDefault="00FF2FF6" w:rsidP="009B4D0C">
      <w:pPr>
        <w:pStyle w:val="paragraph"/>
        <w:numPr>
          <w:ilvl w:val="0"/>
          <w:numId w:val="9"/>
        </w:numPr>
        <w:tabs>
          <w:tab w:val="clear" w:pos="720"/>
          <w:tab w:val="num" w:pos="15"/>
        </w:tabs>
        <w:spacing w:before="240" w:beforeAutospacing="0" w:after="240" w:afterAutospacing="0" w:line="276" w:lineRule="auto"/>
        <w:ind w:firstLine="0"/>
        <w:contextualSpacing/>
        <w:jc w:val="both"/>
        <w:textAlignment w:val="baseline"/>
        <w:rPr>
          <w:rFonts w:ascii="Arial" w:hAnsi="Arial" w:cs="Arial"/>
        </w:rPr>
      </w:pPr>
      <w:r>
        <w:rPr>
          <w:rStyle w:val="normaltextrun"/>
          <w:rFonts w:ascii="Arial" w:hAnsi="Arial" w:cs="Arial"/>
          <w:lang w:val="en-GB"/>
        </w:rPr>
        <w:t>Tsunami Ready (2023 Q3)</w:t>
      </w:r>
      <w:r>
        <w:rPr>
          <w:rStyle w:val="eop"/>
          <w:rFonts w:ascii="Arial" w:hAnsi="Arial" w:cs="Arial"/>
        </w:rPr>
        <w:t> </w:t>
      </w:r>
    </w:p>
    <w:p w14:paraId="280AD7ED" w14:textId="77777777" w:rsidR="00FF2FF6" w:rsidRDefault="00FF2FF6" w:rsidP="009B4D0C">
      <w:pPr>
        <w:pStyle w:val="paragraph"/>
        <w:numPr>
          <w:ilvl w:val="0"/>
          <w:numId w:val="10"/>
        </w:numPr>
        <w:tabs>
          <w:tab w:val="clear" w:pos="720"/>
          <w:tab w:val="num" w:pos="15"/>
        </w:tabs>
        <w:spacing w:before="240" w:beforeAutospacing="0" w:after="240" w:afterAutospacing="0" w:line="276" w:lineRule="auto"/>
        <w:ind w:firstLine="0"/>
        <w:contextualSpacing/>
        <w:jc w:val="both"/>
        <w:textAlignment w:val="baseline"/>
        <w:rPr>
          <w:rFonts w:ascii="Arial" w:hAnsi="Arial" w:cs="Arial"/>
        </w:rPr>
      </w:pPr>
      <w:r>
        <w:rPr>
          <w:rStyle w:val="normaltextrun"/>
          <w:rFonts w:ascii="Arial" w:hAnsi="Arial" w:cs="Arial"/>
          <w:lang w:val="en-GB"/>
        </w:rPr>
        <w:t>Tsunami Early Warning Systems (2023)</w:t>
      </w:r>
      <w:r>
        <w:rPr>
          <w:rStyle w:val="eop"/>
          <w:rFonts w:ascii="Arial" w:hAnsi="Arial" w:cs="Arial"/>
        </w:rPr>
        <w:t> </w:t>
      </w:r>
    </w:p>
    <w:p w14:paraId="430A6B4D" w14:textId="77777777" w:rsidR="00FF2FF6" w:rsidRDefault="00FF2FF6" w:rsidP="009B4D0C">
      <w:pPr>
        <w:pStyle w:val="paragraph"/>
        <w:numPr>
          <w:ilvl w:val="0"/>
          <w:numId w:val="10"/>
        </w:numPr>
        <w:tabs>
          <w:tab w:val="clear" w:pos="720"/>
          <w:tab w:val="num" w:pos="15"/>
        </w:tabs>
        <w:spacing w:before="240" w:beforeAutospacing="0" w:after="240" w:afterAutospacing="0" w:line="276" w:lineRule="auto"/>
        <w:ind w:firstLine="0"/>
        <w:contextualSpacing/>
        <w:jc w:val="both"/>
        <w:textAlignment w:val="baseline"/>
        <w:rPr>
          <w:rFonts w:ascii="Arial" w:hAnsi="Arial" w:cs="Arial"/>
        </w:rPr>
      </w:pPr>
      <w:r>
        <w:rPr>
          <w:rStyle w:val="normaltextrun"/>
          <w:rFonts w:ascii="Arial" w:hAnsi="Arial" w:cs="Arial"/>
          <w:lang w:val="en-GB"/>
        </w:rPr>
        <w:t>TEMPP (2023 - 2024)</w:t>
      </w:r>
      <w:r>
        <w:rPr>
          <w:rStyle w:val="eop"/>
          <w:rFonts w:ascii="Arial" w:hAnsi="Arial" w:cs="Arial"/>
        </w:rPr>
        <w:t> </w:t>
      </w:r>
    </w:p>
    <w:p w14:paraId="01C33867" w14:textId="77777777" w:rsidR="00FF2FF6" w:rsidRDefault="00FF2FF6" w:rsidP="009B4D0C">
      <w:pPr>
        <w:pStyle w:val="paragraph"/>
        <w:numPr>
          <w:ilvl w:val="0"/>
          <w:numId w:val="10"/>
        </w:numPr>
        <w:tabs>
          <w:tab w:val="clear" w:pos="720"/>
          <w:tab w:val="num" w:pos="15"/>
        </w:tabs>
        <w:spacing w:before="240" w:beforeAutospacing="0" w:after="240" w:afterAutospacing="0" w:line="276" w:lineRule="auto"/>
        <w:ind w:firstLine="0"/>
        <w:contextualSpacing/>
        <w:jc w:val="both"/>
        <w:textAlignment w:val="baseline"/>
        <w:rPr>
          <w:rFonts w:ascii="Arial" w:hAnsi="Arial" w:cs="Arial"/>
        </w:rPr>
      </w:pPr>
      <w:r>
        <w:rPr>
          <w:rStyle w:val="normaltextrun"/>
          <w:rFonts w:ascii="Arial" w:hAnsi="Arial" w:cs="Arial"/>
          <w:lang w:val="en-GB"/>
        </w:rPr>
        <w:t>Tsunami TWC and TER SOPs (2024)</w:t>
      </w:r>
      <w:r>
        <w:rPr>
          <w:rStyle w:val="eop"/>
          <w:rFonts w:ascii="Arial" w:hAnsi="Arial" w:cs="Arial"/>
        </w:rPr>
        <w:t> </w:t>
      </w:r>
    </w:p>
    <w:p w14:paraId="39576936" w14:textId="77777777" w:rsidR="00FF2FF6" w:rsidRDefault="00FF2FF6" w:rsidP="009B4D0C">
      <w:pPr>
        <w:pStyle w:val="paragraph"/>
        <w:numPr>
          <w:ilvl w:val="0"/>
          <w:numId w:val="10"/>
        </w:numPr>
        <w:tabs>
          <w:tab w:val="clear" w:pos="720"/>
          <w:tab w:val="num" w:pos="15"/>
        </w:tabs>
        <w:spacing w:before="240" w:beforeAutospacing="0" w:after="240" w:afterAutospacing="0" w:line="276" w:lineRule="auto"/>
        <w:ind w:firstLine="0"/>
        <w:contextualSpacing/>
        <w:jc w:val="both"/>
        <w:textAlignment w:val="baseline"/>
        <w:rPr>
          <w:rFonts w:ascii="Arial" w:hAnsi="Arial" w:cs="Arial"/>
        </w:rPr>
      </w:pPr>
      <w:r>
        <w:rPr>
          <w:rStyle w:val="normaltextrun"/>
          <w:sz w:val="14"/>
          <w:szCs w:val="14"/>
          <w:lang w:val="en-GB"/>
        </w:rPr>
        <w:t> </w:t>
      </w:r>
      <w:r>
        <w:rPr>
          <w:rStyle w:val="normaltextrun"/>
          <w:rFonts w:ascii="Arial" w:hAnsi="Arial" w:cs="Arial"/>
          <w:lang w:val="en-GB"/>
        </w:rPr>
        <w:t>NTWC Competencies (2024-25)</w:t>
      </w:r>
      <w:r>
        <w:rPr>
          <w:rStyle w:val="eop"/>
          <w:rFonts w:ascii="Arial" w:hAnsi="Arial" w:cs="Arial"/>
        </w:rPr>
        <w:t> </w:t>
      </w:r>
    </w:p>
    <w:p w14:paraId="5D172C69" w14:textId="77777777" w:rsidR="009B4D0C" w:rsidRDefault="009B4D0C" w:rsidP="009B4D0C">
      <w:pPr>
        <w:pStyle w:val="paragraph"/>
        <w:spacing w:before="0" w:beforeAutospacing="0" w:after="0" w:afterAutospacing="0" w:line="276" w:lineRule="auto"/>
        <w:jc w:val="both"/>
        <w:textAlignment w:val="baseline"/>
        <w:rPr>
          <w:rStyle w:val="normaltextrun"/>
          <w:rFonts w:ascii="Arial" w:hAnsi="Arial" w:cs="Arial"/>
          <w:lang w:val="en-US"/>
        </w:rPr>
      </w:pPr>
    </w:p>
    <w:p w14:paraId="696C1362" w14:textId="64EFC2F5" w:rsidR="00FF2FF6" w:rsidRDefault="00FF2FF6" w:rsidP="009B4D0C">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rial" w:hAnsi="Arial" w:cs="Arial"/>
          <w:lang w:val="en-US"/>
        </w:rPr>
        <w:t>ITIC videos to support trainings are available on the following topics:</w:t>
      </w:r>
      <w:r>
        <w:rPr>
          <w:rStyle w:val="eop"/>
          <w:rFonts w:ascii="Arial" w:hAnsi="Arial" w:cs="Arial"/>
        </w:rPr>
        <w:t> </w:t>
      </w:r>
    </w:p>
    <w:p w14:paraId="7230947A" w14:textId="77777777" w:rsidR="00FF2FF6" w:rsidRDefault="00FF2FF6" w:rsidP="009B4D0C">
      <w:pPr>
        <w:pStyle w:val="paragraph"/>
        <w:spacing w:before="0" w:beforeAutospacing="0" w:after="0" w:afterAutospacing="0" w:line="276" w:lineRule="auto"/>
        <w:ind w:left="1080" w:hanging="360"/>
        <w:jc w:val="both"/>
        <w:textAlignment w:val="baseline"/>
        <w:rPr>
          <w:rFonts w:ascii="Segoe UI" w:hAnsi="Segoe UI" w:cs="Segoe UI"/>
          <w:sz w:val="18"/>
          <w:szCs w:val="18"/>
        </w:rPr>
      </w:pPr>
      <w:r>
        <w:rPr>
          <w:rStyle w:val="normaltextrun"/>
          <w:rFonts w:ascii="Arial" w:hAnsi="Arial" w:cs="Arial"/>
          <w:lang w:val="en-US"/>
        </w:rPr>
        <w:t>•</w:t>
      </w:r>
      <w:r>
        <w:rPr>
          <w:rStyle w:val="normaltextrun"/>
          <w:rFonts w:ascii="Arial" w:hAnsi="Arial" w:cs="Arial"/>
          <w:sz w:val="14"/>
          <w:szCs w:val="14"/>
          <w:lang w:val="en-US"/>
        </w:rPr>
        <w:t xml:space="preserve">      </w:t>
      </w:r>
      <w:r>
        <w:rPr>
          <w:rStyle w:val="normaltextrun"/>
          <w:rFonts w:ascii="Arial" w:hAnsi="Arial" w:cs="Arial"/>
          <w:lang w:val="en-US"/>
        </w:rPr>
        <w:t>PTWC Enhanced Products and Staging</w:t>
      </w:r>
      <w:r>
        <w:rPr>
          <w:rStyle w:val="eop"/>
          <w:rFonts w:ascii="Arial" w:hAnsi="Arial" w:cs="Arial"/>
        </w:rPr>
        <w:t> </w:t>
      </w:r>
    </w:p>
    <w:p w14:paraId="58F3F53A" w14:textId="26C81317" w:rsidR="00F54887" w:rsidRDefault="00FF2FF6" w:rsidP="003C74B8">
      <w:pPr>
        <w:pStyle w:val="paragraph"/>
        <w:spacing w:before="0" w:beforeAutospacing="0" w:after="0" w:afterAutospacing="0" w:line="276" w:lineRule="auto"/>
        <w:ind w:left="1080" w:hanging="360"/>
        <w:jc w:val="both"/>
        <w:textAlignment w:val="baseline"/>
        <w:rPr>
          <w:rFonts w:ascii="Segoe UI" w:hAnsi="Segoe UI" w:cs="Segoe UI"/>
          <w:sz w:val="18"/>
          <w:szCs w:val="18"/>
        </w:rPr>
      </w:pPr>
      <w:r>
        <w:rPr>
          <w:rStyle w:val="normaltextrun"/>
          <w:rFonts w:ascii="Arial" w:hAnsi="Arial" w:cs="Arial"/>
          <w:lang w:val="en-US"/>
        </w:rPr>
        <w:t>•</w:t>
      </w:r>
      <w:r>
        <w:rPr>
          <w:rStyle w:val="normaltextrun"/>
          <w:rFonts w:ascii="Arial" w:hAnsi="Arial" w:cs="Arial"/>
          <w:sz w:val="14"/>
          <w:szCs w:val="14"/>
          <w:lang w:val="en-US"/>
        </w:rPr>
        <w:t xml:space="preserve">      </w:t>
      </w:r>
      <w:r>
        <w:rPr>
          <w:rStyle w:val="normaltextrun"/>
          <w:rFonts w:ascii="Arial" w:hAnsi="Arial" w:cs="Arial"/>
          <w:lang w:val="en-US"/>
        </w:rPr>
        <w:t>TWC Operations - what happens in a TWC during an event </w:t>
      </w:r>
      <w:r>
        <w:rPr>
          <w:rStyle w:val="eop"/>
          <w:rFonts w:ascii="Arial" w:hAnsi="Arial" w:cs="Arial"/>
        </w:rPr>
        <w:t> </w:t>
      </w:r>
    </w:p>
    <w:p w14:paraId="6491136C" w14:textId="2CA30DAC" w:rsidR="003C74B8" w:rsidRDefault="003C74B8" w:rsidP="003C74B8">
      <w:pPr>
        <w:pStyle w:val="paragraph"/>
        <w:spacing w:before="0" w:beforeAutospacing="0" w:after="0" w:afterAutospacing="0" w:line="276" w:lineRule="auto"/>
        <w:ind w:left="1080" w:hanging="360"/>
        <w:jc w:val="both"/>
        <w:textAlignment w:val="baseline"/>
        <w:rPr>
          <w:rFonts w:ascii="Segoe UI" w:hAnsi="Segoe UI" w:cs="Segoe UI"/>
          <w:sz w:val="18"/>
          <w:szCs w:val="18"/>
        </w:rPr>
      </w:pPr>
    </w:p>
    <w:p w14:paraId="0650477F" w14:textId="50D3759A" w:rsidR="003C74B8" w:rsidRDefault="003C74B8" w:rsidP="003C74B8">
      <w:pPr>
        <w:pStyle w:val="paragraph"/>
        <w:spacing w:before="0" w:beforeAutospacing="0" w:after="0" w:afterAutospacing="0" w:line="276" w:lineRule="auto"/>
        <w:ind w:left="1080" w:hanging="360"/>
        <w:jc w:val="both"/>
        <w:textAlignment w:val="baseline"/>
        <w:rPr>
          <w:rFonts w:ascii="Segoe UI" w:hAnsi="Segoe UI" w:cs="Segoe UI"/>
          <w:sz w:val="18"/>
          <w:szCs w:val="18"/>
        </w:rPr>
      </w:pPr>
    </w:p>
    <w:p w14:paraId="31138C97" w14:textId="77777777" w:rsidR="003C74B8" w:rsidRPr="003C74B8" w:rsidRDefault="003C74B8" w:rsidP="004E76D3">
      <w:pPr>
        <w:pStyle w:val="paragraph"/>
        <w:spacing w:before="0" w:beforeAutospacing="0" w:after="0" w:afterAutospacing="0" w:line="276" w:lineRule="auto"/>
        <w:jc w:val="both"/>
        <w:textAlignment w:val="baseline"/>
        <w:rPr>
          <w:rStyle w:val="normaltextrun"/>
          <w:rFonts w:ascii="Segoe UI" w:hAnsi="Segoe UI" w:cs="Segoe UI"/>
          <w:sz w:val="18"/>
          <w:szCs w:val="18"/>
        </w:rPr>
      </w:pPr>
    </w:p>
    <w:p w14:paraId="0C7C3815" w14:textId="08EF21E5" w:rsidR="00FF2FF6" w:rsidRDefault="00FF2FF6" w:rsidP="009B4D0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lang w:val="en-US"/>
        </w:rPr>
        <w:lastRenderedPageBreak/>
        <w:t>Evacuation Planning</w:t>
      </w:r>
      <w:r>
        <w:rPr>
          <w:rStyle w:val="eop"/>
          <w:rFonts w:ascii="Arial" w:hAnsi="Arial" w:cs="Arial"/>
        </w:rPr>
        <w:t> </w:t>
      </w:r>
    </w:p>
    <w:p w14:paraId="00000049" w14:textId="63E8323E" w:rsidR="007B0B89" w:rsidRPr="009B4D0C" w:rsidRDefault="00FF2FF6" w:rsidP="009B4D0C">
      <w:pPr>
        <w:spacing w:before="240" w:after="240" w:line="259" w:lineRule="auto"/>
        <w:jc w:val="both"/>
        <w:rPr>
          <w:rFonts w:ascii="Arial" w:eastAsia="Arial" w:hAnsi="Arial" w:cs="Arial"/>
        </w:rPr>
      </w:pPr>
      <w:r w:rsidRPr="009B4D0C">
        <w:rPr>
          <w:rFonts w:ascii="Arial" w:eastAsia="Arial" w:hAnsi="Arial" w:cs="Arial"/>
        </w:rPr>
        <w:t xml:space="preserve">To support and upscale Tsunami Ready globally, the ITIC and Indonesia BMKG (OTGA Specialized Training </w:t>
      </w:r>
      <w:proofErr w:type="spellStart"/>
      <w:r w:rsidRPr="009B4D0C">
        <w:rPr>
          <w:rFonts w:ascii="Arial" w:eastAsia="Arial" w:hAnsi="Arial" w:cs="Arial"/>
        </w:rPr>
        <w:t>Centres</w:t>
      </w:r>
      <w:proofErr w:type="spellEnd"/>
      <w:r w:rsidRPr="009B4D0C">
        <w:rPr>
          <w:rFonts w:ascii="Arial" w:eastAsia="Arial" w:hAnsi="Arial" w:cs="Arial"/>
        </w:rPr>
        <w:t>) are developing standard training courses that can be delivered online or in hybrid formats (see above). </w:t>
      </w:r>
    </w:p>
    <w:p w14:paraId="5DDC6AFC" w14:textId="77777777" w:rsidR="00FF2FF6" w:rsidRPr="00FF2FF6" w:rsidRDefault="00FF2FF6" w:rsidP="009B4D0C">
      <w:pPr>
        <w:pStyle w:val="paragraph"/>
        <w:spacing w:before="0" w:beforeAutospacing="0" w:after="0" w:afterAutospacing="0"/>
        <w:jc w:val="both"/>
        <w:textAlignment w:val="baseline"/>
        <w:rPr>
          <w:rFonts w:ascii="Segoe UI" w:hAnsi="Segoe UI" w:cs="Segoe UI"/>
          <w:sz w:val="18"/>
          <w:szCs w:val="18"/>
        </w:rPr>
      </w:pPr>
    </w:p>
    <w:p w14:paraId="0000004A" w14:textId="77777777" w:rsidR="007B0B89" w:rsidRDefault="004435AA" w:rsidP="009B4D0C">
      <w:pPr>
        <w:spacing w:before="240" w:after="240" w:line="259" w:lineRule="auto"/>
        <w:ind w:left="360" w:hanging="360"/>
        <w:jc w:val="both"/>
        <w:rPr>
          <w:rFonts w:ascii="Arial" w:eastAsia="Arial" w:hAnsi="Arial" w:cs="Arial"/>
          <w:highlight w:val="yellow"/>
        </w:rPr>
      </w:pPr>
      <w:r>
        <w:rPr>
          <w:rFonts w:ascii="Arial" w:eastAsia="Arial" w:hAnsi="Arial" w:cs="Arial"/>
          <w:b/>
        </w:rPr>
        <w:t>4.</w:t>
      </w:r>
      <w:r>
        <w:rPr>
          <w:sz w:val="14"/>
          <w:szCs w:val="14"/>
        </w:rPr>
        <w:tab/>
      </w:r>
      <w:r>
        <w:rPr>
          <w:rFonts w:ascii="Arial" w:eastAsia="Arial" w:hAnsi="Arial" w:cs="Arial"/>
          <w:b/>
          <w:u w:val="single"/>
        </w:rPr>
        <w:t>Facilitate and monitor Tsunami Ready campaigns and outcomes, and report results to the ICG/PTWS and the TOWS-WG.</w:t>
      </w:r>
    </w:p>
    <w:p w14:paraId="0000004B" w14:textId="4D6DF6F2" w:rsidR="007B0B89" w:rsidRDefault="004435AA" w:rsidP="009B4D0C">
      <w:pPr>
        <w:spacing w:before="240" w:after="240" w:line="259" w:lineRule="auto"/>
        <w:jc w:val="both"/>
        <w:rPr>
          <w:rFonts w:ascii="Arial" w:eastAsia="Arial" w:hAnsi="Arial" w:cs="Arial"/>
        </w:rPr>
      </w:pPr>
      <w:r>
        <w:rPr>
          <w:rFonts w:ascii="Arial" w:eastAsia="Arial" w:hAnsi="Arial" w:cs="Arial"/>
        </w:rPr>
        <w:t xml:space="preserve">The Working Group, through the lead of ITIC, continues to promote the implementation and outcomes of Tsunami Ready, and reporting the results to the ICG/PTWS and the TOWS-WG. Member States of the ICG/PTWS were invited to support the implementation of the </w:t>
      </w:r>
      <w:proofErr w:type="spellStart"/>
      <w:r>
        <w:rPr>
          <w:rFonts w:ascii="Arial" w:eastAsia="Arial" w:hAnsi="Arial" w:cs="Arial"/>
        </w:rPr>
        <w:t>TsunamiReady</w:t>
      </w:r>
      <w:proofErr w:type="spellEnd"/>
      <w:r>
        <w:rPr>
          <w:rFonts w:ascii="Arial" w:eastAsia="Arial" w:hAnsi="Arial" w:cs="Arial"/>
        </w:rPr>
        <w:t xml:space="preserve"> Recognition </w:t>
      </w:r>
      <w:proofErr w:type="spellStart"/>
      <w:r>
        <w:rPr>
          <w:rFonts w:ascii="Arial" w:eastAsia="Arial" w:hAnsi="Arial" w:cs="Arial"/>
        </w:rPr>
        <w:t>Programme</w:t>
      </w:r>
      <w:proofErr w:type="spellEnd"/>
      <w:r>
        <w:rPr>
          <w:rFonts w:ascii="Arial" w:eastAsia="Arial" w:hAnsi="Arial" w:cs="Arial"/>
        </w:rPr>
        <w:t xml:space="preserve"> via IOC Circular Letter No 2896 in July 2022.</w:t>
      </w:r>
    </w:p>
    <w:p w14:paraId="6C3E2BDE" w14:textId="2F64734A" w:rsidR="00881344" w:rsidRDefault="00881344" w:rsidP="009B4D0C">
      <w:pPr>
        <w:spacing w:before="240" w:after="240" w:line="276" w:lineRule="auto"/>
        <w:jc w:val="both"/>
        <w:rPr>
          <w:rFonts w:ascii="Arial" w:eastAsia="Arial" w:hAnsi="Arial" w:cs="Arial"/>
        </w:rPr>
      </w:pPr>
      <w:r w:rsidRPr="00E45F7E">
        <w:rPr>
          <w:rFonts w:ascii="Arial" w:eastAsia="Arial" w:hAnsi="Arial" w:cs="Arial"/>
        </w:rPr>
        <w:t>ITIC and IOTIC conducted a 3-day Regional Tsunami Ready Training based OTGA Material</w:t>
      </w:r>
      <w:r>
        <w:rPr>
          <w:rFonts w:ascii="Arial" w:eastAsia="Arial" w:hAnsi="Arial" w:cs="Arial"/>
        </w:rPr>
        <w:t xml:space="preserve"> </w:t>
      </w:r>
      <w:r w:rsidRPr="00E45F7E">
        <w:rPr>
          <w:rFonts w:ascii="Arial" w:eastAsia="Arial" w:hAnsi="Arial" w:cs="Arial"/>
        </w:rPr>
        <w:t>for Pacific Island Countries and Territories (PICT) 30 January to 1 February 2023, bringing</w:t>
      </w:r>
      <w:r>
        <w:rPr>
          <w:rFonts w:ascii="Arial" w:eastAsia="Arial" w:hAnsi="Arial" w:cs="Arial"/>
        </w:rPr>
        <w:t xml:space="preserve"> </w:t>
      </w:r>
      <w:r w:rsidRPr="00E45F7E">
        <w:rPr>
          <w:rFonts w:ascii="Arial" w:eastAsia="Arial" w:hAnsi="Arial" w:cs="Arial"/>
        </w:rPr>
        <w:t>together 11 countries and participants from disaster management offices, tsunami warning</w:t>
      </w:r>
      <w:r>
        <w:rPr>
          <w:rFonts w:ascii="Arial" w:eastAsia="Arial" w:hAnsi="Arial" w:cs="Arial"/>
        </w:rPr>
        <w:t xml:space="preserve"> </w:t>
      </w:r>
      <w:proofErr w:type="spellStart"/>
      <w:r w:rsidRPr="00E45F7E">
        <w:rPr>
          <w:rFonts w:ascii="Arial" w:eastAsia="Arial" w:hAnsi="Arial" w:cs="Arial"/>
        </w:rPr>
        <w:t>centres</w:t>
      </w:r>
      <w:proofErr w:type="spellEnd"/>
      <w:r w:rsidRPr="00E45F7E">
        <w:rPr>
          <w:rFonts w:ascii="Arial" w:eastAsia="Arial" w:hAnsi="Arial" w:cs="Arial"/>
        </w:rPr>
        <w:t>, and geological services.</w:t>
      </w:r>
    </w:p>
    <w:p w14:paraId="289CAFC8" w14:textId="77777777" w:rsidR="00881344" w:rsidRPr="00FF2FF6" w:rsidRDefault="00881344" w:rsidP="009B4D0C">
      <w:pPr>
        <w:spacing w:before="240" w:after="240" w:line="276" w:lineRule="auto"/>
        <w:jc w:val="both"/>
        <w:rPr>
          <w:rFonts w:ascii="Arial" w:eastAsia="Arial" w:hAnsi="Arial" w:cs="Arial"/>
        </w:rPr>
      </w:pPr>
      <w:r w:rsidRPr="00FF2FF6">
        <w:rPr>
          <w:rFonts w:ascii="Arial" w:eastAsia="Arial" w:hAnsi="Arial" w:cs="Arial"/>
        </w:rPr>
        <w:t>The ITIC currently hosts the UNESCO IOC Tsunami Ready web site, www. tsunamiready.org.  It includes a summary of the guidelines and application process, and information on recognized communities around the world. Through an external contract, the IOC with each ICG Tsunami Information Center, is developing an interactive map that will enable users to mouse-over to obtain metadata on Tsunami Ready communities.</w:t>
      </w:r>
    </w:p>
    <w:p w14:paraId="07812B0C" w14:textId="2403E38A" w:rsidR="00881344" w:rsidRPr="00881344" w:rsidRDefault="00881344" w:rsidP="009B4D0C">
      <w:pPr>
        <w:spacing w:before="240" w:after="240" w:line="259" w:lineRule="auto"/>
        <w:jc w:val="both"/>
        <w:rPr>
          <w:rFonts w:ascii="Arial" w:eastAsia="Arial" w:hAnsi="Arial" w:cs="Arial"/>
          <w:b/>
          <w:bCs/>
        </w:rPr>
      </w:pPr>
      <w:r>
        <w:rPr>
          <w:rFonts w:ascii="Arial" w:eastAsia="Arial" w:hAnsi="Arial" w:cs="Arial"/>
          <w:b/>
          <w:bCs/>
        </w:rPr>
        <w:t>Tsunami Ready Status</w:t>
      </w:r>
    </w:p>
    <w:p w14:paraId="2AB5FE39" w14:textId="1B93F94D" w:rsidR="00E45F7E" w:rsidRDefault="004435AA" w:rsidP="009B4D0C">
      <w:pPr>
        <w:spacing w:before="240" w:after="240" w:line="276" w:lineRule="auto"/>
        <w:jc w:val="both"/>
        <w:rPr>
          <w:rFonts w:ascii="Arial" w:eastAsia="Arial" w:hAnsi="Arial" w:cs="Arial"/>
        </w:rPr>
      </w:pPr>
      <w:r>
        <w:rPr>
          <w:rFonts w:ascii="Arial" w:eastAsia="Arial" w:hAnsi="Arial" w:cs="Arial"/>
        </w:rPr>
        <w:t xml:space="preserve">The following is a summary of the current status with regards to Tsunami Ready </w:t>
      </w:r>
      <w:r w:rsidR="00E45F7E">
        <w:rPr>
          <w:rFonts w:ascii="Arial" w:eastAsia="Arial" w:hAnsi="Arial" w:cs="Arial"/>
        </w:rPr>
        <w:t>as</w:t>
      </w:r>
      <w:r w:rsidR="004C0E8D">
        <w:rPr>
          <w:rFonts w:ascii="Arial" w:eastAsia="Arial" w:hAnsi="Arial" w:cs="Arial"/>
        </w:rPr>
        <w:t xml:space="preserve"> of February 2023.</w:t>
      </w:r>
      <w:r>
        <w:rPr>
          <w:rFonts w:ascii="Arial" w:eastAsia="Arial" w:hAnsi="Arial" w:cs="Arial"/>
        </w:rPr>
        <w:t xml:space="preserve"> </w:t>
      </w:r>
      <w:r w:rsidR="00E45F7E">
        <w:rPr>
          <w:rFonts w:ascii="Arial" w:eastAsia="Arial" w:hAnsi="Arial" w:cs="Arial"/>
        </w:rPr>
        <w:t xml:space="preserve">10 communities in 4 countries </w:t>
      </w:r>
      <w:r w:rsidR="00E45F7E" w:rsidRPr="00E45F7E">
        <w:rPr>
          <w:rFonts w:ascii="Arial" w:eastAsia="Arial" w:hAnsi="Arial" w:cs="Arial"/>
        </w:rPr>
        <w:t>(Honduras; El Salvador, Costa Rica, and Samoa)</w:t>
      </w:r>
      <w:r w:rsidR="00E45F7E">
        <w:rPr>
          <w:rFonts w:ascii="Arial" w:eastAsia="Arial" w:hAnsi="Arial" w:cs="Arial"/>
        </w:rPr>
        <w:t xml:space="preserve"> have official recognition under the pilot program. One further community has a confirmed plan to become recognized (Panama)</w:t>
      </w:r>
      <w:r w:rsidR="00E45F7E" w:rsidRPr="00E45F7E">
        <w:rPr>
          <w:rFonts w:ascii="Arial" w:eastAsia="Arial" w:hAnsi="Arial" w:cs="Arial"/>
        </w:rPr>
        <w:t xml:space="preserve"> and </w:t>
      </w:r>
      <w:r w:rsidR="00E45F7E">
        <w:rPr>
          <w:rFonts w:ascii="Arial" w:eastAsia="Arial" w:hAnsi="Arial" w:cs="Arial"/>
        </w:rPr>
        <w:t xml:space="preserve">there is </w:t>
      </w:r>
      <w:r w:rsidR="00E45F7E" w:rsidRPr="00E45F7E">
        <w:rPr>
          <w:rFonts w:ascii="Arial" w:eastAsia="Arial" w:hAnsi="Arial" w:cs="Arial"/>
        </w:rPr>
        <w:t>progress in the</w:t>
      </w:r>
      <w:r w:rsidR="00E45F7E">
        <w:rPr>
          <w:rFonts w:ascii="Arial" w:eastAsia="Arial" w:hAnsi="Arial" w:cs="Arial"/>
        </w:rPr>
        <w:t xml:space="preserve"> </w:t>
      </w:r>
      <w:r w:rsidR="00E45F7E" w:rsidRPr="00E45F7E">
        <w:rPr>
          <w:rFonts w:ascii="Arial" w:eastAsia="Arial" w:hAnsi="Arial" w:cs="Arial"/>
        </w:rPr>
        <w:t>implementation in 14 communities from 6 countries (Ecuador, Costa Rica, Marshall</w:t>
      </w:r>
      <w:r w:rsidR="00E45F7E">
        <w:rPr>
          <w:rFonts w:ascii="Arial" w:eastAsia="Arial" w:hAnsi="Arial" w:cs="Arial"/>
        </w:rPr>
        <w:t xml:space="preserve"> </w:t>
      </w:r>
      <w:r w:rsidR="00E45F7E" w:rsidRPr="00E45F7E">
        <w:rPr>
          <w:rFonts w:ascii="Arial" w:eastAsia="Arial" w:hAnsi="Arial" w:cs="Arial"/>
        </w:rPr>
        <w:t>Islands, Federated States of Micronesia). Recognition is expected to be completed in the</w:t>
      </w:r>
      <w:r w:rsidR="00E45F7E">
        <w:rPr>
          <w:rFonts w:ascii="Arial" w:eastAsia="Arial" w:hAnsi="Arial" w:cs="Arial"/>
        </w:rPr>
        <w:t xml:space="preserve"> </w:t>
      </w:r>
      <w:r w:rsidR="00E45F7E" w:rsidRPr="00E45F7E">
        <w:rPr>
          <w:rFonts w:ascii="Arial" w:eastAsia="Arial" w:hAnsi="Arial" w:cs="Arial"/>
        </w:rPr>
        <w:t>latter 14 communities in 2023 or early 2024</w:t>
      </w:r>
      <w:r w:rsidR="00E45F7E">
        <w:rPr>
          <w:rFonts w:ascii="Arial" w:eastAsia="Arial" w:hAnsi="Arial" w:cs="Arial"/>
        </w:rPr>
        <w:t>.</w:t>
      </w:r>
    </w:p>
    <w:p w14:paraId="244B14A3" w14:textId="78E752F7" w:rsidR="00455B3E" w:rsidRDefault="00455B3E" w:rsidP="00455B3E">
      <w:pPr>
        <w:spacing w:before="240" w:after="240" w:line="276" w:lineRule="auto"/>
        <w:jc w:val="both"/>
        <w:rPr>
          <w:rFonts w:ascii="Arial" w:eastAsia="Arial" w:hAnsi="Arial" w:cs="Arial"/>
        </w:rPr>
      </w:pPr>
      <w:r w:rsidRPr="00455B3E">
        <w:rPr>
          <w:rFonts w:ascii="Arial" w:eastAsia="Arial" w:hAnsi="Arial" w:cs="Arial"/>
        </w:rPr>
        <w:t>5</w:t>
      </w:r>
      <w:r w:rsidR="00885F5F">
        <w:rPr>
          <w:rFonts w:ascii="Arial" w:eastAsia="Arial" w:hAnsi="Arial" w:cs="Arial"/>
        </w:rPr>
        <w:t xml:space="preserve"> further</w:t>
      </w:r>
      <w:r w:rsidRPr="00455B3E">
        <w:rPr>
          <w:rFonts w:ascii="Arial" w:eastAsia="Arial" w:hAnsi="Arial" w:cs="Arial"/>
        </w:rPr>
        <w:t xml:space="preserve"> member states have expressed interest to implement Tsunami Ready: Vanuatu, Solomon Islands, Tonga, Samoa, and France (French Polynesia and Caledonia). Most countries have already achieved some of the TR indicators.</w:t>
      </w:r>
      <w:r>
        <w:rPr>
          <w:rFonts w:ascii="Arial" w:eastAsia="Arial" w:hAnsi="Arial" w:cs="Arial"/>
        </w:rPr>
        <w:t xml:space="preserve"> </w:t>
      </w:r>
    </w:p>
    <w:p w14:paraId="16CFC2A3" w14:textId="3B6A9B84" w:rsidR="003C74B8" w:rsidRDefault="003C74B8" w:rsidP="009B4D0C">
      <w:pPr>
        <w:spacing w:before="240" w:after="240" w:line="276" w:lineRule="auto"/>
        <w:jc w:val="both"/>
        <w:rPr>
          <w:rFonts w:ascii="Arial" w:eastAsia="Arial" w:hAnsi="Arial" w:cs="Arial"/>
        </w:rPr>
      </w:pPr>
    </w:p>
    <w:p w14:paraId="03DCE88E" w14:textId="77777777" w:rsidR="003C74B8" w:rsidRDefault="003C74B8" w:rsidP="009B4D0C">
      <w:pPr>
        <w:spacing w:before="240" w:after="240" w:line="276" w:lineRule="auto"/>
        <w:jc w:val="both"/>
        <w:rPr>
          <w:rFonts w:ascii="Arial" w:eastAsia="Arial" w:hAnsi="Arial" w:cs="Arial"/>
        </w:rPr>
      </w:pPr>
    </w:p>
    <w:tbl>
      <w:tblPr>
        <w:tblW w:w="900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2520"/>
        <w:gridCol w:w="2971"/>
        <w:gridCol w:w="1723"/>
      </w:tblGrid>
      <w:tr w:rsidR="003604C8" w14:paraId="654AF090" w14:textId="77777777" w:rsidTr="00E45F7E">
        <w:trPr>
          <w:trHeight w:val="457"/>
        </w:trPr>
        <w:tc>
          <w:tcPr>
            <w:tcW w:w="1795" w:type="dxa"/>
            <w:tcBorders>
              <w:top w:val="single" w:sz="4" w:space="0" w:color="000000"/>
              <w:left w:val="single" w:sz="4" w:space="0" w:color="000000"/>
              <w:bottom w:val="single" w:sz="4" w:space="0" w:color="000000"/>
              <w:right w:val="single" w:sz="4" w:space="0" w:color="000000"/>
            </w:tcBorders>
            <w:shd w:val="clear" w:color="auto" w:fill="D0CECE"/>
            <w:hideMark/>
          </w:tcPr>
          <w:p w14:paraId="3121E7A9" w14:textId="77777777" w:rsidR="003604C8" w:rsidRDefault="003604C8" w:rsidP="009B4D0C">
            <w:pPr>
              <w:pStyle w:val="TableParagraph"/>
              <w:spacing w:line="229" w:lineRule="exact"/>
              <w:ind w:left="513"/>
              <w:jc w:val="both"/>
              <w:rPr>
                <w:b/>
                <w:sz w:val="20"/>
              </w:rPr>
            </w:pPr>
            <w:r>
              <w:rPr>
                <w:b/>
                <w:sz w:val="20"/>
              </w:rPr>
              <w:lastRenderedPageBreak/>
              <w:t>Country</w:t>
            </w:r>
          </w:p>
        </w:tc>
        <w:tc>
          <w:tcPr>
            <w:tcW w:w="2520" w:type="dxa"/>
            <w:tcBorders>
              <w:top w:val="single" w:sz="4" w:space="0" w:color="000000"/>
              <w:left w:val="single" w:sz="4" w:space="0" w:color="000000"/>
              <w:bottom w:val="single" w:sz="4" w:space="0" w:color="000000"/>
              <w:right w:val="single" w:sz="4" w:space="0" w:color="000000"/>
            </w:tcBorders>
            <w:shd w:val="clear" w:color="auto" w:fill="D0CECE"/>
            <w:hideMark/>
          </w:tcPr>
          <w:p w14:paraId="7CC11768" w14:textId="77777777" w:rsidR="003604C8" w:rsidRDefault="003604C8" w:rsidP="009B4D0C">
            <w:pPr>
              <w:pStyle w:val="TableParagraph"/>
              <w:spacing w:line="229" w:lineRule="exact"/>
              <w:ind w:left="580"/>
              <w:jc w:val="both"/>
              <w:rPr>
                <w:b/>
                <w:sz w:val="20"/>
              </w:rPr>
            </w:pPr>
            <w:r>
              <w:rPr>
                <w:b/>
                <w:sz w:val="20"/>
              </w:rPr>
              <w:t>TR</w:t>
            </w:r>
            <w:r>
              <w:rPr>
                <w:b/>
                <w:spacing w:val="-5"/>
                <w:sz w:val="20"/>
              </w:rPr>
              <w:t xml:space="preserve"> </w:t>
            </w:r>
            <w:r>
              <w:rPr>
                <w:b/>
                <w:sz w:val="20"/>
              </w:rPr>
              <w:t>Completed</w:t>
            </w:r>
          </w:p>
        </w:tc>
        <w:tc>
          <w:tcPr>
            <w:tcW w:w="2971" w:type="dxa"/>
            <w:tcBorders>
              <w:top w:val="single" w:sz="4" w:space="0" w:color="000000"/>
              <w:left w:val="single" w:sz="4" w:space="0" w:color="000000"/>
              <w:bottom w:val="single" w:sz="4" w:space="0" w:color="000000"/>
              <w:right w:val="single" w:sz="4" w:space="0" w:color="000000"/>
            </w:tcBorders>
            <w:shd w:val="clear" w:color="auto" w:fill="D0CECE"/>
            <w:hideMark/>
          </w:tcPr>
          <w:p w14:paraId="16ABF465" w14:textId="77777777" w:rsidR="003604C8" w:rsidRDefault="003604C8" w:rsidP="009B4D0C">
            <w:pPr>
              <w:pStyle w:val="TableParagraph"/>
              <w:spacing w:line="229" w:lineRule="exact"/>
              <w:ind w:left="372"/>
              <w:jc w:val="both"/>
              <w:rPr>
                <w:b/>
                <w:sz w:val="20"/>
              </w:rPr>
            </w:pPr>
            <w:r>
              <w:rPr>
                <w:b/>
                <w:sz w:val="20"/>
              </w:rPr>
              <w:t>TR</w:t>
            </w:r>
            <w:r>
              <w:rPr>
                <w:b/>
                <w:spacing w:val="-4"/>
                <w:sz w:val="20"/>
              </w:rPr>
              <w:t xml:space="preserve"> </w:t>
            </w:r>
            <w:r>
              <w:rPr>
                <w:b/>
                <w:sz w:val="20"/>
              </w:rPr>
              <w:t>Underway</w:t>
            </w:r>
            <w:r>
              <w:rPr>
                <w:b/>
                <w:spacing w:val="-4"/>
                <w:sz w:val="20"/>
              </w:rPr>
              <w:t xml:space="preserve"> </w:t>
            </w:r>
            <w:r>
              <w:rPr>
                <w:b/>
                <w:sz w:val="20"/>
              </w:rPr>
              <w:t>/</w:t>
            </w:r>
            <w:r>
              <w:rPr>
                <w:b/>
                <w:spacing w:val="-1"/>
                <w:sz w:val="20"/>
              </w:rPr>
              <w:t xml:space="preserve"> </w:t>
            </w:r>
            <w:r>
              <w:rPr>
                <w:b/>
                <w:sz w:val="20"/>
              </w:rPr>
              <w:t>Planned</w:t>
            </w:r>
          </w:p>
        </w:tc>
        <w:tc>
          <w:tcPr>
            <w:tcW w:w="1723" w:type="dxa"/>
            <w:tcBorders>
              <w:top w:val="single" w:sz="4" w:space="0" w:color="000000"/>
              <w:left w:val="single" w:sz="4" w:space="0" w:color="000000"/>
              <w:bottom w:val="single" w:sz="4" w:space="0" w:color="000000"/>
              <w:right w:val="single" w:sz="4" w:space="0" w:color="000000"/>
            </w:tcBorders>
            <w:shd w:val="clear" w:color="auto" w:fill="D0CECE"/>
            <w:hideMark/>
          </w:tcPr>
          <w:p w14:paraId="5DCB8F72" w14:textId="77777777" w:rsidR="003604C8" w:rsidRDefault="003604C8" w:rsidP="009B4D0C">
            <w:pPr>
              <w:pStyle w:val="TableParagraph"/>
              <w:spacing w:line="228" w:lineRule="exact"/>
              <w:ind w:left="199" w:right="188" w:firstLine="110"/>
              <w:jc w:val="both"/>
              <w:rPr>
                <w:b/>
                <w:sz w:val="20"/>
              </w:rPr>
            </w:pPr>
            <w:r>
              <w:rPr>
                <w:b/>
                <w:sz w:val="20"/>
              </w:rPr>
              <w:t>Interest/ TR</w:t>
            </w:r>
            <w:r>
              <w:rPr>
                <w:b/>
                <w:spacing w:val="1"/>
                <w:sz w:val="20"/>
              </w:rPr>
              <w:t xml:space="preserve"> </w:t>
            </w:r>
            <w:r>
              <w:rPr>
                <w:b/>
                <w:spacing w:val="-1"/>
                <w:sz w:val="20"/>
              </w:rPr>
              <w:t>Planned</w:t>
            </w:r>
            <w:r>
              <w:rPr>
                <w:b/>
                <w:spacing w:val="-10"/>
                <w:sz w:val="20"/>
              </w:rPr>
              <w:t xml:space="preserve"> </w:t>
            </w:r>
            <w:r>
              <w:rPr>
                <w:b/>
                <w:sz w:val="20"/>
              </w:rPr>
              <w:t>Later</w:t>
            </w:r>
          </w:p>
        </w:tc>
      </w:tr>
      <w:tr w:rsidR="003604C8" w14:paraId="507F4515" w14:textId="77777777" w:rsidTr="00E45F7E">
        <w:trPr>
          <w:trHeight w:val="690"/>
        </w:trPr>
        <w:tc>
          <w:tcPr>
            <w:tcW w:w="1795" w:type="dxa"/>
            <w:tcBorders>
              <w:top w:val="single" w:sz="4" w:space="0" w:color="000000"/>
              <w:left w:val="single" w:sz="4" w:space="0" w:color="000000"/>
              <w:bottom w:val="single" w:sz="4" w:space="0" w:color="000000"/>
              <w:right w:val="single" w:sz="4" w:space="0" w:color="000000"/>
            </w:tcBorders>
          </w:tcPr>
          <w:p w14:paraId="15F01A50" w14:textId="77777777" w:rsidR="003604C8" w:rsidRPr="00F54887" w:rsidRDefault="003604C8" w:rsidP="009B4D0C">
            <w:pPr>
              <w:pStyle w:val="TableParagraph"/>
              <w:spacing w:before="11"/>
              <w:jc w:val="both"/>
              <w:rPr>
                <w:sz w:val="19"/>
              </w:rPr>
            </w:pPr>
          </w:p>
          <w:p w14:paraId="372E1966" w14:textId="77777777" w:rsidR="003604C8" w:rsidRPr="00F54887" w:rsidRDefault="003604C8" w:rsidP="009B4D0C">
            <w:pPr>
              <w:pStyle w:val="TableParagraph"/>
              <w:ind w:left="107"/>
              <w:jc w:val="both"/>
              <w:rPr>
                <w:sz w:val="20"/>
              </w:rPr>
            </w:pPr>
            <w:r w:rsidRPr="00F54887">
              <w:rPr>
                <w:sz w:val="20"/>
              </w:rPr>
              <w:t>Costa</w:t>
            </w:r>
            <w:r w:rsidRPr="00F54887">
              <w:rPr>
                <w:spacing w:val="-3"/>
                <w:sz w:val="20"/>
              </w:rPr>
              <w:t xml:space="preserve"> </w:t>
            </w:r>
            <w:r w:rsidRPr="00F54887">
              <w:rPr>
                <w:sz w:val="20"/>
              </w:rPr>
              <w:t>Rica</w:t>
            </w:r>
          </w:p>
        </w:tc>
        <w:tc>
          <w:tcPr>
            <w:tcW w:w="2520" w:type="dxa"/>
            <w:tcBorders>
              <w:top w:val="single" w:sz="4" w:space="0" w:color="000000"/>
              <w:left w:val="single" w:sz="4" w:space="0" w:color="000000"/>
              <w:bottom w:val="single" w:sz="4" w:space="0" w:color="000000"/>
              <w:right w:val="single" w:sz="4" w:space="0" w:color="000000"/>
            </w:tcBorders>
            <w:hideMark/>
          </w:tcPr>
          <w:p w14:paraId="7E912994" w14:textId="051189C0" w:rsidR="003604C8" w:rsidRPr="00F54887" w:rsidRDefault="003604C8" w:rsidP="009B4D0C">
            <w:pPr>
              <w:pStyle w:val="TableParagraph"/>
              <w:spacing w:line="229" w:lineRule="exact"/>
              <w:ind w:left="108"/>
              <w:jc w:val="both"/>
              <w:rPr>
                <w:sz w:val="20"/>
              </w:rPr>
            </w:pPr>
            <w:r w:rsidRPr="00F54887">
              <w:rPr>
                <w:sz w:val="20"/>
              </w:rPr>
              <w:t>6:</w:t>
            </w:r>
            <w:r w:rsidRPr="00F54887">
              <w:rPr>
                <w:spacing w:val="-4"/>
                <w:sz w:val="20"/>
              </w:rPr>
              <w:t xml:space="preserve"> </w:t>
            </w:r>
            <w:r w:rsidRPr="00F54887">
              <w:rPr>
                <w:sz w:val="20"/>
              </w:rPr>
              <w:t>Ostional,</w:t>
            </w:r>
            <w:r w:rsidRPr="00F54887">
              <w:rPr>
                <w:spacing w:val="-3"/>
                <w:sz w:val="20"/>
              </w:rPr>
              <w:t xml:space="preserve"> </w:t>
            </w:r>
            <w:r w:rsidRPr="00F54887">
              <w:rPr>
                <w:sz w:val="20"/>
              </w:rPr>
              <w:t>2017;</w:t>
            </w:r>
            <w:r w:rsidRPr="00F54887">
              <w:rPr>
                <w:spacing w:val="-2"/>
                <w:sz w:val="20"/>
              </w:rPr>
              <w:t xml:space="preserve"> </w:t>
            </w:r>
            <w:r w:rsidRPr="00F54887">
              <w:rPr>
                <w:sz w:val="20"/>
              </w:rPr>
              <w:t>El</w:t>
            </w:r>
          </w:p>
          <w:p w14:paraId="21F51691" w14:textId="77777777" w:rsidR="003604C8" w:rsidRPr="00F54887" w:rsidRDefault="003604C8" w:rsidP="009B4D0C">
            <w:pPr>
              <w:pStyle w:val="TableParagraph"/>
              <w:ind w:left="108"/>
              <w:jc w:val="both"/>
              <w:rPr>
                <w:sz w:val="20"/>
              </w:rPr>
            </w:pPr>
            <w:r w:rsidRPr="00F54887">
              <w:rPr>
                <w:sz w:val="20"/>
              </w:rPr>
              <w:t>Coco</w:t>
            </w:r>
            <w:r w:rsidRPr="00F54887">
              <w:rPr>
                <w:spacing w:val="-7"/>
                <w:sz w:val="20"/>
              </w:rPr>
              <w:t xml:space="preserve"> </w:t>
            </w:r>
            <w:r w:rsidRPr="00F54887">
              <w:rPr>
                <w:sz w:val="20"/>
              </w:rPr>
              <w:t>2019;</w:t>
            </w:r>
            <w:r w:rsidRPr="00F54887">
              <w:rPr>
                <w:spacing w:val="-4"/>
                <w:sz w:val="20"/>
              </w:rPr>
              <w:t xml:space="preserve"> </w:t>
            </w:r>
            <w:r w:rsidRPr="00F54887">
              <w:rPr>
                <w:sz w:val="20"/>
              </w:rPr>
              <w:t>Samara,</w:t>
            </w:r>
          </w:p>
          <w:p w14:paraId="526F7FA2" w14:textId="374C5935" w:rsidR="003604C8" w:rsidRPr="00F54887" w:rsidRDefault="003604C8" w:rsidP="009B4D0C">
            <w:pPr>
              <w:pStyle w:val="TableParagraph"/>
              <w:spacing w:before="1" w:line="211" w:lineRule="exact"/>
              <w:ind w:left="108"/>
              <w:jc w:val="both"/>
              <w:rPr>
                <w:sz w:val="20"/>
              </w:rPr>
            </w:pPr>
            <w:r w:rsidRPr="00F54887">
              <w:rPr>
                <w:sz w:val="20"/>
              </w:rPr>
              <w:t>2021;</w:t>
            </w:r>
            <w:r w:rsidRPr="00F54887">
              <w:rPr>
                <w:spacing w:val="-5"/>
                <w:sz w:val="20"/>
              </w:rPr>
              <w:t xml:space="preserve"> </w:t>
            </w:r>
            <w:r w:rsidRPr="00F54887">
              <w:rPr>
                <w:sz w:val="20"/>
              </w:rPr>
              <w:t>Tamarindo,</w:t>
            </w:r>
            <w:r w:rsidRPr="00F54887">
              <w:rPr>
                <w:spacing w:val="-2"/>
                <w:sz w:val="20"/>
              </w:rPr>
              <w:t xml:space="preserve"> </w:t>
            </w:r>
            <w:r w:rsidRPr="00F54887">
              <w:rPr>
                <w:sz w:val="20"/>
              </w:rPr>
              <w:t xml:space="preserve">2021; Quepos; </w:t>
            </w:r>
            <w:proofErr w:type="spellStart"/>
            <w:r w:rsidRPr="00F54887">
              <w:rPr>
                <w:sz w:val="20"/>
              </w:rPr>
              <w:t>Uvita</w:t>
            </w:r>
            <w:proofErr w:type="spellEnd"/>
          </w:p>
        </w:tc>
        <w:tc>
          <w:tcPr>
            <w:tcW w:w="2971" w:type="dxa"/>
            <w:tcBorders>
              <w:top w:val="single" w:sz="4" w:space="0" w:color="000000"/>
              <w:left w:val="single" w:sz="4" w:space="0" w:color="000000"/>
              <w:bottom w:val="single" w:sz="4" w:space="0" w:color="000000"/>
              <w:right w:val="single" w:sz="4" w:space="0" w:color="000000"/>
            </w:tcBorders>
            <w:hideMark/>
          </w:tcPr>
          <w:p w14:paraId="1A804438" w14:textId="5BF0C805" w:rsidR="003604C8" w:rsidRPr="00F54887" w:rsidRDefault="003604C8" w:rsidP="009B4D0C">
            <w:pPr>
              <w:pStyle w:val="TableParagraph"/>
              <w:spacing w:before="114"/>
              <w:ind w:left="107" w:right="199"/>
              <w:jc w:val="both"/>
              <w:rPr>
                <w:sz w:val="20"/>
              </w:rPr>
            </w:pPr>
            <w:r w:rsidRPr="00F54887">
              <w:rPr>
                <w:sz w:val="20"/>
              </w:rPr>
              <w:t>5: Hermosa (</w:t>
            </w:r>
            <w:proofErr w:type="spellStart"/>
            <w:r w:rsidRPr="00F54887">
              <w:rPr>
                <w:sz w:val="20"/>
              </w:rPr>
              <w:t>Carillo</w:t>
            </w:r>
            <w:proofErr w:type="spellEnd"/>
            <w:r w:rsidRPr="00F54887">
              <w:rPr>
                <w:sz w:val="20"/>
              </w:rPr>
              <w:t xml:space="preserve">), Puerto Jimenez, </w:t>
            </w:r>
            <w:proofErr w:type="spellStart"/>
            <w:r w:rsidRPr="00F54887">
              <w:rPr>
                <w:sz w:val="20"/>
              </w:rPr>
              <w:t>Tivives</w:t>
            </w:r>
            <w:proofErr w:type="spellEnd"/>
            <w:r w:rsidRPr="00F54887">
              <w:rPr>
                <w:sz w:val="20"/>
              </w:rPr>
              <w:t>, Dominical, Cahuita</w:t>
            </w:r>
          </w:p>
        </w:tc>
        <w:tc>
          <w:tcPr>
            <w:tcW w:w="1723" w:type="dxa"/>
            <w:tcBorders>
              <w:top w:val="single" w:sz="4" w:space="0" w:color="000000"/>
              <w:left w:val="single" w:sz="4" w:space="0" w:color="000000"/>
              <w:bottom w:val="single" w:sz="4" w:space="0" w:color="000000"/>
              <w:right w:val="single" w:sz="4" w:space="0" w:color="000000"/>
            </w:tcBorders>
            <w:hideMark/>
          </w:tcPr>
          <w:p w14:paraId="45C5CE11" w14:textId="77777777" w:rsidR="003604C8" w:rsidRPr="00F54887" w:rsidRDefault="003604C8" w:rsidP="009B4D0C">
            <w:pPr>
              <w:pStyle w:val="TableParagraph"/>
              <w:spacing w:before="114"/>
              <w:ind w:left="105" w:right="476"/>
              <w:jc w:val="both"/>
              <w:rPr>
                <w:sz w:val="20"/>
              </w:rPr>
            </w:pPr>
            <w:r w:rsidRPr="00F54887">
              <w:rPr>
                <w:sz w:val="20"/>
              </w:rPr>
              <w:t>42 other</w:t>
            </w:r>
            <w:r w:rsidRPr="00F54887">
              <w:rPr>
                <w:spacing w:val="1"/>
                <w:sz w:val="20"/>
              </w:rPr>
              <w:t xml:space="preserve"> </w:t>
            </w:r>
            <w:r w:rsidRPr="00F54887">
              <w:rPr>
                <w:spacing w:val="-1"/>
                <w:sz w:val="20"/>
              </w:rPr>
              <w:t>communities</w:t>
            </w:r>
          </w:p>
        </w:tc>
      </w:tr>
      <w:tr w:rsidR="003604C8" w14:paraId="622C6137" w14:textId="77777777" w:rsidTr="00E45F7E">
        <w:trPr>
          <w:trHeight w:val="690"/>
        </w:trPr>
        <w:tc>
          <w:tcPr>
            <w:tcW w:w="1795" w:type="dxa"/>
            <w:tcBorders>
              <w:top w:val="single" w:sz="4" w:space="0" w:color="000000"/>
              <w:left w:val="single" w:sz="4" w:space="0" w:color="000000"/>
              <w:bottom w:val="single" w:sz="4" w:space="0" w:color="000000"/>
              <w:right w:val="single" w:sz="4" w:space="0" w:color="000000"/>
            </w:tcBorders>
          </w:tcPr>
          <w:p w14:paraId="3D8A077A" w14:textId="77777777" w:rsidR="003604C8" w:rsidRPr="00F54887" w:rsidRDefault="003604C8" w:rsidP="009B4D0C">
            <w:pPr>
              <w:pStyle w:val="TableParagraph"/>
              <w:spacing w:before="11"/>
              <w:jc w:val="both"/>
              <w:rPr>
                <w:sz w:val="19"/>
              </w:rPr>
            </w:pPr>
          </w:p>
          <w:p w14:paraId="734DACC8" w14:textId="77777777" w:rsidR="003604C8" w:rsidRPr="00F54887" w:rsidRDefault="003604C8" w:rsidP="009B4D0C">
            <w:pPr>
              <w:pStyle w:val="TableParagraph"/>
              <w:ind w:left="107"/>
              <w:jc w:val="both"/>
              <w:rPr>
                <w:sz w:val="20"/>
              </w:rPr>
            </w:pPr>
            <w:r w:rsidRPr="00F54887">
              <w:rPr>
                <w:sz w:val="20"/>
              </w:rPr>
              <w:t>Ecuador</w:t>
            </w:r>
          </w:p>
        </w:tc>
        <w:tc>
          <w:tcPr>
            <w:tcW w:w="2520" w:type="dxa"/>
            <w:tcBorders>
              <w:top w:val="single" w:sz="4" w:space="0" w:color="000000"/>
              <w:left w:val="single" w:sz="4" w:space="0" w:color="000000"/>
              <w:bottom w:val="single" w:sz="4" w:space="0" w:color="000000"/>
              <w:right w:val="single" w:sz="4" w:space="0" w:color="000000"/>
            </w:tcBorders>
          </w:tcPr>
          <w:p w14:paraId="05EA7038" w14:textId="77777777" w:rsidR="003604C8" w:rsidRPr="00F54887" w:rsidRDefault="003604C8" w:rsidP="009B4D0C">
            <w:pPr>
              <w:pStyle w:val="TableParagraph"/>
              <w:jc w:val="both"/>
              <w:rPr>
                <w:rFonts w:ascii="Times New Roman"/>
              </w:rPr>
            </w:pPr>
          </w:p>
        </w:tc>
        <w:tc>
          <w:tcPr>
            <w:tcW w:w="2971" w:type="dxa"/>
            <w:tcBorders>
              <w:top w:val="single" w:sz="4" w:space="0" w:color="000000"/>
              <w:left w:val="single" w:sz="4" w:space="0" w:color="000000"/>
              <w:bottom w:val="single" w:sz="4" w:space="0" w:color="000000"/>
              <w:right w:val="single" w:sz="4" w:space="0" w:color="000000"/>
            </w:tcBorders>
            <w:hideMark/>
          </w:tcPr>
          <w:p w14:paraId="212828B2" w14:textId="4325DFAF" w:rsidR="003604C8" w:rsidRPr="00F54887" w:rsidRDefault="003604C8" w:rsidP="009B4D0C">
            <w:pPr>
              <w:pStyle w:val="TableParagraph"/>
              <w:spacing w:line="230" w:lineRule="exact"/>
              <w:ind w:left="107" w:right="976"/>
              <w:jc w:val="both"/>
              <w:rPr>
                <w:sz w:val="20"/>
              </w:rPr>
            </w:pPr>
            <w:r w:rsidRPr="00F54887">
              <w:rPr>
                <w:sz w:val="20"/>
              </w:rPr>
              <w:t>Cristobal,</w:t>
            </w:r>
            <w:r w:rsidRPr="00F54887">
              <w:rPr>
                <w:spacing w:val="-10"/>
                <w:sz w:val="20"/>
              </w:rPr>
              <w:t xml:space="preserve"> </w:t>
            </w:r>
            <w:r w:rsidRPr="00F54887">
              <w:rPr>
                <w:sz w:val="20"/>
              </w:rPr>
              <w:t>Galapagos</w:t>
            </w:r>
          </w:p>
          <w:p w14:paraId="52068D97" w14:textId="77777777" w:rsidR="003604C8" w:rsidRPr="00F54887" w:rsidRDefault="003604C8" w:rsidP="009B4D0C">
            <w:pPr>
              <w:pStyle w:val="TableParagraph"/>
              <w:spacing w:line="230" w:lineRule="exact"/>
              <w:ind w:left="107" w:right="976"/>
              <w:jc w:val="both"/>
              <w:rPr>
                <w:sz w:val="20"/>
                <w:lang w:val="en-NZ"/>
              </w:rPr>
            </w:pPr>
            <w:r w:rsidRPr="00F54887">
              <w:rPr>
                <w:sz w:val="20"/>
              </w:rPr>
              <w:t xml:space="preserve">Puerto </w:t>
            </w:r>
            <w:proofErr w:type="spellStart"/>
            <w:r w:rsidRPr="00F54887">
              <w:rPr>
                <w:sz w:val="20"/>
              </w:rPr>
              <w:t>Ayora</w:t>
            </w:r>
            <w:proofErr w:type="spellEnd"/>
            <w:r w:rsidRPr="00F54887">
              <w:rPr>
                <w:sz w:val="20"/>
              </w:rPr>
              <w:t xml:space="preserve">, Puerto </w:t>
            </w:r>
            <w:proofErr w:type="spellStart"/>
            <w:r w:rsidRPr="00F54887">
              <w:rPr>
                <w:sz w:val="20"/>
              </w:rPr>
              <w:t>Baquerizo</w:t>
            </w:r>
            <w:proofErr w:type="spellEnd"/>
            <w:r w:rsidRPr="00F54887">
              <w:rPr>
                <w:sz w:val="20"/>
              </w:rPr>
              <w:t xml:space="preserve"> Moreno, Puerto </w:t>
            </w:r>
            <w:proofErr w:type="spellStart"/>
            <w:r w:rsidRPr="00F54887">
              <w:rPr>
                <w:sz w:val="20"/>
              </w:rPr>
              <w:t>Villamil</w:t>
            </w:r>
            <w:proofErr w:type="spellEnd"/>
          </w:p>
          <w:p w14:paraId="0DDFB5B1" w14:textId="3F364CAC" w:rsidR="003604C8" w:rsidRPr="00F54887" w:rsidRDefault="003604C8" w:rsidP="009B4D0C">
            <w:pPr>
              <w:pStyle w:val="TableParagraph"/>
              <w:spacing w:line="230" w:lineRule="exact"/>
              <w:ind w:left="107" w:right="976"/>
              <w:jc w:val="both"/>
              <w:rPr>
                <w:sz w:val="20"/>
              </w:rPr>
            </w:pPr>
          </w:p>
        </w:tc>
        <w:tc>
          <w:tcPr>
            <w:tcW w:w="1723" w:type="dxa"/>
            <w:tcBorders>
              <w:top w:val="single" w:sz="4" w:space="0" w:color="000000"/>
              <w:left w:val="single" w:sz="4" w:space="0" w:color="000000"/>
              <w:bottom w:val="single" w:sz="4" w:space="0" w:color="000000"/>
              <w:right w:val="single" w:sz="4" w:space="0" w:color="000000"/>
            </w:tcBorders>
            <w:hideMark/>
          </w:tcPr>
          <w:p w14:paraId="5A49F442" w14:textId="1F031332" w:rsidR="003604C8" w:rsidRPr="00F54887" w:rsidRDefault="003604C8" w:rsidP="009B4D0C">
            <w:pPr>
              <w:pStyle w:val="TableParagraph"/>
              <w:spacing w:before="114"/>
              <w:ind w:left="105" w:right="629"/>
              <w:jc w:val="both"/>
              <w:rPr>
                <w:sz w:val="20"/>
              </w:rPr>
            </w:pPr>
          </w:p>
        </w:tc>
      </w:tr>
      <w:tr w:rsidR="003604C8" w14:paraId="5691646B" w14:textId="77777777" w:rsidTr="00E45F7E">
        <w:trPr>
          <w:trHeight w:val="460"/>
        </w:trPr>
        <w:tc>
          <w:tcPr>
            <w:tcW w:w="1795" w:type="dxa"/>
            <w:tcBorders>
              <w:top w:val="single" w:sz="4" w:space="0" w:color="000000"/>
              <w:left w:val="single" w:sz="4" w:space="0" w:color="000000"/>
              <w:bottom w:val="single" w:sz="4" w:space="0" w:color="000000"/>
              <w:right w:val="single" w:sz="4" w:space="0" w:color="000000"/>
            </w:tcBorders>
            <w:hideMark/>
          </w:tcPr>
          <w:p w14:paraId="5B9A61A2" w14:textId="77777777" w:rsidR="003604C8" w:rsidRPr="00F54887" w:rsidRDefault="003604C8" w:rsidP="009B4D0C">
            <w:pPr>
              <w:pStyle w:val="TableParagraph"/>
              <w:spacing w:before="114"/>
              <w:ind w:left="107"/>
              <w:jc w:val="both"/>
              <w:rPr>
                <w:sz w:val="20"/>
              </w:rPr>
            </w:pPr>
            <w:r w:rsidRPr="00F54887">
              <w:rPr>
                <w:sz w:val="20"/>
              </w:rPr>
              <w:t>El</w:t>
            </w:r>
            <w:r w:rsidRPr="00F54887">
              <w:rPr>
                <w:spacing w:val="-5"/>
                <w:sz w:val="20"/>
              </w:rPr>
              <w:t xml:space="preserve"> </w:t>
            </w:r>
            <w:r w:rsidRPr="00F54887">
              <w:rPr>
                <w:sz w:val="20"/>
              </w:rPr>
              <w:t>Salvador</w:t>
            </w:r>
          </w:p>
        </w:tc>
        <w:tc>
          <w:tcPr>
            <w:tcW w:w="2520" w:type="dxa"/>
            <w:tcBorders>
              <w:top w:val="single" w:sz="4" w:space="0" w:color="000000"/>
              <w:left w:val="single" w:sz="4" w:space="0" w:color="000000"/>
              <w:bottom w:val="single" w:sz="4" w:space="0" w:color="000000"/>
              <w:right w:val="single" w:sz="4" w:space="0" w:color="000000"/>
            </w:tcBorders>
            <w:hideMark/>
          </w:tcPr>
          <w:p w14:paraId="4CA057D9" w14:textId="77777777" w:rsidR="003604C8" w:rsidRPr="00F54887" w:rsidRDefault="003604C8" w:rsidP="009B4D0C">
            <w:pPr>
              <w:pStyle w:val="TableParagraph"/>
              <w:spacing w:line="229" w:lineRule="exact"/>
              <w:ind w:left="108"/>
              <w:jc w:val="both"/>
              <w:rPr>
                <w:sz w:val="20"/>
              </w:rPr>
            </w:pPr>
            <w:r w:rsidRPr="00F54887">
              <w:rPr>
                <w:sz w:val="20"/>
              </w:rPr>
              <w:t>2:</w:t>
            </w:r>
            <w:r w:rsidRPr="00F54887">
              <w:rPr>
                <w:spacing w:val="-4"/>
                <w:sz w:val="20"/>
              </w:rPr>
              <w:t xml:space="preserve"> </w:t>
            </w:r>
            <w:r w:rsidRPr="00F54887">
              <w:rPr>
                <w:sz w:val="20"/>
              </w:rPr>
              <w:t>La</w:t>
            </w:r>
            <w:r w:rsidRPr="00F54887">
              <w:rPr>
                <w:spacing w:val="-2"/>
                <w:sz w:val="20"/>
              </w:rPr>
              <w:t xml:space="preserve"> </w:t>
            </w:r>
            <w:r w:rsidRPr="00F54887">
              <w:rPr>
                <w:sz w:val="20"/>
              </w:rPr>
              <w:t>Libertad,</w:t>
            </w:r>
          </w:p>
          <w:p w14:paraId="3E56EB0F" w14:textId="77777777" w:rsidR="003604C8" w:rsidRPr="00F54887" w:rsidRDefault="003604C8" w:rsidP="009B4D0C">
            <w:pPr>
              <w:pStyle w:val="TableParagraph"/>
              <w:spacing w:line="211" w:lineRule="exact"/>
              <w:ind w:left="108"/>
              <w:jc w:val="both"/>
              <w:rPr>
                <w:sz w:val="20"/>
              </w:rPr>
            </w:pPr>
            <w:proofErr w:type="spellStart"/>
            <w:r w:rsidRPr="00F54887">
              <w:rPr>
                <w:sz w:val="20"/>
              </w:rPr>
              <w:t>Tamanique</w:t>
            </w:r>
            <w:proofErr w:type="spellEnd"/>
            <w:r w:rsidRPr="00F54887">
              <w:rPr>
                <w:sz w:val="20"/>
              </w:rPr>
              <w:t>,</w:t>
            </w:r>
            <w:r w:rsidRPr="00F54887">
              <w:rPr>
                <w:spacing w:val="-4"/>
                <w:sz w:val="20"/>
              </w:rPr>
              <w:t xml:space="preserve"> </w:t>
            </w:r>
            <w:r w:rsidRPr="00F54887">
              <w:rPr>
                <w:sz w:val="20"/>
              </w:rPr>
              <w:t>2019</w:t>
            </w:r>
          </w:p>
        </w:tc>
        <w:tc>
          <w:tcPr>
            <w:tcW w:w="2971" w:type="dxa"/>
            <w:tcBorders>
              <w:top w:val="single" w:sz="4" w:space="0" w:color="000000"/>
              <w:left w:val="single" w:sz="4" w:space="0" w:color="000000"/>
              <w:bottom w:val="single" w:sz="4" w:space="0" w:color="000000"/>
              <w:right w:val="single" w:sz="4" w:space="0" w:color="000000"/>
            </w:tcBorders>
          </w:tcPr>
          <w:p w14:paraId="27848660" w14:textId="77777777" w:rsidR="003604C8" w:rsidRPr="00F54887" w:rsidRDefault="003604C8" w:rsidP="009B4D0C">
            <w:pPr>
              <w:pStyle w:val="TableParagraph"/>
              <w:jc w:val="both"/>
              <w:rPr>
                <w:rFonts w:ascii="Times New Roman"/>
              </w:rPr>
            </w:pPr>
          </w:p>
        </w:tc>
        <w:tc>
          <w:tcPr>
            <w:tcW w:w="1723" w:type="dxa"/>
            <w:tcBorders>
              <w:top w:val="single" w:sz="4" w:space="0" w:color="000000"/>
              <w:left w:val="single" w:sz="4" w:space="0" w:color="000000"/>
              <w:bottom w:val="single" w:sz="4" w:space="0" w:color="000000"/>
              <w:right w:val="single" w:sz="4" w:space="0" w:color="000000"/>
            </w:tcBorders>
            <w:hideMark/>
          </w:tcPr>
          <w:p w14:paraId="2223E83E" w14:textId="77777777" w:rsidR="003604C8" w:rsidRPr="00F54887" w:rsidRDefault="003604C8" w:rsidP="009B4D0C">
            <w:pPr>
              <w:pStyle w:val="TableParagraph"/>
              <w:spacing w:before="114"/>
              <w:ind w:left="105"/>
              <w:jc w:val="both"/>
              <w:rPr>
                <w:sz w:val="20"/>
              </w:rPr>
            </w:pPr>
            <w:r w:rsidRPr="00F54887">
              <w:rPr>
                <w:sz w:val="20"/>
              </w:rPr>
              <w:t>Isla</w:t>
            </w:r>
            <w:r w:rsidRPr="00F54887">
              <w:rPr>
                <w:spacing w:val="-4"/>
                <w:sz w:val="20"/>
              </w:rPr>
              <w:t xml:space="preserve"> </w:t>
            </w:r>
            <w:r w:rsidRPr="00F54887">
              <w:rPr>
                <w:sz w:val="20"/>
              </w:rPr>
              <w:t>Mendez</w:t>
            </w:r>
          </w:p>
        </w:tc>
      </w:tr>
      <w:tr w:rsidR="003604C8" w14:paraId="0AED6C75" w14:textId="77777777" w:rsidTr="00E45F7E">
        <w:trPr>
          <w:trHeight w:val="460"/>
        </w:trPr>
        <w:tc>
          <w:tcPr>
            <w:tcW w:w="1795" w:type="dxa"/>
            <w:tcBorders>
              <w:top w:val="single" w:sz="4" w:space="0" w:color="000000"/>
              <w:left w:val="single" w:sz="4" w:space="0" w:color="000000"/>
              <w:bottom w:val="single" w:sz="4" w:space="0" w:color="000000"/>
              <w:right w:val="single" w:sz="4" w:space="0" w:color="000000"/>
            </w:tcBorders>
          </w:tcPr>
          <w:p w14:paraId="7DAF0E13" w14:textId="3664E775" w:rsidR="003604C8" w:rsidRPr="00F54887" w:rsidRDefault="003604C8" w:rsidP="009B4D0C">
            <w:pPr>
              <w:pStyle w:val="TableParagraph"/>
              <w:spacing w:before="114"/>
              <w:ind w:left="107"/>
              <w:jc w:val="both"/>
              <w:rPr>
                <w:sz w:val="20"/>
              </w:rPr>
            </w:pPr>
            <w:r w:rsidRPr="00F54887">
              <w:rPr>
                <w:sz w:val="20"/>
              </w:rPr>
              <w:t>Federated States of Micronesia</w:t>
            </w:r>
          </w:p>
        </w:tc>
        <w:tc>
          <w:tcPr>
            <w:tcW w:w="2520" w:type="dxa"/>
            <w:tcBorders>
              <w:top w:val="single" w:sz="4" w:space="0" w:color="000000"/>
              <w:left w:val="single" w:sz="4" w:space="0" w:color="000000"/>
              <w:bottom w:val="single" w:sz="4" w:space="0" w:color="000000"/>
              <w:right w:val="single" w:sz="4" w:space="0" w:color="000000"/>
            </w:tcBorders>
          </w:tcPr>
          <w:p w14:paraId="3FBBE24B" w14:textId="77777777" w:rsidR="003604C8" w:rsidRPr="00F54887" w:rsidRDefault="003604C8" w:rsidP="009B4D0C">
            <w:pPr>
              <w:pStyle w:val="TableParagraph"/>
              <w:spacing w:line="229" w:lineRule="exact"/>
              <w:ind w:left="108"/>
              <w:jc w:val="both"/>
              <w:rPr>
                <w:sz w:val="20"/>
              </w:rPr>
            </w:pPr>
          </w:p>
        </w:tc>
        <w:tc>
          <w:tcPr>
            <w:tcW w:w="2971" w:type="dxa"/>
            <w:tcBorders>
              <w:top w:val="single" w:sz="4" w:space="0" w:color="000000"/>
              <w:left w:val="single" w:sz="4" w:space="0" w:color="000000"/>
              <w:bottom w:val="single" w:sz="4" w:space="0" w:color="000000"/>
              <w:right w:val="single" w:sz="4" w:space="0" w:color="000000"/>
            </w:tcBorders>
          </w:tcPr>
          <w:p w14:paraId="25E52699" w14:textId="1DF2364C" w:rsidR="003604C8" w:rsidRPr="00F54887" w:rsidRDefault="003604C8" w:rsidP="009B4D0C">
            <w:pPr>
              <w:pStyle w:val="TableParagraph"/>
              <w:jc w:val="both"/>
              <w:rPr>
                <w:sz w:val="20"/>
                <w:szCs w:val="20"/>
              </w:rPr>
            </w:pPr>
            <w:r w:rsidRPr="00F54887">
              <w:rPr>
                <w:sz w:val="20"/>
                <w:szCs w:val="20"/>
              </w:rPr>
              <w:t>Chuuk, Pohnpei, Yap</w:t>
            </w:r>
          </w:p>
        </w:tc>
        <w:tc>
          <w:tcPr>
            <w:tcW w:w="1723" w:type="dxa"/>
            <w:tcBorders>
              <w:top w:val="single" w:sz="4" w:space="0" w:color="000000"/>
              <w:left w:val="single" w:sz="4" w:space="0" w:color="000000"/>
              <w:bottom w:val="single" w:sz="4" w:space="0" w:color="000000"/>
              <w:right w:val="single" w:sz="4" w:space="0" w:color="000000"/>
            </w:tcBorders>
          </w:tcPr>
          <w:p w14:paraId="63067CC5" w14:textId="77777777" w:rsidR="003604C8" w:rsidRPr="00F54887" w:rsidRDefault="003604C8" w:rsidP="009B4D0C">
            <w:pPr>
              <w:pStyle w:val="TableParagraph"/>
              <w:spacing w:before="114"/>
              <w:ind w:left="105"/>
              <w:jc w:val="both"/>
              <w:rPr>
                <w:sz w:val="20"/>
              </w:rPr>
            </w:pPr>
          </w:p>
        </w:tc>
      </w:tr>
      <w:tr w:rsidR="003604C8" w14:paraId="728B04D7" w14:textId="77777777" w:rsidTr="00E45F7E">
        <w:trPr>
          <w:trHeight w:val="688"/>
        </w:trPr>
        <w:tc>
          <w:tcPr>
            <w:tcW w:w="1795" w:type="dxa"/>
            <w:tcBorders>
              <w:top w:val="single" w:sz="4" w:space="0" w:color="000000"/>
              <w:left w:val="single" w:sz="4" w:space="0" w:color="000000"/>
              <w:bottom w:val="single" w:sz="4" w:space="0" w:color="000000"/>
              <w:right w:val="single" w:sz="4" w:space="0" w:color="000000"/>
            </w:tcBorders>
          </w:tcPr>
          <w:p w14:paraId="22C64B2B" w14:textId="77777777" w:rsidR="003604C8" w:rsidRPr="00F54887" w:rsidRDefault="003604C8" w:rsidP="009B4D0C">
            <w:pPr>
              <w:pStyle w:val="TableParagraph"/>
              <w:spacing w:before="8"/>
              <w:jc w:val="both"/>
              <w:rPr>
                <w:sz w:val="19"/>
              </w:rPr>
            </w:pPr>
          </w:p>
          <w:p w14:paraId="2C3E727C" w14:textId="77777777" w:rsidR="003604C8" w:rsidRPr="00F54887" w:rsidRDefault="003604C8" w:rsidP="009B4D0C">
            <w:pPr>
              <w:pStyle w:val="TableParagraph"/>
              <w:spacing w:before="1"/>
              <w:ind w:left="107"/>
              <w:jc w:val="both"/>
              <w:rPr>
                <w:sz w:val="20"/>
              </w:rPr>
            </w:pPr>
            <w:r w:rsidRPr="00F54887">
              <w:rPr>
                <w:sz w:val="20"/>
              </w:rPr>
              <w:t>Fiji</w:t>
            </w:r>
          </w:p>
        </w:tc>
        <w:tc>
          <w:tcPr>
            <w:tcW w:w="2520" w:type="dxa"/>
            <w:tcBorders>
              <w:top w:val="single" w:sz="4" w:space="0" w:color="000000"/>
              <w:left w:val="single" w:sz="4" w:space="0" w:color="000000"/>
              <w:bottom w:val="single" w:sz="4" w:space="0" w:color="000000"/>
              <w:right w:val="single" w:sz="4" w:space="0" w:color="000000"/>
            </w:tcBorders>
          </w:tcPr>
          <w:p w14:paraId="72BACBEC" w14:textId="77777777" w:rsidR="003604C8" w:rsidRPr="00F54887" w:rsidRDefault="003604C8" w:rsidP="009B4D0C">
            <w:pPr>
              <w:pStyle w:val="TableParagraph"/>
              <w:jc w:val="both"/>
              <w:rPr>
                <w:rFonts w:ascii="Times New Roman"/>
              </w:rPr>
            </w:pPr>
          </w:p>
        </w:tc>
        <w:tc>
          <w:tcPr>
            <w:tcW w:w="2971" w:type="dxa"/>
            <w:tcBorders>
              <w:top w:val="single" w:sz="4" w:space="0" w:color="000000"/>
              <w:left w:val="single" w:sz="4" w:space="0" w:color="000000"/>
              <w:bottom w:val="single" w:sz="4" w:space="0" w:color="000000"/>
              <w:right w:val="single" w:sz="4" w:space="0" w:color="000000"/>
            </w:tcBorders>
          </w:tcPr>
          <w:p w14:paraId="032E0484" w14:textId="77777777" w:rsidR="003604C8" w:rsidRPr="00F54887" w:rsidRDefault="003604C8" w:rsidP="009B4D0C">
            <w:pPr>
              <w:pStyle w:val="TableParagraph"/>
              <w:spacing w:before="8"/>
              <w:jc w:val="both"/>
              <w:rPr>
                <w:sz w:val="19"/>
              </w:rPr>
            </w:pPr>
          </w:p>
          <w:p w14:paraId="176FDF19" w14:textId="77777777" w:rsidR="003604C8" w:rsidRPr="00F54887" w:rsidRDefault="003604C8" w:rsidP="009B4D0C">
            <w:pPr>
              <w:pStyle w:val="TableParagraph"/>
              <w:spacing w:before="1"/>
              <w:ind w:left="108"/>
              <w:jc w:val="both"/>
              <w:rPr>
                <w:sz w:val="20"/>
              </w:rPr>
            </w:pPr>
            <w:r w:rsidRPr="00F54887">
              <w:rPr>
                <w:sz w:val="20"/>
              </w:rPr>
              <w:t>2:</w:t>
            </w:r>
            <w:r w:rsidRPr="00F54887">
              <w:rPr>
                <w:spacing w:val="-5"/>
                <w:sz w:val="20"/>
              </w:rPr>
              <w:t xml:space="preserve"> </w:t>
            </w:r>
            <w:r w:rsidRPr="00F54887">
              <w:rPr>
                <w:sz w:val="20"/>
              </w:rPr>
              <w:t>Ono-</w:t>
            </w:r>
            <w:proofErr w:type="spellStart"/>
            <w:r w:rsidRPr="00F54887">
              <w:rPr>
                <w:sz w:val="20"/>
              </w:rPr>
              <w:t>i</w:t>
            </w:r>
            <w:proofErr w:type="spellEnd"/>
            <w:r w:rsidRPr="00F54887">
              <w:rPr>
                <w:sz w:val="20"/>
              </w:rPr>
              <w:t>-Lau,</w:t>
            </w:r>
            <w:r w:rsidRPr="00F54887">
              <w:rPr>
                <w:spacing w:val="-3"/>
                <w:sz w:val="20"/>
              </w:rPr>
              <w:t xml:space="preserve"> </w:t>
            </w:r>
            <w:proofErr w:type="spellStart"/>
            <w:r w:rsidRPr="00F54887">
              <w:rPr>
                <w:sz w:val="20"/>
              </w:rPr>
              <w:t>Yasawa</w:t>
            </w:r>
            <w:proofErr w:type="spellEnd"/>
            <w:r w:rsidRPr="00F54887">
              <w:rPr>
                <w:sz w:val="20"/>
              </w:rPr>
              <w:t>-</w:t>
            </w:r>
            <w:proofErr w:type="spellStart"/>
            <w:r w:rsidRPr="00F54887">
              <w:rPr>
                <w:sz w:val="20"/>
              </w:rPr>
              <w:t>i</w:t>
            </w:r>
            <w:proofErr w:type="spellEnd"/>
            <w:r w:rsidRPr="00F54887">
              <w:rPr>
                <w:sz w:val="20"/>
              </w:rPr>
              <w:t>-rara</w:t>
            </w:r>
          </w:p>
        </w:tc>
        <w:tc>
          <w:tcPr>
            <w:tcW w:w="1723" w:type="dxa"/>
            <w:tcBorders>
              <w:top w:val="single" w:sz="4" w:space="0" w:color="000000"/>
              <w:left w:val="single" w:sz="4" w:space="0" w:color="000000"/>
              <w:bottom w:val="single" w:sz="4" w:space="0" w:color="000000"/>
              <w:right w:val="single" w:sz="4" w:space="0" w:color="000000"/>
            </w:tcBorders>
            <w:hideMark/>
          </w:tcPr>
          <w:p w14:paraId="39CE7CD4" w14:textId="77777777" w:rsidR="003604C8" w:rsidRPr="00F54887" w:rsidRDefault="003604C8" w:rsidP="009B4D0C">
            <w:pPr>
              <w:pStyle w:val="TableParagraph"/>
              <w:ind w:left="105" w:right="740"/>
              <w:jc w:val="both"/>
              <w:rPr>
                <w:sz w:val="20"/>
              </w:rPr>
            </w:pPr>
            <w:r w:rsidRPr="00F54887">
              <w:rPr>
                <w:sz w:val="20"/>
              </w:rPr>
              <w:t>National</w:t>
            </w:r>
            <w:r w:rsidRPr="00F54887">
              <w:rPr>
                <w:spacing w:val="1"/>
                <w:sz w:val="20"/>
              </w:rPr>
              <w:t xml:space="preserve"> </w:t>
            </w:r>
            <w:r w:rsidRPr="00F54887">
              <w:rPr>
                <w:spacing w:val="-1"/>
                <w:sz w:val="20"/>
              </w:rPr>
              <w:t>workshop</w:t>
            </w:r>
          </w:p>
          <w:p w14:paraId="4197AB14" w14:textId="77777777" w:rsidR="003604C8" w:rsidRPr="00F54887" w:rsidRDefault="003604C8" w:rsidP="009B4D0C">
            <w:pPr>
              <w:pStyle w:val="TableParagraph"/>
              <w:spacing w:line="209" w:lineRule="exact"/>
              <w:ind w:left="105"/>
              <w:jc w:val="both"/>
              <w:rPr>
                <w:sz w:val="20"/>
              </w:rPr>
            </w:pPr>
            <w:r w:rsidRPr="00F54887">
              <w:rPr>
                <w:sz w:val="20"/>
              </w:rPr>
              <w:t>planned</w:t>
            </w:r>
            <w:r w:rsidRPr="00F54887">
              <w:rPr>
                <w:spacing w:val="-4"/>
                <w:sz w:val="20"/>
              </w:rPr>
              <w:t xml:space="preserve"> </w:t>
            </w:r>
            <w:r w:rsidRPr="00F54887">
              <w:rPr>
                <w:sz w:val="20"/>
              </w:rPr>
              <w:t>2022</w:t>
            </w:r>
          </w:p>
        </w:tc>
      </w:tr>
      <w:tr w:rsidR="003604C8" w14:paraId="0779E819" w14:textId="77777777" w:rsidTr="00E45F7E">
        <w:trPr>
          <w:trHeight w:val="460"/>
        </w:trPr>
        <w:tc>
          <w:tcPr>
            <w:tcW w:w="1795" w:type="dxa"/>
            <w:tcBorders>
              <w:top w:val="single" w:sz="4" w:space="0" w:color="000000"/>
              <w:left w:val="single" w:sz="4" w:space="0" w:color="000000"/>
              <w:bottom w:val="single" w:sz="4" w:space="0" w:color="000000"/>
              <w:right w:val="single" w:sz="4" w:space="0" w:color="000000"/>
            </w:tcBorders>
            <w:hideMark/>
          </w:tcPr>
          <w:p w14:paraId="5A459F7E" w14:textId="77777777" w:rsidR="003604C8" w:rsidRPr="00F54887" w:rsidRDefault="003604C8" w:rsidP="009B4D0C">
            <w:pPr>
              <w:pStyle w:val="TableParagraph"/>
              <w:spacing w:before="114"/>
              <w:ind w:left="107"/>
              <w:jc w:val="both"/>
              <w:rPr>
                <w:sz w:val="20"/>
              </w:rPr>
            </w:pPr>
            <w:r w:rsidRPr="00F54887">
              <w:rPr>
                <w:sz w:val="20"/>
              </w:rPr>
              <w:t>Guatemala</w:t>
            </w:r>
          </w:p>
        </w:tc>
        <w:tc>
          <w:tcPr>
            <w:tcW w:w="2520" w:type="dxa"/>
            <w:tcBorders>
              <w:top w:val="single" w:sz="4" w:space="0" w:color="000000"/>
              <w:left w:val="single" w:sz="4" w:space="0" w:color="000000"/>
              <w:bottom w:val="single" w:sz="4" w:space="0" w:color="000000"/>
              <w:right w:val="single" w:sz="4" w:space="0" w:color="000000"/>
            </w:tcBorders>
            <w:hideMark/>
          </w:tcPr>
          <w:p w14:paraId="3C049A7D" w14:textId="77777777" w:rsidR="003604C8" w:rsidRPr="00F54887" w:rsidRDefault="003604C8" w:rsidP="009B4D0C">
            <w:pPr>
              <w:pStyle w:val="TableParagraph"/>
              <w:spacing w:line="230" w:lineRule="exact"/>
              <w:ind w:left="108" w:right="454"/>
              <w:jc w:val="both"/>
              <w:rPr>
                <w:sz w:val="20"/>
              </w:rPr>
            </w:pPr>
            <w:r w:rsidRPr="00F54887">
              <w:rPr>
                <w:color w:val="1F487C"/>
                <w:sz w:val="20"/>
              </w:rPr>
              <w:t>2</w:t>
            </w:r>
            <w:r w:rsidRPr="00F54887">
              <w:rPr>
                <w:color w:val="212121"/>
                <w:sz w:val="20"/>
              </w:rPr>
              <w:t>:</w:t>
            </w:r>
            <w:r w:rsidRPr="00F54887">
              <w:rPr>
                <w:color w:val="212121"/>
                <w:spacing w:val="-7"/>
                <w:sz w:val="20"/>
              </w:rPr>
              <w:t xml:space="preserve"> </w:t>
            </w:r>
            <w:proofErr w:type="spellStart"/>
            <w:r w:rsidRPr="00F54887">
              <w:rPr>
                <w:color w:val="212121"/>
                <w:sz w:val="20"/>
              </w:rPr>
              <w:t>Sipacate</w:t>
            </w:r>
            <w:proofErr w:type="spellEnd"/>
            <w:r w:rsidRPr="00F54887">
              <w:rPr>
                <w:color w:val="212121"/>
                <w:sz w:val="20"/>
              </w:rPr>
              <w:t>,</w:t>
            </w:r>
            <w:r w:rsidRPr="00F54887">
              <w:rPr>
                <w:color w:val="212121"/>
                <w:spacing w:val="-5"/>
                <w:sz w:val="20"/>
              </w:rPr>
              <w:t xml:space="preserve"> </w:t>
            </w:r>
            <w:r w:rsidRPr="00F54887">
              <w:rPr>
                <w:color w:val="212121"/>
                <w:sz w:val="20"/>
              </w:rPr>
              <w:t>San</w:t>
            </w:r>
            <w:r w:rsidRPr="00F54887">
              <w:rPr>
                <w:color w:val="212121"/>
                <w:spacing w:val="-6"/>
                <w:sz w:val="20"/>
              </w:rPr>
              <w:t xml:space="preserve"> </w:t>
            </w:r>
            <w:r w:rsidRPr="00F54887">
              <w:rPr>
                <w:color w:val="212121"/>
                <w:sz w:val="20"/>
              </w:rPr>
              <w:t>Jose</w:t>
            </w:r>
            <w:r w:rsidRPr="00F54887">
              <w:rPr>
                <w:color w:val="212121"/>
                <w:spacing w:val="-53"/>
                <w:sz w:val="20"/>
              </w:rPr>
              <w:t xml:space="preserve"> </w:t>
            </w:r>
            <w:r w:rsidRPr="00F54887">
              <w:rPr>
                <w:color w:val="212121"/>
                <w:sz w:val="20"/>
              </w:rPr>
              <w:t>Port, 2020</w:t>
            </w:r>
          </w:p>
        </w:tc>
        <w:tc>
          <w:tcPr>
            <w:tcW w:w="2971" w:type="dxa"/>
            <w:tcBorders>
              <w:top w:val="single" w:sz="4" w:space="0" w:color="000000"/>
              <w:left w:val="single" w:sz="4" w:space="0" w:color="000000"/>
              <w:bottom w:val="single" w:sz="4" w:space="0" w:color="000000"/>
              <w:right w:val="single" w:sz="4" w:space="0" w:color="000000"/>
            </w:tcBorders>
          </w:tcPr>
          <w:p w14:paraId="17A76E9A" w14:textId="77777777" w:rsidR="003604C8" w:rsidRPr="00F54887" w:rsidRDefault="003604C8" w:rsidP="009B4D0C">
            <w:pPr>
              <w:pStyle w:val="TableParagraph"/>
              <w:jc w:val="both"/>
              <w:rPr>
                <w:rFonts w:ascii="Times New Roman"/>
              </w:rPr>
            </w:pPr>
          </w:p>
        </w:tc>
        <w:tc>
          <w:tcPr>
            <w:tcW w:w="1723" w:type="dxa"/>
            <w:tcBorders>
              <w:top w:val="single" w:sz="4" w:space="0" w:color="000000"/>
              <w:left w:val="single" w:sz="4" w:space="0" w:color="000000"/>
              <w:bottom w:val="single" w:sz="4" w:space="0" w:color="000000"/>
              <w:right w:val="single" w:sz="4" w:space="0" w:color="000000"/>
            </w:tcBorders>
          </w:tcPr>
          <w:p w14:paraId="0D4ABE79" w14:textId="77777777" w:rsidR="003604C8" w:rsidRPr="00F54887" w:rsidRDefault="003604C8" w:rsidP="009B4D0C">
            <w:pPr>
              <w:pStyle w:val="TableParagraph"/>
              <w:jc w:val="both"/>
              <w:rPr>
                <w:rFonts w:ascii="Times New Roman"/>
              </w:rPr>
            </w:pPr>
          </w:p>
        </w:tc>
      </w:tr>
      <w:tr w:rsidR="003604C8" w14:paraId="24FFE056" w14:textId="77777777" w:rsidTr="00E45F7E">
        <w:trPr>
          <w:trHeight w:val="460"/>
        </w:trPr>
        <w:tc>
          <w:tcPr>
            <w:tcW w:w="1795" w:type="dxa"/>
            <w:tcBorders>
              <w:top w:val="single" w:sz="4" w:space="0" w:color="000000"/>
              <w:left w:val="single" w:sz="4" w:space="0" w:color="000000"/>
              <w:bottom w:val="single" w:sz="4" w:space="0" w:color="000000"/>
              <w:right w:val="single" w:sz="4" w:space="0" w:color="000000"/>
            </w:tcBorders>
            <w:hideMark/>
          </w:tcPr>
          <w:p w14:paraId="6AC9CD23" w14:textId="77777777" w:rsidR="003604C8" w:rsidRPr="00F54887" w:rsidRDefault="003604C8" w:rsidP="009B4D0C">
            <w:pPr>
              <w:pStyle w:val="TableParagraph"/>
              <w:spacing w:before="114"/>
              <w:ind w:left="107"/>
              <w:jc w:val="both"/>
              <w:rPr>
                <w:sz w:val="20"/>
              </w:rPr>
            </w:pPr>
            <w:r w:rsidRPr="00F54887">
              <w:rPr>
                <w:sz w:val="20"/>
              </w:rPr>
              <w:t>Honduras</w:t>
            </w:r>
          </w:p>
        </w:tc>
        <w:tc>
          <w:tcPr>
            <w:tcW w:w="2520" w:type="dxa"/>
            <w:tcBorders>
              <w:top w:val="single" w:sz="4" w:space="0" w:color="000000"/>
              <w:left w:val="single" w:sz="4" w:space="0" w:color="000000"/>
              <w:bottom w:val="single" w:sz="4" w:space="0" w:color="000000"/>
              <w:right w:val="single" w:sz="4" w:space="0" w:color="000000"/>
            </w:tcBorders>
            <w:hideMark/>
          </w:tcPr>
          <w:p w14:paraId="5ACFB18C" w14:textId="77777777" w:rsidR="003604C8" w:rsidRPr="00F54887" w:rsidRDefault="003604C8" w:rsidP="009B4D0C">
            <w:pPr>
              <w:pStyle w:val="TableParagraph"/>
              <w:spacing w:line="229" w:lineRule="exact"/>
              <w:ind w:left="108"/>
              <w:jc w:val="both"/>
              <w:rPr>
                <w:sz w:val="20"/>
              </w:rPr>
            </w:pPr>
            <w:r w:rsidRPr="00F54887">
              <w:rPr>
                <w:sz w:val="20"/>
              </w:rPr>
              <w:t>3:</w:t>
            </w:r>
            <w:r w:rsidRPr="00F54887">
              <w:rPr>
                <w:spacing w:val="-4"/>
                <w:sz w:val="20"/>
              </w:rPr>
              <w:t xml:space="preserve"> </w:t>
            </w:r>
            <w:r w:rsidRPr="00F54887">
              <w:rPr>
                <w:sz w:val="20"/>
              </w:rPr>
              <w:t>Cedeno,</w:t>
            </w:r>
            <w:r w:rsidRPr="00F54887">
              <w:rPr>
                <w:spacing w:val="-3"/>
                <w:sz w:val="20"/>
              </w:rPr>
              <w:t xml:space="preserve"> </w:t>
            </w:r>
            <w:r w:rsidRPr="00F54887">
              <w:rPr>
                <w:sz w:val="20"/>
              </w:rPr>
              <w:t>2017;</w:t>
            </w:r>
            <w:r w:rsidRPr="00F54887">
              <w:rPr>
                <w:spacing w:val="-1"/>
                <w:sz w:val="20"/>
              </w:rPr>
              <w:t xml:space="preserve"> </w:t>
            </w:r>
            <w:proofErr w:type="spellStart"/>
            <w:proofErr w:type="gramStart"/>
            <w:r w:rsidRPr="00F54887">
              <w:rPr>
                <w:sz w:val="20"/>
              </w:rPr>
              <w:t>Omoa</w:t>
            </w:r>
            <w:proofErr w:type="spellEnd"/>
            <w:r w:rsidRPr="00F54887">
              <w:rPr>
                <w:sz w:val="20"/>
              </w:rPr>
              <w:t>;</w:t>
            </w:r>
            <w:proofErr w:type="gramEnd"/>
          </w:p>
          <w:p w14:paraId="6CDB2F2F" w14:textId="77777777" w:rsidR="003604C8" w:rsidRPr="00F54887" w:rsidRDefault="003604C8" w:rsidP="009B4D0C">
            <w:pPr>
              <w:pStyle w:val="TableParagraph"/>
              <w:spacing w:line="211" w:lineRule="exact"/>
              <w:ind w:left="108"/>
              <w:jc w:val="both"/>
              <w:rPr>
                <w:sz w:val="20"/>
              </w:rPr>
            </w:pPr>
            <w:proofErr w:type="spellStart"/>
            <w:r w:rsidRPr="00F54887">
              <w:rPr>
                <w:sz w:val="20"/>
              </w:rPr>
              <w:t>Tornabe</w:t>
            </w:r>
            <w:proofErr w:type="spellEnd"/>
            <w:r w:rsidRPr="00F54887">
              <w:rPr>
                <w:sz w:val="20"/>
              </w:rPr>
              <w:t>/Tela,</w:t>
            </w:r>
            <w:r w:rsidRPr="00F54887">
              <w:rPr>
                <w:spacing w:val="-7"/>
                <w:sz w:val="20"/>
              </w:rPr>
              <w:t xml:space="preserve"> </w:t>
            </w:r>
            <w:r w:rsidRPr="00F54887">
              <w:rPr>
                <w:sz w:val="20"/>
              </w:rPr>
              <w:t>2019</w:t>
            </w:r>
          </w:p>
        </w:tc>
        <w:tc>
          <w:tcPr>
            <w:tcW w:w="2971" w:type="dxa"/>
            <w:tcBorders>
              <w:top w:val="single" w:sz="4" w:space="0" w:color="000000"/>
              <w:left w:val="single" w:sz="4" w:space="0" w:color="000000"/>
              <w:bottom w:val="single" w:sz="4" w:space="0" w:color="000000"/>
              <w:right w:val="single" w:sz="4" w:space="0" w:color="000000"/>
            </w:tcBorders>
          </w:tcPr>
          <w:p w14:paraId="2FAE0A6C" w14:textId="77777777" w:rsidR="003604C8" w:rsidRPr="00F54887" w:rsidRDefault="003604C8" w:rsidP="009B4D0C">
            <w:pPr>
              <w:pStyle w:val="TableParagraph"/>
              <w:jc w:val="both"/>
              <w:rPr>
                <w:rFonts w:ascii="Times New Roman"/>
              </w:rPr>
            </w:pPr>
          </w:p>
        </w:tc>
        <w:tc>
          <w:tcPr>
            <w:tcW w:w="1723" w:type="dxa"/>
            <w:tcBorders>
              <w:top w:val="single" w:sz="4" w:space="0" w:color="000000"/>
              <w:left w:val="single" w:sz="4" w:space="0" w:color="000000"/>
              <w:bottom w:val="single" w:sz="4" w:space="0" w:color="000000"/>
              <w:right w:val="single" w:sz="4" w:space="0" w:color="000000"/>
            </w:tcBorders>
          </w:tcPr>
          <w:p w14:paraId="42D29DE3" w14:textId="77777777" w:rsidR="003604C8" w:rsidRPr="00F54887" w:rsidRDefault="003604C8" w:rsidP="009B4D0C">
            <w:pPr>
              <w:pStyle w:val="TableParagraph"/>
              <w:jc w:val="both"/>
              <w:rPr>
                <w:rFonts w:ascii="Times New Roman"/>
              </w:rPr>
            </w:pPr>
          </w:p>
        </w:tc>
      </w:tr>
      <w:tr w:rsidR="003604C8" w14:paraId="7223E8BA" w14:textId="77777777" w:rsidTr="00E45F7E">
        <w:trPr>
          <w:trHeight w:val="460"/>
        </w:trPr>
        <w:tc>
          <w:tcPr>
            <w:tcW w:w="1795" w:type="dxa"/>
            <w:tcBorders>
              <w:top w:val="single" w:sz="4" w:space="0" w:color="000000"/>
              <w:left w:val="single" w:sz="4" w:space="0" w:color="000000"/>
              <w:bottom w:val="single" w:sz="4" w:space="0" w:color="000000"/>
              <w:right w:val="single" w:sz="4" w:space="0" w:color="000000"/>
            </w:tcBorders>
          </w:tcPr>
          <w:p w14:paraId="2730C867" w14:textId="6BC2F9C1" w:rsidR="003604C8" w:rsidRPr="00F54887" w:rsidRDefault="003604C8" w:rsidP="009B4D0C">
            <w:pPr>
              <w:pStyle w:val="TableParagraph"/>
              <w:spacing w:before="114"/>
              <w:ind w:left="107"/>
              <w:jc w:val="both"/>
              <w:rPr>
                <w:sz w:val="20"/>
              </w:rPr>
            </w:pPr>
            <w:r w:rsidRPr="00F54887">
              <w:rPr>
                <w:sz w:val="20"/>
              </w:rPr>
              <w:t>Marshall Islands</w:t>
            </w:r>
          </w:p>
        </w:tc>
        <w:tc>
          <w:tcPr>
            <w:tcW w:w="2520" w:type="dxa"/>
            <w:tcBorders>
              <w:top w:val="single" w:sz="4" w:space="0" w:color="000000"/>
              <w:left w:val="single" w:sz="4" w:space="0" w:color="000000"/>
              <w:bottom w:val="single" w:sz="4" w:space="0" w:color="000000"/>
              <w:right w:val="single" w:sz="4" w:space="0" w:color="000000"/>
            </w:tcBorders>
          </w:tcPr>
          <w:p w14:paraId="1584E20D" w14:textId="77777777" w:rsidR="003604C8" w:rsidRPr="00F54887" w:rsidRDefault="003604C8" w:rsidP="009B4D0C">
            <w:pPr>
              <w:pStyle w:val="TableParagraph"/>
              <w:spacing w:line="229" w:lineRule="exact"/>
              <w:ind w:left="108"/>
              <w:jc w:val="both"/>
              <w:rPr>
                <w:sz w:val="20"/>
              </w:rPr>
            </w:pPr>
          </w:p>
        </w:tc>
        <w:tc>
          <w:tcPr>
            <w:tcW w:w="2971" w:type="dxa"/>
            <w:tcBorders>
              <w:top w:val="single" w:sz="4" w:space="0" w:color="000000"/>
              <w:left w:val="single" w:sz="4" w:space="0" w:color="000000"/>
              <w:bottom w:val="single" w:sz="4" w:space="0" w:color="000000"/>
              <w:right w:val="single" w:sz="4" w:space="0" w:color="000000"/>
            </w:tcBorders>
          </w:tcPr>
          <w:p w14:paraId="25E0BCE7" w14:textId="5B55159C" w:rsidR="003604C8" w:rsidRPr="00F54887" w:rsidRDefault="003604C8" w:rsidP="009B4D0C">
            <w:pPr>
              <w:pStyle w:val="TableParagraph"/>
              <w:jc w:val="both"/>
              <w:rPr>
                <w:sz w:val="20"/>
                <w:szCs w:val="20"/>
              </w:rPr>
            </w:pPr>
            <w:r w:rsidRPr="00F54887">
              <w:rPr>
                <w:sz w:val="20"/>
                <w:szCs w:val="20"/>
              </w:rPr>
              <w:t>Majuro</w:t>
            </w:r>
          </w:p>
        </w:tc>
        <w:tc>
          <w:tcPr>
            <w:tcW w:w="1723" w:type="dxa"/>
            <w:tcBorders>
              <w:top w:val="single" w:sz="4" w:space="0" w:color="000000"/>
              <w:left w:val="single" w:sz="4" w:space="0" w:color="000000"/>
              <w:bottom w:val="single" w:sz="4" w:space="0" w:color="000000"/>
              <w:right w:val="single" w:sz="4" w:space="0" w:color="000000"/>
            </w:tcBorders>
          </w:tcPr>
          <w:p w14:paraId="39BBBBE4" w14:textId="77777777" w:rsidR="003604C8" w:rsidRPr="00F54887" w:rsidRDefault="003604C8" w:rsidP="009B4D0C">
            <w:pPr>
              <w:pStyle w:val="TableParagraph"/>
              <w:jc w:val="both"/>
              <w:rPr>
                <w:rFonts w:ascii="Times New Roman"/>
              </w:rPr>
            </w:pPr>
          </w:p>
        </w:tc>
      </w:tr>
      <w:tr w:rsidR="003604C8" w14:paraId="20839148" w14:textId="77777777" w:rsidTr="00E45F7E">
        <w:trPr>
          <w:trHeight w:val="688"/>
        </w:trPr>
        <w:tc>
          <w:tcPr>
            <w:tcW w:w="1795" w:type="dxa"/>
            <w:tcBorders>
              <w:top w:val="single" w:sz="4" w:space="0" w:color="000000"/>
              <w:left w:val="single" w:sz="4" w:space="0" w:color="000000"/>
              <w:bottom w:val="single" w:sz="4" w:space="0" w:color="000000"/>
              <w:right w:val="single" w:sz="4" w:space="0" w:color="000000"/>
            </w:tcBorders>
          </w:tcPr>
          <w:p w14:paraId="074E190A" w14:textId="77777777" w:rsidR="003604C8" w:rsidRPr="00F54887" w:rsidRDefault="003604C8" w:rsidP="009B4D0C">
            <w:pPr>
              <w:pStyle w:val="TableParagraph"/>
              <w:spacing w:before="11"/>
              <w:jc w:val="both"/>
              <w:rPr>
                <w:sz w:val="19"/>
              </w:rPr>
            </w:pPr>
          </w:p>
          <w:p w14:paraId="5A234748" w14:textId="77777777" w:rsidR="003604C8" w:rsidRPr="00F54887" w:rsidRDefault="003604C8" w:rsidP="009B4D0C">
            <w:pPr>
              <w:pStyle w:val="TableParagraph"/>
              <w:ind w:left="107"/>
              <w:jc w:val="both"/>
              <w:rPr>
                <w:sz w:val="20"/>
              </w:rPr>
            </w:pPr>
            <w:r w:rsidRPr="00F54887">
              <w:rPr>
                <w:sz w:val="20"/>
              </w:rPr>
              <w:t>Nicaragua</w:t>
            </w:r>
          </w:p>
        </w:tc>
        <w:tc>
          <w:tcPr>
            <w:tcW w:w="2520" w:type="dxa"/>
            <w:tcBorders>
              <w:top w:val="single" w:sz="4" w:space="0" w:color="000000"/>
              <w:left w:val="single" w:sz="4" w:space="0" w:color="000000"/>
              <w:bottom w:val="single" w:sz="4" w:space="0" w:color="000000"/>
              <w:right w:val="single" w:sz="4" w:space="0" w:color="000000"/>
            </w:tcBorders>
            <w:hideMark/>
          </w:tcPr>
          <w:p w14:paraId="16728D45" w14:textId="77777777" w:rsidR="003604C8" w:rsidRPr="00F54887" w:rsidRDefault="003604C8" w:rsidP="009B4D0C">
            <w:pPr>
              <w:pStyle w:val="TableParagraph"/>
              <w:spacing w:line="229" w:lineRule="exact"/>
              <w:ind w:left="108"/>
              <w:jc w:val="both"/>
              <w:rPr>
                <w:sz w:val="20"/>
              </w:rPr>
            </w:pPr>
            <w:r w:rsidRPr="00F54887">
              <w:rPr>
                <w:sz w:val="20"/>
              </w:rPr>
              <w:t>2:</w:t>
            </w:r>
            <w:r w:rsidRPr="00F54887">
              <w:rPr>
                <w:spacing w:val="-4"/>
                <w:sz w:val="20"/>
              </w:rPr>
              <w:t xml:space="preserve"> </w:t>
            </w:r>
            <w:r w:rsidRPr="00F54887">
              <w:rPr>
                <w:sz w:val="20"/>
              </w:rPr>
              <w:t>Corn</w:t>
            </w:r>
            <w:r w:rsidRPr="00F54887">
              <w:rPr>
                <w:spacing w:val="-2"/>
                <w:sz w:val="20"/>
              </w:rPr>
              <w:t xml:space="preserve"> </w:t>
            </w:r>
            <w:proofErr w:type="gramStart"/>
            <w:r w:rsidRPr="00F54887">
              <w:rPr>
                <w:sz w:val="20"/>
              </w:rPr>
              <w:t>Islands;</w:t>
            </w:r>
            <w:proofErr w:type="gramEnd"/>
          </w:p>
          <w:p w14:paraId="43A24A10" w14:textId="77777777" w:rsidR="003604C8" w:rsidRPr="00F54887" w:rsidRDefault="003604C8" w:rsidP="009B4D0C">
            <w:pPr>
              <w:pStyle w:val="TableParagraph"/>
              <w:spacing w:line="228" w:lineRule="exact"/>
              <w:ind w:left="108" w:right="810"/>
              <w:jc w:val="both"/>
              <w:rPr>
                <w:sz w:val="20"/>
              </w:rPr>
            </w:pPr>
            <w:proofErr w:type="spellStart"/>
            <w:r w:rsidRPr="00F54887">
              <w:rPr>
                <w:sz w:val="20"/>
              </w:rPr>
              <w:t>Bluefields</w:t>
            </w:r>
            <w:proofErr w:type="spellEnd"/>
            <w:r w:rsidRPr="00F54887">
              <w:rPr>
                <w:sz w:val="20"/>
              </w:rPr>
              <w:t>, 2019</w:t>
            </w:r>
            <w:r w:rsidRPr="00F54887">
              <w:rPr>
                <w:spacing w:val="1"/>
                <w:sz w:val="20"/>
              </w:rPr>
              <w:t xml:space="preserve"> </w:t>
            </w:r>
            <w:r w:rsidRPr="00F54887">
              <w:rPr>
                <w:spacing w:val="-1"/>
                <w:sz w:val="20"/>
              </w:rPr>
              <w:t>(Caribbean</w:t>
            </w:r>
            <w:r w:rsidRPr="00F54887">
              <w:rPr>
                <w:spacing w:val="-8"/>
                <w:sz w:val="20"/>
              </w:rPr>
              <w:t xml:space="preserve"> </w:t>
            </w:r>
            <w:r w:rsidRPr="00F54887">
              <w:rPr>
                <w:sz w:val="20"/>
              </w:rPr>
              <w:t>coast)</w:t>
            </w:r>
          </w:p>
        </w:tc>
        <w:tc>
          <w:tcPr>
            <w:tcW w:w="2971" w:type="dxa"/>
            <w:tcBorders>
              <w:top w:val="single" w:sz="4" w:space="0" w:color="000000"/>
              <w:left w:val="single" w:sz="4" w:space="0" w:color="000000"/>
              <w:bottom w:val="single" w:sz="4" w:space="0" w:color="000000"/>
              <w:right w:val="single" w:sz="4" w:space="0" w:color="000000"/>
            </w:tcBorders>
            <w:hideMark/>
          </w:tcPr>
          <w:p w14:paraId="440011EB" w14:textId="77777777" w:rsidR="003604C8" w:rsidRPr="00F54887" w:rsidRDefault="003604C8" w:rsidP="009B4D0C">
            <w:pPr>
              <w:pStyle w:val="TableParagraph"/>
              <w:spacing w:before="114"/>
              <w:ind w:left="107" w:right="166"/>
              <w:jc w:val="both"/>
              <w:rPr>
                <w:sz w:val="20"/>
              </w:rPr>
            </w:pPr>
            <w:r w:rsidRPr="00F54887">
              <w:rPr>
                <w:sz w:val="20"/>
              </w:rPr>
              <w:t xml:space="preserve">4: </w:t>
            </w:r>
            <w:proofErr w:type="spellStart"/>
            <w:r w:rsidRPr="00F54887">
              <w:rPr>
                <w:sz w:val="20"/>
              </w:rPr>
              <w:t>Corinto</w:t>
            </w:r>
            <w:proofErr w:type="spellEnd"/>
            <w:r w:rsidRPr="00F54887">
              <w:rPr>
                <w:sz w:val="20"/>
              </w:rPr>
              <w:t>, Puerto Sandino,</w:t>
            </w:r>
            <w:r w:rsidRPr="00F54887">
              <w:rPr>
                <w:spacing w:val="1"/>
                <w:sz w:val="20"/>
              </w:rPr>
              <w:t xml:space="preserve"> </w:t>
            </w:r>
            <w:proofErr w:type="spellStart"/>
            <w:r w:rsidRPr="00F54887">
              <w:rPr>
                <w:sz w:val="20"/>
              </w:rPr>
              <w:t>Masachapa</w:t>
            </w:r>
            <w:proofErr w:type="spellEnd"/>
            <w:r w:rsidRPr="00F54887">
              <w:rPr>
                <w:sz w:val="20"/>
              </w:rPr>
              <w:t>,</w:t>
            </w:r>
            <w:r w:rsidRPr="00F54887">
              <w:rPr>
                <w:spacing w:val="-3"/>
                <w:sz w:val="20"/>
              </w:rPr>
              <w:t xml:space="preserve"> </w:t>
            </w:r>
            <w:r w:rsidRPr="00F54887">
              <w:rPr>
                <w:sz w:val="20"/>
              </w:rPr>
              <w:t>San</w:t>
            </w:r>
            <w:r w:rsidRPr="00F54887">
              <w:rPr>
                <w:spacing w:val="-3"/>
                <w:sz w:val="20"/>
              </w:rPr>
              <w:t xml:space="preserve"> </w:t>
            </w:r>
            <w:r w:rsidRPr="00F54887">
              <w:rPr>
                <w:sz w:val="20"/>
              </w:rPr>
              <w:t>Juan</w:t>
            </w:r>
            <w:r w:rsidRPr="00F54887">
              <w:rPr>
                <w:spacing w:val="-2"/>
                <w:sz w:val="20"/>
              </w:rPr>
              <w:t xml:space="preserve"> </w:t>
            </w:r>
            <w:r w:rsidRPr="00F54887">
              <w:rPr>
                <w:sz w:val="20"/>
              </w:rPr>
              <w:t>del</w:t>
            </w:r>
            <w:r w:rsidRPr="00F54887">
              <w:rPr>
                <w:spacing w:val="-4"/>
                <w:sz w:val="20"/>
              </w:rPr>
              <w:t xml:space="preserve"> </w:t>
            </w:r>
            <w:r w:rsidRPr="00F54887">
              <w:rPr>
                <w:sz w:val="20"/>
              </w:rPr>
              <w:t>Sur</w:t>
            </w:r>
          </w:p>
        </w:tc>
        <w:tc>
          <w:tcPr>
            <w:tcW w:w="1723" w:type="dxa"/>
            <w:tcBorders>
              <w:top w:val="single" w:sz="4" w:space="0" w:color="000000"/>
              <w:left w:val="single" w:sz="4" w:space="0" w:color="000000"/>
              <w:bottom w:val="single" w:sz="4" w:space="0" w:color="000000"/>
              <w:right w:val="single" w:sz="4" w:space="0" w:color="000000"/>
            </w:tcBorders>
            <w:hideMark/>
          </w:tcPr>
          <w:p w14:paraId="51BC307F" w14:textId="77777777" w:rsidR="003604C8" w:rsidRPr="00F54887" w:rsidRDefault="003604C8" w:rsidP="009B4D0C">
            <w:pPr>
              <w:pStyle w:val="TableParagraph"/>
              <w:spacing w:line="229" w:lineRule="exact"/>
              <w:ind w:left="105"/>
              <w:jc w:val="both"/>
              <w:rPr>
                <w:sz w:val="20"/>
              </w:rPr>
            </w:pPr>
            <w:r w:rsidRPr="00F54887">
              <w:rPr>
                <w:sz w:val="20"/>
              </w:rPr>
              <w:t>Las</w:t>
            </w:r>
            <w:r w:rsidRPr="00F54887">
              <w:rPr>
                <w:spacing w:val="-5"/>
                <w:sz w:val="20"/>
              </w:rPr>
              <w:t xml:space="preserve"> </w:t>
            </w:r>
            <w:r w:rsidRPr="00F54887">
              <w:rPr>
                <w:sz w:val="20"/>
              </w:rPr>
              <w:t>Salinas</w:t>
            </w:r>
          </w:p>
          <w:p w14:paraId="3B9D66F5" w14:textId="77777777" w:rsidR="003604C8" w:rsidRPr="00F54887" w:rsidRDefault="003604C8" w:rsidP="009B4D0C">
            <w:pPr>
              <w:pStyle w:val="TableParagraph"/>
              <w:spacing w:line="228" w:lineRule="exact"/>
              <w:ind w:left="105" w:right="679"/>
              <w:jc w:val="both"/>
              <w:rPr>
                <w:sz w:val="20"/>
              </w:rPr>
            </w:pPr>
            <w:r w:rsidRPr="00F54887">
              <w:rPr>
                <w:sz w:val="20"/>
              </w:rPr>
              <w:t>Grandes</w:t>
            </w:r>
            <w:r w:rsidRPr="00F54887">
              <w:rPr>
                <w:spacing w:val="-14"/>
                <w:sz w:val="20"/>
              </w:rPr>
              <w:t xml:space="preserve"> </w:t>
            </w:r>
            <w:r w:rsidRPr="00F54887">
              <w:rPr>
                <w:sz w:val="20"/>
              </w:rPr>
              <w:t>y</w:t>
            </w:r>
            <w:r w:rsidRPr="00F54887">
              <w:rPr>
                <w:spacing w:val="-53"/>
                <w:sz w:val="20"/>
              </w:rPr>
              <w:t xml:space="preserve"> </w:t>
            </w:r>
            <w:proofErr w:type="spellStart"/>
            <w:r w:rsidRPr="00F54887">
              <w:rPr>
                <w:sz w:val="20"/>
              </w:rPr>
              <w:t>Poneloy</w:t>
            </w:r>
            <w:proofErr w:type="spellEnd"/>
          </w:p>
        </w:tc>
      </w:tr>
      <w:tr w:rsidR="009A7C42" w14:paraId="3ED8F08D" w14:textId="77777777" w:rsidTr="00E45F7E">
        <w:trPr>
          <w:trHeight w:val="688"/>
        </w:trPr>
        <w:tc>
          <w:tcPr>
            <w:tcW w:w="1795" w:type="dxa"/>
            <w:tcBorders>
              <w:top w:val="single" w:sz="4" w:space="0" w:color="000000"/>
              <w:left w:val="single" w:sz="4" w:space="0" w:color="000000"/>
              <w:bottom w:val="single" w:sz="4" w:space="0" w:color="000000"/>
              <w:right w:val="single" w:sz="4" w:space="0" w:color="000000"/>
            </w:tcBorders>
          </w:tcPr>
          <w:p w14:paraId="4536267C" w14:textId="78C98090" w:rsidR="009A7C42" w:rsidRPr="00F54887" w:rsidRDefault="009A7C42" w:rsidP="009B4D0C">
            <w:pPr>
              <w:pStyle w:val="TableParagraph"/>
              <w:spacing w:before="11"/>
              <w:jc w:val="both"/>
              <w:rPr>
                <w:sz w:val="19"/>
              </w:rPr>
            </w:pPr>
            <w:r w:rsidRPr="00F54887">
              <w:rPr>
                <w:sz w:val="19"/>
              </w:rPr>
              <w:t>Palau</w:t>
            </w:r>
          </w:p>
        </w:tc>
        <w:tc>
          <w:tcPr>
            <w:tcW w:w="2520" w:type="dxa"/>
            <w:tcBorders>
              <w:top w:val="single" w:sz="4" w:space="0" w:color="000000"/>
              <w:left w:val="single" w:sz="4" w:space="0" w:color="000000"/>
              <w:bottom w:val="single" w:sz="4" w:space="0" w:color="000000"/>
              <w:right w:val="single" w:sz="4" w:space="0" w:color="000000"/>
            </w:tcBorders>
          </w:tcPr>
          <w:p w14:paraId="496F2FC6" w14:textId="77777777" w:rsidR="009A7C42" w:rsidRPr="00F54887" w:rsidRDefault="009A7C42" w:rsidP="009B4D0C">
            <w:pPr>
              <w:pStyle w:val="TableParagraph"/>
              <w:spacing w:line="229" w:lineRule="exact"/>
              <w:ind w:left="108"/>
              <w:jc w:val="both"/>
              <w:rPr>
                <w:sz w:val="20"/>
              </w:rPr>
            </w:pPr>
          </w:p>
        </w:tc>
        <w:tc>
          <w:tcPr>
            <w:tcW w:w="2971" w:type="dxa"/>
            <w:tcBorders>
              <w:top w:val="single" w:sz="4" w:space="0" w:color="000000"/>
              <w:left w:val="single" w:sz="4" w:space="0" w:color="000000"/>
              <w:bottom w:val="single" w:sz="4" w:space="0" w:color="000000"/>
              <w:right w:val="single" w:sz="4" w:space="0" w:color="000000"/>
            </w:tcBorders>
          </w:tcPr>
          <w:p w14:paraId="498898C5" w14:textId="77777777" w:rsidR="009A7C42" w:rsidRPr="00F54887" w:rsidRDefault="009A7C42" w:rsidP="009B4D0C">
            <w:pPr>
              <w:pStyle w:val="TableParagraph"/>
              <w:spacing w:before="114"/>
              <w:ind w:left="107" w:right="166"/>
              <w:jc w:val="both"/>
              <w:rPr>
                <w:sz w:val="20"/>
              </w:rPr>
            </w:pPr>
          </w:p>
        </w:tc>
        <w:tc>
          <w:tcPr>
            <w:tcW w:w="1723" w:type="dxa"/>
            <w:tcBorders>
              <w:top w:val="single" w:sz="4" w:space="0" w:color="000000"/>
              <w:left w:val="single" w:sz="4" w:space="0" w:color="000000"/>
              <w:bottom w:val="single" w:sz="4" w:space="0" w:color="000000"/>
              <w:right w:val="single" w:sz="4" w:space="0" w:color="000000"/>
            </w:tcBorders>
          </w:tcPr>
          <w:p w14:paraId="18598F3E" w14:textId="77777777" w:rsidR="009A7C42" w:rsidRPr="00F54887" w:rsidRDefault="009A7C42" w:rsidP="009B4D0C">
            <w:pPr>
              <w:pStyle w:val="TableParagraph"/>
              <w:spacing w:line="229" w:lineRule="exact"/>
              <w:ind w:left="105"/>
              <w:jc w:val="both"/>
              <w:rPr>
                <w:sz w:val="20"/>
              </w:rPr>
            </w:pPr>
          </w:p>
        </w:tc>
      </w:tr>
      <w:tr w:rsidR="003604C8" w14:paraId="3E5F54E8" w14:textId="77777777" w:rsidTr="00E45F7E">
        <w:trPr>
          <w:trHeight w:val="230"/>
        </w:trPr>
        <w:tc>
          <w:tcPr>
            <w:tcW w:w="1795" w:type="dxa"/>
            <w:tcBorders>
              <w:top w:val="single" w:sz="4" w:space="0" w:color="000000"/>
              <w:left w:val="single" w:sz="4" w:space="0" w:color="000000"/>
              <w:bottom w:val="single" w:sz="4" w:space="0" w:color="000000"/>
              <w:right w:val="single" w:sz="4" w:space="0" w:color="000000"/>
            </w:tcBorders>
            <w:hideMark/>
          </w:tcPr>
          <w:p w14:paraId="72694D8C" w14:textId="77777777" w:rsidR="003604C8" w:rsidRPr="00F54887" w:rsidRDefault="003604C8" w:rsidP="009B4D0C">
            <w:pPr>
              <w:pStyle w:val="TableParagraph"/>
              <w:spacing w:line="210" w:lineRule="exact"/>
              <w:ind w:left="107"/>
              <w:jc w:val="both"/>
              <w:rPr>
                <w:sz w:val="20"/>
              </w:rPr>
            </w:pPr>
            <w:r w:rsidRPr="00F54887">
              <w:rPr>
                <w:sz w:val="20"/>
              </w:rPr>
              <w:t>Panama</w:t>
            </w:r>
          </w:p>
        </w:tc>
        <w:tc>
          <w:tcPr>
            <w:tcW w:w="2520" w:type="dxa"/>
            <w:tcBorders>
              <w:top w:val="single" w:sz="4" w:space="0" w:color="000000"/>
              <w:left w:val="single" w:sz="4" w:space="0" w:color="000000"/>
              <w:bottom w:val="single" w:sz="4" w:space="0" w:color="000000"/>
              <w:right w:val="single" w:sz="4" w:space="0" w:color="000000"/>
            </w:tcBorders>
          </w:tcPr>
          <w:p w14:paraId="4CD0DE42" w14:textId="77777777" w:rsidR="003604C8" w:rsidRPr="00F54887" w:rsidRDefault="003604C8" w:rsidP="009B4D0C">
            <w:pPr>
              <w:pStyle w:val="TableParagraph"/>
              <w:jc w:val="both"/>
              <w:rPr>
                <w:rFonts w:ascii="Times New Roman"/>
                <w:sz w:val="16"/>
              </w:rPr>
            </w:pPr>
          </w:p>
        </w:tc>
        <w:tc>
          <w:tcPr>
            <w:tcW w:w="2971" w:type="dxa"/>
            <w:tcBorders>
              <w:top w:val="single" w:sz="4" w:space="0" w:color="000000"/>
              <w:left w:val="single" w:sz="4" w:space="0" w:color="000000"/>
              <w:bottom w:val="single" w:sz="4" w:space="0" w:color="000000"/>
              <w:right w:val="single" w:sz="4" w:space="0" w:color="000000"/>
            </w:tcBorders>
            <w:hideMark/>
          </w:tcPr>
          <w:p w14:paraId="03EB611F" w14:textId="77777777" w:rsidR="003604C8" w:rsidRPr="00F54887" w:rsidRDefault="003604C8" w:rsidP="009B4D0C">
            <w:pPr>
              <w:pStyle w:val="TableParagraph"/>
              <w:spacing w:line="210" w:lineRule="exact"/>
              <w:ind w:left="107"/>
              <w:jc w:val="both"/>
              <w:rPr>
                <w:sz w:val="20"/>
              </w:rPr>
            </w:pPr>
            <w:r w:rsidRPr="00F54887">
              <w:rPr>
                <w:color w:val="212121"/>
                <w:sz w:val="20"/>
              </w:rPr>
              <w:t>1:</w:t>
            </w:r>
            <w:r w:rsidRPr="00F54887">
              <w:rPr>
                <w:color w:val="212121"/>
                <w:spacing w:val="-6"/>
                <w:sz w:val="20"/>
              </w:rPr>
              <w:t xml:space="preserve"> </w:t>
            </w:r>
            <w:r w:rsidRPr="00F54887">
              <w:rPr>
                <w:color w:val="212121"/>
                <w:sz w:val="20"/>
              </w:rPr>
              <w:t>Puerto</w:t>
            </w:r>
            <w:r w:rsidRPr="00F54887">
              <w:rPr>
                <w:color w:val="212121"/>
                <w:spacing w:val="-3"/>
                <w:sz w:val="20"/>
              </w:rPr>
              <w:t xml:space="preserve"> </w:t>
            </w:r>
            <w:proofErr w:type="spellStart"/>
            <w:r w:rsidRPr="00F54887">
              <w:rPr>
                <w:color w:val="212121"/>
                <w:sz w:val="20"/>
              </w:rPr>
              <w:t>Armuelles</w:t>
            </w:r>
            <w:proofErr w:type="spellEnd"/>
          </w:p>
        </w:tc>
        <w:tc>
          <w:tcPr>
            <w:tcW w:w="1723" w:type="dxa"/>
            <w:tcBorders>
              <w:top w:val="single" w:sz="4" w:space="0" w:color="000000"/>
              <w:left w:val="single" w:sz="4" w:space="0" w:color="000000"/>
              <w:bottom w:val="single" w:sz="4" w:space="0" w:color="000000"/>
              <w:right w:val="single" w:sz="4" w:space="0" w:color="000000"/>
            </w:tcBorders>
          </w:tcPr>
          <w:p w14:paraId="77F99F40" w14:textId="77777777" w:rsidR="003604C8" w:rsidRPr="00F54887" w:rsidRDefault="003604C8" w:rsidP="009B4D0C">
            <w:pPr>
              <w:pStyle w:val="TableParagraph"/>
              <w:jc w:val="both"/>
              <w:rPr>
                <w:rFonts w:ascii="Times New Roman"/>
                <w:sz w:val="16"/>
              </w:rPr>
            </w:pPr>
          </w:p>
        </w:tc>
      </w:tr>
      <w:tr w:rsidR="003604C8" w14:paraId="29F962B0" w14:textId="77777777" w:rsidTr="00E45F7E">
        <w:trPr>
          <w:trHeight w:val="460"/>
        </w:trPr>
        <w:tc>
          <w:tcPr>
            <w:tcW w:w="1795" w:type="dxa"/>
            <w:tcBorders>
              <w:top w:val="single" w:sz="4" w:space="0" w:color="000000"/>
              <w:left w:val="single" w:sz="4" w:space="0" w:color="000000"/>
              <w:bottom w:val="single" w:sz="4" w:space="0" w:color="000000"/>
              <w:right w:val="single" w:sz="4" w:space="0" w:color="000000"/>
            </w:tcBorders>
            <w:hideMark/>
          </w:tcPr>
          <w:p w14:paraId="6A492F75" w14:textId="77777777" w:rsidR="003604C8" w:rsidRPr="00F54887" w:rsidRDefault="003604C8" w:rsidP="009B4D0C">
            <w:pPr>
              <w:pStyle w:val="TableParagraph"/>
              <w:spacing w:before="114"/>
              <w:ind w:left="107"/>
              <w:jc w:val="both"/>
              <w:rPr>
                <w:sz w:val="20"/>
              </w:rPr>
            </w:pPr>
            <w:r w:rsidRPr="00F54887">
              <w:rPr>
                <w:sz w:val="20"/>
              </w:rPr>
              <w:t>Philippines</w:t>
            </w:r>
          </w:p>
        </w:tc>
        <w:tc>
          <w:tcPr>
            <w:tcW w:w="2520" w:type="dxa"/>
            <w:tcBorders>
              <w:top w:val="single" w:sz="4" w:space="0" w:color="000000"/>
              <w:left w:val="single" w:sz="4" w:space="0" w:color="000000"/>
              <w:bottom w:val="single" w:sz="4" w:space="0" w:color="000000"/>
              <w:right w:val="single" w:sz="4" w:space="0" w:color="000000"/>
            </w:tcBorders>
          </w:tcPr>
          <w:p w14:paraId="14AE79EB" w14:textId="77777777" w:rsidR="003604C8" w:rsidRPr="00F54887" w:rsidRDefault="003604C8" w:rsidP="009B4D0C">
            <w:pPr>
              <w:pStyle w:val="TableParagraph"/>
              <w:jc w:val="both"/>
              <w:rPr>
                <w:rFonts w:ascii="Times New Roman"/>
              </w:rPr>
            </w:pPr>
          </w:p>
        </w:tc>
        <w:tc>
          <w:tcPr>
            <w:tcW w:w="2971" w:type="dxa"/>
            <w:tcBorders>
              <w:top w:val="single" w:sz="4" w:space="0" w:color="000000"/>
              <w:left w:val="single" w:sz="4" w:space="0" w:color="000000"/>
              <w:bottom w:val="single" w:sz="4" w:space="0" w:color="000000"/>
              <w:right w:val="single" w:sz="4" w:space="0" w:color="000000"/>
            </w:tcBorders>
          </w:tcPr>
          <w:p w14:paraId="0487DAC1" w14:textId="77777777" w:rsidR="003604C8" w:rsidRPr="00F54887" w:rsidRDefault="003604C8" w:rsidP="009B4D0C">
            <w:pPr>
              <w:pStyle w:val="TableParagraph"/>
              <w:jc w:val="both"/>
              <w:rPr>
                <w:rFonts w:ascii="Times New Roman"/>
              </w:rPr>
            </w:pPr>
          </w:p>
        </w:tc>
        <w:tc>
          <w:tcPr>
            <w:tcW w:w="1723" w:type="dxa"/>
            <w:tcBorders>
              <w:top w:val="single" w:sz="4" w:space="0" w:color="000000"/>
              <w:left w:val="single" w:sz="4" w:space="0" w:color="000000"/>
              <w:bottom w:val="single" w:sz="4" w:space="0" w:color="000000"/>
              <w:right w:val="single" w:sz="4" w:space="0" w:color="000000"/>
            </w:tcBorders>
            <w:hideMark/>
          </w:tcPr>
          <w:p w14:paraId="6ADFE24C" w14:textId="77777777" w:rsidR="003604C8" w:rsidRPr="00F54887" w:rsidRDefault="003604C8" w:rsidP="009B4D0C">
            <w:pPr>
              <w:pStyle w:val="TableParagraph"/>
              <w:spacing w:line="230" w:lineRule="exact"/>
              <w:ind w:left="105" w:right="390"/>
              <w:jc w:val="both"/>
              <w:rPr>
                <w:sz w:val="20"/>
              </w:rPr>
            </w:pPr>
            <w:r w:rsidRPr="00F54887">
              <w:rPr>
                <w:sz w:val="20"/>
              </w:rPr>
              <w:t>Unspecified</w:t>
            </w:r>
            <w:r w:rsidRPr="00F54887">
              <w:rPr>
                <w:spacing w:val="-14"/>
                <w:sz w:val="20"/>
              </w:rPr>
              <w:t xml:space="preserve"> </w:t>
            </w:r>
            <w:r w:rsidRPr="00F54887">
              <w:rPr>
                <w:sz w:val="20"/>
              </w:rPr>
              <w:t>#</w:t>
            </w:r>
            <w:r w:rsidRPr="00F54887">
              <w:rPr>
                <w:spacing w:val="-53"/>
                <w:sz w:val="20"/>
              </w:rPr>
              <w:t xml:space="preserve"> </w:t>
            </w:r>
            <w:r w:rsidRPr="00F54887">
              <w:rPr>
                <w:sz w:val="20"/>
              </w:rPr>
              <w:t>piloted</w:t>
            </w:r>
          </w:p>
        </w:tc>
      </w:tr>
      <w:tr w:rsidR="003604C8" w14:paraId="6B2349AC" w14:textId="77777777" w:rsidTr="00E45F7E">
        <w:trPr>
          <w:trHeight w:val="230"/>
        </w:trPr>
        <w:tc>
          <w:tcPr>
            <w:tcW w:w="1795" w:type="dxa"/>
            <w:tcBorders>
              <w:top w:val="single" w:sz="4" w:space="0" w:color="000000"/>
              <w:left w:val="single" w:sz="4" w:space="0" w:color="000000"/>
              <w:bottom w:val="single" w:sz="4" w:space="0" w:color="000000"/>
              <w:right w:val="single" w:sz="4" w:space="0" w:color="000000"/>
            </w:tcBorders>
            <w:hideMark/>
          </w:tcPr>
          <w:p w14:paraId="5F4BD520" w14:textId="77777777" w:rsidR="003604C8" w:rsidRPr="00F54887" w:rsidRDefault="003604C8" w:rsidP="009B4D0C">
            <w:pPr>
              <w:pStyle w:val="TableParagraph"/>
              <w:spacing w:line="210" w:lineRule="exact"/>
              <w:ind w:left="107"/>
              <w:jc w:val="both"/>
              <w:rPr>
                <w:sz w:val="20"/>
              </w:rPr>
            </w:pPr>
            <w:r w:rsidRPr="00F54887">
              <w:rPr>
                <w:sz w:val="20"/>
              </w:rPr>
              <w:t>Samoa</w:t>
            </w:r>
          </w:p>
        </w:tc>
        <w:tc>
          <w:tcPr>
            <w:tcW w:w="2520" w:type="dxa"/>
            <w:tcBorders>
              <w:top w:val="single" w:sz="4" w:space="0" w:color="000000"/>
              <w:left w:val="single" w:sz="4" w:space="0" w:color="000000"/>
              <w:bottom w:val="single" w:sz="4" w:space="0" w:color="000000"/>
              <w:right w:val="single" w:sz="4" w:space="0" w:color="000000"/>
            </w:tcBorders>
            <w:hideMark/>
          </w:tcPr>
          <w:p w14:paraId="7B3C08A2" w14:textId="77777777" w:rsidR="003604C8" w:rsidRPr="00F54887" w:rsidRDefault="003604C8" w:rsidP="009B4D0C">
            <w:pPr>
              <w:pStyle w:val="TableParagraph"/>
              <w:spacing w:line="210" w:lineRule="exact"/>
              <w:ind w:left="108"/>
              <w:jc w:val="both"/>
              <w:rPr>
                <w:sz w:val="20"/>
              </w:rPr>
            </w:pPr>
            <w:r w:rsidRPr="00F54887">
              <w:rPr>
                <w:sz w:val="20"/>
              </w:rPr>
              <w:t>1:</w:t>
            </w:r>
            <w:r w:rsidRPr="00F54887">
              <w:rPr>
                <w:spacing w:val="-4"/>
                <w:sz w:val="20"/>
              </w:rPr>
              <w:t xml:space="preserve"> </w:t>
            </w:r>
            <w:proofErr w:type="spellStart"/>
            <w:r w:rsidRPr="00F54887">
              <w:rPr>
                <w:sz w:val="20"/>
              </w:rPr>
              <w:t>Savaia</w:t>
            </w:r>
            <w:proofErr w:type="spellEnd"/>
            <w:r w:rsidRPr="00F54887">
              <w:rPr>
                <w:spacing w:val="-2"/>
                <w:sz w:val="20"/>
              </w:rPr>
              <w:t xml:space="preserve"> </w:t>
            </w:r>
            <w:proofErr w:type="spellStart"/>
            <w:r w:rsidRPr="00F54887">
              <w:rPr>
                <w:sz w:val="20"/>
              </w:rPr>
              <w:t>Lefaga</w:t>
            </w:r>
            <w:proofErr w:type="spellEnd"/>
            <w:r w:rsidRPr="00F54887">
              <w:rPr>
                <w:sz w:val="20"/>
              </w:rPr>
              <w:t>,</w:t>
            </w:r>
            <w:r w:rsidRPr="00F54887">
              <w:rPr>
                <w:spacing w:val="-4"/>
                <w:sz w:val="20"/>
              </w:rPr>
              <w:t xml:space="preserve"> </w:t>
            </w:r>
            <w:r w:rsidRPr="00F54887">
              <w:rPr>
                <w:sz w:val="20"/>
              </w:rPr>
              <w:t>2017</w:t>
            </w:r>
          </w:p>
        </w:tc>
        <w:tc>
          <w:tcPr>
            <w:tcW w:w="2971" w:type="dxa"/>
            <w:tcBorders>
              <w:top w:val="single" w:sz="4" w:space="0" w:color="000000"/>
              <w:left w:val="single" w:sz="4" w:space="0" w:color="000000"/>
              <w:bottom w:val="single" w:sz="4" w:space="0" w:color="000000"/>
              <w:right w:val="single" w:sz="4" w:space="0" w:color="000000"/>
            </w:tcBorders>
          </w:tcPr>
          <w:p w14:paraId="49243127" w14:textId="77777777" w:rsidR="003604C8" w:rsidRPr="00F54887" w:rsidRDefault="003604C8" w:rsidP="009B4D0C">
            <w:pPr>
              <w:pStyle w:val="TableParagraph"/>
              <w:jc w:val="both"/>
              <w:rPr>
                <w:rFonts w:ascii="Times New Roman"/>
                <w:sz w:val="16"/>
              </w:rPr>
            </w:pPr>
          </w:p>
        </w:tc>
        <w:tc>
          <w:tcPr>
            <w:tcW w:w="1723" w:type="dxa"/>
            <w:tcBorders>
              <w:top w:val="single" w:sz="4" w:space="0" w:color="000000"/>
              <w:left w:val="single" w:sz="4" w:space="0" w:color="000000"/>
              <w:bottom w:val="single" w:sz="4" w:space="0" w:color="000000"/>
              <w:right w:val="single" w:sz="4" w:space="0" w:color="000000"/>
            </w:tcBorders>
          </w:tcPr>
          <w:p w14:paraId="0C7E7A37" w14:textId="77777777" w:rsidR="003604C8" w:rsidRPr="00F54887" w:rsidRDefault="003604C8" w:rsidP="009B4D0C">
            <w:pPr>
              <w:pStyle w:val="TableParagraph"/>
              <w:jc w:val="both"/>
              <w:rPr>
                <w:rFonts w:ascii="Times New Roman"/>
                <w:sz w:val="16"/>
              </w:rPr>
            </w:pPr>
          </w:p>
        </w:tc>
      </w:tr>
      <w:tr w:rsidR="003604C8" w14:paraId="7F37D302" w14:textId="77777777" w:rsidTr="00E45F7E">
        <w:trPr>
          <w:trHeight w:val="690"/>
        </w:trPr>
        <w:tc>
          <w:tcPr>
            <w:tcW w:w="1795" w:type="dxa"/>
            <w:tcBorders>
              <w:top w:val="single" w:sz="4" w:space="0" w:color="000000"/>
              <w:left w:val="single" w:sz="4" w:space="0" w:color="000000"/>
              <w:bottom w:val="single" w:sz="4" w:space="0" w:color="000000"/>
              <w:right w:val="single" w:sz="4" w:space="0" w:color="000000"/>
            </w:tcBorders>
          </w:tcPr>
          <w:p w14:paraId="43CE4671" w14:textId="77777777" w:rsidR="003604C8" w:rsidRPr="00F54887" w:rsidRDefault="003604C8" w:rsidP="009B4D0C">
            <w:pPr>
              <w:pStyle w:val="TableParagraph"/>
              <w:spacing w:before="11"/>
              <w:jc w:val="both"/>
              <w:rPr>
                <w:sz w:val="19"/>
              </w:rPr>
            </w:pPr>
          </w:p>
          <w:p w14:paraId="5B7139BC" w14:textId="77777777" w:rsidR="003604C8" w:rsidRPr="00F54887" w:rsidRDefault="003604C8" w:rsidP="009B4D0C">
            <w:pPr>
              <w:pStyle w:val="TableParagraph"/>
              <w:ind w:left="107"/>
              <w:jc w:val="both"/>
              <w:rPr>
                <w:sz w:val="20"/>
              </w:rPr>
            </w:pPr>
            <w:r w:rsidRPr="00F54887">
              <w:rPr>
                <w:sz w:val="20"/>
              </w:rPr>
              <w:t>Solomon</w:t>
            </w:r>
            <w:r w:rsidRPr="00F54887">
              <w:rPr>
                <w:spacing w:val="-6"/>
                <w:sz w:val="20"/>
              </w:rPr>
              <w:t xml:space="preserve"> </w:t>
            </w:r>
            <w:r w:rsidRPr="00F54887">
              <w:rPr>
                <w:sz w:val="20"/>
              </w:rPr>
              <w:t>Islands</w:t>
            </w:r>
          </w:p>
        </w:tc>
        <w:tc>
          <w:tcPr>
            <w:tcW w:w="2520" w:type="dxa"/>
            <w:tcBorders>
              <w:top w:val="single" w:sz="4" w:space="0" w:color="000000"/>
              <w:left w:val="single" w:sz="4" w:space="0" w:color="000000"/>
              <w:bottom w:val="single" w:sz="4" w:space="0" w:color="000000"/>
              <w:right w:val="single" w:sz="4" w:space="0" w:color="000000"/>
            </w:tcBorders>
          </w:tcPr>
          <w:p w14:paraId="21C0D596" w14:textId="77777777" w:rsidR="003604C8" w:rsidRPr="00F54887" w:rsidRDefault="003604C8" w:rsidP="009B4D0C">
            <w:pPr>
              <w:pStyle w:val="TableParagraph"/>
              <w:jc w:val="both"/>
              <w:rPr>
                <w:rFonts w:ascii="Times New Roman"/>
              </w:rPr>
            </w:pPr>
          </w:p>
        </w:tc>
        <w:tc>
          <w:tcPr>
            <w:tcW w:w="2971" w:type="dxa"/>
            <w:tcBorders>
              <w:top w:val="single" w:sz="4" w:space="0" w:color="000000"/>
              <w:left w:val="single" w:sz="4" w:space="0" w:color="000000"/>
              <w:bottom w:val="single" w:sz="4" w:space="0" w:color="000000"/>
              <w:right w:val="single" w:sz="4" w:space="0" w:color="000000"/>
            </w:tcBorders>
            <w:hideMark/>
          </w:tcPr>
          <w:p w14:paraId="7DCEB1BB" w14:textId="77777777" w:rsidR="003604C8" w:rsidRPr="00F54887" w:rsidRDefault="003604C8" w:rsidP="009B4D0C">
            <w:pPr>
              <w:pStyle w:val="TableParagraph"/>
              <w:spacing w:line="230" w:lineRule="exact"/>
              <w:ind w:left="107" w:right="130"/>
              <w:jc w:val="both"/>
              <w:rPr>
                <w:sz w:val="20"/>
              </w:rPr>
            </w:pPr>
            <w:r w:rsidRPr="00F54887">
              <w:rPr>
                <w:sz w:val="20"/>
              </w:rPr>
              <w:t xml:space="preserve">7: </w:t>
            </w:r>
            <w:proofErr w:type="spellStart"/>
            <w:r w:rsidRPr="00F54887">
              <w:rPr>
                <w:sz w:val="20"/>
              </w:rPr>
              <w:t>Babanga</w:t>
            </w:r>
            <w:proofErr w:type="spellEnd"/>
            <w:r w:rsidRPr="00F54887">
              <w:rPr>
                <w:sz w:val="20"/>
              </w:rPr>
              <w:t xml:space="preserve">, </w:t>
            </w:r>
            <w:proofErr w:type="spellStart"/>
            <w:r w:rsidRPr="00F54887">
              <w:rPr>
                <w:sz w:val="20"/>
              </w:rPr>
              <w:t>Tambaka</w:t>
            </w:r>
            <w:proofErr w:type="spellEnd"/>
            <w:r w:rsidRPr="00F54887">
              <w:rPr>
                <w:sz w:val="20"/>
              </w:rPr>
              <w:t>, Goldie,</w:t>
            </w:r>
            <w:r w:rsidRPr="00F54887">
              <w:rPr>
                <w:spacing w:val="-53"/>
                <w:sz w:val="20"/>
              </w:rPr>
              <w:t xml:space="preserve"> </w:t>
            </w:r>
            <w:r w:rsidRPr="00F54887">
              <w:rPr>
                <w:sz w:val="20"/>
              </w:rPr>
              <w:t>Nusa</w:t>
            </w:r>
            <w:r w:rsidRPr="00F54887">
              <w:rPr>
                <w:spacing w:val="-6"/>
                <w:sz w:val="20"/>
              </w:rPr>
              <w:t xml:space="preserve"> </w:t>
            </w:r>
            <w:proofErr w:type="spellStart"/>
            <w:r w:rsidRPr="00F54887">
              <w:rPr>
                <w:sz w:val="20"/>
              </w:rPr>
              <w:t>Simbo</w:t>
            </w:r>
            <w:proofErr w:type="spellEnd"/>
            <w:r w:rsidRPr="00F54887">
              <w:rPr>
                <w:sz w:val="20"/>
              </w:rPr>
              <w:t>,</w:t>
            </w:r>
            <w:r w:rsidRPr="00F54887">
              <w:rPr>
                <w:spacing w:val="-3"/>
                <w:sz w:val="20"/>
              </w:rPr>
              <w:t xml:space="preserve"> </w:t>
            </w:r>
            <w:proofErr w:type="spellStart"/>
            <w:r w:rsidRPr="00F54887">
              <w:rPr>
                <w:sz w:val="20"/>
              </w:rPr>
              <w:t>Lengana</w:t>
            </w:r>
            <w:proofErr w:type="spellEnd"/>
            <w:r w:rsidRPr="00F54887">
              <w:rPr>
                <w:sz w:val="20"/>
              </w:rPr>
              <w:t>,</w:t>
            </w:r>
            <w:r w:rsidRPr="00F54887">
              <w:rPr>
                <w:spacing w:val="-4"/>
                <w:sz w:val="20"/>
              </w:rPr>
              <w:t xml:space="preserve"> </w:t>
            </w:r>
            <w:r w:rsidRPr="00F54887">
              <w:rPr>
                <w:sz w:val="20"/>
              </w:rPr>
              <w:t>Banga,</w:t>
            </w:r>
            <w:r w:rsidRPr="00F54887">
              <w:rPr>
                <w:spacing w:val="-53"/>
                <w:sz w:val="20"/>
              </w:rPr>
              <w:t xml:space="preserve"> </w:t>
            </w:r>
            <w:proofErr w:type="spellStart"/>
            <w:r w:rsidRPr="00F54887">
              <w:rPr>
                <w:sz w:val="20"/>
              </w:rPr>
              <w:t>Titiana</w:t>
            </w:r>
            <w:proofErr w:type="spellEnd"/>
          </w:p>
        </w:tc>
        <w:tc>
          <w:tcPr>
            <w:tcW w:w="1723" w:type="dxa"/>
            <w:tcBorders>
              <w:top w:val="single" w:sz="4" w:space="0" w:color="000000"/>
              <w:left w:val="single" w:sz="4" w:space="0" w:color="000000"/>
              <w:bottom w:val="single" w:sz="4" w:space="0" w:color="000000"/>
              <w:right w:val="single" w:sz="4" w:space="0" w:color="000000"/>
            </w:tcBorders>
          </w:tcPr>
          <w:p w14:paraId="7D8555C1" w14:textId="77777777" w:rsidR="003604C8" w:rsidRPr="00F54887" w:rsidRDefault="003604C8" w:rsidP="009B4D0C">
            <w:pPr>
              <w:pStyle w:val="TableParagraph"/>
              <w:jc w:val="both"/>
              <w:rPr>
                <w:rFonts w:ascii="Times New Roman"/>
              </w:rPr>
            </w:pPr>
          </w:p>
        </w:tc>
      </w:tr>
      <w:tr w:rsidR="003604C8" w14:paraId="45294932" w14:textId="77777777" w:rsidTr="00E45F7E">
        <w:trPr>
          <w:trHeight w:val="229"/>
        </w:trPr>
        <w:tc>
          <w:tcPr>
            <w:tcW w:w="1795" w:type="dxa"/>
            <w:tcBorders>
              <w:top w:val="single" w:sz="4" w:space="0" w:color="000000"/>
              <w:left w:val="single" w:sz="4" w:space="0" w:color="000000"/>
              <w:bottom w:val="single" w:sz="4" w:space="0" w:color="000000"/>
              <w:right w:val="single" w:sz="4" w:space="0" w:color="000000"/>
            </w:tcBorders>
            <w:hideMark/>
          </w:tcPr>
          <w:p w14:paraId="1BA6E459" w14:textId="77777777" w:rsidR="003604C8" w:rsidRPr="00F54887" w:rsidRDefault="003604C8" w:rsidP="009B4D0C">
            <w:pPr>
              <w:pStyle w:val="TableParagraph"/>
              <w:spacing w:line="210" w:lineRule="exact"/>
              <w:ind w:left="107"/>
              <w:jc w:val="both"/>
              <w:rPr>
                <w:sz w:val="20"/>
              </w:rPr>
            </w:pPr>
            <w:r w:rsidRPr="00F54887">
              <w:rPr>
                <w:sz w:val="20"/>
              </w:rPr>
              <w:t>Tonga</w:t>
            </w:r>
          </w:p>
        </w:tc>
        <w:tc>
          <w:tcPr>
            <w:tcW w:w="2520" w:type="dxa"/>
            <w:tcBorders>
              <w:top w:val="single" w:sz="4" w:space="0" w:color="000000"/>
              <w:left w:val="single" w:sz="4" w:space="0" w:color="000000"/>
              <w:bottom w:val="single" w:sz="4" w:space="0" w:color="000000"/>
              <w:right w:val="single" w:sz="4" w:space="0" w:color="000000"/>
            </w:tcBorders>
          </w:tcPr>
          <w:p w14:paraId="6C92DE1B" w14:textId="77777777" w:rsidR="003604C8" w:rsidRPr="00F54887" w:rsidRDefault="003604C8" w:rsidP="009B4D0C">
            <w:pPr>
              <w:pStyle w:val="TableParagraph"/>
              <w:jc w:val="both"/>
              <w:rPr>
                <w:rFonts w:ascii="Times New Roman"/>
                <w:sz w:val="16"/>
              </w:rPr>
            </w:pPr>
          </w:p>
        </w:tc>
        <w:tc>
          <w:tcPr>
            <w:tcW w:w="2971" w:type="dxa"/>
            <w:tcBorders>
              <w:top w:val="single" w:sz="4" w:space="0" w:color="000000"/>
              <w:left w:val="single" w:sz="4" w:space="0" w:color="000000"/>
              <w:bottom w:val="single" w:sz="4" w:space="0" w:color="000000"/>
              <w:right w:val="single" w:sz="4" w:space="0" w:color="000000"/>
            </w:tcBorders>
            <w:hideMark/>
          </w:tcPr>
          <w:p w14:paraId="595F9F5A" w14:textId="77777777" w:rsidR="003604C8" w:rsidRPr="00F54887" w:rsidRDefault="003604C8" w:rsidP="009B4D0C">
            <w:pPr>
              <w:pStyle w:val="TableParagraph"/>
              <w:spacing w:line="210" w:lineRule="exact"/>
              <w:ind w:left="107"/>
              <w:jc w:val="both"/>
              <w:rPr>
                <w:sz w:val="20"/>
              </w:rPr>
            </w:pPr>
            <w:r w:rsidRPr="00F54887">
              <w:rPr>
                <w:sz w:val="20"/>
              </w:rPr>
              <w:t>2:</w:t>
            </w:r>
            <w:r w:rsidRPr="00F54887">
              <w:rPr>
                <w:spacing w:val="-5"/>
                <w:sz w:val="20"/>
              </w:rPr>
              <w:t xml:space="preserve"> </w:t>
            </w:r>
            <w:proofErr w:type="spellStart"/>
            <w:r w:rsidRPr="00F54887">
              <w:rPr>
                <w:sz w:val="20"/>
              </w:rPr>
              <w:t>Tongatapu</w:t>
            </w:r>
            <w:proofErr w:type="spellEnd"/>
            <w:r w:rsidRPr="00F54887">
              <w:rPr>
                <w:sz w:val="20"/>
              </w:rPr>
              <w:t>,</w:t>
            </w:r>
            <w:r w:rsidRPr="00F54887">
              <w:rPr>
                <w:spacing w:val="-2"/>
                <w:sz w:val="20"/>
              </w:rPr>
              <w:t xml:space="preserve"> </w:t>
            </w:r>
            <w:proofErr w:type="spellStart"/>
            <w:r w:rsidRPr="00F54887">
              <w:rPr>
                <w:sz w:val="20"/>
              </w:rPr>
              <w:t>Moungaone</w:t>
            </w:r>
            <w:proofErr w:type="spellEnd"/>
          </w:p>
        </w:tc>
        <w:tc>
          <w:tcPr>
            <w:tcW w:w="1723" w:type="dxa"/>
            <w:tcBorders>
              <w:top w:val="single" w:sz="4" w:space="0" w:color="000000"/>
              <w:left w:val="single" w:sz="4" w:space="0" w:color="000000"/>
              <w:bottom w:val="single" w:sz="4" w:space="0" w:color="000000"/>
              <w:right w:val="single" w:sz="4" w:space="0" w:color="000000"/>
            </w:tcBorders>
          </w:tcPr>
          <w:p w14:paraId="44712F1D" w14:textId="77777777" w:rsidR="003604C8" w:rsidRPr="00F54887" w:rsidRDefault="003604C8" w:rsidP="009B4D0C">
            <w:pPr>
              <w:pStyle w:val="TableParagraph"/>
              <w:jc w:val="both"/>
              <w:rPr>
                <w:rFonts w:ascii="Times New Roman"/>
                <w:sz w:val="16"/>
              </w:rPr>
            </w:pPr>
          </w:p>
        </w:tc>
      </w:tr>
      <w:tr w:rsidR="003604C8" w14:paraId="2723031C" w14:textId="77777777" w:rsidTr="00E45F7E">
        <w:trPr>
          <w:trHeight w:val="460"/>
        </w:trPr>
        <w:tc>
          <w:tcPr>
            <w:tcW w:w="1795" w:type="dxa"/>
            <w:tcBorders>
              <w:top w:val="single" w:sz="4" w:space="0" w:color="000000"/>
              <w:left w:val="single" w:sz="4" w:space="0" w:color="000000"/>
              <w:bottom w:val="single" w:sz="4" w:space="0" w:color="000000"/>
              <w:right w:val="single" w:sz="4" w:space="0" w:color="000000"/>
            </w:tcBorders>
            <w:hideMark/>
          </w:tcPr>
          <w:p w14:paraId="5BE9DEF3" w14:textId="77777777" w:rsidR="003604C8" w:rsidRPr="00F54887" w:rsidRDefault="003604C8" w:rsidP="009B4D0C">
            <w:pPr>
              <w:pStyle w:val="TableParagraph"/>
              <w:spacing w:before="114"/>
              <w:ind w:left="107"/>
              <w:jc w:val="both"/>
              <w:rPr>
                <w:sz w:val="20"/>
              </w:rPr>
            </w:pPr>
            <w:r w:rsidRPr="00F54887">
              <w:rPr>
                <w:sz w:val="20"/>
              </w:rPr>
              <w:t>Vanuatu</w:t>
            </w:r>
          </w:p>
        </w:tc>
        <w:tc>
          <w:tcPr>
            <w:tcW w:w="2520" w:type="dxa"/>
            <w:tcBorders>
              <w:top w:val="single" w:sz="4" w:space="0" w:color="000000"/>
              <w:left w:val="single" w:sz="4" w:space="0" w:color="000000"/>
              <w:bottom w:val="single" w:sz="4" w:space="0" w:color="000000"/>
              <w:right w:val="single" w:sz="4" w:space="0" w:color="000000"/>
            </w:tcBorders>
          </w:tcPr>
          <w:p w14:paraId="361AFDAC" w14:textId="77777777" w:rsidR="003604C8" w:rsidRPr="00F54887" w:rsidRDefault="003604C8" w:rsidP="009B4D0C">
            <w:pPr>
              <w:pStyle w:val="TableParagraph"/>
              <w:jc w:val="both"/>
              <w:rPr>
                <w:rFonts w:ascii="Times New Roman"/>
              </w:rPr>
            </w:pPr>
          </w:p>
        </w:tc>
        <w:tc>
          <w:tcPr>
            <w:tcW w:w="2971" w:type="dxa"/>
            <w:tcBorders>
              <w:top w:val="single" w:sz="4" w:space="0" w:color="000000"/>
              <w:left w:val="single" w:sz="4" w:space="0" w:color="000000"/>
              <w:bottom w:val="single" w:sz="4" w:space="0" w:color="000000"/>
              <w:right w:val="single" w:sz="4" w:space="0" w:color="000000"/>
            </w:tcBorders>
            <w:hideMark/>
          </w:tcPr>
          <w:p w14:paraId="448290D1" w14:textId="77777777" w:rsidR="003604C8" w:rsidRPr="00F54887" w:rsidRDefault="003604C8" w:rsidP="009B4D0C">
            <w:pPr>
              <w:pStyle w:val="TableParagraph"/>
              <w:spacing w:line="230" w:lineRule="exact"/>
              <w:ind w:left="107" w:right="558"/>
              <w:jc w:val="both"/>
              <w:rPr>
                <w:sz w:val="20"/>
              </w:rPr>
            </w:pPr>
            <w:r w:rsidRPr="00F54887">
              <w:rPr>
                <w:sz w:val="20"/>
              </w:rPr>
              <w:t>4:</w:t>
            </w:r>
            <w:r w:rsidRPr="00F54887">
              <w:rPr>
                <w:spacing w:val="-6"/>
                <w:sz w:val="20"/>
              </w:rPr>
              <w:t xml:space="preserve"> </w:t>
            </w:r>
            <w:r w:rsidRPr="00F54887">
              <w:rPr>
                <w:sz w:val="20"/>
              </w:rPr>
              <w:t>Mele,</w:t>
            </w:r>
            <w:r w:rsidRPr="00F54887">
              <w:rPr>
                <w:spacing w:val="-3"/>
                <w:sz w:val="20"/>
              </w:rPr>
              <w:t xml:space="preserve"> </w:t>
            </w:r>
            <w:proofErr w:type="spellStart"/>
            <w:r w:rsidRPr="00F54887">
              <w:rPr>
                <w:sz w:val="20"/>
              </w:rPr>
              <w:t>Pango</w:t>
            </w:r>
            <w:proofErr w:type="spellEnd"/>
            <w:r w:rsidRPr="00F54887">
              <w:rPr>
                <w:sz w:val="20"/>
              </w:rPr>
              <w:t>,</w:t>
            </w:r>
            <w:r w:rsidRPr="00F54887">
              <w:rPr>
                <w:spacing w:val="-6"/>
                <w:sz w:val="20"/>
              </w:rPr>
              <w:t xml:space="preserve"> </w:t>
            </w:r>
            <w:proofErr w:type="spellStart"/>
            <w:r w:rsidRPr="00F54887">
              <w:rPr>
                <w:sz w:val="20"/>
              </w:rPr>
              <w:t>Lakatoro</w:t>
            </w:r>
            <w:proofErr w:type="spellEnd"/>
            <w:r w:rsidRPr="00F54887">
              <w:rPr>
                <w:sz w:val="20"/>
              </w:rPr>
              <w:t>,</w:t>
            </w:r>
            <w:r w:rsidRPr="00F54887">
              <w:rPr>
                <w:spacing w:val="-52"/>
                <w:sz w:val="20"/>
              </w:rPr>
              <w:t xml:space="preserve"> </w:t>
            </w:r>
            <w:proofErr w:type="spellStart"/>
            <w:r w:rsidRPr="00F54887">
              <w:rPr>
                <w:sz w:val="20"/>
              </w:rPr>
              <w:t>Lenakel</w:t>
            </w:r>
            <w:proofErr w:type="spellEnd"/>
          </w:p>
        </w:tc>
        <w:tc>
          <w:tcPr>
            <w:tcW w:w="1723" w:type="dxa"/>
            <w:tcBorders>
              <w:top w:val="single" w:sz="4" w:space="0" w:color="000000"/>
              <w:left w:val="single" w:sz="4" w:space="0" w:color="000000"/>
              <w:bottom w:val="single" w:sz="4" w:space="0" w:color="000000"/>
              <w:right w:val="single" w:sz="4" w:space="0" w:color="000000"/>
            </w:tcBorders>
          </w:tcPr>
          <w:p w14:paraId="5FFA79E4" w14:textId="77777777" w:rsidR="003604C8" w:rsidRPr="00F54887" w:rsidRDefault="003604C8" w:rsidP="009B4D0C">
            <w:pPr>
              <w:pStyle w:val="TableParagraph"/>
              <w:jc w:val="both"/>
              <w:rPr>
                <w:rFonts w:ascii="Times New Roman"/>
              </w:rPr>
            </w:pPr>
          </w:p>
        </w:tc>
      </w:tr>
      <w:tr w:rsidR="003604C8" w14:paraId="07A59A87" w14:textId="77777777" w:rsidTr="00E45F7E">
        <w:trPr>
          <w:trHeight w:val="460"/>
        </w:trPr>
        <w:tc>
          <w:tcPr>
            <w:tcW w:w="1795" w:type="dxa"/>
            <w:tcBorders>
              <w:top w:val="single" w:sz="4" w:space="0" w:color="000000"/>
              <w:left w:val="single" w:sz="4" w:space="0" w:color="000000"/>
              <w:bottom w:val="single" w:sz="4" w:space="0" w:color="000000"/>
              <w:right w:val="single" w:sz="4" w:space="0" w:color="000000"/>
            </w:tcBorders>
            <w:hideMark/>
          </w:tcPr>
          <w:p w14:paraId="053B1680" w14:textId="77777777" w:rsidR="003604C8" w:rsidRPr="00F54887" w:rsidRDefault="003604C8" w:rsidP="009B4D0C">
            <w:pPr>
              <w:pStyle w:val="TableParagraph"/>
              <w:spacing w:before="114"/>
              <w:ind w:left="107"/>
              <w:jc w:val="both"/>
              <w:rPr>
                <w:sz w:val="20"/>
              </w:rPr>
            </w:pPr>
            <w:r w:rsidRPr="00F54887">
              <w:rPr>
                <w:sz w:val="20"/>
              </w:rPr>
              <w:t>Vietnam</w:t>
            </w:r>
          </w:p>
        </w:tc>
        <w:tc>
          <w:tcPr>
            <w:tcW w:w="2520" w:type="dxa"/>
            <w:tcBorders>
              <w:top w:val="single" w:sz="4" w:space="0" w:color="000000"/>
              <w:left w:val="single" w:sz="4" w:space="0" w:color="000000"/>
              <w:bottom w:val="single" w:sz="4" w:space="0" w:color="000000"/>
              <w:right w:val="single" w:sz="4" w:space="0" w:color="000000"/>
            </w:tcBorders>
          </w:tcPr>
          <w:p w14:paraId="46DAF15C" w14:textId="77777777" w:rsidR="003604C8" w:rsidRPr="00F54887" w:rsidRDefault="003604C8" w:rsidP="009B4D0C">
            <w:pPr>
              <w:pStyle w:val="TableParagraph"/>
              <w:jc w:val="both"/>
              <w:rPr>
                <w:rFonts w:ascii="Times New Roman"/>
              </w:rPr>
            </w:pPr>
          </w:p>
        </w:tc>
        <w:tc>
          <w:tcPr>
            <w:tcW w:w="2971" w:type="dxa"/>
            <w:tcBorders>
              <w:top w:val="single" w:sz="4" w:space="0" w:color="000000"/>
              <w:left w:val="single" w:sz="4" w:space="0" w:color="000000"/>
              <w:bottom w:val="single" w:sz="4" w:space="0" w:color="000000"/>
              <w:right w:val="single" w:sz="4" w:space="0" w:color="000000"/>
            </w:tcBorders>
            <w:hideMark/>
          </w:tcPr>
          <w:p w14:paraId="586A2D7D" w14:textId="77777777" w:rsidR="003604C8" w:rsidRPr="00F54887" w:rsidRDefault="003604C8" w:rsidP="009B4D0C">
            <w:pPr>
              <w:pStyle w:val="TableParagraph"/>
              <w:spacing w:line="230" w:lineRule="exact"/>
              <w:ind w:left="107" w:right="740"/>
              <w:jc w:val="both"/>
              <w:rPr>
                <w:sz w:val="20"/>
              </w:rPr>
            </w:pPr>
            <w:r w:rsidRPr="00F54887">
              <w:rPr>
                <w:sz w:val="20"/>
              </w:rPr>
              <w:t>2:</w:t>
            </w:r>
            <w:r w:rsidRPr="00F54887">
              <w:rPr>
                <w:spacing w:val="-7"/>
                <w:sz w:val="20"/>
              </w:rPr>
              <w:t xml:space="preserve"> </w:t>
            </w:r>
            <w:r w:rsidRPr="00F54887">
              <w:rPr>
                <w:sz w:val="20"/>
              </w:rPr>
              <w:t>Danang;</w:t>
            </w:r>
            <w:r w:rsidRPr="00F54887">
              <w:rPr>
                <w:spacing w:val="-6"/>
                <w:sz w:val="20"/>
              </w:rPr>
              <w:t xml:space="preserve"> </w:t>
            </w:r>
            <w:r w:rsidRPr="00F54887">
              <w:rPr>
                <w:sz w:val="20"/>
              </w:rPr>
              <w:t>Quang</w:t>
            </w:r>
            <w:r w:rsidRPr="00F54887">
              <w:rPr>
                <w:spacing w:val="-6"/>
                <w:sz w:val="20"/>
              </w:rPr>
              <w:t xml:space="preserve"> </w:t>
            </w:r>
            <w:r w:rsidRPr="00F54887">
              <w:rPr>
                <w:sz w:val="20"/>
              </w:rPr>
              <w:t>Nam</w:t>
            </w:r>
            <w:r w:rsidRPr="00F54887">
              <w:rPr>
                <w:spacing w:val="-53"/>
                <w:sz w:val="20"/>
              </w:rPr>
              <w:t xml:space="preserve"> </w:t>
            </w:r>
            <w:r w:rsidRPr="00F54887">
              <w:rPr>
                <w:sz w:val="20"/>
              </w:rPr>
              <w:t>Provinces</w:t>
            </w:r>
          </w:p>
        </w:tc>
        <w:tc>
          <w:tcPr>
            <w:tcW w:w="1723" w:type="dxa"/>
            <w:tcBorders>
              <w:top w:val="single" w:sz="4" w:space="0" w:color="000000"/>
              <w:left w:val="single" w:sz="4" w:space="0" w:color="000000"/>
              <w:bottom w:val="single" w:sz="4" w:space="0" w:color="000000"/>
              <w:right w:val="single" w:sz="4" w:space="0" w:color="000000"/>
            </w:tcBorders>
          </w:tcPr>
          <w:p w14:paraId="7C5FF0CB" w14:textId="77777777" w:rsidR="003604C8" w:rsidRPr="00F54887" w:rsidRDefault="003604C8" w:rsidP="009B4D0C">
            <w:pPr>
              <w:pStyle w:val="TableParagraph"/>
              <w:jc w:val="both"/>
              <w:rPr>
                <w:rFonts w:ascii="Times New Roman"/>
              </w:rPr>
            </w:pPr>
          </w:p>
        </w:tc>
      </w:tr>
    </w:tbl>
    <w:p w14:paraId="4AC5353B" w14:textId="77777777" w:rsidR="003C74B8" w:rsidRPr="00881344" w:rsidRDefault="003C74B8" w:rsidP="003C74B8">
      <w:pPr>
        <w:spacing w:before="240" w:after="240" w:line="276" w:lineRule="auto"/>
        <w:jc w:val="both"/>
        <w:rPr>
          <w:rFonts w:ascii="Arial" w:eastAsia="Arial" w:hAnsi="Arial" w:cs="Arial"/>
          <w:b/>
          <w:bCs/>
        </w:rPr>
      </w:pPr>
      <w:r w:rsidRPr="009447ED">
        <w:rPr>
          <w:rFonts w:ascii="Arial" w:eastAsia="Arial" w:hAnsi="Arial" w:cs="Arial"/>
          <w:b/>
          <w:bCs/>
        </w:rPr>
        <w:t>Mechanisms for</w:t>
      </w:r>
      <w:r>
        <w:rPr>
          <w:rFonts w:ascii="Arial" w:eastAsia="Arial" w:hAnsi="Arial" w:cs="Arial"/>
          <w:b/>
          <w:bCs/>
        </w:rPr>
        <w:t xml:space="preserve"> Tsunami Ready participation</w:t>
      </w:r>
    </w:p>
    <w:p w14:paraId="0A97EB15" w14:textId="2551F0B9" w:rsidR="003C74B8" w:rsidRDefault="003C74B8" w:rsidP="003C74B8">
      <w:pPr>
        <w:spacing w:before="240" w:after="240" w:line="276" w:lineRule="auto"/>
        <w:jc w:val="both"/>
        <w:rPr>
          <w:rFonts w:ascii="Arial" w:eastAsia="Arial" w:hAnsi="Arial" w:cs="Arial"/>
        </w:rPr>
      </w:pPr>
      <w:r>
        <w:rPr>
          <w:rFonts w:ascii="Arial" w:eastAsia="Arial" w:hAnsi="Arial" w:cs="Arial"/>
        </w:rPr>
        <w:t>T</w:t>
      </w:r>
      <w:r w:rsidRPr="009447ED">
        <w:rPr>
          <w:rFonts w:ascii="Arial" w:eastAsia="Arial" w:hAnsi="Arial" w:cs="Arial"/>
        </w:rPr>
        <w:t>he ICG/</w:t>
      </w:r>
      <w:r w:rsidRPr="003C74B8">
        <w:rPr>
          <w:rFonts w:ascii="Arial" w:eastAsia="Arial" w:hAnsi="Arial" w:cs="Arial"/>
        </w:rPr>
        <w:t xml:space="preserve">PTWS-XXIX (December 2021) </w:t>
      </w:r>
      <w:r w:rsidRPr="003C74B8">
        <w:rPr>
          <w:rFonts w:ascii="Arial" w:eastAsia="Arial" w:hAnsi="Arial" w:cs="Arial"/>
          <w:b/>
          <w:bCs/>
        </w:rPr>
        <w:t>noted</w:t>
      </w:r>
      <w:r w:rsidRPr="003C74B8">
        <w:rPr>
          <w:rFonts w:ascii="Arial" w:eastAsia="Arial" w:hAnsi="Arial" w:cs="Arial"/>
        </w:rPr>
        <w:t xml:space="preserve"> that some Member States already have similar tsunami hazard mitigation </w:t>
      </w:r>
      <w:proofErr w:type="spellStart"/>
      <w:r w:rsidRPr="003C74B8">
        <w:rPr>
          <w:rFonts w:ascii="Arial" w:eastAsia="Arial" w:hAnsi="Arial" w:cs="Arial"/>
        </w:rPr>
        <w:t>programmes</w:t>
      </w:r>
      <w:proofErr w:type="spellEnd"/>
      <w:r w:rsidRPr="003C74B8">
        <w:rPr>
          <w:rFonts w:ascii="Arial" w:eastAsia="Arial" w:hAnsi="Arial" w:cs="Arial"/>
        </w:rPr>
        <w:t xml:space="preserve"> in place, and </w:t>
      </w:r>
      <w:r w:rsidRPr="003C74B8">
        <w:rPr>
          <w:rFonts w:ascii="Arial" w:eastAsia="Arial" w:hAnsi="Arial" w:cs="Arial"/>
          <w:b/>
          <w:bCs/>
        </w:rPr>
        <w:t>encourage</w:t>
      </w:r>
      <w:r w:rsidRPr="003C74B8">
        <w:rPr>
          <w:rFonts w:ascii="Arial" w:eastAsia="Arial" w:hAnsi="Arial" w:cs="Arial"/>
          <w:b/>
          <w:bCs/>
        </w:rPr>
        <w:t>d</w:t>
      </w:r>
      <w:r w:rsidRPr="009447ED">
        <w:rPr>
          <w:rFonts w:ascii="Arial" w:eastAsia="Arial" w:hAnsi="Arial" w:cs="Arial"/>
          <w:b/>
          <w:bCs/>
        </w:rPr>
        <w:t xml:space="preserve"> </w:t>
      </w:r>
      <w:r w:rsidRPr="009447ED">
        <w:rPr>
          <w:rFonts w:ascii="Arial" w:eastAsia="Arial" w:hAnsi="Arial" w:cs="Arial"/>
        </w:rPr>
        <w:t xml:space="preserve">Member States that apply other </w:t>
      </w:r>
      <w:proofErr w:type="spellStart"/>
      <w:r w:rsidRPr="009447ED">
        <w:rPr>
          <w:rFonts w:ascii="Arial" w:eastAsia="Arial" w:hAnsi="Arial" w:cs="Arial"/>
        </w:rPr>
        <w:t>programmes</w:t>
      </w:r>
      <w:proofErr w:type="spellEnd"/>
      <w:r w:rsidRPr="009447ED">
        <w:rPr>
          <w:rFonts w:ascii="Arial" w:eastAsia="Arial" w:hAnsi="Arial" w:cs="Arial"/>
        </w:rPr>
        <w:t>, to confirm alignment with the twelve UNESCO IOC Tsunami Ready Indicators in relevant communities and report outcomes;”</w:t>
      </w:r>
    </w:p>
    <w:p w14:paraId="01224585" w14:textId="2099099F" w:rsidR="003C74B8" w:rsidRDefault="003C74B8" w:rsidP="003C74B8">
      <w:pPr>
        <w:spacing w:before="240" w:after="240" w:line="276" w:lineRule="auto"/>
        <w:jc w:val="both"/>
        <w:rPr>
          <w:rFonts w:ascii="Arial" w:eastAsia="Arial" w:hAnsi="Arial" w:cs="Arial"/>
        </w:rPr>
      </w:pPr>
      <w:r>
        <w:rPr>
          <w:rFonts w:ascii="Arial" w:eastAsia="Arial" w:hAnsi="Arial" w:cs="Arial"/>
        </w:rPr>
        <w:t xml:space="preserve">New Zealand has begun preliminary work considering how existing national program requirements might be ‘cross-credited’ with the Tsunami Ready indictors. Establishing such a framework nationally would mean </w:t>
      </w:r>
      <w:r w:rsidRPr="00A03C26">
        <w:rPr>
          <w:rFonts w:ascii="Arial" w:eastAsia="Arial" w:hAnsi="Arial" w:cs="Arial"/>
        </w:rPr>
        <w:t xml:space="preserve">that communities can submit the same documentation created to meet national requirements, for consideration of </w:t>
      </w:r>
      <w:r>
        <w:rPr>
          <w:rFonts w:ascii="Arial" w:eastAsia="Arial" w:hAnsi="Arial" w:cs="Arial"/>
        </w:rPr>
        <w:t xml:space="preserve">Tsunami </w:t>
      </w:r>
      <w:r>
        <w:rPr>
          <w:rFonts w:ascii="Arial" w:eastAsia="Arial" w:hAnsi="Arial" w:cs="Arial"/>
        </w:rPr>
        <w:lastRenderedPageBreak/>
        <w:t xml:space="preserve">Ready recognition with minimal administrative burden. This would also enable capturing the status of ‘tsunami readiness’ </w:t>
      </w:r>
      <w:r w:rsidRPr="00A03C26">
        <w:rPr>
          <w:rFonts w:ascii="Arial" w:eastAsia="Arial" w:hAnsi="Arial" w:cs="Arial"/>
        </w:rPr>
        <w:t xml:space="preserve">even where communities do not </w:t>
      </w:r>
      <w:r w:rsidR="00885F5F">
        <w:rPr>
          <w:rFonts w:ascii="Arial" w:eastAsia="Arial" w:hAnsi="Arial" w:cs="Arial"/>
        </w:rPr>
        <w:t>decide</w:t>
      </w:r>
      <w:r w:rsidRPr="00A03C26">
        <w:rPr>
          <w:rFonts w:ascii="Arial" w:eastAsia="Arial" w:hAnsi="Arial" w:cs="Arial"/>
        </w:rPr>
        <w:t xml:space="preserve"> to apply for formal recognition.</w:t>
      </w:r>
      <w:r>
        <w:rPr>
          <w:rFonts w:ascii="Arial" w:eastAsia="Arial" w:hAnsi="Arial" w:cs="Arial"/>
        </w:rPr>
        <w:t xml:space="preserve"> </w:t>
      </w:r>
    </w:p>
    <w:p w14:paraId="1AD1BE55" w14:textId="77777777" w:rsidR="003C74B8" w:rsidRDefault="003C74B8" w:rsidP="003C74B8">
      <w:pPr>
        <w:spacing w:before="240" w:after="240" w:line="276" w:lineRule="auto"/>
        <w:jc w:val="both"/>
        <w:rPr>
          <w:rFonts w:ascii="Arial" w:eastAsia="Arial" w:hAnsi="Arial" w:cs="Arial"/>
        </w:rPr>
      </w:pPr>
      <w:r>
        <w:rPr>
          <w:rFonts w:ascii="Arial" w:eastAsia="Arial" w:hAnsi="Arial" w:cs="Arial"/>
        </w:rPr>
        <w:t xml:space="preserve">This will be discussed further in agenda items 13 and 14 of the PTWS-SC meeting, regarding Tsunami Ready implementation. </w:t>
      </w:r>
    </w:p>
    <w:p w14:paraId="7B7F9380" w14:textId="0A6A1C65" w:rsidR="003C74B8" w:rsidRPr="009B4D0C" w:rsidRDefault="003C74B8" w:rsidP="003C74B8">
      <w:pPr>
        <w:spacing w:before="240" w:after="240" w:line="276" w:lineRule="auto"/>
        <w:jc w:val="both"/>
        <w:rPr>
          <w:rFonts w:ascii="Arial" w:eastAsia="Arial" w:hAnsi="Arial" w:cs="Arial"/>
          <w:highlight w:val="yellow"/>
        </w:rPr>
      </w:pPr>
      <w:r>
        <w:rPr>
          <w:rFonts w:ascii="Arial" w:eastAsia="Arial" w:hAnsi="Arial" w:cs="Arial"/>
        </w:rPr>
        <w:t xml:space="preserve">The Working Group will continue to work with </w:t>
      </w:r>
      <w:r w:rsidRPr="00A03C26">
        <w:rPr>
          <w:rFonts w:ascii="Arial" w:eastAsia="Arial" w:hAnsi="Arial" w:cs="Arial"/>
        </w:rPr>
        <w:t xml:space="preserve">TOWS TT-DMP3 to </w:t>
      </w:r>
      <w:r w:rsidR="004E421F">
        <w:rPr>
          <w:rFonts w:ascii="Arial" w:eastAsia="Arial" w:hAnsi="Arial" w:cs="Arial"/>
        </w:rPr>
        <w:t>“</w:t>
      </w:r>
      <w:r w:rsidRPr="00A03C26">
        <w:rPr>
          <w:rFonts w:ascii="Arial" w:eastAsia="Arial" w:hAnsi="Arial" w:cs="Arial"/>
        </w:rPr>
        <w:t>propose mechanisms by which National tsunami preparedness and readiness programmes and initiatives will be able to fully participate and contribute to the UN Ocean Decade Tsunami Programme’s UN Ocean Decade Tsunami Programme’s “prepared for and resilient to Tsunamis” goal</w:t>
      </w:r>
      <w:r w:rsidR="004E421F">
        <w:rPr>
          <w:rFonts w:ascii="Arial" w:eastAsia="Arial" w:hAnsi="Arial" w:cs="Arial"/>
        </w:rPr>
        <w:t>”.</w:t>
      </w:r>
    </w:p>
    <w:p w14:paraId="5A5A06D6" w14:textId="77777777" w:rsidR="003C74B8" w:rsidRDefault="003C74B8" w:rsidP="009B4D0C">
      <w:pPr>
        <w:spacing w:before="240" w:after="240" w:line="276" w:lineRule="auto"/>
        <w:jc w:val="both"/>
        <w:rPr>
          <w:rFonts w:ascii="Arial" w:eastAsia="Arial" w:hAnsi="Arial" w:cs="Arial"/>
          <w:b/>
          <w:u w:val="single"/>
        </w:rPr>
      </w:pPr>
    </w:p>
    <w:p w14:paraId="00000061" w14:textId="16231143" w:rsidR="007B0B89" w:rsidRDefault="004435AA" w:rsidP="009B4D0C">
      <w:pPr>
        <w:spacing w:before="240" w:after="240" w:line="276" w:lineRule="auto"/>
        <w:jc w:val="both"/>
        <w:rPr>
          <w:rFonts w:ascii="Arial" w:eastAsia="Arial" w:hAnsi="Arial" w:cs="Arial"/>
          <w:b/>
        </w:rPr>
      </w:pPr>
      <w:r>
        <w:rPr>
          <w:rFonts w:ascii="Arial" w:eastAsia="Arial" w:hAnsi="Arial" w:cs="Arial"/>
          <w:b/>
          <w:u w:val="single"/>
        </w:rPr>
        <w:t>5. Develop and promote best practice preparedness material, programs and assessment tools</w:t>
      </w:r>
    </w:p>
    <w:p w14:paraId="00000062" w14:textId="77777777" w:rsidR="007B0B89" w:rsidRDefault="004435AA" w:rsidP="009B4D0C">
      <w:pPr>
        <w:spacing w:before="240" w:after="240" w:line="276" w:lineRule="auto"/>
        <w:jc w:val="both"/>
        <w:rPr>
          <w:rFonts w:ascii="Arial" w:eastAsia="Arial" w:hAnsi="Arial" w:cs="Arial"/>
          <w:b/>
        </w:rPr>
      </w:pPr>
      <w:r>
        <w:rPr>
          <w:rFonts w:ascii="Arial" w:eastAsia="Arial" w:hAnsi="Arial" w:cs="Arial"/>
          <w:b/>
        </w:rPr>
        <w:t>Hunga Tonga – Hunga Ha’Apai Interim Procedures</w:t>
      </w:r>
    </w:p>
    <w:p w14:paraId="00000063" w14:textId="77777777" w:rsidR="007B0B89" w:rsidRDefault="004435AA" w:rsidP="009B4D0C">
      <w:pPr>
        <w:spacing w:before="240" w:after="240" w:line="276" w:lineRule="auto"/>
        <w:jc w:val="both"/>
        <w:rPr>
          <w:rFonts w:ascii="Arial" w:eastAsia="Arial" w:hAnsi="Arial" w:cs="Arial"/>
        </w:rPr>
      </w:pPr>
      <w:r>
        <w:rPr>
          <w:rFonts w:ascii="Arial" w:eastAsia="Arial" w:hAnsi="Arial" w:cs="Arial"/>
        </w:rPr>
        <w:t xml:space="preserve">Working Group members provided DMO representation on Task Team on Hunga-Tonga Hunga-Ha’apai (HTHH) Volcano Tsunami Hazard Response to facilitate the implementation of the PTWS Hunga Tonga - Hunga Ha’apai Volcanic Tsunami Hazard Response (PTWS Interim Procedures Plan). This was made effective on March 15 2022. </w:t>
      </w:r>
    </w:p>
    <w:p w14:paraId="00000069" w14:textId="46567DB3" w:rsidR="007B0B89" w:rsidRPr="00D7132F" w:rsidRDefault="004435AA" w:rsidP="009B4D0C">
      <w:pPr>
        <w:spacing w:before="240" w:after="240" w:line="276" w:lineRule="auto"/>
        <w:jc w:val="both"/>
        <w:rPr>
          <w:rFonts w:ascii="Arial" w:eastAsia="Arial" w:hAnsi="Arial" w:cs="Arial"/>
        </w:rPr>
      </w:pPr>
      <w:r>
        <w:rPr>
          <w:rFonts w:ascii="Arial" w:eastAsia="Arial" w:hAnsi="Arial" w:cs="Arial"/>
        </w:rPr>
        <w:t xml:space="preserve">The interim procedures were tested as part of a regionally coordinated exercise by WG-PICT during PacWave22, with planning support from ITIC and members of </w:t>
      </w:r>
      <w:r w:rsidR="003C74B8">
        <w:rPr>
          <w:rFonts w:ascii="Arial" w:eastAsia="Arial" w:hAnsi="Arial" w:cs="Arial"/>
        </w:rPr>
        <w:t>the Working Group</w:t>
      </w:r>
      <w:r>
        <w:rPr>
          <w:rFonts w:ascii="Arial" w:eastAsia="Arial" w:hAnsi="Arial" w:cs="Arial"/>
        </w:rPr>
        <w:t xml:space="preserve">. </w:t>
      </w:r>
    </w:p>
    <w:p w14:paraId="33493A6D" w14:textId="77777777" w:rsidR="00FF2FF6" w:rsidRDefault="00FF2FF6" w:rsidP="009B4D0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lang w:val="en-US"/>
        </w:rPr>
        <w:t>TsuCAT</w:t>
      </w:r>
      <w:r>
        <w:rPr>
          <w:rStyle w:val="eop"/>
          <w:rFonts w:ascii="Arial" w:hAnsi="Arial" w:cs="Arial"/>
        </w:rPr>
        <w:t> </w:t>
      </w:r>
    </w:p>
    <w:p w14:paraId="0000006C" w14:textId="4DA4F19B" w:rsidR="007B0B89" w:rsidRPr="00FF2FF6" w:rsidRDefault="00FF2FF6" w:rsidP="009B4D0C">
      <w:pPr>
        <w:spacing w:before="240" w:after="240" w:line="276" w:lineRule="auto"/>
        <w:jc w:val="both"/>
        <w:rPr>
          <w:rFonts w:ascii="Arial" w:eastAsia="Arial" w:hAnsi="Arial" w:cs="Arial"/>
        </w:rPr>
      </w:pPr>
      <w:r w:rsidRPr="00FF2FF6">
        <w:rPr>
          <w:rFonts w:ascii="Arial" w:eastAsia="Arial" w:hAnsi="Arial" w:cs="Arial"/>
        </w:rPr>
        <w:t>TsuCAT (2023, ITIC, NOAA PMEL) is a tool for quick hazard assessment using pre-calculated scenarios for Tsunami Response Planning, and Exercise Development and includes a tool to generate the PTWC message products. The tool was introduced in 2017 and the current version, v4.3, was made available in Quarter 1 of 2023; this version introduces stronger security, adds password protection for the PTWC Enhanced Graphical Products (which are not shared publicly), adds Expert Meeting Sources.  The major addition is the addition of options to include community tsunami exercise injects that are based on the PTWC messages. </w:t>
      </w:r>
    </w:p>
    <w:p w14:paraId="4C60DFD3" w14:textId="70E0A1B7" w:rsidR="009447ED" w:rsidRPr="008908CD" w:rsidRDefault="004435AA" w:rsidP="009B4D0C">
      <w:pPr>
        <w:spacing w:before="240" w:after="240" w:line="276" w:lineRule="auto"/>
        <w:jc w:val="both"/>
        <w:rPr>
          <w:rFonts w:ascii="Arial" w:eastAsia="Arial" w:hAnsi="Arial" w:cs="Arial"/>
          <w:b/>
        </w:rPr>
      </w:pPr>
      <w:r w:rsidRPr="008908CD">
        <w:rPr>
          <w:rFonts w:ascii="Arial" w:eastAsia="Arial" w:hAnsi="Arial" w:cs="Arial"/>
          <w:b/>
        </w:rPr>
        <w:t>Structural Design and Vertical Evacuation Guidance</w:t>
      </w:r>
    </w:p>
    <w:p w14:paraId="7053B341" w14:textId="4A3C1468" w:rsidR="009447ED" w:rsidRPr="009447ED" w:rsidRDefault="008908CD" w:rsidP="009B4D0C">
      <w:pPr>
        <w:spacing w:before="240" w:after="240" w:line="276" w:lineRule="auto"/>
        <w:jc w:val="both"/>
        <w:rPr>
          <w:rFonts w:ascii="Arial" w:eastAsia="Arial" w:hAnsi="Arial" w:cs="Arial"/>
        </w:rPr>
      </w:pPr>
      <w:r>
        <w:rPr>
          <w:rFonts w:ascii="Arial" w:eastAsia="Arial" w:hAnsi="Arial" w:cs="Arial"/>
        </w:rPr>
        <w:t>An</w:t>
      </w:r>
      <w:r w:rsidR="009447ED" w:rsidRPr="009447ED">
        <w:rPr>
          <w:rFonts w:ascii="Arial" w:eastAsia="Arial" w:hAnsi="Arial" w:cs="Arial"/>
        </w:rPr>
        <w:t xml:space="preserve"> ITIC compilation of global best practices in tsunami resistant building design and vertical evacuation guidance remains available here:</w:t>
      </w:r>
    </w:p>
    <w:p w14:paraId="0000006F" w14:textId="77777777" w:rsidR="007B0B89" w:rsidRDefault="003A57F7" w:rsidP="009B4D0C">
      <w:pPr>
        <w:spacing w:before="240" w:after="240" w:line="276" w:lineRule="auto"/>
        <w:jc w:val="both"/>
        <w:rPr>
          <w:rFonts w:ascii="Arial" w:eastAsia="Arial" w:hAnsi="Arial" w:cs="Arial"/>
        </w:rPr>
      </w:pPr>
      <w:hyperlink r:id="rId10">
        <w:r w:rsidR="004435AA">
          <w:rPr>
            <w:rFonts w:ascii="Arial" w:eastAsia="Arial" w:hAnsi="Arial" w:cs="Arial"/>
            <w:color w:val="1155CC"/>
            <w:u w:val="single"/>
          </w:rPr>
          <w:t>http://itic.ioc-unesco.org/index.php?option=com_content&amp;view=article&amp;id=2070&amp;Itemid=2927</w:t>
        </w:r>
      </w:hyperlink>
      <w:r w:rsidR="004435AA">
        <w:rPr>
          <w:rFonts w:ascii="Arial" w:eastAsia="Arial" w:hAnsi="Arial" w:cs="Arial"/>
        </w:rPr>
        <w:t xml:space="preserve"> </w:t>
      </w:r>
    </w:p>
    <w:p w14:paraId="1A473CAF" w14:textId="090D8EA6" w:rsidR="00597F58" w:rsidRDefault="00B65AB0" w:rsidP="009B4D0C">
      <w:pPr>
        <w:spacing w:before="240" w:after="240" w:line="276" w:lineRule="auto"/>
        <w:jc w:val="both"/>
        <w:rPr>
          <w:rFonts w:ascii="Arial" w:hAnsi="Arial" w:cs="Arial"/>
        </w:rPr>
      </w:pPr>
      <w:r w:rsidRPr="008908CD">
        <w:rPr>
          <w:rFonts w:ascii="Arial" w:eastAsia="Arial" w:hAnsi="Arial" w:cs="Arial"/>
          <w:bCs/>
        </w:rPr>
        <w:t xml:space="preserve">This includes both </w:t>
      </w:r>
      <w:r w:rsidR="008908CD" w:rsidRPr="008908CD">
        <w:rPr>
          <w:rFonts w:ascii="Arial" w:eastAsia="Arial" w:hAnsi="Arial" w:cs="Arial"/>
          <w:bCs/>
        </w:rPr>
        <w:t xml:space="preserve">Phase One and Phase Two of New Zealand guidance for consideration of tsunami vertical evacuation. </w:t>
      </w:r>
      <w:r w:rsidR="00597F58">
        <w:rPr>
          <w:rFonts w:ascii="Arial" w:eastAsia="Arial" w:hAnsi="Arial" w:cs="Arial"/>
          <w:bCs/>
        </w:rPr>
        <w:t xml:space="preserve">Phase One guidance </w:t>
      </w:r>
      <w:r w:rsidR="00597F58">
        <w:rPr>
          <w:rFonts w:ascii="Arial" w:hAnsi="Arial" w:cs="Arial"/>
          <w:color w:val="444444"/>
        </w:rPr>
        <w:t xml:space="preserve">includes </w:t>
      </w:r>
      <w:r w:rsidR="00597F58" w:rsidRPr="00597F58">
        <w:rPr>
          <w:rFonts w:ascii="Arial" w:hAnsi="Arial" w:cs="Arial"/>
        </w:rPr>
        <w:t xml:space="preserve">regional DMO </w:t>
      </w:r>
      <w:r w:rsidR="00597F58" w:rsidRPr="00597F58">
        <w:rPr>
          <w:rFonts w:ascii="Arial" w:hAnsi="Arial" w:cs="Arial"/>
        </w:rPr>
        <w:t>considerations such as understanding the hazard, assessing the risk and evaluating different risk management measures</w:t>
      </w:r>
      <w:r w:rsidR="00597F58" w:rsidRPr="00597F58">
        <w:rPr>
          <w:rFonts w:ascii="Arial" w:hAnsi="Arial" w:cs="Arial"/>
        </w:rPr>
        <w:t xml:space="preserve"> and was published in 2021. Phase Two guidance contains te</w:t>
      </w:r>
      <w:r w:rsidR="00597F58" w:rsidRPr="00597F58">
        <w:rPr>
          <w:rFonts w:ascii="Arial" w:hAnsi="Arial" w:cs="Arial"/>
        </w:rPr>
        <w:t>chnical information intended to inform the design, construction and operation of vertical evacuation structures</w:t>
      </w:r>
      <w:r w:rsidR="00597F58">
        <w:rPr>
          <w:rFonts w:ascii="Arial" w:hAnsi="Arial" w:cs="Arial"/>
        </w:rPr>
        <w:t xml:space="preserve">, and is primarily based on </w:t>
      </w:r>
      <w:r w:rsidR="00597F58" w:rsidRPr="00597F58">
        <w:rPr>
          <w:rFonts w:ascii="Arial" w:hAnsi="Arial" w:cs="Arial"/>
        </w:rPr>
        <w:t>the</w:t>
      </w:r>
      <w:r w:rsidR="00597F58" w:rsidRPr="00597F58">
        <w:rPr>
          <w:rFonts w:ascii="Arial" w:hAnsi="Arial" w:cs="Arial"/>
          <w:sz w:val="28"/>
          <w:szCs w:val="28"/>
        </w:rPr>
        <w:t xml:space="preserve"> </w:t>
      </w:r>
      <w:r w:rsidR="00597F58" w:rsidRPr="00597F58">
        <w:rPr>
          <w:rFonts w:ascii="Arial" w:hAnsi="Arial" w:cs="Arial"/>
          <w:shd w:val="clear" w:color="auto" w:fill="F9F9F7"/>
        </w:rPr>
        <w:t>ASCE/SEI 7, 2016</w:t>
      </w:r>
      <w:r w:rsidR="00597F58" w:rsidRPr="00597F58">
        <w:rPr>
          <w:rFonts w:ascii="Arial" w:hAnsi="Arial" w:cs="Arial"/>
          <w:shd w:val="clear" w:color="auto" w:fill="F9F9F7"/>
        </w:rPr>
        <w:t xml:space="preserve"> standard.</w:t>
      </w:r>
    </w:p>
    <w:p w14:paraId="3E1F07F0" w14:textId="03CD05BE" w:rsidR="00597F58" w:rsidRDefault="00597F58" w:rsidP="009B4D0C">
      <w:pPr>
        <w:spacing w:before="240" w:after="240" w:line="276" w:lineRule="auto"/>
        <w:jc w:val="both"/>
        <w:rPr>
          <w:rFonts w:ascii="Arial" w:hAnsi="Arial" w:cs="Arial"/>
        </w:rPr>
      </w:pPr>
      <w:r>
        <w:rPr>
          <w:rFonts w:ascii="Arial" w:hAnsi="Arial" w:cs="Arial"/>
        </w:rPr>
        <w:t xml:space="preserve">Phase One: </w:t>
      </w:r>
      <w:hyperlink r:id="rId11" w:history="1">
        <w:r w:rsidRPr="001B6B24">
          <w:rPr>
            <w:rStyle w:val="Hyperlink"/>
            <w:rFonts w:ascii="Arial" w:hAnsi="Arial" w:cs="Arial"/>
          </w:rPr>
          <w:t>https://www.civildefence.govt.nz/cdem-sector/guidelines/assessment-and-planning-for-tsunami-vertical-evacuation/</w:t>
        </w:r>
      </w:hyperlink>
      <w:r>
        <w:rPr>
          <w:rFonts w:ascii="Arial" w:hAnsi="Arial" w:cs="Arial"/>
        </w:rPr>
        <w:t xml:space="preserve"> </w:t>
      </w:r>
    </w:p>
    <w:p w14:paraId="0340B412" w14:textId="6448CF2F" w:rsidR="004E76D3" w:rsidRPr="004E76D3" w:rsidRDefault="00597F58" w:rsidP="009B4D0C">
      <w:pPr>
        <w:spacing w:before="240" w:after="240" w:line="276" w:lineRule="auto"/>
        <w:jc w:val="both"/>
        <w:rPr>
          <w:rFonts w:ascii="Arial" w:eastAsia="Arial" w:hAnsi="Arial" w:cs="Arial"/>
          <w:bCs/>
          <w:highlight w:val="cyan"/>
        </w:rPr>
      </w:pPr>
      <w:r>
        <w:rPr>
          <w:rFonts w:ascii="Arial" w:hAnsi="Arial" w:cs="Arial"/>
        </w:rPr>
        <w:t>Phase Two:</w:t>
      </w:r>
      <w:r w:rsidRPr="00597F58">
        <w:t xml:space="preserve"> </w:t>
      </w:r>
      <w:hyperlink r:id="rId12" w:history="1">
        <w:r w:rsidRPr="001B6B24">
          <w:rPr>
            <w:rStyle w:val="Hyperlink"/>
            <w:rFonts w:ascii="Arial" w:hAnsi="Arial" w:cs="Arial"/>
          </w:rPr>
          <w:t>https://www.building.govt.nz/building-code-compliance/specific-buildings/designing-vertical-evacuation-structures-for-tsunami-loads/</w:t>
        </w:r>
      </w:hyperlink>
      <w:r>
        <w:rPr>
          <w:rFonts w:ascii="Arial" w:hAnsi="Arial" w:cs="Arial"/>
        </w:rPr>
        <w:t xml:space="preserve"> </w:t>
      </w:r>
    </w:p>
    <w:p w14:paraId="00000071" w14:textId="0B2771AD" w:rsidR="007B0B89" w:rsidRDefault="004435AA" w:rsidP="009B4D0C">
      <w:pPr>
        <w:spacing w:before="240" w:after="240" w:line="276" w:lineRule="auto"/>
        <w:jc w:val="both"/>
        <w:rPr>
          <w:rFonts w:ascii="Arial" w:eastAsia="Arial" w:hAnsi="Arial" w:cs="Arial"/>
          <w:b/>
        </w:rPr>
      </w:pPr>
      <w:r>
        <w:rPr>
          <w:rFonts w:ascii="Arial" w:eastAsia="Arial" w:hAnsi="Arial" w:cs="Arial"/>
          <w:b/>
        </w:rPr>
        <w:t>Marine Ports Guidance</w:t>
      </w:r>
    </w:p>
    <w:p w14:paraId="00000074" w14:textId="77777777" w:rsidR="007B0B89" w:rsidRDefault="003A57F7" w:rsidP="009B4D0C">
      <w:pPr>
        <w:spacing w:before="240" w:after="240" w:line="259" w:lineRule="auto"/>
        <w:jc w:val="both"/>
        <w:rPr>
          <w:rFonts w:ascii="Arial" w:eastAsia="Arial" w:hAnsi="Arial" w:cs="Arial"/>
        </w:rPr>
      </w:pPr>
      <w:sdt>
        <w:sdtPr>
          <w:tag w:val="goog_rdk_5"/>
          <w:id w:val="-1944993256"/>
        </w:sdtPr>
        <w:sdtEndPr/>
        <w:sdtContent/>
      </w:sdt>
      <w:r w:rsidR="004435AA">
        <w:rPr>
          <w:rFonts w:ascii="Arial" w:eastAsia="Arial" w:hAnsi="Arial" w:cs="Arial"/>
        </w:rPr>
        <w:t xml:space="preserve">In 2022, the U.S. compiled tsunami maritime guidance and practices for hazard planning and preparedness for Maritime Communities (harbors, ports, and other areas that are economically and socially linked to marine waterways). The Guidance website covers life-safety and damage-reduction mitigation measures that Maritime Communities can implement before, during, and after tsunami to reduce risk, improve resilience, and facilitate recovery.  </w:t>
      </w:r>
    </w:p>
    <w:p w14:paraId="0C649F37" w14:textId="03469DE2" w:rsidR="0070446F" w:rsidRDefault="003A57F7" w:rsidP="009B4D0C">
      <w:pPr>
        <w:spacing w:before="240" w:after="240" w:line="259" w:lineRule="auto"/>
        <w:jc w:val="both"/>
        <w:rPr>
          <w:rFonts w:ascii="Arial" w:eastAsia="Arial" w:hAnsi="Arial" w:cs="Arial"/>
          <w:b/>
        </w:rPr>
      </w:pPr>
      <w:hyperlink r:id="rId13">
        <w:r w:rsidR="004435AA">
          <w:rPr>
            <w:rFonts w:ascii="Arial" w:eastAsia="Arial" w:hAnsi="Arial" w:cs="Arial"/>
            <w:color w:val="1155CC"/>
            <w:u w:val="single"/>
          </w:rPr>
          <w:t>https://calema.maps.ar</w:t>
        </w:r>
      </w:hyperlink>
      <w:hyperlink r:id="rId14">
        <w:r w:rsidR="004435AA">
          <w:rPr>
            <w:rFonts w:ascii="Arial" w:eastAsia="Arial" w:hAnsi="Arial" w:cs="Arial"/>
            <w:color w:val="1155CC"/>
            <w:u w:val="single"/>
          </w:rPr>
          <w:t>cgis.com/apps/MapSeries/index.html?appid=baea43e6453b49ff9ae3f967eb6935be</w:t>
        </w:r>
      </w:hyperlink>
      <w:r w:rsidR="004435AA">
        <w:rPr>
          <w:rFonts w:ascii="Arial" w:eastAsia="Arial" w:hAnsi="Arial" w:cs="Arial"/>
        </w:rPr>
        <w:t xml:space="preserve"> </w:t>
      </w:r>
      <w:r w:rsidR="004435AA">
        <w:rPr>
          <w:rFonts w:ascii="Arial" w:eastAsia="Arial" w:hAnsi="Arial" w:cs="Arial"/>
          <w:b/>
        </w:rPr>
        <w:t xml:space="preserve"> </w:t>
      </w:r>
    </w:p>
    <w:p w14:paraId="47238EAA" w14:textId="77777777" w:rsidR="004E76D3" w:rsidRDefault="004E76D3" w:rsidP="009B4D0C">
      <w:pPr>
        <w:spacing w:before="240" w:after="240" w:line="259" w:lineRule="auto"/>
        <w:jc w:val="both"/>
        <w:rPr>
          <w:rFonts w:ascii="Arial" w:eastAsia="Arial" w:hAnsi="Arial" w:cs="Arial"/>
          <w:b/>
        </w:rPr>
      </w:pPr>
    </w:p>
    <w:p w14:paraId="673760E2" w14:textId="0EC23677" w:rsidR="008908CD" w:rsidRPr="008908CD" w:rsidRDefault="004435AA" w:rsidP="009B4D0C">
      <w:pPr>
        <w:spacing w:before="240" w:after="240" w:line="276" w:lineRule="auto"/>
        <w:jc w:val="both"/>
        <w:rPr>
          <w:rFonts w:ascii="Arial" w:eastAsia="Arial" w:hAnsi="Arial" w:cs="Arial"/>
          <w:b/>
          <w:u w:val="single"/>
        </w:rPr>
      </w:pPr>
      <w:r w:rsidRPr="00B65AB0">
        <w:rPr>
          <w:rFonts w:ascii="Arial" w:eastAsia="Arial" w:hAnsi="Arial" w:cs="Arial"/>
          <w:b/>
          <w:u w:val="single"/>
        </w:rPr>
        <w:t>6. Promote tsunami risk reduction theory and practice</w:t>
      </w:r>
    </w:p>
    <w:p w14:paraId="04720F43" w14:textId="5B0BAB94" w:rsidR="008908CD" w:rsidRPr="008908CD" w:rsidRDefault="008908CD" w:rsidP="009B4D0C">
      <w:pPr>
        <w:spacing w:before="240" w:after="240" w:line="276" w:lineRule="auto"/>
        <w:jc w:val="both"/>
        <w:rPr>
          <w:rFonts w:ascii="Arial" w:eastAsia="Arial" w:hAnsi="Arial" w:cs="Arial"/>
          <w:b/>
        </w:rPr>
      </w:pPr>
      <w:r w:rsidRPr="008908CD">
        <w:rPr>
          <w:rFonts w:ascii="Arial" w:eastAsia="Arial" w:hAnsi="Arial" w:cs="Arial"/>
          <w:b/>
        </w:rPr>
        <w:t xml:space="preserve">Sendai Framework MidTerm Review </w:t>
      </w:r>
    </w:p>
    <w:p w14:paraId="79771DB3" w14:textId="4492E76A" w:rsidR="00782116" w:rsidRDefault="003C74B8" w:rsidP="009B4D0C">
      <w:pPr>
        <w:spacing w:before="240" w:after="240" w:line="276" w:lineRule="auto"/>
        <w:jc w:val="both"/>
        <w:rPr>
          <w:rFonts w:ascii="Arial" w:eastAsia="Arial" w:hAnsi="Arial" w:cs="Arial"/>
          <w:bCs/>
        </w:rPr>
      </w:pPr>
      <w:r>
        <w:rPr>
          <w:rFonts w:ascii="Arial" w:eastAsia="Arial" w:hAnsi="Arial" w:cs="Arial"/>
          <w:bCs/>
        </w:rPr>
        <w:t>The Working Group</w:t>
      </w:r>
      <w:r w:rsidR="00B65AB0" w:rsidRPr="00B65AB0">
        <w:rPr>
          <w:rFonts w:ascii="Arial" w:eastAsia="Arial" w:hAnsi="Arial" w:cs="Arial"/>
          <w:bCs/>
        </w:rPr>
        <w:t xml:space="preserve"> notes that a MidTerm Review </w:t>
      </w:r>
      <w:r w:rsidR="00B65AB0" w:rsidRPr="00B65AB0">
        <w:rPr>
          <w:rFonts w:ascii="Arial" w:eastAsia="Arial" w:hAnsi="Arial" w:cs="Arial"/>
          <w:bCs/>
        </w:rPr>
        <w:t>of the implementation of the Sendai Framework for Disaster Risk Reduction 2015-2030</w:t>
      </w:r>
      <w:r w:rsidR="00B65AB0">
        <w:rPr>
          <w:rFonts w:ascii="Arial" w:eastAsia="Arial" w:hAnsi="Arial" w:cs="Arial"/>
          <w:bCs/>
        </w:rPr>
        <w:t xml:space="preserve"> has taken place. </w:t>
      </w:r>
      <w:r w:rsidR="00B65AB0" w:rsidRPr="00B65AB0">
        <w:rPr>
          <w:rFonts w:ascii="Arial" w:eastAsia="Arial" w:hAnsi="Arial" w:cs="Arial"/>
          <w:bCs/>
        </w:rPr>
        <w:t>In examining progress made and challenges experienced since 2015 in realizing the expected outcome - the substantial reduction of disaster risk and losses - and goal - prevent new and reduce existing disaster risk, the midterm review explores efforts to integrate risk reduction into decision-making, investment and behaviour that spanned sectors, disciplines, geographies and scales so as to prompt re-examination and redress of the relationship with risk.</w:t>
      </w:r>
      <w:r w:rsidR="00B65AB0">
        <w:rPr>
          <w:rFonts w:ascii="Arial" w:eastAsia="Arial" w:hAnsi="Arial" w:cs="Arial"/>
          <w:bCs/>
        </w:rPr>
        <w:t xml:space="preserve"> A report containing </w:t>
      </w:r>
      <w:r w:rsidR="00B65AB0" w:rsidRPr="00B65AB0">
        <w:rPr>
          <w:rFonts w:ascii="Arial" w:eastAsia="Arial" w:hAnsi="Arial" w:cs="Arial"/>
          <w:bCs/>
        </w:rPr>
        <w:t xml:space="preserve">a summary of the findings and recommendations of the midterm review </w:t>
      </w:r>
      <w:r w:rsidR="00B65AB0">
        <w:rPr>
          <w:rFonts w:ascii="Arial" w:eastAsia="Arial" w:hAnsi="Arial" w:cs="Arial"/>
          <w:bCs/>
        </w:rPr>
        <w:t xml:space="preserve">was published by the UN General Assembly in January 2023. </w:t>
      </w:r>
    </w:p>
    <w:p w14:paraId="5D9CADFD" w14:textId="5E5166BB" w:rsidR="00B65AB0" w:rsidRDefault="00B65AB0" w:rsidP="009B4D0C">
      <w:pPr>
        <w:spacing w:before="240" w:after="240" w:line="276" w:lineRule="auto"/>
        <w:jc w:val="both"/>
        <w:rPr>
          <w:rFonts w:ascii="Arial" w:eastAsia="Arial" w:hAnsi="Arial" w:cs="Arial"/>
          <w:bCs/>
          <w:highlight w:val="cyan"/>
        </w:rPr>
      </w:pPr>
      <w:hyperlink r:id="rId15" w:history="1">
        <w:r w:rsidRPr="001B6B24">
          <w:rPr>
            <w:rStyle w:val="Hyperlink"/>
            <w:rFonts w:ascii="Arial" w:eastAsia="Arial" w:hAnsi="Arial" w:cs="Arial"/>
            <w:bCs/>
          </w:rPr>
          <w:t>https://sendaiframework-mtr.undrr.org/publication/main-findings-and-recommendations-midterm-review-implementation-sendai-framework</w:t>
        </w:r>
      </w:hyperlink>
      <w:r>
        <w:rPr>
          <w:rFonts w:ascii="Arial" w:eastAsia="Arial" w:hAnsi="Arial" w:cs="Arial"/>
          <w:bCs/>
        </w:rPr>
        <w:t xml:space="preserve"> </w:t>
      </w:r>
    </w:p>
    <w:p w14:paraId="60C62D0C" w14:textId="6F76F946" w:rsidR="00782116" w:rsidRPr="008908CD" w:rsidRDefault="008908CD" w:rsidP="009B4D0C">
      <w:pPr>
        <w:spacing w:before="240" w:after="240" w:line="276" w:lineRule="auto"/>
        <w:jc w:val="both"/>
        <w:rPr>
          <w:rFonts w:ascii="Arial" w:eastAsia="Arial" w:hAnsi="Arial" w:cs="Arial"/>
          <w:b/>
        </w:rPr>
      </w:pPr>
      <w:r w:rsidRPr="008908CD">
        <w:rPr>
          <w:rFonts w:ascii="Arial" w:eastAsia="Arial" w:hAnsi="Arial" w:cs="Arial"/>
          <w:b/>
        </w:rPr>
        <w:t>Risk Assessment Guidance</w:t>
      </w:r>
    </w:p>
    <w:p w14:paraId="6A8C5F6A" w14:textId="0BF5F483" w:rsidR="00F54887" w:rsidRDefault="00F54887" w:rsidP="009B4D0C">
      <w:pPr>
        <w:spacing w:before="240" w:after="240" w:line="276" w:lineRule="auto"/>
        <w:jc w:val="both"/>
        <w:rPr>
          <w:rFonts w:ascii="Arial" w:eastAsia="Arial" w:hAnsi="Arial" w:cs="Arial"/>
          <w:bCs/>
        </w:rPr>
      </w:pPr>
      <w:r>
        <w:rPr>
          <w:rFonts w:ascii="Arial" w:eastAsia="Arial" w:hAnsi="Arial" w:cs="Arial"/>
          <w:bCs/>
        </w:rPr>
        <w:t xml:space="preserve">In 2022 </w:t>
      </w:r>
      <w:r w:rsidR="003C74B8">
        <w:rPr>
          <w:rFonts w:ascii="Arial" w:eastAsia="Arial" w:hAnsi="Arial" w:cs="Arial"/>
          <w:bCs/>
        </w:rPr>
        <w:t>UNDRR</w:t>
      </w:r>
      <w:r>
        <w:rPr>
          <w:rFonts w:ascii="Arial" w:eastAsia="Arial" w:hAnsi="Arial" w:cs="Arial"/>
          <w:bCs/>
        </w:rPr>
        <w:t xml:space="preserve">  published </w:t>
      </w:r>
      <w:r w:rsidR="003C74B8">
        <w:rPr>
          <w:rFonts w:ascii="Arial" w:eastAsia="Arial" w:hAnsi="Arial" w:cs="Arial"/>
          <w:bCs/>
        </w:rPr>
        <w:t>“</w:t>
      </w:r>
      <w:r w:rsidRPr="00F54887">
        <w:rPr>
          <w:rFonts w:ascii="Arial" w:eastAsia="Arial" w:hAnsi="Arial" w:cs="Arial"/>
          <w:bCs/>
        </w:rPr>
        <w:t>Technical guidance on comprehensive risk assessment and planning in the context of climate change</w:t>
      </w:r>
      <w:r w:rsidR="003C74B8">
        <w:rPr>
          <w:rFonts w:ascii="Arial" w:eastAsia="Arial" w:hAnsi="Arial" w:cs="Arial"/>
          <w:bCs/>
        </w:rPr>
        <w:t>”. This guidance is intended to</w:t>
      </w:r>
      <w:r w:rsidR="004E76D3">
        <w:rPr>
          <w:rFonts w:ascii="Arial" w:eastAsia="Arial" w:hAnsi="Arial" w:cs="Arial"/>
          <w:bCs/>
        </w:rPr>
        <w:t xml:space="preserve"> offer a</w:t>
      </w:r>
      <w:r w:rsidR="003C74B8">
        <w:rPr>
          <w:rFonts w:ascii="Arial" w:eastAsia="Arial" w:hAnsi="Arial" w:cs="Arial"/>
          <w:bCs/>
        </w:rPr>
        <w:t xml:space="preserve"> </w:t>
      </w:r>
      <w:r w:rsidR="004E76D3" w:rsidRPr="004E76D3">
        <w:rPr>
          <w:rFonts w:ascii="Arial" w:eastAsia="Arial" w:hAnsi="Arial" w:cs="Arial"/>
          <w:bCs/>
        </w:rPr>
        <w:t>framework on how to apply comprehensive risk assessment and planning</w:t>
      </w:r>
      <w:r w:rsidR="004E76D3">
        <w:rPr>
          <w:rFonts w:ascii="Arial" w:eastAsia="Arial" w:hAnsi="Arial" w:cs="Arial"/>
          <w:bCs/>
        </w:rPr>
        <w:t xml:space="preserve">, in the context of increasingly complex and cascading risks due to climate change. </w:t>
      </w:r>
      <w:r w:rsidR="004E76D3" w:rsidRPr="004E76D3">
        <w:rPr>
          <w:rFonts w:ascii="Arial" w:eastAsia="Arial" w:hAnsi="Arial" w:cs="Arial"/>
          <w:bCs/>
        </w:rPr>
        <w:t>A comprehensive approach takes into consideration a number of factors to purposively strengthen synergies between disaster risk reduction and climate change adaptation, by identifying mutually beneficial opportunities</w:t>
      </w:r>
      <w:r w:rsidR="004E76D3">
        <w:rPr>
          <w:rFonts w:ascii="Arial" w:eastAsia="Arial" w:hAnsi="Arial" w:cs="Arial"/>
          <w:bCs/>
        </w:rPr>
        <w:t xml:space="preserve">. </w:t>
      </w:r>
    </w:p>
    <w:p w14:paraId="1555799E" w14:textId="348EF8F5" w:rsidR="004E76D3" w:rsidRDefault="003C74B8" w:rsidP="009B4D0C">
      <w:pPr>
        <w:spacing w:before="240" w:after="240" w:line="276" w:lineRule="auto"/>
        <w:jc w:val="both"/>
        <w:rPr>
          <w:rFonts w:ascii="Arial" w:eastAsia="Arial" w:hAnsi="Arial" w:cs="Arial"/>
          <w:bCs/>
        </w:rPr>
      </w:pPr>
      <w:hyperlink r:id="rId16" w:history="1">
        <w:r w:rsidRPr="001D1C02">
          <w:rPr>
            <w:rStyle w:val="Hyperlink"/>
            <w:rFonts w:ascii="Arial" w:eastAsia="Arial" w:hAnsi="Arial" w:cs="Arial"/>
            <w:bCs/>
          </w:rPr>
          <w:t>https://www.undrr.org/publication/technical-guidance-comprehensive-risk-assessment-and-planning-context-climate-change</w:t>
        </w:r>
      </w:hyperlink>
      <w:r>
        <w:rPr>
          <w:rFonts w:ascii="Arial" w:eastAsia="Arial" w:hAnsi="Arial" w:cs="Arial"/>
          <w:bCs/>
        </w:rPr>
        <w:t xml:space="preserve"> </w:t>
      </w:r>
    </w:p>
    <w:p w14:paraId="6902F728" w14:textId="47189694" w:rsidR="008908CD" w:rsidRDefault="008908CD" w:rsidP="009B4D0C">
      <w:pPr>
        <w:spacing w:before="240" w:after="240" w:line="276" w:lineRule="auto"/>
        <w:jc w:val="both"/>
        <w:rPr>
          <w:rFonts w:ascii="Arial" w:eastAsia="Arial" w:hAnsi="Arial" w:cs="Arial"/>
          <w:bCs/>
        </w:rPr>
      </w:pPr>
      <w:r w:rsidRPr="00B65AB0">
        <w:rPr>
          <w:rFonts w:ascii="Arial" w:eastAsia="Arial" w:hAnsi="Arial" w:cs="Arial"/>
          <w:bCs/>
        </w:rPr>
        <w:t xml:space="preserve">New Zealand has published an updated risk assessment guideline for use by regional Civil </w:t>
      </w:r>
      <w:proofErr w:type="spellStart"/>
      <w:r w:rsidRPr="00B65AB0">
        <w:rPr>
          <w:rFonts w:ascii="Arial" w:eastAsia="Arial" w:hAnsi="Arial" w:cs="Arial"/>
          <w:bCs/>
        </w:rPr>
        <w:t>Defence</w:t>
      </w:r>
      <w:proofErr w:type="spellEnd"/>
      <w:r w:rsidRPr="00B65AB0">
        <w:rPr>
          <w:rFonts w:ascii="Arial" w:eastAsia="Arial" w:hAnsi="Arial" w:cs="Arial"/>
          <w:bCs/>
        </w:rPr>
        <w:t xml:space="preserve"> Emergency Management Groups</w:t>
      </w:r>
      <w:r>
        <w:rPr>
          <w:rFonts w:ascii="Arial" w:eastAsia="Arial" w:hAnsi="Arial" w:cs="Arial"/>
          <w:bCs/>
        </w:rPr>
        <w:t xml:space="preserve"> in support of risk reduction, readiness, and response planning</w:t>
      </w:r>
      <w:r w:rsidRPr="00B65AB0">
        <w:rPr>
          <w:rFonts w:ascii="Arial" w:eastAsia="Arial" w:hAnsi="Arial" w:cs="Arial"/>
          <w:bCs/>
        </w:rPr>
        <w:t xml:space="preserve">. This guideline </w:t>
      </w:r>
      <w:r>
        <w:rPr>
          <w:rFonts w:ascii="Arial" w:eastAsia="Arial" w:hAnsi="Arial" w:cs="Arial"/>
          <w:bCs/>
        </w:rPr>
        <w:t xml:space="preserve">provides clear methodology to a detailed granular assessment of risk, agnostic of hazard, with clearer identification of specific consequences on particular aspects (e.g., education or healthcare infrastructure). This encourages treatment of risk across multiple hazards, including tsunami. </w:t>
      </w:r>
    </w:p>
    <w:p w14:paraId="00000081" w14:textId="31D0B04B" w:rsidR="007B0B89" w:rsidRDefault="008908CD" w:rsidP="009B4D0C">
      <w:pPr>
        <w:spacing w:after="160" w:line="259" w:lineRule="auto"/>
        <w:jc w:val="both"/>
        <w:rPr>
          <w:rFonts w:ascii="Arial" w:eastAsia="Arial" w:hAnsi="Arial" w:cs="Arial"/>
          <w:b/>
        </w:rPr>
      </w:pPr>
      <w:hyperlink r:id="rId17" w:history="1">
        <w:r w:rsidRPr="001B6B24">
          <w:rPr>
            <w:rStyle w:val="Hyperlink"/>
            <w:rFonts w:ascii="Arial" w:eastAsia="Arial" w:hAnsi="Arial" w:cs="Arial"/>
            <w:bCs/>
          </w:rPr>
          <w:t>https://www.civildefence.govt.nz/cdem-sector/guidelines/risk-assessment-guidance-for-cdem-group-planning/</w:t>
        </w:r>
      </w:hyperlink>
    </w:p>
    <w:sectPr w:rsidR="007B0B89">
      <w:footerReference w:type="even" r:id="rId18"/>
      <w:footerReference w:type="default" r:id="rId19"/>
      <w:pgSz w:w="11900" w:h="16820"/>
      <w:pgMar w:top="1440" w:right="1440" w:bottom="1296"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DE00C" w14:textId="77777777" w:rsidR="00C840B7" w:rsidRDefault="00C840B7">
      <w:r>
        <w:separator/>
      </w:r>
    </w:p>
  </w:endnote>
  <w:endnote w:type="continuationSeparator" w:id="0">
    <w:p w14:paraId="0BC8692C" w14:textId="77777777" w:rsidR="00C840B7" w:rsidRDefault="00C84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4" w14:textId="77777777" w:rsidR="007B0B89" w:rsidRDefault="004435A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3A57F7">
      <w:rPr>
        <w:color w:val="000000"/>
      </w:rPr>
      <w:fldChar w:fldCharType="separate"/>
    </w:r>
    <w:r>
      <w:rPr>
        <w:color w:val="000000"/>
      </w:rPr>
      <w:fldChar w:fldCharType="end"/>
    </w:r>
  </w:p>
  <w:p w14:paraId="00000085" w14:textId="77777777" w:rsidR="007B0B89" w:rsidRDefault="007B0B8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2" w14:textId="6C79814C" w:rsidR="007B0B89" w:rsidRDefault="004435AA">
    <w:pPr>
      <w:pBdr>
        <w:top w:val="nil"/>
        <w:left w:val="nil"/>
        <w:bottom w:val="nil"/>
        <w:right w:val="nil"/>
        <w:between w:val="nil"/>
      </w:pBd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C0E8D">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83" w14:textId="77777777" w:rsidR="007B0B89" w:rsidRDefault="007B0B89">
    <w:pPr>
      <w:pBdr>
        <w:top w:val="nil"/>
        <w:left w:val="nil"/>
        <w:bottom w:val="nil"/>
        <w:right w:val="nil"/>
        <w:between w:val="nil"/>
      </w:pBdr>
      <w:tabs>
        <w:tab w:val="center" w:pos="4680"/>
        <w:tab w:val="right" w:pos="9360"/>
      </w:tabs>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0A6A5" w14:textId="77777777" w:rsidR="00C840B7" w:rsidRDefault="00C840B7">
      <w:r>
        <w:separator/>
      </w:r>
    </w:p>
  </w:footnote>
  <w:footnote w:type="continuationSeparator" w:id="0">
    <w:p w14:paraId="0BEA03EB" w14:textId="77777777" w:rsidR="00C840B7" w:rsidRDefault="00C84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80E26"/>
    <w:multiLevelType w:val="multilevel"/>
    <w:tmpl w:val="F168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78761C"/>
    <w:multiLevelType w:val="multilevel"/>
    <w:tmpl w:val="AF26DB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04F4176"/>
    <w:multiLevelType w:val="multilevel"/>
    <w:tmpl w:val="05CC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8749D2"/>
    <w:multiLevelType w:val="multilevel"/>
    <w:tmpl w:val="9DE0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754135"/>
    <w:multiLevelType w:val="multilevel"/>
    <w:tmpl w:val="7D62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1B68EB"/>
    <w:multiLevelType w:val="multilevel"/>
    <w:tmpl w:val="AC90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473B0E"/>
    <w:multiLevelType w:val="multilevel"/>
    <w:tmpl w:val="9900FF1E"/>
    <w:lvl w:ilvl="0">
      <w:start w:val="1"/>
      <w:numFmt w:val="decimal"/>
      <w:pStyle w:val="CabStandar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9AF1248"/>
    <w:multiLevelType w:val="hybridMultilevel"/>
    <w:tmpl w:val="361077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A333B2A"/>
    <w:multiLevelType w:val="hybridMultilevel"/>
    <w:tmpl w:val="F7F033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55278FD"/>
    <w:multiLevelType w:val="hybridMultilevel"/>
    <w:tmpl w:val="B8566B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CD2332A"/>
    <w:multiLevelType w:val="hybridMultilevel"/>
    <w:tmpl w:val="26BC86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D177707"/>
    <w:multiLevelType w:val="multilevel"/>
    <w:tmpl w:val="105AA0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5FEB7BBA"/>
    <w:multiLevelType w:val="multilevel"/>
    <w:tmpl w:val="E8F222B0"/>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13" w15:restartNumberingAfterBreak="0">
    <w:nsid w:val="74301819"/>
    <w:multiLevelType w:val="multilevel"/>
    <w:tmpl w:val="7A68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1"/>
  </w:num>
  <w:num w:numId="3">
    <w:abstractNumId w:val="4"/>
  </w:num>
  <w:num w:numId="4">
    <w:abstractNumId w:val="3"/>
  </w:num>
  <w:num w:numId="5">
    <w:abstractNumId w:val="0"/>
  </w:num>
  <w:num w:numId="6">
    <w:abstractNumId w:val="13"/>
  </w:num>
  <w:num w:numId="7">
    <w:abstractNumId w:val="12"/>
  </w:num>
  <w:num w:numId="8">
    <w:abstractNumId w:val="1"/>
  </w:num>
  <w:num w:numId="9">
    <w:abstractNumId w:val="5"/>
  </w:num>
  <w:num w:numId="10">
    <w:abstractNumId w:val="2"/>
  </w:num>
  <w:num w:numId="11">
    <w:abstractNumId w:val="9"/>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89"/>
    <w:rsid w:val="00051358"/>
    <w:rsid w:val="0028425F"/>
    <w:rsid w:val="00334185"/>
    <w:rsid w:val="00347398"/>
    <w:rsid w:val="003604C8"/>
    <w:rsid w:val="003A57F7"/>
    <w:rsid w:val="003C74B8"/>
    <w:rsid w:val="004435AA"/>
    <w:rsid w:val="00455B3E"/>
    <w:rsid w:val="004C0E8D"/>
    <w:rsid w:val="004E421F"/>
    <w:rsid w:val="004E76D3"/>
    <w:rsid w:val="00555AAC"/>
    <w:rsid w:val="00597F58"/>
    <w:rsid w:val="006C1314"/>
    <w:rsid w:val="0070446F"/>
    <w:rsid w:val="00782116"/>
    <w:rsid w:val="007B0B89"/>
    <w:rsid w:val="00845C50"/>
    <w:rsid w:val="00881344"/>
    <w:rsid w:val="00885F5F"/>
    <w:rsid w:val="008908CD"/>
    <w:rsid w:val="009447ED"/>
    <w:rsid w:val="009A2774"/>
    <w:rsid w:val="009A7C42"/>
    <w:rsid w:val="009B4D0C"/>
    <w:rsid w:val="00A03C26"/>
    <w:rsid w:val="00A66401"/>
    <w:rsid w:val="00B65AB0"/>
    <w:rsid w:val="00BC5B55"/>
    <w:rsid w:val="00C17768"/>
    <w:rsid w:val="00C67014"/>
    <w:rsid w:val="00C840B7"/>
    <w:rsid w:val="00C8720F"/>
    <w:rsid w:val="00D7132F"/>
    <w:rsid w:val="00E45F7E"/>
    <w:rsid w:val="00E57AF3"/>
    <w:rsid w:val="00EF23F6"/>
    <w:rsid w:val="00F54887"/>
    <w:rsid w:val="00FF2FF6"/>
    <w:rsid w:val="00FF39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13C8"/>
  <w15:docId w15:val="{CB2F5E4B-E0A9-44F0-B7B2-4D82D9C8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2E6"/>
  </w:style>
  <w:style w:type="paragraph" w:styleId="Heading1">
    <w:name w:val="heading 1"/>
    <w:basedOn w:val="Normal"/>
    <w:next w:val="Normal"/>
    <w:link w:val="Heading1Char"/>
    <w:uiPriority w:val="9"/>
    <w:qFormat/>
    <w:rsid w:val="005C3108"/>
    <w:pPr>
      <w:keepNext/>
      <w:keepLines/>
      <w:spacing w:before="240" w:after="240"/>
      <w:jc w:val="both"/>
      <w:outlineLvl w:val="0"/>
    </w:pPr>
    <w:rPr>
      <w:rFonts w:ascii="Arial" w:hAnsi="Arial" w:cs="Arial"/>
      <w:b/>
      <w:lang w:val="en-NZ"/>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25E78"/>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val="en-NZ"/>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C3108"/>
    <w:rPr>
      <w:rFonts w:ascii="Arial" w:eastAsia="Times New Roman" w:hAnsi="Arial" w:cs="Arial"/>
      <w:b/>
      <w:sz w:val="24"/>
      <w:szCs w:val="24"/>
      <w:lang w:eastAsia="en-NZ"/>
    </w:rPr>
  </w:style>
  <w:style w:type="character" w:styleId="Hyperlink">
    <w:name w:val="Hyperlink"/>
    <w:basedOn w:val="DefaultParagraphFont"/>
    <w:uiPriority w:val="99"/>
    <w:unhideWhenUsed/>
    <w:rsid w:val="0051068B"/>
    <w:rPr>
      <w:color w:val="0000FF"/>
      <w:u w:val="single"/>
    </w:rPr>
  </w:style>
  <w:style w:type="paragraph" w:styleId="ListParagraph">
    <w:name w:val="List Paragraph"/>
    <w:basedOn w:val="Normal"/>
    <w:uiPriority w:val="34"/>
    <w:qFormat/>
    <w:rsid w:val="00543428"/>
    <w:pPr>
      <w:tabs>
        <w:tab w:val="left" w:pos="709"/>
      </w:tabs>
      <w:snapToGrid w:val="0"/>
      <w:ind w:left="708"/>
    </w:pPr>
    <w:rPr>
      <w:rFonts w:eastAsia="SimSun"/>
      <w:lang w:val="en-GB" w:eastAsia="zh-CN"/>
    </w:rPr>
  </w:style>
  <w:style w:type="paragraph" w:customStyle="1" w:styleId="MediumGrid1-Accent21">
    <w:name w:val="Medium Grid 1 - Accent 21"/>
    <w:basedOn w:val="Normal"/>
    <w:uiPriority w:val="99"/>
    <w:qFormat/>
    <w:rsid w:val="00543428"/>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AB1106"/>
    <w:rPr>
      <w:color w:val="954F72" w:themeColor="followedHyperlink"/>
      <w:u w:val="single"/>
    </w:rPr>
  </w:style>
  <w:style w:type="paragraph" w:styleId="NormalWeb">
    <w:name w:val="Normal (Web)"/>
    <w:basedOn w:val="Normal"/>
    <w:uiPriority w:val="99"/>
    <w:unhideWhenUsed/>
    <w:rsid w:val="00CC3A7A"/>
    <w:pPr>
      <w:spacing w:before="100" w:beforeAutospacing="1" w:after="100" w:afterAutospacing="1"/>
    </w:pPr>
  </w:style>
  <w:style w:type="paragraph" w:styleId="PlainText">
    <w:name w:val="Plain Text"/>
    <w:basedOn w:val="Normal"/>
    <w:link w:val="PlainTextChar"/>
    <w:uiPriority w:val="99"/>
    <w:semiHidden/>
    <w:unhideWhenUsed/>
    <w:rsid w:val="00C8170F"/>
    <w:rPr>
      <w:rFonts w:ascii="Calibri" w:hAnsi="Calibri"/>
      <w:szCs w:val="21"/>
    </w:rPr>
  </w:style>
  <w:style w:type="character" w:customStyle="1" w:styleId="PlainTextChar">
    <w:name w:val="Plain Text Char"/>
    <w:basedOn w:val="DefaultParagraphFont"/>
    <w:link w:val="PlainText"/>
    <w:uiPriority w:val="99"/>
    <w:semiHidden/>
    <w:rsid w:val="00C8170F"/>
    <w:rPr>
      <w:rFonts w:ascii="Calibri" w:hAnsi="Calibri"/>
      <w:szCs w:val="21"/>
    </w:rPr>
  </w:style>
  <w:style w:type="paragraph" w:customStyle="1" w:styleId="CabStandard">
    <w:name w:val="CabStandard"/>
    <w:basedOn w:val="Normal"/>
    <w:rsid w:val="00D755E0"/>
    <w:pPr>
      <w:numPr>
        <w:numId w:val="1"/>
      </w:numPr>
      <w:spacing w:after="240"/>
    </w:pPr>
    <w:rPr>
      <w:szCs w:val="20"/>
      <w:lang w:val="en-GB" w:eastAsia="ja-JP"/>
    </w:rPr>
  </w:style>
  <w:style w:type="table" w:styleId="TableGrid">
    <w:name w:val="Table Grid"/>
    <w:basedOn w:val="TableNormal"/>
    <w:uiPriority w:val="39"/>
    <w:rsid w:val="00122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I">
    <w:name w:val="COI"/>
    <w:basedOn w:val="Normal"/>
    <w:link w:val="COIChar"/>
    <w:uiPriority w:val="99"/>
    <w:rsid w:val="00030E95"/>
    <w:pPr>
      <w:snapToGrid w:val="0"/>
      <w:spacing w:after="240"/>
      <w:jc w:val="both"/>
    </w:pPr>
    <w:rPr>
      <w:rFonts w:ascii="Arial" w:eastAsia="SimSun" w:hAnsi="Arial"/>
      <w:sz w:val="22"/>
      <w:lang w:val="en-GB"/>
    </w:rPr>
  </w:style>
  <w:style w:type="character" w:customStyle="1" w:styleId="COIChar">
    <w:name w:val="COI Char"/>
    <w:link w:val="COI"/>
    <w:uiPriority w:val="99"/>
    <w:rsid w:val="00030E95"/>
    <w:rPr>
      <w:rFonts w:ascii="Arial" w:eastAsia="SimSun" w:hAnsi="Arial" w:cs="Times New Roman"/>
      <w:szCs w:val="24"/>
      <w:lang w:val="en-GB"/>
    </w:rPr>
  </w:style>
  <w:style w:type="character" w:customStyle="1" w:styleId="UnresolvedMention1">
    <w:name w:val="Unresolved Mention1"/>
    <w:basedOn w:val="DefaultParagraphFont"/>
    <w:uiPriority w:val="99"/>
    <w:semiHidden/>
    <w:unhideWhenUsed/>
    <w:rsid w:val="00814F1A"/>
    <w:rPr>
      <w:color w:val="605E5C"/>
      <w:shd w:val="clear" w:color="auto" w:fill="E1DFDD"/>
    </w:rPr>
  </w:style>
  <w:style w:type="character" w:customStyle="1" w:styleId="Heading4Char">
    <w:name w:val="Heading 4 Char"/>
    <w:basedOn w:val="DefaultParagraphFont"/>
    <w:link w:val="Heading4"/>
    <w:uiPriority w:val="9"/>
    <w:rsid w:val="00F25E78"/>
    <w:rPr>
      <w:rFonts w:asciiTheme="majorHAnsi" w:eastAsiaTheme="majorEastAsia" w:hAnsiTheme="majorHAnsi" w:cstheme="majorBidi"/>
      <w:i/>
      <w:iCs/>
      <w:color w:val="2E74B5" w:themeColor="accent1" w:themeShade="BF"/>
    </w:rPr>
  </w:style>
  <w:style w:type="character" w:customStyle="1" w:styleId="il">
    <w:name w:val="il"/>
    <w:basedOn w:val="DefaultParagraphFont"/>
    <w:rsid w:val="00F16CE2"/>
  </w:style>
  <w:style w:type="character" w:customStyle="1" w:styleId="style-scope">
    <w:name w:val="style-scope"/>
    <w:basedOn w:val="DefaultParagraphFont"/>
    <w:rsid w:val="006262E6"/>
  </w:style>
  <w:style w:type="paragraph" w:styleId="Footer">
    <w:name w:val="footer"/>
    <w:basedOn w:val="Normal"/>
    <w:link w:val="FooterChar"/>
    <w:uiPriority w:val="99"/>
    <w:unhideWhenUsed/>
    <w:rsid w:val="002854BD"/>
    <w:pPr>
      <w:tabs>
        <w:tab w:val="center" w:pos="4680"/>
        <w:tab w:val="right" w:pos="9360"/>
      </w:tabs>
    </w:pPr>
  </w:style>
  <w:style w:type="character" w:customStyle="1" w:styleId="FooterChar">
    <w:name w:val="Footer Char"/>
    <w:basedOn w:val="DefaultParagraphFont"/>
    <w:link w:val="Footer"/>
    <w:uiPriority w:val="99"/>
    <w:rsid w:val="002854BD"/>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2854BD"/>
  </w:style>
  <w:style w:type="paragraph" w:styleId="Header">
    <w:name w:val="header"/>
    <w:basedOn w:val="Normal"/>
    <w:link w:val="HeaderChar"/>
    <w:uiPriority w:val="99"/>
    <w:unhideWhenUsed/>
    <w:rsid w:val="002854BD"/>
    <w:pPr>
      <w:tabs>
        <w:tab w:val="center" w:pos="4680"/>
        <w:tab w:val="right" w:pos="9360"/>
      </w:tabs>
    </w:pPr>
  </w:style>
  <w:style w:type="character" w:customStyle="1" w:styleId="HeaderChar">
    <w:name w:val="Header Char"/>
    <w:basedOn w:val="DefaultParagraphFont"/>
    <w:link w:val="Header"/>
    <w:uiPriority w:val="99"/>
    <w:rsid w:val="002854BD"/>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F43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31F"/>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D21BCB"/>
    <w:rPr>
      <w:sz w:val="16"/>
      <w:szCs w:val="16"/>
    </w:rPr>
  </w:style>
  <w:style w:type="paragraph" w:styleId="CommentText">
    <w:name w:val="annotation text"/>
    <w:basedOn w:val="Normal"/>
    <w:link w:val="CommentTextChar"/>
    <w:uiPriority w:val="99"/>
    <w:semiHidden/>
    <w:unhideWhenUsed/>
    <w:rsid w:val="00D21BCB"/>
    <w:rPr>
      <w:sz w:val="20"/>
      <w:szCs w:val="20"/>
    </w:rPr>
  </w:style>
  <w:style w:type="character" w:customStyle="1" w:styleId="CommentTextChar">
    <w:name w:val="Comment Text Char"/>
    <w:basedOn w:val="DefaultParagraphFont"/>
    <w:link w:val="CommentText"/>
    <w:uiPriority w:val="99"/>
    <w:semiHidden/>
    <w:rsid w:val="00D21BC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1BCB"/>
    <w:rPr>
      <w:b/>
      <w:bCs/>
    </w:rPr>
  </w:style>
  <w:style w:type="character" w:customStyle="1" w:styleId="CommentSubjectChar">
    <w:name w:val="Comment Subject Char"/>
    <w:basedOn w:val="CommentTextChar"/>
    <w:link w:val="CommentSubject"/>
    <w:uiPriority w:val="99"/>
    <w:semiHidden/>
    <w:rsid w:val="00D21BCB"/>
    <w:rPr>
      <w:rFonts w:ascii="Times New Roman" w:eastAsia="Times New Roman" w:hAnsi="Times New Roman" w:cs="Times New Roman"/>
      <w:b/>
      <w:bCs/>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TableParagraph">
    <w:name w:val="Table Paragraph"/>
    <w:basedOn w:val="Normal"/>
    <w:uiPriority w:val="1"/>
    <w:qFormat/>
    <w:rsid w:val="003604C8"/>
    <w:pPr>
      <w:widowControl w:val="0"/>
      <w:autoSpaceDE w:val="0"/>
      <w:autoSpaceDN w:val="0"/>
    </w:pPr>
    <w:rPr>
      <w:rFonts w:ascii="Arial" w:eastAsia="Arial" w:hAnsi="Arial" w:cs="Arial"/>
      <w:sz w:val="22"/>
      <w:szCs w:val="22"/>
      <w:lang w:eastAsia="en-US"/>
    </w:rPr>
  </w:style>
  <w:style w:type="character" w:styleId="UnresolvedMention">
    <w:name w:val="Unresolved Mention"/>
    <w:basedOn w:val="DefaultParagraphFont"/>
    <w:uiPriority w:val="99"/>
    <w:semiHidden/>
    <w:unhideWhenUsed/>
    <w:rsid w:val="00B65AB0"/>
    <w:rPr>
      <w:color w:val="605E5C"/>
      <w:shd w:val="clear" w:color="auto" w:fill="E1DFDD"/>
    </w:rPr>
  </w:style>
  <w:style w:type="paragraph" w:customStyle="1" w:styleId="Reporttext">
    <w:name w:val="Report text"/>
    <w:basedOn w:val="Normal"/>
    <w:qFormat/>
    <w:rsid w:val="00B65AB0"/>
    <w:pPr>
      <w:spacing w:before="240" w:after="120" w:line="256" w:lineRule="auto"/>
      <w:jc w:val="both"/>
    </w:pPr>
    <w:rPr>
      <w:rFonts w:ascii="Source Sans Pro" w:eastAsia="Source Sans Pro" w:hAnsi="Source Sans Pro" w:cs="Source Sans Pro"/>
      <w:szCs w:val="22"/>
      <w:lang w:val="en-NZ" w:eastAsia="zh-CN"/>
    </w:rPr>
  </w:style>
  <w:style w:type="paragraph" w:customStyle="1" w:styleId="paragraph">
    <w:name w:val="paragraph"/>
    <w:basedOn w:val="Normal"/>
    <w:rsid w:val="00FF2FF6"/>
    <w:pPr>
      <w:spacing w:before="100" w:beforeAutospacing="1" w:after="100" w:afterAutospacing="1"/>
    </w:pPr>
    <w:rPr>
      <w:lang w:val="en-NZ"/>
    </w:rPr>
  </w:style>
  <w:style w:type="character" w:customStyle="1" w:styleId="normaltextrun">
    <w:name w:val="normaltextrun"/>
    <w:basedOn w:val="DefaultParagraphFont"/>
    <w:rsid w:val="00FF2FF6"/>
  </w:style>
  <w:style w:type="character" w:customStyle="1" w:styleId="eop">
    <w:name w:val="eop"/>
    <w:basedOn w:val="DefaultParagraphFont"/>
    <w:rsid w:val="00FF2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468590">
      <w:bodyDiv w:val="1"/>
      <w:marLeft w:val="0"/>
      <w:marRight w:val="0"/>
      <w:marTop w:val="0"/>
      <w:marBottom w:val="0"/>
      <w:divBdr>
        <w:top w:val="none" w:sz="0" w:space="0" w:color="auto"/>
        <w:left w:val="none" w:sz="0" w:space="0" w:color="auto"/>
        <w:bottom w:val="none" w:sz="0" w:space="0" w:color="auto"/>
        <w:right w:val="none" w:sz="0" w:space="0" w:color="auto"/>
      </w:divBdr>
    </w:div>
    <w:div w:id="660936119">
      <w:bodyDiv w:val="1"/>
      <w:marLeft w:val="0"/>
      <w:marRight w:val="0"/>
      <w:marTop w:val="0"/>
      <w:marBottom w:val="0"/>
      <w:divBdr>
        <w:top w:val="none" w:sz="0" w:space="0" w:color="auto"/>
        <w:left w:val="none" w:sz="0" w:space="0" w:color="auto"/>
        <w:bottom w:val="none" w:sz="0" w:space="0" w:color="auto"/>
        <w:right w:val="none" w:sz="0" w:space="0" w:color="auto"/>
      </w:divBdr>
    </w:div>
    <w:div w:id="968970502">
      <w:bodyDiv w:val="1"/>
      <w:marLeft w:val="0"/>
      <w:marRight w:val="0"/>
      <w:marTop w:val="0"/>
      <w:marBottom w:val="0"/>
      <w:divBdr>
        <w:top w:val="none" w:sz="0" w:space="0" w:color="auto"/>
        <w:left w:val="none" w:sz="0" w:space="0" w:color="auto"/>
        <w:bottom w:val="none" w:sz="0" w:space="0" w:color="auto"/>
        <w:right w:val="none" w:sz="0" w:space="0" w:color="auto"/>
      </w:divBdr>
      <w:divsChild>
        <w:div w:id="1138956164">
          <w:marLeft w:val="0"/>
          <w:marRight w:val="0"/>
          <w:marTop w:val="0"/>
          <w:marBottom w:val="0"/>
          <w:divBdr>
            <w:top w:val="none" w:sz="0" w:space="0" w:color="auto"/>
            <w:left w:val="none" w:sz="0" w:space="0" w:color="auto"/>
            <w:bottom w:val="none" w:sz="0" w:space="0" w:color="auto"/>
            <w:right w:val="none" w:sz="0" w:space="0" w:color="auto"/>
          </w:divBdr>
        </w:div>
        <w:div w:id="709575229">
          <w:marLeft w:val="0"/>
          <w:marRight w:val="0"/>
          <w:marTop w:val="0"/>
          <w:marBottom w:val="0"/>
          <w:divBdr>
            <w:top w:val="none" w:sz="0" w:space="0" w:color="auto"/>
            <w:left w:val="none" w:sz="0" w:space="0" w:color="auto"/>
            <w:bottom w:val="none" w:sz="0" w:space="0" w:color="auto"/>
            <w:right w:val="none" w:sz="0" w:space="0" w:color="auto"/>
          </w:divBdr>
        </w:div>
        <w:div w:id="123502063">
          <w:marLeft w:val="0"/>
          <w:marRight w:val="0"/>
          <w:marTop w:val="0"/>
          <w:marBottom w:val="0"/>
          <w:divBdr>
            <w:top w:val="none" w:sz="0" w:space="0" w:color="auto"/>
            <w:left w:val="none" w:sz="0" w:space="0" w:color="auto"/>
            <w:bottom w:val="none" w:sz="0" w:space="0" w:color="auto"/>
            <w:right w:val="none" w:sz="0" w:space="0" w:color="auto"/>
          </w:divBdr>
        </w:div>
        <w:div w:id="1556162523">
          <w:marLeft w:val="0"/>
          <w:marRight w:val="0"/>
          <w:marTop w:val="0"/>
          <w:marBottom w:val="0"/>
          <w:divBdr>
            <w:top w:val="none" w:sz="0" w:space="0" w:color="auto"/>
            <w:left w:val="none" w:sz="0" w:space="0" w:color="auto"/>
            <w:bottom w:val="none" w:sz="0" w:space="0" w:color="auto"/>
            <w:right w:val="none" w:sz="0" w:space="0" w:color="auto"/>
          </w:divBdr>
        </w:div>
        <w:div w:id="2131781117">
          <w:marLeft w:val="0"/>
          <w:marRight w:val="0"/>
          <w:marTop w:val="0"/>
          <w:marBottom w:val="0"/>
          <w:divBdr>
            <w:top w:val="none" w:sz="0" w:space="0" w:color="auto"/>
            <w:left w:val="none" w:sz="0" w:space="0" w:color="auto"/>
            <w:bottom w:val="none" w:sz="0" w:space="0" w:color="auto"/>
            <w:right w:val="none" w:sz="0" w:space="0" w:color="auto"/>
          </w:divBdr>
        </w:div>
      </w:divsChild>
    </w:div>
    <w:div w:id="1069616771">
      <w:bodyDiv w:val="1"/>
      <w:marLeft w:val="0"/>
      <w:marRight w:val="0"/>
      <w:marTop w:val="0"/>
      <w:marBottom w:val="0"/>
      <w:divBdr>
        <w:top w:val="none" w:sz="0" w:space="0" w:color="auto"/>
        <w:left w:val="none" w:sz="0" w:space="0" w:color="auto"/>
        <w:bottom w:val="none" w:sz="0" w:space="0" w:color="auto"/>
        <w:right w:val="none" w:sz="0" w:space="0" w:color="auto"/>
      </w:divBdr>
      <w:divsChild>
        <w:div w:id="919756232">
          <w:marLeft w:val="0"/>
          <w:marRight w:val="0"/>
          <w:marTop w:val="0"/>
          <w:marBottom w:val="0"/>
          <w:divBdr>
            <w:top w:val="none" w:sz="0" w:space="0" w:color="auto"/>
            <w:left w:val="none" w:sz="0" w:space="0" w:color="auto"/>
            <w:bottom w:val="none" w:sz="0" w:space="0" w:color="auto"/>
            <w:right w:val="none" w:sz="0" w:space="0" w:color="auto"/>
          </w:divBdr>
          <w:divsChild>
            <w:div w:id="1733507209">
              <w:marLeft w:val="0"/>
              <w:marRight w:val="0"/>
              <w:marTop w:val="0"/>
              <w:marBottom w:val="0"/>
              <w:divBdr>
                <w:top w:val="none" w:sz="0" w:space="0" w:color="auto"/>
                <w:left w:val="none" w:sz="0" w:space="0" w:color="auto"/>
                <w:bottom w:val="none" w:sz="0" w:space="0" w:color="auto"/>
                <w:right w:val="none" w:sz="0" w:space="0" w:color="auto"/>
              </w:divBdr>
            </w:div>
            <w:div w:id="1913391919">
              <w:marLeft w:val="0"/>
              <w:marRight w:val="0"/>
              <w:marTop w:val="0"/>
              <w:marBottom w:val="0"/>
              <w:divBdr>
                <w:top w:val="none" w:sz="0" w:space="0" w:color="auto"/>
                <w:left w:val="none" w:sz="0" w:space="0" w:color="auto"/>
                <w:bottom w:val="none" w:sz="0" w:space="0" w:color="auto"/>
                <w:right w:val="none" w:sz="0" w:space="0" w:color="auto"/>
              </w:divBdr>
            </w:div>
            <w:div w:id="1982415975">
              <w:marLeft w:val="0"/>
              <w:marRight w:val="0"/>
              <w:marTop w:val="0"/>
              <w:marBottom w:val="0"/>
              <w:divBdr>
                <w:top w:val="none" w:sz="0" w:space="0" w:color="auto"/>
                <w:left w:val="none" w:sz="0" w:space="0" w:color="auto"/>
                <w:bottom w:val="none" w:sz="0" w:space="0" w:color="auto"/>
                <w:right w:val="none" w:sz="0" w:space="0" w:color="auto"/>
              </w:divBdr>
            </w:div>
          </w:divsChild>
        </w:div>
        <w:div w:id="1101485730">
          <w:marLeft w:val="0"/>
          <w:marRight w:val="0"/>
          <w:marTop w:val="0"/>
          <w:marBottom w:val="0"/>
          <w:divBdr>
            <w:top w:val="none" w:sz="0" w:space="0" w:color="auto"/>
            <w:left w:val="none" w:sz="0" w:space="0" w:color="auto"/>
            <w:bottom w:val="none" w:sz="0" w:space="0" w:color="auto"/>
            <w:right w:val="none" w:sz="0" w:space="0" w:color="auto"/>
          </w:divBdr>
          <w:divsChild>
            <w:div w:id="1841236942">
              <w:marLeft w:val="0"/>
              <w:marRight w:val="0"/>
              <w:marTop w:val="0"/>
              <w:marBottom w:val="0"/>
              <w:divBdr>
                <w:top w:val="none" w:sz="0" w:space="0" w:color="auto"/>
                <w:left w:val="none" w:sz="0" w:space="0" w:color="auto"/>
                <w:bottom w:val="none" w:sz="0" w:space="0" w:color="auto"/>
                <w:right w:val="none" w:sz="0" w:space="0" w:color="auto"/>
              </w:divBdr>
            </w:div>
            <w:div w:id="2120489767">
              <w:marLeft w:val="0"/>
              <w:marRight w:val="0"/>
              <w:marTop w:val="0"/>
              <w:marBottom w:val="0"/>
              <w:divBdr>
                <w:top w:val="none" w:sz="0" w:space="0" w:color="auto"/>
                <w:left w:val="none" w:sz="0" w:space="0" w:color="auto"/>
                <w:bottom w:val="none" w:sz="0" w:space="0" w:color="auto"/>
                <w:right w:val="none" w:sz="0" w:space="0" w:color="auto"/>
              </w:divBdr>
            </w:div>
          </w:divsChild>
        </w:div>
        <w:div w:id="1177189549">
          <w:marLeft w:val="0"/>
          <w:marRight w:val="0"/>
          <w:marTop w:val="0"/>
          <w:marBottom w:val="0"/>
          <w:divBdr>
            <w:top w:val="none" w:sz="0" w:space="0" w:color="auto"/>
            <w:left w:val="none" w:sz="0" w:space="0" w:color="auto"/>
            <w:bottom w:val="none" w:sz="0" w:space="0" w:color="auto"/>
            <w:right w:val="none" w:sz="0" w:space="0" w:color="auto"/>
          </w:divBdr>
          <w:divsChild>
            <w:div w:id="1588154413">
              <w:marLeft w:val="0"/>
              <w:marRight w:val="0"/>
              <w:marTop w:val="0"/>
              <w:marBottom w:val="0"/>
              <w:divBdr>
                <w:top w:val="none" w:sz="0" w:space="0" w:color="auto"/>
                <w:left w:val="none" w:sz="0" w:space="0" w:color="auto"/>
                <w:bottom w:val="none" w:sz="0" w:space="0" w:color="auto"/>
                <w:right w:val="none" w:sz="0" w:space="0" w:color="auto"/>
              </w:divBdr>
            </w:div>
            <w:div w:id="2058116944">
              <w:marLeft w:val="0"/>
              <w:marRight w:val="0"/>
              <w:marTop w:val="0"/>
              <w:marBottom w:val="0"/>
              <w:divBdr>
                <w:top w:val="none" w:sz="0" w:space="0" w:color="auto"/>
                <w:left w:val="none" w:sz="0" w:space="0" w:color="auto"/>
                <w:bottom w:val="none" w:sz="0" w:space="0" w:color="auto"/>
                <w:right w:val="none" w:sz="0" w:space="0" w:color="auto"/>
              </w:divBdr>
            </w:div>
            <w:div w:id="335495758">
              <w:marLeft w:val="0"/>
              <w:marRight w:val="0"/>
              <w:marTop w:val="0"/>
              <w:marBottom w:val="0"/>
              <w:divBdr>
                <w:top w:val="none" w:sz="0" w:space="0" w:color="auto"/>
                <w:left w:val="none" w:sz="0" w:space="0" w:color="auto"/>
                <w:bottom w:val="none" w:sz="0" w:space="0" w:color="auto"/>
                <w:right w:val="none" w:sz="0" w:space="0" w:color="auto"/>
              </w:divBdr>
            </w:div>
          </w:divsChild>
        </w:div>
        <w:div w:id="862012865">
          <w:marLeft w:val="0"/>
          <w:marRight w:val="0"/>
          <w:marTop w:val="0"/>
          <w:marBottom w:val="0"/>
          <w:divBdr>
            <w:top w:val="none" w:sz="0" w:space="0" w:color="auto"/>
            <w:left w:val="none" w:sz="0" w:space="0" w:color="auto"/>
            <w:bottom w:val="none" w:sz="0" w:space="0" w:color="auto"/>
            <w:right w:val="none" w:sz="0" w:space="0" w:color="auto"/>
          </w:divBdr>
          <w:divsChild>
            <w:div w:id="1394737361">
              <w:marLeft w:val="0"/>
              <w:marRight w:val="0"/>
              <w:marTop w:val="0"/>
              <w:marBottom w:val="0"/>
              <w:divBdr>
                <w:top w:val="none" w:sz="0" w:space="0" w:color="auto"/>
                <w:left w:val="none" w:sz="0" w:space="0" w:color="auto"/>
                <w:bottom w:val="none" w:sz="0" w:space="0" w:color="auto"/>
                <w:right w:val="none" w:sz="0" w:space="0" w:color="auto"/>
              </w:divBdr>
            </w:div>
            <w:div w:id="1600675928">
              <w:marLeft w:val="0"/>
              <w:marRight w:val="0"/>
              <w:marTop w:val="0"/>
              <w:marBottom w:val="0"/>
              <w:divBdr>
                <w:top w:val="none" w:sz="0" w:space="0" w:color="auto"/>
                <w:left w:val="none" w:sz="0" w:space="0" w:color="auto"/>
                <w:bottom w:val="none" w:sz="0" w:space="0" w:color="auto"/>
                <w:right w:val="none" w:sz="0" w:space="0" w:color="auto"/>
              </w:divBdr>
            </w:div>
          </w:divsChild>
        </w:div>
        <w:div w:id="352147411">
          <w:marLeft w:val="0"/>
          <w:marRight w:val="0"/>
          <w:marTop w:val="0"/>
          <w:marBottom w:val="0"/>
          <w:divBdr>
            <w:top w:val="none" w:sz="0" w:space="0" w:color="auto"/>
            <w:left w:val="none" w:sz="0" w:space="0" w:color="auto"/>
            <w:bottom w:val="none" w:sz="0" w:space="0" w:color="auto"/>
            <w:right w:val="none" w:sz="0" w:space="0" w:color="auto"/>
          </w:divBdr>
        </w:div>
        <w:div w:id="1455366904">
          <w:marLeft w:val="0"/>
          <w:marRight w:val="0"/>
          <w:marTop w:val="0"/>
          <w:marBottom w:val="0"/>
          <w:divBdr>
            <w:top w:val="none" w:sz="0" w:space="0" w:color="auto"/>
            <w:left w:val="none" w:sz="0" w:space="0" w:color="auto"/>
            <w:bottom w:val="none" w:sz="0" w:space="0" w:color="auto"/>
            <w:right w:val="none" w:sz="0" w:space="0" w:color="auto"/>
          </w:divBdr>
        </w:div>
        <w:div w:id="283655524">
          <w:marLeft w:val="0"/>
          <w:marRight w:val="0"/>
          <w:marTop w:val="0"/>
          <w:marBottom w:val="0"/>
          <w:divBdr>
            <w:top w:val="none" w:sz="0" w:space="0" w:color="auto"/>
            <w:left w:val="none" w:sz="0" w:space="0" w:color="auto"/>
            <w:bottom w:val="none" w:sz="0" w:space="0" w:color="auto"/>
            <w:right w:val="none" w:sz="0" w:space="0" w:color="auto"/>
          </w:divBdr>
        </w:div>
        <w:div w:id="827983997">
          <w:marLeft w:val="0"/>
          <w:marRight w:val="0"/>
          <w:marTop w:val="0"/>
          <w:marBottom w:val="0"/>
          <w:divBdr>
            <w:top w:val="none" w:sz="0" w:space="0" w:color="auto"/>
            <w:left w:val="none" w:sz="0" w:space="0" w:color="auto"/>
            <w:bottom w:val="none" w:sz="0" w:space="0" w:color="auto"/>
            <w:right w:val="none" w:sz="0" w:space="0" w:color="auto"/>
          </w:divBdr>
        </w:div>
      </w:divsChild>
    </w:div>
    <w:div w:id="1232690217">
      <w:bodyDiv w:val="1"/>
      <w:marLeft w:val="0"/>
      <w:marRight w:val="0"/>
      <w:marTop w:val="0"/>
      <w:marBottom w:val="0"/>
      <w:divBdr>
        <w:top w:val="none" w:sz="0" w:space="0" w:color="auto"/>
        <w:left w:val="none" w:sz="0" w:space="0" w:color="auto"/>
        <w:bottom w:val="none" w:sz="0" w:space="0" w:color="auto"/>
        <w:right w:val="none" w:sz="0" w:space="0" w:color="auto"/>
      </w:divBdr>
      <w:divsChild>
        <w:div w:id="320275034">
          <w:marLeft w:val="288"/>
          <w:marRight w:val="0"/>
          <w:marTop w:val="134"/>
          <w:marBottom w:val="0"/>
          <w:divBdr>
            <w:top w:val="none" w:sz="0" w:space="0" w:color="auto"/>
            <w:left w:val="none" w:sz="0" w:space="0" w:color="auto"/>
            <w:bottom w:val="none" w:sz="0" w:space="0" w:color="auto"/>
            <w:right w:val="none" w:sz="0" w:space="0" w:color="auto"/>
          </w:divBdr>
        </w:div>
      </w:divsChild>
    </w:div>
    <w:div w:id="1386951520">
      <w:bodyDiv w:val="1"/>
      <w:marLeft w:val="0"/>
      <w:marRight w:val="0"/>
      <w:marTop w:val="0"/>
      <w:marBottom w:val="0"/>
      <w:divBdr>
        <w:top w:val="none" w:sz="0" w:space="0" w:color="auto"/>
        <w:left w:val="none" w:sz="0" w:space="0" w:color="auto"/>
        <w:bottom w:val="none" w:sz="0" w:space="0" w:color="auto"/>
        <w:right w:val="none" w:sz="0" w:space="0" w:color="auto"/>
      </w:divBdr>
      <w:divsChild>
        <w:div w:id="918252698">
          <w:marLeft w:val="0"/>
          <w:marRight w:val="0"/>
          <w:marTop w:val="0"/>
          <w:marBottom w:val="0"/>
          <w:divBdr>
            <w:top w:val="none" w:sz="0" w:space="0" w:color="auto"/>
            <w:left w:val="none" w:sz="0" w:space="0" w:color="auto"/>
            <w:bottom w:val="none" w:sz="0" w:space="0" w:color="auto"/>
            <w:right w:val="none" w:sz="0" w:space="0" w:color="auto"/>
          </w:divBdr>
        </w:div>
        <w:div w:id="1909339942">
          <w:marLeft w:val="0"/>
          <w:marRight w:val="0"/>
          <w:marTop w:val="0"/>
          <w:marBottom w:val="0"/>
          <w:divBdr>
            <w:top w:val="none" w:sz="0" w:space="0" w:color="auto"/>
            <w:left w:val="none" w:sz="0" w:space="0" w:color="auto"/>
            <w:bottom w:val="none" w:sz="0" w:space="0" w:color="auto"/>
            <w:right w:val="none" w:sz="0" w:space="0" w:color="auto"/>
          </w:divBdr>
        </w:div>
      </w:divsChild>
    </w:div>
    <w:div w:id="1411848616">
      <w:bodyDiv w:val="1"/>
      <w:marLeft w:val="0"/>
      <w:marRight w:val="0"/>
      <w:marTop w:val="0"/>
      <w:marBottom w:val="0"/>
      <w:divBdr>
        <w:top w:val="none" w:sz="0" w:space="0" w:color="auto"/>
        <w:left w:val="none" w:sz="0" w:space="0" w:color="auto"/>
        <w:bottom w:val="none" w:sz="0" w:space="0" w:color="auto"/>
        <w:right w:val="none" w:sz="0" w:space="0" w:color="auto"/>
      </w:divBdr>
      <w:divsChild>
        <w:div w:id="1781850">
          <w:marLeft w:val="0"/>
          <w:marRight w:val="0"/>
          <w:marTop w:val="0"/>
          <w:marBottom w:val="0"/>
          <w:divBdr>
            <w:top w:val="none" w:sz="0" w:space="0" w:color="auto"/>
            <w:left w:val="none" w:sz="0" w:space="0" w:color="auto"/>
            <w:bottom w:val="none" w:sz="0" w:space="0" w:color="auto"/>
            <w:right w:val="none" w:sz="0" w:space="0" w:color="auto"/>
          </w:divBdr>
        </w:div>
        <w:div w:id="15162013">
          <w:marLeft w:val="0"/>
          <w:marRight w:val="0"/>
          <w:marTop w:val="0"/>
          <w:marBottom w:val="0"/>
          <w:divBdr>
            <w:top w:val="none" w:sz="0" w:space="0" w:color="auto"/>
            <w:left w:val="none" w:sz="0" w:space="0" w:color="auto"/>
            <w:bottom w:val="none" w:sz="0" w:space="0" w:color="auto"/>
            <w:right w:val="none" w:sz="0" w:space="0" w:color="auto"/>
          </w:divBdr>
        </w:div>
        <w:div w:id="1635402348">
          <w:marLeft w:val="0"/>
          <w:marRight w:val="0"/>
          <w:marTop w:val="0"/>
          <w:marBottom w:val="0"/>
          <w:divBdr>
            <w:top w:val="none" w:sz="0" w:space="0" w:color="auto"/>
            <w:left w:val="none" w:sz="0" w:space="0" w:color="auto"/>
            <w:bottom w:val="none" w:sz="0" w:space="0" w:color="auto"/>
            <w:right w:val="none" w:sz="0" w:space="0" w:color="auto"/>
          </w:divBdr>
        </w:div>
      </w:divsChild>
    </w:div>
    <w:div w:id="1631130392">
      <w:bodyDiv w:val="1"/>
      <w:marLeft w:val="0"/>
      <w:marRight w:val="0"/>
      <w:marTop w:val="0"/>
      <w:marBottom w:val="0"/>
      <w:divBdr>
        <w:top w:val="none" w:sz="0" w:space="0" w:color="auto"/>
        <w:left w:val="none" w:sz="0" w:space="0" w:color="auto"/>
        <w:bottom w:val="none" w:sz="0" w:space="0" w:color="auto"/>
        <w:right w:val="none" w:sz="0" w:space="0" w:color="auto"/>
      </w:divBdr>
      <w:divsChild>
        <w:div w:id="261109882">
          <w:marLeft w:val="0"/>
          <w:marRight w:val="0"/>
          <w:marTop w:val="0"/>
          <w:marBottom w:val="0"/>
          <w:divBdr>
            <w:top w:val="none" w:sz="0" w:space="0" w:color="auto"/>
            <w:left w:val="none" w:sz="0" w:space="0" w:color="auto"/>
            <w:bottom w:val="none" w:sz="0" w:space="0" w:color="auto"/>
            <w:right w:val="none" w:sz="0" w:space="0" w:color="auto"/>
          </w:divBdr>
        </w:div>
        <w:div w:id="818771829">
          <w:marLeft w:val="0"/>
          <w:marRight w:val="0"/>
          <w:marTop w:val="0"/>
          <w:marBottom w:val="0"/>
          <w:divBdr>
            <w:top w:val="none" w:sz="0" w:space="0" w:color="auto"/>
            <w:left w:val="none" w:sz="0" w:space="0" w:color="auto"/>
            <w:bottom w:val="none" w:sz="0" w:space="0" w:color="auto"/>
            <w:right w:val="none" w:sz="0" w:space="0" w:color="auto"/>
          </w:divBdr>
        </w:div>
      </w:divsChild>
    </w:div>
    <w:div w:id="1852337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alema.maps.arcgis.com/apps/MapSeries/index.html?appid=baea43e6453b49ff9ae3f967eb6935be"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uilding.govt.nz/building-code-compliance/specific-buildings/designing-vertical-evacuation-structures-for-tsunami-loads/" TargetMode="External"/><Relationship Id="rId17" Type="http://schemas.openxmlformats.org/officeDocument/2006/relationships/hyperlink" Target="https://www.civildefence.govt.nz/cdem-sector/guidelines/risk-assessment-guidance-for-cdem-group-planning/" TargetMode="External"/><Relationship Id="rId2" Type="http://schemas.openxmlformats.org/officeDocument/2006/relationships/customXml" Target="../customXml/item2.xml"/><Relationship Id="rId16" Type="http://schemas.openxmlformats.org/officeDocument/2006/relationships/hyperlink" Target="https://www.undrr.org/publication/technical-guidance-comprehensive-risk-assessment-and-planning-context-climate-chan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ivildefence.govt.nz/cdem-sector/guidelines/assessment-and-planning-for-tsunami-vertical-evacuation/" TargetMode="External"/><Relationship Id="rId5" Type="http://schemas.openxmlformats.org/officeDocument/2006/relationships/settings" Target="settings.xml"/><Relationship Id="rId15" Type="http://schemas.openxmlformats.org/officeDocument/2006/relationships/hyperlink" Target="https://sendaiframework-mtr.undrr.org/publication/main-findings-and-recommendations-midterm-review-implementation-sendai-framework" TargetMode="External"/><Relationship Id="rId10" Type="http://schemas.openxmlformats.org/officeDocument/2006/relationships/hyperlink" Target="http://itic.ioc-unesco.org/index.php?option=com_content&amp;view=article&amp;id=2070&amp;Itemid=2927"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itic.ioc-unesco.org/index.php?option=com_content&amp;view=category&amp;layout=blog&amp;id=1075&amp;Itemid=1075" TargetMode="External"/><Relationship Id="rId14" Type="http://schemas.openxmlformats.org/officeDocument/2006/relationships/hyperlink" Target="https://calema.maps.arcgis.com/apps/MapSeries/index.html?appid=baea43e6453b49ff9ae3f967eb6935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9NpUXV8fGe/zzTW8ddOXpCmByw==">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</go:docsCustomData>
</go:gDocsCustomXmlDataStorage>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B14013-4A72-468A-A15B-831F7A54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3191</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Coetzee [DPMC]</dc:creator>
  <cp:lastModifiedBy>Ashleigh Fromont</cp:lastModifiedBy>
  <cp:revision>2</cp:revision>
  <dcterms:created xsi:type="dcterms:W3CDTF">2023-03-05T14:58:00Z</dcterms:created>
  <dcterms:modified xsi:type="dcterms:W3CDTF">2023-03-05T14:58:00Z</dcterms:modified>
</cp:coreProperties>
</file>