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8628" w14:textId="5CC92A30" w:rsidR="00714B90" w:rsidRDefault="004F3BA4">
      <w:pPr>
        <w:wordWrap w:val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F922A6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February </w:t>
      </w:r>
      <w:r w:rsidR="00E80823">
        <w:rPr>
          <w:rFonts w:ascii="Arial" w:hAnsi="Arial" w:cs="Arial" w:hint="eastAsia"/>
          <w:sz w:val="24"/>
        </w:rPr>
        <w:t>202</w:t>
      </w:r>
      <w:r>
        <w:rPr>
          <w:rFonts w:ascii="Arial" w:hAnsi="Arial" w:cs="Arial"/>
          <w:sz w:val="24"/>
        </w:rPr>
        <w:t>3</w:t>
      </w:r>
    </w:p>
    <w:p w14:paraId="2BD296DB" w14:textId="77777777" w:rsidR="00714B90" w:rsidRDefault="00714B90">
      <w:pPr>
        <w:rPr>
          <w:rFonts w:ascii="Arial" w:hAnsi="Arial" w:cs="Arial"/>
          <w:sz w:val="24"/>
        </w:rPr>
      </w:pPr>
    </w:p>
    <w:p w14:paraId="48F21FCE" w14:textId="1A42BDDF" w:rsidR="00714B90" w:rsidRDefault="00065EFF">
      <w:pPr>
        <w:jc w:val="center"/>
        <w:rPr>
          <w:rFonts w:ascii="Arial" w:hAnsi="Arial" w:cs="Arial"/>
          <w:b/>
          <w:bCs/>
          <w:sz w:val="24"/>
        </w:rPr>
      </w:pPr>
      <w:r w:rsidRPr="0042441B">
        <w:rPr>
          <w:rFonts w:ascii="Arial" w:hAnsi="Arial" w:cs="Arial"/>
          <w:b/>
          <w:bCs/>
          <w:sz w:val="24"/>
        </w:rPr>
        <w:t>Draft Agenda PTWS Steering Committee</w:t>
      </w:r>
      <w:r w:rsidR="00514A03" w:rsidRPr="0042441B">
        <w:rPr>
          <w:rFonts w:ascii="Arial" w:hAnsi="Arial" w:cs="Arial"/>
          <w:b/>
          <w:bCs/>
          <w:sz w:val="24"/>
        </w:rPr>
        <w:t xml:space="preserve"> meeting</w:t>
      </w:r>
    </w:p>
    <w:p w14:paraId="0D7ACD09" w14:textId="77777777" w:rsidR="0042441B" w:rsidRPr="0042441B" w:rsidRDefault="0042441B">
      <w:pPr>
        <w:jc w:val="center"/>
        <w:rPr>
          <w:rFonts w:ascii="Arial" w:hAnsi="Arial" w:cs="Arial"/>
          <w:b/>
          <w:bCs/>
          <w:sz w:val="24"/>
        </w:rPr>
      </w:pPr>
    </w:p>
    <w:p w14:paraId="0BBB1049" w14:textId="7FB30B96" w:rsidR="00714B90" w:rsidRDefault="00E8082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6 - 9 March 2023</w:t>
      </w:r>
      <w:r w:rsidR="0042441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 w:hint="eastAsia"/>
          <w:sz w:val="24"/>
        </w:rPr>
        <w:t>in Paris</w:t>
      </w:r>
    </w:p>
    <w:p w14:paraId="382012EE" w14:textId="19C585DC" w:rsidR="0042441B" w:rsidRPr="0042441B" w:rsidRDefault="0042441B">
      <w:pPr>
        <w:jc w:val="center"/>
        <w:rPr>
          <w:rFonts w:ascii="Arial" w:hAnsi="Arial" w:cs="Arial"/>
          <w:i/>
          <w:iCs/>
          <w:sz w:val="24"/>
        </w:rPr>
      </w:pPr>
      <w:r w:rsidRPr="0042441B">
        <w:rPr>
          <w:rFonts w:ascii="Arial" w:hAnsi="Arial" w:cs="Arial"/>
          <w:i/>
          <w:iCs/>
          <w:sz w:val="24"/>
        </w:rPr>
        <w:t>In person (and hybrid)</w:t>
      </w:r>
    </w:p>
    <w:p w14:paraId="226C69F5" w14:textId="77777777" w:rsidR="00714B90" w:rsidRDefault="00714B90">
      <w:pPr>
        <w:rPr>
          <w:rFonts w:ascii="Arial" w:hAnsi="Arial" w:cs="Arial"/>
          <w:sz w:val="24"/>
        </w:rPr>
      </w:pPr>
    </w:p>
    <w:p w14:paraId="3429A0A4" w14:textId="77777777" w:rsidR="00714B90" w:rsidRDefault="00714B90">
      <w:pPr>
        <w:rPr>
          <w:rFonts w:ascii="Arial" w:hAnsi="Arial" w:cs="Arial"/>
          <w:sz w:val="24"/>
        </w:rPr>
      </w:pPr>
    </w:p>
    <w:p w14:paraId="3C0475BE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bookmarkStart w:id="0" w:name="_Toc332178865"/>
      <w:bookmarkStart w:id="1" w:name="_Toc329420856"/>
      <w:bookmarkStart w:id="2" w:name="_Toc333141411"/>
      <w:bookmarkStart w:id="3" w:name="_Toc327377270"/>
      <w:bookmarkStart w:id="4" w:name="_Toc329363553"/>
      <w:bookmarkStart w:id="5" w:name="_Toc333141716"/>
      <w:r>
        <w:rPr>
          <w:rFonts w:ascii="Arial" w:hAnsi="Arial" w:cs="Arial"/>
          <w:sz w:val="24"/>
        </w:rPr>
        <w:t>Welcome and Opening</w:t>
      </w:r>
      <w:bookmarkEnd w:id="0"/>
      <w:bookmarkEnd w:id="1"/>
      <w:bookmarkEnd w:id="2"/>
      <w:bookmarkEnd w:id="3"/>
      <w:bookmarkEnd w:id="4"/>
      <w:bookmarkEnd w:id="5"/>
      <w:r>
        <w:rPr>
          <w:rFonts w:ascii="Arial" w:hAnsi="Arial" w:cs="Arial"/>
          <w:sz w:val="24"/>
        </w:rPr>
        <w:t xml:space="preserve"> </w:t>
      </w:r>
    </w:p>
    <w:p w14:paraId="1225BC6A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4CB9DF6F" w14:textId="77777777" w:rsidR="00587692" w:rsidRPr="00587692" w:rsidRDefault="00587692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Adoption of Agenda</w:t>
      </w:r>
    </w:p>
    <w:p w14:paraId="11BD969E" w14:textId="77777777" w:rsidR="00587692" w:rsidRPr="00587692" w:rsidRDefault="00587692" w:rsidP="00587692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3147F774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</w:rPr>
        <w:t xml:space="preserve">Review of Action Items from the ICG/PTWS XXIX session </w:t>
      </w:r>
    </w:p>
    <w:p w14:paraId="30ECDEA1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0A2596E4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Report on the IOC EC 55</w:t>
      </w:r>
      <w:r>
        <w:rPr>
          <w:rFonts w:ascii="Arial" w:hAnsi="Arial" w:cs="Arial"/>
          <w:bCs/>
          <w:snapToGrid w:val="0"/>
          <w:kern w:val="28"/>
          <w:sz w:val="24"/>
          <w:vertAlign w:val="superscript"/>
          <w:lang w:val="en-GB"/>
        </w:rPr>
        <w:t>th</w:t>
      </w:r>
      <w:r>
        <w:rPr>
          <w:rFonts w:ascii="Arial" w:hAnsi="Arial" w:cs="Arial"/>
          <w:bCs/>
          <w:snapToGrid w:val="0"/>
          <w:kern w:val="28"/>
          <w:sz w:val="24"/>
          <w:lang w:val="en-GB"/>
        </w:rPr>
        <w:t xml:space="preserve"> Session</w:t>
      </w:r>
      <w:r>
        <w:rPr>
          <w:rFonts w:ascii="Arial" w:hAnsi="Arial" w:cs="Arial" w:hint="eastAsia"/>
          <w:bCs/>
          <w:snapToGrid w:val="0"/>
          <w:kern w:val="28"/>
          <w:sz w:val="24"/>
        </w:rPr>
        <w:t xml:space="preserve"> and TOWS-WG</w:t>
      </w:r>
      <w:r>
        <w:rPr>
          <w:rFonts w:ascii="Arial" w:hAnsi="Arial" w:cs="Arial"/>
          <w:bCs/>
          <w:snapToGrid w:val="0"/>
          <w:kern w:val="28"/>
          <w:sz w:val="24"/>
          <w:lang w:val="en-GB"/>
        </w:rPr>
        <w:t xml:space="preserve"> from the Chair </w:t>
      </w:r>
    </w:p>
    <w:p w14:paraId="5F1A587B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10C1549B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t>Report of Tsunami Service Providers</w:t>
      </w:r>
    </w:p>
    <w:p w14:paraId="63D783B1" w14:textId="77777777" w:rsidR="00714B90" w:rsidRDefault="00165950" w:rsidP="00165950">
      <w:pPr>
        <w:ind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 w:hint="eastAsia"/>
          <w:bCs/>
          <w:snapToGrid w:val="0"/>
          <w:kern w:val="28"/>
          <w:sz w:val="24"/>
          <w:lang w:val="en-GB"/>
        </w:rPr>
        <w:t>5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>.1. PTWC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 </w:t>
      </w:r>
    </w:p>
    <w:p w14:paraId="5DE3FEC8" w14:textId="77777777" w:rsidR="00714B90" w:rsidRDefault="00165950" w:rsidP="00165950">
      <w:pPr>
        <w:ind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5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>.2. NWPTAC</w:t>
      </w:r>
    </w:p>
    <w:p w14:paraId="0EB22490" w14:textId="77777777" w:rsidR="00714B90" w:rsidRDefault="00165950" w:rsidP="00165950">
      <w:pPr>
        <w:ind w:firstLineChars="175" w:firstLine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5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>.3. SCSTAC</w:t>
      </w:r>
    </w:p>
    <w:p w14:paraId="63315CFC" w14:textId="7D31381C" w:rsidR="00714B90" w:rsidRDefault="00165950" w:rsidP="00165950">
      <w:pPr>
        <w:ind w:firstLineChars="175" w:firstLine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5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>.4. CATAC</w:t>
      </w:r>
      <w:r w:rsidR="00C46CC2">
        <w:rPr>
          <w:rFonts w:ascii="Arial" w:hAnsi="Arial" w:cs="Arial"/>
          <w:bCs/>
          <w:snapToGrid w:val="0"/>
          <w:kern w:val="28"/>
          <w:sz w:val="24"/>
          <w:lang w:val="en-GB"/>
        </w:rPr>
        <w:t xml:space="preserve"> (Interim Service)</w:t>
      </w:r>
    </w:p>
    <w:p w14:paraId="77C923FB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7A765EB9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sz w:val="24"/>
        </w:rPr>
        <w:t xml:space="preserve">Report of Working Groups </w:t>
      </w:r>
    </w:p>
    <w:p w14:paraId="2A1CD9DE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>.1. Working Group 1 - Understanding Tsunami Risk</w:t>
      </w:r>
    </w:p>
    <w:p w14:paraId="2FDEDA76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>.2. Working Group 2 - Tsunami Detection, Warning and Dissemination</w:t>
      </w:r>
    </w:p>
    <w:p w14:paraId="136FBF48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.3. Working Group 3 - Disaster Risk Management and Preparedness </w:t>
      </w:r>
    </w:p>
    <w:p w14:paraId="4109DB8A" w14:textId="77777777" w:rsidR="00714B90" w:rsidRDefault="00165950" w:rsidP="00165950">
      <w:pPr>
        <w:pStyle w:val="ListParagraph"/>
        <w:ind w:leftChars="203" w:left="635" w:hangingChars="87" w:hanging="209"/>
        <w:jc w:val="left"/>
        <w:rPr>
          <w:rStyle w:val="Emphasis"/>
          <w:rFonts w:ascii="Arial" w:eastAsia="SimSun" w:hAnsi="Arial" w:cs="Arial"/>
          <w:i w:val="0"/>
          <w:iCs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.4. </w:t>
      </w:r>
      <w:r w:rsidR="00E80823">
        <w:rPr>
          <w:rStyle w:val="Emphasis"/>
          <w:rFonts w:ascii="Arial" w:eastAsia="SimSun" w:hAnsi="Arial" w:cs="Arial"/>
          <w:i w:val="0"/>
          <w:iCs/>
          <w:sz w:val="24"/>
        </w:rPr>
        <w:t>Regional Working Group on Tsunami Warning and Mitigation System on the Central American Pacific Coast</w:t>
      </w:r>
    </w:p>
    <w:p w14:paraId="32380152" w14:textId="77777777" w:rsidR="00714B90" w:rsidRDefault="00165950" w:rsidP="00165950">
      <w:pPr>
        <w:pStyle w:val="ListParagraph"/>
        <w:ind w:leftChars="203" w:left="635" w:hangingChars="87" w:hanging="209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Style w:val="Emphasis"/>
          <w:rFonts w:ascii="Arial" w:eastAsia="MS Mincho" w:hAnsi="Arial" w:cs="Arial"/>
          <w:i w:val="0"/>
          <w:iCs/>
          <w:sz w:val="24"/>
        </w:rPr>
        <w:t>6</w:t>
      </w:r>
      <w:r w:rsidR="00E80823">
        <w:rPr>
          <w:rStyle w:val="Emphasis"/>
          <w:rFonts w:ascii="Arial" w:eastAsia="MS Mincho" w:hAnsi="Arial" w:cs="Arial" w:hint="eastAsia"/>
          <w:i w:val="0"/>
          <w:iCs/>
          <w:sz w:val="24"/>
        </w:rPr>
        <w:t xml:space="preserve">.5. 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Regional Working Group on Tsunami Warning and Mitigation System in the </w:t>
      </w:r>
      <w:proofErr w:type="gramStart"/>
      <w:r w:rsidR="00E80823">
        <w:rPr>
          <w:rFonts w:ascii="Arial" w:hAnsi="Arial" w:cs="Arial" w:hint="eastAsia"/>
          <w:bCs/>
          <w:snapToGrid w:val="0"/>
          <w:kern w:val="28"/>
          <w:sz w:val="24"/>
        </w:rPr>
        <w:t>South East</w:t>
      </w:r>
      <w:proofErr w:type="gramEnd"/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 Pacific Region</w:t>
      </w:r>
    </w:p>
    <w:p w14:paraId="29976581" w14:textId="77777777" w:rsidR="00714B90" w:rsidRDefault="00165950" w:rsidP="00165950">
      <w:pPr>
        <w:pStyle w:val="ListParagraph"/>
        <w:ind w:leftChars="203" w:left="635" w:hangingChars="87" w:hanging="209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>.6. Regional Working Group on Tsunami Warning and Mitigation System in the South China Sea Region</w:t>
      </w:r>
    </w:p>
    <w:p w14:paraId="301DE0FA" w14:textId="77777777" w:rsidR="00714B90" w:rsidRDefault="00165950" w:rsidP="00165950">
      <w:pPr>
        <w:pStyle w:val="ListParagraph"/>
        <w:ind w:leftChars="203" w:left="635" w:hangingChars="87" w:hanging="209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.7 </w:t>
      </w:r>
      <w:r w:rsidR="00E80823">
        <w:rPr>
          <w:rFonts w:ascii="Arial" w:hAnsi="Arial" w:cs="Arial"/>
          <w:bCs/>
          <w:snapToGrid w:val="0"/>
          <w:kern w:val="28"/>
          <w:sz w:val="24"/>
        </w:rPr>
        <w:t>Pacific Island Countries and Territories Regional Working Group on Tsunami Warning and Mitigation System</w:t>
      </w:r>
    </w:p>
    <w:p w14:paraId="054CABDE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696A1D57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t xml:space="preserve">Report of Task Teams </w:t>
      </w:r>
      <w:r>
        <w:rPr>
          <w:rFonts w:ascii="Arial" w:hAnsi="Arial" w:cs="Arial" w:hint="eastAsia"/>
          <w:sz w:val="24"/>
        </w:rPr>
        <w:t xml:space="preserve"> </w:t>
      </w:r>
    </w:p>
    <w:p w14:paraId="26F48D91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</w:rPr>
        <w:t>7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.1. 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>Task Team on Future Goals and Performance Monitoring</w:t>
      </w:r>
    </w:p>
    <w:p w14:paraId="0EE7A9ED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</w:rPr>
        <w:t>7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.2. </w:t>
      </w:r>
      <w:r w:rsidR="00E80823">
        <w:rPr>
          <w:rFonts w:ascii="Arial" w:hAnsi="Arial" w:cs="Arial"/>
          <w:bCs/>
          <w:snapToGrid w:val="0"/>
          <w:kern w:val="28"/>
          <w:sz w:val="24"/>
          <w:lang w:val="en-GB"/>
        </w:rPr>
        <w:t xml:space="preserve">Task Team on PacWave Exercises </w:t>
      </w:r>
    </w:p>
    <w:p w14:paraId="686EB00D" w14:textId="77777777" w:rsidR="00714B90" w:rsidRDefault="00165950" w:rsidP="00165950">
      <w:pPr>
        <w:pStyle w:val="ListParagraph"/>
        <w:ind w:leftChars="0" w:left="0" w:firstLineChars="175" w:firstLine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7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>.3. Task Team on UN Ocean Decade</w:t>
      </w:r>
    </w:p>
    <w:p w14:paraId="7964E372" w14:textId="77777777" w:rsidR="00714B90" w:rsidRPr="00165950" w:rsidRDefault="00714B90">
      <w:pPr>
        <w:pStyle w:val="ListParagraph"/>
        <w:ind w:leftChars="0" w:left="0"/>
        <w:jc w:val="left"/>
        <w:rPr>
          <w:rFonts w:ascii="Arial" w:hAnsi="Arial" w:cs="Arial"/>
          <w:bCs/>
          <w:snapToGrid w:val="0"/>
          <w:kern w:val="28"/>
          <w:sz w:val="24"/>
        </w:rPr>
      </w:pPr>
    </w:p>
    <w:p w14:paraId="2E768EDE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t xml:space="preserve">Report of ITIC </w:t>
      </w:r>
      <w:r>
        <w:rPr>
          <w:rFonts w:ascii="Arial" w:hAnsi="Arial" w:cs="Arial" w:hint="eastAsia"/>
          <w:sz w:val="24"/>
        </w:rPr>
        <w:t xml:space="preserve"> </w:t>
      </w:r>
    </w:p>
    <w:p w14:paraId="15539745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sz w:val="24"/>
          <w:lang w:val="en-GB"/>
        </w:rPr>
      </w:pPr>
    </w:p>
    <w:p w14:paraId="42DEE385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Expansion of PTWS’s Earthquake Source Zone </w:t>
      </w:r>
      <w:r>
        <w:rPr>
          <w:rFonts w:ascii="Arial" w:hAnsi="Arial" w:cs="Arial" w:hint="eastAsia"/>
          <w:sz w:val="24"/>
        </w:rPr>
        <w:t xml:space="preserve"> </w:t>
      </w:r>
    </w:p>
    <w:p w14:paraId="7BCB3AA8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</w:rPr>
      </w:pPr>
    </w:p>
    <w:p w14:paraId="3E963AF7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lastRenderedPageBreak/>
        <w:t xml:space="preserve">Provision of Tsunami Information of the TSPs to Maritime Community for Navigational Warning </w:t>
      </w:r>
    </w:p>
    <w:p w14:paraId="2460D9FE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sz w:val="24"/>
          <w:lang w:val="en-GB"/>
        </w:rPr>
      </w:pPr>
    </w:p>
    <w:p w14:paraId="3297AAF5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TSPs User’s Guide</w:t>
      </w:r>
      <w:r>
        <w:rPr>
          <w:rFonts w:ascii="Arial" w:hAnsi="Arial" w:cs="Arial" w:hint="eastAsia"/>
          <w:sz w:val="24"/>
        </w:rPr>
        <w:t xml:space="preserve"> </w:t>
      </w:r>
    </w:p>
    <w:p w14:paraId="7F864FFE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</w:rPr>
      </w:pPr>
    </w:p>
    <w:p w14:paraId="5EB7BF0E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t xml:space="preserve">Formally full operation of the CATAC </w:t>
      </w:r>
      <w:r>
        <w:rPr>
          <w:rFonts w:ascii="Arial" w:hAnsi="Arial" w:cs="Arial" w:hint="eastAsia"/>
          <w:sz w:val="24"/>
        </w:rPr>
        <w:t xml:space="preserve"> </w:t>
      </w:r>
    </w:p>
    <w:p w14:paraId="4A29589F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2F39B21D" w14:textId="48C22179" w:rsidR="00714B90" w:rsidRPr="00DB040A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sz w:val="24"/>
        </w:rPr>
        <w:t>Progress of Tsunami Ready Recognition Program</w:t>
      </w:r>
      <w:r w:rsidR="00810638">
        <w:rPr>
          <w:rFonts w:ascii="Arial" w:hAnsi="Arial" w:cs="Arial"/>
          <w:sz w:val="24"/>
        </w:rPr>
        <w:t>me</w:t>
      </w:r>
      <w:r>
        <w:rPr>
          <w:rFonts w:ascii="Arial" w:hAnsi="Arial" w:cs="Arial"/>
          <w:sz w:val="24"/>
        </w:rPr>
        <w:t xml:space="preserve"> in the Pacific </w:t>
      </w:r>
    </w:p>
    <w:p w14:paraId="1E9D311F" w14:textId="77777777" w:rsidR="00DB040A" w:rsidRPr="00DB040A" w:rsidRDefault="00DB040A" w:rsidP="00DB040A">
      <w:pPr>
        <w:pStyle w:val="ListParagraph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5A8AEC6E" w14:textId="16D09DA2" w:rsidR="00DB040A" w:rsidRDefault="00DB040A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PTWS role in the Tsunami Ready Coalition</w:t>
      </w:r>
    </w:p>
    <w:p w14:paraId="5372E105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792F5887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 w:hint="eastAsia"/>
          <w:bCs/>
          <w:snapToGrid w:val="0"/>
          <w:kern w:val="28"/>
          <w:sz w:val="24"/>
          <w:lang w:val="en-GB"/>
        </w:rPr>
        <w:t xml:space="preserve">UN Decade of </w:t>
      </w:r>
      <w:r>
        <w:rPr>
          <w:rFonts w:ascii="Arial" w:hAnsi="Arial" w:cs="Arial"/>
          <w:bCs/>
          <w:snapToGrid w:val="0"/>
          <w:kern w:val="28"/>
          <w:sz w:val="24"/>
          <w:lang w:val="en-GB"/>
        </w:rPr>
        <w:t xml:space="preserve">Ocean Science for Sustainable Development </w:t>
      </w:r>
    </w:p>
    <w:p w14:paraId="28641979" w14:textId="77777777" w:rsidR="00714B90" w:rsidRDefault="00714B90">
      <w:pPr>
        <w:pStyle w:val="ListParagraph"/>
        <w:ind w:leftChars="0" w:left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2331F620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 w:hint="eastAsia"/>
          <w:bCs/>
          <w:snapToGrid w:val="0"/>
          <w:kern w:val="28"/>
          <w:sz w:val="24"/>
        </w:rPr>
        <w:t xml:space="preserve">Tsunami Warning for </w:t>
      </w:r>
      <w:r>
        <w:rPr>
          <w:rFonts w:ascii="Arial" w:hAnsi="Arial" w:cs="Arial"/>
          <w:bCs/>
          <w:snapToGrid w:val="0"/>
          <w:kern w:val="28"/>
          <w:sz w:val="24"/>
        </w:rPr>
        <w:t>Atypical Tsunamis</w:t>
      </w:r>
    </w:p>
    <w:p w14:paraId="4EBBE1D2" w14:textId="2D7E81CD" w:rsidR="00714B90" w:rsidRDefault="0016595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</w:rPr>
      </w:pPr>
      <w:r>
        <w:rPr>
          <w:rFonts w:ascii="Arial" w:hAnsi="Arial" w:cs="Arial"/>
          <w:bCs/>
          <w:snapToGrid w:val="0"/>
          <w:kern w:val="28"/>
          <w:sz w:val="24"/>
        </w:rPr>
        <w:t>1</w:t>
      </w:r>
      <w:r w:rsidR="002D3FE0">
        <w:rPr>
          <w:rFonts w:ascii="Arial" w:hAnsi="Arial" w:cs="Arial"/>
          <w:bCs/>
          <w:snapToGrid w:val="0"/>
          <w:kern w:val="28"/>
          <w:sz w:val="24"/>
        </w:rPr>
        <w:t>6</w:t>
      </w:r>
      <w:r w:rsidR="00E80823">
        <w:rPr>
          <w:rFonts w:ascii="Arial" w:hAnsi="Arial" w:cs="Arial"/>
          <w:bCs/>
          <w:snapToGrid w:val="0"/>
          <w:kern w:val="28"/>
          <w:sz w:val="24"/>
        </w:rPr>
        <w:t xml:space="preserve">.1 </w:t>
      </w:r>
      <w:r w:rsidR="00E80823">
        <w:rPr>
          <w:rFonts w:ascii="Arial" w:hAnsi="Arial" w:cs="Arial" w:hint="eastAsia"/>
          <w:bCs/>
          <w:snapToGrid w:val="0"/>
          <w:kern w:val="28"/>
          <w:sz w:val="24"/>
        </w:rPr>
        <w:t xml:space="preserve">Volcano Generated Tsunamis: included the new established HTHH interim warning system </w:t>
      </w:r>
    </w:p>
    <w:p w14:paraId="18D317F9" w14:textId="4D1DCDC3" w:rsidR="00714B90" w:rsidRDefault="00E80823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</w:rPr>
        <w:t>1</w:t>
      </w:r>
      <w:r w:rsidR="002D3FE0">
        <w:rPr>
          <w:rFonts w:ascii="Arial" w:hAnsi="Arial" w:cs="Arial"/>
          <w:bCs/>
          <w:snapToGrid w:val="0"/>
          <w:kern w:val="28"/>
          <w:sz w:val="24"/>
        </w:rPr>
        <w:t>6</w:t>
      </w:r>
      <w:r>
        <w:rPr>
          <w:rFonts w:ascii="Arial" w:hAnsi="Arial" w:cs="Arial"/>
          <w:bCs/>
          <w:snapToGrid w:val="0"/>
          <w:kern w:val="28"/>
          <w:sz w:val="24"/>
        </w:rPr>
        <w:t xml:space="preserve">.2 </w:t>
      </w:r>
      <w:proofErr w:type="spellStart"/>
      <w:r>
        <w:rPr>
          <w:rFonts w:ascii="Arial" w:hAnsi="Arial" w:cs="Arial" w:hint="eastAsia"/>
          <w:bCs/>
          <w:snapToGrid w:val="0"/>
          <w:kern w:val="28"/>
          <w:sz w:val="24"/>
        </w:rPr>
        <w:t>Meteo</w:t>
      </w:r>
      <w:proofErr w:type="spellEnd"/>
      <w:r>
        <w:rPr>
          <w:rFonts w:ascii="Arial" w:hAnsi="Arial" w:cs="Arial"/>
          <w:bCs/>
          <w:snapToGrid w:val="0"/>
          <w:kern w:val="28"/>
          <w:sz w:val="24"/>
        </w:rPr>
        <w:t>-</w:t>
      </w:r>
      <w:r>
        <w:rPr>
          <w:rFonts w:ascii="Arial" w:hAnsi="Arial" w:cs="Arial" w:hint="eastAsia"/>
          <w:bCs/>
          <w:snapToGrid w:val="0"/>
          <w:kern w:val="28"/>
          <w:sz w:val="24"/>
        </w:rPr>
        <w:t>tsunami</w:t>
      </w:r>
      <w:r>
        <w:rPr>
          <w:rFonts w:ascii="Arial" w:hAnsi="Arial" w:cs="Arial"/>
          <w:bCs/>
          <w:snapToGrid w:val="0"/>
          <w:kern w:val="28"/>
          <w:sz w:val="24"/>
        </w:rPr>
        <w:t>s</w:t>
      </w:r>
      <w:r>
        <w:rPr>
          <w:rFonts w:ascii="Arial" w:hAnsi="Arial" w:cs="Arial" w:hint="eastAsia"/>
          <w:bCs/>
          <w:snapToGrid w:val="0"/>
          <w:kern w:val="28"/>
          <w:sz w:val="24"/>
        </w:rPr>
        <w:t xml:space="preserve"> </w:t>
      </w:r>
    </w:p>
    <w:p w14:paraId="754B6766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68CA99E1" w14:textId="77777777" w:rsidR="00714B90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Date and Venue of the PTWS-XXX Session</w:t>
      </w:r>
      <w:r>
        <w:rPr>
          <w:rFonts w:ascii="Arial" w:hAnsi="Arial" w:cs="Arial" w:hint="eastAsia"/>
          <w:bCs/>
          <w:snapToGrid w:val="0"/>
          <w:kern w:val="28"/>
          <w:sz w:val="24"/>
        </w:rPr>
        <w:t xml:space="preserve"> </w:t>
      </w:r>
    </w:p>
    <w:p w14:paraId="3F7E473F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6A80150D" w14:textId="0F7FC0E5" w:rsidR="00714B90" w:rsidRPr="000E6BAA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Draft Agenda of the PTWS-XXX Session</w:t>
      </w:r>
      <w:r>
        <w:rPr>
          <w:rFonts w:ascii="Arial" w:hAnsi="Arial" w:cs="Arial" w:hint="eastAsia"/>
          <w:bCs/>
          <w:snapToGrid w:val="0"/>
          <w:kern w:val="28"/>
          <w:sz w:val="24"/>
        </w:rPr>
        <w:t xml:space="preserve"> </w:t>
      </w:r>
    </w:p>
    <w:p w14:paraId="32CF3B0F" w14:textId="77777777" w:rsidR="000E6BAA" w:rsidRPr="000E6BAA" w:rsidRDefault="000E6BAA" w:rsidP="000E6BAA">
      <w:pPr>
        <w:pStyle w:val="ListParagraph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3317CAE3" w14:textId="36BBFC12" w:rsidR="000E6BAA" w:rsidRDefault="000E6BAA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  <w:lang w:val="en-GB"/>
        </w:rPr>
        <w:t>Scientific Symposium</w:t>
      </w:r>
    </w:p>
    <w:p w14:paraId="4EB47368" w14:textId="77777777" w:rsidR="00714B90" w:rsidRDefault="00714B90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7BBC34E5" w14:textId="77777777" w:rsidR="00714B90" w:rsidRPr="0058021E" w:rsidRDefault="00E80823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/>
          <w:bCs/>
          <w:snapToGrid w:val="0"/>
          <w:kern w:val="28"/>
          <w:sz w:val="24"/>
        </w:rPr>
        <w:t>Any Other Business</w:t>
      </w:r>
    </w:p>
    <w:p w14:paraId="7E462668" w14:textId="77777777" w:rsidR="0058021E" w:rsidRPr="0058021E" w:rsidRDefault="0058021E" w:rsidP="0058021E">
      <w:pPr>
        <w:pStyle w:val="ListParagraph"/>
        <w:ind w:leftChars="0" w:left="42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643C4F4D" w14:textId="77777777" w:rsidR="0058021E" w:rsidRDefault="0058021E">
      <w:pPr>
        <w:pStyle w:val="ListParagraph"/>
        <w:numPr>
          <w:ilvl w:val="0"/>
          <w:numId w:val="1"/>
        </w:numPr>
        <w:ind w:leftChars="0"/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  <w:r>
        <w:rPr>
          <w:rFonts w:ascii="Arial" w:hAnsi="Arial" w:cs="Arial" w:hint="eastAsia"/>
          <w:bCs/>
          <w:snapToGrid w:val="0"/>
          <w:kern w:val="28"/>
          <w:sz w:val="24"/>
        </w:rPr>
        <w:t>Closing</w:t>
      </w:r>
    </w:p>
    <w:p w14:paraId="78BB2FFC" w14:textId="77777777" w:rsidR="00714B90" w:rsidRDefault="00714B90">
      <w:pPr>
        <w:jc w:val="left"/>
        <w:rPr>
          <w:rFonts w:ascii="Arial" w:hAnsi="Arial" w:cs="Arial"/>
          <w:bCs/>
          <w:snapToGrid w:val="0"/>
          <w:kern w:val="28"/>
          <w:sz w:val="24"/>
          <w:lang w:val="en-GB"/>
        </w:rPr>
      </w:pPr>
    </w:p>
    <w:p w14:paraId="402CCFC8" w14:textId="77777777" w:rsidR="00714B90" w:rsidRDefault="00714B90">
      <w:pPr>
        <w:rPr>
          <w:rFonts w:ascii="Arial" w:hAnsi="Arial" w:cs="Arial"/>
          <w:sz w:val="24"/>
        </w:rPr>
      </w:pPr>
    </w:p>
    <w:p w14:paraId="122C019A" w14:textId="77777777" w:rsidR="002D2189" w:rsidRDefault="002D2189">
      <w:pPr>
        <w:rPr>
          <w:rFonts w:ascii="Arial" w:hAnsi="Arial" w:cs="Arial"/>
          <w:sz w:val="24"/>
        </w:rPr>
      </w:pPr>
    </w:p>
    <w:sectPr w:rsidR="002D218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A73F" w14:textId="77777777" w:rsidR="00A20CE1" w:rsidRDefault="00A20CE1" w:rsidP="0058021E">
      <w:r>
        <w:separator/>
      </w:r>
    </w:p>
  </w:endnote>
  <w:endnote w:type="continuationSeparator" w:id="0">
    <w:p w14:paraId="6A970D66" w14:textId="77777777" w:rsidR="00A20CE1" w:rsidRDefault="00A20CE1" w:rsidP="005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9555" w14:textId="77777777" w:rsidR="00A20CE1" w:rsidRDefault="00A20CE1" w:rsidP="0058021E">
      <w:r>
        <w:separator/>
      </w:r>
    </w:p>
  </w:footnote>
  <w:footnote w:type="continuationSeparator" w:id="0">
    <w:p w14:paraId="59A1A67F" w14:textId="77777777" w:rsidR="00A20CE1" w:rsidRDefault="00A20CE1" w:rsidP="0058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25E1"/>
    <w:multiLevelType w:val="multilevel"/>
    <w:tmpl w:val="34EA25E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40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BF7C9F"/>
    <w:rsid w:val="00012C20"/>
    <w:rsid w:val="00021E0F"/>
    <w:rsid w:val="00055015"/>
    <w:rsid w:val="00065EFF"/>
    <w:rsid w:val="000961FD"/>
    <w:rsid w:val="000E6BAA"/>
    <w:rsid w:val="000F03ED"/>
    <w:rsid w:val="00154E46"/>
    <w:rsid w:val="00165950"/>
    <w:rsid w:val="00173599"/>
    <w:rsid w:val="001C239E"/>
    <w:rsid w:val="001D1722"/>
    <w:rsid w:val="00242807"/>
    <w:rsid w:val="00295F9B"/>
    <w:rsid w:val="002D2189"/>
    <w:rsid w:val="002D3FE0"/>
    <w:rsid w:val="003060FD"/>
    <w:rsid w:val="003356EF"/>
    <w:rsid w:val="003401CC"/>
    <w:rsid w:val="003A5080"/>
    <w:rsid w:val="003E28DE"/>
    <w:rsid w:val="0042441B"/>
    <w:rsid w:val="00436DCB"/>
    <w:rsid w:val="004B2C49"/>
    <w:rsid w:val="004E5910"/>
    <w:rsid w:val="004F3BA4"/>
    <w:rsid w:val="00513DDD"/>
    <w:rsid w:val="00514A03"/>
    <w:rsid w:val="0052752F"/>
    <w:rsid w:val="0058021E"/>
    <w:rsid w:val="00587692"/>
    <w:rsid w:val="00604853"/>
    <w:rsid w:val="00611083"/>
    <w:rsid w:val="006460C6"/>
    <w:rsid w:val="00672ABF"/>
    <w:rsid w:val="00693B40"/>
    <w:rsid w:val="00714B90"/>
    <w:rsid w:val="007E5549"/>
    <w:rsid w:val="00810638"/>
    <w:rsid w:val="00864A3A"/>
    <w:rsid w:val="008D4AC7"/>
    <w:rsid w:val="009373F9"/>
    <w:rsid w:val="00950DA7"/>
    <w:rsid w:val="00980F5F"/>
    <w:rsid w:val="00A20CE1"/>
    <w:rsid w:val="00B2455A"/>
    <w:rsid w:val="00B878C1"/>
    <w:rsid w:val="00BD657B"/>
    <w:rsid w:val="00C46CC2"/>
    <w:rsid w:val="00C64760"/>
    <w:rsid w:val="00C90F59"/>
    <w:rsid w:val="00D02557"/>
    <w:rsid w:val="00D9677E"/>
    <w:rsid w:val="00DB040A"/>
    <w:rsid w:val="00DC7DE2"/>
    <w:rsid w:val="00E02B2A"/>
    <w:rsid w:val="00E80823"/>
    <w:rsid w:val="00F40762"/>
    <w:rsid w:val="00F4287C"/>
    <w:rsid w:val="00F922A6"/>
    <w:rsid w:val="00F947F0"/>
    <w:rsid w:val="00FA152F"/>
    <w:rsid w:val="00FF50E8"/>
    <w:rsid w:val="03854937"/>
    <w:rsid w:val="2D26743D"/>
    <w:rsid w:val="2E3F3F58"/>
    <w:rsid w:val="2F79711C"/>
    <w:rsid w:val="32763965"/>
    <w:rsid w:val="42CC262D"/>
    <w:rsid w:val="54694478"/>
    <w:rsid w:val="5B977496"/>
    <w:rsid w:val="5C8A6F62"/>
    <w:rsid w:val="64A6077D"/>
    <w:rsid w:val="669A4994"/>
    <w:rsid w:val="68B76864"/>
    <w:rsid w:val="69A1E7AF"/>
    <w:rsid w:val="6F556CDE"/>
    <w:rsid w:val="76BF7C9F"/>
    <w:rsid w:val="790FFE0B"/>
    <w:rsid w:val="7AAB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3D6FD"/>
  <w15:docId w15:val="{8FFCAF0C-D495-4B32-BA71-0342BB0C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CommentText">
    <w:name w:val="annotation text"/>
    <w:basedOn w:val="Normal"/>
    <w:qFormat/>
    <w:pPr>
      <w:jc w:val="left"/>
    </w:pPr>
  </w:style>
  <w:style w:type="paragraph" w:styleId="BalloonText">
    <w:name w:val="Balloon Text"/>
    <w:basedOn w:val="Normal"/>
    <w:link w:val="BalloonTextChar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character" w:styleId="Emphasis">
    <w:name w:val="Emphasis"/>
    <w:basedOn w:val="DefaultParagraphFont"/>
    <w:qFormat/>
    <w:rPr>
      <w:i/>
    </w:rPr>
  </w:style>
  <w:style w:type="character" w:customStyle="1" w:styleId="BalloonTextChar">
    <w:name w:val="Balloon Text Char"/>
    <w:basedOn w:val="DefaultParagraphFont"/>
    <w:link w:val="BalloonText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21"/>
      <w:szCs w:val="24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</w:rPr>
  </w:style>
  <w:style w:type="paragraph" w:styleId="ListParagraph">
    <w:name w:val="List Paragraph"/>
    <w:basedOn w:val="Normal"/>
    <w:uiPriority w:val="99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>気象庁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Nihismae</dc:creator>
  <cp:lastModifiedBy>Tiffay, Celine</cp:lastModifiedBy>
  <cp:revision>2</cp:revision>
  <cp:lastPrinted>2022-11-24T09:05:00Z</cp:lastPrinted>
  <dcterms:created xsi:type="dcterms:W3CDTF">2023-02-24T08:54:00Z</dcterms:created>
  <dcterms:modified xsi:type="dcterms:W3CDTF">2023-02-24T08:54:00Z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