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7" w:type="dxa"/>
          <w:right w:w="227" w:type="dxa"/>
        </w:tblCellMar>
        <w:tblLook w:val="04A0" w:firstRow="1" w:lastRow="0" w:firstColumn="1" w:lastColumn="0" w:noHBand="0" w:noVBand="1"/>
      </w:tblPr>
      <w:tblGrid>
        <w:gridCol w:w="7796"/>
      </w:tblGrid>
      <w:tr w:rsidR="00E174FB" w:rsidRPr="002958F7" w14:paraId="4CE3B4CF" w14:textId="77777777" w:rsidTr="00400E24">
        <w:tc>
          <w:tcPr>
            <w:tcW w:w="7796" w:type="dxa"/>
            <w:shd w:val="clear" w:color="auto" w:fill="auto"/>
          </w:tcPr>
          <w:p w14:paraId="37D04B40" w14:textId="5507BF60" w:rsidR="00AD1657" w:rsidRPr="002F4384" w:rsidRDefault="00667651" w:rsidP="001D229D">
            <w:pPr>
              <w:spacing w:before="240" w:after="240"/>
              <w:ind w:left="29"/>
              <w:jc w:val="both"/>
              <w:rPr>
                <w:rFonts w:asciiTheme="minorBidi" w:hAnsiTheme="minorBidi" w:cstheme="minorBidi"/>
                <w:sz w:val="22"/>
                <w:szCs w:val="22"/>
                <w:lang w:val="es-ES_tradnl"/>
              </w:rPr>
            </w:pPr>
            <w:r w:rsidRPr="002F4384">
              <w:rPr>
                <w:rFonts w:asciiTheme="minorBidi" w:hAnsiTheme="minorBidi" w:cstheme="minorBidi"/>
                <w:sz w:val="22"/>
                <w:szCs w:val="22"/>
                <w:lang w:val="es-ES_tradnl"/>
              </w:rPr>
              <w:t xml:space="preserve">Este documento </w:t>
            </w:r>
            <w:r w:rsidR="00B072AE" w:rsidRPr="002F4384">
              <w:rPr>
                <w:rFonts w:asciiTheme="minorBidi" w:hAnsiTheme="minorBidi" w:cstheme="minorBidi"/>
                <w:sz w:val="22"/>
                <w:szCs w:val="22"/>
                <w:lang w:val="es-ES_tradnl"/>
              </w:rPr>
              <w:t xml:space="preserve">contiene el informe narrativo de los debates preparado por la Secretaría durante la reunión. Las decisiones y resoluciones que figuran en </w:t>
            </w:r>
            <w:r w:rsidR="000F4D8A" w:rsidRPr="002F4384">
              <w:rPr>
                <w:rFonts w:asciiTheme="minorBidi" w:hAnsiTheme="minorBidi" w:cstheme="minorBidi"/>
                <w:sz w:val="22"/>
                <w:szCs w:val="22"/>
                <w:lang w:val="es-ES_tradnl"/>
              </w:rPr>
              <w:t xml:space="preserve">él </w:t>
            </w:r>
            <w:r w:rsidR="00B072AE" w:rsidRPr="002F4384">
              <w:rPr>
                <w:rFonts w:asciiTheme="minorBidi" w:hAnsiTheme="minorBidi" w:cstheme="minorBidi"/>
                <w:sz w:val="22"/>
                <w:szCs w:val="22"/>
                <w:lang w:val="es-ES_tradnl"/>
              </w:rPr>
              <w:t>fueron adoptadas en sesión plenaria.</w:t>
            </w:r>
          </w:p>
        </w:tc>
      </w:tr>
    </w:tbl>
    <w:p w14:paraId="569C4BE1" w14:textId="77777777" w:rsidR="007D6DDD" w:rsidRPr="002F4384" w:rsidRDefault="007D6DDD">
      <w:pPr>
        <w:rPr>
          <w:rFonts w:asciiTheme="minorBidi" w:hAnsiTheme="minorBidi" w:cstheme="minorBidi"/>
          <w:sz w:val="22"/>
          <w:szCs w:val="22"/>
          <w:lang w:val="es-ES_tradnl"/>
        </w:rPr>
      </w:pPr>
    </w:p>
    <w:p w14:paraId="4517D90B" w14:textId="77777777" w:rsidR="007D6DDD" w:rsidRPr="002F4384" w:rsidRDefault="007D6DDD">
      <w:pPr>
        <w:rPr>
          <w:rFonts w:asciiTheme="minorBidi" w:hAnsiTheme="minorBidi" w:cstheme="minorBidi"/>
          <w:sz w:val="22"/>
          <w:szCs w:val="22"/>
          <w:lang w:val="es-ES_tradnl"/>
        </w:rPr>
      </w:pPr>
    </w:p>
    <w:p w14:paraId="3EEE60D3" w14:textId="77777777" w:rsidR="007D6DDD" w:rsidRPr="002F4384" w:rsidRDefault="007D6DDD">
      <w:pPr>
        <w:rPr>
          <w:rFonts w:asciiTheme="minorBidi" w:hAnsiTheme="minorBidi" w:cstheme="minorBidi"/>
          <w:sz w:val="22"/>
          <w:szCs w:val="22"/>
          <w:lang w:val="es-ES_tradnl"/>
        </w:rPr>
      </w:pPr>
    </w:p>
    <w:p w14:paraId="5A0552B8" w14:textId="77777777" w:rsidR="007D6DDD" w:rsidRPr="002F4384" w:rsidRDefault="007D6DDD">
      <w:pPr>
        <w:rPr>
          <w:rFonts w:asciiTheme="minorBidi" w:hAnsiTheme="minorBidi" w:cstheme="minorBidi"/>
          <w:sz w:val="22"/>
          <w:szCs w:val="22"/>
          <w:lang w:val="es-ES_tradnl"/>
        </w:rPr>
      </w:pPr>
    </w:p>
    <w:p w14:paraId="19435568" w14:textId="77777777" w:rsidR="00BB7937" w:rsidRPr="002F4384" w:rsidRDefault="00BB7937">
      <w:pPr>
        <w:jc w:val="center"/>
        <w:rPr>
          <w:rFonts w:asciiTheme="minorBidi" w:hAnsiTheme="minorBidi" w:cstheme="minorBidi"/>
          <w:b/>
          <w:kern w:val="28"/>
          <w:sz w:val="22"/>
          <w:szCs w:val="22"/>
          <w:lang w:val="es-ES_tradnl"/>
        </w:rPr>
        <w:sectPr w:rsidR="00BB7937" w:rsidRPr="002F4384" w:rsidSect="00400E24">
          <w:headerReference w:type="even" r:id="rId12"/>
          <w:headerReference w:type="default" r:id="rId13"/>
          <w:pgSz w:w="11907" w:h="16840" w:code="9"/>
          <w:pgMar w:top="1418" w:right="1134" w:bottom="1134" w:left="1134" w:header="680" w:footer="680" w:gutter="0"/>
          <w:pgNumType w:start="1"/>
          <w:cols w:space="708"/>
          <w:docGrid w:linePitch="360"/>
        </w:sectPr>
      </w:pPr>
    </w:p>
    <w:p w14:paraId="47303439" w14:textId="77777777" w:rsidR="00AE29AC" w:rsidRPr="002F4384" w:rsidRDefault="00667651">
      <w:pPr>
        <w:jc w:val="center"/>
        <w:rPr>
          <w:rFonts w:asciiTheme="minorBidi" w:hAnsiTheme="minorBidi" w:cstheme="minorBidi"/>
          <w:sz w:val="22"/>
          <w:szCs w:val="22"/>
          <w:lang w:val="es-ES_tradnl"/>
        </w:rPr>
      </w:pPr>
      <w:r w:rsidRPr="002F4384">
        <w:rPr>
          <w:rFonts w:asciiTheme="minorBidi" w:hAnsiTheme="minorBidi" w:cstheme="minorBidi"/>
          <w:b/>
          <w:bCs/>
          <w:sz w:val="22"/>
          <w:szCs w:val="22"/>
          <w:lang w:val="es-ES_tradnl"/>
        </w:rPr>
        <w:lastRenderedPageBreak/>
        <w:t>ÍNDICE</w:t>
      </w:r>
    </w:p>
    <w:p w14:paraId="1F504673" w14:textId="77777777" w:rsidR="00B52857" w:rsidRPr="002F4384" w:rsidRDefault="00B52857" w:rsidP="00AE29AC">
      <w:pPr>
        <w:pStyle w:val="Marge"/>
        <w:tabs>
          <w:tab w:val="right" w:pos="9000"/>
        </w:tabs>
        <w:spacing w:after="0"/>
        <w:jc w:val="right"/>
        <w:rPr>
          <w:rFonts w:asciiTheme="minorBidi" w:hAnsiTheme="minorBidi" w:cstheme="minorBidi"/>
          <w:sz w:val="22"/>
          <w:szCs w:val="22"/>
          <w:lang w:val="es-ES_tradnl"/>
        </w:rPr>
      </w:pPr>
    </w:p>
    <w:p w14:paraId="65AB7826" w14:textId="77777777" w:rsidR="00FF2DF7" w:rsidRPr="002F4384" w:rsidRDefault="0067560E" w:rsidP="00400E24">
      <w:pPr>
        <w:pStyle w:val="Marge"/>
        <w:spacing w:after="0"/>
        <w:jc w:val="right"/>
        <w:rPr>
          <w:rFonts w:asciiTheme="minorBidi" w:hAnsiTheme="minorBidi" w:cstheme="minorBidi"/>
          <w:sz w:val="22"/>
          <w:szCs w:val="22"/>
          <w:lang w:val="es-ES_tradnl"/>
        </w:rPr>
      </w:pPr>
      <w:r w:rsidRPr="002F4384">
        <w:rPr>
          <w:rFonts w:asciiTheme="minorBidi" w:hAnsiTheme="minorBidi" w:cstheme="minorBidi"/>
          <w:sz w:val="22"/>
          <w:szCs w:val="22"/>
          <w:lang w:val="es-ES_tradnl"/>
        </w:rPr>
        <w:t>pág.</w:t>
      </w:r>
      <w:bookmarkStart w:id="0" w:name="_Toc38080237"/>
      <w:bookmarkStart w:id="1" w:name="_Toc100506249"/>
      <w:bookmarkStart w:id="2" w:name="_Toc135143448"/>
      <w:bookmarkStart w:id="3" w:name="_Toc135143700"/>
      <w:bookmarkStart w:id="4" w:name="_Toc162671327"/>
      <w:bookmarkStart w:id="5" w:name="_Toc164651221"/>
    </w:p>
    <w:p w14:paraId="53BEF4E5" w14:textId="1980E217" w:rsidR="002F4384" w:rsidRPr="002F4384" w:rsidRDefault="0028091E">
      <w:pPr>
        <w:pStyle w:val="TOC1"/>
        <w:rPr>
          <w:rFonts w:asciiTheme="minorBidi" w:eastAsiaTheme="minorEastAsia" w:hAnsiTheme="minorBidi" w:cstheme="minorBidi"/>
          <w:b w:val="0"/>
          <w:lang w:val="es-ES_tradnl" w:eastAsia="zh-CN"/>
        </w:rPr>
      </w:pPr>
      <w:r w:rsidRPr="002F4384">
        <w:rPr>
          <w:rFonts w:asciiTheme="minorBidi" w:hAnsiTheme="minorBidi" w:cstheme="minorBidi"/>
          <w:b w:val="0"/>
          <w:lang w:val="es-ES_tradnl"/>
        </w:rPr>
        <w:fldChar w:fldCharType="begin"/>
      </w:r>
      <w:r w:rsidRPr="002F4384">
        <w:rPr>
          <w:rFonts w:asciiTheme="minorBidi" w:hAnsiTheme="minorBidi" w:cstheme="minorBidi"/>
          <w:b w:val="0"/>
          <w:lang w:val="es-ES_tradnl"/>
        </w:rPr>
        <w:instrText xml:space="preserve"> TOC \o "2-2" \h \z \t "Heading 1;1;Heading 3;3" </w:instrText>
      </w:r>
      <w:r w:rsidRPr="002F4384">
        <w:rPr>
          <w:rFonts w:asciiTheme="minorBidi" w:hAnsiTheme="minorBidi" w:cstheme="minorBidi"/>
          <w:b w:val="0"/>
          <w:lang w:val="es-ES_tradnl"/>
        </w:rPr>
        <w:fldChar w:fldCharType="separate"/>
      </w:r>
      <w:hyperlink w:anchor="_Toc115256307" w:history="1">
        <w:r w:rsidR="002F4384" w:rsidRPr="002F4384">
          <w:rPr>
            <w:rStyle w:val="Hyperlink"/>
            <w:rFonts w:asciiTheme="minorBidi" w:hAnsiTheme="minorBidi" w:cstheme="minorBidi"/>
            <w:color w:val="auto"/>
            <w:lang w:val="es-ES_tradnl"/>
          </w:rPr>
          <w:t>1.</w:t>
        </w:r>
        <w:r w:rsidR="002F4384" w:rsidRPr="002F4384">
          <w:rPr>
            <w:rFonts w:asciiTheme="minorBidi" w:eastAsiaTheme="minorEastAsia" w:hAnsiTheme="minorBidi" w:cstheme="minorBidi"/>
            <w:b w:val="0"/>
            <w:lang w:val="es-ES_tradnl" w:eastAsia="zh-CN"/>
          </w:rPr>
          <w:tab/>
        </w:r>
        <w:r w:rsidR="002F4384" w:rsidRPr="002F4384">
          <w:rPr>
            <w:rStyle w:val="Hyperlink"/>
            <w:rFonts w:asciiTheme="minorBidi" w:hAnsiTheme="minorBidi" w:cstheme="minorBidi"/>
            <w:color w:val="auto"/>
            <w:lang w:val="es-ES_tradnl"/>
          </w:rPr>
          <w:t>APERTURA DE LA REUNIÓN</w:t>
        </w:r>
        <w:r w:rsidR="002F4384" w:rsidRPr="002F4384">
          <w:rPr>
            <w:rFonts w:asciiTheme="minorBidi" w:hAnsiTheme="minorBidi" w:cstheme="minorBidi"/>
            <w:webHidden/>
            <w:lang w:val="es-ES_tradnl"/>
          </w:rPr>
          <w:tab/>
        </w:r>
        <w:r w:rsidR="002F4384" w:rsidRPr="002F4384">
          <w:rPr>
            <w:rFonts w:asciiTheme="minorBidi" w:hAnsiTheme="minorBidi" w:cstheme="minorBidi"/>
            <w:webHidden/>
            <w:lang w:val="es-ES_tradnl"/>
          </w:rPr>
          <w:fldChar w:fldCharType="begin"/>
        </w:r>
        <w:r w:rsidR="002F4384" w:rsidRPr="002F4384">
          <w:rPr>
            <w:rFonts w:asciiTheme="minorBidi" w:hAnsiTheme="minorBidi" w:cstheme="minorBidi"/>
            <w:webHidden/>
            <w:lang w:val="es-ES_tradnl"/>
          </w:rPr>
          <w:instrText xml:space="preserve"> PAGEREF _Toc115256307 \h </w:instrText>
        </w:r>
        <w:r w:rsidR="002F4384" w:rsidRPr="002F4384">
          <w:rPr>
            <w:rFonts w:asciiTheme="minorBidi" w:hAnsiTheme="minorBidi" w:cstheme="minorBidi"/>
            <w:webHidden/>
            <w:lang w:val="es-ES_tradnl"/>
          </w:rPr>
        </w:r>
        <w:r w:rsidR="002F4384" w:rsidRPr="002F4384">
          <w:rPr>
            <w:rFonts w:asciiTheme="minorBidi" w:hAnsiTheme="minorBidi" w:cstheme="minorBidi"/>
            <w:webHidden/>
            <w:lang w:val="es-ES_tradnl"/>
          </w:rPr>
          <w:fldChar w:fldCharType="separate"/>
        </w:r>
        <w:r w:rsidR="00F90C4C">
          <w:rPr>
            <w:rFonts w:asciiTheme="minorBidi" w:hAnsiTheme="minorBidi" w:cstheme="minorBidi"/>
            <w:webHidden/>
            <w:lang w:val="es-ES_tradnl"/>
          </w:rPr>
          <w:t>1</w:t>
        </w:r>
        <w:r w:rsidR="002F4384" w:rsidRPr="002F4384">
          <w:rPr>
            <w:rFonts w:asciiTheme="minorBidi" w:hAnsiTheme="minorBidi" w:cstheme="minorBidi"/>
            <w:webHidden/>
            <w:lang w:val="es-ES_tradnl"/>
          </w:rPr>
          <w:fldChar w:fldCharType="end"/>
        </w:r>
      </w:hyperlink>
    </w:p>
    <w:p w14:paraId="5FC5DA6B" w14:textId="36DDA2CA" w:rsidR="002F4384" w:rsidRPr="002F4384" w:rsidRDefault="002958F7">
      <w:pPr>
        <w:pStyle w:val="TOC1"/>
        <w:rPr>
          <w:rFonts w:asciiTheme="minorBidi" w:eastAsiaTheme="minorEastAsia" w:hAnsiTheme="minorBidi" w:cstheme="minorBidi"/>
          <w:b w:val="0"/>
          <w:lang w:val="es-ES_tradnl" w:eastAsia="zh-CN"/>
        </w:rPr>
      </w:pPr>
      <w:hyperlink w:anchor="_Toc115256308" w:history="1">
        <w:r w:rsidR="002F4384" w:rsidRPr="002F4384">
          <w:rPr>
            <w:rStyle w:val="Hyperlink"/>
            <w:rFonts w:asciiTheme="minorBidi" w:hAnsiTheme="minorBidi" w:cstheme="minorBidi"/>
            <w:color w:val="auto"/>
            <w:lang w:val="es-ES_tradnl"/>
          </w:rPr>
          <w:t>2.</w:t>
        </w:r>
        <w:r w:rsidR="002F4384" w:rsidRPr="002F4384">
          <w:rPr>
            <w:rFonts w:asciiTheme="minorBidi" w:eastAsiaTheme="minorEastAsia" w:hAnsiTheme="minorBidi" w:cstheme="minorBidi"/>
            <w:b w:val="0"/>
            <w:lang w:val="es-ES_tradnl" w:eastAsia="zh-CN"/>
          </w:rPr>
          <w:tab/>
        </w:r>
        <w:r w:rsidR="002F4384" w:rsidRPr="002F4384">
          <w:rPr>
            <w:rStyle w:val="Hyperlink"/>
            <w:rFonts w:asciiTheme="minorBidi" w:hAnsiTheme="minorBidi" w:cstheme="minorBidi"/>
            <w:color w:val="auto"/>
            <w:lang w:val="es-ES_tradnl"/>
          </w:rPr>
          <w:t>ORGANIZACIÓN DE LA REUNIÓN</w:t>
        </w:r>
        <w:r w:rsidR="002F4384" w:rsidRPr="002F4384">
          <w:rPr>
            <w:rFonts w:asciiTheme="minorBidi" w:hAnsiTheme="minorBidi" w:cstheme="minorBidi"/>
            <w:webHidden/>
            <w:lang w:val="es-ES_tradnl"/>
          </w:rPr>
          <w:tab/>
        </w:r>
        <w:r w:rsidR="002F4384" w:rsidRPr="002F4384">
          <w:rPr>
            <w:rFonts w:asciiTheme="minorBidi" w:hAnsiTheme="minorBidi" w:cstheme="minorBidi"/>
            <w:webHidden/>
            <w:lang w:val="es-ES_tradnl"/>
          </w:rPr>
          <w:fldChar w:fldCharType="begin"/>
        </w:r>
        <w:r w:rsidR="002F4384" w:rsidRPr="002F4384">
          <w:rPr>
            <w:rFonts w:asciiTheme="minorBidi" w:hAnsiTheme="minorBidi" w:cstheme="minorBidi"/>
            <w:webHidden/>
            <w:lang w:val="es-ES_tradnl"/>
          </w:rPr>
          <w:instrText xml:space="preserve"> PAGEREF _Toc115256308 \h </w:instrText>
        </w:r>
        <w:r w:rsidR="002F4384" w:rsidRPr="002F4384">
          <w:rPr>
            <w:rFonts w:asciiTheme="minorBidi" w:hAnsiTheme="minorBidi" w:cstheme="minorBidi"/>
            <w:webHidden/>
            <w:lang w:val="es-ES_tradnl"/>
          </w:rPr>
        </w:r>
        <w:r w:rsidR="002F4384" w:rsidRPr="002F4384">
          <w:rPr>
            <w:rFonts w:asciiTheme="minorBidi" w:hAnsiTheme="minorBidi" w:cstheme="minorBidi"/>
            <w:webHidden/>
            <w:lang w:val="es-ES_tradnl"/>
          </w:rPr>
          <w:fldChar w:fldCharType="separate"/>
        </w:r>
        <w:r w:rsidR="00F90C4C">
          <w:rPr>
            <w:rFonts w:asciiTheme="minorBidi" w:hAnsiTheme="minorBidi" w:cstheme="minorBidi"/>
            <w:webHidden/>
            <w:lang w:val="es-ES_tradnl"/>
          </w:rPr>
          <w:t>2</w:t>
        </w:r>
        <w:r w:rsidR="002F4384" w:rsidRPr="002F4384">
          <w:rPr>
            <w:rFonts w:asciiTheme="minorBidi" w:hAnsiTheme="minorBidi" w:cstheme="minorBidi"/>
            <w:webHidden/>
            <w:lang w:val="es-ES_tradnl"/>
          </w:rPr>
          <w:fldChar w:fldCharType="end"/>
        </w:r>
      </w:hyperlink>
    </w:p>
    <w:p w14:paraId="445923EC" w14:textId="4410EA3B" w:rsidR="002F4384" w:rsidRPr="002F4384" w:rsidRDefault="002958F7">
      <w:pPr>
        <w:pStyle w:val="TOC2"/>
        <w:tabs>
          <w:tab w:val="left" w:pos="1134"/>
        </w:tabs>
        <w:rPr>
          <w:rFonts w:asciiTheme="minorBidi" w:eastAsiaTheme="minorEastAsia" w:hAnsiTheme="minorBidi" w:cstheme="minorBidi"/>
          <w:bCs w:val="0"/>
          <w:iCs w:val="0"/>
          <w:lang w:val="es-ES_tradnl" w:eastAsia="zh-CN"/>
        </w:rPr>
      </w:pPr>
      <w:hyperlink w:anchor="_Toc115256309" w:history="1">
        <w:r w:rsidR="002F4384" w:rsidRPr="002F4384">
          <w:rPr>
            <w:rStyle w:val="Hyperlink"/>
            <w:rFonts w:asciiTheme="minorBidi" w:hAnsiTheme="minorBidi" w:cstheme="minorBidi"/>
            <w:color w:val="auto"/>
            <w:lang w:val="es-ES_tradnl"/>
          </w:rPr>
          <w:t>2.1</w:t>
        </w:r>
        <w:r w:rsidR="002F4384" w:rsidRPr="002F4384">
          <w:rPr>
            <w:rFonts w:asciiTheme="minorBidi" w:eastAsiaTheme="minorEastAsia" w:hAnsiTheme="minorBidi" w:cstheme="minorBidi"/>
            <w:bCs w:val="0"/>
            <w:iCs w:val="0"/>
            <w:lang w:val="es-ES_tradnl" w:eastAsia="zh-CN"/>
          </w:rPr>
          <w:tab/>
        </w:r>
        <w:r w:rsidR="002F4384" w:rsidRPr="002F4384">
          <w:rPr>
            <w:rStyle w:val="Hyperlink"/>
            <w:rFonts w:asciiTheme="minorBidi" w:hAnsiTheme="minorBidi" w:cstheme="minorBidi"/>
            <w:color w:val="auto"/>
            <w:lang w:val="es-ES_tradnl"/>
          </w:rPr>
          <w:t>APROBACIÓN DEL ORDEN DEL DÍA</w:t>
        </w:r>
        <w:r w:rsidR="002F4384" w:rsidRPr="002F4384">
          <w:rPr>
            <w:rFonts w:asciiTheme="minorBidi" w:hAnsiTheme="minorBidi" w:cstheme="minorBidi"/>
            <w:webHidden/>
            <w:lang w:val="es-ES_tradnl"/>
          </w:rPr>
          <w:tab/>
        </w:r>
        <w:r w:rsidR="002F4384" w:rsidRPr="002F4384">
          <w:rPr>
            <w:rFonts w:asciiTheme="minorBidi" w:hAnsiTheme="minorBidi" w:cstheme="minorBidi"/>
            <w:webHidden/>
            <w:lang w:val="es-ES_tradnl"/>
          </w:rPr>
          <w:fldChar w:fldCharType="begin"/>
        </w:r>
        <w:r w:rsidR="002F4384" w:rsidRPr="002F4384">
          <w:rPr>
            <w:rFonts w:asciiTheme="minorBidi" w:hAnsiTheme="minorBidi" w:cstheme="minorBidi"/>
            <w:webHidden/>
            <w:lang w:val="es-ES_tradnl"/>
          </w:rPr>
          <w:instrText xml:space="preserve"> PAGEREF _Toc115256309 \h </w:instrText>
        </w:r>
        <w:r w:rsidR="002F4384" w:rsidRPr="002F4384">
          <w:rPr>
            <w:rFonts w:asciiTheme="minorBidi" w:hAnsiTheme="minorBidi" w:cstheme="minorBidi"/>
            <w:webHidden/>
            <w:lang w:val="es-ES_tradnl"/>
          </w:rPr>
        </w:r>
        <w:r w:rsidR="002F4384" w:rsidRPr="002F4384">
          <w:rPr>
            <w:rFonts w:asciiTheme="minorBidi" w:hAnsiTheme="minorBidi" w:cstheme="minorBidi"/>
            <w:webHidden/>
            <w:lang w:val="es-ES_tradnl"/>
          </w:rPr>
          <w:fldChar w:fldCharType="separate"/>
        </w:r>
        <w:r w:rsidR="00F90C4C">
          <w:rPr>
            <w:rFonts w:asciiTheme="minorBidi" w:hAnsiTheme="minorBidi" w:cstheme="minorBidi"/>
            <w:webHidden/>
            <w:lang w:val="es-ES_tradnl"/>
          </w:rPr>
          <w:t>2</w:t>
        </w:r>
        <w:r w:rsidR="002F4384" w:rsidRPr="002F4384">
          <w:rPr>
            <w:rFonts w:asciiTheme="minorBidi" w:hAnsiTheme="minorBidi" w:cstheme="minorBidi"/>
            <w:webHidden/>
            <w:lang w:val="es-ES_tradnl"/>
          </w:rPr>
          <w:fldChar w:fldCharType="end"/>
        </w:r>
      </w:hyperlink>
    </w:p>
    <w:p w14:paraId="2AC3E18A" w14:textId="771A59F4" w:rsidR="002F4384" w:rsidRPr="002F4384" w:rsidRDefault="002958F7">
      <w:pPr>
        <w:pStyle w:val="TOC2"/>
        <w:tabs>
          <w:tab w:val="left" w:pos="1134"/>
        </w:tabs>
        <w:rPr>
          <w:rFonts w:asciiTheme="minorBidi" w:eastAsiaTheme="minorEastAsia" w:hAnsiTheme="minorBidi" w:cstheme="minorBidi"/>
          <w:bCs w:val="0"/>
          <w:iCs w:val="0"/>
          <w:lang w:val="es-ES_tradnl" w:eastAsia="zh-CN"/>
        </w:rPr>
      </w:pPr>
      <w:hyperlink w:anchor="_Toc115256310" w:history="1">
        <w:r w:rsidR="002F4384" w:rsidRPr="002F4384">
          <w:rPr>
            <w:rStyle w:val="Hyperlink"/>
            <w:rFonts w:asciiTheme="minorBidi" w:hAnsiTheme="minorBidi" w:cstheme="minorBidi"/>
            <w:color w:val="auto"/>
            <w:lang w:val="es-ES_tradnl"/>
          </w:rPr>
          <w:t>2.2</w:t>
        </w:r>
        <w:r w:rsidR="002F4384" w:rsidRPr="002F4384">
          <w:rPr>
            <w:rFonts w:asciiTheme="minorBidi" w:eastAsiaTheme="minorEastAsia" w:hAnsiTheme="minorBidi" w:cstheme="minorBidi"/>
            <w:bCs w:val="0"/>
            <w:iCs w:val="0"/>
            <w:lang w:val="es-ES_tradnl" w:eastAsia="zh-CN"/>
          </w:rPr>
          <w:tab/>
        </w:r>
        <w:r w:rsidR="002F4384" w:rsidRPr="002F4384">
          <w:rPr>
            <w:rStyle w:val="Hyperlink"/>
            <w:rFonts w:asciiTheme="minorBidi" w:hAnsiTheme="minorBidi" w:cstheme="minorBidi"/>
            <w:color w:val="auto"/>
            <w:lang w:val="es-ES_tradnl"/>
          </w:rPr>
          <w:t>DESIGNACIÓN DEL RELATOR</w:t>
        </w:r>
        <w:r w:rsidR="002F4384" w:rsidRPr="002F4384">
          <w:rPr>
            <w:rFonts w:asciiTheme="minorBidi" w:hAnsiTheme="minorBidi" w:cstheme="minorBidi"/>
            <w:webHidden/>
            <w:lang w:val="es-ES_tradnl"/>
          </w:rPr>
          <w:tab/>
        </w:r>
        <w:r w:rsidR="002F4384" w:rsidRPr="002F4384">
          <w:rPr>
            <w:rFonts w:asciiTheme="minorBidi" w:hAnsiTheme="minorBidi" w:cstheme="minorBidi"/>
            <w:webHidden/>
            <w:lang w:val="es-ES_tradnl"/>
          </w:rPr>
          <w:fldChar w:fldCharType="begin"/>
        </w:r>
        <w:r w:rsidR="002F4384" w:rsidRPr="002F4384">
          <w:rPr>
            <w:rFonts w:asciiTheme="minorBidi" w:hAnsiTheme="minorBidi" w:cstheme="minorBidi"/>
            <w:webHidden/>
            <w:lang w:val="es-ES_tradnl"/>
          </w:rPr>
          <w:instrText xml:space="preserve"> PAGEREF _Toc115256310 \h </w:instrText>
        </w:r>
        <w:r w:rsidR="002F4384" w:rsidRPr="002F4384">
          <w:rPr>
            <w:rFonts w:asciiTheme="minorBidi" w:hAnsiTheme="minorBidi" w:cstheme="minorBidi"/>
            <w:webHidden/>
            <w:lang w:val="es-ES_tradnl"/>
          </w:rPr>
        </w:r>
        <w:r w:rsidR="002F4384" w:rsidRPr="002F4384">
          <w:rPr>
            <w:rFonts w:asciiTheme="minorBidi" w:hAnsiTheme="minorBidi" w:cstheme="minorBidi"/>
            <w:webHidden/>
            <w:lang w:val="es-ES_tradnl"/>
          </w:rPr>
          <w:fldChar w:fldCharType="separate"/>
        </w:r>
        <w:r w:rsidR="00F90C4C">
          <w:rPr>
            <w:rFonts w:asciiTheme="minorBidi" w:hAnsiTheme="minorBidi" w:cstheme="minorBidi"/>
            <w:webHidden/>
            <w:lang w:val="es-ES_tradnl"/>
          </w:rPr>
          <w:t>2</w:t>
        </w:r>
        <w:r w:rsidR="002F4384" w:rsidRPr="002F4384">
          <w:rPr>
            <w:rFonts w:asciiTheme="minorBidi" w:hAnsiTheme="minorBidi" w:cstheme="minorBidi"/>
            <w:webHidden/>
            <w:lang w:val="es-ES_tradnl"/>
          </w:rPr>
          <w:fldChar w:fldCharType="end"/>
        </w:r>
      </w:hyperlink>
    </w:p>
    <w:p w14:paraId="37B02594" w14:textId="280BF80A" w:rsidR="002F4384" w:rsidRPr="002F4384" w:rsidRDefault="002958F7">
      <w:pPr>
        <w:pStyle w:val="TOC2"/>
        <w:tabs>
          <w:tab w:val="left" w:pos="1134"/>
        </w:tabs>
        <w:rPr>
          <w:rFonts w:asciiTheme="minorBidi" w:eastAsiaTheme="minorEastAsia" w:hAnsiTheme="minorBidi" w:cstheme="minorBidi"/>
          <w:bCs w:val="0"/>
          <w:iCs w:val="0"/>
          <w:lang w:val="es-ES_tradnl" w:eastAsia="zh-CN"/>
        </w:rPr>
      </w:pPr>
      <w:hyperlink w:anchor="_Toc115256311" w:history="1">
        <w:r w:rsidR="002F4384" w:rsidRPr="002F4384">
          <w:rPr>
            <w:rStyle w:val="Hyperlink"/>
            <w:rFonts w:asciiTheme="minorBidi" w:hAnsiTheme="minorBidi" w:cstheme="minorBidi"/>
            <w:color w:val="auto"/>
            <w:lang w:val="es-ES_tradnl"/>
          </w:rPr>
          <w:t>2.3</w:t>
        </w:r>
        <w:r w:rsidR="002F4384" w:rsidRPr="002F4384">
          <w:rPr>
            <w:rFonts w:asciiTheme="minorBidi" w:eastAsiaTheme="minorEastAsia" w:hAnsiTheme="minorBidi" w:cstheme="minorBidi"/>
            <w:bCs w:val="0"/>
            <w:iCs w:val="0"/>
            <w:lang w:val="es-ES_tradnl" w:eastAsia="zh-CN"/>
          </w:rPr>
          <w:tab/>
        </w:r>
        <w:r w:rsidR="002F4384" w:rsidRPr="002F4384">
          <w:rPr>
            <w:rStyle w:val="Hyperlink"/>
            <w:rFonts w:asciiTheme="minorBidi" w:hAnsiTheme="minorBidi" w:cstheme="minorBidi"/>
            <w:color w:val="auto"/>
            <w:lang w:val="es-ES_tradnl"/>
          </w:rPr>
          <w:t xml:space="preserve">ESTABLECIMIENTO DE LOS COMITÉS Y GRUPOS DE TRABAJO DE </w:t>
        </w:r>
        <w:r w:rsidR="002F4384" w:rsidRPr="002F4384">
          <w:rPr>
            <w:rStyle w:val="Hyperlink"/>
            <w:rFonts w:asciiTheme="minorBidi" w:hAnsiTheme="minorBidi" w:cstheme="minorBidi"/>
            <w:color w:val="auto"/>
            <w:lang w:val="es-ES_tradnl"/>
          </w:rPr>
          <w:br/>
          <w:t>LA REUNIÓN</w:t>
        </w:r>
        <w:r w:rsidR="002F4384" w:rsidRPr="002F4384">
          <w:rPr>
            <w:rFonts w:asciiTheme="minorBidi" w:hAnsiTheme="minorBidi" w:cstheme="minorBidi"/>
            <w:webHidden/>
            <w:lang w:val="es-ES_tradnl"/>
          </w:rPr>
          <w:tab/>
        </w:r>
        <w:r w:rsidR="002F4384" w:rsidRPr="002F4384">
          <w:rPr>
            <w:rFonts w:asciiTheme="minorBidi" w:hAnsiTheme="minorBidi" w:cstheme="minorBidi"/>
            <w:webHidden/>
            <w:lang w:val="es-ES_tradnl"/>
          </w:rPr>
          <w:fldChar w:fldCharType="begin"/>
        </w:r>
        <w:r w:rsidR="002F4384" w:rsidRPr="002F4384">
          <w:rPr>
            <w:rFonts w:asciiTheme="minorBidi" w:hAnsiTheme="minorBidi" w:cstheme="minorBidi"/>
            <w:webHidden/>
            <w:lang w:val="es-ES_tradnl"/>
          </w:rPr>
          <w:instrText xml:space="preserve"> PAGEREF _Toc115256311 \h </w:instrText>
        </w:r>
        <w:r w:rsidR="002F4384" w:rsidRPr="002F4384">
          <w:rPr>
            <w:rFonts w:asciiTheme="minorBidi" w:hAnsiTheme="minorBidi" w:cstheme="minorBidi"/>
            <w:webHidden/>
            <w:lang w:val="es-ES_tradnl"/>
          </w:rPr>
        </w:r>
        <w:r w:rsidR="002F4384" w:rsidRPr="002F4384">
          <w:rPr>
            <w:rFonts w:asciiTheme="minorBidi" w:hAnsiTheme="minorBidi" w:cstheme="minorBidi"/>
            <w:webHidden/>
            <w:lang w:val="es-ES_tradnl"/>
          </w:rPr>
          <w:fldChar w:fldCharType="separate"/>
        </w:r>
        <w:r w:rsidR="00F90C4C">
          <w:rPr>
            <w:rFonts w:asciiTheme="minorBidi" w:hAnsiTheme="minorBidi" w:cstheme="minorBidi"/>
            <w:webHidden/>
            <w:lang w:val="es-ES_tradnl"/>
          </w:rPr>
          <w:t>2</w:t>
        </w:r>
        <w:r w:rsidR="002F4384" w:rsidRPr="002F4384">
          <w:rPr>
            <w:rFonts w:asciiTheme="minorBidi" w:hAnsiTheme="minorBidi" w:cstheme="minorBidi"/>
            <w:webHidden/>
            <w:lang w:val="es-ES_tradnl"/>
          </w:rPr>
          <w:fldChar w:fldCharType="end"/>
        </w:r>
      </w:hyperlink>
    </w:p>
    <w:p w14:paraId="7B9E6C50" w14:textId="493EDBB5" w:rsidR="002F4384" w:rsidRPr="002F4384" w:rsidRDefault="002958F7">
      <w:pPr>
        <w:pStyle w:val="TOC2"/>
        <w:tabs>
          <w:tab w:val="left" w:pos="1134"/>
        </w:tabs>
        <w:rPr>
          <w:rFonts w:asciiTheme="minorBidi" w:eastAsiaTheme="minorEastAsia" w:hAnsiTheme="minorBidi" w:cstheme="minorBidi"/>
          <w:bCs w:val="0"/>
          <w:iCs w:val="0"/>
          <w:lang w:val="es-ES_tradnl" w:eastAsia="zh-CN"/>
        </w:rPr>
      </w:pPr>
      <w:hyperlink w:anchor="_Toc115256312" w:history="1">
        <w:r w:rsidR="002F4384" w:rsidRPr="002F4384">
          <w:rPr>
            <w:rStyle w:val="Hyperlink"/>
            <w:rFonts w:asciiTheme="minorBidi" w:hAnsiTheme="minorBidi" w:cstheme="minorBidi"/>
            <w:color w:val="auto"/>
            <w:lang w:val="es-ES_tradnl"/>
          </w:rPr>
          <w:t>2.4</w:t>
        </w:r>
        <w:r w:rsidR="002F4384" w:rsidRPr="002F4384">
          <w:rPr>
            <w:rFonts w:asciiTheme="minorBidi" w:eastAsiaTheme="minorEastAsia" w:hAnsiTheme="minorBidi" w:cstheme="minorBidi"/>
            <w:bCs w:val="0"/>
            <w:iCs w:val="0"/>
            <w:lang w:val="es-ES_tradnl" w:eastAsia="zh-CN"/>
          </w:rPr>
          <w:tab/>
        </w:r>
        <w:r w:rsidR="002F4384" w:rsidRPr="002F4384">
          <w:rPr>
            <w:rStyle w:val="Hyperlink"/>
            <w:rFonts w:asciiTheme="minorBidi" w:hAnsiTheme="minorBidi" w:cstheme="minorBidi"/>
            <w:color w:val="auto"/>
            <w:lang w:val="es-ES_tradnl"/>
          </w:rPr>
          <w:t>PRESENTACIÓN DEL CALENDARIO Y LA DOCUMENTACIÓN</w:t>
        </w:r>
        <w:r w:rsidR="002F4384" w:rsidRPr="002F4384">
          <w:rPr>
            <w:rFonts w:asciiTheme="minorBidi" w:hAnsiTheme="minorBidi" w:cstheme="minorBidi"/>
            <w:webHidden/>
            <w:lang w:val="es-ES_tradnl"/>
          </w:rPr>
          <w:tab/>
        </w:r>
        <w:r w:rsidR="002F4384" w:rsidRPr="002F4384">
          <w:rPr>
            <w:rFonts w:asciiTheme="minorBidi" w:hAnsiTheme="minorBidi" w:cstheme="minorBidi"/>
            <w:webHidden/>
            <w:lang w:val="es-ES_tradnl"/>
          </w:rPr>
          <w:fldChar w:fldCharType="begin"/>
        </w:r>
        <w:r w:rsidR="002F4384" w:rsidRPr="002F4384">
          <w:rPr>
            <w:rFonts w:asciiTheme="minorBidi" w:hAnsiTheme="minorBidi" w:cstheme="minorBidi"/>
            <w:webHidden/>
            <w:lang w:val="es-ES_tradnl"/>
          </w:rPr>
          <w:instrText xml:space="preserve"> PAGEREF _Toc115256312 \h </w:instrText>
        </w:r>
        <w:r w:rsidR="002F4384" w:rsidRPr="002F4384">
          <w:rPr>
            <w:rFonts w:asciiTheme="minorBidi" w:hAnsiTheme="minorBidi" w:cstheme="minorBidi"/>
            <w:webHidden/>
            <w:lang w:val="es-ES_tradnl"/>
          </w:rPr>
        </w:r>
        <w:r w:rsidR="002F4384" w:rsidRPr="002F4384">
          <w:rPr>
            <w:rFonts w:asciiTheme="minorBidi" w:hAnsiTheme="minorBidi" w:cstheme="minorBidi"/>
            <w:webHidden/>
            <w:lang w:val="es-ES_tradnl"/>
          </w:rPr>
          <w:fldChar w:fldCharType="separate"/>
        </w:r>
        <w:r w:rsidR="00F90C4C">
          <w:rPr>
            <w:rFonts w:asciiTheme="minorBidi" w:hAnsiTheme="minorBidi" w:cstheme="minorBidi"/>
            <w:webHidden/>
            <w:lang w:val="es-ES_tradnl"/>
          </w:rPr>
          <w:t>2</w:t>
        </w:r>
        <w:r w:rsidR="002F4384" w:rsidRPr="002F4384">
          <w:rPr>
            <w:rFonts w:asciiTheme="minorBidi" w:hAnsiTheme="minorBidi" w:cstheme="minorBidi"/>
            <w:webHidden/>
            <w:lang w:val="es-ES_tradnl"/>
          </w:rPr>
          <w:fldChar w:fldCharType="end"/>
        </w:r>
      </w:hyperlink>
    </w:p>
    <w:p w14:paraId="07AE3932" w14:textId="1D0C7066" w:rsidR="002F4384" w:rsidRPr="002F4384" w:rsidRDefault="002958F7">
      <w:pPr>
        <w:pStyle w:val="TOC2"/>
        <w:tabs>
          <w:tab w:val="left" w:pos="1134"/>
        </w:tabs>
        <w:rPr>
          <w:rFonts w:asciiTheme="minorBidi" w:eastAsiaTheme="minorEastAsia" w:hAnsiTheme="minorBidi" w:cstheme="minorBidi"/>
          <w:bCs w:val="0"/>
          <w:iCs w:val="0"/>
          <w:lang w:val="es-ES_tradnl" w:eastAsia="zh-CN"/>
        </w:rPr>
      </w:pPr>
      <w:hyperlink w:anchor="_Toc115256313" w:history="1">
        <w:r w:rsidR="002F4384" w:rsidRPr="002F4384">
          <w:rPr>
            <w:rStyle w:val="Hyperlink"/>
            <w:rFonts w:asciiTheme="minorBidi" w:hAnsiTheme="minorBidi" w:cstheme="minorBidi"/>
            <w:color w:val="auto"/>
            <w:lang w:val="es-ES_tradnl"/>
          </w:rPr>
          <w:t>2.5</w:t>
        </w:r>
        <w:r w:rsidR="002F4384" w:rsidRPr="002F4384">
          <w:rPr>
            <w:rFonts w:asciiTheme="minorBidi" w:eastAsiaTheme="minorEastAsia" w:hAnsiTheme="minorBidi" w:cstheme="minorBidi"/>
            <w:bCs w:val="0"/>
            <w:iCs w:val="0"/>
            <w:lang w:val="es-ES_tradnl" w:eastAsia="zh-CN"/>
          </w:rPr>
          <w:tab/>
        </w:r>
        <w:r w:rsidR="002F4384" w:rsidRPr="002F4384">
          <w:rPr>
            <w:rStyle w:val="Hyperlink"/>
            <w:rFonts w:asciiTheme="minorBidi" w:hAnsiTheme="minorBidi" w:cstheme="minorBidi"/>
            <w:color w:val="auto"/>
            <w:lang w:val="es-ES_tradnl"/>
          </w:rPr>
          <w:t>CONFERENCIA CONMEMORATIVA DE ROGER REVELLE</w:t>
        </w:r>
        <w:r w:rsidR="002F4384" w:rsidRPr="002F4384">
          <w:rPr>
            <w:rFonts w:asciiTheme="minorBidi" w:hAnsiTheme="minorBidi" w:cstheme="minorBidi"/>
            <w:webHidden/>
            <w:lang w:val="es-ES_tradnl"/>
          </w:rPr>
          <w:tab/>
        </w:r>
        <w:r w:rsidR="002F4384" w:rsidRPr="002F4384">
          <w:rPr>
            <w:rFonts w:asciiTheme="minorBidi" w:hAnsiTheme="minorBidi" w:cstheme="minorBidi"/>
            <w:webHidden/>
            <w:lang w:val="es-ES_tradnl"/>
          </w:rPr>
          <w:fldChar w:fldCharType="begin"/>
        </w:r>
        <w:r w:rsidR="002F4384" w:rsidRPr="002F4384">
          <w:rPr>
            <w:rFonts w:asciiTheme="minorBidi" w:hAnsiTheme="minorBidi" w:cstheme="minorBidi"/>
            <w:webHidden/>
            <w:lang w:val="es-ES_tradnl"/>
          </w:rPr>
          <w:instrText xml:space="preserve"> PAGEREF _Toc115256313 \h </w:instrText>
        </w:r>
        <w:r w:rsidR="002F4384" w:rsidRPr="002F4384">
          <w:rPr>
            <w:rFonts w:asciiTheme="minorBidi" w:hAnsiTheme="minorBidi" w:cstheme="minorBidi"/>
            <w:webHidden/>
            <w:lang w:val="es-ES_tradnl"/>
          </w:rPr>
        </w:r>
        <w:r w:rsidR="002F4384" w:rsidRPr="002F4384">
          <w:rPr>
            <w:rFonts w:asciiTheme="minorBidi" w:hAnsiTheme="minorBidi" w:cstheme="minorBidi"/>
            <w:webHidden/>
            <w:lang w:val="es-ES_tradnl"/>
          </w:rPr>
          <w:fldChar w:fldCharType="separate"/>
        </w:r>
        <w:r w:rsidR="00F90C4C">
          <w:rPr>
            <w:rFonts w:asciiTheme="minorBidi" w:hAnsiTheme="minorBidi" w:cstheme="minorBidi"/>
            <w:webHidden/>
            <w:lang w:val="es-ES_tradnl"/>
          </w:rPr>
          <w:t>3</w:t>
        </w:r>
        <w:r w:rsidR="002F4384" w:rsidRPr="002F4384">
          <w:rPr>
            <w:rFonts w:asciiTheme="minorBidi" w:hAnsiTheme="minorBidi" w:cstheme="minorBidi"/>
            <w:webHidden/>
            <w:lang w:val="es-ES_tradnl"/>
          </w:rPr>
          <w:fldChar w:fldCharType="end"/>
        </w:r>
      </w:hyperlink>
    </w:p>
    <w:p w14:paraId="41D4D7A8" w14:textId="3329A37A" w:rsidR="002F4384" w:rsidRPr="002F4384" w:rsidRDefault="002958F7">
      <w:pPr>
        <w:pStyle w:val="TOC1"/>
        <w:rPr>
          <w:rFonts w:asciiTheme="minorBidi" w:eastAsiaTheme="minorEastAsia" w:hAnsiTheme="minorBidi" w:cstheme="minorBidi"/>
          <w:b w:val="0"/>
          <w:lang w:val="es-ES_tradnl" w:eastAsia="zh-CN"/>
        </w:rPr>
      </w:pPr>
      <w:hyperlink w:anchor="_Toc115256314" w:history="1">
        <w:r w:rsidR="002F4384" w:rsidRPr="002F4384">
          <w:rPr>
            <w:rStyle w:val="Hyperlink"/>
            <w:rFonts w:asciiTheme="minorBidi" w:hAnsiTheme="minorBidi" w:cstheme="minorBidi"/>
            <w:color w:val="auto"/>
            <w:lang w:val="es-ES_tradnl"/>
          </w:rPr>
          <w:t>3.</w:t>
        </w:r>
        <w:r w:rsidR="002F4384" w:rsidRPr="002F4384">
          <w:rPr>
            <w:rFonts w:asciiTheme="minorBidi" w:eastAsiaTheme="minorEastAsia" w:hAnsiTheme="minorBidi" w:cstheme="minorBidi"/>
            <w:b w:val="0"/>
            <w:lang w:val="es-ES_tradnl" w:eastAsia="zh-CN"/>
          </w:rPr>
          <w:tab/>
        </w:r>
        <w:r w:rsidR="002F4384" w:rsidRPr="002F4384">
          <w:rPr>
            <w:rStyle w:val="Hyperlink"/>
            <w:rFonts w:asciiTheme="minorBidi" w:hAnsiTheme="minorBidi" w:cstheme="minorBidi"/>
            <w:color w:val="auto"/>
            <w:lang w:val="es-ES_tradnl"/>
          </w:rPr>
          <w:t>ASUNTOS E INFORMES DE LA COI</w:t>
        </w:r>
        <w:r w:rsidR="002F4384" w:rsidRPr="002F4384">
          <w:rPr>
            <w:rFonts w:asciiTheme="minorBidi" w:hAnsiTheme="minorBidi" w:cstheme="minorBidi"/>
            <w:webHidden/>
            <w:lang w:val="es-ES_tradnl"/>
          </w:rPr>
          <w:tab/>
        </w:r>
        <w:r w:rsidR="002F4384" w:rsidRPr="002F4384">
          <w:rPr>
            <w:rFonts w:asciiTheme="minorBidi" w:hAnsiTheme="minorBidi" w:cstheme="minorBidi"/>
            <w:webHidden/>
            <w:lang w:val="es-ES_tradnl"/>
          </w:rPr>
          <w:fldChar w:fldCharType="begin"/>
        </w:r>
        <w:r w:rsidR="002F4384" w:rsidRPr="002F4384">
          <w:rPr>
            <w:rFonts w:asciiTheme="minorBidi" w:hAnsiTheme="minorBidi" w:cstheme="minorBidi"/>
            <w:webHidden/>
            <w:lang w:val="es-ES_tradnl"/>
          </w:rPr>
          <w:instrText xml:space="preserve"> PAGEREF _Toc115256314 \h </w:instrText>
        </w:r>
        <w:r w:rsidR="002F4384" w:rsidRPr="002F4384">
          <w:rPr>
            <w:rFonts w:asciiTheme="minorBidi" w:hAnsiTheme="minorBidi" w:cstheme="minorBidi"/>
            <w:webHidden/>
            <w:lang w:val="es-ES_tradnl"/>
          </w:rPr>
        </w:r>
        <w:r w:rsidR="002F4384" w:rsidRPr="002F4384">
          <w:rPr>
            <w:rFonts w:asciiTheme="minorBidi" w:hAnsiTheme="minorBidi" w:cstheme="minorBidi"/>
            <w:webHidden/>
            <w:lang w:val="es-ES_tradnl"/>
          </w:rPr>
          <w:fldChar w:fldCharType="separate"/>
        </w:r>
        <w:r w:rsidR="00F90C4C">
          <w:rPr>
            <w:rFonts w:asciiTheme="minorBidi" w:hAnsiTheme="minorBidi" w:cstheme="minorBidi"/>
            <w:webHidden/>
            <w:lang w:val="es-ES_tradnl"/>
          </w:rPr>
          <w:t>4</w:t>
        </w:r>
        <w:r w:rsidR="002F4384" w:rsidRPr="002F4384">
          <w:rPr>
            <w:rFonts w:asciiTheme="minorBidi" w:hAnsiTheme="minorBidi" w:cstheme="minorBidi"/>
            <w:webHidden/>
            <w:lang w:val="es-ES_tradnl"/>
          </w:rPr>
          <w:fldChar w:fldCharType="end"/>
        </w:r>
      </w:hyperlink>
    </w:p>
    <w:p w14:paraId="1D620D1E" w14:textId="4BB6BB51" w:rsidR="002F4384" w:rsidRPr="002F4384" w:rsidRDefault="002958F7">
      <w:pPr>
        <w:pStyle w:val="TOC2"/>
        <w:tabs>
          <w:tab w:val="left" w:pos="1134"/>
        </w:tabs>
        <w:rPr>
          <w:rFonts w:asciiTheme="minorBidi" w:eastAsiaTheme="minorEastAsia" w:hAnsiTheme="minorBidi" w:cstheme="minorBidi"/>
          <w:bCs w:val="0"/>
          <w:iCs w:val="0"/>
          <w:lang w:val="es-ES_tradnl" w:eastAsia="zh-CN"/>
        </w:rPr>
      </w:pPr>
      <w:hyperlink w:anchor="_Toc115256315" w:history="1">
        <w:r w:rsidR="002F4384" w:rsidRPr="002F4384">
          <w:rPr>
            <w:rStyle w:val="Hyperlink"/>
            <w:rFonts w:asciiTheme="minorBidi" w:hAnsiTheme="minorBidi" w:cstheme="minorBidi"/>
            <w:color w:val="auto"/>
            <w:lang w:val="es-ES_tradnl"/>
          </w:rPr>
          <w:t>3.1</w:t>
        </w:r>
        <w:r w:rsidR="002F4384" w:rsidRPr="002F4384">
          <w:rPr>
            <w:rFonts w:asciiTheme="minorBidi" w:eastAsiaTheme="minorEastAsia" w:hAnsiTheme="minorBidi" w:cstheme="minorBidi"/>
            <w:bCs w:val="0"/>
            <w:iCs w:val="0"/>
            <w:lang w:val="es-ES_tradnl" w:eastAsia="zh-CN"/>
          </w:rPr>
          <w:tab/>
        </w:r>
        <w:r w:rsidR="002F4384" w:rsidRPr="002F4384">
          <w:rPr>
            <w:rStyle w:val="Hyperlink"/>
            <w:rFonts w:asciiTheme="minorBidi" w:hAnsiTheme="minorBidi" w:cstheme="minorBidi"/>
            <w:color w:val="auto"/>
            <w:lang w:val="es-ES_tradnl"/>
          </w:rPr>
          <w:t xml:space="preserve">INFORME DEL SECRETARIO EJECUTIVO SOBRE LA LABOR REALIZADA </w:t>
        </w:r>
        <w:r w:rsidR="002F4384" w:rsidRPr="002F4384">
          <w:rPr>
            <w:rStyle w:val="Hyperlink"/>
            <w:rFonts w:asciiTheme="minorBidi" w:hAnsiTheme="minorBidi" w:cstheme="minorBidi"/>
            <w:color w:val="auto"/>
            <w:lang w:val="es-ES_tradnl"/>
          </w:rPr>
          <w:br/>
          <w:t>DESDE LA 31ª REUNIÓN DE LA ASAMBLEA (julio de 2021-mayo de 2022)</w:t>
        </w:r>
        <w:r w:rsidR="002F4384" w:rsidRPr="002F4384">
          <w:rPr>
            <w:rFonts w:asciiTheme="minorBidi" w:hAnsiTheme="minorBidi" w:cstheme="minorBidi"/>
            <w:webHidden/>
            <w:lang w:val="es-ES_tradnl"/>
          </w:rPr>
          <w:tab/>
        </w:r>
        <w:r w:rsidR="002F4384" w:rsidRPr="002F4384">
          <w:rPr>
            <w:rFonts w:asciiTheme="minorBidi" w:hAnsiTheme="minorBidi" w:cstheme="minorBidi"/>
            <w:webHidden/>
            <w:lang w:val="es-ES_tradnl"/>
          </w:rPr>
          <w:fldChar w:fldCharType="begin"/>
        </w:r>
        <w:r w:rsidR="002F4384" w:rsidRPr="002F4384">
          <w:rPr>
            <w:rFonts w:asciiTheme="minorBidi" w:hAnsiTheme="minorBidi" w:cstheme="minorBidi"/>
            <w:webHidden/>
            <w:lang w:val="es-ES_tradnl"/>
          </w:rPr>
          <w:instrText xml:space="preserve"> PAGEREF _Toc115256315 \h </w:instrText>
        </w:r>
        <w:r w:rsidR="002F4384" w:rsidRPr="002F4384">
          <w:rPr>
            <w:rFonts w:asciiTheme="minorBidi" w:hAnsiTheme="minorBidi" w:cstheme="minorBidi"/>
            <w:webHidden/>
            <w:lang w:val="es-ES_tradnl"/>
          </w:rPr>
        </w:r>
        <w:r w:rsidR="002F4384" w:rsidRPr="002F4384">
          <w:rPr>
            <w:rFonts w:asciiTheme="minorBidi" w:hAnsiTheme="minorBidi" w:cstheme="minorBidi"/>
            <w:webHidden/>
            <w:lang w:val="es-ES_tradnl"/>
          </w:rPr>
          <w:fldChar w:fldCharType="separate"/>
        </w:r>
        <w:r w:rsidR="00F90C4C">
          <w:rPr>
            <w:rFonts w:asciiTheme="minorBidi" w:hAnsiTheme="minorBidi" w:cstheme="minorBidi"/>
            <w:webHidden/>
            <w:lang w:val="es-ES_tradnl"/>
          </w:rPr>
          <w:t>4</w:t>
        </w:r>
        <w:r w:rsidR="002F4384" w:rsidRPr="002F4384">
          <w:rPr>
            <w:rFonts w:asciiTheme="minorBidi" w:hAnsiTheme="minorBidi" w:cstheme="minorBidi"/>
            <w:webHidden/>
            <w:lang w:val="es-ES_tradnl"/>
          </w:rPr>
          <w:fldChar w:fldCharType="end"/>
        </w:r>
      </w:hyperlink>
    </w:p>
    <w:p w14:paraId="559DFD81" w14:textId="7D3E2645" w:rsidR="002F4384" w:rsidRPr="002F4384" w:rsidRDefault="002958F7">
      <w:pPr>
        <w:pStyle w:val="TOC2"/>
        <w:tabs>
          <w:tab w:val="left" w:pos="1134"/>
        </w:tabs>
        <w:rPr>
          <w:rFonts w:asciiTheme="minorBidi" w:eastAsiaTheme="minorEastAsia" w:hAnsiTheme="minorBidi" w:cstheme="minorBidi"/>
          <w:bCs w:val="0"/>
          <w:iCs w:val="0"/>
          <w:lang w:val="es-ES_tradnl" w:eastAsia="zh-CN"/>
        </w:rPr>
      </w:pPr>
      <w:hyperlink w:anchor="_Toc115256316" w:history="1">
        <w:r w:rsidR="002F4384" w:rsidRPr="002F4384">
          <w:rPr>
            <w:rStyle w:val="Hyperlink"/>
            <w:rFonts w:asciiTheme="minorBidi" w:hAnsiTheme="minorBidi" w:cstheme="minorBidi"/>
            <w:color w:val="auto"/>
            <w:lang w:val="es-ES_tradnl"/>
          </w:rPr>
          <w:t>3.2</w:t>
        </w:r>
        <w:r w:rsidR="002F4384" w:rsidRPr="002F4384">
          <w:rPr>
            <w:rFonts w:asciiTheme="minorBidi" w:eastAsiaTheme="minorEastAsia" w:hAnsiTheme="minorBidi" w:cstheme="minorBidi"/>
            <w:bCs w:val="0"/>
            <w:iCs w:val="0"/>
            <w:lang w:val="es-ES_tradnl" w:eastAsia="zh-CN"/>
          </w:rPr>
          <w:tab/>
        </w:r>
        <w:r w:rsidR="002F4384" w:rsidRPr="002F4384">
          <w:rPr>
            <w:rStyle w:val="Hyperlink"/>
            <w:rFonts w:asciiTheme="minorBidi" w:hAnsiTheme="minorBidi" w:cstheme="minorBidi"/>
            <w:color w:val="auto"/>
            <w:lang w:val="es-ES_tradnl"/>
          </w:rPr>
          <w:t>EVALUACIÓN POR EL SERVICIO DE SUPERVISIÓN INTERNA (IOS) DEL POSICIONAMIENTO ESTRATÉGICO DE LA COMISIÓN OCEANOGRÁFICA INTERGUBERNAMENTAL DE LA UNESCO (COI-UNESCO)</w:t>
        </w:r>
        <w:r w:rsidR="002F4384" w:rsidRPr="002F4384">
          <w:rPr>
            <w:rFonts w:asciiTheme="minorBidi" w:hAnsiTheme="minorBidi" w:cstheme="minorBidi"/>
            <w:webHidden/>
            <w:lang w:val="es-ES_tradnl"/>
          </w:rPr>
          <w:tab/>
        </w:r>
        <w:r w:rsidR="002F4384" w:rsidRPr="002F4384">
          <w:rPr>
            <w:rFonts w:asciiTheme="minorBidi" w:hAnsiTheme="minorBidi" w:cstheme="minorBidi"/>
            <w:webHidden/>
            <w:lang w:val="es-ES_tradnl"/>
          </w:rPr>
          <w:fldChar w:fldCharType="begin"/>
        </w:r>
        <w:r w:rsidR="002F4384" w:rsidRPr="002F4384">
          <w:rPr>
            <w:rFonts w:asciiTheme="minorBidi" w:hAnsiTheme="minorBidi" w:cstheme="minorBidi"/>
            <w:webHidden/>
            <w:lang w:val="es-ES_tradnl"/>
          </w:rPr>
          <w:instrText xml:space="preserve"> PAGEREF _Toc115256316 \h </w:instrText>
        </w:r>
        <w:r w:rsidR="002F4384" w:rsidRPr="002F4384">
          <w:rPr>
            <w:rFonts w:asciiTheme="minorBidi" w:hAnsiTheme="minorBidi" w:cstheme="minorBidi"/>
            <w:webHidden/>
            <w:lang w:val="es-ES_tradnl"/>
          </w:rPr>
        </w:r>
        <w:r w:rsidR="002F4384" w:rsidRPr="002F4384">
          <w:rPr>
            <w:rFonts w:asciiTheme="minorBidi" w:hAnsiTheme="minorBidi" w:cstheme="minorBidi"/>
            <w:webHidden/>
            <w:lang w:val="es-ES_tradnl"/>
          </w:rPr>
          <w:fldChar w:fldCharType="separate"/>
        </w:r>
        <w:r w:rsidR="00F90C4C">
          <w:rPr>
            <w:rFonts w:asciiTheme="minorBidi" w:hAnsiTheme="minorBidi" w:cstheme="minorBidi"/>
            <w:webHidden/>
            <w:lang w:val="es-ES_tradnl"/>
          </w:rPr>
          <w:t>9</w:t>
        </w:r>
        <w:r w:rsidR="002F4384" w:rsidRPr="002F4384">
          <w:rPr>
            <w:rFonts w:asciiTheme="minorBidi" w:hAnsiTheme="minorBidi" w:cstheme="minorBidi"/>
            <w:webHidden/>
            <w:lang w:val="es-ES_tradnl"/>
          </w:rPr>
          <w:fldChar w:fldCharType="end"/>
        </w:r>
      </w:hyperlink>
    </w:p>
    <w:p w14:paraId="29133440" w14:textId="1FBF8802" w:rsidR="002F4384" w:rsidRPr="002F4384" w:rsidRDefault="002958F7">
      <w:pPr>
        <w:pStyle w:val="TOC2"/>
        <w:tabs>
          <w:tab w:val="left" w:pos="1134"/>
        </w:tabs>
        <w:rPr>
          <w:rFonts w:asciiTheme="minorBidi" w:eastAsiaTheme="minorEastAsia" w:hAnsiTheme="minorBidi" w:cstheme="minorBidi"/>
          <w:bCs w:val="0"/>
          <w:iCs w:val="0"/>
          <w:lang w:val="es-ES_tradnl" w:eastAsia="zh-CN"/>
        </w:rPr>
      </w:pPr>
      <w:hyperlink w:anchor="_Toc115256317" w:history="1">
        <w:r w:rsidR="002F4384" w:rsidRPr="002F4384">
          <w:rPr>
            <w:rStyle w:val="Hyperlink"/>
            <w:rFonts w:asciiTheme="minorBidi" w:hAnsiTheme="minorBidi" w:cstheme="minorBidi"/>
            <w:color w:val="auto"/>
            <w:lang w:val="es-ES_tradnl"/>
          </w:rPr>
          <w:t>3.3</w:t>
        </w:r>
        <w:r w:rsidR="002F4384" w:rsidRPr="002F4384">
          <w:rPr>
            <w:rFonts w:asciiTheme="minorBidi" w:eastAsiaTheme="minorEastAsia" w:hAnsiTheme="minorBidi" w:cstheme="minorBidi"/>
            <w:bCs w:val="0"/>
            <w:iCs w:val="0"/>
            <w:lang w:val="es-ES_tradnl" w:eastAsia="zh-CN"/>
          </w:rPr>
          <w:tab/>
        </w:r>
        <w:r w:rsidR="002F4384" w:rsidRPr="002F4384">
          <w:rPr>
            <w:rStyle w:val="Hyperlink"/>
            <w:rFonts w:asciiTheme="minorBidi" w:hAnsiTheme="minorBidi" w:cstheme="minorBidi"/>
            <w:color w:val="auto"/>
            <w:lang w:val="es-ES_tradnl"/>
          </w:rPr>
          <w:t>PRESENTACIÓN DEL INFORME PILOTO DE LA COI SOBRE EL ESTADO DEL OCÉANO</w:t>
        </w:r>
        <w:r w:rsidR="002F4384" w:rsidRPr="002F4384">
          <w:rPr>
            <w:rFonts w:asciiTheme="minorBidi" w:hAnsiTheme="minorBidi" w:cstheme="minorBidi"/>
            <w:webHidden/>
            <w:lang w:val="es-ES_tradnl"/>
          </w:rPr>
          <w:tab/>
        </w:r>
        <w:r w:rsidR="002F4384" w:rsidRPr="002F4384">
          <w:rPr>
            <w:rFonts w:asciiTheme="minorBidi" w:hAnsiTheme="minorBidi" w:cstheme="minorBidi"/>
            <w:webHidden/>
            <w:lang w:val="es-ES_tradnl"/>
          </w:rPr>
          <w:fldChar w:fldCharType="begin"/>
        </w:r>
        <w:r w:rsidR="002F4384" w:rsidRPr="002F4384">
          <w:rPr>
            <w:rFonts w:asciiTheme="minorBidi" w:hAnsiTheme="minorBidi" w:cstheme="minorBidi"/>
            <w:webHidden/>
            <w:lang w:val="es-ES_tradnl"/>
          </w:rPr>
          <w:instrText xml:space="preserve"> PAGEREF _Toc115256317 \h </w:instrText>
        </w:r>
        <w:r w:rsidR="002F4384" w:rsidRPr="002F4384">
          <w:rPr>
            <w:rFonts w:asciiTheme="minorBidi" w:hAnsiTheme="minorBidi" w:cstheme="minorBidi"/>
            <w:webHidden/>
            <w:lang w:val="es-ES_tradnl"/>
          </w:rPr>
        </w:r>
        <w:r w:rsidR="002F4384" w:rsidRPr="002F4384">
          <w:rPr>
            <w:rFonts w:asciiTheme="minorBidi" w:hAnsiTheme="minorBidi" w:cstheme="minorBidi"/>
            <w:webHidden/>
            <w:lang w:val="es-ES_tradnl"/>
          </w:rPr>
          <w:fldChar w:fldCharType="separate"/>
        </w:r>
        <w:r w:rsidR="00F90C4C">
          <w:rPr>
            <w:rFonts w:asciiTheme="minorBidi" w:hAnsiTheme="minorBidi" w:cstheme="minorBidi"/>
            <w:webHidden/>
            <w:lang w:val="es-ES_tradnl"/>
          </w:rPr>
          <w:t>11</w:t>
        </w:r>
        <w:r w:rsidR="002F4384" w:rsidRPr="002F4384">
          <w:rPr>
            <w:rFonts w:asciiTheme="minorBidi" w:hAnsiTheme="minorBidi" w:cstheme="minorBidi"/>
            <w:webHidden/>
            <w:lang w:val="es-ES_tradnl"/>
          </w:rPr>
          <w:fldChar w:fldCharType="end"/>
        </w:r>
      </w:hyperlink>
    </w:p>
    <w:p w14:paraId="60C854CA" w14:textId="50CB5B37" w:rsidR="002F4384" w:rsidRPr="002F4384" w:rsidRDefault="002958F7">
      <w:pPr>
        <w:pStyle w:val="TOC2"/>
        <w:tabs>
          <w:tab w:val="left" w:pos="1134"/>
        </w:tabs>
        <w:rPr>
          <w:rFonts w:asciiTheme="minorBidi" w:eastAsiaTheme="minorEastAsia" w:hAnsiTheme="minorBidi" w:cstheme="minorBidi"/>
          <w:bCs w:val="0"/>
          <w:iCs w:val="0"/>
          <w:lang w:val="es-ES_tradnl" w:eastAsia="zh-CN"/>
        </w:rPr>
      </w:pPr>
      <w:hyperlink w:anchor="_Toc115256318" w:history="1">
        <w:r w:rsidR="002F4384" w:rsidRPr="002F4384">
          <w:rPr>
            <w:rStyle w:val="Hyperlink"/>
            <w:rFonts w:asciiTheme="minorBidi" w:hAnsiTheme="minorBidi" w:cstheme="minorBidi"/>
            <w:color w:val="auto"/>
            <w:lang w:val="es-ES_tradnl"/>
          </w:rPr>
          <w:t>3.4</w:t>
        </w:r>
        <w:r w:rsidR="002F4384" w:rsidRPr="002F4384">
          <w:rPr>
            <w:rFonts w:asciiTheme="minorBidi" w:eastAsiaTheme="minorEastAsia" w:hAnsiTheme="minorBidi" w:cstheme="minorBidi"/>
            <w:bCs w:val="0"/>
            <w:iCs w:val="0"/>
            <w:lang w:val="es-ES_tradnl" w:eastAsia="zh-CN"/>
          </w:rPr>
          <w:tab/>
        </w:r>
        <w:r w:rsidR="002F4384" w:rsidRPr="002F4384">
          <w:rPr>
            <w:rStyle w:val="Hyperlink"/>
            <w:rFonts w:asciiTheme="minorBidi" w:hAnsiTheme="minorBidi" w:cstheme="minorBidi"/>
            <w:color w:val="auto"/>
            <w:lang w:val="es-ES_tradnl"/>
          </w:rPr>
          <w:t>OBSERVACIONES OCEÁNICAS EN ZONAS SUJETAS A LA JURISDICCIÓN NACIONAL</w:t>
        </w:r>
        <w:r w:rsidR="002F4384" w:rsidRPr="002F4384">
          <w:rPr>
            <w:rFonts w:asciiTheme="minorBidi" w:hAnsiTheme="minorBidi" w:cstheme="minorBidi"/>
            <w:webHidden/>
            <w:lang w:val="es-ES_tradnl"/>
          </w:rPr>
          <w:tab/>
        </w:r>
        <w:r w:rsidR="002F4384" w:rsidRPr="002F4384">
          <w:rPr>
            <w:rFonts w:asciiTheme="minorBidi" w:hAnsiTheme="minorBidi" w:cstheme="minorBidi"/>
            <w:webHidden/>
            <w:lang w:val="es-ES_tradnl"/>
          </w:rPr>
          <w:fldChar w:fldCharType="begin"/>
        </w:r>
        <w:r w:rsidR="002F4384" w:rsidRPr="002F4384">
          <w:rPr>
            <w:rFonts w:asciiTheme="minorBidi" w:hAnsiTheme="minorBidi" w:cstheme="minorBidi"/>
            <w:webHidden/>
            <w:lang w:val="es-ES_tradnl"/>
          </w:rPr>
          <w:instrText xml:space="preserve"> PAGEREF _Toc115256318 \h </w:instrText>
        </w:r>
        <w:r w:rsidR="002F4384" w:rsidRPr="002F4384">
          <w:rPr>
            <w:rFonts w:asciiTheme="minorBidi" w:hAnsiTheme="minorBidi" w:cstheme="minorBidi"/>
            <w:webHidden/>
            <w:lang w:val="es-ES_tradnl"/>
          </w:rPr>
        </w:r>
        <w:r w:rsidR="002F4384" w:rsidRPr="002F4384">
          <w:rPr>
            <w:rFonts w:asciiTheme="minorBidi" w:hAnsiTheme="minorBidi" w:cstheme="minorBidi"/>
            <w:webHidden/>
            <w:lang w:val="es-ES_tradnl"/>
          </w:rPr>
          <w:fldChar w:fldCharType="separate"/>
        </w:r>
        <w:r w:rsidR="00F90C4C">
          <w:rPr>
            <w:rFonts w:asciiTheme="minorBidi" w:hAnsiTheme="minorBidi" w:cstheme="minorBidi"/>
            <w:webHidden/>
            <w:lang w:val="es-ES_tradnl"/>
          </w:rPr>
          <w:t>14</w:t>
        </w:r>
        <w:r w:rsidR="002F4384" w:rsidRPr="002F4384">
          <w:rPr>
            <w:rFonts w:asciiTheme="minorBidi" w:hAnsiTheme="minorBidi" w:cstheme="minorBidi"/>
            <w:webHidden/>
            <w:lang w:val="es-ES_tradnl"/>
          </w:rPr>
          <w:fldChar w:fldCharType="end"/>
        </w:r>
      </w:hyperlink>
    </w:p>
    <w:p w14:paraId="0069A58C" w14:textId="38B39C37" w:rsidR="002F4384" w:rsidRPr="002F4384" w:rsidRDefault="002958F7">
      <w:pPr>
        <w:pStyle w:val="TOC2"/>
        <w:tabs>
          <w:tab w:val="left" w:pos="1134"/>
        </w:tabs>
        <w:rPr>
          <w:rFonts w:asciiTheme="minorBidi" w:eastAsiaTheme="minorEastAsia" w:hAnsiTheme="minorBidi" w:cstheme="minorBidi"/>
          <w:bCs w:val="0"/>
          <w:iCs w:val="0"/>
          <w:lang w:val="es-ES_tradnl" w:eastAsia="zh-CN"/>
        </w:rPr>
      </w:pPr>
      <w:hyperlink w:anchor="_Toc115256319" w:history="1">
        <w:r w:rsidR="002F4384" w:rsidRPr="002F4384">
          <w:rPr>
            <w:rStyle w:val="Hyperlink"/>
            <w:rFonts w:asciiTheme="minorBidi" w:hAnsiTheme="minorBidi" w:cstheme="minorBidi"/>
            <w:color w:val="auto"/>
            <w:lang w:val="es-ES_tradnl"/>
          </w:rPr>
          <w:t>3.5</w:t>
        </w:r>
        <w:r w:rsidR="002F4384" w:rsidRPr="002F4384">
          <w:rPr>
            <w:rFonts w:asciiTheme="minorBidi" w:eastAsiaTheme="minorEastAsia" w:hAnsiTheme="minorBidi" w:cstheme="minorBidi"/>
            <w:bCs w:val="0"/>
            <w:iCs w:val="0"/>
            <w:lang w:val="es-ES_tradnl" w:eastAsia="zh-CN"/>
          </w:rPr>
          <w:tab/>
        </w:r>
        <w:r w:rsidR="002F4384" w:rsidRPr="002F4384">
          <w:rPr>
            <w:rStyle w:val="Hyperlink"/>
            <w:rFonts w:asciiTheme="minorBidi" w:hAnsiTheme="minorBidi" w:cstheme="minorBidi"/>
            <w:color w:val="auto"/>
            <w:lang w:val="es-ES_tradnl"/>
          </w:rPr>
          <w:t>INFORMES DE LOS ÓRGANOS SUBSIDIARIOS DE LA COI</w:t>
        </w:r>
        <w:r w:rsidR="002F4384" w:rsidRPr="002F4384">
          <w:rPr>
            <w:rFonts w:asciiTheme="minorBidi" w:hAnsiTheme="minorBidi" w:cstheme="minorBidi"/>
            <w:webHidden/>
            <w:lang w:val="es-ES_tradnl"/>
          </w:rPr>
          <w:tab/>
        </w:r>
        <w:r w:rsidR="002F4384" w:rsidRPr="002F4384">
          <w:rPr>
            <w:rFonts w:asciiTheme="minorBidi" w:hAnsiTheme="minorBidi" w:cstheme="minorBidi"/>
            <w:webHidden/>
            <w:lang w:val="es-ES_tradnl"/>
          </w:rPr>
          <w:fldChar w:fldCharType="begin"/>
        </w:r>
        <w:r w:rsidR="002F4384" w:rsidRPr="002F4384">
          <w:rPr>
            <w:rFonts w:asciiTheme="minorBidi" w:hAnsiTheme="minorBidi" w:cstheme="minorBidi"/>
            <w:webHidden/>
            <w:lang w:val="es-ES_tradnl"/>
          </w:rPr>
          <w:instrText xml:space="preserve"> PAGEREF _Toc115256319 \h </w:instrText>
        </w:r>
        <w:r w:rsidR="002F4384" w:rsidRPr="002F4384">
          <w:rPr>
            <w:rFonts w:asciiTheme="minorBidi" w:hAnsiTheme="minorBidi" w:cstheme="minorBidi"/>
            <w:webHidden/>
            <w:lang w:val="es-ES_tradnl"/>
          </w:rPr>
        </w:r>
        <w:r w:rsidR="002F4384" w:rsidRPr="002F4384">
          <w:rPr>
            <w:rFonts w:asciiTheme="minorBidi" w:hAnsiTheme="minorBidi" w:cstheme="minorBidi"/>
            <w:webHidden/>
            <w:lang w:val="es-ES_tradnl"/>
          </w:rPr>
          <w:fldChar w:fldCharType="separate"/>
        </w:r>
        <w:r w:rsidR="00F90C4C">
          <w:rPr>
            <w:rFonts w:asciiTheme="minorBidi" w:hAnsiTheme="minorBidi" w:cstheme="minorBidi"/>
            <w:webHidden/>
            <w:lang w:val="es-ES_tradnl"/>
          </w:rPr>
          <w:t>17</w:t>
        </w:r>
        <w:r w:rsidR="002F4384" w:rsidRPr="002F4384">
          <w:rPr>
            <w:rFonts w:asciiTheme="minorBidi" w:hAnsiTheme="minorBidi" w:cstheme="minorBidi"/>
            <w:webHidden/>
            <w:lang w:val="es-ES_tradnl"/>
          </w:rPr>
          <w:fldChar w:fldCharType="end"/>
        </w:r>
      </w:hyperlink>
    </w:p>
    <w:p w14:paraId="7000AF5E" w14:textId="587925F6" w:rsidR="002F4384" w:rsidRPr="002F4384" w:rsidRDefault="002958F7" w:rsidP="002F4384">
      <w:pPr>
        <w:pStyle w:val="TOC2"/>
        <w:tabs>
          <w:tab w:val="left" w:pos="1701"/>
        </w:tabs>
        <w:ind w:left="1701"/>
        <w:rPr>
          <w:rFonts w:asciiTheme="minorBidi" w:eastAsiaTheme="minorEastAsia" w:hAnsiTheme="minorBidi" w:cstheme="minorBidi"/>
          <w:bCs w:val="0"/>
          <w:iCs w:val="0"/>
          <w:lang w:val="es-ES_tradnl" w:eastAsia="zh-CN"/>
        </w:rPr>
      </w:pPr>
      <w:hyperlink w:anchor="_Toc115256320" w:history="1">
        <w:r w:rsidR="002F4384" w:rsidRPr="002F4384">
          <w:rPr>
            <w:rStyle w:val="Hyperlink"/>
            <w:rFonts w:asciiTheme="minorBidi" w:hAnsiTheme="minorBidi" w:cstheme="minorBidi"/>
            <w:b/>
            <w:color w:val="auto"/>
            <w:lang w:val="es-ES_tradnl"/>
          </w:rPr>
          <w:t>3.5.1</w:t>
        </w:r>
        <w:r w:rsidR="002F4384" w:rsidRPr="002F4384">
          <w:rPr>
            <w:rFonts w:asciiTheme="minorBidi" w:eastAsiaTheme="minorEastAsia" w:hAnsiTheme="minorBidi" w:cstheme="minorBidi"/>
            <w:bCs w:val="0"/>
            <w:iCs w:val="0"/>
            <w:lang w:val="es-ES_tradnl" w:eastAsia="zh-CN"/>
          </w:rPr>
          <w:tab/>
        </w:r>
        <w:r w:rsidR="002F4384" w:rsidRPr="002F4384">
          <w:rPr>
            <w:rStyle w:val="Hyperlink"/>
            <w:rFonts w:asciiTheme="minorBidi" w:hAnsiTheme="minorBidi" w:cstheme="minorBidi"/>
            <w:b/>
            <w:color w:val="auto"/>
            <w:lang w:val="es-ES_tradnl"/>
          </w:rPr>
          <w:t>Sistemas de alerta contra los peligros oceánicos y atenuación de sus efectos</w:t>
        </w:r>
        <w:r w:rsidR="002F4384" w:rsidRPr="002F4384">
          <w:rPr>
            <w:rFonts w:asciiTheme="minorBidi" w:hAnsiTheme="minorBidi" w:cstheme="minorBidi"/>
            <w:webHidden/>
            <w:lang w:val="es-ES_tradnl"/>
          </w:rPr>
          <w:tab/>
        </w:r>
        <w:r w:rsidR="002F4384" w:rsidRPr="002F4384">
          <w:rPr>
            <w:rFonts w:asciiTheme="minorBidi" w:hAnsiTheme="minorBidi" w:cstheme="minorBidi"/>
            <w:webHidden/>
            <w:lang w:val="es-ES_tradnl"/>
          </w:rPr>
          <w:fldChar w:fldCharType="begin"/>
        </w:r>
        <w:r w:rsidR="002F4384" w:rsidRPr="002F4384">
          <w:rPr>
            <w:rFonts w:asciiTheme="minorBidi" w:hAnsiTheme="minorBidi" w:cstheme="minorBidi"/>
            <w:webHidden/>
            <w:lang w:val="es-ES_tradnl"/>
          </w:rPr>
          <w:instrText xml:space="preserve"> PAGEREF _Toc115256320 \h </w:instrText>
        </w:r>
        <w:r w:rsidR="002F4384" w:rsidRPr="002F4384">
          <w:rPr>
            <w:rFonts w:asciiTheme="minorBidi" w:hAnsiTheme="minorBidi" w:cstheme="minorBidi"/>
            <w:webHidden/>
            <w:lang w:val="es-ES_tradnl"/>
          </w:rPr>
        </w:r>
        <w:r w:rsidR="002F4384" w:rsidRPr="002F4384">
          <w:rPr>
            <w:rFonts w:asciiTheme="minorBidi" w:hAnsiTheme="minorBidi" w:cstheme="minorBidi"/>
            <w:webHidden/>
            <w:lang w:val="es-ES_tradnl"/>
          </w:rPr>
          <w:fldChar w:fldCharType="separate"/>
        </w:r>
        <w:r w:rsidR="00F90C4C">
          <w:rPr>
            <w:rFonts w:asciiTheme="minorBidi" w:hAnsiTheme="minorBidi" w:cstheme="minorBidi"/>
            <w:webHidden/>
            <w:lang w:val="es-ES_tradnl"/>
          </w:rPr>
          <w:t>17</w:t>
        </w:r>
        <w:r w:rsidR="002F4384" w:rsidRPr="002F4384">
          <w:rPr>
            <w:rFonts w:asciiTheme="minorBidi" w:hAnsiTheme="minorBidi" w:cstheme="minorBidi"/>
            <w:webHidden/>
            <w:lang w:val="es-ES_tradnl"/>
          </w:rPr>
          <w:fldChar w:fldCharType="end"/>
        </w:r>
      </w:hyperlink>
    </w:p>
    <w:p w14:paraId="65549C3D" w14:textId="63C74E8B" w:rsidR="002F4384" w:rsidRPr="002F4384" w:rsidRDefault="002958F7" w:rsidP="002F4384">
      <w:pPr>
        <w:pStyle w:val="TOC3"/>
        <w:ind w:left="2694" w:hanging="851"/>
        <w:rPr>
          <w:rFonts w:asciiTheme="minorBidi" w:eastAsiaTheme="minorEastAsia" w:hAnsiTheme="minorBidi" w:cstheme="minorBidi"/>
          <w:color w:val="auto"/>
          <w:lang w:val="es-ES_tradnl" w:eastAsia="zh-CN"/>
        </w:rPr>
      </w:pPr>
      <w:hyperlink w:anchor="_Toc115256321" w:history="1">
        <w:r w:rsidR="002F4384" w:rsidRPr="002F4384">
          <w:rPr>
            <w:rStyle w:val="Hyperlink"/>
            <w:rFonts w:asciiTheme="minorBidi" w:hAnsiTheme="minorBidi" w:cstheme="minorBidi"/>
            <w:i/>
            <w:iCs/>
            <w:color w:val="auto"/>
            <w:lang w:val="es-ES_tradnl"/>
          </w:rPr>
          <w:t>3.5.1.1</w:t>
        </w:r>
        <w:r w:rsidR="002F4384" w:rsidRPr="002F4384">
          <w:rPr>
            <w:rFonts w:asciiTheme="minorBidi" w:eastAsiaTheme="minorEastAsia" w:hAnsiTheme="minorBidi" w:cstheme="minorBidi"/>
            <w:color w:val="auto"/>
            <w:lang w:val="es-ES_tradnl" w:eastAsia="zh-CN"/>
          </w:rPr>
          <w:tab/>
        </w:r>
        <w:r w:rsidR="002F4384" w:rsidRPr="002F4384">
          <w:rPr>
            <w:rStyle w:val="Hyperlink"/>
            <w:rFonts w:asciiTheme="minorBidi" w:hAnsiTheme="minorBidi" w:cstheme="minorBidi"/>
            <w:i/>
            <w:iCs/>
            <w:color w:val="auto"/>
            <w:lang w:val="es-ES_tradnl"/>
          </w:rPr>
          <w:t>Servicios regionales de alerta temprana</w:t>
        </w:r>
        <w:r w:rsidR="002F4384" w:rsidRPr="002F4384">
          <w:rPr>
            <w:rFonts w:asciiTheme="minorBidi" w:hAnsiTheme="minorBidi" w:cstheme="minorBidi"/>
            <w:webHidden/>
            <w:color w:val="auto"/>
            <w:lang w:val="es-ES_tradnl"/>
          </w:rPr>
          <w:tab/>
        </w:r>
        <w:r w:rsidR="002F4384" w:rsidRPr="002F4384">
          <w:rPr>
            <w:rFonts w:asciiTheme="minorBidi" w:hAnsiTheme="minorBidi" w:cstheme="minorBidi"/>
            <w:webHidden/>
            <w:color w:val="auto"/>
            <w:lang w:val="es-ES_tradnl"/>
          </w:rPr>
          <w:fldChar w:fldCharType="begin"/>
        </w:r>
        <w:r w:rsidR="002F4384" w:rsidRPr="002F4384">
          <w:rPr>
            <w:rFonts w:asciiTheme="minorBidi" w:hAnsiTheme="minorBidi" w:cstheme="minorBidi"/>
            <w:webHidden/>
            <w:color w:val="auto"/>
            <w:lang w:val="es-ES_tradnl"/>
          </w:rPr>
          <w:instrText xml:space="preserve"> PAGEREF _Toc115256321 \h </w:instrText>
        </w:r>
        <w:r w:rsidR="002F4384" w:rsidRPr="002F4384">
          <w:rPr>
            <w:rFonts w:asciiTheme="minorBidi" w:hAnsiTheme="minorBidi" w:cstheme="minorBidi"/>
            <w:webHidden/>
            <w:color w:val="auto"/>
            <w:lang w:val="es-ES_tradnl"/>
          </w:rPr>
        </w:r>
        <w:r w:rsidR="002F4384" w:rsidRPr="002F4384">
          <w:rPr>
            <w:rFonts w:asciiTheme="minorBidi" w:hAnsiTheme="minorBidi" w:cstheme="minorBidi"/>
            <w:webHidden/>
            <w:color w:val="auto"/>
            <w:lang w:val="es-ES_tradnl"/>
          </w:rPr>
          <w:fldChar w:fldCharType="separate"/>
        </w:r>
        <w:r w:rsidR="00F90C4C">
          <w:rPr>
            <w:rFonts w:asciiTheme="minorBidi" w:hAnsiTheme="minorBidi" w:cstheme="minorBidi"/>
            <w:webHidden/>
            <w:color w:val="auto"/>
            <w:lang w:val="es-ES_tradnl"/>
          </w:rPr>
          <w:t>17</w:t>
        </w:r>
        <w:r w:rsidR="002F4384" w:rsidRPr="002F4384">
          <w:rPr>
            <w:rFonts w:asciiTheme="minorBidi" w:hAnsiTheme="minorBidi" w:cstheme="minorBidi"/>
            <w:webHidden/>
            <w:color w:val="auto"/>
            <w:lang w:val="es-ES_tradnl"/>
          </w:rPr>
          <w:fldChar w:fldCharType="end"/>
        </w:r>
      </w:hyperlink>
    </w:p>
    <w:p w14:paraId="79FAB862" w14:textId="5BE410BE" w:rsidR="002F4384" w:rsidRPr="002F4384" w:rsidRDefault="002958F7" w:rsidP="002F4384">
      <w:pPr>
        <w:pStyle w:val="TOC3"/>
        <w:ind w:left="2694" w:hanging="851"/>
        <w:rPr>
          <w:rFonts w:asciiTheme="minorBidi" w:eastAsiaTheme="minorEastAsia" w:hAnsiTheme="minorBidi" w:cstheme="minorBidi"/>
          <w:color w:val="auto"/>
          <w:lang w:val="es-ES_tradnl" w:eastAsia="zh-CN"/>
        </w:rPr>
      </w:pPr>
      <w:hyperlink w:anchor="_Toc115256322" w:history="1">
        <w:r w:rsidR="002F4384" w:rsidRPr="002F4384">
          <w:rPr>
            <w:rStyle w:val="Hyperlink"/>
            <w:rFonts w:asciiTheme="minorBidi" w:hAnsiTheme="minorBidi" w:cstheme="minorBidi"/>
            <w:i/>
            <w:iCs/>
            <w:color w:val="auto"/>
            <w:lang w:val="es-ES_tradnl"/>
          </w:rPr>
          <w:t>3.5.1.2</w:t>
        </w:r>
        <w:r w:rsidR="002F4384" w:rsidRPr="002F4384">
          <w:rPr>
            <w:rFonts w:asciiTheme="minorBidi" w:eastAsiaTheme="minorEastAsia" w:hAnsiTheme="minorBidi" w:cstheme="minorBidi"/>
            <w:color w:val="auto"/>
            <w:lang w:val="es-ES_tradnl" w:eastAsia="zh-CN"/>
          </w:rPr>
          <w:tab/>
        </w:r>
        <w:r w:rsidR="002F4384" w:rsidRPr="002F4384">
          <w:rPr>
            <w:rStyle w:val="Hyperlink"/>
            <w:rFonts w:asciiTheme="minorBidi" w:hAnsiTheme="minorBidi" w:cstheme="minorBidi"/>
            <w:i/>
            <w:iCs/>
            <w:color w:val="auto"/>
            <w:lang w:val="es-ES_tradnl"/>
          </w:rPr>
          <w:t>Coordinación mundial de los sistemas de alerta contra los peligros oceánicos y atenuación de sus efectos</w:t>
        </w:r>
        <w:r w:rsidR="002F4384" w:rsidRPr="002F4384">
          <w:rPr>
            <w:rFonts w:asciiTheme="minorBidi" w:hAnsiTheme="minorBidi" w:cstheme="minorBidi"/>
            <w:webHidden/>
            <w:color w:val="auto"/>
            <w:lang w:val="es-ES_tradnl"/>
          </w:rPr>
          <w:tab/>
        </w:r>
        <w:r w:rsidR="002F4384" w:rsidRPr="002F4384">
          <w:rPr>
            <w:rFonts w:asciiTheme="minorBidi" w:hAnsiTheme="minorBidi" w:cstheme="minorBidi"/>
            <w:webHidden/>
            <w:color w:val="auto"/>
            <w:lang w:val="es-ES_tradnl"/>
          </w:rPr>
          <w:fldChar w:fldCharType="begin"/>
        </w:r>
        <w:r w:rsidR="002F4384" w:rsidRPr="002F4384">
          <w:rPr>
            <w:rFonts w:asciiTheme="minorBidi" w:hAnsiTheme="minorBidi" w:cstheme="minorBidi"/>
            <w:webHidden/>
            <w:color w:val="auto"/>
            <w:lang w:val="es-ES_tradnl"/>
          </w:rPr>
          <w:instrText xml:space="preserve"> PAGEREF _Toc115256322 \h </w:instrText>
        </w:r>
        <w:r w:rsidR="002F4384" w:rsidRPr="002F4384">
          <w:rPr>
            <w:rFonts w:asciiTheme="minorBidi" w:hAnsiTheme="minorBidi" w:cstheme="minorBidi"/>
            <w:webHidden/>
            <w:color w:val="auto"/>
            <w:lang w:val="es-ES_tradnl"/>
          </w:rPr>
        </w:r>
        <w:r w:rsidR="002F4384" w:rsidRPr="002F4384">
          <w:rPr>
            <w:rFonts w:asciiTheme="minorBidi" w:hAnsiTheme="minorBidi" w:cstheme="minorBidi"/>
            <w:webHidden/>
            <w:color w:val="auto"/>
            <w:lang w:val="es-ES_tradnl"/>
          </w:rPr>
          <w:fldChar w:fldCharType="separate"/>
        </w:r>
        <w:r w:rsidR="00F90C4C">
          <w:rPr>
            <w:rFonts w:asciiTheme="minorBidi" w:hAnsiTheme="minorBidi" w:cstheme="minorBidi"/>
            <w:webHidden/>
            <w:color w:val="auto"/>
            <w:lang w:val="es-ES_tradnl"/>
          </w:rPr>
          <w:t>21</w:t>
        </w:r>
        <w:r w:rsidR="002F4384" w:rsidRPr="002F4384">
          <w:rPr>
            <w:rFonts w:asciiTheme="minorBidi" w:hAnsiTheme="minorBidi" w:cstheme="minorBidi"/>
            <w:webHidden/>
            <w:color w:val="auto"/>
            <w:lang w:val="es-ES_tradnl"/>
          </w:rPr>
          <w:fldChar w:fldCharType="end"/>
        </w:r>
      </w:hyperlink>
    </w:p>
    <w:p w14:paraId="22807AD8" w14:textId="04BA6EF4" w:rsidR="002F4384" w:rsidRPr="002F4384" w:rsidRDefault="002958F7">
      <w:pPr>
        <w:pStyle w:val="TOC3"/>
        <w:tabs>
          <w:tab w:val="left" w:pos="2340"/>
        </w:tabs>
        <w:rPr>
          <w:rFonts w:asciiTheme="minorBidi" w:eastAsiaTheme="minorEastAsia" w:hAnsiTheme="minorBidi" w:cstheme="minorBidi"/>
          <w:b/>
          <w:bCs/>
          <w:color w:val="auto"/>
          <w:lang w:val="es-ES_tradnl" w:eastAsia="zh-CN"/>
        </w:rPr>
      </w:pPr>
      <w:hyperlink w:anchor="_Toc115256323" w:history="1">
        <w:r w:rsidR="002F4384" w:rsidRPr="002F4384">
          <w:rPr>
            <w:rStyle w:val="Hyperlink"/>
            <w:rFonts w:asciiTheme="minorBidi" w:hAnsiTheme="minorBidi" w:cstheme="minorBidi"/>
            <w:b/>
            <w:bCs/>
            <w:color w:val="auto"/>
            <w:lang w:val="es-ES_tradnl"/>
          </w:rPr>
          <w:t>3.5.2</w:t>
        </w:r>
        <w:r w:rsidR="002F4384" w:rsidRPr="002F4384">
          <w:rPr>
            <w:rFonts w:asciiTheme="minorBidi" w:eastAsiaTheme="minorEastAsia" w:hAnsiTheme="minorBidi" w:cstheme="minorBidi"/>
            <w:b/>
            <w:bCs/>
            <w:color w:val="auto"/>
            <w:lang w:val="es-ES_tradnl" w:eastAsia="zh-CN"/>
          </w:rPr>
          <w:tab/>
        </w:r>
        <w:r w:rsidR="002F4384" w:rsidRPr="002F4384">
          <w:rPr>
            <w:rStyle w:val="Hyperlink"/>
            <w:rFonts w:asciiTheme="minorBidi" w:hAnsiTheme="minorBidi" w:cstheme="minorBidi"/>
            <w:b/>
            <w:bCs/>
            <w:color w:val="auto"/>
            <w:lang w:val="es-ES_tradnl"/>
          </w:rPr>
          <w:t>Informe del Grupo de Trabajo entre Reuniones de Composición Abierta sobre la situación del Comité Regional de la COI para el Océano Índico Central (IOCINDIO)</w:t>
        </w:r>
        <w:r w:rsidR="002F4384" w:rsidRPr="002F4384">
          <w:rPr>
            <w:rFonts w:asciiTheme="minorBidi" w:hAnsiTheme="minorBidi" w:cstheme="minorBidi"/>
            <w:b/>
            <w:bCs/>
            <w:webHidden/>
            <w:color w:val="auto"/>
            <w:lang w:val="es-ES_tradnl"/>
          </w:rPr>
          <w:tab/>
        </w:r>
        <w:r w:rsidR="002F4384" w:rsidRPr="002F4384">
          <w:rPr>
            <w:rFonts w:asciiTheme="minorBidi" w:hAnsiTheme="minorBidi" w:cstheme="minorBidi"/>
            <w:b/>
            <w:bCs/>
            <w:webHidden/>
            <w:color w:val="auto"/>
            <w:lang w:val="es-ES_tradnl"/>
          </w:rPr>
          <w:fldChar w:fldCharType="begin"/>
        </w:r>
        <w:r w:rsidR="002F4384" w:rsidRPr="002F4384">
          <w:rPr>
            <w:rFonts w:asciiTheme="minorBidi" w:hAnsiTheme="minorBidi" w:cstheme="minorBidi"/>
            <w:b/>
            <w:bCs/>
            <w:webHidden/>
            <w:color w:val="auto"/>
            <w:lang w:val="es-ES_tradnl"/>
          </w:rPr>
          <w:instrText xml:space="preserve"> PAGEREF _Toc115256323 \h </w:instrText>
        </w:r>
        <w:r w:rsidR="002F4384" w:rsidRPr="002F4384">
          <w:rPr>
            <w:rFonts w:asciiTheme="minorBidi" w:hAnsiTheme="minorBidi" w:cstheme="minorBidi"/>
            <w:b/>
            <w:bCs/>
            <w:webHidden/>
            <w:color w:val="auto"/>
            <w:lang w:val="es-ES_tradnl"/>
          </w:rPr>
        </w:r>
        <w:r w:rsidR="002F4384" w:rsidRPr="002F4384">
          <w:rPr>
            <w:rFonts w:asciiTheme="minorBidi" w:hAnsiTheme="minorBidi" w:cstheme="minorBidi"/>
            <w:b/>
            <w:bCs/>
            <w:webHidden/>
            <w:color w:val="auto"/>
            <w:lang w:val="es-ES_tradnl"/>
          </w:rPr>
          <w:fldChar w:fldCharType="separate"/>
        </w:r>
        <w:r w:rsidR="00F90C4C">
          <w:rPr>
            <w:rFonts w:asciiTheme="minorBidi" w:hAnsiTheme="minorBidi" w:cstheme="minorBidi"/>
            <w:b/>
            <w:bCs/>
            <w:webHidden/>
            <w:color w:val="auto"/>
            <w:lang w:val="es-ES_tradnl"/>
          </w:rPr>
          <w:t>28</w:t>
        </w:r>
        <w:r w:rsidR="002F4384" w:rsidRPr="002F4384">
          <w:rPr>
            <w:rFonts w:asciiTheme="minorBidi" w:hAnsiTheme="minorBidi" w:cstheme="minorBidi"/>
            <w:b/>
            <w:bCs/>
            <w:webHidden/>
            <w:color w:val="auto"/>
            <w:lang w:val="es-ES_tradnl"/>
          </w:rPr>
          <w:fldChar w:fldCharType="end"/>
        </w:r>
      </w:hyperlink>
    </w:p>
    <w:p w14:paraId="35F57208" w14:textId="43A66742" w:rsidR="002F4384" w:rsidRPr="002F4384" w:rsidRDefault="002958F7">
      <w:pPr>
        <w:pStyle w:val="TOC1"/>
        <w:rPr>
          <w:rFonts w:asciiTheme="minorBidi" w:eastAsiaTheme="minorEastAsia" w:hAnsiTheme="minorBidi" w:cstheme="minorBidi"/>
          <w:b w:val="0"/>
          <w:lang w:val="es-ES_tradnl" w:eastAsia="zh-CN"/>
        </w:rPr>
      </w:pPr>
      <w:hyperlink w:anchor="_Toc115256324" w:history="1">
        <w:r w:rsidR="002F4384" w:rsidRPr="002F4384">
          <w:rPr>
            <w:rStyle w:val="Hyperlink"/>
            <w:rFonts w:asciiTheme="minorBidi" w:hAnsiTheme="minorBidi" w:cstheme="minorBidi"/>
            <w:color w:val="auto"/>
            <w:lang w:val="es-ES_tradnl"/>
          </w:rPr>
          <w:t>4.</w:t>
        </w:r>
        <w:r w:rsidR="002F4384" w:rsidRPr="002F4384">
          <w:rPr>
            <w:rFonts w:asciiTheme="minorBidi" w:eastAsiaTheme="minorEastAsia" w:hAnsiTheme="minorBidi" w:cstheme="minorBidi"/>
            <w:b w:val="0"/>
            <w:lang w:val="es-ES_tradnl" w:eastAsia="zh-CN"/>
          </w:rPr>
          <w:tab/>
        </w:r>
        <w:r w:rsidR="002F4384" w:rsidRPr="002F4384">
          <w:rPr>
            <w:rStyle w:val="Hyperlink"/>
            <w:rFonts w:asciiTheme="minorBidi" w:hAnsiTheme="minorBidi" w:cstheme="minorBidi"/>
            <w:color w:val="auto"/>
            <w:lang w:val="es-ES_tradnl"/>
          </w:rPr>
          <w:t>CUESTIONES PERTINENTES PARA LA COI RELACIONADAS CON LAS INICIATIVAS DE LAS NACIONES UNIDAS</w:t>
        </w:r>
        <w:r w:rsidR="002F4384" w:rsidRPr="002F4384">
          <w:rPr>
            <w:rFonts w:asciiTheme="minorBidi" w:hAnsiTheme="minorBidi" w:cstheme="minorBidi"/>
            <w:webHidden/>
            <w:lang w:val="es-ES_tradnl"/>
          </w:rPr>
          <w:tab/>
        </w:r>
        <w:r w:rsidR="002F4384" w:rsidRPr="002F4384">
          <w:rPr>
            <w:rFonts w:asciiTheme="minorBidi" w:hAnsiTheme="minorBidi" w:cstheme="minorBidi"/>
            <w:webHidden/>
            <w:lang w:val="es-ES_tradnl"/>
          </w:rPr>
          <w:fldChar w:fldCharType="begin"/>
        </w:r>
        <w:r w:rsidR="002F4384" w:rsidRPr="002F4384">
          <w:rPr>
            <w:rFonts w:asciiTheme="minorBidi" w:hAnsiTheme="minorBidi" w:cstheme="minorBidi"/>
            <w:webHidden/>
            <w:lang w:val="es-ES_tradnl"/>
          </w:rPr>
          <w:instrText xml:space="preserve"> PAGEREF _Toc115256324 \h </w:instrText>
        </w:r>
        <w:r w:rsidR="002F4384" w:rsidRPr="002F4384">
          <w:rPr>
            <w:rFonts w:asciiTheme="minorBidi" w:hAnsiTheme="minorBidi" w:cstheme="minorBidi"/>
            <w:webHidden/>
            <w:lang w:val="es-ES_tradnl"/>
          </w:rPr>
        </w:r>
        <w:r w:rsidR="002F4384" w:rsidRPr="002F4384">
          <w:rPr>
            <w:rFonts w:asciiTheme="minorBidi" w:hAnsiTheme="minorBidi" w:cstheme="minorBidi"/>
            <w:webHidden/>
            <w:lang w:val="es-ES_tradnl"/>
          </w:rPr>
          <w:fldChar w:fldCharType="separate"/>
        </w:r>
        <w:r w:rsidR="00F90C4C">
          <w:rPr>
            <w:rFonts w:asciiTheme="minorBidi" w:hAnsiTheme="minorBidi" w:cstheme="minorBidi"/>
            <w:webHidden/>
            <w:lang w:val="es-ES_tradnl"/>
          </w:rPr>
          <w:t>30</w:t>
        </w:r>
        <w:r w:rsidR="002F4384" w:rsidRPr="002F4384">
          <w:rPr>
            <w:rFonts w:asciiTheme="minorBidi" w:hAnsiTheme="minorBidi" w:cstheme="minorBidi"/>
            <w:webHidden/>
            <w:lang w:val="es-ES_tradnl"/>
          </w:rPr>
          <w:fldChar w:fldCharType="end"/>
        </w:r>
      </w:hyperlink>
    </w:p>
    <w:p w14:paraId="24247446" w14:textId="3D17A603" w:rsidR="002F4384" w:rsidRPr="002F4384" w:rsidRDefault="002958F7">
      <w:pPr>
        <w:pStyle w:val="TOC2"/>
        <w:tabs>
          <w:tab w:val="left" w:pos="1134"/>
        </w:tabs>
        <w:rPr>
          <w:rFonts w:asciiTheme="minorBidi" w:eastAsiaTheme="minorEastAsia" w:hAnsiTheme="minorBidi" w:cstheme="minorBidi"/>
          <w:bCs w:val="0"/>
          <w:iCs w:val="0"/>
          <w:lang w:val="es-ES_tradnl" w:eastAsia="zh-CN"/>
        </w:rPr>
      </w:pPr>
      <w:hyperlink w:anchor="_Toc115256325" w:history="1">
        <w:r w:rsidR="002F4384" w:rsidRPr="002F4384">
          <w:rPr>
            <w:rStyle w:val="Hyperlink"/>
            <w:rFonts w:asciiTheme="minorBidi" w:hAnsiTheme="minorBidi" w:cstheme="minorBidi"/>
            <w:color w:val="auto"/>
            <w:lang w:val="es-ES_tradnl"/>
          </w:rPr>
          <w:t>4.1</w:t>
        </w:r>
        <w:r w:rsidR="002F4384" w:rsidRPr="002F4384">
          <w:rPr>
            <w:rFonts w:asciiTheme="minorBidi" w:eastAsiaTheme="minorEastAsia" w:hAnsiTheme="minorBidi" w:cstheme="minorBidi"/>
            <w:bCs w:val="0"/>
            <w:iCs w:val="0"/>
            <w:lang w:val="es-ES_tradnl" w:eastAsia="zh-CN"/>
          </w:rPr>
          <w:tab/>
        </w:r>
        <w:r w:rsidR="002F4384" w:rsidRPr="002F4384">
          <w:rPr>
            <w:rStyle w:val="Hyperlink"/>
            <w:rFonts w:asciiTheme="minorBidi" w:hAnsiTheme="minorBidi" w:cstheme="minorBidi"/>
            <w:color w:val="auto"/>
            <w:lang w:val="es-ES_tradnl"/>
          </w:rPr>
          <w:t xml:space="preserve">INFORME SOBRE LA EJECUCIÓN DEL DECENIO DE LAS NACIONES UNIDAS </w:t>
        </w:r>
        <w:r w:rsidR="002F4384" w:rsidRPr="002F4384">
          <w:rPr>
            <w:rStyle w:val="Hyperlink"/>
            <w:rFonts w:asciiTheme="minorBidi" w:hAnsiTheme="minorBidi" w:cstheme="minorBidi"/>
            <w:color w:val="auto"/>
            <w:lang w:val="es-ES_tradnl"/>
          </w:rPr>
          <w:br/>
          <w:t xml:space="preserve">DE LAS CIENCIAS OCEÁNICAS PARA EL DESARROLLO </w:t>
        </w:r>
        <w:r w:rsidR="002F4384" w:rsidRPr="002F4384">
          <w:rPr>
            <w:rStyle w:val="Hyperlink"/>
            <w:rFonts w:asciiTheme="minorBidi" w:hAnsiTheme="minorBidi" w:cstheme="minorBidi"/>
            <w:color w:val="auto"/>
            <w:lang w:val="es-ES_tradnl"/>
          </w:rPr>
          <w:br/>
          <w:t>SOSTENIBLE (2021-2030)</w:t>
        </w:r>
        <w:r w:rsidR="002F4384" w:rsidRPr="002F4384">
          <w:rPr>
            <w:rFonts w:asciiTheme="minorBidi" w:hAnsiTheme="minorBidi" w:cstheme="minorBidi"/>
            <w:webHidden/>
            <w:lang w:val="es-ES_tradnl"/>
          </w:rPr>
          <w:tab/>
        </w:r>
        <w:r w:rsidR="002F4384" w:rsidRPr="002F4384">
          <w:rPr>
            <w:rFonts w:asciiTheme="minorBidi" w:hAnsiTheme="minorBidi" w:cstheme="minorBidi"/>
            <w:webHidden/>
            <w:lang w:val="es-ES_tradnl"/>
          </w:rPr>
          <w:fldChar w:fldCharType="begin"/>
        </w:r>
        <w:r w:rsidR="002F4384" w:rsidRPr="002F4384">
          <w:rPr>
            <w:rFonts w:asciiTheme="minorBidi" w:hAnsiTheme="minorBidi" w:cstheme="minorBidi"/>
            <w:webHidden/>
            <w:lang w:val="es-ES_tradnl"/>
          </w:rPr>
          <w:instrText xml:space="preserve"> PAGEREF _Toc115256325 \h </w:instrText>
        </w:r>
        <w:r w:rsidR="002F4384" w:rsidRPr="002F4384">
          <w:rPr>
            <w:rFonts w:asciiTheme="minorBidi" w:hAnsiTheme="minorBidi" w:cstheme="minorBidi"/>
            <w:webHidden/>
            <w:lang w:val="es-ES_tradnl"/>
          </w:rPr>
        </w:r>
        <w:r w:rsidR="002F4384" w:rsidRPr="002F4384">
          <w:rPr>
            <w:rFonts w:asciiTheme="minorBidi" w:hAnsiTheme="minorBidi" w:cstheme="minorBidi"/>
            <w:webHidden/>
            <w:lang w:val="es-ES_tradnl"/>
          </w:rPr>
          <w:fldChar w:fldCharType="separate"/>
        </w:r>
        <w:r w:rsidR="00F90C4C">
          <w:rPr>
            <w:rFonts w:asciiTheme="minorBidi" w:hAnsiTheme="minorBidi" w:cstheme="minorBidi"/>
            <w:webHidden/>
            <w:lang w:val="es-ES_tradnl"/>
          </w:rPr>
          <w:t>30</w:t>
        </w:r>
        <w:r w:rsidR="002F4384" w:rsidRPr="002F4384">
          <w:rPr>
            <w:rFonts w:asciiTheme="minorBidi" w:hAnsiTheme="minorBidi" w:cstheme="minorBidi"/>
            <w:webHidden/>
            <w:lang w:val="es-ES_tradnl"/>
          </w:rPr>
          <w:fldChar w:fldCharType="end"/>
        </w:r>
      </w:hyperlink>
    </w:p>
    <w:p w14:paraId="258D7354" w14:textId="61E41AEE" w:rsidR="002F4384" w:rsidRPr="002F4384" w:rsidRDefault="002958F7">
      <w:pPr>
        <w:pStyle w:val="TOC2"/>
        <w:tabs>
          <w:tab w:val="left" w:pos="1134"/>
        </w:tabs>
        <w:rPr>
          <w:rFonts w:asciiTheme="minorBidi" w:eastAsiaTheme="minorEastAsia" w:hAnsiTheme="minorBidi" w:cstheme="minorBidi"/>
          <w:bCs w:val="0"/>
          <w:iCs w:val="0"/>
          <w:lang w:val="es-ES_tradnl" w:eastAsia="zh-CN"/>
        </w:rPr>
      </w:pPr>
      <w:hyperlink w:anchor="_Toc115256326" w:history="1">
        <w:r w:rsidR="002F4384" w:rsidRPr="002F4384">
          <w:rPr>
            <w:rStyle w:val="Hyperlink"/>
            <w:rFonts w:asciiTheme="minorBidi" w:hAnsiTheme="minorBidi" w:cstheme="minorBidi"/>
            <w:color w:val="auto"/>
            <w:lang w:val="es-ES_tradnl"/>
          </w:rPr>
          <w:t>4.2</w:t>
        </w:r>
        <w:r w:rsidR="002F4384" w:rsidRPr="002F4384">
          <w:rPr>
            <w:rFonts w:asciiTheme="minorBidi" w:eastAsiaTheme="minorEastAsia" w:hAnsiTheme="minorBidi" w:cstheme="minorBidi"/>
            <w:bCs w:val="0"/>
            <w:iCs w:val="0"/>
            <w:lang w:val="es-ES_tradnl" w:eastAsia="zh-CN"/>
          </w:rPr>
          <w:tab/>
        </w:r>
        <w:r w:rsidR="002F4384" w:rsidRPr="002F4384">
          <w:rPr>
            <w:rStyle w:val="Hyperlink"/>
            <w:rFonts w:asciiTheme="minorBidi" w:hAnsiTheme="minorBidi" w:cstheme="minorBidi"/>
            <w:color w:val="auto"/>
            <w:lang w:val="es-ES_tradnl"/>
          </w:rPr>
          <w:t>OTRAS INICIATIVAS DE LAS NACIONES UNIDAS</w:t>
        </w:r>
        <w:r w:rsidR="002F4384" w:rsidRPr="002F4384">
          <w:rPr>
            <w:rFonts w:asciiTheme="minorBidi" w:hAnsiTheme="minorBidi" w:cstheme="minorBidi"/>
            <w:webHidden/>
            <w:lang w:val="es-ES_tradnl"/>
          </w:rPr>
          <w:tab/>
        </w:r>
        <w:r w:rsidR="002F4384" w:rsidRPr="002F4384">
          <w:rPr>
            <w:rFonts w:asciiTheme="minorBidi" w:hAnsiTheme="minorBidi" w:cstheme="minorBidi"/>
            <w:webHidden/>
            <w:lang w:val="es-ES_tradnl"/>
          </w:rPr>
          <w:fldChar w:fldCharType="begin"/>
        </w:r>
        <w:r w:rsidR="002F4384" w:rsidRPr="002F4384">
          <w:rPr>
            <w:rFonts w:asciiTheme="minorBidi" w:hAnsiTheme="minorBidi" w:cstheme="minorBidi"/>
            <w:webHidden/>
            <w:lang w:val="es-ES_tradnl"/>
          </w:rPr>
          <w:instrText xml:space="preserve"> PAGEREF _Toc115256326 \h </w:instrText>
        </w:r>
        <w:r w:rsidR="002F4384" w:rsidRPr="002F4384">
          <w:rPr>
            <w:rFonts w:asciiTheme="minorBidi" w:hAnsiTheme="minorBidi" w:cstheme="minorBidi"/>
            <w:webHidden/>
            <w:lang w:val="es-ES_tradnl"/>
          </w:rPr>
        </w:r>
        <w:r w:rsidR="002F4384" w:rsidRPr="002F4384">
          <w:rPr>
            <w:rFonts w:asciiTheme="minorBidi" w:hAnsiTheme="minorBidi" w:cstheme="minorBidi"/>
            <w:webHidden/>
            <w:lang w:val="es-ES_tradnl"/>
          </w:rPr>
          <w:fldChar w:fldCharType="separate"/>
        </w:r>
        <w:r w:rsidR="00F90C4C">
          <w:rPr>
            <w:rFonts w:asciiTheme="minorBidi" w:hAnsiTheme="minorBidi" w:cstheme="minorBidi"/>
            <w:webHidden/>
            <w:lang w:val="es-ES_tradnl"/>
          </w:rPr>
          <w:t>34</w:t>
        </w:r>
        <w:r w:rsidR="002F4384" w:rsidRPr="002F4384">
          <w:rPr>
            <w:rFonts w:asciiTheme="minorBidi" w:hAnsiTheme="minorBidi" w:cstheme="minorBidi"/>
            <w:webHidden/>
            <w:lang w:val="es-ES_tradnl"/>
          </w:rPr>
          <w:fldChar w:fldCharType="end"/>
        </w:r>
      </w:hyperlink>
    </w:p>
    <w:p w14:paraId="14D08A2B" w14:textId="77777777" w:rsidR="002F4384" w:rsidRPr="002F4384" w:rsidRDefault="002F4384">
      <w:pPr>
        <w:rPr>
          <w:rStyle w:val="Hyperlink"/>
          <w:rFonts w:asciiTheme="minorBidi" w:hAnsiTheme="minorBidi" w:cstheme="minorBidi"/>
          <w:b/>
          <w:noProof/>
          <w:color w:val="auto"/>
          <w:sz w:val="22"/>
          <w:szCs w:val="22"/>
          <w:lang w:val="es-ES_tradnl"/>
        </w:rPr>
      </w:pPr>
      <w:r w:rsidRPr="002F4384">
        <w:rPr>
          <w:rStyle w:val="Hyperlink"/>
          <w:rFonts w:asciiTheme="minorBidi" w:hAnsiTheme="minorBidi" w:cstheme="minorBidi"/>
          <w:noProof/>
          <w:color w:val="auto"/>
          <w:sz w:val="22"/>
          <w:szCs w:val="22"/>
          <w:lang w:val="es-ES_tradnl"/>
        </w:rPr>
        <w:br w:type="page"/>
      </w:r>
    </w:p>
    <w:p w14:paraId="3E8E2572" w14:textId="42B1AB39" w:rsidR="002F4384" w:rsidRPr="002F4384" w:rsidRDefault="002958F7">
      <w:pPr>
        <w:pStyle w:val="TOC1"/>
        <w:rPr>
          <w:rFonts w:asciiTheme="minorBidi" w:eastAsiaTheme="minorEastAsia" w:hAnsiTheme="minorBidi" w:cstheme="minorBidi"/>
          <w:b w:val="0"/>
          <w:lang w:val="es-ES_tradnl" w:eastAsia="zh-CN"/>
        </w:rPr>
      </w:pPr>
      <w:hyperlink w:anchor="_Toc115256327" w:history="1">
        <w:r w:rsidR="002F4384" w:rsidRPr="002F4384">
          <w:rPr>
            <w:rStyle w:val="Hyperlink"/>
            <w:rFonts w:asciiTheme="minorBidi" w:hAnsiTheme="minorBidi" w:cstheme="minorBidi"/>
            <w:color w:val="auto"/>
            <w:lang w:val="es-ES_tradnl"/>
          </w:rPr>
          <w:t>5.</w:t>
        </w:r>
        <w:r w:rsidR="002F4384" w:rsidRPr="002F4384">
          <w:rPr>
            <w:rFonts w:asciiTheme="minorBidi" w:eastAsiaTheme="minorEastAsia" w:hAnsiTheme="minorBidi" w:cstheme="minorBidi"/>
            <w:b w:val="0"/>
            <w:lang w:val="es-ES_tradnl" w:eastAsia="zh-CN"/>
          </w:rPr>
          <w:tab/>
        </w:r>
        <w:r w:rsidR="002F4384" w:rsidRPr="002F4384">
          <w:rPr>
            <w:rStyle w:val="Hyperlink"/>
            <w:rFonts w:asciiTheme="minorBidi" w:hAnsiTheme="minorBidi" w:cstheme="minorBidi"/>
            <w:color w:val="auto"/>
            <w:lang w:val="es-ES_tradnl"/>
          </w:rPr>
          <w:t>GOBERNANZA, PROGRAMACIÓN Y PRESUPUESTACIÓN</w:t>
        </w:r>
        <w:r w:rsidR="002F4384" w:rsidRPr="002F4384">
          <w:rPr>
            <w:rFonts w:asciiTheme="minorBidi" w:hAnsiTheme="minorBidi" w:cstheme="minorBidi"/>
            <w:webHidden/>
            <w:lang w:val="es-ES_tradnl"/>
          </w:rPr>
          <w:tab/>
        </w:r>
        <w:r w:rsidR="002F4384" w:rsidRPr="002F4384">
          <w:rPr>
            <w:rFonts w:asciiTheme="minorBidi" w:hAnsiTheme="minorBidi" w:cstheme="minorBidi"/>
            <w:webHidden/>
            <w:lang w:val="es-ES_tradnl"/>
          </w:rPr>
          <w:fldChar w:fldCharType="begin"/>
        </w:r>
        <w:r w:rsidR="002F4384" w:rsidRPr="002F4384">
          <w:rPr>
            <w:rFonts w:asciiTheme="minorBidi" w:hAnsiTheme="minorBidi" w:cstheme="minorBidi"/>
            <w:webHidden/>
            <w:lang w:val="es-ES_tradnl"/>
          </w:rPr>
          <w:instrText xml:space="preserve"> PAGEREF _Toc115256327 \h </w:instrText>
        </w:r>
        <w:r w:rsidR="002F4384" w:rsidRPr="002F4384">
          <w:rPr>
            <w:rFonts w:asciiTheme="minorBidi" w:hAnsiTheme="minorBidi" w:cstheme="minorBidi"/>
            <w:webHidden/>
            <w:lang w:val="es-ES_tradnl"/>
          </w:rPr>
        </w:r>
        <w:r w:rsidR="002F4384" w:rsidRPr="002F4384">
          <w:rPr>
            <w:rFonts w:asciiTheme="minorBidi" w:hAnsiTheme="minorBidi" w:cstheme="minorBidi"/>
            <w:webHidden/>
            <w:lang w:val="es-ES_tradnl"/>
          </w:rPr>
          <w:fldChar w:fldCharType="separate"/>
        </w:r>
        <w:r w:rsidR="00F90C4C">
          <w:rPr>
            <w:rFonts w:asciiTheme="minorBidi" w:hAnsiTheme="minorBidi" w:cstheme="minorBidi"/>
            <w:webHidden/>
            <w:lang w:val="es-ES_tradnl"/>
          </w:rPr>
          <w:t>36</w:t>
        </w:r>
        <w:r w:rsidR="002F4384" w:rsidRPr="002F4384">
          <w:rPr>
            <w:rFonts w:asciiTheme="minorBidi" w:hAnsiTheme="minorBidi" w:cstheme="minorBidi"/>
            <w:webHidden/>
            <w:lang w:val="es-ES_tradnl"/>
          </w:rPr>
          <w:fldChar w:fldCharType="end"/>
        </w:r>
      </w:hyperlink>
    </w:p>
    <w:p w14:paraId="6E3F6EA3" w14:textId="6C228335" w:rsidR="002F4384" w:rsidRPr="002F4384" w:rsidRDefault="002958F7">
      <w:pPr>
        <w:pStyle w:val="TOC2"/>
        <w:tabs>
          <w:tab w:val="left" w:pos="1134"/>
        </w:tabs>
        <w:rPr>
          <w:rFonts w:asciiTheme="minorBidi" w:eastAsiaTheme="minorEastAsia" w:hAnsiTheme="minorBidi" w:cstheme="minorBidi"/>
          <w:bCs w:val="0"/>
          <w:iCs w:val="0"/>
          <w:lang w:val="es-ES_tradnl" w:eastAsia="zh-CN"/>
        </w:rPr>
      </w:pPr>
      <w:hyperlink w:anchor="_Toc115256328" w:history="1">
        <w:r w:rsidR="002F4384" w:rsidRPr="002F4384">
          <w:rPr>
            <w:rStyle w:val="Hyperlink"/>
            <w:rFonts w:asciiTheme="minorBidi" w:hAnsiTheme="minorBidi" w:cstheme="minorBidi"/>
            <w:color w:val="auto"/>
            <w:lang w:val="es-ES_tradnl"/>
          </w:rPr>
          <w:t>5.1</w:t>
        </w:r>
        <w:r w:rsidR="002F4384" w:rsidRPr="002F4384">
          <w:rPr>
            <w:rFonts w:asciiTheme="minorBidi" w:eastAsiaTheme="minorEastAsia" w:hAnsiTheme="minorBidi" w:cstheme="minorBidi"/>
            <w:bCs w:val="0"/>
            <w:iCs w:val="0"/>
            <w:lang w:val="es-ES_tradnl" w:eastAsia="zh-CN"/>
          </w:rPr>
          <w:tab/>
        </w:r>
        <w:r w:rsidR="002F4384" w:rsidRPr="002F4384">
          <w:rPr>
            <w:rStyle w:val="Hyperlink"/>
            <w:rFonts w:asciiTheme="minorBidi" w:hAnsiTheme="minorBidi" w:cstheme="minorBidi"/>
            <w:color w:val="auto"/>
            <w:lang w:val="es-ES_tradnl"/>
          </w:rPr>
          <w:t>APLICACIÓN DE LA RESOLUCIÓN A-31/2: ASUNTOS DE GOBERNANZA, PROGRAMACIÓN Y PRESUPUESTACIÓN DE LA COMISIÓN</w:t>
        </w:r>
        <w:r w:rsidR="002F4384" w:rsidRPr="002F4384">
          <w:rPr>
            <w:rFonts w:asciiTheme="minorBidi" w:hAnsiTheme="minorBidi" w:cstheme="minorBidi"/>
            <w:webHidden/>
            <w:lang w:val="es-ES_tradnl"/>
          </w:rPr>
          <w:tab/>
        </w:r>
        <w:r w:rsidR="002F4384" w:rsidRPr="002F4384">
          <w:rPr>
            <w:rFonts w:asciiTheme="minorBidi" w:hAnsiTheme="minorBidi" w:cstheme="minorBidi"/>
            <w:webHidden/>
            <w:lang w:val="es-ES_tradnl"/>
          </w:rPr>
          <w:fldChar w:fldCharType="begin"/>
        </w:r>
        <w:r w:rsidR="002F4384" w:rsidRPr="002F4384">
          <w:rPr>
            <w:rFonts w:asciiTheme="minorBidi" w:hAnsiTheme="minorBidi" w:cstheme="minorBidi"/>
            <w:webHidden/>
            <w:lang w:val="es-ES_tradnl"/>
          </w:rPr>
          <w:instrText xml:space="preserve"> PAGEREF _Toc115256328 \h </w:instrText>
        </w:r>
        <w:r w:rsidR="002F4384" w:rsidRPr="002F4384">
          <w:rPr>
            <w:rFonts w:asciiTheme="minorBidi" w:hAnsiTheme="minorBidi" w:cstheme="minorBidi"/>
            <w:webHidden/>
            <w:lang w:val="es-ES_tradnl"/>
          </w:rPr>
        </w:r>
        <w:r w:rsidR="002F4384" w:rsidRPr="002F4384">
          <w:rPr>
            <w:rFonts w:asciiTheme="minorBidi" w:hAnsiTheme="minorBidi" w:cstheme="minorBidi"/>
            <w:webHidden/>
            <w:lang w:val="es-ES_tradnl"/>
          </w:rPr>
          <w:fldChar w:fldCharType="separate"/>
        </w:r>
        <w:r w:rsidR="00F90C4C">
          <w:rPr>
            <w:rFonts w:asciiTheme="minorBidi" w:hAnsiTheme="minorBidi" w:cstheme="minorBidi"/>
            <w:webHidden/>
            <w:lang w:val="es-ES_tradnl"/>
          </w:rPr>
          <w:t>36</w:t>
        </w:r>
        <w:r w:rsidR="002F4384" w:rsidRPr="002F4384">
          <w:rPr>
            <w:rFonts w:asciiTheme="minorBidi" w:hAnsiTheme="minorBidi" w:cstheme="minorBidi"/>
            <w:webHidden/>
            <w:lang w:val="es-ES_tradnl"/>
          </w:rPr>
          <w:fldChar w:fldCharType="end"/>
        </w:r>
      </w:hyperlink>
    </w:p>
    <w:p w14:paraId="12845675" w14:textId="5260BB74" w:rsidR="002F4384" w:rsidRPr="002F4384" w:rsidRDefault="002958F7">
      <w:pPr>
        <w:pStyle w:val="TOC2"/>
        <w:tabs>
          <w:tab w:val="left" w:pos="1134"/>
        </w:tabs>
        <w:rPr>
          <w:rFonts w:asciiTheme="minorBidi" w:eastAsiaTheme="minorEastAsia" w:hAnsiTheme="minorBidi" w:cstheme="minorBidi"/>
          <w:bCs w:val="0"/>
          <w:iCs w:val="0"/>
          <w:lang w:val="es-ES_tradnl" w:eastAsia="zh-CN"/>
        </w:rPr>
      </w:pPr>
      <w:hyperlink w:anchor="_Toc115256329" w:history="1">
        <w:r w:rsidR="002F4384" w:rsidRPr="002F4384">
          <w:rPr>
            <w:rStyle w:val="Hyperlink"/>
            <w:rFonts w:asciiTheme="minorBidi" w:hAnsiTheme="minorBidi" w:cstheme="minorBidi"/>
            <w:color w:val="auto"/>
            <w:lang w:val="es-ES_tradnl"/>
          </w:rPr>
          <w:t>5.2</w:t>
        </w:r>
        <w:r w:rsidR="002F4384" w:rsidRPr="002F4384">
          <w:rPr>
            <w:rFonts w:asciiTheme="minorBidi" w:eastAsiaTheme="minorEastAsia" w:hAnsiTheme="minorBidi" w:cstheme="minorBidi"/>
            <w:bCs w:val="0"/>
            <w:iCs w:val="0"/>
            <w:lang w:val="es-ES_tradnl" w:eastAsia="zh-CN"/>
          </w:rPr>
          <w:tab/>
        </w:r>
        <w:r w:rsidR="002F4384" w:rsidRPr="002F4384">
          <w:rPr>
            <w:rStyle w:val="Hyperlink"/>
            <w:rFonts w:asciiTheme="minorBidi" w:hAnsiTheme="minorBidi" w:cstheme="minorBidi"/>
            <w:color w:val="auto"/>
            <w:lang w:val="es-ES_tradnl"/>
          </w:rPr>
          <w:t>INFORME DEL PRESIDENTE DEL COMITÉ DE FINANZAS</w:t>
        </w:r>
        <w:r w:rsidR="002F4384" w:rsidRPr="002F4384">
          <w:rPr>
            <w:rFonts w:asciiTheme="minorBidi" w:hAnsiTheme="minorBidi" w:cstheme="minorBidi"/>
            <w:webHidden/>
            <w:lang w:val="es-ES_tradnl"/>
          </w:rPr>
          <w:tab/>
        </w:r>
        <w:r w:rsidR="002F4384" w:rsidRPr="002F4384">
          <w:rPr>
            <w:rFonts w:asciiTheme="minorBidi" w:hAnsiTheme="minorBidi" w:cstheme="minorBidi"/>
            <w:webHidden/>
            <w:lang w:val="es-ES_tradnl"/>
          </w:rPr>
          <w:fldChar w:fldCharType="begin"/>
        </w:r>
        <w:r w:rsidR="002F4384" w:rsidRPr="002F4384">
          <w:rPr>
            <w:rFonts w:asciiTheme="minorBidi" w:hAnsiTheme="minorBidi" w:cstheme="minorBidi"/>
            <w:webHidden/>
            <w:lang w:val="es-ES_tradnl"/>
          </w:rPr>
          <w:instrText xml:space="preserve"> PAGEREF _Toc115256329 \h </w:instrText>
        </w:r>
        <w:r w:rsidR="002F4384" w:rsidRPr="002F4384">
          <w:rPr>
            <w:rFonts w:asciiTheme="minorBidi" w:hAnsiTheme="minorBidi" w:cstheme="minorBidi"/>
            <w:webHidden/>
            <w:lang w:val="es-ES_tradnl"/>
          </w:rPr>
        </w:r>
        <w:r w:rsidR="002F4384" w:rsidRPr="002F4384">
          <w:rPr>
            <w:rFonts w:asciiTheme="minorBidi" w:hAnsiTheme="minorBidi" w:cstheme="minorBidi"/>
            <w:webHidden/>
            <w:lang w:val="es-ES_tradnl"/>
          </w:rPr>
          <w:fldChar w:fldCharType="separate"/>
        </w:r>
        <w:r w:rsidR="00F90C4C">
          <w:rPr>
            <w:rFonts w:asciiTheme="minorBidi" w:hAnsiTheme="minorBidi" w:cstheme="minorBidi"/>
            <w:webHidden/>
            <w:lang w:val="es-ES_tradnl"/>
          </w:rPr>
          <w:t>37</w:t>
        </w:r>
        <w:r w:rsidR="002F4384" w:rsidRPr="002F4384">
          <w:rPr>
            <w:rFonts w:asciiTheme="minorBidi" w:hAnsiTheme="minorBidi" w:cstheme="minorBidi"/>
            <w:webHidden/>
            <w:lang w:val="es-ES_tradnl"/>
          </w:rPr>
          <w:fldChar w:fldCharType="end"/>
        </w:r>
      </w:hyperlink>
    </w:p>
    <w:p w14:paraId="79F58810" w14:textId="0CACE447" w:rsidR="002F4384" w:rsidRPr="002F4384" w:rsidRDefault="002958F7">
      <w:pPr>
        <w:pStyle w:val="TOC2"/>
        <w:tabs>
          <w:tab w:val="left" w:pos="1134"/>
        </w:tabs>
        <w:rPr>
          <w:rFonts w:asciiTheme="minorBidi" w:eastAsiaTheme="minorEastAsia" w:hAnsiTheme="minorBidi" w:cstheme="minorBidi"/>
          <w:bCs w:val="0"/>
          <w:iCs w:val="0"/>
          <w:lang w:val="es-ES_tradnl" w:eastAsia="zh-CN"/>
        </w:rPr>
      </w:pPr>
      <w:hyperlink w:anchor="_Toc115256330" w:history="1">
        <w:r w:rsidR="002F4384" w:rsidRPr="002F4384">
          <w:rPr>
            <w:rStyle w:val="Hyperlink"/>
            <w:rFonts w:asciiTheme="minorBidi" w:hAnsiTheme="minorBidi" w:cstheme="minorBidi"/>
            <w:color w:val="auto"/>
            <w:lang w:val="es-ES_tradnl"/>
          </w:rPr>
          <w:t>5.3</w:t>
        </w:r>
        <w:r w:rsidR="002F4384" w:rsidRPr="002F4384">
          <w:rPr>
            <w:rFonts w:asciiTheme="minorBidi" w:eastAsiaTheme="minorEastAsia" w:hAnsiTheme="minorBidi" w:cstheme="minorBidi"/>
            <w:bCs w:val="0"/>
            <w:iCs w:val="0"/>
            <w:lang w:val="es-ES_tradnl" w:eastAsia="zh-CN"/>
          </w:rPr>
          <w:tab/>
        </w:r>
        <w:r w:rsidR="002F4384" w:rsidRPr="002F4384">
          <w:rPr>
            <w:rStyle w:val="Hyperlink"/>
            <w:rFonts w:asciiTheme="minorBidi" w:hAnsiTheme="minorBidi" w:cstheme="minorBidi"/>
            <w:color w:val="auto"/>
            <w:lang w:val="es-ES_tradnl"/>
          </w:rPr>
          <w:t>PREPARACIÓN DE LAS PRÓXIMAS REUNIONES DE LA ASAMBLEA Y DEL CONSEJO EJECUTIVO</w:t>
        </w:r>
        <w:r w:rsidR="002F4384" w:rsidRPr="002F4384">
          <w:rPr>
            <w:rFonts w:asciiTheme="minorBidi" w:hAnsiTheme="minorBidi" w:cstheme="minorBidi"/>
            <w:webHidden/>
            <w:lang w:val="es-ES_tradnl"/>
          </w:rPr>
          <w:tab/>
        </w:r>
        <w:r w:rsidR="002F4384" w:rsidRPr="002F4384">
          <w:rPr>
            <w:rFonts w:asciiTheme="minorBidi" w:hAnsiTheme="minorBidi" w:cstheme="minorBidi"/>
            <w:webHidden/>
            <w:lang w:val="es-ES_tradnl"/>
          </w:rPr>
          <w:fldChar w:fldCharType="begin"/>
        </w:r>
        <w:r w:rsidR="002F4384" w:rsidRPr="002F4384">
          <w:rPr>
            <w:rFonts w:asciiTheme="minorBidi" w:hAnsiTheme="minorBidi" w:cstheme="minorBidi"/>
            <w:webHidden/>
            <w:lang w:val="es-ES_tradnl"/>
          </w:rPr>
          <w:instrText xml:space="preserve"> PAGEREF _Toc115256330 \h </w:instrText>
        </w:r>
        <w:r w:rsidR="002F4384" w:rsidRPr="002F4384">
          <w:rPr>
            <w:rFonts w:asciiTheme="minorBidi" w:hAnsiTheme="minorBidi" w:cstheme="minorBidi"/>
            <w:webHidden/>
            <w:lang w:val="es-ES_tradnl"/>
          </w:rPr>
        </w:r>
        <w:r w:rsidR="002F4384" w:rsidRPr="002F4384">
          <w:rPr>
            <w:rFonts w:asciiTheme="minorBidi" w:hAnsiTheme="minorBidi" w:cstheme="minorBidi"/>
            <w:webHidden/>
            <w:lang w:val="es-ES_tradnl"/>
          </w:rPr>
          <w:fldChar w:fldCharType="separate"/>
        </w:r>
        <w:r w:rsidR="00F90C4C">
          <w:rPr>
            <w:rFonts w:asciiTheme="minorBidi" w:hAnsiTheme="minorBidi" w:cstheme="minorBidi"/>
            <w:webHidden/>
            <w:lang w:val="es-ES_tradnl"/>
          </w:rPr>
          <w:t>41</w:t>
        </w:r>
        <w:r w:rsidR="002F4384" w:rsidRPr="002F4384">
          <w:rPr>
            <w:rFonts w:asciiTheme="minorBidi" w:hAnsiTheme="minorBidi" w:cstheme="minorBidi"/>
            <w:webHidden/>
            <w:lang w:val="es-ES_tradnl"/>
          </w:rPr>
          <w:fldChar w:fldCharType="end"/>
        </w:r>
      </w:hyperlink>
    </w:p>
    <w:p w14:paraId="5B71CB8A" w14:textId="039E90A6" w:rsidR="002F4384" w:rsidRPr="002F4384" w:rsidRDefault="002958F7">
      <w:pPr>
        <w:pStyle w:val="TOC1"/>
        <w:rPr>
          <w:rFonts w:asciiTheme="minorBidi" w:eastAsiaTheme="minorEastAsia" w:hAnsiTheme="minorBidi" w:cstheme="minorBidi"/>
          <w:b w:val="0"/>
          <w:lang w:val="es-ES_tradnl" w:eastAsia="zh-CN"/>
        </w:rPr>
      </w:pPr>
      <w:hyperlink w:anchor="_Toc115256331" w:history="1">
        <w:r w:rsidR="002F4384" w:rsidRPr="002F4384">
          <w:rPr>
            <w:rStyle w:val="Hyperlink"/>
            <w:rFonts w:asciiTheme="minorBidi" w:hAnsiTheme="minorBidi" w:cstheme="minorBidi"/>
            <w:color w:val="auto"/>
            <w:lang w:val="es-ES_tradnl"/>
          </w:rPr>
          <w:t>6.</w:t>
        </w:r>
        <w:r w:rsidR="002F4384" w:rsidRPr="002F4384">
          <w:rPr>
            <w:rFonts w:asciiTheme="minorBidi" w:eastAsiaTheme="minorEastAsia" w:hAnsiTheme="minorBidi" w:cstheme="minorBidi"/>
            <w:b w:val="0"/>
            <w:lang w:val="es-ES_tradnl" w:eastAsia="zh-CN"/>
          </w:rPr>
          <w:tab/>
        </w:r>
        <w:r w:rsidR="002F4384" w:rsidRPr="002F4384">
          <w:rPr>
            <w:rStyle w:val="Hyperlink"/>
            <w:rFonts w:asciiTheme="minorBidi" w:hAnsiTheme="minorBidi" w:cstheme="minorBidi"/>
            <w:color w:val="auto"/>
            <w:lang w:val="es-ES_tradnl"/>
          </w:rPr>
          <w:t>APROBACIÓN DE LAS RESOLUCIONES Y MODALIDADES PARA LA FINALIZACIÓN DEL INFORME</w:t>
        </w:r>
        <w:r w:rsidR="002F4384" w:rsidRPr="002F4384">
          <w:rPr>
            <w:rFonts w:asciiTheme="minorBidi" w:hAnsiTheme="minorBidi" w:cstheme="minorBidi"/>
            <w:webHidden/>
            <w:lang w:val="es-ES_tradnl"/>
          </w:rPr>
          <w:tab/>
        </w:r>
        <w:r w:rsidR="002F4384" w:rsidRPr="002F4384">
          <w:rPr>
            <w:rFonts w:asciiTheme="minorBidi" w:hAnsiTheme="minorBidi" w:cstheme="minorBidi"/>
            <w:webHidden/>
            <w:lang w:val="es-ES_tradnl"/>
          </w:rPr>
          <w:fldChar w:fldCharType="begin"/>
        </w:r>
        <w:r w:rsidR="002F4384" w:rsidRPr="002F4384">
          <w:rPr>
            <w:rFonts w:asciiTheme="minorBidi" w:hAnsiTheme="minorBidi" w:cstheme="minorBidi"/>
            <w:webHidden/>
            <w:lang w:val="es-ES_tradnl"/>
          </w:rPr>
          <w:instrText xml:space="preserve"> PAGEREF _Toc115256331 \h </w:instrText>
        </w:r>
        <w:r w:rsidR="002F4384" w:rsidRPr="002F4384">
          <w:rPr>
            <w:rFonts w:asciiTheme="minorBidi" w:hAnsiTheme="minorBidi" w:cstheme="minorBidi"/>
            <w:webHidden/>
            <w:lang w:val="es-ES_tradnl"/>
          </w:rPr>
        </w:r>
        <w:r w:rsidR="002F4384" w:rsidRPr="002F4384">
          <w:rPr>
            <w:rFonts w:asciiTheme="minorBidi" w:hAnsiTheme="minorBidi" w:cstheme="minorBidi"/>
            <w:webHidden/>
            <w:lang w:val="es-ES_tradnl"/>
          </w:rPr>
          <w:fldChar w:fldCharType="separate"/>
        </w:r>
        <w:r w:rsidR="00F90C4C">
          <w:rPr>
            <w:rFonts w:asciiTheme="minorBidi" w:hAnsiTheme="minorBidi" w:cstheme="minorBidi"/>
            <w:webHidden/>
            <w:lang w:val="es-ES_tradnl"/>
          </w:rPr>
          <w:t>42</w:t>
        </w:r>
        <w:r w:rsidR="002F4384" w:rsidRPr="002F4384">
          <w:rPr>
            <w:rFonts w:asciiTheme="minorBidi" w:hAnsiTheme="minorBidi" w:cstheme="minorBidi"/>
            <w:webHidden/>
            <w:lang w:val="es-ES_tradnl"/>
          </w:rPr>
          <w:fldChar w:fldCharType="end"/>
        </w:r>
      </w:hyperlink>
    </w:p>
    <w:p w14:paraId="379A658B" w14:textId="4EE06FE6" w:rsidR="002F4384" w:rsidRPr="002F4384" w:rsidRDefault="002958F7">
      <w:pPr>
        <w:pStyle w:val="TOC1"/>
        <w:rPr>
          <w:rFonts w:asciiTheme="minorBidi" w:eastAsiaTheme="minorEastAsia" w:hAnsiTheme="minorBidi" w:cstheme="minorBidi"/>
          <w:b w:val="0"/>
          <w:lang w:val="es-ES_tradnl" w:eastAsia="zh-CN"/>
        </w:rPr>
      </w:pPr>
      <w:hyperlink w:anchor="_Toc115256332" w:history="1">
        <w:r w:rsidR="002F4384" w:rsidRPr="002F4384">
          <w:rPr>
            <w:rStyle w:val="Hyperlink"/>
            <w:rFonts w:asciiTheme="minorBidi" w:hAnsiTheme="minorBidi" w:cstheme="minorBidi"/>
            <w:color w:val="auto"/>
            <w:lang w:val="es-ES_tradnl"/>
          </w:rPr>
          <w:t>7.</w:t>
        </w:r>
        <w:r w:rsidR="002F4384" w:rsidRPr="002F4384">
          <w:rPr>
            <w:rFonts w:asciiTheme="minorBidi" w:eastAsiaTheme="minorEastAsia" w:hAnsiTheme="minorBidi" w:cstheme="minorBidi"/>
            <w:b w:val="0"/>
            <w:lang w:val="es-ES_tradnl" w:eastAsia="zh-CN"/>
          </w:rPr>
          <w:tab/>
        </w:r>
        <w:r w:rsidR="002F4384" w:rsidRPr="002F4384">
          <w:rPr>
            <w:rStyle w:val="Hyperlink"/>
            <w:rFonts w:asciiTheme="minorBidi" w:hAnsiTheme="minorBidi" w:cstheme="minorBidi"/>
            <w:color w:val="auto"/>
            <w:lang w:val="es-ES_tradnl"/>
          </w:rPr>
          <w:t>CLAUSURA</w:t>
        </w:r>
        <w:r w:rsidR="002F4384" w:rsidRPr="002F4384">
          <w:rPr>
            <w:rFonts w:asciiTheme="minorBidi" w:hAnsiTheme="minorBidi" w:cstheme="minorBidi"/>
            <w:webHidden/>
            <w:lang w:val="es-ES_tradnl"/>
          </w:rPr>
          <w:tab/>
        </w:r>
        <w:r w:rsidR="002F4384" w:rsidRPr="002F4384">
          <w:rPr>
            <w:rFonts w:asciiTheme="minorBidi" w:hAnsiTheme="minorBidi" w:cstheme="minorBidi"/>
            <w:webHidden/>
            <w:lang w:val="es-ES_tradnl"/>
          </w:rPr>
          <w:fldChar w:fldCharType="begin"/>
        </w:r>
        <w:r w:rsidR="002F4384" w:rsidRPr="002F4384">
          <w:rPr>
            <w:rFonts w:asciiTheme="minorBidi" w:hAnsiTheme="minorBidi" w:cstheme="minorBidi"/>
            <w:webHidden/>
            <w:lang w:val="es-ES_tradnl"/>
          </w:rPr>
          <w:instrText xml:space="preserve"> PAGEREF _Toc115256332 \h </w:instrText>
        </w:r>
        <w:r w:rsidR="002F4384" w:rsidRPr="002F4384">
          <w:rPr>
            <w:rFonts w:asciiTheme="minorBidi" w:hAnsiTheme="minorBidi" w:cstheme="minorBidi"/>
            <w:webHidden/>
            <w:lang w:val="es-ES_tradnl"/>
          </w:rPr>
        </w:r>
        <w:r w:rsidR="002F4384" w:rsidRPr="002F4384">
          <w:rPr>
            <w:rFonts w:asciiTheme="minorBidi" w:hAnsiTheme="minorBidi" w:cstheme="minorBidi"/>
            <w:webHidden/>
            <w:lang w:val="es-ES_tradnl"/>
          </w:rPr>
          <w:fldChar w:fldCharType="separate"/>
        </w:r>
        <w:r w:rsidR="00F90C4C">
          <w:rPr>
            <w:rFonts w:asciiTheme="minorBidi" w:hAnsiTheme="minorBidi" w:cstheme="minorBidi"/>
            <w:webHidden/>
            <w:lang w:val="es-ES_tradnl"/>
          </w:rPr>
          <w:t>42</w:t>
        </w:r>
        <w:r w:rsidR="002F4384" w:rsidRPr="002F4384">
          <w:rPr>
            <w:rFonts w:asciiTheme="minorBidi" w:hAnsiTheme="minorBidi" w:cstheme="minorBidi"/>
            <w:webHidden/>
            <w:lang w:val="es-ES_tradnl"/>
          </w:rPr>
          <w:fldChar w:fldCharType="end"/>
        </w:r>
      </w:hyperlink>
    </w:p>
    <w:p w14:paraId="3149434C" w14:textId="39365B5D" w:rsidR="0070600C" w:rsidRPr="002F4384" w:rsidRDefault="0028091E" w:rsidP="00400E24">
      <w:pPr>
        <w:rPr>
          <w:rFonts w:asciiTheme="minorBidi" w:hAnsiTheme="minorBidi" w:cstheme="minorBidi"/>
          <w:sz w:val="22"/>
          <w:szCs w:val="22"/>
          <w:lang w:val="es-ES_tradnl"/>
        </w:rPr>
      </w:pPr>
      <w:r w:rsidRPr="002F4384">
        <w:rPr>
          <w:rFonts w:asciiTheme="minorBidi" w:hAnsiTheme="minorBidi" w:cstheme="minorBidi"/>
          <w:b/>
          <w:sz w:val="22"/>
          <w:szCs w:val="22"/>
          <w:lang w:val="es-ES_tradnl"/>
        </w:rPr>
        <w:fldChar w:fldCharType="end"/>
      </w:r>
    </w:p>
    <w:p w14:paraId="62A78C5B" w14:textId="77777777" w:rsidR="00DB6568" w:rsidRPr="002F4384" w:rsidRDefault="00DB6568" w:rsidP="00424C61">
      <w:pPr>
        <w:pStyle w:val="Heading2"/>
        <w:spacing w:before="120"/>
        <w:ind w:left="720" w:hanging="720"/>
        <w:rPr>
          <w:rFonts w:asciiTheme="minorBidi" w:hAnsiTheme="minorBidi" w:cstheme="minorBidi"/>
          <w:szCs w:val="22"/>
          <w:lang w:val="es-ES_tradnl"/>
        </w:rPr>
        <w:sectPr w:rsidR="00DB6568" w:rsidRPr="002F4384" w:rsidSect="001D1E68">
          <w:headerReference w:type="even" r:id="rId14"/>
          <w:headerReference w:type="default" r:id="rId15"/>
          <w:footerReference w:type="default" r:id="rId16"/>
          <w:headerReference w:type="first" r:id="rId17"/>
          <w:pgSz w:w="11907" w:h="16840" w:code="9"/>
          <w:pgMar w:top="1418" w:right="1134" w:bottom="1389" w:left="1134" w:header="851" w:footer="737" w:gutter="0"/>
          <w:pgNumType w:fmt="lowerRoman" w:start="1"/>
          <w:cols w:space="708"/>
          <w:docGrid w:linePitch="360"/>
        </w:sectPr>
      </w:pPr>
      <w:bookmarkStart w:id="6" w:name="_Toc196145691"/>
      <w:bookmarkStart w:id="7" w:name="_Toc199912183"/>
      <w:bookmarkStart w:id="8" w:name="_Toc225590790"/>
      <w:bookmarkStart w:id="9" w:name="_Toc225660251"/>
      <w:bookmarkStart w:id="10" w:name="_Toc227580615"/>
      <w:bookmarkStart w:id="11" w:name="_Toc289696419"/>
      <w:bookmarkStart w:id="12" w:name="_Toc357517544"/>
      <w:bookmarkStart w:id="13" w:name="_Toc358657257"/>
    </w:p>
    <w:p w14:paraId="50C05F6A" w14:textId="77777777" w:rsidR="00AE29AC" w:rsidRPr="002F4384" w:rsidRDefault="00667651" w:rsidP="00582CEC">
      <w:pPr>
        <w:pStyle w:val="Heading1"/>
        <w:numPr>
          <w:ilvl w:val="0"/>
          <w:numId w:val="8"/>
        </w:numPr>
        <w:spacing w:before="360"/>
        <w:ind w:left="709" w:hanging="720"/>
        <w:rPr>
          <w:rFonts w:asciiTheme="minorBidi" w:hAnsiTheme="minorBidi" w:cstheme="minorBidi"/>
          <w:szCs w:val="22"/>
          <w:lang w:val="es-ES_tradnl"/>
        </w:rPr>
      </w:pPr>
      <w:bookmarkStart w:id="14" w:name="_Toc415051548"/>
      <w:bookmarkStart w:id="15" w:name="_Toc445908043"/>
      <w:bookmarkStart w:id="16" w:name="_Toc57369044"/>
      <w:bookmarkStart w:id="17" w:name="_Toc85469052"/>
      <w:bookmarkStart w:id="18" w:name="_Toc115256307"/>
      <w:r w:rsidRPr="002F4384">
        <w:rPr>
          <w:rFonts w:asciiTheme="minorBidi" w:hAnsiTheme="minorBidi" w:cstheme="minorBidi"/>
          <w:szCs w:val="22"/>
          <w:lang w:val="es-ES_tradnl"/>
        </w:rPr>
        <w:lastRenderedPageBreak/>
        <w:t>APERTURA DE LA REUNIÓN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F1955F9" w14:textId="1D9A43C7" w:rsidR="00FD54F3" w:rsidRPr="002F4384" w:rsidRDefault="00EC10EA" w:rsidP="000E31F0">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Presidente, el Sr. Ariel Hernán Troisi, inauguró la 55ª reunión del Consejo Ejecutivo de la COI </w:t>
      </w:r>
      <w:r w:rsidR="003126A1" w:rsidRPr="002F4384">
        <w:rPr>
          <w:rFonts w:asciiTheme="minorBidi" w:hAnsiTheme="minorBidi" w:cstheme="minorBidi"/>
          <w:lang w:val="es-ES_tradnl"/>
        </w:rPr>
        <w:t>a las 10</w:t>
      </w:r>
      <w:r w:rsidR="00EC041C" w:rsidRPr="002F4384">
        <w:rPr>
          <w:rFonts w:asciiTheme="minorBidi" w:hAnsiTheme="minorBidi" w:cstheme="minorBidi"/>
          <w:lang w:val="es-ES_tradnl"/>
        </w:rPr>
        <w:t>:</w:t>
      </w:r>
      <w:r w:rsidR="003126A1" w:rsidRPr="002F4384">
        <w:rPr>
          <w:rFonts w:asciiTheme="minorBidi" w:hAnsiTheme="minorBidi" w:cstheme="minorBidi"/>
          <w:lang w:val="es-ES_tradnl"/>
        </w:rPr>
        <w:t>00 horas</w:t>
      </w:r>
      <w:r w:rsidRPr="002F4384">
        <w:rPr>
          <w:rFonts w:asciiTheme="minorBidi" w:hAnsiTheme="minorBidi" w:cstheme="minorBidi"/>
          <w:lang w:val="es-ES_tradnl"/>
        </w:rPr>
        <w:t xml:space="preserve">. </w:t>
      </w:r>
    </w:p>
    <w:p w14:paraId="225B255D" w14:textId="4226FCEA" w:rsidR="00E11289" w:rsidRPr="002F4384" w:rsidRDefault="00E11289" w:rsidP="00467513">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El Director General Adjunto de la UNESCO, el Sr. Xing Qu, dio la bienvenida al Consejo Ejecutivo de la COI en nombre de la Directora General de la UNESCO, la Sra. Audrey Azoulay.</w:t>
      </w:r>
      <w:r w:rsidR="00576C33" w:rsidRPr="002F4384">
        <w:rPr>
          <w:rFonts w:asciiTheme="minorBidi" w:hAnsiTheme="minorBidi" w:cstheme="minorBidi"/>
          <w:lang w:val="es-ES_tradnl"/>
        </w:rPr>
        <w:t xml:space="preserve"> En su intervención, el Director General Adjunto reconoció que el Decenio del Océano era una oportunidad que la UNESCO y la COI debían aprovechar para comprender y proteger mejor los océanos y crear conciencia sobre ellos. Mencionó el marco único de la Comisión, que permit</w:t>
      </w:r>
      <w:r w:rsidR="006E5A60" w:rsidRPr="002F4384">
        <w:rPr>
          <w:rFonts w:asciiTheme="minorBidi" w:hAnsiTheme="minorBidi" w:cstheme="minorBidi"/>
          <w:lang w:val="es-ES_tradnl"/>
        </w:rPr>
        <w:t>ía</w:t>
      </w:r>
      <w:r w:rsidR="00576C33" w:rsidRPr="002F4384">
        <w:rPr>
          <w:rFonts w:asciiTheme="minorBidi" w:hAnsiTheme="minorBidi" w:cstheme="minorBidi"/>
          <w:lang w:val="es-ES_tradnl"/>
        </w:rPr>
        <w:t xml:space="preserve"> afrontar los desafíos </w:t>
      </w:r>
      <w:r w:rsidR="00DD7665" w:rsidRPr="002F4384">
        <w:rPr>
          <w:rFonts w:asciiTheme="minorBidi" w:hAnsiTheme="minorBidi" w:cstheme="minorBidi"/>
          <w:lang w:val="es-ES_tradnl"/>
        </w:rPr>
        <w:t>que plantea</w:t>
      </w:r>
      <w:r w:rsidR="006E5A60" w:rsidRPr="002F4384">
        <w:rPr>
          <w:rFonts w:asciiTheme="minorBidi" w:hAnsiTheme="minorBidi" w:cstheme="minorBidi"/>
          <w:lang w:val="es-ES_tradnl"/>
        </w:rPr>
        <w:t>ba</w:t>
      </w:r>
      <w:r w:rsidR="00576C33" w:rsidRPr="002F4384">
        <w:rPr>
          <w:rFonts w:asciiTheme="minorBidi" w:hAnsiTheme="minorBidi" w:cstheme="minorBidi"/>
          <w:lang w:val="es-ES_tradnl"/>
        </w:rPr>
        <w:t xml:space="preserve"> la profundización de nuestros conocimientos científicos sobre el océano y orientar nuestras actividades para proteger mejor este recurso vital</w:t>
      </w:r>
      <w:r w:rsidR="00DD7665" w:rsidRPr="002F4384">
        <w:rPr>
          <w:rFonts w:asciiTheme="minorBidi" w:hAnsiTheme="minorBidi" w:cstheme="minorBidi"/>
          <w:lang w:val="es-ES_tradnl"/>
        </w:rPr>
        <w:t xml:space="preserve"> (e</w:t>
      </w:r>
      <w:r w:rsidR="006E5A60" w:rsidRPr="002F4384">
        <w:rPr>
          <w:rFonts w:asciiTheme="minorBidi" w:hAnsiTheme="minorBidi" w:cstheme="minorBidi"/>
          <w:lang w:val="es-ES_tradnl"/>
        </w:rPr>
        <w:t>n e</w:t>
      </w:r>
      <w:r w:rsidR="00DD7665" w:rsidRPr="002F4384">
        <w:rPr>
          <w:rFonts w:asciiTheme="minorBidi" w:hAnsiTheme="minorBidi" w:cstheme="minorBidi"/>
          <w:lang w:val="es-ES_tradnl"/>
        </w:rPr>
        <w:t xml:space="preserve">l anexo __ </w:t>
      </w:r>
      <w:r w:rsidR="006E5A60" w:rsidRPr="002F4384">
        <w:rPr>
          <w:rFonts w:asciiTheme="minorBidi" w:hAnsiTheme="minorBidi" w:cstheme="minorBidi"/>
          <w:lang w:val="es-ES_tradnl"/>
        </w:rPr>
        <w:t>figura</w:t>
      </w:r>
      <w:r w:rsidR="00DD7665" w:rsidRPr="002F4384">
        <w:rPr>
          <w:rFonts w:asciiTheme="minorBidi" w:hAnsiTheme="minorBidi" w:cstheme="minorBidi"/>
          <w:lang w:val="es-ES_tradnl"/>
        </w:rPr>
        <w:t xml:space="preserve"> el texto completo).</w:t>
      </w:r>
    </w:p>
    <w:p w14:paraId="5BE3E9BB" w14:textId="2C5721B6" w:rsidR="009217FE" w:rsidRPr="002F4384" w:rsidRDefault="006E0756" w:rsidP="009D6EEE">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El Presidente dio las gracias a</w:t>
      </w:r>
      <w:r w:rsidR="00DD7665" w:rsidRPr="002F4384">
        <w:rPr>
          <w:rFonts w:asciiTheme="minorBidi" w:hAnsiTheme="minorBidi" w:cstheme="minorBidi"/>
          <w:lang w:val="es-ES_tradnl"/>
        </w:rPr>
        <w:t>l Director General Adjunto y le pidió que transmitiera a la</w:t>
      </w:r>
      <w:r w:rsidRPr="002F4384">
        <w:rPr>
          <w:rFonts w:asciiTheme="minorBidi" w:hAnsiTheme="minorBidi" w:cstheme="minorBidi"/>
          <w:lang w:val="es-ES_tradnl"/>
        </w:rPr>
        <w:t xml:space="preserve"> Director</w:t>
      </w:r>
      <w:r w:rsidR="00DD7665" w:rsidRPr="002F4384">
        <w:rPr>
          <w:rFonts w:asciiTheme="minorBidi" w:hAnsiTheme="minorBidi" w:cstheme="minorBidi"/>
          <w:lang w:val="es-ES_tradnl"/>
        </w:rPr>
        <w:t>a</w:t>
      </w:r>
      <w:r w:rsidRPr="002F4384">
        <w:rPr>
          <w:rFonts w:asciiTheme="minorBidi" w:hAnsiTheme="minorBidi" w:cstheme="minorBidi"/>
          <w:lang w:val="es-ES_tradnl"/>
        </w:rPr>
        <w:t xml:space="preserve"> General </w:t>
      </w:r>
      <w:r w:rsidR="00DD7665" w:rsidRPr="002F4384">
        <w:rPr>
          <w:rFonts w:asciiTheme="minorBidi" w:hAnsiTheme="minorBidi" w:cstheme="minorBidi"/>
          <w:lang w:val="es-ES_tradnl"/>
        </w:rPr>
        <w:t xml:space="preserve">el profundo reconocimiento de los Estados Miembros de la COI </w:t>
      </w:r>
      <w:r w:rsidRPr="002F4384">
        <w:rPr>
          <w:rFonts w:asciiTheme="minorBidi" w:hAnsiTheme="minorBidi" w:cstheme="minorBidi"/>
          <w:lang w:val="es-ES_tradnl"/>
        </w:rPr>
        <w:t xml:space="preserve">por </w:t>
      </w:r>
      <w:r w:rsidR="006E5A60" w:rsidRPr="002F4384">
        <w:rPr>
          <w:rFonts w:asciiTheme="minorBidi" w:hAnsiTheme="minorBidi" w:cstheme="minorBidi"/>
          <w:lang w:val="es-ES_tradnl"/>
        </w:rPr>
        <w:t>el</w:t>
      </w:r>
      <w:r w:rsidR="00DD7665" w:rsidRPr="002F4384">
        <w:rPr>
          <w:rFonts w:asciiTheme="minorBidi" w:hAnsiTheme="minorBidi" w:cstheme="minorBidi"/>
          <w:lang w:val="es-ES_tradnl"/>
        </w:rPr>
        <w:t xml:space="preserve"> </w:t>
      </w:r>
      <w:r w:rsidRPr="002F4384">
        <w:rPr>
          <w:rFonts w:asciiTheme="minorBidi" w:hAnsiTheme="minorBidi" w:cstheme="minorBidi"/>
          <w:lang w:val="es-ES_tradnl"/>
        </w:rPr>
        <w:t>apoyo</w:t>
      </w:r>
      <w:r w:rsidR="006E5A60" w:rsidRPr="002F4384">
        <w:rPr>
          <w:rFonts w:asciiTheme="minorBidi" w:hAnsiTheme="minorBidi" w:cstheme="minorBidi"/>
          <w:lang w:val="es-ES_tradnl"/>
        </w:rPr>
        <w:t xml:space="preserve"> continuo que prestaba</w:t>
      </w:r>
      <w:r w:rsidRPr="002F4384">
        <w:rPr>
          <w:rFonts w:asciiTheme="minorBidi" w:hAnsiTheme="minorBidi" w:cstheme="minorBidi"/>
          <w:lang w:val="es-ES_tradnl"/>
        </w:rPr>
        <w:t xml:space="preserve"> </w:t>
      </w:r>
      <w:r w:rsidR="00DD7665" w:rsidRPr="002F4384">
        <w:rPr>
          <w:rFonts w:asciiTheme="minorBidi" w:hAnsiTheme="minorBidi" w:cstheme="minorBidi"/>
          <w:lang w:val="es-ES_tradnl"/>
        </w:rPr>
        <w:t>a</w:t>
      </w:r>
      <w:r w:rsidRPr="002F4384">
        <w:rPr>
          <w:rFonts w:asciiTheme="minorBidi" w:hAnsiTheme="minorBidi" w:cstheme="minorBidi"/>
          <w:lang w:val="es-ES_tradnl"/>
        </w:rPr>
        <w:t xml:space="preserve"> la </w:t>
      </w:r>
      <w:r w:rsidR="00DD7665" w:rsidRPr="002F4384">
        <w:rPr>
          <w:rFonts w:asciiTheme="minorBidi" w:hAnsiTheme="minorBidi" w:cstheme="minorBidi"/>
          <w:lang w:val="es-ES_tradnl"/>
        </w:rPr>
        <w:t xml:space="preserve">Comisión </w:t>
      </w:r>
      <w:r w:rsidRPr="002F4384">
        <w:rPr>
          <w:rFonts w:asciiTheme="minorBidi" w:hAnsiTheme="minorBidi" w:cstheme="minorBidi"/>
          <w:lang w:val="es-ES_tradnl"/>
        </w:rPr>
        <w:t xml:space="preserve">y su inspirador liderazgo. </w:t>
      </w:r>
    </w:p>
    <w:p w14:paraId="38440C8D" w14:textId="4AD11B5D" w:rsidR="00CB6F55" w:rsidRPr="002F4384" w:rsidRDefault="00BF64F5" w:rsidP="00CB6F5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En su discurso de apertura, el Presidente sugirió que, dado que los órganos rectores de la COI volvían a celebrar reuniones presenciales, podría ser </w:t>
      </w:r>
      <w:r w:rsidR="006F156E" w:rsidRPr="002F4384">
        <w:rPr>
          <w:rFonts w:asciiTheme="minorBidi" w:hAnsiTheme="minorBidi" w:cstheme="minorBidi"/>
          <w:lang w:val="es-ES_tradnl"/>
        </w:rPr>
        <w:t>el momento de</w:t>
      </w:r>
      <w:r w:rsidRPr="002F4384">
        <w:rPr>
          <w:rFonts w:asciiTheme="minorBidi" w:hAnsiTheme="minorBidi" w:cstheme="minorBidi"/>
          <w:lang w:val="es-ES_tradnl"/>
        </w:rPr>
        <w:t xml:space="preserve"> </w:t>
      </w:r>
      <w:r w:rsidR="006F156E" w:rsidRPr="002F4384">
        <w:rPr>
          <w:rFonts w:asciiTheme="minorBidi" w:hAnsiTheme="minorBidi" w:cstheme="minorBidi"/>
          <w:lang w:val="es-ES_tradnl"/>
        </w:rPr>
        <w:t>pensar en</w:t>
      </w:r>
      <w:r w:rsidRPr="002F4384">
        <w:rPr>
          <w:rFonts w:asciiTheme="minorBidi" w:hAnsiTheme="minorBidi" w:cstheme="minorBidi"/>
          <w:lang w:val="es-ES_tradnl"/>
        </w:rPr>
        <w:t xml:space="preserve"> retomar la práctica de dedicar un punto a la COI y el futuro de los océanos a fin de garantizar un debate </w:t>
      </w:r>
      <w:r w:rsidR="006E5A60" w:rsidRPr="002F4384">
        <w:rPr>
          <w:rFonts w:asciiTheme="minorBidi" w:hAnsiTheme="minorBidi" w:cstheme="minorBidi"/>
          <w:lang w:val="es-ES_tradnl"/>
        </w:rPr>
        <w:t>permanente</w:t>
      </w:r>
      <w:r w:rsidRPr="002F4384">
        <w:rPr>
          <w:rFonts w:asciiTheme="minorBidi" w:hAnsiTheme="minorBidi" w:cstheme="minorBidi"/>
          <w:lang w:val="es-ES_tradnl"/>
        </w:rPr>
        <w:t xml:space="preserve"> sobre el posicionamiento estratégico de la COI y el cumplimiento de nuestros nobles objetivos.</w:t>
      </w:r>
      <w:r w:rsidR="006219EA" w:rsidRPr="002F4384">
        <w:rPr>
          <w:rFonts w:asciiTheme="minorBidi" w:hAnsiTheme="minorBidi" w:cstheme="minorBidi"/>
          <w:lang w:val="es-ES_tradnl"/>
        </w:rPr>
        <w:t xml:space="preserve"> Reconociendo tanto el alcance de las cuestiones que abarca</w:t>
      </w:r>
      <w:r w:rsidR="0098582F" w:rsidRPr="002F4384">
        <w:rPr>
          <w:rFonts w:asciiTheme="minorBidi" w:hAnsiTheme="minorBidi" w:cstheme="minorBidi"/>
          <w:lang w:val="es-ES_tradnl"/>
        </w:rPr>
        <w:t>ba</w:t>
      </w:r>
      <w:r w:rsidR="006219EA" w:rsidRPr="002F4384">
        <w:rPr>
          <w:rFonts w:asciiTheme="minorBidi" w:hAnsiTheme="minorBidi" w:cstheme="minorBidi"/>
          <w:lang w:val="es-ES_tradnl"/>
        </w:rPr>
        <w:t xml:space="preserve"> el Decenio del Océano como la necesidad vital de una comunicación y alianzas activas para alcanzar sus objetivos, puso a los Estados Miembros al corriente de la labor entre reuniones de la Mesa de la COI.</w:t>
      </w:r>
      <w:r w:rsidR="00CB6F55" w:rsidRPr="002F4384">
        <w:rPr>
          <w:rFonts w:asciiTheme="minorBidi" w:hAnsiTheme="minorBidi" w:cstheme="minorBidi"/>
          <w:lang w:val="es-ES_tradnl"/>
        </w:rPr>
        <w:t xml:space="preserve"> Por último, reconoció el papel que desempeña</w:t>
      </w:r>
      <w:r w:rsidR="0098582F" w:rsidRPr="002F4384">
        <w:rPr>
          <w:rFonts w:asciiTheme="minorBidi" w:hAnsiTheme="minorBidi" w:cstheme="minorBidi"/>
          <w:lang w:val="es-ES_tradnl"/>
        </w:rPr>
        <w:t>ba</w:t>
      </w:r>
      <w:r w:rsidR="00CB6F55" w:rsidRPr="002F4384">
        <w:rPr>
          <w:rFonts w:asciiTheme="minorBidi" w:hAnsiTheme="minorBidi" w:cstheme="minorBidi"/>
          <w:lang w:val="es-ES_tradnl"/>
        </w:rPr>
        <w:t xml:space="preserve"> el Decenio del Océano </w:t>
      </w:r>
      <w:r w:rsidR="006F156E" w:rsidRPr="002F4384">
        <w:rPr>
          <w:rFonts w:asciiTheme="minorBidi" w:hAnsiTheme="minorBidi" w:cstheme="minorBidi"/>
          <w:lang w:val="es-ES_tradnl"/>
        </w:rPr>
        <w:t>en la creación de</w:t>
      </w:r>
      <w:r w:rsidR="00CB6F55" w:rsidRPr="002F4384">
        <w:rPr>
          <w:rFonts w:asciiTheme="minorBidi" w:hAnsiTheme="minorBidi" w:cstheme="minorBidi"/>
          <w:lang w:val="es-ES_tradnl"/>
        </w:rPr>
        <w:t xml:space="preserve"> conciencia sobre los océanos, recordando a los Estados Miembros la función fundamental de la COI y sus </w:t>
      </w:r>
      <w:r w:rsidR="006F156E" w:rsidRPr="002F4384">
        <w:rPr>
          <w:rFonts w:asciiTheme="minorBidi" w:hAnsiTheme="minorBidi" w:cstheme="minorBidi"/>
          <w:lang w:val="es-ES_tradnl"/>
        </w:rPr>
        <w:t xml:space="preserve">numerosos y valiosos </w:t>
      </w:r>
      <w:r w:rsidR="00CB6F55" w:rsidRPr="002F4384">
        <w:rPr>
          <w:rFonts w:asciiTheme="minorBidi" w:hAnsiTheme="minorBidi" w:cstheme="minorBidi"/>
          <w:lang w:val="es-ES_tradnl"/>
        </w:rPr>
        <w:t>productos</w:t>
      </w:r>
      <w:r w:rsidR="006F156E" w:rsidRPr="002F4384">
        <w:rPr>
          <w:rFonts w:asciiTheme="minorBidi" w:hAnsiTheme="minorBidi" w:cstheme="minorBidi"/>
          <w:lang w:val="es-ES_tradnl"/>
        </w:rPr>
        <w:t>,</w:t>
      </w:r>
      <w:r w:rsidR="00CB6F55" w:rsidRPr="002F4384">
        <w:rPr>
          <w:rFonts w:asciiTheme="minorBidi" w:hAnsiTheme="minorBidi" w:cstheme="minorBidi"/>
          <w:lang w:val="es-ES_tradnl"/>
        </w:rPr>
        <w:t xml:space="preserve"> servicios</w:t>
      </w:r>
      <w:r w:rsidR="006F156E" w:rsidRPr="002F4384">
        <w:rPr>
          <w:rFonts w:asciiTheme="minorBidi" w:hAnsiTheme="minorBidi" w:cstheme="minorBidi"/>
          <w:lang w:val="es-ES_tradnl"/>
        </w:rPr>
        <w:t xml:space="preserve"> y actividades.</w:t>
      </w:r>
      <w:r w:rsidR="0098582F" w:rsidRPr="002F4384">
        <w:rPr>
          <w:rFonts w:asciiTheme="minorBidi" w:hAnsiTheme="minorBidi" w:cstheme="minorBidi"/>
          <w:lang w:val="es-ES_tradnl"/>
        </w:rPr>
        <w:t xml:space="preserve"> </w:t>
      </w:r>
      <w:r w:rsidR="00663795" w:rsidRPr="002F4384">
        <w:rPr>
          <w:rFonts w:asciiTheme="minorBidi" w:hAnsiTheme="minorBidi" w:cstheme="minorBidi"/>
          <w:lang w:val="es-ES_tradnl"/>
        </w:rPr>
        <w:t>Además,</w:t>
      </w:r>
      <w:r w:rsidR="00CB6F55" w:rsidRPr="002F4384">
        <w:rPr>
          <w:rFonts w:asciiTheme="minorBidi" w:hAnsiTheme="minorBidi" w:cstheme="minorBidi"/>
          <w:lang w:val="es-ES_tradnl"/>
        </w:rPr>
        <w:t xml:space="preserve"> les pidió que consideraran la posibilidad de aumentar su respaldo financiero para los programas básicos (e</w:t>
      </w:r>
      <w:r w:rsidR="006E5A60" w:rsidRPr="002F4384">
        <w:rPr>
          <w:rFonts w:asciiTheme="minorBidi" w:hAnsiTheme="minorBidi" w:cstheme="minorBidi"/>
          <w:lang w:val="es-ES_tradnl"/>
        </w:rPr>
        <w:t>n e</w:t>
      </w:r>
      <w:r w:rsidR="00CB6F55" w:rsidRPr="002F4384">
        <w:rPr>
          <w:rFonts w:asciiTheme="minorBidi" w:hAnsiTheme="minorBidi" w:cstheme="minorBidi"/>
          <w:lang w:val="es-ES_tradnl"/>
        </w:rPr>
        <w:t xml:space="preserve">l anexo __ </w:t>
      </w:r>
      <w:r w:rsidR="006E5A60" w:rsidRPr="002F4384">
        <w:rPr>
          <w:rFonts w:asciiTheme="minorBidi" w:hAnsiTheme="minorBidi" w:cstheme="minorBidi"/>
          <w:lang w:val="es-ES_tradnl"/>
        </w:rPr>
        <w:t>figura</w:t>
      </w:r>
      <w:r w:rsidR="00CB6F55" w:rsidRPr="002F4384">
        <w:rPr>
          <w:rFonts w:asciiTheme="minorBidi" w:hAnsiTheme="minorBidi" w:cstheme="minorBidi"/>
          <w:lang w:val="es-ES_tradnl"/>
        </w:rPr>
        <w:t xml:space="preserve"> el texto completo).</w:t>
      </w:r>
    </w:p>
    <w:p w14:paraId="5B0D7B8D" w14:textId="63C21A93" w:rsidR="00663795" w:rsidRPr="002F4384" w:rsidRDefault="00663795" w:rsidP="0066379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eastAsia="en-GB"/>
        </w:rPr>
        <w:t>Hicieron uso de la palabra los representantes de cuatro Estados Miembros.</w:t>
      </w:r>
    </w:p>
    <w:p w14:paraId="4E89897E" w14:textId="43996FEB" w:rsidR="007B6932" w:rsidRPr="002F4384" w:rsidRDefault="007B6932" w:rsidP="007B6932">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Los Estados Unidos de América pronunciaron una declaración en nombre de 37 Estados Miembros en la que denunciaban la agresión cometida por la Federación de Rusia contra Ucrania el 24 de febrero de 2022, haciéndose eco de la declaración del Secretario General de las Naciones Unidas al respecto.</w:t>
      </w:r>
    </w:p>
    <w:p w14:paraId="7602FD7F" w14:textId="5DD479D7" w:rsidR="0045059E" w:rsidRPr="002F4384" w:rsidRDefault="0045059E" w:rsidP="0045059E">
      <w:pPr>
        <w:pStyle w:val="Style2"/>
        <w:numPr>
          <w:ilvl w:val="0"/>
          <w:numId w:val="7"/>
        </w:numPr>
        <w:tabs>
          <w:tab w:val="left" w:pos="709"/>
        </w:tabs>
        <w:ind w:left="0" w:hanging="567"/>
        <w:rPr>
          <w:rFonts w:asciiTheme="minorBidi" w:hAnsiTheme="minorBidi" w:cstheme="minorBidi"/>
          <w:lang w:val="es-ES_tradnl" w:eastAsia="en-GB"/>
        </w:rPr>
      </w:pPr>
      <w:r w:rsidRPr="002F4384">
        <w:rPr>
          <w:rFonts w:asciiTheme="minorBidi" w:hAnsiTheme="minorBidi" w:cstheme="minorBidi"/>
          <w:lang w:val="es-ES_tradnl" w:eastAsia="en-GB"/>
        </w:rPr>
        <w:t xml:space="preserve">La Federación de Rusia reafirmó su compromiso con los objetivos de la COI, como uno de </w:t>
      </w:r>
      <w:r w:rsidR="00695BCA" w:rsidRPr="002F4384">
        <w:rPr>
          <w:rFonts w:asciiTheme="minorBidi" w:hAnsiTheme="minorBidi" w:cstheme="minorBidi"/>
          <w:lang w:val="es-ES_tradnl" w:eastAsia="en-GB"/>
        </w:rPr>
        <w:t>sus</w:t>
      </w:r>
      <w:r w:rsidRPr="002F4384">
        <w:rPr>
          <w:rFonts w:asciiTheme="minorBidi" w:hAnsiTheme="minorBidi" w:cstheme="minorBidi"/>
          <w:lang w:val="es-ES_tradnl" w:eastAsia="en-GB"/>
        </w:rPr>
        <w:t xml:space="preserve"> Estados Miembros fundadores, y expresó </w:t>
      </w:r>
      <w:r w:rsidR="00FF7C76" w:rsidRPr="002F4384">
        <w:rPr>
          <w:rFonts w:asciiTheme="minorBidi" w:hAnsiTheme="minorBidi" w:cstheme="minorBidi"/>
          <w:lang w:val="es-ES_tradnl" w:eastAsia="en-GB"/>
        </w:rPr>
        <w:t>su preocupación por</w:t>
      </w:r>
      <w:r w:rsidRPr="002F4384">
        <w:rPr>
          <w:rFonts w:asciiTheme="minorBidi" w:hAnsiTheme="minorBidi" w:cstheme="minorBidi"/>
          <w:lang w:val="es-ES_tradnl" w:eastAsia="en-GB"/>
        </w:rPr>
        <w:t xml:space="preserve"> </w:t>
      </w:r>
      <w:r w:rsidR="0047751D" w:rsidRPr="002F4384">
        <w:rPr>
          <w:rFonts w:asciiTheme="minorBidi" w:hAnsiTheme="minorBidi" w:cstheme="minorBidi"/>
          <w:lang w:val="es-ES_tradnl" w:eastAsia="en-GB"/>
        </w:rPr>
        <w:t>la posibilidad</w:t>
      </w:r>
      <w:r w:rsidR="003B4234" w:rsidRPr="002F4384">
        <w:rPr>
          <w:rFonts w:asciiTheme="minorBidi" w:hAnsiTheme="minorBidi" w:cstheme="minorBidi"/>
          <w:lang w:val="es-ES_tradnl" w:eastAsia="en-GB"/>
        </w:rPr>
        <w:t xml:space="preserve"> de </w:t>
      </w:r>
      <w:r w:rsidR="00FF7C76" w:rsidRPr="002F4384">
        <w:rPr>
          <w:rFonts w:asciiTheme="minorBidi" w:hAnsiTheme="minorBidi" w:cstheme="minorBidi"/>
          <w:lang w:val="es-ES_tradnl" w:eastAsia="en-GB"/>
        </w:rPr>
        <w:t xml:space="preserve">que </w:t>
      </w:r>
      <w:r w:rsidRPr="002F4384">
        <w:rPr>
          <w:rFonts w:asciiTheme="minorBidi" w:hAnsiTheme="minorBidi" w:cstheme="minorBidi"/>
          <w:lang w:val="es-ES_tradnl" w:eastAsia="en-GB"/>
        </w:rPr>
        <w:t xml:space="preserve">las consideraciones políticas ajenas al ámbito de trabajo de la </w:t>
      </w:r>
      <w:r w:rsidR="00695BCA" w:rsidRPr="002F4384">
        <w:rPr>
          <w:rFonts w:asciiTheme="minorBidi" w:hAnsiTheme="minorBidi" w:cstheme="minorBidi"/>
          <w:lang w:val="es-ES_tradnl" w:eastAsia="en-GB"/>
        </w:rPr>
        <w:t>Comisión</w:t>
      </w:r>
      <w:r w:rsidRPr="002F4384">
        <w:rPr>
          <w:rFonts w:asciiTheme="minorBidi" w:hAnsiTheme="minorBidi" w:cstheme="minorBidi"/>
          <w:lang w:val="es-ES_tradnl" w:eastAsia="en-GB"/>
        </w:rPr>
        <w:t xml:space="preserve"> </w:t>
      </w:r>
      <w:r w:rsidR="00E751B4" w:rsidRPr="002F4384">
        <w:rPr>
          <w:rFonts w:asciiTheme="minorBidi" w:hAnsiTheme="minorBidi" w:cstheme="minorBidi"/>
          <w:lang w:val="es-ES_tradnl" w:eastAsia="en-GB"/>
        </w:rPr>
        <w:t>pudieran</w:t>
      </w:r>
      <w:r w:rsidRPr="002F4384">
        <w:rPr>
          <w:rFonts w:asciiTheme="minorBidi" w:hAnsiTheme="minorBidi" w:cstheme="minorBidi"/>
          <w:lang w:val="es-ES_tradnl" w:eastAsia="en-GB"/>
        </w:rPr>
        <w:t xml:space="preserve"> perjudicar la promoción de la cooperación científica internacional.</w:t>
      </w:r>
    </w:p>
    <w:p w14:paraId="3B6D09AF" w14:textId="5C95F1C0" w:rsidR="006C3E21" w:rsidRPr="002F4384" w:rsidRDefault="006C3E21" w:rsidP="006C3E21">
      <w:pPr>
        <w:pStyle w:val="Style2"/>
        <w:numPr>
          <w:ilvl w:val="0"/>
          <w:numId w:val="7"/>
        </w:numPr>
        <w:tabs>
          <w:tab w:val="left" w:pos="709"/>
        </w:tabs>
        <w:ind w:left="0" w:hanging="567"/>
        <w:rPr>
          <w:rFonts w:asciiTheme="minorBidi" w:hAnsiTheme="minorBidi" w:cstheme="minorBidi"/>
          <w:lang w:val="es-ES_tradnl" w:eastAsia="en-GB"/>
        </w:rPr>
      </w:pPr>
      <w:r w:rsidRPr="002F4384">
        <w:rPr>
          <w:rFonts w:asciiTheme="minorBidi" w:hAnsiTheme="minorBidi" w:cstheme="minorBidi"/>
          <w:lang w:val="es-ES_tradnl" w:eastAsia="en-GB"/>
        </w:rPr>
        <w:t>Un Estado Miembro expresó su preocupación por el hecho de que la reunión del Consejo Ejecutivo de la COI coincidiera con la del Consejo Internacional de Coordinación del Programa sobre el Hombre y la Biosfera (CIC-MAB).</w:t>
      </w:r>
    </w:p>
    <w:p w14:paraId="518A9D93" w14:textId="138A6923" w:rsidR="006E0756" w:rsidRPr="002F4384" w:rsidRDefault="009217FE" w:rsidP="00467513">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w:t>
      </w:r>
      <w:r w:rsidR="00B87E03" w:rsidRPr="002F4384">
        <w:rPr>
          <w:rFonts w:asciiTheme="minorBidi" w:hAnsiTheme="minorBidi" w:cstheme="minorBidi"/>
          <w:lang w:val="es-ES_tradnl"/>
        </w:rPr>
        <w:t>Presidente invitó al Consejo Ejecutivo a rendir homena</w:t>
      </w:r>
      <w:r w:rsidR="00B42379" w:rsidRPr="002F4384">
        <w:rPr>
          <w:rFonts w:asciiTheme="minorBidi" w:hAnsiTheme="minorBidi" w:cstheme="minorBidi"/>
          <w:lang w:val="es-ES_tradnl"/>
        </w:rPr>
        <w:t>je</w:t>
      </w:r>
      <w:r w:rsidRPr="002F4384">
        <w:rPr>
          <w:rFonts w:asciiTheme="minorBidi" w:hAnsiTheme="minorBidi" w:cstheme="minorBidi"/>
          <w:lang w:val="es-ES_tradnl"/>
        </w:rPr>
        <w:t xml:space="preserve"> a los distinguidos colaboradores de la Comisión que habían fallecido recientemente. Los participantes observaron un minuto de silencio en memoria de Allen Varley (</w:t>
      </w:r>
      <w:r w:rsidR="00B42379" w:rsidRPr="002F4384">
        <w:rPr>
          <w:rFonts w:asciiTheme="minorBidi" w:hAnsiTheme="minorBidi" w:cstheme="minorBidi"/>
          <w:lang w:val="es-ES_tradnl"/>
        </w:rPr>
        <w:t>Reino Unido de Gran Bretaña e Irlanda del Norte</w:t>
      </w:r>
      <w:r w:rsidRPr="002F4384">
        <w:rPr>
          <w:rFonts w:asciiTheme="minorBidi" w:hAnsiTheme="minorBidi" w:cstheme="minorBidi"/>
          <w:lang w:val="es-ES_tradnl"/>
        </w:rPr>
        <w:t>, 1932-2022)</w:t>
      </w:r>
      <w:r w:rsidR="00B42379" w:rsidRPr="002F4384">
        <w:rPr>
          <w:rFonts w:asciiTheme="minorBidi" w:hAnsiTheme="minorBidi" w:cstheme="minorBidi"/>
          <w:lang w:val="es-ES_tradnl"/>
        </w:rPr>
        <w:t>,</w:t>
      </w:r>
      <w:r w:rsidRPr="002F4384">
        <w:rPr>
          <w:rFonts w:asciiTheme="minorBidi" w:hAnsiTheme="minorBidi" w:cstheme="minorBidi"/>
          <w:lang w:val="es-ES_tradnl"/>
        </w:rPr>
        <w:t xml:space="preserve"> Valery Eremeev (Ucrania, 1942-2020)</w:t>
      </w:r>
      <w:r w:rsidR="00B42379" w:rsidRPr="002F4384">
        <w:rPr>
          <w:rFonts w:asciiTheme="minorBidi" w:hAnsiTheme="minorBidi" w:cstheme="minorBidi"/>
          <w:lang w:val="es-ES_tradnl"/>
        </w:rPr>
        <w:t xml:space="preserve"> y Satya Prakash (India, 1979-2021)</w:t>
      </w:r>
      <w:r w:rsidRPr="002F4384">
        <w:rPr>
          <w:rFonts w:asciiTheme="minorBidi" w:hAnsiTheme="minorBidi" w:cstheme="minorBidi"/>
          <w:lang w:val="es-ES_tradnl"/>
        </w:rPr>
        <w:t>.</w:t>
      </w:r>
    </w:p>
    <w:p w14:paraId="4DCBE6CB" w14:textId="188D64D7" w:rsidR="002F21B3" w:rsidRPr="002F4384" w:rsidRDefault="00667651" w:rsidP="000E31F0">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L</w:t>
      </w:r>
      <w:r w:rsidR="00B42379" w:rsidRPr="002F4384">
        <w:rPr>
          <w:rFonts w:asciiTheme="minorBidi" w:hAnsiTheme="minorBidi" w:cstheme="minorBidi"/>
          <w:lang w:val="es-ES_tradnl"/>
        </w:rPr>
        <w:t xml:space="preserve">as delegaciones </w:t>
      </w:r>
      <w:r w:rsidRPr="002F4384">
        <w:rPr>
          <w:rFonts w:asciiTheme="minorBidi" w:hAnsiTheme="minorBidi" w:cstheme="minorBidi"/>
          <w:lang w:val="es-ES_tradnl"/>
        </w:rPr>
        <w:t xml:space="preserve">siguientes decidieron proporcionar por escrito sus intervenciones en plenaria sobre este punto del orden del día para que constaran en el anexo informativo del informe de la reunión: </w:t>
      </w:r>
      <w:r w:rsidR="00B42379" w:rsidRPr="002F4384">
        <w:rPr>
          <w:rFonts w:asciiTheme="minorBidi" w:hAnsiTheme="minorBidi" w:cstheme="minorBidi"/>
          <w:lang w:val="es-ES_tradnl"/>
        </w:rPr>
        <w:t>Estados Unidos de América, Federación de Rusia y Kenya.</w:t>
      </w:r>
      <w:r w:rsidR="00CB5CA6" w:rsidRPr="002F4384">
        <w:rPr>
          <w:rFonts w:asciiTheme="minorBidi" w:hAnsiTheme="minorBidi" w:cstheme="minorBidi"/>
          <w:lang w:val="es-ES_tradnl"/>
        </w:rPr>
        <w:t xml:space="preserve"> </w:t>
      </w:r>
    </w:p>
    <w:p w14:paraId="2261E425" w14:textId="77777777" w:rsidR="00AE29AC" w:rsidRPr="002F4384" w:rsidRDefault="00667651" w:rsidP="006F18C2">
      <w:pPr>
        <w:pStyle w:val="Heading1"/>
        <w:numPr>
          <w:ilvl w:val="0"/>
          <w:numId w:val="8"/>
        </w:numPr>
        <w:tabs>
          <w:tab w:val="left" w:pos="709"/>
        </w:tabs>
        <w:spacing w:before="120"/>
        <w:ind w:left="709" w:hanging="720"/>
        <w:rPr>
          <w:rFonts w:asciiTheme="minorBidi" w:hAnsiTheme="minorBidi" w:cstheme="minorBidi"/>
          <w:szCs w:val="22"/>
          <w:lang w:val="es-ES_tradnl"/>
        </w:rPr>
      </w:pPr>
      <w:bookmarkStart w:id="19" w:name="_Toc38080238"/>
      <w:bookmarkStart w:id="20" w:name="_Toc100506250"/>
      <w:bookmarkStart w:id="21" w:name="_Toc135143449"/>
      <w:bookmarkStart w:id="22" w:name="_Toc135143701"/>
      <w:bookmarkStart w:id="23" w:name="_Toc162671328"/>
      <w:bookmarkStart w:id="24" w:name="_Toc164651222"/>
      <w:bookmarkStart w:id="25" w:name="_Toc196145692"/>
      <w:bookmarkStart w:id="26" w:name="_Toc199912184"/>
      <w:bookmarkStart w:id="27" w:name="_Toc225590791"/>
      <w:bookmarkStart w:id="28" w:name="_Toc225660252"/>
      <w:bookmarkStart w:id="29" w:name="_Toc227580616"/>
      <w:bookmarkStart w:id="30" w:name="_Toc289696420"/>
      <w:bookmarkStart w:id="31" w:name="_Toc357517545"/>
      <w:bookmarkStart w:id="32" w:name="_Toc358657258"/>
      <w:bookmarkStart w:id="33" w:name="_Toc415051549"/>
      <w:bookmarkStart w:id="34" w:name="_Toc445908044"/>
      <w:bookmarkStart w:id="35" w:name="_Toc57369045"/>
      <w:bookmarkStart w:id="36" w:name="_Toc85469053"/>
      <w:bookmarkStart w:id="37" w:name="_Toc115256308"/>
      <w:r w:rsidRPr="002F4384">
        <w:rPr>
          <w:rFonts w:asciiTheme="minorBidi" w:hAnsiTheme="minorBidi" w:cstheme="minorBidi"/>
          <w:szCs w:val="22"/>
          <w:lang w:val="es-ES_tradnl"/>
        </w:rPr>
        <w:lastRenderedPageBreak/>
        <w:t>ORGANIZACIÓN DE LA REUNIÓN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45F5B6A" w14:textId="13659B75" w:rsidR="00310E17" w:rsidRPr="002F4384" w:rsidRDefault="00667651" w:rsidP="00035473">
      <w:pPr>
        <w:pStyle w:val="Heading2"/>
        <w:numPr>
          <w:ilvl w:val="1"/>
          <w:numId w:val="9"/>
        </w:numPr>
        <w:tabs>
          <w:tab w:val="clear" w:pos="737"/>
          <w:tab w:val="left" w:pos="709"/>
        </w:tabs>
        <w:ind w:left="709" w:hanging="709"/>
        <w:rPr>
          <w:rFonts w:asciiTheme="minorBidi" w:hAnsiTheme="minorBidi" w:cstheme="minorBidi"/>
          <w:szCs w:val="22"/>
          <w:lang w:val="es-ES_tradnl"/>
        </w:rPr>
      </w:pPr>
      <w:bookmarkStart w:id="38" w:name="_Toc38080239"/>
      <w:bookmarkStart w:id="39" w:name="_Toc100506251"/>
      <w:bookmarkStart w:id="40" w:name="_Toc135143450"/>
      <w:bookmarkStart w:id="41" w:name="_Toc135143702"/>
      <w:bookmarkStart w:id="42" w:name="_Toc162671329"/>
      <w:bookmarkStart w:id="43" w:name="_Toc164651223"/>
      <w:bookmarkStart w:id="44" w:name="_Toc196145693"/>
      <w:bookmarkStart w:id="45" w:name="_Toc199912185"/>
      <w:bookmarkStart w:id="46" w:name="_Toc225590792"/>
      <w:bookmarkStart w:id="47" w:name="_Toc225660253"/>
      <w:bookmarkStart w:id="48" w:name="_Toc227580617"/>
      <w:bookmarkStart w:id="49" w:name="_Toc289696421"/>
      <w:bookmarkStart w:id="50" w:name="_Toc357517546"/>
      <w:bookmarkStart w:id="51" w:name="_Toc358657259"/>
      <w:bookmarkStart w:id="52" w:name="_Toc415051550"/>
      <w:bookmarkStart w:id="53" w:name="_Toc445908045"/>
      <w:bookmarkStart w:id="54" w:name="_Toc57369046"/>
      <w:bookmarkStart w:id="55" w:name="_Toc85469054"/>
      <w:bookmarkStart w:id="56" w:name="_Toc115256309"/>
      <w:r w:rsidRPr="002F4384">
        <w:rPr>
          <w:rFonts w:asciiTheme="minorBidi" w:hAnsiTheme="minorBidi" w:cstheme="minorBidi"/>
          <w:szCs w:val="22"/>
          <w:lang w:val="es-ES_tradnl"/>
        </w:rPr>
        <w:t>APROBACIÓN DEL ORDEN DEL DÍA</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1838019" w14:textId="2D2056B3" w:rsidR="008D660A" w:rsidRPr="002F4384" w:rsidRDefault="002F21B3" w:rsidP="0028091E">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Presidente </w:t>
      </w:r>
      <w:r w:rsidR="008D660A" w:rsidRPr="002F4384">
        <w:rPr>
          <w:rFonts w:asciiTheme="minorBidi" w:hAnsiTheme="minorBidi" w:cstheme="minorBidi"/>
          <w:lang w:val="es-ES_tradnl"/>
        </w:rPr>
        <w:t xml:space="preserve">introdujo </w:t>
      </w:r>
      <w:r w:rsidRPr="002F4384">
        <w:rPr>
          <w:rFonts w:asciiTheme="minorBidi" w:hAnsiTheme="minorBidi" w:cstheme="minorBidi"/>
          <w:lang w:val="es-ES_tradnl"/>
        </w:rPr>
        <w:t>este punto</w:t>
      </w:r>
      <w:r w:rsidR="008D660A" w:rsidRPr="002F4384">
        <w:rPr>
          <w:rFonts w:asciiTheme="minorBidi" w:hAnsiTheme="minorBidi" w:cstheme="minorBidi"/>
          <w:lang w:val="es-ES_tradnl"/>
        </w:rPr>
        <w:t xml:space="preserve"> presentando el orden del día y el calendario provisionales de la reunión.</w:t>
      </w:r>
    </w:p>
    <w:p w14:paraId="0504DE7C" w14:textId="7FC85983" w:rsidR="00C86ECB" w:rsidRPr="002F4384" w:rsidRDefault="00C86ECB" w:rsidP="0028091E">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Presidente aclaró que el informe de la reunión se finalizaría por correspondencia, </w:t>
      </w:r>
      <w:r w:rsidR="00BB3214" w:rsidRPr="002F4384">
        <w:rPr>
          <w:rFonts w:asciiTheme="minorBidi" w:hAnsiTheme="minorBidi" w:cstheme="minorBidi"/>
          <w:lang w:val="es-ES_tradnl"/>
        </w:rPr>
        <w:t>pero</w:t>
      </w:r>
      <w:r w:rsidRPr="002F4384">
        <w:rPr>
          <w:rFonts w:asciiTheme="minorBidi" w:hAnsiTheme="minorBidi" w:cstheme="minorBidi"/>
          <w:lang w:val="es-ES_tradnl"/>
        </w:rPr>
        <w:t xml:space="preserve"> que las decisiones y resoluciones se adoptarían en la reunión.</w:t>
      </w:r>
    </w:p>
    <w:p w14:paraId="6E58FB68" w14:textId="671284C9" w:rsidR="00C70C40" w:rsidRPr="002F4384" w:rsidRDefault="00C70C40" w:rsidP="00C70C40">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El Secretario Ejecutivo informó al Consejo Ejecutivo de que la Secretaría había recibido un proyecto de resolución sobre la ejecución del Decenio de las Naciones Unidas de las Ciencias Oceánicas para el Desarrollo Sostenible (punto 4.1 del orden del día) antes de la fecha límite (9 de junio de 2022).</w:t>
      </w:r>
      <w:r w:rsidRPr="002F4384">
        <w:rPr>
          <w:rFonts w:asciiTheme="minorBidi" w:hAnsiTheme="minorBidi" w:cstheme="minorBidi"/>
          <w:shd w:val="clear" w:color="auto" w:fill="FFFFFF"/>
          <w:lang w:val="es-ES_tradnl"/>
        </w:rPr>
        <w:t xml:space="preserve"> </w:t>
      </w:r>
      <w:r w:rsidRPr="002F4384">
        <w:rPr>
          <w:rFonts w:asciiTheme="minorBidi" w:hAnsiTheme="minorBidi" w:cstheme="minorBidi"/>
          <w:lang w:val="es-ES_tradnl"/>
        </w:rPr>
        <w:t xml:space="preserve">El proyecto de resolución se </w:t>
      </w:r>
      <w:r w:rsidR="00694B00" w:rsidRPr="002F4384">
        <w:rPr>
          <w:rFonts w:asciiTheme="minorBidi" w:hAnsiTheme="minorBidi" w:cstheme="minorBidi"/>
          <w:lang w:val="es-ES_tradnl"/>
        </w:rPr>
        <w:t>había publicado</w:t>
      </w:r>
      <w:r w:rsidRPr="002F4384">
        <w:rPr>
          <w:rFonts w:asciiTheme="minorBidi" w:hAnsiTheme="minorBidi" w:cstheme="minorBidi"/>
          <w:lang w:val="es-ES_tradnl"/>
        </w:rPr>
        <w:t xml:space="preserve"> en el documento de decisión provisional (EC</w:t>
      </w:r>
      <w:r w:rsidR="00A50A36" w:rsidRPr="002F4384">
        <w:rPr>
          <w:rFonts w:asciiTheme="minorBidi" w:hAnsiTheme="minorBidi" w:cstheme="minorBidi"/>
          <w:lang w:val="es-ES_tradnl"/>
        </w:rPr>
        <w:noBreakHyphen/>
      </w:r>
      <w:r w:rsidRPr="002F4384">
        <w:rPr>
          <w:rFonts w:asciiTheme="minorBidi" w:hAnsiTheme="minorBidi" w:cstheme="minorBidi"/>
          <w:lang w:val="es-ES_tradnl"/>
        </w:rPr>
        <w:t>55/AP) en las cuatro lenguas oficiales de la Comisión.</w:t>
      </w:r>
      <w:r w:rsidRPr="002F4384">
        <w:rPr>
          <w:rFonts w:asciiTheme="minorBidi" w:hAnsiTheme="minorBidi" w:cstheme="minorBidi"/>
          <w:shd w:val="clear" w:color="auto" w:fill="FFFFFF"/>
          <w:lang w:val="es-ES_tradnl"/>
        </w:rPr>
        <w:t xml:space="preserve"> </w:t>
      </w:r>
      <w:r w:rsidRPr="002F4384">
        <w:rPr>
          <w:rFonts w:asciiTheme="minorBidi" w:hAnsiTheme="minorBidi" w:cstheme="minorBidi"/>
          <w:lang w:val="es-ES_tradnl"/>
        </w:rPr>
        <w:t>Según la práctica habitual, el Comité de Finanzas preparar</w:t>
      </w:r>
      <w:r w:rsidR="00694B00" w:rsidRPr="002F4384">
        <w:rPr>
          <w:rFonts w:asciiTheme="minorBidi" w:hAnsiTheme="minorBidi" w:cstheme="minorBidi"/>
          <w:lang w:val="es-ES_tradnl"/>
        </w:rPr>
        <w:t>ía</w:t>
      </w:r>
      <w:r w:rsidRPr="002F4384">
        <w:rPr>
          <w:rFonts w:asciiTheme="minorBidi" w:hAnsiTheme="minorBidi" w:cstheme="minorBidi"/>
          <w:lang w:val="es-ES_tradnl"/>
        </w:rPr>
        <w:t xml:space="preserve"> el proyecto de resolución sobre asuntos de gobernanza, programación y presupuestación de la Comisión (punto 5.2 del orden del día) durante la reunión. </w:t>
      </w:r>
    </w:p>
    <w:p w14:paraId="57473861" w14:textId="2D5CCA5F" w:rsidR="00A665B4" w:rsidRPr="002F4384" w:rsidRDefault="00A665B4" w:rsidP="00A665B4">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Dos Estados Miembros cuestionaron la práctica de adoptar las decisiones y las resoluciones únicamente en inglés.</w:t>
      </w:r>
      <w:r w:rsidRPr="002F4384">
        <w:rPr>
          <w:rFonts w:asciiTheme="minorBidi" w:hAnsiTheme="minorBidi" w:cstheme="minorBidi"/>
          <w:shd w:val="clear" w:color="auto" w:fill="FFFFFF"/>
          <w:lang w:val="es-ES_tradnl"/>
        </w:rPr>
        <w:t xml:space="preserve"> </w:t>
      </w:r>
      <w:r w:rsidRPr="002F4384">
        <w:rPr>
          <w:rFonts w:asciiTheme="minorBidi" w:hAnsiTheme="minorBidi" w:cstheme="minorBidi"/>
          <w:lang w:val="es-ES_tradnl"/>
        </w:rPr>
        <w:t xml:space="preserve">Pidieron que las decisiones se examinaran en la pantalla en inglés y francés, como </w:t>
      </w:r>
      <w:r w:rsidR="00BB76F6" w:rsidRPr="002F4384">
        <w:rPr>
          <w:rFonts w:asciiTheme="minorBidi" w:hAnsiTheme="minorBidi" w:cstheme="minorBidi"/>
          <w:lang w:val="es-ES_tradnl"/>
        </w:rPr>
        <w:t xml:space="preserve">solía hacerse </w:t>
      </w:r>
      <w:r w:rsidRPr="002F4384">
        <w:rPr>
          <w:rFonts w:asciiTheme="minorBidi" w:hAnsiTheme="minorBidi" w:cstheme="minorBidi"/>
          <w:lang w:val="es-ES_tradnl"/>
        </w:rPr>
        <w:t>en los órganos rectores de la UNESCO.</w:t>
      </w:r>
    </w:p>
    <w:p w14:paraId="7B3F9EBF" w14:textId="543E58D7" w:rsidR="00952EF7" w:rsidRPr="002F4384" w:rsidRDefault="00952EF7" w:rsidP="00952EF7">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Un Estado Miembro expresó sus dudas sobre esa solicitud y recordó la especificidad de los Estatutos y el Reglamento de la COI en lo que respecta a las lenguas de trabajo de la Comisión.</w:t>
      </w:r>
    </w:p>
    <w:p w14:paraId="6CB32AC7" w14:textId="307CF627" w:rsidR="00E14E64" w:rsidRPr="002F4384" w:rsidRDefault="00E14E64" w:rsidP="00E14E64">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El Secretario Ejecutivo propuso que se tomaran las disposiciones técnicas necesarias para que las decisiones y resoluciones se adoptaran en inglés y francés a partir del día siguiente.</w:t>
      </w:r>
      <w:r w:rsidRPr="002F4384">
        <w:rPr>
          <w:rFonts w:asciiTheme="minorBidi" w:hAnsiTheme="minorBidi" w:cstheme="minorBidi"/>
          <w:shd w:val="clear" w:color="auto" w:fill="FFFFFF"/>
          <w:lang w:val="es-ES_tradnl"/>
        </w:rPr>
        <w:t xml:space="preserve"> </w:t>
      </w:r>
      <w:r w:rsidRPr="002F4384">
        <w:rPr>
          <w:rFonts w:asciiTheme="minorBidi" w:hAnsiTheme="minorBidi" w:cstheme="minorBidi"/>
          <w:lang w:val="es-ES_tradnl"/>
        </w:rPr>
        <w:t>La propuesta se aceptó y se puso en práctica el mismo día después de la pausa del almuerzo.</w:t>
      </w:r>
    </w:p>
    <w:p w14:paraId="23A2C7C7" w14:textId="5DC62561" w:rsidR="009B5C89" w:rsidRPr="002F4384" w:rsidRDefault="00667651" w:rsidP="00035473">
      <w:pPr>
        <w:pStyle w:val="Heading2"/>
        <w:numPr>
          <w:ilvl w:val="1"/>
          <w:numId w:val="9"/>
        </w:numPr>
        <w:tabs>
          <w:tab w:val="clear" w:pos="737"/>
          <w:tab w:val="left" w:pos="709"/>
        </w:tabs>
        <w:ind w:left="709" w:hanging="709"/>
        <w:rPr>
          <w:rFonts w:asciiTheme="minorBidi" w:hAnsiTheme="minorBidi" w:cstheme="minorBidi"/>
          <w:szCs w:val="22"/>
          <w:lang w:val="es-ES_tradnl"/>
        </w:rPr>
      </w:pPr>
      <w:bookmarkStart w:id="57" w:name="_Toc115256310"/>
      <w:bookmarkStart w:id="58" w:name="_Toc100506252"/>
      <w:bookmarkStart w:id="59" w:name="_Toc135143451"/>
      <w:bookmarkStart w:id="60" w:name="_Toc135143703"/>
      <w:bookmarkStart w:id="61" w:name="_Toc38080240"/>
      <w:bookmarkStart w:id="62" w:name="_Toc162671330"/>
      <w:bookmarkStart w:id="63" w:name="_Toc164651224"/>
      <w:bookmarkStart w:id="64" w:name="_Toc196145694"/>
      <w:bookmarkStart w:id="65" w:name="_Toc199912186"/>
      <w:bookmarkStart w:id="66" w:name="_Toc225590793"/>
      <w:bookmarkStart w:id="67" w:name="_Toc225660254"/>
      <w:bookmarkStart w:id="68" w:name="_Toc227580618"/>
      <w:bookmarkStart w:id="69" w:name="_Toc289696422"/>
      <w:bookmarkStart w:id="70" w:name="_Toc357517547"/>
      <w:bookmarkStart w:id="71" w:name="_Toc358657260"/>
      <w:bookmarkStart w:id="72" w:name="_Toc415051551"/>
      <w:bookmarkStart w:id="73" w:name="_Toc445908046"/>
      <w:bookmarkStart w:id="74" w:name="_Toc57369047"/>
      <w:bookmarkStart w:id="75" w:name="_Toc85469055"/>
      <w:r w:rsidRPr="002F4384">
        <w:rPr>
          <w:rFonts w:asciiTheme="minorBidi" w:hAnsiTheme="minorBidi" w:cstheme="minorBidi"/>
          <w:szCs w:val="22"/>
          <w:lang w:val="es-ES_tradnl"/>
        </w:rPr>
        <w:t>DESIGNACIÓN DEL RELATOR</w:t>
      </w:r>
      <w:bookmarkEnd w:id="57"/>
    </w:p>
    <w:p w14:paraId="59428826" w14:textId="42182543" w:rsidR="009B5C89" w:rsidRPr="002F4384" w:rsidRDefault="009B5C89" w:rsidP="009B5C89">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Hicieron uso de la palabra los representantes de tres Estados Miembros.</w:t>
      </w:r>
    </w:p>
    <w:p w14:paraId="23DC5820" w14:textId="4B60613F" w:rsidR="009B5C89" w:rsidRPr="002F4384" w:rsidRDefault="009B5C89" w:rsidP="009B5C89">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A propuesta de Portugal, con el apoyo de Marruecos, la Dra. Suzan E</w:t>
      </w:r>
      <w:r w:rsidR="00FB5DCC" w:rsidRPr="002F4384">
        <w:rPr>
          <w:rFonts w:asciiTheme="minorBidi" w:hAnsiTheme="minorBidi" w:cstheme="minorBidi"/>
          <w:lang w:val="es-ES_tradnl"/>
        </w:rPr>
        <w:t>l</w:t>
      </w:r>
      <w:r w:rsidRPr="002F4384">
        <w:rPr>
          <w:rFonts w:asciiTheme="minorBidi" w:hAnsiTheme="minorBidi" w:cstheme="minorBidi"/>
          <w:lang w:val="es-ES_tradnl"/>
        </w:rPr>
        <w:t xml:space="preserve">-Gharabawy (Egipto) fue designada </w:t>
      </w:r>
      <w:r w:rsidR="00EA502A" w:rsidRPr="002F4384">
        <w:rPr>
          <w:rFonts w:asciiTheme="minorBidi" w:hAnsiTheme="minorBidi" w:cstheme="minorBidi"/>
          <w:lang w:val="es-ES_tradnl"/>
        </w:rPr>
        <w:t>R</w:t>
      </w:r>
      <w:r w:rsidRPr="002F4384">
        <w:rPr>
          <w:rFonts w:asciiTheme="minorBidi" w:hAnsiTheme="minorBidi" w:cstheme="minorBidi"/>
          <w:lang w:val="es-ES_tradnl"/>
        </w:rPr>
        <w:t>elatora de la reunión.</w:t>
      </w:r>
    </w:p>
    <w:p w14:paraId="0FEEA571" w14:textId="28E2C8DD" w:rsidR="00AE29AC" w:rsidRPr="002F4384" w:rsidRDefault="00C312C9" w:rsidP="001D229D">
      <w:pPr>
        <w:pStyle w:val="Heading2"/>
        <w:numPr>
          <w:ilvl w:val="1"/>
          <w:numId w:val="9"/>
        </w:numPr>
        <w:tabs>
          <w:tab w:val="clear" w:pos="737"/>
          <w:tab w:val="left" w:pos="709"/>
        </w:tabs>
        <w:ind w:left="709" w:hanging="709"/>
        <w:rPr>
          <w:rFonts w:asciiTheme="minorBidi" w:hAnsiTheme="minorBidi" w:cstheme="minorBidi"/>
          <w:szCs w:val="22"/>
          <w:lang w:val="es-ES_tradnl"/>
        </w:rPr>
      </w:pPr>
      <w:bookmarkStart w:id="76" w:name="_Toc115256311"/>
      <w:bookmarkStart w:id="77" w:name="_Toc289696423"/>
      <w:bookmarkStart w:id="78" w:name="_Toc357517548"/>
      <w:bookmarkStart w:id="79" w:name="_Toc358657261"/>
      <w:bookmarkStart w:id="80" w:name="_Toc415051552"/>
      <w:bookmarkStart w:id="81" w:name="_Toc445908047"/>
      <w:bookmarkStart w:id="82" w:name="_Toc57369048"/>
      <w:bookmarkStart w:id="83" w:name="_Toc85469056"/>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2F4384">
        <w:rPr>
          <w:rFonts w:asciiTheme="minorBidi" w:hAnsiTheme="minorBidi" w:cstheme="minorBidi"/>
          <w:szCs w:val="22"/>
          <w:lang w:val="es-ES_tradnl"/>
        </w:rPr>
        <w:t>ESTABLECIMIENTO DE LOS COMITÉS Y GRUPOS DE TRABAJO DE LA REUNIÓN</w:t>
      </w:r>
      <w:bookmarkEnd w:id="76"/>
      <w:r w:rsidRPr="002F4384">
        <w:rPr>
          <w:rFonts w:asciiTheme="minorBidi" w:hAnsiTheme="minorBidi" w:cstheme="minorBidi"/>
          <w:szCs w:val="22"/>
          <w:lang w:val="es-ES_tradnl"/>
        </w:rPr>
        <w:t xml:space="preserve"> </w:t>
      </w:r>
      <w:bookmarkEnd w:id="77"/>
      <w:bookmarkEnd w:id="78"/>
      <w:bookmarkEnd w:id="79"/>
      <w:bookmarkEnd w:id="80"/>
      <w:bookmarkEnd w:id="81"/>
      <w:bookmarkEnd w:id="82"/>
      <w:bookmarkEnd w:id="83"/>
    </w:p>
    <w:p w14:paraId="514D9553" w14:textId="02C368D7" w:rsidR="0031097C" w:rsidRPr="002F4384" w:rsidRDefault="002F21B3" w:rsidP="000E31F0">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Presidente invitó al Consejo Ejecutivo a establecer dos comités de la reunión, a saber, el Comité de Resoluciones y el Comité de Finanzas, e invitó a presentar propuestas relativas a los grupos de trabajo de la reunión. </w:t>
      </w:r>
      <w:r w:rsidR="00EC041C" w:rsidRPr="002F4384">
        <w:rPr>
          <w:rFonts w:asciiTheme="minorBidi" w:hAnsiTheme="minorBidi" w:cstheme="minorBidi"/>
          <w:lang w:val="es-ES_tradnl"/>
        </w:rPr>
        <w:t xml:space="preserve">No se hizo ninguna propuesta. </w:t>
      </w:r>
    </w:p>
    <w:p w14:paraId="4EEC0293" w14:textId="66C844AF" w:rsidR="00B24528" w:rsidRPr="002F4384" w:rsidRDefault="00667651" w:rsidP="001D229D">
      <w:pPr>
        <w:pStyle w:val="Heading2"/>
        <w:numPr>
          <w:ilvl w:val="1"/>
          <w:numId w:val="9"/>
        </w:numPr>
        <w:tabs>
          <w:tab w:val="clear" w:pos="737"/>
          <w:tab w:val="left" w:pos="709"/>
        </w:tabs>
        <w:ind w:left="709" w:hanging="709"/>
        <w:rPr>
          <w:rFonts w:asciiTheme="minorBidi" w:hAnsiTheme="minorBidi" w:cstheme="minorBidi"/>
          <w:szCs w:val="22"/>
          <w:lang w:val="es-ES_tradnl"/>
        </w:rPr>
      </w:pPr>
      <w:bookmarkStart w:id="84" w:name="_Toc115256312"/>
      <w:bookmarkStart w:id="85" w:name="_Toc38080242"/>
      <w:bookmarkStart w:id="86" w:name="_Toc100506254"/>
      <w:bookmarkStart w:id="87" w:name="_Toc135143453"/>
      <w:bookmarkStart w:id="88" w:name="_Toc135143705"/>
      <w:bookmarkStart w:id="89" w:name="_Toc162671332"/>
      <w:bookmarkStart w:id="90" w:name="_Toc164651226"/>
      <w:bookmarkStart w:id="91" w:name="_Toc196145696"/>
      <w:bookmarkStart w:id="92" w:name="_Toc199912188"/>
      <w:bookmarkStart w:id="93" w:name="_Toc225590795"/>
      <w:bookmarkStart w:id="94" w:name="_Toc225660256"/>
      <w:bookmarkStart w:id="95" w:name="_Toc227580620"/>
      <w:bookmarkStart w:id="96" w:name="_Toc289696424"/>
      <w:bookmarkStart w:id="97" w:name="_Toc357517549"/>
      <w:bookmarkStart w:id="98" w:name="_Toc358657262"/>
      <w:bookmarkStart w:id="99" w:name="_Toc415051553"/>
      <w:bookmarkStart w:id="100" w:name="_Toc445908048"/>
      <w:bookmarkStart w:id="101" w:name="_Toc57369049"/>
      <w:bookmarkStart w:id="102" w:name="_Toc85469057"/>
      <w:r w:rsidRPr="002F4384">
        <w:rPr>
          <w:rFonts w:asciiTheme="minorBidi" w:hAnsiTheme="minorBidi" w:cstheme="minorBidi"/>
          <w:szCs w:val="22"/>
          <w:lang w:val="es-ES_tradnl"/>
        </w:rPr>
        <w:t>PRESENTACIÓN DEL CALENDARIO Y LA DOCUMENTACIÓN</w:t>
      </w:r>
      <w:bookmarkEnd w:id="84"/>
      <w:r w:rsidRPr="002F4384">
        <w:rPr>
          <w:rFonts w:asciiTheme="minorBidi" w:hAnsiTheme="minorBidi" w:cstheme="minorBidi"/>
          <w:szCs w:val="22"/>
          <w:lang w:val="es-ES_tradnl"/>
        </w:rPr>
        <w:t xml:space="preserve"> </w:t>
      </w:r>
    </w:p>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14:paraId="6565DD20" w14:textId="2C58B27E" w:rsidR="004C6089" w:rsidRPr="002F4384" w:rsidRDefault="009D3443" w:rsidP="001D229D">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Secretario Ejecutivo presentó este punto. Recordó que los proyectos de decisión se aprobarían al finalizar el debate de cada punto del orden del día. El documento de decisión se había redactado intencionalmente como un informe preliminar, con objeto de racionalizar el proceso de presentación de informes durante la reunión. El Secretario Ejecutivo señaló que se había recibido </w:t>
      </w:r>
      <w:r w:rsidR="00EC041C" w:rsidRPr="002F4384">
        <w:rPr>
          <w:rFonts w:asciiTheme="minorBidi" w:hAnsiTheme="minorBidi" w:cstheme="minorBidi"/>
          <w:lang w:val="es-ES_tradnl"/>
        </w:rPr>
        <w:t>un</w:t>
      </w:r>
      <w:r w:rsidRPr="002F4384">
        <w:rPr>
          <w:rFonts w:asciiTheme="minorBidi" w:hAnsiTheme="minorBidi" w:cstheme="minorBidi"/>
          <w:lang w:val="es-ES_tradnl"/>
        </w:rPr>
        <w:t xml:space="preserve"> proyecto de resolución antes del 9 de junio de 2022 a las 10:00 horas. Todos los proyectos de resolución se examinarían en el marco del punto 6 con miras a su aprobación. El conjunto completo de decisiones adoptadas y resoluciones aprobadas en los cuatro idiomas se publicaría al término de la reunión, de conformidad con las prácticas establecidas de la UNESCO. La parte narrativa del informe sería redactada por la Secretaría en inglés durante la reunión. La traducción y la </w:t>
      </w:r>
      <w:r w:rsidR="00EC041C" w:rsidRPr="002F4384">
        <w:rPr>
          <w:rFonts w:asciiTheme="minorBidi" w:hAnsiTheme="minorBidi" w:cstheme="minorBidi"/>
          <w:lang w:val="es-ES_tradnl"/>
        </w:rPr>
        <w:t xml:space="preserve">finalización </w:t>
      </w:r>
      <w:r w:rsidRPr="002F4384">
        <w:rPr>
          <w:rFonts w:asciiTheme="minorBidi" w:hAnsiTheme="minorBidi" w:cstheme="minorBidi"/>
          <w:lang w:val="es-ES_tradnl"/>
        </w:rPr>
        <w:t xml:space="preserve">del informe en cuatro idiomas se efectuaría por correspondencia después de la reunión. Se invitó a los Estados Miembros que desearan dejar constancia de intervenciones en plenaria específicas particularmente </w:t>
      </w:r>
      <w:r w:rsidRPr="002F4384">
        <w:rPr>
          <w:rFonts w:asciiTheme="minorBidi" w:hAnsiTheme="minorBidi" w:cstheme="minorBidi"/>
          <w:lang w:val="es-ES_tradnl"/>
        </w:rPr>
        <w:lastRenderedPageBreak/>
        <w:t>importantes a proporcionar el texto escrito utilizando un modelo especial y enviándolo a una dirección de correo electrónico (</w:t>
      </w:r>
      <w:r w:rsidR="00353425" w:rsidRPr="002F4384">
        <w:rPr>
          <w:rFonts w:asciiTheme="minorBidi" w:hAnsiTheme="minorBidi" w:cstheme="minorBidi"/>
          <w:lang w:val="es-ES_tradnl"/>
        </w:rPr>
        <w:t>iocgovbody@unesco.org</w:t>
      </w:r>
      <w:r w:rsidRPr="002F4384">
        <w:rPr>
          <w:rFonts w:asciiTheme="minorBidi" w:hAnsiTheme="minorBidi" w:cstheme="minorBidi"/>
          <w:lang w:val="es-ES_tradnl"/>
        </w:rPr>
        <w:t>) creada con ese fin.</w:t>
      </w:r>
    </w:p>
    <w:p w14:paraId="3075E5BC" w14:textId="4E5FBBE2" w:rsidR="00C33E43" w:rsidRPr="002F4384" w:rsidRDefault="00667651" w:rsidP="000E31F0">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Hicieron uso de la palabra los representantes de </w:t>
      </w:r>
      <w:r w:rsidR="00EC041C" w:rsidRPr="002F4384">
        <w:rPr>
          <w:rFonts w:asciiTheme="minorBidi" w:hAnsiTheme="minorBidi" w:cstheme="minorBidi"/>
          <w:lang w:val="es-ES_tradnl"/>
        </w:rPr>
        <w:t xml:space="preserve">tres </w:t>
      </w:r>
      <w:r w:rsidRPr="002F4384">
        <w:rPr>
          <w:rFonts w:asciiTheme="minorBidi" w:hAnsiTheme="minorBidi" w:cstheme="minorBidi"/>
          <w:lang w:val="es-ES_tradnl"/>
        </w:rPr>
        <w:t>Estados Miembros</w:t>
      </w:r>
      <w:r w:rsidR="00EC041C" w:rsidRPr="002F4384">
        <w:rPr>
          <w:rFonts w:asciiTheme="minorBidi" w:hAnsiTheme="minorBidi" w:cstheme="minorBidi"/>
          <w:lang w:val="es-ES_tradnl"/>
        </w:rPr>
        <w:t xml:space="preserve"> con relación al punto 2.</w:t>
      </w:r>
    </w:p>
    <w:p w14:paraId="06FC043D" w14:textId="78F1FFDE" w:rsidR="00EC041C" w:rsidRPr="002F4384" w:rsidRDefault="00EC041C" w:rsidP="000E31F0">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Consejo Ejecutivo adoptó la </w:t>
      </w:r>
      <w:r w:rsidRPr="002F4384">
        <w:rPr>
          <w:rFonts w:asciiTheme="minorBidi" w:hAnsiTheme="minorBidi" w:cstheme="minorBidi"/>
          <w:u w:val="single"/>
          <w:lang w:val="es-ES_tradnl"/>
        </w:rPr>
        <w:t>decisión IOC/EC-55/2</w:t>
      </w:r>
      <w:r w:rsidR="003A59D3" w:rsidRPr="002F4384">
        <w:rPr>
          <w:rFonts w:asciiTheme="minorBidi" w:hAnsiTheme="minorBidi" w:cstheme="minorBidi"/>
          <w:lang w:val="es-ES_tradnl"/>
        </w:rPr>
        <w:t>, que figura a continuación</w:t>
      </w:r>
      <w:r w:rsidRPr="002F4384">
        <w:rPr>
          <w:rFonts w:asciiTheme="minorBidi" w:hAnsiTheme="minorBidi" w:cstheme="minorBidi"/>
          <w:lang w:val="es-ES_tradnl"/>
        </w:rPr>
        <w:t xml:space="preserve">. </w:t>
      </w:r>
    </w:p>
    <w:p w14:paraId="6E111BF3" w14:textId="77777777" w:rsidR="00FB5DCC" w:rsidRPr="002F4384" w:rsidRDefault="00FB5DCC" w:rsidP="00FB5DCC">
      <w:pPr>
        <w:keepNext/>
        <w:keepLines/>
        <w:tabs>
          <w:tab w:val="left" w:pos="709"/>
        </w:tabs>
        <w:spacing w:after="200"/>
        <w:jc w:val="center"/>
        <w:outlineLvl w:val="0"/>
        <w:rPr>
          <w:rFonts w:asciiTheme="minorBidi" w:eastAsia="SimSun" w:hAnsiTheme="minorBidi" w:cstheme="minorBidi"/>
          <w:b/>
          <w:sz w:val="22"/>
          <w:szCs w:val="22"/>
          <w:lang w:val="es-ES_tradnl"/>
        </w:rPr>
      </w:pPr>
      <w:r w:rsidRPr="002F4384">
        <w:rPr>
          <w:rFonts w:asciiTheme="minorBidi" w:hAnsiTheme="minorBidi" w:cstheme="minorBidi"/>
          <w:b/>
          <w:bCs/>
          <w:sz w:val="22"/>
          <w:szCs w:val="22"/>
          <w:lang w:val="es-ES_tradnl"/>
        </w:rPr>
        <w:t>Organización de la reunión</w:t>
      </w:r>
    </w:p>
    <w:p w14:paraId="216A362F" w14:textId="0B3A2E91" w:rsidR="00FB5DCC" w:rsidRPr="002F4384" w:rsidRDefault="00FB5DCC" w:rsidP="00FB5DCC">
      <w:pPr>
        <w:tabs>
          <w:tab w:val="left" w:pos="709"/>
        </w:tabs>
        <w:spacing w:after="200"/>
        <w:jc w:val="both"/>
        <w:rPr>
          <w:rFonts w:asciiTheme="minorBidi" w:hAnsiTheme="minorBidi" w:cstheme="minorBidi"/>
          <w:sz w:val="22"/>
          <w:szCs w:val="22"/>
          <w:lang w:val="es-ES_tradnl"/>
        </w:rPr>
      </w:pPr>
      <w:r w:rsidRPr="002F4384">
        <w:rPr>
          <w:rFonts w:asciiTheme="minorBidi" w:hAnsiTheme="minorBidi" w:cstheme="minorBidi"/>
          <w:sz w:val="22"/>
          <w:szCs w:val="22"/>
          <w:lang w:val="es-ES_tradnl"/>
        </w:rPr>
        <w:t>El Consejo Ejecutivo,</w:t>
      </w:r>
    </w:p>
    <w:p w14:paraId="02AD7B20" w14:textId="77777777" w:rsidR="00FB5DCC" w:rsidRPr="002F4384" w:rsidRDefault="00FB5DCC" w:rsidP="00FB5DCC">
      <w:pPr>
        <w:spacing w:after="200"/>
        <w:jc w:val="center"/>
        <w:rPr>
          <w:rFonts w:asciiTheme="minorBidi" w:hAnsiTheme="minorBidi" w:cstheme="minorBidi"/>
          <w:b/>
          <w:sz w:val="22"/>
          <w:szCs w:val="22"/>
          <w:lang w:val="es-ES_tradnl"/>
        </w:rPr>
      </w:pPr>
      <w:r w:rsidRPr="002F4384">
        <w:rPr>
          <w:rFonts w:asciiTheme="minorBidi" w:hAnsiTheme="minorBidi" w:cstheme="minorBidi"/>
          <w:b/>
          <w:sz w:val="22"/>
          <w:szCs w:val="22"/>
          <w:lang w:val="es-ES_tradnl"/>
        </w:rPr>
        <w:t>I.</w:t>
      </w:r>
      <w:r w:rsidRPr="002F4384">
        <w:rPr>
          <w:rFonts w:asciiTheme="minorBidi" w:hAnsiTheme="minorBidi" w:cstheme="minorBidi"/>
          <w:sz w:val="22"/>
          <w:szCs w:val="22"/>
          <w:lang w:val="es-ES_tradnl"/>
        </w:rPr>
        <w:tab/>
      </w:r>
      <w:r w:rsidRPr="002F4384">
        <w:rPr>
          <w:rFonts w:asciiTheme="minorBidi" w:hAnsiTheme="minorBidi" w:cstheme="minorBidi"/>
          <w:b/>
          <w:bCs/>
          <w:sz w:val="22"/>
          <w:szCs w:val="22"/>
          <w:lang w:val="es-ES_tradnl"/>
        </w:rPr>
        <w:t>Orden del día</w:t>
      </w:r>
    </w:p>
    <w:p w14:paraId="54592A21" w14:textId="77777777" w:rsidR="00FB5DCC" w:rsidRPr="002F4384" w:rsidRDefault="00FB5DCC" w:rsidP="00FB5DCC">
      <w:pPr>
        <w:spacing w:after="200"/>
        <w:jc w:val="both"/>
        <w:rPr>
          <w:rFonts w:asciiTheme="minorBidi" w:hAnsiTheme="minorBidi" w:cstheme="minorBidi"/>
          <w:sz w:val="22"/>
          <w:szCs w:val="22"/>
          <w:lang w:val="es-ES_tradnl"/>
        </w:rPr>
      </w:pPr>
      <w:r w:rsidRPr="002F4384">
        <w:rPr>
          <w:rFonts w:asciiTheme="minorBidi" w:hAnsiTheme="minorBidi" w:cstheme="minorBidi"/>
          <w:sz w:val="22"/>
          <w:szCs w:val="22"/>
          <w:u w:val="single"/>
          <w:lang w:val="es-ES_tradnl"/>
        </w:rPr>
        <w:t>Aprueba</w:t>
      </w:r>
      <w:r w:rsidRPr="002F4384">
        <w:rPr>
          <w:rFonts w:asciiTheme="minorBidi" w:hAnsiTheme="minorBidi" w:cstheme="minorBidi"/>
          <w:sz w:val="22"/>
          <w:szCs w:val="22"/>
          <w:lang w:val="es-ES_tradnl"/>
        </w:rPr>
        <w:t xml:space="preserve"> sin modificaciones el orden del día y el calendario de trabajo que figuran en los documentos IOC/EC-55/2.1.Doc y Add.;</w:t>
      </w:r>
    </w:p>
    <w:p w14:paraId="7BB213F8" w14:textId="77777777" w:rsidR="00FB5DCC" w:rsidRPr="002F4384" w:rsidRDefault="00FB5DCC" w:rsidP="00FB5DCC">
      <w:pPr>
        <w:spacing w:after="200"/>
        <w:jc w:val="center"/>
        <w:rPr>
          <w:rFonts w:asciiTheme="minorBidi" w:hAnsiTheme="minorBidi" w:cstheme="minorBidi"/>
          <w:b/>
          <w:sz w:val="22"/>
          <w:szCs w:val="22"/>
          <w:lang w:val="es-ES_tradnl"/>
        </w:rPr>
      </w:pPr>
      <w:r w:rsidRPr="002F4384">
        <w:rPr>
          <w:rFonts w:asciiTheme="minorBidi" w:hAnsiTheme="minorBidi" w:cstheme="minorBidi"/>
          <w:b/>
          <w:sz w:val="22"/>
          <w:szCs w:val="22"/>
          <w:lang w:val="es-ES_tradnl"/>
        </w:rPr>
        <w:t>II.</w:t>
      </w:r>
      <w:r w:rsidRPr="002F4384">
        <w:rPr>
          <w:rFonts w:asciiTheme="minorBidi" w:hAnsiTheme="minorBidi" w:cstheme="minorBidi"/>
          <w:sz w:val="22"/>
          <w:szCs w:val="22"/>
          <w:lang w:val="es-ES_tradnl"/>
        </w:rPr>
        <w:tab/>
      </w:r>
      <w:r w:rsidRPr="002F4384">
        <w:rPr>
          <w:rFonts w:asciiTheme="minorBidi" w:hAnsiTheme="minorBidi" w:cstheme="minorBidi"/>
          <w:b/>
          <w:bCs/>
          <w:sz w:val="22"/>
          <w:szCs w:val="22"/>
          <w:lang w:val="es-ES_tradnl"/>
        </w:rPr>
        <w:t>Relator</w:t>
      </w:r>
    </w:p>
    <w:p w14:paraId="79B51C15" w14:textId="77777777" w:rsidR="00FB5DCC" w:rsidRPr="002F4384" w:rsidRDefault="00FB5DCC" w:rsidP="00FB5DCC">
      <w:pPr>
        <w:pStyle w:val="paragraphnumerote"/>
        <w:rPr>
          <w:rFonts w:asciiTheme="minorBidi" w:eastAsia="Arial Unicode MS" w:hAnsiTheme="minorBidi" w:cstheme="minorBidi"/>
          <w:bCs/>
          <w:lang w:val="es-ES_tradnl"/>
        </w:rPr>
      </w:pPr>
      <w:bookmarkStart w:id="103" w:name="_Hlk74642958"/>
      <w:r w:rsidRPr="002F4384">
        <w:rPr>
          <w:rFonts w:asciiTheme="minorBidi" w:eastAsia="Arial Unicode MS" w:hAnsiTheme="minorBidi" w:cstheme="minorBidi"/>
          <w:lang w:val="es-ES_tradnl"/>
        </w:rPr>
        <w:t>A propuesta de Portugal, con el apoyo de Marruecos,</w:t>
      </w:r>
    </w:p>
    <w:p w14:paraId="34034FBC" w14:textId="77777777" w:rsidR="00FB5DCC" w:rsidRPr="002F4384" w:rsidRDefault="00FB5DCC" w:rsidP="00FB5DCC">
      <w:pPr>
        <w:pStyle w:val="paragraphnumerote"/>
        <w:rPr>
          <w:rFonts w:asciiTheme="minorBidi" w:eastAsia="Arial Unicode MS" w:hAnsiTheme="minorBidi" w:cstheme="minorBidi"/>
          <w:lang w:val="es-ES_tradnl"/>
        </w:rPr>
      </w:pPr>
      <w:r w:rsidRPr="002F4384">
        <w:rPr>
          <w:rFonts w:asciiTheme="minorBidi" w:eastAsia="Arial Unicode MS" w:hAnsiTheme="minorBidi" w:cstheme="minorBidi"/>
          <w:u w:val="single"/>
          <w:lang w:val="es-ES_tradnl"/>
        </w:rPr>
        <w:t>Designa</w:t>
      </w:r>
      <w:r w:rsidRPr="002F4384">
        <w:rPr>
          <w:rFonts w:asciiTheme="minorBidi" w:eastAsia="Arial Unicode MS" w:hAnsiTheme="minorBidi" w:cstheme="minorBidi"/>
          <w:lang w:val="es-ES_tradnl"/>
        </w:rPr>
        <w:t xml:space="preserve"> a la Dra. Suzan El-Gharabawy (Egipto) Relatora de la presente reunión para prestar asistencia al Presidente y al Secretario Ejecutivo en la preparación del proyecto de informe provisional de la reunión;</w:t>
      </w:r>
    </w:p>
    <w:bookmarkEnd w:id="103"/>
    <w:p w14:paraId="7E16ADBE" w14:textId="77777777" w:rsidR="00FB5DCC" w:rsidRPr="002F4384" w:rsidRDefault="00FB5DCC" w:rsidP="00FB5DCC">
      <w:pPr>
        <w:spacing w:after="200"/>
        <w:jc w:val="center"/>
        <w:rPr>
          <w:rFonts w:asciiTheme="minorBidi" w:hAnsiTheme="minorBidi" w:cstheme="minorBidi"/>
          <w:b/>
          <w:bCs/>
          <w:sz w:val="22"/>
          <w:szCs w:val="22"/>
          <w:lang w:val="es-ES_tradnl"/>
        </w:rPr>
      </w:pPr>
      <w:r w:rsidRPr="002F4384">
        <w:rPr>
          <w:rFonts w:asciiTheme="minorBidi" w:hAnsiTheme="minorBidi" w:cstheme="minorBidi"/>
          <w:b/>
          <w:bCs/>
          <w:sz w:val="22"/>
          <w:szCs w:val="22"/>
          <w:lang w:val="es-ES_tradnl"/>
        </w:rPr>
        <w:t>III.</w:t>
      </w:r>
      <w:r w:rsidRPr="002F4384">
        <w:rPr>
          <w:rFonts w:asciiTheme="minorBidi" w:hAnsiTheme="minorBidi" w:cstheme="minorBidi"/>
          <w:b/>
          <w:bCs/>
          <w:sz w:val="22"/>
          <w:szCs w:val="22"/>
          <w:lang w:val="es-ES_tradnl"/>
        </w:rPr>
        <w:tab/>
        <w:t>Comités y grupos de trabajo de la reunión</w:t>
      </w:r>
    </w:p>
    <w:p w14:paraId="4714590B" w14:textId="77777777" w:rsidR="00FB5DCC" w:rsidRPr="002F4384" w:rsidRDefault="00FB5DCC" w:rsidP="00FB5DCC">
      <w:pPr>
        <w:pStyle w:val="paragraphnumerote"/>
        <w:rPr>
          <w:rFonts w:asciiTheme="minorBidi" w:eastAsia="Arial Unicode MS" w:hAnsiTheme="minorBidi" w:cstheme="minorBidi"/>
          <w:bCs/>
          <w:lang w:val="es-ES_tradnl"/>
        </w:rPr>
      </w:pPr>
      <w:r w:rsidRPr="002F4384">
        <w:rPr>
          <w:rFonts w:asciiTheme="minorBidi" w:eastAsia="Arial Unicode MS" w:hAnsiTheme="minorBidi" w:cstheme="minorBidi"/>
          <w:u w:val="single"/>
          <w:lang w:val="es-ES_tradnl"/>
        </w:rPr>
        <w:t>Establece</w:t>
      </w:r>
      <w:r w:rsidRPr="002F4384">
        <w:rPr>
          <w:rFonts w:asciiTheme="minorBidi" w:eastAsia="Arial Unicode MS" w:hAnsiTheme="minorBidi" w:cstheme="minorBidi"/>
          <w:lang w:val="es-ES_tradnl"/>
        </w:rPr>
        <w:t xml:space="preserve"> los siguientes comités de composición abierta de la reunión:</w:t>
      </w:r>
    </w:p>
    <w:p w14:paraId="72A8E11F" w14:textId="77777777" w:rsidR="00FB5DCC" w:rsidRPr="002F4384" w:rsidRDefault="00FB5DCC" w:rsidP="00FB5DCC">
      <w:pPr>
        <w:pStyle w:val="paragraphnumerote"/>
        <w:rPr>
          <w:rFonts w:asciiTheme="minorBidi" w:eastAsia="Arial Unicode MS" w:hAnsiTheme="minorBidi" w:cstheme="minorBidi"/>
          <w:bCs/>
          <w:lang w:val="es-ES_tradnl"/>
        </w:rPr>
      </w:pPr>
      <w:r w:rsidRPr="002F4384">
        <w:rPr>
          <w:rFonts w:asciiTheme="minorBidi" w:eastAsia="Arial Unicode MS" w:hAnsiTheme="minorBidi" w:cstheme="minorBidi"/>
          <w:i/>
          <w:lang w:val="es-ES_tradnl"/>
        </w:rPr>
        <w:t>Comité de Finanzas:</w:t>
      </w:r>
      <w:r w:rsidRPr="002F4384">
        <w:rPr>
          <w:rFonts w:asciiTheme="minorBidi" w:eastAsia="Arial Unicode MS" w:hAnsiTheme="minorBidi" w:cstheme="minorBidi"/>
          <w:lang w:val="es-ES_tradnl"/>
        </w:rPr>
        <w:t xml:space="preserve"> encargado de finalizar una resolución en el marco de los puntos 5.1 y 5.2; bajo la presidencia del Dr. Karim Hilmi (Marruecos, Vicepresidente), con la participación de los siguientes Estados Miembros: </w:t>
      </w:r>
      <w:r w:rsidRPr="002F4384">
        <w:rPr>
          <w:rFonts w:asciiTheme="minorBidi" w:eastAsia="Calibri" w:hAnsiTheme="minorBidi" w:cstheme="minorBidi"/>
          <w:lang w:val="es-ES_tradnl"/>
        </w:rPr>
        <w:t>Alemania, Argentina, Australia, Bangladesh, Bélgica, Benin, Brasil, Canadá, China, Côte d’Ivoire, Egipto, Estados Unidos de América, Federación de Rusia, Francia, Granada, Japón, Kuwait, Marruecos, Noruega, Portugal, Reino Unido de Gran Bretaña e Irlanda del Norte, República de Corea, San Vicente y las Granadinas y Türkiye;</w:t>
      </w:r>
      <w:r w:rsidRPr="002F4384">
        <w:rPr>
          <w:rFonts w:asciiTheme="minorBidi" w:eastAsia="Arial Unicode MS" w:hAnsiTheme="minorBidi" w:cstheme="minorBidi"/>
          <w:lang w:val="es-ES_tradnl"/>
        </w:rPr>
        <w:t xml:space="preserve"> la Sra. Ksenia Yvinec presta los servicios de secretaría al Comité de Finanzas;</w:t>
      </w:r>
    </w:p>
    <w:p w14:paraId="53D15234" w14:textId="77777777" w:rsidR="00FB5DCC" w:rsidRPr="002F4384" w:rsidRDefault="00FB5DCC" w:rsidP="00FB5DCC">
      <w:pPr>
        <w:pStyle w:val="paragraphnumerote"/>
        <w:rPr>
          <w:rFonts w:asciiTheme="minorBidi" w:eastAsia="Arial Unicode MS" w:hAnsiTheme="minorBidi" w:cstheme="minorBidi"/>
          <w:lang w:val="es-ES_tradnl"/>
        </w:rPr>
      </w:pPr>
      <w:r w:rsidRPr="002F4384">
        <w:rPr>
          <w:rFonts w:asciiTheme="minorBidi" w:eastAsia="Arial Unicode MS" w:hAnsiTheme="minorBidi" w:cstheme="minorBidi"/>
          <w:i/>
          <w:lang w:val="es-ES_tradnl"/>
        </w:rPr>
        <w:t>Comité de Resoluciones:</w:t>
      </w:r>
      <w:r w:rsidRPr="002F4384">
        <w:rPr>
          <w:rFonts w:asciiTheme="minorBidi" w:eastAsia="Arial Unicode MS" w:hAnsiTheme="minorBidi" w:cstheme="minorBidi"/>
          <w:lang w:val="es-ES_tradnl"/>
        </w:rPr>
        <w:t xml:space="preserve"> encargado de informar sobre todos los proyectos de resolución debidamente presentados para su examen durante la reunión antes del 9 de junio y sobre el proyecto de resolución relativo a los asuntos financieros redactado durante la reunión; bajo la presidencia del profesor Yutaka Michida (Japón), con la participación de los siguientes Estados Miembros: </w:t>
      </w:r>
      <w:r w:rsidRPr="002F4384">
        <w:rPr>
          <w:rFonts w:asciiTheme="minorBidi" w:hAnsiTheme="minorBidi" w:cstheme="minorBidi"/>
          <w:bCs/>
          <w:lang w:val="es-ES_tradnl"/>
        </w:rPr>
        <w:t>Brasil,</w:t>
      </w:r>
      <w:r w:rsidRPr="002F4384">
        <w:rPr>
          <w:rFonts w:asciiTheme="minorBidi" w:hAnsiTheme="minorBidi" w:cstheme="minorBidi"/>
          <w:lang w:val="es-ES_tradnl"/>
        </w:rPr>
        <w:t xml:space="preserve"> </w:t>
      </w:r>
      <w:r w:rsidRPr="002F4384">
        <w:rPr>
          <w:rFonts w:asciiTheme="minorBidi" w:hAnsiTheme="minorBidi" w:cstheme="minorBidi"/>
          <w:bCs/>
          <w:lang w:val="es-ES_tradnl"/>
        </w:rPr>
        <w:t>Estados Unidos de América,</w:t>
      </w:r>
      <w:r w:rsidRPr="002F4384">
        <w:rPr>
          <w:rFonts w:asciiTheme="minorBidi" w:eastAsia="Calibri" w:hAnsiTheme="minorBidi" w:cstheme="minorBidi"/>
          <w:lang w:val="es-ES_tradnl"/>
        </w:rPr>
        <w:t xml:space="preserve"> Federación de Rusia</w:t>
      </w:r>
      <w:r w:rsidRPr="002F4384">
        <w:rPr>
          <w:rFonts w:asciiTheme="minorBidi" w:hAnsiTheme="minorBidi" w:cstheme="minorBidi"/>
          <w:bCs/>
          <w:lang w:val="es-ES_tradnl"/>
        </w:rPr>
        <w:t>,</w:t>
      </w:r>
      <w:r w:rsidRPr="002F4384">
        <w:rPr>
          <w:rFonts w:asciiTheme="minorBidi" w:hAnsiTheme="minorBidi" w:cstheme="minorBidi"/>
          <w:lang w:val="es-ES_tradnl"/>
        </w:rPr>
        <w:t xml:space="preserve"> </w:t>
      </w:r>
      <w:r w:rsidRPr="002F4384">
        <w:rPr>
          <w:rFonts w:asciiTheme="minorBidi" w:hAnsiTheme="minorBidi" w:cstheme="minorBidi"/>
          <w:bCs/>
          <w:lang w:val="es-ES_tradnl"/>
        </w:rPr>
        <w:t>Francia,</w:t>
      </w:r>
      <w:r w:rsidRPr="002F4384">
        <w:rPr>
          <w:rFonts w:asciiTheme="minorBidi" w:hAnsiTheme="minorBidi" w:cstheme="minorBidi"/>
          <w:lang w:val="es-ES_tradnl"/>
        </w:rPr>
        <w:t xml:space="preserve"> </w:t>
      </w:r>
      <w:r w:rsidRPr="002F4384">
        <w:rPr>
          <w:rFonts w:asciiTheme="minorBidi" w:hAnsiTheme="minorBidi" w:cstheme="minorBidi"/>
          <w:bCs/>
          <w:lang w:val="es-ES_tradnl"/>
        </w:rPr>
        <w:t>India,</w:t>
      </w:r>
      <w:r w:rsidRPr="002F4384">
        <w:rPr>
          <w:rFonts w:asciiTheme="minorBidi" w:hAnsiTheme="minorBidi" w:cstheme="minorBidi"/>
          <w:lang w:val="es-ES_tradnl"/>
        </w:rPr>
        <w:t xml:space="preserve"> </w:t>
      </w:r>
      <w:r w:rsidRPr="002F4384">
        <w:rPr>
          <w:rFonts w:asciiTheme="minorBidi" w:hAnsiTheme="minorBidi" w:cstheme="minorBidi"/>
          <w:bCs/>
          <w:lang w:val="es-ES_tradnl"/>
        </w:rPr>
        <w:t>Japón y</w:t>
      </w:r>
      <w:r w:rsidRPr="002F4384">
        <w:rPr>
          <w:rFonts w:asciiTheme="minorBidi" w:hAnsiTheme="minorBidi" w:cstheme="minorBidi"/>
          <w:lang w:val="es-ES_tradnl"/>
        </w:rPr>
        <w:t xml:space="preserve"> </w:t>
      </w:r>
      <w:r w:rsidRPr="002F4384">
        <w:rPr>
          <w:rFonts w:asciiTheme="minorBidi" w:hAnsiTheme="minorBidi" w:cstheme="minorBidi"/>
          <w:bCs/>
          <w:lang w:val="es-ES_tradnl"/>
        </w:rPr>
        <w:t>Portugal;</w:t>
      </w:r>
      <w:r w:rsidRPr="002F4384">
        <w:rPr>
          <w:rFonts w:asciiTheme="minorBidi" w:eastAsia="Arial Unicode MS" w:hAnsiTheme="minorBidi" w:cstheme="minorBidi"/>
          <w:lang w:val="es-ES_tradnl"/>
        </w:rPr>
        <w:t xml:space="preserve"> el Sr. Julian Barbière presta los servicios de secretaría al Comité de Resoluciones.</w:t>
      </w:r>
    </w:p>
    <w:p w14:paraId="35FB192A" w14:textId="04834946" w:rsidR="00E66A25" w:rsidRPr="002F4384" w:rsidRDefault="00667651" w:rsidP="00A50A36">
      <w:pPr>
        <w:pStyle w:val="Heading2"/>
        <w:numPr>
          <w:ilvl w:val="1"/>
          <w:numId w:val="9"/>
        </w:numPr>
        <w:tabs>
          <w:tab w:val="clear" w:pos="737"/>
          <w:tab w:val="left" w:pos="709"/>
        </w:tabs>
        <w:ind w:left="709" w:hanging="709"/>
        <w:rPr>
          <w:rFonts w:asciiTheme="minorBidi" w:hAnsiTheme="minorBidi" w:cstheme="minorBidi"/>
          <w:szCs w:val="22"/>
          <w:lang w:val="es-ES_tradnl"/>
        </w:rPr>
      </w:pPr>
      <w:bookmarkStart w:id="104" w:name="_Toc115256313"/>
      <w:r w:rsidRPr="002F4384">
        <w:rPr>
          <w:rFonts w:asciiTheme="minorBidi" w:hAnsiTheme="minorBidi" w:cstheme="minorBidi"/>
          <w:szCs w:val="22"/>
          <w:lang w:val="es-ES_tradnl"/>
        </w:rPr>
        <w:t>CONFERENCIA CONMEMORATIVA DE ROGER REVELLE</w:t>
      </w:r>
      <w:bookmarkEnd w:id="104"/>
    </w:p>
    <w:p w14:paraId="7D013F1D" w14:textId="48BF1489" w:rsidR="006257AD" w:rsidRPr="002F4384" w:rsidRDefault="00667651" w:rsidP="000E31F0">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El Presidente presentó este punto y recordó que la serie de Conferencias de Roger Revelle había sido creada por la COI en 1991 para reconocer contribuciones sobresalientes a las ciencias oceánicas relacionadas con el clima realizadas por investigadores motivados que transmitían sus conocimientos y su visión mundial de los desafíos a los que se enfrenta</w:t>
      </w:r>
      <w:r w:rsidR="00481791" w:rsidRPr="002F4384">
        <w:rPr>
          <w:rFonts w:asciiTheme="minorBidi" w:hAnsiTheme="minorBidi" w:cstheme="minorBidi"/>
          <w:lang w:val="es-ES_tradnl"/>
        </w:rPr>
        <w:t>ba</w:t>
      </w:r>
      <w:r w:rsidRPr="002F4384">
        <w:rPr>
          <w:rFonts w:asciiTheme="minorBidi" w:hAnsiTheme="minorBidi" w:cstheme="minorBidi"/>
          <w:lang w:val="es-ES_tradnl"/>
        </w:rPr>
        <w:t xml:space="preserve"> nuestro planeta con el fin de forjar un futuro mejor para la humanidad. La Conferencia estaba dedicada a Roger Revelle (1909-1991), uno de los primeros científicos en estudiar el calentamiento global antropogénico. También había sido uno de los padres fundadores de la COI.</w:t>
      </w:r>
    </w:p>
    <w:p w14:paraId="15C45641" w14:textId="6C24D3E9" w:rsidR="006257AD" w:rsidRPr="002F4384" w:rsidRDefault="003149A2" w:rsidP="00A3609D">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iCs w:val="0"/>
          <w:lang w:val="es-ES_tradnl"/>
        </w:rPr>
        <w:t xml:space="preserve">Se invitó al </w:t>
      </w:r>
      <w:r w:rsidR="00667651" w:rsidRPr="002F4384">
        <w:rPr>
          <w:rFonts w:asciiTheme="minorBidi" w:hAnsiTheme="minorBidi" w:cstheme="minorBidi"/>
          <w:iCs w:val="0"/>
          <w:lang w:val="es-ES_tradnl"/>
        </w:rPr>
        <w:t>Prof. Dr. Hans-Otto Pörtner del Alfred-Wegener-Institut (Alemania)</w:t>
      </w:r>
      <w:r w:rsidR="00A3609D" w:rsidRPr="002F4384">
        <w:rPr>
          <w:rFonts w:asciiTheme="minorBidi" w:hAnsiTheme="minorBidi" w:cstheme="minorBidi"/>
          <w:iCs w:val="0"/>
          <w:lang w:val="es-ES_tradnl"/>
        </w:rPr>
        <w:t xml:space="preserve"> </w:t>
      </w:r>
      <w:r w:rsidR="00667651" w:rsidRPr="002F4384">
        <w:rPr>
          <w:rFonts w:asciiTheme="minorBidi" w:hAnsiTheme="minorBidi" w:cstheme="minorBidi"/>
          <w:lang w:val="es-ES_tradnl"/>
        </w:rPr>
        <w:t xml:space="preserve">a dictar la Conferencia Conmemorativa de Roger Revelle </w:t>
      </w:r>
      <w:r w:rsidR="00B735CE" w:rsidRPr="002F4384">
        <w:rPr>
          <w:rFonts w:asciiTheme="minorBidi" w:hAnsiTheme="minorBidi" w:cstheme="minorBidi"/>
          <w:lang w:val="es-ES_tradnl"/>
        </w:rPr>
        <w:t xml:space="preserve">de la COI </w:t>
      </w:r>
      <w:r w:rsidR="00667651" w:rsidRPr="002F4384">
        <w:rPr>
          <w:rFonts w:asciiTheme="minorBidi" w:hAnsiTheme="minorBidi" w:cstheme="minorBidi"/>
          <w:lang w:val="es-ES_tradnl"/>
        </w:rPr>
        <w:t xml:space="preserve">de 2022 en reconocimiento a su liderazgo en la climatología y las negociaciones sobre el clima para el Grupo Intergubernamental de Expertos sobre el Cambio Climático (IPCC) y el informe especial sobre el océano y la criosfera en un clima </w:t>
      </w:r>
      <w:r w:rsidR="00667651" w:rsidRPr="002F4384">
        <w:rPr>
          <w:rFonts w:asciiTheme="minorBidi" w:hAnsiTheme="minorBidi" w:cstheme="minorBidi"/>
          <w:lang w:val="es-ES_tradnl"/>
        </w:rPr>
        <w:lastRenderedPageBreak/>
        <w:t xml:space="preserve">cambiante, y </w:t>
      </w:r>
      <w:r w:rsidR="00D86252" w:rsidRPr="002F4384">
        <w:rPr>
          <w:rFonts w:asciiTheme="minorBidi" w:hAnsiTheme="minorBidi" w:cstheme="minorBidi"/>
          <w:lang w:val="es-ES_tradnl"/>
        </w:rPr>
        <w:t>por</w:t>
      </w:r>
      <w:r w:rsidR="00667651" w:rsidRPr="002F4384">
        <w:rPr>
          <w:rFonts w:asciiTheme="minorBidi" w:hAnsiTheme="minorBidi" w:cstheme="minorBidi"/>
          <w:lang w:val="es-ES_tradnl"/>
        </w:rPr>
        <w:t xml:space="preserve"> su papel clave en el reconocimiento del cambio climático como </w:t>
      </w:r>
      <w:r w:rsidR="00D86252" w:rsidRPr="002F4384">
        <w:rPr>
          <w:rFonts w:asciiTheme="minorBidi" w:hAnsiTheme="minorBidi" w:cstheme="minorBidi"/>
          <w:lang w:val="es-ES_tradnl"/>
        </w:rPr>
        <w:t xml:space="preserve">un </w:t>
      </w:r>
      <w:r w:rsidR="00667651" w:rsidRPr="002F4384">
        <w:rPr>
          <w:rFonts w:asciiTheme="minorBidi" w:hAnsiTheme="minorBidi" w:cstheme="minorBidi"/>
          <w:lang w:val="es-ES_tradnl"/>
        </w:rPr>
        <w:t xml:space="preserve">cambio oceánico. </w:t>
      </w:r>
    </w:p>
    <w:p w14:paraId="282DC38C" w14:textId="6878840B" w:rsidR="006257AD" w:rsidRPr="002F4384" w:rsidRDefault="00667651" w:rsidP="000E31F0">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Durante mucho tiempo, la COI había participado activamente en la investigación climática, así como en la interfaz entre la climatología y la política, y seguía haciéndolo hoy en día. Con una Conferencia Conmemorativa de Roger Revelle impartida por un destacado científico como el Prof. Dr. Hans-Otto Pörtner, la COI deseaba </w:t>
      </w:r>
      <w:r w:rsidR="00327197" w:rsidRPr="002F4384">
        <w:rPr>
          <w:rFonts w:asciiTheme="minorBidi" w:hAnsiTheme="minorBidi" w:cstheme="minorBidi"/>
          <w:lang w:val="es-ES_tradnl"/>
        </w:rPr>
        <w:t xml:space="preserve">hacer más hincapié en </w:t>
      </w:r>
      <w:r w:rsidR="00EC47EC" w:rsidRPr="002F4384">
        <w:rPr>
          <w:rFonts w:asciiTheme="minorBidi" w:hAnsiTheme="minorBidi" w:cstheme="minorBidi"/>
          <w:lang w:val="es-ES_tradnl"/>
        </w:rPr>
        <w:t xml:space="preserve">ese aspecto </w:t>
      </w:r>
      <w:r w:rsidRPr="002F4384">
        <w:rPr>
          <w:rFonts w:asciiTheme="minorBidi" w:hAnsiTheme="minorBidi" w:cstheme="minorBidi"/>
          <w:lang w:val="es-ES_tradnl"/>
        </w:rPr>
        <w:t>y señalar a la atención de un público lo más amplio posible los desafíos que se planteaban al océano y a la humanidad.</w:t>
      </w:r>
    </w:p>
    <w:p w14:paraId="7EB393B8" w14:textId="33D0947D" w:rsidR="006257AD" w:rsidRPr="002F4384" w:rsidRDefault="00667651" w:rsidP="000E31F0">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La Conferencia de 2022 se había titulado </w:t>
      </w:r>
      <w:r w:rsidR="00B27C8C" w:rsidRPr="002F4384">
        <w:rPr>
          <w:rFonts w:asciiTheme="minorBidi" w:hAnsiTheme="minorBidi" w:cstheme="minorBidi"/>
          <w:lang w:val="es-ES_tradnl"/>
        </w:rPr>
        <w:t>“</w:t>
      </w:r>
      <w:r w:rsidRPr="002F4384">
        <w:rPr>
          <w:rFonts w:asciiTheme="minorBidi" w:hAnsiTheme="minorBidi" w:cstheme="minorBidi"/>
          <w:lang w:val="es-ES_tradnl"/>
        </w:rPr>
        <w:t>El cambio climático es un cambio oc</w:t>
      </w:r>
      <w:r w:rsidR="001C4D8F" w:rsidRPr="002F4384">
        <w:rPr>
          <w:rFonts w:asciiTheme="minorBidi" w:hAnsiTheme="minorBidi" w:cstheme="minorBidi"/>
          <w:lang w:val="es-ES_tradnl"/>
        </w:rPr>
        <w:t>eánico</w:t>
      </w:r>
      <w:r w:rsidR="00A3609D" w:rsidRPr="002F4384">
        <w:rPr>
          <w:rFonts w:asciiTheme="minorBidi" w:hAnsiTheme="minorBidi" w:cstheme="minorBidi"/>
          <w:lang w:val="es-ES_tradnl"/>
        </w:rPr>
        <w:t>: punto de vista de un fisiólogo</w:t>
      </w:r>
      <w:r w:rsidR="00B27C8C" w:rsidRPr="002F4384">
        <w:rPr>
          <w:rFonts w:asciiTheme="minorBidi" w:hAnsiTheme="minorBidi" w:cstheme="minorBidi"/>
          <w:lang w:val="es-ES_tradnl"/>
        </w:rPr>
        <w:t>”</w:t>
      </w:r>
      <w:r w:rsidRPr="002F4384">
        <w:rPr>
          <w:rFonts w:asciiTheme="minorBidi" w:hAnsiTheme="minorBidi" w:cstheme="minorBidi"/>
          <w:lang w:val="es-ES_tradnl"/>
        </w:rPr>
        <w:t>.</w:t>
      </w:r>
    </w:p>
    <w:p w14:paraId="796D3FF2" w14:textId="14DCAF7C" w:rsidR="005E36B7" w:rsidRPr="002F4384" w:rsidRDefault="005E36B7" w:rsidP="005E36B7">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Tomando como base la serie de informes del IPCC, el Prof. Dr. Pörtner explicó </w:t>
      </w:r>
      <w:r w:rsidR="004E1C01" w:rsidRPr="002F4384">
        <w:rPr>
          <w:rFonts w:asciiTheme="minorBidi" w:hAnsiTheme="minorBidi" w:cstheme="minorBidi"/>
          <w:lang w:val="es-ES_tradnl"/>
        </w:rPr>
        <w:t>cómo</w:t>
      </w:r>
      <w:r w:rsidRPr="002F4384">
        <w:rPr>
          <w:rFonts w:asciiTheme="minorBidi" w:hAnsiTheme="minorBidi" w:cstheme="minorBidi"/>
          <w:lang w:val="es-ES_tradnl"/>
        </w:rPr>
        <w:t xml:space="preserve"> los factores del cambio climático en el océano produc</w:t>
      </w:r>
      <w:r w:rsidR="00AF590B" w:rsidRPr="002F4384">
        <w:rPr>
          <w:rFonts w:asciiTheme="minorBidi" w:hAnsiTheme="minorBidi" w:cstheme="minorBidi"/>
          <w:lang w:val="es-ES_tradnl"/>
        </w:rPr>
        <w:t>ía</w:t>
      </w:r>
      <w:r w:rsidRPr="002F4384">
        <w:rPr>
          <w:rFonts w:asciiTheme="minorBidi" w:hAnsiTheme="minorBidi" w:cstheme="minorBidi"/>
          <w:lang w:val="es-ES_tradnl"/>
        </w:rPr>
        <w:t>n un calentamiento de los océanos, una acidificación y una pérdida de oxígeno debido al calor y el aumento de la estratificación.</w:t>
      </w:r>
      <w:r w:rsidR="00B755FD" w:rsidRPr="002F4384">
        <w:rPr>
          <w:rFonts w:asciiTheme="minorBidi" w:hAnsiTheme="minorBidi" w:cstheme="minorBidi"/>
          <w:lang w:val="es-ES_tradnl"/>
        </w:rPr>
        <w:t xml:space="preserve"> Estos factores afecta</w:t>
      </w:r>
      <w:r w:rsidR="00E6253E" w:rsidRPr="002F4384">
        <w:rPr>
          <w:rFonts w:asciiTheme="minorBidi" w:hAnsiTheme="minorBidi" w:cstheme="minorBidi"/>
          <w:lang w:val="es-ES_tradnl"/>
        </w:rPr>
        <w:t>ba</w:t>
      </w:r>
      <w:r w:rsidR="00B755FD" w:rsidRPr="002F4384">
        <w:rPr>
          <w:rFonts w:asciiTheme="minorBidi" w:hAnsiTheme="minorBidi" w:cstheme="minorBidi"/>
          <w:lang w:val="es-ES_tradnl"/>
        </w:rPr>
        <w:t xml:space="preserve">n a la vida del océano de forma individual y en conjunto. </w:t>
      </w:r>
      <w:r w:rsidR="004E1C01" w:rsidRPr="002F4384">
        <w:rPr>
          <w:rFonts w:asciiTheme="minorBidi" w:hAnsiTheme="minorBidi" w:cstheme="minorBidi"/>
          <w:lang w:val="es-ES_tradnl"/>
        </w:rPr>
        <w:t>Mientras que algunos enfoques compara</w:t>
      </w:r>
      <w:r w:rsidR="00E6253E" w:rsidRPr="002F4384">
        <w:rPr>
          <w:rFonts w:asciiTheme="minorBidi" w:hAnsiTheme="minorBidi" w:cstheme="minorBidi"/>
          <w:lang w:val="es-ES_tradnl"/>
        </w:rPr>
        <w:t>ba</w:t>
      </w:r>
      <w:r w:rsidR="004E1C01" w:rsidRPr="002F4384">
        <w:rPr>
          <w:rFonts w:asciiTheme="minorBidi" w:hAnsiTheme="minorBidi" w:cstheme="minorBidi"/>
          <w:lang w:val="es-ES_tradnl"/>
        </w:rPr>
        <w:t xml:space="preserve">n la amplitud de la repercusión de estos factores de manera aislada, otros se </w:t>
      </w:r>
      <w:r w:rsidR="00E6253E" w:rsidRPr="002F4384">
        <w:rPr>
          <w:rFonts w:asciiTheme="minorBidi" w:hAnsiTheme="minorBidi" w:cstheme="minorBidi"/>
          <w:lang w:val="es-ES_tradnl"/>
        </w:rPr>
        <w:t>esforzaban</w:t>
      </w:r>
      <w:r w:rsidR="004E1C01" w:rsidRPr="002F4384">
        <w:rPr>
          <w:rFonts w:asciiTheme="minorBidi" w:hAnsiTheme="minorBidi" w:cstheme="minorBidi"/>
          <w:lang w:val="es-ES_tradnl"/>
        </w:rPr>
        <w:t xml:space="preserve"> por elaborar una visión integrada. </w:t>
      </w:r>
      <w:r w:rsidR="00E0096F" w:rsidRPr="002F4384">
        <w:rPr>
          <w:rFonts w:asciiTheme="minorBidi" w:hAnsiTheme="minorBidi" w:cstheme="minorBidi"/>
          <w:lang w:val="es-ES_tradnl"/>
        </w:rPr>
        <w:t>Partiendo de estos principios, la temperatura resulta</w:t>
      </w:r>
      <w:r w:rsidR="00E6253E" w:rsidRPr="002F4384">
        <w:rPr>
          <w:rFonts w:asciiTheme="minorBidi" w:hAnsiTheme="minorBidi" w:cstheme="minorBidi"/>
          <w:lang w:val="es-ES_tradnl"/>
        </w:rPr>
        <w:t>ba</w:t>
      </w:r>
      <w:r w:rsidR="00E0096F" w:rsidRPr="002F4384">
        <w:rPr>
          <w:rFonts w:asciiTheme="minorBidi" w:hAnsiTheme="minorBidi" w:cstheme="minorBidi"/>
          <w:lang w:val="es-ES_tradnl"/>
        </w:rPr>
        <w:t xml:space="preserve"> ser una variable clave que determina</w:t>
      </w:r>
      <w:r w:rsidR="00E6253E" w:rsidRPr="002F4384">
        <w:rPr>
          <w:rFonts w:asciiTheme="minorBidi" w:hAnsiTheme="minorBidi" w:cstheme="minorBidi"/>
          <w:lang w:val="es-ES_tradnl"/>
        </w:rPr>
        <w:t>ba</w:t>
      </w:r>
      <w:r w:rsidR="00E0096F" w:rsidRPr="002F4384">
        <w:rPr>
          <w:rFonts w:asciiTheme="minorBidi" w:hAnsiTheme="minorBidi" w:cstheme="minorBidi"/>
          <w:lang w:val="es-ES_tradnl"/>
        </w:rPr>
        <w:t xml:space="preserve"> el funcionamiento de todas las formas de vida en los océanos.</w:t>
      </w:r>
      <w:r w:rsidR="006A3A34" w:rsidRPr="002F4384">
        <w:rPr>
          <w:rFonts w:asciiTheme="minorBidi" w:hAnsiTheme="minorBidi" w:cstheme="minorBidi"/>
          <w:lang w:val="es-ES_tradnl"/>
        </w:rPr>
        <w:t xml:space="preserve"> Este funcionamiento depend</w:t>
      </w:r>
      <w:r w:rsidR="00E6253E" w:rsidRPr="002F4384">
        <w:rPr>
          <w:rFonts w:asciiTheme="minorBidi" w:hAnsiTheme="minorBidi" w:cstheme="minorBidi"/>
          <w:lang w:val="es-ES_tradnl"/>
        </w:rPr>
        <w:t>ía</w:t>
      </w:r>
      <w:r w:rsidR="006A3A34" w:rsidRPr="002F4384">
        <w:rPr>
          <w:rFonts w:asciiTheme="minorBidi" w:hAnsiTheme="minorBidi" w:cstheme="minorBidi"/>
          <w:lang w:val="es-ES_tradnl"/>
        </w:rPr>
        <w:t xml:space="preserve"> de la curva de comportamiento térmico como norma de reacción que caracteriza</w:t>
      </w:r>
      <w:r w:rsidR="00E6253E" w:rsidRPr="002F4384">
        <w:rPr>
          <w:rFonts w:asciiTheme="minorBidi" w:hAnsiTheme="minorBidi" w:cstheme="minorBidi"/>
          <w:lang w:val="es-ES_tradnl"/>
        </w:rPr>
        <w:t>ba</w:t>
      </w:r>
      <w:r w:rsidR="006A3A34" w:rsidRPr="002F4384">
        <w:rPr>
          <w:rFonts w:asciiTheme="minorBidi" w:hAnsiTheme="minorBidi" w:cstheme="minorBidi"/>
          <w:lang w:val="es-ES_tradnl"/>
        </w:rPr>
        <w:t xml:space="preserve"> a las diferentes especies y sus etapas de vida.</w:t>
      </w:r>
      <w:r w:rsidR="00556F56" w:rsidRPr="002F4384">
        <w:rPr>
          <w:rFonts w:asciiTheme="minorBidi" w:hAnsiTheme="minorBidi" w:cstheme="minorBidi"/>
          <w:lang w:val="es-ES_tradnl"/>
        </w:rPr>
        <w:t xml:space="preserve"> </w:t>
      </w:r>
      <w:r w:rsidR="00E6253E" w:rsidRPr="002F4384">
        <w:rPr>
          <w:rFonts w:asciiTheme="minorBidi" w:hAnsiTheme="minorBidi" w:cstheme="minorBidi"/>
          <w:lang w:val="es-ES_tradnl"/>
        </w:rPr>
        <w:t>Estaban surgiendo</w:t>
      </w:r>
      <w:r w:rsidR="00556F56" w:rsidRPr="002F4384">
        <w:rPr>
          <w:rFonts w:asciiTheme="minorBidi" w:hAnsiTheme="minorBidi" w:cstheme="minorBidi"/>
          <w:lang w:val="es-ES_tradnl"/>
        </w:rPr>
        <w:t xml:space="preserve"> principios unificadores acerca de la curva de comportamiento térmico de las especies, que explica</w:t>
      </w:r>
      <w:r w:rsidR="00E6253E" w:rsidRPr="002F4384">
        <w:rPr>
          <w:rFonts w:asciiTheme="minorBidi" w:hAnsiTheme="minorBidi" w:cstheme="minorBidi"/>
          <w:lang w:val="es-ES_tradnl"/>
        </w:rPr>
        <w:t>ba</w:t>
      </w:r>
      <w:r w:rsidR="00556F56" w:rsidRPr="002F4384">
        <w:rPr>
          <w:rFonts w:asciiTheme="minorBidi" w:hAnsiTheme="minorBidi" w:cstheme="minorBidi"/>
          <w:lang w:val="es-ES_tradnl"/>
        </w:rPr>
        <w:t>n su vulnerabilidad al cambio climático.</w:t>
      </w:r>
      <w:r w:rsidR="00B642DE" w:rsidRPr="002F4384">
        <w:rPr>
          <w:rFonts w:asciiTheme="minorBidi" w:hAnsiTheme="minorBidi" w:cstheme="minorBidi"/>
          <w:lang w:val="es-ES_tradnl"/>
        </w:rPr>
        <w:t xml:space="preserve"> Las curvas de comportamiento térmico superpuestas caracteriza</w:t>
      </w:r>
      <w:r w:rsidR="00E6253E" w:rsidRPr="002F4384">
        <w:rPr>
          <w:rFonts w:asciiTheme="minorBidi" w:hAnsiTheme="minorBidi" w:cstheme="minorBidi"/>
          <w:lang w:val="es-ES_tradnl"/>
        </w:rPr>
        <w:t>ba</w:t>
      </w:r>
      <w:r w:rsidR="00B642DE" w:rsidRPr="002F4384">
        <w:rPr>
          <w:rFonts w:asciiTheme="minorBidi" w:hAnsiTheme="minorBidi" w:cstheme="minorBidi"/>
          <w:lang w:val="es-ES_tradnl"/>
        </w:rPr>
        <w:t xml:space="preserve">n el rango de temperatura en el que las especies </w:t>
      </w:r>
      <w:r w:rsidR="00E6253E" w:rsidRPr="002F4384">
        <w:rPr>
          <w:rFonts w:asciiTheme="minorBidi" w:hAnsiTheme="minorBidi" w:cstheme="minorBidi"/>
          <w:lang w:val="es-ES_tradnl"/>
        </w:rPr>
        <w:t>podían</w:t>
      </w:r>
      <w:r w:rsidR="00B642DE" w:rsidRPr="002F4384">
        <w:rPr>
          <w:rFonts w:asciiTheme="minorBidi" w:hAnsiTheme="minorBidi" w:cstheme="minorBidi"/>
          <w:lang w:val="es-ES_tradnl"/>
        </w:rPr>
        <w:t xml:space="preserve"> coexistir en el ecosistema.</w:t>
      </w:r>
      <w:r w:rsidR="00CD36CC" w:rsidRPr="002F4384">
        <w:rPr>
          <w:rFonts w:asciiTheme="minorBidi" w:hAnsiTheme="minorBidi" w:cstheme="minorBidi"/>
          <w:lang w:val="es-ES_tradnl"/>
        </w:rPr>
        <w:t xml:space="preserve"> En su conferencia, el Prof. Dr. Pörtner puso cada uno de los factores en su contexto y explicó cómo la interacción de los factores influía en la tolerancia y comportamiento térmicos de las especies animales marinas. El Prof. Dr. Pörtner también abordó las implicaciones de estos hallazgos para el ecosistema.</w:t>
      </w:r>
    </w:p>
    <w:p w14:paraId="25FD5A9B" w14:textId="13D40C0A" w:rsidR="00CD36CC" w:rsidRPr="002F4384" w:rsidRDefault="00CD36CC" w:rsidP="005E36B7">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Consejo Ejecutivo aplaudió al Prof. Dr. Pörtner por su conferencia y por </w:t>
      </w:r>
      <w:r w:rsidR="00773A4E" w:rsidRPr="002F4384">
        <w:rPr>
          <w:rFonts w:asciiTheme="minorBidi" w:hAnsiTheme="minorBidi" w:cstheme="minorBidi"/>
          <w:lang w:val="es-ES_tradnl"/>
        </w:rPr>
        <w:t>haber ofrecido</w:t>
      </w:r>
      <w:r w:rsidRPr="002F4384">
        <w:rPr>
          <w:rFonts w:asciiTheme="minorBidi" w:hAnsiTheme="minorBidi" w:cstheme="minorBidi"/>
          <w:lang w:val="es-ES_tradnl"/>
        </w:rPr>
        <w:t xml:space="preserve"> una visión actualizada de</w:t>
      </w:r>
      <w:r w:rsidR="00773A4E" w:rsidRPr="002F4384">
        <w:rPr>
          <w:rFonts w:asciiTheme="minorBidi" w:hAnsiTheme="minorBidi" w:cstheme="minorBidi"/>
          <w:lang w:val="es-ES_tradnl"/>
        </w:rPr>
        <w:t xml:space="preserve"> los</w:t>
      </w:r>
      <w:r w:rsidRPr="002F4384">
        <w:rPr>
          <w:rFonts w:asciiTheme="minorBidi" w:hAnsiTheme="minorBidi" w:cstheme="minorBidi"/>
          <w:lang w:val="es-ES_tradnl"/>
        </w:rPr>
        <w:t xml:space="preserve"> </w:t>
      </w:r>
      <w:r w:rsidR="00D570F6" w:rsidRPr="002F4384">
        <w:rPr>
          <w:rFonts w:asciiTheme="minorBidi" w:hAnsiTheme="minorBidi" w:cstheme="minorBidi"/>
          <w:lang w:val="es-ES_tradnl"/>
        </w:rPr>
        <w:t xml:space="preserve">principales </w:t>
      </w:r>
      <w:r w:rsidRPr="002F4384">
        <w:rPr>
          <w:rFonts w:asciiTheme="minorBidi" w:hAnsiTheme="minorBidi" w:cstheme="minorBidi"/>
          <w:lang w:val="es-ES_tradnl"/>
        </w:rPr>
        <w:t>datos que documenta</w:t>
      </w:r>
      <w:r w:rsidR="00992F93" w:rsidRPr="002F4384">
        <w:rPr>
          <w:rFonts w:asciiTheme="minorBidi" w:hAnsiTheme="minorBidi" w:cstheme="minorBidi"/>
          <w:lang w:val="es-ES_tradnl"/>
        </w:rPr>
        <w:t>ba</w:t>
      </w:r>
      <w:r w:rsidRPr="002F4384">
        <w:rPr>
          <w:rFonts w:asciiTheme="minorBidi" w:hAnsiTheme="minorBidi" w:cstheme="minorBidi"/>
          <w:lang w:val="es-ES_tradnl"/>
        </w:rPr>
        <w:t>n los cambios climáticos y oceánicos.</w:t>
      </w:r>
    </w:p>
    <w:p w14:paraId="4A36ED15" w14:textId="77777777" w:rsidR="00AE29AC" w:rsidRPr="002F4384" w:rsidRDefault="0025391C" w:rsidP="006F18C2">
      <w:pPr>
        <w:pStyle w:val="Heading1"/>
        <w:numPr>
          <w:ilvl w:val="0"/>
          <w:numId w:val="8"/>
        </w:numPr>
        <w:tabs>
          <w:tab w:val="left" w:pos="709"/>
        </w:tabs>
        <w:spacing w:before="120"/>
        <w:ind w:left="709" w:hanging="720"/>
        <w:rPr>
          <w:rFonts w:asciiTheme="minorBidi" w:hAnsiTheme="minorBidi" w:cstheme="minorBidi"/>
          <w:szCs w:val="22"/>
          <w:lang w:val="es-ES_tradnl"/>
        </w:rPr>
      </w:pPr>
      <w:bookmarkStart w:id="105" w:name="_Toc31634891"/>
      <w:bookmarkStart w:id="106" w:name="_Toc57369050"/>
      <w:bookmarkStart w:id="107" w:name="_Toc85469058"/>
      <w:bookmarkStart w:id="108" w:name="_Toc115256314"/>
      <w:r w:rsidRPr="002F4384">
        <w:rPr>
          <w:rFonts w:asciiTheme="minorBidi" w:hAnsiTheme="minorBidi" w:cstheme="minorBidi"/>
          <w:szCs w:val="22"/>
          <w:lang w:val="es-ES_tradnl"/>
        </w:rPr>
        <w:t>ASUNTOS E INFORMES DE LA COI</w:t>
      </w:r>
      <w:bookmarkEnd w:id="105"/>
      <w:bookmarkEnd w:id="106"/>
      <w:bookmarkEnd w:id="107"/>
      <w:bookmarkEnd w:id="108"/>
    </w:p>
    <w:p w14:paraId="5F473A1B" w14:textId="13A65BAD" w:rsidR="00F05DB7" w:rsidRPr="002F4384" w:rsidRDefault="00351054" w:rsidP="00A50A36">
      <w:pPr>
        <w:pStyle w:val="Heading2"/>
        <w:tabs>
          <w:tab w:val="clear" w:pos="737"/>
        </w:tabs>
        <w:ind w:left="709" w:hanging="709"/>
        <w:jc w:val="both"/>
        <w:rPr>
          <w:rFonts w:asciiTheme="minorBidi" w:hAnsiTheme="minorBidi" w:cstheme="minorBidi"/>
          <w:szCs w:val="22"/>
          <w:lang w:val="es-ES_tradnl"/>
        </w:rPr>
      </w:pPr>
      <w:bookmarkStart w:id="109" w:name="_Toc115256315"/>
      <w:bookmarkStart w:id="110" w:name="_Toc85469059"/>
      <w:r w:rsidRPr="002F4384">
        <w:rPr>
          <w:rFonts w:asciiTheme="minorBidi" w:hAnsiTheme="minorBidi" w:cstheme="minorBidi"/>
          <w:szCs w:val="22"/>
          <w:lang w:val="es-ES_tradnl"/>
        </w:rPr>
        <w:t>3.1</w:t>
      </w:r>
      <w:r w:rsidRPr="002F4384">
        <w:rPr>
          <w:rFonts w:asciiTheme="minorBidi" w:hAnsiTheme="minorBidi" w:cstheme="minorBidi"/>
          <w:szCs w:val="22"/>
          <w:lang w:val="es-ES_tradnl"/>
        </w:rPr>
        <w:tab/>
        <w:t>INFORME DEL SECRETARIO EJECUTIVO SOBRE LA LABOR REALIZADA DESDE LA 31ª REUNIÓN DE LA ASAMBLEA (julio de 2021-mayo de 2022)</w:t>
      </w:r>
      <w:bookmarkEnd w:id="109"/>
    </w:p>
    <w:p w14:paraId="5FA7855A" w14:textId="4529189E" w:rsidR="00945A6D" w:rsidRPr="002F4384" w:rsidRDefault="00667651" w:rsidP="000E31F0">
      <w:pPr>
        <w:pStyle w:val="Style2"/>
        <w:numPr>
          <w:ilvl w:val="0"/>
          <w:numId w:val="7"/>
        </w:numPr>
        <w:tabs>
          <w:tab w:val="left" w:pos="709"/>
        </w:tabs>
        <w:ind w:left="0" w:hanging="567"/>
        <w:rPr>
          <w:rFonts w:asciiTheme="minorBidi" w:hAnsiTheme="minorBidi" w:cstheme="minorBidi"/>
          <w:lang w:val="es-ES_tradnl"/>
        </w:rPr>
      </w:pPr>
      <w:bookmarkStart w:id="111" w:name="_Hlk101797503"/>
      <w:bookmarkStart w:id="112" w:name="_Hlk101797204"/>
      <w:bookmarkEnd w:id="110"/>
      <w:r w:rsidRPr="002F4384">
        <w:rPr>
          <w:rFonts w:asciiTheme="minorBidi" w:hAnsiTheme="minorBidi" w:cstheme="minorBidi"/>
          <w:lang w:val="es-ES_tradnl"/>
        </w:rPr>
        <w:t>El Secretario Ejecutivo introdujo este punto utilizando una presentación en PowerPoint.</w:t>
      </w:r>
    </w:p>
    <w:p w14:paraId="38B3BF36" w14:textId="08922E0B" w:rsidR="00B25F41" w:rsidRPr="002F4384" w:rsidRDefault="00667651" w:rsidP="000E31F0">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Recordó que el análisis estratégico presentado en el </w:t>
      </w:r>
      <w:r w:rsidR="00465A38" w:rsidRPr="002F4384">
        <w:rPr>
          <w:rFonts w:asciiTheme="minorBidi" w:hAnsiTheme="minorBidi" w:cstheme="minorBidi"/>
          <w:lang w:val="es-ES_tradnl"/>
        </w:rPr>
        <w:t>i</w:t>
      </w:r>
      <w:r w:rsidRPr="002F4384">
        <w:rPr>
          <w:rFonts w:asciiTheme="minorBidi" w:hAnsiTheme="minorBidi" w:cstheme="minorBidi"/>
          <w:lang w:val="es-ES_tradnl"/>
        </w:rPr>
        <w:t>nforme del Secretario Ejecutivo a la Asamblea de la COI en su 31ª reunión</w:t>
      </w:r>
      <w:r w:rsidR="00465A38" w:rsidRPr="002F4384">
        <w:rPr>
          <w:rFonts w:asciiTheme="minorBidi" w:hAnsiTheme="minorBidi" w:cstheme="minorBidi"/>
          <w:lang w:val="es-ES_tradnl"/>
        </w:rPr>
        <w:t xml:space="preserve"> </w:t>
      </w:r>
      <w:r w:rsidRPr="002F4384">
        <w:rPr>
          <w:rFonts w:asciiTheme="minorBidi" w:hAnsiTheme="minorBidi" w:cstheme="minorBidi"/>
          <w:lang w:val="es-ES_tradnl"/>
        </w:rPr>
        <w:t>en junio de 2021 (</w:t>
      </w:r>
      <w:r w:rsidR="00353425" w:rsidRPr="002F4384">
        <w:rPr>
          <w:rFonts w:asciiTheme="minorBidi" w:hAnsiTheme="minorBidi" w:cstheme="minorBidi"/>
          <w:lang w:val="es-ES_tradnl"/>
        </w:rPr>
        <w:t>IOC/A-31/3.2.Doc(1)</w:t>
      </w:r>
      <w:r w:rsidRPr="002F4384">
        <w:rPr>
          <w:rFonts w:asciiTheme="minorBidi" w:hAnsiTheme="minorBidi" w:cstheme="minorBidi"/>
          <w:lang w:val="es-ES_tradnl"/>
        </w:rPr>
        <w:t>) seguía siendo válido, y que su presentación se centraba en las principales novedades y logros</w:t>
      </w:r>
      <w:r w:rsidR="0071606B" w:rsidRPr="002F4384">
        <w:rPr>
          <w:rFonts w:asciiTheme="minorBidi" w:hAnsiTheme="minorBidi" w:cstheme="minorBidi"/>
          <w:lang w:val="es-ES_tradnl"/>
        </w:rPr>
        <w:t xml:space="preserve"> obtenidos</w:t>
      </w:r>
      <w:r w:rsidRPr="002F4384">
        <w:rPr>
          <w:rFonts w:asciiTheme="minorBidi" w:hAnsiTheme="minorBidi" w:cstheme="minorBidi"/>
          <w:lang w:val="es-ES_tradnl"/>
        </w:rPr>
        <w:t xml:space="preserve"> desde junio de 2021 y en algunos puntos que requerían la atención del Consejo Ejecutivo.</w:t>
      </w:r>
    </w:p>
    <w:p w14:paraId="62BB5B93" w14:textId="07F715C4" w:rsidR="00B25F41" w:rsidRPr="002F4384" w:rsidRDefault="00667651" w:rsidP="000E31F0">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informe analítico sobre la ejecución del programa del cuatrienio completo 2018-2021, incluida la evaluación del desempeño sobre la base de las metas programáticas </w:t>
      </w:r>
      <w:r w:rsidR="0071606B" w:rsidRPr="002F4384">
        <w:rPr>
          <w:rFonts w:asciiTheme="minorBidi" w:hAnsiTheme="minorBidi" w:cstheme="minorBidi"/>
          <w:lang w:val="es-ES_tradnl"/>
        </w:rPr>
        <w:t>aprobadas</w:t>
      </w:r>
      <w:r w:rsidRPr="002F4384">
        <w:rPr>
          <w:rFonts w:asciiTheme="minorBidi" w:hAnsiTheme="minorBidi" w:cstheme="minorBidi"/>
          <w:lang w:val="es-ES_tradnl"/>
        </w:rPr>
        <w:t>, est</w:t>
      </w:r>
      <w:r w:rsidR="00CB633F" w:rsidRPr="002F4384">
        <w:rPr>
          <w:rFonts w:asciiTheme="minorBidi" w:hAnsiTheme="minorBidi" w:cstheme="minorBidi"/>
          <w:lang w:val="es-ES_tradnl"/>
        </w:rPr>
        <w:t>aba</w:t>
      </w:r>
      <w:r w:rsidRPr="002F4384">
        <w:rPr>
          <w:rFonts w:asciiTheme="minorBidi" w:hAnsiTheme="minorBidi" w:cstheme="minorBidi"/>
          <w:lang w:val="es-ES_tradnl"/>
        </w:rPr>
        <w:t xml:space="preserve"> disponible para los Estados Miembros en el documento </w:t>
      </w:r>
      <w:r w:rsidR="006A4C2C" w:rsidRPr="002F4384">
        <w:rPr>
          <w:rFonts w:asciiTheme="minorBidi" w:hAnsiTheme="minorBidi" w:cstheme="minorBidi"/>
          <w:lang w:val="es-ES_tradnl"/>
        </w:rPr>
        <w:t>IOC/EC-55/3.1.Doc(1)</w:t>
      </w:r>
      <w:r w:rsidRPr="002F4384">
        <w:rPr>
          <w:rFonts w:asciiTheme="minorBidi" w:hAnsiTheme="minorBidi" w:cstheme="minorBidi"/>
          <w:lang w:val="es-ES_tradnl"/>
        </w:rPr>
        <w:t xml:space="preserve">, cuyo </w:t>
      </w:r>
      <w:r w:rsidR="006A4C2C" w:rsidRPr="002F4384">
        <w:rPr>
          <w:rFonts w:asciiTheme="minorBidi" w:hAnsiTheme="minorBidi" w:cstheme="minorBidi"/>
          <w:lang w:val="es-ES_tradnl"/>
        </w:rPr>
        <w:t>addendum</w:t>
      </w:r>
      <w:r w:rsidRPr="002F4384">
        <w:rPr>
          <w:rFonts w:asciiTheme="minorBidi" w:hAnsiTheme="minorBidi" w:cstheme="minorBidi"/>
          <w:lang w:val="es-ES_tradnl"/>
        </w:rPr>
        <w:t xml:space="preserve"> ofrec</w:t>
      </w:r>
      <w:r w:rsidR="00451088" w:rsidRPr="002F4384">
        <w:rPr>
          <w:rFonts w:asciiTheme="minorBidi" w:hAnsiTheme="minorBidi" w:cstheme="minorBidi"/>
          <w:lang w:val="es-ES_tradnl"/>
        </w:rPr>
        <w:t>ía</w:t>
      </w:r>
      <w:r w:rsidRPr="002F4384">
        <w:rPr>
          <w:rFonts w:asciiTheme="minorBidi" w:hAnsiTheme="minorBidi" w:cstheme="minorBidi"/>
          <w:lang w:val="es-ES_tradnl"/>
        </w:rPr>
        <w:t xml:space="preserve"> información muy detallada sobre la ejecución por función de la COI.</w:t>
      </w:r>
    </w:p>
    <w:p w14:paraId="48B4F1E4" w14:textId="6F4CB9BC" w:rsidR="00B25F41" w:rsidRPr="002F4384" w:rsidRDefault="00667651" w:rsidP="000E31F0">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Secretario Ejecutivo destacó que, </w:t>
      </w:r>
      <w:r w:rsidR="00FF5108" w:rsidRPr="002F4384">
        <w:rPr>
          <w:rFonts w:asciiTheme="minorBidi" w:hAnsiTheme="minorBidi" w:cstheme="minorBidi"/>
          <w:lang w:val="es-ES_tradnl"/>
        </w:rPr>
        <w:t xml:space="preserve">a </w:t>
      </w:r>
      <w:r w:rsidRPr="002F4384">
        <w:rPr>
          <w:rFonts w:asciiTheme="minorBidi" w:hAnsiTheme="minorBidi" w:cstheme="minorBidi"/>
          <w:lang w:val="es-ES_tradnl"/>
        </w:rPr>
        <w:t xml:space="preserve">pesar de la compleja situación internacional provocada por la pandemia de COVID-19 y de las tensiones geopolíticas debidas, entre otras cosas, al conflicto militar en Ucrania, estaba previsto que el año 2022 fuera el “año del océano”. </w:t>
      </w:r>
      <w:r w:rsidR="00AD0D71" w:rsidRPr="002F4384">
        <w:rPr>
          <w:rFonts w:asciiTheme="minorBidi" w:hAnsiTheme="minorBidi" w:cstheme="minorBidi"/>
          <w:lang w:val="es-ES_tradnl"/>
        </w:rPr>
        <w:t>Su</w:t>
      </w:r>
      <w:r w:rsidRPr="002F4384">
        <w:rPr>
          <w:rFonts w:asciiTheme="minorBidi" w:hAnsiTheme="minorBidi" w:cstheme="minorBidi"/>
          <w:lang w:val="es-ES_tradnl"/>
        </w:rPr>
        <w:t xml:space="preserve"> inicio había estado marcado por la Cumbre “Un Océano”, la primera Cumbre Un Planeta enteramente dedicada al océano, que se había celebrado en Brest (Francia) los días 9 a 11 de febrero de 2022 en el marco de la Presidencia francesa del Consejo de la Unión Europea y con el apoyo de las Naciones Unidas. La Directora General de la UNESCO había intervenido en el segmento de alto nivel de la Cumbre </w:t>
      </w:r>
      <w:r w:rsidRPr="002F4384">
        <w:rPr>
          <w:rFonts w:asciiTheme="minorBidi" w:hAnsiTheme="minorBidi" w:cstheme="minorBidi"/>
          <w:lang w:val="es-ES_tradnl"/>
        </w:rPr>
        <w:lastRenderedPageBreak/>
        <w:t>en presencia de numerosos jefes de Estado y de Gobierno. La COI había movilizado la contribución de la UNESCO a la Cumbre y había actuado en calidad de organizadora o de participante en los principales actos.</w:t>
      </w:r>
    </w:p>
    <w:p w14:paraId="60B08959" w14:textId="7B999D74" w:rsidR="00871828" w:rsidRPr="002F4384" w:rsidRDefault="00B25F41" w:rsidP="000E31F0">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La séptima Conferencia “Nuestro Océano”</w:t>
      </w:r>
      <w:r w:rsidR="00B7558D" w:rsidRPr="002F4384">
        <w:rPr>
          <w:rFonts w:asciiTheme="minorBidi" w:hAnsiTheme="minorBidi" w:cstheme="minorBidi"/>
          <w:lang w:val="es-ES_tradnl"/>
        </w:rPr>
        <w:t xml:space="preserve"> (</w:t>
      </w:r>
      <w:r w:rsidRPr="002F4384">
        <w:rPr>
          <w:rFonts w:asciiTheme="minorBidi" w:hAnsiTheme="minorBidi" w:cstheme="minorBidi"/>
          <w:lang w:val="es-ES_tradnl"/>
        </w:rPr>
        <w:t>Pala</w:t>
      </w:r>
      <w:r w:rsidR="00B7558D" w:rsidRPr="002F4384">
        <w:rPr>
          <w:rFonts w:asciiTheme="minorBidi" w:hAnsiTheme="minorBidi" w:cstheme="minorBidi"/>
          <w:lang w:val="es-ES_tradnl"/>
        </w:rPr>
        <w:t xml:space="preserve">u, </w:t>
      </w:r>
      <w:r w:rsidRPr="002F4384">
        <w:rPr>
          <w:rFonts w:asciiTheme="minorBidi" w:hAnsiTheme="minorBidi" w:cstheme="minorBidi"/>
          <w:lang w:val="es-ES_tradnl"/>
        </w:rPr>
        <w:t>13</w:t>
      </w:r>
      <w:r w:rsidR="00B7558D" w:rsidRPr="002F4384">
        <w:rPr>
          <w:rFonts w:asciiTheme="minorBidi" w:hAnsiTheme="minorBidi" w:cstheme="minorBidi"/>
          <w:lang w:val="es-ES_tradnl"/>
        </w:rPr>
        <w:t>-</w:t>
      </w:r>
      <w:r w:rsidRPr="002F4384">
        <w:rPr>
          <w:rFonts w:asciiTheme="minorBidi" w:hAnsiTheme="minorBidi" w:cstheme="minorBidi"/>
          <w:lang w:val="es-ES_tradnl"/>
        </w:rPr>
        <w:t>14 de abril de 2022</w:t>
      </w:r>
      <w:r w:rsidR="00B7558D" w:rsidRPr="002F4384">
        <w:rPr>
          <w:rFonts w:asciiTheme="minorBidi" w:hAnsiTheme="minorBidi" w:cstheme="minorBidi"/>
          <w:lang w:val="es-ES_tradnl"/>
        </w:rPr>
        <w:t>)</w:t>
      </w:r>
      <w:r w:rsidRPr="002F4384">
        <w:rPr>
          <w:rFonts w:asciiTheme="minorBidi" w:hAnsiTheme="minorBidi" w:cstheme="minorBidi"/>
          <w:lang w:val="es-ES_tradnl"/>
        </w:rPr>
        <w:t xml:space="preserve"> había supuesto un impulso adicional para las partes interesadas en los océanos, en particular para generar compromisos sobre los océanos desde los PEID y el Pacífico y en favor de estos. La “ruta oceánica” de 2022 había continuado con la Conferencia Africana sobre el Establecimiento de Prioridades y el Desarrollo de Alianzas de cara al Decenio de las Naciones Unidas de las Ciencias Oceánicas para el Desarrollo Sostenible (10</w:t>
      </w:r>
      <w:r w:rsidR="00536B27" w:rsidRPr="002F4384">
        <w:rPr>
          <w:rFonts w:asciiTheme="minorBidi" w:hAnsiTheme="minorBidi" w:cstheme="minorBidi"/>
          <w:lang w:val="es-ES_tradnl"/>
        </w:rPr>
        <w:t>-</w:t>
      </w:r>
      <w:r w:rsidRPr="002F4384">
        <w:rPr>
          <w:rFonts w:asciiTheme="minorBidi" w:hAnsiTheme="minorBidi" w:cstheme="minorBidi"/>
          <w:lang w:val="es-ES_tradnl"/>
        </w:rPr>
        <w:t xml:space="preserve">12 de mayo de 2022) en El Cairo (Egipto), en la que se establecería la hoja de ruta del </w:t>
      </w:r>
      <w:r w:rsidR="008A20CE" w:rsidRPr="002F4384">
        <w:rPr>
          <w:rFonts w:asciiTheme="minorBidi" w:hAnsiTheme="minorBidi" w:cstheme="minorBidi"/>
          <w:lang w:val="es-ES_tradnl"/>
        </w:rPr>
        <w:t>Decenio del Océano</w:t>
      </w:r>
      <w:r w:rsidRPr="002F4384">
        <w:rPr>
          <w:rFonts w:asciiTheme="minorBidi" w:hAnsiTheme="minorBidi" w:cstheme="minorBidi"/>
          <w:lang w:val="es-ES_tradnl"/>
        </w:rPr>
        <w:t xml:space="preserve"> para el continente; la 22ª reunión</w:t>
      </w:r>
      <w:r w:rsidR="005414F1" w:rsidRPr="002F4384">
        <w:rPr>
          <w:rFonts w:asciiTheme="minorBidi" w:hAnsiTheme="minorBidi" w:cstheme="minorBidi"/>
          <w:lang w:val="es-ES_tradnl"/>
        </w:rPr>
        <w:t xml:space="preserve"> sobre la observación de los océanos</w:t>
      </w:r>
      <w:r w:rsidRPr="002F4384">
        <w:rPr>
          <w:rFonts w:asciiTheme="minorBidi" w:hAnsiTheme="minorBidi" w:cstheme="minorBidi"/>
          <w:lang w:val="es-ES_tradnl"/>
        </w:rPr>
        <w:t xml:space="preserve"> del Proceso Abierto de Consultas Oficiosas de las Naciones Unidas sobre los Océanos y el Derecho del Mar (6</w:t>
      </w:r>
      <w:r w:rsidR="00536B27" w:rsidRPr="002F4384">
        <w:rPr>
          <w:rFonts w:asciiTheme="minorBidi" w:hAnsiTheme="minorBidi" w:cstheme="minorBidi"/>
          <w:lang w:val="es-ES_tradnl"/>
        </w:rPr>
        <w:t>-</w:t>
      </w:r>
      <w:r w:rsidRPr="002F4384">
        <w:rPr>
          <w:rFonts w:asciiTheme="minorBidi" w:hAnsiTheme="minorBidi" w:cstheme="minorBidi"/>
          <w:lang w:val="es-ES_tradnl"/>
        </w:rPr>
        <w:t>10 de junio de 2022); y el Diálogo sobre el Océano y el Clima de la CMNUCC (también en junio de 2022). Después de la 55ª reunión del Consejo Ejecutivo de la COI, la Comisión se centraría en la importantísima Conferencia de las Naciones Unidas sobre los Océanos, que se celebraría en Lisboa (27 de junio al 1 de julio de 2022), coorganizada por Portugal y Kenya. Las conclusiones y los compromisos dimanantes de todos los eventos mencionados deberían conformar las dimensiones oceánicas de la Conferencia de las Partes en el Convenio sobre la Diversidad Biológica de 2022 (COP</w:t>
      </w:r>
      <w:r w:rsidR="000B5F80" w:rsidRPr="002F4384">
        <w:rPr>
          <w:rFonts w:asciiTheme="minorBidi" w:hAnsiTheme="minorBidi" w:cstheme="minorBidi"/>
          <w:lang w:val="es-ES_tradnl"/>
        </w:rPr>
        <w:t> </w:t>
      </w:r>
      <w:r w:rsidRPr="002F4384">
        <w:rPr>
          <w:rFonts w:asciiTheme="minorBidi" w:hAnsiTheme="minorBidi" w:cstheme="minorBidi"/>
          <w:lang w:val="es-ES_tradnl"/>
        </w:rPr>
        <w:t xml:space="preserve">15 [Parte 2]), que </w:t>
      </w:r>
      <w:r w:rsidR="00536B27" w:rsidRPr="002F4384">
        <w:rPr>
          <w:rFonts w:asciiTheme="minorBidi" w:hAnsiTheme="minorBidi" w:cstheme="minorBidi"/>
          <w:lang w:val="es-ES_tradnl"/>
        </w:rPr>
        <w:t>tendría lugar</w:t>
      </w:r>
      <w:r w:rsidRPr="002F4384">
        <w:rPr>
          <w:rFonts w:asciiTheme="minorBidi" w:hAnsiTheme="minorBidi" w:cstheme="minorBidi"/>
          <w:lang w:val="es-ES_tradnl"/>
        </w:rPr>
        <w:t xml:space="preserve"> en el tercer trimestre de 2022 en Kunming (China) y en la que se </w:t>
      </w:r>
      <w:r w:rsidR="007D7EC0" w:rsidRPr="002F4384">
        <w:rPr>
          <w:rFonts w:asciiTheme="minorBidi" w:hAnsiTheme="minorBidi" w:cstheme="minorBidi"/>
          <w:lang w:val="es-ES_tradnl"/>
        </w:rPr>
        <w:t>configuraría</w:t>
      </w:r>
      <w:r w:rsidRPr="002F4384">
        <w:rPr>
          <w:rFonts w:asciiTheme="minorBidi" w:hAnsiTheme="minorBidi" w:cstheme="minorBidi"/>
          <w:lang w:val="es-ES_tradnl"/>
        </w:rPr>
        <w:t xml:space="preserve"> la agenda mundial para la diversidad biológica posterior a 2020. A finales de este año, la Conferencia de las Naciones Unidas sobre el Cambio Climático de 2022 (COP 27), que </w:t>
      </w:r>
      <w:r w:rsidR="00305166" w:rsidRPr="002F4384">
        <w:rPr>
          <w:rFonts w:asciiTheme="minorBidi" w:hAnsiTheme="minorBidi" w:cstheme="minorBidi"/>
          <w:lang w:val="es-ES_tradnl"/>
        </w:rPr>
        <w:t>se llevaría a cabo</w:t>
      </w:r>
      <w:r w:rsidRPr="002F4384">
        <w:rPr>
          <w:rFonts w:asciiTheme="minorBidi" w:hAnsiTheme="minorBidi" w:cstheme="minorBidi"/>
          <w:lang w:val="es-ES_tradnl"/>
        </w:rPr>
        <w:t xml:space="preserve"> en Sharm El-Sheikh (Egipto</w:t>
      </w:r>
      <w:r w:rsidR="00305166" w:rsidRPr="002F4384">
        <w:rPr>
          <w:rFonts w:asciiTheme="minorBidi" w:hAnsiTheme="minorBidi" w:cstheme="minorBidi"/>
          <w:lang w:val="es-ES_tradnl"/>
        </w:rPr>
        <w:t>) del</w:t>
      </w:r>
      <w:r w:rsidRPr="002F4384">
        <w:rPr>
          <w:rFonts w:asciiTheme="minorBidi" w:hAnsiTheme="minorBidi" w:cstheme="minorBidi"/>
          <w:lang w:val="es-ES_tradnl"/>
        </w:rPr>
        <w:t xml:space="preserve"> 7 al 18 de noviembre de 2022, debería ser clave para reforzar el nexo entre los océanos y el clima, catalizar la acción climática basada en los océanos y establecer un rumbo sólido para la agenda relativa al cambio climático en África.</w:t>
      </w:r>
    </w:p>
    <w:p w14:paraId="6F920D25" w14:textId="0C12491D" w:rsidR="00871828" w:rsidRPr="002F4384" w:rsidRDefault="00667651" w:rsidP="000E31F0">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Secretario Ejecutivo afirmó que </w:t>
      </w:r>
      <w:r w:rsidR="00F87A4C" w:rsidRPr="002F4384">
        <w:rPr>
          <w:rFonts w:asciiTheme="minorBidi" w:hAnsiTheme="minorBidi" w:cstheme="minorBidi"/>
          <w:lang w:val="es-ES_tradnl"/>
        </w:rPr>
        <w:t>deseaba</w:t>
      </w:r>
      <w:r w:rsidRPr="002F4384">
        <w:rPr>
          <w:rFonts w:asciiTheme="minorBidi" w:hAnsiTheme="minorBidi" w:cstheme="minorBidi"/>
          <w:lang w:val="es-ES_tradnl"/>
        </w:rPr>
        <w:t xml:space="preserve"> que los Estados Miembros de la COI estuvieran satisfechos con la edición piloto del </w:t>
      </w:r>
      <w:r w:rsidR="0071606B" w:rsidRPr="002F4384">
        <w:rPr>
          <w:rFonts w:asciiTheme="minorBidi" w:hAnsiTheme="minorBidi" w:cstheme="minorBidi"/>
          <w:i/>
          <w:lang w:val="es-ES_tradnl"/>
        </w:rPr>
        <w:t>I</w:t>
      </w:r>
      <w:r w:rsidRPr="002F4384">
        <w:rPr>
          <w:rFonts w:asciiTheme="minorBidi" w:hAnsiTheme="minorBidi" w:cstheme="minorBidi"/>
          <w:i/>
          <w:lang w:val="es-ES_tradnl"/>
        </w:rPr>
        <w:t xml:space="preserve">nforme sobre </w:t>
      </w:r>
      <w:r w:rsidR="00F01DEC" w:rsidRPr="002F4384">
        <w:rPr>
          <w:rFonts w:asciiTheme="minorBidi" w:hAnsiTheme="minorBidi" w:cstheme="minorBidi"/>
          <w:i/>
          <w:lang w:val="es-ES_tradnl"/>
        </w:rPr>
        <w:t xml:space="preserve">el estado </w:t>
      </w:r>
      <w:r w:rsidRPr="002F4384">
        <w:rPr>
          <w:rFonts w:asciiTheme="minorBidi" w:hAnsiTheme="minorBidi" w:cstheme="minorBidi"/>
          <w:i/>
          <w:lang w:val="es-ES_tradnl"/>
        </w:rPr>
        <w:t>del océano</w:t>
      </w:r>
      <w:r w:rsidRPr="002F4384">
        <w:rPr>
          <w:rFonts w:asciiTheme="minorBidi" w:hAnsiTheme="minorBidi" w:cstheme="minorBidi"/>
          <w:lang w:val="es-ES_tradnl"/>
        </w:rPr>
        <w:t>, que había propuesto por primera vez en su informe oral al Consejo Ejecutivo en su 53ª reunión (febrero de 2021). La versión piloto se basaba en datos de programas patrocinados por la COI y redes afiliadas. Se esperaba que las futuras ediciones incluyeran contribuciones de otros organismos de las Naciones Unidas y de actores clave ajenos al sistema de las Naciones Unidas (punto 3.3 del orden del día).</w:t>
      </w:r>
    </w:p>
    <w:p w14:paraId="510F4145" w14:textId="7F35D620" w:rsidR="00B25F41" w:rsidRPr="002F4384" w:rsidRDefault="00667651" w:rsidP="000E31F0">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Secretario Ejecutivo destacó que la ejecución del Decenio del Océano avanzaba satisfactoriamente, y que la Unidad de Coordinación del Decenio estaba apoyando eficazmente el número sin precedentes de actividades. La Alianza para el Decenio estaba cobrando fuerza con la participación de líderes mundiales del más alto nivel, como demostraba la reciente adhesión del Excmo. Sr. Jonas Gahr Støre, Primer Ministro de Noruega, y del Excmo. Sr. Wavel Ramkalawan, Presidente de la República de Seychelles. Ya se habían establecido 27 comités nacionales para el Decenio y otros estaban en proceso de creación. El Foro Mundial de Partes Interesadas del Decenio, </w:t>
      </w:r>
      <w:r w:rsidR="00272198" w:rsidRPr="002F4384">
        <w:rPr>
          <w:rFonts w:asciiTheme="minorBidi" w:hAnsiTheme="minorBidi" w:cstheme="minorBidi"/>
          <w:lang w:val="es-ES_tradnl"/>
        </w:rPr>
        <w:t>un conjunto</w:t>
      </w:r>
      <w:r w:rsidR="00F87A4C" w:rsidRPr="002F4384">
        <w:rPr>
          <w:rFonts w:asciiTheme="minorBidi" w:hAnsiTheme="minorBidi" w:cstheme="minorBidi"/>
          <w:lang w:val="es-ES_tradnl"/>
        </w:rPr>
        <w:t xml:space="preserve"> </w:t>
      </w:r>
      <w:r w:rsidRPr="002F4384">
        <w:rPr>
          <w:rFonts w:asciiTheme="minorBidi" w:hAnsiTheme="minorBidi" w:cstheme="minorBidi"/>
          <w:lang w:val="es-ES_tradnl"/>
        </w:rPr>
        <w:t xml:space="preserve">de expertos y cuatro grupos de trabajo </w:t>
      </w:r>
      <w:r w:rsidR="005F589B" w:rsidRPr="002F4384">
        <w:rPr>
          <w:rFonts w:asciiTheme="minorBidi" w:hAnsiTheme="minorBidi" w:cstheme="minorBidi"/>
          <w:lang w:val="es-ES_tradnl"/>
        </w:rPr>
        <w:t xml:space="preserve">oficiosos </w:t>
      </w:r>
      <w:r w:rsidRPr="002F4384">
        <w:rPr>
          <w:rFonts w:asciiTheme="minorBidi" w:hAnsiTheme="minorBidi" w:cstheme="minorBidi"/>
          <w:lang w:val="es-ES_tradnl"/>
        </w:rPr>
        <w:t xml:space="preserve">sobre cuestiones transversales (datos oceánicos, innovación y tecnología, comunicación, y seguimiento y evaluación) ofrecían asesoramiento sobre </w:t>
      </w:r>
      <w:r w:rsidR="005F589B" w:rsidRPr="002F4384">
        <w:rPr>
          <w:rFonts w:asciiTheme="minorBidi" w:hAnsiTheme="minorBidi" w:cstheme="minorBidi"/>
          <w:lang w:val="es-ES_tradnl"/>
        </w:rPr>
        <w:t>la concepción común</w:t>
      </w:r>
      <w:r w:rsidRPr="002F4384">
        <w:rPr>
          <w:rFonts w:asciiTheme="minorBidi" w:hAnsiTheme="minorBidi" w:cstheme="minorBidi"/>
          <w:lang w:val="es-ES_tradnl"/>
        </w:rPr>
        <w:t xml:space="preserve"> de acciones y la estrategia de participación </w:t>
      </w:r>
      <w:r w:rsidR="00F87A4C" w:rsidRPr="002F4384">
        <w:rPr>
          <w:rFonts w:asciiTheme="minorBidi" w:hAnsiTheme="minorBidi" w:cstheme="minorBidi"/>
          <w:lang w:val="es-ES_tradnl"/>
        </w:rPr>
        <w:t>d</w:t>
      </w:r>
      <w:r w:rsidRPr="002F4384">
        <w:rPr>
          <w:rFonts w:asciiTheme="minorBidi" w:hAnsiTheme="minorBidi" w:cstheme="minorBidi"/>
          <w:lang w:val="es-ES_tradnl"/>
        </w:rPr>
        <w:t>el Decenio.</w:t>
      </w:r>
    </w:p>
    <w:p w14:paraId="5147E595" w14:textId="6984F54A" w:rsidR="00B25F41" w:rsidRPr="002F4384" w:rsidRDefault="00667651" w:rsidP="000E31F0">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La movilización de recursos seguía </w:t>
      </w:r>
      <w:r w:rsidR="00272198" w:rsidRPr="002F4384">
        <w:rPr>
          <w:rFonts w:asciiTheme="minorBidi" w:hAnsiTheme="minorBidi" w:cstheme="minorBidi"/>
          <w:lang w:val="es-ES_tradnl"/>
        </w:rPr>
        <w:t>siendo</w:t>
      </w:r>
      <w:r w:rsidRPr="002F4384">
        <w:rPr>
          <w:rFonts w:asciiTheme="minorBidi" w:hAnsiTheme="minorBidi" w:cstheme="minorBidi"/>
          <w:lang w:val="es-ES_tradnl"/>
        </w:rPr>
        <w:t xml:space="preserve"> un desafío clave para el Decenio durante la transición de la fase de planificación a la fase de acción. El Secretario Ejecutivo expresó su confianza en que la evaluación de la IOS del posicionamiento estratégico de la COI y el plan de acción correspondiente (IOC/EC-55/3.2.Doc(1)), que se </w:t>
      </w:r>
      <w:r w:rsidR="003A4977" w:rsidRPr="002F4384">
        <w:rPr>
          <w:rFonts w:asciiTheme="minorBidi" w:hAnsiTheme="minorBidi" w:cstheme="minorBidi"/>
          <w:lang w:val="es-ES_tradnl"/>
        </w:rPr>
        <w:t>sometían</w:t>
      </w:r>
      <w:r w:rsidRPr="002F4384">
        <w:rPr>
          <w:rFonts w:asciiTheme="minorBidi" w:hAnsiTheme="minorBidi" w:cstheme="minorBidi"/>
          <w:lang w:val="es-ES_tradnl"/>
        </w:rPr>
        <w:t xml:space="preserve"> a la consideración del Consejo Ejecutivo, contribuirían a orientar los futuros esfuerzos de la Comisión a este respecto.</w:t>
      </w:r>
    </w:p>
    <w:p w14:paraId="4E3F6616" w14:textId="4F649687" w:rsidR="00B25F41" w:rsidRPr="002F4384" w:rsidRDefault="00667651" w:rsidP="000E31F0">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Más de la mitad de las acciones actual</w:t>
      </w:r>
      <w:r w:rsidR="003A4977" w:rsidRPr="002F4384">
        <w:rPr>
          <w:rFonts w:asciiTheme="minorBidi" w:hAnsiTheme="minorBidi" w:cstheme="minorBidi"/>
          <w:lang w:val="es-ES_tradnl"/>
        </w:rPr>
        <w:t xml:space="preserve">es </w:t>
      </w:r>
      <w:r w:rsidRPr="002F4384">
        <w:rPr>
          <w:rFonts w:asciiTheme="minorBidi" w:hAnsiTheme="minorBidi" w:cstheme="minorBidi"/>
          <w:lang w:val="es-ES_tradnl"/>
        </w:rPr>
        <w:t xml:space="preserve">del Decenio ponían de relieve el desafío </w:t>
      </w:r>
      <w:r w:rsidR="003A4977" w:rsidRPr="002F4384">
        <w:rPr>
          <w:rFonts w:asciiTheme="minorBidi" w:hAnsiTheme="minorBidi" w:cstheme="minorBidi"/>
          <w:lang w:val="es-ES_tradnl"/>
        </w:rPr>
        <w:t xml:space="preserve">de este último de </w:t>
      </w:r>
      <w:r w:rsidRPr="002F4384">
        <w:rPr>
          <w:rFonts w:asciiTheme="minorBidi" w:hAnsiTheme="minorBidi" w:cstheme="minorBidi"/>
          <w:lang w:val="es-ES_tradnl"/>
        </w:rPr>
        <w:t xml:space="preserve">establecer un sistema integrado de observación de los océanos. Garantizar que estas iniciativas </w:t>
      </w:r>
      <w:r w:rsidR="00742578" w:rsidRPr="002F4384">
        <w:rPr>
          <w:rFonts w:asciiTheme="minorBidi" w:hAnsiTheme="minorBidi" w:cstheme="minorBidi"/>
          <w:lang w:val="es-ES_tradnl"/>
        </w:rPr>
        <w:t>contribuyeran a coordinar</w:t>
      </w:r>
      <w:r w:rsidRPr="002F4384">
        <w:rPr>
          <w:rFonts w:asciiTheme="minorBidi" w:hAnsiTheme="minorBidi" w:cstheme="minorBidi"/>
          <w:lang w:val="es-ES_tradnl"/>
        </w:rPr>
        <w:t xml:space="preserve"> los sistemas de observación era vital para apoyar la transformación prevista en el contexto del Decenio. Por ello, la COI, a través del GOOS, había propuesto la creación </w:t>
      </w:r>
      <w:r w:rsidRPr="002F4384">
        <w:rPr>
          <w:rFonts w:asciiTheme="minorBidi" w:hAnsiTheme="minorBidi" w:cstheme="minorBidi"/>
          <w:lang w:val="es-ES_tradnl"/>
        </w:rPr>
        <w:lastRenderedPageBreak/>
        <w:t>de una oficina de coordinación del Decenio para las observaciones oceánicas, con el fin de facilitar este trabajo.</w:t>
      </w:r>
    </w:p>
    <w:p w14:paraId="713C357A" w14:textId="77777777" w:rsidR="00B25F41" w:rsidRPr="002F4384" w:rsidRDefault="00667651" w:rsidP="000E31F0">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En esta reunión, el Consejo Ejecutivo examinaría un informe reciente, resultado de un taller interinstitucional, en el que se proponía una serie de posibles soluciones para facilitar las observaciones oceánicas en zonas sujetas a la jurisdicción nacional, como las zonas económicas exclusivas (ZEE), que se aplicarían a través de los organismos de las Naciones Unidas (punto 3.4 del orden del día).</w:t>
      </w:r>
    </w:p>
    <w:p w14:paraId="2DDC8135" w14:textId="6255B499" w:rsidR="00B25F41" w:rsidRPr="002F4384" w:rsidRDefault="00667651" w:rsidP="000E31F0">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En la Cumbre “Un Océano”, celebrada en Brest, se había asumido el importante compromiso de crear, sobre la base de Mercator International, una organización intergubernamental en Europa, que encabezaría el procesamiento </w:t>
      </w:r>
      <w:r w:rsidR="00742578" w:rsidRPr="002F4384">
        <w:rPr>
          <w:rFonts w:asciiTheme="minorBidi" w:hAnsiTheme="minorBidi" w:cstheme="minorBidi"/>
          <w:lang w:val="es-ES_tradnl"/>
        </w:rPr>
        <w:t xml:space="preserve">y predicción </w:t>
      </w:r>
      <w:r w:rsidRPr="002F4384">
        <w:rPr>
          <w:rFonts w:asciiTheme="minorBidi" w:hAnsiTheme="minorBidi" w:cstheme="minorBidi"/>
          <w:lang w:val="es-ES_tradnl"/>
        </w:rPr>
        <w:t>de datos oceánicos. Esta organización pod</w:t>
      </w:r>
      <w:r w:rsidR="008D0018" w:rsidRPr="002F4384">
        <w:rPr>
          <w:rFonts w:asciiTheme="minorBidi" w:hAnsiTheme="minorBidi" w:cstheme="minorBidi"/>
          <w:lang w:val="es-ES_tradnl"/>
        </w:rPr>
        <w:t>r</w:t>
      </w:r>
      <w:r w:rsidRPr="002F4384">
        <w:rPr>
          <w:rFonts w:asciiTheme="minorBidi" w:hAnsiTheme="minorBidi" w:cstheme="minorBidi"/>
          <w:lang w:val="es-ES_tradnl"/>
        </w:rPr>
        <w:t>ía convertirse en un nuevo contribuyente clave a los objetivos de la COI al ofrecer un nuevo nivel de transmisión de datos oceánicos procesados, en tiempo real y en modo diferido, al tiempo que actuaba como centro de colaboración del Decenio.</w:t>
      </w:r>
    </w:p>
    <w:p w14:paraId="7F5599B4" w14:textId="0CFE45F3" w:rsidR="00B25F41" w:rsidRPr="002F4384" w:rsidRDefault="00667651" w:rsidP="000E31F0">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Secretario Ejecutivo informó de que el establecimiento del Sistema de Datos e Información Oceanográficos (ODIS) y de su componente clave, el Ocean InfoHub, avanzaba a buen ritmo. Los datos oceánicos y la cuestión de su apertura y acceso se estaban convirtiendo en un “tema candente”, y muchos nuevos actores y asociados se estaban sumando a la búsqueda de datos oceánicos. Un acontecimiento destacado para la COI había sido la exitosa Conferencia Internacional de Datos Oceanográficos, organizada en Sopot (Polonia) en febrero de 2022. Con los </w:t>
      </w:r>
      <w:r w:rsidR="008D0018" w:rsidRPr="002F4384">
        <w:rPr>
          <w:rFonts w:asciiTheme="minorBidi" w:hAnsiTheme="minorBidi" w:cstheme="minorBidi"/>
          <w:lang w:val="es-ES_tradnl"/>
        </w:rPr>
        <w:t>principales</w:t>
      </w:r>
      <w:r w:rsidRPr="002F4384">
        <w:rPr>
          <w:rFonts w:asciiTheme="minorBidi" w:hAnsiTheme="minorBidi" w:cstheme="minorBidi"/>
          <w:lang w:val="es-ES_tradnl"/>
        </w:rPr>
        <w:t xml:space="preserve"> programas del Decenio del Océano y otros avances, las condiciones eran cada vez más propicias para crear un “ecosistema digital del océano” o “el gemelo digital del océano”, que permitiera una gestión transparente </w:t>
      </w:r>
      <w:r w:rsidR="008D0018" w:rsidRPr="002F4384">
        <w:rPr>
          <w:rFonts w:asciiTheme="minorBidi" w:hAnsiTheme="minorBidi" w:cstheme="minorBidi"/>
          <w:lang w:val="es-ES_tradnl"/>
        </w:rPr>
        <w:t xml:space="preserve">y fundamentada </w:t>
      </w:r>
      <w:r w:rsidRPr="002F4384">
        <w:rPr>
          <w:rFonts w:asciiTheme="minorBidi" w:hAnsiTheme="minorBidi" w:cstheme="minorBidi"/>
          <w:lang w:val="es-ES_tradnl"/>
        </w:rPr>
        <w:t>del océano.</w:t>
      </w:r>
    </w:p>
    <w:p w14:paraId="11F68B39" w14:textId="6ACDE02C" w:rsidR="00B25F41" w:rsidRPr="002F4384" w:rsidRDefault="00667651" w:rsidP="000E31F0">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También señaló al Consejo Ejecutivo que en la </w:t>
      </w:r>
      <w:r w:rsidR="00B67AD7" w:rsidRPr="002F4384">
        <w:rPr>
          <w:rFonts w:asciiTheme="minorBidi" w:hAnsiTheme="minorBidi" w:cstheme="minorBidi"/>
          <w:lang w:val="es-ES_tradnl"/>
        </w:rPr>
        <w:t>circular 2864 de la COI</w:t>
      </w:r>
      <w:r w:rsidRPr="002F4384">
        <w:rPr>
          <w:rFonts w:asciiTheme="minorBidi" w:hAnsiTheme="minorBidi" w:cstheme="minorBidi"/>
          <w:lang w:val="es-ES_tradnl"/>
        </w:rPr>
        <w:t xml:space="preserve"> (12 de noviembre de 2021) se proponía </w:t>
      </w:r>
      <w:r w:rsidR="005573FA" w:rsidRPr="002F4384">
        <w:rPr>
          <w:rFonts w:asciiTheme="minorBidi" w:hAnsiTheme="minorBidi" w:cstheme="minorBidi"/>
          <w:lang w:val="es-ES_tradnl"/>
        </w:rPr>
        <w:t>un</w:t>
      </w:r>
      <w:r w:rsidRPr="002F4384">
        <w:rPr>
          <w:rFonts w:asciiTheme="minorBidi" w:hAnsiTheme="minorBidi" w:cstheme="minorBidi"/>
          <w:lang w:val="es-ES_tradnl"/>
        </w:rPr>
        <w:t xml:space="preserve"> proceso de revisión en ocho etapas de la política de intercambio de datos oceanográficos de la COI. Se había realizado un estudio documental y se había invitado a todos los programas de la </w:t>
      </w:r>
      <w:r w:rsidR="00B13A40" w:rsidRPr="002F4384">
        <w:rPr>
          <w:rFonts w:asciiTheme="minorBidi" w:hAnsiTheme="minorBidi" w:cstheme="minorBidi"/>
          <w:lang w:val="es-ES_tradnl"/>
        </w:rPr>
        <w:t>Comisión</w:t>
      </w:r>
      <w:r w:rsidRPr="002F4384">
        <w:rPr>
          <w:rFonts w:asciiTheme="minorBidi" w:hAnsiTheme="minorBidi" w:cstheme="minorBidi"/>
          <w:lang w:val="es-ES_tradnl"/>
        </w:rPr>
        <w:t xml:space="preserve"> (mundiales y regionales) a designar a representantes para el grupo de trabajo entre reuniones de la COI sobre la revisión de la política de intercambio de datos oceanográficos de la COI (IWG-DATAPOLICY)</w:t>
      </w:r>
      <w:r w:rsidR="00943D0B" w:rsidRPr="002F4384">
        <w:rPr>
          <w:rFonts w:asciiTheme="minorBidi" w:hAnsiTheme="minorBidi" w:cstheme="minorBidi"/>
          <w:lang w:val="es-ES_tradnl"/>
        </w:rPr>
        <w:t>.</w:t>
      </w:r>
      <w:r w:rsidRPr="002F4384">
        <w:rPr>
          <w:rFonts w:asciiTheme="minorBidi" w:hAnsiTheme="minorBidi" w:cstheme="minorBidi"/>
          <w:lang w:val="es-ES_tradnl"/>
        </w:rPr>
        <w:t xml:space="preserve"> La primera reunión del </w:t>
      </w:r>
      <w:r w:rsidR="00B13A40" w:rsidRPr="002F4384">
        <w:rPr>
          <w:rFonts w:asciiTheme="minorBidi" w:hAnsiTheme="minorBidi" w:cstheme="minorBidi"/>
          <w:lang w:val="es-ES_tradnl"/>
        </w:rPr>
        <w:t>grupo</w:t>
      </w:r>
      <w:r w:rsidRPr="002F4384">
        <w:rPr>
          <w:rFonts w:asciiTheme="minorBidi" w:hAnsiTheme="minorBidi" w:cstheme="minorBidi"/>
          <w:lang w:val="es-ES_tradnl"/>
        </w:rPr>
        <w:t xml:space="preserve"> se había celebrado los días 5 y 6 de abril de 2022. El Secretario Ejecutivo proporcionó</w:t>
      </w:r>
      <w:r w:rsidR="00B13A40" w:rsidRPr="002F4384">
        <w:rPr>
          <w:rFonts w:asciiTheme="minorBidi" w:hAnsiTheme="minorBidi" w:cstheme="minorBidi"/>
          <w:lang w:val="es-ES_tradnl"/>
        </w:rPr>
        <w:t xml:space="preserve"> además</w:t>
      </w:r>
      <w:r w:rsidRPr="002F4384">
        <w:rPr>
          <w:rFonts w:asciiTheme="minorBidi" w:hAnsiTheme="minorBidi" w:cstheme="minorBidi"/>
          <w:lang w:val="es-ES_tradnl"/>
        </w:rPr>
        <w:t xml:space="preserve"> información actualizada sobre la renovación del Memorando de Entendimiento entre la COI</w:t>
      </w:r>
      <w:r w:rsidR="00B67AD7" w:rsidRPr="002F4384">
        <w:rPr>
          <w:rFonts w:asciiTheme="minorBidi" w:hAnsiTheme="minorBidi" w:cstheme="minorBidi"/>
          <w:lang w:val="es-ES_tradnl"/>
        </w:rPr>
        <w:t xml:space="preserve"> de la UNESCO</w:t>
      </w:r>
      <w:r w:rsidRPr="002F4384">
        <w:rPr>
          <w:rFonts w:asciiTheme="minorBidi" w:hAnsiTheme="minorBidi" w:cstheme="minorBidi"/>
          <w:lang w:val="es-ES_tradnl"/>
        </w:rPr>
        <w:t xml:space="preserve"> y el Instituto Marino de Flandes (VLIZ [Bélgica]) que establecía la Oficina de Proyectos para el IODE en Ostende (Bélgica).</w:t>
      </w:r>
    </w:p>
    <w:p w14:paraId="3A47D4DC" w14:textId="129B5C7E" w:rsidR="00B25F41" w:rsidRPr="002F4384" w:rsidRDefault="00667651" w:rsidP="000E31F0">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Tras la finalización con éxito, en octubre de 2021, del proyecto MSPglobal, financiado por la Comisión Europea, que había dado lugar, entre otras cosas, a la publicación de una nueva </w:t>
      </w:r>
      <w:r w:rsidRPr="002F4384">
        <w:rPr>
          <w:rFonts w:asciiTheme="minorBidi" w:hAnsiTheme="minorBidi" w:cstheme="minorBidi"/>
          <w:i/>
          <w:lang w:val="es-ES_tradnl"/>
        </w:rPr>
        <w:t>Guía internacional de MSPglobal sobre planificación espacial marina/marítima</w:t>
      </w:r>
      <w:r w:rsidRPr="002F4384">
        <w:rPr>
          <w:rFonts w:asciiTheme="minorBidi" w:hAnsiTheme="minorBidi" w:cstheme="minorBidi"/>
          <w:lang w:val="es-ES_tradnl"/>
        </w:rPr>
        <w:t xml:space="preserve">, la Comisión Europea se había comprometido a contribuir a una nueva fase de MSPglobal ampliando los planes de planificación espacial marina </w:t>
      </w:r>
      <w:r w:rsidR="00BC4EDD" w:rsidRPr="002F4384">
        <w:rPr>
          <w:rFonts w:asciiTheme="minorBidi" w:hAnsiTheme="minorBidi" w:cstheme="minorBidi"/>
          <w:lang w:val="es-ES_tradnl"/>
        </w:rPr>
        <w:t xml:space="preserve">(PEM) </w:t>
      </w:r>
      <w:r w:rsidRPr="002F4384">
        <w:rPr>
          <w:rFonts w:asciiTheme="minorBidi" w:hAnsiTheme="minorBidi" w:cstheme="minorBidi"/>
          <w:lang w:val="es-ES_tradnl"/>
        </w:rPr>
        <w:t xml:space="preserve">en el mundo en apoyo de una nueva hoja de ruta para la PEM que abarcara el período 2023-2028. En 2022 se había puesto en marcha otro proyecto patrocinado por la DG MARE, centrado en la cultura oceánica. La fructífera colaboración a largo plazo con el Fondo para el Medio Ambiente Mundial, el PNUD y el PNUMA había continuado en el marco de IW:Learn con un nuevo proyecto de cuatro años y dos nuevos proyectos regionales </w:t>
      </w:r>
      <w:r w:rsidR="00BC4EDD" w:rsidRPr="002F4384">
        <w:rPr>
          <w:rFonts w:asciiTheme="minorBidi" w:hAnsiTheme="minorBidi" w:cstheme="minorBidi"/>
          <w:lang w:val="es-ES_tradnl"/>
        </w:rPr>
        <w:t>sobre</w:t>
      </w:r>
      <w:r w:rsidRPr="002F4384">
        <w:rPr>
          <w:rFonts w:asciiTheme="minorBidi" w:hAnsiTheme="minorBidi" w:cstheme="minorBidi"/>
          <w:lang w:val="es-ES_tradnl"/>
        </w:rPr>
        <w:t xml:space="preserve"> los grandes ecosistemas marinos del Mar de los Sargazos y del Mar Negro.</w:t>
      </w:r>
    </w:p>
    <w:p w14:paraId="70BDDCE0" w14:textId="3B044F6D" w:rsidR="00945A6D" w:rsidRPr="002F4384" w:rsidRDefault="00B25F41" w:rsidP="000E31F0">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Secretario Ejecutivo informó además de que la 38ª reunión del Comité de Orientación sobre el GEBCO (GC-GEBCO) había tenido lugar en Mónaco, en la OHI, del 20 al 22 de abril de 2022. El GC-GEBCO había aprobado el mandato de un nuevo subcomité de educación y formación </w:t>
      </w:r>
      <w:r w:rsidR="00EF53AC" w:rsidRPr="002F4384">
        <w:rPr>
          <w:rFonts w:asciiTheme="minorBidi" w:hAnsiTheme="minorBidi" w:cstheme="minorBidi"/>
          <w:lang w:val="es-ES_tradnl"/>
        </w:rPr>
        <w:t xml:space="preserve">(SCEF) </w:t>
      </w:r>
      <w:r w:rsidRPr="002F4384">
        <w:rPr>
          <w:rFonts w:asciiTheme="minorBidi" w:hAnsiTheme="minorBidi" w:cstheme="minorBidi"/>
          <w:lang w:val="es-ES_tradnl"/>
        </w:rPr>
        <w:t xml:space="preserve">para elaborar y coordinar la estrategia de educación y formación del GEBCO. Este nuevo subcomité tenía por finalidad sensibilizar a las instituciones académicas sobre las lagunas en la educación y la formación que podían repercutir en el progreso y el desarrollo de la cartografía oceánica y, en particular, en los objetivos del GEBCO. Reconociendo la necesidad de examinar periódicamente la </w:t>
      </w:r>
      <w:r w:rsidRPr="002F4384">
        <w:rPr>
          <w:rFonts w:asciiTheme="minorBidi" w:hAnsiTheme="minorBidi" w:cstheme="minorBidi"/>
          <w:lang w:val="es-ES_tradnl"/>
        </w:rPr>
        <w:lastRenderedPageBreak/>
        <w:t>gobernanza de los marcos institucionales y teniendo en cuenta los acontecimiento</w:t>
      </w:r>
      <w:r w:rsidR="00EF53AC" w:rsidRPr="002F4384">
        <w:rPr>
          <w:rFonts w:asciiTheme="minorBidi" w:hAnsiTheme="minorBidi" w:cstheme="minorBidi"/>
          <w:lang w:val="es-ES_tradnl"/>
        </w:rPr>
        <w:t>s</w:t>
      </w:r>
      <w:r w:rsidRPr="002F4384">
        <w:rPr>
          <w:rFonts w:asciiTheme="minorBidi" w:hAnsiTheme="minorBidi" w:cstheme="minorBidi"/>
          <w:lang w:val="es-ES_tradnl"/>
        </w:rPr>
        <w:t xml:space="preserve"> recientes e importantes de las dos organizaciones matrices (por ejemplo, los nuevos marcos estratégicos de la COI y la OHI, el Decenio del Océano y el proyecto de los fondos marinos de The Nippon Foundation/GEBCO), el GC-GEBCO también había acordado poner en marcha un examen de la gobernanza del GEBCO. El mandato elaborado por un grupo de examen en el que participaban representantes de la COI y </w:t>
      </w:r>
      <w:r w:rsidR="00EF53AC" w:rsidRPr="002F4384">
        <w:rPr>
          <w:rFonts w:asciiTheme="minorBidi" w:hAnsiTheme="minorBidi" w:cstheme="minorBidi"/>
          <w:lang w:val="es-ES_tradnl"/>
        </w:rPr>
        <w:t xml:space="preserve">de la Secretaría de </w:t>
      </w:r>
      <w:r w:rsidRPr="002F4384">
        <w:rPr>
          <w:rFonts w:asciiTheme="minorBidi" w:hAnsiTheme="minorBidi" w:cstheme="minorBidi"/>
          <w:lang w:val="es-ES_tradnl"/>
        </w:rPr>
        <w:t xml:space="preserve">la OHI y tres miembros del GC-GEBCO se presentaba, junto con el mandato del </w:t>
      </w:r>
      <w:r w:rsidR="00A03CDA" w:rsidRPr="002F4384">
        <w:rPr>
          <w:rFonts w:asciiTheme="minorBidi" w:hAnsiTheme="minorBidi" w:cstheme="minorBidi"/>
          <w:lang w:val="es-ES_tradnl"/>
        </w:rPr>
        <w:t>SCEF</w:t>
      </w:r>
      <w:r w:rsidRPr="002F4384">
        <w:rPr>
          <w:rFonts w:asciiTheme="minorBidi" w:hAnsiTheme="minorBidi" w:cstheme="minorBidi"/>
          <w:lang w:val="es-ES_tradnl"/>
        </w:rPr>
        <w:t>, en el documento IOC/EC-55/3.1.Doc(4). El resultado del examen de la gobernanza se transmitiría a la Asamblea de la COI en su 32ª reunión y a la Asamblea de la OHI en 2023.</w:t>
      </w:r>
      <w:bookmarkStart w:id="113" w:name="_Hlk103354886"/>
      <w:bookmarkEnd w:id="111"/>
      <w:bookmarkEnd w:id="113"/>
    </w:p>
    <w:bookmarkEnd w:id="112"/>
    <w:p w14:paraId="42708A9C" w14:textId="38B63DD2" w:rsidR="00482D57" w:rsidRPr="002F4384" w:rsidRDefault="00667651" w:rsidP="000E31F0">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Hicieron uso de la palabra los representantes de </w:t>
      </w:r>
      <w:r w:rsidR="00482D57" w:rsidRPr="002F4384">
        <w:rPr>
          <w:rFonts w:asciiTheme="minorBidi" w:hAnsiTheme="minorBidi" w:cstheme="minorBidi"/>
          <w:lang w:val="es-ES_tradnl"/>
        </w:rPr>
        <w:t xml:space="preserve">27 </w:t>
      </w:r>
      <w:r w:rsidRPr="002F4384">
        <w:rPr>
          <w:rFonts w:asciiTheme="minorBidi" w:hAnsiTheme="minorBidi" w:cstheme="minorBidi"/>
          <w:lang w:val="es-ES_tradnl"/>
        </w:rPr>
        <w:t>Estados Miembros</w:t>
      </w:r>
      <w:r w:rsidR="00482D57" w:rsidRPr="002F4384">
        <w:rPr>
          <w:rFonts w:asciiTheme="minorBidi" w:hAnsiTheme="minorBidi" w:cstheme="minorBidi"/>
          <w:lang w:val="es-ES_tradnl"/>
        </w:rPr>
        <w:t xml:space="preserve"> y dos observadores</w:t>
      </w:r>
      <w:r w:rsidRPr="002F4384">
        <w:rPr>
          <w:rFonts w:asciiTheme="minorBidi" w:hAnsiTheme="minorBidi" w:cstheme="minorBidi"/>
          <w:lang w:val="es-ES_tradnl"/>
        </w:rPr>
        <w:t xml:space="preserve">. </w:t>
      </w:r>
    </w:p>
    <w:p w14:paraId="1D6CEB94" w14:textId="45F984FE" w:rsidR="00482D57" w:rsidRPr="002F4384" w:rsidRDefault="00014750" w:rsidP="000E31F0">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Estos d</w:t>
      </w:r>
      <w:r w:rsidR="00F03C1C" w:rsidRPr="002F4384">
        <w:rPr>
          <w:rFonts w:asciiTheme="minorBidi" w:hAnsiTheme="minorBidi" w:cstheme="minorBidi"/>
          <w:lang w:val="es-ES_tradnl"/>
        </w:rPr>
        <w:t>ieron las gracias unánimemente al Secretario Ejecutivo por su informe y felicitaron a toda la Secretaría por el considerable volumen de trabajo realizado en el per</w:t>
      </w:r>
      <w:r w:rsidR="003404A2" w:rsidRPr="002F4384">
        <w:rPr>
          <w:rFonts w:asciiTheme="minorBidi" w:hAnsiTheme="minorBidi" w:cstheme="minorBidi"/>
          <w:lang w:val="es-ES_tradnl"/>
        </w:rPr>
        <w:t>í</w:t>
      </w:r>
      <w:r w:rsidR="00F03C1C" w:rsidRPr="002F4384">
        <w:rPr>
          <w:rFonts w:asciiTheme="minorBidi" w:hAnsiTheme="minorBidi" w:cstheme="minorBidi"/>
          <w:lang w:val="es-ES_tradnl"/>
        </w:rPr>
        <w:t>odo entre reuniones, a pesar de los desafíos de la pandemia de COVID-19.</w:t>
      </w:r>
    </w:p>
    <w:p w14:paraId="12002555" w14:textId="05A3684E" w:rsidR="00967281" w:rsidRPr="002F4384" w:rsidRDefault="00967281" w:rsidP="00967281">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Destacando la importancia crucial de la labor de la COI, el Consejo Ejecutivo acogió con beneplácito los esfuerzos de la Secretaría orientados a afianzar la visibilidad y </w:t>
      </w:r>
      <w:r w:rsidR="003404A2" w:rsidRPr="002F4384">
        <w:rPr>
          <w:rFonts w:asciiTheme="minorBidi" w:hAnsiTheme="minorBidi" w:cstheme="minorBidi"/>
          <w:lang w:val="es-ES_tradnl"/>
        </w:rPr>
        <w:t>la participación</w:t>
      </w:r>
      <w:r w:rsidRPr="002F4384">
        <w:rPr>
          <w:rFonts w:asciiTheme="minorBidi" w:hAnsiTheme="minorBidi" w:cstheme="minorBidi"/>
          <w:lang w:val="es-ES_tradnl"/>
        </w:rPr>
        <w:t xml:space="preserve"> en el sistema de las Naciones Unidas.</w:t>
      </w:r>
      <w:r w:rsidR="0038218C" w:rsidRPr="002F4384">
        <w:rPr>
          <w:rFonts w:asciiTheme="minorBidi" w:hAnsiTheme="minorBidi" w:cstheme="minorBidi"/>
          <w:lang w:val="es-ES_tradnl"/>
        </w:rPr>
        <w:t xml:space="preserve"> En este contexto, los Estados Miembros expresaron su satisfacción por los importantes progresos </w:t>
      </w:r>
      <w:r w:rsidR="00A62012" w:rsidRPr="002F4384">
        <w:rPr>
          <w:rFonts w:asciiTheme="minorBidi" w:hAnsiTheme="minorBidi" w:cstheme="minorBidi"/>
          <w:lang w:val="es-ES_tradnl"/>
        </w:rPr>
        <w:t xml:space="preserve">alcanzados </w:t>
      </w:r>
      <w:r w:rsidR="0038218C" w:rsidRPr="002F4384">
        <w:rPr>
          <w:rFonts w:asciiTheme="minorBidi" w:hAnsiTheme="minorBidi" w:cstheme="minorBidi"/>
          <w:lang w:val="es-ES_tradnl"/>
        </w:rPr>
        <w:t>en la ejecución del Decenio.</w:t>
      </w:r>
      <w:r w:rsidR="00A62012" w:rsidRPr="002F4384">
        <w:rPr>
          <w:rFonts w:asciiTheme="minorBidi" w:hAnsiTheme="minorBidi" w:cstheme="minorBidi"/>
          <w:lang w:val="es-ES_tradnl"/>
        </w:rPr>
        <w:t xml:space="preserve"> Se est</w:t>
      </w:r>
      <w:r w:rsidR="003404A2" w:rsidRPr="002F4384">
        <w:rPr>
          <w:rFonts w:asciiTheme="minorBidi" w:hAnsiTheme="minorBidi" w:cstheme="minorBidi"/>
          <w:lang w:val="es-ES_tradnl"/>
        </w:rPr>
        <w:t>aba</w:t>
      </w:r>
      <w:r w:rsidR="00A62012" w:rsidRPr="002F4384">
        <w:rPr>
          <w:rFonts w:asciiTheme="minorBidi" w:hAnsiTheme="minorBidi" w:cstheme="minorBidi"/>
          <w:lang w:val="es-ES_tradnl"/>
        </w:rPr>
        <w:t>n estableciendo una serie de asociaciones de colaboración muy prometedoras, en especial las principales estructuras de apoyo, como la Oficina de Coordinación del Decenio y los centros de colaboración del Decenio.</w:t>
      </w:r>
    </w:p>
    <w:p w14:paraId="7A397BDB" w14:textId="7846F119" w:rsidR="00A62012" w:rsidRPr="002F4384" w:rsidRDefault="00D551AB" w:rsidP="00967281">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El Consejo Ejecutivo puso de relieve la Conferencia Africana sobre el Establecimiento de Prioridades y el Desarrollo de Alianzas de cara al Decenio de las Naciones Unidas de las Ciencias Oceánicas para el Desarrollo Sostenible, </w:t>
      </w:r>
      <w:r w:rsidR="00DD2B2D" w:rsidRPr="002F4384">
        <w:rPr>
          <w:rFonts w:asciiTheme="minorBidi" w:hAnsiTheme="minorBidi" w:cstheme="minorBidi"/>
          <w:lang w:val="es-ES_tradnl"/>
        </w:rPr>
        <w:t>organizada</w:t>
      </w:r>
      <w:r w:rsidRPr="002F4384">
        <w:rPr>
          <w:rFonts w:asciiTheme="minorBidi" w:hAnsiTheme="minorBidi" w:cstheme="minorBidi"/>
          <w:lang w:val="es-ES_tradnl"/>
        </w:rPr>
        <w:t xml:space="preserve"> </w:t>
      </w:r>
      <w:r w:rsidR="00DD2B2D" w:rsidRPr="002F4384">
        <w:rPr>
          <w:rFonts w:asciiTheme="minorBidi" w:hAnsiTheme="minorBidi" w:cstheme="minorBidi"/>
          <w:lang w:val="es-ES_tradnl"/>
        </w:rPr>
        <w:t>por</w:t>
      </w:r>
      <w:r w:rsidRPr="002F4384">
        <w:rPr>
          <w:rFonts w:asciiTheme="minorBidi" w:hAnsiTheme="minorBidi" w:cstheme="minorBidi"/>
          <w:lang w:val="es-ES_tradnl"/>
        </w:rPr>
        <w:t xml:space="preserve"> Egipto en mayo de 2022, como una etapa importante </w:t>
      </w:r>
      <w:r w:rsidR="00DD2B2D" w:rsidRPr="002F4384">
        <w:rPr>
          <w:rFonts w:asciiTheme="minorBidi" w:hAnsiTheme="minorBidi" w:cstheme="minorBidi"/>
          <w:lang w:val="es-ES_tradnl"/>
        </w:rPr>
        <w:t>para</w:t>
      </w:r>
      <w:r w:rsidRPr="002F4384">
        <w:rPr>
          <w:rFonts w:asciiTheme="minorBidi" w:hAnsiTheme="minorBidi" w:cstheme="minorBidi"/>
          <w:lang w:val="es-ES_tradnl"/>
        </w:rPr>
        <w:t xml:space="preserve"> la apropiación y aplicación inclusivas de la hoja de ruta de África para el Decenio del Océano.</w:t>
      </w:r>
      <w:r w:rsidR="00FB6AA9" w:rsidRPr="002F4384">
        <w:rPr>
          <w:rFonts w:asciiTheme="minorBidi" w:hAnsiTheme="minorBidi" w:cstheme="minorBidi"/>
          <w:lang w:val="es-ES_tradnl"/>
        </w:rPr>
        <w:t xml:space="preserve"> Los Estados Miembros espera</w:t>
      </w:r>
      <w:r w:rsidR="00632B36" w:rsidRPr="002F4384">
        <w:rPr>
          <w:rFonts w:asciiTheme="minorBidi" w:hAnsiTheme="minorBidi" w:cstheme="minorBidi"/>
          <w:lang w:val="es-ES_tradnl"/>
        </w:rPr>
        <w:t>ba</w:t>
      </w:r>
      <w:r w:rsidR="00FB6AA9" w:rsidRPr="002F4384">
        <w:rPr>
          <w:rFonts w:asciiTheme="minorBidi" w:hAnsiTheme="minorBidi" w:cstheme="minorBidi"/>
          <w:lang w:val="es-ES_tradnl"/>
        </w:rPr>
        <w:t>n que la Secretaría reali</w:t>
      </w:r>
      <w:r w:rsidR="00632B36" w:rsidRPr="002F4384">
        <w:rPr>
          <w:rFonts w:asciiTheme="minorBidi" w:hAnsiTheme="minorBidi" w:cstheme="minorBidi"/>
          <w:lang w:val="es-ES_tradnl"/>
        </w:rPr>
        <w:t>zara</w:t>
      </w:r>
      <w:r w:rsidR="00FB6AA9" w:rsidRPr="002F4384">
        <w:rPr>
          <w:rFonts w:asciiTheme="minorBidi" w:hAnsiTheme="minorBidi" w:cstheme="minorBidi"/>
          <w:lang w:val="es-ES_tradnl"/>
        </w:rPr>
        <w:t xml:space="preserve"> un seguimiento a fin de garantizar el firme compromiso de los responsables políticos y otras partes interesadas en los Estados Miembros. Deb</w:t>
      </w:r>
      <w:r w:rsidR="00632B36" w:rsidRPr="002F4384">
        <w:rPr>
          <w:rFonts w:asciiTheme="minorBidi" w:hAnsiTheme="minorBidi" w:cstheme="minorBidi"/>
          <w:lang w:val="es-ES_tradnl"/>
        </w:rPr>
        <w:t>ía</w:t>
      </w:r>
      <w:r w:rsidR="00FB6AA9" w:rsidRPr="002F4384">
        <w:rPr>
          <w:rFonts w:asciiTheme="minorBidi" w:hAnsiTheme="minorBidi" w:cstheme="minorBidi"/>
          <w:lang w:val="es-ES_tradnl"/>
        </w:rPr>
        <w:t>n crearse fuertes vínculos con las actividades de la Unión Africana.</w:t>
      </w:r>
    </w:p>
    <w:p w14:paraId="516F93F5" w14:textId="4AFD2E99" w:rsidR="00FB6AA9" w:rsidRPr="002F4384" w:rsidRDefault="0073790C" w:rsidP="00967281">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La Conferencia “Nuestro Océano” de 2022, celebrada en Palau, </w:t>
      </w:r>
      <w:r w:rsidR="002927E7" w:rsidRPr="002F4384">
        <w:rPr>
          <w:rFonts w:asciiTheme="minorBidi" w:hAnsiTheme="minorBidi" w:cstheme="minorBidi"/>
          <w:lang w:val="es-ES_tradnl"/>
        </w:rPr>
        <w:t>había ofrecido</w:t>
      </w:r>
      <w:r w:rsidRPr="002F4384">
        <w:rPr>
          <w:rFonts w:asciiTheme="minorBidi" w:hAnsiTheme="minorBidi" w:cstheme="minorBidi"/>
          <w:lang w:val="es-ES_tradnl"/>
        </w:rPr>
        <w:t xml:space="preserve"> un espacio importante para que las partes interesadas de los PEID debatieran sobre medidas concretas y significativas para proteger el océano. Se destacó el trabajo de la COI en materia de mitigación y alerta temprana de los peligros oceánicos, y en particular su programa de reconocimiento comunitario Tsunami Ready, como especialmente pertinente e importante en este contexto.</w:t>
      </w:r>
    </w:p>
    <w:p w14:paraId="5D6BD7F5" w14:textId="3AB6C63F" w:rsidR="0073790C" w:rsidRPr="002F4384" w:rsidRDefault="000817D8" w:rsidP="00967281">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Muchos oradores se refirieron a la decisión 214 EX/29 del Consejo Ejecutivo de la UNESCO </w:t>
      </w:r>
      <w:r w:rsidR="000B5F80" w:rsidRPr="002F4384">
        <w:rPr>
          <w:rFonts w:asciiTheme="minorBidi" w:hAnsiTheme="minorBidi" w:cstheme="minorBidi"/>
          <w:lang w:val="es-ES_tradnl"/>
        </w:rPr>
        <w:t>“</w:t>
      </w:r>
      <w:r w:rsidRPr="002F4384">
        <w:rPr>
          <w:rFonts w:asciiTheme="minorBidi" w:hAnsiTheme="minorBidi" w:cstheme="minorBidi"/>
          <w:lang w:val="es-ES_tradnl"/>
        </w:rPr>
        <w:t>La UNESCO y el océano</w:t>
      </w:r>
      <w:r w:rsidR="000B5F80" w:rsidRPr="002F4384">
        <w:rPr>
          <w:rFonts w:asciiTheme="minorBidi" w:hAnsiTheme="minorBidi" w:cstheme="minorBidi"/>
          <w:lang w:val="es-ES_tradnl"/>
        </w:rPr>
        <w:t>”</w:t>
      </w:r>
      <w:r w:rsidRPr="002F4384">
        <w:rPr>
          <w:rFonts w:asciiTheme="minorBidi" w:hAnsiTheme="minorBidi" w:cstheme="minorBidi"/>
          <w:lang w:val="es-ES_tradnl"/>
        </w:rPr>
        <w:t>, que defin</w:t>
      </w:r>
      <w:r w:rsidR="002927E7" w:rsidRPr="002F4384">
        <w:rPr>
          <w:rFonts w:asciiTheme="minorBidi" w:hAnsiTheme="minorBidi" w:cstheme="minorBidi"/>
          <w:lang w:val="es-ES_tradnl"/>
        </w:rPr>
        <w:t>ía</w:t>
      </w:r>
      <w:r w:rsidRPr="002F4384">
        <w:rPr>
          <w:rFonts w:asciiTheme="minorBidi" w:hAnsiTheme="minorBidi" w:cstheme="minorBidi"/>
          <w:lang w:val="es-ES_tradnl"/>
        </w:rPr>
        <w:t xml:space="preserve"> un marco para intensificar la colaboración intersectorial e interdisciplinaria entre la COI y los programas de la UNESCO.</w:t>
      </w:r>
    </w:p>
    <w:p w14:paraId="5063D14F" w14:textId="56AEAEDE" w:rsidR="00AE6FAF" w:rsidRPr="002F4384" w:rsidRDefault="00780799" w:rsidP="00967281">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Los Estados Miembros destacaron la importancia de formular una nueva estrategia de desarrollo de capacidades sólida y ambiciosa, en colaboración con los órganos subsidiarios regionales de la COI</w:t>
      </w:r>
      <w:r w:rsidR="007B24A1" w:rsidRPr="002F4384">
        <w:rPr>
          <w:rFonts w:asciiTheme="minorBidi" w:hAnsiTheme="minorBidi" w:cstheme="minorBidi"/>
          <w:lang w:val="es-ES_tradnl"/>
        </w:rPr>
        <w:t xml:space="preserve"> y</w:t>
      </w:r>
      <w:r w:rsidRPr="002F4384">
        <w:rPr>
          <w:rFonts w:asciiTheme="minorBidi" w:hAnsiTheme="minorBidi" w:cstheme="minorBidi"/>
          <w:lang w:val="es-ES_tradnl"/>
        </w:rPr>
        <w:t xml:space="preserve"> con el apoyo de la red de centros regionales de formación</w:t>
      </w:r>
      <w:r w:rsidR="007B24A1" w:rsidRPr="002F4384">
        <w:rPr>
          <w:rFonts w:asciiTheme="minorBidi" w:hAnsiTheme="minorBidi" w:cstheme="minorBidi"/>
          <w:lang w:val="es-ES_tradnl"/>
        </w:rPr>
        <w:t xml:space="preserve">, </w:t>
      </w:r>
      <w:r w:rsidRPr="002F4384">
        <w:rPr>
          <w:rFonts w:asciiTheme="minorBidi" w:hAnsiTheme="minorBidi" w:cstheme="minorBidi"/>
          <w:lang w:val="es-ES_tradnl"/>
        </w:rPr>
        <w:t>en el marco de la Academia Mundial Ocean Teacher, como vehículos clave para su puesta en marcha.</w:t>
      </w:r>
    </w:p>
    <w:p w14:paraId="2FF83BDC" w14:textId="374DC0CF" w:rsidR="007B24A1" w:rsidRPr="002F4384" w:rsidRDefault="002D148B" w:rsidP="00967281">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Los Estados Miembros estaban de acuerdo con la descripción que se hacía en el informe de las exigencias crecientes formuladas a la Secretaría con respecto al programa básico de la COI, a pesar de que el éxito del propio Decenio del Océano dependía en última instancia del éxito de las actividades básicas.</w:t>
      </w:r>
      <w:r w:rsidR="00E44EE1" w:rsidRPr="002F4384">
        <w:rPr>
          <w:rFonts w:asciiTheme="minorBidi" w:hAnsiTheme="minorBidi" w:cstheme="minorBidi"/>
          <w:lang w:val="es-ES_tradnl"/>
        </w:rPr>
        <w:t xml:space="preserve"> En consecuencia, e</w:t>
      </w:r>
      <w:r w:rsidR="00B34667" w:rsidRPr="002F4384">
        <w:rPr>
          <w:rFonts w:asciiTheme="minorBidi" w:hAnsiTheme="minorBidi" w:cstheme="minorBidi"/>
          <w:lang w:val="es-ES_tradnl"/>
        </w:rPr>
        <w:t>ra</w:t>
      </w:r>
      <w:r w:rsidR="00E44EE1" w:rsidRPr="002F4384">
        <w:rPr>
          <w:rFonts w:asciiTheme="minorBidi" w:hAnsiTheme="minorBidi" w:cstheme="minorBidi"/>
          <w:lang w:val="es-ES_tradnl"/>
        </w:rPr>
        <w:t xml:space="preserve"> preocupante observar </w:t>
      </w:r>
      <w:r w:rsidR="00572068" w:rsidRPr="002F4384">
        <w:rPr>
          <w:rFonts w:asciiTheme="minorBidi" w:hAnsiTheme="minorBidi" w:cstheme="minorBidi"/>
          <w:lang w:val="es-ES_tradnl"/>
        </w:rPr>
        <w:t>las</w:t>
      </w:r>
      <w:r w:rsidR="00E44EE1" w:rsidRPr="002F4384">
        <w:rPr>
          <w:rFonts w:asciiTheme="minorBidi" w:hAnsiTheme="minorBidi" w:cstheme="minorBidi"/>
          <w:lang w:val="es-ES_tradnl"/>
        </w:rPr>
        <w:t xml:space="preserve"> repercusiones en la capacidad para ejecutar los programas básicos. </w:t>
      </w:r>
      <w:r w:rsidR="0053404B" w:rsidRPr="002F4384">
        <w:rPr>
          <w:rFonts w:asciiTheme="minorBidi" w:hAnsiTheme="minorBidi" w:cstheme="minorBidi"/>
          <w:lang w:val="es-ES_tradnl"/>
        </w:rPr>
        <w:t>La labor de la COI en materia de observación, gestión y accesibilidad de los datos e</w:t>
      </w:r>
      <w:r w:rsidR="00B34667" w:rsidRPr="002F4384">
        <w:rPr>
          <w:rFonts w:asciiTheme="minorBidi" w:hAnsiTheme="minorBidi" w:cstheme="minorBidi"/>
          <w:lang w:val="es-ES_tradnl"/>
        </w:rPr>
        <w:t>ra</w:t>
      </w:r>
      <w:r w:rsidR="0053404B" w:rsidRPr="002F4384">
        <w:rPr>
          <w:rFonts w:asciiTheme="minorBidi" w:hAnsiTheme="minorBidi" w:cstheme="minorBidi"/>
          <w:lang w:val="es-ES_tradnl"/>
        </w:rPr>
        <w:t xml:space="preserve"> de suma importancia y constitu</w:t>
      </w:r>
      <w:r w:rsidR="00B34667" w:rsidRPr="002F4384">
        <w:rPr>
          <w:rFonts w:asciiTheme="minorBidi" w:hAnsiTheme="minorBidi" w:cstheme="minorBidi"/>
          <w:lang w:val="es-ES_tradnl"/>
        </w:rPr>
        <w:t>ía</w:t>
      </w:r>
      <w:r w:rsidR="0053404B" w:rsidRPr="002F4384">
        <w:rPr>
          <w:rFonts w:asciiTheme="minorBidi" w:hAnsiTheme="minorBidi" w:cstheme="minorBidi"/>
          <w:lang w:val="es-ES_tradnl"/>
        </w:rPr>
        <w:t xml:space="preserve"> una forma concreta de llevar a la práctica la Recomendación sobre la Ciencia Abierta de la UNESCO, recientemente aprobada.</w:t>
      </w:r>
      <w:r w:rsidR="00CC673A" w:rsidRPr="002F4384">
        <w:rPr>
          <w:rFonts w:asciiTheme="minorBidi" w:hAnsiTheme="minorBidi" w:cstheme="minorBidi"/>
          <w:lang w:val="es-ES_tradnl"/>
        </w:rPr>
        <w:t xml:space="preserve"> El conocimiento e</w:t>
      </w:r>
      <w:r w:rsidR="00B34667" w:rsidRPr="002F4384">
        <w:rPr>
          <w:rFonts w:asciiTheme="minorBidi" w:hAnsiTheme="minorBidi" w:cstheme="minorBidi"/>
          <w:lang w:val="es-ES_tradnl"/>
        </w:rPr>
        <w:t>ra</w:t>
      </w:r>
      <w:r w:rsidR="00CC673A" w:rsidRPr="002F4384">
        <w:rPr>
          <w:rFonts w:asciiTheme="minorBidi" w:hAnsiTheme="minorBidi" w:cstheme="minorBidi"/>
          <w:lang w:val="es-ES_tradnl"/>
        </w:rPr>
        <w:t xml:space="preserve"> un bien común, y hacerlo accesible a todos </w:t>
      </w:r>
      <w:r w:rsidR="009B3CD1" w:rsidRPr="002F4384">
        <w:rPr>
          <w:rFonts w:asciiTheme="minorBidi" w:hAnsiTheme="minorBidi" w:cstheme="minorBidi"/>
          <w:lang w:val="es-ES_tradnl"/>
        </w:rPr>
        <w:t>con miras a</w:t>
      </w:r>
      <w:r w:rsidR="00CC673A" w:rsidRPr="002F4384">
        <w:rPr>
          <w:rFonts w:asciiTheme="minorBidi" w:hAnsiTheme="minorBidi" w:cstheme="minorBidi"/>
          <w:lang w:val="es-ES_tradnl"/>
        </w:rPr>
        <w:t xml:space="preserve"> generar soluciones y acciones, en especial para el logro de los objetivos del Decenio del Océano, e</w:t>
      </w:r>
      <w:r w:rsidR="00B34667" w:rsidRPr="002F4384">
        <w:rPr>
          <w:rFonts w:asciiTheme="minorBidi" w:hAnsiTheme="minorBidi" w:cstheme="minorBidi"/>
          <w:lang w:val="es-ES_tradnl"/>
        </w:rPr>
        <w:t>ra</w:t>
      </w:r>
      <w:r w:rsidR="00CC673A" w:rsidRPr="002F4384">
        <w:rPr>
          <w:rFonts w:asciiTheme="minorBidi" w:hAnsiTheme="minorBidi" w:cstheme="minorBidi"/>
          <w:lang w:val="es-ES_tradnl"/>
        </w:rPr>
        <w:t xml:space="preserve"> </w:t>
      </w:r>
      <w:r w:rsidR="00B34667" w:rsidRPr="002F4384">
        <w:rPr>
          <w:rFonts w:asciiTheme="minorBidi" w:hAnsiTheme="minorBidi" w:cstheme="minorBidi"/>
          <w:lang w:val="es-ES_tradnl"/>
        </w:rPr>
        <w:t>la</w:t>
      </w:r>
      <w:r w:rsidR="00CC673A" w:rsidRPr="002F4384">
        <w:rPr>
          <w:rFonts w:asciiTheme="minorBidi" w:hAnsiTheme="minorBidi" w:cstheme="minorBidi"/>
          <w:lang w:val="es-ES_tradnl"/>
        </w:rPr>
        <w:t xml:space="preserve"> visión compartida </w:t>
      </w:r>
      <w:r w:rsidR="00CC673A" w:rsidRPr="002F4384">
        <w:rPr>
          <w:rFonts w:asciiTheme="minorBidi" w:hAnsiTheme="minorBidi" w:cstheme="minorBidi"/>
          <w:lang w:val="es-ES_tradnl"/>
        </w:rPr>
        <w:lastRenderedPageBreak/>
        <w:t>en la que reposa</w:t>
      </w:r>
      <w:r w:rsidR="00B34667" w:rsidRPr="002F4384">
        <w:rPr>
          <w:rFonts w:asciiTheme="minorBidi" w:hAnsiTheme="minorBidi" w:cstheme="minorBidi"/>
          <w:lang w:val="es-ES_tradnl"/>
        </w:rPr>
        <w:t>ba</w:t>
      </w:r>
      <w:r w:rsidR="00CC673A" w:rsidRPr="002F4384">
        <w:rPr>
          <w:rFonts w:asciiTheme="minorBidi" w:hAnsiTheme="minorBidi" w:cstheme="minorBidi"/>
          <w:lang w:val="es-ES_tradnl"/>
        </w:rPr>
        <w:t xml:space="preserve"> el mandato de la Comisión.</w:t>
      </w:r>
      <w:r w:rsidR="009B3CD1" w:rsidRPr="002F4384">
        <w:rPr>
          <w:rFonts w:asciiTheme="minorBidi" w:hAnsiTheme="minorBidi" w:cstheme="minorBidi"/>
          <w:lang w:val="es-ES_tradnl"/>
        </w:rPr>
        <w:t xml:space="preserve"> El Decenio deber</w:t>
      </w:r>
      <w:r w:rsidR="0059182F" w:rsidRPr="002F4384">
        <w:rPr>
          <w:rFonts w:asciiTheme="minorBidi" w:hAnsiTheme="minorBidi" w:cstheme="minorBidi"/>
          <w:lang w:val="es-ES_tradnl"/>
        </w:rPr>
        <w:t>ía</w:t>
      </w:r>
      <w:r w:rsidR="009B3CD1" w:rsidRPr="002F4384">
        <w:rPr>
          <w:rFonts w:asciiTheme="minorBidi" w:hAnsiTheme="minorBidi" w:cstheme="minorBidi"/>
          <w:lang w:val="es-ES_tradnl"/>
        </w:rPr>
        <w:t xml:space="preserve"> ayudar a la Comisión a crecer y </w:t>
      </w:r>
      <w:r w:rsidR="0059182F" w:rsidRPr="002F4384">
        <w:rPr>
          <w:rFonts w:asciiTheme="minorBidi" w:hAnsiTheme="minorBidi" w:cstheme="minorBidi"/>
          <w:lang w:val="es-ES_tradnl"/>
        </w:rPr>
        <w:t xml:space="preserve">a </w:t>
      </w:r>
      <w:r w:rsidR="009B3CD1" w:rsidRPr="002F4384">
        <w:rPr>
          <w:rFonts w:asciiTheme="minorBidi" w:hAnsiTheme="minorBidi" w:cstheme="minorBidi"/>
          <w:lang w:val="es-ES_tradnl"/>
        </w:rPr>
        <w:t>obtener resultados en toda su cadena de valor que respond</w:t>
      </w:r>
      <w:r w:rsidR="0059182F" w:rsidRPr="002F4384">
        <w:rPr>
          <w:rFonts w:asciiTheme="minorBidi" w:hAnsiTheme="minorBidi" w:cstheme="minorBidi"/>
          <w:lang w:val="es-ES_tradnl"/>
        </w:rPr>
        <w:t>ieran</w:t>
      </w:r>
      <w:r w:rsidR="009B3CD1" w:rsidRPr="002F4384">
        <w:rPr>
          <w:rFonts w:asciiTheme="minorBidi" w:hAnsiTheme="minorBidi" w:cstheme="minorBidi"/>
          <w:lang w:val="es-ES_tradnl"/>
        </w:rPr>
        <w:t xml:space="preserve"> a las crecientes demandas de los Estados Miembros y otras partes interesadas.</w:t>
      </w:r>
    </w:p>
    <w:p w14:paraId="6D9797CE" w14:textId="68789C44" w:rsidR="009B3CD1" w:rsidRPr="002F4384" w:rsidRDefault="004D221B" w:rsidP="00967281">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El aumento de las contribuciones voluntarias y las contribuciones en especie seguir</w:t>
      </w:r>
      <w:r w:rsidR="008711E0" w:rsidRPr="002F4384">
        <w:rPr>
          <w:rFonts w:asciiTheme="minorBidi" w:hAnsiTheme="minorBidi" w:cstheme="minorBidi"/>
          <w:lang w:val="es-ES_tradnl"/>
        </w:rPr>
        <w:t>ía</w:t>
      </w:r>
      <w:r w:rsidRPr="002F4384">
        <w:rPr>
          <w:rFonts w:asciiTheme="minorBidi" w:hAnsiTheme="minorBidi" w:cstheme="minorBidi"/>
          <w:lang w:val="es-ES_tradnl"/>
        </w:rPr>
        <w:t xml:space="preserve"> siendo muy importante, y deber</w:t>
      </w:r>
      <w:r w:rsidR="008711E0" w:rsidRPr="002F4384">
        <w:rPr>
          <w:rFonts w:asciiTheme="minorBidi" w:hAnsiTheme="minorBidi" w:cstheme="minorBidi"/>
          <w:lang w:val="es-ES_tradnl"/>
        </w:rPr>
        <w:t>ía</w:t>
      </w:r>
      <w:r w:rsidRPr="002F4384">
        <w:rPr>
          <w:rFonts w:asciiTheme="minorBidi" w:hAnsiTheme="minorBidi" w:cstheme="minorBidi"/>
          <w:lang w:val="es-ES_tradnl"/>
        </w:rPr>
        <w:t xml:space="preserve"> hacerse todo lo posible para ampliar y diversificar la base de donantes de la COI. Sin embargo, e</w:t>
      </w:r>
      <w:r w:rsidR="008711E0" w:rsidRPr="002F4384">
        <w:rPr>
          <w:rFonts w:asciiTheme="minorBidi" w:hAnsiTheme="minorBidi" w:cstheme="minorBidi"/>
          <w:lang w:val="es-ES_tradnl"/>
        </w:rPr>
        <w:t>ra</w:t>
      </w:r>
      <w:r w:rsidRPr="002F4384">
        <w:rPr>
          <w:rFonts w:asciiTheme="minorBidi" w:hAnsiTheme="minorBidi" w:cstheme="minorBidi"/>
          <w:lang w:val="es-ES_tradnl"/>
        </w:rPr>
        <w:t xml:space="preserve"> poco probable que estas medidas por sí solas garanti</w:t>
      </w:r>
      <w:r w:rsidR="008711E0" w:rsidRPr="002F4384">
        <w:rPr>
          <w:rFonts w:asciiTheme="minorBidi" w:hAnsiTheme="minorBidi" w:cstheme="minorBidi"/>
          <w:lang w:val="es-ES_tradnl"/>
        </w:rPr>
        <w:t>zara</w:t>
      </w:r>
      <w:r w:rsidRPr="002F4384">
        <w:rPr>
          <w:rFonts w:asciiTheme="minorBidi" w:hAnsiTheme="minorBidi" w:cstheme="minorBidi"/>
          <w:lang w:val="es-ES_tradnl"/>
        </w:rPr>
        <w:t xml:space="preserve">n la estabilidad presupuestaria necesaria para apoyar las actividades básicas que </w:t>
      </w:r>
      <w:r w:rsidR="008711E0" w:rsidRPr="002F4384">
        <w:rPr>
          <w:rFonts w:asciiTheme="minorBidi" w:hAnsiTheme="minorBidi" w:cstheme="minorBidi"/>
          <w:lang w:val="es-ES_tradnl"/>
        </w:rPr>
        <w:t>eran</w:t>
      </w:r>
      <w:r w:rsidRPr="002F4384">
        <w:rPr>
          <w:rFonts w:asciiTheme="minorBidi" w:hAnsiTheme="minorBidi" w:cstheme="minorBidi"/>
          <w:lang w:val="es-ES_tradnl"/>
        </w:rPr>
        <w:t xml:space="preserve"> tan esenciales para muchos Estados Miembros, especialmente si </w:t>
      </w:r>
      <w:r w:rsidR="008711E0" w:rsidRPr="002F4384">
        <w:rPr>
          <w:rFonts w:asciiTheme="minorBidi" w:hAnsiTheme="minorBidi" w:cstheme="minorBidi"/>
          <w:lang w:val="es-ES_tradnl"/>
        </w:rPr>
        <w:t>seguían</w:t>
      </w:r>
      <w:r w:rsidRPr="002F4384">
        <w:rPr>
          <w:rFonts w:asciiTheme="minorBidi" w:hAnsiTheme="minorBidi" w:cstheme="minorBidi"/>
          <w:lang w:val="es-ES_tradnl"/>
        </w:rPr>
        <w:t xml:space="preserve"> siendo en su mayoría asignadas y basadas en proyectos.</w:t>
      </w:r>
    </w:p>
    <w:p w14:paraId="39CCC5E8" w14:textId="00774306" w:rsidR="004D221B" w:rsidRPr="002F4384" w:rsidRDefault="00C04B08" w:rsidP="00967281">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En respuesta al debate, el Secretario Ejecutivo agradeció a los Estados Miembros su compromiso y participación, sin los cuales no hubiera podido </w:t>
      </w:r>
      <w:r w:rsidR="009C2A35" w:rsidRPr="002F4384">
        <w:rPr>
          <w:rFonts w:asciiTheme="minorBidi" w:hAnsiTheme="minorBidi" w:cstheme="minorBidi"/>
          <w:lang w:val="es-ES_tradnl"/>
        </w:rPr>
        <w:t>obtenerse</w:t>
      </w:r>
      <w:r w:rsidRPr="002F4384">
        <w:rPr>
          <w:rFonts w:asciiTheme="minorBidi" w:hAnsiTheme="minorBidi" w:cstheme="minorBidi"/>
          <w:lang w:val="es-ES_tradnl"/>
        </w:rPr>
        <w:t xml:space="preserve"> ningún logro. Reiteró el compromiso de la COI de no escatimar esfuerzos para asegurar que el poder de la ciencia y los datos se aprovech</w:t>
      </w:r>
      <w:r w:rsidR="009C2A35" w:rsidRPr="002F4384">
        <w:rPr>
          <w:rFonts w:asciiTheme="minorBidi" w:hAnsiTheme="minorBidi" w:cstheme="minorBidi"/>
          <w:lang w:val="es-ES_tradnl"/>
        </w:rPr>
        <w:t>ara</w:t>
      </w:r>
      <w:r w:rsidRPr="002F4384">
        <w:rPr>
          <w:rFonts w:asciiTheme="minorBidi" w:hAnsiTheme="minorBidi" w:cstheme="minorBidi"/>
          <w:lang w:val="es-ES_tradnl"/>
        </w:rPr>
        <w:t xml:space="preserve"> plenamente para ayudar a todos los Estados Miembros a lograr una gestión óptima y sostenible de los océanos.</w:t>
      </w:r>
      <w:r w:rsidR="004718ED" w:rsidRPr="002F4384">
        <w:rPr>
          <w:rFonts w:asciiTheme="minorBidi" w:hAnsiTheme="minorBidi" w:cstheme="minorBidi"/>
          <w:lang w:val="es-ES_tradnl"/>
        </w:rPr>
        <w:t xml:space="preserve"> Compartió plenamente la opinión de que los órganos subsidiarios regionales de la COI </w:t>
      </w:r>
      <w:r w:rsidR="007D4120" w:rsidRPr="002F4384">
        <w:rPr>
          <w:rFonts w:asciiTheme="minorBidi" w:hAnsiTheme="minorBidi" w:cstheme="minorBidi"/>
          <w:lang w:val="es-ES_tradnl"/>
        </w:rPr>
        <w:t>—</w:t>
      </w:r>
      <w:r w:rsidR="004718ED" w:rsidRPr="002F4384">
        <w:rPr>
          <w:rFonts w:asciiTheme="minorBidi" w:hAnsiTheme="minorBidi" w:cstheme="minorBidi"/>
          <w:lang w:val="es-ES_tradnl"/>
        </w:rPr>
        <w:t xml:space="preserve">todos los cuales ya </w:t>
      </w:r>
      <w:r w:rsidR="009C2A35" w:rsidRPr="002F4384">
        <w:rPr>
          <w:rFonts w:asciiTheme="minorBidi" w:hAnsiTheme="minorBidi" w:cstheme="minorBidi"/>
          <w:lang w:val="es-ES_tradnl"/>
        </w:rPr>
        <w:t>tenían</w:t>
      </w:r>
      <w:r w:rsidR="004718ED" w:rsidRPr="002F4384">
        <w:rPr>
          <w:rFonts w:asciiTheme="minorBidi" w:hAnsiTheme="minorBidi" w:cstheme="minorBidi"/>
          <w:lang w:val="es-ES_tradnl"/>
        </w:rPr>
        <w:t xml:space="preserve"> logros e iniciativas interesantes</w:t>
      </w:r>
      <w:r w:rsidR="007D4120" w:rsidRPr="002F4384">
        <w:rPr>
          <w:rFonts w:asciiTheme="minorBidi" w:hAnsiTheme="minorBidi" w:cstheme="minorBidi"/>
          <w:lang w:val="es-ES_tradnl"/>
        </w:rPr>
        <w:t>—</w:t>
      </w:r>
      <w:r w:rsidR="004718ED" w:rsidRPr="002F4384">
        <w:rPr>
          <w:rFonts w:asciiTheme="minorBidi" w:hAnsiTheme="minorBidi" w:cstheme="minorBidi"/>
          <w:lang w:val="es-ES_tradnl"/>
        </w:rPr>
        <w:t xml:space="preserve"> ser</w:t>
      </w:r>
      <w:r w:rsidR="009C2A35" w:rsidRPr="002F4384">
        <w:rPr>
          <w:rFonts w:asciiTheme="minorBidi" w:hAnsiTheme="minorBidi" w:cstheme="minorBidi"/>
          <w:lang w:val="es-ES_tradnl"/>
        </w:rPr>
        <w:t>ía</w:t>
      </w:r>
      <w:r w:rsidR="004718ED" w:rsidRPr="002F4384">
        <w:rPr>
          <w:rFonts w:asciiTheme="minorBidi" w:hAnsiTheme="minorBidi" w:cstheme="minorBidi"/>
          <w:lang w:val="es-ES_tradnl"/>
        </w:rPr>
        <w:t>n fundamentales para reforzar la acción de la COI sobre el terreno, alinear las prioridades y fomentar las sinergias con las principales partes interesadas regionales y subregionales.</w:t>
      </w:r>
      <w:r w:rsidR="008118B1" w:rsidRPr="002F4384">
        <w:rPr>
          <w:rFonts w:asciiTheme="minorBidi" w:hAnsiTheme="minorBidi" w:cstheme="minorBidi"/>
          <w:lang w:val="es-ES_tradnl"/>
        </w:rPr>
        <w:t xml:space="preserve"> El Secretario Ejecutivo presentó varias etapas que ser</w:t>
      </w:r>
      <w:r w:rsidR="009C2A35" w:rsidRPr="002F4384">
        <w:rPr>
          <w:rFonts w:asciiTheme="minorBidi" w:hAnsiTheme="minorBidi" w:cstheme="minorBidi"/>
          <w:lang w:val="es-ES_tradnl"/>
        </w:rPr>
        <w:t>ía</w:t>
      </w:r>
      <w:r w:rsidR="008118B1" w:rsidRPr="002F4384">
        <w:rPr>
          <w:rFonts w:asciiTheme="minorBidi" w:hAnsiTheme="minorBidi" w:cstheme="minorBidi"/>
          <w:lang w:val="es-ES_tradnl"/>
        </w:rPr>
        <w:t>n necesarias para involucrar a las partes interesadas africanas en la aplicación de la hoja de ruta de África para el Decenio. Aseguró a los Estados Miembros de IOCARIBE que se har</w:t>
      </w:r>
      <w:r w:rsidR="00514CE8" w:rsidRPr="002F4384">
        <w:rPr>
          <w:rFonts w:asciiTheme="minorBidi" w:hAnsiTheme="minorBidi" w:cstheme="minorBidi"/>
          <w:lang w:val="es-ES_tradnl"/>
        </w:rPr>
        <w:t>ía</w:t>
      </w:r>
      <w:r w:rsidR="008118B1" w:rsidRPr="002F4384">
        <w:rPr>
          <w:rFonts w:asciiTheme="minorBidi" w:hAnsiTheme="minorBidi" w:cstheme="minorBidi"/>
          <w:lang w:val="es-ES_tradnl"/>
        </w:rPr>
        <w:t xml:space="preserve"> todo lo posible para contrat</w:t>
      </w:r>
      <w:r w:rsidR="00514CE8" w:rsidRPr="002F4384">
        <w:rPr>
          <w:rFonts w:asciiTheme="minorBidi" w:hAnsiTheme="minorBidi" w:cstheme="minorBidi"/>
          <w:lang w:val="es-ES_tradnl"/>
        </w:rPr>
        <w:t>ar</w:t>
      </w:r>
      <w:r w:rsidR="008118B1" w:rsidRPr="002F4384">
        <w:rPr>
          <w:rFonts w:asciiTheme="minorBidi" w:hAnsiTheme="minorBidi" w:cstheme="minorBidi"/>
          <w:lang w:val="es-ES_tradnl"/>
        </w:rPr>
        <w:t xml:space="preserve"> al Director de la Oficina de IOCARIBE lo antes posible.</w:t>
      </w:r>
      <w:r w:rsidR="00934DDB" w:rsidRPr="002F4384">
        <w:rPr>
          <w:rFonts w:asciiTheme="minorBidi" w:hAnsiTheme="minorBidi" w:cstheme="minorBidi"/>
          <w:lang w:val="es-ES_tradnl"/>
        </w:rPr>
        <w:t xml:space="preserve"> Confirmó la firme intención de la COI de trabajar con los PEID guiándose por la Estrategia a Plazo Medio para 2022-2029.</w:t>
      </w:r>
    </w:p>
    <w:p w14:paraId="54AED58E" w14:textId="0A804BFA" w:rsidR="00934DDB" w:rsidRPr="002F4384" w:rsidRDefault="00797355" w:rsidP="00967281">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El Decenio del Océano </w:t>
      </w:r>
      <w:r w:rsidR="00F01DEC" w:rsidRPr="002F4384">
        <w:rPr>
          <w:rFonts w:asciiTheme="minorBidi" w:hAnsiTheme="minorBidi" w:cstheme="minorBidi"/>
          <w:lang w:val="es-ES_tradnl"/>
        </w:rPr>
        <w:t>sería</w:t>
      </w:r>
      <w:r w:rsidRPr="002F4384">
        <w:rPr>
          <w:rFonts w:asciiTheme="minorBidi" w:hAnsiTheme="minorBidi" w:cstheme="minorBidi"/>
          <w:lang w:val="es-ES_tradnl"/>
        </w:rPr>
        <w:t xml:space="preserve"> una gran oportunidad para comprometerse al más alto nivel nacional </w:t>
      </w:r>
      <w:r w:rsidR="00F01DEC" w:rsidRPr="002F4384">
        <w:rPr>
          <w:rFonts w:asciiTheme="minorBidi" w:hAnsiTheme="minorBidi" w:cstheme="minorBidi"/>
          <w:lang w:val="es-ES_tradnl"/>
        </w:rPr>
        <w:t>y, por su parte,</w:t>
      </w:r>
      <w:r w:rsidRPr="002F4384">
        <w:rPr>
          <w:rFonts w:asciiTheme="minorBidi" w:hAnsiTheme="minorBidi" w:cstheme="minorBidi"/>
          <w:lang w:val="es-ES_tradnl"/>
        </w:rPr>
        <w:t xml:space="preserve"> la Conferencia de Lisboa e</w:t>
      </w:r>
      <w:r w:rsidR="00F01DEC" w:rsidRPr="002F4384">
        <w:rPr>
          <w:rFonts w:asciiTheme="minorBidi" w:hAnsiTheme="minorBidi" w:cstheme="minorBidi"/>
          <w:lang w:val="es-ES_tradnl"/>
        </w:rPr>
        <w:t>ra</w:t>
      </w:r>
      <w:r w:rsidRPr="002F4384">
        <w:rPr>
          <w:rFonts w:asciiTheme="minorBidi" w:hAnsiTheme="minorBidi" w:cstheme="minorBidi"/>
          <w:lang w:val="es-ES_tradnl"/>
        </w:rPr>
        <w:t xml:space="preserve"> un hito importante de este proceso. La Alianza para el Decenio del Océano </w:t>
      </w:r>
      <w:r w:rsidR="00F01DEC" w:rsidRPr="002F4384">
        <w:rPr>
          <w:rFonts w:asciiTheme="minorBidi" w:hAnsiTheme="minorBidi" w:cstheme="minorBidi"/>
          <w:lang w:val="es-ES_tradnl"/>
        </w:rPr>
        <w:t>contaba</w:t>
      </w:r>
      <w:r w:rsidRPr="002F4384">
        <w:rPr>
          <w:rFonts w:asciiTheme="minorBidi" w:hAnsiTheme="minorBidi" w:cstheme="minorBidi"/>
          <w:lang w:val="es-ES_tradnl"/>
        </w:rPr>
        <w:t xml:space="preserve"> con numerosos patrocinadores de alto nivel y no para</w:t>
      </w:r>
      <w:r w:rsidR="00F01DEC" w:rsidRPr="002F4384">
        <w:rPr>
          <w:rFonts w:asciiTheme="minorBidi" w:hAnsiTheme="minorBidi" w:cstheme="minorBidi"/>
          <w:lang w:val="es-ES_tradnl"/>
        </w:rPr>
        <w:t>ba</w:t>
      </w:r>
      <w:r w:rsidRPr="002F4384">
        <w:rPr>
          <w:rFonts w:asciiTheme="minorBidi" w:hAnsiTheme="minorBidi" w:cstheme="minorBidi"/>
          <w:lang w:val="es-ES_tradnl"/>
        </w:rPr>
        <w:t xml:space="preserve"> de crecer, mientras que en muchos Estados Miembros se crea</w:t>
      </w:r>
      <w:r w:rsidR="00F01DEC" w:rsidRPr="002F4384">
        <w:rPr>
          <w:rFonts w:asciiTheme="minorBidi" w:hAnsiTheme="minorBidi" w:cstheme="minorBidi"/>
          <w:lang w:val="es-ES_tradnl"/>
        </w:rPr>
        <w:t>ba</w:t>
      </w:r>
      <w:r w:rsidRPr="002F4384">
        <w:rPr>
          <w:rFonts w:asciiTheme="minorBidi" w:hAnsiTheme="minorBidi" w:cstheme="minorBidi"/>
          <w:lang w:val="es-ES_tradnl"/>
        </w:rPr>
        <w:t>n estructuras nacionales de coordinación debido a la mayor visibilidad de los asuntos oceánicos en el programa internacional de desarrollo. Las novedades prometedoras, como el ambicioso objetivo de preparar a las comunidades para los tsunamis y el proyecto sobre el gemelo digital del océano, por nombrar solo algunas, requerir</w:t>
      </w:r>
      <w:r w:rsidR="00F01DEC" w:rsidRPr="002F4384">
        <w:rPr>
          <w:rFonts w:asciiTheme="minorBidi" w:hAnsiTheme="minorBidi" w:cstheme="minorBidi"/>
          <w:lang w:val="es-ES_tradnl"/>
        </w:rPr>
        <w:t>ía</w:t>
      </w:r>
      <w:r w:rsidRPr="002F4384">
        <w:rPr>
          <w:rFonts w:asciiTheme="minorBidi" w:hAnsiTheme="minorBidi" w:cstheme="minorBidi"/>
          <w:lang w:val="es-ES_tradnl"/>
        </w:rPr>
        <w:t>n un verdadero compromiso colectivo. Los avances se supervisar</w:t>
      </w:r>
      <w:r w:rsidR="00F01DEC" w:rsidRPr="002F4384">
        <w:rPr>
          <w:rFonts w:asciiTheme="minorBidi" w:hAnsiTheme="minorBidi" w:cstheme="minorBidi"/>
          <w:lang w:val="es-ES_tradnl"/>
        </w:rPr>
        <w:t>ía</w:t>
      </w:r>
      <w:r w:rsidRPr="002F4384">
        <w:rPr>
          <w:rFonts w:asciiTheme="minorBidi" w:hAnsiTheme="minorBidi" w:cstheme="minorBidi"/>
          <w:lang w:val="es-ES_tradnl"/>
        </w:rPr>
        <w:t xml:space="preserve">n por medio del </w:t>
      </w:r>
      <w:r w:rsidRPr="002F4384">
        <w:rPr>
          <w:rFonts w:asciiTheme="minorBidi" w:hAnsiTheme="minorBidi" w:cstheme="minorBidi"/>
          <w:i/>
          <w:lang w:val="es-ES_tradnl"/>
        </w:rPr>
        <w:t>Informe mundial sobre las ciencias oceánicas</w:t>
      </w:r>
      <w:r w:rsidRPr="002F4384">
        <w:rPr>
          <w:rFonts w:asciiTheme="minorBidi" w:hAnsiTheme="minorBidi" w:cstheme="minorBidi"/>
          <w:lang w:val="es-ES_tradnl"/>
        </w:rPr>
        <w:t xml:space="preserve"> y el </w:t>
      </w:r>
      <w:r w:rsidRPr="002F4384">
        <w:rPr>
          <w:rFonts w:asciiTheme="minorBidi" w:hAnsiTheme="minorBidi" w:cstheme="minorBidi"/>
          <w:i/>
          <w:lang w:val="es-ES_tradnl"/>
        </w:rPr>
        <w:t>Informe sobre el estado del océano</w:t>
      </w:r>
      <w:r w:rsidRPr="002F4384">
        <w:rPr>
          <w:rFonts w:asciiTheme="minorBidi" w:hAnsiTheme="minorBidi" w:cstheme="minorBidi"/>
          <w:lang w:val="es-ES_tradnl"/>
        </w:rPr>
        <w:t>, que brinda</w:t>
      </w:r>
      <w:r w:rsidR="00F01DEC" w:rsidRPr="002F4384">
        <w:rPr>
          <w:rFonts w:asciiTheme="minorBidi" w:hAnsiTheme="minorBidi" w:cstheme="minorBidi"/>
          <w:lang w:val="es-ES_tradnl"/>
        </w:rPr>
        <w:t>ba</w:t>
      </w:r>
      <w:r w:rsidRPr="002F4384">
        <w:rPr>
          <w:rFonts w:asciiTheme="minorBidi" w:hAnsiTheme="minorBidi" w:cstheme="minorBidi"/>
          <w:lang w:val="es-ES_tradnl"/>
        </w:rPr>
        <w:t>n información actualizada que complementa</w:t>
      </w:r>
      <w:r w:rsidR="00F01DEC" w:rsidRPr="002F4384">
        <w:rPr>
          <w:rFonts w:asciiTheme="minorBidi" w:hAnsiTheme="minorBidi" w:cstheme="minorBidi"/>
          <w:lang w:val="es-ES_tradnl"/>
        </w:rPr>
        <w:t>ba</w:t>
      </w:r>
      <w:r w:rsidRPr="002F4384">
        <w:rPr>
          <w:rFonts w:asciiTheme="minorBidi" w:hAnsiTheme="minorBidi" w:cstheme="minorBidi"/>
          <w:lang w:val="es-ES_tradnl"/>
        </w:rPr>
        <w:t xml:space="preserve"> las evaluaciones mundiales como la Evaluación mundial de los océanos y el informe del IPCC.</w:t>
      </w:r>
    </w:p>
    <w:p w14:paraId="1F5A5412" w14:textId="39461F89" w:rsidR="00797355" w:rsidRPr="002F4384" w:rsidRDefault="000204E6" w:rsidP="00967281">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El Secretario Ejecutivo indicó que las respuestas de los Estados Miembros mostraban progreso</w:t>
      </w:r>
      <w:r w:rsidR="00CE54B7" w:rsidRPr="002F4384">
        <w:rPr>
          <w:rFonts w:asciiTheme="minorBidi" w:hAnsiTheme="minorBidi" w:cstheme="minorBidi"/>
          <w:lang w:val="es-ES_tradnl"/>
        </w:rPr>
        <w:t>s</w:t>
      </w:r>
      <w:r w:rsidRPr="002F4384">
        <w:rPr>
          <w:rFonts w:asciiTheme="minorBidi" w:hAnsiTheme="minorBidi" w:cstheme="minorBidi"/>
          <w:lang w:val="es-ES_tradnl"/>
        </w:rPr>
        <w:t xml:space="preserve"> en la elaboración de una gobernanza nacional de los océanos basada en la ciencia, ya que se habían creado mecanismos nacionales de coordinación y se habían formulado nuevas políticas oceánicas nacionales. Agregó que el </w:t>
      </w:r>
      <w:r w:rsidRPr="002F4384">
        <w:rPr>
          <w:rFonts w:asciiTheme="minorBidi" w:hAnsiTheme="minorBidi" w:cstheme="minorBidi"/>
          <w:i/>
          <w:lang w:val="es-ES_tradnl"/>
        </w:rPr>
        <w:t>Informe sobre el estado del océano</w:t>
      </w:r>
      <w:r w:rsidRPr="002F4384">
        <w:rPr>
          <w:rFonts w:asciiTheme="minorBidi" w:hAnsiTheme="minorBidi" w:cstheme="minorBidi"/>
          <w:lang w:val="es-ES_tradnl"/>
        </w:rPr>
        <w:t xml:space="preserve"> de la COI sería un complemento y no una duplicación de los informes y evaluaciones existentes.</w:t>
      </w:r>
      <w:r w:rsidR="00007A90" w:rsidRPr="002F4384">
        <w:rPr>
          <w:rFonts w:asciiTheme="minorBidi" w:hAnsiTheme="minorBidi" w:cstheme="minorBidi"/>
          <w:lang w:val="es-ES_tradnl"/>
        </w:rPr>
        <w:t xml:space="preserve"> Respondió a las preguntas relacionadas con la carga de trabajo y los recursos existentes de la Secretaría de la COI y aseguró a los Estados Miembros que, a pesar del aumento de la carga de trabajo, todos los programas habían podido ejecutarse en el bienio anterior.</w:t>
      </w:r>
      <w:r w:rsidR="00101EA7" w:rsidRPr="002F4384">
        <w:rPr>
          <w:rFonts w:asciiTheme="minorBidi" w:hAnsiTheme="minorBidi" w:cstheme="minorBidi"/>
          <w:lang w:val="es-ES_tradnl"/>
        </w:rPr>
        <w:t xml:space="preserve"> Formuló observaciones sobre los resultados de la participación de la COI en el diálogo estructurado sobre financiación de la UNESCO.</w:t>
      </w:r>
    </w:p>
    <w:p w14:paraId="09FC600B" w14:textId="7E791213" w:rsidR="00101EA7" w:rsidRPr="002F4384" w:rsidRDefault="0096788E" w:rsidP="00967281">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El Secretario Ejecutivo c</w:t>
      </w:r>
      <w:r w:rsidR="005D5521" w:rsidRPr="002F4384">
        <w:rPr>
          <w:rFonts w:asciiTheme="minorBidi" w:hAnsiTheme="minorBidi" w:cstheme="minorBidi"/>
          <w:lang w:val="es-ES_tradnl"/>
        </w:rPr>
        <w:t xml:space="preserve">oncluyó su respuesta reiterando la posibilidad de lograr importantes avances en </w:t>
      </w:r>
      <w:r w:rsidR="00194036" w:rsidRPr="002F4384">
        <w:rPr>
          <w:rFonts w:asciiTheme="minorBidi" w:hAnsiTheme="minorBidi" w:cstheme="minorBidi"/>
          <w:lang w:val="es-ES_tradnl"/>
        </w:rPr>
        <w:t>la</w:t>
      </w:r>
      <w:r w:rsidR="005D5521" w:rsidRPr="002F4384">
        <w:rPr>
          <w:rFonts w:asciiTheme="minorBidi" w:hAnsiTheme="minorBidi" w:cstheme="minorBidi"/>
          <w:lang w:val="es-ES_tradnl"/>
        </w:rPr>
        <w:t xml:space="preserve"> gestión sostenible de los océanos basada en la ciencia haciendo participar a toda la cadena de valor de las actividades de la COI y </w:t>
      </w:r>
      <w:r w:rsidR="000048B7" w:rsidRPr="002F4384">
        <w:rPr>
          <w:rFonts w:asciiTheme="minorBidi" w:hAnsiTheme="minorBidi" w:cstheme="minorBidi"/>
          <w:lang w:val="es-ES_tradnl"/>
        </w:rPr>
        <w:t>repartiendo</w:t>
      </w:r>
      <w:r w:rsidR="005D5521" w:rsidRPr="002F4384">
        <w:rPr>
          <w:rFonts w:asciiTheme="minorBidi" w:hAnsiTheme="minorBidi" w:cstheme="minorBidi"/>
          <w:lang w:val="es-ES_tradnl"/>
        </w:rPr>
        <w:t xml:space="preserve"> eficaz</w:t>
      </w:r>
      <w:r w:rsidR="000048B7" w:rsidRPr="002F4384">
        <w:rPr>
          <w:rFonts w:asciiTheme="minorBidi" w:hAnsiTheme="minorBidi" w:cstheme="minorBidi"/>
          <w:lang w:val="es-ES_tradnl"/>
        </w:rPr>
        <w:t>mente</w:t>
      </w:r>
      <w:r w:rsidR="005D5521" w:rsidRPr="002F4384">
        <w:rPr>
          <w:rFonts w:asciiTheme="minorBidi" w:hAnsiTheme="minorBidi" w:cstheme="minorBidi"/>
          <w:lang w:val="es-ES_tradnl"/>
        </w:rPr>
        <w:t xml:space="preserve"> el trabajo entre los organismos de las Naciones Unidas con un mandato en el ámbito de los océanos.</w:t>
      </w:r>
    </w:p>
    <w:p w14:paraId="5EAC25B1" w14:textId="21E404C5" w:rsidR="00B5360E" w:rsidRPr="002F4384" w:rsidRDefault="00667651" w:rsidP="000E31F0">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L</w:t>
      </w:r>
      <w:r w:rsidR="0013385C" w:rsidRPr="002F4384">
        <w:rPr>
          <w:rFonts w:asciiTheme="minorBidi" w:hAnsiTheme="minorBidi" w:cstheme="minorBidi"/>
          <w:lang w:val="es-ES_tradnl"/>
        </w:rPr>
        <w:t xml:space="preserve">as delegaciones </w:t>
      </w:r>
      <w:r w:rsidRPr="002F4384">
        <w:rPr>
          <w:rFonts w:asciiTheme="minorBidi" w:hAnsiTheme="minorBidi" w:cstheme="minorBidi"/>
          <w:lang w:val="es-ES_tradnl"/>
        </w:rPr>
        <w:t xml:space="preserve">siguientes decidieron proporcionar por escrito sus intervenciones en plenaria sobre este punto del orden del día para que constaran en el anexo informativo del informe de la reunión: </w:t>
      </w:r>
      <w:r w:rsidR="0013385C" w:rsidRPr="002F4384">
        <w:rPr>
          <w:rFonts w:asciiTheme="minorBidi" w:hAnsiTheme="minorBidi" w:cstheme="minorBidi"/>
          <w:lang w:val="es-ES_tradnl"/>
        </w:rPr>
        <w:t xml:space="preserve">Alemania, Argentina, Brasil, Chile, China, Colombia, Côte d'Ivoire, Estados Unidos de </w:t>
      </w:r>
      <w:r w:rsidR="0013385C" w:rsidRPr="002F4384">
        <w:rPr>
          <w:rFonts w:asciiTheme="minorBidi" w:hAnsiTheme="minorBidi" w:cstheme="minorBidi"/>
          <w:lang w:val="es-ES_tradnl"/>
        </w:rPr>
        <w:lastRenderedPageBreak/>
        <w:t>América, Federación de Rusia, Francia, India, Indonesia, Italia, Japón, Kenya, Noruega (observador), Portugal, Reino Unido de Gran Bretaña e Irlanda del Norte, República de Corea y la OHI.</w:t>
      </w:r>
    </w:p>
    <w:p w14:paraId="6FF196E8" w14:textId="018AF39D" w:rsidR="00991447" w:rsidRPr="002F4384" w:rsidRDefault="00991447" w:rsidP="000E31F0">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El Consejo Ejecutivo adoptó la </w:t>
      </w:r>
      <w:r w:rsidRPr="002F4384">
        <w:rPr>
          <w:rFonts w:asciiTheme="minorBidi" w:hAnsiTheme="minorBidi" w:cstheme="minorBidi"/>
          <w:u w:val="single"/>
          <w:lang w:val="es-ES_tradnl"/>
        </w:rPr>
        <w:t>decisión</w:t>
      </w:r>
      <w:r w:rsidR="00C07A5E" w:rsidRPr="002F4384">
        <w:rPr>
          <w:rFonts w:asciiTheme="minorBidi" w:hAnsiTheme="minorBidi" w:cstheme="minorBidi"/>
          <w:u w:val="single"/>
          <w:lang w:val="es-ES_tradnl"/>
        </w:rPr>
        <w:t xml:space="preserve"> IOC/EC-55/3.1</w:t>
      </w:r>
      <w:r w:rsidR="003A59D3" w:rsidRPr="002F4384">
        <w:rPr>
          <w:rFonts w:asciiTheme="minorBidi" w:hAnsiTheme="minorBidi" w:cstheme="minorBidi"/>
          <w:lang w:val="es-ES_tradnl"/>
        </w:rPr>
        <w:t>, que figura a continuación.</w:t>
      </w:r>
    </w:p>
    <w:p w14:paraId="3544AEE9" w14:textId="77777777" w:rsidR="00520A7A" w:rsidRPr="002F4384" w:rsidRDefault="00520A7A" w:rsidP="00520A7A">
      <w:pPr>
        <w:keepNext/>
        <w:keepLines/>
        <w:tabs>
          <w:tab w:val="left" w:pos="709"/>
        </w:tabs>
        <w:spacing w:after="240"/>
        <w:jc w:val="center"/>
        <w:outlineLvl w:val="0"/>
        <w:rPr>
          <w:rFonts w:asciiTheme="minorBidi" w:eastAsia="SimSun" w:hAnsiTheme="minorBidi" w:cstheme="minorBidi"/>
          <w:b/>
          <w:sz w:val="22"/>
          <w:szCs w:val="22"/>
          <w:lang w:val="es-ES_tradnl"/>
        </w:rPr>
      </w:pPr>
      <w:r w:rsidRPr="002F4384">
        <w:rPr>
          <w:rFonts w:asciiTheme="minorBidi" w:eastAsia="SimSun" w:hAnsiTheme="minorBidi" w:cstheme="minorBidi"/>
          <w:b/>
          <w:bCs/>
          <w:sz w:val="22"/>
          <w:szCs w:val="22"/>
          <w:lang w:val="es-ES_tradnl"/>
        </w:rPr>
        <w:t>Informe del Secretario Ejecutivo</w:t>
      </w:r>
    </w:p>
    <w:p w14:paraId="26F6FE15" w14:textId="77777777" w:rsidR="00520A7A" w:rsidRPr="002F4384" w:rsidRDefault="00520A7A" w:rsidP="00520A7A">
      <w:pPr>
        <w:tabs>
          <w:tab w:val="left" w:pos="709"/>
        </w:tabs>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lang w:val="es-ES_tradnl"/>
        </w:rPr>
        <w:t>El Consejo Ejecutivo,</w:t>
      </w:r>
    </w:p>
    <w:p w14:paraId="6C7E3282" w14:textId="77777777" w:rsidR="00520A7A" w:rsidRPr="002F4384" w:rsidRDefault="00520A7A" w:rsidP="00520A7A">
      <w:pPr>
        <w:tabs>
          <w:tab w:val="left" w:pos="709"/>
        </w:tabs>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u w:val="single"/>
          <w:lang w:val="es-ES_tradnl"/>
        </w:rPr>
        <w:t>Habiendo examinado</w:t>
      </w:r>
      <w:r w:rsidRPr="002F4384">
        <w:rPr>
          <w:rFonts w:asciiTheme="minorBidi" w:hAnsiTheme="minorBidi" w:cstheme="minorBidi"/>
          <w:sz w:val="22"/>
          <w:szCs w:val="22"/>
          <w:lang w:val="es-ES_tradnl"/>
        </w:rPr>
        <w:t xml:space="preserve"> los documentos IOC/EC-55/3.1.Doc(1) y Add., IOC/EC-55/3.1.Doc(2), IOC/EC-55/3.1.Doc(3) e IOC/EC-55/3.1.Doc(4), así como los informes sobre diversos programas,</w:t>
      </w:r>
    </w:p>
    <w:p w14:paraId="40649EFC" w14:textId="77777777" w:rsidR="00520A7A" w:rsidRPr="002F4384" w:rsidRDefault="00520A7A" w:rsidP="00520A7A">
      <w:pPr>
        <w:tabs>
          <w:tab w:val="left" w:pos="709"/>
        </w:tabs>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u w:val="single"/>
          <w:lang w:val="es-ES_tradnl"/>
        </w:rPr>
        <w:t>Agradece</w:t>
      </w:r>
      <w:r w:rsidRPr="002F4384">
        <w:rPr>
          <w:rFonts w:asciiTheme="minorBidi" w:hAnsiTheme="minorBidi" w:cstheme="minorBidi"/>
          <w:sz w:val="22"/>
          <w:szCs w:val="22"/>
          <w:lang w:val="es-ES_tradnl"/>
        </w:rPr>
        <w:t xml:space="preserve"> al Secretario Ejecutivo este exhaustivo informe;</w:t>
      </w:r>
    </w:p>
    <w:p w14:paraId="6F3409D4" w14:textId="77777777" w:rsidR="00520A7A" w:rsidRPr="002F4384" w:rsidRDefault="00520A7A" w:rsidP="00520A7A">
      <w:pPr>
        <w:tabs>
          <w:tab w:val="left" w:pos="709"/>
        </w:tabs>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u w:val="single"/>
          <w:lang w:val="es-ES_tradnl"/>
        </w:rPr>
        <w:t>Toma nota</w:t>
      </w:r>
      <w:r w:rsidRPr="002F4384">
        <w:rPr>
          <w:rFonts w:asciiTheme="minorBidi" w:hAnsiTheme="minorBidi" w:cstheme="minorBidi"/>
          <w:sz w:val="22"/>
          <w:szCs w:val="22"/>
          <w:lang w:val="es-ES_tradnl"/>
        </w:rPr>
        <w:t xml:space="preserve"> de la información proporcionada, acogiendo con beneplácito los importantes avances logrados en muchos ámbitos programáticos;</w:t>
      </w:r>
    </w:p>
    <w:p w14:paraId="3A69F384" w14:textId="77777777" w:rsidR="00520A7A" w:rsidRPr="002F4384" w:rsidRDefault="00520A7A" w:rsidP="00520A7A">
      <w:pPr>
        <w:tabs>
          <w:tab w:val="left" w:pos="709"/>
        </w:tabs>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u w:val="single"/>
          <w:lang w:val="es-ES_tradnl"/>
        </w:rPr>
        <w:t>Toma nota también</w:t>
      </w:r>
      <w:r w:rsidRPr="002F4384">
        <w:rPr>
          <w:rFonts w:asciiTheme="minorBidi" w:hAnsiTheme="minorBidi" w:cstheme="minorBidi"/>
          <w:sz w:val="22"/>
          <w:szCs w:val="22"/>
          <w:lang w:val="es-ES_tradnl"/>
        </w:rPr>
        <w:t xml:space="preserve"> de la creación del Subcomité de Educación y Formación (SCET) del GEBCO y del mandato del examen de la gobernanza del GEBCO;</w:t>
      </w:r>
    </w:p>
    <w:p w14:paraId="0DAFDF34" w14:textId="77777777" w:rsidR="00520A7A" w:rsidRPr="002F4384" w:rsidRDefault="00520A7A" w:rsidP="00520A7A">
      <w:pPr>
        <w:tabs>
          <w:tab w:val="left" w:pos="709"/>
        </w:tabs>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u w:val="single"/>
          <w:lang w:val="es-ES_tradnl"/>
        </w:rPr>
        <w:t>Pide</w:t>
      </w:r>
      <w:r w:rsidRPr="002F4384">
        <w:rPr>
          <w:rFonts w:asciiTheme="minorBidi" w:hAnsiTheme="minorBidi" w:cstheme="minorBidi"/>
          <w:sz w:val="22"/>
          <w:szCs w:val="22"/>
          <w:lang w:val="es-ES_tradnl"/>
        </w:rPr>
        <w:t xml:space="preserve"> al Secretario Ejecutivo que presente los resultados del examen de la gobernanza del GEBCO a la Asamblea de la COI en su 32ª reunión;</w:t>
      </w:r>
    </w:p>
    <w:p w14:paraId="2F1295F9" w14:textId="77777777" w:rsidR="00520A7A" w:rsidRPr="002F4384" w:rsidRDefault="00520A7A" w:rsidP="00520A7A">
      <w:pPr>
        <w:tabs>
          <w:tab w:val="left" w:pos="709"/>
        </w:tabs>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u w:val="single"/>
          <w:lang w:val="es-ES_tradnl"/>
        </w:rPr>
        <w:t>Transmite</w:t>
      </w:r>
      <w:r w:rsidRPr="002F4384">
        <w:rPr>
          <w:rFonts w:asciiTheme="minorBidi" w:hAnsiTheme="minorBidi" w:cstheme="minorBidi"/>
          <w:sz w:val="22"/>
          <w:szCs w:val="22"/>
          <w:lang w:val="es-ES_tradnl"/>
        </w:rPr>
        <w:t xml:space="preserve"> los documentos IOC/EC-55/3.1.Doc(2) e IOC/EC-55/3.1.Doc(3) al Comité de Finanzas de la reunión para que los siga examinando.</w:t>
      </w:r>
    </w:p>
    <w:p w14:paraId="004CB4EC" w14:textId="77777777" w:rsidR="00F17245" w:rsidRPr="002F4384" w:rsidRDefault="00351054" w:rsidP="000B5F80">
      <w:pPr>
        <w:pStyle w:val="Heading2"/>
        <w:tabs>
          <w:tab w:val="clear" w:pos="737"/>
        </w:tabs>
        <w:ind w:left="709" w:hanging="709"/>
        <w:jc w:val="both"/>
        <w:rPr>
          <w:rFonts w:asciiTheme="minorBidi" w:hAnsiTheme="minorBidi" w:cstheme="minorBidi"/>
          <w:szCs w:val="22"/>
          <w:lang w:val="es-ES_tradnl"/>
        </w:rPr>
      </w:pPr>
      <w:bookmarkStart w:id="114" w:name="_Toc115256316"/>
      <w:bookmarkStart w:id="115" w:name="_Toc85469060"/>
      <w:r w:rsidRPr="002F4384">
        <w:rPr>
          <w:rFonts w:asciiTheme="minorBidi" w:hAnsiTheme="minorBidi" w:cstheme="minorBidi"/>
          <w:szCs w:val="22"/>
          <w:lang w:val="es-ES_tradnl"/>
        </w:rPr>
        <w:t>3.2</w:t>
      </w:r>
      <w:r w:rsidRPr="002F4384">
        <w:rPr>
          <w:rFonts w:asciiTheme="minorBidi" w:hAnsiTheme="minorBidi" w:cstheme="minorBidi"/>
          <w:szCs w:val="22"/>
          <w:lang w:val="es-ES_tradnl"/>
        </w:rPr>
        <w:tab/>
        <w:t>EVALUACIÓN POR EL SERVICIO DE SUPERVISIÓN INTERNA (IOS) DEL POSICIONAMIENTO ESTRATÉGICO DE LA COMISIÓN OCEANOGRÁFICA INTERGUBERNAMENTAL DE LA UNESCO (COI-UNESCO)</w:t>
      </w:r>
      <w:bookmarkEnd w:id="114"/>
      <w:r w:rsidRPr="002F4384">
        <w:rPr>
          <w:rFonts w:asciiTheme="minorBidi" w:hAnsiTheme="minorBidi" w:cstheme="minorBidi"/>
          <w:szCs w:val="22"/>
          <w:lang w:val="es-ES_tradnl"/>
        </w:rPr>
        <w:t xml:space="preserve"> </w:t>
      </w:r>
    </w:p>
    <w:bookmarkEnd w:id="115"/>
    <w:p w14:paraId="3AF3023D" w14:textId="77777777" w:rsidR="005D1225" w:rsidRPr="002F4384" w:rsidRDefault="00E15710" w:rsidP="000E31F0">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El Secretario Ejecutivo presentó este punto.</w:t>
      </w:r>
    </w:p>
    <w:p w14:paraId="17A9A8B7" w14:textId="16FC1C3C" w:rsidR="00200F2A" w:rsidRPr="002F4384" w:rsidRDefault="00667651" w:rsidP="000E31F0">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Recordó que, en septiembre de 2021, </w:t>
      </w:r>
      <w:r w:rsidR="00843A83" w:rsidRPr="002F4384">
        <w:rPr>
          <w:rFonts w:asciiTheme="minorBidi" w:hAnsiTheme="minorBidi" w:cstheme="minorBidi"/>
          <w:lang w:val="es-ES_tradnl"/>
        </w:rPr>
        <w:t>el</w:t>
      </w:r>
      <w:r w:rsidRPr="002F4384">
        <w:rPr>
          <w:rFonts w:asciiTheme="minorBidi" w:hAnsiTheme="minorBidi" w:cstheme="minorBidi"/>
          <w:lang w:val="es-ES_tradnl"/>
        </w:rPr>
        <w:t xml:space="preserve"> Servicio de Supervisión Interna de la UNESCO había publicado la </w:t>
      </w:r>
      <w:r w:rsidR="00BA27DC" w:rsidRPr="002F4384">
        <w:rPr>
          <w:rFonts w:asciiTheme="minorBidi" w:hAnsiTheme="minorBidi" w:cstheme="minorBidi"/>
          <w:lang w:val="es-ES_tradnl"/>
        </w:rPr>
        <w:t>“</w:t>
      </w:r>
      <w:r w:rsidRPr="002F4384">
        <w:rPr>
          <w:rFonts w:asciiTheme="minorBidi" w:hAnsiTheme="minorBidi" w:cstheme="minorBidi"/>
          <w:lang w:val="es-ES_tradnl"/>
        </w:rPr>
        <w:t>Evaluación del posicionamiento estratégico de la COI de la UNESCO (IOS/EVS/PI/197)</w:t>
      </w:r>
      <w:r w:rsidR="00BA27DC" w:rsidRPr="002F4384">
        <w:rPr>
          <w:rFonts w:asciiTheme="minorBidi" w:hAnsiTheme="minorBidi" w:cstheme="minorBidi"/>
          <w:lang w:val="es-ES_tradnl"/>
        </w:rPr>
        <w:t>”</w:t>
      </w:r>
      <w:r w:rsidRPr="002F4384">
        <w:rPr>
          <w:rFonts w:asciiTheme="minorBidi" w:hAnsiTheme="minorBidi" w:cstheme="minorBidi"/>
          <w:lang w:val="es-ES_tradnl"/>
        </w:rPr>
        <w:t xml:space="preserve"> —en adelante, la Evaluación—.</w:t>
      </w:r>
    </w:p>
    <w:p w14:paraId="62BA440D" w14:textId="6F429079" w:rsidR="00200F2A" w:rsidRPr="002F4384" w:rsidRDefault="00843A83" w:rsidP="000E31F0">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La evaluación </w:t>
      </w:r>
      <w:r w:rsidR="00667651" w:rsidRPr="002F4384">
        <w:rPr>
          <w:rFonts w:asciiTheme="minorBidi" w:hAnsiTheme="minorBidi" w:cstheme="minorBidi"/>
          <w:lang w:val="es-ES_tradnl"/>
        </w:rPr>
        <w:t xml:space="preserve">incluía un conjunto de seis recomendaciones y medidas propuestas. La dirección de la COI había aceptado todas las recomendaciones en su respuesta. Las principales conclusiones de la </w:t>
      </w:r>
      <w:r w:rsidRPr="002F4384">
        <w:rPr>
          <w:rFonts w:asciiTheme="minorBidi" w:hAnsiTheme="minorBidi" w:cstheme="minorBidi"/>
          <w:lang w:val="es-ES_tradnl"/>
        </w:rPr>
        <w:t>e</w:t>
      </w:r>
      <w:r w:rsidR="00667651" w:rsidRPr="002F4384">
        <w:rPr>
          <w:rFonts w:asciiTheme="minorBidi" w:hAnsiTheme="minorBidi" w:cstheme="minorBidi"/>
          <w:lang w:val="es-ES_tradnl"/>
        </w:rPr>
        <w:t>valuación, sus recomendaciones y la respuesta de la dirección se habían presentado al Consejo Ejecutivo de la UNESCO en su 212ª reunión (212 EX/9).</w:t>
      </w:r>
    </w:p>
    <w:p w14:paraId="1ED1A32E" w14:textId="60D3D52E" w:rsidR="00200F2A" w:rsidRPr="002F4384" w:rsidRDefault="00667651" w:rsidP="000E31F0">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Sobre la base de las principales conclusiones de la </w:t>
      </w:r>
      <w:r w:rsidR="00843A83" w:rsidRPr="002F4384">
        <w:rPr>
          <w:rFonts w:asciiTheme="minorBidi" w:hAnsiTheme="minorBidi" w:cstheme="minorBidi"/>
          <w:lang w:val="es-ES_tradnl"/>
        </w:rPr>
        <w:t>e</w:t>
      </w:r>
      <w:r w:rsidRPr="002F4384">
        <w:rPr>
          <w:rFonts w:asciiTheme="minorBidi" w:hAnsiTheme="minorBidi" w:cstheme="minorBidi"/>
          <w:lang w:val="es-ES_tradnl"/>
        </w:rPr>
        <w:t>valuación, las consultas internas y los debates con la Mesa de la COI en su reunión</w:t>
      </w:r>
      <w:r w:rsidR="00843A83" w:rsidRPr="002F4384">
        <w:rPr>
          <w:rFonts w:asciiTheme="minorBidi" w:hAnsiTheme="minorBidi" w:cstheme="minorBidi"/>
          <w:lang w:val="es-ES_tradnl"/>
        </w:rPr>
        <w:t xml:space="preserve"> celebrada</w:t>
      </w:r>
      <w:r w:rsidRPr="002F4384">
        <w:rPr>
          <w:rFonts w:asciiTheme="minorBidi" w:hAnsiTheme="minorBidi" w:cstheme="minorBidi"/>
          <w:lang w:val="es-ES_tradnl"/>
        </w:rPr>
        <w:t xml:space="preserve"> del 14 al 17 de enero de 2022, la Secretaría había preparado el documento IOC/EC-55/3.2.Doc(1) para que fuera examinado por el Consejo Ejecutivo. Este sintetizaba los principales desafíos y oportunidades que se presentaban a la COI, tal y como se habían puesto de manifiesto en la </w:t>
      </w:r>
      <w:r w:rsidR="00843A83" w:rsidRPr="002F4384">
        <w:rPr>
          <w:rFonts w:asciiTheme="minorBidi" w:hAnsiTheme="minorBidi" w:cstheme="minorBidi"/>
          <w:lang w:val="es-ES_tradnl"/>
        </w:rPr>
        <w:t>e</w:t>
      </w:r>
      <w:r w:rsidRPr="002F4384">
        <w:rPr>
          <w:rFonts w:asciiTheme="minorBidi" w:hAnsiTheme="minorBidi" w:cstheme="minorBidi"/>
          <w:lang w:val="es-ES_tradnl"/>
        </w:rPr>
        <w:t xml:space="preserve">valuación, e introducía un proyecto de plan de acción que buscaba llevar a la práctica las recomendaciones de la </w:t>
      </w:r>
      <w:r w:rsidR="00843A83" w:rsidRPr="002F4384">
        <w:rPr>
          <w:rFonts w:asciiTheme="minorBidi" w:hAnsiTheme="minorBidi" w:cstheme="minorBidi"/>
          <w:lang w:val="es-ES_tradnl"/>
        </w:rPr>
        <w:t>e</w:t>
      </w:r>
      <w:r w:rsidRPr="002F4384">
        <w:rPr>
          <w:rFonts w:asciiTheme="minorBidi" w:hAnsiTheme="minorBidi" w:cstheme="minorBidi"/>
          <w:lang w:val="es-ES_tradnl"/>
        </w:rPr>
        <w:t>valuación.</w:t>
      </w:r>
    </w:p>
    <w:p w14:paraId="6B6DEA3C" w14:textId="77777777" w:rsidR="00D96004" w:rsidRPr="002F4384" w:rsidRDefault="00200F2A" w:rsidP="000E31F0">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El Secretario Ejecutivo concluyó invitando a los Estados Miembros a que examinaran el informe, sus recomendaciones y el proyecto de plan de acción propuesto. Sus aportaciones respaldarían en gran medida los esfuerzos de la Secretaría de la COI encaminados a finalizar un plan de acción cabal para la 32ª reunión de la Asamblea de la COI en 2023 y, en los casos en los que hubiera pleno consenso, a participar en la aplicación y ofrecer una actualización o un informe sobre los avances a la Asamblea.</w:t>
      </w:r>
    </w:p>
    <w:p w14:paraId="620F0DC0" w14:textId="0834B51E" w:rsidR="00807F39" w:rsidRPr="002F4384" w:rsidRDefault="00667651" w:rsidP="0028091E">
      <w:pPr>
        <w:pStyle w:val="Style2"/>
        <w:numPr>
          <w:ilvl w:val="0"/>
          <w:numId w:val="7"/>
        </w:numPr>
        <w:tabs>
          <w:tab w:val="left" w:pos="714"/>
        </w:tabs>
        <w:ind w:left="0" w:hanging="567"/>
        <w:rPr>
          <w:rFonts w:asciiTheme="minorBidi" w:hAnsiTheme="minorBidi" w:cstheme="minorBidi"/>
          <w:lang w:val="es-ES_tradnl"/>
        </w:rPr>
      </w:pPr>
      <w:bookmarkStart w:id="116" w:name="_Toc85469061"/>
      <w:r w:rsidRPr="002F4384">
        <w:rPr>
          <w:rFonts w:asciiTheme="minorBidi" w:hAnsiTheme="minorBidi" w:cstheme="minorBidi"/>
          <w:lang w:val="es-ES_tradnl"/>
        </w:rPr>
        <w:lastRenderedPageBreak/>
        <w:t xml:space="preserve">Hicieron uso de la palabra los representantes de </w:t>
      </w:r>
      <w:r w:rsidR="00807F39" w:rsidRPr="002F4384">
        <w:rPr>
          <w:rFonts w:asciiTheme="minorBidi" w:hAnsiTheme="minorBidi" w:cstheme="minorBidi"/>
          <w:lang w:val="es-ES_tradnl"/>
        </w:rPr>
        <w:t xml:space="preserve">13 </w:t>
      </w:r>
      <w:r w:rsidRPr="002F4384">
        <w:rPr>
          <w:rFonts w:asciiTheme="minorBidi" w:hAnsiTheme="minorBidi" w:cstheme="minorBidi"/>
          <w:lang w:val="es-ES_tradnl"/>
        </w:rPr>
        <w:t>Estados Miembros</w:t>
      </w:r>
      <w:r w:rsidR="00807F39" w:rsidRPr="002F4384">
        <w:rPr>
          <w:rFonts w:asciiTheme="minorBidi" w:hAnsiTheme="minorBidi" w:cstheme="minorBidi"/>
          <w:lang w:val="es-ES_tradnl"/>
        </w:rPr>
        <w:t xml:space="preserve"> y un observador</w:t>
      </w:r>
      <w:r w:rsidRPr="002F4384">
        <w:rPr>
          <w:rFonts w:asciiTheme="minorBidi" w:hAnsiTheme="minorBidi" w:cstheme="minorBidi"/>
          <w:lang w:val="es-ES_tradnl"/>
        </w:rPr>
        <w:t>.</w:t>
      </w:r>
    </w:p>
    <w:p w14:paraId="5288BCB7" w14:textId="5634DF87" w:rsidR="00807F39" w:rsidRPr="002F4384" w:rsidRDefault="007B01C4" w:rsidP="007B01C4">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El Consejo Ejecutivo dio las gracias al Secretario Ejecutivo por presentar los resultados esclarecedores de la evaluación de</w:t>
      </w:r>
      <w:r w:rsidR="00A44E1E" w:rsidRPr="002F4384">
        <w:rPr>
          <w:rFonts w:asciiTheme="minorBidi" w:hAnsiTheme="minorBidi" w:cstheme="minorBidi"/>
          <w:lang w:val="es-ES_tradnl"/>
        </w:rPr>
        <w:t>l</w:t>
      </w:r>
      <w:r w:rsidRPr="002F4384">
        <w:rPr>
          <w:rFonts w:asciiTheme="minorBidi" w:hAnsiTheme="minorBidi" w:cstheme="minorBidi"/>
          <w:lang w:val="es-ES_tradnl"/>
        </w:rPr>
        <w:t xml:space="preserve"> IOS. Los Estados Miembros expresaron su satisfacción por la profesionalidad con la que se había llevado a cabo esta evaluación</w:t>
      </w:r>
      <w:r w:rsidR="00A44E1E" w:rsidRPr="002F4384">
        <w:rPr>
          <w:rFonts w:asciiTheme="minorBidi" w:hAnsiTheme="minorBidi" w:cstheme="minorBidi"/>
          <w:lang w:val="es-ES_tradnl"/>
        </w:rPr>
        <w:t>, así como</w:t>
      </w:r>
      <w:r w:rsidRPr="002F4384">
        <w:rPr>
          <w:rFonts w:asciiTheme="minorBidi" w:hAnsiTheme="minorBidi" w:cstheme="minorBidi"/>
          <w:lang w:val="es-ES_tradnl"/>
        </w:rPr>
        <w:t xml:space="preserve"> por la consideración que la Secretaría de la COI había dado a las recomendaciones y la reflexión a fondo que había realizado sobre ellas.</w:t>
      </w:r>
      <w:r w:rsidR="001A59C8" w:rsidRPr="002F4384">
        <w:rPr>
          <w:rFonts w:asciiTheme="minorBidi" w:hAnsiTheme="minorBidi" w:cstheme="minorBidi"/>
          <w:lang w:val="es-ES_tradnl"/>
        </w:rPr>
        <w:t xml:space="preserve"> Consideraron que las recomendaciones no solo eran útiles para superar algunos de los retos a los que se enfrentaba la Comisión, sino también para aprovechar las oportunidades.</w:t>
      </w:r>
    </w:p>
    <w:p w14:paraId="195234D6" w14:textId="75D71642" w:rsidR="001A59C8" w:rsidRPr="002F4384" w:rsidRDefault="007F0DD3" w:rsidP="007B01C4">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La cuestión del posicionamiento estratégico e</w:t>
      </w:r>
      <w:r w:rsidR="00A44E1E" w:rsidRPr="002F4384">
        <w:rPr>
          <w:rFonts w:asciiTheme="minorBidi" w:hAnsiTheme="minorBidi" w:cstheme="minorBidi"/>
          <w:lang w:val="es-ES_tradnl"/>
        </w:rPr>
        <w:t>ra</w:t>
      </w:r>
      <w:r w:rsidRPr="002F4384">
        <w:rPr>
          <w:rFonts w:asciiTheme="minorBidi" w:hAnsiTheme="minorBidi" w:cstheme="minorBidi"/>
          <w:lang w:val="es-ES_tradnl"/>
        </w:rPr>
        <w:t xml:space="preserve"> crucial para que la COI </w:t>
      </w:r>
      <w:r w:rsidR="00A217B5" w:rsidRPr="002F4384">
        <w:rPr>
          <w:rFonts w:asciiTheme="minorBidi" w:hAnsiTheme="minorBidi" w:cstheme="minorBidi"/>
          <w:lang w:val="es-ES_tradnl"/>
        </w:rPr>
        <w:t>pudiera</w:t>
      </w:r>
      <w:r w:rsidRPr="002F4384">
        <w:rPr>
          <w:rFonts w:asciiTheme="minorBidi" w:hAnsiTheme="minorBidi" w:cstheme="minorBidi"/>
          <w:lang w:val="es-ES_tradnl"/>
        </w:rPr>
        <w:t xml:space="preserve"> reforzar la ejecución de sus programas y consolidar su protagonismo en sus esferas de competencia.</w:t>
      </w:r>
      <w:r w:rsidR="00633184" w:rsidRPr="002F4384">
        <w:rPr>
          <w:rFonts w:asciiTheme="minorBidi" w:hAnsiTheme="minorBidi" w:cstheme="minorBidi"/>
          <w:lang w:val="es-ES_tradnl"/>
        </w:rPr>
        <w:t xml:space="preserve"> Al tiempo que se coordina</w:t>
      </w:r>
      <w:r w:rsidR="00A217B5" w:rsidRPr="002F4384">
        <w:rPr>
          <w:rFonts w:asciiTheme="minorBidi" w:hAnsiTheme="minorBidi" w:cstheme="minorBidi"/>
          <w:lang w:val="es-ES_tradnl"/>
        </w:rPr>
        <w:t>ba</w:t>
      </w:r>
      <w:r w:rsidR="00633184" w:rsidRPr="002F4384">
        <w:rPr>
          <w:rFonts w:asciiTheme="minorBidi" w:hAnsiTheme="minorBidi" w:cstheme="minorBidi"/>
          <w:lang w:val="es-ES_tradnl"/>
        </w:rPr>
        <w:t xml:space="preserve"> un Decenio del Océano de las Naciones Unidas ambicioso y transformador, </w:t>
      </w:r>
      <w:r w:rsidR="00A217B5" w:rsidRPr="002F4384">
        <w:rPr>
          <w:rFonts w:asciiTheme="minorBidi" w:hAnsiTheme="minorBidi" w:cstheme="minorBidi"/>
          <w:lang w:val="es-ES_tradnl"/>
        </w:rPr>
        <w:t>era</w:t>
      </w:r>
      <w:r w:rsidR="00633184" w:rsidRPr="002F4384">
        <w:rPr>
          <w:rFonts w:asciiTheme="minorBidi" w:hAnsiTheme="minorBidi" w:cstheme="minorBidi"/>
          <w:lang w:val="es-ES_tradnl"/>
        </w:rPr>
        <w:t xml:space="preserve"> imperativo velar por que los programas básicos de la COI </w:t>
      </w:r>
      <w:r w:rsidR="00A217B5" w:rsidRPr="002F4384">
        <w:rPr>
          <w:rFonts w:asciiTheme="minorBidi" w:hAnsiTheme="minorBidi" w:cstheme="minorBidi"/>
          <w:lang w:val="es-ES_tradnl"/>
        </w:rPr>
        <w:t>siguieran</w:t>
      </w:r>
      <w:r w:rsidR="00633184" w:rsidRPr="002F4384">
        <w:rPr>
          <w:rFonts w:asciiTheme="minorBidi" w:hAnsiTheme="minorBidi" w:cstheme="minorBidi"/>
          <w:lang w:val="es-ES_tradnl"/>
        </w:rPr>
        <w:t xml:space="preserve"> ejecutándose en los próximos años. Los Estados Miembros subrayaron que para ello era necesario reforzar el presupuesto de la Organización manteniendo un equilibrio entre las fuentes de financiación.</w:t>
      </w:r>
      <w:r w:rsidR="002E2A57" w:rsidRPr="002F4384">
        <w:rPr>
          <w:rFonts w:asciiTheme="minorBidi" w:hAnsiTheme="minorBidi" w:cstheme="minorBidi"/>
          <w:lang w:val="es-ES_tradnl"/>
        </w:rPr>
        <w:t xml:space="preserve"> Para </w:t>
      </w:r>
      <w:r w:rsidR="00A217B5" w:rsidRPr="002F4384">
        <w:rPr>
          <w:rFonts w:asciiTheme="minorBidi" w:hAnsiTheme="minorBidi" w:cstheme="minorBidi"/>
          <w:lang w:val="es-ES_tradnl"/>
        </w:rPr>
        <w:t>lograrlo</w:t>
      </w:r>
      <w:r w:rsidR="002E2A57" w:rsidRPr="002F4384">
        <w:rPr>
          <w:rFonts w:asciiTheme="minorBidi" w:hAnsiTheme="minorBidi" w:cstheme="minorBidi"/>
          <w:lang w:val="es-ES_tradnl"/>
        </w:rPr>
        <w:t>, e</w:t>
      </w:r>
      <w:r w:rsidR="00A217B5" w:rsidRPr="002F4384">
        <w:rPr>
          <w:rFonts w:asciiTheme="minorBidi" w:hAnsiTheme="minorBidi" w:cstheme="minorBidi"/>
          <w:lang w:val="es-ES_tradnl"/>
        </w:rPr>
        <w:t>ra</w:t>
      </w:r>
      <w:r w:rsidR="002E2A57" w:rsidRPr="002F4384">
        <w:rPr>
          <w:rFonts w:asciiTheme="minorBidi" w:hAnsiTheme="minorBidi" w:cstheme="minorBidi"/>
          <w:lang w:val="es-ES_tradnl"/>
        </w:rPr>
        <w:t xml:space="preserve"> esencial analizar la manera en que el proyecto de plan de acción se ajusta</w:t>
      </w:r>
      <w:r w:rsidR="00A217B5" w:rsidRPr="002F4384">
        <w:rPr>
          <w:rFonts w:asciiTheme="minorBidi" w:hAnsiTheme="minorBidi" w:cstheme="minorBidi"/>
          <w:lang w:val="es-ES_tradnl"/>
        </w:rPr>
        <w:t>ba</w:t>
      </w:r>
      <w:r w:rsidR="002E2A57" w:rsidRPr="002F4384">
        <w:rPr>
          <w:rFonts w:asciiTheme="minorBidi" w:hAnsiTheme="minorBidi" w:cstheme="minorBidi"/>
          <w:lang w:val="es-ES_tradnl"/>
        </w:rPr>
        <w:t xml:space="preserve"> a los mecanismos de preparación del programa y el presupuesto de la UNESCO.</w:t>
      </w:r>
    </w:p>
    <w:p w14:paraId="0D400213" w14:textId="4614E0BF" w:rsidR="002E2A57" w:rsidRPr="002F4384" w:rsidRDefault="00B2008C" w:rsidP="007B01C4">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El Consejo Ejecutivo manifestó que estaba globalmente satisfecho del proyecto de plan de acción y solicitó que se especificaran los medios para que los Estados Miembros pudieran participar en mayor medida en su examen y tuvieran la oportunidad de hacer aportaciones por escrito después de esta reunión del Consejo Ejecutivo.</w:t>
      </w:r>
    </w:p>
    <w:p w14:paraId="29FEE60A" w14:textId="07A10F56" w:rsidR="00B2008C" w:rsidRPr="002F4384" w:rsidRDefault="008950F6" w:rsidP="007B01C4">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El Secretario Ejecutivo dio las gracias a los Estados Miembros por sus útiles comentarios, en particular algunas propuestas muy concretas de las que la Secretaría había tomado nota.</w:t>
      </w:r>
      <w:r w:rsidR="00CC280E" w:rsidRPr="002F4384">
        <w:rPr>
          <w:rFonts w:asciiTheme="minorBidi" w:hAnsiTheme="minorBidi" w:cstheme="minorBidi"/>
          <w:lang w:val="es-ES_tradnl"/>
        </w:rPr>
        <w:t xml:space="preserve"> Confirmó que los Estados Miembros recibirían actualizaciones e informes sobre la marcha de los trabajos a lo largo del proceso de finalización y aplicación del plan de acción.</w:t>
      </w:r>
    </w:p>
    <w:p w14:paraId="48D605E5" w14:textId="520C1FB7" w:rsidR="00CC280E" w:rsidRPr="002F4384" w:rsidRDefault="00BB65AB" w:rsidP="0028091E">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El Presidente de la COI confirmó que, de acuerdo con los deseos expresados por los Estados Miembros, la Secretaría enviaría una circular para solicitar nuevas contribuciones </w:t>
      </w:r>
      <w:r w:rsidR="000436D3" w:rsidRPr="002F4384">
        <w:rPr>
          <w:rFonts w:asciiTheme="minorBidi" w:hAnsiTheme="minorBidi" w:cstheme="minorBidi"/>
          <w:lang w:val="es-ES_tradnl"/>
        </w:rPr>
        <w:t>y así</w:t>
      </w:r>
      <w:r w:rsidRPr="002F4384">
        <w:rPr>
          <w:rFonts w:asciiTheme="minorBidi" w:hAnsiTheme="minorBidi" w:cstheme="minorBidi"/>
          <w:lang w:val="es-ES_tradnl"/>
        </w:rPr>
        <w:t xml:space="preserve"> mejorar el proyecto de plan de acción antes de que la Asamblea de la COI lo examinara en su 32ª reunión en 2023.</w:t>
      </w:r>
      <w:r w:rsidR="00F323A1" w:rsidRPr="002F4384">
        <w:rPr>
          <w:rFonts w:asciiTheme="minorBidi" w:hAnsiTheme="minorBidi" w:cstheme="minorBidi"/>
          <w:lang w:val="es-ES_tradnl"/>
        </w:rPr>
        <w:t xml:space="preserve"> Además, se organizaría una reunión de información con la UNESCO y los Estados Miembros de la COI para facilitar un diálogo directo.</w:t>
      </w:r>
    </w:p>
    <w:p w14:paraId="7D03EFDC" w14:textId="40A3C1B7" w:rsidR="00B66C8D" w:rsidRPr="002F4384" w:rsidRDefault="00667651" w:rsidP="00F323A1">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L</w:t>
      </w:r>
      <w:r w:rsidR="00B07177" w:rsidRPr="002F4384">
        <w:rPr>
          <w:rFonts w:asciiTheme="minorBidi" w:hAnsiTheme="minorBidi" w:cstheme="minorBidi"/>
          <w:lang w:val="es-ES_tradnl"/>
        </w:rPr>
        <w:t xml:space="preserve">as delegaciones </w:t>
      </w:r>
      <w:r w:rsidRPr="002F4384">
        <w:rPr>
          <w:rFonts w:asciiTheme="minorBidi" w:hAnsiTheme="minorBidi" w:cstheme="minorBidi"/>
          <w:lang w:val="es-ES_tradnl"/>
        </w:rPr>
        <w:t xml:space="preserve">siguientes decidieron proporcionar por escrito sus intervenciones en plenaria sobre este punto del orden del día para que constaran en el anexo informativo del informe de la reunión: </w:t>
      </w:r>
      <w:r w:rsidR="00B07177" w:rsidRPr="002F4384">
        <w:rPr>
          <w:rFonts w:asciiTheme="minorBidi" w:hAnsiTheme="minorBidi" w:cstheme="minorBidi"/>
          <w:lang w:val="es-ES_tradnl"/>
        </w:rPr>
        <w:t>Alemania, Argentina, China, Estados Unidos de América, Federación de Rusia, Filipinas, Kenya, Noruega (observador), Reino Unido de Gran Bretaña e Irlanda del Norte e IOCARIBE.</w:t>
      </w:r>
    </w:p>
    <w:p w14:paraId="7001B446" w14:textId="494A039F" w:rsidR="00B07177" w:rsidRPr="002F4384" w:rsidRDefault="00D7398C" w:rsidP="00F323A1">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El Consejo Ejecutivo adoptó la </w:t>
      </w:r>
      <w:r w:rsidRPr="002F4384">
        <w:rPr>
          <w:rFonts w:asciiTheme="minorBidi" w:hAnsiTheme="minorBidi" w:cstheme="minorBidi"/>
          <w:u w:val="single"/>
          <w:lang w:val="es-ES_tradnl"/>
        </w:rPr>
        <w:t>decisión IOC/EC-55/3.2</w:t>
      </w:r>
      <w:r w:rsidR="003A59D3" w:rsidRPr="002F4384">
        <w:rPr>
          <w:rFonts w:asciiTheme="minorBidi" w:hAnsiTheme="minorBidi" w:cstheme="minorBidi"/>
          <w:lang w:val="es-ES_tradnl"/>
        </w:rPr>
        <w:t>, que figura a continuación</w:t>
      </w:r>
      <w:r w:rsidRPr="002F4384">
        <w:rPr>
          <w:rFonts w:asciiTheme="minorBidi" w:hAnsiTheme="minorBidi" w:cstheme="minorBidi"/>
          <w:lang w:val="es-ES_tradnl"/>
        </w:rPr>
        <w:t>.</w:t>
      </w:r>
    </w:p>
    <w:p w14:paraId="6AEDA3A7" w14:textId="77777777" w:rsidR="00E67A95" w:rsidRPr="002F4384" w:rsidRDefault="00E67A95" w:rsidP="00E67A95">
      <w:pPr>
        <w:keepNext/>
        <w:keepLines/>
        <w:tabs>
          <w:tab w:val="left" w:pos="709"/>
        </w:tabs>
        <w:spacing w:after="240"/>
        <w:jc w:val="center"/>
        <w:outlineLvl w:val="0"/>
        <w:rPr>
          <w:rFonts w:asciiTheme="minorBidi" w:eastAsia="SimSun" w:hAnsiTheme="minorBidi" w:cstheme="minorBidi"/>
          <w:b/>
          <w:sz w:val="22"/>
          <w:szCs w:val="22"/>
          <w:lang w:val="es-ES_tradnl"/>
        </w:rPr>
      </w:pPr>
      <w:r w:rsidRPr="002F4384">
        <w:rPr>
          <w:rFonts w:asciiTheme="minorBidi" w:eastAsia="SimSun" w:hAnsiTheme="minorBidi" w:cstheme="minorBidi"/>
          <w:b/>
          <w:bCs/>
          <w:sz w:val="22"/>
          <w:szCs w:val="22"/>
          <w:lang w:val="es-ES_tradnl"/>
        </w:rPr>
        <w:t xml:space="preserve">Evaluación por el Servicio de Supervisión Interna </w:t>
      </w:r>
      <w:r w:rsidRPr="002F4384">
        <w:rPr>
          <w:rFonts w:asciiTheme="minorBidi" w:eastAsia="SimSun" w:hAnsiTheme="minorBidi" w:cstheme="minorBidi"/>
          <w:b/>
          <w:bCs/>
          <w:sz w:val="22"/>
          <w:szCs w:val="22"/>
          <w:lang w:val="es-ES_tradnl"/>
        </w:rPr>
        <w:br/>
        <w:t>del posicionamiento estratégico de la COI</w:t>
      </w:r>
    </w:p>
    <w:p w14:paraId="39AC3C4C" w14:textId="57099CD3" w:rsidR="00E67A95" w:rsidRPr="002F4384" w:rsidRDefault="00E67A95" w:rsidP="00E67A95">
      <w:pPr>
        <w:tabs>
          <w:tab w:val="left" w:pos="709"/>
        </w:tabs>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lang w:val="es-ES_tradnl"/>
        </w:rPr>
        <w:t>El Consejo Ejecutivo,</w:t>
      </w:r>
    </w:p>
    <w:p w14:paraId="1F92088D" w14:textId="77777777" w:rsidR="00E67A95" w:rsidRPr="002F4384" w:rsidRDefault="00E67A95" w:rsidP="00E67A95">
      <w:pPr>
        <w:tabs>
          <w:tab w:val="left" w:pos="709"/>
        </w:tabs>
        <w:snapToGrid w:val="0"/>
        <w:spacing w:after="240"/>
        <w:jc w:val="both"/>
        <w:rPr>
          <w:rFonts w:asciiTheme="minorBidi" w:hAnsiTheme="minorBidi" w:cstheme="minorBidi"/>
          <w:sz w:val="22"/>
          <w:szCs w:val="22"/>
          <w:lang w:val="es-ES_tradnl" w:eastAsia="ar-SA"/>
        </w:rPr>
      </w:pPr>
      <w:r w:rsidRPr="002F4384">
        <w:rPr>
          <w:rFonts w:asciiTheme="minorBidi" w:hAnsiTheme="minorBidi" w:cstheme="minorBidi"/>
          <w:sz w:val="22"/>
          <w:szCs w:val="22"/>
          <w:u w:val="single"/>
          <w:lang w:val="es-ES_tradnl" w:eastAsia="ar-SA"/>
        </w:rPr>
        <w:t>Tomando nota</w:t>
      </w:r>
      <w:r w:rsidRPr="002F4384">
        <w:rPr>
          <w:rFonts w:asciiTheme="minorBidi" w:hAnsiTheme="minorBidi" w:cstheme="minorBidi"/>
          <w:sz w:val="22"/>
          <w:szCs w:val="22"/>
          <w:lang w:val="es-ES_tradnl" w:eastAsia="ar-SA"/>
        </w:rPr>
        <w:t xml:space="preserve"> del proyecto de plan de acción provisional en respuesta al informe de evaluación de la División de Servicios de Supervisión Interna (IOS) (IOS/EVS/PI/197), que se presenta en el documento IOC/EC-55/3.2.Doc(1),</w:t>
      </w:r>
    </w:p>
    <w:p w14:paraId="405ED400" w14:textId="77777777" w:rsidR="00E67A95" w:rsidRPr="002F4384" w:rsidRDefault="00E67A95" w:rsidP="00E67A95">
      <w:pPr>
        <w:tabs>
          <w:tab w:val="left" w:pos="709"/>
        </w:tabs>
        <w:snapToGrid w:val="0"/>
        <w:spacing w:after="240"/>
        <w:jc w:val="both"/>
        <w:rPr>
          <w:rFonts w:asciiTheme="minorBidi" w:hAnsiTheme="minorBidi" w:cstheme="minorBidi"/>
          <w:sz w:val="22"/>
          <w:szCs w:val="22"/>
          <w:lang w:val="es-ES_tradnl" w:eastAsia="ar-SA"/>
        </w:rPr>
      </w:pPr>
      <w:r w:rsidRPr="002F4384">
        <w:rPr>
          <w:rFonts w:asciiTheme="minorBidi" w:hAnsiTheme="minorBidi" w:cstheme="minorBidi"/>
          <w:sz w:val="22"/>
          <w:szCs w:val="22"/>
          <w:u w:val="single"/>
          <w:lang w:val="es-ES_tradnl" w:eastAsia="ar-SA"/>
        </w:rPr>
        <w:t>Teniendo en cuenta</w:t>
      </w:r>
      <w:r w:rsidRPr="002F4384">
        <w:rPr>
          <w:rFonts w:asciiTheme="minorBidi" w:hAnsiTheme="minorBidi" w:cstheme="minorBidi"/>
          <w:sz w:val="22"/>
          <w:szCs w:val="22"/>
          <w:lang w:val="es-ES_tradnl" w:eastAsia="ar-SA"/>
        </w:rPr>
        <w:t xml:space="preserve"> la resolución XXX-3 de la COI, en la que se pide al Secretario Ejecutivo que proporcione a los Estados Miembros una estimación del presupuesto necesario para que la COI funcione eficazmente al nivel previsto, a fin de determinar los recursos adicionales que sería preciso obtener,</w:t>
      </w:r>
    </w:p>
    <w:p w14:paraId="10F7E87B" w14:textId="77777777" w:rsidR="00E67A95" w:rsidRPr="002F4384" w:rsidRDefault="00E67A95" w:rsidP="00E67A95">
      <w:pPr>
        <w:tabs>
          <w:tab w:val="left" w:pos="709"/>
        </w:tabs>
        <w:snapToGrid w:val="0"/>
        <w:spacing w:after="240"/>
        <w:jc w:val="both"/>
        <w:rPr>
          <w:rFonts w:asciiTheme="minorBidi" w:hAnsiTheme="minorBidi" w:cstheme="minorBidi"/>
          <w:sz w:val="22"/>
          <w:szCs w:val="22"/>
          <w:lang w:val="es-ES_tradnl" w:eastAsia="ar-SA"/>
        </w:rPr>
      </w:pPr>
      <w:r w:rsidRPr="002F4384">
        <w:rPr>
          <w:rFonts w:asciiTheme="minorBidi" w:hAnsiTheme="minorBidi" w:cstheme="minorBidi"/>
          <w:sz w:val="22"/>
          <w:szCs w:val="22"/>
          <w:u w:val="single"/>
          <w:lang w:val="es-ES_tradnl" w:eastAsia="ar-SA"/>
        </w:rPr>
        <w:lastRenderedPageBreak/>
        <w:t>Teniendo en cuenta también</w:t>
      </w:r>
      <w:r w:rsidRPr="002F4384">
        <w:rPr>
          <w:rFonts w:asciiTheme="minorBidi" w:hAnsiTheme="minorBidi" w:cstheme="minorBidi"/>
          <w:sz w:val="22"/>
          <w:szCs w:val="22"/>
          <w:lang w:val="es-ES_tradnl" w:eastAsia="ar-SA"/>
        </w:rPr>
        <w:t xml:space="preserve"> la resolución A-31/2 de la COI, en la que se invita a la Directora General de la UNESCO a que refuerce los recursos humanos de la COI,</w:t>
      </w:r>
    </w:p>
    <w:p w14:paraId="119E806B" w14:textId="6658ECBF" w:rsidR="00E67A95" w:rsidRPr="002F4384" w:rsidRDefault="00E67A95" w:rsidP="00E67A95">
      <w:pPr>
        <w:tabs>
          <w:tab w:val="left" w:pos="709"/>
        </w:tabs>
        <w:snapToGrid w:val="0"/>
        <w:spacing w:after="240"/>
        <w:jc w:val="both"/>
        <w:rPr>
          <w:rFonts w:asciiTheme="minorBidi" w:hAnsiTheme="minorBidi" w:cstheme="minorBidi"/>
          <w:sz w:val="22"/>
          <w:szCs w:val="22"/>
          <w:lang w:val="es-ES_tradnl" w:eastAsia="ar-SA"/>
        </w:rPr>
      </w:pPr>
      <w:r w:rsidRPr="002F4384">
        <w:rPr>
          <w:rFonts w:asciiTheme="minorBidi" w:hAnsiTheme="minorBidi" w:cstheme="minorBidi"/>
          <w:sz w:val="22"/>
          <w:szCs w:val="22"/>
          <w:u w:val="single"/>
          <w:lang w:val="es-ES_tradnl" w:eastAsia="ar-SA"/>
        </w:rPr>
        <w:t>Teniendo en cuenta además</w:t>
      </w:r>
      <w:r w:rsidRPr="002F4384">
        <w:rPr>
          <w:rFonts w:asciiTheme="minorBidi" w:hAnsiTheme="minorBidi" w:cstheme="minorBidi"/>
          <w:sz w:val="22"/>
          <w:szCs w:val="22"/>
          <w:lang w:val="es-ES_tradnl" w:eastAsia="ar-SA"/>
        </w:rPr>
        <w:t xml:space="preserve"> la recomendación 1 del informe de evaluación de la IOS (IOC/EC</w:t>
      </w:r>
      <w:r w:rsidR="000B5F80" w:rsidRPr="002F4384">
        <w:rPr>
          <w:rFonts w:asciiTheme="minorBidi" w:hAnsiTheme="minorBidi" w:cstheme="minorBidi"/>
          <w:sz w:val="22"/>
          <w:szCs w:val="22"/>
          <w:lang w:val="es-ES_tradnl" w:eastAsia="ar-SA"/>
        </w:rPr>
        <w:noBreakHyphen/>
      </w:r>
      <w:r w:rsidRPr="002F4384">
        <w:rPr>
          <w:rFonts w:asciiTheme="minorBidi" w:hAnsiTheme="minorBidi" w:cstheme="minorBidi"/>
          <w:sz w:val="22"/>
          <w:szCs w:val="22"/>
          <w:lang w:val="es-ES_tradnl" w:eastAsia="ar-SA"/>
        </w:rPr>
        <w:t>55/3.2.Doc(1)) de que se responda a la solicitud formulada por la Asamblea de la COI en su 30ª reunión, estimando los recursos necesarios para el funcionamiento eficaz de la COI,</w:t>
      </w:r>
    </w:p>
    <w:p w14:paraId="08B13229" w14:textId="77777777" w:rsidR="00E67A95" w:rsidRPr="002F4384" w:rsidRDefault="00E67A95" w:rsidP="00E67A95">
      <w:pPr>
        <w:tabs>
          <w:tab w:val="left" w:pos="709"/>
        </w:tabs>
        <w:snapToGrid w:val="0"/>
        <w:spacing w:after="240"/>
        <w:jc w:val="both"/>
        <w:rPr>
          <w:rFonts w:asciiTheme="minorBidi" w:hAnsiTheme="minorBidi" w:cstheme="minorBidi"/>
          <w:sz w:val="22"/>
          <w:szCs w:val="22"/>
          <w:lang w:val="es-ES_tradnl" w:eastAsia="ar-SA"/>
        </w:rPr>
      </w:pPr>
      <w:r w:rsidRPr="002F4384">
        <w:rPr>
          <w:rFonts w:asciiTheme="minorBidi" w:hAnsiTheme="minorBidi" w:cstheme="minorBidi"/>
          <w:sz w:val="22"/>
          <w:szCs w:val="22"/>
          <w:u w:val="single"/>
          <w:lang w:val="es-ES_tradnl" w:eastAsia="ar-SA"/>
        </w:rPr>
        <w:t>Recordando</w:t>
      </w:r>
      <w:r w:rsidRPr="002F4384">
        <w:rPr>
          <w:rFonts w:asciiTheme="minorBidi" w:hAnsiTheme="minorBidi" w:cstheme="minorBidi"/>
          <w:sz w:val="22"/>
          <w:szCs w:val="22"/>
          <w:lang w:val="es-ES_tradnl" w:eastAsia="ar-SA"/>
        </w:rPr>
        <w:t xml:space="preserve"> la decisión 214 EX/29 del Consejo Ejecutivo de la UNESCO, “La UNESCO y el océano”, en la que se resalta la importancia de los conocimientos científicos sobre el océano y la función y el mandato de la COI,</w:t>
      </w:r>
    </w:p>
    <w:p w14:paraId="10DE0598" w14:textId="77777777" w:rsidR="00E67A95" w:rsidRPr="002F4384" w:rsidRDefault="00E67A95" w:rsidP="00E67A95">
      <w:pPr>
        <w:tabs>
          <w:tab w:val="left" w:pos="709"/>
        </w:tabs>
        <w:snapToGrid w:val="0"/>
        <w:spacing w:after="240"/>
        <w:jc w:val="both"/>
        <w:rPr>
          <w:rFonts w:asciiTheme="minorBidi" w:hAnsiTheme="minorBidi" w:cstheme="minorBidi"/>
          <w:sz w:val="22"/>
          <w:szCs w:val="22"/>
          <w:lang w:val="es-ES_tradnl" w:eastAsia="ar-SA"/>
        </w:rPr>
      </w:pPr>
      <w:r w:rsidRPr="002F4384">
        <w:rPr>
          <w:rFonts w:asciiTheme="minorBidi" w:hAnsiTheme="minorBidi" w:cstheme="minorBidi"/>
          <w:sz w:val="22"/>
          <w:szCs w:val="22"/>
          <w:u w:val="single"/>
          <w:lang w:val="es-ES_tradnl" w:eastAsia="ar-SA"/>
        </w:rPr>
        <w:t>Pide encarecidamente</w:t>
      </w:r>
      <w:r w:rsidRPr="002F4384">
        <w:rPr>
          <w:rFonts w:asciiTheme="minorBidi" w:hAnsiTheme="minorBidi" w:cstheme="minorBidi"/>
          <w:sz w:val="22"/>
          <w:szCs w:val="22"/>
          <w:lang w:val="es-ES_tradnl" w:eastAsia="ar-SA"/>
        </w:rPr>
        <w:t xml:space="preserve"> al Secretario Ejecutivo de la COI que proporcione, de aquí a septiembre de 2022, una estimación del presupuesto necesario —incluidas las necesidades de recursos humanos— para ejecutar de manera sostenible los programas básicos de la COI y ampliar sus actividades en respuesta a las crecientes demandas de los Estados Miembros y otras partes interesadas (véase la resolución XXX-3 de la COI) y que la difunda a todos los Estados Miembros de la COI mediante una circular;</w:t>
      </w:r>
    </w:p>
    <w:p w14:paraId="308962A0" w14:textId="77777777" w:rsidR="00E67A95" w:rsidRPr="002F4384" w:rsidRDefault="00E67A95" w:rsidP="00E67A95">
      <w:pPr>
        <w:tabs>
          <w:tab w:val="left" w:pos="709"/>
        </w:tabs>
        <w:snapToGrid w:val="0"/>
        <w:spacing w:after="240"/>
        <w:jc w:val="both"/>
        <w:rPr>
          <w:rFonts w:asciiTheme="minorBidi" w:hAnsiTheme="minorBidi" w:cstheme="minorBidi"/>
          <w:sz w:val="22"/>
          <w:szCs w:val="22"/>
          <w:lang w:val="es-ES_tradnl" w:eastAsia="ar-SA"/>
        </w:rPr>
      </w:pPr>
      <w:r w:rsidRPr="002F4384">
        <w:rPr>
          <w:rFonts w:asciiTheme="minorBidi" w:hAnsiTheme="minorBidi" w:cstheme="minorBidi"/>
          <w:sz w:val="22"/>
          <w:szCs w:val="22"/>
          <w:u w:val="single"/>
          <w:lang w:val="es-ES_tradnl" w:eastAsia="ar-SA"/>
        </w:rPr>
        <w:t>Invita</w:t>
      </w:r>
      <w:r w:rsidRPr="002F4384">
        <w:rPr>
          <w:rFonts w:asciiTheme="minorBidi" w:hAnsiTheme="minorBidi" w:cstheme="minorBidi"/>
          <w:sz w:val="22"/>
          <w:szCs w:val="22"/>
          <w:lang w:val="es-ES_tradnl" w:eastAsia="ar-SA"/>
        </w:rPr>
        <w:t xml:space="preserve"> a la Secretaría a que tenga en cuenta los debates mantenidos en el marco de este punto del orden del día al preparar la versión final del plan de acción;</w:t>
      </w:r>
    </w:p>
    <w:p w14:paraId="219955C4" w14:textId="77777777" w:rsidR="00E67A95" w:rsidRPr="002F4384" w:rsidRDefault="00E67A95" w:rsidP="00E67A95">
      <w:pPr>
        <w:tabs>
          <w:tab w:val="left" w:pos="709"/>
        </w:tabs>
        <w:snapToGrid w:val="0"/>
        <w:spacing w:after="240"/>
        <w:jc w:val="both"/>
        <w:rPr>
          <w:rFonts w:asciiTheme="minorBidi" w:hAnsiTheme="minorBidi" w:cstheme="minorBidi"/>
          <w:iCs/>
          <w:sz w:val="22"/>
          <w:szCs w:val="22"/>
          <w:lang w:val="es-ES_tradnl" w:eastAsia="ar-SA"/>
        </w:rPr>
      </w:pPr>
      <w:r w:rsidRPr="002F4384">
        <w:rPr>
          <w:rFonts w:asciiTheme="minorBidi" w:hAnsiTheme="minorBidi" w:cstheme="minorBidi"/>
          <w:sz w:val="22"/>
          <w:szCs w:val="22"/>
          <w:u w:val="single"/>
          <w:lang w:val="es-ES_tradnl" w:eastAsia="ar-SA"/>
        </w:rPr>
        <w:t>Invita</w:t>
      </w:r>
      <w:r w:rsidRPr="002F4384">
        <w:rPr>
          <w:rFonts w:asciiTheme="minorBidi" w:hAnsiTheme="minorBidi" w:cstheme="minorBidi"/>
          <w:sz w:val="22"/>
          <w:szCs w:val="22"/>
          <w:lang w:val="es-ES_tradnl" w:eastAsia="ar-SA"/>
        </w:rPr>
        <w:t xml:space="preserve"> al Secretario Ejecutivo y a la Mesa de la COI a que sigan perfeccionando el proyecto de plan de acción sobre la base de los comentarios recibidos de los Estados Miembros y a que preparen una versión final del plan de acción para su examen y aprobación por la Asamblea de la COI en su 32ª reunión.</w:t>
      </w:r>
    </w:p>
    <w:p w14:paraId="1B15B8B2" w14:textId="654B6112" w:rsidR="00DE2391" w:rsidRPr="002F4384" w:rsidRDefault="00351054" w:rsidP="000B5F80">
      <w:pPr>
        <w:pStyle w:val="Heading2"/>
        <w:tabs>
          <w:tab w:val="clear" w:pos="737"/>
        </w:tabs>
        <w:ind w:left="709" w:hanging="709"/>
        <w:jc w:val="both"/>
        <w:rPr>
          <w:rFonts w:asciiTheme="minorBidi" w:hAnsiTheme="minorBidi" w:cstheme="minorBidi"/>
          <w:szCs w:val="22"/>
          <w:lang w:val="es-ES_tradnl"/>
        </w:rPr>
      </w:pPr>
      <w:bookmarkStart w:id="117" w:name="_Toc115256317"/>
      <w:r w:rsidRPr="002F4384">
        <w:rPr>
          <w:rFonts w:asciiTheme="minorBidi" w:hAnsiTheme="minorBidi" w:cstheme="minorBidi"/>
          <w:szCs w:val="22"/>
          <w:lang w:val="es-ES_tradnl"/>
        </w:rPr>
        <w:t>3.3</w:t>
      </w:r>
      <w:r w:rsidRPr="002F4384">
        <w:rPr>
          <w:rFonts w:asciiTheme="minorBidi" w:hAnsiTheme="minorBidi" w:cstheme="minorBidi"/>
          <w:szCs w:val="22"/>
          <w:lang w:val="es-ES_tradnl"/>
        </w:rPr>
        <w:tab/>
        <w:t>PRESENTACIÓN DEL INFORME PILOTO DE LA COI SOBRE EL ESTADO DEL OCÉANO</w:t>
      </w:r>
      <w:bookmarkEnd w:id="117"/>
      <w:r w:rsidRPr="002F4384">
        <w:rPr>
          <w:rFonts w:asciiTheme="minorBidi" w:hAnsiTheme="minorBidi" w:cstheme="minorBidi"/>
          <w:szCs w:val="22"/>
          <w:lang w:val="es-ES_tradnl"/>
        </w:rPr>
        <w:t xml:space="preserve"> </w:t>
      </w:r>
      <w:bookmarkEnd w:id="116"/>
    </w:p>
    <w:p w14:paraId="1BE73FEE" w14:textId="53FA6E5C" w:rsidR="00CA19D2" w:rsidRPr="002F4384" w:rsidRDefault="00667651"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El Secretario Ejecutivo presentó la edición piloto del </w:t>
      </w:r>
      <w:r w:rsidR="00A9337A" w:rsidRPr="002F4384">
        <w:rPr>
          <w:rFonts w:asciiTheme="minorBidi" w:hAnsiTheme="minorBidi" w:cstheme="minorBidi"/>
          <w:i/>
          <w:lang w:val="es-ES_tradnl"/>
        </w:rPr>
        <w:t>I</w:t>
      </w:r>
      <w:r w:rsidRPr="002F4384">
        <w:rPr>
          <w:rFonts w:asciiTheme="minorBidi" w:hAnsiTheme="minorBidi" w:cstheme="minorBidi"/>
          <w:i/>
          <w:lang w:val="es-ES_tradnl"/>
        </w:rPr>
        <w:t>nforme</w:t>
      </w:r>
      <w:r w:rsidR="00DA33AD" w:rsidRPr="002F4384">
        <w:rPr>
          <w:rFonts w:asciiTheme="minorBidi" w:hAnsiTheme="minorBidi" w:cstheme="minorBidi"/>
          <w:i/>
          <w:lang w:val="es-ES_tradnl"/>
        </w:rPr>
        <w:t xml:space="preserve"> </w:t>
      </w:r>
      <w:r w:rsidR="00411ABD" w:rsidRPr="002F4384">
        <w:rPr>
          <w:rFonts w:asciiTheme="minorBidi" w:hAnsiTheme="minorBidi" w:cstheme="minorBidi"/>
          <w:i/>
          <w:lang w:val="es-ES_tradnl"/>
        </w:rPr>
        <w:t>de la COI</w:t>
      </w:r>
      <w:r w:rsidRPr="002F4384">
        <w:rPr>
          <w:rFonts w:asciiTheme="minorBidi" w:hAnsiTheme="minorBidi" w:cstheme="minorBidi"/>
          <w:i/>
          <w:lang w:val="es-ES_tradnl"/>
        </w:rPr>
        <w:t xml:space="preserve"> sobre el estado del océano</w:t>
      </w:r>
      <w:r w:rsidRPr="002F4384">
        <w:rPr>
          <w:rFonts w:asciiTheme="minorBidi" w:hAnsiTheme="minorBidi" w:cstheme="minorBidi"/>
          <w:lang w:val="es-ES_tradnl"/>
        </w:rPr>
        <w:t xml:space="preserve">. Este primer intento tenía por finalidad recabar observaciones de los Estados Miembros de la COI sobre la estructura definitiva del informe, </w:t>
      </w:r>
      <w:r w:rsidR="00575367" w:rsidRPr="002F4384">
        <w:rPr>
          <w:rFonts w:asciiTheme="minorBidi" w:hAnsiTheme="minorBidi" w:cstheme="minorBidi"/>
          <w:lang w:val="es-ES_tradnl"/>
        </w:rPr>
        <w:t>el cual</w:t>
      </w:r>
      <w:r w:rsidRPr="002F4384">
        <w:rPr>
          <w:rFonts w:asciiTheme="minorBidi" w:hAnsiTheme="minorBidi" w:cstheme="minorBidi"/>
          <w:lang w:val="es-ES_tradnl"/>
        </w:rPr>
        <w:t xml:space="preserve"> </w:t>
      </w:r>
      <w:r w:rsidR="004500B3" w:rsidRPr="002F4384">
        <w:rPr>
          <w:rFonts w:asciiTheme="minorBidi" w:hAnsiTheme="minorBidi" w:cstheme="minorBidi"/>
          <w:lang w:val="es-ES_tradnl"/>
        </w:rPr>
        <w:t>resumía</w:t>
      </w:r>
      <w:r w:rsidRPr="002F4384">
        <w:rPr>
          <w:rFonts w:asciiTheme="minorBidi" w:hAnsiTheme="minorBidi" w:cstheme="minorBidi"/>
          <w:lang w:val="es-ES_tradnl"/>
        </w:rPr>
        <w:t xml:space="preserve"> los principales cambios del estado de los océanos del mundo, partiendo de variables esenciales, resultados clave de la investigación oceánica acerca de los nuevos problemas del océano y una evaluación sistemática de los avances en materia de gestión integrada de los océanos. La edición piloto de este informe se había elaborado además tomando en consideración </w:t>
      </w:r>
      <w:r w:rsidR="00A9337A" w:rsidRPr="002F4384">
        <w:rPr>
          <w:rFonts w:asciiTheme="minorBidi" w:hAnsiTheme="minorBidi" w:cstheme="minorBidi"/>
          <w:lang w:val="es-ES_tradnl"/>
        </w:rPr>
        <w:t xml:space="preserve">su </w:t>
      </w:r>
      <w:r w:rsidRPr="002F4384">
        <w:rPr>
          <w:rFonts w:asciiTheme="minorBidi" w:hAnsiTheme="minorBidi" w:cstheme="minorBidi"/>
          <w:lang w:val="es-ES_tradnl"/>
        </w:rPr>
        <w:t>necesidad de contribu</w:t>
      </w:r>
      <w:r w:rsidR="00A9337A" w:rsidRPr="002F4384">
        <w:rPr>
          <w:rFonts w:asciiTheme="minorBidi" w:hAnsiTheme="minorBidi" w:cstheme="minorBidi"/>
          <w:lang w:val="es-ES_tradnl"/>
        </w:rPr>
        <w:t>ir</w:t>
      </w:r>
      <w:r w:rsidRPr="002F4384">
        <w:rPr>
          <w:rFonts w:asciiTheme="minorBidi" w:hAnsiTheme="minorBidi" w:cstheme="minorBidi"/>
          <w:lang w:val="es-ES_tradnl"/>
        </w:rPr>
        <w:t xml:space="preserve"> al Decenio de las Naciones Unidas de las Ciencias Oceánicas para el Desarrollo Sostenible. Reflejaba las </w:t>
      </w:r>
      <w:r w:rsidR="007549B4" w:rsidRPr="002F4384">
        <w:rPr>
          <w:rFonts w:asciiTheme="minorBidi" w:hAnsiTheme="minorBidi" w:cstheme="minorBidi"/>
          <w:lang w:val="es-ES_tradnl"/>
        </w:rPr>
        <w:t xml:space="preserve">solicitudes </w:t>
      </w:r>
      <w:r w:rsidRPr="002F4384">
        <w:rPr>
          <w:rFonts w:asciiTheme="minorBidi" w:hAnsiTheme="minorBidi" w:cstheme="minorBidi"/>
          <w:lang w:val="es-ES_tradnl"/>
        </w:rPr>
        <w:t xml:space="preserve">y los puntos de vista expresados por los Estados Miembros tras </w:t>
      </w:r>
      <w:r w:rsidR="004500B3" w:rsidRPr="002F4384">
        <w:rPr>
          <w:rFonts w:asciiTheme="minorBidi" w:hAnsiTheme="minorBidi" w:cstheme="minorBidi"/>
          <w:lang w:val="es-ES_tradnl"/>
        </w:rPr>
        <w:t>el envío de</w:t>
      </w:r>
      <w:r w:rsidRPr="002F4384">
        <w:rPr>
          <w:rFonts w:asciiTheme="minorBidi" w:hAnsiTheme="minorBidi" w:cstheme="minorBidi"/>
          <w:lang w:val="es-ES_tradnl"/>
        </w:rPr>
        <w:t xml:space="preserve"> la circular</w:t>
      </w:r>
      <w:r w:rsidR="006F18C2" w:rsidRPr="002F4384">
        <w:rPr>
          <w:rFonts w:asciiTheme="minorBidi" w:hAnsiTheme="minorBidi" w:cstheme="minorBidi"/>
          <w:lang w:val="es-ES_tradnl"/>
        </w:rPr>
        <w:t> </w:t>
      </w:r>
      <w:r w:rsidR="007549B4" w:rsidRPr="002F4384">
        <w:rPr>
          <w:rFonts w:asciiTheme="minorBidi" w:hAnsiTheme="minorBidi" w:cstheme="minorBidi"/>
          <w:lang w:val="es-ES_tradnl"/>
        </w:rPr>
        <w:t>2843</w:t>
      </w:r>
      <w:r w:rsidRPr="002F4384">
        <w:rPr>
          <w:rFonts w:asciiTheme="minorBidi" w:hAnsiTheme="minorBidi" w:cstheme="minorBidi"/>
          <w:lang w:val="es-ES_tradnl"/>
        </w:rPr>
        <w:t xml:space="preserve"> acerca de un informe de la COI sobre el estado del océano, y se beneficiaba de la evaluación de expertos y exámenes entre pares de </w:t>
      </w:r>
      <w:r w:rsidR="004500B3" w:rsidRPr="002F4384">
        <w:rPr>
          <w:rFonts w:asciiTheme="minorBidi" w:hAnsiTheme="minorBidi" w:cstheme="minorBidi"/>
          <w:lang w:val="es-ES_tradnl"/>
        </w:rPr>
        <w:t>especialistas</w:t>
      </w:r>
      <w:r w:rsidRPr="002F4384">
        <w:rPr>
          <w:rFonts w:asciiTheme="minorBidi" w:hAnsiTheme="minorBidi" w:cstheme="minorBidi"/>
          <w:lang w:val="es-ES_tradnl"/>
        </w:rPr>
        <w:t xml:space="preserve"> de todos los ámbitos de las funciones de la COI y del equilibrio geográfico y de género.</w:t>
      </w:r>
    </w:p>
    <w:p w14:paraId="0FD31EE4" w14:textId="59562DFC" w:rsidR="007549B4" w:rsidRPr="002F4384" w:rsidRDefault="00112888"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La edición piloto del </w:t>
      </w:r>
      <w:r w:rsidR="00A9337A" w:rsidRPr="002F4384">
        <w:rPr>
          <w:rFonts w:asciiTheme="minorBidi" w:hAnsiTheme="minorBidi" w:cstheme="minorBidi"/>
          <w:i/>
          <w:lang w:val="es-ES_tradnl"/>
        </w:rPr>
        <w:t>I</w:t>
      </w:r>
      <w:r w:rsidRPr="002F4384">
        <w:rPr>
          <w:rFonts w:asciiTheme="minorBidi" w:hAnsiTheme="minorBidi" w:cstheme="minorBidi"/>
          <w:i/>
          <w:lang w:val="es-ES_tradnl"/>
        </w:rPr>
        <w:t>nforme sobre el estado del océano</w:t>
      </w:r>
      <w:r w:rsidRPr="002F4384">
        <w:rPr>
          <w:rFonts w:asciiTheme="minorBidi" w:hAnsiTheme="minorBidi" w:cstheme="minorBidi"/>
          <w:lang w:val="es-ES_tradnl"/>
        </w:rPr>
        <w:t xml:space="preserve"> se basa</w:t>
      </w:r>
      <w:r w:rsidR="00256BCA" w:rsidRPr="002F4384">
        <w:rPr>
          <w:rFonts w:asciiTheme="minorBidi" w:hAnsiTheme="minorBidi" w:cstheme="minorBidi"/>
          <w:lang w:val="es-ES_tradnl"/>
        </w:rPr>
        <w:t>ba</w:t>
      </w:r>
      <w:r w:rsidRPr="002F4384">
        <w:rPr>
          <w:rFonts w:asciiTheme="minorBidi" w:hAnsiTheme="minorBidi" w:cstheme="minorBidi"/>
          <w:lang w:val="es-ES_tradnl"/>
        </w:rPr>
        <w:t xml:space="preserve"> en ejemplos de iniciativas conjuntas o dirigidas por la COI y se estructura</w:t>
      </w:r>
      <w:r w:rsidR="00256BCA" w:rsidRPr="002F4384">
        <w:rPr>
          <w:rFonts w:asciiTheme="minorBidi" w:hAnsiTheme="minorBidi" w:cstheme="minorBidi"/>
          <w:lang w:val="es-ES_tradnl"/>
        </w:rPr>
        <w:t>ba</w:t>
      </w:r>
      <w:r w:rsidRPr="002F4384">
        <w:rPr>
          <w:rFonts w:asciiTheme="minorBidi" w:hAnsiTheme="minorBidi" w:cstheme="minorBidi"/>
          <w:lang w:val="es-ES_tradnl"/>
        </w:rPr>
        <w:t xml:space="preserve"> en torno a los desafíos iniciales del Decenio de las Naciones Unidas de las Ciencias Oceánicas para el Desarrollo Sostenible (2021-2030), excepto el desafío 3 sobre la alimentación sostenible procedente del océano.</w:t>
      </w:r>
      <w:r w:rsidR="0068721B" w:rsidRPr="002F4384">
        <w:rPr>
          <w:rFonts w:asciiTheme="minorBidi" w:hAnsiTheme="minorBidi" w:cstheme="minorBidi"/>
          <w:lang w:val="es-ES_tradnl"/>
        </w:rPr>
        <w:t xml:space="preserve"> </w:t>
      </w:r>
      <w:r w:rsidR="00256BCA" w:rsidRPr="002F4384">
        <w:rPr>
          <w:rFonts w:asciiTheme="minorBidi" w:hAnsiTheme="minorBidi" w:cstheme="minorBidi"/>
          <w:lang w:val="es-ES_tradnl"/>
        </w:rPr>
        <w:t>Había sido</w:t>
      </w:r>
      <w:r w:rsidR="0068721B" w:rsidRPr="002F4384">
        <w:rPr>
          <w:rFonts w:asciiTheme="minorBidi" w:hAnsiTheme="minorBidi" w:cstheme="minorBidi"/>
          <w:lang w:val="es-ES_tradnl"/>
        </w:rPr>
        <w:t xml:space="preserve"> redactada por 65 autores y revisada por 40 expertos.</w:t>
      </w:r>
    </w:p>
    <w:p w14:paraId="6C889A4A" w14:textId="113EE7AE" w:rsidR="0068721B" w:rsidRPr="002F4384" w:rsidRDefault="003721D4"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La edición piloto del </w:t>
      </w:r>
      <w:r w:rsidR="005E32B9" w:rsidRPr="002F4384">
        <w:rPr>
          <w:rFonts w:asciiTheme="minorBidi" w:hAnsiTheme="minorBidi" w:cstheme="minorBidi"/>
          <w:i/>
          <w:lang w:val="es-ES_tradnl"/>
        </w:rPr>
        <w:t>I</w:t>
      </w:r>
      <w:r w:rsidRPr="002F4384">
        <w:rPr>
          <w:rFonts w:asciiTheme="minorBidi" w:hAnsiTheme="minorBidi" w:cstheme="minorBidi"/>
          <w:i/>
          <w:lang w:val="es-ES_tradnl"/>
        </w:rPr>
        <w:t>nforme sobre el estado del océano</w:t>
      </w:r>
      <w:r w:rsidRPr="002F4384">
        <w:rPr>
          <w:rFonts w:asciiTheme="minorBidi" w:hAnsiTheme="minorBidi" w:cstheme="minorBidi"/>
          <w:lang w:val="es-ES_tradnl"/>
        </w:rPr>
        <w:t xml:space="preserve"> revela</w:t>
      </w:r>
      <w:r w:rsidR="00256BCA" w:rsidRPr="002F4384">
        <w:rPr>
          <w:rFonts w:asciiTheme="minorBidi" w:hAnsiTheme="minorBidi" w:cstheme="minorBidi"/>
          <w:lang w:val="es-ES_tradnl"/>
        </w:rPr>
        <w:t>ba</w:t>
      </w:r>
      <w:r w:rsidRPr="002F4384">
        <w:rPr>
          <w:rFonts w:asciiTheme="minorBidi" w:hAnsiTheme="minorBidi" w:cstheme="minorBidi"/>
          <w:lang w:val="es-ES_tradnl"/>
        </w:rPr>
        <w:t xml:space="preserve"> que, aunque</w:t>
      </w:r>
      <w:r w:rsidR="00A97F96" w:rsidRPr="002F4384">
        <w:rPr>
          <w:rFonts w:asciiTheme="minorBidi" w:hAnsiTheme="minorBidi" w:cstheme="minorBidi"/>
          <w:lang w:val="es-ES_tradnl"/>
        </w:rPr>
        <w:t xml:space="preserve"> en principio</w:t>
      </w:r>
      <w:r w:rsidRPr="002F4384">
        <w:rPr>
          <w:rFonts w:asciiTheme="minorBidi" w:hAnsiTheme="minorBidi" w:cstheme="minorBidi"/>
          <w:lang w:val="es-ES_tradnl"/>
        </w:rPr>
        <w:t xml:space="preserve"> la sociedad e</w:t>
      </w:r>
      <w:r w:rsidR="00256BCA" w:rsidRPr="002F4384">
        <w:rPr>
          <w:rFonts w:asciiTheme="minorBidi" w:hAnsiTheme="minorBidi" w:cstheme="minorBidi"/>
          <w:lang w:val="es-ES_tradnl"/>
        </w:rPr>
        <w:t>ra</w:t>
      </w:r>
      <w:r w:rsidRPr="002F4384">
        <w:rPr>
          <w:rFonts w:asciiTheme="minorBidi" w:hAnsiTheme="minorBidi" w:cstheme="minorBidi"/>
          <w:lang w:val="es-ES_tradnl"/>
        </w:rPr>
        <w:t xml:space="preserve"> consciente de lo que ocurr</w:t>
      </w:r>
      <w:r w:rsidR="00256BCA" w:rsidRPr="002F4384">
        <w:rPr>
          <w:rFonts w:asciiTheme="minorBidi" w:hAnsiTheme="minorBidi" w:cstheme="minorBidi"/>
          <w:lang w:val="es-ES_tradnl"/>
        </w:rPr>
        <w:t>ía</w:t>
      </w:r>
      <w:r w:rsidRPr="002F4384">
        <w:rPr>
          <w:rFonts w:asciiTheme="minorBidi" w:hAnsiTheme="minorBidi" w:cstheme="minorBidi"/>
          <w:lang w:val="es-ES_tradnl"/>
        </w:rPr>
        <w:t xml:space="preserve"> en el océano y de lo que debería hacerse al respecto (hechos </w:t>
      </w:r>
      <w:r w:rsidR="000B5F80" w:rsidRPr="002F4384">
        <w:rPr>
          <w:rFonts w:asciiTheme="minorBidi" w:hAnsiTheme="minorBidi" w:cstheme="minorBidi"/>
          <w:lang w:val="es-ES_tradnl"/>
        </w:rPr>
        <w:t>“</w:t>
      </w:r>
      <w:r w:rsidRPr="002F4384">
        <w:rPr>
          <w:rFonts w:asciiTheme="minorBidi" w:hAnsiTheme="minorBidi" w:cstheme="minorBidi"/>
          <w:lang w:val="es-ES_tradnl"/>
        </w:rPr>
        <w:t>establecidos</w:t>
      </w:r>
      <w:r w:rsidR="000B5F80" w:rsidRPr="002F4384">
        <w:rPr>
          <w:rFonts w:asciiTheme="minorBidi" w:hAnsiTheme="minorBidi" w:cstheme="minorBidi"/>
          <w:lang w:val="es-ES_tradnl"/>
        </w:rPr>
        <w:t>”</w:t>
      </w:r>
      <w:r w:rsidRPr="002F4384">
        <w:rPr>
          <w:rFonts w:asciiTheme="minorBidi" w:hAnsiTheme="minorBidi" w:cstheme="minorBidi"/>
          <w:lang w:val="es-ES_tradnl"/>
        </w:rPr>
        <w:t>), la descripción cuantitativa del océano e</w:t>
      </w:r>
      <w:r w:rsidR="00256BCA" w:rsidRPr="002F4384">
        <w:rPr>
          <w:rFonts w:asciiTheme="minorBidi" w:hAnsiTheme="minorBidi" w:cstheme="minorBidi"/>
          <w:lang w:val="es-ES_tradnl"/>
        </w:rPr>
        <w:t>ra</w:t>
      </w:r>
      <w:r w:rsidRPr="002F4384">
        <w:rPr>
          <w:rFonts w:asciiTheme="minorBidi" w:hAnsiTheme="minorBidi" w:cstheme="minorBidi"/>
          <w:lang w:val="es-ES_tradnl"/>
        </w:rPr>
        <w:t xml:space="preserve"> limitada e incompleta.</w:t>
      </w:r>
      <w:r w:rsidR="003C077E" w:rsidRPr="002F4384">
        <w:rPr>
          <w:rFonts w:asciiTheme="minorBidi" w:hAnsiTheme="minorBidi" w:cstheme="minorBidi"/>
          <w:lang w:val="es-ES_tradnl"/>
        </w:rPr>
        <w:t xml:space="preserve"> Por lo tanto, los conocimientos actuales </w:t>
      </w:r>
      <w:r w:rsidR="00256BCA" w:rsidRPr="002F4384">
        <w:rPr>
          <w:rFonts w:asciiTheme="minorBidi" w:hAnsiTheme="minorBidi" w:cstheme="minorBidi"/>
          <w:lang w:val="es-ES_tradnl"/>
        </w:rPr>
        <w:t>eran</w:t>
      </w:r>
      <w:r w:rsidR="003C077E" w:rsidRPr="002F4384">
        <w:rPr>
          <w:rFonts w:asciiTheme="minorBidi" w:hAnsiTheme="minorBidi" w:cstheme="minorBidi"/>
          <w:lang w:val="es-ES_tradnl"/>
        </w:rPr>
        <w:t xml:space="preserve"> insuficientes para encontrar soluciones fundamentadas a la degradación de la salud de los océanos y las amenazas conexas para el bienestar humano. La edición piloto del informe también revela</w:t>
      </w:r>
      <w:r w:rsidR="00256BCA" w:rsidRPr="002F4384">
        <w:rPr>
          <w:rFonts w:asciiTheme="minorBidi" w:hAnsiTheme="minorBidi" w:cstheme="minorBidi"/>
          <w:lang w:val="es-ES_tradnl"/>
        </w:rPr>
        <w:t>ba</w:t>
      </w:r>
      <w:r w:rsidR="003C077E" w:rsidRPr="002F4384">
        <w:rPr>
          <w:rFonts w:asciiTheme="minorBidi" w:hAnsiTheme="minorBidi" w:cstheme="minorBidi"/>
          <w:lang w:val="es-ES_tradnl"/>
        </w:rPr>
        <w:t xml:space="preserve"> una falta de información de referencia acerca de muchos aspectos del conocimiento de los océanos, lo que hac</w:t>
      </w:r>
      <w:r w:rsidR="00256BCA" w:rsidRPr="002F4384">
        <w:rPr>
          <w:rFonts w:asciiTheme="minorBidi" w:hAnsiTheme="minorBidi" w:cstheme="minorBidi"/>
          <w:lang w:val="es-ES_tradnl"/>
        </w:rPr>
        <w:t>ía</w:t>
      </w:r>
      <w:r w:rsidR="003C077E" w:rsidRPr="002F4384">
        <w:rPr>
          <w:rFonts w:asciiTheme="minorBidi" w:hAnsiTheme="minorBidi" w:cstheme="minorBidi"/>
          <w:lang w:val="es-ES_tradnl"/>
        </w:rPr>
        <w:t xml:space="preserve"> que muchas de sus partes </w:t>
      </w:r>
      <w:r w:rsidR="00256BCA" w:rsidRPr="002F4384">
        <w:rPr>
          <w:rFonts w:asciiTheme="minorBidi" w:hAnsiTheme="minorBidi" w:cstheme="minorBidi"/>
          <w:lang w:val="es-ES_tradnl"/>
        </w:rPr>
        <w:t>fueran</w:t>
      </w:r>
      <w:r w:rsidR="003C077E" w:rsidRPr="002F4384">
        <w:rPr>
          <w:rFonts w:asciiTheme="minorBidi" w:hAnsiTheme="minorBidi" w:cstheme="minorBidi"/>
          <w:lang w:val="es-ES_tradnl"/>
        </w:rPr>
        <w:t xml:space="preserve"> más bien descriptivas y cualitativas.</w:t>
      </w:r>
      <w:r w:rsidR="00272521" w:rsidRPr="002F4384">
        <w:rPr>
          <w:rFonts w:asciiTheme="minorBidi" w:hAnsiTheme="minorBidi" w:cstheme="minorBidi"/>
          <w:lang w:val="es-ES_tradnl"/>
        </w:rPr>
        <w:t xml:space="preserve"> Así pues, la edición piloto del informe </w:t>
      </w:r>
      <w:r w:rsidR="00256BCA" w:rsidRPr="002F4384">
        <w:rPr>
          <w:rFonts w:asciiTheme="minorBidi" w:hAnsiTheme="minorBidi" w:cstheme="minorBidi"/>
          <w:lang w:val="es-ES_tradnl"/>
        </w:rPr>
        <w:t>ponía</w:t>
      </w:r>
      <w:r w:rsidR="00272521" w:rsidRPr="002F4384">
        <w:rPr>
          <w:rFonts w:asciiTheme="minorBidi" w:hAnsiTheme="minorBidi" w:cstheme="minorBidi"/>
          <w:lang w:val="es-ES_tradnl"/>
        </w:rPr>
        <w:t xml:space="preserve"> de relieve la necesidad </w:t>
      </w:r>
      <w:r w:rsidR="00272521" w:rsidRPr="002F4384">
        <w:rPr>
          <w:rFonts w:asciiTheme="minorBidi" w:hAnsiTheme="minorBidi" w:cstheme="minorBidi"/>
          <w:lang w:val="es-ES_tradnl"/>
        </w:rPr>
        <w:lastRenderedPageBreak/>
        <w:t xml:space="preserve">urgente de </w:t>
      </w:r>
      <w:r w:rsidR="007C3F3C" w:rsidRPr="002F4384">
        <w:rPr>
          <w:rFonts w:asciiTheme="minorBidi" w:hAnsiTheme="minorBidi" w:cstheme="minorBidi"/>
          <w:lang w:val="es-ES_tradnl"/>
        </w:rPr>
        <w:t xml:space="preserve">contar con </w:t>
      </w:r>
      <w:r w:rsidR="00272521" w:rsidRPr="002F4384">
        <w:rPr>
          <w:rFonts w:asciiTheme="minorBidi" w:hAnsiTheme="minorBidi" w:cstheme="minorBidi"/>
          <w:lang w:val="es-ES_tradnl"/>
        </w:rPr>
        <w:t>una descripción cuantitativa del estado del océano con indicadores de referencia establecidos y la capacidad de informar sobre los cambios. Las ediciones futuras del informe contendr</w:t>
      </w:r>
      <w:r w:rsidR="00256BCA" w:rsidRPr="002F4384">
        <w:rPr>
          <w:rFonts w:asciiTheme="minorBidi" w:hAnsiTheme="minorBidi" w:cstheme="minorBidi"/>
          <w:lang w:val="es-ES_tradnl"/>
        </w:rPr>
        <w:t>ían</w:t>
      </w:r>
      <w:r w:rsidR="00272521" w:rsidRPr="002F4384">
        <w:rPr>
          <w:rFonts w:asciiTheme="minorBidi" w:hAnsiTheme="minorBidi" w:cstheme="minorBidi"/>
          <w:lang w:val="es-ES_tradnl"/>
        </w:rPr>
        <w:t xml:space="preserve"> información sobre los avances (o la falta de ellos) siempre que </w:t>
      </w:r>
      <w:r w:rsidR="00256BCA" w:rsidRPr="002F4384">
        <w:rPr>
          <w:rFonts w:asciiTheme="minorBidi" w:hAnsiTheme="minorBidi" w:cstheme="minorBidi"/>
          <w:lang w:val="es-ES_tradnl"/>
        </w:rPr>
        <w:t>fuera</w:t>
      </w:r>
      <w:r w:rsidR="00272521" w:rsidRPr="002F4384">
        <w:rPr>
          <w:rFonts w:asciiTheme="minorBidi" w:hAnsiTheme="minorBidi" w:cstheme="minorBidi"/>
          <w:lang w:val="es-ES_tradnl"/>
        </w:rPr>
        <w:t xml:space="preserve"> posible, y seguir</w:t>
      </w:r>
      <w:r w:rsidR="00256BCA" w:rsidRPr="002F4384">
        <w:rPr>
          <w:rFonts w:asciiTheme="minorBidi" w:hAnsiTheme="minorBidi" w:cstheme="minorBidi"/>
          <w:lang w:val="es-ES_tradnl"/>
        </w:rPr>
        <w:t>ía</w:t>
      </w:r>
      <w:r w:rsidR="00272521" w:rsidRPr="002F4384">
        <w:rPr>
          <w:rFonts w:asciiTheme="minorBidi" w:hAnsiTheme="minorBidi" w:cstheme="minorBidi"/>
          <w:lang w:val="es-ES_tradnl"/>
        </w:rPr>
        <w:t>n estableciendo indicadores indirectos e indicadores de referencia sobre el estado de los océanos en todo el mundo.</w:t>
      </w:r>
    </w:p>
    <w:p w14:paraId="31D54DD5" w14:textId="32F60977" w:rsidR="00272521" w:rsidRPr="002F4384" w:rsidRDefault="00612C81"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Tal y como indicó el Secretario Ejecutivo, el objetivo general </w:t>
      </w:r>
      <w:r w:rsidR="00C8736C" w:rsidRPr="002F4384">
        <w:rPr>
          <w:rFonts w:asciiTheme="minorBidi" w:hAnsiTheme="minorBidi" w:cstheme="minorBidi"/>
          <w:lang w:val="es-ES_tradnl"/>
        </w:rPr>
        <w:t>segu</w:t>
      </w:r>
      <w:r w:rsidR="00E9038B" w:rsidRPr="002F4384">
        <w:rPr>
          <w:rFonts w:asciiTheme="minorBidi" w:hAnsiTheme="minorBidi" w:cstheme="minorBidi"/>
          <w:lang w:val="es-ES_tradnl"/>
        </w:rPr>
        <w:t>ir</w:t>
      </w:r>
      <w:r w:rsidR="00C8736C" w:rsidRPr="002F4384">
        <w:rPr>
          <w:rFonts w:asciiTheme="minorBidi" w:hAnsiTheme="minorBidi" w:cstheme="minorBidi"/>
          <w:lang w:val="es-ES_tradnl"/>
        </w:rPr>
        <w:t>ía</w:t>
      </w:r>
      <w:r w:rsidRPr="002F4384">
        <w:rPr>
          <w:rFonts w:asciiTheme="minorBidi" w:hAnsiTheme="minorBidi" w:cstheme="minorBidi"/>
          <w:lang w:val="es-ES_tradnl"/>
        </w:rPr>
        <w:t xml:space="preserve"> siendo elaborar un panorama general breve, accesible y centralizado del estado actual de los océanos y movilizar a la sociedad mundial para que act</w:t>
      </w:r>
      <w:r w:rsidR="00C8736C" w:rsidRPr="002F4384">
        <w:rPr>
          <w:rFonts w:asciiTheme="minorBidi" w:hAnsiTheme="minorBidi" w:cstheme="minorBidi"/>
          <w:lang w:val="es-ES_tradnl"/>
        </w:rPr>
        <w:t>uara</w:t>
      </w:r>
      <w:r w:rsidRPr="002F4384">
        <w:rPr>
          <w:rFonts w:asciiTheme="minorBidi" w:hAnsiTheme="minorBidi" w:cstheme="minorBidi"/>
          <w:lang w:val="es-ES_tradnl"/>
        </w:rPr>
        <w:t xml:space="preserve"> en favor de </w:t>
      </w:r>
      <w:r w:rsidR="000B5F80" w:rsidRPr="002F4384">
        <w:rPr>
          <w:rFonts w:asciiTheme="minorBidi" w:hAnsiTheme="minorBidi" w:cstheme="minorBidi"/>
          <w:lang w:val="es-ES_tradnl"/>
        </w:rPr>
        <w:t>“</w:t>
      </w:r>
      <w:r w:rsidR="00E9038B" w:rsidRPr="002F4384">
        <w:rPr>
          <w:rFonts w:asciiTheme="minorBidi" w:hAnsiTheme="minorBidi" w:cstheme="minorBidi"/>
          <w:lang w:val="es-ES_tradnl"/>
        </w:rPr>
        <w:t>e</w:t>
      </w:r>
      <w:r w:rsidRPr="002F4384">
        <w:rPr>
          <w:rFonts w:asciiTheme="minorBidi" w:hAnsiTheme="minorBidi" w:cstheme="minorBidi"/>
          <w:lang w:val="es-ES_tradnl"/>
        </w:rPr>
        <w:t>l océano que necesitamos para el futuro que queremos</w:t>
      </w:r>
      <w:r w:rsidR="000B5F80" w:rsidRPr="002F4384">
        <w:rPr>
          <w:rFonts w:asciiTheme="minorBidi" w:hAnsiTheme="minorBidi" w:cstheme="minorBidi"/>
          <w:lang w:val="es-ES_tradnl"/>
        </w:rPr>
        <w:t>”</w:t>
      </w:r>
      <w:r w:rsidRPr="002F4384">
        <w:rPr>
          <w:rFonts w:asciiTheme="minorBidi" w:hAnsiTheme="minorBidi" w:cstheme="minorBidi"/>
          <w:lang w:val="es-ES_tradnl"/>
        </w:rPr>
        <w:t xml:space="preserve"> como contribución al desarrollo sostenible y, en particular, al ODS 14.</w:t>
      </w:r>
      <w:r w:rsidR="00FA7682" w:rsidRPr="002F4384">
        <w:rPr>
          <w:rFonts w:asciiTheme="minorBidi" w:hAnsiTheme="minorBidi" w:cstheme="minorBidi"/>
          <w:lang w:val="es-ES_tradnl"/>
        </w:rPr>
        <w:t xml:space="preserve"> Para lograrlo, el </w:t>
      </w:r>
      <w:r w:rsidR="00E9038B" w:rsidRPr="002F4384">
        <w:rPr>
          <w:rFonts w:asciiTheme="minorBidi" w:hAnsiTheme="minorBidi" w:cstheme="minorBidi"/>
          <w:i/>
          <w:lang w:val="es-ES_tradnl"/>
        </w:rPr>
        <w:t>I</w:t>
      </w:r>
      <w:r w:rsidR="00FA7682" w:rsidRPr="002F4384">
        <w:rPr>
          <w:rFonts w:asciiTheme="minorBidi" w:hAnsiTheme="minorBidi" w:cstheme="minorBidi"/>
          <w:i/>
          <w:lang w:val="es-ES_tradnl"/>
        </w:rPr>
        <w:t>nforme sobre el estado del océano</w:t>
      </w:r>
      <w:r w:rsidR="00FA7682" w:rsidRPr="002F4384">
        <w:rPr>
          <w:rFonts w:asciiTheme="minorBidi" w:hAnsiTheme="minorBidi" w:cstheme="minorBidi"/>
          <w:lang w:val="es-ES_tradnl"/>
        </w:rPr>
        <w:t xml:space="preserve"> completo deb</w:t>
      </w:r>
      <w:r w:rsidR="00256BCA" w:rsidRPr="002F4384">
        <w:rPr>
          <w:rFonts w:asciiTheme="minorBidi" w:hAnsiTheme="minorBidi" w:cstheme="minorBidi"/>
          <w:lang w:val="es-ES_tradnl"/>
        </w:rPr>
        <w:t>ía</w:t>
      </w:r>
      <w:r w:rsidR="00FA7682" w:rsidRPr="002F4384">
        <w:rPr>
          <w:rFonts w:asciiTheme="minorBidi" w:hAnsiTheme="minorBidi" w:cstheme="minorBidi"/>
          <w:lang w:val="es-ES_tradnl"/>
        </w:rPr>
        <w:t xml:space="preserve"> ser más amplio e incluir, por ejemplo, los principales indicadores indirectos que aborda</w:t>
      </w:r>
      <w:r w:rsidR="00E9038B" w:rsidRPr="002F4384">
        <w:rPr>
          <w:rFonts w:asciiTheme="minorBidi" w:hAnsiTheme="minorBidi" w:cstheme="minorBidi"/>
          <w:lang w:val="es-ES_tradnl"/>
        </w:rPr>
        <w:t>ba</w:t>
      </w:r>
      <w:r w:rsidR="00FA7682" w:rsidRPr="002F4384">
        <w:rPr>
          <w:rFonts w:asciiTheme="minorBidi" w:hAnsiTheme="minorBidi" w:cstheme="minorBidi"/>
          <w:lang w:val="es-ES_tradnl"/>
        </w:rPr>
        <w:t>n el desafío 3 del Decenio del Océano.</w:t>
      </w:r>
      <w:r w:rsidR="00C8736C" w:rsidRPr="002F4384">
        <w:rPr>
          <w:rFonts w:asciiTheme="minorBidi" w:hAnsiTheme="minorBidi" w:cstheme="minorBidi"/>
          <w:lang w:val="es-ES_tradnl"/>
        </w:rPr>
        <w:t xml:space="preserve"> En las siguientes ediciones, la COI invitar</w:t>
      </w:r>
      <w:r w:rsidR="00256BCA" w:rsidRPr="002F4384">
        <w:rPr>
          <w:rFonts w:asciiTheme="minorBidi" w:hAnsiTheme="minorBidi" w:cstheme="minorBidi"/>
          <w:lang w:val="es-ES_tradnl"/>
        </w:rPr>
        <w:t>ía</w:t>
      </w:r>
      <w:r w:rsidR="00C8736C" w:rsidRPr="002F4384">
        <w:rPr>
          <w:rFonts w:asciiTheme="minorBidi" w:hAnsiTheme="minorBidi" w:cstheme="minorBidi"/>
          <w:lang w:val="es-ES_tradnl"/>
        </w:rPr>
        <w:t xml:space="preserve"> a los organismos de las Naciones Unidas y las organizaciones profesionales a que aport</w:t>
      </w:r>
      <w:r w:rsidR="00256BCA" w:rsidRPr="002F4384">
        <w:rPr>
          <w:rFonts w:asciiTheme="minorBidi" w:hAnsiTheme="minorBidi" w:cstheme="minorBidi"/>
          <w:lang w:val="es-ES_tradnl"/>
        </w:rPr>
        <w:t>ara</w:t>
      </w:r>
      <w:r w:rsidR="00C8736C" w:rsidRPr="002F4384">
        <w:rPr>
          <w:rFonts w:asciiTheme="minorBidi" w:hAnsiTheme="minorBidi" w:cstheme="minorBidi"/>
          <w:lang w:val="es-ES_tradnl"/>
        </w:rPr>
        <w:t xml:space="preserve">n sus contribuciones </w:t>
      </w:r>
      <w:r w:rsidR="00256BCA" w:rsidRPr="002F4384">
        <w:rPr>
          <w:rFonts w:asciiTheme="minorBidi" w:hAnsiTheme="minorBidi" w:cstheme="minorBidi"/>
          <w:lang w:val="es-ES_tradnl"/>
        </w:rPr>
        <w:t>con miras a</w:t>
      </w:r>
      <w:r w:rsidR="00C8736C" w:rsidRPr="002F4384">
        <w:rPr>
          <w:rFonts w:asciiTheme="minorBidi" w:hAnsiTheme="minorBidi" w:cstheme="minorBidi"/>
          <w:lang w:val="es-ES_tradnl"/>
        </w:rPr>
        <w:t xml:space="preserve"> convertir el </w:t>
      </w:r>
      <w:r w:rsidR="00D15C6B" w:rsidRPr="002F4384">
        <w:rPr>
          <w:rFonts w:asciiTheme="minorBidi" w:hAnsiTheme="minorBidi" w:cstheme="minorBidi"/>
          <w:i/>
          <w:lang w:val="es-ES_tradnl"/>
        </w:rPr>
        <w:t>I</w:t>
      </w:r>
      <w:r w:rsidR="00C8736C" w:rsidRPr="002F4384">
        <w:rPr>
          <w:rFonts w:asciiTheme="minorBidi" w:hAnsiTheme="minorBidi" w:cstheme="minorBidi"/>
          <w:i/>
          <w:lang w:val="es-ES_tradnl"/>
        </w:rPr>
        <w:t xml:space="preserve">nforme sobre el estado del océano </w:t>
      </w:r>
      <w:r w:rsidR="00C8736C" w:rsidRPr="002F4384">
        <w:rPr>
          <w:rFonts w:asciiTheme="minorBidi" w:hAnsiTheme="minorBidi" w:cstheme="minorBidi"/>
          <w:lang w:val="es-ES_tradnl"/>
        </w:rPr>
        <w:t>en una publicación de todo el sistema de las Naciones Unidas.</w:t>
      </w:r>
    </w:p>
    <w:p w14:paraId="0DA71701" w14:textId="23D5DE31" w:rsidR="00F21E2A" w:rsidRPr="002F4384" w:rsidRDefault="00591393"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Hicieron uso de la palabra los representantes de </w:t>
      </w:r>
      <w:r w:rsidR="00F21E2A" w:rsidRPr="002F4384">
        <w:rPr>
          <w:rFonts w:asciiTheme="minorBidi" w:hAnsiTheme="minorBidi" w:cstheme="minorBidi"/>
          <w:lang w:val="es-ES_tradnl"/>
        </w:rPr>
        <w:t xml:space="preserve">21 </w:t>
      </w:r>
      <w:r w:rsidRPr="002F4384">
        <w:rPr>
          <w:rFonts w:asciiTheme="minorBidi" w:hAnsiTheme="minorBidi" w:cstheme="minorBidi"/>
          <w:lang w:val="es-ES_tradnl"/>
        </w:rPr>
        <w:t>Estados Miembros.</w:t>
      </w:r>
    </w:p>
    <w:p w14:paraId="6CF37585" w14:textId="70D598A8" w:rsidR="00F21E2A" w:rsidRPr="002F4384" w:rsidRDefault="00A52E91"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El Consejo Ejecutivo felicitó al Secretario Ejecutivo y su equipo por la edición piloto del </w:t>
      </w:r>
      <w:r w:rsidR="00721373" w:rsidRPr="002F4384">
        <w:rPr>
          <w:rFonts w:asciiTheme="minorBidi" w:hAnsiTheme="minorBidi" w:cstheme="minorBidi"/>
          <w:i/>
          <w:lang w:val="es-ES_tradnl"/>
        </w:rPr>
        <w:t>I</w:t>
      </w:r>
      <w:r w:rsidRPr="002F4384">
        <w:rPr>
          <w:rFonts w:asciiTheme="minorBidi" w:hAnsiTheme="minorBidi" w:cstheme="minorBidi"/>
          <w:i/>
          <w:lang w:val="es-ES_tradnl"/>
        </w:rPr>
        <w:t>nforme sobre el estado del océano</w:t>
      </w:r>
      <w:r w:rsidRPr="002F4384">
        <w:rPr>
          <w:rFonts w:asciiTheme="minorBidi" w:hAnsiTheme="minorBidi" w:cstheme="minorBidi"/>
          <w:lang w:val="es-ES_tradnl"/>
        </w:rPr>
        <w:t xml:space="preserve"> </w:t>
      </w:r>
      <w:r w:rsidR="006176E8" w:rsidRPr="002F4384">
        <w:rPr>
          <w:rFonts w:asciiTheme="minorBidi" w:hAnsiTheme="minorBidi" w:cstheme="minorBidi"/>
          <w:lang w:val="es-ES_tradnl"/>
        </w:rPr>
        <w:t>reconociendo</w:t>
      </w:r>
      <w:r w:rsidRPr="002F4384">
        <w:rPr>
          <w:rFonts w:asciiTheme="minorBidi" w:hAnsiTheme="minorBidi" w:cstheme="minorBidi"/>
          <w:lang w:val="es-ES_tradnl"/>
        </w:rPr>
        <w:t xml:space="preserve"> que el plazo para elaborarlo había sido corto.</w:t>
      </w:r>
      <w:r w:rsidR="001C79FC" w:rsidRPr="002F4384">
        <w:rPr>
          <w:rFonts w:asciiTheme="minorBidi" w:hAnsiTheme="minorBidi" w:cstheme="minorBidi"/>
          <w:lang w:val="es-ES_tradnl"/>
        </w:rPr>
        <w:t xml:space="preserve"> Se estim</w:t>
      </w:r>
      <w:r w:rsidR="00721373" w:rsidRPr="002F4384">
        <w:rPr>
          <w:rFonts w:asciiTheme="minorBidi" w:hAnsiTheme="minorBidi" w:cstheme="minorBidi"/>
          <w:lang w:val="es-ES_tradnl"/>
        </w:rPr>
        <w:t>ó</w:t>
      </w:r>
      <w:r w:rsidR="001C79FC" w:rsidRPr="002F4384">
        <w:rPr>
          <w:rFonts w:asciiTheme="minorBidi" w:hAnsiTheme="minorBidi" w:cstheme="minorBidi"/>
          <w:lang w:val="es-ES_tradnl"/>
        </w:rPr>
        <w:t xml:space="preserve"> que el </w:t>
      </w:r>
      <w:r w:rsidR="00721373" w:rsidRPr="002F4384">
        <w:rPr>
          <w:rFonts w:asciiTheme="minorBidi" w:hAnsiTheme="minorBidi" w:cstheme="minorBidi"/>
          <w:lang w:val="es-ES_tradnl"/>
        </w:rPr>
        <w:t>informe</w:t>
      </w:r>
      <w:r w:rsidR="001C79FC" w:rsidRPr="002F4384">
        <w:rPr>
          <w:rFonts w:asciiTheme="minorBidi" w:hAnsiTheme="minorBidi" w:cstheme="minorBidi"/>
          <w:lang w:val="es-ES_tradnl"/>
        </w:rPr>
        <w:t xml:space="preserve"> era importante para el desarrollo sostenible y para hacer un seguimiento de los cambios en el océano, así como de los avances para </w:t>
      </w:r>
      <w:r w:rsidR="006176E8" w:rsidRPr="002F4384">
        <w:rPr>
          <w:rFonts w:asciiTheme="minorBidi" w:hAnsiTheme="minorBidi" w:cstheme="minorBidi"/>
          <w:lang w:val="es-ES_tradnl"/>
        </w:rPr>
        <w:t>encarar</w:t>
      </w:r>
      <w:r w:rsidR="001C79FC" w:rsidRPr="002F4384">
        <w:rPr>
          <w:rFonts w:asciiTheme="minorBidi" w:hAnsiTheme="minorBidi" w:cstheme="minorBidi"/>
          <w:lang w:val="es-ES_tradnl"/>
        </w:rPr>
        <w:t xml:space="preserve"> los desafíos del Decenio.</w:t>
      </w:r>
      <w:r w:rsidR="00252607" w:rsidRPr="002F4384">
        <w:rPr>
          <w:rFonts w:asciiTheme="minorBidi" w:hAnsiTheme="minorBidi" w:cstheme="minorBidi"/>
          <w:lang w:val="es-ES_tradnl"/>
        </w:rPr>
        <w:t xml:space="preserve"> El Consejo Ejecutivo reconoció la </w:t>
      </w:r>
      <w:r w:rsidR="0044335B" w:rsidRPr="002F4384">
        <w:rPr>
          <w:rFonts w:asciiTheme="minorBidi" w:hAnsiTheme="minorBidi" w:cstheme="minorBidi"/>
          <w:lang w:val="es-ES_tradnl"/>
        </w:rPr>
        <w:t>importancia</w:t>
      </w:r>
      <w:r w:rsidR="00252607" w:rsidRPr="002F4384">
        <w:rPr>
          <w:rFonts w:asciiTheme="minorBidi" w:hAnsiTheme="minorBidi" w:cstheme="minorBidi"/>
          <w:lang w:val="es-ES_tradnl"/>
        </w:rPr>
        <w:t xml:space="preserve"> del informe para reforzar la gobernanza del océano y la interfaz entre la ciencia y la política, así como para crear conciencia. El Consejo Ejecutivo expresó su reconocimiento por la consulta realizada con los Estados Miembros en el marco de la preparación de la edición piloto del informe. Se </w:t>
      </w:r>
      <w:r w:rsidR="006176E8" w:rsidRPr="002F4384">
        <w:rPr>
          <w:rFonts w:asciiTheme="minorBidi" w:hAnsiTheme="minorBidi" w:cstheme="minorBidi"/>
          <w:lang w:val="es-ES_tradnl"/>
        </w:rPr>
        <w:t>consideró</w:t>
      </w:r>
      <w:r w:rsidR="00252607" w:rsidRPr="002F4384">
        <w:rPr>
          <w:rFonts w:asciiTheme="minorBidi" w:hAnsiTheme="minorBidi" w:cstheme="minorBidi"/>
          <w:lang w:val="es-ES_tradnl"/>
        </w:rPr>
        <w:t xml:space="preserve"> que </w:t>
      </w:r>
      <w:r w:rsidR="00742D94" w:rsidRPr="002F4384">
        <w:rPr>
          <w:rFonts w:asciiTheme="minorBidi" w:hAnsiTheme="minorBidi" w:cstheme="minorBidi"/>
          <w:lang w:val="es-ES_tradnl"/>
        </w:rPr>
        <w:t xml:space="preserve">esta última </w:t>
      </w:r>
      <w:r w:rsidR="00252607" w:rsidRPr="002F4384">
        <w:rPr>
          <w:rFonts w:asciiTheme="minorBidi" w:hAnsiTheme="minorBidi" w:cstheme="minorBidi"/>
          <w:lang w:val="es-ES_tradnl"/>
        </w:rPr>
        <w:t xml:space="preserve">era una posible contribución importante al Decenio del Océano, así como a la Evaluación </w:t>
      </w:r>
      <w:r w:rsidR="00742D94" w:rsidRPr="002F4384">
        <w:rPr>
          <w:rFonts w:asciiTheme="minorBidi" w:hAnsiTheme="minorBidi" w:cstheme="minorBidi"/>
          <w:lang w:val="es-ES_tradnl"/>
        </w:rPr>
        <w:t>m</w:t>
      </w:r>
      <w:r w:rsidR="00252607" w:rsidRPr="002F4384">
        <w:rPr>
          <w:rFonts w:asciiTheme="minorBidi" w:hAnsiTheme="minorBidi" w:cstheme="minorBidi"/>
          <w:lang w:val="es-ES_tradnl"/>
        </w:rPr>
        <w:t xml:space="preserve">undial de los </w:t>
      </w:r>
      <w:r w:rsidR="00742D94" w:rsidRPr="002F4384">
        <w:rPr>
          <w:rFonts w:asciiTheme="minorBidi" w:hAnsiTheme="minorBidi" w:cstheme="minorBidi"/>
          <w:lang w:val="es-ES_tradnl"/>
        </w:rPr>
        <w:t>o</w:t>
      </w:r>
      <w:r w:rsidR="00252607" w:rsidRPr="002F4384">
        <w:rPr>
          <w:rFonts w:asciiTheme="minorBidi" w:hAnsiTheme="minorBidi" w:cstheme="minorBidi"/>
          <w:lang w:val="es-ES_tradnl"/>
        </w:rPr>
        <w:t>céanos, a la que complementa</w:t>
      </w:r>
      <w:r w:rsidR="006176E8" w:rsidRPr="002F4384">
        <w:rPr>
          <w:rFonts w:asciiTheme="minorBidi" w:hAnsiTheme="minorBidi" w:cstheme="minorBidi"/>
          <w:lang w:val="es-ES_tradnl"/>
        </w:rPr>
        <w:t>ba</w:t>
      </w:r>
      <w:r w:rsidR="00252607" w:rsidRPr="002F4384">
        <w:rPr>
          <w:rFonts w:asciiTheme="minorBidi" w:hAnsiTheme="minorBidi" w:cstheme="minorBidi"/>
          <w:lang w:val="es-ES_tradnl"/>
        </w:rPr>
        <w:t>, y que brindaba orientación a los Estados Miembros y le</w:t>
      </w:r>
      <w:r w:rsidR="00742D94" w:rsidRPr="002F4384">
        <w:rPr>
          <w:rFonts w:asciiTheme="minorBidi" w:hAnsiTheme="minorBidi" w:cstheme="minorBidi"/>
          <w:lang w:val="es-ES_tradnl"/>
        </w:rPr>
        <w:t>s</w:t>
      </w:r>
      <w:r w:rsidR="00252607" w:rsidRPr="002F4384">
        <w:rPr>
          <w:rFonts w:asciiTheme="minorBidi" w:hAnsiTheme="minorBidi" w:cstheme="minorBidi"/>
          <w:lang w:val="es-ES_tradnl"/>
        </w:rPr>
        <w:t xml:space="preserve"> servía de recurso para hacer frente a los diferentes desafíos del Decenio.</w:t>
      </w:r>
      <w:r w:rsidR="00C13CDE" w:rsidRPr="002F4384">
        <w:rPr>
          <w:rFonts w:asciiTheme="minorBidi" w:hAnsiTheme="minorBidi" w:cstheme="minorBidi"/>
          <w:lang w:val="es-ES_tradnl"/>
        </w:rPr>
        <w:t xml:space="preserve"> El Consejo Ejecutivo acogió con satisfacción el concepto del informe como una publicación de todo el sistema de las Naciones Unidas y un resultado del Decenio.</w:t>
      </w:r>
    </w:p>
    <w:p w14:paraId="4CCCEEF2" w14:textId="436BC9BA" w:rsidR="009D6EEE" w:rsidRPr="002F4384" w:rsidRDefault="009D6EEE" w:rsidP="009D6EEE">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Sin embargo, el Consejo Ejecutivo lamentó que se </w:t>
      </w:r>
      <w:r w:rsidR="005C06AB" w:rsidRPr="002F4384">
        <w:rPr>
          <w:rFonts w:asciiTheme="minorBidi" w:hAnsiTheme="minorBidi" w:cstheme="minorBidi"/>
          <w:lang w:val="es-ES_tradnl"/>
        </w:rPr>
        <w:t xml:space="preserve">le </w:t>
      </w:r>
      <w:r w:rsidRPr="002F4384">
        <w:rPr>
          <w:rFonts w:asciiTheme="minorBidi" w:hAnsiTheme="minorBidi" w:cstheme="minorBidi"/>
          <w:lang w:val="es-ES_tradnl"/>
        </w:rPr>
        <w:t>hubiera dado muy poco tiempo antes de la reunión para analizar la edición piloto (Colección Técnica de la COI</w:t>
      </w:r>
      <w:r w:rsidR="005C06AB" w:rsidRPr="002F4384">
        <w:rPr>
          <w:rFonts w:asciiTheme="minorBidi" w:hAnsiTheme="minorBidi" w:cstheme="minorBidi"/>
          <w:lang w:val="es-ES_tradnl"/>
        </w:rPr>
        <w:t xml:space="preserve"> n.º </w:t>
      </w:r>
      <w:r w:rsidRPr="002F4384">
        <w:rPr>
          <w:rFonts w:asciiTheme="minorBidi" w:hAnsiTheme="minorBidi" w:cstheme="minorBidi"/>
          <w:lang w:val="es-ES_tradnl"/>
        </w:rPr>
        <w:t>73, que se anexa al documento de trabajo IOC/EC-55/33.Doc(1)).</w:t>
      </w:r>
    </w:p>
    <w:p w14:paraId="1E4C0321" w14:textId="3E5BE345" w:rsidR="005C06AB" w:rsidRPr="002F4384" w:rsidRDefault="005C06AB" w:rsidP="005C06AB">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El Consejo Ejecutivo observó que la edición piloto del </w:t>
      </w:r>
      <w:r w:rsidR="008345F6" w:rsidRPr="002F4384">
        <w:rPr>
          <w:rFonts w:asciiTheme="minorBidi" w:hAnsiTheme="minorBidi" w:cstheme="minorBidi"/>
          <w:i/>
          <w:lang w:val="es-ES_tradnl"/>
        </w:rPr>
        <w:t>I</w:t>
      </w:r>
      <w:r w:rsidRPr="002F4384">
        <w:rPr>
          <w:rFonts w:asciiTheme="minorBidi" w:hAnsiTheme="minorBidi" w:cstheme="minorBidi"/>
          <w:i/>
          <w:lang w:val="es-ES_tradnl"/>
        </w:rPr>
        <w:t>nforme sobre el estado del océano</w:t>
      </w:r>
      <w:r w:rsidRPr="002F4384">
        <w:rPr>
          <w:rFonts w:asciiTheme="minorBidi" w:hAnsiTheme="minorBidi" w:cstheme="minorBidi"/>
          <w:lang w:val="es-ES_tradnl"/>
        </w:rPr>
        <w:t xml:space="preserve"> </w:t>
      </w:r>
      <w:r w:rsidR="00B17B28" w:rsidRPr="002F4384">
        <w:rPr>
          <w:rFonts w:asciiTheme="minorBidi" w:hAnsiTheme="minorBidi" w:cstheme="minorBidi"/>
          <w:lang w:val="es-ES_tradnl"/>
        </w:rPr>
        <w:t>constituía</w:t>
      </w:r>
      <w:r w:rsidRPr="002F4384">
        <w:rPr>
          <w:rFonts w:asciiTheme="minorBidi" w:hAnsiTheme="minorBidi" w:cstheme="minorBidi"/>
          <w:lang w:val="es-ES_tradnl"/>
        </w:rPr>
        <w:t xml:space="preserve"> una excelente base de referencia, pero que sería conveniente definir los principales indicadores para cada desafío.</w:t>
      </w:r>
      <w:r w:rsidR="00B17B28" w:rsidRPr="002F4384">
        <w:rPr>
          <w:rFonts w:asciiTheme="minorBidi" w:hAnsiTheme="minorBidi" w:cstheme="minorBidi"/>
          <w:lang w:val="es-ES_tradnl"/>
        </w:rPr>
        <w:t xml:space="preserve"> Se subrayó además que el informe </w:t>
      </w:r>
      <w:r w:rsidR="008345F6" w:rsidRPr="002F4384">
        <w:rPr>
          <w:rFonts w:asciiTheme="minorBidi" w:hAnsiTheme="minorBidi" w:cstheme="minorBidi"/>
          <w:lang w:val="es-ES_tradnl"/>
        </w:rPr>
        <w:t>debía</w:t>
      </w:r>
      <w:r w:rsidR="00B17B28" w:rsidRPr="002F4384">
        <w:rPr>
          <w:rFonts w:asciiTheme="minorBidi" w:hAnsiTheme="minorBidi" w:cstheme="minorBidi"/>
          <w:lang w:val="es-ES_tradnl"/>
        </w:rPr>
        <w:t xml:space="preserve"> basarse en datos siempre que los hubiera y que la detección o reconfirmación de las lagunas de datos era igualmente importante.</w:t>
      </w:r>
    </w:p>
    <w:p w14:paraId="2DFED4C2" w14:textId="29C2DAC9" w:rsidR="00962BA9" w:rsidRPr="002F4384" w:rsidRDefault="00DF3774"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El Consejo Ejecutivo elogió, globalmente, que la edición piloto del informe se estructurara en torno a los desafíos del Decenio.</w:t>
      </w:r>
      <w:r w:rsidR="0023002C" w:rsidRPr="002F4384">
        <w:rPr>
          <w:rFonts w:asciiTheme="minorBidi" w:hAnsiTheme="minorBidi" w:cstheme="minorBidi"/>
          <w:lang w:val="es-ES_tradnl"/>
        </w:rPr>
        <w:t xml:space="preserve"> Varios Estados Miembros pidieron que el informe fuera más preciso y conciso y que, tal vez, se centrara en la evolución específica durante el per</w:t>
      </w:r>
      <w:r w:rsidR="00E27F98" w:rsidRPr="002F4384">
        <w:rPr>
          <w:rFonts w:asciiTheme="minorBidi" w:hAnsiTheme="minorBidi" w:cstheme="minorBidi"/>
          <w:lang w:val="es-ES_tradnl"/>
        </w:rPr>
        <w:t>í</w:t>
      </w:r>
      <w:r w:rsidR="0023002C" w:rsidRPr="002F4384">
        <w:rPr>
          <w:rFonts w:asciiTheme="minorBidi" w:hAnsiTheme="minorBidi" w:cstheme="minorBidi"/>
          <w:lang w:val="es-ES_tradnl"/>
        </w:rPr>
        <w:t>odo que abarca</w:t>
      </w:r>
      <w:r w:rsidR="00E27F98" w:rsidRPr="002F4384">
        <w:rPr>
          <w:rFonts w:asciiTheme="minorBidi" w:hAnsiTheme="minorBidi" w:cstheme="minorBidi"/>
          <w:lang w:val="es-ES_tradnl"/>
        </w:rPr>
        <w:t>ba</w:t>
      </w:r>
      <w:r w:rsidR="0023002C" w:rsidRPr="002F4384">
        <w:rPr>
          <w:rFonts w:asciiTheme="minorBidi" w:hAnsiTheme="minorBidi" w:cstheme="minorBidi"/>
          <w:lang w:val="es-ES_tradnl"/>
        </w:rPr>
        <w:t xml:space="preserve"> cada edición </w:t>
      </w:r>
      <w:r w:rsidR="00E27F98" w:rsidRPr="002F4384">
        <w:rPr>
          <w:rFonts w:asciiTheme="minorBidi" w:hAnsiTheme="minorBidi" w:cstheme="minorBidi"/>
          <w:lang w:val="es-ES_tradnl"/>
        </w:rPr>
        <w:t>y</w:t>
      </w:r>
      <w:r w:rsidR="0023002C" w:rsidRPr="002F4384">
        <w:rPr>
          <w:rFonts w:asciiTheme="minorBidi" w:hAnsiTheme="minorBidi" w:cstheme="minorBidi"/>
          <w:lang w:val="es-ES_tradnl"/>
        </w:rPr>
        <w:t xml:space="preserve"> </w:t>
      </w:r>
      <w:r w:rsidR="00E27F98" w:rsidRPr="002F4384">
        <w:rPr>
          <w:rFonts w:asciiTheme="minorBidi" w:hAnsiTheme="minorBidi" w:cstheme="minorBidi"/>
          <w:lang w:val="es-ES_tradnl"/>
        </w:rPr>
        <w:t xml:space="preserve">realizara </w:t>
      </w:r>
      <w:r w:rsidR="0023002C" w:rsidRPr="002F4384">
        <w:rPr>
          <w:rFonts w:asciiTheme="minorBidi" w:hAnsiTheme="minorBidi" w:cstheme="minorBidi"/>
          <w:lang w:val="es-ES_tradnl"/>
        </w:rPr>
        <w:t xml:space="preserve">una evaluación </w:t>
      </w:r>
      <w:r w:rsidR="00E27F98" w:rsidRPr="002F4384">
        <w:rPr>
          <w:rFonts w:asciiTheme="minorBidi" w:hAnsiTheme="minorBidi" w:cstheme="minorBidi"/>
          <w:lang w:val="es-ES_tradnl"/>
        </w:rPr>
        <w:t>general</w:t>
      </w:r>
      <w:r w:rsidR="0023002C" w:rsidRPr="002F4384">
        <w:rPr>
          <w:rFonts w:asciiTheme="minorBidi" w:hAnsiTheme="minorBidi" w:cstheme="minorBidi"/>
          <w:lang w:val="es-ES_tradnl"/>
        </w:rPr>
        <w:t xml:space="preserve"> de los cambios. Se recomendó que los mensajes clave de alto nivel se enunciaran más claramente, en particular los efectos esperados o documentados en la sociedad.</w:t>
      </w:r>
    </w:p>
    <w:p w14:paraId="62ABFB24" w14:textId="33C8B71C" w:rsidR="0023002C" w:rsidRPr="002F4384" w:rsidRDefault="008F1197"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En cuanto a la periodicidad, el Consejo Ejecutivo expresó su preocupación por la capacidad de la Secretaría de la COI para elaborar un</w:t>
      </w:r>
      <w:r w:rsidR="00CA5EC7" w:rsidRPr="002F4384">
        <w:rPr>
          <w:rFonts w:asciiTheme="minorBidi" w:hAnsiTheme="minorBidi" w:cstheme="minorBidi"/>
          <w:lang w:val="es-ES_tradnl"/>
        </w:rPr>
        <w:t>a edición del</w:t>
      </w:r>
      <w:r w:rsidRPr="002F4384">
        <w:rPr>
          <w:rFonts w:asciiTheme="minorBidi" w:hAnsiTheme="minorBidi" w:cstheme="minorBidi"/>
          <w:lang w:val="es-ES_tradnl"/>
        </w:rPr>
        <w:t xml:space="preserve"> informe anualmente</w:t>
      </w:r>
      <w:r w:rsidR="00CA5EC7" w:rsidRPr="002F4384">
        <w:rPr>
          <w:rFonts w:asciiTheme="minorBidi" w:hAnsiTheme="minorBidi" w:cstheme="minorBidi"/>
          <w:lang w:val="es-ES_tradnl"/>
        </w:rPr>
        <w:t>. V</w:t>
      </w:r>
      <w:r w:rsidRPr="002F4384">
        <w:rPr>
          <w:rFonts w:asciiTheme="minorBidi" w:hAnsiTheme="minorBidi" w:cstheme="minorBidi"/>
          <w:lang w:val="es-ES_tradnl"/>
        </w:rPr>
        <w:t>arios Estados Miembros propusieron un ciclo bianual (cada dos años).</w:t>
      </w:r>
    </w:p>
    <w:p w14:paraId="79119304" w14:textId="6C97A40D" w:rsidR="008F1197" w:rsidRPr="002F4384" w:rsidRDefault="00CA5EC7"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Algunos</w:t>
      </w:r>
      <w:r w:rsidR="008F1197" w:rsidRPr="002F4384">
        <w:rPr>
          <w:rFonts w:asciiTheme="minorBidi" w:hAnsiTheme="minorBidi" w:cstheme="minorBidi"/>
          <w:lang w:val="es-ES_tradnl"/>
        </w:rPr>
        <w:t xml:space="preserve"> Estados Miembros reflexionaron sobre el público </w:t>
      </w:r>
      <w:r w:rsidRPr="002F4384">
        <w:rPr>
          <w:rFonts w:asciiTheme="minorBidi" w:hAnsiTheme="minorBidi" w:cstheme="minorBidi"/>
          <w:lang w:val="es-ES_tradnl"/>
        </w:rPr>
        <w:t>d</w:t>
      </w:r>
      <w:r w:rsidR="008F1197" w:rsidRPr="002F4384">
        <w:rPr>
          <w:rFonts w:asciiTheme="minorBidi" w:hAnsiTheme="minorBidi" w:cstheme="minorBidi"/>
          <w:lang w:val="es-ES_tradnl"/>
        </w:rPr>
        <w:t>el informe</w:t>
      </w:r>
      <w:r w:rsidRPr="002F4384">
        <w:rPr>
          <w:rFonts w:asciiTheme="minorBidi" w:hAnsiTheme="minorBidi" w:cstheme="minorBidi"/>
          <w:lang w:val="es-ES_tradnl"/>
        </w:rPr>
        <w:t>,</w:t>
      </w:r>
      <w:r w:rsidR="008F1197" w:rsidRPr="002F4384">
        <w:rPr>
          <w:rFonts w:asciiTheme="minorBidi" w:hAnsiTheme="minorBidi" w:cstheme="minorBidi"/>
          <w:lang w:val="es-ES_tradnl"/>
        </w:rPr>
        <w:t xml:space="preserve"> </w:t>
      </w:r>
      <w:r w:rsidR="00515398" w:rsidRPr="002F4384">
        <w:rPr>
          <w:rFonts w:asciiTheme="minorBidi" w:hAnsiTheme="minorBidi" w:cstheme="minorBidi"/>
          <w:lang w:val="es-ES_tradnl"/>
        </w:rPr>
        <w:t>recordando</w:t>
      </w:r>
      <w:r w:rsidR="008F1197" w:rsidRPr="002F4384">
        <w:rPr>
          <w:rFonts w:asciiTheme="minorBidi" w:hAnsiTheme="minorBidi" w:cstheme="minorBidi"/>
          <w:lang w:val="es-ES_tradnl"/>
        </w:rPr>
        <w:t xml:space="preserve"> </w:t>
      </w:r>
      <w:r w:rsidR="00515398" w:rsidRPr="002F4384">
        <w:rPr>
          <w:rFonts w:asciiTheme="minorBidi" w:hAnsiTheme="minorBidi" w:cstheme="minorBidi"/>
          <w:lang w:val="es-ES_tradnl"/>
        </w:rPr>
        <w:t>e</w:t>
      </w:r>
      <w:r w:rsidR="008F1197" w:rsidRPr="002F4384">
        <w:rPr>
          <w:rFonts w:asciiTheme="minorBidi" w:hAnsiTheme="minorBidi" w:cstheme="minorBidi"/>
          <w:lang w:val="es-ES_tradnl"/>
        </w:rPr>
        <w:t>l concepto inicial de un informe accesible al público en general.</w:t>
      </w:r>
      <w:r w:rsidR="00515398" w:rsidRPr="002F4384">
        <w:rPr>
          <w:rFonts w:asciiTheme="minorBidi" w:hAnsiTheme="minorBidi" w:cstheme="minorBidi"/>
          <w:lang w:val="es-ES_tradnl"/>
        </w:rPr>
        <w:t xml:space="preserve"> Asimismo, se sugirió cooperar más con las organizaciones marinas locales y regionales</w:t>
      </w:r>
      <w:r w:rsidRPr="002F4384">
        <w:rPr>
          <w:rFonts w:asciiTheme="minorBidi" w:hAnsiTheme="minorBidi" w:cstheme="minorBidi"/>
          <w:lang w:val="es-ES_tradnl"/>
        </w:rPr>
        <w:t>,</w:t>
      </w:r>
      <w:r w:rsidR="00515398" w:rsidRPr="002F4384">
        <w:rPr>
          <w:rFonts w:asciiTheme="minorBidi" w:hAnsiTheme="minorBidi" w:cstheme="minorBidi"/>
          <w:lang w:val="es-ES_tradnl"/>
        </w:rPr>
        <w:t xml:space="preserve"> y estudiar la posibilidad de incorporar datos e </w:t>
      </w:r>
      <w:r w:rsidR="00515398" w:rsidRPr="002F4384">
        <w:rPr>
          <w:rFonts w:asciiTheme="minorBidi" w:hAnsiTheme="minorBidi" w:cstheme="minorBidi"/>
          <w:lang w:val="es-ES_tradnl"/>
        </w:rPr>
        <w:lastRenderedPageBreak/>
        <w:t>información nacionales y regionales para que los Estados Miembros pu</w:t>
      </w:r>
      <w:r w:rsidRPr="002F4384">
        <w:rPr>
          <w:rFonts w:asciiTheme="minorBidi" w:hAnsiTheme="minorBidi" w:cstheme="minorBidi"/>
          <w:lang w:val="es-ES_tradnl"/>
        </w:rPr>
        <w:t>diera</w:t>
      </w:r>
      <w:r w:rsidR="00515398" w:rsidRPr="002F4384">
        <w:rPr>
          <w:rFonts w:asciiTheme="minorBidi" w:hAnsiTheme="minorBidi" w:cstheme="minorBidi"/>
          <w:lang w:val="es-ES_tradnl"/>
        </w:rPr>
        <w:t>n utilizar el informe más directamente en su propia gestión.</w:t>
      </w:r>
    </w:p>
    <w:p w14:paraId="5B2F75D7" w14:textId="55F81B53" w:rsidR="00515398" w:rsidRPr="002F4384" w:rsidRDefault="003F1C5A"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El Consejo Ejecutivo concluyó el debate apoyando firmemente que se siguiera </w:t>
      </w:r>
      <w:r w:rsidR="004A315C" w:rsidRPr="002F4384">
        <w:rPr>
          <w:rFonts w:asciiTheme="minorBidi" w:hAnsiTheme="minorBidi" w:cstheme="minorBidi"/>
          <w:lang w:val="es-ES_tradnl"/>
        </w:rPr>
        <w:t>afinando</w:t>
      </w:r>
      <w:r w:rsidRPr="002F4384">
        <w:rPr>
          <w:rFonts w:asciiTheme="minorBidi" w:hAnsiTheme="minorBidi" w:cstheme="minorBidi"/>
          <w:lang w:val="es-ES_tradnl"/>
        </w:rPr>
        <w:t xml:space="preserve"> el </w:t>
      </w:r>
      <w:r w:rsidR="004A315C" w:rsidRPr="002F4384">
        <w:rPr>
          <w:rFonts w:asciiTheme="minorBidi" w:hAnsiTheme="minorBidi" w:cstheme="minorBidi"/>
          <w:i/>
          <w:lang w:val="es-ES_tradnl"/>
        </w:rPr>
        <w:t>I</w:t>
      </w:r>
      <w:r w:rsidRPr="002F4384">
        <w:rPr>
          <w:rFonts w:asciiTheme="minorBidi" w:hAnsiTheme="minorBidi" w:cstheme="minorBidi"/>
          <w:i/>
          <w:lang w:val="es-ES_tradnl"/>
        </w:rPr>
        <w:t>nforme sobre el estado del océano</w:t>
      </w:r>
      <w:r w:rsidRPr="002F4384">
        <w:rPr>
          <w:rFonts w:asciiTheme="minorBidi" w:hAnsiTheme="minorBidi" w:cstheme="minorBidi"/>
          <w:lang w:val="es-ES_tradnl"/>
        </w:rPr>
        <w:t xml:space="preserve"> y reconociendo que era esencial que se garantizaran los recursos humanos y presupuestarios para su ulterior desarrollo y publicación.</w:t>
      </w:r>
    </w:p>
    <w:p w14:paraId="1028897E" w14:textId="5EB9CDF9" w:rsidR="00472792" w:rsidRPr="002F4384" w:rsidRDefault="00472792"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El Secretario Ejecutivo respondió a las intervenciones de los Estados Miembros reconociendo que la preparación de la edición piloto del </w:t>
      </w:r>
      <w:r w:rsidR="004A315C" w:rsidRPr="002F4384">
        <w:rPr>
          <w:rFonts w:asciiTheme="minorBidi" w:hAnsiTheme="minorBidi" w:cstheme="minorBidi"/>
          <w:i/>
          <w:lang w:val="es-ES_tradnl"/>
        </w:rPr>
        <w:t>I</w:t>
      </w:r>
      <w:r w:rsidRPr="002F4384">
        <w:rPr>
          <w:rFonts w:asciiTheme="minorBidi" w:hAnsiTheme="minorBidi" w:cstheme="minorBidi"/>
          <w:i/>
          <w:lang w:val="es-ES_tradnl"/>
        </w:rPr>
        <w:t>nforme sobre el estado del océano</w:t>
      </w:r>
      <w:r w:rsidRPr="002F4384">
        <w:rPr>
          <w:rFonts w:asciiTheme="minorBidi" w:hAnsiTheme="minorBidi" w:cstheme="minorBidi"/>
          <w:lang w:val="es-ES_tradnl"/>
        </w:rPr>
        <w:t xml:space="preserve"> había sido un ejercicio de aprendizaje completo comparable a la preparación del </w:t>
      </w:r>
      <w:r w:rsidRPr="002F4384">
        <w:rPr>
          <w:rFonts w:asciiTheme="minorBidi" w:hAnsiTheme="minorBidi" w:cstheme="minorBidi"/>
          <w:i/>
          <w:lang w:val="es-ES_tradnl"/>
        </w:rPr>
        <w:t>Informe mundial sobre las ciencias oceánicas</w:t>
      </w:r>
      <w:r w:rsidRPr="002F4384">
        <w:rPr>
          <w:rFonts w:asciiTheme="minorBidi" w:hAnsiTheme="minorBidi" w:cstheme="minorBidi"/>
          <w:lang w:val="es-ES_tradnl"/>
        </w:rPr>
        <w:t>, publicado recientemente.</w:t>
      </w:r>
      <w:r w:rsidR="007D2896" w:rsidRPr="002F4384">
        <w:rPr>
          <w:rFonts w:asciiTheme="minorBidi" w:hAnsiTheme="minorBidi" w:cstheme="minorBidi"/>
          <w:lang w:val="es-ES_tradnl"/>
        </w:rPr>
        <w:t xml:space="preserve"> También señaló que</w:t>
      </w:r>
      <w:r w:rsidR="004A315C" w:rsidRPr="002F4384">
        <w:rPr>
          <w:rFonts w:asciiTheme="minorBidi" w:hAnsiTheme="minorBidi" w:cstheme="minorBidi"/>
          <w:lang w:val="es-ES_tradnl"/>
        </w:rPr>
        <w:t>,</w:t>
      </w:r>
      <w:r w:rsidR="007D2896" w:rsidRPr="002F4384">
        <w:rPr>
          <w:rFonts w:asciiTheme="minorBidi" w:hAnsiTheme="minorBidi" w:cstheme="minorBidi"/>
          <w:lang w:val="es-ES_tradnl"/>
        </w:rPr>
        <w:t xml:space="preserve"> aunque no todos los puntos de vista expresados fueran compatibles, estaba seguro de que se encontraría una solución gracias a la comunicación </w:t>
      </w:r>
      <w:r w:rsidR="00E8142E" w:rsidRPr="002F4384">
        <w:rPr>
          <w:rFonts w:asciiTheme="minorBidi" w:hAnsiTheme="minorBidi" w:cstheme="minorBidi"/>
          <w:lang w:val="es-ES_tradnl"/>
        </w:rPr>
        <w:t>permanente</w:t>
      </w:r>
      <w:r w:rsidR="007D2896" w:rsidRPr="002F4384">
        <w:rPr>
          <w:rFonts w:asciiTheme="minorBidi" w:hAnsiTheme="minorBidi" w:cstheme="minorBidi"/>
          <w:lang w:val="es-ES_tradnl"/>
        </w:rPr>
        <w:t xml:space="preserve"> con los Estados Miembros. Invitó a los Estados Miembros a examinar el informe piloto y a enviar su</w:t>
      </w:r>
      <w:r w:rsidR="004E5080" w:rsidRPr="002F4384">
        <w:rPr>
          <w:rFonts w:asciiTheme="minorBidi" w:hAnsiTheme="minorBidi" w:cstheme="minorBidi"/>
          <w:lang w:val="es-ES_tradnl"/>
        </w:rPr>
        <w:t>s</w:t>
      </w:r>
      <w:r w:rsidR="007D2896" w:rsidRPr="002F4384">
        <w:rPr>
          <w:rFonts w:asciiTheme="minorBidi" w:hAnsiTheme="minorBidi" w:cstheme="minorBidi"/>
          <w:lang w:val="es-ES_tradnl"/>
        </w:rPr>
        <w:t xml:space="preserve"> observaciones y recomendaciones a la Secretaría. Se establecer</w:t>
      </w:r>
      <w:r w:rsidR="002A5232" w:rsidRPr="002F4384">
        <w:rPr>
          <w:rFonts w:asciiTheme="minorBidi" w:hAnsiTheme="minorBidi" w:cstheme="minorBidi"/>
          <w:lang w:val="es-ES_tradnl"/>
        </w:rPr>
        <w:t>ía</w:t>
      </w:r>
      <w:r w:rsidR="007D2896" w:rsidRPr="002F4384">
        <w:rPr>
          <w:rFonts w:asciiTheme="minorBidi" w:hAnsiTheme="minorBidi" w:cstheme="minorBidi"/>
          <w:lang w:val="es-ES_tradnl"/>
        </w:rPr>
        <w:t xml:space="preserve"> un proce</w:t>
      </w:r>
      <w:r w:rsidR="002A5232" w:rsidRPr="002F4384">
        <w:rPr>
          <w:rFonts w:asciiTheme="minorBidi" w:hAnsiTheme="minorBidi" w:cstheme="minorBidi"/>
          <w:lang w:val="es-ES_tradnl"/>
        </w:rPr>
        <w:t>dimiento</w:t>
      </w:r>
      <w:r w:rsidR="007D2896" w:rsidRPr="002F4384">
        <w:rPr>
          <w:rFonts w:asciiTheme="minorBidi" w:hAnsiTheme="minorBidi" w:cstheme="minorBidi"/>
          <w:lang w:val="es-ES_tradnl"/>
        </w:rPr>
        <w:t xml:space="preserve"> de comunicación oficial para mejorar el alcance, la frecuencia, la redacción y el proceso de examen, así como las futuras ediciones, mediante una circular que se enviar</w:t>
      </w:r>
      <w:r w:rsidR="002A5232" w:rsidRPr="002F4384">
        <w:rPr>
          <w:rFonts w:asciiTheme="minorBidi" w:hAnsiTheme="minorBidi" w:cstheme="minorBidi"/>
          <w:lang w:val="es-ES_tradnl"/>
        </w:rPr>
        <w:t>ía</w:t>
      </w:r>
      <w:r w:rsidR="007D2896" w:rsidRPr="002F4384">
        <w:rPr>
          <w:rFonts w:asciiTheme="minorBidi" w:hAnsiTheme="minorBidi" w:cstheme="minorBidi"/>
          <w:lang w:val="es-ES_tradnl"/>
        </w:rPr>
        <w:t xml:space="preserve"> a los Estados Miembros poco después de la 55ª reunión del Consejo Ejecutivo de la COI.</w:t>
      </w:r>
    </w:p>
    <w:p w14:paraId="0A135CE0" w14:textId="62BCC8D7" w:rsidR="00DE2391" w:rsidRPr="002F4384" w:rsidRDefault="00591393"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L</w:t>
      </w:r>
      <w:r w:rsidR="00783FC6" w:rsidRPr="002F4384">
        <w:rPr>
          <w:rFonts w:asciiTheme="minorBidi" w:hAnsiTheme="minorBidi" w:cstheme="minorBidi"/>
          <w:lang w:val="es-ES_tradnl"/>
        </w:rPr>
        <w:t xml:space="preserve">as delegaciones </w:t>
      </w:r>
      <w:r w:rsidRPr="002F4384">
        <w:rPr>
          <w:rFonts w:asciiTheme="minorBidi" w:hAnsiTheme="minorBidi" w:cstheme="minorBidi"/>
          <w:lang w:val="es-ES_tradnl"/>
        </w:rPr>
        <w:t xml:space="preserve">siguientes decidieron proporcionar por escrito sus intervenciones en plenaria sobre este punto del orden del día para que constaran en el anexo informativo del informe de la reunión: </w:t>
      </w:r>
      <w:r w:rsidR="00C80F73" w:rsidRPr="002F4384">
        <w:rPr>
          <w:rFonts w:asciiTheme="minorBidi" w:hAnsiTheme="minorBidi" w:cstheme="minorBidi"/>
          <w:lang w:val="es-ES_tradnl"/>
        </w:rPr>
        <w:t>Alemania, Argentina, Brasil, China, Canadá, Colombia, Estados Unidos de América, Filipinas, India, Kenya, Noruega (observador), Portugal, Reino Unido de Gran Bretaña e Irlanda del Norte y República de Corea.</w:t>
      </w:r>
    </w:p>
    <w:p w14:paraId="353F6E4F" w14:textId="56A2DBA1" w:rsidR="00F17164" w:rsidRPr="002F4384" w:rsidRDefault="00F17164"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El Consejo Ejecutivo adoptó la </w:t>
      </w:r>
      <w:r w:rsidRPr="002F4384">
        <w:rPr>
          <w:rFonts w:asciiTheme="minorBidi" w:hAnsiTheme="minorBidi" w:cstheme="minorBidi"/>
          <w:u w:val="single"/>
          <w:lang w:val="es-ES_tradnl"/>
        </w:rPr>
        <w:t>decisión IOC/EC-55/3.3</w:t>
      </w:r>
      <w:r w:rsidR="003A59D3" w:rsidRPr="002F4384">
        <w:rPr>
          <w:rFonts w:asciiTheme="minorBidi" w:hAnsiTheme="minorBidi" w:cstheme="minorBidi"/>
          <w:lang w:val="es-ES_tradnl"/>
        </w:rPr>
        <w:t>, que figura a continuación</w:t>
      </w:r>
      <w:r w:rsidRPr="002F4384">
        <w:rPr>
          <w:rFonts w:asciiTheme="minorBidi" w:hAnsiTheme="minorBidi" w:cstheme="minorBidi"/>
          <w:lang w:val="es-ES_tradnl"/>
        </w:rPr>
        <w:t>.</w:t>
      </w:r>
    </w:p>
    <w:p w14:paraId="6E0D9678" w14:textId="77777777" w:rsidR="006B5125" w:rsidRPr="002F4384" w:rsidRDefault="006B5125" w:rsidP="006B5125">
      <w:pPr>
        <w:keepNext/>
        <w:keepLines/>
        <w:tabs>
          <w:tab w:val="left" w:pos="709"/>
        </w:tabs>
        <w:spacing w:after="240"/>
        <w:jc w:val="center"/>
        <w:outlineLvl w:val="0"/>
        <w:rPr>
          <w:rFonts w:asciiTheme="minorBidi" w:eastAsia="SimSun" w:hAnsiTheme="minorBidi" w:cstheme="minorBidi"/>
          <w:b/>
          <w:sz w:val="22"/>
          <w:szCs w:val="22"/>
          <w:lang w:val="es-ES_tradnl"/>
        </w:rPr>
      </w:pPr>
      <w:r w:rsidRPr="002F4384">
        <w:rPr>
          <w:rFonts w:asciiTheme="minorBidi" w:eastAsia="SimSun" w:hAnsiTheme="minorBidi" w:cstheme="minorBidi"/>
          <w:b/>
          <w:bCs/>
          <w:sz w:val="22"/>
          <w:szCs w:val="22"/>
          <w:lang w:val="es-ES_tradnl"/>
        </w:rPr>
        <w:t>Informe de la COI sobre el estado del océano</w:t>
      </w:r>
    </w:p>
    <w:p w14:paraId="1A525F93" w14:textId="77777777" w:rsidR="006B5125" w:rsidRPr="002F4384" w:rsidRDefault="006B5125" w:rsidP="006B5125">
      <w:pPr>
        <w:keepNext/>
        <w:tabs>
          <w:tab w:val="left" w:pos="709"/>
        </w:tabs>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lang w:val="es-ES_tradnl"/>
        </w:rPr>
        <w:t xml:space="preserve">El Consejo Ejecutivo, </w:t>
      </w:r>
    </w:p>
    <w:p w14:paraId="6529461E" w14:textId="77777777" w:rsidR="006B5125" w:rsidRPr="002F4384" w:rsidRDefault="006B5125" w:rsidP="006B5125">
      <w:pPr>
        <w:tabs>
          <w:tab w:val="left" w:pos="709"/>
        </w:tabs>
        <w:spacing w:after="240"/>
        <w:jc w:val="both"/>
        <w:rPr>
          <w:rFonts w:asciiTheme="minorBidi" w:hAnsiTheme="minorBidi" w:cstheme="minorBidi"/>
          <w:iCs/>
          <w:sz w:val="22"/>
          <w:szCs w:val="22"/>
          <w:lang w:val="es-ES_tradnl"/>
        </w:rPr>
      </w:pPr>
      <w:r w:rsidRPr="002F4384">
        <w:rPr>
          <w:rFonts w:asciiTheme="minorBidi" w:hAnsiTheme="minorBidi" w:cstheme="minorBidi"/>
          <w:sz w:val="22"/>
          <w:szCs w:val="22"/>
          <w:u w:val="single"/>
          <w:lang w:val="es-ES_tradnl"/>
        </w:rPr>
        <w:t>Teniendo en cuenta</w:t>
      </w:r>
      <w:r w:rsidRPr="002F4384">
        <w:rPr>
          <w:rFonts w:asciiTheme="minorBidi" w:hAnsiTheme="minorBidi" w:cstheme="minorBidi"/>
          <w:sz w:val="22"/>
          <w:szCs w:val="22"/>
          <w:lang w:val="es-ES_tradnl"/>
        </w:rPr>
        <w:t xml:space="preserve"> las necesidades y los puntos de vista de los Estados Miembros de la COI con respecto al valor añadido, la contribución, el contenido y la estructura de un informe de la COI sobre el estado del océano, recabados por la Secretaría de la COI en respuesta a la circular de la COI sobre la cuestión de fecha 28 de mayo de 2021 (IOC/INF-1393 Rev.),</w:t>
      </w:r>
    </w:p>
    <w:p w14:paraId="7B73E42E" w14:textId="77777777" w:rsidR="006B5125" w:rsidRPr="002F4384" w:rsidRDefault="006B5125" w:rsidP="006B5125">
      <w:pPr>
        <w:tabs>
          <w:tab w:val="left" w:pos="709"/>
        </w:tabs>
        <w:spacing w:after="240"/>
        <w:jc w:val="both"/>
        <w:rPr>
          <w:rFonts w:asciiTheme="minorBidi" w:hAnsiTheme="minorBidi" w:cstheme="minorBidi"/>
          <w:iCs/>
          <w:sz w:val="22"/>
          <w:szCs w:val="22"/>
          <w:lang w:val="es-ES_tradnl"/>
        </w:rPr>
      </w:pPr>
      <w:r w:rsidRPr="002F4384">
        <w:rPr>
          <w:rFonts w:asciiTheme="minorBidi" w:hAnsiTheme="minorBidi" w:cstheme="minorBidi"/>
          <w:sz w:val="22"/>
          <w:szCs w:val="22"/>
          <w:u w:val="single"/>
          <w:lang w:val="es-ES_tradnl"/>
        </w:rPr>
        <w:t>Teniendo en cuenta también</w:t>
      </w:r>
      <w:r w:rsidRPr="002F4384">
        <w:rPr>
          <w:rFonts w:asciiTheme="minorBidi" w:hAnsiTheme="minorBidi" w:cstheme="minorBidi"/>
          <w:sz w:val="22"/>
          <w:szCs w:val="22"/>
          <w:lang w:val="es-ES_tradnl"/>
        </w:rPr>
        <w:t xml:space="preserve"> las recomendaciones de la consulta oficiosa de expertos sobre el posible alcance de un informe de la COI sobre el estado del océano (IOC/INF-1393 Rev.),</w:t>
      </w:r>
    </w:p>
    <w:p w14:paraId="2805BF82" w14:textId="5AF53573" w:rsidR="006B5125" w:rsidRPr="002F4384" w:rsidRDefault="006B5125" w:rsidP="006B5125">
      <w:pPr>
        <w:tabs>
          <w:tab w:val="left" w:pos="709"/>
        </w:tabs>
        <w:spacing w:after="240"/>
        <w:jc w:val="both"/>
        <w:rPr>
          <w:rFonts w:asciiTheme="minorBidi" w:hAnsiTheme="minorBidi" w:cstheme="minorBidi"/>
          <w:iCs/>
          <w:sz w:val="22"/>
          <w:szCs w:val="22"/>
          <w:lang w:val="es-ES_tradnl"/>
        </w:rPr>
      </w:pPr>
      <w:r w:rsidRPr="002F4384">
        <w:rPr>
          <w:rFonts w:asciiTheme="minorBidi" w:hAnsiTheme="minorBidi" w:cstheme="minorBidi"/>
          <w:sz w:val="22"/>
          <w:szCs w:val="22"/>
          <w:u w:val="single"/>
          <w:lang w:val="es-ES_tradnl"/>
        </w:rPr>
        <w:t>Tomando nota</w:t>
      </w:r>
      <w:r w:rsidRPr="002F4384">
        <w:rPr>
          <w:rFonts w:asciiTheme="minorBidi" w:hAnsiTheme="minorBidi" w:cstheme="minorBidi"/>
          <w:sz w:val="22"/>
          <w:szCs w:val="22"/>
          <w:lang w:val="es-ES_tradnl"/>
        </w:rPr>
        <w:t xml:space="preserve"> del contenido y el formato sugeridos de la edición piloto del </w:t>
      </w:r>
      <w:r w:rsidR="0064739F" w:rsidRPr="002F4384">
        <w:rPr>
          <w:rFonts w:asciiTheme="minorBidi" w:hAnsiTheme="minorBidi" w:cstheme="minorBidi"/>
          <w:i/>
          <w:iCs/>
          <w:sz w:val="22"/>
          <w:szCs w:val="22"/>
          <w:lang w:val="es-ES_tradnl"/>
        </w:rPr>
        <w:t>I</w:t>
      </w:r>
      <w:r w:rsidRPr="002F4384">
        <w:rPr>
          <w:rFonts w:asciiTheme="minorBidi" w:hAnsiTheme="minorBidi" w:cstheme="minorBidi"/>
          <w:i/>
          <w:iCs/>
          <w:sz w:val="22"/>
          <w:szCs w:val="22"/>
          <w:lang w:val="es-ES_tradnl"/>
        </w:rPr>
        <w:t>nforme de la COI sobre el estado del océano</w:t>
      </w:r>
      <w:r w:rsidRPr="002F4384">
        <w:rPr>
          <w:rFonts w:asciiTheme="minorBidi" w:hAnsiTheme="minorBidi" w:cstheme="minorBidi"/>
          <w:i/>
          <w:sz w:val="22"/>
          <w:szCs w:val="22"/>
          <w:lang w:val="es-ES_tradnl"/>
        </w:rPr>
        <w:t xml:space="preserve"> </w:t>
      </w:r>
      <w:r w:rsidRPr="002F4384">
        <w:rPr>
          <w:rFonts w:asciiTheme="minorBidi" w:hAnsiTheme="minorBidi" w:cstheme="minorBidi"/>
          <w:sz w:val="22"/>
          <w:szCs w:val="22"/>
          <w:lang w:val="es-ES_tradnl"/>
        </w:rPr>
        <w:t>que se presentan en el documento IOC/EC-55/3.3.Doc(1),</w:t>
      </w:r>
    </w:p>
    <w:p w14:paraId="7F90AF5F" w14:textId="67D91A61" w:rsidR="006B5125" w:rsidRPr="002F4384" w:rsidRDefault="006B5125" w:rsidP="006B5125">
      <w:pPr>
        <w:tabs>
          <w:tab w:val="left" w:pos="709"/>
        </w:tabs>
        <w:spacing w:after="240"/>
        <w:jc w:val="both"/>
        <w:rPr>
          <w:rFonts w:asciiTheme="minorBidi" w:hAnsiTheme="minorBidi" w:cstheme="minorBidi"/>
          <w:iCs/>
          <w:sz w:val="22"/>
          <w:szCs w:val="22"/>
          <w:lang w:val="es-ES_tradnl"/>
        </w:rPr>
      </w:pPr>
      <w:r w:rsidRPr="002F4384">
        <w:rPr>
          <w:rFonts w:asciiTheme="minorBidi" w:hAnsiTheme="minorBidi" w:cstheme="minorBidi"/>
          <w:sz w:val="22"/>
          <w:szCs w:val="22"/>
          <w:u w:val="single"/>
          <w:lang w:val="es-ES_tradnl"/>
        </w:rPr>
        <w:t>Acoge con beneplácito</w:t>
      </w:r>
      <w:r w:rsidRPr="002F4384">
        <w:rPr>
          <w:rFonts w:asciiTheme="minorBidi" w:hAnsiTheme="minorBidi" w:cstheme="minorBidi"/>
          <w:sz w:val="22"/>
          <w:szCs w:val="22"/>
          <w:lang w:val="es-ES_tradnl"/>
        </w:rPr>
        <w:t xml:space="preserve"> la publicación periódica del </w:t>
      </w:r>
      <w:r w:rsidR="0064739F" w:rsidRPr="002F4384">
        <w:rPr>
          <w:rFonts w:asciiTheme="minorBidi" w:hAnsiTheme="minorBidi" w:cstheme="minorBidi"/>
          <w:i/>
          <w:iCs/>
          <w:sz w:val="22"/>
          <w:szCs w:val="22"/>
          <w:lang w:val="es-ES_tradnl"/>
        </w:rPr>
        <w:t>I</w:t>
      </w:r>
      <w:r w:rsidRPr="002F4384">
        <w:rPr>
          <w:rFonts w:asciiTheme="minorBidi" w:hAnsiTheme="minorBidi" w:cstheme="minorBidi"/>
          <w:i/>
          <w:iCs/>
          <w:sz w:val="22"/>
          <w:szCs w:val="22"/>
          <w:lang w:val="es-ES_tradnl"/>
        </w:rPr>
        <w:t>nforme de la COI sobre el estado del océano</w:t>
      </w:r>
      <w:r w:rsidRPr="002F4384">
        <w:rPr>
          <w:rFonts w:asciiTheme="minorBidi" w:hAnsiTheme="minorBidi" w:cstheme="minorBidi"/>
          <w:sz w:val="22"/>
          <w:szCs w:val="22"/>
          <w:lang w:val="es-ES_tradnl"/>
        </w:rPr>
        <w:t xml:space="preserve"> basándose en el modelo presentado en la edición piloto del informe y teniendo en cuenta las observaciones formuladas durante su 55ª reunión;</w:t>
      </w:r>
    </w:p>
    <w:p w14:paraId="6CA4C4D9" w14:textId="655476B5" w:rsidR="006B5125" w:rsidRPr="002F4384" w:rsidRDefault="006B5125" w:rsidP="006B5125">
      <w:pPr>
        <w:tabs>
          <w:tab w:val="left" w:pos="709"/>
        </w:tabs>
        <w:spacing w:after="240"/>
        <w:jc w:val="both"/>
        <w:rPr>
          <w:rFonts w:asciiTheme="minorBidi" w:hAnsiTheme="minorBidi" w:cstheme="minorBidi"/>
          <w:iCs/>
          <w:sz w:val="22"/>
          <w:szCs w:val="22"/>
          <w:lang w:val="es-ES_tradnl"/>
        </w:rPr>
      </w:pPr>
      <w:r w:rsidRPr="002F4384">
        <w:rPr>
          <w:rFonts w:asciiTheme="minorBidi" w:hAnsiTheme="minorBidi" w:cstheme="minorBidi"/>
          <w:sz w:val="22"/>
          <w:szCs w:val="22"/>
          <w:u w:val="single"/>
          <w:lang w:val="es-ES_tradnl"/>
        </w:rPr>
        <w:t>Pide</w:t>
      </w:r>
      <w:r w:rsidRPr="002F4384">
        <w:rPr>
          <w:rFonts w:asciiTheme="minorBidi" w:hAnsiTheme="minorBidi" w:cstheme="minorBidi"/>
          <w:sz w:val="22"/>
          <w:szCs w:val="22"/>
          <w:lang w:val="es-ES_tradnl"/>
        </w:rPr>
        <w:t xml:space="preserve"> al Secretario Ejecutivo que envíe una circular en la que se resuman los debates mantenidos en su 55ª reunión y se solicite orientación a los Estados Miembros sobre el alcance, el proceso, la frecuencia y los planes para el futuro con miras a mejorar la versión piloto del </w:t>
      </w:r>
      <w:r w:rsidR="0064739F" w:rsidRPr="002F4384">
        <w:rPr>
          <w:rFonts w:asciiTheme="minorBidi" w:hAnsiTheme="minorBidi" w:cstheme="minorBidi"/>
          <w:i/>
          <w:sz w:val="22"/>
          <w:szCs w:val="22"/>
          <w:lang w:val="es-ES_tradnl"/>
        </w:rPr>
        <w:t>I</w:t>
      </w:r>
      <w:r w:rsidRPr="002F4384">
        <w:rPr>
          <w:rFonts w:asciiTheme="minorBidi" w:hAnsiTheme="minorBidi" w:cstheme="minorBidi"/>
          <w:i/>
          <w:sz w:val="22"/>
          <w:szCs w:val="22"/>
          <w:lang w:val="es-ES_tradnl"/>
        </w:rPr>
        <w:t xml:space="preserve">nforme de la COI sobre el estado del océano </w:t>
      </w:r>
      <w:r w:rsidRPr="002F4384">
        <w:rPr>
          <w:rFonts w:asciiTheme="minorBidi" w:hAnsiTheme="minorBidi" w:cstheme="minorBidi"/>
          <w:sz w:val="22"/>
          <w:szCs w:val="22"/>
          <w:lang w:val="es-ES_tradnl"/>
        </w:rPr>
        <w:t>que se presentará a la Asamblea en su 32ª reunión;</w:t>
      </w:r>
    </w:p>
    <w:p w14:paraId="0820A40F" w14:textId="77777777" w:rsidR="006B5125" w:rsidRPr="002F4384" w:rsidRDefault="006B5125" w:rsidP="006B5125">
      <w:pPr>
        <w:tabs>
          <w:tab w:val="left" w:pos="709"/>
        </w:tabs>
        <w:spacing w:after="240"/>
        <w:jc w:val="both"/>
        <w:rPr>
          <w:rFonts w:asciiTheme="minorBidi" w:hAnsiTheme="minorBidi" w:cstheme="minorBidi"/>
          <w:iCs/>
          <w:sz w:val="22"/>
          <w:szCs w:val="22"/>
          <w:lang w:val="es-ES_tradnl"/>
        </w:rPr>
      </w:pPr>
      <w:r w:rsidRPr="002F4384">
        <w:rPr>
          <w:rFonts w:asciiTheme="minorBidi" w:hAnsiTheme="minorBidi" w:cstheme="minorBidi"/>
          <w:sz w:val="22"/>
          <w:szCs w:val="22"/>
          <w:u w:val="single"/>
          <w:lang w:val="es-ES_tradnl"/>
        </w:rPr>
        <w:t>Pide también</w:t>
      </w:r>
      <w:r w:rsidRPr="002F4384">
        <w:rPr>
          <w:rFonts w:asciiTheme="minorBidi" w:hAnsiTheme="minorBidi" w:cstheme="minorBidi"/>
          <w:sz w:val="22"/>
          <w:szCs w:val="22"/>
          <w:lang w:val="es-ES_tradnl"/>
        </w:rPr>
        <w:t xml:space="preserve"> al Secretario Ejecutivo de la COI que coordine la elaboración del informe;</w:t>
      </w:r>
    </w:p>
    <w:p w14:paraId="6742843A" w14:textId="77777777" w:rsidR="006B5125" w:rsidRPr="002F4384" w:rsidRDefault="006B5125" w:rsidP="006B5125">
      <w:pPr>
        <w:tabs>
          <w:tab w:val="left" w:pos="709"/>
        </w:tabs>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u w:val="single"/>
          <w:lang w:val="es-ES_tradnl"/>
        </w:rPr>
        <w:t>Invita</w:t>
      </w:r>
      <w:r w:rsidRPr="002F4384">
        <w:rPr>
          <w:rFonts w:asciiTheme="minorBidi" w:hAnsiTheme="minorBidi" w:cstheme="minorBidi"/>
          <w:sz w:val="22"/>
          <w:szCs w:val="22"/>
          <w:lang w:val="es-ES_tradnl"/>
        </w:rPr>
        <w:t xml:space="preserve"> a los Estados Miembros de la COI a que aporten recursos financieros extrapresupuestarios para preparar el informe de conformidad con los tipos de gastos presentados en la edición piloto del </w:t>
      </w:r>
      <w:r w:rsidRPr="002F4384">
        <w:rPr>
          <w:rFonts w:asciiTheme="minorBidi" w:hAnsiTheme="minorBidi" w:cstheme="minorBidi"/>
          <w:i/>
          <w:sz w:val="22"/>
          <w:szCs w:val="22"/>
          <w:lang w:val="es-ES_tradnl"/>
        </w:rPr>
        <w:t>informe de la COI sobre el estado del océano</w:t>
      </w:r>
      <w:r w:rsidRPr="002F4384">
        <w:rPr>
          <w:rFonts w:asciiTheme="minorBidi" w:hAnsiTheme="minorBidi" w:cstheme="minorBidi"/>
          <w:iCs/>
          <w:sz w:val="22"/>
          <w:szCs w:val="22"/>
          <w:lang w:val="es-ES_tradnl"/>
        </w:rPr>
        <w:t>;</w:t>
      </w:r>
    </w:p>
    <w:p w14:paraId="7DD7886C" w14:textId="73DFFAC1" w:rsidR="006B5125" w:rsidRPr="002F4384" w:rsidRDefault="006B5125" w:rsidP="006B5125">
      <w:pPr>
        <w:tabs>
          <w:tab w:val="left" w:pos="709"/>
        </w:tabs>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u w:val="single"/>
          <w:lang w:val="es-ES_tradnl"/>
        </w:rPr>
        <w:lastRenderedPageBreak/>
        <w:t>Invita también</w:t>
      </w:r>
      <w:r w:rsidRPr="002F4384">
        <w:rPr>
          <w:rFonts w:asciiTheme="minorBidi" w:hAnsiTheme="minorBidi" w:cstheme="minorBidi"/>
          <w:sz w:val="22"/>
          <w:szCs w:val="22"/>
          <w:lang w:val="es-ES_tradnl"/>
        </w:rPr>
        <w:t xml:space="preserve"> a todos los asociados científicos de la COI a que contribuyan al informe y lo utilicen para presentar sus conclusiones sobre la situación y las tendencias de nuestro océano común desde la perspectiva de la salud del océano y las intervenciones de gestión necesarias;</w:t>
      </w:r>
    </w:p>
    <w:p w14:paraId="509991E4" w14:textId="4D3B6680" w:rsidR="006B5125" w:rsidRPr="002F4384" w:rsidRDefault="006B5125" w:rsidP="006B5125">
      <w:pPr>
        <w:tabs>
          <w:tab w:val="left" w:pos="709"/>
        </w:tabs>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u w:val="single"/>
          <w:lang w:val="es-ES_tradnl"/>
        </w:rPr>
        <w:t>Exhorta</w:t>
      </w:r>
      <w:r w:rsidRPr="002F4384">
        <w:rPr>
          <w:rFonts w:asciiTheme="minorBidi" w:hAnsiTheme="minorBidi" w:cstheme="minorBidi"/>
          <w:sz w:val="22"/>
          <w:szCs w:val="22"/>
          <w:lang w:val="es-ES_tradnl"/>
        </w:rPr>
        <w:t xml:space="preserve"> al Secretario Ejecutivo a que promueva las conclusiones </w:t>
      </w:r>
      <w:r w:rsidRPr="002F4384">
        <w:rPr>
          <w:rFonts w:asciiTheme="minorBidi" w:hAnsiTheme="minorBidi" w:cstheme="minorBidi"/>
          <w:i/>
          <w:sz w:val="22"/>
          <w:szCs w:val="22"/>
          <w:lang w:val="es-ES_tradnl"/>
        </w:rPr>
        <w:t xml:space="preserve">del </w:t>
      </w:r>
      <w:r w:rsidR="0064739F" w:rsidRPr="002F4384">
        <w:rPr>
          <w:rFonts w:asciiTheme="minorBidi" w:hAnsiTheme="minorBidi" w:cstheme="minorBidi"/>
          <w:i/>
          <w:iCs/>
          <w:sz w:val="22"/>
          <w:szCs w:val="22"/>
          <w:lang w:val="es-ES_tradnl"/>
        </w:rPr>
        <w:t>I</w:t>
      </w:r>
      <w:r w:rsidRPr="002F4384">
        <w:rPr>
          <w:rFonts w:asciiTheme="minorBidi" w:hAnsiTheme="minorBidi" w:cstheme="minorBidi"/>
          <w:i/>
          <w:iCs/>
          <w:sz w:val="22"/>
          <w:szCs w:val="22"/>
          <w:lang w:val="es-ES_tradnl"/>
        </w:rPr>
        <w:t>nforme de la COI sobre el estado del océano</w:t>
      </w:r>
      <w:r w:rsidRPr="002F4384">
        <w:rPr>
          <w:rFonts w:asciiTheme="minorBidi" w:hAnsiTheme="minorBidi" w:cstheme="minorBidi"/>
          <w:sz w:val="22"/>
          <w:szCs w:val="22"/>
          <w:lang w:val="es-ES_tradnl"/>
        </w:rPr>
        <w:t xml:space="preserve"> por conducto de los canales de comunicación adecuados.</w:t>
      </w:r>
    </w:p>
    <w:p w14:paraId="23DEAA8F" w14:textId="7F71DD4F" w:rsidR="00875F9C" w:rsidRPr="002F4384" w:rsidRDefault="00DE2391" w:rsidP="00DE2391">
      <w:pPr>
        <w:pStyle w:val="Heading2"/>
        <w:tabs>
          <w:tab w:val="clear" w:pos="737"/>
        </w:tabs>
        <w:ind w:left="709" w:hanging="709"/>
        <w:rPr>
          <w:rFonts w:asciiTheme="minorBidi" w:hAnsiTheme="minorBidi" w:cstheme="minorBidi"/>
          <w:szCs w:val="22"/>
          <w:lang w:val="es-ES_tradnl"/>
        </w:rPr>
      </w:pPr>
      <w:bookmarkStart w:id="118" w:name="_IOC-RELEVANT_ISSUES_RELATED"/>
      <w:bookmarkStart w:id="119" w:name="_Toc115256318"/>
      <w:bookmarkStart w:id="120" w:name="_Toc57369054"/>
      <w:bookmarkStart w:id="121" w:name="_Toc85469063"/>
      <w:bookmarkStart w:id="122" w:name="_Toc38080253"/>
      <w:bookmarkStart w:id="123" w:name="_Toc100506265"/>
      <w:bookmarkStart w:id="124" w:name="_Toc135143714"/>
      <w:bookmarkStart w:id="125" w:name="_Toc164651235"/>
      <w:bookmarkStart w:id="126" w:name="_Toc199912196"/>
      <w:bookmarkStart w:id="127" w:name="_Toc225590804"/>
      <w:bookmarkStart w:id="128" w:name="_Toc225660265"/>
      <w:bookmarkEnd w:id="118"/>
      <w:r w:rsidRPr="002F4384">
        <w:rPr>
          <w:rFonts w:asciiTheme="minorBidi" w:hAnsiTheme="minorBidi" w:cstheme="minorBidi"/>
          <w:szCs w:val="22"/>
          <w:lang w:val="es-ES_tradnl"/>
        </w:rPr>
        <w:t>3.4</w:t>
      </w:r>
      <w:r w:rsidRPr="002F4384">
        <w:rPr>
          <w:rFonts w:asciiTheme="minorBidi" w:hAnsiTheme="minorBidi" w:cstheme="minorBidi"/>
          <w:szCs w:val="22"/>
          <w:lang w:val="es-ES_tradnl"/>
        </w:rPr>
        <w:tab/>
        <w:t>OBSERVACIONES OCEÁNICAS EN ZONAS SUJETAS A LA JURISDICCIÓN NACIONAL</w:t>
      </w:r>
      <w:bookmarkEnd w:id="119"/>
      <w:r w:rsidRPr="002F4384">
        <w:rPr>
          <w:rFonts w:asciiTheme="minorBidi" w:hAnsiTheme="minorBidi" w:cstheme="minorBidi"/>
          <w:szCs w:val="22"/>
          <w:lang w:val="es-ES_tradnl"/>
        </w:rPr>
        <w:t xml:space="preserve"> </w:t>
      </w:r>
      <w:bookmarkEnd w:id="120"/>
    </w:p>
    <w:p w14:paraId="6F6F8DBB" w14:textId="191FB0F0" w:rsidR="00D037BF" w:rsidRPr="002F4384" w:rsidRDefault="00667651" w:rsidP="007D4618">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La Jefa interina de la Sección de Observaciones y Servicios Oceánicos de la COI, </w:t>
      </w:r>
      <w:r w:rsidR="00DA33AD" w:rsidRPr="002F4384">
        <w:rPr>
          <w:rFonts w:asciiTheme="minorBidi" w:hAnsiTheme="minorBidi" w:cstheme="minorBidi"/>
          <w:lang w:val="es-ES_tradnl"/>
        </w:rPr>
        <w:t xml:space="preserve">Sra. </w:t>
      </w:r>
      <w:r w:rsidRPr="002F4384">
        <w:rPr>
          <w:rFonts w:asciiTheme="minorBidi" w:hAnsiTheme="minorBidi" w:cstheme="minorBidi"/>
          <w:lang w:val="es-ES_tradnl"/>
        </w:rPr>
        <w:t>Emma Heslop, presentó este punto. Recordó el éxito que había tenido la COI en la elaboración de un marco de cooperación para el intercambio en tiempo real de datos oceánicos recogidos en zonas económicas exclusivas (ZEE). En particular</w:t>
      </w:r>
      <w:r w:rsidR="005157A7" w:rsidRPr="002F4384">
        <w:rPr>
          <w:rFonts w:asciiTheme="minorBidi" w:hAnsiTheme="minorBidi" w:cstheme="minorBidi"/>
          <w:lang w:val="es-ES_tradnl"/>
        </w:rPr>
        <w:t>,</w:t>
      </w:r>
      <w:r w:rsidRPr="002F4384">
        <w:rPr>
          <w:rFonts w:asciiTheme="minorBidi" w:hAnsiTheme="minorBidi" w:cstheme="minorBidi"/>
          <w:lang w:val="es-ES_tradnl"/>
        </w:rPr>
        <w:t xml:space="preserve"> la Comisión había creado con éxito un marco y un mecanismo acordados por los Estados Miembros, en cumplimiento de la Convención de las Naciones Unidas sobre el Derecho del Mar (</w:t>
      </w:r>
      <w:r w:rsidR="009B5127" w:rsidRPr="002F4384">
        <w:rPr>
          <w:rFonts w:asciiTheme="minorBidi" w:hAnsiTheme="minorBidi" w:cstheme="minorBidi"/>
          <w:bCs/>
          <w:lang w:val="es-ES_tradnl"/>
        </w:rPr>
        <w:t>CNUDM</w:t>
      </w:r>
      <w:r w:rsidRPr="002F4384">
        <w:rPr>
          <w:rFonts w:asciiTheme="minorBidi" w:hAnsiTheme="minorBidi" w:cstheme="minorBidi"/>
          <w:lang w:val="es-ES_tradnl"/>
        </w:rPr>
        <w:t>), para el suministro de datos de flotadores del programa mundial Argo que derivan hacia ZEE.</w:t>
      </w:r>
    </w:p>
    <w:p w14:paraId="259D4249" w14:textId="6FD394BE" w:rsidR="00D037BF" w:rsidRPr="002F4384" w:rsidRDefault="00667651"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La decisión EC-LI/4.8</w:t>
      </w:r>
      <w:r w:rsidR="00DA33AD" w:rsidRPr="002F4384">
        <w:rPr>
          <w:rFonts w:asciiTheme="minorBidi" w:hAnsiTheme="minorBidi" w:cstheme="minorBidi"/>
          <w:lang w:val="es-ES_tradnl"/>
        </w:rPr>
        <w:t xml:space="preserve"> de la COI</w:t>
      </w:r>
      <w:r w:rsidRPr="002F4384">
        <w:rPr>
          <w:rFonts w:asciiTheme="minorBidi" w:hAnsiTheme="minorBidi" w:cstheme="minorBidi"/>
          <w:lang w:val="es-ES_tradnl"/>
        </w:rPr>
        <w:t xml:space="preserve"> de 2018</w:t>
      </w:r>
      <w:r w:rsidR="00DA33AD" w:rsidRPr="002F4384">
        <w:rPr>
          <w:rFonts w:asciiTheme="minorBidi" w:hAnsiTheme="minorBidi" w:cstheme="minorBidi"/>
          <w:lang w:val="es-ES_tradnl"/>
        </w:rPr>
        <w:t>, en la</w:t>
      </w:r>
      <w:r w:rsidRPr="002F4384">
        <w:rPr>
          <w:rFonts w:asciiTheme="minorBidi" w:hAnsiTheme="minorBidi" w:cstheme="minorBidi"/>
          <w:lang w:val="es-ES_tradnl"/>
        </w:rPr>
        <w:t xml:space="preserve"> que</w:t>
      </w:r>
      <w:r w:rsidR="00DA33AD" w:rsidRPr="002F4384">
        <w:rPr>
          <w:rFonts w:asciiTheme="minorBidi" w:hAnsiTheme="minorBidi" w:cstheme="minorBidi"/>
          <w:lang w:val="es-ES_tradnl"/>
        </w:rPr>
        <w:t xml:space="preserve"> se</w:t>
      </w:r>
      <w:r w:rsidRPr="002F4384">
        <w:rPr>
          <w:rFonts w:asciiTheme="minorBidi" w:hAnsiTheme="minorBidi" w:cstheme="minorBidi"/>
          <w:lang w:val="es-ES_tradnl"/>
        </w:rPr>
        <w:t xml:space="preserve"> </w:t>
      </w:r>
      <w:r w:rsidR="00320F03" w:rsidRPr="002F4384">
        <w:rPr>
          <w:rFonts w:asciiTheme="minorBidi" w:hAnsiTheme="minorBidi" w:cstheme="minorBidi"/>
          <w:lang w:val="es-ES_tradnl"/>
        </w:rPr>
        <w:t>aprobaba</w:t>
      </w:r>
      <w:r w:rsidRPr="002F4384">
        <w:rPr>
          <w:rFonts w:asciiTheme="minorBidi" w:hAnsiTheme="minorBidi" w:cstheme="minorBidi"/>
          <w:lang w:val="es-ES_tradnl"/>
        </w:rPr>
        <w:t xml:space="preserve"> una ampliación del sistema de notificación de Argo para incluir seis parámetros biogeoquímicos </w:t>
      </w:r>
      <w:r w:rsidR="00F87EA3" w:rsidRPr="002F4384">
        <w:rPr>
          <w:rFonts w:asciiTheme="minorBidi" w:hAnsiTheme="minorBidi" w:cstheme="minorBidi"/>
          <w:lang w:val="es-ES_tradnl"/>
        </w:rPr>
        <w:t>—</w:t>
      </w:r>
      <w:r w:rsidRPr="002F4384">
        <w:rPr>
          <w:rFonts w:asciiTheme="minorBidi" w:hAnsiTheme="minorBidi" w:cstheme="minorBidi"/>
          <w:lang w:val="es-ES_tradnl"/>
        </w:rPr>
        <w:t>oxígeno, pH, nitratos, clorofila, retrodispersión e irradiancia</w:t>
      </w:r>
      <w:r w:rsidR="00F87EA3" w:rsidRPr="002F4384">
        <w:rPr>
          <w:rFonts w:asciiTheme="minorBidi" w:hAnsiTheme="minorBidi" w:cstheme="minorBidi"/>
          <w:lang w:val="es-ES_tradnl"/>
        </w:rPr>
        <w:t>—</w:t>
      </w:r>
      <w:r w:rsidRPr="002F4384">
        <w:rPr>
          <w:rFonts w:asciiTheme="minorBidi" w:hAnsiTheme="minorBidi" w:cstheme="minorBidi"/>
          <w:lang w:val="es-ES_tradnl"/>
        </w:rPr>
        <w:t xml:space="preserve"> había sido un avance reciente e importante para </w:t>
      </w:r>
      <w:r w:rsidR="00C45663" w:rsidRPr="002F4384">
        <w:rPr>
          <w:rFonts w:asciiTheme="minorBidi" w:hAnsiTheme="minorBidi" w:cstheme="minorBidi"/>
          <w:lang w:val="es-ES_tradnl"/>
        </w:rPr>
        <w:t>aceptar</w:t>
      </w:r>
      <w:r w:rsidRPr="002F4384">
        <w:rPr>
          <w:rFonts w:asciiTheme="minorBidi" w:hAnsiTheme="minorBidi" w:cstheme="minorBidi"/>
          <w:lang w:val="es-ES_tradnl"/>
        </w:rPr>
        <w:t xml:space="preserve"> la necesidad de una gama más amplia de observaciones sostenidas. También</w:t>
      </w:r>
      <w:r w:rsidR="00DA33AD" w:rsidRPr="002F4384">
        <w:rPr>
          <w:rFonts w:asciiTheme="minorBidi" w:hAnsiTheme="minorBidi" w:cstheme="minorBidi"/>
          <w:lang w:val="es-ES_tradnl"/>
        </w:rPr>
        <w:t xml:space="preserve"> se</w:t>
      </w:r>
      <w:r w:rsidRPr="002F4384">
        <w:rPr>
          <w:rFonts w:asciiTheme="minorBidi" w:hAnsiTheme="minorBidi" w:cstheme="minorBidi"/>
          <w:lang w:val="es-ES_tradnl"/>
        </w:rPr>
        <w:t xml:space="preserve"> </w:t>
      </w:r>
      <w:r w:rsidR="00320F03" w:rsidRPr="002F4384">
        <w:rPr>
          <w:rFonts w:asciiTheme="minorBidi" w:hAnsiTheme="minorBidi" w:cstheme="minorBidi"/>
          <w:lang w:val="es-ES_tradnl"/>
        </w:rPr>
        <w:t>reconocía</w:t>
      </w:r>
      <w:r w:rsidRPr="002F4384">
        <w:rPr>
          <w:rFonts w:asciiTheme="minorBidi" w:hAnsiTheme="minorBidi" w:cstheme="minorBidi"/>
          <w:lang w:val="es-ES_tradnl"/>
        </w:rPr>
        <w:t xml:space="preserve"> la contribución del programa Argo a la observación mundial de los océanos</w:t>
      </w:r>
      <w:r w:rsidR="00C45663" w:rsidRPr="002F4384">
        <w:rPr>
          <w:rFonts w:asciiTheme="minorBidi" w:hAnsiTheme="minorBidi" w:cstheme="minorBidi"/>
          <w:lang w:val="es-ES_tradnl"/>
        </w:rPr>
        <w:t>, así como</w:t>
      </w:r>
      <w:r w:rsidRPr="002F4384">
        <w:rPr>
          <w:rFonts w:asciiTheme="minorBidi" w:hAnsiTheme="minorBidi" w:cstheme="minorBidi"/>
          <w:lang w:val="es-ES_tradnl"/>
        </w:rPr>
        <w:t xml:space="preserve"> la confianza que inspiraban las soluciones en las que intervenía la COI. Sin embargo, muchos otros encargados de la observación de los océanos, y el propio programa Argo en lo que se </w:t>
      </w:r>
      <w:r w:rsidR="00F87EA3" w:rsidRPr="002F4384">
        <w:rPr>
          <w:rFonts w:asciiTheme="minorBidi" w:hAnsiTheme="minorBidi" w:cstheme="minorBidi"/>
          <w:lang w:val="es-ES_tradnl"/>
        </w:rPr>
        <w:t>refería</w:t>
      </w:r>
      <w:r w:rsidRPr="002F4384">
        <w:rPr>
          <w:rFonts w:asciiTheme="minorBidi" w:hAnsiTheme="minorBidi" w:cstheme="minorBidi"/>
          <w:lang w:val="es-ES_tradnl"/>
        </w:rPr>
        <w:t xml:space="preserve"> a la instalación de boyas, seguían encontrando dificultades considerables a</w:t>
      </w:r>
      <w:r w:rsidR="00DA33AD" w:rsidRPr="002F4384">
        <w:rPr>
          <w:rFonts w:asciiTheme="minorBidi" w:hAnsiTheme="minorBidi" w:cstheme="minorBidi"/>
          <w:lang w:val="es-ES_tradnl"/>
        </w:rPr>
        <w:t>l</w:t>
      </w:r>
      <w:r w:rsidRPr="002F4384">
        <w:rPr>
          <w:rFonts w:asciiTheme="minorBidi" w:hAnsiTheme="minorBidi" w:cstheme="minorBidi"/>
          <w:lang w:val="es-ES_tradnl"/>
        </w:rPr>
        <w:t xml:space="preserve"> solicitar la autorización para realizar observaciones oceánicas en aguas sujetas a la jurisdicción nacional.</w:t>
      </w:r>
    </w:p>
    <w:p w14:paraId="1D04AE08" w14:textId="2C338841" w:rsidR="00D037BF" w:rsidRPr="002F4384" w:rsidRDefault="00667651"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En 2019, la OMM había celebrado un taller técnico sobre </w:t>
      </w:r>
      <w:r w:rsidR="00B27C8C" w:rsidRPr="002F4384">
        <w:rPr>
          <w:rFonts w:asciiTheme="minorBidi" w:hAnsiTheme="minorBidi" w:cstheme="minorBidi"/>
          <w:lang w:val="es-ES_tradnl"/>
        </w:rPr>
        <w:t>“</w:t>
      </w:r>
      <w:r w:rsidRPr="002F4384">
        <w:rPr>
          <w:rFonts w:asciiTheme="minorBidi" w:hAnsiTheme="minorBidi" w:cstheme="minorBidi"/>
          <w:lang w:val="es-ES_tradnl"/>
        </w:rPr>
        <w:t>la mejora de las observaciones e investigaciones oceánicas, y el libre intercambio de datos, para fomentar servicios para la seguridad de la vida y los bienes</w:t>
      </w:r>
      <w:r w:rsidR="00B27C8C" w:rsidRPr="002F4384">
        <w:rPr>
          <w:rFonts w:asciiTheme="minorBidi" w:hAnsiTheme="minorBidi" w:cstheme="minorBidi"/>
          <w:lang w:val="es-ES_tradnl"/>
        </w:rPr>
        <w:t>”</w:t>
      </w:r>
      <w:r w:rsidRPr="002F4384">
        <w:rPr>
          <w:rFonts w:asciiTheme="minorBidi" w:hAnsiTheme="minorBidi" w:cstheme="minorBidi"/>
          <w:lang w:val="es-ES_tradnl"/>
        </w:rPr>
        <w:t xml:space="preserve">. El taller había </w:t>
      </w:r>
      <w:r w:rsidR="00636568" w:rsidRPr="002F4384">
        <w:rPr>
          <w:rFonts w:asciiTheme="minorBidi" w:hAnsiTheme="minorBidi" w:cstheme="minorBidi"/>
          <w:lang w:val="es-ES_tradnl"/>
        </w:rPr>
        <w:t>tenido como resultado</w:t>
      </w:r>
      <w:r w:rsidRPr="002F4384">
        <w:rPr>
          <w:rFonts w:asciiTheme="minorBidi" w:hAnsiTheme="minorBidi" w:cstheme="minorBidi"/>
          <w:lang w:val="es-ES_tradnl"/>
        </w:rPr>
        <w:t xml:space="preserve"> dos resoluciones aprobadas en el Decimoctavo Congreso Meteorológico Mundial. </w:t>
      </w:r>
      <w:r w:rsidR="00DA33AD" w:rsidRPr="002F4384">
        <w:rPr>
          <w:rFonts w:asciiTheme="minorBidi" w:hAnsiTheme="minorBidi" w:cstheme="minorBidi"/>
          <w:lang w:val="es-ES_tradnl"/>
        </w:rPr>
        <w:t>En l</w:t>
      </w:r>
      <w:r w:rsidRPr="002F4384">
        <w:rPr>
          <w:rFonts w:asciiTheme="minorBidi" w:hAnsiTheme="minorBidi" w:cstheme="minorBidi"/>
          <w:lang w:val="es-ES_tradnl"/>
        </w:rPr>
        <w:t xml:space="preserve">a resolución 45 (Cg-18) </w:t>
      </w:r>
      <w:r w:rsidR="00DA33AD" w:rsidRPr="002F4384">
        <w:rPr>
          <w:rFonts w:asciiTheme="minorBidi" w:hAnsiTheme="minorBidi" w:cstheme="minorBidi"/>
          <w:lang w:val="es-ES_tradnl"/>
        </w:rPr>
        <w:t xml:space="preserve">se </w:t>
      </w:r>
      <w:r w:rsidRPr="002F4384">
        <w:rPr>
          <w:rFonts w:asciiTheme="minorBidi" w:hAnsiTheme="minorBidi" w:cstheme="minorBidi"/>
          <w:lang w:val="es-ES_tradnl"/>
        </w:rPr>
        <w:t xml:space="preserve">aclaraba el régimen jurídico en virtud del cual funcionaban el sistema de buques de observación voluntaria (BOV) y las plataformas de observación en superficie al realizar observaciones meteorológicas marinas, y </w:t>
      </w:r>
      <w:r w:rsidR="00DA33AD" w:rsidRPr="002F4384">
        <w:rPr>
          <w:rFonts w:asciiTheme="minorBidi" w:hAnsiTheme="minorBidi" w:cstheme="minorBidi"/>
          <w:lang w:val="es-ES_tradnl"/>
        </w:rPr>
        <w:t xml:space="preserve">se </w:t>
      </w:r>
      <w:r w:rsidRPr="002F4384">
        <w:rPr>
          <w:rFonts w:asciiTheme="minorBidi" w:hAnsiTheme="minorBidi" w:cstheme="minorBidi"/>
          <w:lang w:val="es-ES_tradnl"/>
        </w:rPr>
        <w:t xml:space="preserve">afirmaba que no estaban contemplados en las disposiciones de la Parte XIII de la </w:t>
      </w:r>
      <w:r w:rsidR="009B5127" w:rsidRPr="002F4384">
        <w:rPr>
          <w:rFonts w:asciiTheme="minorBidi" w:hAnsiTheme="minorBidi" w:cstheme="minorBidi"/>
          <w:lang w:val="es-ES_tradnl"/>
        </w:rPr>
        <w:t>CNUDM</w:t>
      </w:r>
      <w:r w:rsidRPr="002F4384">
        <w:rPr>
          <w:rFonts w:asciiTheme="minorBidi" w:hAnsiTheme="minorBidi" w:cstheme="minorBidi"/>
          <w:lang w:val="es-ES_tradnl"/>
        </w:rPr>
        <w:t xml:space="preserve"> y, por tanto, podían operar libremente en las ZEE. En la resolución 46 (Cg-18) se tenía en cuenta la </w:t>
      </w:r>
      <w:r w:rsidR="00DA33AD" w:rsidRPr="002F4384">
        <w:rPr>
          <w:rFonts w:asciiTheme="minorBidi" w:hAnsiTheme="minorBidi" w:cstheme="minorBidi"/>
          <w:lang w:val="es-ES_tradnl"/>
        </w:rPr>
        <w:t xml:space="preserve">trayectoria </w:t>
      </w:r>
      <w:r w:rsidRPr="002F4384">
        <w:rPr>
          <w:rFonts w:asciiTheme="minorBidi" w:hAnsiTheme="minorBidi" w:cstheme="minorBidi"/>
          <w:lang w:val="es-ES_tradnl"/>
        </w:rPr>
        <w:t xml:space="preserve">de 20 años de trabajo de la COI </w:t>
      </w:r>
      <w:r w:rsidR="00DA33AD" w:rsidRPr="002F4384">
        <w:rPr>
          <w:rFonts w:asciiTheme="minorBidi" w:hAnsiTheme="minorBidi" w:cstheme="minorBidi"/>
          <w:lang w:val="es-ES_tradnl"/>
        </w:rPr>
        <w:t>con miras a elaborar</w:t>
      </w:r>
      <w:r w:rsidRPr="002F4384">
        <w:rPr>
          <w:rFonts w:asciiTheme="minorBidi" w:hAnsiTheme="minorBidi" w:cstheme="minorBidi"/>
          <w:lang w:val="es-ES_tradnl"/>
        </w:rPr>
        <w:t xml:space="preserve"> un marco de cooperación para la difusión de datos oceánicos en las ZEE, y se decidía colaborar estrechamente con la COI a fin de examinar mecanismos que permitieran el libre intercambio de los datos oceánicos subsuperficiales de mayor impacto.</w:t>
      </w:r>
    </w:p>
    <w:p w14:paraId="579535A2" w14:textId="4E440D8B" w:rsidR="00D037BF" w:rsidRPr="002F4384" w:rsidRDefault="00667651"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En febrero de 2020, el GOOS había organizado un taller de expertos sobre </w:t>
      </w:r>
      <w:r w:rsidR="00B27C8C" w:rsidRPr="002F4384">
        <w:rPr>
          <w:rFonts w:asciiTheme="minorBidi" w:hAnsiTheme="minorBidi" w:cstheme="minorBidi"/>
          <w:lang w:val="es-ES_tradnl"/>
        </w:rPr>
        <w:t>“</w:t>
      </w:r>
      <w:r w:rsidRPr="002F4384">
        <w:rPr>
          <w:rFonts w:asciiTheme="minorBidi" w:hAnsiTheme="minorBidi" w:cstheme="minorBidi"/>
          <w:lang w:val="es-ES_tradnl"/>
        </w:rPr>
        <w:t>las observaciones oceánicas en zonas sujetas a jurisdicción nacional” (</w:t>
      </w:r>
      <w:r w:rsidR="007E729B" w:rsidRPr="002F4384">
        <w:rPr>
          <w:rFonts w:asciiTheme="minorBidi" w:hAnsiTheme="minorBidi" w:cstheme="minorBidi"/>
          <w:lang w:val="es-ES_tradnl"/>
        </w:rPr>
        <w:t>Informes del GOOS</w:t>
      </w:r>
      <w:r w:rsidRPr="002F4384">
        <w:rPr>
          <w:rFonts w:asciiTheme="minorBidi" w:hAnsiTheme="minorBidi" w:cstheme="minorBidi"/>
          <w:lang w:val="es-ES_tradnl"/>
        </w:rPr>
        <w:t xml:space="preserve">, 246), a raíz de una serie de solicitudes de los responsables de las redes mundiales de observación de los océanos para que se examinaran los numerosos problemas que planteaban las observaciones oceánicas en las ZEE. En el taller se había analizado una serie de problemas </w:t>
      </w:r>
      <w:r w:rsidR="00B27C8C" w:rsidRPr="002F4384">
        <w:rPr>
          <w:rFonts w:asciiTheme="minorBidi" w:hAnsiTheme="minorBidi" w:cstheme="minorBidi"/>
          <w:lang w:val="es-ES_tradnl"/>
        </w:rPr>
        <w:t>“</w:t>
      </w:r>
      <w:r w:rsidRPr="002F4384">
        <w:rPr>
          <w:rFonts w:asciiTheme="minorBidi" w:hAnsiTheme="minorBidi" w:cstheme="minorBidi"/>
          <w:lang w:val="es-ES_tradnl"/>
        </w:rPr>
        <w:t>de la vida real</w:t>
      </w:r>
      <w:r w:rsidR="00B27C8C" w:rsidRPr="002F4384">
        <w:rPr>
          <w:rFonts w:asciiTheme="minorBidi" w:hAnsiTheme="minorBidi" w:cstheme="minorBidi"/>
          <w:lang w:val="es-ES_tradnl"/>
        </w:rPr>
        <w:t>”</w:t>
      </w:r>
      <w:r w:rsidRPr="002F4384">
        <w:rPr>
          <w:rFonts w:asciiTheme="minorBidi" w:hAnsiTheme="minorBidi" w:cstheme="minorBidi"/>
          <w:lang w:val="es-ES_tradnl"/>
        </w:rPr>
        <w:t xml:space="preserve"> a los que se enfrentaban las redes mundiales de observación permanente de los océanos al realizar observaciones en zonas sujetas a jurisdicción nacional, en particular las ZEE de los Estados costeros. Asimismo, se había examinado el valor de las observaciones para los Estados costeros, así como las posibles preocupaciones de los Estados costeros en relación con las observaciones oceánicas permanentes en zonas situadas dentro de su jurisdicción nacional. Se habían propuesto diversas soluciones posibles y prácticas en el marco de la CNUDM, que se pondrían en marcha mediante una colaboración entre la UNESCO, la OMM y la Oficina de Asuntos Jurídicos de las Naciones Unidas por conducto de su División de Asuntos Oceánicos y del Derecho del Mar (DAODM).</w:t>
      </w:r>
      <w:hyperlink r:id="rId18" w:history="1"/>
      <w:bookmarkStart w:id="129" w:name="_Hlt104407913"/>
      <w:bookmarkStart w:id="130" w:name="_Hlt104407912"/>
      <w:bookmarkEnd w:id="129"/>
      <w:bookmarkEnd w:id="130"/>
    </w:p>
    <w:p w14:paraId="123761B2" w14:textId="2EA3DED7" w:rsidR="00436BDB" w:rsidRPr="002F4384" w:rsidRDefault="00D037BF" w:rsidP="000B5F80">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lastRenderedPageBreak/>
        <w:t>Las solicitudes de autorización para la investigación científica marina podían depender de cuestiones geopolíticas que iban mucho más allá del ámbito de las ciencias oceánicas y, por lo tanto, requerían una acción de más alto nivel por parte de organismos intergubernamentales como la COI, la OMM, la DAODM y la Asamblea General de las Naciones Unidas, que se habían declarado competentes para examinar la evolución de los asuntos del océano y el derecho del mar. Entre las recomendaciones del taller figuraban las siguientes:</w:t>
      </w:r>
    </w:p>
    <w:p w14:paraId="71AB94F8" w14:textId="6EC8F675" w:rsidR="00436BDB" w:rsidRPr="002F4384" w:rsidRDefault="006C6119" w:rsidP="000B5F80">
      <w:pPr>
        <w:pStyle w:val="Style2"/>
        <w:tabs>
          <w:tab w:val="clear" w:pos="1400"/>
        </w:tabs>
        <w:ind w:left="1134" w:hanging="561"/>
        <w:rPr>
          <w:rFonts w:asciiTheme="minorBidi" w:hAnsiTheme="minorBidi" w:cstheme="minorBidi"/>
          <w:lang w:val="es-ES_tradnl"/>
        </w:rPr>
      </w:pPr>
      <w:r w:rsidRPr="002F4384">
        <w:rPr>
          <w:rFonts w:asciiTheme="minorBidi" w:hAnsiTheme="minorBidi" w:cstheme="minorBidi"/>
          <w:lang w:val="es-ES_tradnl"/>
        </w:rPr>
        <w:t xml:space="preserve">i) </w:t>
      </w:r>
      <w:r w:rsidR="00B85366" w:rsidRPr="002F4384">
        <w:rPr>
          <w:rFonts w:asciiTheme="minorBidi" w:hAnsiTheme="minorBidi" w:cstheme="minorBidi"/>
          <w:lang w:val="es-ES_tradnl"/>
        </w:rPr>
        <w:tab/>
      </w:r>
      <w:r w:rsidR="00D037BF" w:rsidRPr="002F4384">
        <w:rPr>
          <w:rFonts w:asciiTheme="minorBidi" w:hAnsiTheme="minorBidi" w:cstheme="minorBidi"/>
          <w:lang w:val="es-ES_tradnl"/>
        </w:rPr>
        <w:t>La COI podría considerar la posibilidad de poner en marcha un proceso equivalente al sistema de notificación de Argo aplicable a otras plataformas/variables.</w:t>
      </w:r>
    </w:p>
    <w:p w14:paraId="5E7EEDD8" w14:textId="49236AE7" w:rsidR="00436BDB" w:rsidRPr="002F4384" w:rsidRDefault="006C6119" w:rsidP="000B5F80">
      <w:pPr>
        <w:pStyle w:val="Style2"/>
        <w:tabs>
          <w:tab w:val="clear" w:pos="1400"/>
        </w:tabs>
        <w:ind w:left="1134" w:hanging="561"/>
        <w:rPr>
          <w:rFonts w:asciiTheme="minorBidi" w:hAnsiTheme="minorBidi" w:cstheme="minorBidi"/>
          <w:lang w:val="es-ES_tradnl"/>
        </w:rPr>
      </w:pPr>
      <w:r w:rsidRPr="002F4384">
        <w:rPr>
          <w:rFonts w:asciiTheme="minorBidi" w:hAnsiTheme="minorBidi" w:cstheme="minorBidi"/>
          <w:lang w:val="es-ES_tradnl"/>
        </w:rPr>
        <w:t>ii)</w:t>
      </w:r>
      <w:r w:rsidR="00B85366" w:rsidRPr="002F4384">
        <w:rPr>
          <w:rFonts w:asciiTheme="minorBidi" w:hAnsiTheme="minorBidi" w:cstheme="minorBidi"/>
          <w:lang w:val="es-ES_tradnl"/>
        </w:rPr>
        <w:tab/>
      </w:r>
      <w:r w:rsidR="00D037BF" w:rsidRPr="002F4384">
        <w:rPr>
          <w:rFonts w:asciiTheme="minorBidi" w:hAnsiTheme="minorBidi" w:cstheme="minorBidi"/>
          <w:lang w:val="es-ES_tradnl"/>
        </w:rPr>
        <w:t>La COI, con el apoyo de la DAODM y la OMM, podría organizar una reunión oficiosa para examinar y compartir diversas prácticas de aplicación de procedimientos de autorización para la investigación científica marina por parte de los Estados.</w:t>
      </w:r>
    </w:p>
    <w:p w14:paraId="46776C22" w14:textId="0B114B0A" w:rsidR="00436BDB" w:rsidRPr="002F4384" w:rsidRDefault="006C6119" w:rsidP="000B5F80">
      <w:pPr>
        <w:pStyle w:val="Style2"/>
        <w:tabs>
          <w:tab w:val="clear" w:pos="1400"/>
        </w:tabs>
        <w:ind w:left="1134" w:hanging="561"/>
        <w:rPr>
          <w:rFonts w:asciiTheme="minorBidi" w:hAnsiTheme="minorBidi" w:cstheme="minorBidi"/>
          <w:lang w:val="es-ES_tradnl"/>
        </w:rPr>
      </w:pPr>
      <w:r w:rsidRPr="002F4384">
        <w:rPr>
          <w:rFonts w:asciiTheme="minorBidi" w:hAnsiTheme="minorBidi" w:cstheme="minorBidi"/>
          <w:lang w:val="es-ES_tradnl"/>
        </w:rPr>
        <w:t>iii)</w:t>
      </w:r>
      <w:r w:rsidR="00B85366" w:rsidRPr="002F4384">
        <w:rPr>
          <w:rFonts w:asciiTheme="minorBidi" w:hAnsiTheme="minorBidi" w:cstheme="minorBidi"/>
          <w:lang w:val="es-ES_tradnl"/>
        </w:rPr>
        <w:tab/>
      </w:r>
      <w:r w:rsidR="00D037BF" w:rsidRPr="002F4384">
        <w:rPr>
          <w:rFonts w:asciiTheme="minorBidi" w:hAnsiTheme="minorBidi" w:cstheme="minorBidi"/>
          <w:lang w:val="es-ES_tradnl"/>
        </w:rPr>
        <w:t xml:space="preserve">La COI/GOOS, la OMM y la DAODM podrían estudiar la posibilidad de elaborar un plan de trabajo o una iniciativa conjunta para dar a conocer los problemas y el valor de las observaciones oceánicas, a nivel nacional y mundial, especialmente en el contexto de los objetivos del Decenio de las Naciones Unidas de las Ciencias Oceánicas para el Desarrollo Sostenible. </w:t>
      </w:r>
    </w:p>
    <w:p w14:paraId="6E7C2712" w14:textId="6D35EF1F" w:rsidR="00436BDB" w:rsidRPr="002F4384" w:rsidRDefault="006C6119" w:rsidP="000B5F80">
      <w:pPr>
        <w:pStyle w:val="Style2"/>
        <w:tabs>
          <w:tab w:val="clear" w:pos="1400"/>
        </w:tabs>
        <w:ind w:left="1134" w:hanging="561"/>
        <w:rPr>
          <w:rFonts w:asciiTheme="minorBidi" w:hAnsiTheme="minorBidi" w:cstheme="minorBidi"/>
          <w:lang w:val="es-ES_tradnl"/>
        </w:rPr>
      </w:pPr>
      <w:r w:rsidRPr="002F4384">
        <w:rPr>
          <w:rFonts w:asciiTheme="minorBidi" w:hAnsiTheme="minorBidi" w:cstheme="minorBidi"/>
          <w:lang w:val="es-ES_tradnl"/>
        </w:rPr>
        <w:t>iv)</w:t>
      </w:r>
      <w:r w:rsidR="00B85366" w:rsidRPr="002F4384">
        <w:rPr>
          <w:rFonts w:asciiTheme="minorBidi" w:hAnsiTheme="minorBidi" w:cstheme="minorBidi"/>
          <w:lang w:val="es-ES_tradnl"/>
        </w:rPr>
        <w:tab/>
      </w:r>
      <w:r w:rsidR="00D037BF" w:rsidRPr="002F4384">
        <w:rPr>
          <w:rFonts w:asciiTheme="minorBidi" w:hAnsiTheme="minorBidi" w:cstheme="minorBidi"/>
          <w:lang w:val="es-ES_tradnl"/>
        </w:rPr>
        <w:t xml:space="preserve">La OMM podría estudiar cómo las resoluciones podrían </w:t>
      </w:r>
      <w:r w:rsidR="00FB3490" w:rsidRPr="002F4384">
        <w:rPr>
          <w:rFonts w:asciiTheme="minorBidi" w:hAnsiTheme="minorBidi" w:cstheme="minorBidi"/>
          <w:lang w:val="es-ES_tradnl"/>
        </w:rPr>
        <w:t>ayudar a</w:t>
      </w:r>
      <w:r w:rsidR="00D037BF" w:rsidRPr="002F4384">
        <w:rPr>
          <w:rFonts w:asciiTheme="minorBidi" w:hAnsiTheme="minorBidi" w:cstheme="minorBidi"/>
          <w:lang w:val="es-ES_tradnl"/>
        </w:rPr>
        <w:t xml:space="preserve"> destacar la necesidad de observaciones oceánicas sostenidas de las ZEE.</w:t>
      </w:r>
    </w:p>
    <w:p w14:paraId="2BF3CBC3" w14:textId="23C8726D" w:rsidR="00436BDB" w:rsidRPr="002F4384" w:rsidRDefault="006C6119" w:rsidP="000B5F80">
      <w:pPr>
        <w:pStyle w:val="Style2"/>
        <w:tabs>
          <w:tab w:val="clear" w:pos="1400"/>
        </w:tabs>
        <w:ind w:left="1134" w:hanging="561"/>
        <w:rPr>
          <w:rFonts w:asciiTheme="minorBidi" w:hAnsiTheme="minorBidi" w:cstheme="minorBidi"/>
          <w:lang w:val="es-ES_tradnl"/>
        </w:rPr>
      </w:pPr>
      <w:r w:rsidRPr="002F4384">
        <w:rPr>
          <w:rFonts w:asciiTheme="minorBidi" w:hAnsiTheme="minorBidi" w:cstheme="minorBidi"/>
          <w:lang w:val="es-ES_tradnl"/>
        </w:rPr>
        <w:t>v)</w:t>
      </w:r>
      <w:r w:rsidR="00B85366" w:rsidRPr="002F4384">
        <w:rPr>
          <w:rFonts w:asciiTheme="minorBidi" w:hAnsiTheme="minorBidi" w:cstheme="minorBidi"/>
          <w:lang w:val="es-ES_tradnl"/>
        </w:rPr>
        <w:tab/>
      </w:r>
      <w:r w:rsidR="00D037BF" w:rsidRPr="002F4384">
        <w:rPr>
          <w:rFonts w:asciiTheme="minorBidi" w:hAnsiTheme="minorBidi" w:cstheme="minorBidi"/>
          <w:lang w:val="es-ES_tradnl"/>
        </w:rPr>
        <w:t xml:space="preserve">La DAODM podría evaluar si hay interés en conseguir un mandato de los Estados Miembros para elaborar una versión actualizada de </w:t>
      </w:r>
      <w:r w:rsidR="009C653E" w:rsidRPr="002F4384">
        <w:rPr>
          <w:rFonts w:asciiTheme="minorBidi" w:hAnsiTheme="minorBidi" w:cstheme="minorBidi"/>
          <w:lang w:val="es-ES_tradnl"/>
        </w:rPr>
        <w:t>su</w:t>
      </w:r>
      <w:r w:rsidR="00D037BF" w:rsidRPr="002F4384">
        <w:rPr>
          <w:rFonts w:asciiTheme="minorBidi" w:hAnsiTheme="minorBidi" w:cstheme="minorBidi"/>
          <w:lang w:val="es-ES_tradnl"/>
        </w:rPr>
        <w:t xml:space="preserve"> </w:t>
      </w:r>
      <w:r w:rsidR="007E729B" w:rsidRPr="002F4384">
        <w:rPr>
          <w:rFonts w:asciiTheme="minorBidi" w:hAnsiTheme="minorBidi" w:cstheme="minorBidi"/>
          <w:lang w:val="es-ES_tradnl"/>
        </w:rPr>
        <w:t>Guía revisada</w:t>
      </w:r>
      <w:r w:rsidR="00D037BF" w:rsidRPr="002F4384">
        <w:rPr>
          <w:rFonts w:asciiTheme="minorBidi" w:hAnsiTheme="minorBidi" w:cstheme="minorBidi"/>
          <w:i/>
          <w:lang w:val="es-ES_tradnl"/>
        </w:rPr>
        <w:t xml:space="preserve"> para la aplicación de las disposiciones pertinentes de la Convención de las Naciones Unidas sobre el Derecho del Mar acerca de la investigación científica marina</w:t>
      </w:r>
      <w:r w:rsidR="00D037BF" w:rsidRPr="002F4384">
        <w:rPr>
          <w:rFonts w:asciiTheme="minorBidi" w:hAnsiTheme="minorBidi" w:cstheme="minorBidi"/>
          <w:lang w:val="es-ES_tradnl"/>
        </w:rPr>
        <w:t>.</w:t>
      </w:r>
      <w:hyperlink r:id="rId19" w:history="1"/>
      <w:bookmarkStart w:id="131" w:name="_Hlt104194590"/>
      <w:bookmarkEnd w:id="131"/>
    </w:p>
    <w:p w14:paraId="42DCB2CF" w14:textId="5BDA8CC6" w:rsidR="00D037BF" w:rsidRPr="002F4384" w:rsidRDefault="006C6119" w:rsidP="000B5F80">
      <w:pPr>
        <w:pStyle w:val="Style2"/>
        <w:tabs>
          <w:tab w:val="clear" w:pos="1400"/>
        </w:tabs>
        <w:ind w:left="1134" w:hanging="561"/>
        <w:rPr>
          <w:rFonts w:asciiTheme="minorBidi" w:hAnsiTheme="minorBidi" w:cstheme="minorBidi"/>
          <w:lang w:val="es-ES_tradnl"/>
        </w:rPr>
      </w:pPr>
      <w:r w:rsidRPr="002F4384">
        <w:rPr>
          <w:rFonts w:asciiTheme="minorBidi" w:hAnsiTheme="minorBidi" w:cstheme="minorBidi"/>
          <w:lang w:val="es-ES_tradnl"/>
        </w:rPr>
        <w:t>vi)</w:t>
      </w:r>
      <w:r w:rsidR="00B85366" w:rsidRPr="002F4384">
        <w:rPr>
          <w:rFonts w:asciiTheme="minorBidi" w:hAnsiTheme="minorBidi" w:cstheme="minorBidi"/>
          <w:lang w:val="es-ES_tradnl"/>
        </w:rPr>
        <w:tab/>
      </w:r>
      <w:r w:rsidR="00667651" w:rsidRPr="002F4384">
        <w:rPr>
          <w:rFonts w:asciiTheme="minorBidi" w:hAnsiTheme="minorBidi" w:cstheme="minorBidi"/>
          <w:lang w:val="es-ES_tradnl"/>
        </w:rPr>
        <w:t xml:space="preserve">La COI podría considerar la posibilidad de iniciar una prueba, utilizando </w:t>
      </w:r>
      <w:r w:rsidR="006422B8" w:rsidRPr="002F4384">
        <w:rPr>
          <w:rFonts w:asciiTheme="minorBidi" w:hAnsiTheme="minorBidi" w:cstheme="minorBidi"/>
          <w:lang w:val="es-ES_tradnl"/>
        </w:rPr>
        <w:t>su</w:t>
      </w:r>
      <w:r w:rsidR="00667651" w:rsidRPr="002F4384">
        <w:rPr>
          <w:rFonts w:asciiTheme="minorBidi" w:hAnsiTheme="minorBidi" w:cstheme="minorBidi"/>
          <w:lang w:val="es-ES_tradnl"/>
        </w:rPr>
        <w:t xml:space="preserve"> procedimiento </w:t>
      </w:r>
      <w:r w:rsidR="00A92D50" w:rsidRPr="002F4384">
        <w:rPr>
          <w:rFonts w:asciiTheme="minorBidi" w:hAnsiTheme="minorBidi" w:cstheme="minorBidi"/>
          <w:lang w:val="es-ES_tradnl"/>
        </w:rPr>
        <w:t>de</w:t>
      </w:r>
      <w:r w:rsidR="00667651" w:rsidRPr="002F4384">
        <w:rPr>
          <w:rFonts w:asciiTheme="minorBidi" w:hAnsiTheme="minorBidi" w:cstheme="minorBidi"/>
          <w:lang w:val="es-ES_tradnl"/>
        </w:rPr>
        <w:t xml:space="preserve"> aplicación del artículo 247 (</w:t>
      </w:r>
      <w:r w:rsidR="007E729B" w:rsidRPr="002F4384">
        <w:rPr>
          <w:rFonts w:asciiTheme="minorBidi" w:hAnsiTheme="minorBidi" w:cstheme="minorBidi"/>
          <w:lang w:val="es-ES_tradnl"/>
        </w:rPr>
        <w:t>IOC/INF-1222</w:t>
      </w:r>
      <w:r w:rsidR="00667651" w:rsidRPr="002F4384">
        <w:rPr>
          <w:rFonts w:asciiTheme="minorBidi" w:hAnsiTheme="minorBidi" w:cstheme="minorBidi"/>
          <w:lang w:val="es-ES_tradnl"/>
        </w:rPr>
        <w:t>).</w:t>
      </w:r>
    </w:p>
    <w:p w14:paraId="27C4872B" w14:textId="237394AC" w:rsidR="00D037BF" w:rsidRPr="002F4384" w:rsidRDefault="00761B0B" w:rsidP="000B5F80">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En la decisión propuesta en este punto se solicitaba a la COI, la OMM y la DAODM que colaboraran en la aplicación de soluciones posibles y prácticas en el marco de la CNUDM y en la concienciación del valor de las observaciones oceánicas para los Estados costeros, dado que proporcionaban la información necesaria para adaptarse al cambio climático y crear economías resilientes y sostenibles.</w:t>
      </w:r>
    </w:p>
    <w:p w14:paraId="3982398A" w14:textId="5A6E5574" w:rsidR="00D037BF" w:rsidRPr="002F4384" w:rsidRDefault="00667651"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Se invitaba a los Estados Miembros de</w:t>
      </w:r>
      <w:r w:rsidR="0019171A" w:rsidRPr="002F4384">
        <w:rPr>
          <w:rFonts w:asciiTheme="minorBidi" w:hAnsiTheme="minorBidi" w:cstheme="minorBidi"/>
          <w:lang w:val="es-ES_tradnl"/>
        </w:rPr>
        <w:t>l Consejo Ejecutivo de</w:t>
      </w:r>
      <w:r w:rsidRPr="002F4384">
        <w:rPr>
          <w:rFonts w:asciiTheme="minorBidi" w:hAnsiTheme="minorBidi" w:cstheme="minorBidi"/>
          <w:lang w:val="es-ES_tradnl"/>
        </w:rPr>
        <w:t xml:space="preserve"> la COI a </w:t>
      </w:r>
      <w:r w:rsidR="00E8257F" w:rsidRPr="002F4384">
        <w:rPr>
          <w:rFonts w:asciiTheme="minorBidi" w:hAnsiTheme="minorBidi" w:cstheme="minorBidi"/>
          <w:lang w:val="es-ES_tradnl"/>
        </w:rPr>
        <w:t>definir</w:t>
      </w:r>
      <w:r w:rsidRPr="002F4384">
        <w:rPr>
          <w:rFonts w:asciiTheme="minorBidi" w:hAnsiTheme="minorBidi" w:cstheme="minorBidi"/>
          <w:lang w:val="es-ES_tradnl"/>
        </w:rPr>
        <w:t xml:space="preserve"> los dos requisitos para seguir trabajando en este ámbito, </w:t>
      </w:r>
      <w:r w:rsidR="004C0189" w:rsidRPr="002F4384">
        <w:rPr>
          <w:rFonts w:asciiTheme="minorBidi" w:hAnsiTheme="minorBidi" w:cstheme="minorBidi"/>
          <w:lang w:val="es-ES_tradnl"/>
        </w:rPr>
        <w:t>tomando como</w:t>
      </w:r>
      <w:r w:rsidRPr="002F4384">
        <w:rPr>
          <w:rFonts w:asciiTheme="minorBidi" w:hAnsiTheme="minorBidi" w:cstheme="minorBidi"/>
          <w:lang w:val="es-ES_tradnl"/>
        </w:rPr>
        <w:t xml:space="preserve"> modelo el procedimiento que había dado lugar al sistema de notificación de Argo en el decenio de 2000, mediante lo siguiente: i) establecer una consulta </w:t>
      </w:r>
      <w:r w:rsidR="00E8257F" w:rsidRPr="002F4384">
        <w:rPr>
          <w:rFonts w:asciiTheme="minorBidi" w:hAnsiTheme="minorBidi" w:cstheme="minorBidi"/>
          <w:lang w:val="es-ES_tradnl"/>
        </w:rPr>
        <w:t>con</w:t>
      </w:r>
      <w:r w:rsidRPr="002F4384">
        <w:rPr>
          <w:rFonts w:asciiTheme="minorBidi" w:hAnsiTheme="minorBidi" w:cstheme="minorBidi"/>
          <w:lang w:val="es-ES_tradnl"/>
        </w:rPr>
        <w:t xml:space="preserve"> los Estados Miembros en el período entre reuniones para proponer un mandato actualizado para un Órgano Consultivo de Expertos sobre el Derecho del Mar de la COI (COI/ABE</w:t>
      </w:r>
      <w:r w:rsidR="00D33ED8" w:rsidRPr="002F4384">
        <w:rPr>
          <w:rFonts w:asciiTheme="minorBidi" w:hAnsiTheme="minorBidi" w:cstheme="minorBidi"/>
          <w:lang w:val="es-ES_tradnl"/>
        </w:rPr>
        <w:noBreakHyphen/>
      </w:r>
      <w:r w:rsidRPr="002F4384">
        <w:rPr>
          <w:rFonts w:asciiTheme="minorBidi" w:hAnsiTheme="minorBidi" w:cstheme="minorBidi"/>
          <w:lang w:val="es-ES_tradnl"/>
        </w:rPr>
        <w:t>LOS) reconstituido, teniendo en cuenta una competencia mixta científica y jurídica, a fin de interactuar con los Estados Miembros de la COI y la comunidad de observación y preparar propuestas que se someterían a la aprobación de la Asamblea de la COI; y ii) pedir al GOOS que trabaje con las redes permanentes para aportar un número limitado de descripciones claras y específicas de las dificultades/problemas con posibles soluciones, que se someterían al examen del COI/ABE-LOS reconstituido. Este órgano también podría tratar cuestiones más amplias que el GOOS planteadas por otros programas de la COI o del Decenio del Océano.</w:t>
      </w:r>
    </w:p>
    <w:p w14:paraId="53E63075" w14:textId="6A576537" w:rsidR="002C1698" w:rsidRPr="002F4384" w:rsidRDefault="00D037BF"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Aprovechar todo el potencial de las ciencias oceánicas en el marco actual de la CNUDM sería un avance significativo para lograr un cambio en el marco de la </w:t>
      </w:r>
      <w:r w:rsidR="00382002" w:rsidRPr="002F4384">
        <w:rPr>
          <w:rFonts w:asciiTheme="minorBidi" w:hAnsiTheme="minorBidi" w:cstheme="minorBidi"/>
          <w:lang w:val="es-ES_tradnl"/>
        </w:rPr>
        <w:t>Recomendación sobre la Ciencia Abierta</w:t>
      </w:r>
      <w:r w:rsidRPr="002F4384">
        <w:rPr>
          <w:rFonts w:asciiTheme="minorBidi" w:hAnsiTheme="minorBidi" w:cstheme="minorBidi"/>
          <w:lang w:val="es-ES_tradnl"/>
        </w:rPr>
        <w:t xml:space="preserve"> de la UNESCO (2021) y hacer que el océano sea más accesible y se gestione de forma más sostenible, ayudando en última instancia a hacer realidad la visión del Decenio del Océano, </w:t>
      </w:r>
      <w:r w:rsidR="00E95B02" w:rsidRPr="002F4384">
        <w:rPr>
          <w:rFonts w:asciiTheme="minorBidi" w:hAnsiTheme="minorBidi" w:cstheme="minorBidi"/>
          <w:lang w:val="es-ES_tradnl"/>
        </w:rPr>
        <w:t>“</w:t>
      </w:r>
      <w:r w:rsidRPr="002F4384">
        <w:rPr>
          <w:rFonts w:asciiTheme="minorBidi" w:hAnsiTheme="minorBidi" w:cstheme="minorBidi"/>
          <w:lang w:val="es-ES_tradnl"/>
        </w:rPr>
        <w:t>la ciencia que necesitamos para el océano que queremos</w:t>
      </w:r>
      <w:r w:rsidR="00E95B02" w:rsidRPr="002F4384">
        <w:rPr>
          <w:rFonts w:asciiTheme="minorBidi" w:hAnsiTheme="minorBidi" w:cstheme="minorBidi"/>
          <w:lang w:val="es-ES_tradnl"/>
        </w:rPr>
        <w:t>”</w:t>
      </w:r>
      <w:r w:rsidRPr="002F4384">
        <w:rPr>
          <w:rFonts w:asciiTheme="minorBidi" w:hAnsiTheme="minorBidi" w:cstheme="minorBidi"/>
          <w:lang w:val="es-ES_tradnl"/>
        </w:rPr>
        <w:t>.</w:t>
      </w:r>
      <w:hyperlink r:id="rId20" w:history="1"/>
      <w:bookmarkStart w:id="132" w:name="_Hlt104407853"/>
      <w:bookmarkStart w:id="133" w:name="_Hlt104407852"/>
      <w:bookmarkEnd w:id="132"/>
      <w:bookmarkEnd w:id="133"/>
    </w:p>
    <w:p w14:paraId="5FBEF051" w14:textId="55D117F5" w:rsidR="00382002" w:rsidRPr="002F4384" w:rsidRDefault="00667651" w:rsidP="00B85366">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lastRenderedPageBreak/>
        <w:t xml:space="preserve">Hicieron uso de la palabra los representantes de </w:t>
      </w:r>
      <w:r w:rsidR="00382002" w:rsidRPr="002F4384">
        <w:rPr>
          <w:rFonts w:asciiTheme="minorBidi" w:hAnsiTheme="minorBidi" w:cstheme="minorBidi"/>
          <w:lang w:val="es-ES_tradnl"/>
        </w:rPr>
        <w:t xml:space="preserve">19 </w:t>
      </w:r>
      <w:r w:rsidRPr="002F4384">
        <w:rPr>
          <w:rFonts w:asciiTheme="minorBidi" w:hAnsiTheme="minorBidi" w:cstheme="minorBidi"/>
          <w:lang w:val="es-ES_tradnl"/>
        </w:rPr>
        <w:t>Estados Miembros</w:t>
      </w:r>
      <w:r w:rsidR="00382002" w:rsidRPr="002F4384">
        <w:rPr>
          <w:rFonts w:asciiTheme="minorBidi" w:hAnsiTheme="minorBidi" w:cstheme="minorBidi"/>
          <w:lang w:val="es-ES_tradnl"/>
        </w:rPr>
        <w:t xml:space="preserve"> y una organización</w:t>
      </w:r>
      <w:r w:rsidRPr="002F4384">
        <w:rPr>
          <w:rFonts w:asciiTheme="minorBidi" w:hAnsiTheme="minorBidi" w:cstheme="minorBidi"/>
          <w:lang w:val="es-ES_tradnl"/>
        </w:rPr>
        <w:t>.</w:t>
      </w:r>
    </w:p>
    <w:p w14:paraId="7A1D576F" w14:textId="770765D7" w:rsidR="00382002" w:rsidRPr="002F4384" w:rsidRDefault="00D41964" w:rsidP="00B85366">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Se señaló </w:t>
      </w:r>
      <w:r w:rsidR="00CA7839" w:rsidRPr="002F4384">
        <w:rPr>
          <w:rFonts w:asciiTheme="minorBidi" w:hAnsiTheme="minorBidi" w:cstheme="minorBidi"/>
          <w:lang w:val="es-ES_tradnl"/>
        </w:rPr>
        <w:t>varias veces</w:t>
      </w:r>
      <w:r w:rsidRPr="002F4384">
        <w:rPr>
          <w:rFonts w:asciiTheme="minorBidi" w:hAnsiTheme="minorBidi" w:cstheme="minorBidi"/>
          <w:lang w:val="es-ES_tradnl"/>
        </w:rPr>
        <w:t xml:space="preserve"> la necesidad de </w:t>
      </w:r>
      <w:r w:rsidR="00CA7839" w:rsidRPr="002F4384">
        <w:rPr>
          <w:rFonts w:asciiTheme="minorBidi" w:hAnsiTheme="minorBidi" w:cstheme="minorBidi"/>
          <w:lang w:val="es-ES_tradnl"/>
        </w:rPr>
        <w:t xml:space="preserve">contar con </w:t>
      </w:r>
      <w:r w:rsidRPr="002F4384">
        <w:rPr>
          <w:rFonts w:asciiTheme="minorBidi" w:hAnsiTheme="minorBidi" w:cstheme="minorBidi"/>
          <w:lang w:val="es-ES_tradnl"/>
        </w:rPr>
        <w:t xml:space="preserve">observaciones oceánicas </w:t>
      </w:r>
      <w:r w:rsidR="00CA7839" w:rsidRPr="002F4384">
        <w:rPr>
          <w:rFonts w:asciiTheme="minorBidi" w:hAnsiTheme="minorBidi" w:cstheme="minorBidi"/>
          <w:lang w:val="es-ES_tradnl"/>
        </w:rPr>
        <w:t>que sirvieran de</w:t>
      </w:r>
      <w:r w:rsidRPr="002F4384">
        <w:rPr>
          <w:rFonts w:asciiTheme="minorBidi" w:hAnsiTheme="minorBidi" w:cstheme="minorBidi"/>
          <w:lang w:val="es-ES_tradnl"/>
        </w:rPr>
        <w:t xml:space="preserve"> base para el desarrollo sostenible </w:t>
      </w:r>
      <w:r w:rsidR="00CA7839" w:rsidRPr="002F4384">
        <w:rPr>
          <w:rFonts w:asciiTheme="minorBidi" w:hAnsiTheme="minorBidi" w:cstheme="minorBidi"/>
          <w:lang w:val="es-ES_tradnl"/>
        </w:rPr>
        <w:t>y que permitieran</w:t>
      </w:r>
      <w:r w:rsidRPr="002F4384">
        <w:rPr>
          <w:rFonts w:asciiTheme="minorBidi" w:hAnsiTheme="minorBidi" w:cstheme="minorBidi"/>
          <w:lang w:val="es-ES_tradnl"/>
        </w:rPr>
        <w:t xml:space="preserve"> apoyar la adaptación al cambio climático, realizar previsiones meteorológicas, garantizar la seguridad de la vida en el mar, prever los fenómenos extremos y ayudar a las comunidades costeras a promover una gestión sostenible de los recursos oceánicos.</w:t>
      </w:r>
      <w:r w:rsidR="00592A3D" w:rsidRPr="002F4384">
        <w:rPr>
          <w:rFonts w:asciiTheme="minorBidi" w:hAnsiTheme="minorBidi" w:cstheme="minorBidi"/>
          <w:lang w:val="es-ES_tradnl"/>
        </w:rPr>
        <w:t xml:space="preserve"> Además, también </w:t>
      </w:r>
      <w:r w:rsidR="00C36C09" w:rsidRPr="002F4384">
        <w:rPr>
          <w:rFonts w:asciiTheme="minorBidi" w:hAnsiTheme="minorBidi" w:cstheme="minorBidi"/>
          <w:lang w:val="es-ES_tradnl"/>
        </w:rPr>
        <w:t>sería</w:t>
      </w:r>
      <w:r w:rsidR="00592A3D" w:rsidRPr="002F4384">
        <w:rPr>
          <w:rFonts w:asciiTheme="minorBidi" w:hAnsiTheme="minorBidi" w:cstheme="minorBidi"/>
          <w:lang w:val="es-ES_tradnl"/>
        </w:rPr>
        <w:t xml:space="preserve"> necesario crear un sistema de observación de los océanos integrado y mundial, que incluy</w:t>
      </w:r>
      <w:r w:rsidR="00C36C09" w:rsidRPr="002F4384">
        <w:rPr>
          <w:rFonts w:asciiTheme="minorBidi" w:hAnsiTheme="minorBidi" w:cstheme="minorBidi"/>
          <w:lang w:val="es-ES_tradnl"/>
        </w:rPr>
        <w:t>era</w:t>
      </w:r>
      <w:r w:rsidR="00592A3D" w:rsidRPr="002F4384">
        <w:rPr>
          <w:rFonts w:asciiTheme="minorBidi" w:hAnsiTheme="minorBidi" w:cstheme="minorBidi"/>
          <w:lang w:val="es-ES_tradnl"/>
        </w:rPr>
        <w:t xml:space="preserve"> las observaciones en las zonas sujetas a la jurisdicción nacional, con el fin de proporcionar esta información vital para fundamentar la formulación de políticas.</w:t>
      </w:r>
    </w:p>
    <w:p w14:paraId="71206CFC" w14:textId="4C7380F7" w:rsidR="00592A3D" w:rsidRPr="002F4384" w:rsidRDefault="00592A3D" w:rsidP="00B85366">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H</w:t>
      </w:r>
      <w:r w:rsidR="009E7B46" w:rsidRPr="002F4384">
        <w:rPr>
          <w:rFonts w:asciiTheme="minorBidi" w:hAnsiTheme="minorBidi" w:cstheme="minorBidi"/>
          <w:lang w:val="es-ES_tradnl"/>
        </w:rPr>
        <w:t>ubo</w:t>
      </w:r>
      <w:r w:rsidRPr="002F4384">
        <w:rPr>
          <w:rFonts w:asciiTheme="minorBidi" w:hAnsiTheme="minorBidi" w:cstheme="minorBidi"/>
          <w:lang w:val="es-ES_tradnl"/>
        </w:rPr>
        <w:t xml:space="preserve"> quienes promov</w:t>
      </w:r>
      <w:r w:rsidR="009E7B46" w:rsidRPr="002F4384">
        <w:rPr>
          <w:rFonts w:asciiTheme="minorBidi" w:hAnsiTheme="minorBidi" w:cstheme="minorBidi"/>
          <w:lang w:val="es-ES_tradnl"/>
        </w:rPr>
        <w:t>ieron</w:t>
      </w:r>
      <w:r w:rsidRPr="002F4384">
        <w:rPr>
          <w:rFonts w:asciiTheme="minorBidi" w:hAnsiTheme="minorBidi" w:cstheme="minorBidi"/>
          <w:lang w:val="es-ES_tradnl"/>
        </w:rPr>
        <w:t xml:space="preserve"> un enfoque equilibrado de las cuestiones planteadas en el informe que armonizara los derechos de los Estados Miembros y la necesidad de datos para mejorar la gestión de los recursos oceánicos.</w:t>
      </w:r>
    </w:p>
    <w:p w14:paraId="5AD6D933" w14:textId="12CE4CD5" w:rsidR="005471D3" w:rsidRPr="002F4384" w:rsidRDefault="00784523" w:rsidP="00B85366">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Los Estados Miembros reconocieron que la CNUDM </w:t>
      </w:r>
      <w:r w:rsidR="0047034D" w:rsidRPr="002F4384">
        <w:rPr>
          <w:rFonts w:asciiTheme="minorBidi" w:hAnsiTheme="minorBidi" w:cstheme="minorBidi"/>
          <w:lang w:val="es-ES_tradnl"/>
        </w:rPr>
        <w:t>regía</w:t>
      </w:r>
      <w:r w:rsidRPr="002F4384">
        <w:rPr>
          <w:rFonts w:asciiTheme="minorBidi" w:hAnsiTheme="minorBidi" w:cstheme="minorBidi"/>
          <w:lang w:val="es-ES_tradnl"/>
        </w:rPr>
        <w:t xml:space="preserve"> la investigación científica en las zonas </w:t>
      </w:r>
      <w:r w:rsidR="00147634" w:rsidRPr="002F4384">
        <w:rPr>
          <w:rFonts w:asciiTheme="minorBidi" w:hAnsiTheme="minorBidi" w:cstheme="minorBidi"/>
          <w:lang w:val="es-ES_tradnl"/>
        </w:rPr>
        <w:t>sujetas a la</w:t>
      </w:r>
      <w:r w:rsidRPr="002F4384">
        <w:rPr>
          <w:rFonts w:asciiTheme="minorBidi" w:hAnsiTheme="minorBidi" w:cstheme="minorBidi"/>
          <w:lang w:val="es-ES_tradnl"/>
        </w:rPr>
        <w:t xml:space="preserve"> jurisdicción nacional. Varios Estados señalaron que tenían procedimientos específicos para facilitar la tramitación de las solicitudes para llevar a cabo actividades de investigación científica marina, de acuerdo con la parte XIII de la Convención, y algunos precisaron el número de autorizaciones de investigación científica marina concedidas a proyectos de buques de investigación en los últimos años. La mayoría señaló que, para su Estado, la observación oceánica </w:t>
      </w:r>
      <w:r w:rsidR="001C6B0F" w:rsidRPr="002F4384">
        <w:rPr>
          <w:rFonts w:asciiTheme="minorBidi" w:hAnsiTheme="minorBidi" w:cstheme="minorBidi"/>
          <w:lang w:val="es-ES_tradnl"/>
        </w:rPr>
        <w:t>permanente</w:t>
      </w:r>
      <w:r w:rsidRPr="002F4384">
        <w:rPr>
          <w:rFonts w:asciiTheme="minorBidi" w:hAnsiTheme="minorBidi" w:cstheme="minorBidi"/>
          <w:lang w:val="es-ES_tradnl"/>
        </w:rPr>
        <w:t xml:space="preserve"> </w:t>
      </w:r>
      <w:r w:rsidR="00147634" w:rsidRPr="002F4384">
        <w:rPr>
          <w:rFonts w:asciiTheme="minorBidi" w:hAnsiTheme="minorBidi" w:cstheme="minorBidi"/>
          <w:lang w:val="es-ES_tradnl"/>
        </w:rPr>
        <w:t>formaba parte de</w:t>
      </w:r>
      <w:r w:rsidRPr="002F4384">
        <w:rPr>
          <w:rFonts w:asciiTheme="minorBidi" w:hAnsiTheme="minorBidi" w:cstheme="minorBidi"/>
          <w:lang w:val="es-ES_tradnl"/>
        </w:rPr>
        <w:t xml:space="preserve"> la investigación científica marina.</w:t>
      </w:r>
      <w:r w:rsidR="00D83153" w:rsidRPr="002F4384">
        <w:rPr>
          <w:rFonts w:asciiTheme="minorBidi" w:hAnsiTheme="minorBidi" w:cstheme="minorBidi"/>
          <w:lang w:val="es-ES_tradnl"/>
        </w:rPr>
        <w:t xml:space="preserve"> Los Estados Unidos de América no consideraba</w:t>
      </w:r>
      <w:r w:rsidR="00DE3CE9" w:rsidRPr="002F4384">
        <w:rPr>
          <w:rFonts w:asciiTheme="minorBidi" w:hAnsiTheme="minorBidi" w:cstheme="minorBidi"/>
          <w:lang w:val="es-ES_tradnl"/>
        </w:rPr>
        <w:t>n</w:t>
      </w:r>
      <w:r w:rsidR="00D83153" w:rsidRPr="002F4384">
        <w:rPr>
          <w:rFonts w:asciiTheme="minorBidi" w:hAnsiTheme="minorBidi" w:cstheme="minorBidi"/>
          <w:lang w:val="es-ES_tradnl"/>
        </w:rPr>
        <w:t xml:space="preserve"> que las observaciones oceánicas rutinarias pertenecieran a la investigación científica marina, pero </w:t>
      </w:r>
      <w:r w:rsidR="0047034D" w:rsidRPr="002F4384">
        <w:rPr>
          <w:rFonts w:asciiTheme="minorBidi" w:hAnsiTheme="minorBidi" w:cstheme="minorBidi"/>
          <w:lang w:val="es-ES_tradnl"/>
        </w:rPr>
        <w:t>tomaron nota de</w:t>
      </w:r>
      <w:r w:rsidR="00D83153" w:rsidRPr="002F4384">
        <w:rPr>
          <w:rFonts w:asciiTheme="minorBidi" w:hAnsiTheme="minorBidi" w:cstheme="minorBidi"/>
          <w:lang w:val="es-ES_tradnl"/>
        </w:rPr>
        <w:t xml:space="preserve"> que otros Estados no tenían la misma opinión.</w:t>
      </w:r>
    </w:p>
    <w:p w14:paraId="25DE277B" w14:textId="10294F23" w:rsidR="00784523" w:rsidRPr="002F4384" w:rsidRDefault="007E427F" w:rsidP="00B85366">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Muchos Estados Miembros señalaron que el “taller de expertos sobre las observaciones oceánicas en </w:t>
      </w:r>
      <w:r w:rsidR="00DB76E3" w:rsidRPr="002F4384">
        <w:rPr>
          <w:rFonts w:asciiTheme="minorBidi" w:hAnsiTheme="minorBidi" w:cstheme="minorBidi"/>
          <w:lang w:val="es-ES_tradnl"/>
        </w:rPr>
        <w:t xml:space="preserve">las </w:t>
      </w:r>
      <w:r w:rsidRPr="002F4384">
        <w:rPr>
          <w:rFonts w:asciiTheme="minorBidi" w:hAnsiTheme="minorBidi" w:cstheme="minorBidi"/>
          <w:lang w:val="es-ES_tradnl"/>
        </w:rPr>
        <w:t xml:space="preserve">zonas sujetas a </w:t>
      </w:r>
      <w:r w:rsidR="00DB76E3" w:rsidRPr="002F4384">
        <w:rPr>
          <w:rFonts w:asciiTheme="minorBidi" w:hAnsiTheme="minorBidi" w:cstheme="minorBidi"/>
          <w:lang w:val="es-ES_tradnl"/>
        </w:rPr>
        <w:t xml:space="preserve">la </w:t>
      </w:r>
      <w:r w:rsidRPr="002F4384">
        <w:rPr>
          <w:rFonts w:asciiTheme="minorBidi" w:hAnsiTheme="minorBidi" w:cstheme="minorBidi"/>
          <w:lang w:val="es-ES_tradnl"/>
        </w:rPr>
        <w:t xml:space="preserve">jurisdicción nacional” </w:t>
      </w:r>
      <w:r w:rsidR="00033B67" w:rsidRPr="002F4384">
        <w:rPr>
          <w:rFonts w:asciiTheme="minorBidi" w:hAnsiTheme="minorBidi" w:cstheme="minorBidi"/>
          <w:lang w:val="es-ES_tradnl"/>
        </w:rPr>
        <w:t>era</w:t>
      </w:r>
      <w:r w:rsidRPr="002F4384">
        <w:rPr>
          <w:rFonts w:asciiTheme="minorBidi" w:hAnsiTheme="minorBidi" w:cstheme="minorBidi"/>
          <w:lang w:val="es-ES_tradnl"/>
        </w:rPr>
        <w:t xml:space="preserve"> útil para comprender los problemas relacionados con las observaciones oceánicas permanentes en zonas </w:t>
      </w:r>
      <w:r w:rsidR="00147634" w:rsidRPr="002F4384">
        <w:rPr>
          <w:rFonts w:asciiTheme="minorBidi" w:hAnsiTheme="minorBidi" w:cstheme="minorBidi"/>
          <w:lang w:val="es-ES_tradnl"/>
        </w:rPr>
        <w:t>sujetas a</w:t>
      </w:r>
      <w:r w:rsidRPr="002F4384">
        <w:rPr>
          <w:rFonts w:asciiTheme="minorBidi" w:hAnsiTheme="minorBidi" w:cstheme="minorBidi"/>
          <w:lang w:val="es-ES_tradnl"/>
        </w:rPr>
        <w:t xml:space="preserve"> </w:t>
      </w:r>
      <w:r w:rsidR="00033B67" w:rsidRPr="002F4384">
        <w:rPr>
          <w:rFonts w:asciiTheme="minorBidi" w:hAnsiTheme="minorBidi" w:cstheme="minorBidi"/>
          <w:lang w:val="es-ES_tradnl"/>
        </w:rPr>
        <w:t xml:space="preserve">la </w:t>
      </w:r>
      <w:r w:rsidRPr="002F4384">
        <w:rPr>
          <w:rFonts w:asciiTheme="minorBidi" w:hAnsiTheme="minorBidi" w:cstheme="minorBidi"/>
          <w:lang w:val="es-ES_tradnl"/>
        </w:rPr>
        <w:t xml:space="preserve">jurisdicción nacional, </w:t>
      </w:r>
      <w:r w:rsidR="00147634" w:rsidRPr="002F4384">
        <w:rPr>
          <w:rFonts w:asciiTheme="minorBidi" w:hAnsiTheme="minorBidi" w:cstheme="minorBidi"/>
          <w:lang w:val="es-ES_tradnl"/>
        </w:rPr>
        <w:t>así como</w:t>
      </w:r>
      <w:r w:rsidRPr="002F4384">
        <w:rPr>
          <w:rFonts w:asciiTheme="minorBidi" w:hAnsiTheme="minorBidi" w:cstheme="minorBidi"/>
          <w:lang w:val="es-ES_tradnl"/>
        </w:rPr>
        <w:t xml:space="preserve"> para encontrar posibles espacios de solución dentro de la CNUDM que pudieran remediar estas dificultades. Los Estados Miembros expresaron su satisfacción por los esfuerzos desplegados en este sentido por el GOOS, en colaboración con la DOALOS y la OMM.</w:t>
      </w:r>
    </w:p>
    <w:p w14:paraId="000605D1" w14:textId="3D517B12" w:rsidR="007E427F" w:rsidRPr="002F4384" w:rsidRDefault="007E427F" w:rsidP="00B85366">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Varios Estados Miembros señalaron que las cuestiones identificadas en el informe eran generales y pidieron más detalles para poder comprender, por ejemplo, lo que era más importante o prioritario en términos de </w:t>
      </w:r>
      <w:r w:rsidR="00C45A80" w:rsidRPr="002F4384">
        <w:rPr>
          <w:rFonts w:asciiTheme="minorBidi" w:hAnsiTheme="minorBidi" w:cstheme="minorBidi"/>
          <w:lang w:val="es-ES_tradnl"/>
        </w:rPr>
        <w:t>repercusiones en</w:t>
      </w:r>
      <w:r w:rsidRPr="002F4384">
        <w:rPr>
          <w:rFonts w:asciiTheme="minorBidi" w:hAnsiTheme="minorBidi" w:cstheme="minorBidi"/>
          <w:lang w:val="es-ES_tradnl"/>
        </w:rPr>
        <w:t xml:space="preserve"> nuestra capacidad para poner en marcha un sistema mundial de observación de los océanos.</w:t>
      </w:r>
    </w:p>
    <w:p w14:paraId="79EB451E" w14:textId="4F163BAD" w:rsidR="00C45A80" w:rsidRPr="002F4384" w:rsidRDefault="00BC325A" w:rsidP="00B85366">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Varios Estados Miembros indicaron que los que realizaban observaciones oceánicas permanentes en zonas </w:t>
      </w:r>
      <w:r w:rsidR="00147634" w:rsidRPr="002F4384">
        <w:rPr>
          <w:rFonts w:asciiTheme="minorBidi" w:hAnsiTheme="minorBidi" w:cstheme="minorBidi"/>
          <w:lang w:val="es-ES_tradnl"/>
        </w:rPr>
        <w:t>sujetas a</w:t>
      </w:r>
      <w:r w:rsidRPr="002F4384">
        <w:rPr>
          <w:rFonts w:asciiTheme="minorBidi" w:hAnsiTheme="minorBidi" w:cstheme="minorBidi"/>
          <w:lang w:val="es-ES_tradnl"/>
        </w:rPr>
        <w:t xml:space="preserve"> </w:t>
      </w:r>
      <w:r w:rsidR="00603B1E" w:rsidRPr="002F4384">
        <w:rPr>
          <w:rFonts w:asciiTheme="minorBidi" w:hAnsiTheme="minorBidi" w:cstheme="minorBidi"/>
          <w:lang w:val="es-ES_tradnl"/>
        </w:rPr>
        <w:t xml:space="preserve">la </w:t>
      </w:r>
      <w:r w:rsidRPr="002F4384">
        <w:rPr>
          <w:rFonts w:asciiTheme="minorBidi" w:hAnsiTheme="minorBidi" w:cstheme="minorBidi"/>
          <w:lang w:val="es-ES_tradnl"/>
        </w:rPr>
        <w:t xml:space="preserve">jurisdicción nacional debían aplicar lo dispuesto en la parte XIII de la CNUDM, por ejemplo, garantizar que los datos recogidos se </w:t>
      </w:r>
      <w:r w:rsidR="00147634" w:rsidRPr="002F4384">
        <w:rPr>
          <w:rFonts w:asciiTheme="minorBidi" w:hAnsiTheme="minorBidi" w:cstheme="minorBidi"/>
          <w:lang w:val="es-ES_tradnl"/>
        </w:rPr>
        <w:t>pusieran</w:t>
      </w:r>
      <w:r w:rsidRPr="002F4384">
        <w:rPr>
          <w:rFonts w:asciiTheme="minorBidi" w:hAnsiTheme="minorBidi" w:cstheme="minorBidi"/>
          <w:lang w:val="es-ES_tradnl"/>
        </w:rPr>
        <w:t xml:space="preserve"> a disposición (en el momento oportuno) del Estado costero que da</w:t>
      </w:r>
      <w:r w:rsidR="00147634" w:rsidRPr="002F4384">
        <w:rPr>
          <w:rFonts w:asciiTheme="minorBidi" w:hAnsiTheme="minorBidi" w:cstheme="minorBidi"/>
          <w:lang w:val="es-ES_tradnl"/>
        </w:rPr>
        <w:t>ba</w:t>
      </w:r>
      <w:r w:rsidRPr="002F4384">
        <w:rPr>
          <w:rFonts w:asciiTheme="minorBidi" w:hAnsiTheme="minorBidi" w:cstheme="minorBidi"/>
          <w:lang w:val="es-ES_tradnl"/>
        </w:rPr>
        <w:t xml:space="preserve"> la autorización y que la colaboración científica con el Estado costero se </w:t>
      </w:r>
      <w:r w:rsidR="00147634" w:rsidRPr="002F4384">
        <w:rPr>
          <w:rFonts w:asciiTheme="minorBidi" w:hAnsiTheme="minorBidi" w:cstheme="minorBidi"/>
          <w:lang w:val="es-ES_tradnl"/>
        </w:rPr>
        <w:t>tuviera</w:t>
      </w:r>
      <w:r w:rsidRPr="002F4384">
        <w:rPr>
          <w:rFonts w:asciiTheme="minorBidi" w:hAnsiTheme="minorBidi" w:cstheme="minorBidi"/>
          <w:lang w:val="es-ES_tradnl"/>
        </w:rPr>
        <w:t xml:space="preserve"> en cuenta en la planificación, antes de </w:t>
      </w:r>
      <w:r w:rsidR="007F5517" w:rsidRPr="002F4384">
        <w:rPr>
          <w:rFonts w:asciiTheme="minorBidi" w:hAnsiTheme="minorBidi" w:cstheme="minorBidi"/>
          <w:lang w:val="es-ES_tradnl"/>
        </w:rPr>
        <w:t>hacer</w:t>
      </w:r>
      <w:r w:rsidRPr="002F4384">
        <w:rPr>
          <w:rFonts w:asciiTheme="minorBidi" w:hAnsiTheme="minorBidi" w:cstheme="minorBidi"/>
          <w:lang w:val="es-ES_tradnl"/>
        </w:rPr>
        <w:t xml:space="preserve"> la solicitud.</w:t>
      </w:r>
    </w:p>
    <w:p w14:paraId="394F2AF9" w14:textId="34307849" w:rsidR="00C069AB" w:rsidRPr="002F4384" w:rsidRDefault="00C069AB" w:rsidP="00B85366">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Varios Estados Miembros señalaron que la COI había creado con éxito </w:t>
      </w:r>
      <w:r w:rsidR="00FC5160" w:rsidRPr="002F4384">
        <w:rPr>
          <w:rFonts w:asciiTheme="minorBidi" w:hAnsiTheme="minorBidi" w:cstheme="minorBidi"/>
          <w:lang w:val="es-ES_tradnl"/>
        </w:rPr>
        <w:t xml:space="preserve">el sistema de notificación de Argo </w:t>
      </w:r>
      <w:r w:rsidR="006024EE" w:rsidRPr="002F4384">
        <w:rPr>
          <w:rFonts w:asciiTheme="minorBidi" w:hAnsiTheme="minorBidi" w:cstheme="minorBidi"/>
          <w:lang w:val="es-ES_tradnl"/>
        </w:rPr>
        <w:t>(</w:t>
      </w:r>
      <w:r w:rsidRPr="002F4384">
        <w:rPr>
          <w:rFonts w:asciiTheme="minorBidi" w:hAnsiTheme="minorBidi" w:cstheme="minorBidi"/>
          <w:lang w:val="es-ES_tradnl"/>
        </w:rPr>
        <w:t xml:space="preserve">marco acordado por las partes interesadas </w:t>
      </w:r>
      <w:r w:rsidR="00FC5160" w:rsidRPr="002F4384">
        <w:rPr>
          <w:rFonts w:asciiTheme="minorBidi" w:hAnsiTheme="minorBidi" w:cstheme="minorBidi"/>
          <w:lang w:val="es-ES_tradnl"/>
        </w:rPr>
        <w:t xml:space="preserve">para </w:t>
      </w:r>
      <w:r w:rsidRPr="002F4384">
        <w:rPr>
          <w:rFonts w:asciiTheme="minorBidi" w:hAnsiTheme="minorBidi" w:cstheme="minorBidi"/>
          <w:lang w:val="es-ES_tradnl"/>
        </w:rPr>
        <w:t>el programa Argo</w:t>
      </w:r>
      <w:r w:rsidR="006024EE" w:rsidRPr="002F4384">
        <w:rPr>
          <w:rFonts w:asciiTheme="minorBidi" w:hAnsiTheme="minorBidi" w:cstheme="minorBidi"/>
          <w:lang w:val="es-ES_tradnl"/>
        </w:rPr>
        <w:t>)</w:t>
      </w:r>
      <w:r w:rsidR="00FC5160" w:rsidRPr="002F4384">
        <w:rPr>
          <w:rFonts w:asciiTheme="minorBidi" w:hAnsiTheme="minorBidi" w:cstheme="minorBidi"/>
          <w:lang w:val="es-ES_tradnl"/>
        </w:rPr>
        <w:t xml:space="preserve">. </w:t>
      </w:r>
      <w:r w:rsidR="003D3EF6" w:rsidRPr="002F4384">
        <w:rPr>
          <w:rFonts w:asciiTheme="minorBidi" w:hAnsiTheme="minorBidi" w:cstheme="minorBidi"/>
          <w:lang w:val="es-ES_tradnl"/>
        </w:rPr>
        <w:t>Por otra parte</w:t>
      </w:r>
      <w:r w:rsidR="00FC5160" w:rsidRPr="002F4384">
        <w:rPr>
          <w:rFonts w:asciiTheme="minorBidi" w:hAnsiTheme="minorBidi" w:cstheme="minorBidi"/>
          <w:lang w:val="es-ES_tradnl"/>
        </w:rPr>
        <w:t xml:space="preserve">, se consideró que la COI era el foro apropiado para debatir las cuestiones técnicas relativas a la realización de observaciones oceánicas permanentes en zonas </w:t>
      </w:r>
      <w:r w:rsidR="00147634" w:rsidRPr="002F4384">
        <w:rPr>
          <w:rFonts w:asciiTheme="minorBidi" w:hAnsiTheme="minorBidi" w:cstheme="minorBidi"/>
          <w:lang w:val="es-ES_tradnl"/>
        </w:rPr>
        <w:t>sujetas a</w:t>
      </w:r>
      <w:r w:rsidR="00FC5160" w:rsidRPr="002F4384">
        <w:rPr>
          <w:rFonts w:asciiTheme="minorBidi" w:hAnsiTheme="minorBidi" w:cstheme="minorBidi"/>
          <w:lang w:val="es-ES_tradnl"/>
        </w:rPr>
        <w:t xml:space="preserve"> </w:t>
      </w:r>
      <w:r w:rsidR="006024EE" w:rsidRPr="002F4384">
        <w:rPr>
          <w:rFonts w:asciiTheme="minorBidi" w:hAnsiTheme="minorBidi" w:cstheme="minorBidi"/>
          <w:lang w:val="es-ES_tradnl"/>
        </w:rPr>
        <w:t xml:space="preserve">la </w:t>
      </w:r>
      <w:r w:rsidR="00FC5160" w:rsidRPr="002F4384">
        <w:rPr>
          <w:rFonts w:asciiTheme="minorBidi" w:hAnsiTheme="minorBidi" w:cstheme="minorBidi"/>
          <w:lang w:val="es-ES_tradnl"/>
        </w:rPr>
        <w:t>jurisdicción nacional, en el marco de la CNUDM.</w:t>
      </w:r>
    </w:p>
    <w:p w14:paraId="22CC12CC" w14:textId="3DD447AA" w:rsidR="00FC5160" w:rsidRPr="002F4384" w:rsidRDefault="00E019AB" w:rsidP="00B85366">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En el proyecto de decisión se proponía </w:t>
      </w:r>
      <w:r w:rsidR="00745F2E" w:rsidRPr="002F4384">
        <w:rPr>
          <w:rFonts w:asciiTheme="minorBidi" w:hAnsiTheme="minorBidi" w:cstheme="minorBidi"/>
          <w:lang w:val="es-ES_tradnl"/>
        </w:rPr>
        <w:t>que se realizara</w:t>
      </w:r>
      <w:r w:rsidRPr="002F4384">
        <w:rPr>
          <w:rFonts w:asciiTheme="minorBidi" w:hAnsiTheme="minorBidi" w:cstheme="minorBidi"/>
          <w:lang w:val="es-ES_tradnl"/>
        </w:rPr>
        <w:t xml:space="preserve"> una consulta abierta en el per</w:t>
      </w:r>
      <w:r w:rsidR="00745F2E" w:rsidRPr="002F4384">
        <w:rPr>
          <w:rFonts w:asciiTheme="minorBidi" w:hAnsiTheme="minorBidi" w:cstheme="minorBidi"/>
          <w:lang w:val="es-ES_tradnl"/>
        </w:rPr>
        <w:t>í</w:t>
      </w:r>
      <w:r w:rsidRPr="002F4384">
        <w:rPr>
          <w:rFonts w:asciiTheme="minorBidi" w:hAnsiTheme="minorBidi" w:cstheme="minorBidi"/>
          <w:lang w:val="es-ES_tradnl"/>
        </w:rPr>
        <w:t xml:space="preserve">odo entre reuniones con los Estados Miembros </w:t>
      </w:r>
      <w:r w:rsidR="00CA7E8E" w:rsidRPr="002F4384">
        <w:rPr>
          <w:rFonts w:asciiTheme="minorBidi" w:hAnsiTheme="minorBidi" w:cstheme="minorBidi"/>
          <w:lang w:val="es-ES_tradnl"/>
        </w:rPr>
        <w:t>a fin de</w:t>
      </w:r>
      <w:r w:rsidRPr="002F4384">
        <w:rPr>
          <w:rFonts w:asciiTheme="minorBidi" w:hAnsiTheme="minorBidi" w:cstheme="minorBidi"/>
          <w:lang w:val="es-ES_tradnl"/>
        </w:rPr>
        <w:t xml:space="preserve"> revisar el mandato del Órgano Consultivo de Expertos sobre el Derecho del Mar de la COI (COI/ABE-LOS), y que el GOOS proporcionara algunos ejemplos o casos de prueba para que el ABE-LOS revisado los examinara.</w:t>
      </w:r>
      <w:r w:rsidR="00CA7E8E" w:rsidRPr="002F4384">
        <w:rPr>
          <w:rFonts w:asciiTheme="minorBidi" w:hAnsiTheme="minorBidi" w:cstheme="minorBidi"/>
          <w:lang w:val="es-ES_tradnl"/>
        </w:rPr>
        <w:t xml:space="preserve"> Aunque varios Estados Miembros apoyaron esta propuesta, no eran mayoría.</w:t>
      </w:r>
      <w:r w:rsidR="005C3EDF" w:rsidRPr="002F4384">
        <w:rPr>
          <w:rFonts w:asciiTheme="minorBidi" w:hAnsiTheme="minorBidi" w:cstheme="minorBidi"/>
          <w:lang w:val="es-ES_tradnl"/>
        </w:rPr>
        <w:t xml:space="preserve"> Varios </w:t>
      </w:r>
      <w:r w:rsidR="00745F2E" w:rsidRPr="002F4384">
        <w:rPr>
          <w:rFonts w:asciiTheme="minorBidi" w:hAnsiTheme="minorBidi" w:cstheme="minorBidi"/>
          <w:lang w:val="es-ES_tradnl"/>
        </w:rPr>
        <w:t>de ellos</w:t>
      </w:r>
      <w:r w:rsidR="005C3EDF" w:rsidRPr="002F4384">
        <w:rPr>
          <w:rFonts w:asciiTheme="minorBidi" w:hAnsiTheme="minorBidi" w:cstheme="minorBidi"/>
          <w:lang w:val="es-ES_tradnl"/>
        </w:rPr>
        <w:t xml:space="preserve"> sugirieron que se pusiera en marcha un proceso de consulta abierta para determinar si utilizar el COI/ABE-LOS era el enfoque adecuado para abordar los problemas señalados en el informe del taller de expertos, y que se </w:t>
      </w:r>
      <w:r w:rsidR="005C3EDF" w:rsidRPr="002F4384">
        <w:rPr>
          <w:rFonts w:asciiTheme="minorBidi" w:hAnsiTheme="minorBidi" w:cstheme="minorBidi"/>
          <w:lang w:val="es-ES_tradnl"/>
        </w:rPr>
        <w:lastRenderedPageBreak/>
        <w:t xml:space="preserve">pidiera al GOOS que proporcionara información más detallada sobre los problemas a los que se enfrentaban los encargados de la observación permanente de los océanos en las zonas </w:t>
      </w:r>
      <w:r w:rsidR="006B03D0" w:rsidRPr="002F4384">
        <w:rPr>
          <w:rFonts w:asciiTheme="minorBidi" w:hAnsiTheme="minorBidi" w:cstheme="minorBidi"/>
          <w:lang w:val="es-ES_tradnl"/>
        </w:rPr>
        <w:t>sujetas a</w:t>
      </w:r>
      <w:r w:rsidR="005C3EDF" w:rsidRPr="002F4384">
        <w:rPr>
          <w:rFonts w:asciiTheme="minorBidi" w:hAnsiTheme="minorBidi" w:cstheme="minorBidi"/>
          <w:lang w:val="es-ES_tradnl"/>
        </w:rPr>
        <w:t xml:space="preserve"> </w:t>
      </w:r>
      <w:r w:rsidR="00745F2E" w:rsidRPr="002F4384">
        <w:rPr>
          <w:rFonts w:asciiTheme="minorBidi" w:hAnsiTheme="minorBidi" w:cstheme="minorBidi"/>
          <w:lang w:val="es-ES_tradnl"/>
        </w:rPr>
        <w:t xml:space="preserve">la </w:t>
      </w:r>
      <w:r w:rsidR="005C3EDF" w:rsidRPr="002F4384">
        <w:rPr>
          <w:rFonts w:asciiTheme="minorBidi" w:hAnsiTheme="minorBidi" w:cstheme="minorBidi"/>
          <w:lang w:val="es-ES_tradnl"/>
        </w:rPr>
        <w:t>jurisdicción nacional.</w:t>
      </w:r>
      <w:r w:rsidR="00DC48A6" w:rsidRPr="002F4384">
        <w:rPr>
          <w:rFonts w:asciiTheme="minorBidi" w:hAnsiTheme="minorBidi" w:cstheme="minorBidi"/>
          <w:lang w:val="es-ES_tradnl"/>
        </w:rPr>
        <w:t xml:space="preserve"> Un Estado Miembro se opuso al proyecto de decisión.</w:t>
      </w:r>
    </w:p>
    <w:p w14:paraId="4F76EC16" w14:textId="014F0AB8" w:rsidR="00DC48A6" w:rsidRPr="002F4384" w:rsidRDefault="00DC48A6" w:rsidP="00B85366">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Al no haber consenso sobre el proyecto de decisión, se creó un grupo de trabajo de redacción especial para preparar una decisión alternativa para el punto 3.4.</w:t>
      </w:r>
      <w:r w:rsidR="00EB552D" w:rsidRPr="002F4384">
        <w:rPr>
          <w:rFonts w:asciiTheme="minorBidi" w:hAnsiTheme="minorBidi" w:cstheme="minorBidi"/>
          <w:lang w:val="es-ES_tradnl"/>
        </w:rPr>
        <w:t xml:space="preserve"> Este grupo de trabajo de redacción se reunió el 16 de junio, con la presencia de 16 Estados Miembros, y llegó a un acuerdo sobre una decisión revisada. Esta decisión se centra</w:t>
      </w:r>
      <w:r w:rsidR="00BC23A6" w:rsidRPr="002F4384">
        <w:rPr>
          <w:rFonts w:asciiTheme="minorBidi" w:hAnsiTheme="minorBidi" w:cstheme="minorBidi"/>
          <w:lang w:val="es-ES_tradnl"/>
        </w:rPr>
        <w:t>ba</w:t>
      </w:r>
      <w:r w:rsidR="00EB552D" w:rsidRPr="002F4384">
        <w:rPr>
          <w:rFonts w:asciiTheme="minorBidi" w:hAnsiTheme="minorBidi" w:cstheme="minorBidi"/>
          <w:lang w:val="es-ES_tradnl"/>
        </w:rPr>
        <w:t xml:space="preserve"> en la recopilación de información adicional sobre las experiencias de los Estados Miembros con respecto a la observación permanente de los océanos en las aguas </w:t>
      </w:r>
      <w:r w:rsidR="006B03D0" w:rsidRPr="002F4384">
        <w:rPr>
          <w:rFonts w:asciiTheme="minorBidi" w:hAnsiTheme="minorBidi" w:cstheme="minorBidi"/>
          <w:lang w:val="es-ES_tradnl"/>
        </w:rPr>
        <w:t>sujetas a</w:t>
      </w:r>
      <w:r w:rsidR="00EB552D" w:rsidRPr="002F4384">
        <w:rPr>
          <w:rFonts w:asciiTheme="minorBidi" w:hAnsiTheme="minorBidi" w:cstheme="minorBidi"/>
          <w:lang w:val="es-ES_tradnl"/>
        </w:rPr>
        <w:t xml:space="preserve"> </w:t>
      </w:r>
      <w:r w:rsidR="00BC23A6" w:rsidRPr="002F4384">
        <w:rPr>
          <w:rFonts w:asciiTheme="minorBidi" w:hAnsiTheme="minorBidi" w:cstheme="minorBidi"/>
          <w:lang w:val="es-ES_tradnl"/>
        </w:rPr>
        <w:t xml:space="preserve">la </w:t>
      </w:r>
      <w:r w:rsidR="00EB552D" w:rsidRPr="002F4384">
        <w:rPr>
          <w:rFonts w:asciiTheme="minorBidi" w:hAnsiTheme="minorBidi" w:cstheme="minorBidi"/>
          <w:lang w:val="es-ES_tradnl"/>
        </w:rPr>
        <w:t>jurisdicción nacional, incluidos los temas definidos por el GOOS. La información de estos dos ejercicios se recopilar</w:t>
      </w:r>
      <w:r w:rsidR="00BC23A6" w:rsidRPr="002F4384">
        <w:rPr>
          <w:rFonts w:asciiTheme="minorBidi" w:hAnsiTheme="minorBidi" w:cstheme="minorBidi"/>
          <w:lang w:val="es-ES_tradnl"/>
        </w:rPr>
        <w:t>ía</w:t>
      </w:r>
      <w:r w:rsidR="00EB552D" w:rsidRPr="002F4384">
        <w:rPr>
          <w:rFonts w:asciiTheme="minorBidi" w:hAnsiTheme="minorBidi" w:cstheme="minorBidi"/>
          <w:lang w:val="es-ES_tradnl"/>
        </w:rPr>
        <w:t>, resumir</w:t>
      </w:r>
      <w:r w:rsidR="00BC23A6" w:rsidRPr="002F4384">
        <w:rPr>
          <w:rFonts w:asciiTheme="minorBidi" w:hAnsiTheme="minorBidi" w:cstheme="minorBidi"/>
          <w:lang w:val="es-ES_tradnl"/>
        </w:rPr>
        <w:t>ía</w:t>
      </w:r>
      <w:r w:rsidR="00EB552D" w:rsidRPr="002F4384">
        <w:rPr>
          <w:rFonts w:asciiTheme="minorBidi" w:hAnsiTheme="minorBidi" w:cstheme="minorBidi"/>
          <w:lang w:val="es-ES_tradnl"/>
        </w:rPr>
        <w:t xml:space="preserve"> y presentar</w:t>
      </w:r>
      <w:r w:rsidR="00BC23A6" w:rsidRPr="002F4384">
        <w:rPr>
          <w:rFonts w:asciiTheme="minorBidi" w:hAnsiTheme="minorBidi" w:cstheme="minorBidi"/>
          <w:lang w:val="es-ES_tradnl"/>
        </w:rPr>
        <w:t>ía</w:t>
      </w:r>
      <w:r w:rsidR="00EB552D" w:rsidRPr="002F4384">
        <w:rPr>
          <w:rFonts w:asciiTheme="minorBidi" w:hAnsiTheme="minorBidi" w:cstheme="minorBidi"/>
          <w:lang w:val="es-ES_tradnl"/>
        </w:rPr>
        <w:t xml:space="preserve"> a la Asamblea de la COI en 2023.</w:t>
      </w:r>
    </w:p>
    <w:p w14:paraId="7AB069E6" w14:textId="7340C884" w:rsidR="009E07B4" w:rsidRPr="002F4384" w:rsidRDefault="00667651" w:rsidP="00B85366">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L</w:t>
      </w:r>
      <w:r w:rsidR="00D3006A" w:rsidRPr="002F4384">
        <w:rPr>
          <w:rFonts w:asciiTheme="minorBidi" w:hAnsiTheme="minorBidi" w:cstheme="minorBidi"/>
          <w:lang w:val="es-ES_tradnl"/>
        </w:rPr>
        <w:t xml:space="preserve">as delegaciones </w:t>
      </w:r>
      <w:r w:rsidRPr="002F4384">
        <w:rPr>
          <w:rFonts w:asciiTheme="minorBidi" w:hAnsiTheme="minorBidi" w:cstheme="minorBidi"/>
          <w:lang w:val="es-ES_tradnl"/>
        </w:rPr>
        <w:t xml:space="preserve">siguientes decidieron proporcionar por escrito sus intervenciones en plenaria sobre este punto del orden del día para que constaran en el anexo informativo del informe de la reunión: </w:t>
      </w:r>
      <w:r w:rsidR="009E07B4" w:rsidRPr="002F4384">
        <w:rPr>
          <w:rFonts w:asciiTheme="minorBidi" w:hAnsiTheme="minorBidi" w:cstheme="minorBidi"/>
          <w:lang w:val="es-ES_tradnl"/>
        </w:rPr>
        <w:t>Alemania, Argentina, Brasil, Chile, China, Estados Unidos de América, Federación de Rusia, Filipinas, Francia, Indonesia, Italia, Kenya, Reino Unido de Gran Bretaña e Irlanda del Norte y la OHI.</w:t>
      </w:r>
    </w:p>
    <w:p w14:paraId="7F7231BC" w14:textId="5E0816A7" w:rsidR="001E76AA" w:rsidRPr="002F4384" w:rsidRDefault="009E07B4" w:rsidP="00B85366">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El Consejo Ejecutivo adoptó la </w:t>
      </w:r>
      <w:r w:rsidRPr="002F4384">
        <w:rPr>
          <w:rFonts w:asciiTheme="minorBidi" w:hAnsiTheme="minorBidi" w:cstheme="minorBidi"/>
          <w:u w:val="single"/>
          <w:lang w:val="es-ES_tradnl"/>
        </w:rPr>
        <w:t>decisión IOC/EC-55/3.4</w:t>
      </w:r>
      <w:r w:rsidR="003A59D3" w:rsidRPr="002F4384">
        <w:rPr>
          <w:rFonts w:asciiTheme="minorBidi" w:hAnsiTheme="minorBidi" w:cstheme="minorBidi"/>
          <w:lang w:val="es-ES_tradnl"/>
        </w:rPr>
        <w:t>, que figura a continuación</w:t>
      </w:r>
      <w:r w:rsidRPr="002F4384">
        <w:rPr>
          <w:rFonts w:asciiTheme="minorBidi" w:hAnsiTheme="minorBidi" w:cstheme="minorBidi"/>
          <w:lang w:val="es-ES_tradnl"/>
        </w:rPr>
        <w:t xml:space="preserve">. </w:t>
      </w:r>
    </w:p>
    <w:p w14:paraId="3D3DD95B" w14:textId="77777777" w:rsidR="00147634" w:rsidRPr="002F4384" w:rsidRDefault="00147634" w:rsidP="00147634">
      <w:pPr>
        <w:keepNext/>
        <w:keepLines/>
        <w:tabs>
          <w:tab w:val="left" w:pos="709"/>
        </w:tabs>
        <w:spacing w:after="240"/>
        <w:jc w:val="center"/>
        <w:outlineLvl w:val="0"/>
        <w:rPr>
          <w:rFonts w:asciiTheme="minorBidi" w:eastAsia="SimSun" w:hAnsiTheme="minorBidi" w:cstheme="minorBidi"/>
          <w:b/>
          <w:sz w:val="22"/>
          <w:szCs w:val="22"/>
          <w:lang w:val="es-ES_tradnl"/>
        </w:rPr>
      </w:pPr>
      <w:r w:rsidRPr="002F4384">
        <w:rPr>
          <w:rFonts w:asciiTheme="minorBidi" w:eastAsia="SimSun" w:hAnsiTheme="minorBidi" w:cstheme="minorBidi"/>
          <w:b/>
          <w:bCs/>
          <w:sz w:val="22"/>
          <w:szCs w:val="22"/>
          <w:lang w:val="es-ES_tradnl"/>
        </w:rPr>
        <w:t>Observaciones oceánicas en las zonas sujetas a la jurisdicción nacional</w:t>
      </w:r>
    </w:p>
    <w:p w14:paraId="08C83F8B" w14:textId="77777777" w:rsidR="00147634" w:rsidRPr="002F4384" w:rsidRDefault="00147634" w:rsidP="00147634">
      <w:pPr>
        <w:keepNext/>
        <w:tabs>
          <w:tab w:val="left" w:pos="709"/>
        </w:tabs>
        <w:snapToGrid w:val="0"/>
        <w:spacing w:after="240"/>
        <w:jc w:val="both"/>
        <w:rPr>
          <w:rFonts w:asciiTheme="minorBidi" w:eastAsia="Calibri" w:hAnsiTheme="minorBidi" w:cstheme="minorBidi"/>
          <w:sz w:val="22"/>
          <w:szCs w:val="22"/>
          <w:lang w:val="es-ES_tradnl"/>
        </w:rPr>
      </w:pPr>
      <w:r w:rsidRPr="002F4384">
        <w:rPr>
          <w:rFonts w:asciiTheme="minorBidi" w:hAnsiTheme="minorBidi" w:cstheme="minorBidi"/>
          <w:sz w:val="22"/>
          <w:szCs w:val="22"/>
          <w:lang w:val="es-ES_tradnl"/>
        </w:rPr>
        <w:t>El Consejo Ejecutivo,</w:t>
      </w:r>
    </w:p>
    <w:p w14:paraId="053A75EA" w14:textId="77777777" w:rsidR="00147634" w:rsidRPr="002F4384" w:rsidRDefault="00147634" w:rsidP="00147634">
      <w:pPr>
        <w:snapToGrid w:val="0"/>
        <w:spacing w:after="240"/>
        <w:jc w:val="both"/>
        <w:rPr>
          <w:rFonts w:asciiTheme="minorBidi" w:hAnsiTheme="minorBidi" w:cstheme="minorBidi"/>
          <w:iCs/>
          <w:sz w:val="22"/>
          <w:szCs w:val="22"/>
          <w:lang w:val="es-ES_tradnl"/>
        </w:rPr>
      </w:pPr>
      <w:r w:rsidRPr="002F4384">
        <w:rPr>
          <w:rFonts w:asciiTheme="minorBidi" w:hAnsiTheme="minorBidi" w:cstheme="minorBidi"/>
          <w:sz w:val="22"/>
          <w:szCs w:val="22"/>
          <w:u w:val="single"/>
          <w:lang w:val="es-ES_tradnl"/>
        </w:rPr>
        <w:t>Considerando</w:t>
      </w:r>
      <w:r w:rsidRPr="002F4384">
        <w:rPr>
          <w:rFonts w:asciiTheme="minorBidi" w:hAnsiTheme="minorBidi" w:cstheme="minorBidi"/>
          <w:sz w:val="22"/>
          <w:szCs w:val="22"/>
          <w:lang w:val="es-ES_tradnl"/>
        </w:rPr>
        <w:t xml:space="preserve"> el singular poder de convocatoria que tiene la COI entre los representantes de los Estados Miembros y la comunidad científica,</w:t>
      </w:r>
    </w:p>
    <w:p w14:paraId="2ECA5140" w14:textId="77777777" w:rsidR="00147634" w:rsidRPr="002F4384" w:rsidRDefault="00147634" w:rsidP="00147634">
      <w:pPr>
        <w:snapToGrid w:val="0"/>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u w:val="single"/>
          <w:lang w:val="es-ES_tradnl"/>
        </w:rPr>
        <w:t>Toma nota</w:t>
      </w:r>
      <w:r w:rsidRPr="002F4384">
        <w:rPr>
          <w:rFonts w:asciiTheme="minorBidi" w:hAnsiTheme="minorBidi" w:cstheme="minorBidi"/>
          <w:sz w:val="22"/>
          <w:szCs w:val="22"/>
          <w:lang w:val="es-ES_tradnl"/>
        </w:rPr>
        <w:t xml:space="preserve"> del informe del taller de expertos sobre las observaciones oceánicas en las zonas sujetas a la jurisdicción nacional (informe 246 del GOOS);</w:t>
      </w:r>
    </w:p>
    <w:p w14:paraId="229BC36B" w14:textId="77777777" w:rsidR="00147634" w:rsidRPr="002F4384" w:rsidRDefault="00147634" w:rsidP="00147634">
      <w:pPr>
        <w:snapToGrid w:val="0"/>
        <w:spacing w:after="240"/>
        <w:jc w:val="both"/>
        <w:rPr>
          <w:rFonts w:asciiTheme="minorBidi" w:hAnsiTheme="minorBidi" w:cstheme="minorBidi"/>
          <w:iCs/>
          <w:sz w:val="22"/>
          <w:szCs w:val="22"/>
          <w:lang w:val="es-ES_tradnl"/>
        </w:rPr>
      </w:pPr>
      <w:r w:rsidRPr="002F4384">
        <w:rPr>
          <w:rFonts w:asciiTheme="minorBidi" w:hAnsiTheme="minorBidi" w:cstheme="minorBidi"/>
          <w:sz w:val="22"/>
          <w:szCs w:val="22"/>
          <w:u w:val="single"/>
          <w:lang w:val="es-ES_tradnl"/>
        </w:rPr>
        <w:t>Invita</w:t>
      </w:r>
      <w:r w:rsidRPr="002F4384">
        <w:rPr>
          <w:rFonts w:asciiTheme="minorBidi" w:hAnsiTheme="minorBidi" w:cstheme="minorBidi"/>
          <w:sz w:val="22"/>
          <w:szCs w:val="22"/>
          <w:lang w:val="es-ES_tradnl"/>
        </w:rPr>
        <w:t xml:space="preserve"> al GOOS a que proporcione información detallada sobre las cuestiones relativas a las observaciones oceánicas permanentes en las zonas sujetas a la jurisdicción nacional que se señalan en el informe del taller mencionado;</w:t>
      </w:r>
    </w:p>
    <w:p w14:paraId="4CA49811" w14:textId="77777777" w:rsidR="00147634" w:rsidRPr="002F4384" w:rsidRDefault="00147634" w:rsidP="00147634">
      <w:pPr>
        <w:snapToGrid w:val="0"/>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u w:val="single"/>
          <w:lang w:val="es-ES_tradnl"/>
        </w:rPr>
        <w:t>Pide</w:t>
      </w:r>
      <w:r w:rsidRPr="002F4384">
        <w:rPr>
          <w:rFonts w:asciiTheme="minorBidi" w:hAnsiTheme="minorBidi" w:cstheme="minorBidi"/>
          <w:sz w:val="22"/>
          <w:szCs w:val="22"/>
          <w:lang w:val="es-ES_tradnl"/>
        </w:rPr>
        <w:t xml:space="preserve"> al Secretario Ejecutivo que invite a los Estados Miembros a proporcionar información sobre sus experiencias relativas a las observaciones oceánicas permanentes en las zonas situadas bajo su jurisdicción nacional, en particular sobre las cuestiones señaladas por el GOOS;</w:t>
      </w:r>
    </w:p>
    <w:p w14:paraId="616AA6DB" w14:textId="77777777" w:rsidR="00147634" w:rsidRPr="002F4384" w:rsidRDefault="00147634" w:rsidP="00147634">
      <w:pPr>
        <w:snapToGrid w:val="0"/>
        <w:spacing w:after="240"/>
        <w:jc w:val="both"/>
        <w:rPr>
          <w:rFonts w:asciiTheme="minorBidi" w:hAnsiTheme="minorBidi" w:cstheme="minorBidi"/>
          <w:iCs/>
          <w:sz w:val="22"/>
          <w:szCs w:val="22"/>
          <w:lang w:val="es-ES_tradnl"/>
        </w:rPr>
      </w:pPr>
      <w:r w:rsidRPr="002F4384">
        <w:rPr>
          <w:rFonts w:asciiTheme="minorBidi" w:hAnsiTheme="minorBidi" w:cstheme="minorBidi"/>
          <w:sz w:val="22"/>
          <w:szCs w:val="22"/>
          <w:u w:val="single"/>
          <w:lang w:val="es-ES_tradnl"/>
        </w:rPr>
        <w:t>Pide también</w:t>
      </w:r>
      <w:r w:rsidRPr="002F4384">
        <w:rPr>
          <w:rFonts w:asciiTheme="minorBidi" w:hAnsiTheme="minorBidi" w:cstheme="minorBidi"/>
          <w:sz w:val="22"/>
          <w:szCs w:val="22"/>
          <w:lang w:val="es-ES_tradnl"/>
        </w:rPr>
        <w:t xml:space="preserve"> al Secretario Ejecutivo que recopile y resuma la información recibida y que informe al respecto a la Asamblea de la COI en 2023;</w:t>
      </w:r>
    </w:p>
    <w:p w14:paraId="539001DD" w14:textId="77777777" w:rsidR="00147634" w:rsidRPr="002F4384" w:rsidRDefault="00147634" w:rsidP="00147634">
      <w:pPr>
        <w:snapToGrid w:val="0"/>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u w:val="single"/>
          <w:lang w:val="es-ES_tradnl"/>
        </w:rPr>
        <w:t>Invita también</w:t>
      </w:r>
      <w:r w:rsidRPr="002F4384">
        <w:rPr>
          <w:rFonts w:asciiTheme="minorBidi" w:hAnsiTheme="minorBidi" w:cstheme="minorBidi"/>
          <w:sz w:val="22"/>
          <w:szCs w:val="22"/>
          <w:lang w:val="es-ES_tradnl"/>
        </w:rPr>
        <w:t xml:space="preserve"> al GOOS a que proponga actividades de sensibilización y de desarrollo de capacidades para ayudar a los Estados a tomar conciencia del valor de las observaciones, en particular de sus repercusiones positivas para la adaptación de los Estados al cambio climático y para el desarrollo económico sostenible.</w:t>
      </w:r>
    </w:p>
    <w:p w14:paraId="6EF4A1D3" w14:textId="77777777" w:rsidR="00D33ED8" w:rsidRPr="002F4384" w:rsidRDefault="00875F9C" w:rsidP="00D33ED8">
      <w:pPr>
        <w:pStyle w:val="Heading2"/>
        <w:tabs>
          <w:tab w:val="clear" w:pos="737"/>
        </w:tabs>
        <w:ind w:left="709" w:hanging="709"/>
        <w:rPr>
          <w:rFonts w:asciiTheme="minorBidi" w:hAnsiTheme="minorBidi" w:cstheme="minorBidi"/>
          <w:szCs w:val="22"/>
          <w:lang w:val="es-ES_tradnl"/>
        </w:rPr>
      </w:pPr>
      <w:bookmarkStart w:id="134" w:name="_Toc115256319"/>
      <w:r w:rsidRPr="002F4384">
        <w:rPr>
          <w:rFonts w:asciiTheme="minorBidi" w:hAnsiTheme="minorBidi" w:cstheme="minorBidi"/>
          <w:szCs w:val="22"/>
          <w:lang w:val="es-ES_tradnl"/>
        </w:rPr>
        <w:t>3.5</w:t>
      </w:r>
      <w:r w:rsidRPr="002F4384">
        <w:rPr>
          <w:rFonts w:asciiTheme="minorBidi" w:hAnsiTheme="minorBidi" w:cstheme="minorBidi"/>
          <w:szCs w:val="22"/>
          <w:lang w:val="es-ES_tradnl"/>
        </w:rPr>
        <w:tab/>
        <w:t>INFORMES DE LOS ÓRGANOS SUBSIDIARIOS DE LA COI</w:t>
      </w:r>
      <w:bookmarkEnd w:id="134"/>
    </w:p>
    <w:p w14:paraId="730E95A6" w14:textId="1FE1CB7C" w:rsidR="00DE2391" w:rsidRPr="002F4384" w:rsidRDefault="00D33ED8" w:rsidP="00D33ED8">
      <w:pPr>
        <w:pStyle w:val="Heading2"/>
        <w:tabs>
          <w:tab w:val="clear" w:pos="737"/>
        </w:tabs>
        <w:ind w:left="709" w:hanging="709"/>
        <w:rPr>
          <w:rFonts w:asciiTheme="minorBidi" w:hAnsiTheme="minorBidi" w:cstheme="minorBidi"/>
          <w:b/>
          <w:bCs w:val="0"/>
          <w:szCs w:val="22"/>
          <w:lang w:val="es-ES_tradnl"/>
        </w:rPr>
      </w:pPr>
      <w:bookmarkStart w:id="135" w:name="_Toc85469064"/>
      <w:bookmarkStart w:id="136" w:name="_Toc115256320"/>
      <w:bookmarkEnd w:id="121"/>
      <w:r w:rsidRPr="002F4384">
        <w:rPr>
          <w:rFonts w:asciiTheme="minorBidi" w:hAnsiTheme="minorBidi" w:cstheme="minorBidi"/>
          <w:b/>
          <w:bCs w:val="0"/>
          <w:caps w:val="0"/>
          <w:szCs w:val="22"/>
          <w:lang w:val="es-ES_tradnl"/>
        </w:rPr>
        <w:t>3.5.1</w:t>
      </w:r>
      <w:r w:rsidRPr="002F4384">
        <w:rPr>
          <w:rFonts w:asciiTheme="minorBidi" w:hAnsiTheme="minorBidi" w:cstheme="minorBidi"/>
          <w:b/>
          <w:bCs w:val="0"/>
          <w:caps w:val="0"/>
          <w:szCs w:val="22"/>
          <w:lang w:val="es-ES_tradnl"/>
        </w:rPr>
        <w:tab/>
        <w:t>Sistemas de alerta contra los peligros oceánicos y atenuación de sus efectos</w:t>
      </w:r>
      <w:bookmarkEnd w:id="135"/>
      <w:bookmarkEnd w:id="136"/>
    </w:p>
    <w:p w14:paraId="118FF4EC" w14:textId="42ED5DBF" w:rsidR="00DE2391" w:rsidRPr="002F4384" w:rsidRDefault="00455F65" w:rsidP="000A106A">
      <w:pPr>
        <w:pStyle w:val="Heading3"/>
        <w:ind w:left="1701" w:hanging="992"/>
        <w:rPr>
          <w:rFonts w:asciiTheme="minorBidi" w:hAnsiTheme="minorBidi" w:cstheme="minorBidi"/>
          <w:b w:val="0"/>
          <w:i/>
          <w:iCs/>
          <w:szCs w:val="22"/>
          <w:lang w:val="es-ES_tradnl"/>
        </w:rPr>
      </w:pPr>
      <w:bookmarkStart w:id="137" w:name="_Toc85469065"/>
      <w:bookmarkStart w:id="138" w:name="_Toc115256321"/>
      <w:r w:rsidRPr="002F4384">
        <w:rPr>
          <w:rFonts w:asciiTheme="minorBidi" w:hAnsiTheme="minorBidi" w:cstheme="minorBidi"/>
          <w:b w:val="0"/>
          <w:i/>
          <w:iCs/>
          <w:szCs w:val="22"/>
          <w:lang w:val="es-ES_tradnl"/>
        </w:rPr>
        <w:t>3.5.1.1</w:t>
      </w:r>
      <w:r w:rsidRPr="002F4384">
        <w:rPr>
          <w:rFonts w:asciiTheme="minorBidi" w:hAnsiTheme="minorBidi" w:cstheme="minorBidi"/>
          <w:b w:val="0"/>
          <w:i/>
          <w:szCs w:val="22"/>
          <w:lang w:val="es-ES_tradnl"/>
        </w:rPr>
        <w:tab/>
      </w:r>
      <w:r w:rsidRPr="002F4384">
        <w:rPr>
          <w:rFonts w:asciiTheme="minorBidi" w:hAnsiTheme="minorBidi" w:cstheme="minorBidi"/>
          <w:b w:val="0"/>
          <w:i/>
          <w:iCs/>
          <w:szCs w:val="22"/>
          <w:lang w:val="es-ES_tradnl"/>
        </w:rPr>
        <w:t>Servicios regionales de alerta temprana</w:t>
      </w:r>
      <w:bookmarkEnd w:id="137"/>
      <w:bookmarkEnd w:id="138"/>
    </w:p>
    <w:p w14:paraId="43272D9F" w14:textId="77777777" w:rsidR="00BD6A30" w:rsidRPr="002F4384" w:rsidRDefault="00667651" w:rsidP="00D33ED8">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El Presidente de la COI presentó este punto informando al Consejo de que tres grupos de coordinación de los servicios regionales de alerta temprana se habían reunido durante el período </w:t>
      </w:r>
      <w:r w:rsidRPr="002F4384">
        <w:rPr>
          <w:rFonts w:asciiTheme="minorBidi" w:hAnsiTheme="minorBidi" w:cstheme="minorBidi"/>
          <w:lang w:val="es-ES_tradnl"/>
        </w:rPr>
        <w:lastRenderedPageBreak/>
        <w:t>entre reuniones y presentarían un informe en esta reunión del Consejo Ejecutivo. Dio la bienvenida a los presidentes del ICG/IOTWMS, del ICG/NEAMTWS y del ICG/PTWS.</w:t>
      </w:r>
    </w:p>
    <w:p w14:paraId="510E180F" w14:textId="4F6BFF5F" w:rsidR="00E432AB" w:rsidRPr="002F4384" w:rsidRDefault="00667651" w:rsidP="008968F1">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La Prof</w:t>
      </w:r>
      <w:r w:rsidR="00BE65BF" w:rsidRPr="002F4384">
        <w:rPr>
          <w:rFonts w:asciiTheme="minorBidi" w:hAnsiTheme="minorBidi" w:cstheme="minorBidi"/>
          <w:lang w:val="es-ES_tradnl"/>
        </w:rPr>
        <w:t>esora</w:t>
      </w:r>
      <w:r w:rsidRPr="002F4384">
        <w:rPr>
          <w:rFonts w:asciiTheme="minorBidi" w:hAnsiTheme="minorBidi" w:cstheme="minorBidi"/>
          <w:lang w:val="es-ES_tradnl"/>
        </w:rPr>
        <w:t xml:space="preserve"> Dwikorita Karnawati, Presidenta del Grupo Intergubernamental de Coordinación del Sistema de Alerta contra los Tsunamis y Atenuación de sus Efectos en el Océano Índico, destacó que la reunión durante el período entre reuniones se había celebrado en línea los días 23 y 24 de noviembre de 2021 habida cuenta de las restricciones en materia de viajes debido a la pandemia de COVID-19. Había habido más de 100 participantes de 19 Estados Miembros, entre ellos, por primera vez, un gran número de encargados de la gestión de desastres. El objetivo de la reunión había sido </w:t>
      </w:r>
      <w:r w:rsidR="00252FA2" w:rsidRPr="002F4384">
        <w:rPr>
          <w:rFonts w:asciiTheme="minorBidi" w:hAnsiTheme="minorBidi" w:cstheme="minorBidi"/>
          <w:lang w:val="es-ES_tradnl"/>
        </w:rPr>
        <w:t>informar</w:t>
      </w:r>
      <w:r w:rsidRPr="002F4384">
        <w:rPr>
          <w:rFonts w:asciiTheme="minorBidi" w:hAnsiTheme="minorBidi" w:cstheme="minorBidi"/>
          <w:lang w:val="es-ES_tradnl"/>
        </w:rPr>
        <w:t xml:space="preserve"> sobre los </w:t>
      </w:r>
      <w:r w:rsidR="00252FA2" w:rsidRPr="002F4384">
        <w:rPr>
          <w:rFonts w:asciiTheme="minorBidi" w:hAnsiTheme="minorBidi" w:cstheme="minorBidi"/>
          <w:lang w:val="es-ES_tradnl"/>
        </w:rPr>
        <w:t xml:space="preserve">avances de los </w:t>
      </w:r>
      <w:r w:rsidRPr="002F4384">
        <w:rPr>
          <w:rFonts w:asciiTheme="minorBidi" w:hAnsiTheme="minorBidi" w:cstheme="minorBidi"/>
          <w:lang w:val="es-ES_tradnl"/>
        </w:rPr>
        <w:t xml:space="preserve">planes de trabajo del Grupo Intergubernamental de Coordinación y preparar una 13ª reunión aplazada del ICG/IOTWMS en Bali (Indonesia) </w:t>
      </w:r>
      <w:r w:rsidR="0027205F" w:rsidRPr="002F4384">
        <w:rPr>
          <w:rFonts w:asciiTheme="minorBidi" w:hAnsiTheme="minorBidi" w:cstheme="minorBidi"/>
          <w:lang w:val="es-ES_tradnl"/>
        </w:rPr>
        <w:t>a finales</w:t>
      </w:r>
      <w:r w:rsidRPr="002F4384">
        <w:rPr>
          <w:rFonts w:asciiTheme="minorBidi" w:hAnsiTheme="minorBidi" w:cstheme="minorBidi"/>
          <w:lang w:val="es-ES_tradnl"/>
        </w:rPr>
        <w:t xml:space="preserve"> de 2022. </w:t>
      </w:r>
    </w:p>
    <w:p w14:paraId="24BDD57C" w14:textId="50F0326E" w:rsidR="00E432AB" w:rsidRPr="002F4384" w:rsidRDefault="00667651"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La </w:t>
      </w:r>
      <w:r w:rsidR="0027205F" w:rsidRPr="002F4384">
        <w:rPr>
          <w:rFonts w:asciiTheme="minorBidi" w:hAnsiTheme="minorBidi" w:cstheme="minorBidi"/>
          <w:lang w:val="es-ES_tradnl"/>
        </w:rPr>
        <w:t xml:space="preserve">Profesora </w:t>
      </w:r>
      <w:r w:rsidRPr="002F4384">
        <w:rPr>
          <w:rFonts w:asciiTheme="minorBidi" w:hAnsiTheme="minorBidi" w:cstheme="minorBidi"/>
          <w:lang w:val="es-ES_tradnl"/>
        </w:rPr>
        <w:t xml:space="preserve">Karnawati explicó que el Grupo Intergubernamental de Coordinación había puesto en marcha planes de trabajo para empezar a abordar las cuestiones planteadas en el informe de 2020 sobre el desarrollo de la capacidad en materia de preparación para casos de tsunami en el IOTWMS. El 10 de noviembre de 2021, se había organizado un seminario web titulado </w:t>
      </w:r>
      <w:r w:rsidR="00B27C8C" w:rsidRPr="002F4384">
        <w:rPr>
          <w:rFonts w:asciiTheme="minorBidi" w:hAnsiTheme="minorBidi" w:cstheme="minorBidi"/>
          <w:lang w:val="es-ES_tradnl"/>
        </w:rPr>
        <w:t>“</w:t>
      </w:r>
      <w:r w:rsidRPr="002F4384">
        <w:rPr>
          <w:rFonts w:asciiTheme="minorBidi" w:hAnsiTheme="minorBidi" w:cstheme="minorBidi"/>
          <w:lang w:val="es-ES_tradnl"/>
        </w:rPr>
        <w:t>Una vía estratégica para el Sistema de Alerta contra los Tsunamis y Atenuación de sus Efectos en el Océano Índico en el contexto del Decenio de las Naciones Unidas de las Ciencias Oceánicas para el Desarrollo Sostenible</w:t>
      </w:r>
      <w:r w:rsidR="00B27C8C" w:rsidRPr="002F4384">
        <w:rPr>
          <w:rFonts w:asciiTheme="minorBidi" w:hAnsiTheme="minorBidi" w:cstheme="minorBidi"/>
          <w:lang w:val="es-ES_tradnl"/>
        </w:rPr>
        <w:t>”</w:t>
      </w:r>
      <w:r w:rsidRPr="002F4384">
        <w:rPr>
          <w:rFonts w:asciiTheme="minorBidi" w:hAnsiTheme="minorBidi" w:cstheme="minorBidi"/>
          <w:lang w:val="es-ES_tradnl"/>
        </w:rPr>
        <w:t xml:space="preserve"> con miras a encontrar oportunidades de seguir mejorando el IOTWMS, de modo que proporcionara alertas contra los tsunamis más oportunas y precisas al 100</w:t>
      </w:r>
      <w:r w:rsidR="0027205F" w:rsidRPr="002F4384">
        <w:rPr>
          <w:rFonts w:asciiTheme="minorBidi" w:hAnsiTheme="minorBidi" w:cstheme="minorBidi"/>
          <w:lang w:val="es-ES_tradnl"/>
        </w:rPr>
        <w:t> </w:t>
      </w:r>
      <w:r w:rsidRPr="002F4384">
        <w:rPr>
          <w:rFonts w:asciiTheme="minorBidi" w:hAnsiTheme="minorBidi" w:cstheme="minorBidi"/>
          <w:lang w:val="es-ES_tradnl"/>
        </w:rPr>
        <w:t xml:space="preserve">% de comunidades costeras en peligro acreditadas Tsunami Ready. Entre los </w:t>
      </w:r>
      <w:r w:rsidR="006573CE" w:rsidRPr="002F4384">
        <w:rPr>
          <w:rFonts w:asciiTheme="minorBidi" w:hAnsiTheme="minorBidi" w:cstheme="minorBidi"/>
          <w:lang w:val="es-ES_tradnl"/>
        </w:rPr>
        <w:t>problemas</w:t>
      </w:r>
      <w:r w:rsidRPr="002F4384">
        <w:rPr>
          <w:rFonts w:asciiTheme="minorBidi" w:hAnsiTheme="minorBidi" w:cstheme="minorBidi"/>
          <w:lang w:val="es-ES_tradnl"/>
        </w:rPr>
        <w:t xml:space="preserve"> que debían </w:t>
      </w:r>
      <w:r w:rsidR="006573CE" w:rsidRPr="002F4384">
        <w:rPr>
          <w:rFonts w:asciiTheme="minorBidi" w:hAnsiTheme="minorBidi" w:cstheme="minorBidi"/>
          <w:lang w:val="es-ES_tradnl"/>
        </w:rPr>
        <w:t>resolverse</w:t>
      </w:r>
      <w:r w:rsidRPr="002F4384">
        <w:rPr>
          <w:rFonts w:asciiTheme="minorBidi" w:hAnsiTheme="minorBidi" w:cstheme="minorBidi"/>
          <w:lang w:val="es-ES_tradnl"/>
        </w:rPr>
        <w:t xml:space="preserve"> </w:t>
      </w:r>
      <w:r w:rsidR="006573CE" w:rsidRPr="002F4384">
        <w:rPr>
          <w:rFonts w:asciiTheme="minorBidi" w:hAnsiTheme="minorBidi" w:cstheme="minorBidi"/>
          <w:lang w:val="es-ES_tradnl"/>
        </w:rPr>
        <w:t>figuraban</w:t>
      </w:r>
      <w:r w:rsidRPr="002F4384">
        <w:rPr>
          <w:rFonts w:asciiTheme="minorBidi" w:hAnsiTheme="minorBidi" w:cstheme="minorBidi"/>
          <w:lang w:val="es-ES_tradnl"/>
        </w:rPr>
        <w:t xml:space="preserve"> </w:t>
      </w:r>
      <w:r w:rsidR="006573CE" w:rsidRPr="002F4384">
        <w:rPr>
          <w:rFonts w:asciiTheme="minorBidi" w:hAnsiTheme="minorBidi" w:cstheme="minorBidi"/>
          <w:lang w:val="es-ES_tradnl"/>
        </w:rPr>
        <w:t>desafíos</w:t>
      </w:r>
      <w:r w:rsidRPr="002F4384">
        <w:rPr>
          <w:rFonts w:asciiTheme="minorBidi" w:hAnsiTheme="minorBidi" w:cstheme="minorBidi"/>
          <w:lang w:val="es-ES_tradnl"/>
        </w:rPr>
        <w:t xml:space="preserve"> persistentes relacionados con el intercambio oportuno y abierto de datos sísmicos y sobre el nivel del mar necesarios para las alertas, una mayor participación de la comunidad de gestión de desastres en el trabajo del ICG/IOTWMS, el mantenimiento de iniciativas de concienciación y educación de la comunidad, y un mayor desarrollo de la capacidad en favor de los PEID y los PMA. Se había decidido efectuar el próximo ejercicio IOWave en 2023. Proseguían los esfuerzos para ocuparse de las dificultades que planteaba la alerta contra tsunami</w:t>
      </w:r>
      <w:r w:rsidR="004114FF" w:rsidRPr="002F4384">
        <w:rPr>
          <w:rFonts w:asciiTheme="minorBidi" w:hAnsiTheme="minorBidi" w:cstheme="minorBidi"/>
          <w:lang w:val="es-ES_tradnl"/>
        </w:rPr>
        <w:t>s</w:t>
      </w:r>
      <w:r w:rsidRPr="002F4384">
        <w:rPr>
          <w:rFonts w:asciiTheme="minorBidi" w:hAnsiTheme="minorBidi" w:cstheme="minorBidi"/>
          <w:lang w:val="es-ES_tradnl"/>
        </w:rPr>
        <w:t xml:space="preserve"> </w:t>
      </w:r>
      <w:r w:rsidR="0027205F" w:rsidRPr="002F4384">
        <w:rPr>
          <w:rFonts w:asciiTheme="minorBidi" w:hAnsiTheme="minorBidi" w:cstheme="minorBidi"/>
          <w:lang w:val="es-ES_tradnl"/>
        </w:rPr>
        <w:t>generados por fuentes no sísmicas y complejas</w:t>
      </w:r>
      <w:r w:rsidRPr="002F4384">
        <w:rPr>
          <w:rFonts w:asciiTheme="minorBidi" w:hAnsiTheme="minorBidi" w:cstheme="minorBidi"/>
          <w:lang w:val="es-ES_tradnl"/>
        </w:rPr>
        <w:t>.</w:t>
      </w:r>
    </w:p>
    <w:p w14:paraId="21B3CE51" w14:textId="445FAFCF" w:rsidR="00E432AB" w:rsidRPr="002F4384" w:rsidRDefault="00667651" w:rsidP="005C3715">
      <w:pPr>
        <w:pStyle w:val="Style2"/>
        <w:numPr>
          <w:ilvl w:val="0"/>
          <w:numId w:val="7"/>
        </w:numPr>
        <w:tabs>
          <w:tab w:val="left" w:pos="714"/>
        </w:tabs>
        <w:ind w:left="0" w:hanging="567"/>
        <w:rPr>
          <w:rFonts w:asciiTheme="minorBidi" w:hAnsiTheme="minorBidi" w:cstheme="minorBidi"/>
          <w:lang w:val="es-ES_tradnl"/>
        </w:rPr>
      </w:pPr>
      <w:bookmarkStart w:id="139" w:name="_Hlk104366295"/>
      <w:r w:rsidRPr="002F4384">
        <w:rPr>
          <w:rFonts w:asciiTheme="minorBidi" w:hAnsiTheme="minorBidi" w:cstheme="minorBidi"/>
          <w:lang w:val="es-ES_tradnl"/>
        </w:rPr>
        <w:t xml:space="preserve">La </w:t>
      </w:r>
      <w:r w:rsidR="005643C5" w:rsidRPr="002F4384">
        <w:rPr>
          <w:rFonts w:asciiTheme="minorBidi" w:hAnsiTheme="minorBidi" w:cstheme="minorBidi"/>
          <w:lang w:val="es-ES_tradnl"/>
        </w:rPr>
        <w:t xml:space="preserve">Profesora </w:t>
      </w:r>
      <w:r w:rsidRPr="002F4384">
        <w:rPr>
          <w:rFonts w:asciiTheme="minorBidi" w:hAnsiTheme="minorBidi" w:cstheme="minorBidi"/>
          <w:lang w:val="es-ES_tradnl"/>
        </w:rPr>
        <w:t xml:space="preserve">Karnawati anunció la prórroga del acuerdo entre el Gobierno de Indonesia (por conducto del BMKG) y la COI de la UNESCO para respaldar el Centro de Información sobre los Tsunamis en el Océano Índico (IOTIC) y que pudiera </w:t>
      </w:r>
      <w:r w:rsidR="00A54572" w:rsidRPr="002F4384">
        <w:rPr>
          <w:rFonts w:asciiTheme="minorBidi" w:hAnsiTheme="minorBidi" w:cstheme="minorBidi"/>
          <w:lang w:val="es-ES_tradnl"/>
        </w:rPr>
        <w:t>proseguir</w:t>
      </w:r>
      <w:r w:rsidRPr="002F4384">
        <w:rPr>
          <w:rFonts w:asciiTheme="minorBidi" w:hAnsiTheme="minorBidi" w:cstheme="minorBidi"/>
          <w:lang w:val="es-ES_tradnl"/>
        </w:rPr>
        <w:t xml:space="preserve"> su labor fundamental de educación y formación. El Gobierno de Australia había manifestado su apoyo a la Oficina de la Secretaría del ICG/IOTWMS. La primera fase del proyecto financiado por la CESPAP </w:t>
      </w:r>
      <w:r w:rsidR="00B27C8C" w:rsidRPr="002F4384">
        <w:rPr>
          <w:rFonts w:asciiTheme="minorBidi" w:hAnsiTheme="minorBidi" w:cstheme="minorBidi"/>
          <w:lang w:val="es-ES_tradnl"/>
        </w:rPr>
        <w:t>“</w:t>
      </w:r>
      <w:r w:rsidRPr="002F4384">
        <w:rPr>
          <w:rFonts w:asciiTheme="minorBidi" w:hAnsiTheme="minorBidi" w:cstheme="minorBidi"/>
          <w:lang w:val="es-ES_tradnl"/>
        </w:rPr>
        <w:t>Fortalecimiento de la alerta temprana contra los tsunamis en la región noroccidental del océano Índico mediante la cooperación regional</w:t>
      </w:r>
      <w:r w:rsidR="00B27C8C" w:rsidRPr="002F4384">
        <w:rPr>
          <w:rFonts w:asciiTheme="minorBidi" w:hAnsiTheme="minorBidi" w:cstheme="minorBidi"/>
          <w:lang w:val="es-ES_tradnl"/>
        </w:rPr>
        <w:t>”</w:t>
      </w:r>
      <w:r w:rsidRPr="002F4384">
        <w:rPr>
          <w:rFonts w:asciiTheme="minorBidi" w:hAnsiTheme="minorBidi" w:cstheme="minorBidi"/>
          <w:lang w:val="es-ES_tradnl"/>
        </w:rPr>
        <w:t xml:space="preserve"> había concluido con éxito, y se había recibido financiación para iniciar la segunda. Las enseñanzas extraídas de ese proyecto se ampliarían a todo el océano Índico, entre otras cosas el mantenimiento de cadenas nacionales de alerta contra tsunamis efectivas mediante programas de formación revisados sobre los procedimiento</w:t>
      </w:r>
      <w:r w:rsidR="00B40C2F" w:rsidRPr="002F4384">
        <w:rPr>
          <w:rFonts w:asciiTheme="minorBidi" w:hAnsiTheme="minorBidi" w:cstheme="minorBidi"/>
          <w:lang w:val="es-ES_tradnl"/>
        </w:rPr>
        <w:t>s</w:t>
      </w:r>
      <w:r w:rsidRPr="002F4384">
        <w:rPr>
          <w:rFonts w:asciiTheme="minorBidi" w:hAnsiTheme="minorBidi" w:cstheme="minorBidi"/>
          <w:lang w:val="es-ES_tradnl"/>
        </w:rPr>
        <w:t xml:space="preserve"> operativo</w:t>
      </w:r>
      <w:r w:rsidR="00B40C2F" w:rsidRPr="002F4384">
        <w:rPr>
          <w:rFonts w:asciiTheme="minorBidi" w:hAnsiTheme="minorBidi" w:cstheme="minorBidi"/>
          <w:lang w:val="es-ES_tradnl"/>
        </w:rPr>
        <w:t>s</w:t>
      </w:r>
      <w:r w:rsidRPr="002F4384">
        <w:rPr>
          <w:rFonts w:asciiTheme="minorBidi" w:hAnsiTheme="minorBidi" w:cstheme="minorBidi"/>
          <w:lang w:val="es-ES_tradnl"/>
        </w:rPr>
        <w:t xml:space="preserve"> estándar (POE) para los centros nacionales de alerta contra los tsunamis (NTWC), las oficinas de gestión de desastres y los medios de comunicación.</w:t>
      </w:r>
      <w:bookmarkEnd w:id="139"/>
      <w:r w:rsidR="005643C5" w:rsidRPr="002F4384">
        <w:rPr>
          <w:rFonts w:asciiTheme="minorBidi" w:hAnsiTheme="minorBidi" w:cstheme="minorBidi"/>
          <w:lang w:val="es-ES_tradnl"/>
        </w:rPr>
        <w:t xml:space="preserve"> </w:t>
      </w:r>
    </w:p>
    <w:p w14:paraId="3E9E0E7F" w14:textId="618B6558" w:rsidR="005C267D" w:rsidRPr="002F4384" w:rsidRDefault="00667651"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La </w:t>
      </w:r>
      <w:r w:rsidR="005643C5" w:rsidRPr="002F4384">
        <w:rPr>
          <w:rFonts w:asciiTheme="minorBidi" w:hAnsiTheme="minorBidi" w:cstheme="minorBidi"/>
          <w:lang w:val="es-ES_tradnl"/>
        </w:rPr>
        <w:t xml:space="preserve">Profesora </w:t>
      </w:r>
      <w:r w:rsidRPr="002F4384">
        <w:rPr>
          <w:rFonts w:asciiTheme="minorBidi" w:hAnsiTheme="minorBidi" w:cstheme="minorBidi"/>
          <w:lang w:val="es-ES_tradnl"/>
        </w:rPr>
        <w:t>Karnawati</w:t>
      </w:r>
      <w:r w:rsidR="00994E27" w:rsidRPr="002F4384">
        <w:rPr>
          <w:rFonts w:asciiTheme="minorBidi" w:hAnsiTheme="minorBidi" w:cstheme="minorBidi"/>
          <w:lang w:val="es-ES_tradnl"/>
        </w:rPr>
        <w:t xml:space="preserve"> también informó sobre otros logros recientes del ICG/IOTWMS, en especial el trabajo que est</w:t>
      </w:r>
      <w:r w:rsidR="00A063DF" w:rsidRPr="002F4384">
        <w:rPr>
          <w:rFonts w:asciiTheme="minorBidi" w:hAnsiTheme="minorBidi" w:cstheme="minorBidi"/>
          <w:lang w:val="es-ES_tradnl"/>
        </w:rPr>
        <w:t>aba</w:t>
      </w:r>
      <w:r w:rsidR="00994E27" w:rsidRPr="002F4384">
        <w:rPr>
          <w:rFonts w:asciiTheme="minorBidi" w:hAnsiTheme="minorBidi" w:cstheme="minorBidi"/>
          <w:lang w:val="es-ES_tradnl"/>
        </w:rPr>
        <w:t xml:space="preserve"> realizando el Organismo Meteorológico, Climatológico y Geofísico (BMKG) de Indonesia para elaborar las directrices ISO 22328-3 para los sistemas de alerta </w:t>
      </w:r>
      <w:r w:rsidR="008B101A" w:rsidRPr="002F4384">
        <w:rPr>
          <w:rFonts w:asciiTheme="minorBidi" w:hAnsiTheme="minorBidi" w:cstheme="minorBidi"/>
          <w:lang w:val="es-ES_tradnl"/>
        </w:rPr>
        <w:t>contra los</w:t>
      </w:r>
      <w:r w:rsidR="00994E27" w:rsidRPr="002F4384">
        <w:rPr>
          <w:rFonts w:asciiTheme="minorBidi" w:hAnsiTheme="minorBidi" w:cstheme="minorBidi"/>
          <w:lang w:val="es-ES_tradnl"/>
        </w:rPr>
        <w:t xml:space="preserve"> tsunamis, que completa</w:t>
      </w:r>
      <w:r w:rsidR="00A063DF" w:rsidRPr="002F4384">
        <w:rPr>
          <w:rFonts w:asciiTheme="minorBidi" w:hAnsiTheme="minorBidi" w:cstheme="minorBidi"/>
          <w:lang w:val="es-ES_tradnl"/>
        </w:rPr>
        <w:t>ría</w:t>
      </w:r>
      <w:r w:rsidR="00994E27" w:rsidRPr="002F4384">
        <w:rPr>
          <w:rFonts w:asciiTheme="minorBidi" w:hAnsiTheme="minorBidi" w:cstheme="minorBidi"/>
          <w:lang w:val="es-ES_tradnl"/>
        </w:rPr>
        <w:t>n el programa de reconocimiento Tsunami Ready.</w:t>
      </w:r>
      <w:r w:rsidR="00A063DF" w:rsidRPr="002F4384">
        <w:rPr>
          <w:rFonts w:asciiTheme="minorBidi" w:hAnsiTheme="minorBidi" w:cstheme="minorBidi"/>
          <w:lang w:val="es-ES_tradnl"/>
        </w:rPr>
        <w:t xml:space="preserve"> El IOTIC de la COI-BMKG también había elaborado herramientas </w:t>
      </w:r>
      <w:r w:rsidR="00BD17B4" w:rsidRPr="002F4384">
        <w:rPr>
          <w:rFonts w:asciiTheme="minorBidi" w:hAnsiTheme="minorBidi" w:cstheme="minorBidi"/>
          <w:lang w:val="es-ES_tradnl"/>
        </w:rPr>
        <w:t>para</w:t>
      </w:r>
      <w:r w:rsidR="00A063DF" w:rsidRPr="002F4384">
        <w:rPr>
          <w:rFonts w:asciiTheme="minorBidi" w:hAnsiTheme="minorBidi" w:cstheme="minorBidi"/>
          <w:lang w:val="es-ES_tradnl"/>
        </w:rPr>
        <w:t xml:space="preserve"> respalda</w:t>
      </w:r>
      <w:r w:rsidR="00BD17B4" w:rsidRPr="002F4384">
        <w:rPr>
          <w:rFonts w:asciiTheme="minorBidi" w:hAnsiTheme="minorBidi" w:cstheme="minorBidi"/>
          <w:lang w:val="es-ES_tradnl"/>
        </w:rPr>
        <w:t>r</w:t>
      </w:r>
      <w:r w:rsidR="00A063DF" w:rsidRPr="002F4384">
        <w:rPr>
          <w:rFonts w:asciiTheme="minorBidi" w:hAnsiTheme="minorBidi" w:cstheme="minorBidi"/>
          <w:lang w:val="es-ES_tradnl"/>
        </w:rPr>
        <w:t xml:space="preserve"> el programa Tsunami Ready, como un juego de mesa y una serie de 14 cortos de animación. La comunidad de Tanjung Benoa en Indonesia había recibido recientemente la certificación Tsunami Ready. La ceremonia de certificación se había </w:t>
      </w:r>
      <w:r w:rsidR="00BD17B4" w:rsidRPr="002F4384">
        <w:rPr>
          <w:rFonts w:asciiTheme="minorBidi" w:hAnsiTheme="minorBidi" w:cstheme="minorBidi"/>
          <w:lang w:val="es-ES_tradnl"/>
        </w:rPr>
        <w:t>realizado</w:t>
      </w:r>
      <w:r w:rsidR="00A063DF" w:rsidRPr="002F4384">
        <w:rPr>
          <w:rFonts w:asciiTheme="minorBidi" w:hAnsiTheme="minorBidi" w:cstheme="minorBidi"/>
          <w:lang w:val="es-ES_tradnl"/>
        </w:rPr>
        <w:t xml:space="preserve"> en el marco de las actividades globales de promoción del programa Tsunami Ready llevadas a cabo por el IOTIC y el BMKG en la reunión de la Plataforma Global para la Reducción del Riesgo de Desastres organizada en Bali (Indonesia) en mayo de 2022.</w:t>
      </w:r>
      <w:r w:rsidR="005C267D" w:rsidRPr="002F4384">
        <w:rPr>
          <w:rFonts w:asciiTheme="minorBidi" w:hAnsiTheme="minorBidi" w:cstheme="minorBidi"/>
          <w:lang w:val="es-ES_tradnl"/>
        </w:rPr>
        <w:t xml:space="preserve"> Se había demostrado la necesidad de incluir las infraestructuras críticas en el programa Tsunami Ready y</w:t>
      </w:r>
      <w:r w:rsidR="00897E5E" w:rsidRPr="002F4384">
        <w:rPr>
          <w:rFonts w:asciiTheme="minorBidi" w:hAnsiTheme="minorBidi" w:cstheme="minorBidi"/>
          <w:lang w:val="es-ES_tradnl"/>
        </w:rPr>
        <w:t>, por su parte,</w:t>
      </w:r>
      <w:r w:rsidR="005C267D" w:rsidRPr="002F4384">
        <w:rPr>
          <w:rFonts w:asciiTheme="minorBidi" w:hAnsiTheme="minorBidi" w:cstheme="minorBidi"/>
          <w:lang w:val="es-ES_tradnl"/>
        </w:rPr>
        <w:t xml:space="preserve"> el </w:t>
      </w:r>
      <w:r w:rsidR="005C267D" w:rsidRPr="002F4384">
        <w:rPr>
          <w:rFonts w:asciiTheme="minorBidi" w:hAnsiTheme="minorBidi" w:cstheme="minorBidi"/>
          <w:lang w:val="es-ES_tradnl"/>
        </w:rPr>
        <w:lastRenderedPageBreak/>
        <w:t xml:space="preserve">BMKG estaba ejecutando </w:t>
      </w:r>
      <w:r w:rsidR="00897E5E" w:rsidRPr="002F4384">
        <w:rPr>
          <w:rFonts w:asciiTheme="minorBidi" w:hAnsiTheme="minorBidi" w:cstheme="minorBidi"/>
          <w:lang w:val="es-ES_tradnl"/>
        </w:rPr>
        <w:t>en ese momento</w:t>
      </w:r>
      <w:r w:rsidR="005C267D" w:rsidRPr="002F4384">
        <w:rPr>
          <w:rFonts w:asciiTheme="minorBidi" w:hAnsiTheme="minorBidi" w:cstheme="minorBidi"/>
          <w:lang w:val="es-ES_tradnl"/>
        </w:rPr>
        <w:t xml:space="preserve"> un programa para preparar dos grandes aeropuertos en Indonesia.</w:t>
      </w:r>
    </w:p>
    <w:p w14:paraId="09FEABDB" w14:textId="546147A8" w:rsidR="00E432AB" w:rsidRPr="002F4384" w:rsidRDefault="00C239FB"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La Profesora Karnawati también indicó que el Centro Nacional de Servicios de Información Oceanográfica de la India (INCOIS) dirigía en la India, desde 2013, el Centro de Formación Internacional de Oceanografía Operacional (ITCOocean), que había impartido varios cursos </w:t>
      </w:r>
      <w:r w:rsidR="00571726" w:rsidRPr="002F4384">
        <w:rPr>
          <w:rFonts w:asciiTheme="minorBidi" w:hAnsiTheme="minorBidi" w:cstheme="minorBidi"/>
          <w:lang w:val="es-ES_tradnl"/>
        </w:rPr>
        <w:t>para</w:t>
      </w:r>
      <w:r w:rsidRPr="002F4384">
        <w:rPr>
          <w:rFonts w:asciiTheme="minorBidi" w:hAnsiTheme="minorBidi" w:cstheme="minorBidi"/>
          <w:lang w:val="es-ES_tradnl"/>
        </w:rPr>
        <w:t xml:space="preserve"> respalda</w:t>
      </w:r>
      <w:r w:rsidR="00571726" w:rsidRPr="002F4384">
        <w:rPr>
          <w:rFonts w:asciiTheme="minorBidi" w:hAnsiTheme="minorBidi" w:cstheme="minorBidi"/>
          <w:lang w:val="es-ES_tradnl"/>
        </w:rPr>
        <w:t>r</w:t>
      </w:r>
      <w:r w:rsidRPr="002F4384">
        <w:rPr>
          <w:rFonts w:asciiTheme="minorBidi" w:hAnsiTheme="minorBidi" w:cstheme="minorBidi"/>
          <w:lang w:val="es-ES_tradnl"/>
        </w:rPr>
        <w:t xml:space="preserve"> el programa sobre los tsunamis en 2021/2022. El Centro de Formación del BMKG en Indonesia también cumplía ahora la función de Centro de Formación Especializada de la Academia Mundial OceanTeacher (STC Indonesia) y había organizado un curso de formación sobre el programa Tsunami Ready a finales de 2021.</w:t>
      </w:r>
    </w:p>
    <w:p w14:paraId="0A13AD67" w14:textId="3306E248" w:rsidR="00E432AB" w:rsidRPr="002F4384" w:rsidRDefault="00667651"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La Prof</w:t>
      </w:r>
      <w:r w:rsidR="00BE65BF" w:rsidRPr="002F4384">
        <w:rPr>
          <w:rFonts w:asciiTheme="minorBidi" w:hAnsiTheme="minorBidi" w:cstheme="minorBidi"/>
          <w:lang w:val="es-ES_tradnl"/>
        </w:rPr>
        <w:t>esora</w:t>
      </w:r>
      <w:r w:rsidRPr="002F4384">
        <w:rPr>
          <w:rFonts w:asciiTheme="minorBidi" w:hAnsiTheme="minorBidi" w:cstheme="minorBidi"/>
          <w:lang w:val="es-ES_tradnl"/>
        </w:rPr>
        <w:t xml:space="preserve"> Maria Ana Baptista, Presidenta del Grupo Intergubernamental de Coordinación del Sistema de Alerta Temprana contra los Tsunamis y Atenuación de sus Efectos en el Atlántico Nororiental y el Mediterráneo y Mares Adyacentes (ICG/NEAMTWS) presentó el informe del</w:t>
      </w:r>
      <w:r w:rsidR="006F18C2" w:rsidRPr="002F4384">
        <w:rPr>
          <w:rFonts w:asciiTheme="minorBidi" w:hAnsiTheme="minorBidi" w:cstheme="minorBidi"/>
          <w:lang w:val="es-ES_tradnl"/>
        </w:rPr>
        <w:t> </w:t>
      </w:r>
      <w:r w:rsidRPr="002F4384">
        <w:rPr>
          <w:rFonts w:asciiTheme="minorBidi" w:hAnsiTheme="minorBidi" w:cstheme="minorBidi"/>
          <w:lang w:val="es-ES_tradnl"/>
        </w:rPr>
        <w:t>ICG/NEAMTWS. Señaló que la 17ª reunión del ICG/NEAMTWS se había celebrado en línea del 24 al 26 de noviembre de 2021.</w:t>
      </w:r>
    </w:p>
    <w:p w14:paraId="2FF00EC7" w14:textId="294925BA" w:rsidR="00E432AB" w:rsidRPr="002F4384" w:rsidRDefault="00667651"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La </w:t>
      </w:r>
      <w:r w:rsidR="00C239FB" w:rsidRPr="002F4384">
        <w:rPr>
          <w:rFonts w:asciiTheme="minorBidi" w:hAnsiTheme="minorBidi" w:cstheme="minorBidi"/>
          <w:lang w:val="es-ES_tradnl"/>
        </w:rPr>
        <w:t xml:space="preserve">Profesora </w:t>
      </w:r>
      <w:r w:rsidRPr="002F4384">
        <w:rPr>
          <w:rFonts w:asciiTheme="minorBidi" w:hAnsiTheme="minorBidi" w:cstheme="minorBidi"/>
          <w:lang w:val="es-ES_tradnl"/>
        </w:rPr>
        <w:t xml:space="preserve">Baptista destacó el éxito de la cuarta simulación de tsunamis en la región </w:t>
      </w:r>
      <w:r w:rsidR="00953838" w:rsidRPr="002F4384">
        <w:rPr>
          <w:rFonts w:asciiTheme="minorBidi" w:hAnsiTheme="minorBidi" w:cstheme="minorBidi"/>
          <w:lang w:val="es-ES_tradnl"/>
        </w:rPr>
        <w:t>(</w:t>
      </w:r>
      <w:r w:rsidRPr="002F4384">
        <w:rPr>
          <w:rFonts w:asciiTheme="minorBidi" w:hAnsiTheme="minorBidi" w:cstheme="minorBidi"/>
          <w:lang w:val="es-ES_tradnl"/>
        </w:rPr>
        <w:t>NEAMWave21</w:t>
      </w:r>
      <w:r w:rsidR="00953838" w:rsidRPr="002F4384">
        <w:rPr>
          <w:rFonts w:asciiTheme="minorBidi" w:hAnsiTheme="minorBidi" w:cstheme="minorBidi"/>
          <w:lang w:val="es-ES_tradnl"/>
        </w:rPr>
        <w:t>)</w:t>
      </w:r>
      <w:r w:rsidRPr="002F4384">
        <w:rPr>
          <w:rFonts w:asciiTheme="minorBidi" w:hAnsiTheme="minorBidi" w:cstheme="minorBidi"/>
          <w:lang w:val="es-ES_tradnl"/>
        </w:rPr>
        <w:t xml:space="preserve"> realizada del 8 al 10 de marzo de 2021, y el gran aumento del interés de los medios de comunicación.</w:t>
      </w:r>
    </w:p>
    <w:p w14:paraId="2773B146" w14:textId="2A23AD5D" w:rsidR="00E432AB" w:rsidRPr="002F4384" w:rsidRDefault="00667651"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Informó sobre los continuos esfuerzos nacionales </w:t>
      </w:r>
      <w:r w:rsidR="00F652C9" w:rsidRPr="002F4384">
        <w:rPr>
          <w:rFonts w:asciiTheme="minorBidi" w:hAnsiTheme="minorBidi" w:cstheme="minorBidi"/>
          <w:lang w:val="es-ES_tradnl"/>
        </w:rPr>
        <w:t>desplegados</w:t>
      </w:r>
      <w:r w:rsidRPr="002F4384">
        <w:rPr>
          <w:rFonts w:asciiTheme="minorBidi" w:hAnsiTheme="minorBidi" w:cstheme="minorBidi"/>
          <w:lang w:val="es-ES_tradnl"/>
        </w:rPr>
        <w:t xml:space="preserve"> en varios países para crear mayor conciencia sobre el riesgo de tsunami y la preparación para afrontarlos, en consonancia con el Día Mundial de Concienciación sobre los Tsunamis </w:t>
      </w:r>
      <w:r w:rsidR="00F652C9" w:rsidRPr="002F4384">
        <w:rPr>
          <w:rFonts w:asciiTheme="minorBidi" w:hAnsiTheme="minorBidi" w:cstheme="minorBidi"/>
          <w:lang w:val="es-ES_tradnl"/>
        </w:rPr>
        <w:t>(</w:t>
      </w:r>
      <w:r w:rsidRPr="002F4384">
        <w:rPr>
          <w:rFonts w:asciiTheme="minorBidi" w:hAnsiTheme="minorBidi" w:cstheme="minorBidi"/>
          <w:lang w:val="es-ES_tradnl"/>
        </w:rPr>
        <w:t>5 de noviembre de 2021</w:t>
      </w:r>
      <w:r w:rsidR="00F652C9" w:rsidRPr="002F4384">
        <w:rPr>
          <w:rFonts w:asciiTheme="minorBidi" w:hAnsiTheme="minorBidi" w:cstheme="minorBidi"/>
          <w:lang w:val="es-ES_tradnl"/>
        </w:rPr>
        <w:t>)</w:t>
      </w:r>
      <w:r w:rsidRPr="002F4384">
        <w:rPr>
          <w:rFonts w:asciiTheme="minorBidi" w:hAnsiTheme="minorBidi" w:cstheme="minorBidi"/>
          <w:lang w:val="es-ES_tradnl"/>
        </w:rPr>
        <w:t xml:space="preserve">, y como contribución a él, así como las simulaciones de tsunamis realizadas en Francia y Malta. Se había creado un nuevo equipo de tareas sobre Tsunami Ready. La </w:t>
      </w:r>
      <w:r w:rsidR="00ED18D4" w:rsidRPr="002F4384">
        <w:rPr>
          <w:rFonts w:asciiTheme="minorBidi" w:hAnsiTheme="minorBidi" w:cstheme="minorBidi"/>
          <w:lang w:val="es-ES_tradnl"/>
        </w:rPr>
        <w:t xml:space="preserve">Profesora </w:t>
      </w:r>
      <w:r w:rsidRPr="002F4384">
        <w:rPr>
          <w:rFonts w:asciiTheme="minorBidi" w:hAnsiTheme="minorBidi" w:cstheme="minorBidi"/>
          <w:lang w:val="es-ES_tradnl"/>
        </w:rPr>
        <w:t>Baptista habló de los progresos logrados por las comunidades de Bouches-du-Rhône y Cannes (Francia); Kos (Grecia); Israel; Minturno, Pachino y Palmi (Italia); Marsaxlokk (Malta); Azores, Cascais, Lagos, Lisboa, Madeira, Portimão y Setúbal (Portugal); Chipiona (España); y Bodrum y Estambul (Turquía) con miras a estar preparadas y acreditadas Tsunami Ready.</w:t>
      </w:r>
    </w:p>
    <w:p w14:paraId="1C64A120" w14:textId="743AE17E" w:rsidR="00E432AB" w:rsidRPr="002F4384" w:rsidRDefault="00667651"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Asimismo, </w:t>
      </w:r>
      <w:r w:rsidR="00BE65BF" w:rsidRPr="002F4384">
        <w:rPr>
          <w:rFonts w:asciiTheme="minorBidi" w:hAnsiTheme="minorBidi" w:cstheme="minorBidi"/>
          <w:lang w:val="es-ES_tradnl"/>
        </w:rPr>
        <w:t>se refirió al</w:t>
      </w:r>
      <w:r w:rsidRPr="002F4384">
        <w:rPr>
          <w:rFonts w:asciiTheme="minorBidi" w:hAnsiTheme="minorBidi" w:cstheme="minorBidi"/>
          <w:lang w:val="es-ES_tradnl"/>
        </w:rPr>
        <w:t xml:space="preserve"> apoyo prestado por la Comisión Europea y el Centro Común de Investigación (CCI) </w:t>
      </w:r>
      <w:r w:rsidR="00607FF2" w:rsidRPr="002F4384">
        <w:rPr>
          <w:rFonts w:asciiTheme="minorBidi" w:hAnsiTheme="minorBidi" w:cstheme="minorBidi"/>
          <w:lang w:val="es-ES_tradnl"/>
        </w:rPr>
        <w:t>para el</w:t>
      </w:r>
      <w:r w:rsidRPr="002F4384">
        <w:rPr>
          <w:rFonts w:asciiTheme="minorBidi" w:hAnsiTheme="minorBidi" w:cstheme="minorBidi"/>
          <w:lang w:val="es-ES_tradnl"/>
        </w:rPr>
        <w:t xml:space="preserve"> desarrollo de capacidades, en particular infraestructura</w:t>
      </w:r>
      <w:r w:rsidR="00607FF2" w:rsidRPr="002F4384">
        <w:rPr>
          <w:rFonts w:asciiTheme="minorBidi" w:hAnsiTheme="minorBidi" w:cstheme="minorBidi"/>
          <w:lang w:val="es-ES_tradnl"/>
        </w:rPr>
        <w:t xml:space="preserve"> e </w:t>
      </w:r>
      <w:r w:rsidRPr="002F4384">
        <w:rPr>
          <w:rFonts w:asciiTheme="minorBidi" w:hAnsiTheme="minorBidi" w:cstheme="minorBidi"/>
          <w:lang w:val="es-ES_tradnl"/>
        </w:rPr>
        <w:t xml:space="preserve">investigación y nuevos instrumentos para la medición del nivel del mar y el suministro de mediciones, especialmente para la fase 2 del proyecto “Last Mile”, ejecutado en Malta, y el </w:t>
      </w:r>
      <w:r w:rsidR="00607FF2" w:rsidRPr="002F4384">
        <w:rPr>
          <w:rFonts w:asciiTheme="minorBidi" w:hAnsiTheme="minorBidi" w:cstheme="minorBidi"/>
          <w:lang w:val="es-ES_tradnl"/>
        </w:rPr>
        <w:t>respaldo</w:t>
      </w:r>
      <w:r w:rsidRPr="002F4384">
        <w:rPr>
          <w:rFonts w:asciiTheme="minorBidi" w:hAnsiTheme="minorBidi" w:cstheme="minorBidi"/>
          <w:lang w:val="es-ES_tradnl"/>
        </w:rPr>
        <w:t xml:space="preserve"> </w:t>
      </w:r>
      <w:r w:rsidR="00AA691A" w:rsidRPr="002F4384">
        <w:rPr>
          <w:rFonts w:asciiTheme="minorBidi" w:hAnsiTheme="minorBidi" w:cstheme="minorBidi"/>
          <w:lang w:val="es-ES_tradnl"/>
        </w:rPr>
        <w:t>para</w:t>
      </w:r>
      <w:r w:rsidRPr="002F4384">
        <w:rPr>
          <w:rFonts w:asciiTheme="minorBidi" w:hAnsiTheme="minorBidi" w:cstheme="minorBidi"/>
          <w:lang w:val="es-ES_tradnl"/>
        </w:rPr>
        <w:t xml:space="preserve"> la organización de la primera simulación completa de tsunamis el 5 de noviembre de 2021.</w:t>
      </w:r>
    </w:p>
    <w:p w14:paraId="5B86022B" w14:textId="42C1F8DE" w:rsidR="00E432AB" w:rsidRPr="002F4384" w:rsidRDefault="00667651"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La </w:t>
      </w:r>
      <w:r w:rsidR="00ED18D4" w:rsidRPr="002F4384">
        <w:rPr>
          <w:rFonts w:asciiTheme="minorBidi" w:hAnsiTheme="minorBidi" w:cstheme="minorBidi"/>
          <w:lang w:val="es-ES_tradnl"/>
        </w:rPr>
        <w:t xml:space="preserve">Profesora </w:t>
      </w:r>
      <w:r w:rsidRPr="002F4384">
        <w:rPr>
          <w:rFonts w:asciiTheme="minorBidi" w:hAnsiTheme="minorBidi" w:cstheme="minorBidi"/>
          <w:lang w:val="es-ES_tradnl"/>
        </w:rPr>
        <w:t>Baptista anunció que se había aprobado el nuevo proyecto de la Dirección General de Protección Civil y Operaciones de Ayuda Humanitaria Europeas (ECHO) de la Unión Europea denominado “Fortalecimiento de la resiliencia de las comunidades costeras en la región del Atlántico Nororiental y el Mediterráneo ante el impacto de los tsunamis y otros peligros costeros relacionados con el nivel del mar”. El proyecto se estaba ejecutando en siete países.</w:t>
      </w:r>
    </w:p>
    <w:p w14:paraId="1AD4306F" w14:textId="666D17DB" w:rsidR="00E432AB" w:rsidRPr="002F4384" w:rsidRDefault="00667651"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Anunció la meta de </w:t>
      </w:r>
      <w:r w:rsidR="00EB6023" w:rsidRPr="002F4384">
        <w:rPr>
          <w:rFonts w:asciiTheme="minorBidi" w:hAnsiTheme="minorBidi" w:cstheme="minorBidi"/>
          <w:lang w:val="es-ES_tradnl"/>
        </w:rPr>
        <w:t>contar con</w:t>
      </w:r>
      <w:r w:rsidRPr="002F4384">
        <w:rPr>
          <w:rFonts w:asciiTheme="minorBidi" w:hAnsiTheme="minorBidi" w:cstheme="minorBidi"/>
          <w:lang w:val="es-ES_tradnl"/>
        </w:rPr>
        <w:t xml:space="preserve"> al menos </w:t>
      </w:r>
      <w:r w:rsidR="000304C1" w:rsidRPr="002F4384">
        <w:rPr>
          <w:rFonts w:asciiTheme="minorBidi" w:hAnsiTheme="minorBidi" w:cstheme="minorBidi"/>
          <w:lang w:val="es-ES_tradnl"/>
        </w:rPr>
        <w:t>diez</w:t>
      </w:r>
      <w:r w:rsidRPr="002F4384">
        <w:rPr>
          <w:rFonts w:asciiTheme="minorBidi" w:hAnsiTheme="minorBidi" w:cstheme="minorBidi"/>
          <w:lang w:val="es-ES_tradnl"/>
        </w:rPr>
        <w:t xml:space="preserve"> comunidades </w:t>
      </w:r>
      <w:r w:rsidR="00D12618" w:rsidRPr="002F4384">
        <w:rPr>
          <w:rFonts w:asciiTheme="minorBidi" w:hAnsiTheme="minorBidi" w:cstheme="minorBidi"/>
          <w:lang w:val="es-ES_tradnl"/>
        </w:rPr>
        <w:t>acreditadas</w:t>
      </w:r>
      <w:r w:rsidRPr="002F4384">
        <w:rPr>
          <w:rFonts w:asciiTheme="minorBidi" w:hAnsiTheme="minorBidi" w:cstheme="minorBidi"/>
          <w:lang w:val="es-ES_tradnl"/>
        </w:rPr>
        <w:t xml:space="preserve"> Tsunami Ready en países del Mediterráneo en los próximos dos años, a fin de contribuir a lograr que el 100</w:t>
      </w:r>
      <w:r w:rsidR="00FA1D22" w:rsidRPr="002F4384">
        <w:rPr>
          <w:rFonts w:asciiTheme="minorBidi" w:hAnsiTheme="minorBidi" w:cstheme="minorBidi"/>
          <w:lang w:val="es-ES_tradnl"/>
        </w:rPr>
        <w:t> </w:t>
      </w:r>
      <w:r w:rsidRPr="002F4384">
        <w:rPr>
          <w:rFonts w:asciiTheme="minorBidi" w:hAnsiTheme="minorBidi" w:cstheme="minorBidi"/>
          <w:lang w:val="es-ES_tradnl"/>
        </w:rPr>
        <w:t xml:space="preserve">% de las comunidades con riesgo de tsunami estuvieran preparadas y fueran resilientes ante los tsunamis de aquí a 2030 </w:t>
      </w:r>
      <w:r w:rsidR="00D12618" w:rsidRPr="002F4384">
        <w:rPr>
          <w:rFonts w:asciiTheme="minorBidi" w:hAnsiTheme="minorBidi" w:cstheme="minorBidi"/>
          <w:lang w:val="es-ES_tradnl"/>
        </w:rPr>
        <w:t>gracias al</w:t>
      </w:r>
      <w:r w:rsidRPr="002F4384">
        <w:rPr>
          <w:rFonts w:asciiTheme="minorBidi" w:hAnsiTheme="minorBidi" w:cstheme="minorBidi"/>
          <w:lang w:val="es-ES_tradnl"/>
        </w:rPr>
        <w:t xml:space="preserve"> programa Tsunami Ready de la COI</w:t>
      </w:r>
      <w:r w:rsidR="00FA1D22" w:rsidRPr="002F4384">
        <w:rPr>
          <w:rFonts w:asciiTheme="minorBidi" w:hAnsiTheme="minorBidi" w:cstheme="minorBidi"/>
          <w:lang w:val="es-ES_tradnl"/>
        </w:rPr>
        <w:t>-</w:t>
      </w:r>
      <w:r w:rsidRPr="002F4384">
        <w:rPr>
          <w:rFonts w:asciiTheme="minorBidi" w:hAnsiTheme="minorBidi" w:cstheme="minorBidi"/>
          <w:lang w:val="es-ES_tradnl"/>
        </w:rPr>
        <w:t>UNESCO y otras iniciativas.</w:t>
      </w:r>
      <w:r w:rsidR="00FA1D22" w:rsidRPr="002F4384">
        <w:rPr>
          <w:rFonts w:asciiTheme="minorBidi" w:hAnsiTheme="minorBidi" w:cstheme="minorBidi"/>
          <w:lang w:val="es-ES_tradnl"/>
        </w:rPr>
        <w:t xml:space="preserve"> También informó de que se estaban manteniendo diálogos con los países para actualizar la lista de comunidades nominadas para recibir la acreditación Tsunami Ready.</w:t>
      </w:r>
    </w:p>
    <w:p w14:paraId="5952D888" w14:textId="02392293" w:rsidR="00E432AB" w:rsidRPr="002F4384" w:rsidRDefault="00667651"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Informó de la </w:t>
      </w:r>
      <w:r w:rsidR="00FA1D22" w:rsidRPr="002F4384">
        <w:rPr>
          <w:rFonts w:asciiTheme="minorBidi" w:hAnsiTheme="minorBidi" w:cstheme="minorBidi"/>
          <w:lang w:val="es-ES_tradnl"/>
        </w:rPr>
        <w:t xml:space="preserve">finalización </w:t>
      </w:r>
      <w:r w:rsidRPr="002F4384">
        <w:rPr>
          <w:rFonts w:asciiTheme="minorBidi" w:hAnsiTheme="minorBidi" w:cstheme="minorBidi"/>
          <w:lang w:val="es-ES_tradnl"/>
        </w:rPr>
        <w:t>de la nueva Estrategia ICG/NEAMTWS 2021-2030 en consonancia con el Decenio de las Naciones Unidas de las Ciencias Oceánicas para el Desarrollo Sostenible y alentó a los Estados Miembros y a los asociados a que contribuyeran a su aplicación.</w:t>
      </w:r>
    </w:p>
    <w:p w14:paraId="2651BFA8" w14:textId="3188EA12" w:rsidR="00FA1D22" w:rsidRPr="002F4384" w:rsidRDefault="00836AE4"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lastRenderedPageBreak/>
        <w:t xml:space="preserve">Anunció que </w:t>
      </w:r>
      <w:r w:rsidR="003C03F4" w:rsidRPr="002F4384">
        <w:rPr>
          <w:rFonts w:asciiTheme="minorBidi" w:hAnsiTheme="minorBidi" w:cstheme="minorBidi"/>
          <w:lang w:val="es-ES_tradnl"/>
        </w:rPr>
        <w:t>Italia</w:t>
      </w:r>
      <w:r w:rsidRPr="002F4384">
        <w:rPr>
          <w:rFonts w:asciiTheme="minorBidi" w:hAnsiTheme="minorBidi" w:cstheme="minorBidi"/>
          <w:lang w:val="es-ES_tradnl"/>
        </w:rPr>
        <w:t xml:space="preserve"> había puesto en marcha una nueva red de observación del nivel del mar para ayudar a mejorar la detección y vigilancia de los tsunamis y otros peligros relacionados con el nivel del mar en la región mediterránea.</w:t>
      </w:r>
    </w:p>
    <w:p w14:paraId="500C3FCD" w14:textId="3ED9371C" w:rsidR="00C25346" w:rsidRPr="002F4384" w:rsidRDefault="00C25346"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Asimismo, señaló que se había organizado recientemente un evento paralelo sobre el tema </w:t>
      </w:r>
      <w:r w:rsidR="002F4384">
        <w:rPr>
          <w:rFonts w:asciiTheme="minorBidi" w:hAnsiTheme="minorBidi" w:cstheme="minorBidi"/>
          <w:lang w:val="es-ES_tradnl"/>
        </w:rPr>
        <w:t>“</w:t>
      </w:r>
      <w:r w:rsidRPr="002F4384">
        <w:rPr>
          <w:rFonts w:asciiTheme="minorBidi" w:hAnsiTheme="minorBidi" w:cstheme="minorBidi"/>
          <w:lang w:val="es-ES_tradnl"/>
        </w:rPr>
        <w:t>Costas resilientes y más seguras</w:t>
      </w:r>
      <w:r w:rsidR="002F4384">
        <w:rPr>
          <w:rFonts w:asciiTheme="minorBidi" w:hAnsiTheme="minorBidi" w:cstheme="minorBidi"/>
          <w:lang w:val="es-ES_tradnl"/>
        </w:rPr>
        <w:t>”</w:t>
      </w:r>
      <w:r w:rsidRPr="002F4384">
        <w:rPr>
          <w:rFonts w:asciiTheme="minorBidi" w:hAnsiTheme="minorBidi" w:cstheme="minorBidi"/>
          <w:lang w:val="es-ES_tradnl"/>
        </w:rPr>
        <w:t xml:space="preserve"> en la Conferencia Africana sobre el Establecimiento de Prioridades y el Desarrollo de Alianzas de cara al Decenio de las Naciones Unidas de las Ciencias Oceánicas para el Desarrollo Sostenible (El Cairo</w:t>
      </w:r>
      <w:r w:rsidR="00AA0AC8" w:rsidRPr="002F4384">
        <w:rPr>
          <w:rFonts w:asciiTheme="minorBidi" w:hAnsiTheme="minorBidi" w:cstheme="minorBidi"/>
          <w:lang w:val="es-ES_tradnl"/>
        </w:rPr>
        <w:t xml:space="preserve"> (Egipto)</w:t>
      </w:r>
      <w:r w:rsidRPr="002F4384">
        <w:rPr>
          <w:rFonts w:asciiTheme="minorBidi" w:hAnsiTheme="minorBidi" w:cstheme="minorBidi"/>
          <w:lang w:val="es-ES_tradnl"/>
        </w:rPr>
        <w:t>, 10-12 de mayo de 2022).</w:t>
      </w:r>
    </w:p>
    <w:p w14:paraId="5A49BAD0" w14:textId="64F01819" w:rsidR="00E432AB" w:rsidRPr="002F4384" w:rsidRDefault="00667651"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Por último, la </w:t>
      </w:r>
      <w:r w:rsidR="00C01058" w:rsidRPr="002F4384">
        <w:rPr>
          <w:rFonts w:asciiTheme="minorBidi" w:hAnsiTheme="minorBidi" w:cstheme="minorBidi"/>
          <w:lang w:val="es-ES_tradnl"/>
        </w:rPr>
        <w:t>Profesora</w:t>
      </w:r>
      <w:r w:rsidRPr="002F4384">
        <w:rPr>
          <w:rFonts w:asciiTheme="minorBidi" w:hAnsiTheme="minorBidi" w:cstheme="minorBidi"/>
          <w:lang w:val="es-ES_tradnl"/>
        </w:rPr>
        <w:t xml:space="preserve"> Baptista informó al Consejo Ejecutivo de que la quinta simulación regional de tsunamis (NEAMWave23) se llevaría a cabo en la primera semana de noviembre de 2023.</w:t>
      </w:r>
    </w:p>
    <w:p w14:paraId="59909C7F" w14:textId="005926B0" w:rsidR="00E432AB" w:rsidRPr="002F4384" w:rsidRDefault="00D312F7"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El Sr. Yuji Nishimae, Presidente del Grupo Intergubernamental de Coordinación del Sistema de Alerta contra los Tsunamis y Atenuación de sus Efectos en el Pacífico (ICG/PTWS), presentó este punto. La 29ª reunión del ICG/PTWS (1-2 y 7-8 de diciembre de 2021, en línea) había contado con una nutrida asistencia de 116 participantes de 27 países. Durante esta reunión, se habían aprobado siete recomendaciones y se había elegido la nueva dirección del ICG/PTWS, que incluía al Sr.</w:t>
      </w:r>
      <w:r w:rsidR="00E95B02" w:rsidRPr="002F4384">
        <w:rPr>
          <w:rFonts w:asciiTheme="minorBidi" w:hAnsiTheme="minorBidi" w:cstheme="minorBidi"/>
          <w:lang w:val="es-ES_tradnl"/>
        </w:rPr>
        <w:t> </w:t>
      </w:r>
      <w:r w:rsidRPr="002F4384">
        <w:rPr>
          <w:rFonts w:asciiTheme="minorBidi" w:hAnsiTheme="minorBidi" w:cstheme="minorBidi"/>
          <w:lang w:val="es-ES_tradnl"/>
        </w:rPr>
        <w:t>Nishimae (Japón) como Presidente</w:t>
      </w:r>
      <w:r w:rsidR="00A3475F" w:rsidRPr="002F4384">
        <w:rPr>
          <w:rFonts w:asciiTheme="minorBidi" w:hAnsiTheme="minorBidi" w:cstheme="minorBidi"/>
          <w:lang w:val="es-ES_tradnl"/>
        </w:rPr>
        <w:t xml:space="preserve"> y</w:t>
      </w:r>
      <w:r w:rsidRPr="002F4384">
        <w:rPr>
          <w:rFonts w:asciiTheme="minorBidi" w:hAnsiTheme="minorBidi" w:cstheme="minorBidi"/>
          <w:lang w:val="es-ES_tradnl"/>
        </w:rPr>
        <w:t xml:space="preserve"> al Dr. Wilfried Strauch (Nicaragua) y </w:t>
      </w:r>
      <w:r w:rsidR="00A3475F" w:rsidRPr="002F4384">
        <w:rPr>
          <w:rFonts w:asciiTheme="minorBidi" w:hAnsiTheme="minorBidi" w:cstheme="minorBidi"/>
          <w:lang w:val="es-ES_tradnl"/>
        </w:rPr>
        <w:t>e</w:t>
      </w:r>
      <w:r w:rsidRPr="002F4384">
        <w:rPr>
          <w:rFonts w:asciiTheme="minorBidi" w:hAnsiTheme="minorBidi" w:cstheme="minorBidi"/>
          <w:lang w:val="es-ES_tradnl"/>
        </w:rPr>
        <w:t>l Sr. David Coetzee (Nueva Zelandia) como vicepresidentes. La próxima reunión del ICG/PTWS estaba prevista para noviembre de 2022 en el Japón.</w:t>
      </w:r>
    </w:p>
    <w:p w14:paraId="1BD0934C" w14:textId="22061346" w:rsidR="00E432AB" w:rsidRPr="002F4384" w:rsidRDefault="00667651"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El Sr.</w:t>
      </w:r>
      <w:r w:rsidR="00E95B02" w:rsidRPr="002F4384">
        <w:rPr>
          <w:rFonts w:asciiTheme="minorBidi" w:hAnsiTheme="minorBidi" w:cstheme="minorBidi"/>
          <w:lang w:val="es-ES_tradnl"/>
        </w:rPr>
        <w:t> </w:t>
      </w:r>
      <w:r w:rsidRPr="002F4384">
        <w:rPr>
          <w:rFonts w:asciiTheme="minorBidi" w:hAnsiTheme="minorBidi" w:cstheme="minorBidi"/>
          <w:lang w:val="es-ES_tradnl"/>
        </w:rPr>
        <w:t xml:space="preserve">Nishimae señaló que el </w:t>
      </w:r>
      <w:r w:rsidR="008B67BD" w:rsidRPr="002F4384">
        <w:rPr>
          <w:rFonts w:asciiTheme="minorBidi" w:hAnsiTheme="minorBidi" w:cstheme="minorBidi"/>
          <w:lang w:val="es-ES_tradnl"/>
        </w:rPr>
        <w:t xml:space="preserve">PTWS </w:t>
      </w:r>
      <w:r w:rsidRPr="002F4384">
        <w:rPr>
          <w:rFonts w:asciiTheme="minorBidi" w:hAnsiTheme="minorBidi" w:cstheme="minorBidi"/>
          <w:lang w:val="es-ES_tradnl"/>
        </w:rPr>
        <w:t>había decidido realizar PacWave 22 entre septiembre y noviembre de 2022, incluidos ejercicios regionales y una prueba de comunicación en vivo el 13 de octubre de 2022. Informó de que se había finalizado la Estrategia 2022-2030 del ICG/PTWS, centrada en cuatro objetivos estratégicos, a saber, i) comprensión y gestión del riesgo de tsunami; ii)</w:t>
      </w:r>
      <w:r w:rsidR="00E95B02" w:rsidRPr="002F4384">
        <w:rPr>
          <w:rFonts w:asciiTheme="minorBidi" w:hAnsiTheme="minorBidi" w:cstheme="minorBidi"/>
          <w:lang w:val="es-ES_tradnl"/>
        </w:rPr>
        <w:t> </w:t>
      </w:r>
      <w:r w:rsidRPr="002F4384">
        <w:rPr>
          <w:rFonts w:asciiTheme="minorBidi" w:hAnsiTheme="minorBidi" w:cstheme="minorBidi"/>
          <w:lang w:val="es-ES_tradnl"/>
        </w:rPr>
        <w:t>detecció</w:t>
      </w:r>
      <w:r w:rsidR="00E649B8" w:rsidRPr="002F4384">
        <w:rPr>
          <w:rFonts w:asciiTheme="minorBidi" w:hAnsiTheme="minorBidi" w:cstheme="minorBidi"/>
          <w:lang w:val="es-ES_tradnl"/>
        </w:rPr>
        <w:t>n</w:t>
      </w:r>
      <w:r w:rsidRPr="002F4384">
        <w:rPr>
          <w:rFonts w:asciiTheme="minorBidi" w:hAnsiTheme="minorBidi" w:cstheme="minorBidi"/>
          <w:lang w:val="es-ES_tradnl"/>
        </w:rPr>
        <w:t>, alerta y difusión de información sobre tsunamis; iii)</w:t>
      </w:r>
      <w:r w:rsidR="00E95B02" w:rsidRPr="002F4384">
        <w:rPr>
          <w:rFonts w:asciiTheme="minorBidi" w:hAnsiTheme="minorBidi" w:cstheme="minorBidi"/>
          <w:lang w:val="es-ES_tradnl"/>
        </w:rPr>
        <w:t> </w:t>
      </w:r>
      <w:r w:rsidRPr="002F4384">
        <w:rPr>
          <w:rFonts w:asciiTheme="minorBidi" w:hAnsiTheme="minorBidi" w:cstheme="minorBidi"/>
          <w:lang w:val="es-ES_tradnl"/>
        </w:rPr>
        <w:t>mejora de la preparación para casos de tsunami orientada a una respuesta eficaz de las comunidades; y iv)</w:t>
      </w:r>
      <w:r w:rsidR="00E95B02" w:rsidRPr="002F4384">
        <w:rPr>
          <w:rFonts w:asciiTheme="minorBidi" w:hAnsiTheme="minorBidi" w:cstheme="minorBidi"/>
          <w:lang w:val="es-ES_tradnl"/>
        </w:rPr>
        <w:t> </w:t>
      </w:r>
      <w:r w:rsidRPr="002F4384">
        <w:rPr>
          <w:rFonts w:asciiTheme="minorBidi" w:hAnsiTheme="minorBidi" w:cstheme="minorBidi"/>
          <w:lang w:val="es-ES_tradnl"/>
        </w:rPr>
        <w:t xml:space="preserve">coordinación y cooperación internacionales y alianzas. En relación con el Decenio del Océano de las Naciones Unidas, el </w:t>
      </w:r>
      <w:r w:rsidR="00E649B8" w:rsidRPr="002F4384">
        <w:rPr>
          <w:rFonts w:asciiTheme="minorBidi" w:hAnsiTheme="minorBidi" w:cstheme="minorBidi"/>
          <w:lang w:val="es-ES_tradnl"/>
        </w:rPr>
        <w:t xml:space="preserve">PTWS </w:t>
      </w:r>
      <w:r w:rsidRPr="002F4384">
        <w:rPr>
          <w:rFonts w:asciiTheme="minorBidi" w:hAnsiTheme="minorBidi" w:cstheme="minorBidi"/>
          <w:lang w:val="es-ES_tradnl"/>
        </w:rPr>
        <w:t>había creado un equipo de tareas sobre su participación</w:t>
      </w:r>
      <w:r w:rsidR="00AD7BF7" w:rsidRPr="002F4384">
        <w:rPr>
          <w:rFonts w:asciiTheme="minorBidi" w:hAnsiTheme="minorBidi" w:cstheme="minorBidi"/>
          <w:lang w:val="es-ES_tradnl"/>
        </w:rPr>
        <w:t xml:space="preserve"> en él</w:t>
      </w:r>
      <w:r w:rsidRPr="002F4384">
        <w:rPr>
          <w:rFonts w:asciiTheme="minorBidi" w:hAnsiTheme="minorBidi" w:cstheme="minorBidi"/>
          <w:lang w:val="es-ES_tradnl"/>
        </w:rPr>
        <w:t>. Otras recomendaciones importantes eran la decisión de ampliar la zona de origen de seísmos del PTWS para incluir la región más meridional del Atlántico, en especial las Islas Sandwich del Sur, y el acuerdo de puesta en marcha del Centro de Asesoramiento sobre los Tsunamis de América Central (CATAC) como servicio provisional plenamente funcional en enero de 2022.</w:t>
      </w:r>
    </w:p>
    <w:p w14:paraId="2BAF9850" w14:textId="12972948" w:rsidR="00E432AB" w:rsidRPr="002F4384" w:rsidRDefault="00667651" w:rsidP="005C3715">
      <w:pPr>
        <w:pStyle w:val="Style2"/>
        <w:numPr>
          <w:ilvl w:val="0"/>
          <w:numId w:val="7"/>
        </w:numPr>
        <w:tabs>
          <w:tab w:val="left" w:pos="714"/>
        </w:tabs>
        <w:ind w:left="0" w:hanging="567"/>
        <w:rPr>
          <w:rFonts w:asciiTheme="minorBidi" w:hAnsiTheme="minorBidi" w:cstheme="minorBidi"/>
          <w:lang w:val="es-ES_tradnl"/>
        </w:rPr>
      </w:pPr>
      <w:r w:rsidRPr="002F4384">
        <w:rPr>
          <w:rFonts w:asciiTheme="minorBidi" w:hAnsiTheme="minorBidi" w:cstheme="minorBidi"/>
          <w:lang w:val="es-ES_tradnl"/>
        </w:rPr>
        <w:t xml:space="preserve">En cuanto a la estructura de gobernanza del ICG/PTWS, se habían creado varios nuevos equipos de tareas, esto es, el equipo de tareas sobre la participación del PTWS en el Decenio del Océano de las Naciones Unidas; el equipo de tareas sobre ejercicios PacWave; el equipo de tareas </w:t>
      </w:r>
      <w:r w:rsidR="00AD7BF7" w:rsidRPr="002F4384">
        <w:rPr>
          <w:rFonts w:asciiTheme="minorBidi" w:hAnsiTheme="minorBidi" w:cstheme="minorBidi"/>
          <w:lang w:val="es-ES_tradnl"/>
        </w:rPr>
        <w:t>sobre</w:t>
      </w:r>
      <w:r w:rsidRPr="002F4384">
        <w:rPr>
          <w:rFonts w:asciiTheme="minorBidi" w:hAnsiTheme="minorBidi" w:cstheme="minorBidi"/>
          <w:lang w:val="es-ES_tradnl"/>
        </w:rPr>
        <w:t xml:space="preserve"> proveedores de servicios sobre tsunamis en el marco del Grupo de </w:t>
      </w:r>
      <w:r w:rsidR="00E46DE6" w:rsidRPr="002F4384">
        <w:rPr>
          <w:rFonts w:asciiTheme="minorBidi" w:hAnsiTheme="minorBidi" w:cstheme="minorBidi"/>
          <w:lang w:val="es-ES_tradnl"/>
        </w:rPr>
        <w:t>t</w:t>
      </w:r>
      <w:r w:rsidRPr="002F4384">
        <w:rPr>
          <w:rFonts w:asciiTheme="minorBidi" w:hAnsiTheme="minorBidi" w:cstheme="minorBidi"/>
          <w:lang w:val="es-ES_tradnl"/>
        </w:rPr>
        <w:t>rabajo 2; y el equipo de tareas sobre desarrollo de capacidades y servicios en el marco del Grupo de trabajo regional sobre el sistema de alerta contra los tsunamis y atenuación de sus efectos en la región del Mar de China Meridional. Se habían disuelto los siguientes equipos de tareas: el equipo de tareas sobre el ejercicio PacWave20, tras la publicación del informe, y el equipo de tareas sobre el establecimiento de un Centro de Asesoramiento sobre los Tsunamis en el Mar de China Meridional en el marco del Grupo de trabajo regional sobre el sistema de alerta contra los tsunamis y atenuación de sus efectos en la región del Mar de China Meridional.</w:t>
      </w:r>
    </w:p>
    <w:p w14:paraId="0A72F667" w14:textId="48DD5386" w:rsidR="00A75888" w:rsidRPr="002F4384" w:rsidRDefault="00E432AB"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Sr. Nishimae informó a continuación sobre la respuesta del PTWS a la reciente erupción volcánica </w:t>
      </w:r>
      <w:r w:rsidR="002556EB" w:rsidRPr="002F4384">
        <w:rPr>
          <w:rFonts w:asciiTheme="minorBidi" w:hAnsiTheme="minorBidi" w:cstheme="minorBidi"/>
          <w:lang w:val="es-ES_tradnl"/>
        </w:rPr>
        <w:t>del Hunga</w:t>
      </w:r>
      <w:r w:rsidR="00B655BC" w:rsidRPr="002F4384">
        <w:rPr>
          <w:rFonts w:asciiTheme="minorBidi" w:hAnsiTheme="minorBidi" w:cstheme="minorBidi"/>
          <w:lang w:val="es-ES_tradnl"/>
        </w:rPr>
        <w:t xml:space="preserve"> </w:t>
      </w:r>
      <w:r w:rsidR="002556EB" w:rsidRPr="002F4384">
        <w:rPr>
          <w:rFonts w:asciiTheme="minorBidi" w:hAnsiTheme="minorBidi" w:cstheme="minorBidi"/>
          <w:lang w:val="es-ES_tradnl"/>
        </w:rPr>
        <w:t>Tonga-Hunga</w:t>
      </w:r>
      <w:r w:rsidR="00B655BC" w:rsidRPr="002F4384">
        <w:rPr>
          <w:rFonts w:asciiTheme="minorBidi" w:hAnsiTheme="minorBidi" w:cstheme="minorBidi"/>
          <w:lang w:val="es-ES_tradnl"/>
        </w:rPr>
        <w:t xml:space="preserve"> </w:t>
      </w:r>
      <w:r w:rsidR="002556EB" w:rsidRPr="002F4384">
        <w:rPr>
          <w:rFonts w:asciiTheme="minorBidi" w:hAnsiTheme="minorBidi" w:cstheme="minorBidi"/>
          <w:lang w:val="es-ES_tradnl"/>
        </w:rPr>
        <w:t xml:space="preserve">Ha'apai </w:t>
      </w:r>
      <w:r w:rsidRPr="002F4384">
        <w:rPr>
          <w:rFonts w:asciiTheme="minorBidi" w:hAnsiTheme="minorBidi" w:cstheme="minorBidi"/>
          <w:lang w:val="es-ES_tradnl"/>
        </w:rPr>
        <w:t xml:space="preserve">y </w:t>
      </w:r>
      <w:r w:rsidR="002556EB" w:rsidRPr="002F4384">
        <w:rPr>
          <w:rFonts w:asciiTheme="minorBidi" w:hAnsiTheme="minorBidi" w:cstheme="minorBidi"/>
          <w:lang w:val="es-ES_tradnl"/>
        </w:rPr>
        <w:t xml:space="preserve">el </w:t>
      </w:r>
      <w:r w:rsidRPr="002F4384">
        <w:rPr>
          <w:rFonts w:asciiTheme="minorBidi" w:hAnsiTheme="minorBidi" w:cstheme="minorBidi"/>
          <w:lang w:val="es-ES_tradnl"/>
        </w:rPr>
        <w:t>tsunami</w:t>
      </w:r>
      <w:r w:rsidR="002556EB" w:rsidRPr="002F4384">
        <w:rPr>
          <w:rFonts w:asciiTheme="minorBidi" w:hAnsiTheme="minorBidi" w:cstheme="minorBidi"/>
          <w:lang w:val="es-ES_tradnl"/>
        </w:rPr>
        <w:t xml:space="preserve"> </w:t>
      </w:r>
      <w:r w:rsidR="00B655BC" w:rsidRPr="002F4384">
        <w:rPr>
          <w:rFonts w:asciiTheme="minorBidi" w:hAnsiTheme="minorBidi" w:cstheme="minorBidi"/>
          <w:lang w:val="es-ES_tradnl"/>
        </w:rPr>
        <w:t xml:space="preserve">resultante </w:t>
      </w:r>
      <w:r w:rsidRPr="002F4384">
        <w:rPr>
          <w:rFonts w:asciiTheme="minorBidi" w:hAnsiTheme="minorBidi" w:cstheme="minorBidi"/>
          <w:lang w:val="es-ES_tradnl"/>
        </w:rPr>
        <w:t xml:space="preserve">(15 de enero de 2022), que había provocado olas de tsunami observadas en mareógrafos cercanos y lejanos, algunas de las cuales, de 1 m, se habían detectado en California (Estados Unidos), Chile y el Japón. Posteriormente, el PTWS había organizado tres reuniones informativas con el objetivo de comenzar a elaborar POE provisionales para tsunamis desencadenados por erupciones volcánicas y crear un equipo de tareas temporal para este fin, así como analizar las experiencias de los centros de alerta contra los tsunamis de dicho suceso. La Secretaría había difundido entre los Estados Miembros preguntas de </w:t>
      </w:r>
      <w:r w:rsidRPr="002F4384">
        <w:rPr>
          <w:rFonts w:asciiTheme="minorBidi" w:hAnsiTheme="minorBidi" w:cstheme="minorBidi"/>
          <w:lang w:val="es-ES_tradnl"/>
        </w:rPr>
        <w:lastRenderedPageBreak/>
        <w:t>una encuesta posterior a la evaluación, cuyos resultados se publicarían en el segundo semestre de</w:t>
      </w:r>
      <w:r w:rsidR="00E95B02" w:rsidRPr="002F4384">
        <w:rPr>
          <w:rFonts w:asciiTheme="minorBidi" w:hAnsiTheme="minorBidi" w:cstheme="minorBidi"/>
          <w:lang w:val="es-ES_tradnl"/>
        </w:rPr>
        <w:t> </w:t>
      </w:r>
      <w:r w:rsidRPr="002F4384">
        <w:rPr>
          <w:rFonts w:asciiTheme="minorBidi" w:hAnsiTheme="minorBidi" w:cstheme="minorBidi"/>
          <w:lang w:val="es-ES_tradnl"/>
        </w:rPr>
        <w:t>2022.</w:t>
      </w:r>
    </w:p>
    <w:p w14:paraId="77638FE0" w14:textId="2948BBDC" w:rsidR="00DE2391" w:rsidRPr="002F4384" w:rsidRDefault="00455F65" w:rsidP="000A106A">
      <w:pPr>
        <w:pStyle w:val="Heading3"/>
        <w:ind w:left="1560" w:hanging="851"/>
        <w:jc w:val="both"/>
        <w:rPr>
          <w:rFonts w:asciiTheme="minorBidi" w:hAnsiTheme="minorBidi" w:cstheme="minorBidi"/>
          <w:b w:val="0"/>
          <w:bCs w:val="0"/>
          <w:i/>
          <w:iCs/>
          <w:szCs w:val="22"/>
          <w:lang w:val="es-ES_tradnl"/>
        </w:rPr>
      </w:pPr>
      <w:bookmarkStart w:id="140" w:name="_Toc85469066"/>
      <w:bookmarkStart w:id="141" w:name="_Toc115256322"/>
      <w:r w:rsidRPr="002F4384">
        <w:rPr>
          <w:rFonts w:asciiTheme="minorBidi" w:hAnsiTheme="minorBidi" w:cstheme="minorBidi"/>
          <w:b w:val="0"/>
          <w:i/>
          <w:iCs/>
          <w:szCs w:val="22"/>
          <w:lang w:val="es-ES_tradnl"/>
        </w:rPr>
        <w:t>3.5.1.2</w:t>
      </w:r>
      <w:r w:rsidRPr="002F4384">
        <w:rPr>
          <w:rFonts w:asciiTheme="minorBidi" w:hAnsiTheme="minorBidi" w:cstheme="minorBidi"/>
          <w:b w:val="0"/>
          <w:szCs w:val="22"/>
          <w:lang w:val="es-ES_tradnl"/>
        </w:rPr>
        <w:tab/>
      </w:r>
      <w:r w:rsidRPr="002F4384">
        <w:rPr>
          <w:rFonts w:asciiTheme="minorBidi" w:hAnsiTheme="minorBidi" w:cstheme="minorBidi"/>
          <w:b w:val="0"/>
          <w:i/>
          <w:iCs/>
          <w:szCs w:val="22"/>
          <w:lang w:val="es-ES_tradnl"/>
        </w:rPr>
        <w:t>Coordinación mundial de los sistemas de alerta contra los peligros oceánicos y atenuación de sus efectos</w:t>
      </w:r>
      <w:bookmarkEnd w:id="140"/>
      <w:bookmarkEnd w:id="141"/>
    </w:p>
    <w:p w14:paraId="1C021F7F" w14:textId="6A5B295C" w:rsidR="008622A7" w:rsidRPr="002F4384" w:rsidRDefault="00BA7736" w:rsidP="005C3715">
      <w:pPr>
        <w:pStyle w:val="Style2"/>
        <w:numPr>
          <w:ilvl w:val="0"/>
          <w:numId w:val="7"/>
        </w:numPr>
        <w:tabs>
          <w:tab w:val="left" w:pos="714"/>
        </w:tabs>
        <w:ind w:left="0" w:hanging="567"/>
        <w:rPr>
          <w:rFonts w:asciiTheme="minorBidi" w:hAnsiTheme="minorBidi" w:cstheme="minorBidi"/>
          <w:iCs w:val="0"/>
          <w:lang w:val="es-ES_tradnl"/>
        </w:rPr>
      </w:pPr>
      <w:r w:rsidRPr="002F4384">
        <w:rPr>
          <w:rFonts w:asciiTheme="minorBidi" w:hAnsiTheme="minorBidi" w:cstheme="minorBidi"/>
          <w:lang w:val="es-ES_tradnl"/>
        </w:rPr>
        <w:t>El Dr. Alexander Frolov, Presidente del Grupo de Trabajo sobre los Sistemas de Alerta contra los Tsunamis y Otros Peligros relacionados con el Nivel del Mar y Atenuación de sus Efectos</w:t>
      </w:r>
      <w:r w:rsidR="009559D4" w:rsidRPr="002F4384">
        <w:rPr>
          <w:rFonts w:asciiTheme="minorBidi" w:hAnsiTheme="minorBidi" w:cstheme="minorBidi"/>
          <w:lang w:val="es-ES_tradnl"/>
        </w:rPr>
        <w:t xml:space="preserve"> (TOWS</w:t>
      </w:r>
      <w:r w:rsidR="00D33ED8" w:rsidRPr="002F4384">
        <w:rPr>
          <w:rFonts w:asciiTheme="minorBidi" w:hAnsiTheme="minorBidi" w:cstheme="minorBidi"/>
          <w:lang w:val="es-ES_tradnl"/>
        </w:rPr>
        <w:noBreakHyphen/>
      </w:r>
      <w:r w:rsidR="009559D4" w:rsidRPr="002F4384">
        <w:rPr>
          <w:rFonts w:asciiTheme="minorBidi" w:hAnsiTheme="minorBidi" w:cstheme="minorBidi"/>
          <w:lang w:val="es-ES_tradnl"/>
        </w:rPr>
        <w:t>WG)</w:t>
      </w:r>
      <w:r w:rsidRPr="002F4384">
        <w:rPr>
          <w:rFonts w:asciiTheme="minorBidi" w:hAnsiTheme="minorBidi" w:cstheme="minorBidi"/>
          <w:lang w:val="es-ES_tradnl"/>
        </w:rPr>
        <w:t xml:space="preserve">, presentó este punto. </w:t>
      </w:r>
      <w:r w:rsidR="00C90123" w:rsidRPr="002F4384">
        <w:rPr>
          <w:rFonts w:asciiTheme="minorBidi" w:hAnsiTheme="minorBidi" w:cstheme="minorBidi"/>
          <w:lang w:val="es-ES_tradnl"/>
        </w:rPr>
        <w:t>Destacó</w:t>
      </w:r>
      <w:r w:rsidRPr="002F4384">
        <w:rPr>
          <w:rFonts w:asciiTheme="minorBidi" w:hAnsiTheme="minorBidi" w:cstheme="minorBidi"/>
          <w:lang w:val="es-ES_tradnl"/>
        </w:rPr>
        <w:t xml:space="preserve"> la gran disponibilidad operacional de los sistemas de alerta contra los tsunamis para proporcionar previsiones precisas y prácticas de las olas de tsunamis gracias a la formación periódica del personal, la elaboración de sistemas de observación y la mejora de los métodos de procesamiento de datos. </w:t>
      </w:r>
      <w:r w:rsidR="00F90F44" w:rsidRPr="002F4384">
        <w:rPr>
          <w:rFonts w:asciiTheme="minorBidi" w:hAnsiTheme="minorBidi" w:cstheme="minorBidi"/>
          <w:lang w:val="es-ES_tradnl"/>
        </w:rPr>
        <w:t>La</w:t>
      </w:r>
      <w:r w:rsidRPr="002F4384">
        <w:rPr>
          <w:rFonts w:asciiTheme="minorBidi" w:hAnsiTheme="minorBidi" w:cstheme="minorBidi"/>
          <w:lang w:val="es-ES_tradnl"/>
        </w:rPr>
        <w:t xml:space="preserve"> colaboración entre organismos </w:t>
      </w:r>
      <w:r w:rsidR="00F90F44" w:rsidRPr="002F4384">
        <w:rPr>
          <w:rFonts w:asciiTheme="minorBidi" w:hAnsiTheme="minorBidi" w:cstheme="minorBidi"/>
          <w:lang w:val="es-ES_tradnl"/>
        </w:rPr>
        <w:t>gubernamentales</w:t>
      </w:r>
      <w:r w:rsidRPr="002F4384">
        <w:rPr>
          <w:rFonts w:asciiTheme="minorBidi" w:hAnsiTheme="minorBidi" w:cstheme="minorBidi"/>
          <w:lang w:val="es-ES_tradnl"/>
        </w:rPr>
        <w:t xml:space="preserve">, </w:t>
      </w:r>
      <w:r w:rsidR="00F90F44" w:rsidRPr="002F4384">
        <w:rPr>
          <w:rFonts w:asciiTheme="minorBidi" w:hAnsiTheme="minorBidi" w:cstheme="minorBidi"/>
          <w:lang w:val="es-ES_tradnl"/>
        </w:rPr>
        <w:t xml:space="preserve">los </w:t>
      </w:r>
      <w:r w:rsidRPr="002F4384">
        <w:rPr>
          <w:rFonts w:asciiTheme="minorBidi" w:hAnsiTheme="minorBidi" w:cstheme="minorBidi"/>
          <w:lang w:val="es-ES_tradnl"/>
        </w:rPr>
        <w:t>científicos y el público</w:t>
      </w:r>
      <w:r w:rsidR="00F90F44" w:rsidRPr="002F4384">
        <w:rPr>
          <w:rFonts w:asciiTheme="minorBidi" w:hAnsiTheme="minorBidi" w:cstheme="minorBidi"/>
          <w:lang w:val="es-ES_tradnl"/>
        </w:rPr>
        <w:t xml:space="preserve"> había permitido a</w:t>
      </w:r>
      <w:r w:rsidRPr="002F4384">
        <w:rPr>
          <w:rFonts w:asciiTheme="minorBidi" w:hAnsiTheme="minorBidi" w:cstheme="minorBidi"/>
          <w:lang w:val="es-ES_tradnl"/>
        </w:rPr>
        <w:t xml:space="preserve"> más de 30 comunidades costeras </w:t>
      </w:r>
      <w:r w:rsidR="00F90F44" w:rsidRPr="002F4384">
        <w:rPr>
          <w:rFonts w:asciiTheme="minorBidi" w:hAnsiTheme="minorBidi" w:cstheme="minorBidi"/>
          <w:lang w:val="es-ES_tradnl"/>
        </w:rPr>
        <w:t>conseguir</w:t>
      </w:r>
      <w:r w:rsidRPr="002F4384">
        <w:rPr>
          <w:rFonts w:asciiTheme="minorBidi" w:hAnsiTheme="minorBidi" w:cstheme="minorBidi"/>
          <w:lang w:val="es-ES_tradnl"/>
        </w:rPr>
        <w:t xml:space="preserve"> la acreditación Tsunami Ready de la COI. La</w:t>
      </w:r>
      <w:r w:rsidR="00D437F4" w:rsidRPr="002F4384">
        <w:rPr>
          <w:rFonts w:asciiTheme="minorBidi" w:hAnsiTheme="minorBidi" w:cstheme="minorBidi"/>
          <w:lang w:val="es-ES_tradnl"/>
        </w:rPr>
        <w:t xml:space="preserve"> </w:t>
      </w:r>
      <w:r w:rsidR="00004019" w:rsidRPr="002F4384">
        <w:rPr>
          <w:rFonts w:asciiTheme="minorBidi" w:hAnsiTheme="minorBidi" w:cstheme="minorBidi"/>
          <w:lang w:val="es-ES_tradnl"/>
        </w:rPr>
        <w:t xml:space="preserve">publicación titulada </w:t>
      </w:r>
      <w:r w:rsidR="00B27C8C" w:rsidRPr="002F4384">
        <w:rPr>
          <w:rFonts w:asciiTheme="minorBidi" w:hAnsiTheme="minorBidi" w:cstheme="minorBidi"/>
          <w:lang w:val="es-ES_tradnl"/>
        </w:rPr>
        <w:t>“</w:t>
      </w:r>
      <w:r w:rsidR="00004019" w:rsidRPr="002F4384">
        <w:rPr>
          <w:rFonts w:asciiTheme="minorBidi" w:hAnsiTheme="minorBidi" w:cstheme="minorBidi"/>
          <w:i/>
          <w:lang w:val="es-ES_tradnl"/>
        </w:rPr>
        <w:t>Standard Guidelines for the Tsunami Ready Recognition Programme</w:t>
      </w:r>
      <w:r w:rsidR="00B27C8C" w:rsidRPr="002F4384">
        <w:rPr>
          <w:rFonts w:asciiTheme="minorBidi" w:hAnsiTheme="minorBidi" w:cstheme="minorBidi"/>
          <w:lang w:val="es-ES_tradnl"/>
        </w:rPr>
        <w:t>”</w:t>
      </w:r>
      <w:r w:rsidRPr="002F4384">
        <w:rPr>
          <w:rFonts w:asciiTheme="minorBidi" w:hAnsiTheme="minorBidi" w:cstheme="minorBidi"/>
          <w:lang w:val="es-ES_tradnl"/>
        </w:rPr>
        <w:t xml:space="preserve"> ya </w:t>
      </w:r>
      <w:r w:rsidR="00004019" w:rsidRPr="002F4384">
        <w:rPr>
          <w:rFonts w:asciiTheme="minorBidi" w:hAnsiTheme="minorBidi" w:cstheme="minorBidi"/>
          <w:lang w:val="es-ES_tradnl"/>
        </w:rPr>
        <w:t>estaba disponible en la colección</w:t>
      </w:r>
      <w:r w:rsidRPr="002F4384">
        <w:rPr>
          <w:rFonts w:asciiTheme="minorBidi" w:hAnsiTheme="minorBidi" w:cstheme="minorBidi"/>
          <w:lang w:val="es-ES_tradnl"/>
        </w:rPr>
        <w:t xml:space="preserve"> </w:t>
      </w:r>
      <w:r w:rsidR="00F90F44" w:rsidRPr="002F4384">
        <w:rPr>
          <w:rFonts w:asciiTheme="minorBidi" w:hAnsiTheme="minorBidi" w:cstheme="minorBidi"/>
          <w:lang w:val="es-ES_tradnl"/>
        </w:rPr>
        <w:t>M</w:t>
      </w:r>
      <w:r w:rsidRPr="002F4384">
        <w:rPr>
          <w:rFonts w:asciiTheme="minorBidi" w:hAnsiTheme="minorBidi" w:cstheme="minorBidi"/>
          <w:lang w:val="es-ES_tradnl"/>
        </w:rPr>
        <w:t xml:space="preserve">anuales y </w:t>
      </w:r>
      <w:r w:rsidR="00F90F44" w:rsidRPr="002F4384">
        <w:rPr>
          <w:rFonts w:asciiTheme="minorBidi" w:hAnsiTheme="minorBidi" w:cstheme="minorBidi"/>
          <w:lang w:val="es-ES_tradnl"/>
        </w:rPr>
        <w:t>g</w:t>
      </w:r>
      <w:r w:rsidRPr="002F4384">
        <w:rPr>
          <w:rFonts w:asciiTheme="minorBidi" w:hAnsiTheme="minorBidi" w:cstheme="minorBidi"/>
          <w:lang w:val="es-ES_tradnl"/>
        </w:rPr>
        <w:t xml:space="preserve">uías de la COI </w:t>
      </w:r>
      <w:r w:rsidR="00F90F44" w:rsidRPr="002F4384">
        <w:rPr>
          <w:rFonts w:asciiTheme="minorBidi" w:hAnsiTheme="minorBidi" w:cstheme="minorBidi"/>
          <w:lang w:val="es-ES_tradnl"/>
        </w:rPr>
        <w:t>n</w:t>
      </w:r>
      <w:r w:rsidR="009559D4" w:rsidRPr="002F4384">
        <w:rPr>
          <w:rFonts w:asciiTheme="minorBidi" w:hAnsiTheme="minorBidi" w:cstheme="minorBidi"/>
          <w:lang w:val="es-ES_tradnl"/>
        </w:rPr>
        <w:t>.</w:t>
      </w:r>
      <w:r w:rsidR="00F90F44" w:rsidRPr="002F4384">
        <w:rPr>
          <w:rFonts w:asciiTheme="minorBidi" w:hAnsiTheme="minorBidi" w:cstheme="minorBidi"/>
          <w:lang w:val="es-ES_tradnl"/>
        </w:rPr>
        <w:t>º </w:t>
      </w:r>
      <w:r w:rsidRPr="002F4384">
        <w:rPr>
          <w:rFonts w:asciiTheme="minorBidi" w:hAnsiTheme="minorBidi" w:cstheme="minorBidi"/>
          <w:lang w:val="es-ES_tradnl"/>
        </w:rPr>
        <w:t>74.</w:t>
      </w:r>
    </w:p>
    <w:p w14:paraId="187F0403" w14:textId="5471EED6" w:rsidR="008622A7" w:rsidRPr="002F4384" w:rsidRDefault="00667651" w:rsidP="005C3715">
      <w:pPr>
        <w:pStyle w:val="Style2"/>
        <w:numPr>
          <w:ilvl w:val="0"/>
          <w:numId w:val="7"/>
        </w:numPr>
        <w:tabs>
          <w:tab w:val="left" w:pos="714"/>
        </w:tabs>
        <w:ind w:left="0" w:hanging="567"/>
        <w:rPr>
          <w:rFonts w:asciiTheme="minorBidi" w:hAnsiTheme="minorBidi" w:cstheme="minorBidi"/>
          <w:iCs w:val="0"/>
          <w:lang w:val="es-ES_tradnl"/>
        </w:rPr>
      </w:pPr>
      <w:r w:rsidRPr="002F4384">
        <w:rPr>
          <w:rFonts w:asciiTheme="minorBidi" w:hAnsiTheme="minorBidi" w:cstheme="minorBidi"/>
          <w:lang w:val="es-ES_tradnl"/>
        </w:rPr>
        <w:t xml:space="preserve">El Dr. Frolov recordó que la Asamblea de la COI, en su 31ª reunión, había aprobado en su decisión </w:t>
      </w:r>
      <w:r w:rsidR="009559D4" w:rsidRPr="002F4384">
        <w:rPr>
          <w:rFonts w:asciiTheme="minorBidi" w:hAnsiTheme="minorBidi" w:cstheme="minorBidi"/>
          <w:lang w:val="es-ES_tradnl"/>
        </w:rPr>
        <w:t>A-31/3.4.1</w:t>
      </w:r>
      <w:r w:rsidRPr="002F4384">
        <w:rPr>
          <w:rFonts w:asciiTheme="minorBidi" w:hAnsiTheme="minorBidi" w:cstheme="minorBidi"/>
          <w:lang w:val="es-ES_tradnl"/>
        </w:rPr>
        <w:t xml:space="preserve"> la creación del Programa de Tsunamis del Decenio del Océano. Este conta</w:t>
      </w:r>
      <w:r w:rsidR="00515207" w:rsidRPr="002F4384">
        <w:rPr>
          <w:rFonts w:asciiTheme="minorBidi" w:hAnsiTheme="minorBidi" w:cstheme="minorBidi"/>
          <w:lang w:val="es-ES_tradnl"/>
        </w:rPr>
        <w:t>ría</w:t>
      </w:r>
      <w:r w:rsidRPr="002F4384">
        <w:rPr>
          <w:rFonts w:asciiTheme="minorBidi" w:hAnsiTheme="minorBidi" w:cstheme="minorBidi"/>
          <w:lang w:val="es-ES_tradnl"/>
        </w:rPr>
        <w:t xml:space="preserve"> con el TOWS-WG como Comité Directivo Mundial del Programa, un </w:t>
      </w:r>
      <w:r w:rsidR="008F6ED1" w:rsidRPr="002F4384">
        <w:rPr>
          <w:rFonts w:asciiTheme="minorBidi" w:hAnsiTheme="minorBidi" w:cstheme="minorBidi"/>
          <w:lang w:val="es-ES_tradnl"/>
        </w:rPr>
        <w:t>c</w:t>
      </w:r>
      <w:r w:rsidRPr="002F4384">
        <w:rPr>
          <w:rFonts w:asciiTheme="minorBidi" w:hAnsiTheme="minorBidi" w:cstheme="minorBidi"/>
          <w:lang w:val="es-ES_tradnl"/>
        </w:rPr>
        <w:t xml:space="preserve">omité científico encargado de elaborar el Proyecto de Plan Decenal de Investigación, Desarrollo y Ejecución del Programa, y una </w:t>
      </w:r>
      <w:r w:rsidR="008F6ED1" w:rsidRPr="002F4384">
        <w:rPr>
          <w:rFonts w:asciiTheme="minorBidi" w:hAnsiTheme="minorBidi" w:cstheme="minorBidi"/>
          <w:lang w:val="es-ES_tradnl"/>
        </w:rPr>
        <w:t>c</w:t>
      </w:r>
      <w:r w:rsidRPr="002F4384">
        <w:rPr>
          <w:rFonts w:asciiTheme="minorBidi" w:hAnsiTheme="minorBidi" w:cstheme="minorBidi"/>
          <w:lang w:val="es-ES_tradnl"/>
        </w:rPr>
        <w:t xml:space="preserve">oalición </w:t>
      </w:r>
      <w:r w:rsidR="00A076E1" w:rsidRPr="002F4384">
        <w:rPr>
          <w:rFonts w:asciiTheme="minorBidi" w:hAnsiTheme="minorBidi" w:cstheme="minorBidi"/>
          <w:lang w:val="es-ES_tradnl"/>
        </w:rPr>
        <w:t xml:space="preserve">para </w:t>
      </w:r>
      <w:r w:rsidRPr="002F4384">
        <w:rPr>
          <w:rFonts w:asciiTheme="minorBidi" w:hAnsiTheme="minorBidi" w:cstheme="minorBidi"/>
          <w:lang w:val="es-ES_tradnl"/>
        </w:rPr>
        <w:t>Tsunami Ready.</w:t>
      </w:r>
    </w:p>
    <w:p w14:paraId="5BC99565" w14:textId="40013C2B" w:rsidR="008622A7" w:rsidRPr="002F4384" w:rsidRDefault="00667651" w:rsidP="005C3715">
      <w:pPr>
        <w:pStyle w:val="Style2"/>
        <w:numPr>
          <w:ilvl w:val="0"/>
          <w:numId w:val="7"/>
        </w:numPr>
        <w:tabs>
          <w:tab w:val="left" w:pos="714"/>
        </w:tabs>
        <w:ind w:left="0" w:hanging="567"/>
        <w:rPr>
          <w:rFonts w:asciiTheme="minorBidi" w:hAnsiTheme="minorBidi" w:cstheme="minorBidi"/>
          <w:iCs w:val="0"/>
          <w:lang w:val="es-ES_tradnl"/>
        </w:rPr>
      </w:pPr>
      <w:r w:rsidRPr="002F4384">
        <w:rPr>
          <w:rFonts w:asciiTheme="minorBidi" w:hAnsiTheme="minorBidi" w:cstheme="minorBidi"/>
          <w:lang w:val="es-ES_tradnl"/>
        </w:rPr>
        <w:t xml:space="preserve">Para ello, el TOWS-WG había seleccionado a 11 expertos para integrar el </w:t>
      </w:r>
      <w:r w:rsidR="008F6ED1" w:rsidRPr="002F4384">
        <w:rPr>
          <w:rFonts w:asciiTheme="minorBidi" w:hAnsiTheme="minorBidi" w:cstheme="minorBidi"/>
          <w:lang w:val="es-ES_tradnl"/>
        </w:rPr>
        <w:t>C</w:t>
      </w:r>
      <w:r w:rsidRPr="002F4384">
        <w:rPr>
          <w:rFonts w:asciiTheme="minorBidi" w:hAnsiTheme="minorBidi" w:cstheme="minorBidi"/>
          <w:lang w:val="es-ES_tradnl"/>
        </w:rPr>
        <w:t xml:space="preserve">omité </w:t>
      </w:r>
      <w:r w:rsidR="008F6ED1" w:rsidRPr="002F4384">
        <w:rPr>
          <w:rFonts w:asciiTheme="minorBidi" w:hAnsiTheme="minorBidi" w:cstheme="minorBidi"/>
          <w:lang w:val="es-ES_tradnl"/>
        </w:rPr>
        <w:t>C</w:t>
      </w:r>
      <w:r w:rsidRPr="002F4384">
        <w:rPr>
          <w:rFonts w:asciiTheme="minorBidi" w:hAnsiTheme="minorBidi" w:cstheme="minorBidi"/>
          <w:lang w:val="es-ES_tradnl"/>
        </w:rPr>
        <w:t xml:space="preserve">ientífico, dirigido por el Dr. Srinivasa Kumar Tummala (India). Al seleccionar a miembros expertos, se habían tenido debidamente en consideración sus conocimientos científicos, así como la distribución geográfica y el equilibro generacional y de género. El Proyecto de Plan Decenal de Investigación, Desarrollo y Ejecución del Programa </w:t>
      </w:r>
      <w:r w:rsidR="002B6F46" w:rsidRPr="002F4384">
        <w:rPr>
          <w:rFonts w:asciiTheme="minorBidi" w:hAnsiTheme="minorBidi" w:cstheme="minorBidi"/>
          <w:lang w:val="es-ES_tradnl"/>
        </w:rPr>
        <w:t>de</w:t>
      </w:r>
      <w:r w:rsidRPr="002F4384">
        <w:rPr>
          <w:rFonts w:asciiTheme="minorBidi" w:hAnsiTheme="minorBidi" w:cstheme="minorBidi"/>
          <w:lang w:val="es-ES_tradnl"/>
        </w:rPr>
        <w:t xml:space="preserve"> Tsunamis del Decenio del Océano se prepararía para finales de 2022.</w:t>
      </w:r>
    </w:p>
    <w:p w14:paraId="5F752745" w14:textId="223A631D" w:rsidR="008622A7" w:rsidRPr="002F4384" w:rsidRDefault="00667651" w:rsidP="005C3715">
      <w:pPr>
        <w:pStyle w:val="Style2"/>
        <w:numPr>
          <w:ilvl w:val="0"/>
          <w:numId w:val="7"/>
        </w:numPr>
        <w:tabs>
          <w:tab w:val="left" w:pos="714"/>
        </w:tabs>
        <w:ind w:left="0" w:hanging="567"/>
        <w:rPr>
          <w:rFonts w:asciiTheme="minorBidi" w:hAnsiTheme="minorBidi" w:cstheme="minorBidi"/>
          <w:iCs w:val="0"/>
          <w:lang w:val="es-ES_tradnl"/>
        </w:rPr>
      </w:pPr>
      <w:r w:rsidRPr="002F4384">
        <w:rPr>
          <w:rFonts w:asciiTheme="minorBidi" w:hAnsiTheme="minorBidi" w:cstheme="minorBidi"/>
          <w:lang w:val="es-ES_tradnl"/>
        </w:rPr>
        <w:t>En su 15ª reunión, el TOWS-WG había examinado el estado de aplicación de la decisión A-31/3.4.1, y había confirmado que el Decenio del Océano de las Naciones Unidas ofrecía una oportunidad excepcional para aprovechar nuevas plataformas, técnicas o infraestructuras de detección, con el fin de incrementar la rapidez y la precisión de la detección y la alerta en relación con los tsunamis y de mejorar la preparación y la resiliencia de las comunidades.</w:t>
      </w:r>
    </w:p>
    <w:p w14:paraId="2C706B44" w14:textId="20D10AB1" w:rsidR="008622A7" w:rsidRPr="002F4384" w:rsidRDefault="00667651" w:rsidP="005C3715">
      <w:pPr>
        <w:pStyle w:val="Style2"/>
        <w:numPr>
          <w:ilvl w:val="0"/>
          <w:numId w:val="7"/>
        </w:numPr>
        <w:tabs>
          <w:tab w:val="left" w:pos="714"/>
        </w:tabs>
        <w:ind w:left="0" w:hanging="567"/>
        <w:rPr>
          <w:rFonts w:asciiTheme="minorBidi" w:hAnsiTheme="minorBidi" w:cstheme="minorBidi"/>
          <w:iCs w:val="0"/>
          <w:lang w:val="es-ES_tradnl"/>
        </w:rPr>
      </w:pPr>
      <w:r w:rsidRPr="002F4384">
        <w:rPr>
          <w:rFonts w:asciiTheme="minorBidi" w:hAnsiTheme="minorBidi" w:cstheme="minorBidi"/>
          <w:lang w:val="es-ES_tradnl"/>
        </w:rPr>
        <w:t xml:space="preserve">Además, había recomendado que el Consejo Ejecutivo de la COI, en </w:t>
      </w:r>
      <w:r w:rsidR="00F83193" w:rsidRPr="002F4384">
        <w:rPr>
          <w:rFonts w:asciiTheme="minorBidi" w:hAnsiTheme="minorBidi" w:cstheme="minorBidi"/>
          <w:lang w:val="es-ES_tradnl"/>
        </w:rPr>
        <w:t>esta</w:t>
      </w:r>
      <w:r w:rsidRPr="002F4384">
        <w:rPr>
          <w:rFonts w:asciiTheme="minorBidi" w:hAnsiTheme="minorBidi" w:cstheme="minorBidi"/>
          <w:lang w:val="es-ES_tradnl"/>
        </w:rPr>
        <w:t xml:space="preserve"> reunión, </w:t>
      </w:r>
      <w:r w:rsidR="00004019" w:rsidRPr="002F4384">
        <w:rPr>
          <w:rFonts w:asciiTheme="minorBidi" w:hAnsiTheme="minorBidi" w:cstheme="minorBidi"/>
          <w:lang w:val="es-ES_tradnl"/>
        </w:rPr>
        <w:t xml:space="preserve">estudiara </w:t>
      </w:r>
      <w:r w:rsidRPr="002F4384">
        <w:rPr>
          <w:rFonts w:asciiTheme="minorBidi" w:hAnsiTheme="minorBidi" w:cstheme="minorBidi"/>
          <w:lang w:val="es-ES_tradnl"/>
        </w:rPr>
        <w:t>la posibilidad de aprobar la creación del programa de reconocimiento Tsunami Ready de la COI</w:t>
      </w:r>
      <w:r w:rsidR="00F83193" w:rsidRPr="002F4384">
        <w:rPr>
          <w:rFonts w:asciiTheme="minorBidi" w:hAnsiTheme="minorBidi" w:cstheme="minorBidi"/>
          <w:lang w:val="es-ES_tradnl"/>
        </w:rPr>
        <w:t>-</w:t>
      </w:r>
      <w:r w:rsidRPr="002F4384">
        <w:rPr>
          <w:rFonts w:asciiTheme="minorBidi" w:hAnsiTheme="minorBidi" w:cstheme="minorBidi"/>
          <w:lang w:val="es-ES_tradnl"/>
        </w:rPr>
        <w:t>UNESCO, tal como se exponía en el documento de trabajo</w:t>
      </w:r>
      <w:r w:rsidR="00004019" w:rsidRPr="002F4384">
        <w:rPr>
          <w:rFonts w:asciiTheme="minorBidi" w:hAnsiTheme="minorBidi" w:cstheme="minorBidi"/>
          <w:lang w:val="es-ES_tradnl"/>
        </w:rPr>
        <w:t xml:space="preserve"> titulado</w:t>
      </w:r>
      <w:r w:rsidRPr="002F4384">
        <w:rPr>
          <w:rFonts w:asciiTheme="minorBidi" w:hAnsiTheme="minorBidi" w:cstheme="minorBidi"/>
          <w:lang w:val="es-ES_tradnl"/>
        </w:rPr>
        <w:t xml:space="preserve"> </w:t>
      </w:r>
      <w:r w:rsidR="00BB26AB" w:rsidRPr="002F4384">
        <w:rPr>
          <w:rFonts w:asciiTheme="minorBidi" w:hAnsiTheme="minorBidi" w:cstheme="minorBidi"/>
          <w:lang w:val="es-ES_tradnl"/>
        </w:rPr>
        <w:t>“</w:t>
      </w:r>
      <w:r w:rsidRPr="002F4384">
        <w:rPr>
          <w:rFonts w:asciiTheme="minorBidi" w:hAnsiTheme="minorBidi" w:cstheme="minorBidi"/>
          <w:i/>
          <w:lang w:val="es-ES_tradnl"/>
        </w:rPr>
        <w:t>Tsunami Ready programme - Proposal for endorsement by IOC</w:t>
      </w:r>
      <w:r w:rsidR="00BB26AB" w:rsidRPr="002F4384">
        <w:rPr>
          <w:rFonts w:asciiTheme="minorBidi" w:hAnsiTheme="minorBidi" w:cstheme="minorBidi"/>
          <w:lang w:val="es-ES_tradnl"/>
        </w:rPr>
        <w:t>”</w:t>
      </w:r>
      <w:r w:rsidRPr="002F4384">
        <w:rPr>
          <w:rFonts w:asciiTheme="minorBidi" w:hAnsiTheme="minorBidi" w:cstheme="minorBidi"/>
          <w:lang w:val="es-ES_tradnl"/>
        </w:rPr>
        <w:t xml:space="preserve"> </w:t>
      </w:r>
      <w:r w:rsidR="00BB26AB" w:rsidRPr="002F4384">
        <w:rPr>
          <w:rFonts w:asciiTheme="minorBidi" w:hAnsiTheme="minorBidi" w:cstheme="minorBidi"/>
          <w:lang w:val="es-ES_tradnl"/>
        </w:rPr>
        <w:t>[</w:t>
      </w:r>
      <w:r w:rsidRPr="002F4384">
        <w:rPr>
          <w:rFonts w:asciiTheme="minorBidi" w:hAnsiTheme="minorBidi" w:cstheme="minorBidi"/>
          <w:lang w:val="es-ES_tradnl"/>
        </w:rPr>
        <w:t xml:space="preserve">Programa de reconocimiento Tsunami Ready - </w:t>
      </w:r>
      <w:r w:rsidR="002B6F46" w:rsidRPr="002F4384">
        <w:rPr>
          <w:rFonts w:asciiTheme="minorBidi" w:hAnsiTheme="minorBidi" w:cstheme="minorBidi"/>
          <w:lang w:val="es-ES_tradnl"/>
        </w:rPr>
        <w:t>p</w:t>
      </w:r>
      <w:r w:rsidRPr="002F4384">
        <w:rPr>
          <w:rFonts w:asciiTheme="minorBidi" w:hAnsiTheme="minorBidi" w:cstheme="minorBidi"/>
          <w:lang w:val="es-ES_tradnl"/>
        </w:rPr>
        <w:t>ropuesta para su aprobación por la COI</w:t>
      </w:r>
      <w:r w:rsidR="00BB26AB" w:rsidRPr="002F4384">
        <w:rPr>
          <w:rFonts w:asciiTheme="minorBidi" w:hAnsiTheme="minorBidi" w:cstheme="minorBidi"/>
          <w:lang w:val="es-ES_tradnl"/>
        </w:rPr>
        <w:t xml:space="preserve">], </w:t>
      </w:r>
      <w:r w:rsidRPr="002F4384">
        <w:rPr>
          <w:rFonts w:asciiTheme="minorBidi" w:hAnsiTheme="minorBidi" w:cstheme="minorBidi"/>
          <w:lang w:val="es-ES_tradnl"/>
        </w:rPr>
        <w:t>de fecha 21 de febrero de 2022.</w:t>
      </w:r>
    </w:p>
    <w:p w14:paraId="6FCFEA70" w14:textId="0E93F089" w:rsidR="005D1225" w:rsidRPr="002F4384" w:rsidRDefault="008622A7"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TOWS-WG, en su 15ª reunión, había recomendado también que el Consejo Ejecutivo de la COI aprobara el mandato de la </w:t>
      </w:r>
      <w:r w:rsidR="00851917" w:rsidRPr="002F4384">
        <w:rPr>
          <w:rFonts w:asciiTheme="minorBidi" w:hAnsiTheme="minorBidi" w:cstheme="minorBidi"/>
          <w:lang w:val="es-ES_tradnl"/>
        </w:rPr>
        <w:t>C</w:t>
      </w:r>
      <w:r w:rsidRPr="002F4384">
        <w:rPr>
          <w:rFonts w:asciiTheme="minorBidi" w:hAnsiTheme="minorBidi" w:cstheme="minorBidi"/>
          <w:lang w:val="es-ES_tradnl"/>
        </w:rPr>
        <w:t xml:space="preserve">oalición </w:t>
      </w:r>
      <w:r w:rsidR="002B6F46" w:rsidRPr="002F4384">
        <w:rPr>
          <w:rFonts w:asciiTheme="minorBidi" w:hAnsiTheme="minorBidi" w:cstheme="minorBidi"/>
          <w:lang w:val="es-ES_tradnl"/>
        </w:rPr>
        <w:t xml:space="preserve">para </w:t>
      </w:r>
      <w:r w:rsidRPr="002F4384">
        <w:rPr>
          <w:rFonts w:asciiTheme="minorBidi" w:hAnsiTheme="minorBidi" w:cstheme="minorBidi"/>
          <w:lang w:val="es-ES_tradnl"/>
        </w:rPr>
        <w:t xml:space="preserve">Tsunami Ready y algunas aclaraciones del mandato del TOWS-WG y del </w:t>
      </w:r>
      <w:r w:rsidR="008F6ED1" w:rsidRPr="002F4384">
        <w:rPr>
          <w:rFonts w:asciiTheme="minorBidi" w:hAnsiTheme="minorBidi" w:cstheme="minorBidi"/>
          <w:lang w:val="es-ES_tradnl"/>
        </w:rPr>
        <w:t>C</w:t>
      </w:r>
      <w:r w:rsidRPr="002F4384">
        <w:rPr>
          <w:rFonts w:asciiTheme="minorBidi" w:hAnsiTheme="minorBidi" w:cstheme="minorBidi"/>
          <w:lang w:val="es-ES_tradnl"/>
        </w:rPr>
        <w:t xml:space="preserve">omité </w:t>
      </w:r>
      <w:r w:rsidR="008F6ED1" w:rsidRPr="002F4384">
        <w:rPr>
          <w:rFonts w:asciiTheme="minorBidi" w:hAnsiTheme="minorBidi" w:cstheme="minorBidi"/>
          <w:lang w:val="es-ES_tradnl"/>
        </w:rPr>
        <w:t>C</w:t>
      </w:r>
      <w:r w:rsidRPr="002F4384">
        <w:rPr>
          <w:rFonts w:asciiTheme="minorBidi" w:hAnsiTheme="minorBidi" w:cstheme="minorBidi"/>
          <w:lang w:val="es-ES_tradnl"/>
        </w:rPr>
        <w:t xml:space="preserve">ientífico, como </w:t>
      </w:r>
      <w:r w:rsidR="002B6F46" w:rsidRPr="002F4384">
        <w:rPr>
          <w:rFonts w:asciiTheme="minorBidi" w:hAnsiTheme="minorBidi" w:cstheme="minorBidi"/>
          <w:lang w:val="es-ES_tradnl"/>
        </w:rPr>
        <w:t>figuraba</w:t>
      </w:r>
      <w:r w:rsidRPr="002F4384">
        <w:rPr>
          <w:rFonts w:asciiTheme="minorBidi" w:hAnsiTheme="minorBidi" w:cstheme="minorBidi"/>
          <w:lang w:val="es-ES_tradnl"/>
        </w:rPr>
        <w:t xml:space="preserve"> en el proyecto de decisión </w:t>
      </w:r>
      <w:r w:rsidR="00F83193" w:rsidRPr="002F4384">
        <w:rPr>
          <w:rFonts w:asciiTheme="minorBidi" w:hAnsiTheme="minorBidi" w:cstheme="minorBidi"/>
          <w:lang w:val="es-ES_tradnl"/>
        </w:rPr>
        <w:t>relativo a este punto</w:t>
      </w:r>
      <w:r w:rsidRPr="002F4384">
        <w:rPr>
          <w:rFonts w:asciiTheme="minorBidi" w:hAnsiTheme="minorBidi" w:cstheme="minorBidi"/>
          <w:lang w:val="es-ES_tradnl"/>
        </w:rPr>
        <w:t>.</w:t>
      </w:r>
    </w:p>
    <w:p w14:paraId="6BEC47B0" w14:textId="613D4265" w:rsidR="004A53A9" w:rsidRPr="002F4384" w:rsidRDefault="004A53A9"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Los representantes de 17 Estados Miembros, un observador y la OMM tomaron la palabra sobre los puntos 3.5.1.1 y 3.5.1.2.</w:t>
      </w:r>
    </w:p>
    <w:p w14:paraId="0628FF73" w14:textId="3F06F215" w:rsidR="004A53A9" w:rsidRPr="002F4384" w:rsidRDefault="004A53A9"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Los Estados Unidos de América, la India, Kenya y Türkiye informaron sobre los logros alcanzados y los planes para aplicar el programa de reconocimiento de la COI Tsunami Ready.</w:t>
      </w:r>
    </w:p>
    <w:p w14:paraId="0881E43A" w14:textId="32FB488D" w:rsidR="004A53A9" w:rsidRPr="002F4384" w:rsidRDefault="00815B3B"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China, la India, Indonesia, Italia, el Japón y Türkiye informaron sobre el establecimiento de proveedores de servicios sobre tsunamis (TSP) en las distintas cuencas oceánicas y la mejora de la colaboración para fortalecer la capacidad de vigilancia y el intercambio de datos en tiempo real. En respuesta a la pregunta de un Estado Miembro, la Secretaría confirmó que la fase provisional </w:t>
      </w:r>
      <w:r w:rsidRPr="002F4384">
        <w:rPr>
          <w:rFonts w:asciiTheme="minorBidi" w:hAnsiTheme="minorBidi" w:cstheme="minorBidi"/>
          <w:lang w:val="es-ES_tradnl"/>
        </w:rPr>
        <w:lastRenderedPageBreak/>
        <w:t>del Centro de Asesoramiento sobre los Tsunamis de América Central (CATAC) era una fase intermedia que conduc</w:t>
      </w:r>
      <w:r w:rsidR="00E24959" w:rsidRPr="002F4384">
        <w:rPr>
          <w:rFonts w:asciiTheme="minorBidi" w:hAnsiTheme="minorBidi" w:cstheme="minorBidi"/>
          <w:lang w:val="es-ES_tradnl"/>
        </w:rPr>
        <w:t>ir</w:t>
      </w:r>
      <w:r w:rsidRPr="002F4384">
        <w:rPr>
          <w:rFonts w:asciiTheme="minorBidi" w:hAnsiTheme="minorBidi" w:cstheme="minorBidi"/>
          <w:lang w:val="es-ES_tradnl"/>
        </w:rPr>
        <w:t xml:space="preserve">ía a un estado de pleno funcionamiento, </w:t>
      </w:r>
      <w:r w:rsidR="00AB1725" w:rsidRPr="002F4384">
        <w:rPr>
          <w:rFonts w:asciiTheme="minorBidi" w:hAnsiTheme="minorBidi" w:cstheme="minorBidi"/>
          <w:lang w:val="es-ES_tradnl"/>
        </w:rPr>
        <w:t>el cual</w:t>
      </w:r>
      <w:r w:rsidRPr="002F4384">
        <w:rPr>
          <w:rFonts w:asciiTheme="minorBidi" w:hAnsiTheme="minorBidi" w:cstheme="minorBidi"/>
          <w:lang w:val="es-ES_tradnl"/>
        </w:rPr>
        <w:t xml:space="preserve"> sería objeto de una recomendación del ICG/PTWS cuando se cumplieran los parámetros técnicos acordados enunciados en la documentación técnica de la COI.</w:t>
      </w:r>
    </w:p>
    <w:p w14:paraId="73265F36" w14:textId="24E5F1B8" w:rsidR="00815B3B" w:rsidRPr="002F4384" w:rsidRDefault="00AB1725"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Chile, Italia, el Perú y Türkiye expresaron su opinión sobre el establecimiento de nuevas estaciones de vigilancia del nivel del mar y la actividad sísmica, así como su voluntad de compartir los datos para ayudar a otros Estados Miembros y a los TSP.</w:t>
      </w:r>
    </w:p>
    <w:p w14:paraId="363AF806" w14:textId="2ADBB49C" w:rsidR="008B101A" w:rsidRPr="002F4384" w:rsidRDefault="008B101A"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La India y los Estados Unidos de América apoyaron la recomendación formulada al GOOS de que considerara la presión del fondo oceánico como una variable oceánica esencial, dada su importancia para la alerta contra los tsunamis y otras aplicaciones como la vigilancia del clima.</w:t>
      </w:r>
      <w:r w:rsidR="009B45DD" w:rsidRPr="002F4384">
        <w:rPr>
          <w:rFonts w:asciiTheme="minorBidi" w:hAnsiTheme="minorBidi" w:cstheme="minorBidi"/>
          <w:lang w:val="es-ES_tradnl"/>
        </w:rPr>
        <w:t xml:space="preserve"> También se mostraron favorables al posible uso de cables SMART</w:t>
      </w:r>
      <w:r w:rsidR="004753E3" w:rsidRPr="002F4384">
        <w:rPr>
          <w:rFonts w:asciiTheme="minorBidi" w:hAnsiTheme="minorBidi" w:cstheme="minorBidi"/>
          <w:lang w:val="es-ES_tradnl"/>
        </w:rPr>
        <w:t xml:space="preserve"> (cables de telecomunicaciones con sensores)</w:t>
      </w:r>
      <w:r w:rsidR="009B45DD" w:rsidRPr="002F4384">
        <w:rPr>
          <w:rFonts w:asciiTheme="minorBidi" w:hAnsiTheme="minorBidi" w:cstheme="minorBidi"/>
          <w:lang w:val="es-ES_tradnl"/>
        </w:rPr>
        <w:t xml:space="preserve"> para facilitar el cumplimiento del objetivo del Programa de Tsunamis del Decenio del Océano de las Naciones Unidas </w:t>
      </w:r>
      <w:r w:rsidR="001527D8" w:rsidRPr="002F4384">
        <w:rPr>
          <w:rFonts w:asciiTheme="minorBidi" w:hAnsiTheme="minorBidi" w:cstheme="minorBidi"/>
          <w:lang w:val="es-ES_tradnl"/>
        </w:rPr>
        <w:t>referente a la mejora de</w:t>
      </w:r>
      <w:r w:rsidR="009B45DD" w:rsidRPr="002F4384">
        <w:rPr>
          <w:rFonts w:asciiTheme="minorBidi" w:hAnsiTheme="minorBidi" w:cstheme="minorBidi"/>
          <w:lang w:val="es-ES_tradnl"/>
        </w:rPr>
        <w:t xml:space="preserve"> las capacidades de vigilancia de los tsunamis del sistema mundial de alerta contra los tsunamis y atenuación de sus efectos a fin de mejorar la rapidez y la precisión de las alertas.</w:t>
      </w:r>
    </w:p>
    <w:p w14:paraId="11A2406E" w14:textId="3305730C" w:rsidR="009B45DD" w:rsidRPr="002F4384" w:rsidRDefault="00985409"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Portugal anunció que estaba preparando una importante contribución al sistema de vigilancia en el Atlántico Nororiental, a saber, la instalación de un cable SMART en el CAM Ring que un</w:t>
      </w:r>
      <w:r w:rsidR="008C10EE" w:rsidRPr="002F4384">
        <w:rPr>
          <w:rFonts w:asciiTheme="minorBidi" w:hAnsiTheme="minorBidi" w:cstheme="minorBidi"/>
          <w:lang w:val="es-ES_tradnl"/>
        </w:rPr>
        <w:t>ía</w:t>
      </w:r>
      <w:r w:rsidRPr="002F4384">
        <w:rPr>
          <w:rFonts w:asciiTheme="minorBidi" w:hAnsiTheme="minorBidi" w:cstheme="minorBidi"/>
          <w:lang w:val="es-ES_tradnl"/>
        </w:rPr>
        <w:t xml:space="preserve"> el territorio continental portugués con la región de las Azores y Madeira, lo que mejorar</w:t>
      </w:r>
      <w:r w:rsidR="008C10EE" w:rsidRPr="002F4384">
        <w:rPr>
          <w:rFonts w:asciiTheme="minorBidi" w:hAnsiTheme="minorBidi" w:cstheme="minorBidi"/>
          <w:lang w:val="es-ES_tradnl"/>
        </w:rPr>
        <w:t>ía</w:t>
      </w:r>
      <w:r w:rsidRPr="002F4384">
        <w:rPr>
          <w:rFonts w:asciiTheme="minorBidi" w:hAnsiTheme="minorBidi" w:cstheme="minorBidi"/>
          <w:lang w:val="es-ES_tradnl"/>
        </w:rPr>
        <w:t xml:space="preserve"> la capacidad de detección y vigilancia de los tsunamis en esa región.</w:t>
      </w:r>
    </w:p>
    <w:p w14:paraId="0F66B637" w14:textId="50E31E08" w:rsidR="00AF205D" w:rsidRPr="002F4384" w:rsidRDefault="00AF205D"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Colombia, los Estados Unidos de América, la India, Indonesia, Italia y Kenya apoyaron el establecimiento del programa de reconocimiento Tsunami Ready para cumplir el objetivo del Programa de Tsunamis del Decenio del Océano de que el 100 % de las comunidades costeras en riesgo obtuvieran la certificación de aquí a 2030. Además, respaldaron el establecimiento de la Coalición </w:t>
      </w:r>
      <w:r w:rsidR="0096196F" w:rsidRPr="002F4384">
        <w:rPr>
          <w:rFonts w:asciiTheme="minorBidi" w:hAnsiTheme="minorBidi" w:cstheme="minorBidi"/>
          <w:lang w:val="es-ES_tradnl"/>
        </w:rPr>
        <w:t xml:space="preserve">para </w:t>
      </w:r>
      <w:r w:rsidRPr="002F4384">
        <w:rPr>
          <w:rFonts w:asciiTheme="minorBidi" w:hAnsiTheme="minorBidi" w:cstheme="minorBidi"/>
          <w:lang w:val="es-ES_tradnl"/>
        </w:rPr>
        <w:t xml:space="preserve">Tsunami Ready </w:t>
      </w:r>
      <w:r w:rsidR="002E419D" w:rsidRPr="002F4384">
        <w:rPr>
          <w:rFonts w:asciiTheme="minorBidi" w:hAnsiTheme="minorBidi" w:cstheme="minorBidi"/>
          <w:lang w:val="es-ES_tradnl"/>
        </w:rPr>
        <w:t>con el fin de</w:t>
      </w:r>
      <w:r w:rsidRPr="002F4384">
        <w:rPr>
          <w:rFonts w:asciiTheme="minorBidi" w:hAnsiTheme="minorBidi" w:cstheme="minorBidi"/>
          <w:lang w:val="es-ES_tradnl"/>
        </w:rPr>
        <w:t xml:space="preserve"> facilitar la obtención de recursos y </w:t>
      </w:r>
      <w:r w:rsidR="00B35CB7" w:rsidRPr="002F4384">
        <w:rPr>
          <w:rFonts w:asciiTheme="minorBidi" w:hAnsiTheme="minorBidi" w:cstheme="minorBidi"/>
          <w:lang w:val="es-ES_tradnl"/>
        </w:rPr>
        <w:t>la</w:t>
      </w:r>
      <w:r w:rsidRPr="002F4384">
        <w:rPr>
          <w:rFonts w:asciiTheme="minorBidi" w:hAnsiTheme="minorBidi" w:cstheme="minorBidi"/>
          <w:lang w:val="es-ES_tradnl"/>
        </w:rPr>
        <w:t xml:space="preserve"> aplicación </w:t>
      </w:r>
      <w:r w:rsidR="00B35CB7" w:rsidRPr="002F4384">
        <w:rPr>
          <w:rFonts w:asciiTheme="minorBidi" w:hAnsiTheme="minorBidi" w:cstheme="minorBidi"/>
          <w:lang w:val="es-ES_tradnl"/>
        </w:rPr>
        <w:t>del programa a gran escala</w:t>
      </w:r>
      <w:r w:rsidRPr="002F4384">
        <w:rPr>
          <w:rFonts w:asciiTheme="minorBidi" w:hAnsiTheme="minorBidi" w:cstheme="minorBidi"/>
          <w:lang w:val="es-ES_tradnl"/>
        </w:rPr>
        <w:t xml:space="preserve">. Kenya pidió que se tuviera debidamente en cuenta a las organizaciones africanas en la composición de la Coalición </w:t>
      </w:r>
      <w:r w:rsidR="0096196F" w:rsidRPr="002F4384">
        <w:rPr>
          <w:rFonts w:asciiTheme="minorBidi" w:hAnsiTheme="minorBidi" w:cstheme="minorBidi"/>
          <w:lang w:val="es-ES_tradnl"/>
        </w:rPr>
        <w:t xml:space="preserve">para </w:t>
      </w:r>
      <w:r w:rsidRPr="002F4384">
        <w:rPr>
          <w:rFonts w:asciiTheme="minorBidi" w:hAnsiTheme="minorBidi" w:cstheme="minorBidi"/>
          <w:lang w:val="es-ES_tradnl"/>
        </w:rPr>
        <w:t>Tsunami Ready.</w:t>
      </w:r>
    </w:p>
    <w:p w14:paraId="551800C4" w14:textId="5B5A7F98" w:rsidR="00AF205D" w:rsidRPr="002F4384" w:rsidRDefault="002D20F7"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Australia recordó el apoyo financiero que presta</w:t>
      </w:r>
      <w:r w:rsidR="005C78BA" w:rsidRPr="002F4384">
        <w:rPr>
          <w:rFonts w:asciiTheme="minorBidi" w:hAnsiTheme="minorBidi" w:cstheme="minorBidi"/>
          <w:lang w:val="es-ES_tradnl"/>
        </w:rPr>
        <w:t>ba</w:t>
      </w:r>
      <w:r w:rsidRPr="002F4384">
        <w:rPr>
          <w:rFonts w:asciiTheme="minorBidi" w:hAnsiTheme="minorBidi" w:cstheme="minorBidi"/>
          <w:lang w:val="es-ES_tradnl"/>
        </w:rPr>
        <w:t xml:space="preserve"> a la Secretaría de la COI para el ICG/IOTWMS desde 2005 y su compromiso permanente en este sentido. También dio las gracias a Indonesia por extender su apoyo al Centro de Información sobre los Tsunamis en el Océano Índico (IOTIC).</w:t>
      </w:r>
    </w:p>
    <w:p w14:paraId="73296E26" w14:textId="27C03023" w:rsidR="002D20F7" w:rsidRPr="002F4384" w:rsidRDefault="002D20F7"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Con respecto al fortalecimiento de la colaboración entre la COI y la OMM sobre los peligros relacionados con el nivel del mar, Indonesia (observador) sugirió que se celebraran consecutivamente la</w:t>
      </w:r>
      <w:r w:rsidR="00180A22" w:rsidRPr="002F4384">
        <w:rPr>
          <w:rFonts w:asciiTheme="minorBidi" w:hAnsiTheme="minorBidi" w:cstheme="minorBidi"/>
          <w:lang w:val="es-ES_tradnl"/>
        </w:rPr>
        <w:t xml:space="preserve"> </w:t>
      </w:r>
      <w:r w:rsidRPr="002F4384">
        <w:rPr>
          <w:rFonts w:asciiTheme="minorBidi" w:hAnsiTheme="minorBidi" w:cstheme="minorBidi"/>
          <w:lang w:val="es-ES_tradnl"/>
        </w:rPr>
        <w:t>13</w:t>
      </w:r>
      <w:r w:rsidRPr="002F4384">
        <w:rPr>
          <w:rFonts w:asciiTheme="minorBidi" w:hAnsiTheme="minorBidi" w:cstheme="minorBidi"/>
          <w:vertAlign w:val="superscript"/>
          <w:lang w:val="es-ES_tradnl"/>
        </w:rPr>
        <w:t>a</w:t>
      </w:r>
      <w:r w:rsidRPr="002F4384">
        <w:rPr>
          <w:rFonts w:asciiTheme="minorBidi" w:hAnsiTheme="minorBidi" w:cstheme="minorBidi"/>
          <w:lang w:val="es-ES_tradnl"/>
        </w:rPr>
        <w:t xml:space="preserve"> reunión del ICG/IOTWMS y la próxima reunión del Comité de Ciclones Tropicales de la OMM, ya que ambas tendrían lugar en Bali (Indonesia) a finales de 2022.</w:t>
      </w:r>
      <w:r w:rsidR="00173DC8" w:rsidRPr="002F4384">
        <w:rPr>
          <w:rFonts w:asciiTheme="minorBidi" w:hAnsiTheme="minorBidi" w:cstheme="minorBidi"/>
          <w:lang w:val="es-ES_tradnl"/>
        </w:rPr>
        <w:t xml:space="preserve"> También podría considerarse la posibilidad de celebrar una reunión conjunta.</w:t>
      </w:r>
    </w:p>
    <w:p w14:paraId="0B94817C" w14:textId="1F63F8D1" w:rsidR="00173DC8" w:rsidRPr="002F4384" w:rsidRDefault="00173DC8"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Francia, la India, Indonesia y el Perú señalaron la importancia de desarrollar la capacidad de alerta contra los tsunamis generados por fuentes no sísmicas y complejas, tras la erupción volcánica del Hunga Tonga-Hunga Ha'apai y el tsunami </w:t>
      </w:r>
      <w:r w:rsidR="00180A22" w:rsidRPr="002F4384">
        <w:rPr>
          <w:rFonts w:asciiTheme="minorBidi" w:hAnsiTheme="minorBidi" w:cstheme="minorBidi"/>
          <w:lang w:val="es-ES_tradnl"/>
        </w:rPr>
        <w:t>subsiguiente</w:t>
      </w:r>
      <w:r w:rsidRPr="002F4384">
        <w:rPr>
          <w:rFonts w:asciiTheme="minorBidi" w:hAnsiTheme="minorBidi" w:cstheme="minorBidi"/>
          <w:lang w:val="es-ES_tradnl"/>
        </w:rPr>
        <w:t xml:space="preserve"> (15 de enero de 2022).</w:t>
      </w:r>
    </w:p>
    <w:p w14:paraId="3FCDADEA" w14:textId="2E3F522D" w:rsidR="00173DC8" w:rsidRPr="002F4384" w:rsidRDefault="00782BF1"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Con respecto a la recomendación del ICG/PTWS de ampliar la zona de origen de seísmos del PTWS para incluir la región sísmica más meridional del Atlántico, la Argentina expresó que compartía la preocupación por los riesgos potenciales que presentaban los eventos tsunamigénicos para las poblaciones costeras y los buques que operaban en las regiones afectadas. También destacó la importancia de contar con información oportuna para advertir a los navegantes de la posibilidad de que se produ</w:t>
      </w:r>
      <w:r w:rsidR="00180A22" w:rsidRPr="002F4384">
        <w:rPr>
          <w:rFonts w:asciiTheme="minorBidi" w:hAnsiTheme="minorBidi" w:cstheme="minorBidi"/>
          <w:lang w:val="es-ES_tradnl"/>
        </w:rPr>
        <w:t>jera</w:t>
      </w:r>
      <w:r w:rsidRPr="002F4384">
        <w:rPr>
          <w:rFonts w:asciiTheme="minorBidi" w:hAnsiTheme="minorBidi" w:cstheme="minorBidi"/>
          <w:lang w:val="es-ES_tradnl"/>
        </w:rPr>
        <w:t xml:space="preserve"> un tsunami con la mayor antelación posible y </w:t>
      </w:r>
      <w:r w:rsidR="00D47945" w:rsidRPr="002F4384">
        <w:rPr>
          <w:rFonts w:asciiTheme="minorBidi" w:hAnsiTheme="minorBidi" w:cstheme="minorBidi"/>
          <w:lang w:val="es-ES_tradnl"/>
        </w:rPr>
        <w:t xml:space="preserve">de </w:t>
      </w:r>
      <w:r w:rsidRPr="002F4384">
        <w:rPr>
          <w:rFonts w:asciiTheme="minorBidi" w:hAnsiTheme="minorBidi" w:cstheme="minorBidi"/>
          <w:lang w:val="es-ES_tradnl"/>
        </w:rPr>
        <w:t>difundir dicha información entre los responsables de las actividades realizadas en esa zona de interés de la Antártida.</w:t>
      </w:r>
      <w:r w:rsidR="00435FE0" w:rsidRPr="002F4384">
        <w:rPr>
          <w:rFonts w:asciiTheme="minorBidi" w:hAnsiTheme="minorBidi" w:cstheme="minorBidi"/>
          <w:lang w:val="es-ES_tradnl"/>
        </w:rPr>
        <w:t xml:space="preserve"> La Argentina </w:t>
      </w:r>
      <w:r w:rsidR="00180A22" w:rsidRPr="002F4384">
        <w:rPr>
          <w:rFonts w:asciiTheme="minorBidi" w:hAnsiTheme="minorBidi" w:cstheme="minorBidi"/>
          <w:lang w:val="es-ES_tradnl"/>
        </w:rPr>
        <w:t>hizo hincapié en</w:t>
      </w:r>
      <w:r w:rsidR="00435FE0" w:rsidRPr="002F4384">
        <w:rPr>
          <w:rFonts w:asciiTheme="minorBidi" w:hAnsiTheme="minorBidi" w:cstheme="minorBidi"/>
          <w:lang w:val="es-ES_tradnl"/>
        </w:rPr>
        <w:t xml:space="preserve"> que había asumido responsabilidades internacionales en materia de seguridad marítima en la zona, tanto en cuanto a la difusión de información sobre seguridad marítima en </w:t>
      </w:r>
      <w:r w:rsidR="00D33ED8" w:rsidRPr="002F4384">
        <w:rPr>
          <w:rFonts w:asciiTheme="minorBidi" w:hAnsiTheme="minorBidi" w:cstheme="minorBidi"/>
          <w:lang w:val="es-ES_tradnl"/>
        </w:rPr>
        <w:t>“</w:t>
      </w:r>
      <w:r w:rsidR="00435FE0" w:rsidRPr="002F4384">
        <w:rPr>
          <w:rFonts w:asciiTheme="minorBidi" w:hAnsiTheme="minorBidi" w:cstheme="minorBidi"/>
          <w:lang w:val="es-ES_tradnl"/>
        </w:rPr>
        <w:t>NAVAREA VI</w:t>
      </w:r>
      <w:r w:rsidR="00D33ED8" w:rsidRPr="002F4384">
        <w:rPr>
          <w:rFonts w:asciiTheme="minorBidi" w:hAnsiTheme="minorBidi" w:cstheme="minorBidi"/>
          <w:lang w:val="es-ES_tradnl"/>
        </w:rPr>
        <w:t>”</w:t>
      </w:r>
      <w:r w:rsidR="00435FE0" w:rsidRPr="002F4384">
        <w:rPr>
          <w:rFonts w:asciiTheme="minorBidi" w:hAnsiTheme="minorBidi" w:cstheme="minorBidi"/>
          <w:lang w:val="es-ES_tradnl"/>
        </w:rPr>
        <w:t xml:space="preserve"> como a la prestación de servicios de búsqueda y salvamento marítimos. Sin </w:t>
      </w:r>
      <w:r w:rsidR="00435FE0" w:rsidRPr="002F4384">
        <w:rPr>
          <w:rFonts w:asciiTheme="minorBidi" w:hAnsiTheme="minorBidi" w:cstheme="minorBidi"/>
          <w:lang w:val="es-ES_tradnl"/>
        </w:rPr>
        <w:lastRenderedPageBreak/>
        <w:t>embargo, dado que el Consejo Ejecutivo no contaba con elementos suficientes para analizar la ampliación propuesta, la Argentina consideró que la cuestión requería un análisis más detallado con la participación de todas las partes que podían estar amenazadas.</w:t>
      </w:r>
    </w:p>
    <w:p w14:paraId="0BEAF921" w14:textId="2097BF99" w:rsidR="00435FE0" w:rsidRPr="002F4384" w:rsidRDefault="00CB7F20"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Las delegaciones siguientes decidieron proporcionar por escrito sus intervenciones en plenaria sobre este punto del orden del día para que constaran en el anexo informativo del informe de la reunión: Argentina, Australia, Chile, China, Colombia, Estados Unidos de América, Federación de Rusia, Francia, India, Indonesia (observador), Italia, Japón, Kenya, Portugal y República de Corea.</w:t>
      </w:r>
    </w:p>
    <w:p w14:paraId="789E2373" w14:textId="1E77D488" w:rsidR="00EB3E66" w:rsidRPr="002F4384" w:rsidRDefault="00EB3E66"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Consejo Ejecutivo adoptó la </w:t>
      </w:r>
      <w:r w:rsidRPr="002F4384">
        <w:rPr>
          <w:rFonts w:asciiTheme="minorBidi" w:hAnsiTheme="minorBidi" w:cstheme="minorBidi"/>
          <w:u w:val="single"/>
          <w:lang w:val="es-ES_tradnl"/>
        </w:rPr>
        <w:t>decisión IOC/EC-55/3.5.1</w:t>
      </w:r>
      <w:r w:rsidR="003A59D3" w:rsidRPr="002F4384">
        <w:rPr>
          <w:rFonts w:asciiTheme="minorBidi" w:hAnsiTheme="minorBidi" w:cstheme="minorBidi"/>
          <w:lang w:val="es-ES_tradnl"/>
        </w:rPr>
        <w:t>, que figura a continuación</w:t>
      </w:r>
      <w:r w:rsidRPr="002F4384">
        <w:rPr>
          <w:rFonts w:asciiTheme="minorBidi" w:hAnsiTheme="minorBidi" w:cstheme="minorBidi"/>
          <w:lang w:val="es-ES_tradnl"/>
        </w:rPr>
        <w:t>.</w:t>
      </w:r>
    </w:p>
    <w:p w14:paraId="27B28828" w14:textId="77777777" w:rsidR="00D90873" w:rsidRPr="002F4384" w:rsidRDefault="00D90873" w:rsidP="00D90873">
      <w:pPr>
        <w:keepNext/>
        <w:keepLines/>
        <w:tabs>
          <w:tab w:val="left" w:pos="709"/>
        </w:tabs>
        <w:spacing w:after="240"/>
        <w:jc w:val="center"/>
        <w:outlineLvl w:val="0"/>
        <w:rPr>
          <w:rFonts w:asciiTheme="minorBidi" w:eastAsia="SimSun" w:hAnsiTheme="minorBidi" w:cstheme="minorBidi"/>
          <w:b/>
          <w:sz w:val="22"/>
          <w:szCs w:val="22"/>
          <w:lang w:val="es-ES_tradnl"/>
        </w:rPr>
      </w:pPr>
      <w:r w:rsidRPr="002F4384">
        <w:rPr>
          <w:rFonts w:asciiTheme="minorBidi" w:eastAsia="SimSun" w:hAnsiTheme="minorBidi" w:cstheme="minorBidi"/>
          <w:b/>
          <w:bCs/>
          <w:sz w:val="22"/>
          <w:szCs w:val="22"/>
          <w:lang w:val="es-ES_tradnl"/>
        </w:rPr>
        <w:t>Sistemas de alerta contra los peligros oceánicos y atenuación de sus efectos</w:t>
      </w:r>
    </w:p>
    <w:p w14:paraId="071E1F1B" w14:textId="77777777" w:rsidR="00D90873" w:rsidRPr="002F4384" w:rsidRDefault="00D90873" w:rsidP="00D90873">
      <w:pPr>
        <w:keepNext/>
        <w:tabs>
          <w:tab w:val="left" w:pos="709"/>
        </w:tabs>
        <w:snapToGrid w:val="0"/>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lang w:val="es-ES_tradnl"/>
        </w:rPr>
        <w:t>El Consejo Ejecutivo,</w:t>
      </w:r>
    </w:p>
    <w:p w14:paraId="299C079B"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Tomando nota</w:t>
      </w:r>
      <w:r w:rsidRPr="002F4384">
        <w:rPr>
          <w:rFonts w:asciiTheme="minorBidi" w:hAnsiTheme="minorBidi" w:cstheme="minorBidi"/>
          <w:sz w:val="22"/>
          <w:szCs w:val="22"/>
          <w:lang w:val="es-ES_tradnl" w:eastAsia="en-GB"/>
        </w:rPr>
        <w:t xml:space="preserve"> de los informes resumidos de las recientes reuniones del Grupo Intergubernamental de Coordinación del Sistema de Alerta contra los Tsunamis y Atenuación de sus Efectos en el Océano Índico (ICG/IOTWMS), del Grupo Intergubernamental de Coordinación del Sistema de Alerta Temprana contra los Tsunamis y Atenuación de sus Efectos en el Atlántico Nororiental y el Mediterráneo y Mares Adyacentes (ICG/NEAMTWS) y del Grupo Intergubernamental de Coordinación del Sistema de Alerta contra los Tsunamis y Atenuación de sus Efectos en el Pacífico (ICG/PTWS), y el informe del Grupo de Trabajo sobre los Sistemas de Alerta contra los Tsunamis y Otros Peligros relacionados con el Nivel del Mar y Atenuación de sus Efectos (IOC/TOWS-WG-XV),</w:t>
      </w:r>
    </w:p>
    <w:p w14:paraId="61DC9302"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Tomando nota también</w:t>
      </w:r>
      <w:r w:rsidRPr="002F4384">
        <w:rPr>
          <w:rFonts w:asciiTheme="minorBidi" w:hAnsiTheme="minorBidi" w:cstheme="minorBidi"/>
          <w:sz w:val="22"/>
          <w:szCs w:val="22"/>
          <w:lang w:val="es-ES_tradnl" w:eastAsia="en-GB"/>
        </w:rPr>
        <w:t xml:space="preserve"> de los informes de los grupos intergubernamentales de coordinación de la COI y del TOWS-WG;</w:t>
      </w:r>
    </w:p>
    <w:p w14:paraId="66009B6D"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Expresa su solidaridad</w:t>
      </w:r>
      <w:r w:rsidRPr="002F4384">
        <w:rPr>
          <w:rFonts w:asciiTheme="minorBidi" w:hAnsiTheme="minorBidi" w:cstheme="minorBidi"/>
          <w:sz w:val="22"/>
          <w:szCs w:val="22"/>
          <w:lang w:val="es-ES_tradnl" w:eastAsia="en-GB"/>
        </w:rPr>
        <w:t xml:space="preserve"> con las personas afectadas por la erupción volcánica del Hunga Tonga-Hunga Ha’apai y el tsunami ocurridos el 15 de enero de 2022;</w:t>
      </w:r>
    </w:p>
    <w:p w14:paraId="40578D6C" w14:textId="6D1D42FC"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Toma nota con satisfacción</w:t>
      </w:r>
      <w:r w:rsidRPr="002F4384">
        <w:rPr>
          <w:rFonts w:asciiTheme="minorBidi" w:hAnsiTheme="minorBidi" w:cstheme="minorBidi"/>
          <w:sz w:val="22"/>
          <w:szCs w:val="22"/>
          <w:lang w:val="es-ES_tradnl" w:eastAsia="en-GB"/>
        </w:rPr>
        <w:t xml:space="preserve"> de los progresos realizados durante el per</w:t>
      </w:r>
      <w:r w:rsidR="00CA1106" w:rsidRPr="002F4384">
        <w:rPr>
          <w:rFonts w:asciiTheme="minorBidi" w:hAnsiTheme="minorBidi" w:cstheme="minorBidi"/>
          <w:sz w:val="22"/>
          <w:szCs w:val="22"/>
          <w:lang w:val="es-ES_tradnl" w:eastAsia="en-GB"/>
        </w:rPr>
        <w:t>í</w:t>
      </w:r>
      <w:r w:rsidRPr="002F4384">
        <w:rPr>
          <w:rFonts w:asciiTheme="minorBidi" w:hAnsiTheme="minorBidi" w:cstheme="minorBidi"/>
          <w:sz w:val="22"/>
          <w:szCs w:val="22"/>
          <w:lang w:val="es-ES_tradnl" w:eastAsia="en-GB"/>
        </w:rPr>
        <w:t>odo entre reuniones, a saber:</w:t>
      </w:r>
    </w:p>
    <w:p w14:paraId="79D9467E" w14:textId="77777777" w:rsidR="00D90873" w:rsidRPr="002F4384" w:rsidRDefault="00D90873" w:rsidP="00035473">
      <w:pPr>
        <w:numPr>
          <w:ilvl w:val="0"/>
          <w:numId w:val="12"/>
        </w:numPr>
        <w:spacing w:after="240"/>
        <w:ind w:left="1134" w:hanging="567"/>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lang w:val="es-ES_tradnl" w:eastAsia="en-GB"/>
        </w:rPr>
        <w:t xml:space="preserve">los </w:t>
      </w:r>
      <w:r w:rsidRPr="002F4384">
        <w:rPr>
          <w:rFonts w:asciiTheme="minorBidi" w:hAnsiTheme="minorBidi" w:cstheme="minorBidi"/>
          <w:iCs/>
          <w:sz w:val="22"/>
          <w:szCs w:val="22"/>
          <w:lang w:val="es-ES_tradnl" w:eastAsia="en-GB"/>
        </w:rPr>
        <w:t>ejercicios</w:t>
      </w:r>
      <w:r w:rsidRPr="002F4384">
        <w:rPr>
          <w:rFonts w:asciiTheme="minorBidi" w:hAnsiTheme="minorBidi" w:cstheme="minorBidi"/>
          <w:sz w:val="22"/>
          <w:szCs w:val="22"/>
          <w:lang w:val="es-ES_tradnl" w:eastAsia="en-GB"/>
        </w:rPr>
        <w:t xml:space="preserve"> de preparación para los tsunamis efectuados en las regiones del Caribe (CARIBEWAVE 21) y del Atlántico Nororiental y el Mediterráneo y los mares adyacentes (NEAMWave 21) durante la pandemia actual;</w:t>
      </w:r>
    </w:p>
    <w:p w14:paraId="1F723CF2" w14:textId="77777777" w:rsidR="00D90873" w:rsidRPr="002F4384" w:rsidRDefault="00D90873" w:rsidP="00035473">
      <w:pPr>
        <w:numPr>
          <w:ilvl w:val="0"/>
          <w:numId w:val="12"/>
        </w:numPr>
        <w:spacing w:after="240"/>
        <w:ind w:left="1134" w:hanging="567"/>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lang w:val="es-ES_tradnl" w:eastAsia="en-GB"/>
        </w:rPr>
        <w:t xml:space="preserve">la </w:t>
      </w:r>
      <w:r w:rsidRPr="002F4384">
        <w:rPr>
          <w:rFonts w:asciiTheme="minorBidi" w:hAnsiTheme="minorBidi" w:cstheme="minorBidi"/>
          <w:iCs/>
          <w:sz w:val="22"/>
          <w:szCs w:val="22"/>
          <w:lang w:val="es-ES_tradnl" w:eastAsia="en-GB"/>
        </w:rPr>
        <w:t>finalización</w:t>
      </w:r>
      <w:r w:rsidRPr="002F4384">
        <w:rPr>
          <w:rFonts w:asciiTheme="minorBidi" w:hAnsiTheme="minorBidi" w:cstheme="minorBidi"/>
          <w:sz w:val="22"/>
          <w:szCs w:val="22"/>
          <w:lang w:val="es-ES_tradnl" w:eastAsia="en-GB"/>
        </w:rPr>
        <w:t xml:space="preserve"> y publicación del nº 74, “</w:t>
      </w:r>
      <w:r w:rsidRPr="002F4384">
        <w:rPr>
          <w:rFonts w:asciiTheme="minorBidi" w:hAnsiTheme="minorBidi" w:cstheme="minorBidi"/>
          <w:iCs/>
          <w:sz w:val="22"/>
          <w:szCs w:val="22"/>
          <w:lang w:val="es-ES_tradnl" w:eastAsia="en-GB"/>
        </w:rPr>
        <w:t>Standard Guidelines for the Tsunami Ready Recognition Programme</w:t>
      </w:r>
      <w:r w:rsidRPr="002F4384">
        <w:rPr>
          <w:rFonts w:asciiTheme="minorBidi" w:hAnsiTheme="minorBidi" w:cstheme="minorBidi"/>
          <w:sz w:val="22"/>
          <w:szCs w:val="22"/>
          <w:lang w:val="es-ES_tradnl" w:eastAsia="en-GB"/>
        </w:rPr>
        <w:t>”, y el nº 86, “</w:t>
      </w:r>
      <w:r w:rsidRPr="002F4384">
        <w:rPr>
          <w:rFonts w:asciiTheme="minorBidi" w:hAnsiTheme="minorBidi" w:cstheme="minorBidi"/>
          <w:iCs/>
          <w:sz w:val="22"/>
          <w:szCs w:val="22"/>
          <w:lang w:val="es-ES_tradnl" w:eastAsia="en-GB"/>
        </w:rPr>
        <w:t>Multi-Annual Community Tsunami Exercise Programme: Guidelines for the Tsunami and other Coastal Hazards Warning System for the Caribbean and Adjacent Regions</w:t>
      </w:r>
      <w:r w:rsidRPr="002F4384">
        <w:rPr>
          <w:rFonts w:asciiTheme="minorBidi" w:hAnsiTheme="minorBidi" w:cstheme="minorBidi"/>
          <w:sz w:val="22"/>
          <w:szCs w:val="22"/>
          <w:lang w:val="es-ES_tradnl" w:eastAsia="en-GB"/>
        </w:rPr>
        <w:t>”, de la colección Manuales y guías de la COI;</w:t>
      </w:r>
    </w:p>
    <w:p w14:paraId="7C98DC6A" w14:textId="77777777" w:rsidR="00D90873" w:rsidRPr="002F4384" w:rsidRDefault="00D90873" w:rsidP="00035473">
      <w:pPr>
        <w:numPr>
          <w:ilvl w:val="0"/>
          <w:numId w:val="12"/>
        </w:numPr>
        <w:spacing w:after="240"/>
        <w:ind w:left="1134" w:hanging="567"/>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lang w:val="es-ES_tradnl" w:eastAsia="en-GB"/>
        </w:rPr>
        <w:t>los progresos constantes de la ejecución de Tsunami Ready en las regiones del Atlántico Nororiental y el Mediterráneo y los mares adyacentes, el océano Índico, el océano Pacífico, y el Caribe, que ponen de manifiesto que Tsunami Ready se considera actualmente un instrumento de preparación para casos de tsunami conocido y reconocido a escala mundial;</w:t>
      </w:r>
    </w:p>
    <w:p w14:paraId="0F4CB9CF" w14:textId="77777777" w:rsidR="00D90873" w:rsidRPr="002F4384" w:rsidRDefault="00D90873" w:rsidP="00035473">
      <w:pPr>
        <w:numPr>
          <w:ilvl w:val="0"/>
          <w:numId w:val="12"/>
        </w:numPr>
        <w:spacing w:after="240"/>
        <w:ind w:left="1134" w:hanging="567"/>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lang w:val="es-ES_tradnl" w:eastAsia="en-GB"/>
        </w:rPr>
        <w:t>la elaboración y producción de un visualizador interactivo mundial de mapas de Tsunami Ready y la creación del sitio web de Tsunami Ready en el Centro Internacional de Información sobre los Tsunamis (ITIC);</w:t>
      </w:r>
    </w:p>
    <w:p w14:paraId="0D80F1E0" w14:textId="77777777" w:rsidR="00D90873" w:rsidRPr="002F4384" w:rsidRDefault="00D90873" w:rsidP="00035473">
      <w:pPr>
        <w:numPr>
          <w:ilvl w:val="0"/>
          <w:numId w:val="12"/>
        </w:numPr>
        <w:spacing w:after="240"/>
        <w:ind w:left="1134" w:hanging="567"/>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lang w:val="es-ES_tradnl" w:eastAsia="en-GB"/>
        </w:rPr>
        <w:t>la elaboración y producción de un nuevo juego de mesa Tsunami Ready y de una serie de vídeos de animación sobre el tema por el Centro de Información sobre los Tsunamis en el Océano Índico (IOTIC), teniendo en cuenta que se necesitarán recursos adicionales para producir y traducir el juego de mesa Tsunami Ready a varios idiomas;</w:t>
      </w:r>
    </w:p>
    <w:p w14:paraId="26CBD047" w14:textId="77777777" w:rsidR="00D90873" w:rsidRPr="002F4384" w:rsidRDefault="00D90873" w:rsidP="00035473">
      <w:pPr>
        <w:numPr>
          <w:ilvl w:val="0"/>
          <w:numId w:val="12"/>
        </w:numPr>
        <w:spacing w:after="240"/>
        <w:ind w:left="1134" w:hanging="567"/>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lang w:val="es-ES_tradnl" w:eastAsia="en-GB"/>
        </w:rPr>
        <w:lastRenderedPageBreak/>
        <w:t>los esfuerzos del IOTIC, BMKG (Indonesia) y el ITIC para preparar formación sobre Tsunami Ready y los mapas, planes y procedimientos de evacuación en caso de tsunami (TEMPP), por conducto de la plataforma de la Academia Mundial OceanTeacher, así como para ofrecer talleres de formación híbridos y vídeos de formación;</w:t>
      </w:r>
    </w:p>
    <w:p w14:paraId="74020C95" w14:textId="77777777" w:rsidR="00D90873" w:rsidRPr="002F4384" w:rsidRDefault="00D90873" w:rsidP="00035473">
      <w:pPr>
        <w:numPr>
          <w:ilvl w:val="0"/>
          <w:numId w:val="12"/>
        </w:numPr>
        <w:spacing w:after="240"/>
        <w:ind w:left="1134" w:hanging="567"/>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lang w:val="es-ES_tradnl" w:eastAsia="en-GB"/>
        </w:rPr>
        <w:t>la próxima finalización de un marco mundial de indicadores clave del desempeño con los objetivos, metas y medidas correspondientes en consonancia con el Marco de Sendái para la Reducción del Riesgo de Desastres 2015-2030; el Decenio de las Naciones Unidas de las Ciencias Oceánicas para el Desarrollo Sostenible - “Un océano seguro”; el Programa sobre los Tsunamis de la COI; Tsunami Ready; las estrategias actuales de los grupos intergubernamentales de coordinación; y el marco de indicadores clave del desempeño de ICG/PTWS concluido en 2018</w:t>
      </w:r>
      <w:r w:rsidRPr="002F4384">
        <w:rPr>
          <w:rFonts w:asciiTheme="minorBidi" w:hAnsiTheme="minorBidi" w:cstheme="minorBidi"/>
          <w:sz w:val="22"/>
          <w:szCs w:val="22"/>
          <w:lang w:val="es-ES_tradnl" w:eastAsia="en-GB"/>
        </w:rPr>
        <w:noBreakHyphen/>
        <w:t>2019;</w:t>
      </w:r>
    </w:p>
    <w:p w14:paraId="0DA99356" w14:textId="77777777" w:rsidR="00D90873" w:rsidRPr="002F4384" w:rsidRDefault="00D90873" w:rsidP="00035473">
      <w:pPr>
        <w:numPr>
          <w:ilvl w:val="0"/>
          <w:numId w:val="12"/>
        </w:numPr>
        <w:spacing w:after="240"/>
        <w:ind w:left="1134" w:hanging="567"/>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lang w:val="es-ES_tradnl" w:eastAsia="en-GB"/>
        </w:rPr>
        <w:t xml:space="preserve">la labor del PTWS consistente en elaborar un marco de competencias para centros </w:t>
      </w:r>
      <w:r w:rsidRPr="002F4384">
        <w:rPr>
          <w:rFonts w:asciiTheme="minorBidi" w:hAnsiTheme="minorBidi" w:cstheme="minorBidi"/>
          <w:iCs/>
          <w:sz w:val="22"/>
          <w:szCs w:val="22"/>
          <w:lang w:val="es-ES_tradnl" w:eastAsia="en-GB"/>
        </w:rPr>
        <w:t>nacionales</w:t>
      </w:r>
      <w:r w:rsidRPr="002F4384">
        <w:rPr>
          <w:rFonts w:asciiTheme="minorBidi" w:hAnsiTheme="minorBidi" w:cstheme="minorBidi"/>
          <w:sz w:val="22"/>
          <w:szCs w:val="22"/>
          <w:lang w:val="es-ES_tradnl" w:eastAsia="en-GB"/>
        </w:rPr>
        <w:t xml:space="preserve"> de alerta contra los tsunamis (NTWC) (2017), y el liderazgo del ITIC para organizar cursos de formación basados en ese marco;</w:t>
      </w:r>
    </w:p>
    <w:p w14:paraId="3D86109A" w14:textId="77777777" w:rsidR="00D90873" w:rsidRPr="002F4384" w:rsidRDefault="00D90873" w:rsidP="00035473">
      <w:pPr>
        <w:numPr>
          <w:ilvl w:val="0"/>
          <w:numId w:val="12"/>
        </w:numPr>
        <w:spacing w:after="240"/>
        <w:ind w:left="1134" w:hanging="567"/>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lang w:val="es-ES_tradnl" w:eastAsia="en-GB"/>
        </w:rPr>
        <w:t xml:space="preserve">las </w:t>
      </w:r>
      <w:r w:rsidRPr="002F4384">
        <w:rPr>
          <w:rFonts w:asciiTheme="minorBidi" w:hAnsiTheme="minorBidi" w:cstheme="minorBidi"/>
          <w:iCs/>
          <w:sz w:val="22"/>
          <w:szCs w:val="22"/>
          <w:lang w:val="es-ES_tradnl" w:eastAsia="en-GB"/>
        </w:rPr>
        <w:t>actividades</w:t>
      </w:r>
      <w:r w:rsidRPr="002F4384">
        <w:rPr>
          <w:rFonts w:asciiTheme="minorBidi" w:hAnsiTheme="minorBidi" w:cstheme="minorBidi"/>
          <w:sz w:val="22"/>
          <w:szCs w:val="22"/>
          <w:lang w:val="es-ES_tradnl" w:eastAsia="en-GB"/>
        </w:rPr>
        <w:t xml:space="preserve"> puestas en marcha por las respectivas regiones para el Día Mundial de Concienciación sobre los Tsunamis 2021, y el éxito obtenido por la Oficina de las Naciones Unidas para la Reducción del Riesgo de Desastres (UNDRR);</w:t>
      </w:r>
    </w:p>
    <w:p w14:paraId="5B37ACED" w14:textId="77777777" w:rsidR="00D90873" w:rsidRPr="002F4384" w:rsidRDefault="00D90873" w:rsidP="00035473">
      <w:pPr>
        <w:numPr>
          <w:ilvl w:val="0"/>
          <w:numId w:val="12"/>
        </w:numPr>
        <w:spacing w:after="240"/>
        <w:ind w:left="1134" w:hanging="567"/>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lang w:val="es-ES_tradnl" w:eastAsia="en-GB"/>
        </w:rPr>
        <w:t>el tema del Día Mundial de Concienciación sobre los Tsunamis de 2022, que hará hincapié en la meta mundial G del Marco de Sendái, a saber, incrementar considerablemente la disponibilidad de los sistemas de alerta temprana sobre amenazas múltiples y de la información y las evaluaciones sobre el riesgo de desastres transmitidas a las personas, y el acceso a ellos, para 2030;</w:t>
      </w:r>
    </w:p>
    <w:p w14:paraId="01F1D6CB" w14:textId="77777777" w:rsidR="00D90873" w:rsidRPr="002F4384" w:rsidRDefault="00D90873" w:rsidP="00035473">
      <w:pPr>
        <w:numPr>
          <w:ilvl w:val="0"/>
          <w:numId w:val="12"/>
        </w:numPr>
        <w:spacing w:after="240"/>
        <w:ind w:left="1134" w:hanging="567"/>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lang w:val="es-ES_tradnl" w:eastAsia="en-GB"/>
        </w:rPr>
        <w:t>los esfuerzos del CARIBE-EWS y de la Secretaría para coordinar iniciativas mundiales relacionadas con los sistemas de alerta temprana contra peligros múltiples y contribuir a ellas;</w:t>
      </w:r>
    </w:p>
    <w:p w14:paraId="35C9E34B"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Acoge con satisfacción</w:t>
      </w:r>
      <w:r w:rsidRPr="002F4384">
        <w:rPr>
          <w:rFonts w:asciiTheme="minorBidi" w:hAnsiTheme="minorBidi" w:cstheme="minorBidi"/>
          <w:sz w:val="22"/>
          <w:szCs w:val="22"/>
          <w:lang w:val="es-ES_tradnl" w:eastAsia="en-GB"/>
        </w:rPr>
        <w:t xml:space="preserve"> el nombramiento de los nuevos miembros de la Mesa del ICG/PTWS para el bienio 2021-2023;</w:t>
      </w:r>
    </w:p>
    <w:p w14:paraId="1D217AE9" w14:textId="77777777" w:rsidR="00D90873" w:rsidRPr="002F4384" w:rsidRDefault="00D90873" w:rsidP="00D90873">
      <w:pPr>
        <w:keepNext/>
        <w:spacing w:after="240"/>
        <w:jc w:val="center"/>
        <w:rPr>
          <w:rFonts w:asciiTheme="minorBidi" w:eastAsia="Calibri" w:hAnsiTheme="minorBidi" w:cstheme="minorBidi"/>
          <w:b/>
          <w:sz w:val="22"/>
          <w:szCs w:val="22"/>
          <w:lang w:val="es-ES_tradnl" w:eastAsia="en-GB"/>
        </w:rPr>
      </w:pPr>
      <w:r w:rsidRPr="002F4384">
        <w:rPr>
          <w:rFonts w:asciiTheme="minorBidi" w:hAnsiTheme="minorBidi" w:cstheme="minorBidi"/>
          <w:b/>
          <w:bCs/>
          <w:sz w:val="22"/>
          <w:szCs w:val="22"/>
          <w:lang w:val="es-ES_tradnl" w:eastAsia="en-GB"/>
        </w:rPr>
        <w:t>Parte I:</w:t>
      </w:r>
      <w:r w:rsidRPr="002F4384">
        <w:rPr>
          <w:rFonts w:asciiTheme="minorBidi" w:hAnsiTheme="minorBidi" w:cstheme="minorBidi"/>
          <w:b/>
          <w:bCs/>
          <w:sz w:val="22"/>
          <w:szCs w:val="22"/>
          <w:lang w:val="es-ES_tradnl" w:eastAsia="en-GB"/>
        </w:rPr>
        <w:br/>
        <w:t xml:space="preserve">Sistema de Alerta contra los Tsunamis y Atenuación de sus Efectos </w:t>
      </w:r>
      <w:r w:rsidRPr="002F4384">
        <w:rPr>
          <w:rFonts w:asciiTheme="minorBidi" w:hAnsiTheme="minorBidi" w:cstheme="minorBidi"/>
          <w:b/>
          <w:bCs/>
          <w:sz w:val="22"/>
          <w:szCs w:val="22"/>
          <w:lang w:val="es-ES_tradnl" w:eastAsia="en-GB"/>
        </w:rPr>
        <w:br/>
        <w:t>en el Océano Índico (IOTWMS)</w:t>
      </w:r>
    </w:p>
    <w:p w14:paraId="2874EBC7"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Toma nota con reconocimiento</w:t>
      </w:r>
      <w:r w:rsidRPr="002F4384">
        <w:rPr>
          <w:rFonts w:asciiTheme="minorBidi" w:hAnsiTheme="minorBidi" w:cstheme="minorBidi"/>
          <w:sz w:val="22"/>
          <w:szCs w:val="22"/>
          <w:lang w:val="es-ES_tradnl" w:eastAsia="en-GB"/>
        </w:rPr>
        <w:t xml:space="preserve"> de la elaboración de planes de trabajo para abordar las cuestiones planteadas en el informe de 2020 sobre el desarrollo de la capacidad en materia de preparación para casos de tsunami en el IOTWMS; </w:t>
      </w:r>
    </w:p>
    <w:p w14:paraId="2885EE70"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Toma nota con reconocimiento también</w:t>
      </w:r>
      <w:r w:rsidRPr="002F4384">
        <w:rPr>
          <w:rFonts w:asciiTheme="minorBidi" w:hAnsiTheme="minorBidi" w:cstheme="minorBidi"/>
          <w:sz w:val="22"/>
          <w:szCs w:val="22"/>
          <w:lang w:val="es-ES_tradnl" w:eastAsia="en-GB"/>
        </w:rPr>
        <w:t xml:space="preserve"> de los planes para utilizar el Programa sobre los Tsunamis del Decenio de las Naciones Unidas de las Ciencias Oceánicas para el Desarrollo Sostenible para emitir alertas contra los tsunamis más oportunas y precisas al 100 % de las comunidades costeras en peligro acreditadas Tsunami Ready;</w:t>
      </w:r>
    </w:p>
    <w:p w14:paraId="3518FA8E"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Toma nota con reconocimiento además</w:t>
      </w:r>
      <w:r w:rsidRPr="002F4384">
        <w:rPr>
          <w:rFonts w:asciiTheme="minorBidi" w:hAnsiTheme="minorBidi" w:cstheme="minorBidi"/>
          <w:sz w:val="22"/>
          <w:szCs w:val="22"/>
          <w:lang w:val="es-ES_tradnl" w:eastAsia="en-GB"/>
        </w:rPr>
        <w:t xml:space="preserve"> de los esfuerzos encaminados a ampliar el desarrollo de capacidades para los pequeños Estados insulares en desarrollo (PEID) y los países menos adelantados (PMA);</w:t>
      </w:r>
    </w:p>
    <w:p w14:paraId="1A50F873"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Toma nota</w:t>
      </w:r>
      <w:r w:rsidRPr="002F4384">
        <w:rPr>
          <w:rFonts w:asciiTheme="minorBidi" w:hAnsiTheme="minorBidi" w:cstheme="minorBidi"/>
          <w:sz w:val="22"/>
          <w:szCs w:val="22"/>
          <w:lang w:val="es-ES_tradnl" w:eastAsia="en-GB"/>
        </w:rPr>
        <w:t xml:space="preserve"> de los esfuerzos que se siguen realizando para abordar los desafíos que plantea la alerta contra los casos de tsunami atípicos;</w:t>
      </w:r>
    </w:p>
    <w:p w14:paraId="2F58059B"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lastRenderedPageBreak/>
        <w:t>Toma nota con preocupación</w:t>
      </w:r>
      <w:r w:rsidRPr="002F4384">
        <w:rPr>
          <w:rFonts w:asciiTheme="minorBidi" w:hAnsiTheme="minorBidi" w:cstheme="minorBidi"/>
          <w:sz w:val="22"/>
          <w:szCs w:val="22"/>
          <w:lang w:val="es-ES_tradnl" w:eastAsia="en-GB"/>
        </w:rPr>
        <w:t xml:space="preserve"> de los desafíos persistentes en lo que respecta al intercambio oportuno y abierto de datos sísmicos y sobre el nivel del mar necesarios para la alerta contra los tsunamis;</w:t>
      </w:r>
    </w:p>
    <w:p w14:paraId="5EDBDD21"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Felicita</w:t>
      </w:r>
      <w:r w:rsidRPr="002F4384">
        <w:rPr>
          <w:rFonts w:asciiTheme="minorBidi" w:hAnsiTheme="minorBidi" w:cstheme="minorBidi"/>
          <w:sz w:val="22"/>
          <w:szCs w:val="22"/>
          <w:lang w:val="es-ES_tradnl" w:eastAsia="en-GB"/>
        </w:rPr>
        <w:t xml:space="preserve"> a los Estados Miembros del IOTWMS por la finalización satisfactoria de la primera fase del proyecto “Fortalecimiento de la alerta temprana contra los tsunamis en la región noroccidental del océano Índico mediante la cooperación regional”, financiado por la Comisión Económica y Social para Asia y el Pacífico (CESPAP);</w:t>
      </w:r>
    </w:p>
    <w:p w14:paraId="33BF2251"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Alienta</w:t>
      </w:r>
      <w:r w:rsidRPr="002F4384">
        <w:rPr>
          <w:rFonts w:asciiTheme="minorBidi" w:hAnsiTheme="minorBidi" w:cstheme="minorBidi"/>
          <w:sz w:val="22"/>
          <w:szCs w:val="22"/>
          <w:lang w:val="es-ES_tradnl" w:eastAsia="en-GB"/>
        </w:rPr>
        <w:t xml:space="preserve"> a los Estados Miembros a que promuevan la participación de más encargados de la gestión de desastres en los trabajos del ICG/IOTWMS, especialmente en lo que respecta a la ejecución generalizada del programa Tsunami Ready;</w:t>
      </w:r>
    </w:p>
    <w:p w14:paraId="46944369"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Acoge con beneplácito</w:t>
      </w:r>
      <w:r w:rsidRPr="002F4384">
        <w:rPr>
          <w:rFonts w:asciiTheme="minorBidi" w:hAnsiTheme="minorBidi" w:cstheme="minorBidi"/>
          <w:sz w:val="22"/>
          <w:szCs w:val="22"/>
          <w:lang w:val="es-ES_tradnl" w:eastAsia="en-GB"/>
        </w:rPr>
        <w:t xml:space="preserve"> la prórroga del acuerdo entre el Gobierno de Indonesia (BMKG) y la COI de la UNESCO para respaldar el Centro de Información sobre los Tsunamis en el Océano Índico (IOTIC);</w:t>
      </w:r>
    </w:p>
    <w:p w14:paraId="40EADFA6"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Acoge con beneplácito también</w:t>
      </w:r>
      <w:r w:rsidRPr="002F4384">
        <w:rPr>
          <w:rFonts w:asciiTheme="minorBidi" w:hAnsiTheme="minorBidi" w:cstheme="minorBidi"/>
          <w:sz w:val="22"/>
          <w:szCs w:val="22"/>
          <w:lang w:val="es-ES_tradnl" w:eastAsia="en-GB"/>
        </w:rPr>
        <w:t xml:space="preserve"> la ampliación del apoyo prestado por el Gobierno de Australia a la Oficina de la Secretaría del ICG/IOTWMS;</w:t>
      </w:r>
    </w:p>
    <w:p w14:paraId="0D92A83E" w14:textId="77777777" w:rsidR="00D90873" w:rsidRPr="002F4384" w:rsidRDefault="00D90873" w:rsidP="00D90873">
      <w:pPr>
        <w:spacing w:after="240"/>
        <w:jc w:val="both"/>
        <w:rPr>
          <w:rFonts w:asciiTheme="minorBidi" w:eastAsia="Calibr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Acoge con beneplácito además</w:t>
      </w:r>
      <w:r w:rsidRPr="002F4384">
        <w:rPr>
          <w:rFonts w:asciiTheme="minorBidi" w:hAnsiTheme="minorBidi" w:cstheme="minorBidi"/>
          <w:sz w:val="22"/>
          <w:szCs w:val="22"/>
          <w:lang w:val="es-ES_tradnl" w:eastAsia="en-GB"/>
        </w:rPr>
        <w:t xml:space="preserve"> la decisión de organizar y llevar a cabo el próximo ejercicio de preparación para los tsunamis en el océano Índico en 2023 (IOWave23);</w:t>
      </w:r>
    </w:p>
    <w:p w14:paraId="4E4D0A32" w14:textId="77777777" w:rsidR="00D90873" w:rsidRPr="002F4384" w:rsidRDefault="00D90873" w:rsidP="00D90873">
      <w:pPr>
        <w:keepNext/>
        <w:spacing w:after="240"/>
        <w:jc w:val="center"/>
        <w:rPr>
          <w:rFonts w:asciiTheme="minorBidi" w:hAnsiTheme="minorBidi" w:cstheme="minorBidi"/>
          <w:b/>
          <w:bCs/>
          <w:sz w:val="22"/>
          <w:szCs w:val="22"/>
          <w:lang w:val="es-ES_tradnl" w:eastAsia="en-GB"/>
        </w:rPr>
      </w:pPr>
      <w:r w:rsidRPr="002F4384">
        <w:rPr>
          <w:rFonts w:asciiTheme="minorBidi" w:hAnsiTheme="minorBidi" w:cstheme="minorBidi"/>
          <w:b/>
          <w:bCs/>
          <w:sz w:val="22"/>
          <w:szCs w:val="22"/>
          <w:lang w:val="es-ES_tradnl" w:eastAsia="en-GB"/>
        </w:rPr>
        <w:t>Parte II:</w:t>
      </w:r>
      <w:r w:rsidRPr="002F4384">
        <w:rPr>
          <w:rFonts w:asciiTheme="minorBidi" w:hAnsiTheme="minorBidi" w:cstheme="minorBidi"/>
          <w:b/>
          <w:bCs/>
          <w:sz w:val="22"/>
          <w:szCs w:val="22"/>
          <w:lang w:val="es-ES_tradnl" w:eastAsia="en-GB"/>
        </w:rPr>
        <w:br/>
        <w:t>Atlántico Nororiental y el Mediterráneo y Mares Adyacentes (ICG/NEAMTWS)</w:t>
      </w:r>
    </w:p>
    <w:p w14:paraId="7C8CF86D" w14:textId="77777777" w:rsidR="00D90873" w:rsidRPr="002F4384" w:rsidRDefault="00D90873" w:rsidP="00D90873">
      <w:pPr>
        <w:spacing w:after="240"/>
        <w:jc w:val="both"/>
        <w:rPr>
          <w:rFonts w:asciiTheme="minorBidi" w:eastAsia="Calibri" w:hAnsiTheme="minorBidi" w:cstheme="minorBidi"/>
          <w:iCs/>
          <w:sz w:val="22"/>
          <w:szCs w:val="22"/>
          <w:u w:val="single"/>
          <w:lang w:val="es-ES_tradnl" w:eastAsia="en-GB"/>
        </w:rPr>
      </w:pPr>
      <w:r w:rsidRPr="002F4384">
        <w:rPr>
          <w:rFonts w:asciiTheme="minorBidi" w:hAnsiTheme="minorBidi" w:cstheme="minorBidi"/>
          <w:sz w:val="22"/>
          <w:szCs w:val="22"/>
          <w:u w:val="single"/>
          <w:lang w:val="es-ES_tradnl" w:eastAsia="en-GB"/>
        </w:rPr>
        <w:t>Toma nota con reconocimiento</w:t>
      </w:r>
      <w:r w:rsidRPr="002F4384">
        <w:rPr>
          <w:rFonts w:asciiTheme="minorBidi" w:hAnsiTheme="minorBidi" w:cstheme="minorBidi"/>
          <w:sz w:val="22"/>
          <w:szCs w:val="22"/>
          <w:lang w:val="es-ES_tradnl" w:eastAsia="en-GB"/>
        </w:rPr>
        <w:t xml:space="preserve"> de la organización del ejercicio NEAMWave21 del 8 al 10 de marzo de 2021 y del aumento del interés suscitado por este en los medios de comunicación;</w:t>
      </w:r>
    </w:p>
    <w:p w14:paraId="47236CC0" w14:textId="77777777" w:rsidR="00D90873" w:rsidRPr="002F4384" w:rsidRDefault="00D90873" w:rsidP="00D90873">
      <w:pPr>
        <w:spacing w:after="240"/>
        <w:jc w:val="both"/>
        <w:rPr>
          <w:rFonts w:asciiTheme="minorBidi" w:eastAsia="Calibr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Toma nota</w:t>
      </w:r>
      <w:r w:rsidRPr="002F4384">
        <w:rPr>
          <w:rFonts w:asciiTheme="minorBidi" w:hAnsiTheme="minorBidi" w:cstheme="minorBidi"/>
          <w:sz w:val="22"/>
          <w:szCs w:val="22"/>
          <w:lang w:val="es-ES_tradnl" w:eastAsia="en-GB"/>
        </w:rPr>
        <w:t xml:space="preserve"> de los esfuerzos constantes desplegados en el plano nacional para crear mayor conciencia sobre los peligros de tsunami y la preparación para afrontarlos, en consonancia con el Día Mundial de Concienciación sobre los Tsunamis, celebrado el 5 de noviembre de 2021, y como contribución a él;</w:t>
      </w:r>
    </w:p>
    <w:p w14:paraId="350FE508" w14:textId="77777777" w:rsidR="00D90873" w:rsidRPr="002F4384" w:rsidRDefault="00D90873" w:rsidP="00D90873">
      <w:pPr>
        <w:spacing w:after="240"/>
        <w:jc w:val="both"/>
        <w:rPr>
          <w:rFonts w:asciiTheme="minorBidi" w:eastAsia="Calibri" w:hAnsiTheme="minorBidi" w:cstheme="minorBidi"/>
          <w:iCs/>
          <w:sz w:val="22"/>
          <w:szCs w:val="22"/>
          <w:u w:val="single"/>
          <w:lang w:val="es-ES_tradnl" w:eastAsia="en-GB"/>
        </w:rPr>
      </w:pPr>
      <w:r w:rsidRPr="002F4384">
        <w:rPr>
          <w:rFonts w:asciiTheme="minorBidi" w:hAnsiTheme="minorBidi" w:cstheme="minorBidi"/>
          <w:sz w:val="22"/>
          <w:szCs w:val="22"/>
          <w:u w:val="single"/>
          <w:lang w:val="es-ES_tradnl" w:eastAsia="en-GB"/>
        </w:rPr>
        <w:t>Toma nota también</w:t>
      </w:r>
      <w:r w:rsidRPr="002F4384">
        <w:rPr>
          <w:rFonts w:asciiTheme="minorBidi" w:hAnsiTheme="minorBidi" w:cstheme="minorBidi"/>
          <w:sz w:val="22"/>
          <w:szCs w:val="22"/>
          <w:lang w:val="es-ES_tradnl" w:eastAsia="en-GB"/>
        </w:rPr>
        <w:t xml:space="preserve"> de la creación de un nuevo equipo de tareas sobre Tsunami Ready y de los progresos realizados por las comunidades de varios países para obtener la acreditación Tsunami Ready y estar preparadas para los tsunamis;</w:t>
      </w:r>
    </w:p>
    <w:p w14:paraId="3DD2313C" w14:textId="77777777" w:rsidR="00D90873" w:rsidRPr="002F4384" w:rsidRDefault="00D90873" w:rsidP="00D90873">
      <w:pPr>
        <w:spacing w:after="240"/>
        <w:jc w:val="both"/>
        <w:rPr>
          <w:rFonts w:asciiTheme="minorBidi" w:eastAsia="Calibr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Agradece</w:t>
      </w:r>
      <w:r w:rsidRPr="002F4384">
        <w:rPr>
          <w:rFonts w:asciiTheme="minorBidi" w:hAnsiTheme="minorBidi" w:cstheme="minorBidi"/>
          <w:sz w:val="22"/>
          <w:szCs w:val="22"/>
          <w:lang w:val="es-ES_tradnl" w:eastAsia="en-GB"/>
        </w:rPr>
        <w:t xml:space="preserve"> el continuo apoyo prestado por la Comisión Europea y el Centro Común de Investigación (CCI) para el desarrollo del NEAMTWS;</w:t>
      </w:r>
    </w:p>
    <w:p w14:paraId="43B78FA8" w14:textId="77777777" w:rsidR="00D90873" w:rsidRPr="002F4384" w:rsidRDefault="00D90873" w:rsidP="00D90873">
      <w:pPr>
        <w:spacing w:after="240"/>
        <w:jc w:val="both"/>
        <w:rPr>
          <w:rFonts w:asciiTheme="minorBidi" w:eastAsia="Calibri" w:hAnsiTheme="minorBidi" w:cstheme="minorBidi"/>
          <w:iCs/>
          <w:sz w:val="22"/>
          <w:szCs w:val="22"/>
          <w:u w:val="single"/>
          <w:lang w:val="es-ES_tradnl" w:eastAsia="en-GB"/>
        </w:rPr>
      </w:pPr>
      <w:r w:rsidRPr="002F4384">
        <w:rPr>
          <w:rFonts w:asciiTheme="minorBidi" w:hAnsiTheme="minorBidi" w:cstheme="minorBidi"/>
          <w:sz w:val="22"/>
          <w:szCs w:val="22"/>
          <w:u w:val="single"/>
          <w:lang w:val="es-ES_tradnl" w:eastAsia="en-GB"/>
        </w:rPr>
        <w:t>Agradece también</w:t>
      </w:r>
      <w:r w:rsidRPr="002F4384">
        <w:rPr>
          <w:rFonts w:asciiTheme="minorBidi" w:hAnsiTheme="minorBidi" w:cstheme="minorBidi"/>
          <w:sz w:val="22"/>
          <w:szCs w:val="22"/>
          <w:lang w:val="es-ES_tradnl" w:eastAsia="en-GB"/>
        </w:rPr>
        <w:t xml:space="preserve"> la aprobación del nuevo proyecto de la Dirección General de Protección Civil y Operaciones de Ayuda Humanitaria Europeas (ECHO) de la Unión Europea denominado “Fortalecimiento de la resiliencia de las comunidades costeras en la región del Atlántico Nororiental y el Mediterráneo ante el impacto de los tsunamis y otros peligros costeros relacionados con el nivel del mar”;</w:t>
      </w:r>
    </w:p>
    <w:p w14:paraId="740EF718" w14:textId="77777777" w:rsidR="00D90873" w:rsidRPr="002F4384" w:rsidRDefault="00D90873" w:rsidP="00D90873">
      <w:pPr>
        <w:spacing w:after="240"/>
        <w:jc w:val="both"/>
        <w:rPr>
          <w:rFonts w:asciiTheme="minorBidi" w:eastAsia="Calibri" w:hAnsiTheme="minorBidi" w:cstheme="minorBidi"/>
          <w:iCs/>
          <w:sz w:val="22"/>
          <w:szCs w:val="22"/>
          <w:u w:val="single"/>
          <w:lang w:val="es-ES_tradnl" w:eastAsia="en-GB"/>
        </w:rPr>
      </w:pPr>
      <w:r w:rsidRPr="002F4384">
        <w:rPr>
          <w:rFonts w:asciiTheme="minorBidi" w:hAnsiTheme="minorBidi" w:cstheme="minorBidi"/>
          <w:sz w:val="22"/>
          <w:szCs w:val="22"/>
          <w:u w:val="single"/>
          <w:lang w:val="es-ES_tradnl" w:eastAsia="en-GB"/>
        </w:rPr>
        <w:t>Toma nota</w:t>
      </w:r>
      <w:r w:rsidRPr="002F4384">
        <w:rPr>
          <w:rFonts w:asciiTheme="minorBidi" w:hAnsiTheme="minorBidi" w:cstheme="minorBidi"/>
          <w:sz w:val="22"/>
          <w:szCs w:val="22"/>
          <w:lang w:val="es-ES_tradnl" w:eastAsia="en-GB"/>
        </w:rPr>
        <w:t xml:space="preserve"> del estudio preparado por la Secretaría sobre la percepción del riesgo de peligros múltiples en las zonas costeras, la resiliencia y los cuestionarios de encuesta para contribuir a la ejecución del nuevo proyecto;</w:t>
      </w:r>
    </w:p>
    <w:p w14:paraId="7D2A5677" w14:textId="77777777" w:rsidR="00D90873" w:rsidRPr="002F4384" w:rsidRDefault="00D90873" w:rsidP="00D90873">
      <w:pPr>
        <w:spacing w:after="240"/>
        <w:jc w:val="both"/>
        <w:rPr>
          <w:rFonts w:asciiTheme="minorBidi" w:eastAsia="Calibr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Acoge con satisfacción</w:t>
      </w:r>
      <w:r w:rsidRPr="002F4384">
        <w:rPr>
          <w:rFonts w:asciiTheme="minorBidi" w:hAnsiTheme="minorBidi" w:cstheme="minorBidi"/>
          <w:sz w:val="22"/>
          <w:szCs w:val="22"/>
          <w:lang w:val="es-ES_tradnl" w:eastAsia="en-GB"/>
        </w:rPr>
        <w:t xml:space="preserve"> la meta de que al menos diez comunidades estén acreditadas Tsunami Ready en los países del Mediterráneo en los próximos dos años, a fin de contribuir a lograr el objetivo de que el 100 % de las comunidades con riesgo de tsunami estén preparadas y sean resilientes ante los tsunamis de aquí a 2030;</w:t>
      </w:r>
    </w:p>
    <w:p w14:paraId="5C441215" w14:textId="3990D578" w:rsidR="00D90873" w:rsidRPr="002F4384" w:rsidRDefault="00D90873" w:rsidP="00D90873">
      <w:pPr>
        <w:spacing w:after="240"/>
        <w:jc w:val="both"/>
        <w:rPr>
          <w:rFonts w:asciiTheme="minorBidi" w:eastAsia="Calibri" w:hAnsiTheme="minorBidi" w:cstheme="minorBidi"/>
          <w:iCs/>
          <w:sz w:val="22"/>
          <w:szCs w:val="22"/>
          <w:u w:val="single"/>
          <w:lang w:val="es-ES_tradnl" w:eastAsia="en-GB"/>
        </w:rPr>
      </w:pPr>
      <w:r w:rsidRPr="002F4384">
        <w:rPr>
          <w:rFonts w:asciiTheme="minorBidi" w:hAnsiTheme="minorBidi" w:cstheme="minorBidi"/>
          <w:sz w:val="22"/>
          <w:szCs w:val="22"/>
          <w:u w:val="single"/>
          <w:lang w:val="es-ES_tradnl" w:eastAsia="en-GB"/>
        </w:rPr>
        <w:lastRenderedPageBreak/>
        <w:t>Felicita</w:t>
      </w:r>
      <w:r w:rsidRPr="002F4384">
        <w:rPr>
          <w:rFonts w:asciiTheme="minorBidi" w:hAnsiTheme="minorBidi" w:cstheme="minorBidi"/>
          <w:sz w:val="22"/>
          <w:szCs w:val="22"/>
          <w:lang w:val="es-ES_tradnl" w:eastAsia="en-GB"/>
        </w:rPr>
        <w:t xml:space="preserve"> al Grupo Intergubernamental de Coordinación del Sistema de Alerta Temprana contra los Tsunamis y Atenuación de sus Efectos en el Atlántico Nororiental y el Mediterráneo y Mares Adyacentes (ICG/NEAMTWS) por la finalización y publicación de su nueva Estrategia para</w:t>
      </w:r>
      <w:r w:rsidR="00D33ED8" w:rsidRPr="002F4384">
        <w:rPr>
          <w:rFonts w:asciiTheme="minorBidi" w:hAnsiTheme="minorBidi" w:cstheme="minorBidi"/>
          <w:sz w:val="22"/>
          <w:szCs w:val="22"/>
          <w:lang w:val="es-ES_tradnl" w:eastAsia="en-GB"/>
        </w:rPr>
        <w:t> </w:t>
      </w:r>
      <w:r w:rsidRPr="002F4384">
        <w:rPr>
          <w:rFonts w:asciiTheme="minorBidi" w:hAnsiTheme="minorBidi" w:cstheme="minorBidi"/>
          <w:sz w:val="22"/>
          <w:szCs w:val="22"/>
          <w:lang w:val="es-ES_tradnl" w:eastAsia="en-GB"/>
        </w:rPr>
        <w:t>2021</w:t>
      </w:r>
      <w:r w:rsidR="00D33ED8" w:rsidRPr="002F4384">
        <w:rPr>
          <w:rFonts w:asciiTheme="minorBidi" w:hAnsiTheme="minorBidi" w:cstheme="minorBidi"/>
          <w:sz w:val="22"/>
          <w:szCs w:val="22"/>
          <w:lang w:val="es-ES_tradnl" w:eastAsia="en-GB"/>
        </w:rPr>
        <w:noBreakHyphen/>
      </w:r>
      <w:r w:rsidRPr="002F4384">
        <w:rPr>
          <w:rFonts w:asciiTheme="minorBidi" w:hAnsiTheme="minorBidi" w:cstheme="minorBidi"/>
          <w:sz w:val="22"/>
          <w:szCs w:val="22"/>
          <w:lang w:val="es-ES_tradnl" w:eastAsia="en-GB"/>
        </w:rPr>
        <w:t>2030 en consonancia con el Decenio de las Naciones Unidas de las Ciencias Oceánicas para el Desarrollo Sostenible;</w:t>
      </w:r>
    </w:p>
    <w:p w14:paraId="3A769D66" w14:textId="77777777" w:rsidR="00D90873" w:rsidRPr="002F4384" w:rsidRDefault="00D90873" w:rsidP="00D90873">
      <w:pPr>
        <w:spacing w:after="240"/>
        <w:jc w:val="both"/>
        <w:rPr>
          <w:rFonts w:asciiTheme="minorBidi" w:eastAsia="Calibr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Acoge con satisfacción también</w:t>
      </w:r>
      <w:r w:rsidRPr="002F4384">
        <w:rPr>
          <w:rFonts w:asciiTheme="minorBidi" w:hAnsiTheme="minorBidi" w:cstheme="minorBidi"/>
          <w:sz w:val="22"/>
          <w:szCs w:val="22"/>
          <w:lang w:val="es-ES_tradnl" w:eastAsia="en-GB"/>
        </w:rPr>
        <w:t xml:space="preserve"> la decisión de organizar y llevar a cabo el próximo ejercicio de preparación para los tsunamis en el Atlántico Nororiental y el Mediterráneo y mares adyacentes en 2023 (NEAMWave23);</w:t>
      </w:r>
    </w:p>
    <w:p w14:paraId="73812FDD" w14:textId="77777777" w:rsidR="00D90873" w:rsidRPr="002F4384" w:rsidRDefault="00D90873" w:rsidP="00D90873">
      <w:pPr>
        <w:keepNext/>
        <w:spacing w:after="240"/>
        <w:jc w:val="center"/>
        <w:rPr>
          <w:rFonts w:asciiTheme="minorBidi" w:hAnsiTheme="minorBidi" w:cstheme="minorBidi"/>
          <w:b/>
          <w:bCs/>
          <w:sz w:val="22"/>
          <w:szCs w:val="22"/>
          <w:lang w:val="es-ES_tradnl" w:eastAsia="en-GB"/>
        </w:rPr>
      </w:pPr>
      <w:r w:rsidRPr="002F4384">
        <w:rPr>
          <w:rFonts w:asciiTheme="minorBidi" w:hAnsiTheme="minorBidi" w:cstheme="minorBidi"/>
          <w:b/>
          <w:bCs/>
          <w:sz w:val="22"/>
          <w:szCs w:val="22"/>
          <w:lang w:val="es-ES_tradnl" w:eastAsia="en-GB"/>
        </w:rPr>
        <w:t>Parte III:</w:t>
      </w:r>
      <w:r w:rsidRPr="002F4384">
        <w:rPr>
          <w:rFonts w:asciiTheme="minorBidi" w:hAnsiTheme="minorBidi" w:cstheme="minorBidi"/>
          <w:b/>
          <w:bCs/>
          <w:sz w:val="22"/>
          <w:szCs w:val="22"/>
          <w:lang w:val="es-ES_tradnl" w:eastAsia="en-GB"/>
        </w:rPr>
        <w:br/>
        <w:t xml:space="preserve">Grupo Intergubernamental de Coordinación del Sistema de Alerta contra los Tsunamis </w:t>
      </w:r>
      <w:r w:rsidRPr="002F4384">
        <w:rPr>
          <w:rFonts w:asciiTheme="minorBidi" w:hAnsiTheme="minorBidi" w:cstheme="minorBidi"/>
          <w:b/>
          <w:bCs/>
          <w:sz w:val="22"/>
          <w:szCs w:val="22"/>
          <w:lang w:val="es-ES_tradnl" w:eastAsia="en-GB"/>
        </w:rPr>
        <w:br/>
        <w:t>y Atenuación de sus Efectos en el Pacífico (ICG/PTWS)</w:t>
      </w:r>
    </w:p>
    <w:p w14:paraId="3E161B02"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Toma nota</w:t>
      </w:r>
      <w:r w:rsidRPr="002F4384">
        <w:rPr>
          <w:rFonts w:asciiTheme="minorBidi" w:hAnsiTheme="minorBidi" w:cstheme="minorBidi"/>
          <w:sz w:val="22"/>
          <w:szCs w:val="22"/>
          <w:lang w:val="es-ES_tradnl" w:eastAsia="en-GB"/>
        </w:rPr>
        <w:t xml:space="preserve"> de la creación de un equipo de tareas de proveedores de servicios sobre tsunamis (TSP) en el marco del Grupo de Trabajo 2 del Grupo Intergubernamental de Coordinación del Sistema de Alerta contra los Tsunamis y Atenuación de sus Efectos en el Pacífico (ICG/PTWS) y de un equipo de tareas sobre el Decenio del Océano de las Naciones Unidas, con especial referencia al Programa sobre los Tsunamis del Decenio del Océano;</w:t>
      </w:r>
    </w:p>
    <w:p w14:paraId="711700F4"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Felicita</w:t>
      </w:r>
      <w:r w:rsidRPr="002F4384">
        <w:rPr>
          <w:rFonts w:asciiTheme="minorBidi" w:hAnsiTheme="minorBidi" w:cstheme="minorBidi"/>
          <w:sz w:val="22"/>
          <w:szCs w:val="22"/>
          <w:lang w:val="es-ES_tradnl" w:eastAsia="en-GB"/>
        </w:rPr>
        <w:t xml:space="preserve"> al ICG/PTWS por la finalización y publicación de la Estrategia del Sistema de Alerta contra los Tsunamis y Atenuación de sus Efectos en el Pacífico (PTWS) para 2022-2030;</w:t>
      </w:r>
    </w:p>
    <w:p w14:paraId="1A8C79B1"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Toma nota también</w:t>
      </w:r>
      <w:r w:rsidRPr="002F4384">
        <w:rPr>
          <w:rFonts w:asciiTheme="minorBidi" w:hAnsiTheme="minorBidi" w:cstheme="minorBidi"/>
          <w:sz w:val="22"/>
          <w:szCs w:val="22"/>
          <w:lang w:val="es-ES_tradnl" w:eastAsia="en-GB"/>
        </w:rPr>
        <w:t xml:space="preserve"> de la puesta en marcha del Centro de Asesoramiento sobre los Tsunamis de América Central (CATAC) como servicio provisional plenamente funcional para el PTWS a partir del 17 de enero de 2022;</w:t>
      </w:r>
    </w:p>
    <w:p w14:paraId="1A254841"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Acoge con satisfacción</w:t>
      </w:r>
      <w:r w:rsidRPr="002F4384">
        <w:rPr>
          <w:rFonts w:asciiTheme="minorBidi" w:hAnsiTheme="minorBidi" w:cstheme="minorBidi"/>
          <w:sz w:val="22"/>
          <w:szCs w:val="22"/>
          <w:lang w:val="es-ES_tradnl" w:eastAsia="en-GB"/>
        </w:rPr>
        <w:t xml:space="preserve"> la decisión de organizar y llevar a cabo el décimo ejercicio Pacific Wave (PacWave 22) de septiembre a noviembre de 2022 en apoyo del Día Internacional para la Reducción del Riesgo de Desastres (13 de octubre) y el Día Mundial de Concienciación sobre los Tsunamis (5 de noviembre), como una serie de ejercicios regionales organizados por conducto de los grupos de trabajo regionales del PTWS;</w:t>
      </w:r>
    </w:p>
    <w:p w14:paraId="2351ADFF"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Acoge con satisfacción también</w:t>
      </w:r>
      <w:r w:rsidRPr="002F4384">
        <w:rPr>
          <w:rFonts w:asciiTheme="minorBidi" w:hAnsiTheme="minorBidi" w:cstheme="minorBidi"/>
          <w:sz w:val="22"/>
          <w:szCs w:val="22"/>
          <w:lang w:val="es-ES_tradnl" w:eastAsia="en-GB"/>
        </w:rPr>
        <w:t xml:space="preserve"> la celebración de una reunión científica de expertos sobre la fosa de las Nuevas Hébridas y una reunión científica de expertos con objeto de estudiar las fuentes, el peligro y el riesgo de tsunami asociados a la zona de subducción Chile-Perú;</w:t>
      </w:r>
    </w:p>
    <w:p w14:paraId="0F8CD4F3"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Recomienda</w:t>
      </w:r>
      <w:r w:rsidRPr="002F4384">
        <w:rPr>
          <w:rFonts w:asciiTheme="minorBidi" w:hAnsiTheme="minorBidi" w:cstheme="minorBidi"/>
          <w:sz w:val="22"/>
          <w:szCs w:val="22"/>
          <w:lang w:val="es-ES_tradnl" w:eastAsia="en-GB"/>
        </w:rPr>
        <w:t xml:space="preserve"> que los Estados Miembros difundan públicamente en tiempo real los datos de sus redes del Sistema Mundial de Navegación por Satélite (GNSS) y que se incluyan todas las estaciones situadas a menos de 200 km del litoral, ya que esas estaciones interiores también proporcionan valiosos datos sobre la formación de los tsunamis;</w:t>
      </w:r>
    </w:p>
    <w:p w14:paraId="28D2226E" w14:textId="77777777" w:rsidR="00D90873" w:rsidRPr="002F4384" w:rsidRDefault="00D90873" w:rsidP="00D90873">
      <w:pPr>
        <w:keepNext/>
        <w:spacing w:after="240"/>
        <w:jc w:val="center"/>
        <w:rPr>
          <w:rFonts w:asciiTheme="minorBidi" w:hAnsiTheme="minorBidi" w:cstheme="minorBidi"/>
          <w:b/>
          <w:bCs/>
          <w:sz w:val="22"/>
          <w:szCs w:val="22"/>
          <w:lang w:val="es-ES_tradnl" w:eastAsia="en-GB"/>
        </w:rPr>
      </w:pPr>
      <w:r w:rsidRPr="002F4384">
        <w:rPr>
          <w:rFonts w:asciiTheme="minorBidi" w:hAnsiTheme="minorBidi" w:cstheme="minorBidi"/>
          <w:b/>
          <w:bCs/>
          <w:sz w:val="22"/>
          <w:szCs w:val="22"/>
          <w:lang w:val="es-ES_tradnl" w:eastAsia="en-GB"/>
        </w:rPr>
        <w:t xml:space="preserve">Parte IV: </w:t>
      </w:r>
      <w:r w:rsidRPr="002F4384">
        <w:rPr>
          <w:rFonts w:asciiTheme="minorBidi" w:hAnsiTheme="minorBidi" w:cstheme="minorBidi"/>
          <w:b/>
          <w:bCs/>
          <w:sz w:val="22"/>
          <w:szCs w:val="22"/>
          <w:lang w:val="es-ES_tradnl" w:eastAsia="en-GB"/>
        </w:rPr>
        <w:br/>
        <w:t>Grupo de Trabajo sobre los Sistemas de Alerta contra los Tsunamis y Otros Peligros relacionados con el Nivel del Mar y Atenuación de sus Efectos (TOWS-WG)</w:t>
      </w:r>
    </w:p>
    <w:p w14:paraId="207F99A0"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Recordando</w:t>
      </w:r>
      <w:r w:rsidRPr="002F4384">
        <w:rPr>
          <w:rFonts w:asciiTheme="minorBidi" w:hAnsiTheme="minorBidi" w:cstheme="minorBidi"/>
          <w:sz w:val="22"/>
          <w:szCs w:val="22"/>
          <w:lang w:val="es-ES_tradnl" w:eastAsia="en-GB"/>
        </w:rPr>
        <w:t xml:space="preserve"> la resolución XIV-14 de la Asamblea de la COI en la que se propone la creación de un Grupo de Trabajo sobre los Sistemas de Alerta contra los Tsunamis y Otros Peligros relacionados con el Nivel del Mar y Atenuación de sus Efectos (TOWS-WG),</w:t>
      </w:r>
    </w:p>
    <w:p w14:paraId="5A35436C"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Recordando también</w:t>
      </w:r>
      <w:r w:rsidRPr="002F4384">
        <w:rPr>
          <w:rFonts w:asciiTheme="minorBidi" w:hAnsiTheme="minorBidi" w:cstheme="minorBidi"/>
          <w:sz w:val="22"/>
          <w:szCs w:val="22"/>
          <w:lang w:val="es-ES_tradnl" w:eastAsia="en-GB"/>
        </w:rPr>
        <w:t xml:space="preserve"> la decisión IOC-31/3.4.1 de la Asamblea de la COI por la que se establece el Programa sobre los Tsunamis del Decenio del Océano (el Programa), en el que el TOWS-WG desempeña la función de Comité Directivo Mundial,</w:t>
      </w:r>
    </w:p>
    <w:p w14:paraId="48687E32" w14:textId="045A3098"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Reitera</w:t>
      </w:r>
      <w:r w:rsidRPr="002F4384">
        <w:rPr>
          <w:rFonts w:asciiTheme="minorBidi" w:hAnsiTheme="minorBidi" w:cstheme="minorBidi"/>
          <w:sz w:val="22"/>
          <w:szCs w:val="22"/>
          <w:lang w:val="es-ES_tradnl" w:eastAsia="en-GB"/>
        </w:rPr>
        <w:t xml:space="preserve"> que el Decenio del Océano de las Naciones Unidas ofrece una oportunidad excepcional para aprovechar nuevas plataformas, técnicas y/o infraestructuras de detección, con el fin de </w:t>
      </w:r>
      <w:r w:rsidRPr="002F4384">
        <w:rPr>
          <w:rFonts w:asciiTheme="minorBidi" w:hAnsiTheme="minorBidi" w:cstheme="minorBidi"/>
          <w:sz w:val="22"/>
          <w:szCs w:val="22"/>
          <w:lang w:val="es-ES_tradnl" w:eastAsia="en-GB"/>
        </w:rPr>
        <w:lastRenderedPageBreak/>
        <w:t>incrementar la rapidez y la precisión de la detección y la alerta en relación con los tsunamis y de mejorar la preparación y la resiliencia de las comunidades, en particular mediante el programa Tsunami Ready;</w:t>
      </w:r>
    </w:p>
    <w:p w14:paraId="6BBE1695" w14:textId="77777777" w:rsidR="00D90873" w:rsidRPr="002F4384" w:rsidRDefault="00D90873" w:rsidP="00D90873">
      <w:pPr>
        <w:spacing w:after="240"/>
        <w:jc w:val="both"/>
        <w:rPr>
          <w:rFonts w:asciiTheme="minorBidi" w:hAnsiTheme="minorBidi" w:cstheme="minorBidi"/>
          <w:iCs/>
          <w:sz w:val="22"/>
          <w:szCs w:val="22"/>
          <w:u w:val="single"/>
          <w:lang w:val="es-ES_tradnl" w:eastAsia="en-GB"/>
        </w:rPr>
      </w:pPr>
      <w:r w:rsidRPr="002F4384">
        <w:rPr>
          <w:rFonts w:asciiTheme="minorBidi" w:hAnsiTheme="minorBidi" w:cstheme="minorBidi"/>
          <w:sz w:val="22"/>
          <w:szCs w:val="22"/>
          <w:u w:val="single"/>
          <w:lang w:val="es-ES_tradnl" w:eastAsia="en-GB"/>
        </w:rPr>
        <w:t>Aprueba</w:t>
      </w:r>
      <w:r w:rsidRPr="002F4384">
        <w:rPr>
          <w:rFonts w:asciiTheme="minorBidi" w:hAnsiTheme="minorBidi" w:cstheme="minorBidi"/>
          <w:sz w:val="22"/>
          <w:szCs w:val="22"/>
          <w:lang w:val="es-ES_tradnl" w:eastAsia="en-GB"/>
        </w:rPr>
        <w:t xml:space="preserve"> la creación del programa de acreditación Tsunami Ready de la COI de la UNESCO, como se describe en el documento de trabajo titulado “</w:t>
      </w:r>
      <w:r w:rsidRPr="002F4384">
        <w:rPr>
          <w:rFonts w:asciiTheme="minorBidi" w:hAnsiTheme="minorBidi" w:cstheme="minorBidi"/>
          <w:i/>
          <w:iCs/>
          <w:sz w:val="22"/>
          <w:szCs w:val="22"/>
          <w:lang w:val="es-ES_tradnl" w:eastAsia="en-GB"/>
        </w:rPr>
        <w:t>Tsunami Ready programme - Proposal for endorsement by IOC</w:t>
      </w:r>
      <w:r w:rsidRPr="002F4384">
        <w:rPr>
          <w:rFonts w:asciiTheme="minorBidi" w:hAnsiTheme="minorBidi" w:cstheme="minorBidi"/>
          <w:iCs/>
          <w:sz w:val="22"/>
          <w:szCs w:val="22"/>
          <w:lang w:val="es-ES_tradnl" w:eastAsia="en-GB"/>
        </w:rPr>
        <w:t>”,</w:t>
      </w:r>
      <w:r w:rsidRPr="002F4384">
        <w:rPr>
          <w:rFonts w:asciiTheme="minorBidi" w:hAnsiTheme="minorBidi" w:cstheme="minorBidi"/>
          <w:sz w:val="22"/>
          <w:szCs w:val="22"/>
          <w:lang w:val="es-ES_tradnl" w:eastAsia="en-GB"/>
        </w:rPr>
        <w:t xml:space="preserve"> de fecha 21 de febrero de 2022;</w:t>
      </w:r>
    </w:p>
    <w:p w14:paraId="76754AD6"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Aprueba también</w:t>
      </w:r>
      <w:r w:rsidRPr="002F4384">
        <w:rPr>
          <w:rFonts w:asciiTheme="minorBidi" w:hAnsiTheme="minorBidi" w:cstheme="minorBidi"/>
          <w:sz w:val="22"/>
          <w:szCs w:val="22"/>
          <w:lang w:val="es-ES_tradnl" w:eastAsia="en-GB"/>
        </w:rPr>
        <w:t xml:space="preserve"> lo siguiente:</w:t>
      </w:r>
    </w:p>
    <w:p w14:paraId="0CC4E590" w14:textId="77777777" w:rsidR="00D90873" w:rsidRPr="002F4384" w:rsidRDefault="00D90873" w:rsidP="00035473">
      <w:pPr>
        <w:numPr>
          <w:ilvl w:val="0"/>
          <w:numId w:val="13"/>
        </w:numPr>
        <w:spacing w:after="240"/>
        <w:ind w:left="1134" w:hanging="567"/>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lang w:val="es-ES_tradnl" w:eastAsia="en-GB"/>
        </w:rPr>
        <w:t>las modificaciones del mandato del TOWS-WG, comprendidas las nuevas funciones que se le asignan mediante la decisión IOC-31/3.4.1 en el contexto del Decenio del Océano de las Naciones Unidas, que figuran en el anexo 1 de la presente decisión;</w:t>
      </w:r>
    </w:p>
    <w:p w14:paraId="78A7757D" w14:textId="77777777" w:rsidR="00D90873" w:rsidRPr="002F4384" w:rsidRDefault="00D90873" w:rsidP="00035473">
      <w:pPr>
        <w:numPr>
          <w:ilvl w:val="0"/>
          <w:numId w:val="13"/>
        </w:numPr>
        <w:spacing w:after="240"/>
        <w:ind w:left="1134" w:hanging="567"/>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lang w:val="es-ES_tradnl" w:eastAsia="en-GB"/>
        </w:rPr>
        <w:t>el mandato de la Coalición Tsunami Ready, que figura en el anexo 2 de la presente decisión;</w:t>
      </w:r>
    </w:p>
    <w:p w14:paraId="4B5334BF" w14:textId="77777777" w:rsidR="00D90873" w:rsidRPr="002F4384" w:rsidRDefault="00D90873" w:rsidP="00035473">
      <w:pPr>
        <w:numPr>
          <w:ilvl w:val="0"/>
          <w:numId w:val="13"/>
        </w:numPr>
        <w:spacing w:after="240"/>
        <w:ind w:left="1134" w:hanging="567"/>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lang w:val="es-ES_tradnl" w:eastAsia="en-GB"/>
        </w:rPr>
        <w:t>las modificaciones del mandato del Comité Científico, que figura en el anexo 3 de la presente decisión;</w:t>
      </w:r>
    </w:p>
    <w:p w14:paraId="521B526F"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Recomienda</w:t>
      </w:r>
      <w:r w:rsidRPr="002F4384">
        <w:rPr>
          <w:rFonts w:asciiTheme="minorBidi" w:hAnsiTheme="minorBidi" w:cstheme="minorBidi"/>
          <w:sz w:val="22"/>
          <w:szCs w:val="22"/>
          <w:lang w:val="es-ES_tradnl" w:eastAsia="en-GB"/>
        </w:rPr>
        <w:t xml:space="preserve"> que el GOOS considere la presión del fondo oceánico como una variable oceánica esencial, dada su importancia para la detección y caracterización de los tsunamis y el cálculo de la circulación oceánica general; </w:t>
      </w:r>
    </w:p>
    <w:p w14:paraId="7D365E5D"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Encarga</w:t>
      </w:r>
      <w:r w:rsidRPr="002F4384">
        <w:rPr>
          <w:rFonts w:asciiTheme="minorBidi" w:hAnsiTheme="minorBidi" w:cstheme="minorBidi"/>
          <w:sz w:val="22"/>
          <w:szCs w:val="22"/>
          <w:lang w:val="es-ES_tradnl" w:eastAsia="en-GB"/>
        </w:rPr>
        <w:t xml:space="preserve"> a los grupos intergubernamentales de coordinación regionales que:</w:t>
      </w:r>
    </w:p>
    <w:p w14:paraId="29CF0129" w14:textId="77777777" w:rsidR="00D90873" w:rsidRPr="002F4384" w:rsidRDefault="00D90873" w:rsidP="00035473">
      <w:pPr>
        <w:numPr>
          <w:ilvl w:val="0"/>
          <w:numId w:val="14"/>
        </w:numPr>
        <w:spacing w:after="240"/>
        <w:ind w:left="1134" w:hanging="567"/>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lang w:val="es-ES_tradnl" w:eastAsia="en-GB"/>
        </w:rPr>
        <w:t>alienten a los operadores de la red de medición del nivel del mar a realizar una calibración periódica y sistemática de sus instrumentos de observación del nivel del mar, siguiendo las recomendaciones formuladas en el nº 3 y el nº 14 (volúmenes I-V) de la colección Manuales y guías de la COI;</w:t>
      </w:r>
    </w:p>
    <w:p w14:paraId="056C409D" w14:textId="77777777" w:rsidR="00D90873" w:rsidRPr="002F4384" w:rsidRDefault="00D90873" w:rsidP="00035473">
      <w:pPr>
        <w:numPr>
          <w:ilvl w:val="0"/>
          <w:numId w:val="14"/>
        </w:numPr>
        <w:spacing w:after="240"/>
        <w:ind w:left="1134" w:hanging="567"/>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lang w:val="es-ES_tradnl" w:eastAsia="en-GB"/>
        </w:rPr>
        <w:t>supervisen de forma sistemática el estado de las redes sísmicas y de observación del nivel del mar para detectar las lagunas en materia de cobertura y de intercambio de datos libre y abierto y contribuir a colmar esas lagunas;</w:t>
      </w:r>
    </w:p>
    <w:p w14:paraId="24F77BC9" w14:textId="77777777" w:rsidR="00D90873" w:rsidRPr="002F4384" w:rsidRDefault="00D90873" w:rsidP="00035473">
      <w:pPr>
        <w:numPr>
          <w:ilvl w:val="0"/>
          <w:numId w:val="14"/>
        </w:numPr>
        <w:spacing w:after="240"/>
        <w:ind w:left="1134" w:hanging="567"/>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lang w:val="es-ES_tradnl" w:eastAsia="en-GB"/>
        </w:rPr>
        <w:t>los proveedores de servicios sobre tsunamis (TSP) y los centros nacionales de alerta contra los tsunamis (NTWC) identifiquen todas las zonas costeras o las fallas cercanas a la costa que puedan generar grandes seísmos y desprendimientos submarinos y estén preparados para emitir alertas, según corresponda;</w:t>
      </w:r>
    </w:p>
    <w:p w14:paraId="4554A310" w14:textId="77777777" w:rsidR="00D90873" w:rsidRPr="002F4384" w:rsidRDefault="00D90873" w:rsidP="00035473">
      <w:pPr>
        <w:numPr>
          <w:ilvl w:val="0"/>
          <w:numId w:val="14"/>
        </w:numPr>
        <w:spacing w:after="240"/>
        <w:ind w:left="1134" w:hanging="567"/>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lang w:val="es-ES_tradnl" w:eastAsia="en-GB"/>
        </w:rPr>
        <w:t>añadan al mandato de cada centro de información sobre los tsunamis de los grupos intergubernamentales de coordinación la tarea de facilitar la ejecución del programa de acreditación Tsunami Ready de la COI de la UNESCO;</w:t>
      </w:r>
    </w:p>
    <w:p w14:paraId="5B007CDF"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Pide</w:t>
      </w:r>
      <w:r w:rsidRPr="002F4384">
        <w:rPr>
          <w:rFonts w:asciiTheme="minorBidi" w:hAnsiTheme="minorBidi" w:cstheme="minorBidi"/>
          <w:sz w:val="22"/>
          <w:szCs w:val="22"/>
          <w:lang w:val="es-ES_tradnl" w:eastAsia="en-GB"/>
        </w:rPr>
        <w:t xml:space="preserve"> al Sistema de Alerta contra los Tsunamis y Atenuación de sus Efectos en el Pacífico (PTWS) que: </w:t>
      </w:r>
    </w:p>
    <w:p w14:paraId="3CC34B9B" w14:textId="77777777" w:rsidR="00D90873" w:rsidRPr="002F4384" w:rsidRDefault="00D90873" w:rsidP="00035473">
      <w:pPr>
        <w:numPr>
          <w:ilvl w:val="0"/>
          <w:numId w:val="15"/>
        </w:numPr>
        <w:spacing w:after="240"/>
        <w:ind w:left="1134" w:hanging="567"/>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lang w:val="es-ES_tradnl" w:eastAsia="en-GB"/>
        </w:rPr>
        <w:t>dé a conocer sus iniciativas relacionadas con los procedimientos operativos estándar de las fuentes locales a otros grupos intergubernamentales de coordinación, con miras a elaborar enfoques coherentes;</w:t>
      </w:r>
    </w:p>
    <w:p w14:paraId="2B3855EC" w14:textId="77777777" w:rsidR="00D90873" w:rsidRPr="002F4384" w:rsidRDefault="00D90873" w:rsidP="00035473">
      <w:pPr>
        <w:numPr>
          <w:ilvl w:val="0"/>
          <w:numId w:val="15"/>
        </w:numPr>
        <w:spacing w:after="240"/>
        <w:ind w:left="1134" w:hanging="567"/>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lang w:val="es-ES_tradnl" w:eastAsia="en-GB"/>
        </w:rPr>
        <w:t>difunda su documento sobre el marco de competencias de los centros nacionales de alerta contra los tsunamis (2017) en otras regiones y solicite observaciones y opiniones con miras a formular un marco mundial;</w:t>
      </w:r>
    </w:p>
    <w:p w14:paraId="2B4505B1"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lastRenderedPageBreak/>
        <w:t>Apoya</w:t>
      </w:r>
      <w:r w:rsidRPr="002F4384">
        <w:rPr>
          <w:rFonts w:asciiTheme="minorBidi" w:hAnsiTheme="minorBidi" w:cstheme="minorBidi"/>
          <w:sz w:val="22"/>
          <w:szCs w:val="22"/>
          <w:lang w:val="es-ES_tradnl" w:eastAsia="en-GB"/>
        </w:rPr>
        <w:t xml:space="preserve"> la continuación de la sólida colaboración entre la COI y la UNDRR con miras al Día Mundial de Concienciación sobre los Tsunamis (5 de noviembre), observando que en la edición de 2022 de ese Día se destacará la meta F del Marco de Sendái para la Reducción del Riesgo de Desastres; </w:t>
      </w:r>
    </w:p>
    <w:p w14:paraId="11F831AB" w14:textId="77777777"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Prorroga</w:t>
      </w:r>
      <w:r w:rsidRPr="002F4384">
        <w:rPr>
          <w:rFonts w:asciiTheme="minorBidi" w:hAnsiTheme="minorBidi" w:cstheme="minorBidi"/>
          <w:sz w:val="22"/>
          <w:szCs w:val="22"/>
          <w:lang w:val="es-ES_tradnl" w:eastAsia="en-GB"/>
        </w:rPr>
        <w:t xml:space="preserve"> los mandatos del Grupo de Trabajo sobre los Sistemas de Alerta contra los Tsunamis y Otros Peligros relacionados con el Nivel del Mar y Atenuación de sus Efectos y de sus equipos de trabajo sobre i) gestión de desastres y preparación (TT-DMP) y ii) operaciones de vigilancia de los tsunamis (TT-TWO), que se definen en el anexo 1 de la presente decisión, el anexo II del documento IOC/TOWS-WG-VI/3 y el anexo II (apéndice 1) del documento IOC/TOWS</w:t>
      </w:r>
      <w:r w:rsidRPr="002F4384">
        <w:rPr>
          <w:rFonts w:asciiTheme="minorBidi" w:hAnsiTheme="minorBidi" w:cstheme="minorBidi"/>
          <w:sz w:val="22"/>
          <w:szCs w:val="22"/>
          <w:lang w:val="es-ES_tradnl" w:eastAsia="en-GB"/>
        </w:rPr>
        <w:noBreakHyphen/>
        <w:t>WG</w:t>
      </w:r>
      <w:r w:rsidRPr="002F4384">
        <w:rPr>
          <w:rFonts w:asciiTheme="minorBidi" w:hAnsiTheme="minorBidi" w:cstheme="minorBidi"/>
          <w:sz w:val="22"/>
          <w:szCs w:val="22"/>
          <w:lang w:val="es-ES_tradnl" w:eastAsia="en-GB"/>
        </w:rPr>
        <w:noBreakHyphen/>
        <w:t>X/3, respectivamente;</w:t>
      </w:r>
    </w:p>
    <w:p w14:paraId="799622D7" w14:textId="58FAE761" w:rsidR="00D90873" w:rsidRPr="002F4384" w:rsidRDefault="00D90873" w:rsidP="00D90873">
      <w:pPr>
        <w:spacing w:after="240"/>
        <w:jc w:val="both"/>
        <w:rPr>
          <w:rFonts w:asciiTheme="minorBidi" w:hAnsiTheme="minorBidi" w:cstheme="minorBidi"/>
          <w:iCs/>
          <w:sz w:val="22"/>
          <w:szCs w:val="22"/>
          <w:lang w:val="es-ES_tradnl" w:eastAsia="en-GB"/>
        </w:rPr>
      </w:pPr>
      <w:r w:rsidRPr="002F4384">
        <w:rPr>
          <w:rFonts w:asciiTheme="minorBidi" w:hAnsiTheme="minorBidi" w:cstheme="minorBidi"/>
          <w:sz w:val="22"/>
          <w:szCs w:val="22"/>
          <w:u w:val="single"/>
          <w:lang w:val="es-ES_tradnl" w:eastAsia="en-GB"/>
        </w:rPr>
        <w:t>Acuerda</w:t>
      </w:r>
      <w:r w:rsidRPr="002F4384">
        <w:rPr>
          <w:rFonts w:asciiTheme="minorBidi" w:hAnsiTheme="minorBidi" w:cstheme="minorBidi"/>
          <w:sz w:val="22"/>
          <w:szCs w:val="22"/>
          <w:lang w:val="es-ES_tradnl" w:eastAsia="en-GB"/>
        </w:rPr>
        <w:t xml:space="preserve"> que el presupuesto ordinario para estas actividades se fijará en el marco del proyecto de resolución A-31/</w:t>
      </w:r>
      <w:r w:rsidR="006F40B1" w:rsidRPr="002F4384">
        <w:rPr>
          <w:rFonts w:asciiTheme="minorBidi" w:hAnsiTheme="minorBidi" w:cstheme="minorBidi"/>
          <w:sz w:val="22"/>
          <w:szCs w:val="22"/>
          <w:lang w:val="es-ES_tradnl" w:eastAsia="en-GB"/>
        </w:rPr>
        <w:t>2</w:t>
      </w:r>
      <w:r w:rsidRPr="002F4384">
        <w:rPr>
          <w:rFonts w:asciiTheme="minorBidi" w:hAnsiTheme="minorBidi" w:cstheme="minorBidi"/>
          <w:sz w:val="22"/>
          <w:szCs w:val="22"/>
          <w:lang w:val="es-ES_tradnl" w:eastAsia="en-GB"/>
        </w:rPr>
        <w:t xml:space="preserve"> relativo al Programa y Presupuesto general de la COI.</w:t>
      </w:r>
    </w:p>
    <w:p w14:paraId="67FACB6A" w14:textId="2D5BC6A8" w:rsidR="00DE2391" w:rsidRPr="002F4384" w:rsidRDefault="00455F65" w:rsidP="00D33ED8">
      <w:pPr>
        <w:pStyle w:val="Heading3"/>
        <w:ind w:left="709" w:hanging="709"/>
        <w:jc w:val="both"/>
        <w:rPr>
          <w:rFonts w:asciiTheme="minorBidi" w:hAnsiTheme="minorBidi" w:cstheme="minorBidi"/>
          <w:b w:val="0"/>
          <w:bCs w:val="0"/>
          <w:iCs/>
          <w:szCs w:val="22"/>
          <w:lang w:val="es-ES_tradnl"/>
        </w:rPr>
      </w:pPr>
      <w:bookmarkStart w:id="142" w:name="_Toc115256323"/>
      <w:bookmarkStart w:id="143" w:name="_Toc85469068"/>
      <w:r w:rsidRPr="002F4384">
        <w:rPr>
          <w:rFonts w:asciiTheme="minorBidi" w:hAnsiTheme="minorBidi" w:cstheme="minorBidi"/>
          <w:szCs w:val="22"/>
          <w:lang w:val="es-ES_tradnl"/>
        </w:rPr>
        <w:t>3.5.2</w:t>
      </w:r>
      <w:r w:rsidRPr="002F4384">
        <w:rPr>
          <w:rFonts w:asciiTheme="minorBidi" w:hAnsiTheme="minorBidi" w:cstheme="minorBidi"/>
          <w:szCs w:val="22"/>
          <w:lang w:val="es-ES_tradnl"/>
        </w:rPr>
        <w:tab/>
        <w:t>Informe del Grupo de Trabajo entre Reuniones de Composición Abierta sobre la situación del Comité Regional de la COI para el Océano Índico Central (IOCINDIO)</w:t>
      </w:r>
      <w:bookmarkEnd w:id="142"/>
      <w:r w:rsidRPr="002F4384">
        <w:rPr>
          <w:rFonts w:asciiTheme="minorBidi" w:hAnsiTheme="minorBidi" w:cstheme="minorBidi"/>
          <w:szCs w:val="22"/>
          <w:lang w:val="es-ES_tradnl"/>
        </w:rPr>
        <w:t xml:space="preserve"> </w:t>
      </w:r>
      <w:bookmarkEnd w:id="143"/>
    </w:p>
    <w:p w14:paraId="19B4228A" w14:textId="64FC54B2" w:rsidR="00E11882" w:rsidRPr="002F4384" w:rsidRDefault="00667651"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E</w:t>
      </w:r>
      <w:r w:rsidR="006F7F97" w:rsidRPr="002F4384">
        <w:rPr>
          <w:rFonts w:asciiTheme="minorBidi" w:hAnsiTheme="minorBidi" w:cstheme="minorBidi"/>
          <w:lang w:val="es-ES_tradnl"/>
        </w:rPr>
        <w:t>n su calidad de</w:t>
      </w:r>
      <w:r w:rsidRPr="002F4384">
        <w:rPr>
          <w:rFonts w:asciiTheme="minorBidi" w:hAnsiTheme="minorBidi" w:cstheme="minorBidi"/>
          <w:lang w:val="es-ES_tradnl"/>
        </w:rPr>
        <w:t xml:space="preserve"> Copresidente del grupo de trabajo de composición abierta para el período entre reuniones sobre la situación del Comité Regional de la COI para el Océano Índico Central (IOCINDIO)</w:t>
      </w:r>
      <w:r w:rsidR="006F7F97" w:rsidRPr="002F4384">
        <w:rPr>
          <w:rFonts w:asciiTheme="minorBidi" w:hAnsiTheme="minorBidi" w:cstheme="minorBidi"/>
          <w:lang w:val="es-ES_tradnl"/>
        </w:rPr>
        <w:t xml:space="preserve">, el Sr. Ariel Troisi </w:t>
      </w:r>
      <w:r w:rsidRPr="002F4384">
        <w:rPr>
          <w:rFonts w:asciiTheme="minorBidi" w:hAnsiTheme="minorBidi" w:cstheme="minorBidi"/>
          <w:lang w:val="es-ES_tradnl"/>
        </w:rPr>
        <w:t>presentó</w:t>
      </w:r>
      <w:r w:rsidR="006F7F97" w:rsidRPr="002F4384">
        <w:rPr>
          <w:rFonts w:asciiTheme="minorBidi" w:hAnsiTheme="minorBidi" w:cstheme="minorBidi"/>
          <w:lang w:val="es-ES_tradnl"/>
        </w:rPr>
        <w:t xml:space="preserve"> </w:t>
      </w:r>
      <w:r w:rsidRPr="002F4384">
        <w:rPr>
          <w:rFonts w:asciiTheme="minorBidi" w:hAnsiTheme="minorBidi" w:cstheme="minorBidi"/>
          <w:lang w:val="es-ES_tradnl"/>
        </w:rPr>
        <w:t xml:space="preserve">el informe sobre la cuestión. Recordó que la Asamblea de la COI, en su 31ª reunión, había examinado y acogido con satisfacción la recomendación de la octava reunión de IOCINDIO de modificar la condición del </w:t>
      </w:r>
      <w:r w:rsidR="00F31708" w:rsidRPr="002F4384">
        <w:rPr>
          <w:rFonts w:asciiTheme="minorBidi" w:hAnsiTheme="minorBidi" w:cstheme="minorBidi"/>
          <w:lang w:val="es-ES_tradnl"/>
        </w:rPr>
        <w:t>C</w:t>
      </w:r>
      <w:r w:rsidRPr="002F4384">
        <w:rPr>
          <w:rFonts w:asciiTheme="minorBidi" w:hAnsiTheme="minorBidi" w:cstheme="minorBidi"/>
          <w:lang w:val="es-ES_tradnl"/>
        </w:rPr>
        <w:t xml:space="preserve">omité </w:t>
      </w:r>
      <w:r w:rsidR="00F31708" w:rsidRPr="002F4384">
        <w:rPr>
          <w:rFonts w:asciiTheme="minorBidi" w:hAnsiTheme="minorBidi" w:cstheme="minorBidi"/>
          <w:lang w:val="es-ES_tradnl"/>
        </w:rPr>
        <w:t>R</w:t>
      </w:r>
      <w:r w:rsidRPr="002F4384">
        <w:rPr>
          <w:rFonts w:asciiTheme="minorBidi" w:hAnsiTheme="minorBidi" w:cstheme="minorBidi"/>
          <w:lang w:val="es-ES_tradnl"/>
        </w:rPr>
        <w:t xml:space="preserve">egional para transformarlo en una subcomisión de la COI, al igual que las opiniones </w:t>
      </w:r>
      <w:r w:rsidR="00F31708" w:rsidRPr="002F4384">
        <w:rPr>
          <w:rFonts w:asciiTheme="minorBidi" w:hAnsiTheme="minorBidi" w:cstheme="minorBidi"/>
          <w:lang w:val="es-ES_tradnl"/>
        </w:rPr>
        <w:t xml:space="preserve">favorables </w:t>
      </w:r>
      <w:r w:rsidRPr="002F4384">
        <w:rPr>
          <w:rFonts w:asciiTheme="minorBidi" w:hAnsiTheme="minorBidi" w:cstheme="minorBidi"/>
          <w:lang w:val="es-ES_tradnl"/>
        </w:rPr>
        <w:t xml:space="preserve">expresadas por los Estados Miembros acerca de la propuesta. La Asamblea había decidido entonces tomar las medidas restantes necesarias para establecer la Subcomisión de la COI para el </w:t>
      </w:r>
      <w:r w:rsidR="00A63F7B" w:rsidRPr="002F4384">
        <w:rPr>
          <w:rFonts w:asciiTheme="minorBidi" w:hAnsiTheme="minorBidi" w:cstheme="minorBidi"/>
          <w:lang w:val="es-ES_tradnl"/>
        </w:rPr>
        <w:t>O</w:t>
      </w:r>
      <w:r w:rsidRPr="002F4384">
        <w:rPr>
          <w:rFonts w:asciiTheme="minorBidi" w:hAnsiTheme="minorBidi" w:cstheme="minorBidi"/>
          <w:lang w:val="es-ES_tradnl"/>
        </w:rPr>
        <w:t>céano Índico mediante la creación de un grupo de trabajo específico de composición abierta para el período entre reuniones, teniendo en cuenta la propuesta anterior como marco para mejorar la coordinación entre los Estados Miembros de la COI y garantizar la ejecución de los programas de la COI en el océano Índico.</w:t>
      </w:r>
    </w:p>
    <w:p w14:paraId="2E9DC31A" w14:textId="6149A48F" w:rsidR="00E11882" w:rsidRPr="002F4384" w:rsidRDefault="00667651" w:rsidP="005C3715">
      <w:pPr>
        <w:pStyle w:val="Style2"/>
        <w:numPr>
          <w:ilvl w:val="0"/>
          <w:numId w:val="7"/>
        </w:numPr>
        <w:tabs>
          <w:tab w:val="left" w:pos="709"/>
        </w:tabs>
        <w:spacing w:after="120"/>
        <w:ind w:left="0" w:hanging="567"/>
        <w:rPr>
          <w:rFonts w:asciiTheme="minorBidi" w:hAnsiTheme="minorBidi" w:cstheme="minorBidi"/>
          <w:lang w:val="es-ES_tradnl"/>
        </w:rPr>
      </w:pPr>
      <w:r w:rsidRPr="002F4384">
        <w:rPr>
          <w:rFonts w:asciiTheme="minorBidi" w:hAnsiTheme="minorBidi" w:cstheme="minorBidi"/>
          <w:lang w:val="es-ES_tradnl"/>
        </w:rPr>
        <w:t xml:space="preserve">El grupo de trabajo se había creado en enero de 2022 tras el envío de la circular </w:t>
      </w:r>
      <w:r w:rsidR="00F31708" w:rsidRPr="002F4384">
        <w:rPr>
          <w:rFonts w:asciiTheme="minorBidi" w:hAnsiTheme="minorBidi" w:cstheme="minorBidi"/>
          <w:lang w:val="es-ES_tradnl"/>
        </w:rPr>
        <w:t>2872</w:t>
      </w:r>
      <w:r w:rsidRPr="002F4384">
        <w:rPr>
          <w:rFonts w:asciiTheme="minorBidi" w:hAnsiTheme="minorBidi" w:cstheme="minorBidi"/>
          <w:lang w:val="es-ES_tradnl"/>
        </w:rPr>
        <w:t xml:space="preserve"> de la COI. El grupo estaba copresidido por los </w:t>
      </w:r>
      <w:r w:rsidR="00F31708" w:rsidRPr="002F4384">
        <w:rPr>
          <w:rFonts w:asciiTheme="minorBidi" w:hAnsiTheme="minorBidi" w:cstheme="minorBidi"/>
          <w:lang w:val="es-ES_tradnl"/>
        </w:rPr>
        <w:t>P</w:t>
      </w:r>
      <w:r w:rsidRPr="002F4384">
        <w:rPr>
          <w:rFonts w:asciiTheme="minorBidi" w:hAnsiTheme="minorBidi" w:cstheme="minorBidi"/>
          <w:lang w:val="es-ES_tradnl"/>
        </w:rPr>
        <w:t xml:space="preserve">residentes de la COI y de IOCINDIO, y su mandato </w:t>
      </w:r>
      <w:r w:rsidR="001C0F93" w:rsidRPr="002F4384">
        <w:rPr>
          <w:rFonts w:asciiTheme="minorBidi" w:hAnsiTheme="minorBidi" w:cstheme="minorBidi"/>
          <w:lang w:val="es-ES_tradnl"/>
        </w:rPr>
        <w:t xml:space="preserve">definía </w:t>
      </w:r>
      <w:r w:rsidRPr="002F4384">
        <w:rPr>
          <w:rFonts w:asciiTheme="minorBidi" w:hAnsiTheme="minorBidi" w:cstheme="minorBidi"/>
          <w:lang w:val="es-ES_tradnl"/>
        </w:rPr>
        <w:t>l</w:t>
      </w:r>
      <w:r w:rsidR="001C0F93" w:rsidRPr="002F4384">
        <w:rPr>
          <w:rFonts w:asciiTheme="minorBidi" w:hAnsiTheme="minorBidi" w:cstheme="minorBidi"/>
          <w:lang w:val="es-ES_tradnl"/>
        </w:rPr>
        <w:t>a</w:t>
      </w:r>
      <w:r w:rsidRPr="002F4384">
        <w:rPr>
          <w:rFonts w:asciiTheme="minorBidi" w:hAnsiTheme="minorBidi" w:cstheme="minorBidi"/>
          <w:lang w:val="es-ES_tradnl"/>
        </w:rPr>
        <w:t xml:space="preserve">s tres </w:t>
      </w:r>
      <w:r w:rsidR="001C0F93" w:rsidRPr="002F4384">
        <w:rPr>
          <w:rFonts w:asciiTheme="minorBidi" w:hAnsiTheme="minorBidi" w:cstheme="minorBidi"/>
          <w:lang w:val="es-ES_tradnl"/>
        </w:rPr>
        <w:t xml:space="preserve">funciones </w:t>
      </w:r>
      <w:r w:rsidR="00F75475" w:rsidRPr="002F4384">
        <w:rPr>
          <w:rFonts w:asciiTheme="minorBidi" w:hAnsiTheme="minorBidi" w:cstheme="minorBidi"/>
          <w:lang w:val="es-ES_tradnl"/>
        </w:rPr>
        <w:t xml:space="preserve">específicas </w:t>
      </w:r>
      <w:r w:rsidRPr="002F4384">
        <w:rPr>
          <w:rFonts w:asciiTheme="minorBidi" w:hAnsiTheme="minorBidi" w:cstheme="minorBidi"/>
          <w:lang w:val="es-ES_tradnl"/>
        </w:rPr>
        <w:t xml:space="preserve">siguientes: </w:t>
      </w:r>
    </w:p>
    <w:p w14:paraId="75529468" w14:textId="0E98C7C3" w:rsidR="00E11882" w:rsidRPr="002F4384" w:rsidRDefault="00667651" w:rsidP="00035473">
      <w:pPr>
        <w:pStyle w:val="Style2"/>
        <w:numPr>
          <w:ilvl w:val="0"/>
          <w:numId w:val="11"/>
        </w:numPr>
        <w:spacing w:after="120"/>
        <w:ind w:left="993" w:hanging="426"/>
        <w:rPr>
          <w:rFonts w:asciiTheme="minorBidi" w:hAnsiTheme="minorBidi" w:cstheme="minorBidi"/>
          <w:lang w:val="es-ES_tradnl"/>
        </w:rPr>
      </w:pPr>
      <w:r w:rsidRPr="002F4384">
        <w:rPr>
          <w:rFonts w:asciiTheme="minorBidi" w:hAnsiTheme="minorBidi" w:cstheme="minorBidi"/>
          <w:lang w:val="es-ES_tradnl"/>
        </w:rPr>
        <w:t xml:space="preserve">determinar las etapas necesarias para la creación de la Subcomisión de la COI para el Océano Índico; </w:t>
      </w:r>
    </w:p>
    <w:p w14:paraId="7C14636C" w14:textId="77777777" w:rsidR="00E11882" w:rsidRPr="002F4384" w:rsidRDefault="00667651" w:rsidP="00035473">
      <w:pPr>
        <w:pStyle w:val="Style2"/>
        <w:numPr>
          <w:ilvl w:val="0"/>
          <w:numId w:val="11"/>
        </w:numPr>
        <w:spacing w:after="120"/>
        <w:ind w:left="993" w:hanging="426"/>
        <w:rPr>
          <w:rFonts w:asciiTheme="minorBidi" w:hAnsiTheme="minorBidi" w:cstheme="minorBidi"/>
          <w:lang w:val="es-ES_tradnl"/>
        </w:rPr>
      </w:pPr>
      <w:r w:rsidRPr="002F4384">
        <w:rPr>
          <w:rFonts w:asciiTheme="minorBidi" w:hAnsiTheme="minorBidi" w:cstheme="minorBidi"/>
          <w:lang w:val="es-ES_tradnl"/>
        </w:rPr>
        <w:t>presentar un informe escrito sobre los progresos realizados para que el Consejo Ejecutivo lo examinara en su 55</w:t>
      </w:r>
      <w:r w:rsidRPr="002F4384">
        <w:rPr>
          <w:rFonts w:asciiTheme="minorBidi" w:hAnsiTheme="minorBidi" w:cstheme="minorBidi"/>
          <w:vertAlign w:val="superscript"/>
          <w:lang w:val="es-ES_tradnl"/>
        </w:rPr>
        <w:t>a</w:t>
      </w:r>
      <w:r w:rsidRPr="002F4384">
        <w:rPr>
          <w:rFonts w:asciiTheme="minorBidi" w:hAnsiTheme="minorBidi" w:cstheme="minorBidi"/>
          <w:lang w:val="es-ES_tradnl"/>
        </w:rPr>
        <w:t xml:space="preserve"> reunión; </w:t>
      </w:r>
    </w:p>
    <w:p w14:paraId="35371A00" w14:textId="32C1E3E7" w:rsidR="00E11882" w:rsidRPr="002F4384" w:rsidRDefault="00667651" w:rsidP="00D33ED8">
      <w:pPr>
        <w:pStyle w:val="Style2"/>
        <w:numPr>
          <w:ilvl w:val="0"/>
          <w:numId w:val="11"/>
        </w:numPr>
        <w:ind w:left="992" w:hanging="425"/>
        <w:rPr>
          <w:rFonts w:asciiTheme="minorBidi" w:hAnsiTheme="minorBidi" w:cstheme="minorBidi"/>
          <w:lang w:val="es-ES_tradnl"/>
        </w:rPr>
      </w:pPr>
      <w:r w:rsidRPr="002F4384">
        <w:rPr>
          <w:rFonts w:asciiTheme="minorBidi" w:hAnsiTheme="minorBidi" w:cstheme="minorBidi"/>
          <w:lang w:val="es-ES_tradnl"/>
        </w:rPr>
        <w:t xml:space="preserve">preparar una propuesta </w:t>
      </w:r>
      <w:r w:rsidR="008324FE" w:rsidRPr="002F4384">
        <w:rPr>
          <w:rFonts w:asciiTheme="minorBidi" w:hAnsiTheme="minorBidi" w:cstheme="minorBidi"/>
          <w:lang w:val="es-ES_tradnl"/>
        </w:rPr>
        <w:t>de</w:t>
      </w:r>
      <w:r w:rsidRPr="002F4384">
        <w:rPr>
          <w:rFonts w:asciiTheme="minorBidi" w:hAnsiTheme="minorBidi" w:cstheme="minorBidi"/>
          <w:lang w:val="es-ES_tradnl"/>
        </w:rPr>
        <w:t xml:space="preserve"> creación de una Subcomisión de la COI para el Océano Índico con los siguiente</w:t>
      </w:r>
      <w:r w:rsidR="00A63F7B" w:rsidRPr="002F4384">
        <w:rPr>
          <w:rFonts w:asciiTheme="minorBidi" w:hAnsiTheme="minorBidi" w:cstheme="minorBidi"/>
          <w:lang w:val="es-ES_tradnl"/>
        </w:rPr>
        <w:t>s</w:t>
      </w:r>
      <w:r w:rsidRPr="002F4384">
        <w:rPr>
          <w:rFonts w:asciiTheme="minorBidi" w:hAnsiTheme="minorBidi" w:cstheme="minorBidi"/>
          <w:lang w:val="es-ES_tradnl"/>
        </w:rPr>
        <w:t xml:space="preserve"> elementos: su título y su mandato; su zona geográfica de responsabilidad; un programa de trabajo con los proyectos propuestos y el apoyo financiero; los mecanismos de coordinación con las subcomisiones adyacentes, y otras especificaciones necesarias</w:t>
      </w:r>
      <w:r w:rsidR="00A63F7B" w:rsidRPr="002F4384">
        <w:rPr>
          <w:rFonts w:asciiTheme="minorBidi" w:hAnsiTheme="minorBidi" w:cstheme="minorBidi"/>
          <w:lang w:val="es-ES_tradnl"/>
        </w:rPr>
        <w:t>;</w:t>
      </w:r>
      <w:r w:rsidRPr="002F4384">
        <w:rPr>
          <w:rFonts w:asciiTheme="minorBidi" w:hAnsiTheme="minorBidi" w:cstheme="minorBidi"/>
          <w:lang w:val="es-ES_tradnl"/>
        </w:rPr>
        <w:t xml:space="preserve"> y presentarla a la Asamblea de la COI en su 32</w:t>
      </w:r>
      <w:r w:rsidRPr="002F4384">
        <w:rPr>
          <w:rFonts w:asciiTheme="minorBidi" w:hAnsiTheme="minorBidi" w:cstheme="minorBidi"/>
          <w:vertAlign w:val="superscript"/>
          <w:lang w:val="es-ES_tradnl"/>
        </w:rPr>
        <w:t>a</w:t>
      </w:r>
      <w:r w:rsidRPr="002F4384">
        <w:rPr>
          <w:rFonts w:asciiTheme="minorBidi" w:hAnsiTheme="minorBidi" w:cstheme="minorBidi"/>
          <w:lang w:val="es-ES_tradnl"/>
        </w:rPr>
        <w:t xml:space="preserve"> reunión como documento de trabajo, así como un proyecto de resolución sobre la cuestión.</w:t>
      </w:r>
    </w:p>
    <w:p w14:paraId="1DED3DE8" w14:textId="2AFA5B74" w:rsidR="005D1225" w:rsidRPr="002F4384" w:rsidRDefault="00E11882" w:rsidP="00D33ED8">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El grupo de trabajo había celebrado tres reuniones de consulta en línea antes de la reunión del Consejo Ejecutivo. Los resultados de sus debates se habían resumido en el documento IOC/EC</w:t>
      </w:r>
      <w:r w:rsidR="00974E47" w:rsidRPr="002F4384">
        <w:rPr>
          <w:rFonts w:asciiTheme="minorBidi" w:hAnsiTheme="minorBidi" w:cstheme="minorBidi"/>
          <w:lang w:val="es-ES_tradnl"/>
        </w:rPr>
        <w:noBreakHyphen/>
      </w:r>
      <w:r w:rsidRPr="002F4384">
        <w:rPr>
          <w:rFonts w:asciiTheme="minorBidi" w:hAnsiTheme="minorBidi" w:cstheme="minorBidi"/>
          <w:lang w:val="es-ES_tradnl"/>
        </w:rPr>
        <w:t>55/3.5.2.Doc(1) para que el Consejo Ejecutivo los examinar</w:t>
      </w:r>
      <w:r w:rsidR="008709D4" w:rsidRPr="002F4384">
        <w:rPr>
          <w:rFonts w:asciiTheme="minorBidi" w:hAnsiTheme="minorBidi" w:cstheme="minorBidi"/>
          <w:lang w:val="es-ES_tradnl"/>
        </w:rPr>
        <w:t>a</w:t>
      </w:r>
      <w:r w:rsidRPr="002F4384">
        <w:rPr>
          <w:rFonts w:asciiTheme="minorBidi" w:hAnsiTheme="minorBidi" w:cstheme="minorBidi"/>
          <w:lang w:val="es-ES_tradnl"/>
        </w:rPr>
        <w:t xml:space="preserve"> en esta reunión. La labor del grupo de trabajo se había realizado de acuerdo con el plan de sus actividades con miras a presentar esta nueva </w:t>
      </w:r>
      <w:r w:rsidR="001C0F93" w:rsidRPr="002F4384">
        <w:rPr>
          <w:rFonts w:asciiTheme="minorBidi" w:hAnsiTheme="minorBidi" w:cstheme="minorBidi"/>
          <w:lang w:val="es-ES_tradnl"/>
        </w:rPr>
        <w:t>S</w:t>
      </w:r>
      <w:r w:rsidRPr="002F4384">
        <w:rPr>
          <w:rFonts w:asciiTheme="minorBidi" w:hAnsiTheme="minorBidi" w:cstheme="minorBidi"/>
          <w:lang w:val="es-ES_tradnl"/>
        </w:rPr>
        <w:t>ubcomisión en detalle y el proyecto de resolución correspondiente a la Asamblea de la COI en su 32ª reunión en 2023.</w:t>
      </w:r>
    </w:p>
    <w:p w14:paraId="4267C380" w14:textId="4467B6AC" w:rsidR="001C0F93" w:rsidRPr="002F4384" w:rsidRDefault="00154E78" w:rsidP="00D33ED8">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Tras la presentación del Copresidente, el Embajador de Bangladesh en Francia y Delegado Permanente ante la UNESCO, el Excmo. Sr. Khondker M. Talha, hizo una presentación complementaria en nombre del Contralmirante (retirado) Khurshed Alam, Copresidente del grupo de trabajo de composición abierta para el período entre reuniones.</w:t>
      </w:r>
      <w:r w:rsidR="005F1035" w:rsidRPr="002F4384">
        <w:rPr>
          <w:rFonts w:asciiTheme="minorBidi" w:hAnsiTheme="minorBidi" w:cstheme="minorBidi"/>
          <w:lang w:val="es-ES_tradnl"/>
        </w:rPr>
        <w:t xml:space="preserve"> El Embajador recordó los </w:t>
      </w:r>
      <w:r w:rsidR="005F1035" w:rsidRPr="002F4384">
        <w:rPr>
          <w:rFonts w:asciiTheme="minorBidi" w:hAnsiTheme="minorBidi" w:cstheme="minorBidi"/>
          <w:lang w:val="es-ES_tradnl"/>
        </w:rPr>
        <w:lastRenderedPageBreak/>
        <w:t>debates en curso del grupo de trabajo sobre el alcance geográfico, el mecanismo de coordinación con las subcomisiones adyacentes y los programas científicos en la región. Recordó que la falta de una secretaría regional con sede en la región para apoyar las actividades del Comité obstaculizaba el progreso de su labor. Por último, pidió que se elevara la categoría del Comité al de una subcomisión.</w:t>
      </w:r>
    </w:p>
    <w:p w14:paraId="7D66BA38" w14:textId="65F9072C" w:rsidR="004B4B67" w:rsidRPr="002F4384" w:rsidRDefault="00667651"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Hicieron uso de la palabra los representantes de </w:t>
      </w:r>
      <w:r w:rsidR="004B4B67" w:rsidRPr="002F4384">
        <w:rPr>
          <w:rFonts w:asciiTheme="minorBidi" w:hAnsiTheme="minorBidi" w:cstheme="minorBidi"/>
          <w:lang w:val="es-ES_tradnl"/>
        </w:rPr>
        <w:t xml:space="preserve">12 </w:t>
      </w:r>
      <w:r w:rsidRPr="002F4384">
        <w:rPr>
          <w:rFonts w:asciiTheme="minorBidi" w:hAnsiTheme="minorBidi" w:cstheme="minorBidi"/>
          <w:lang w:val="es-ES_tradnl"/>
        </w:rPr>
        <w:t>Estados Miembros</w:t>
      </w:r>
      <w:r w:rsidR="004B4B67" w:rsidRPr="002F4384">
        <w:rPr>
          <w:rFonts w:asciiTheme="minorBidi" w:hAnsiTheme="minorBidi" w:cstheme="minorBidi"/>
          <w:lang w:val="es-ES_tradnl"/>
        </w:rPr>
        <w:t>, tres observadores, dos</w:t>
      </w:r>
      <w:r w:rsidRPr="002F4384">
        <w:rPr>
          <w:rFonts w:asciiTheme="minorBidi" w:hAnsiTheme="minorBidi" w:cstheme="minorBidi"/>
          <w:lang w:val="es-ES_tradnl"/>
        </w:rPr>
        <w:t xml:space="preserve"> </w:t>
      </w:r>
      <w:r w:rsidR="004B4B67" w:rsidRPr="002F4384">
        <w:rPr>
          <w:rFonts w:asciiTheme="minorBidi" w:hAnsiTheme="minorBidi" w:cstheme="minorBidi"/>
          <w:lang w:val="es-ES_tradnl"/>
        </w:rPr>
        <w:t>subcomisiones y una organización.</w:t>
      </w:r>
    </w:p>
    <w:p w14:paraId="71D5FE2C" w14:textId="7CF96A78" w:rsidR="004B4B67" w:rsidRPr="002F4384" w:rsidRDefault="004B4B67"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Globalmente, los Estados Miembros apoyaron la transformación de IOCINDIO en una subcomisión de la COI.</w:t>
      </w:r>
    </w:p>
    <w:p w14:paraId="0776830B" w14:textId="7554ED24" w:rsidR="004B4B67" w:rsidRPr="002F4384" w:rsidRDefault="004B4B67"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Al mismo tiempo, se expresó la firme opinión de que la creación de la Subcomisión no debería </w:t>
      </w:r>
      <w:r w:rsidR="00304B6E" w:rsidRPr="002F4384">
        <w:rPr>
          <w:rFonts w:asciiTheme="minorBidi" w:hAnsiTheme="minorBidi" w:cstheme="minorBidi"/>
          <w:lang w:val="es-ES_tradnl"/>
        </w:rPr>
        <w:t>afectar a</w:t>
      </w:r>
      <w:r w:rsidRPr="002F4384">
        <w:rPr>
          <w:rFonts w:asciiTheme="minorBidi" w:hAnsiTheme="minorBidi" w:cstheme="minorBidi"/>
          <w:lang w:val="es-ES_tradnl"/>
        </w:rPr>
        <w:t xml:space="preserve"> las subcomisiones adyacentes existentes, especialmente IOCAFRICA y WESTPAC.</w:t>
      </w:r>
      <w:r w:rsidR="00304B6E" w:rsidRPr="002F4384">
        <w:rPr>
          <w:rFonts w:asciiTheme="minorBidi" w:hAnsiTheme="minorBidi" w:cstheme="minorBidi"/>
          <w:lang w:val="es-ES_tradnl"/>
        </w:rPr>
        <w:t xml:space="preserve"> Más concretamente, se formularon objeciones contra la superposición entre</w:t>
      </w:r>
      <w:r w:rsidR="000B35D3" w:rsidRPr="002F4384">
        <w:rPr>
          <w:rFonts w:asciiTheme="minorBidi" w:hAnsiTheme="minorBidi" w:cstheme="minorBidi"/>
          <w:lang w:val="es-ES_tradnl"/>
        </w:rPr>
        <w:t xml:space="preserve"> </w:t>
      </w:r>
      <w:r w:rsidR="00401F7D" w:rsidRPr="002F4384">
        <w:rPr>
          <w:rFonts w:asciiTheme="minorBidi" w:hAnsiTheme="minorBidi" w:cstheme="minorBidi"/>
          <w:lang w:val="es-ES_tradnl"/>
        </w:rPr>
        <w:t>la Subcomisión e</w:t>
      </w:r>
      <w:r w:rsidR="00304B6E" w:rsidRPr="002F4384">
        <w:rPr>
          <w:rFonts w:asciiTheme="minorBidi" w:hAnsiTheme="minorBidi" w:cstheme="minorBidi"/>
          <w:lang w:val="es-ES_tradnl"/>
        </w:rPr>
        <w:t xml:space="preserve"> IOCINDIO e IOCAFRICA, así como contra la transferencia de responsabilidades y tareas de una subcomisión a otra, insistiendo en el hecho de que IOCINDIO no debería abarcar todo el océano Índico.</w:t>
      </w:r>
      <w:r w:rsidR="00FE0C8D" w:rsidRPr="002F4384">
        <w:rPr>
          <w:rFonts w:asciiTheme="minorBidi" w:hAnsiTheme="minorBidi" w:cstheme="minorBidi"/>
          <w:lang w:val="es-ES_tradnl"/>
        </w:rPr>
        <w:t xml:space="preserve"> La composición actual del Comité debería servir de base para la creación de IOCINDIO como subcomisión. Algunos delegados recordaron la Estrategia Operacional para la Prioridad “África” de la UNESCO, en particular su programa emblemático 5 sobre la ciencia, que supondría una importante contribución de los Estados Miembros africanos a la labor de IOCINDIO.</w:t>
      </w:r>
      <w:r w:rsidR="00693223" w:rsidRPr="002F4384">
        <w:rPr>
          <w:rFonts w:asciiTheme="minorBidi" w:hAnsiTheme="minorBidi" w:cstheme="minorBidi"/>
          <w:lang w:val="es-ES_tradnl"/>
        </w:rPr>
        <w:t xml:space="preserve"> Otros delegados pusieron de relieve la necesidad de reforzar IOCAFRICA a la luz de su papel en la ejecución de la Estrategia a Plazo Medio de la COI en la región y del apoyo esencial que presta</w:t>
      </w:r>
      <w:r w:rsidR="00892CE9" w:rsidRPr="002F4384">
        <w:rPr>
          <w:rFonts w:asciiTheme="minorBidi" w:hAnsiTheme="minorBidi" w:cstheme="minorBidi"/>
          <w:lang w:val="es-ES_tradnl"/>
        </w:rPr>
        <w:t>ba</w:t>
      </w:r>
      <w:r w:rsidR="00693223" w:rsidRPr="002F4384">
        <w:rPr>
          <w:rFonts w:asciiTheme="minorBidi" w:hAnsiTheme="minorBidi" w:cstheme="minorBidi"/>
          <w:lang w:val="es-ES_tradnl"/>
        </w:rPr>
        <w:t xml:space="preserve"> para la aplicación de la Estrategia Marítima Integrada 2050 y el Decenio de los océanos y los mares de África (2015-2025) de la Unión Africana.</w:t>
      </w:r>
    </w:p>
    <w:p w14:paraId="2CD65688" w14:textId="323FE3B1" w:rsidR="00693223" w:rsidRPr="002F4384" w:rsidRDefault="00934C8C"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También se formularon reservas sobre el alcance geográfico de la futura Subcomisión de la COI para el Océano Índico, </w:t>
      </w:r>
      <w:r w:rsidR="00591783" w:rsidRPr="002F4384">
        <w:rPr>
          <w:rFonts w:asciiTheme="minorBidi" w:hAnsiTheme="minorBidi" w:cstheme="minorBidi"/>
          <w:lang w:val="es-ES_tradnl"/>
        </w:rPr>
        <w:t>subrayando</w:t>
      </w:r>
      <w:r w:rsidRPr="002F4384">
        <w:rPr>
          <w:rFonts w:asciiTheme="minorBidi" w:hAnsiTheme="minorBidi" w:cstheme="minorBidi"/>
          <w:lang w:val="es-ES_tradnl"/>
        </w:rPr>
        <w:t xml:space="preserve"> el respeto de los derechos de los Estados ribereños adyacentes de conformidad con la Convención de las Naciones Unidas sobre el Derecho del Mar.</w:t>
      </w:r>
    </w:p>
    <w:p w14:paraId="1CC8A4AF" w14:textId="4E9ABD6E" w:rsidR="00934C8C" w:rsidRPr="002F4384" w:rsidRDefault="00934C8C"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Se propuso redactar un informe de examen de IOCINDIO que incluyera los compromisos asumidos por los Estados Miembros de la región para garantizar su sostenibilidad.</w:t>
      </w:r>
      <w:r w:rsidR="007D20E7" w:rsidRPr="002F4384">
        <w:rPr>
          <w:rFonts w:asciiTheme="minorBidi" w:hAnsiTheme="minorBidi" w:cstheme="minorBidi"/>
          <w:lang w:val="es-ES_tradnl"/>
        </w:rPr>
        <w:t xml:space="preserve"> La creación de WESTPAC y de IOCARIBE se había basado en un examen de ese tipo, que </w:t>
      </w:r>
      <w:r w:rsidR="00591783" w:rsidRPr="002F4384">
        <w:rPr>
          <w:rFonts w:asciiTheme="minorBidi" w:hAnsiTheme="minorBidi" w:cstheme="minorBidi"/>
          <w:lang w:val="es-ES_tradnl"/>
        </w:rPr>
        <w:t>era</w:t>
      </w:r>
      <w:r w:rsidR="007D20E7" w:rsidRPr="002F4384">
        <w:rPr>
          <w:rFonts w:asciiTheme="minorBidi" w:hAnsiTheme="minorBidi" w:cstheme="minorBidi"/>
          <w:lang w:val="es-ES_tradnl"/>
        </w:rPr>
        <w:t xml:space="preserve"> una buena práctica.</w:t>
      </w:r>
    </w:p>
    <w:p w14:paraId="40470B10" w14:textId="322501A5" w:rsidR="007D20E7" w:rsidRPr="002F4384" w:rsidRDefault="007D20E7"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Los Estados Miembros también pidieron que se encontrara un equilibrio entre el personal necesario para el funcionamiento de los órganos subsidiarios regionales y el personal necesario en la Sede.</w:t>
      </w:r>
    </w:p>
    <w:p w14:paraId="50BCF281" w14:textId="46F95FB2" w:rsidR="007D20E7" w:rsidRPr="002F4384" w:rsidRDefault="0035795B"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El Copresidente del grupo de trabajo y Presidente de</w:t>
      </w:r>
      <w:r w:rsidR="00BF3D64" w:rsidRPr="002F4384">
        <w:rPr>
          <w:rFonts w:asciiTheme="minorBidi" w:hAnsiTheme="minorBidi" w:cstheme="minorBidi"/>
          <w:lang w:val="es-ES_tradnl"/>
        </w:rPr>
        <w:t xml:space="preserve"> </w:t>
      </w:r>
      <w:r w:rsidRPr="002F4384">
        <w:rPr>
          <w:rFonts w:asciiTheme="minorBidi" w:hAnsiTheme="minorBidi" w:cstheme="minorBidi"/>
          <w:lang w:val="es-ES_tradnl"/>
        </w:rPr>
        <w:t>l</w:t>
      </w:r>
      <w:r w:rsidR="00BF3D64" w:rsidRPr="002F4384">
        <w:rPr>
          <w:rFonts w:asciiTheme="minorBidi" w:hAnsiTheme="minorBidi" w:cstheme="minorBidi"/>
          <w:lang w:val="es-ES_tradnl"/>
        </w:rPr>
        <w:t>a</w:t>
      </w:r>
      <w:r w:rsidRPr="002F4384">
        <w:rPr>
          <w:rFonts w:asciiTheme="minorBidi" w:hAnsiTheme="minorBidi" w:cstheme="minorBidi"/>
          <w:lang w:val="es-ES_tradnl"/>
        </w:rPr>
        <w:t xml:space="preserve"> COI, el Sr. Ariel Troisi, resumió los principales puntos de las intervenciones de la siguiente manera:</w:t>
      </w:r>
    </w:p>
    <w:p w14:paraId="06380C5C" w14:textId="527CCD91" w:rsidR="007B2A34" w:rsidRPr="002F4384" w:rsidRDefault="007B2A34" w:rsidP="00D33ED8">
      <w:pPr>
        <w:pStyle w:val="Style2"/>
        <w:numPr>
          <w:ilvl w:val="0"/>
          <w:numId w:val="11"/>
        </w:numPr>
        <w:ind w:left="993" w:hanging="426"/>
        <w:rPr>
          <w:rFonts w:asciiTheme="minorBidi" w:hAnsiTheme="minorBidi" w:cstheme="minorBidi"/>
          <w:lang w:val="es-ES_tradnl"/>
        </w:rPr>
      </w:pPr>
      <w:r w:rsidRPr="002F4384">
        <w:rPr>
          <w:rFonts w:asciiTheme="minorBidi" w:hAnsiTheme="minorBidi" w:cstheme="minorBidi"/>
          <w:lang w:val="es-ES_tradnl"/>
        </w:rPr>
        <w:t>la elaboración de un informe de examen de IOCINDIO, sobre la base de las experiencias de IOCARIBE y WESTPAC</w:t>
      </w:r>
      <w:r w:rsidR="00B428A7" w:rsidRPr="002F4384">
        <w:rPr>
          <w:rFonts w:asciiTheme="minorBidi" w:hAnsiTheme="minorBidi" w:cstheme="minorBidi"/>
          <w:lang w:val="es-ES_tradnl"/>
        </w:rPr>
        <w:t>, que era una buena práctica</w:t>
      </w:r>
      <w:r w:rsidRPr="002F4384">
        <w:rPr>
          <w:rFonts w:asciiTheme="minorBidi" w:hAnsiTheme="minorBidi" w:cstheme="minorBidi"/>
          <w:lang w:val="es-ES_tradnl"/>
        </w:rPr>
        <w:t>;</w:t>
      </w:r>
    </w:p>
    <w:p w14:paraId="64778A91" w14:textId="2852D31C" w:rsidR="00E6380C" w:rsidRPr="002F4384" w:rsidRDefault="00E6380C" w:rsidP="00D33ED8">
      <w:pPr>
        <w:pStyle w:val="Style2"/>
        <w:numPr>
          <w:ilvl w:val="0"/>
          <w:numId w:val="11"/>
        </w:numPr>
        <w:ind w:left="993" w:hanging="426"/>
        <w:rPr>
          <w:rFonts w:asciiTheme="minorBidi" w:hAnsiTheme="minorBidi" w:cstheme="minorBidi"/>
          <w:lang w:val="es-ES_tradnl"/>
        </w:rPr>
      </w:pPr>
      <w:r w:rsidRPr="002F4384">
        <w:rPr>
          <w:rFonts w:asciiTheme="minorBidi" w:hAnsiTheme="minorBidi" w:cstheme="minorBidi"/>
          <w:lang w:val="es-ES_tradnl"/>
        </w:rPr>
        <w:t>preocupaciones por el alcance geográfico;</w:t>
      </w:r>
    </w:p>
    <w:p w14:paraId="3BDFE5D6" w14:textId="3D546012" w:rsidR="008E0B6C" w:rsidRPr="002F4384" w:rsidRDefault="008E0B6C" w:rsidP="00D33ED8">
      <w:pPr>
        <w:pStyle w:val="Style2"/>
        <w:numPr>
          <w:ilvl w:val="0"/>
          <w:numId w:val="11"/>
        </w:numPr>
        <w:ind w:left="993" w:hanging="426"/>
        <w:rPr>
          <w:rFonts w:asciiTheme="minorBidi" w:hAnsiTheme="minorBidi" w:cstheme="minorBidi"/>
          <w:lang w:val="es-ES_tradnl"/>
        </w:rPr>
      </w:pPr>
      <w:r w:rsidRPr="002F4384">
        <w:rPr>
          <w:rFonts w:asciiTheme="minorBidi" w:hAnsiTheme="minorBidi" w:cstheme="minorBidi"/>
          <w:lang w:val="es-ES_tradnl"/>
        </w:rPr>
        <w:t>preocupaciones por el posible menoscabo de las responsabilidades de las subcomisiones existentes.</w:t>
      </w:r>
    </w:p>
    <w:p w14:paraId="66BC0D47" w14:textId="2737FC3C" w:rsidR="008E0B6C" w:rsidRPr="002F4384" w:rsidRDefault="00744C4D"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El Presidente de la COI señaló a la atención de los Estados Miembros que la presente reunión del Consejo Ejecutivo no debía tomar una decisión sobre la creación de la Subcomisión.</w:t>
      </w:r>
      <w:r w:rsidR="007B41F7" w:rsidRPr="002F4384">
        <w:rPr>
          <w:rFonts w:asciiTheme="minorBidi" w:hAnsiTheme="minorBidi" w:cstheme="minorBidi"/>
          <w:lang w:val="es-ES_tradnl"/>
        </w:rPr>
        <w:t xml:space="preserve"> En su 31ª</w:t>
      </w:r>
      <w:r w:rsidR="00D33ED8" w:rsidRPr="002F4384">
        <w:rPr>
          <w:rFonts w:asciiTheme="minorBidi" w:hAnsiTheme="minorBidi" w:cstheme="minorBidi"/>
          <w:lang w:val="es-ES_tradnl"/>
        </w:rPr>
        <w:t> </w:t>
      </w:r>
      <w:r w:rsidR="007B41F7" w:rsidRPr="002F4384">
        <w:rPr>
          <w:rFonts w:asciiTheme="minorBidi" w:hAnsiTheme="minorBidi" w:cstheme="minorBidi"/>
          <w:lang w:val="es-ES_tradnl"/>
        </w:rPr>
        <w:t>reunión, la Asamblea había pedido al grupo de trabajo que le presentara un informe sobre la marcha de los trabajos en su 32ª reunión, con miras a tomar una decisión definitiva mediante una resolución propuesta por uno o varios Estados Miembros.</w:t>
      </w:r>
      <w:r w:rsidR="00020268" w:rsidRPr="002F4384">
        <w:rPr>
          <w:rFonts w:asciiTheme="minorBidi" w:hAnsiTheme="minorBidi" w:cstheme="minorBidi"/>
          <w:lang w:val="es-ES_tradnl"/>
        </w:rPr>
        <w:t xml:space="preserve"> Posteriormente, invitó a los Estados Miembros a enviar sus recomendaciones para guiar la labor del grupo de trabajo.</w:t>
      </w:r>
    </w:p>
    <w:p w14:paraId="24E193A2" w14:textId="11BE2BA4" w:rsidR="005D1225" w:rsidRPr="002F4384" w:rsidRDefault="00667651"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lastRenderedPageBreak/>
        <w:t>L</w:t>
      </w:r>
      <w:r w:rsidR="003E7281" w:rsidRPr="002F4384">
        <w:rPr>
          <w:rFonts w:asciiTheme="minorBidi" w:hAnsiTheme="minorBidi" w:cstheme="minorBidi"/>
          <w:lang w:val="es-ES_tradnl"/>
        </w:rPr>
        <w:t>a</w:t>
      </w:r>
      <w:r w:rsidRPr="002F4384">
        <w:rPr>
          <w:rFonts w:asciiTheme="minorBidi" w:hAnsiTheme="minorBidi" w:cstheme="minorBidi"/>
          <w:lang w:val="es-ES_tradnl"/>
        </w:rPr>
        <w:t xml:space="preserve">s </w:t>
      </w:r>
      <w:r w:rsidR="003E7281" w:rsidRPr="002F4384">
        <w:rPr>
          <w:rFonts w:asciiTheme="minorBidi" w:hAnsiTheme="minorBidi" w:cstheme="minorBidi"/>
          <w:lang w:val="es-ES_tradnl"/>
        </w:rPr>
        <w:t xml:space="preserve">delegaciones </w:t>
      </w:r>
      <w:r w:rsidRPr="002F4384">
        <w:rPr>
          <w:rFonts w:asciiTheme="minorBidi" w:hAnsiTheme="minorBidi" w:cstheme="minorBidi"/>
          <w:lang w:val="es-ES_tradnl"/>
        </w:rPr>
        <w:t xml:space="preserve">siguientes decidieron proporcionar por escrito sus intervenciones en plenaria sobre este punto del orden del día para que constaran en el anexo informativo del informe de la reunión: </w:t>
      </w:r>
      <w:r w:rsidR="003E7281" w:rsidRPr="002F4384">
        <w:rPr>
          <w:rFonts w:asciiTheme="minorBidi" w:hAnsiTheme="minorBidi" w:cstheme="minorBidi"/>
          <w:lang w:val="es-ES_tradnl"/>
        </w:rPr>
        <w:t>Bangladesh (observador en nombre del Copresidente del grupo de trabajo de composición abierta para el período entre reuniones), China, Côte d'Ivoire (en nombre del Grupo de África de la UNESCO), Estados Unidos de América, Filipinas, Francia, India, Indonesia (observador), Japón, Kenya, Tailandia, WESTPAC y el Comité Científico de Investigaciones Oceánicas (CCIO)</w:t>
      </w:r>
      <w:r w:rsidRPr="002F4384">
        <w:rPr>
          <w:rFonts w:asciiTheme="minorBidi" w:hAnsiTheme="minorBidi" w:cstheme="minorBidi"/>
          <w:lang w:val="es-ES_tradnl"/>
        </w:rPr>
        <w:t>.</w:t>
      </w:r>
    </w:p>
    <w:p w14:paraId="57242DE4" w14:textId="03E06043" w:rsidR="00021657" w:rsidRPr="002F4384" w:rsidRDefault="00021657"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Consejo Ejecutivo adoptó la </w:t>
      </w:r>
      <w:r w:rsidRPr="002F4384">
        <w:rPr>
          <w:rFonts w:asciiTheme="minorBidi" w:hAnsiTheme="minorBidi" w:cstheme="minorBidi"/>
          <w:u w:val="single"/>
          <w:lang w:val="es-ES_tradnl"/>
        </w:rPr>
        <w:t>decisión IOC/EC-55/3.5.2</w:t>
      </w:r>
      <w:r w:rsidR="003A59D3" w:rsidRPr="002F4384">
        <w:rPr>
          <w:rFonts w:asciiTheme="minorBidi" w:hAnsiTheme="minorBidi" w:cstheme="minorBidi"/>
          <w:lang w:val="es-ES_tradnl"/>
        </w:rPr>
        <w:t>, que figura a continuación</w:t>
      </w:r>
      <w:r w:rsidRPr="002F4384">
        <w:rPr>
          <w:rFonts w:asciiTheme="minorBidi" w:hAnsiTheme="minorBidi" w:cstheme="minorBidi"/>
          <w:lang w:val="es-ES_tradnl"/>
        </w:rPr>
        <w:t>.</w:t>
      </w:r>
    </w:p>
    <w:p w14:paraId="1ECFAFCD" w14:textId="0C15825F" w:rsidR="00C84003" w:rsidRPr="002F4384" w:rsidRDefault="00C84003" w:rsidP="00C84003">
      <w:pPr>
        <w:keepNext/>
        <w:keepLines/>
        <w:tabs>
          <w:tab w:val="left" w:pos="709"/>
        </w:tabs>
        <w:spacing w:after="240"/>
        <w:jc w:val="center"/>
        <w:outlineLvl w:val="0"/>
        <w:rPr>
          <w:rFonts w:asciiTheme="minorBidi" w:eastAsia="SimSun" w:hAnsiTheme="minorBidi" w:cstheme="minorBidi"/>
          <w:b/>
          <w:sz w:val="22"/>
          <w:szCs w:val="22"/>
          <w:lang w:val="es-ES_tradnl"/>
        </w:rPr>
      </w:pPr>
      <w:r w:rsidRPr="002F4384">
        <w:rPr>
          <w:rFonts w:asciiTheme="minorBidi" w:eastAsia="SimSun" w:hAnsiTheme="minorBidi" w:cstheme="minorBidi"/>
          <w:b/>
          <w:bCs/>
          <w:sz w:val="22"/>
          <w:szCs w:val="22"/>
          <w:lang w:val="es-ES_tradnl"/>
        </w:rPr>
        <w:t xml:space="preserve">Informe del grupo de trabajo de composición abierta para el período </w:t>
      </w:r>
      <w:r w:rsidRPr="002F4384">
        <w:rPr>
          <w:rFonts w:asciiTheme="minorBidi" w:eastAsia="SimSun" w:hAnsiTheme="minorBidi" w:cstheme="minorBidi"/>
          <w:b/>
          <w:bCs/>
          <w:sz w:val="22"/>
          <w:szCs w:val="22"/>
          <w:lang w:val="es-ES_tradnl"/>
        </w:rPr>
        <w:br/>
        <w:t xml:space="preserve">entre reuniones sobre la situación del Comité Regional de la COI </w:t>
      </w:r>
      <w:r w:rsidRPr="002F4384">
        <w:rPr>
          <w:rFonts w:asciiTheme="minorBidi" w:eastAsia="SimSun" w:hAnsiTheme="minorBidi" w:cstheme="minorBidi"/>
          <w:b/>
          <w:bCs/>
          <w:sz w:val="22"/>
          <w:szCs w:val="22"/>
          <w:lang w:val="es-ES_tradnl"/>
        </w:rPr>
        <w:br/>
        <w:t>para el Océano Índico Central (IOCINDIO)</w:t>
      </w:r>
    </w:p>
    <w:p w14:paraId="209816DA" w14:textId="77777777" w:rsidR="00C84003" w:rsidRPr="002F4384" w:rsidRDefault="00C84003" w:rsidP="00C84003">
      <w:pPr>
        <w:keepNext/>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lang w:val="es-ES_tradnl"/>
        </w:rPr>
        <w:t>El Consejo Ejecutivo,</w:t>
      </w:r>
    </w:p>
    <w:p w14:paraId="05B178B3" w14:textId="6616C3EF" w:rsidR="00C84003" w:rsidRPr="002F4384" w:rsidRDefault="00C84003" w:rsidP="00C84003">
      <w:pPr>
        <w:snapToGrid w:val="0"/>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u w:val="single"/>
          <w:lang w:val="es-ES_tradnl"/>
        </w:rPr>
        <w:t>Habiendo examinado</w:t>
      </w:r>
      <w:r w:rsidRPr="002F4384">
        <w:rPr>
          <w:rFonts w:asciiTheme="minorBidi" w:hAnsiTheme="minorBidi" w:cstheme="minorBidi"/>
          <w:sz w:val="22"/>
          <w:szCs w:val="22"/>
          <w:lang w:val="es-ES_tradnl"/>
        </w:rPr>
        <w:t xml:space="preserve"> el documento IOC/EC-55/3.5.2.Doc(1), que contiene el informe del grupo de trabajo de composición abierta para el período entre reuniones sobre la situación del Comité Regional de la COI para el Océano Índico Central establecido en virtud de la decisión A-31/3.5.6, adoptada por la Asamblea de la COI en su 31ª reunión,</w:t>
      </w:r>
    </w:p>
    <w:p w14:paraId="047013CB" w14:textId="71498941" w:rsidR="00C84003" w:rsidRPr="002F4384" w:rsidRDefault="00C84003" w:rsidP="00C84003">
      <w:pPr>
        <w:snapToGrid w:val="0"/>
        <w:spacing w:after="240"/>
        <w:jc w:val="both"/>
        <w:rPr>
          <w:rFonts w:asciiTheme="minorBidi" w:hAnsiTheme="minorBidi" w:cstheme="minorBidi"/>
          <w:iCs/>
          <w:sz w:val="22"/>
          <w:szCs w:val="22"/>
          <w:lang w:val="es-ES_tradnl"/>
        </w:rPr>
      </w:pPr>
      <w:r w:rsidRPr="002F4384">
        <w:rPr>
          <w:rFonts w:asciiTheme="minorBidi" w:hAnsiTheme="minorBidi" w:cstheme="minorBidi"/>
          <w:sz w:val="22"/>
          <w:szCs w:val="22"/>
          <w:u w:val="single"/>
          <w:lang w:val="es-ES_tradnl"/>
        </w:rPr>
        <w:t>Da las gracias</w:t>
      </w:r>
      <w:r w:rsidRPr="002F4384">
        <w:rPr>
          <w:rFonts w:asciiTheme="minorBidi" w:hAnsiTheme="minorBidi" w:cstheme="minorBidi"/>
          <w:sz w:val="22"/>
          <w:szCs w:val="22"/>
          <w:lang w:val="es-ES_tradnl"/>
        </w:rPr>
        <w:t xml:space="preserve"> a los Copresidentes por haber dirigido el grupo de trabajo;</w:t>
      </w:r>
    </w:p>
    <w:p w14:paraId="5AB3FF07" w14:textId="77777777" w:rsidR="00C84003" w:rsidRPr="002F4384" w:rsidRDefault="00C84003" w:rsidP="00C84003">
      <w:pPr>
        <w:snapToGrid w:val="0"/>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u w:val="single"/>
          <w:lang w:val="es-ES_tradnl"/>
        </w:rPr>
        <w:t>Toma nota</w:t>
      </w:r>
      <w:r w:rsidRPr="002F4384">
        <w:rPr>
          <w:rFonts w:asciiTheme="minorBidi" w:hAnsiTheme="minorBidi" w:cstheme="minorBidi"/>
          <w:sz w:val="22"/>
          <w:szCs w:val="22"/>
          <w:lang w:val="es-ES_tradnl"/>
        </w:rPr>
        <w:t xml:space="preserve"> de las consultas en curso, teniendo en cuenta también las observaciones formuladas en su 55ª reunión, que se centran en los elementos necesarios de la posible futura subcomisión de la COI para el océano Índico Central (IOCINDIO), como su denominación, su mandato, su programa de trabajo, incluidos los proyectos propuestos y el apoyo financiero, y los mecanismos de coordinación con las subcomisiones adyacentes sobre zonas geográficas de interés común, evitando al mismo tiempo las duplicaciones;</w:t>
      </w:r>
    </w:p>
    <w:p w14:paraId="464B96CB" w14:textId="77777777" w:rsidR="00C84003" w:rsidRPr="002F4384" w:rsidRDefault="00C84003" w:rsidP="00C84003">
      <w:pPr>
        <w:snapToGrid w:val="0"/>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u w:val="single"/>
          <w:lang w:val="es-ES_tradnl"/>
        </w:rPr>
        <w:t>Acoge con beneplácito</w:t>
      </w:r>
      <w:r w:rsidRPr="002F4384">
        <w:rPr>
          <w:rFonts w:asciiTheme="minorBidi" w:hAnsiTheme="minorBidi" w:cstheme="minorBidi"/>
          <w:sz w:val="22"/>
          <w:szCs w:val="22"/>
          <w:lang w:val="es-ES_tradnl"/>
        </w:rPr>
        <w:t xml:space="preserve"> y </w:t>
      </w:r>
      <w:r w:rsidRPr="002F4384">
        <w:rPr>
          <w:rFonts w:asciiTheme="minorBidi" w:hAnsiTheme="minorBidi" w:cstheme="minorBidi"/>
          <w:sz w:val="22"/>
          <w:szCs w:val="22"/>
          <w:u w:val="single"/>
          <w:lang w:val="es-ES_tradnl"/>
        </w:rPr>
        <w:t>aprecia</w:t>
      </w:r>
      <w:r w:rsidRPr="002F4384">
        <w:rPr>
          <w:rFonts w:asciiTheme="minorBidi" w:hAnsiTheme="minorBidi" w:cstheme="minorBidi"/>
          <w:sz w:val="22"/>
          <w:szCs w:val="22"/>
          <w:lang w:val="es-ES_tradnl"/>
        </w:rPr>
        <w:t xml:space="preserve"> los comentarios y las aportaciones de la Subcomisión de la COI para África y Estados Insulares Adyacentes (IOCAFRICA) y la Subcomisión de la COI para el Pacífico Occidental (WESTPAC) en los debates del grupo de trabajo;</w:t>
      </w:r>
    </w:p>
    <w:p w14:paraId="5CE4CF1F" w14:textId="77777777" w:rsidR="00C84003" w:rsidRPr="002F4384" w:rsidRDefault="00C84003" w:rsidP="00C84003">
      <w:pPr>
        <w:snapToGrid w:val="0"/>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u w:val="single"/>
          <w:lang w:val="es-ES_tradnl"/>
        </w:rPr>
        <w:t>Invita</w:t>
      </w:r>
      <w:r w:rsidRPr="002F4384">
        <w:rPr>
          <w:rFonts w:asciiTheme="minorBidi" w:hAnsiTheme="minorBidi" w:cstheme="minorBidi"/>
          <w:sz w:val="22"/>
          <w:szCs w:val="22"/>
          <w:lang w:val="es-ES_tradnl"/>
        </w:rPr>
        <w:t xml:space="preserve"> al grupo de trabajo a que prosiga sus consultas con las subcomisiones de la COI y a que presente su informe final y su recomendación, evitando las duplicaciones y respetando el ámbito geográfico de las otras subcomisiones, para su examen por la Asamblea de la COI en su 32ª reunión.</w:t>
      </w:r>
    </w:p>
    <w:p w14:paraId="7CE96D2A" w14:textId="3A479EF5" w:rsidR="00DE2391" w:rsidRPr="002F4384" w:rsidRDefault="006D72DF" w:rsidP="00E3365F">
      <w:pPr>
        <w:pStyle w:val="Heading1"/>
        <w:numPr>
          <w:ilvl w:val="0"/>
          <w:numId w:val="8"/>
        </w:numPr>
        <w:tabs>
          <w:tab w:val="left" w:pos="709"/>
        </w:tabs>
        <w:spacing w:before="120"/>
        <w:ind w:left="709" w:hanging="720"/>
        <w:jc w:val="both"/>
        <w:rPr>
          <w:rFonts w:asciiTheme="minorBidi" w:hAnsiTheme="minorBidi" w:cstheme="minorBidi"/>
          <w:szCs w:val="22"/>
          <w:lang w:val="es-ES_tradnl"/>
        </w:rPr>
      </w:pPr>
      <w:bookmarkStart w:id="144" w:name="_Toc85469069"/>
      <w:bookmarkStart w:id="145" w:name="_Toc115256324"/>
      <w:r w:rsidRPr="002F4384">
        <w:rPr>
          <w:rFonts w:asciiTheme="minorBidi" w:hAnsiTheme="minorBidi" w:cstheme="minorBidi"/>
          <w:szCs w:val="22"/>
          <w:lang w:val="es-ES_tradnl"/>
        </w:rPr>
        <w:t>CUESTIONES PERTINENTES PARA LA COI RELACIONADAS CON LAS INICIATIVAS DE LAS NACIONES UNIDAS</w:t>
      </w:r>
      <w:bookmarkEnd w:id="144"/>
      <w:bookmarkEnd w:id="145"/>
    </w:p>
    <w:p w14:paraId="110ADBB4" w14:textId="77777777" w:rsidR="004C2ABF" w:rsidRPr="002F4384" w:rsidRDefault="002504DF" w:rsidP="00E3365F">
      <w:pPr>
        <w:pStyle w:val="Heading2"/>
        <w:ind w:left="709" w:hanging="709"/>
        <w:jc w:val="both"/>
        <w:rPr>
          <w:rFonts w:asciiTheme="minorBidi" w:hAnsiTheme="minorBidi" w:cstheme="minorBidi"/>
          <w:szCs w:val="22"/>
          <w:lang w:val="es-ES_tradnl"/>
        </w:rPr>
      </w:pPr>
      <w:bookmarkStart w:id="146" w:name="_Toc115256325"/>
      <w:bookmarkStart w:id="147" w:name="_Toc85469070"/>
      <w:r w:rsidRPr="002F4384">
        <w:rPr>
          <w:rFonts w:asciiTheme="minorBidi" w:hAnsiTheme="minorBidi" w:cstheme="minorBidi"/>
          <w:szCs w:val="22"/>
          <w:lang w:val="es-ES_tradnl"/>
        </w:rPr>
        <w:t>4.1</w:t>
      </w:r>
      <w:r w:rsidRPr="002F4384">
        <w:rPr>
          <w:rFonts w:asciiTheme="minorBidi" w:hAnsiTheme="minorBidi" w:cstheme="minorBidi"/>
          <w:szCs w:val="22"/>
          <w:lang w:val="es-ES_tradnl"/>
        </w:rPr>
        <w:tab/>
        <w:t>INFORME SOBRE LA EJECUCIÓN DEL DECENIO DE LAS NACIONES UNIDAS DE LAS CIENCIAS OCEÁNICAS PARA EL DESARROLLO SOSTENIBLE (2021-2030)</w:t>
      </w:r>
      <w:bookmarkEnd w:id="146"/>
      <w:r w:rsidRPr="002F4384">
        <w:rPr>
          <w:rFonts w:asciiTheme="minorBidi" w:hAnsiTheme="minorBidi" w:cstheme="minorBidi"/>
          <w:szCs w:val="22"/>
          <w:lang w:val="es-ES_tradnl"/>
        </w:rPr>
        <w:t xml:space="preserve"> </w:t>
      </w:r>
    </w:p>
    <w:bookmarkEnd w:id="147"/>
    <w:p w14:paraId="435CEF49" w14:textId="34324995" w:rsidR="000E7194" w:rsidRPr="002F4384" w:rsidRDefault="00512DCE"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iCs w:val="0"/>
          <w:lang w:val="es-ES_tradnl"/>
        </w:rPr>
        <w:t xml:space="preserve">El Secretario Ejecutivo presentó </w:t>
      </w:r>
      <w:r w:rsidR="00B455A7" w:rsidRPr="002F4384">
        <w:rPr>
          <w:rFonts w:asciiTheme="minorBidi" w:hAnsiTheme="minorBidi" w:cstheme="minorBidi"/>
          <w:iCs w:val="0"/>
          <w:lang w:val="es-ES_tradnl"/>
        </w:rPr>
        <w:t xml:space="preserve">brevemente </w:t>
      </w:r>
      <w:r w:rsidRPr="002F4384">
        <w:rPr>
          <w:rFonts w:asciiTheme="minorBidi" w:hAnsiTheme="minorBidi" w:cstheme="minorBidi"/>
          <w:iCs w:val="0"/>
          <w:lang w:val="es-ES_tradnl"/>
        </w:rPr>
        <w:t>este punto</w:t>
      </w:r>
      <w:r w:rsidR="00B455A7" w:rsidRPr="002F4384">
        <w:rPr>
          <w:rFonts w:asciiTheme="minorBidi" w:hAnsiTheme="minorBidi" w:cstheme="minorBidi"/>
          <w:iCs w:val="0"/>
          <w:lang w:val="es-ES_tradnl"/>
        </w:rPr>
        <w:t xml:space="preserve"> y </w:t>
      </w:r>
      <w:r w:rsidR="00B455A7" w:rsidRPr="002F4384">
        <w:rPr>
          <w:rFonts w:asciiTheme="minorBidi" w:hAnsiTheme="minorBidi" w:cstheme="minorBidi"/>
          <w:lang w:val="es-ES_tradnl"/>
        </w:rPr>
        <w:t>e</w:t>
      </w:r>
      <w:r w:rsidRPr="002F4384">
        <w:rPr>
          <w:rFonts w:asciiTheme="minorBidi" w:hAnsiTheme="minorBidi" w:cstheme="minorBidi"/>
          <w:lang w:val="es-ES_tradnl"/>
        </w:rPr>
        <w:t xml:space="preserve">l Sr. Barbière, Jefe de la Sección de Políticas Marinas y Coordinación Regional y persona de enlace de la COI para el Decenio, expuso un panorama general de los progresos realizados para poner en marcha el plan de ejecución. </w:t>
      </w:r>
      <w:r w:rsidR="00B455A7" w:rsidRPr="002F4384">
        <w:rPr>
          <w:rFonts w:asciiTheme="minorBidi" w:hAnsiTheme="minorBidi" w:cstheme="minorBidi"/>
          <w:lang w:val="es-ES_tradnl"/>
        </w:rPr>
        <w:t>El Sr.</w:t>
      </w:r>
      <w:r w:rsidR="00E70711" w:rsidRPr="002F4384">
        <w:rPr>
          <w:rFonts w:asciiTheme="minorBidi" w:hAnsiTheme="minorBidi" w:cstheme="minorBidi"/>
          <w:lang w:val="es-ES_tradnl"/>
        </w:rPr>
        <w:t> </w:t>
      </w:r>
      <w:r w:rsidR="00B455A7" w:rsidRPr="002F4384">
        <w:rPr>
          <w:rFonts w:asciiTheme="minorBidi" w:hAnsiTheme="minorBidi" w:cstheme="minorBidi"/>
          <w:lang w:val="es-ES_tradnl"/>
        </w:rPr>
        <w:t>Barbière</w:t>
      </w:r>
      <w:r w:rsidR="00B455A7" w:rsidRPr="002F4384" w:rsidDel="00B455A7">
        <w:rPr>
          <w:rFonts w:asciiTheme="minorBidi" w:hAnsiTheme="minorBidi" w:cstheme="minorBidi"/>
          <w:lang w:val="es-ES_tradnl"/>
        </w:rPr>
        <w:t xml:space="preserve"> </w:t>
      </w:r>
      <w:r w:rsidR="00B455A7" w:rsidRPr="002F4384">
        <w:rPr>
          <w:rFonts w:asciiTheme="minorBidi" w:hAnsiTheme="minorBidi" w:cstheme="minorBidi"/>
          <w:lang w:val="es-ES_tradnl"/>
        </w:rPr>
        <w:t>i</w:t>
      </w:r>
      <w:r w:rsidRPr="002F4384">
        <w:rPr>
          <w:rFonts w:asciiTheme="minorBidi" w:hAnsiTheme="minorBidi" w:cstheme="minorBidi"/>
          <w:lang w:val="es-ES_tradnl"/>
        </w:rPr>
        <w:t xml:space="preserve">nformó sobre el resultado de la segunda Convocatoria de Acciones del Decenio </w:t>
      </w:r>
      <w:r w:rsidR="002D11A6" w:rsidRPr="002F4384">
        <w:rPr>
          <w:rFonts w:asciiTheme="minorBidi" w:hAnsiTheme="minorBidi" w:cstheme="minorBidi"/>
          <w:lang w:val="es-ES_tradnl"/>
        </w:rPr>
        <w:t>(</w:t>
      </w:r>
      <w:r w:rsidRPr="002F4384">
        <w:rPr>
          <w:rFonts w:asciiTheme="minorBidi" w:hAnsiTheme="minorBidi" w:cstheme="minorBidi"/>
          <w:lang w:val="es-ES_tradnl"/>
        </w:rPr>
        <w:t>n</w:t>
      </w:r>
      <w:r w:rsidR="00B455A7" w:rsidRPr="002F4384">
        <w:rPr>
          <w:rFonts w:asciiTheme="minorBidi" w:hAnsiTheme="minorBidi" w:cstheme="minorBidi"/>
          <w:lang w:val="es-ES_tradnl"/>
        </w:rPr>
        <w:t>.</w:t>
      </w:r>
      <w:r w:rsidRPr="002F4384">
        <w:rPr>
          <w:rFonts w:asciiTheme="minorBidi" w:hAnsiTheme="minorBidi" w:cstheme="minorBidi"/>
          <w:lang w:val="es-ES_tradnl"/>
        </w:rPr>
        <w:t>º</w:t>
      </w:r>
      <w:r w:rsidR="00B455A7" w:rsidRPr="002F4384">
        <w:rPr>
          <w:rFonts w:asciiTheme="minorBidi" w:hAnsiTheme="minorBidi" w:cstheme="minorBidi"/>
          <w:lang w:val="es-ES_tradnl"/>
        </w:rPr>
        <w:t> </w:t>
      </w:r>
      <w:r w:rsidRPr="002F4384">
        <w:rPr>
          <w:rFonts w:asciiTheme="minorBidi" w:hAnsiTheme="minorBidi" w:cstheme="minorBidi"/>
          <w:lang w:val="es-ES_tradnl"/>
        </w:rPr>
        <w:t>02/2021</w:t>
      </w:r>
      <w:r w:rsidR="002D11A6" w:rsidRPr="002F4384">
        <w:rPr>
          <w:rFonts w:asciiTheme="minorBidi" w:hAnsiTheme="minorBidi" w:cstheme="minorBidi"/>
          <w:lang w:val="es-ES_tradnl"/>
        </w:rPr>
        <w:t>)</w:t>
      </w:r>
      <w:r w:rsidRPr="002F4384">
        <w:rPr>
          <w:rFonts w:asciiTheme="minorBidi" w:hAnsiTheme="minorBidi" w:cstheme="minorBidi"/>
          <w:lang w:val="es-ES_tradnl"/>
        </w:rPr>
        <w:t>, el establecimiento de la Junta Asesora del Decenio en diciembre de 2021 sobre la base del mandato aprobado por la Asamblea de la COI en su 31ª</w:t>
      </w:r>
      <w:r w:rsidR="00836E98" w:rsidRPr="002F4384">
        <w:rPr>
          <w:rFonts w:asciiTheme="minorBidi" w:hAnsiTheme="minorBidi" w:cstheme="minorBidi"/>
          <w:lang w:val="es-ES_tradnl"/>
        </w:rPr>
        <w:t> </w:t>
      </w:r>
      <w:r w:rsidRPr="002F4384">
        <w:rPr>
          <w:rFonts w:asciiTheme="minorBidi" w:hAnsiTheme="minorBidi" w:cstheme="minorBidi"/>
          <w:lang w:val="es-ES_tradnl"/>
        </w:rPr>
        <w:t xml:space="preserve">reunión, la estrategia de participación y movilización de recursos de la COI para </w:t>
      </w:r>
      <w:r w:rsidR="00D740A0" w:rsidRPr="002F4384">
        <w:rPr>
          <w:rFonts w:asciiTheme="minorBidi" w:hAnsiTheme="minorBidi" w:cstheme="minorBidi"/>
          <w:lang w:val="es-ES_tradnl"/>
        </w:rPr>
        <w:t>facilitar</w:t>
      </w:r>
      <w:r w:rsidRPr="002F4384">
        <w:rPr>
          <w:rFonts w:asciiTheme="minorBidi" w:hAnsiTheme="minorBidi" w:cstheme="minorBidi"/>
          <w:lang w:val="es-ES_tradnl"/>
        </w:rPr>
        <w:t xml:space="preserve"> su función de coordinación del Decenio, así como </w:t>
      </w:r>
      <w:r w:rsidR="00D740A0" w:rsidRPr="002F4384">
        <w:rPr>
          <w:rFonts w:asciiTheme="minorBidi" w:hAnsiTheme="minorBidi" w:cstheme="minorBidi"/>
          <w:lang w:val="es-ES_tradnl"/>
        </w:rPr>
        <w:t>las</w:t>
      </w:r>
      <w:r w:rsidRPr="002F4384">
        <w:rPr>
          <w:rFonts w:asciiTheme="minorBidi" w:hAnsiTheme="minorBidi" w:cstheme="minorBidi"/>
          <w:lang w:val="es-ES_tradnl"/>
        </w:rPr>
        <w:t xml:space="preserve"> contribuciones programáticas</w:t>
      </w:r>
      <w:r w:rsidR="00D740A0" w:rsidRPr="002F4384">
        <w:rPr>
          <w:rFonts w:asciiTheme="minorBidi" w:hAnsiTheme="minorBidi" w:cstheme="minorBidi"/>
          <w:lang w:val="es-ES_tradnl"/>
        </w:rPr>
        <w:t xml:space="preserve"> de la COI</w:t>
      </w:r>
      <w:r w:rsidRPr="002F4384">
        <w:rPr>
          <w:rFonts w:asciiTheme="minorBidi" w:hAnsiTheme="minorBidi" w:cstheme="minorBidi"/>
          <w:lang w:val="es-ES_tradnl"/>
        </w:rPr>
        <w:t>. También informó sobre el establecimiento de mecanismos de coordinación del Decenio (oficinas de coordinación, centros de colaboración, plan de ejecución, comités nacionales).</w:t>
      </w:r>
      <w:r w:rsidR="00B455A7" w:rsidRPr="002F4384">
        <w:rPr>
          <w:rFonts w:asciiTheme="minorBidi" w:hAnsiTheme="minorBidi" w:cstheme="minorBidi"/>
          <w:lang w:val="es-ES_tradnl"/>
        </w:rPr>
        <w:t xml:space="preserve"> Indicó que los </w:t>
      </w:r>
      <w:r w:rsidR="00E70711" w:rsidRPr="002F4384">
        <w:rPr>
          <w:rFonts w:asciiTheme="minorBidi" w:hAnsiTheme="minorBidi" w:cstheme="minorBidi"/>
          <w:lang w:val="es-ES_tradnl"/>
        </w:rPr>
        <w:t>C</w:t>
      </w:r>
      <w:r w:rsidR="00B455A7" w:rsidRPr="002F4384">
        <w:rPr>
          <w:rFonts w:asciiTheme="minorBidi" w:hAnsiTheme="minorBidi" w:cstheme="minorBidi"/>
          <w:lang w:val="es-ES_tradnl"/>
        </w:rPr>
        <w:t xml:space="preserve">opresidentes de la Junta </w:t>
      </w:r>
      <w:r w:rsidR="00B455A7" w:rsidRPr="002F4384">
        <w:rPr>
          <w:rFonts w:asciiTheme="minorBidi" w:hAnsiTheme="minorBidi" w:cstheme="minorBidi"/>
          <w:lang w:val="es-ES_tradnl"/>
        </w:rPr>
        <w:lastRenderedPageBreak/>
        <w:t>Asesora del Decenio no estaban disponibles para asistir a esta reunión del Consejo, pero que se les invitaría a la próxima reunión de la Asamblea.</w:t>
      </w:r>
    </w:p>
    <w:p w14:paraId="6BCF28CB" w14:textId="3C428012" w:rsidR="00411A71" w:rsidRPr="002F4384" w:rsidRDefault="00667651"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Hicieron uso de la palabra los representantes de </w:t>
      </w:r>
      <w:r w:rsidR="00B455A7" w:rsidRPr="002F4384">
        <w:rPr>
          <w:rFonts w:asciiTheme="minorBidi" w:hAnsiTheme="minorBidi" w:cstheme="minorBidi"/>
          <w:lang w:val="es-ES_tradnl"/>
        </w:rPr>
        <w:t xml:space="preserve">27 </w:t>
      </w:r>
      <w:r w:rsidRPr="002F4384">
        <w:rPr>
          <w:rFonts w:asciiTheme="minorBidi" w:hAnsiTheme="minorBidi" w:cstheme="minorBidi"/>
          <w:lang w:val="es-ES_tradnl"/>
        </w:rPr>
        <w:t>Estados Miembros</w:t>
      </w:r>
      <w:r w:rsidR="00B455A7" w:rsidRPr="002F4384">
        <w:rPr>
          <w:rFonts w:asciiTheme="minorBidi" w:hAnsiTheme="minorBidi" w:cstheme="minorBidi"/>
          <w:lang w:val="es-ES_tradnl"/>
        </w:rPr>
        <w:t>, dos órganos subsidiarios y dos organizaciones</w:t>
      </w:r>
      <w:r w:rsidRPr="002F4384">
        <w:rPr>
          <w:rFonts w:asciiTheme="minorBidi" w:hAnsiTheme="minorBidi" w:cstheme="minorBidi"/>
          <w:lang w:val="es-ES_tradnl"/>
        </w:rPr>
        <w:t>.</w:t>
      </w:r>
    </w:p>
    <w:p w14:paraId="08C66627" w14:textId="7E904120" w:rsidR="00B455A7" w:rsidRPr="002F4384" w:rsidRDefault="00D10236"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Muchos</w:t>
      </w:r>
      <w:r w:rsidR="00411A71" w:rsidRPr="002F4384">
        <w:rPr>
          <w:rFonts w:asciiTheme="minorBidi" w:hAnsiTheme="minorBidi" w:cstheme="minorBidi"/>
          <w:lang w:val="es-ES_tradnl"/>
        </w:rPr>
        <w:t xml:space="preserve"> Estados Miembros </w:t>
      </w:r>
      <w:r w:rsidR="00A9132C" w:rsidRPr="002F4384">
        <w:rPr>
          <w:rFonts w:asciiTheme="minorBidi" w:hAnsiTheme="minorBidi" w:cstheme="minorBidi"/>
          <w:lang w:val="es-ES_tradnl"/>
        </w:rPr>
        <w:t>manifestaron</w:t>
      </w:r>
      <w:r w:rsidR="00411A71" w:rsidRPr="002F4384">
        <w:rPr>
          <w:rFonts w:asciiTheme="minorBidi" w:hAnsiTheme="minorBidi" w:cstheme="minorBidi"/>
          <w:lang w:val="es-ES_tradnl"/>
        </w:rPr>
        <w:t xml:space="preserve"> que seguiría</w:t>
      </w:r>
      <w:r w:rsidRPr="002F4384">
        <w:rPr>
          <w:rFonts w:asciiTheme="minorBidi" w:hAnsiTheme="minorBidi" w:cstheme="minorBidi"/>
          <w:lang w:val="es-ES_tradnl"/>
        </w:rPr>
        <w:t>n</w:t>
      </w:r>
      <w:r w:rsidR="00411A71" w:rsidRPr="002F4384">
        <w:rPr>
          <w:rFonts w:asciiTheme="minorBidi" w:hAnsiTheme="minorBidi" w:cstheme="minorBidi"/>
          <w:lang w:val="es-ES_tradnl"/>
        </w:rPr>
        <w:t xml:space="preserve"> apoyando el Decenio y la labor de la Secretaría de la COI de coordinadora del Decenio</w:t>
      </w:r>
      <w:r w:rsidR="00A8248C" w:rsidRPr="002F4384">
        <w:rPr>
          <w:rFonts w:asciiTheme="minorBidi" w:hAnsiTheme="minorBidi" w:cstheme="minorBidi"/>
          <w:lang w:val="es-ES_tradnl"/>
        </w:rPr>
        <w:t>.</w:t>
      </w:r>
      <w:r w:rsidR="00411A71" w:rsidRPr="002F4384">
        <w:rPr>
          <w:rFonts w:asciiTheme="minorBidi" w:hAnsiTheme="minorBidi" w:cstheme="minorBidi"/>
          <w:lang w:val="es-ES_tradnl"/>
        </w:rPr>
        <w:t xml:space="preserve"> </w:t>
      </w:r>
      <w:r w:rsidR="00A8248C" w:rsidRPr="002F4384">
        <w:rPr>
          <w:rFonts w:asciiTheme="minorBidi" w:hAnsiTheme="minorBidi" w:cstheme="minorBidi"/>
          <w:lang w:val="es-ES_tradnl"/>
        </w:rPr>
        <w:t>Asimismo, i</w:t>
      </w:r>
      <w:r w:rsidR="00411A71" w:rsidRPr="002F4384">
        <w:rPr>
          <w:rFonts w:asciiTheme="minorBidi" w:hAnsiTheme="minorBidi" w:cstheme="minorBidi"/>
          <w:lang w:val="es-ES_tradnl"/>
        </w:rPr>
        <w:t>nform</w:t>
      </w:r>
      <w:r w:rsidRPr="002F4384">
        <w:rPr>
          <w:rFonts w:asciiTheme="minorBidi" w:hAnsiTheme="minorBidi" w:cstheme="minorBidi"/>
          <w:lang w:val="es-ES_tradnl"/>
        </w:rPr>
        <w:t>aron</w:t>
      </w:r>
      <w:r w:rsidR="00411A71" w:rsidRPr="002F4384">
        <w:rPr>
          <w:rFonts w:asciiTheme="minorBidi" w:hAnsiTheme="minorBidi" w:cstheme="minorBidi"/>
          <w:lang w:val="es-ES_tradnl"/>
        </w:rPr>
        <w:t xml:space="preserve"> sobre las actividades del Decenio puestas en marcha en sus países y el trabajo de los comités nacionales del Decenio.</w:t>
      </w:r>
      <w:r w:rsidR="00B4359C" w:rsidRPr="002F4384">
        <w:rPr>
          <w:rFonts w:asciiTheme="minorBidi" w:hAnsiTheme="minorBidi" w:cstheme="minorBidi"/>
          <w:lang w:val="es-ES_tradnl"/>
        </w:rPr>
        <w:t xml:space="preserve"> Entre las cuestiones planteadas por los Estados Miembros figuraban la necesidad de evitar la dispersión de la Secretaría en amplias funciones que afectaran a las actividades programáticas básicas y la necesidad de reconocer plenamente las acciones del Decenio dirigidas por los organismos de las Naciones Unidas que se aprobaran oficialmente mediante procedimientos paralelos.</w:t>
      </w:r>
      <w:r w:rsidR="00667651" w:rsidRPr="002F4384">
        <w:rPr>
          <w:rFonts w:asciiTheme="minorBidi" w:hAnsiTheme="minorBidi" w:cstheme="minorBidi"/>
          <w:lang w:val="es-ES_tradnl"/>
        </w:rPr>
        <w:t xml:space="preserve"> </w:t>
      </w:r>
      <w:r w:rsidR="00443C31" w:rsidRPr="002F4384">
        <w:rPr>
          <w:rFonts w:asciiTheme="minorBidi" w:hAnsiTheme="minorBidi" w:cstheme="minorBidi"/>
          <w:lang w:val="es-ES_tradnl"/>
        </w:rPr>
        <w:t xml:space="preserve">Se </w:t>
      </w:r>
      <w:r w:rsidR="00A9132C" w:rsidRPr="002F4384">
        <w:rPr>
          <w:rFonts w:asciiTheme="minorBidi" w:hAnsiTheme="minorBidi" w:cstheme="minorBidi"/>
          <w:lang w:val="es-ES_tradnl"/>
        </w:rPr>
        <w:t>mencionó</w:t>
      </w:r>
      <w:r w:rsidR="00443C31" w:rsidRPr="002F4384">
        <w:rPr>
          <w:rFonts w:asciiTheme="minorBidi" w:hAnsiTheme="minorBidi" w:cstheme="minorBidi"/>
          <w:lang w:val="es-ES_tradnl"/>
        </w:rPr>
        <w:t xml:space="preserve"> la necesidad de orientación sobre las estructuras de gobernanza que debían adoptar los comités nacionales del Decenio, así como la participación de los PEID en las estructuras de gobernanza del Decenio, incluida la Junta Asesora del Decenio.</w:t>
      </w:r>
      <w:r w:rsidR="00095603" w:rsidRPr="002F4384">
        <w:rPr>
          <w:rFonts w:asciiTheme="minorBidi" w:hAnsiTheme="minorBidi" w:cstheme="minorBidi"/>
          <w:lang w:val="es-ES_tradnl"/>
        </w:rPr>
        <w:t xml:space="preserve"> Los Estados Miembros pidieron aclaraciones sobre la situación de la movilización de recursos hasta la fecha y la satisfacción de las necesidades de recursos de la Unidad de Coordinación del Decenio. Los Estados Miembros también subrayaron la necesidad de garantizar una medición robusta de los efectos del Decenio.</w:t>
      </w:r>
    </w:p>
    <w:p w14:paraId="2B24F173" w14:textId="3F5E646B" w:rsidR="00095603" w:rsidRPr="002F4384" w:rsidRDefault="00E543A7"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En su respuesta, la Secretaría señaló que las acciones del Decenio dirigidas por la COI se ajustaban en gran medida a la labor programática e indicó que en otros puntos del orden del día de</w:t>
      </w:r>
      <w:r w:rsidR="003A6BD3" w:rsidRPr="002F4384">
        <w:rPr>
          <w:rFonts w:asciiTheme="minorBidi" w:hAnsiTheme="minorBidi" w:cstheme="minorBidi"/>
          <w:lang w:val="es-ES_tradnl"/>
        </w:rPr>
        <w:t xml:space="preserve"> </w:t>
      </w:r>
      <w:r w:rsidRPr="002F4384">
        <w:rPr>
          <w:rFonts w:asciiTheme="minorBidi" w:hAnsiTheme="minorBidi" w:cstheme="minorBidi"/>
          <w:lang w:val="es-ES_tradnl"/>
        </w:rPr>
        <w:t>l</w:t>
      </w:r>
      <w:r w:rsidR="003A6BD3" w:rsidRPr="002F4384">
        <w:rPr>
          <w:rFonts w:asciiTheme="minorBidi" w:hAnsiTheme="minorBidi" w:cstheme="minorBidi"/>
          <w:lang w:val="es-ES_tradnl"/>
        </w:rPr>
        <w:t>a reunión</w:t>
      </w:r>
      <w:r w:rsidR="00636E5C" w:rsidRPr="002F4384">
        <w:rPr>
          <w:rFonts w:asciiTheme="minorBidi" w:hAnsiTheme="minorBidi" w:cstheme="minorBidi"/>
          <w:lang w:val="es-ES_tradnl"/>
        </w:rPr>
        <w:t xml:space="preserve"> del</w:t>
      </w:r>
      <w:r w:rsidRPr="002F4384">
        <w:rPr>
          <w:rFonts w:asciiTheme="minorBidi" w:hAnsiTheme="minorBidi" w:cstheme="minorBidi"/>
          <w:lang w:val="es-ES_tradnl"/>
        </w:rPr>
        <w:t xml:space="preserve"> Consejo Ejecutivo se abordaba la necesidad de formular un enfoque estratégico para utilizar el Decenio con el fin de reforzar las actividades programáticas, incluida la nueva financiación.</w:t>
      </w:r>
      <w:r w:rsidR="00636E5C" w:rsidRPr="002F4384">
        <w:rPr>
          <w:rFonts w:asciiTheme="minorBidi" w:hAnsiTheme="minorBidi" w:cstheme="minorBidi"/>
          <w:lang w:val="es-ES_tradnl"/>
        </w:rPr>
        <w:t xml:space="preserve"> La Secretaría confirmó que las acciones del Decenio registradas por las Naciones Unidas se incluían en los informes relativos a las acciones del Decenio y que se habían registrado 15 acciones dirigidas por las Naciones Unidas. Asimismo, recordó al Consejo Ejecutivo que no existían procedimientos paralelos para aprobar oficialmente las acciones dirigidas por las Naciones Unidas, y que el procedimiento para registrarlas se realizaba por conducto de la Secretaría de la COI y el mecanismo previsto en el plan de ejecución.</w:t>
      </w:r>
      <w:r w:rsidR="002E4C7A" w:rsidRPr="002F4384">
        <w:rPr>
          <w:rFonts w:asciiTheme="minorBidi" w:hAnsiTheme="minorBidi" w:cstheme="minorBidi"/>
          <w:lang w:val="es-ES_tradnl"/>
        </w:rPr>
        <w:t xml:space="preserve"> La Secretaría informó al Consejo Ejecutivo de que en 2022 llevaría a cabo un inventario de las iniciativas relacionadas con el Decenio en otras entidades de las Naciones Unidas y de las lagunas</w:t>
      </w:r>
      <w:r w:rsidR="002E4762" w:rsidRPr="002F4384">
        <w:rPr>
          <w:rFonts w:asciiTheme="minorBidi" w:hAnsiTheme="minorBidi" w:cstheme="minorBidi"/>
          <w:lang w:val="es-ES_tradnl"/>
        </w:rPr>
        <w:t xml:space="preserve">, lo que permitiría </w:t>
      </w:r>
      <w:r w:rsidR="002E4C7A" w:rsidRPr="002F4384">
        <w:rPr>
          <w:rFonts w:asciiTheme="minorBidi" w:hAnsiTheme="minorBidi" w:cstheme="minorBidi"/>
          <w:lang w:val="es-ES_tradnl"/>
        </w:rPr>
        <w:t>detectar los ámbitos en los que pudiera haber deficiencias y en los que podrían conseguirse contribuciones adicionales.</w:t>
      </w:r>
      <w:r w:rsidR="0076530E" w:rsidRPr="002F4384">
        <w:rPr>
          <w:rFonts w:asciiTheme="minorBidi" w:hAnsiTheme="minorBidi" w:cstheme="minorBidi"/>
          <w:lang w:val="es-ES_tradnl"/>
        </w:rPr>
        <w:t xml:space="preserve"> La Secretaría recordó que la función y la gobernanza de los comités nacionales del Decenio no eran prescriptivas, ya que cada Estado Miembro y cada comité tenía su propio contexto y necesidades. Indicó que la red de comités nacionales del Decenio que se estaba creando ofrecía un marco para compartir experiencias sobre los modelos de gobernanza.</w:t>
      </w:r>
      <w:r w:rsidR="00ED243E" w:rsidRPr="002F4384">
        <w:rPr>
          <w:rFonts w:asciiTheme="minorBidi" w:hAnsiTheme="minorBidi" w:cstheme="minorBidi"/>
          <w:lang w:val="es-ES_tradnl"/>
        </w:rPr>
        <w:t xml:space="preserve"> La Secretaría confirmó que los PEID estaban representados en la Junta Asesora y la Alianza del Decenio y citó el trabajo del Grupo de planificación regional de la región de América Tropical y el Caribe como un ejemplo de la participación de esos Estados en el Decenio.</w:t>
      </w:r>
      <w:r w:rsidR="00271250" w:rsidRPr="002F4384">
        <w:rPr>
          <w:rFonts w:asciiTheme="minorBidi" w:hAnsiTheme="minorBidi" w:cstheme="minorBidi"/>
          <w:lang w:val="es-ES_tradnl"/>
        </w:rPr>
        <w:t xml:space="preserve"> Por otra parte, la Secretaría explicó que los programas que se presentaban para ser aprobados estaban parcialmente financiados (una media de alrededor del 24 %) y que la Unidad de Coordinación del Decenio cumplía la función de intermediari</w:t>
      </w:r>
      <w:r w:rsidR="004C1EE3" w:rsidRPr="002F4384">
        <w:rPr>
          <w:rFonts w:asciiTheme="minorBidi" w:hAnsiTheme="minorBidi" w:cstheme="minorBidi"/>
          <w:lang w:val="es-ES_tradnl"/>
        </w:rPr>
        <w:t>a</w:t>
      </w:r>
      <w:r w:rsidR="00271250" w:rsidRPr="002F4384">
        <w:rPr>
          <w:rFonts w:asciiTheme="minorBidi" w:hAnsiTheme="minorBidi" w:cstheme="minorBidi"/>
          <w:lang w:val="es-ES_tradnl"/>
        </w:rPr>
        <w:t xml:space="preserve"> entre los programas y los donantes.</w:t>
      </w:r>
      <w:r w:rsidR="007E0D9D" w:rsidRPr="002F4384">
        <w:rPr>
          <w:rFonts w:asciiTheme="minorBidi" w:hAnsiTheme="minorBidi" w:cstheme="minorBidi"/>
          <w:lang w:val="es-ES_tradnl"/>
        </w:rPr>
        <w:t xml:space="preserve"> </w:t>
      </w:r>
      <w:r w:rsidR="004C1EE3" w:rsidRPr="002F4384">
        <w:rPr>
          <w:rFonts w:asciiTheme="minorBidi" w:hAnsiTheme="minorBidi" w:cstheme="minorBidi"/>
          <w:lang w:val="es-ES_tradnl"/>
        </w:rPr>
        <w:t>Reveló</w:t>
      </w:r>
      <w:r w:rsidR="007E0D9D" w:rsidRPr="002F4384">
        <w:rPr>
          <w:rFonts w:asciiTheme="minorBidi" w:hAnsiTheme="minorBidi" w:cstheme="minorBidi"/>
          <w:lang w:val="es-ES_tradnl"/>
        </w:rPr>
        <w:t xml:space="preserve"> que en el último conjunto de programas presentados a la segunda Convocatoria de Acciones del Decenio (n.º</w:t>
      </w:r>
      <w:r w:rsidR="00836E98" w:rsidRPr="002F4384">
        <w:rPr>
          <w:rFonts w:asciiTheme="minorBidi" w:hAnsiTheme="minorBidi" w:cstheme="minorBidi"/>
          <w:lang w:val="es-ES_tradnl"/>
        </w:rPr>
        <w:t> </w:t>
      </w:r>
      <w:r w:rsidR="007E0D9D" w:rsidRPr="002F4384">
        <w:rPr>
          <w:rFonts w:asciiTheme="minorBidi" w:hAnsiTheme="minorBidi" w:cstheme="minorBidi"/>
          <w:lang w:val="es-ES_tradnl"/>
        </w:rPr>
        <w:t xml:space="preserve">02/2021) se apreciaba en general un mayor porcentaje de recursos garantizados, e informó al Consejo </w:t>
      </w:r>
      <w:r w:rsidR="004C1EE3" w:rsidRPr="002F4384">
        <w:rPr>
          <w:rFonts w:asciiTheme="minorBidi" w:hAnsiTheme="minorBidi" w:cstheme="minorBidi"/>
          <w:lang w:val="es-ES_tradnl"/>
        </w:rPr>
        <w:t>E</w:t>
      </w:r>
      <w:r w:rsidR="007E0D9D" w:rsidRPr="002F4384">
        <w:rPr>
          <w:rFonts w:asciiTheme="minorBidi" w:hAnsiTheme="minorBidi" w:cstheme="minorBidi"/>
          <w:lang w:val="es-ES_tradnl"/>
        </w:rPr>
        <w:t>jecutivo de la recomendación de la Junta Asesora del Decenio de que se recabara información adicional sobre los recursos garantizados con miras a optimizar este procedimiento de establecimiento de contactos. La Secretaría confirmó que se habían movilizado cerca de 15 millones de dólares estadounidenses para apoyar directamente las acciones del Decenio en las Convocatorias de Acciones del Decenio patrocinadas.</w:t>
      </w:r>
      <w:r w:rsidR="00485C82" w:rsidRPr="002F4384">
        <w:rPr>
          <w:rFonts w:asciiTheme="minorBidi" w:hAnsiTheme="minorBidi" w:cstheme="minorBidi"/>
          <w:lang w:val="es-ES_tradnl"/>
        </w:rPr>
        <w:t xml:space="preserve"> También confirmó que las actuales necesidades financieras básicas de la Unidad de Coordinación del Decenio estaban cubiertas para el resto de 2022 y principios de 2023.</w:t>
      </w:r>
      <w:r w:rsidR="00CF3A2B" w:rsidRPr="002F4384">
        <w:rPr>
          <w:rFonts w:asciiTheme="minorBidi" w:hAnsiTheme="minorBidi" w:cstheme="minorBidi"/>
          <w:lang w:val="es-ES_tradnl"/>
        </w:rPr>
        <w:t xml:space="preserve"> Por último, la Secretaría </w:t>
      </w:r>
      <w:r w:rsidR="00B22255" w:rsidRPr="002F4384">
        <w:rPr>
          <w:rFonts w:asciiTheme="minorBidi" w:hAnsiTheme="minorBidi" w:cstheme="minorBidi"/>
          <w:lang w:val="es-ES_tradnl"/>
        </w:rPr>
        <w:t>mencionó</w:t>
      </w:r>
      <w:r w:rsidR="00CF3A2B" w:rsidRPr="002F4384">
        <w:rPr>
          <w:rFonts w:asciiTheme="minorBidi" w:hAnsiTheme="minorBidi" w:cstheme="minorBidi"/>
          <w:lang w:val="es-ES_tradnl"/>
        </w:rPr>
        <w:t xml:space="preserve"> que el despliegue del marco de seguimiento y evaluación comenzaría en julio de 2022.</w:t>
      </w:r>
    </w:p>
    <w:p w14:paraId="44C928A8" w14:textId="23B63FA6" w:rsidR="005D1225" w:rsidRPr="002F4384" w:rsidRDefault="00667651"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L</w:t>
      </w:r>
      <w:r w:rsidR="00CF3A2B" w:rsidRPr="002F4384">
        <w:rPr>
          <w:rFonts w:asciiTheme="minorBidi" w:hAnsiTheme="minorBidi" w:cstheme="minorBidi"/>
          <w:lang w:val="es-ES_tradnl"/>
        </w:rPr>
        <w:t xml:space="preserve">as delegaciones </w:t>
      </w:r>
      <w:r w:rsidRPr="002F4384">
        <w:rPr>
          <w:rFonts w:asciiTheme="minorBidi" w:hAnsiTheme="minorBidi" w:cstheme="minorBidi"/>
          <w:lang w:val="es-ES_tradnl"/>
        </w:rPr>
        <w:t xml:space="preserve">siguientes decidieron proporcionar por escrito sus intervenciones en plenaria sobre este punto del orden del día para que constaran en el anexo informativo del informe de la </w:t>
      </w:r>
      <w:r w:rsidRPr="002F4384">
        <w:rPr>
          <w:rFonts w:asciiTheme="minorBidi" w:hAnsiTheme="minorBidi" w:cstheme="minorBidi"/>
          <w:lang w:val="es-ES_tradnl"/>
        </w:rPr>
        <w:lastRenderedPageBreak/>
        <w:t xml:space="preserve">reunión: </w:t>
      </w:r>
      <w:r w:rsidR="00CF3A2B" w:rsidRPr="002F4384">
        <w:rPr>
          <w:rFonts w:asciiTheme="minorBidi" w:hAnsiTheme="minorBidi" w:cstheme="minorBidi"/>
          <w:lang w:val="es-ES_tradnl"/>
        </w:rPr>
        <w:t>Brasil, Chile, China, Colombia, Côte d'Ivoire, Estados Unidos de América, Federación de Rusia, Francia, India, Indonesia (observador), Italia, Japón, Kenya, Reino Unido de Gran Bretaña e Irlanda del Norte, República de Corea, Tailandia, Türkiye, IOCARIBE, WESTPAC, Organización del Pacífico Norte para las Ciencias del Mar (PICES) y CCIO.</w:t>
      </w:r>
    </w:p>
    <w:p w14:paraId="45EE72A5" w14:textId="7E4E2964" w:rsidR="00F95C73" w:rsidRPr="002F4384" w:rsidRDefault="00F95C73"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Consejo Ejecutivo aprobó la </w:t>
      </w:r>
      <w:r w:rsidRPr="002F4384">
        <w:rPr>
          <w:rFonts w:asciiTheme="minorBidi" w:hAnsiTheme="minorBidi" w:cstheme="minorBidi"/>
          <w:u w:val="single"/>
          <w:lang w:val="es-ES_tradnl"/>
        </w:rPr>
        <w:t>resolución EC-55/1 de la COI</w:t>
      </w:r>
      <w:r w:rsidRPr="002F4384">
        <w:rPr>
          <w:rFonts w:asciiTheme="minorBidi" w:hAnsiTheme="minorBidi" w:cstheme="minorBidi"/>
          <w:lang w:val="es-ES_tradnl"/>
        </w:rPr>
        <w:t xml:space="preserve"> presentada por </w:t>
      </w:r>
      <w:r w:rsidR="00A710E8" w:rsidRPr="002F4384">
        <w:rPr>
          <w:rFonts w:asciiTheme="minorBidi" w:hAnsiTheme="minorBidi" w:cstheme="minorBidi"/>
          <w:lang w:val="es-ES_tradnl"/>
        </w:rPr>
        <w:t xml:space="preserve">el </w:t>
      </w:r>
      <w:r w:rsidRPr="002F4384">
        <w:rPr>
          <w:rFonts w:asciiTheme="minorBidi" w:hAnsiTheme="minorBidi" w:cstheme="minorBidi"/>
          <w:lang w:val="es-ES_tradnl"/>
        </w:rPr>
        <w:t>Brasil, Colombia, la India y Marruecos.</w:t>
      </w:r>
    </w:p>
    <w:p w14:paraId="34A0CC9D" w14:textId="77777777" w:rsidR="00FB06E8" w:rsidRPr="002F4384" w:rsidRDefault="00FB06E8" w:rsidP="00FB06E8">
      <w:pPr>
        <w:keepNext/>
        <w:keepLines/>
        <w:tabs>
          <w:tab w:val="left" w:pos="709"/>
        </w:tabs>
        <w:spacing w:after="240"/>
        <w:jc w:val="center"/>
        <w:outlineLvl w:val="0"/>
        <w:rPr>
          <w:rFonts w:asciiTheme="minorBidi" w:eastAsia="SimSun" w:hAnsiTheme="minorBidi" w:cstheme="minorBidi"/>
          <w:b/>
          <w:sz w:val="22"/>
          <w:szCs w:val="22"/>
          <w:lang w:val="es-ES_tradnl"/>
        </w:rPr>
      </w:pPr>
      <w:r w:rsidRPr="002F4384">
        <w:rPr>
          <w:rFonts w:asciiTheme="minorBidi" w:eastAsia="SimSun" w:hAnsiTheme="minorBidi" w:cstheme="minorBidi"/>
          <w:b/>
          <w:bCs/>
          <w:sz w:val="22"/>
          <w:szCs w:val="22"/>
          <w:lang w:val="es-ES_tradnl"/>
        </w:rPr>
        <w:t xml:space="preserve">Ejecución del Decenio de las Naciones Unidas de las Ciencias Oceánicas </w:t>
      </w:r>
      <w:r w:rsidRPr="002F4384">
        <w:rPr>
          <w:rFonts w:asciiTheme="minorBidi" w:eastAsia="SimSun" w:hAnsiTheme="minorBidi" w:cstheme="minorBidi"/>
          <w:b/>
          <w:bCs/>
          <w:sz w:val="22"/>
          <w:szCs w:val="22"/>
          <w:lang w:val="es-ES_tradnl"/>
        </w:rPr>
        <w:br/>
        <w:t>para el Desarrollo Sostenible (2021-2030)</w:t>
      </w:r>
    </w:p>
    <w:p w14:paraId="17D66C51" w14:textId="77777777" w:rsidR="00FB06E8" w:rsidRPr="002F4384" w:rsidRDefault="00FB06E8" w:rsidP="00FB06E8">
      <w:pPr>
        <w:keepNext/>
        <w:tabs>
          <w:tab w:val="left" w:pos="709"/>
        </w:tabs>
        <w:spacing w:after="240"/>
        <w:jc w:val="both"/>
        <w:rPr>
          <w:rFonts w:asciiTheme="minorBidi" w:eastAsia="Calibri" w:hAnsiTheme="minorBidi" w:cstheme="minorBidi"/>
          <w:sz w:val="22"/>
          <w:szCs w:val="22"/>
          <w:lang w:val="es-ES_tradnl"/>
        </w:rPr>
      </w:pPr>
      <w:r w:rsidRPr="002F4384">
        <w:rPr>
          <w:rFonts w:asciiTheme="minorBidi" w:eastAsia="Calibri" w:hAnsiTheme="minorBidi" w:cstheme="minorBidi"/>
          <w:sz w:val="22"/>
          <w:szCs w:val="22"/>
          <w:lang w:val="es-ES_tradnl"/>
        </w:rPr>
        <w:t>El Consejo Ejecutivo,</w:t>
      </w:r>
    </w:p>
    <w:p w14:paraId="18062BA1" w14:textId="77777777" w:rsidR="00FB06E8" w:rsidRPr="002F4384" w:rsidRDefault="00FB06E8" w:rsidP="00FB06E8">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Recordando</w:t>
      </w:r>
      <w:r w:rsidRPr="002F4384">
        <w:rPr>
          <w:rFonts w:asciiTheme="minorBidi" w:hAnsiTheme="minorBidi" w:cstheme="minorBidi"/>
          <w:bCs/>
          <w:sz w:val="22"/>
          <w:szCs w:val="22"/>
          <w:lang w:val="es-ES_tradnl"/>
        </w:rPr>
        <w:t xml:space="preserve"> las resoluciones EC-53/1 y A-31/1 de la COI, relativas a la ejecución del Decenio de las Naciones Unidas de las Ciencias Oceánicas para el Desarrollo Sostenible (2021-2030) (“el Decenio”),</w:t>
      </w:r>
    </w:p>
    <w:p w14:paraId="3FC48EEA" w14:textId="77777777" w:rsidR="00FB06E8" w:rsidRPr="002F4384" w:rsidRDefault="00FB06E8" w:rsidP="00FB06E8">
      <w:pPr>
        <w:tabs>
          <w:tab w:val="left" w:pos="-737"/>
        </w:tabs>
        <w:snapToGrid w:val="0"/>
        <w:spacing w:after="240"/>
        <w:jc w:val="center"/>
        <w:rPr>
          <w:rFonts w:asciiTheme="minorBidi" w:hAnsiTheme="minorBidi" w:cstheme="minorBidi"/>
          <w:b/>
          <w:bCs/>
          <w:sz w:val="22"/>
          <w:szCs w:val="22"/>
          <w:lang w:val="es-ES_tradnl"/>
        </w:rPr>
      </w:pPr>
      <w:r w:rsidRPr="002F4384">
        <w:rPr>
          <w:rFonts w:asciiTheme="minorBidi" w:hAnsiTheme="minorBidi" w:cstheme="minorBidi"/>
          <w:b/>
          <w:bCs/>
          <w:sz w:val="22"/>
          <w:szCs w:val="22"/>
          <w:lang w:val="es-ES_tradnl"/>
        </w:rPr>
        <w:t>Parte 1 – Coordinación del Decenio</w:t>
      </w:r>
    </w:p>
    <w:p w14:paraId="72AB6F29" w14:textId="77777777" w:rsidR="00FB06E8" w:rsidRPr="002F4384" w:rsidRDefault="00FB06E8" w:rsidP="00FB06E8">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Considerando</w:t>
      </w:r>
      <w:r w:rsidRPr="002F4384">
        <w:rPr>
          <w:rFonts w:asciiTheme="minorBidi" w:hAnsiTheme="minorBidi" w:cstheme="minorBidi"/>
          <w:bCs/>
          <w:sz w:val="22"/>
          <w:szCs w:val="22"/>
          <w:lang w:val="es-ES_tradnl"/>
        </w:rPr>
        <w:t xml:space="preserve"> el documento IOC/EC-55/4.1.Doc(1), relativo al estado de ejecución del Decenio, así como su addendum, en el que se presentan los resultados de la segunda Convocatoria de Acciones del Decenio y el alcance de la tercera,</w:t>
      </w:r>
    </w:p>
    <w:p w14:paraId="35D47507" w14:textId="77777777" w:rsidR="00FB06E8" w:rsidRPr="002F4384" w:rsidRDefault="00FB06E8" w:rsidP="00FB06E8">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Toma nota</w:t>
      </w:r>
      <w:r w:rsidRPr="002F4384">
        <w:rPr>
          <w:rFonts w:asciiTheme="minorBidi" w:hAnsiTheme="minorBidi" w:cstheme="minorBidi"/>
          <w:bCs/>
          <w:sz w:val="22"/>
          <w:szCs w:val="22"/>
          <w:lang w:val="es-ES_tradnl"/>
        </w:rPr>
        <w:t xml:space="preserve"> del establecimiento de los mecanismos de coordinación del Decenio (oficinas de coordinación del Decenio, centros de colaboración del Decenio, asociados en la ejecución del Decenio y comités nacionales del Decenio), que se presentan en el documento IOC/INF-1413;</w:t>
      </w:r>
    </w:p>
    <w:p w14:paraId="329A4E35" w14:textId="77777777" w:rsidR="00FB06E8" w:rsidRPr="002F4384" w:rsidRDefault="00FB06E8" w:rsidP="00FB06E8">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Toma nota también</w:t>
      </w:r>
      <w:r w:rsidRPr="002F4384">
        <w:rPr>
          <w:rFonts w:asciiTheme="minorBidi" w:hAnsiTheme="minorBidi" w:cstheme="minorBidi"/>
          <w:bCs/>
          <w:sz w:val="22"/>
          <w:szCs w:val="22"/>
          <w:lang w:val="es-ES_tradnl"/>
        </w:rPr>
        <w:t xml:space="preserve"> del establecimiento de la Junta Asesora del Decenio y de su Reglamento, que figura en el documento IOC/INF-1414;</w:t>
      </w:r>
    </w:p>
    <w:p w14:paraId="64B717BA" w14:textId="77777777" w:rsidR="00FB06E8" w:rsidRPr="002F4384" w:rsidRDefault="00FB06E8" w:rsidP="00FB06E8">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Agradece</w:t>
      </w:r>
      <w:r w:rsidRPr="002F4384">
        <w:rPr>
          <w:rFonts w:asciiTheme="minorBidi" w:hAnsiTheme="minorBidi" w:cstheme="minorBidi"/>
          <w:bCs/>
          <w:sz w:val="22"/>
          <w:szCs w:val="22"/>
          <w:lang w:val="es-ES_tradnl"/>
        </w:rPr>
        <w:t xml:space="preserve"> a los miembros de la Junta Asesora Provisional del Decenio su contribución hasta diciembre de 2021;</w:t>
      </w:r>
    </w:p>
    <w:p w14:paraId="5F16178E" w14:textId="77777777" w:rsidR="00FB06E8" w:rsidRPr="002F4384" w:rsidRDefault="00FB06E8" w:rsidP="00FB06E8">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Invita</w:t>
      </w:r>
      <w:r w:rsidRPr="002F4384">
        <w:rPr>
          <w:rFonts w:asciiTheme="minorBidi" w:hAnsiTheme="minorBidi" w:cstheme="minorBidi"/>
          <w:bCs/>
          <w:sz w:val="22"/>
          <w:szCs w:val="22"/>
          <w:lang w:val="es-ES_tradnl"/>
        </w:rPr>
        <w:t xml:space="preserve"> a los Estados Miembros y a los asociados a que:</w:t>
      </w:r>
    </w:p>
    <w:p w14:paraId="6D928C62" w14:textId="77777777" w:rsidR="00FB06E8" w:rsidRPr="002F4384" w:rsidRDefault="00FB06E8" w:rsidP="00FB06E8">
      <w:pPr>
        <w:snapToGrid w:val="0"/>
        <w:spacing w:after="240"/>
        <w:ind w:left="1134" w:hanging="567"/>
        <w:jc w:val="both"/>
        <w:rPr>
          <w:rFonts w:asciiTheme="minorBidi" w:hAnsiTheme="minorBidi" w:cstheme="minorBidi"/>
          <w:bCs/>
          <w:sz w:val="22"/>
          <w:szCs w:val="22"/>
          <w:lang w:val="es-ES_tradnl"/>
        </w:rPr>
      </w:pPr>
      <w:r w:rsidRPr="002F4384">
        <w:rPr>
          <w:rFonts w:asciiTheme="minorBidi" w:hAnsiTheme="minorBidi" w:cstheme="minorBidi"/>
          <w:bCs/>
          <w:sz w:val="22"/>
          <w:szCs w:val="22"/>
          <w:lang w:val="es-ES_tradnl"/>
        </w:rPr>
        <w:t xml:space="preserve">i) </w:t>
      </w:r>
      <w:r w:rsidRPr="002F4384">
        <w:rPr>
          <w:rFonts w:asciiTheme="minorBidi" w:hAnsiTheme="minorBidi" w:cstheme="minorBidi"/>
          <w:bCs/>
          <w:sz w:val="22"/>
          <w:szCs w:val="22"/>
          <w:lang w:val="es-ES_tradnl"/>
        </w:rPr>
        <w:tab/>
        <w:t>aporten contribuciones financieras voluntarias para respaldar la labor de la Secretaría de la COI en la coordinación del Decenio, en particular apoyo en especie (por ejemplo, en forma de préstamos de personal) y cesiones en comisión de servicio a la Unidad de Coordinación del Decenio (DCU);</w:t>
      </w:r>
    </w:p>
    <w:p w14:paraId="2A2077BA" w14:textId="77777777" w:rsidR="00FB06E8" w:rsidRPr="002F4384" w:rsidRDefault="00FB06E8" w:rsidP="00FB06E8">
      <w:pPr>
        <w:snapToGrid w:val="0"/>
        <w:spacing w:after="240"/>
        <w:ind w:left="1134" w:hanging="567"/>
        <w:jc w:val="both"/>
        <w:rPr>
          <w:rFonts w:asciiTheme="minorBidi" w:hAnsiTheme="minorBidi" w:cstheme="minorBidi"/>
          <w:bCs/>
          <w:sz w:val="22"/>
          <w:szCs w:val="22"/>
          <w:lang w:val="es-ES_tradnl"/>
        </w:rPr>
      </w:pPr>
      <w:r w:rsidRPr="002F4384">
        <w:rPr>
          <w:rFonts w:asciiTheme="minorBidi" w:hAnsiTheme="minorBidi" w:cstheme="minorBidi"/>
          <w:bCs/>
          <w:sz w:val="22"/>
          <w:szCs w:val="22"/>
          <w:lang w:val="es-ES_tradnl"/>
        </w:rPr>
        <w:t>ii)</w:t>
      </w:r>
      <w:r w:rsidRPr="002F4384">
        <w:rPr>
          <w:rFonts w:asciiTheme="minorBidi" w:hAnsiTheme="minorBidi" w:cstheme="minorBidi"/>
          <w:bCs/>
          <w:sz w:val="22"/>
          <w:szCs w:val="22"/>
          <w:lang w:val="es-ES_tradnl"/>
        </w:rPr>
        <w:tab/>
        <w:t>se ofrezcan a albergar y financiar acciones del Decenio, oficinas de coordinación del Decenio y centros de colaboración del Decenio, como se describe en el plan de ejecución del Decenio;</w:t>
      </w:r>
    </w:p>
    <w:p w14:paraId="3A9DD23E" w14:textId="77777777" w:rsidR="00FB06E8" w:rsidRPr="002F4384" w:rsidRDefault="00FB06E8" w:rsidP="00FB06E8">
      <w:pPr>
        <w:snapToGrid w:val="0"/>
        <w:spacing w:after="240"/>
        <w:ind w:left="1134" w:hanging="567"/>
        <w:jc w:val="both"/>
        <w:rPr>
          <w:rFonts w:asciiTheme="minorBidi" w:hAnsiTheme="minorBidi" w:cstheme="minorBidi"/>
          <w:bCs/>
          <w:sz w:val="22"/>
          <w:szCs w:val="22"/>
          <w:lang w:val="es-ES_tradnl"/>
        </w:rPr>
      </w:pPr>
      <w:r w:rsidRPr="002F4384">
        <w:rPr>
          <w:rFonts w:asciiTheme="minorBidi" w:hAnsiTheme="minorBidi" w:cstheme="minorBidi"/>
          <w:bCs/>
          <w:sz w:val="22"/>
          <w:szCs w:val="22"/>
          <w:lang w:val="es-ES_tradnl"/>
        </w:rPr>
        <w:t>iii)</w:t>
      </w:r>
      <w:r w:rsidRPr="002F4384">
        <w:rPr>
          <w:rFonts w:asciiTheme="minorBidi" w:hAnsiTheme="minorBidi" w:cstheme="minorBidi"/>
          <w:bCs/>
          <w:sz w:val="22"/>
          <w:szCs w:val="22"/>
          <w:lang w:val="es-ES_tradnl"/>
        </w:rPr>
        <w:tab/>
        <w:t>establezcan comités nacionales del Decenio para fomentar las actividades nacionales y la cooperación internacional;</w:t>
      </w:r>
    </w:p>
    <w:p w14:paraId="53976CCA" w14:textId="77777777" w:rsidR="00FB06E8" w:rsidRPr="002F4384" w:rsidRDefault="00FB06E8" w:rsidP="00FB06E8">
      <w:pPr>
        <w:snapToGrid w:val="0"/>
        <w:spacing w:after="240"/>
        <w:ind w:left="1134" w:hanging="567"/>
        <w:jc w:val="both"/>
        <w:rPr>
          <w:rFonts w:asciiTheme="minorBidi" w:hAnsiTheme="minorBidi" w:cstheme="minorBidi"/>
          <w:bCs/>
          <w:sz w:val="22"/>
          <w:szCs w:val="22"/>
          <w:lang w:val="es-ES_tradnl"/>
        </w:rPr>
      </w:pPr>
      <w:r w:rsidRPr="002F4384">
        <w:rPr>
          <w:rFonts w:asciiTheme="minorBidi" w:hAnsiTheme="minorBidi" w:cstheme="minorBidi"/>
          <w:bCs/>
          <w:sz w:val="22"/>
          <w:szCs w:val="22"/>
          <w:lang w:val="es-ES_tradnl"/>
        </w:rPr>
        <w:t>iv)</w:t>
      </w:r>
      <w:r w:rsidRPr="002F4384">
        <w:rPr>
          <w:rFonts w:asciiTheme="minorBidi" w:hAnsiTheme="minorBidi" w:cstheme="minorBidi"/>
          <w:bCs/>
          <w:sz w:val="22"/>
          <w:szCs w:val="22"/>
          <w:lang w:val="es-ES_tradnl"/>
        </w:rPr>
        <w:tab/>
        <w:t>alberguen eventos regionales o internacionales de las partes interesadas en el Decenio, en particular en el marco de la serie de conferencias internacionales del Decenio del Océano;</w:t>
      </w:r>
    </w:p>
    <w:p w14:paraId="73355A2C" w14:textId="77777777" w:rsidR="00FB06E8" w:rsidRPr="002F4384" w:rsidRDefault="00FB06E8" w:rsidP="00FB06E8">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Invita</w:t>
      </w:r>
      <w:r w:rsidRPr="002F4384">
        <w:rPr>
          <w:rFonts w:asciiTheme="minorBidi" w:hAnsiTheme="minorBidi" w:cstheme="minorBidi"/>
          <w:bCs/>
          <w:sz w:val="22"/>
          <w:szCs w:val="22"/>
          <w:lang w:val="es-ES_tradnl"/>
        </w:rPr>
        <w:t xml:space="preserve"> a los miembros de ONU-Océanos, a los Estados Miembros de las Naciones Unidas, a las organizaciones científicas y académicas internacionales, a las organizaciones no gubernamentales y a otras partes interesadas pertinentes a que apoyen el Decenio en colaboración con la COI y a que contribuyan a su ejecución proponiendo acciones del Decenio de conformidad con el plan de ejecución del Decenio;</w:t>
      </w:r>
    </w:p>
    <w:p w14:paraId="60D12D30" w14:textId="77777777" w:rsidR="00FB06E8" w:rsidRPr="002F4384" w:rsidRDefault="00FB06E8" w:rsidP="00FB06E8">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lastRenderedPageBreak/>
        <w:t>Agradece</w:t>
      </w:r>
      <w:r w:rsidRPr="002F4384">
        <w:rPr>
          <w:rFonts w:asciiTheme="minorBidi" w:hAnsiTheme="minorBidi" w:cstheme="minorBidi"/>
          <w:bCs/>
          <w:sz w:val="22"/>
          <w:szCs w:val="22"/>
          <w:lang w:val="es-ES_tradnl"/>
        </w:rPr>
        <w:t xml:space="preserve"> a los Gobiernos de Bélgica (Gobierno de Flandes), el Canadá, China, Francia, la India, el Japón, Noruega, Portugal, el Reino Unido de Gran Bretaña e Irlanda del Norte, la República de Corea y Suecia, así como a REV-Ocean, Panerai y FUGRO, sus contribuciones financieras al Decenio;</w:t>
      </w:r>
    </w:p>
    <w:p w14:paraId="53BF7728" w14:textId="77777777" w:rsidR="00FB06E8" w:rsidRPr="002F4384" w:rsidRDefault="00FB06E8" w:rsidP="00FB06E8">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Da las gracias</w:t>
      </w:r>
      <w:r w:rsidRPr="002F4384">
        <w:rPr>
          <w:rFonts w:asciiTheme="minorBidi" w:hAnsiTheme="minorBidi" w:cstheme="minorBidi"/>
          <w:bCs/>
          <w:sz w:val="22"/>
          <w:szCs w:val="22"/>
          <w:lang w:val="es-ES_tradnl"/>
        </w:rPr>
        <w:t xml:space="preserve"> al Gobierno de Alemania por haber albergado la presentación de alto nivel del Decenio del Océano – Primera Conferencia Internacional del Decenio del Océano y los laboratorios del Decenio del Océano, al Gobierno de Egipto por haber albergado la conferencia africana sobre el establecimiento de prioridades y alianzas para el Decenio, al Gobierno de Tailandia por haber albergado la conferencia de inicio del Decenio para el Pacífico Occidental y sus zonas adyacentes, a los Gobiernos de Colombia y Barbados por haber albergado la conferencia regional de inicio del Decenio para la región de América Tropical y el Caribe, y al Reino de Marruecos, a través de la Fundación Mohammed VI para la Protección del Medio Ambiente, por haber albergado el segundo diálogo de fundaciones sobre el Decenio;</w:t>
      </w:r>
    </w:p>
    <w:p w14:paraId="734B28DF" w14:textId="77777777" w:rsidR="00FB06E8" w:rsidRPr="002F4384" w:rsidRDefault="00FB06E8" w:rsidP="00FB06E8">
      <w:pPr>
        <w:tabs>
          <w:tab w:val="left" w:pos="-737"/>
        </w:tabs>
        <w:snapToGrid w:val="0"/>
        <w:spacing w:after="240"/>
        <w:jc w:val="center"/>
        <w:rPr>
          <w:rFonts w:asciiTheme="minorBidi" w:hAnsiTheme="minorBidi" w:cstheme="minorBidi"/>
          <w:b/>
          <w:bCs/>
          <w:sz w:val="22"/>
          <w:szCs w:val="22"/>
          <w:lang w:val="es-ES_tradnl"/>
        </w:rPr>
      </w:pPr>
      <w:r w:rsidRPr="002F4384">
        <w:rPr>
          <w:rFonts w:asciiTheme="minorBidi" w:hAnsiTheme="minorBidi" w:cstheme="minorBidi"/>
          <w:b/>
          <w:bCs/>
          <w:sz w:val="22"/>
          <w:szCs w:val="22"/>
          <w:lang w:val="es-ES_tradnl"/>
        </w:rPr>
        <w:t>Parte 2 – Contribución de la COI al Decenio</w:t>
      </w:r>
    </w:p>
    <w:p w14:paraId="256BF012" w14:textId="77777777" w:rsidR="00FB06E8" w:rsidRPr="002F4384" w:rsidRDefault="00FB06E8" w:rsidP="00FB06E8">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Apoya</w:t>
      </w:r>
      <w:r w:rsidRPr="002F4384">
        <w:rPr>
          <w:rFonts w:asciiTheme="minorBidi" w:hAnsiTheme="minorBidi" w:cstheme="minorBidi"/>
          <w:bCs/>
          <w:sz w:val="22"/>
          <w:szCs w:val="22"/>
          <w:lang w:val="es-ES_tradnl"/>
        </w:rPr>
        <w:t xml:space="preserve"> la inscripción de las acciones del Decenio dirigidas por la COI, a saber:</w:t>
      </w:r>
    </w:p>
    <w:p w14:paraId="38E59C29" w14:textId="77777777" w:rsidR="00FB06E8" w:rsidRPr="002F4384" w:rsidRDefault="00FB06E8" w:rsidP="00035473">
      <w:pPr>
        <w:numPr>
          <w:ilvl w:val="1"/>
          <w:numId w:val="16"/>
        </w:numPr>
        <w:snapToGrid w:val="0"/>
        <w:spacing w:after="240"/>
        <w:ind w:left="1134" w:hanging="567"/>
        <w:jc w:val="both"/>
        <w:rPr>
          <w:rFonts w:asciiTheme="minorBidi" w:hAnsiTheme="minorBidi" w:cstheme="minorBidi"/>
          <w:bCs/>
          <w:sz w:val="22"/>
          <w:szCs w:val="22"/>
          <w:lang w:val="es-ES_tradnl"/>
        </w:rPr>
      </w:pPr>
      <w:r w:rsidRPr="002F4384">
        <w:rPr>
          <w:rFonts w:asciiTheme="minorBidi" w:hAnsiTheme="minorBidi" w:cstheme="minorBidi"/>
          <w:bCs/>
          <w:sz w:val="22"/>
          <w:szCs w:val="22"/>
          <w:lang w:val="es-ES_tradnl"/>
        </w:rPr>
        <w:t>Expediciones de muestreo de ADN ambiental (E-DNA) en sitios marinos del Patrimonio Mundial (UN8);</w:t>
      </w:r>
    </w:p>
    <w:p w14:paraId="5BA49E85" w14:textId="77777777" w:rsidR="00FB06E8" w:rsidRPr="002F4384" w:rsidRDefault="00FB06E8" w:rsidP="00035473">
      <w:pPr>
        <w:numPr>
          <w:ilvl w:val="1"/>
          <w:numId w:val="16"/>
        </w:numPr>
        <w:snapToGrid w:val="0"/>
        <w:spacing w:after="240"/>
        <w:ind w:left="1134" w:hanging="567"/>
        <w:jc w:val="both"/>
        <w:rPr>
          <w:rFonts w:asciiTheme="minorBidi" w:hAnsiTheme="minorBidi" w:cstheme="minorBidi"/>
          <w:bCs/>
          <w:sz w:val="22"/>
          <w:szCs w:val="22"/>
          <w:lang w:val="es-ES_tradnl"/>
        </w:rPr>
      </w:pPr>
      <w:r w:rsidRPr="002F4384">
        <w:rPr>
          <w:rFonts w:asciiTheme="minorBidi" w:hAnsiTheme="minorBidi" w:cstheme="minorBidi"/>
          <w:bCs/>
          <w:sz w:val="22"/>
          <w:szCs w:val="22"/>
          <w:lang w:val="es-ES_tradnl"/>
        </w:rPr>
        <w:t>Academia Mundial OceanTeacher: fortalecimiento de capacidades y aceleración de la transferencia de tecnología para el Decenio del Océano (UN10);</w:t>
      </w:r>
    </w:p>
    <w:p w14:paraId="5562350C" w14:textId="77777777" w:rsidR="00FB06E8" w:rsidRPr="002F4384" w:rsidRDefault="00FB06E8" w:rsidP="00035473">
      <w:pPr>
        <w:numPr>
          <w:ilvl w:val="1"/>
          <w:numId w:val="16"/>
        </w:numPr>
        <w:snapToGrid w:val="0"/>
        <w:spacing w:after="240"/>
        <w:ind w:left="1134" w:hanging="567"/>
        <w:jc w:val="both"/>
        <w:rPr>
          <w:rFonts w:asciiTheme="minorBidi" w:hAnsiTheme="minorBidi" w:cstheme="minorBidi"/>
          <w:bCs/>
          <w:sz w:val="22"/>
          <w:szCs w:val="22"/>
          <w:lang w:val="es-ES_tradnl"/>
        </w:rPr>
      </w:pPr>
      <w:r w:rsidRPr="002F4384">
        <w:rPr>
          <w:rFonts w:asciiTheme="minorBidi" w:hAnsiTheme="minorBidi" w:cstheme="minorBidi"/>
          <w:bCs/>
          <w:sz w:val="22"/>
          <w:szCs w:val="22"/>
          <w:lang w:val="es-ES_tradnl"/>
        </w:rPr>
        <w:t>Red de Alerta contra las Invasiones Biológicas Marinas en las Islas del Pacífico (UN11);</w:t>
      </w:r>
    </w:p>
    <w:p w14:paraId="3399FA4E" w14:textId="77777777" w:rsidR="00FB06E8" w:rsidRPr="002F4384" w:rsidRDefault="00FB06E8" w:rsidP="00035473">
      <w:pPr>
        <w:numPr>
          <w:ilvl w:val="1"/>
          <w:numId w:val="16"/>
        </w:numPr>
        <w:snapToGrid w:val="0"/>
        <w:spacing w:after="240"/>
        <w:ind w:left="1134" w:hanging="567"/>
        <w:jc w:val="both"/>
        <w:rPr>
          <w:rFonts w:asciiTheme="minorBidi" w:hAnsiTheme="minorBidi" w:cstheme="minorBidi"/>
          <w:bCs/>
          <w:sz w:val="22"/>
          <w:szCs w:val="22"/>
          <w:lang w:val="es-ES_tradnl"/>
        </w:rPr>
      </w:pPr>
      <w:r w:rsidRPr="002F4384">
        <w:rPr>
          <w:rFonts w:asciiTheme="minorBidi" w:hAnsiTheme="minorBidi" w:cstheme="minorBidi"/>
          <w:bCs/>
          <w:sz w:val="22"/>
          <w:szCs w:val="22"/>
          <w:lang w:val="es-ES_tradnl"/>
        </w:rPr>
        <w:t>Aceleración de la planificación espacial marina en el Pacífico Occidental (UN21);</w:t>
      </w:r>
    </w:p>
    <w:p w14:paraId="35246039" w14:textId="77777777" w:rsidR="00FB06E8" w:rsidRPr="002F4384" w:rsidRDefault="00FB06E8" w:rsidP="00035473">
      <w:pPr>
        <w:numPr>
          <w:ilvl w:val="1"/>
          <w:numId w:val="16"/>
        </w:numPr>
        <w:snapToGrid w:val="0"/>
        <w:spacing w:after="240"/>
        <w:ind w:left="1134" w:hanging="567"/>
        <w:jc w:val="both"/>
        <w:rPr>
          <w:rFonts w:asciiTheme="minorBidi" w:hAnsiTheme="minorBidi" w:cstheme="minorBidi"/>
          <w:bCs/>
          <w:sz w:val="22"/>
          <w:szCs w:val="22"/>
          <w:lang w:val="es-ES_tradnl"/>
        </w:rPr>
      </w:pPr>
      <w:r w:rsidRPr="002F4384">
        <w:rPr>
          <w:rFonts w:asciiTheme="minorBidi" w:hAnsiTheme="minorBidi" w:cstheme="minorBidi"/>
          <w:bCs/>
          <w:sz w:val="22"/>
          <w:szCs w:val="22"/>
          <w:lang w:val="es-ES_tradnl"/>
        </w:rPr>
        <w:t>Control de la emisión de plásticos fluviales al océano en Asia (UN22);</w:t>
      </w:r>
    </w:p>
    <w:p w14:paraId="4F8C3509" w14:textId="77777777" w:rsidR="00FB06E8" w:rsidRPr="002F4384" w:rsidRDefault="00FB06E8" w:rsidP="00035473">
      <w:pPr>
        <w:numPr>
          <w:ilvl w:val="1"/>
          <w:numId w:val="16"/>
        </w:numPr>
        <w:snapToGrid w:val="0"/>
        <w:spacing w:after="240"/>
        <w:ind w:left="1134" w:hanging="567"/>
        <w:jc w:val="both"/>
        <w:rPr>
          <w:rFonts w:asciiTheme="minorBidi" w:hAnsiTheme="minorBidi" w:cstheme="minorBidi"/>
          <w:bCs/>
          <w:sz w:val="22"/>
          <w:szCs w:val="22"/>
          <w:lang w:val="es-ES_tradnl"/>
        </w:rPr>
      </w:pPr>
      <w:r w:rsidRPr="002F4384">
        <w:rPr>
          <w:rFonts w:asciiTheme="minorBidi" w:hAnsiTheme="minorBidi" w:cstheme="minorBidi"/>
          <w:bCs/>
          <w:sz w:val="22"/>
          <w:szCs w:val="22"/>
          <w:lang w:val="es-ES_tradnl"/>
        </w:rPr>
        <w:t>Aceleración de las transformaciones del desarrollo de capacidades en el Pacífico Occidental – Red Regional de Centros de Formación e Investigación en Ciencias Marinas (UN23);</w:t>
      </w:r>
    </w:p>
    <w:p w14:paraId="50DB7B4D" w14:textId="77777777" w:rsidR="00FB06E8" w:rsidRPr="002F4384" w:rsidRDefault="00FB06E8" w:rsidP="00035473">
      <w:pPr>
        <w:numPr>
          <w:ilvl w:val="1"/>
          <w:numId w:val="16"/>
        </w:numPr>
        <w:snapToGrid w:val="0"/>
        <w:spacing w:after="240"/>
        <w:ind w:left="1134" w:hanging="567"/>
        <w:jc w:val="both"/>
        <w:rPr>
          <w:rFonts w:asciiTheme="minorBidi" w:hAnsiTheme="minorBidi" w:cstheme="minorBidi"/>
          <w:bCs/>
          <w:sz w:val="22"/>
          <w:szCs w:val="22"/>
          <w:lang w:val="es-ES_tradnl"/>
        </w:rPr>
      </w:pPr>
      <w:r w:rsidRPr="002F4384">
        <w:rPr>
          <w:rFonts w:asciiTheme="minorBidi" w:hAnsiTheme="minorBidi" w:cstheme="minorBidi"/>
          <w:bCs/>
          <w:sz w:val="22"/>
          <w:szCs w:val="22"/>
          <w:lang w:val="es-ES_tradnl"/>
        </w:rPr>
        <w:t>Exploración de la corriente oceánica más potente del Pacífico Occidental: segundo estudio cooperativo de Kuroshio y las regiones adyacentes (UN24);</w:t>
      </w:r>
    </w:p>
    <w:p w14:paraId="0F161B6F" w14:textId="77777777" w:rsidR="00FB06E8" w:rsidRPr="002F4384" w:rsidRDefault="00FB06E8" w:rsidP="00035473">
      <w:pPr>
        <w:numPr>
          <w:ilvl w:val="1"/>
          <w:numId w:val="16"/>
        </w:numPr>
        <w:snapToGrid w:val="0"/>
        <w:spacing w:after="240"/>
        <w:ind w:left="1134" w:hanging="567"/>
        <w:jc w:val="both"/>
        <w:rPr>
          <w:rFonts w:asciiTheme="minorBidi" w:hAnsiTheme="minorBidi" w:cstheme="minorBidi"/>
          <w:bCs/>
          <w:sz w:val="22"/>
          <w:szCs w:val="22"/>
          <w:lang w:val="es-ES_tradnl"/>
        </w:rPr>
      </w:pPr>
      <w:r w:rsidRPr="002F4384">
        <w:rPr>
          <w:rFonts w:asciiTheme="minorBidi" w:hAnsiTheme="minorBidi" w:cstheme="minorBidi"/>
          <w:bCs/>
          <w:sz w:val="22"/>
          <w:szCs w:val="22"/>
          <w:lang w:val="es-ES_tradnl"/>
        </w:rPr>
        <w:t>El Sistema de Datos e Información Oceanográficos en apoyo del Decenio de las Naciones Unidas de las Ciencias Oceánicas para el Desarrollo Sostenible – OceanData 2030 (UN25);</w:t>
      </w:r>
    </w:p>
    <w:p w14:paraId="5E27185C" w14:textId="77777777" w:rsidR="00FB06E8" w:rsidRPr="002F4384" w:rsidRDefault="00FB06E8" w:rsidP="00035473">
      <w:pPr>
        <w:numPr>
          <w:ilvl w:val="1"/>
          <w:numId w:val="16"/>
        </w:numPr>
        <w:snapToGrid w:val="0"/>
        <w:spacing w:after="240"/>
        <w:ind w:left="1134" w:hanging="567"/>
        <w:jc w:val="both"/>
        <w:rPr>
          <w:rFonts w:asciiTheme="minorBidi" w:hAnsiTheme="minorBidi" w:cstheme="minorBidi"/>
          <w:bCs/>
          <w:sz w:val="22"/>
          <w:szCs w:val="22"/>
          <w:lang w:val="es-ES_tradnl"/>
        </w:rPr>
      </w:pPr>
      <w:r w:rsidRPr="002F4384">
        <w:rPr>
          <w:rFonts w:asciiTheme="minorBidi" w:hAnsiTheme="minorBidi" w:cstheme="minorBidi"/>
          <w:bCs/>
          <w:sz w:val="22"/>
          <w:szCs w:val="22"/>
          <w:lang w:val="es-ES_tradnl"/>
        </w:rPr>
        <w:t>Aumento del desarrollo de capacidades en la región de América Tropical y el Caribe (136.2);</w:t>
      </w:r>
    </w:p>
    <w:p w14:paraId="1CDE739D" w14:textId="77777777" w:rsidR="00FB06E8" w:rsidRPr="002F4384" w:rsidRDefault="00FB06E8" w:rsidP="00035473">
      <w:pPr>
        <w:numPr>
          <w:ilvl w:val="1"/>
          <w:numId w:val="16"/>
        </w:numPr>
        <w:snapToGrid w:val="0"/>
        <w:spacing w:after="240"/>
        <w:ind w:left="1134" w:hanging="567"/>
        <w:jc w:val="both"/>
        <w:rPr>
          <w:rFonts w:asciiTheme="minorBidi" w:hAnsiTheme="minorBidi" w:cstheme="minorBidi"/>
          <w:bCs/>
          <w:sz w:val="22"/>
          <w:szCs w:val="22"/>
          <w:lang w:val="es-ES_tradnl"/>
        </w:rPr>
      </w:pPr>
      <w:r w:rsidRPr="002F4384">
        <w:rPr>
          <w:rFonts w:asciiTheme="minorBidi" w:hAnsiTheme="minorBidi" w:cstheme="minorBidi"/>
          <w:bCs/>
          <w:sz w:val="22"/>
          <w:szCs w:val="22"/>
          <w:lang w:val="es-ES_tradnl"/>
        </w:rPr>
        <w:t>Integración de los sistemas de alerta contra los peligros costeros en la región de América Tropical y el Caribe (138.2);</w:t>
      </w:r>
    </w:p>
    <w:p w14:paraId="1D0620FC" w14:textId="77777777" w:rsidR="00FB06E8" w:rsidRPr="002F4384" w:rsidRDefault="00FB06E8" w:rsidP="00035473">
      <w:pPr>
        <w:numPr>
          <w:ilvl w:val="1"/>
          <w:numId w:val="16"/>
        </w:numPr>
        <w:snapToGrid w:val="0"/>
        <w:spacing w:after="240"/>
        <w:ind w:left="1134" w:hanging="567"/>
        <w:jc w:val="both"/>
        <w:rPr>
          <w:rFonts w:asciiTheme="minorBidi" w:hAnsiTheme="minorBidi" w:cstheme="minorBidi"/>
          <w:bCs/>
          <w:sz w:val="22"/>
          <w:szCs w:val="22"/>
          <w:lang w:val="es-ES_tradnl"/>
        </w:rPr>
      </w:pPr>
      <w:r w:rsidRPr="002F4384">
        <w:rPr>
          <w:rFonts w:asciiTheme="minorBidi" w:hAnsiTheme="minorBidi" w:cstheme="minorBidi"/>
          <w:bCs/>
          <w:sz w:val="22"/>
          <w:szCs w:val="22"/>
          <w:lang w:val="es-ES_tradnl"/>
        </w:rPr>
        <w:t>Proyecto Seabed 2030 de la MACHC y la IOCARIBE (140.2);</w:t>
      </w:r>
    </w:p>
    <w:p w14:paraId="0F2C19F3" w14:textId="77777777" w:rsidR="00FB06E8" w:rsidRPr="002F4384" w:rsidRDefault="00FB06E8" w:rsidP="00FB06E8">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Apoya también</w:t>
      </w:r>
      <w:r w:rsidRPr="002F4384">
        <w:rPr>
          <w:rFonts w:asciiTheme="minorBidi" w:hAnsiTheme="minorBidi" w:cstheme="minorBidi"/>
          <w:bCs/>
          <w:sz w:val="22"/>
          <w:szCs w:val="22"/>
          <w:lang w:val="es-ES_tradnl"/>
        </w:rPr>
        <w:t xml:space="preserve"> la función activa de los órganos subsidiarios regionales y técnicos y de los programas de la COI para facilitar la coordinación regional y temática del Decenio y las actividades de movilización, y en particular la función de:</w:t>
      </w:r>
    </w:p>
    <w:p w14:paraId="29EC2DCF" w14:textId="77777777" w:rsidR="00FB06E8" w:rsidRPr="002F4384" w:rsidRDefault="00FB06E8" w:rsidP="00035473">
      <w:pPr>
        <w:numPr>
          <w:ilvl w:val="0"/>
          <w:numId w:val="17"/>
        </w:numPr>
        <w:snapToGrid w:val="0"/>
        <w:spacing w:after="240"/>
        <w:ind w:left="1134" w:hanging="567"/>
        <w:jc w:val="both"/>
        <w:rPr>
          <w:rFonts w:asciiTheme="minorBidi" w:hAnsiTheme="minorBidi" w:cstheme="minorBidi"/>
          <w:bCs/>
          <w:sz w:val="22"/>
          <w:szCs w:val="22"/>
          <w:lang w:val="es-ES_tradnl"/>
        </w:rPr>
      </w:pPr>
      <w:r w:rsidRPr="002F4384">
        <w:rPr>
          <w:rFonts w:asciiTheme="minorBidi" w:hAnsiTheme="minorBidi" w:cstheme="minorBidi"/>
          <w:bCs/>
          <w:sz w:val="22"/>
          <w:szCs w:val="22"/>
          <w:lang w:val="es-ES_tradnl"/>
        </w:rPr>
        <w:t>la Secretaría de la WESTPAC, que actúa como oficina de coordinación del Decenio para la región del Pacífico Occidental;</w:t>
      </w:r>
    </w:p>
    <w:p w14:paraId="64A63052" w14:textId="77777777" w:rsidR="00FB06E8" w:rsidRPr="002F4384" w:rsidRDefault="00FB06E8" w:rsidP="00035473">
      <w:pPr>
        <w:numPr>
          <w:ilvl w:val="0"/>
          <w:numId w:val="17"/>
        </w:numPr>
        <w:snapToGrid w:val="0"/>
        <w:spacing w:after="240"/>
        <w:ind w:left="1134" w:hanging="567"/>
        <w:jc w:val="both"/>
        <w:rPr>
          <w:rFonts w:asciiTheme="minorBidi" w:hAnsiTheme="minorBidi" w:cstheme="minorBidi"/>
          <w:bCs/>
          <w:sz w:val="22"/>
          <w:szCs w:val="22"/>
          <w:lang w:val="es-ES_tradnl"/>
        </w:rPr>
      </w:pPr>
      <w:r w:rsidRPr="002F4384">
        <w:rPr>
          <w:rFonts w:asciiTheme="minorBidi" w:hAnsiTheme="minorBidi" w:cstheme="minorBidi"/>
          <w:bCs/>
          <w:sz w:val="22"/>
          <w:szCs w:val="22"/>
          <w:lang w:val="es-ES_tradnl"/>
        </w:rPr>
        <w:lastRenderedPageBreak/>
        <w:t>la Oficina del IODE, que actúa como oficina de coordinación del Decenio para el intercambio de datos oceanográficos;</w:t>
      </w:r>
    </w:p>
    <w:p w14:paraId="569896A0" w14:textId="77777777" w:rsidR="00FB06E8" w:rsidRPr="002F4384" w:rsidRDefault="00FB06E8" w:rsidP="00035473">
      <w:pPr>
        <w:numPr>
          <w:ilvl w:val="0"/>
          <w:numId w:val="17"/>
        </w:numPr>
        <w:snapToGrid w:val="0"/>
        <w:spacing w:after="240"/>
        <w:ind w:left="1134" w:hanging="567"/>
        <w:jc w:val="both"/>
        <w:rPr>
          <w:rFonts w:asciiTheme="minorBidi" w:hAnsiTheme="minorBidi" w:cstheme="minorBidi"/>
          <w:bCs/>
          <w:sz w:val="22"/>
          <w:szCs w:val="22"/>
          <w:lang w:val="es-ES_tradnl"/>
        </w:rPr>
      </w:pPr>
      <w:r w:rsidRPr="002F4384">
        <w:rPr>
          <w:rFonts w:asciiTheme="minorBidi" w:hAnsiTheme="minorBidi" w:cstheme="minorBidi"/>
          <w:bCs/>
          <w:sz w:val="22"/>
          <w:szCs w:val="22"/>
          <w:lang w:val="es-ES_tradnl"/>
        </w:rPr>
        <w:t>la Oficina de Proyectos del GOOS, que actúa como oficina de coordinación del Decenio para las observaciones oceánicas;</w:t>
      </w:r>
    </w:p>
    <w:p w14:paraId="36D753FD" w14:textId="77777777" w:rsidR="00FB06E8" w:rsidRPr="002F4384" w:rsidRDefault="00FB06E8" w:rsidP="00FB06E8">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Acoge con beneplácito</w:t>
      </w:r>
      <w:r w:rsidRPr="002F4384">
        <w:rPr>
          <w:rFonts w:asciiTheme="minorBidi" w:hAnsiTheme="minorBidi" w:cstheme="minorBidi"/>
          <w:bCs/>
          <w:sz w:val="22"/>
          <w:szCs w:val="22"/>
          <w:lang w:val="es-ES_tradnl"/>
        </w:rPr>
        <w:t xml:space="preserve"> la elaboración de la hoja de ruta africana del Decenio del Océano y sus nueve acciones prioritarias;</w:t>
      </w:r>
    </w:p>
    <w:p w14:paraId="7DBDDEE8" w14:textId="77777777" w:rsidR="00FB06E8" w:rsidRPr="002F4384" w:rsidRDefault="00FB06E8" w:rsidP="00FB06E8">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Toma nota</w:t>
      </w:r>
      <w:r w:rsidRPr="002F4384">
        <w:rPr>
          <w:rFonts w:asciiTheme="minorBidi" w:hAnsiTheme="minorBidi" w:cstheme="minorBidi"/>
          <w:bCs/>
          <w:sz w:val="22"/>
          <w:szCs w:val="22"/>
          <w:lang w:val="es-ES_tradnl"/>
        </w:rPr>
        <w:t xml:space="preserve"> de las carencias que sigue habiendo en cuanto a la elaboración de acciones del Decenio dirigidas por asociados de los pequeños Estados insulares en desarrollo y de los países menos adelantados y </w:t>
      </w:r>
      <w:r w:rsidRPr="002F4384">
        <w:rPr>
          <w:rFonts w:asciiTheme="minorBidi" w:hAnsiTheme="minorBidi" w:cstheme="minorBidi"/>
          <w:sz w:val="22"/>
          <w:szCs w:val="22"/>
          <w:u w:val="single"/>
          <w:lang w:val="es-ES_tradnl"/>
        </w:rPr>
        <w:t>respalda</w:t>
      </w:r>
      <w:r w:rsidRPr="002F4384">
        <w:rPr>
          <w:rFonts w:asciiTheme="minorBidi" w:hAnsiTheme="minorBidi" w:cstheme="minorBidi"/>
          <w:bCs/>
          <w:sz w:val="22"/>
          <w:szCs w:val="22"/>
          <w:lang w:val="es-ES_tradnl"/>
        </w:rPr>
        <w:t xml:space="preserve"> los esfuerzos en curso de la Secretaría en materia de promoción y movilización de recursos con el fin de reducir estas carencias;</w:t>
      </w:r>
    </w:p>
    <w:p w14:paraId="781D6DDA" w14:textId="77777777" w:rsidR="00FB06E8" w:rsidRPr="002F4384" w:rsidRDefault="00FB06E8" w:rsidP="00FB06E8">
      <w:pPr>
        <w:tabs>
          <w:tab w:val="left" w:pos="-737"/>
        </w:tabs>
        <w:snapToGrid w:val="0"/>
        <w:spacing w:after="240"/>
        <w:jc w:val="both"/>
        <w:rPr>
          <w:rFonts w:asciiTheme="minorBidi" w:hAnsiTheme="minorBidi" w:cstheme="minorBidi"/>
          <w:b/>
          <w:bCs/>
          <w:sz w:val="22"/>
          <w:szCs w:val="22"/>
          <w:lang w:val="es-ES_tradnl"/>
        </w:rPr>
      </w:pPr>
      <w:r w:rsidRPr="002F4384">
        <w:rPr>
          <w:rFonts w:asciiTheme="minorBidi" w:hAnsiTheme="minorBidi" w:cstheme="minorBidi"/>
          <w:sz w:val="22"/>
          <w:szCs w:val="22"/>
          <w:u w:val="single"/>
          <w:lang w:val="es-ES_tradnl"/>
        </w:rPr>
        <w:t>Invita</w:t>
      </w:r>
      <w:r w:rsidRPr="002F4384">
        <w:rPr>
          <w:rFonts w:asciiTheme="minorBidi" w:hAnsiTheme="minorBidi" w:cstheme="minorBidi"/>
          <w:bCs/>
          <w:sz w:val="22"/>
          <w:szCs w:val="22"/>
          <w:lang w:val="es-ES_tradnl"/>
        </w:rPr>
        <w:t xml:space="preserve"> a la IOCAFRICA y a la IOCARIBE a que consideren la posibilidad de actuar como oficinas de coordinación del Decenio para la ejecución de acciones regionales del Decenio y a que determinen las atribuciones y los recursos necesarios para el fortalecimiento de sus respectivas secretarías regionales;</w:t>
      </w:r>
    </w:p>
    <w:p w14:paraId="1C0C42E7" w14:textId="77777777" w:rsidR="00FB06E8" w:rsidRPr="002F4384" w:rsidRDefault="00FB06E8" w:rsidP="00FB06E8">
      <w:pPr>
        <w:tabs>
          <w:tab w:val="left" w:pos="-737"/>
        </w:tabs>
        <w:snapToGrid w:val="0"/>
        <w:spacing w:after="240"/>
        <w:jc w:val="both"/>
        <w:rPr>
          <w:rFonts w:asciiTheme="minorBidi" w:hAnsiTheme="minorBidi" w:cstheme="minorBidi"/>
          <w:b/>
          <w:bCs/>
          <w:sz w:val="22"/>
          <w:szCs w:val="22"/>
          <w:lang w:val="es-ES_tradnl"/>
        </w:rPr>
      </w:pPr>
      <w:r w:rsidRPr="002F4384">
        <w:rPr>
          <w:rFonts w:asciiTheme="minorBidi" w:hAnsiTheme="minorBidi" w:cstheme="minorBidi"/>
          <w:sz w:val="22"/>
          <w:szCs w:val="22"/>
          <w:u w:val="single"/>
          <w:lang w:val="es-ES_tradnl"/>
        </w:rPr>
        <w:t>Toma nota también</w:t>
      </w:r>
      <w:r w:rsidRPr="002F4384">
        <w:rPr>
          <w:rFonts w:asciiTheme="minorBidi" w:hAnsiTheme="minorBidi" w:cstheme="minorBidi"/>
          <w:bCs/>
          <w:sz w:val="22"/>
          <w:szCs w:val="22"/>
          <w:lang w:val="es-ES_tradnl"/>
        </w:rPr>
        <w:t xml:space="preserve"> de las necesidades de recursos determinadas por los programas de la COI para ejercer las funciones de coordinación del Decenio y </w:t>
      </w:r>
      <w:r w:rsidRPr="002F4384">
        <w:rPr>
          <w:rFonts w:asciiTheme="minorBidi" w:hAnsiTheme="minorBidi" w:cstheme="minorBidi"/>
          <w:sz w:val="22"/>
          <w:szCs w:val="22"/>
          <w:u w:val="single"/>
          <w:lang w:val="es-ES_tradnl"/>
        </w:rPr>
        <w:t>agradece</w:t>
      </w:r>
      <w:r w:rsidRPr="002F4384">
        <w:rPr>
          <w:rFonts w:asciiTheme="minorBidi" w:hAnsiTheme="minorBidi" w:cstheme="minorBidi"/>
          <w:bCs/>
          <w:sz w:val="22"/>
          <w:szCs w:val="22"/>
          <w:lang w:val="es-ES_tradnl"/>
        </w:rPr>
        <w:t xml:space="preserve"> al Gobierno de Tailandia el apoyo brindado para reforzar la Oficina de la WESTPAC de la COI;</w:t>
      </w:r>
    </w:p>
    <w:p w14:paraId="1D6F5164" w14:textId="77777777" w:rsidR="00FB06E8" w:rsidRPr="002F4384" w:rsidRDefault="00FB06E8" w:rsidP="00FB06E8">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Invita</w:t>
      </w:r>
      <w:r w:rsidRPr="002F4384">
        <w:rPr>
          <w:rFonts w:asciiTheme="minorBidi" w:hAnsiTheme="minorBidi" w:cstheme="minorBidi"/>
          <w:bCs/>
          <w:sz w:val="22"/>
          <w:szCs w:val="22"/>
          <w:lang w:val="es-ES_tradnl"/>
        </w:rPr>
        <w:t xml:space="preserve"> a los Estados Miembros, a los asociados y a las organizaciones donantes a que apoyen estas acciones del Decenio y estos mecanismos de coordinación del Decenio, en particular mediante la asignación de recursos extrapresupuestarios a los programas y regiones pertinentes de la COI, con el fin de alcanzar sus ambiciones transformadoras, orientar a sus respectivas comunidades y actuar como catalizadores de otras acciones durante el Decenio y después de él.</w:t>
      </w:r>
    </w:p>
    <w:p w14:paraId="5A0A140E" w14:textId="0E61D4D3" w:rsidR="003E3702" w:rsidRPr="002F4384" w:rsidRDefault="002504DF" w:rsidP="00836E98">
      <w:pPr>
        <w:pStyle w:val="Heading2"/>
        <w:tabs>
          <w:tab w:val="clear" w:pos="737"/>
        </w:tabs>
        <w:ind w:left="709" w:hanging="709"/>
        <w:rPr>
          <w:rFonts w:asciiTheme="minorBidi" w:hAnsiTheme="minorBidi" w:cstheme="minorBidi"/>
          <w:szCs w:val="22"/>
          <w:lang w:val="es-ES_tradnl"/>
        </w:rPr>
      </w:pPr>
      <w:bookmarkStart w:id="148" w:name="_Toc115256326"/>
      <w:r w:rsidRPr="002F4384">
        <w:rPr>
          <w:rFonts w:asciiTheme="minorBidi" w:hAnsiTheme="minorBidi" w:cstheme="minorBidi"/>
          <w:szCs w:val="22"/>
          <w:lang w:val="es-ES_tradnl"/>
        </w:rPr>
        <w:t>4.2</w:t>
      </w:r>
      <w:r w:rsidRPr="002F4384">
        <w:rPr>
          <w:rFonts w:asciiTheme="minorBidi" w:hAnsiTheme="minorBidi" w:cstheme="minorBidi"/>
          <w:szCs w:val="22"/>
          <w:lang w:val="es-ES_tradnl"/>
        </w:rPr>
        <w:tab/>
        <w:t>OTRAS INICIATIVAS DE LAS NACIONES UNIDAS</w:t>
      </w:r>
      <w:bookmarkStart w:id="149" w:name="_Toc85469071"/>
      <w:bookmarkEnd w:id="149"/>
      <w:bookmarkEnd w:id="148"/>
    </w:p>
    <w:p w14:paraId="4FB03F81" w14:textId="14ABC242" w:rsidR="003565C1" w:rsidRPr="002F4384" w:rsidRDefault="00512DCE"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El Sr. Barbière, Jefe de la Sección de Políticas Marinas y Coordinación Regional, presentó este punto del orden del día destacando una serie de procesos de las Naciones Unidas relacionados con los asuntos oceánicos en los que la COI había participado durante el período entre reuniones.</w:t>
      </w:r>
    </w:p>
    <w:p w14:paraId="378114ED" w14:textId="379B0AD9" w:rsidR="003565C1" w:rsidRPr="002F4384" w:rsidRDefault="003C02A1"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La Secretaría había asegurado una gran representación en la Conferencia de las Partes (COP26) en la Convención Marco sobre el Cambio Climático (CMNUCC), celebrada en Glasgow (Reino Unido) del 1 al 13 de noviembre</w:t>
      </w:r>
      <w:r w:rsidR="00DE56AE" w:rsidRPr="002F4384">
        <w:rPr>
          <w:rFonts w:asciiTheme="minorBidi" w:hAnsiTheme="minorBidi" w:cstheme="minorBidi"/>
          <w:lang w:val="es-ES_tradnl"/>
        </w:rPr>
        <w:t xml:space="preserve"> de 2021</w:t>
      </w:r>
      <w:r w:rsidRPr="002F4384">
        <w:rPr>
          <w:rFonts w:asciiTheme="minorBidi" w:hAnsiTheme="minorBidi" w:cstheme="minorBidi"/>
          <w:lang w:val="es-ES_tradnl"/>
        </w:rPr>
        <w:t xml:space="preserve">, donde había organizado varios eventos paralelos </w:t>
      </w:r>
      <w:r w:rsidR="00CC171B" w:rsidRPr="002F4384">
        <w:rPr>
          <w:rFonts w:asciiTheme="minorBidi" w:hAnsiTheme="minorBidi" w:cstheme="minorBidi"/>
          <w:lang w:val="es-ES_tradnl"/>
        </w:rPr>
        <w:t>sobre</w:t>
      </w:r>
      <w:r w:rsidRPr="002F4384">
        <w:rPr>
          <w:rFonts w:asciiTheme="minorBidi" w:hAnsiTheme="minorBidi" w:cstheme="minorBidi"/>
          <w:lang w:val="es-ES_tradnl"/>
        </w:rPr>
        <w:t xml:space="preserve"> el Decenio del Océano, la acidificación de los océanos, las observaciones oceánicas, el carbono azul y la planificación espacial marina. Se podía esperar un resultado clave de la CMNUCC relacionado con los océanos a partir del diálogo periódico </w:t>
      </w:r>
      <w:r w:rsidR="00B27C8C" w:rsidRPr="002F4384">
        <w:rPr>
          <w:rFonts w:asciiTheme="minorBidi" w:hAnsiTheme="minorBidi" w:cstheme="minorBidi"/>
          <w:lang w:val="es-ES_tradnl"/>
        </w:rPr>
        <w:t>“</w:t>
      </w:r>
      <w:r w:rsidRPr="002F4384">
        <w:rPr>
          <w:rFonts w:asciiTheme="minorBidi" w:hAnsiTheme="minorBidi" w:cstheme="minorBidi"/>
          <w:lang w:val="es-ES_tradnl"/>
        </w:rPr>
        <w:t>océano-clima</w:t>
      </w:r>
      <w:r w:rsidR="00B27C8C" w:rsidRPr="002F4384">
        <w:rPr>
          <w:rFonts w:asciiTheme="minorBidi" w:hAnsiTheme="minorBidi" w:cstheme="minorBidi"/>
          <w:lang w:val="es-ES_tradnl"/>
        </w:rPr>
        <w:t>”</w:t>
      </w:r>
      <w:r w:rsidRPr="002F4384">
        <w:rPr>
          <w:rFonts w:asciiTheme="minorBidi" w:hAnsiTheme="minorBidi" w:cstheme="minorBidi"/>
          <w:lang w:val="es-ES_tradnl"/>
        </w:rPr>
        <w:t xml:space="preserve"> recientemente establecido por el Presidente del Órgano Subsidiario de Asesoramiento Científico y Tecnológico (OSACT)</w:t>
      </w:r>
      <w:r w:rsidR="00DE56AE" w:rsidRPr="002F4384">
        <w:rPr>
          <w:rFonts w:asciiTheme="minorBidi" w:hAnsiTheme="minorBidi" w:cstheme="minorBidi"/>
          <w:lang w:val="es-ES_tradnl"/>
        </w:rPr>
        <w:t xml:space="preserve"> de la CMNUCC</w:t>
      </w:r>
      <w:r w:rsidRPr="002F4384">
        <w:rPr>
          <w:rFonts w:asciiTheme="minorBidi" w:hAnsiTheme="minorBidi" w:cstheme="minorBidi"/>
          <w:lang w:val="es-ES_tradnl"/>
        </w:rPr>
        <w:t xml:space="preserve">. La Secretaría de la COI tenía previsto seguir participando tanto en el diálogo </w:t>
      </w:r>
      <w:r w:rsidR="00B27C8C" w:rsidRPr="002F4384">
        <w:rPr>
          <w:rFonts w:asciiTheme="minorBidi" w:hAnsiTheme="minorBidi" w:cstheme="minorBidi"/>
          <w:lang w:val="es-ES_tradnl"/>
        </w:rPr>
        <w:t>“</w:t>
      </w:r>
      <w:r w:rsidRPr="002F4384">
        <w:rPr>
          <w:rFonts w:asciiTheme="minorBidi" w:hAnsiTheme="minorBidi" w:cstheme="minorBidi"/>
          <w:lang w:val="es-ES_tradnl"/>
        </w:rPr>
        <w:t>océano</w:t>
      </w:r>
      <w:r w:rsidR="002F4384">
        <w:rPr>
          <w:rFonts w:asciiTheme="minorBidi" w:hAnsiTheme="minorBidi" w:cstheme="minorBidi"/>
          <w:lang w:val="es-ES_tradnl"/>
        </w:rPr>
        <w:noBreakHyphen/>
      </w:r>
      <w:r w:rsidRPr="002F4384">
        <w:rPr>
          <w:rFonts w:asciiTheme="minorBidi" w:hAnsiTheme="minorBidi" w:cstheme="minorBidi"/>
          <w:lang w:val="es-ES_tradnl"/>
        </w:rPr>
        <w:t>clima</w:t>
      </w:r>
      <w:r w:rsidR="00B27C8C" w:rsidRPr="002F4384">
        <w:rPr>
          <w:rFonts w:asciiTheme="minorBidi" w:hAnsiTheme="minorBidi" w:cstheme="minorBidi"/>
          <w:lang w:val="es-ES_tradnl"/>
        </w:rPr>
        <w:t>”</w:t>
      </w:r>
      <w:r w:rsidRPr="002F4384">
        <w:rPr>
          <w:rFonts w:asciiTheme="minorBidi" w:hAnsiTheme="minorBidi" w:cstheme="minorBidi"/>
          <w:lang w:val="es-ES_tradnl"/>
        </w:rPr>
        <w:t xml:space="preserve"> como en el diálogo sobre investigación en el marco del OSACT de la CMNUCC.</w:t>
      </w:r>
      <w:r w:rsidR="00DE56AE" w:rsidRPr="002F4384">
        <w:rPr>
          <w:rFonts w:asciiTheme="minorBidi" w:hAnsiTheme="minorBidi" w:cstheme="minorBidi"/>
          <w:lang w:val="es-ES_tradnl"/>
        </w:rPr>
        <w:t xml:space="preserve"> </w:t>
      </w:r>
    </w:p>
    <w:p w14:paraId="6E0C9280" w14:textId="0C26A31E" w:rsidR="008E0EBE" w:rsidRPr="002F4384" w:rsidRDefault="003C732B"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El Sr. Barbière informó de que la COI tomaba parte activamente en el proceso de negociación de un instrumento internacional jurídicamente vinculante relativo a la conservación y el uso sostenible de la diversidad biológica marina de las zonas situadas fuera de la jurisdicción nacional. En el período entre reuniones, la COI había participado en dos seminarios web sobre el mecanismo de intercambio de información</w:t>
      </w:r>
      <w:r w:rsidR="00F72899" w:rsidRPr="002F4384">
        <w:rPr>
          <w:rFonts w:asciiTheme="minorBidi" w:hAnsiTheme="minorBidi" w:cstheme="minorBidi"/>
          <w:lang w:val="es-ES_tradnl"/>
        </w:rPr>
        <w:t xml:space="preserve"> para la transferencia de tecnología marina</w:t>
      </w:r>
      <w:r w:rsidRPr="002F4384">
        <w:rPr>
          <w:rFonts w:asciiTheme="minorBidi" w:hAnsiTheme="minorBidi" w:cstheme="minorBidi"/>
          <w:lang w:val="es-ES_tradnl"/>
        </w:rPr>
        <w:t xml:space="preserve"> (14 de octubre y 2 de noviembre de 2021)</w:t>
      </w:r>
      <w:r w:rsidR="00F72899" w:rsidRPr="002F4384">
        <w:rPr>
          <w:rFonts w:asciiTheme="minorBidi" w:hAnsiTheme="minorBidi" w:cstheme="minorBidi"/>
          <w:lang w:val="es-ES_tradnl"/>
        </w:rPr>
        <w:t xml:space="preserve"> y </w:t>
      </w:r>
      <w:r w:rsidR="00D27769" w:rsidRPr="002F4384">
        <w:rPr>
          <w:rFonts w:asciiTheme="minorBidi" w:hAnsiTheme="minorBidi" w:cstheme="minorBidi"/>
          <w:lang w:val="es-ES_tradnl"/>
        </w:rPr>
        <w:t>había presentado</w:t>
      </w:r>
      <w:r w:rsidR="00F72899" w:rsidRPr="002F4384">
        <w:rPr>
          <w:rFonts w:asciiTheme="minorBidi" w:hAnsiTheme="minorBidi" w:cstheme="minorBidi"/>
          <w:lang w:val="es-ES_tradnl"/>
        </w:rPr>
        <w:t xml:space="preserve"> </w:t>
      </w:r>
      <w:r w:rsidR="00E74CD3" w:rsidRPr="002F4384">
        <w:rPr>
          <w:rFonts w:asciiTheme="minorBidi" w:hAnsiTheme="minorBidi" w:cstheme="minorBidi"/>
          <w:lang w:val="es-ES_tradnl"/>
        </w:rPr>
        <w:t>el trabajo de la COI</w:t>
      </w:r>
      <w:r w:rsidRPr="002F4384">
        <w:rPr>
          <w:rFonts w:asciiTheme="minorBidi" w:hAnsiTheme="minorBidi" w:cstheme="minorBidi"/>
          <w:lang w:val="es-ES_tradnl"/>
        </w:rPr>
        <w:t xml:space="preserve"> </w:t>
      </w:r>
      <w:r w:rsidR="00E74CD3" w:rsidRPr="002F4384">
        <w:rPr>
          <w:rFonts w:asciiTheme="minorBidi" w:hAnsiTheme="minorBidi" w:cstheme="minorBidi"/>
          <w:lang w:val="es-ES_tradnl"/>
        </w:rPr>
        <w:t>sobre</w:t>
      </w:r>
      <w:r w:rsidRPr="002F4384">
        <w:rPr>
          <w:rFonts w:asciiTheme="minorBidi" w:hAnsiTheme="minorBidi" w:cstheme="minorBidi"/>
          <w:lang w:val="es-ES_tradnl"/>
        </w:rPr>
        <w:t xml:space="preserve"> desarrollo de capacidades y gestión de datos e información, así como el mecanismo de intercambio de información de la COI que se estaba elaborando como parte del </w:t>
      </w:r>
      <w:r w:rsidR="00F72899" w:rsidRPr="002F4384">
        <w:rPr>
          <w:rFonts w:asciiTheme="minorBidi" w:hAnsiTheme="minorBidi" w:cstheme="minorBidi"/>
          <w:lang w:val="es-ES_tradnl"/>
        </w:rPr>
        <w:t>proyecto Ocean InfoHub</w:t>
      </w:r>
      <w:r w:rsidRPr="002F4384">
        <w:rPr>
          <w:rFonts w:asciiTheme="minorBidi" w:hAnsiTheme="minorBidi" w:cstheme="minorBidi"/>
          <w:lang w:val="es-ES_tradnl"/>
        </w:rPr>
        <w:t xml:space="preserve">. El Sr. Barbière señaló que la cuarta Conferencia Intergubernamental se había celebrado en Nueva York del 7 al 18 de marzo de 2022, pero no había concluido sus trabajos. Por ello, la quinta Conferencia Intergubernamental se </w:t>
      </w:r>
      <w:r w:rsidRPr="002F4384">
        <w:rPr>
          <w:rFonts w:asciiTheme="minorBidi" w:hAnsiTheme="minorBidi" w:cstheme="minorBidi"/>
          <w:lang w:val="es-ES_tradnl"/>
        </w:rPr>
        <w:lastRenderedPageBreak/>
        <w:t>organizaría en Nueva York del 15 al 26 de agosto de</w:t>
      </w:r>
      <w:r w:rsidR="009229C9" w:rsidRPr="002F4384">
        <w:rPr>
          <w:rFonts w:asciiTheme="minorBidi" w:hAnsiTheme="minorBidi" w:cstheme="minorBidi"/>
          <w:lang w:val="es-ES_tradnl"/>
        </w:rPr>
        <w:t> </w:t>
      </w:r>
      <w:r w:rsidRPr="002F4384">
        <w:rPr>
          <w:rFonts w:asciiTheme="minorBidi" w:hAnsiTheme="minorBidi" w:cstheme="minorBidi"/>
          <w:lang w:val="es-ES_tradnl"/>
        </w:rPr>
        <w:t>2022. A</w:t>
      </w:r>
      <w:r w:rsidR="00E66D2E" w:rsidRPr="002F4384">
        <w:rPr>
          <w:rFonts w:asciiTheme="minorBidi" w:hAnsiTheme="minorBidi" w:cstheme="minorBidi"/>
          <w:lang w:val="es-ES_tradnl"/>
        </w:rPr>
        <w:t xml:space="preserve">unque actualmente </w:t>
      </w:r>
      <w:r w:rsidRPr="002F4384">
        <w:rPr>
          <w:rFonts w:asciiTheme="minorBidi" w:hAnsiTheme="minorBidi" w:cstheme="minorBidi"/>
          <w:lang w:val="es-ES_tradnl"/>
        </w:rPr>
        <w:t>no había consenso sobre la gestión y las modalidades del mecanismo de intercambio de información, se estaba de acuerdo en cierta medida en que debía ser gestionado por la Secretaría de la 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 posiblemente con el apoyo de otros organismos (incluida la COI).</w:t>
      </w:r>
    </w:p>
    <w:p w14:paraId="735D207F" w14:textId="5F81A860" w:rsidR="003B68E5" w:rsidRPr="002F4384" w:rsidRDefault="00667651" w:rsidP="005C3715">
      <w:pPr>
        <w:pStyle w:val="Style2"/>
        <w:numPr>
          <w:ilvl w:val="0"/>
          <w:numId w:val="7"/>
        </w:numPr>
        <w:tabs>
          <w:tab w:val="left" w:pos="709"/>
        </w:tabs>
        <w:ind w:left="0" w:hanging="567"/>
        <w:rPr>
          <w:rFonts w:asciiTheme="minorBidi" w:hAnsiTheme="minorBidi" w:cstheme="minorBidi"/>
          <w:snapToGrid w:val="0"/>
          <w:lang w:val="es-ES_tradnl"/>
        </w:rPr>
      </w:pPr>
      <w:r w:rsidRPr="002F4384">
        <w:rPr>
          <w:rFonts w:asciiTheme="minorBidi" w:hAnsiTheme="minorBidi" w:cstheme="minorBidi"/>
          <w:lang w:val="es-ES_tradnl"/>
        </w:rPr>
        <w:t xml:space="preserve">Por último, el Sr. Barbière puso de relieve los preparativos de la Conferencia sobre los Océanos de las Naciones Unidas de 2022 </w:t>
      </w:r>
      <w:r w:rsidR="001A0E90" w:rsidRPr="002F4384">
        <w:rPr>
          <w:rFonts w:asciiTheme="minorBidi" w:hAnsiTheme="minorBidi" w:cstheme="minorBidi"/>
          <w:lang w:val="es-ES_tradnl"/>
        </w:rPr>
        <w:t>(</w:t>
      </w:r>
      <w:r w:rsidRPr="002F4384">
        <w:rPr>
          <w:rFonts w:asciiTheme="minorBidi" w:hAnsiTheme="minorBidi" w:cstheme="minorBidi"/>
          <w:lang w:val="es-ES_tradnl"/>
        </w:rPr>
        <w:t>Lisboa (Portugal)</w:t>
      </w:r>
      <w:r w:rsidR="001A0E90" w:rsidRPr="002F4384">
        <w:rPr>
          <w:rFonts w:asciiTheme="minorBidi" w:hAnsiTheme="minorBidi" w:cstheme="minorBidi"/>
          <w:lang w:val="es-ES_tradnl"/>
        </w:rPr>
        <w:t xml:space="preserve">, </w:t>
      </w:r>
      <w:r w:rsidRPr="002F4384">
        <w:rPr>
          <w:rFonts w:asciiTheme="minorBidi" w:hAnsiTheme="minorBidi" w:cstheme="minorBidi"/>
          <w:lang w:val="es-ES_tradnl"/>
        </w:rPr>
        <w:t>27 de junio</w:t>
      </w:r>
      <w:r w:rsidR="001A0E90" w:rsidRPr="002F4384">
        <w:rPr>
          <w:rFonts w:asciiTheme="minorBidi" w:hAnsiTheme="minorBidi" w:cstheme="minorBidi"/>
          <w:lang w:val="es-ES_tradnl"/>
        </w:rPr>
        <w:t>-</w:t>
      </w:r>
      <w:r w:rsidRPr="002F4384">
        <w:rPr>
          <w:rFonts w:asciiTheme="minorBidi" w:hAnsiTheme="minorBidi" w:cstheme="minorBidi"/>
          <w:lang w:val="es-ES_tradnl"/>
        </w:rPr>
        <w:t>1 de julio</w:t>
      </w:r>
      <w:r w:rsidR="001A0E90" w:rsidRPr="002F4384">
        <w:rPr>
          <w:rFonts w:asciiTheme="minorBidi" w:hAnsiTheme="minorBidi" w:cstheme="minorBidi"/>
          <w:lang w:val="es-ES_tradnl"/>
        </w:rPr>
        <w:t>), cuyo</w:t>
      </w:r>
      <w:r w:rsidRPr="002F4384">
        <w:rPr>
          <w:rFonts w:asciiTheme="minorBidi" w:hAnsiTheme="minorBidi" w:cstheme="minorBidi"/>
          <w:lang w:val="es-ES_tradnl"/>
        </w:rPr>
        <w:t xml:space="preserve"> tema central </w:t>
      </w:r>
      <w:r w:rsidR="009B3338" w:rsidRPr="002F4384">
        <w:rPr>
          <w:rFonts w:asciiTheme="minorBidi" w:hAnsiTheme="minorBidi" w:cstheme="minorBidi"/>
          <w:lang w:val="es-ES_tradnl"/>
        </w:rPr>
        <w:t>sería</w:t>
      </w:r>
      <w:r w:rsidRPr="002F4384">
        <w:rPr>
          <w:rFonts w:asciiTheme="minorBidi" w:hAnsiTheme="minorBidi" w:cstheme="minorBidi"/>
          <w:lang w:val="es-ES_tradnl"/>
        </w:rPr>
        <w:t xml:space="preserve"> </w:t>
      </w:r>
      <w:r w:rsidR="00B27C8C" w:rsidRPr="002F4384">
        <w:rPr>
          <w:rFonts w:asciiTheme="minorBidi" w:hAnsiTheme="minorBidi" w:cstheme="minorBidi"/>
          <w:lang w:val="es-ES_tradnl"/>
        </w:rPr>
        <w:t>“</w:t>
      </w:r>
      <w:r w:rsidRPr="002F4384">
        <w:rPr>
          <w:rFonts w:asciiTheme="minorBidi" w:hAnsiTheme="minorBidi" w:cstheme="minorBidi"/>
          <w:lang w:val="es-ES_tradnl"/>
        </w:rPr>
        <w:t>Incrementar la acción para los océanos basada en la ciencia y la innovación para el período 2020</w:t>
      </w:r>
      <w:r w:rsidR="00992454" w:rsidRPr="002F4384">
        <w:rPr>
          <w:rFonts w:asciiTheme="minorBidi" w:hAnsiTheme="minorBidi" w:cstheme="minorBidi"/>
          <w:lang w:val="es-ES_tradnl"/>
        </w:rPr>
        <w:noBreakHyphen/>
      </w:r>
      <w:r w:rsidRPr="002F4384">
        <w:rPr>
          <w:rFonts w:asciiTheme="minorBidi" w:hAnsiTheme="minorBidi" w:cstheme="minorBidi"/>
          <w:lang w:val="es-ES_tradnl"/>
        </w:rPr>
        <w:t>2030: balance, alianzas y soluciones</w:t>
      </w:r>
      <w:r w:rsidR="00B27C8C" w:rsidRPr="002F4384">
        <w:rPr>
          <w:rFonts w:asciiTheme="minorBidi" w:hAnsiTheme="minorBidi" w:cstheme="minorBidi"/>
          <w:lang w:val="es-ES_tradnl"/>
        </w:rPr>
        <w:t>”</w:t>
      </w:r>
      <w:r w:rsidRPr="002F4384">
        <w:rPr>
          <w:rFonts w:asciiTheme="minorBidi" w:hAnsiTheme="minorBidi" w:cstheme="minorBidi"/>
          <w:lang w:val="es-ES_tradnl"/>
        </w:rPr>
        <w:t xml:space="preserve">. La Conferencia también aportaría contribuciones al examen del ODS 14 por parte del foro político de alto nivel que se reuniría en julio de 2022. </w:t>
      </w:r>
      <w:r w:rsidR="001A0E90" w:rsidRPr="002F4384">
        <w:rPr>
          <w:rFonts w:asciiTheme="minorBidi" w:hAnsiTheme="minorBidi" w:cstheme="minorBidi"/>
          <w:lang w:val="es-ES_tradnl"/>
        </w:rPr>
        <w:t>El Sr.</w:t>
      </w:r>
      <w:r w:rsidR="00992454" w:rsidRPr="002F4384">
        <w:rPr>
          <w:rFonts w:asciiTheme="minorBidi" w:hAnsiTheme="minorBidi" w:cstheme="minorBidi"/>
          <w:lang w:val="es-ES_tradnl"/>
        </w:rPr>
        <w:t> </w:t>
      </w:r>
      <w:r w:rsidR="001A0E90" w:rsidRPr="002F4384">
        <w:rPr>
          <w:rFonts w:asciiTheme="minorBidi" w:hAnsiTheme="minorBidi" w:cstheme="minorBidi"/>
          <w:lang w:val="es-ES_tradnl"/>
        </w:rPr>
        <w:t>Barbière i</w:t>
      </w:r>
      <w:r w:rsidRPr="002F4384">
        <w:rPr>
          <w:rFonts w:asciiTheme="minorBidi" w:hAnsiTheme="minorBidi" w:cstheme="minorBidi"/>
          <w:lang w:val="es-ES_tradnl"/>
        </w:rPr>
        <w:t xml:space="preserve">nformó de que la COI apoyaba directamente la Conferencia dirigiendo la preparación de los documentos conceptuales para los diálogos políticos interactivos que estructurarían </w:t>
      </w:r>
      <w:r w:rsidR="00030E13" w:rsidRPr="002F4384">
        <w:rPr>
          <w:rFonts w:asciiTheme="minorBidi" w:hAnsiTheme="minorBidi" w:cstheme="minorBidi"/>
          <w:lang w:val="es-ES_tradnl"/>
        </w:rPr>
        <w:t>su</w:t>
      </w:r>
      <w:r w:rsidRPr="002F4384">
        <w:rPr>
          <w:rFonts w:asciiTheme="minorBidi" w:hAnsiTheme="minorBidi" w:cstheme="minorBidi"/>
          <w:lang w:val="es-ES_tradnl"/>
        </w:rPr>
        <w:t xml:space="preserve"> programa central. La COI también había avanzado en la planificación de una serie de eventos de alto nivel que se </w:t>
      </w:r>
      <w:r w:rsidR="00D40B08" w:rsidRPr="002F4384">
        <w:rPr>
          <w:rFonts w:asciiTheme="minorBidi" w:hAnsiTheme="minorBidi" w:cstheme="minorBidi"/>
          <w:lang w:val="es-ES_tradnl"/>
        </w:rPr>
        <w:t>realizarían</w:t>
      </w:r>
      <w:r w:rsidRPr="002F4384">
        <w:rPr>
          <w:rFonts w:asciiTheme="minorBidi" w:hAnsiTheme="minorBidi" w:cstheme="minorBidi"/>
          <w:lang w:val="es-ES_tradnl"/>
        </w:rPr>
        <w:t xml:space="preserve"> durante las actividades de la </w:t>
      </w:r>
      <w:r w:rsidR="00D40B08" w:rsidRPr="002F4384">
        <w:rPr>
          <w:rFonts w:asciiTheme="minorBidi" w:hAnsiTheme="minorBidi" w:cstheme="minorBidi"/>
          <w:lang w:val="es-ES_tradnl"/>
        </w:rPr>
        <w:t>C</w:t>
      </w:r>
      <w:r w:rsidRPr="002F4384">
        <w:rPr>
          <w:rFonts w:asciiTheme="minorBidi" w:hAnsiTheme="minorBidi" w:cstheme="minorBidi"/>
          <w:lang w:val="es-ES_tradnl"/>
        </w:rPr>
        <w:t xml:space="preserve">onferencia relativas al Decenio, así como a los ámbitos programáticos de la COI. En la Conferencia se aprobaría una declaración final, cuyo proyecto incluía una referencia al papel de la COI y el Decenio del Océano. </w:t>
      </w:r>
      <w:r w:rsidR="00D40B08" w:rsidRPr="002F4384">
        <w:rPr>
          <w:rFonts w:asciiTheme="minorBidi" w:hAnsiTheme="minorBidi" w:cstheme="minorBidi"/>
          <w:lang w:val="es-ES_tradnl"/>
        </w:rPr>
        <w:t>Asimismo</w:t>
      </w:r>
      <w:r w:rsidRPr="002F4384">
        <w:rPr>
          <w:rFonts w:asciiTheme="minorBidi" w:hAnsiTheme="minorBidi" w:cstheme="minorBidi"/>
          <w:lang w:val="es-ES_tradnl"/>
        </w:rPr>
        <w:t>, explicó que tanto el Secretario Ejecutivo de la COI como la Directora General de la UNESCO habían sido invitados a intervenir en el foro político de alto nivel de las Naciones Unidas que tendría lugar en la Sede de las Naciones Unidas del 5 al 15 de julio y que se centraría, entre otras cosas, en el examen del ODS 14.</w:t>
      </w:r>
    </w:p>
    <w:p w14:paraId="7286F79D" w14:textId="0C254ADD" w:rsidR="00343F2F" w:rsidRPr="002F4384" w:rsidRDefault="00667651"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Hicieron uso de la palabra los representantes de </w:t>
      </w:r>
      <w:r w:rsidR="00343F2F" w:rsidRPr="002F4384">
        <w:rPr>
          <w:rFonts w:asciiTheme="minorBidi" w:hAnsiTheme="minorBidi" w:cstheme="minorBidi"/>
          <w:lang w:val="es-ES_tradnl"/>
        </w:rPr>
        <w:t xml:space="preserve">cuatro </w:t>
      </w:r>
      <w:r w:rsidRPr="002F4384">
        <w:rPr>
          <w:rFonts w:asciiTheme="minorBidi" w:hAnsiTheme="minorBidi" w:cstheme="minorBidi"/>
          <w:lang w:val="es-ES_tradnl"/>
        </w:rPr>
        <w:t>Estados Miembros.</w:t>
      </w:r>
    </w:p>
    <w:p w14:paraId="43378AF0" w14:textId="0CE98698" w:rsidR="00343F2F" w:rsidRPr="002F4384" w:rsidRDefault="00F155EC"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Los Estados Miembros manifestaron su apoyo a los esfuerzos continuos desplegados por la Secretaría y la Mesa de la COI para promover la importancia de las ciencias oceánicas en otros foros de las Naciones Unidas, en particular en la quinta Conferencia Intergubernamental sobre la conservación y el uso sostenible de la diversidad biológica marina de las zonas situadas fuera de la jurisdicción nacional, y acogieron con satisfacción el hecho de que</w:t>
      </w:r>
      <w:r w:rsidR="00350B17" w:rsidRPr="002F4384">
        <w:rPr>
          <w:rFonts w:asciiTheme="minorBidi" w:hAnsiTheme="minorBidi" w:cstheme="minorBidi"/>
          <w:lang w:val="es-ES_tradnl"/>
        </w:rPr>
        <w:t xml:space="preserve"> en el proyecto de la </w:t>
      </w:r>
      <w:r w:rsidR="001F4492" w:rsidRPr="002F4384">
        <w:rPr>
          <w:rFonts w:asciiTheme="minorBidi" w:hAnsiTheme="minorBidi" w:cstheme="minorBidi"/>
          <w:lang w:val="es-ES_tradnl"/>
        </w:rPr>
        <w:t>D</w:t>
      </w:r>
      <w:r w:rsidR="00350B17" w:rsidRPr="002F4384">
        <w:rPr>
          <w:rFonts w:asciiTheme="minorBidi" w:hAnsiTheme="minorBidi" w:cstheme="minorBidi"/>
          <w:lang w:val="es-ES_tradnl"/>
        </w:rPr>
        <w:t>eclaración final de Lisboa se mencionara</w:t>
      </w:r>
      <w:r w:rsidRPr="002F4384">
        <w:rPr>
          <w:rFonts w:asciiTheme="minorBidi" w:hAnsiTheme="minorBidi" w:cstheme="minorBidi"/>
          <w:lang w:val="es-ES_tradnl"/>
        </w:rPr>
        <w:t xml:space="preserve"> el papel de la Comisión en la ejecución del Decenio, así como los numerosos actos de promoción del Decenio.</w:t>
      </w:r>
    </w:p>
    <w:p w14:paraId="724A8E3C" w14:textId="58B57EE3" w:rsidR="005D1225" w:rsidRPr="002F4384" w:rsidRDefault="00667651"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L</w:t>
      </w:r>
      <w:r w:rsidR="00DF1EB4" w:rsidRPr="002F4384">
        <w:rPr>
          <w:rFonts w:asciiTheme="minorBidi" w:hAnsiTheme="minorBidi" w:cstheme="minorBidi"/>
          <w:lang w:val="es-ES_tradnl"/>
        </w:rPr>
        <w:t>a</w:t>
      </w:r>
      <w:r w:rsidRPr="002F4384">
        <w:rPr>
          <w:rFonts w:asciiTheme="minorBidi" w:hAnsiTheme="minorBidi" w:cstheme="minorBidi"/>
          <w:lang w:val="es-ES_tradnl"/>
        </w:rPr>
        <w:t xml:space="preserve">s </w:t>
      </w:r>
      <w:r w:rsidR="00DF1EB4" w:rsidRPr="002F4384">
        <w:rPr>
          <w:rFonts w:asciiTheme="minorBidi" w:hAnsiTheme="minorBidi" w:cstheme="minorBidi"/>
          <w:lang w:val="es-ES_tradnl"/>
        </w:rPr>
        <w:t xml:space="preserve">delegaciones </w:t>
      </w:r>
      <w:r w:rsidRPr="002F4384">
        <w:rPr>
          <w:rFonts w:asciiTheme="minorBidi" w:hAnsiTheme="minorBidi" w:cstheme="minorBidi"/>
          <w:lang w:val="es-ES_tradnl"/>
        </w:rPr>
        <w:t xml:space="preserve">siguientes decidieron proporcionar por escrito sus intervenciones en plenaria sobre este punto del orden del día para que constaran en el anexo informativo del informe de la reunión: </w:t>
      </w:r>
      <w:r w:rsidR="00DF1EB4" w:rsidRPr="002F4384">
        <w:rPr>
          <w:rFonts w:asciiTheme="minorBidi" w:hAnsiTheme="minorBidi" w:cstheme="minorBidi"/>
          <w:lang w:val="es-ES_tradnl"/>
        </w:rPr>
        <w:t>Alemania, Brasil, Estados Unidos de América, Japón y Reino Unido de Gran Bretaña e Irlanda del Norte</w:t>
      </w:r>
      <w:r w:rsidRPr="002F4384">
        <w:rPr>
          <w:rFonts w:asciiTheme="minorBidi" w:hAnsiTheme="minorBidi" w:cstheme="minorBidi"/>
          <w:lang w:val="es-ES_tradnl"/>
        </w:rPr>
        <w:t>.</w:t>
      </w:r>
    </w:p>
    <w:p w14:paraId="273AB345" w14:textId="0CD98CA3" w:rsidR="00DF1EB4" w:rsidRPr="002F4384" w:rsidRDefault="00B53C4F" w:rsidP="00992454">
      <w:pPr>
        <w:pStyle w:val="Style2"/>
        <w:numPr>
          <w:ilvl w:val="0"/>
          <w:numId w:val="7"/>
        </w:numPr>
        <w:tabs>
          <w:tab w:val="left" w:pos="709"/>
        </w:tabs>
        <w:spacing w:after="0"/>
        <w:ind w:left="0" w:hanging="567"/>
        <w:rPr>
          <w:rFonts w:asciiTheme="minorBidi" w:hAnsiTheme="minorBidi" w:cstheme="minorBidi"/>
          <w:lang w:val="es-ES_tradnl"/>
        </w:rPr>
      </w:pPr>
      <w:r w:rsidRPr="002F4384">
        <w:rPr>
          <w:rFonts w:asciiTheme="minorBidi" w:hAnsiTheme="minorBidi" w:cstheme="minorBidi"/>
          <w:lang w:val="es-ES_tradnl"/>
        </w:rPr>
        <w:t xml:space="preserve">El Consejo Ejecutivo adoptó la </w:t>
      </w:r>
      <w:r w:rsidRPr="002F4384">
        <w:rPr>
          <w:rFonts w:asciiTheme="minorBidi" w:hAnsiTheme="minorBidi" w:cstheme="minorBidi"/>
          <w:u w:val="single"/>
          <w:lang w:val="es-ES_tradnl"/>
        </w:rPr>
        <w:t>decisión IOC/EC-55/4.2</w:t>
      </w:r>
      <w:r w:rsidR="003A59D3" w:rsidRPr="002F4384">
        <w:rPr>
          <w:rFonts w:asciiTheme="minorBidi" w:hAnsiTheme="minorBidi" w:cstheme="minorBidi"/>
          <w:lang w:val="es-ES_tradnl"/>
        </w:rPr>
        <w:t>, que figura a continuación</w:t>
      </w:r>
      <w:r w:rsidRPr="002F4384">
        <w:rPr>
          <w:rFonts w:asciiTheme="minorBidi" w:hAnsiTheme="minorBidi" w:cstheme="minorBidi"/>
          <w:lang w:val="es-ES_tradnl"/>
        </w:rPr>
        <w:t>.</w:t>
      </w:r>
    </w:p>
    <w:p w14:paraId="3432BDD2" w14:textId="77777777" w:rsidR="00391652" w:rsidRPr="002F4384" w:rsidRDefault="00391652" w:rsidP="00391652">
      <w:pPr>
        <w:keepNext/>
        <w:keepLines/>
        <w:tabs>
          <w:tab w:val="left" w:pos="709"/>
        </w:tabs>
        <w:spacing w:before="240" w:after="240"/>
        <w:jc w:val="center"/>
        <w:outlineLvl w:val="0"/>
        <w:rPr>
          <w:rFonts w:asciiTheme="minorBidi" w:eastAsia="SimSun" w:hAnsiTheme="minorBidi" w:cstheme="minorBidi"/>
          <w:b/>
          <w:sz w:val="22"/>
          <w:szCs w:val="22"/>
          <w:lang w:val="es-ES_tradnl"/>
        </w:rPr>
      </w:pPr>
      <w:r w:rsidRPr="002F4384">
        <w:rPr>
          <w:rFonts w:asciiTheme="minorBidi" w:eastAsia="SimSun" w:hAnsiTheme="minorBidi" w:cstheme="minorBidi"/>
          <w:b/>
          <w:bCs/>
          <w:sz w:val="22"/>
          <w:szCs w:val="22"/>
          <w:lang w:val="es-ES_tradnl"/>
        </w:rPr>
        <w:t>La COI y otras iniciativas de las Naciones Unidas</w:t>
      </w:r>
    </w:p>
    <w:p w14:paraId="19A8FB0E" w14:textId="77777777" w:rsidR="00391652" w:rsidRPr="002F4384" w:rsidRDefault="00391652" w:rsidP="00391652">
      <w:pPr>
        <w:keepNext/>
        <w:tabs>
          <w:tab w:val="left" w:pos="709"/>
        </w:tabs>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lang w:val="es-ES_tradnl"/>
        </w:rPr>
        <w:t>El Consejo Ejecutivo,</w:t>
      </w:r>
    </w:p>
    <w:p w14:paraId="02B412CB" w14:textId="77777777" w:rsidR="00391652" w:rsidRPr="002F4384" w:rsidRDefault="00391652" w:rsidP="00391652">
      <w:pPr>
        <w:spacing w:after="240"/>
        <w:jc w:val="both"/>
        <w:rPr>
          <w:rFonts w:asciiTheme="minorBidi" w:eastAsia="Calibri" w:hAnsiTheme="minorBidi" w:cstheme="minorBidi"/>
          <w:sz w:val="22"/>
          <w:szCs w:val="22"/>
          <w:u w:val="single"/>
          <w:lang w:val="es-ES_tradnl"/>
        </w:rPr>
      </w:pPr>
      <w:r w:rsidRPr="002F4384">
        <w:rPr>
          <w:rFonts w:asciiTheme="minorBidi" w:eastAsia="Calibri" w:hAnsiTheme="minorBidi" w:cstheme="minorBidi"/>
          <w:sz w:val="22"/>
          <w:szCs w:val="22"/>
          <w:u w:val="single"/>
          <w:lang w:val="es-ES_tradnl"/>
        </w:rPr>
        <w:t>Considerando</w:t>
      </w:r>
      <w:r w:rsidRPr="002F4384">
        <w:rPr>
          <w:rFonts w:asciiTheme="minorBidi" w:eastAsia="Calibri" w:hAnsiTheme="minorBidi" w:cstheme="minorBidi"/>
          <w:sz w:val="22"/>
          <w:szCs w:val="22"/>
          <w:lang w:val="es-ES_tradnl"/>
        </w:rPr>
        <w:t xml:space="preserve"> los documentos IOC/EC-55/4.2.Doc(1) e IOC/INF-1387 (documento oficioso sobre los servicios existentes y los posibles servicios futuros de la COI en apoyo de un futuro instrumento internacional jurídicamente vinculante relativo a la conservación y el uso sostenible de la diversidad biológica marina de las zonas situadas fuera de la jurisdicción nacional),</w:t>
      </w:r>
    </w:p>
    <w:p w14:paraId="5141ACE5" w14:textId="15F63DD8" w:rsidR="00391652" w:rsidRPr="002F4384" w:rsidRDefault="00391652" w:rsidP="00391652">
      <w:pPr>
        <w:spacing w:after="240"/>
        <w:jc w:val="both"/>
        <w:rPr>
          <w:rFonts w:asciiTheme="minorBidi" w:eastAsia="Calibri" w:hAnsiTheme="minorBidi" w:cstheme="minorBidi"/>
          <w:sz w:val="22"/>
          <w:szCs w:val="22"/>
          <w:lang w:val="es-ES_tradnl"/>
        </w:rPr>
      </w:pPr>
      <w:r w:rsidRPr="002F4384">
        <w:rPr>
          <w:rFonts w:asciiTheme="minorBidi" w:eastAsia="Calibri" w:hAnsiTheme="minorBidi" w:cstheme="minorBidi"/>
          <w:sz w:val="22"/>
          <w:szCs w:val="22"/>
          <w:u w:val="single"/>
          <w:lang w:val="es-ES_tradnl"/>
        </w:rPr>
        <w:t>Acoge con beneplácito</w:t>
      </w:r>
      <w:r w:rsidRPr="002F4384">
        <w:rPr>
          <w:rFonts w:asciiTheme="minorBidi" w:eastAsia="Calibri" w:hAnsiTheme="minorBidi" w:cstheme="minorBidi"/>
          <w:sz w:val="22"/>
          <w:szCs w:val="22"/>
          <w:lang w:val="es-ES_tradnl"/>
        </w:rPr>
        <w:t xml:space="preserve"> los resultados del Pacto de Glasgow por el Clima de la 26ª Conferencia de las Partes (COP26) en la Convención Marco de las Naciones Unidas sobre el Cambio Climático (CMNUCC) y sus disposiciones relacionadas con el océano, en particular el establecimiento de un diálogo anual sobre el océano y el cambio climático, en el marco del Órgano Subsidiario de </w:t>
      </w:r>
      <w:r w:rsidRPr="002F4384">
        <w:rPr>
          <w:rFonts w:asciiTheme="minorBidi" w:eastAsia="Calibri" w:hAnsiTheme="minorBidi" w:cstheme="minorBidi"/>
          <w:sz w:val="22"/>
          <w:szCs w:val="22"/>
          <w:lang w:val="es-ES_tradnl"/>
        </w:rPr>
        <w:lastRenderedPageBreak/>
        <w:t xml:space="preserve">Asesoramiento Científico y Tecnológico de la CMNUCC, para fortalecer la acción basada en el océano, e </w:t>
      </w:r>
      <w:r w:rsidRPr="002F4384">
        <w:rPr>
          <w:rFonts w:asciiTheme="minorBidi" w:eastAsia="Calibri" w:hAnsiTheme="minorBidi" w:cstheme="minorBidi"/>
          <w:sz w:val="22"/>
          <w:szCs w:val="22"/>
          <w:u w:val="single"/>
          <w:lang w:val="es-ES_tradnl"/>
        </w:rPr>
        <w:t>invita</w:t>
      </w:r>
      <w:r w:rsidRPr="002F4384">
        <w:rPr>
          <w:rFonts w:asciiTheme="minorBidi" w:eastAsia="Calibri" w:hAnsiTheme="minorBidi" w:cstheme="minorBidi"/>
          <w:sz w:val="22"/>
          <w:szCs w:val="22"/>
          <w:lang w:val="es-ES_tradnl"/>
        </w:rPr>
        <w:t xml:space="preserve"> a la COI a que contribuya activamente a su labor;</w:t>
      </w:r>
    </w:p>
    <w:p w14:paraId="5F929B0B" w14:textId="77777777" w:rsidR="00391652" w:rsidRPr="002F4384" w:rsidRDefault="00391652" w:rsidP="00391652">
      <w:pPr>
        <w:spacing w:after="240"/>
        <w:jc w:val="both"/>
        <w:rPr>
          <w:rFonts w:asciiTheme="minorBidi" w:eastAsia="Calibri" w:hAnsiTheme="minorBidi" w:cstheme="minorBidi"/>
          <w:sz w:val="22"/>
          <w:szCs w:val="22"/>
          <w:lang w:val="es-ES_tradnl"/>
        </w:rPr>
      </w:pPr>
      <w:r w:rsidRPr="002F4384">
        <w:rPr>
          <w:rFonts w:asciiTheme="minorBidi" w:eastAsia="Calibri" w:hAnsiTheme="minorBidi" w:cstheme="minorBidi"/>
          <w:sz w:val="22"/>
          <w:szCs w:val="22"/>
          <w:u w:val="single"/>
          <w:lang w:val="es-ES_tradnl"/>
        </w:rPr>
        <w:t>Toma nota</w:t>
      </w:r>
      <w:r w:rsidRPr="002F4384">
        <w:rPr>
          <w:rFonts w:asciiTheme="minorBidi" w:eastAsia="Calibri" w:hAnsiTheme="minorBidi" w:cstheme="minorBidi"/>
          <w:sz w:val="22"/>
          <w:szCs w:val="22"/>
          <w:lang w:val="es-ES_tradnl"/>
        </w:rPr>
        <w:t xml:space="preserve"> de la decisión de organizar la quinta reunión de la conferencia intergubernamental sobre un instrumento internacional jurídicamente vinculante relativo a la conservación y el uso sostenible de la diversidad biológica marina de las zonas situadas fuera de la jurisdicción nacional (15-26 de agosto de 2022) y, </w:t>
      </w:r>
      <w:r w:rsidRPr="002F4384">
        <w:rPr>
          <w:rFonts w:asciiTheme="minorBidi" w:eastAsia="Calibri" w:hAnsiTheme="minorBidi" w:cstheme="minorBidi"/>
          <w:sz w:val="22"/>
          <w:szCs w:val="22"/>
          <w:u w:val="single"/>
          <w:lang w:val="es-ES_tradnl"/>
        </w:rPr>
        <w:t>recordando</w:t>
      </w:r>
      <w:r w:rsidRPr="002F4384">
        <w:rPr>
          <w:rFonts w:asciiTheme="minorBidi" w:eastAsia="Calibri" w:hAnsiTheme="minorBidi" w:cstheme="minorBidi"/>
          <w:sz w:val="22"/>
          <w:szCs w:val="22"/>
          <w:lang w:val="es-ES_tradnl"/>
        </w:rPr>
        <w:t xml:space="preserve"> la decisión XXX/10.1 de la COI, </w:t>
      </w:r>
      <w:r w:rsidRPr="002F4384">
        <w:rPr>
          <w:rFonts w:asciiTheme="minorBidi" w:eastAsia="Calibri" w:hAnsiTheme="minorBidi" w:cstheme="minorBidi"/>
          <w:sz w:val="22"/>
          <w:szCs w:val="22"/>
          <w:u w:val="single"/>
          <w:lang w:val="es-ES_tradnl"/>
        </w:rPr>
        <w:t>pide</w:t>
      </w:r>
      <w:r w:rsidRPr="002F4384">
        <w:rPr>
          <w:rFonts w:asciiTheme="minorBidi" w:eastAsia="Calibri" w:hAnsiTheme="minorBidi" w:cstheme="minorBidi"/>
          <w:sz w:val="22"/>
          <w:szCs w:val="22"/>
          <w:lang w:val="es-ES_tradnl"/>
        </w:rPr>
        <w:t xml:space="preserve"> al Secretario Ejecutivo, al Presidente o a un miembro de la Mesa de la COI designado a tal efecto que representen a la Comisión en las reuniones de dicha conferencia intergubernamental, e </w:t>
      </w:r>
      <w:r w:rsidRPr="002F4384">
        <w:rPr>
          <w:rFonts w:asciiTheme="minorBidi" w:eastAsia="Calibri" w:hAnsiTheme="minorBidi" w:cstheme="minorBidi"/>
          <w:sz w:val="22"/>
          <w:szCs w:val="22"/>
          <w:u w:val="single"/>
          <w:lang w:val="es-ES_tradnl"/>
        </w:rPr>
        <w:t>invita</w:t>
      </w:r>
      <w:r w:rsidRPr="002F4384">
        <w:rPr>
          <w:rFonts w:asciiTheme="minorBidi" w:eastAsia="Calibri" w:hAnsiTheme="minorBidi" w:cstheme="minorBidi"/>
          <w:sz w:val="22"/>
          <w:szCs w:val="22"/>
          <w:lang w:val="es-ES_tradnl"/>
        </w:rPr>
        <w:t xml:space="preserve"> a los Estados Miembros de la COI a que apoyen la función de la Comisión y sus posibles contribuciones sobre la base de la información que figura en el documento oficioso IOC/INF</w:t>
      </w:r>
      <w:r w:rsidRPr="002F4384">
        <w:rPr>
          <w:rFonts w:asciiTheme="minorBidi" w:eastAsia="Calibri" w:hAnsiTheme="minorBidi" w:cstheme="minorBidi"/>
          <w:sz w:val="22"/>
          <w:szCs w:val="22"/>
          <w:lang w:val="es-ES_tradnl"/>
        </w:rPr>
        <w:noBreakHyphen/>
        <w:t>1387;</w:t>
      </w:r>
    </w:p>
    <w:p w14:paraId="1652DB47" w14:textId="77777777" w:rsidR="00391652" w:rsidRPr="002F4384" w:rsidRDefault="00391652" w:rsidP="00391652">
      <w:pPr>
        <w:spacing w:after="240"/>
        <w:jc w:val="both"/>
        <w:rPr>
          <w:rFonts w:asciiTheme="minorBidi" w:eastAsia="Calibri" w:hAnsiTheme="minorBidi" w:cstheme="minorBidi"/>
          <w:sz w:val="22"/>
          <w:szCs w:val="22"/>
          <w:lang w:val="es-ES_tradnl"/>
        </w:rPr>
      </w:pPr>
      <w:r w:rsidRPr="002F4384">
        <w:rPr>
          <w:rFonts w:asciiTheme="minorBidi" w:eastAsia="Calibri" w:hAnsiTheme="minorBidi" w:cstheme="minorBidi"/>
          <w:sz w:val="22"/>
          <w:szCs w:val="22"/>
          <w:u w:val="single"/>
          <w:lang w:val="es-ES_tradnl"/>
        </w:rPr>
        <w:t>Invita también</w:t>
      </w:r>
      <w:r w:rsidRPr="002F4384">
        <w:rPr>
          <w:rFonts w:asciiTheme="minorBidi" w:eastAsia="Calibri" w:hAnsiTheme="minorBidi" w:cstheme="minorBidi"/>
          <w:sz w:val="22"/>
          <w:szCs w:val="22"/>
          <w:lang w:val="es-ES_tradnl"/>
        </w:rPr>
        <w:t xml:space="preserve"> a los Estados Miembros de la COI a que participen activamente en la Conferencia sobre los Océanos de las Naciones Unidas, que se celebrará del 27 de junio al 1 de julio de 2022 en Lisboa, y a que pongan de relieve su contribución a la COI y al Decenio del Océano realzando la importancia de las ciencias oceánicas para la consecución del ODS 14 y la Agenda 2030;</w:t>
      </w:r>
    </w:p>
    <w:p w14:paraId="03B2E3F3" w14:textId="77777777" w:rsidR="00391652" w:rsidRPr="002F4384" w:rsidRDefault="00391652" w:rsidP="00391652">
      <w:pPr>
        <w:spacing w:after="240"/>
        <w:jc w:val="both"/>
        <w:rPr>
          <w:rFonts w:asciiTheme="minorBidi" w:eastAsia="Calibri" w:hAnsiTheme="minorBidi" w:cstheme="minorBidi"/>
          <w:sz w:val="22"/>
          <w:szCs w:val="22"/>
          <w:lang w:val="es-ES_tradnl"/>
        </w:rPr>
      </w:pPr>
      <w:r w:rsidRPr="002F4384">
        <w:rPr>
          <w:rFonts w:asciiTheme="minorBidi" w:eastAsia="Calibri" w:hAnsiTheme="minorBidi" w:cstheme="minorBidi"/>
          <w:sz w:val="22"/>
          <w:szCs w:val="22"/>
          <w:u w:val="single"/>
          <w:lang w:val="es-ES_tradnl"/>
        </w:rPr>
        <w:t>Pide también</w:t>
      </w:r>
      <w:r w:rsidRPr="002F4384">
        <w:rPr>
          <w:rFonts w:asciiTheme="minorBidi" w:eastAsia="Calibri" w:hAnsiTheme="minorBidi" w:cstheme="minorBidi"/>
          <w:sz w:val="22"/>
          <w:szCs w:val="22"/>
          <w:lang w:val="es-ES_tradnl"/>
        </w:rPr>
        <w:t xml:space="preserve"> al Secretario Ejecutivo de la COI que siga participando en estos procesos prestando apoyo científico y técnico, según proceda.</w:t>
      </w:r>
    </w:p>
    <w:p w14:paraId="313F7761" w14:textId="2D6EC939" w:rsidR="006D72DF" w:rsidRPr="002F4384" w:rsidRDefault="00667651" w:rsidP="00F90C4C">
      <w:pPr>
        <w:pStyle w:val="Heading1"/>
        <w:numPr>
          <w:ilvl w:val="0"/>
          <w:numId w:val="8"/>
        </w:numPr>
        <w:ind w:left="709" w:hanging="709"/>
        <w:rPr>
          <w:rFonts w:asciiTheme="minorBidi" w:hAnsiTheme="minorBidi" w:cstheme="minorBidi"/>
          <w:szCs w:val="22"/>
          <w:lang w:val="es-ES_tradnl"/>
        </w:rPr>
      </w:pPr>
      <w:bookmarkStart w:id="150" w:name="_Toc85469072"/>
      <w:bookmarkStart w:id="151" w:name="_Toc115256327"/>
      <w:r w:rsidRPr="002F4384">
        <w:rPr>
          <w:rFonts w:asciiTheme="minorBidi" w:hAnsiTheme="minorBidi" w:cstheme="minorBidi"/>
          <w:szCs w:val="22"/>
          <w:lang w:val="es-ES_tradnl"/>
        </w:rPr>
        <w:t>GOBERNANZA, PROGRAMACIÓN Y PRESUPUESTACIÓN</w:t>
      </w:r>
      <w:bookmarkEnd w:id="150"/>
      <w:bookmarkEnd w:id="151"/>
    </w:p>
    <w:p w14:paraId="6AD38726" w14:textId="77777777" w:rsidR="004E52FC" w:rsidRPr="002F4384" w:rsidRDefault="00A17D90" w:rsidP="00992454">
      <w:pPr>
        <w:pStyle w:val="Heading2"/>
        <w:tabs>
          <w:tab w:val="clear" w:pos="737"/>
        </w:tabs>
        <w:ind w:left="709" w:hanging="709"/>
        <w:jc w:val="both"/>
        <w:rPr>
          <w:rFonts w:asciiTheme="minorBidi" w:hAnsiTheme="minorBidi" w:cstheme="minorBidi"/>
          <w:szCs w:val="22"/>
          <w:lang w:val="es-ES_tradnl"/>
        </w:rPr>
      </w:pPr>
      <w:bookmarkStart w:id="152" w:name="_Toc85469073"/>
      <w:bookmarkStart w:id="153" w:name="_Toc115256328"/>
      <w:r w:rsidRPr="002F4384">
        <w:rPr>
          <w:rFonts w:asciiTheme="minorBidi" w:hAnsiTheme="minorBidi" w:cstheme="minorBidi"/>
          <w:szCs w:val="22"/>
          <w:lang w:val="es-ES_tradnl"/>
        </w:rPr>
        <w:t>5.1</w:t>
      </w:r>
      <w:r w:rsidRPr="002F4384">
        <w:rPr>
          <w:rFonts w:asciiTheme="minorBidi" w:hAnsiTheme="minorBidi" w:cstheme="minorBidi"/>
          <w:szCs w:val="22"/>
          <w:lang w:val="es-ES_tradnl"/>
        </w:rPr>
        <w:tab/>
        <w:t>APLICACIÓN DE LA RESOLUCIÓN A-31/2: ASUNTOS DE GOBERNANZA, PROGRAMACIÓN Y PRESUPUESTACIÓN DE LA COMISIÓN</w:t>
      </w:r>
      <w:bookmarkEnd w:id="152"/>
      <w:bookmarkEnd w:id="153"/>
    </w:p>
    <w:p w14:paraId="65D82E9D" w14:textId="77777777" w:rsidR="00127CC6" w:rsidRPr="002F4384" w:rsidRDefault="00EC6908"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El Secretario Ejecutivo presentó este punto.</w:t>
      </w:r>
    </w:p>
    <w:p w14:paraId="31812842" w14:textId="6ACBF279" w:rsidR="00B85105" w:rsidRPr="002F4384" w:rsidRDefault="00667651"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Recordó que en la resolución A-31/2, adoptada por la Asamblea en su 31ª reunión en 2021, se pedía </w:t>
      </w:r>
      <w:r w:rsidR="009229C9" w:rsidRPr="002F4384">
        <w:rPr>
          <w:rFonts w:asciiTheme="minorBidi" w:hAnsiTheme="minorBidi" w:cstheme="minorBidi"/>
          <w:lang w:val="es-ES_tradnl"/>
        </w:rPr>
        <w:t>“</w:t>
      </w:r>
      <w:r w:rsidRPr="002F4384">
        <w:rPr>
          <w:rFonts w:asciiTheme="minorBidi" w:hAnsiTheme="minorBidi" w:cstheme="minorBidi"/>
          <w:lang w:val="es-ES_tradnl"/>
        </w:rPr>
        <w:t>al Secretario Ejecutivo de la COI que prepa[rara], en consulta con el Asesor Jurídico de la UNESCO y el Grupo Asesor Financiero entre reuniones, una propuesta preliminar de Reglamento revisado para la Asamblea de la COI y Reglamento revisado para el Consejo Ejecutivo de la COI, haciendo las aclaraciones necesarias y armonizando las versiones lingüísticas, para su examen y aprobación por estos dos órganos [...]</w:t>
      </w:r>
      <w:r w:rsidR="009229C9" w:rsidRPr="002F4384">
        <w:rPr>
          <w:rFonts w:asciiTheme="minorBidi" w:hAnsiTheme="minorBidi" w:cstheme="minorBidi"/>
          <w:lang w:val="es-ES_tradnl"/>
        </w:rPr>
        <w:t>”</w:t>
      </w:r>
      <w:r w:rsidRPr="002F4384">
        <w:rPr>
          <w:rFonts w:asciiTheme="minorBidi" w:hAnsiTheme="minorBidi" w:cstheme="minorBidi"/>
          <w:lang w:val="es-ES_tradnl"/>
        </w:rPr>
        <w:t>.</w:t>
      </w:r>
    </w:p>
    <w:p w14:paraId="42F2430B" w14:textId="65152524" w:rsidR="00B85105" w:rsidRPr="002F4384" w:rsidRDefault="00667651"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En consecuencia, la Secretaría, en consulta con la Oficina de Normas Internacionales y Asuntos Jurídicos de la UNESCO, había nombrado a un consultor jurídico competente para que realizara un análisis inicial de la viabilidad y las posibles complicaciones de preparar un reglamento para la Asamblea de la COI y un reglamento para el Consejo Ejecutivo de la COI. Este análisis se había presentado a la Mesa de la COI durante su reunión anual, del 17 al 21 de enero de 2022</w:t>
      </w:r>
      <w:r w:rsidR="00C16BF1" w:rsidRPr="002F4384">
        <w:rPr>
          <w:rFonts w:asciiTheme="minorBidi" w:hAnsiTheme="minorBidi" w:cstheme="minorBidi"/>
          <w:lang w:val="es-ES_tradnl"/>
        </w:rPr>
        <w:t>.</w:t>
      </w:r>
      <w:r w:rsidRPr="002F4384">
        <w:rPr>
          <w:rFonts w:asciiTheme="minorBidi" w:hAnsiTheme="minorBidi" w:cstheme="minorBidi"/>
          <w:lang w:val="es-ES_tradnl"/>
        </w:rPr>
        <w:t xml:space="preserve"> </w:t>
      </w:r>
      <w:r w:rsidR="00C16BF1" w:rsidRPr="002F4384">
        <w:rPr>
          <w:rFonts w:asciiTheme="minorBidi" w:hAnsiTheme="minorBidi" w:cstheme="minorBidi"/>
          <w:lang w:val="es-ES_tradnl"/>
        </w:rPr>
        <w:t>P</w:t>
      </w:r>
      <w:r w:rsidRPr="002F4384">
        <w:rPr>
          <w:rFonts w:asciiTheme="minorBidi" w:hAnsiTheme="minorBidi" w:cstheme="minorBidi"/>
          <w:lang w:val="es-ES_tradnl"/>
        </w:rPr>
        <w:t>or su parte, el Grupo Asesor sobre Finanzas para el per</w:t>
      </w:r>
      <w:r w:rsidR="00C16BF1" w:rsidRPr="002F4384">
        <w:rPr>
          <w:rFonts w:asciiTheme="minorBidi" w:hAnsiTheme="minorBidi" w:cstheme="minorBidi"/>
          <w:lang w:val="es-ES_tradnl"/>
        </w:rPr>
        <w:t>í</w:t>
      </w:r>
      <w:r w:rsidRPr="002F4384">
        <w:rPr>
          <w:rFonts w:asciiTheme="minorBidi" w:hAnsiTheme="minorBidi" w:cstheme="minorBidi"/>
          <w:lang w:val="es-ES_tradnl"/>
        </w:rPr>
        <w:t xml:space="preserve">odo entre reuniones lo había recibido de su Presidente en un correo electrónico de fecha 14 de abril de 2022. </w:t>
      </w:r>
    </w:p>
    <w:p w14:paraId="6302D962" w14:textId="45D1B683" w:rsidR="00B85105" w:rsidRPr="002F4384" w:rsidRDefault="00667651"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La principal conclusión era que, si bien no parecía haber obstáculos </w:t>
      </w:r>
      <w:r w:rsidR="00A35DE2" w:rsidRPr="002F4384">
        <w:rPr>
          <w:rFonts w:asciiTheme="minorBidi" w:hAnsiTheme="minorBidi" w:cstheme="minorBidi"/>
          <w:lang w:val="es-ES_tradnl"/>
        </w:rPr>
        <w:t>a</w:t>
      </w:r>
      <w:r w:rsidRPr="002F4384">
        <w:rPr>
          <w:rFonts w:asciiTheme="minorBidi" w:hAnsiTheme="minorBidi" w:cstheme="minorBidi"/>
          <w:lang w:val="es-ES_tradnl"/>
        </w:rPr>
        <w:t xml:space="preserve"> la elaboración de estos dos reglamentos </w:t>
      </w:r>
      <w:r w:rsidR="00A35DE2" w:rsidRPr="002F4384">
        <w:rPr>
          <w:rFonts w:asciiTheme="minorBidi" w:hAnsiTheme="minorBidi" w:cstheme="minorBidi"/>
          <w:lang w:val="es-ES_tradnl"/>
        </w:rPr>
        <w:t xml:space="preserve">distintos </w:t>
      </w:r>
      <w:r w:rsidRPr="002F4384">
        <w:rPr>
          <w:rFonts w:asciiTheme="minorBidi" w:hAnsiTheme="minorBidi" w:cstheme="minorBidi"/>
          <w:lang w:val="es-ES_tradnl"/>
        </w:rPr>
        <w:t>que la hicieran inviable, era, sin embargo, un ejercicio más difícil de lo que parecía a primera vista. En primer lugar, el proceso de separación debía evaluarse con respecto a las limitaciones reglamentarias. En segundo lugar, requería un examen minucioso de las disposiciones existentes del Reglamento que no se aplicaban de igual manera a la Asamblea y al Consejo Ejecutivo. En tercer lugar, del análisis se desprendía claramente que las versiones lingüísticas del Reglamento actual de la Comisión discrepaban, como se había indicado en el informe del Presidente del Grupo Asesor sobre Finanzas para el per</w:t>
      </w:r>
      <w:r w:rsidR="00A35DE2" w:rsidRPr="002F4384">
        <w:rPr>
          <w:rFonts w:asciiTheme="minorBidi" w:hAnsiTheme="minorBidi" w:cstheme="minorBidi"/>
          <w:lang w:val="es-ES_tradnl"/>
        </w:rPr>
        <w:t>í</w:t>
      </w:r>
      <w:r w:rsidRPr="002F4384">
        <w:rPr>
          <w:rFonts w:asciiTheme="minorBidi" w:hAnsiTheme="minorBidi" w:cstheme="minorBidi"/>
          <w:lang w:val="es-ES_tradnl"/>
        </w:rPr>
        <w:t>odo entre reuniones presentado a la Asamblea en su 31ª reunión (</w:t>
      </w:r>
      <w:r w:rsidR="005F76DE" w:rsidRPr="00F90C4C">
        <w:rPr>
          <w:rFonts w:asciiTheme="minorBidi" w:hAnsiTheme="minorBidi" w:cstheme="minorBidi"/>
          <w:u w:val="single"/>
          <w:lang w:val="es-ES_tradnl"/>
        </w:rPr>
        <w:t>IOC/A-31/4.3.Doc</w:t>
      </w:r>
      <w:r w:rsidRPr="002F4384">
        <w:rPr>
          <w:rFonts w:asciiTheme="minorBidi" w:hAnsiTheme="minorBidi" w:cstheme="minorBidi"/>
          <w:lang w:val="es-ES_tradnl"/>
        </w:rPr>
        <w:t xml:space="preserve">). Existían obvias discrepancias entre las versiones en inglés y francés del Reglamento actual, que podían ocasionar dificultades </w:t>
      </w:r>
      <w:r w:rsidR="00A35DE2" w:rsidRPr="002F4384">
        <w:rPr>
          <w:rFonts w:asciiTheme="minorBidi" w:hAnsiTheme="minorBidi" w:cstheme="minorBidi"/>
          <w:lang w:val="es-ES_tradnl"/>
        </w:rPr>
        <w:t>significativas</w:t>
      </w:r>
      <w:r w:rsidRPr="002F4384">
        <w:rPr>
          <w:rFonts w:asciiTheme="minorBidi" w:hAnsiTheme="minorBidi" w:cstheme="minorBidi"/>
          <w:lang w:val="es-ES_tradnl"/>
        </w:rPr>
        <w:t xml:space="preserve"> a la hora de interpretar y aplicar las disposiciones pertinentes.</w:t>
      </w:r>
      <w:hyperlink r:id="rId21" w:history="1"/>
      <w:bookmarkStart w:id="154" w:name="_Hlt104370888"/>
      <w:bookmarkEnd w:id="154"/>
    </w:p>
    <w:p w14:paraId="7F5A5D03" w14:textId="0D591CBB" w:rsidR="00B85105" w:rsidRPr="002F4384" w:rsidRDefault="00667651"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lastRenderedPageBreak/>
        <w:t xml:space="preserve">Por lo tanto, la separación del actual Reglamento en un Reglamento para la Asamblea y un Reglamento para el Consejo Ejecutivo solo sería viable si se </w:t>
      </w:r>
      <w:r w:rsidR="00F3633A" w:rsidRPr="002F4384">
        <w:rPr>
          <w:rFonts w:asciiTheme="minorBidi" w:hAnsiTheme="minorBidi" w:cstheme="minorBidi"/>
          <w:lang w:val="es-ES_tradnl"/>
        </w:rPr>
        <w:t>definían</w:t>
      </w:r>
      <w:r w:rsidRPr="002F4384">
        <w:rPr>
          <w:rFonts w:asciiTheme="minorBidi" w:hAnsiTheme="minorBidi" w:cstheme="minorBidi"/>
          <w:lang w:val="es-ES_tradnl"/>
        </w:rPr>
        <w:t xml:space="preserve"> claramente el objeto y el propósito de las disposiciones existentes.</w:t>
      </w:r>
    </w:p>
    <w:p w14:paraId="48AF492E" w14:textId="77777777" w:rsidR="00B85105" w:rsidRPr="002F4384" w:rsidRDefault="00667651" w:rsidP="00992454">
      <w:pPr>
        <w:pStyle w:val="Style2"/>
        <w:keepNext/>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Por las razones expuestas, el documento IOC/EC-55.1.Doc(1) que se presentaba al Consejo Ejecutivo para que lo examinara se basaba en las siguientes propuestas:</w:t>
      </w:r>
    </w:p>
    <w:p w14:paraId="079744C1" w14:textId="77777777" w:rsidR="00B85105" w:rsidRPr="002F4384" w:rsidRDefault="00667651" w:rsidP="00992454">
      <w:pPr>
        <w:pStyle w:val="Style2"/>
        <w:numPr>
          <w:ilvl w:val="0"/>
          <w:numId w:val="10"/>
        </w:numPr>
        <w:ind w:left="993" w:hanging="425"/>
        <w:rPr>
          <w:rFonts w:asciiTheme="minorBidi" w:hAnsiTheme="minorBidi" w:cstheme="minorBidi"/>
          <w:lang w:val="es-ES_tradnl"/>
        </w:rPr>
      </w:pPr>
      <w:r w:rsidRPr="002F4384">
        <w:rPr>
          <w:rFonts w:asciiTheme="minorBidi" w:hAnsiTheme="minorBidi" w:cstheme="minorBidi"/>
          <w:lang w:val="es-ES_tradnl"/>
        </w:rPr>
        <w:t>abstenerse de iniciar un procedimiento de modificación de los Estatutos de la COI;</w:t>
      </w:r>
    </w:p>
    <w:p w14:paraId="513547D3" w14:textId="77777777" w:rsidR="00B85105" w:rsidRPr="002F4384" w:rsidRDefault="00667651" w:rsidP="00992454">
      <w:pPr>
        <w:pStyle w:val="Style2"/>
        <w:numPr>
          <w:ilvl w:val="0"/>
          <w:numId w:val="10"/>
        </w:numPr>
        <w:ind w:left="993" w:hanging="425"/>
        <w:rPr>
          <w:rFonts w:asciiTheme="minorBidi" w:hAnsiTheme="minorBidi" w:cstheme="minorBidi"/>
          <w:lang w:val="es-ES_tradnl"/>
        </w:rPr>
      </w:pPr>
      <w:r w:rsidRPr="002F4384">
        <w:rPr>
          <w:rFonts w:asciiTheme="minorBidi" w:hAnsiTheme="minorBidi" w:cstheme="minorBidi"/>
          <w:lang w:val="es-ES_tradnl"/>
        </w:rPr>
        <w:t>de conformidad con el artículo 6.B.3 de los Estatutos, mantener un único Reglamento de la Comisión, que determinaría oficialmente la Asamblea;</w:t>
      </w:r>
    </w:p>
    <w:p w14:paraId="04114DD6" w14:textId="2EAFFA77" w:rsidR="00B85105" w:rsidRPr="002F4384" w:rsidRDefault="00667651" w:rsidP="00992454">
      <w:pPr>
        <w:pStyle w:val="Style2"/>
        <w:numPr>
          <w:ilvl w:val="0"/>
          <w:numId w:val="10"/>
        </w:numPr>
        <w:ind w:left="993" w:hanging="425"/>
        <w:rPr>
          <w:rFonts w:asciiTheme="minorBidi" w:hAnsiTheme="minorBidi" w:cstheme="minorBidi"/>
          <w:lang w:val="es-ES_tradnl"/>
        </w:rPr>
      </w:pPr>
      <w:r w:rsidRPr="002F4384">
        <w:rPr>
          <w:rFonts w:asciiTheme="minorBidi" w:hAnsiTheme="minorBidi" w:cstheme="minorBidi"/>
          <w:lang w:val="es-ES_tradnl"/>
        </w:rPr>
        <w:t>revisar el Reglamento actual sobre la base de una distinción entre artículos generales, los que se aplican tanto a la Asamblea como al Consejo Ejecutivo y los que solo se aplican a uno de estos órganos;</w:t>
      </w:r>
    </w:p>
    <w:p w14:paraId="26E3B89A" w14:textId="30287A7A" w:rsidR="00B85105" w:rsidRPr="002F4384" w:rsidRDefault="00667651" w:rsidP="00992454">
      <w:pPr>
        <w:pStyle w:val="Style2"/>
        <w:numPr>
          <w:ilvl w:val="0"/>
          <w:numId w:val="10"/>
        </w:numPr>
        <w:ind w:left="993" w:hanging="425"/>
        <w:rPr>
          <w:rFonts w:asciiTheme="minorBidi" w:hAnsiTheme="minorBidi" w:cstheme="minorBidi"/>
          <w:lang w:val="es-ES_tradnl"/>
        </w:rPr>
      </w:pPr>
      <w:r w:rsidRPr="002F4384">
        <w:rPr>
          <w:rFonts w:asciiTheme="minorBidi" w:hAnsiTheme="minorBidi" w:cstheme="minorBidi"/>
          <w:lang w:val="es-ES_tradnl"/>
        </w:rPr>
        <w:t>modificar los artículos 55 y 56 a fin de reconocer y precisar la competencia del Consejo Ejecutivo para modificar los artículos relativos a su organización y funcionamiento o suspender su aplicación.</w:t>
      </w:r>
    </w:p>
    <w:p w14:paraId="092DA5B8" w14:textId="77777777" w:rsidR="00B85105" w:rsidRPr="002F4384" w:rsidRDefault="00667651"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El Secretario Ejecutivo señaló a la atención de los Estados Miembros el hecho de que el anexo del documento IOC/EC-55/5.1Doc(1) también contenía un conjunto no exhaustivo de comentarios de expertos jurídicos sobre casos en los que los Estados Miembros podrían considerar la conveniencia de aportar mayores aclaraciones, lo que requería una revisión más profunda del Reglamento. También destacó que los Estados Miembros podían consultar un análisis más detallado de las cuestiones en juego en el documento IOC/EC-55/5.1.Doc(2) (</w:t>
      </w:r>
      <w:r w:rsidRPr="002F4384">
        <w:rPr>
          <w:rFonts w:asciiTheme="minorBidi" w:hAnsiTheme="minorBidi" w:cstheme="minorBidi"/>
          <w:i/>
          <w:lang w:val="es-ES_tradnl"/>
        </w:rPr>
        <w:t>Report of the Chair of the Intersessional Financial Advisory Group (intersessional period December 2021–June 2022</w:t>
      </w:r>
      <w:r w:rsidRPr="002F4384">
        <w:rPr>
          <w:rFonts w:asciiTheme="minorBidi" w:hAnsiTheme="minorBidi" w:cstheme="minorBidi"/>
          <w:lang w:val="es-ES_tradnl"/>
        </w:rPr>
        <w:t>)).</w:t>
      </w:r>
    </w:p>
    <w:p w14:paraId="373B390B" w14:textId="2BA181E6" w:rsidR="00B85105" w:rsidRPr="002F4384" w:rsidRDefault="00667651"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Concluyó invitando a los Estados Miembros a participar activamente en los trabajos del Comité de Finanzas de la reunión, que examinaría el proyecto de Reglamento propuesto y formularía </w:t>
      </w:r>
      <w:r w:rsidR="00C866C8" w:rsidRPr="002F4384">
        <w:rPr>
          <w:rFonts w:asciiTheme="minorBidi" w:hAnsiTheme="minorBidi" w:cstheme="minorBidi"/>
          <w:lang w:val="es-ES_tradnl"/>
        </w:rPr>
        <w:t>el</w:t>
      </w:r>
      <w:r w:rsidRPr="002F4384">
        <w:rPr>
          <w:rFonts w:asciiTheme="minorBidi" w:hAnsiTheme="minorBidi" w:cstheme="minorBidi"/>
          <w:lang w:val="es-ES_tradnl"/>
        </w:rPr>
        <w:t xml:space="preserve"> proyecto de resolución que se aprobaría en plenaria en el marco del punto 5.2 del orden del día. Esto serviría de guía para que la Secretaría preparara la versión prefinal con miras a su aprobación por la Asamblea de la COI en su 32ª reunión.</w:t>
      </w:r>
    </w:p>
    <w:p w14:paraId="6E0122A1" w14:textId="47CF06CB" w:rsidR="00606E7D" w:rsidRPr="002F4384" w:rsidRDefault="00606E7D" w:rsidP="00992454">
      <w:pPr>
        <w:pStyle w:val="Style2"/>
        <w:numPr>
          <w:ilvl w:val="0"/>
          <w:numId w:val="7"/>
        </w:numPr>
        <w:tabs>
          <w:tab w:val="left" w:pos="709"/>
        </w:tabs>
        <w:spacing w:after="0"/>
        <w:ind w:left="0" w:hanging="567"/>
        <w:rPr>
          <w:rFonts w:asciiTheme="minorBidi" w:hAnsiTheme="minorBidi" w:cstheme="minorBidi"/>
          <w:lang w:val="es-ES_tradnl"/>
        </w:rPr>
      </w:pPr>
      <w:r w:rsidRPr="002F4384">
        <w:rPr>
          <w:rFonts w:asciiTheme="minorBidi" w:hAnsiTheme="minorBidi" w:cstheme="minorBidi"/>
          <w:lang w:val="es-ES_tradnl"/>
        </w:rPr>
        <w:t xml:space="preserve">El Consejo Ejecutivo adoptó la </w:t>
      </w:r>
      <w:r w:rsidRPr="002F4384">
        <w:rPr>
          <w:rFonts w:asciiTheme="minorBidi" w:hAnsiTheme="minorBidi" w:cstheme="minorBidi"/>
          <w:u w:val="single"/>
          <w:lang w:val="es-ES_tradnl"/>
        </w:rPr>
        <w:t>decisión IOC/EC-55/5.1</w:t>
      </w:r>
      <w:r w:rsidR="003A59D3" w:rsidRPr="002F4384">
        <w:rPr>
          <w:rFonts w:asciiTheme="minorBidi" w:hAnsiTheme="minorBidi" w:cstheme="minorBidi"/>
          <w:lang w:val="es-ES_tradnl"/>
        </w:rPr>
        <w:t>, que figura a continuación</w:t>
      </w:r>
      <w:r w:rsidRPr="002F4384">
        <w:rPr>
          <w:rFonts w:asciiTheme="minorBidi" w:hAnsiTheme="minorBidi" w:cstheme="minorBidi"/>
          <w:lang w:val="es-ES_tradnl"/>
        </w:rPr>
        <w:t>.</w:t>
      </w:r>
    </w:p>
    <w:p w14:paraId="17CB363A" w14:textId="77777777" w:rsidR="00606E7D" w:rsidRPr="002F4384" w:rsidRDefault="00606E7D" w:rsidP="00606E7D">
      <w:pPr>
        <w:keepNext/>
        <w:keepLines/>
        <w:tabs>
          <w:tab w:val="left" w:pos="709"/>
        </w:tabs>
        <w:spacing w:before="240" w:after="240"/>
        <w:jc w:val="center"/>
        <w:outlineLvl w:val="0"/>
        <w:rPr>
          <w:rFonts w:asciiTheme="minorBidi" w:eastAsia="SimSun" w:hAnsiTheme="minorBidi" w:cstheme="minorBidi"/>
          <w:b/>
          <w:sz w:val="22"/>
          <w:szCs w:val="22"/>
          <w:lang w:val="es-ES_tradnl"/>
        </w:rPr>
      </w:pPr>
      <w:r w:rsidRPr="002F4384">
        <w:rPr>
          <w:rFonts w:asciiTheme="minorBidi" w:eastAsia="SimSun" w:hAnsiTheme="minorBidi" w:cstheme="minorBidi"/>
          <w:b/>
          <w:bCs/>
          <w:sz w:val="22"/>
          <w:szCs w:val="22"/>
          <w:lang w:val="es-ES_tradnl"/>
        </w:rPr>
        <w:t xml:space="preserve">Asuntos relativos a la gobernanza, la programación y la presupuestación </w:t>
      </w:r>
      <w:r w:rsidRPr="002F4384">
        <w:rPr>
          <w:rFonts w:asciiTheme="minorBidi" w:eastAsia="SimSun" w:hAnsiTheme="minorBidi" w:cstheme="minorBidi"/>
          <w:b/>
          <w:bCs/>
          <w:sz w:val="22"/>
          <w:szCs w:val="22"/>
          <w:lang w:val="es-ES_tradnl"/>
        </w:rPr>
        <w:br/>
        <w:t>de la Comisión</w:t>
      </w:r>
    </w:p>
    <w:p w14:paraId="69EC15BA" w14:textId="77777777" w:rsidR="00606E7D" w:rsidRPr="002F4384" w:rsidRDefault="00606E7D" w:rsidP="00606E7D">
      <w:pPr>
        <w:keepNext/>
        <w:tabs>
          <w:tab w:val="left" w:pos="709"/>
        </w:tabs>
        <w:spacing w:after="240"/>
        <w:jc w:val="both"/>
        <w:rPr>
          <w:rFonts w:asciiTheme="minorBidi" w:eastAsia="Calibri" w:hAnsiTheme="minorBidi" w:cstheme="minorBidi"/>
          <w:sz w:val="22"/>
          <w:szCs w:val="22"/>
          <w:lang w:val="es-ES_tradnl"/>
        </w:rPr>
      </w:pPr>
      <w:r w:rsidRPr="002F4384">
        <w:rPr>
          <w:rFonts w:asciiTheme="minorBidi" w:hAnsiTheme="minorBidi" w:cstheme="minorBidi"/>
          <w:sz w:val="22"/>
          <w:szCs w:val="22"/>
          <w:lang w:val="es-ES_tradnl"/>
        </w:rPr>
        <w:t>El Consejo Ejecutivo,</w:t>
      </w:r>
    </w:p>
    <w:p w14:paraId="210A656D" w14:textId="77777777" w:rsidR="00606E7D" w:rsidRPr="002F4384" w:rsidRDefault="00606E7D" w:rsidP="00606E7D">
      <w:pPr>
        <w:tabs>
          <w:tab w:val="left" w:pos="709"/>
        </w:tabs>
        <w:snapToGrid w:val="0"/>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u w:val="single"/>
          <w:lang w:val="es-ES_tradnl"/>
        </w:rPr>
        <w:t>Habiendo examinado</w:t>
      </w:r>
      <w:r w:rsidRPr="002F4384">
        <w:rPr>
          <w:rFonts w:asciiTheme="minorBidi" w:hAnsiTheme="minorBidi" w:cstheme="minorBidi"/>
          <w:sz w:val="22"/>
          <w:szCs w:val="22"/>
          <w:lang w:val="es-ES_tradnl"/>
        </w:rPr>
        <w:t xml:space="preserve"> los documentos IOC/EC-55/5.1.Doc(1) e IOC/EC-55/5.1.Doc(2),</w:t>
      </w:r>
    </w:p>
    <w:p w14:paraId="26E1CCCF" w14:textId="77777777" w:rsidR="00606E7D" w:rsidRPr="002F4384" w:rsidRDefault="00606E7D" w:rsidP="00606E7D">
      <w:pPr>
        <w:tabs>
          <w:tab w:val="left" w:pos="709"/>
        </w:tabs>
        <w:snapToGrid w:val="0"/>
        <w:spacing w:after="240"/>
        <w:jc w:val="both"/>
        <w:rPr>
          <w:rFonts w:asciiTheme="minorBidi" w:hAnsiTheme="minorBidi" w:cstheme="minorBidi"/>
          <w:sz w:val="22"/>
          <w:szCs w:val="22"/>
          <w:lang w:val="es-ES_tradnl"/>
        </w:rPr>
      </w:pPr>
      <w:r w:rsidRPr="002F4384">
        <w:rPr>
          <w:rFonts w:asciiTheme="minorBidi" w:hAnsiTheme="minorBidi" w:cstheme="minorBidi"/>
          <w:sz w:val="22"/>
          <w:szCs w:val="22"/>
          <w:u w:val="single"/>
          <w:lang w:val="es-ES_tradnl"/>
        </w:rPr>
        <w:t>Toma nota</w:t>
      </w:r>
      <w:r w:rsidRPr="002F4384">
        <w:rPr>
          <w:rFonts w:asciiTheme="minorBidi" w:hAnsiTheme="minorBidi" w:cstheme="minorBidi"/>
          <w:sz w:val="22"/>
          <w:szCs w:val="22"/>
          <w:lang w:val="es-ES_tradnl"/>
        </w:rPr>
        <w:t xml:space="preserve"> de los documentos IOC/EC-55/5.1.Doc(1) e IOC/EC-55/5.1.Doc(2), sin perjuicio de un examen ulterior por el Comité de Finanzas con miras a formular un proyecto de resolución para su debate y aprobación en sesión plenaria.</w:t>
      </w:r>
    </w:p>
    <w:p w14:paraId="27A666A7" w14:textId="6B569440" w:rsidR="008B1F43" w:rsidRPr="002F4384" w:rsidRDefault="00F63478" w:rsidP="006F18C2">
      <w:pPr>
        <w:pStyle w:val="Heading2"/>
        <w:tabs>
          <w:tab w:val="clear" w:pos="737"/>
          <w:tab w:val="left" w:pos="709"/>
        </w:tabs>
        <w:ind w:left="709" w:hanging="709"/>
        <w:rPr>
          <w:rFonts w:asciiTheme="minorBidi" w:hAnsiTheme="minorBidi" w:cstheme="minorBidi"/>
          <w:szCs w:val="22"/>
          <w:lang w:val="es-ES_tradnl"/>
        </w:rPr>
      </w:pPr>
      <w:bookmarkStart w:id="155" w:name="_Toc57369055"/>
      <w:bookmarkStart w:id="156" w:name="_Toc85469074"/>
      <w:bookmarkStart w:id="157" w:name="_Toc115256329"/>
      <w:r w:rsidRPr="002F4384">
        <w:rPr>
          <w:rFonts w:asciiTheme="minorBidi" w:hAnsiTheme="minorBidi" w:cstheme="minorBidi"/>
          <w:szCs w:val="22"/>
          <w:lang w:val="es-ES_tradnl"/>
        </w:rPr>
        <w:t>5.2</w:t>
      </w:r>
      <w:r w:rsidRPr="002F4384">
        <w:rPr>
          <w:rFonts w:asciiTheme="minorBidi" w:hAnsiTheme="minorBidi" w:cstheme="minorBidi"/>
          <w:szCs w:val="22"/>
          <w:lang w:val="es-ES_tradnl"/>
        </w:rPr>
        <w:tab/>
        <w:t>INFORME DEL PRESIDENTE DEL COMITÉ DE FINANZAS</w:t>
      </w:r>
      <w:bookmarkEnd w:id="155"/>
      <w:bookmarkEnd w:id="156"/>
      <w:bookmarkEnd w:id="157"/>
    </w:p>
    <w:p w14:paraId="09B4C371" w14:textId="12C1EBE7" w:rsidR="002470BD" w:rsidRPr="002F4384" w:rsidRDefault="00EC6908" w:rsidP="00992454">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El Presidente del Comité de Finanzas y Vicepresidente de la COI, Karim Hilmi (Marruecos), presentó al Consejo Ejecutivo los resultados del examen realizado por el Comité de los puntos que le había encomendado la plenaria, además de las cuestiones reglamentarias previstas en el artículo</w:t>
      </w:r>
      <w:r w:rsidR="00992454" w:rsidRPr="002F4384">
        <w:rPr>
          <w:rFonts w:asciiTheme="minorBidi" w:hAnsiTheme="minorBidi" w:cstheme="minorBidi"/>
          <w:lang w:val="es-ES_tradnl"/>
        </w:rPr>
        <w:t> </w:t>
      </w:r>
      <w:r w:rsidRPr="002F4384">
        <w:rPr>
          <w:rFonts w:asciiTheme="minorBidi" w:hAnsiTheme="minorBidi" w:cstheme="minorBidi"/>
          <w:lang w:val="es-ES_tradnl"/>
        </w:rPr>
        <w:t>8.1</w:t>
      </w:r>
      <w:r w:rsidR="00992454" w:rsidRPr="002F4384">
        <w:rPr>
          <w:rFonts w:asciiTheme="minorBidi" w:hAnsiTheme="minorBidi" w:cstheme="minorBidi"/>
          <w:lang w:val="es-ES_tradnl"/>
        </w:rPr>
        <w:t> </w:t>
      </w:r>
      <w:r w:rsidRPr="002F4384">
        <w:rPr>
          <w:rFonts w:asciiTheme="minorBidi" w:hAnsiTheme="minorBidi" w:cstheme="minorBidi"/>
          <w:lang w:val="es-ES_tradnl"/>
        </w:rPr>
        <w:t>c) del Reglamento.</w:t>
      </w:r>
    </w:p>
    <w:p w14:paraId="76BA7FF8" w14:textId="6AD10A59" w:rsidR="00EC6908" w:rsidRPr="002F4384" w:rsidRDefault="00667651"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lastRenderedPageBreak/>
        <w:t xml:space="preserve">El Consejo Ejecutivo </w:t>
      </w:r>
      <w:r w:rsidRPr="002F4384">
        <w:rPr>
          <w:rFonts w:asciiTheme="minorBidi" w:hAnsiTheme="minorBidi" w:cstheme="minorBidi"/>
          <w:u w:val="single"/>
          <w:lang w:val="es-ES_tradnl"/>
        </w:rPr>
        <w:t>aprobó la resolución EC-55/2</w:t>
      </w:r>
      <w:r w:rsidRPr="002F4384">
        <w:rPr>
          <w:rFonts w:asciiTheme="minorBidi" w:hAnsiTheme="minorBidi" w:cstheme="minorBidi"/>
          <w:lang w:val="es-ES_tradnl"/>
        </w:rPr>
        <w:t xml:space="preserve"> presentada por </w:t>
      </w:r>
      <w:r w:rsidR="00606E7D" w:rsidRPr="002F4384">
        <w:rPr>
          <w:rFonts w:asciiTheme="minorBidi" w:hAnsiTheme="minorBidi" w:cstheme="minorBidi"/>
          <w:lang w:val="es-ES_tradnl"/>
        </w:rPr>
        <w:t xml:space="preserve">Alemania, la Argentina, Australia, Bangladesh, Bélgica, Benin, </w:t>
      </w:r>
      <w:r w:rsidR="006623BF" w:rsidRPr="002F4384">
        <w:rPr>
          <w:rFonts w:asciiTheme="minorBidi" w:hAnsiTheme="minorBidi" w:cstheme="minorBidi"/>
          <w:lang w:val="es-ES_tradnl"/>
        </w:rPr>
        <w:t xml:space="preserve">el </w:t>
      </w:r>
      <w:r w:rsidR="00606E7D" w:rsidRPr="002F4384">
        <w:rPr>
          <w:rFonts w:asciiTheme="minorBidi" w:hAnsiTheme="minorBidi" w:cstheme="minorBidi"/>
          <w:lang w:val="es-ES_tradnl"/>
        </w:rPr>
        <w:t xml:space="preserve">Brasil, </w:t>
      </w:r>
      <w:r w:rsidR="006623BF" w:rsidRPr="002F4384">
        <w:rPr>
          <w:rFonts w:asciiTheme="minorBidi" w:hAnsiTheme="minorBidi" w:cstheme="minorBidi"/>
          <w:lang w:val="es-ES_tradnl"/>
        </w:rPr>
        <w:t xml:space="preserve">el </w:t>
      </w:r>
      <w:r w:rsidR="00606E7D" w:rsidRPr="002F4384">
        <w:rPr>
          <w:rFonts w:asciiTheme="minorBidi" w:hAnsiTheme="minorBidi" w:cstheme="minorBidi"/>
          <w:lang w:val="es-ES_tradnl"/>
        </w:rPr>
        <w:t xml:space="preserve">Canadá, China, Côte d'Ivoire, Egipto, </w:t>
      </w:r>
      <w:r w:rsidR="006623BF" w:rsidRPr="002F4384">
        <w:rPr>
          <w:rFonts w:asciiTheme="minorBidi" w:hAnsiTheme="minorBidi" w:cstheme="minorBidi"/>
          <w:lang w:val="es-ES_tradnl"/>
        </w:rPr>
        <w:t xml:space="preserve">los </w:t>
      </w:r>
      <w:r w:rsidR="00606E7D" w:rsidRPr="002F4384">
        <w:rPr>
          <w:rFonts w:asciiTheme="minorBidi" w:hAnsiTheme="minorBidi" w:cstheme="minorBidi"/>
          <w:lang w:val="es-ES_tradnl"/>
        </w:rPr>
        <w:t xml:space="preserve">Estados Unidos de América, </w:t>
      </w:r>
      <w:r w:rsidR="006623BF" w:rsidRPr="002F4384">
        <w:rPr>
          <w:rFonts w:asciiTheme="minorBidi" w:hAnsiTheme="minorBidi" w:cstheme="minorBidi"/>
          <w:lang w:val="es-ES_tradnl"/>
        </w:rPr>
        <w:t xml:space="preserve">la </w:t>
      </w:r>
      <w:r w:rsidR="00606E7D" w:rsidRPr="002F4384">
        <w:rPr>
          <w:rFonts w:asciiTheme="minorBidi" w:hAnsiTheme="minorBidi" w:cstheme="minorBidi"/>
          <w:lang w:val="es-ES_tradnl"/>
        </w:rPr>
        <w:t xml:space="preserve">Federación de Rusia, Francia, Granada, </w:t>
      </w:r>
      <w:r w:rsidR="006623BF" w:rsidRPr="002F4384">
        <w:rPr>
          <w:rFonts w:asciiTheme="minorBidi" w:hAnsiTheme="minorBidi" w:cstheme="minorBidi"/>
          <w:lang w:val="es-ES_tradnl"/>
        </w:rPr>
        <w:t xml:space="preserve">el </w:t>
      </w:r>
      <w:r w:rsidR="00606E7D" w:rsidRPr="002F4384">
        <w:rPr>
          <w:rFonts w:asciiTheme="minorBidi" w:hAnsiTheme="minorBidi" w:cstheme="minorBidi"/>
          <w:lang w:val="es-ES_tradnl"/>
        </w:rPr>
        <w:t xml:space="preserve">Japón, Kuwait, Marruecos, Noruega, Portugal, </w:t>
      </w:r>
      <w:r w:rsidR="006623BF" w:rsidRPr="002F4384">
        <w:rPr>
          <w:rFonts w:asciiTheme="minorBidi" w:hAnsiTheme="minorBidi" w:cstheme="minorBidi"/>
          <w:lang w:val="es-ES_tradnl"/>
        </w:rPr>
        <w:t xml:space="preserve">el </w:t>
      </w:r>
      <w:r w:rsidR="00606E7D" w:rsidRPr="002F4384">
        <w:rPr>
          <w:rFonts w:asciiTheme="minorBidi" w:hAnsiTheme="minorBidi" w:cstheme="minorBidi"/>
          <w:lang w:val="es-ES_tradnl"/>
        </w:rPr>
        <w:t xml:space="preserve">Reino Unido de Gran Bretaña e Irlanda del Norte, </w:t>
      </w:r>
      <w:r w:rsidR="006623BF" w:rsidRPr="002F4384">
        <w:rPr>
          <w:rFonts w:asciiTheme="minorBidi" w:hAnsiTheme="minorBidi" w:cstheme="minorBidi"/>
          <w:lang w:val="es-ES_tradnl"/>
        </w:rPr>
        <w:t xml:space="preserve">la </w:t>
      </w:r>
      <w:r w:rsidR="00606E7D" w:rsidRPr="002F4384">
        <w:rPr>
          <w:rFonts w:asciiTheme="minorBidi" w:hAnsiTheme="minorBidi" w:cstheme="minorBidi"/>
          <w:lang w:val="es-ES_tradnl"/>
        </w:rPr>
        <w:t>República de Corea, San Vicente y las Granadinas y Türkiye</w:t>
      </w:r>
      <w:r w:rsidRPr="002F4384">
        <w:rPr>
          <w:rFonts w:asciiTheme="minorBidi" w:hAnsiTheme="minorBidi" w:cstheme="minorBidi"/>
          <w:lang w:val="es-ES_tradnl"/>
        </w:rPr>
        <w:t>.</w:t>
      </w:r>
    </w:p>
    <w:p w14:paraId="31648E10" w14:textId="77777777" w:rsidR="008C4954" w:rsidRPr="002F4384" w:rsidRDefault="008C4954" w:rsidP="008C4954">
      <w:pPr>
        <w:keepNext/>
        <w:keepLines/>
        <w:tabs>
          <w:tab w:val="left" w:pos="709"/>
        </w:tabs>
        <w:snapToGrid w:val="0"/>
        <w:spacing w:after="240"/>
        <w:jc w:val="center"/>
        <w:outlineLvl w:val="0"/>
        <w:rPr>
          <w:rFonts w:asciiTheme="minorBidi" w:eastAsia="SimSun" w:hAnsiTheme="minorBidi" w:cstheme="minorBidi"/>
          <w:b/>
          <w:sz w:val="22"/>
          <w:szCs w:val="22"/>
          <w:lang w:val="es-ES_tradnl"/>
        </w:rPr>
      </w:pPr>
      <w:r w:rsidRPr="002F4384">
        <w:rPr>
          <w:rFonts w:asciiTheme="minorBidi" w:eastAsia="SimSun" w:hAnsiTheme="minorBidi" w:cstheme="minorBidi"/>
          <w:b/>
          <w:bCs/>
          <w:sz w:val="22"/>
          <w:szCs w:val="22"/>
          <w:lang w:val="es-ES_tradnl"/>
        </w:rPr>
        <w:t xml:space="preserve">Asuntos relativos a la gobernanza, la programación y la presupuestación </w:t>
      </w:r>
      <w:r w:rsidRPr="002F4384">
        <w:rPr>
          <w:rFonts w:asciiTheme="minorBidi" w:eastAsia="SimSun" w:hAnsiTheme="minorBidi" w:cstheme="minorBidi"/>
          <w:b/>
          <w:bCs/>
          <w:sz w:val="22"/>
          <w:szCs w:val="22"/>
          <w:lang w:val="es-ES_tradnl"/>
        </w:rPr>
        <w:br/>
        <w:t>de la Comisión</w:t>
      </w:r>
    </w:p>
    <w:p w14:paraId="79AAB6ED" w14:textId="77777777" w:rsidR="008C4954" w:rsidRPr="002F4384" w:rsidRDefault="008C4954" w:rsidP="008C4954">
      <w:pPr>
        <w:keepNext/>
        <w:tabs>
          <w:tab w:val="left" w:pos="709"/>
        </w:tabs>
        <w:spacing w:after="240"/>
        <w:jc w:val="both"/>
        <w:rPr>
          <w:rFonts w:asciiTheme="minorBidi" w:eastAsia="Calibri" w:hAnsiTheme="minorBidi" w:cstheme="minorBidi"/>
          <w:sz w:val="22"/>
          <w:szCs w:val="22"/>
          <w:lang w:val="es-ES_tradnl"/>
        </w:rPr>
      </w:pPr>
      <w:r w:rsidRPr="002F4384">
        <w:rPr>
          <w:rFonts w:asciiTheme="minorBidi" w:eastAsia="Calibri" w:hAnsiTheme="minorBidi" w:cstheme="minorBidi"/>
          <w:sz w:val="22"/>
          <w:szCs w:val="22"/>
          <w:lang w:val="es-ES_tradnl"/>
        </w:rPr>
        <w:t xml:space="preserve">El Consejo Ejecutivo, </w:t>
      </w:r>
    </w:p>
    <w:p w14:paraId="2538AE5E" w14:textId="77777777" w:rsidR="008C4954" w:rsidRPr="002F4384" w:rsidRDefault="008C4954" w:rsidP="008C4954">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Habiendo examinado</w:t>
      </w:r>
      <w:r w:rsidRPr="002F4384">
        <w:rPr>
          <w:rFonts w:asciiTheme="minorBidi" w:hAnsiTheme="minorBidi" w:cstheme="minorBidi"/>
          <w:bCs/>
          <w:sz w:val="22"/>
          <w:szCs w:val="22"/>
          <w:lang w:val="es-ES_tradnl"/>
        </w:rPr>
        <w:t xml:space="preserve"> los documentos:</w:t>
      </w:r>
    </w:p>
    <w:p w14:paraId="0A8600D4" w14:textId="77777777" w:rsidR="008C4954" w:rsidRPr="002F4384" w:rsidRDefault="008C4954" w:rsidP="00035473">
      <w:pPr>
        <w:numPr>
          <w:ilvl w:val="0"/>
          <w:numId w:val="18"/>
        </w:numPr>
        <w:snapToGrid w:val="0"/>
        <w:spacing w:after="240"/>
        <w:ind w:left="1134" w:hanging="567"/>
        <w:jc w:val="both"/>
        <w:rPr>
          <w:rFonts w:asciiTheme="minorBidi" w:hAnsiTheme="minorBidi" w:cstheme="minorBidi"/>
          <w:bCs/>
          <w:sz w:val="22"/>
          <w:szCs w:val="22"/>
          <w:lang w:val="es-ES_tradnl"/>
        </w:rPr>
      </w:pPr>
      <w:r w:rsidRPr="002F4384">
        <w:rPr>
          <w:rFonts w:asciiTheme="minorBidi" w:hAnsiTheme="minorBidi" w:cstheme="minorBidi"/>
          <w:bCs/>
          <w:sz w:val="22"/>
          <w:szCs w:val="22"/>
          <w:lang w:val="es-ES_tradnl"/>
        </w:rPr>
        <w:t>IOC/EC-55/3.1.Doc(2) – Informe sobre la ejecución del presupuesto para 2020-2021 (40 C/5) al 31 de diciembre de 2021 y presentación del marco presupuestario integrado para 2022-2023,</w:t>
      </w:r>
    </w:p>
    <w:p w14:paraId="51DA6CBA" w14:textId="77777777" w:rsidR="008C4954" w:rsidRPr="002F4384" w:rsidRDefault="008C4954" w:rsidP="00035473">
      <w:pPr>
        <w:numPr>
          <w:ilvl w:val="0"/>
          <w:numId w:val="18"/>
        </w:numPr>
        <w:snapToGrid w:val="0"/>
        <w:spacing w:after="240"/>
        <w:ind w:left="1134" w:hanging="567"/>
        <w:jc w:val="both"/>
        <w:rPr>
          <w:rFonts w:asciiTheme="minorBidi" w:hAnsiTheme="minorBidi" w:cstheme="minorBidi"/>
          <w:bCs/>
          <w:sz w:val="22"/>
          <w:szCs w:val="22"/>
          <w:lang w:val="es-ES_tradnl"/>
        </w:rPr>
      </w:pPr>
      <w:r w:rsidRPr="002F4384">
        <w:rPr>
          <w:rFonts w:asciiTheme="minorBidi" w:hAnsiTheme="minorBidi" w:cstheme="minorBidi"/>
          <w:bCs/>
          <w:sz w:val="22"/>
          <w:szCs w:val="22"/>
          <w:lang w:val="es-ES_tradnl"/>
        </w:rPr>
        <w:t>IOC/EC-55/3.1.Doc(3) – Situación financiera de la Cuenta Especial de la COI a finales de 2021 y previsión para 2022-2023,</w:t>
      </w:r>
    </w:p>
    <w:p w14:paraId="4389FFC0" w14:textId="77777777" w:rsidR="008C4954" w:rsidRPr="002F4384" w:rsidRDefault="008C4954" w:rsidP="00035473">
      <w:pPr>
        <w:numPr>
          <w:ilvl w:val="0"/>
          <w:numId w:val="18"/>
        </w:numPr>
        <w:snapToGrid w:val="0"/>
        <w:spacing w:after="240"/>
        <w:ind w:left="1134" w:hanging="567"/>
        <w:jc w:val="both"/>
        <w:rPr>
          <w:rFonts w:asciiTheme="minorBidi" w:hAnsiTheme="minorBidi" w:cstheme="minorBidi"/>
          <w:bCs/>
          <w:sz w:val="22"/>
          <w:szCs w:val="22"/>
          <w:lang w:val="es-ES_tradnl"/>
        </w:rPr>
      </w:pPr>
      <w:r w:rsidRPr="002F4384">
        <w:rPr>
          <w:rFonts w:asciiTheme="minorBidi" w:hAnsiTheme="minorBidi" w:cstheme="minorBidi"/>
          <w:bCs/>
          <w:sz w:val="22"/>
          <w:szCs w:val="22"/>
          <w:lang w:val="es-ES_tradnl"/>
        </w:rPr>
        <w:t>IOC/EC-55/5.1.Doc(1) – Propuesta de revisión del Reglamento de la COI – Primera versión,</w:t>
      </w:r>
    </w:p>
    <w:p w14:paraId="20253CF9" w14:textId="58D1FE7B" w:rsidR="008C4954" w:rsidRPr="002F4384" w:rsidRDefault="008C4954" w:rsidP="00035473">
      <w:pPr>
        <w:numPr>
          <w:ilvl w:val="0"/>
          <w:numId w:val="18"/>
        </w:numPr>
        <w:snapToGrid w:val="0"/>
        <w:spacing w:after="240"/>
        <w:ind w:left="1134" w:hanging="567"/>
        <w:jc w:val="both"/>
        <w:rPr>
          <w:rFonts w:asciiTheme="minorBidi" w:hAnsiTheme="minorBidi" w:cstheme="minorBidi"/>
          <w:bCs/>
          <w:sz w:val="22"/>
          <w:szCs w:val="22"/>
          <w:lang w:val="es-ES_tradnl"/>
        </w:rPr>
      </w:pPr>
      <w:r w:rsidRPr="002F4384">
        <w:rPr>
          <w:rFonts w:asciiTheme="minorBidi" w:hAnsiTheme="minorBidi" w:cstheme="minorBidi"/>
          <w:bCs/>
          <w:sz w:val="22"/>
          <w:szCs w:val="22"/>
          <w:lang w:val="es-ES_tradnl"/>
        </w:rPr>
        <w:t>IOC/EC-55/5.1.Doc(2) – Informe del Presidente del Grupo Asesor sobre Finanzas para el per</w:t>
      </w:r>
      <w:r w:rsidR="00CA1106" w:rsidRPr="002F4384">
        <w:rPr>
          <w:rFonts w:asciiTheme="minorBidi" w:hAnsiTheme="minorBidi" w:cstheme="minorBidi"/>
          <w:bCs/>
          <w:sz w:val="22"/>
          <w:szCs w:val="22"/>
          <w:lang w:val="es-ES_tradnl"/>
        </w:rPr>
        <w:t>í</w:t>
      </w:r>
      <w:r w:rsidRPr="002F4384">
        <w:rPr>
          <w:rFonts w:asciiTheme="minorBidi" w:hAnsiTheme="minorBidi" w:cstheme="minorBidi"/>
          <w:bCs/>
          <w:sz w:val="22"/>
          <w:szCs w:val="22"/>
          <w:lang w:val="es-ES_tradnl"/>
        </w:rPr>
        <w:t>odo entre reuniones (per</w:t>
      </w:r>
      <w:r w:rsidR="00CA1106" w:rsidRPr="002F4384">
        <w:rPr>
          <w:rFonts w:asciiTheme="minorBidi" w:hAnsiTheme="minorBidi" w:cstheme="minorBidi"/>
          <w:bCs/>
          <w:sz w:val="22"/>
          <w:szCs w:val="22"/>
          <w:lang w:val="es-ES_tradnl"/>
        </w:rPr>
        <w:t>í</w:t>
      </w:r>
      <w:r w:rsidRPr="002F4384">
        <w:rPr>
          <w:rFonts w:asciiTheme="minorBidi" w:hAnsiTheme="minorBidi" w:cstheme="minorBidi"/>
          <w:bCs/>
          <w:sz w:val="22"/>
          <w:szCs w:val="22"/>
          <w:lang w:val="es-ES_tradnl"/>
        </w:rPr>
        <w:t>odo entre reuniones de diciembre de 2021 a junio de 2022),</w:t>
      </w:r>
    </w:p>
    <w:p w14:paraId="4FA0D63A" w14:textId="77777777" w:rsidR="008C4954" w:rsidRPr="002F4384" w:rsidRDefault="008C4954" w:rsidP="00035473">
      <w:pPr>
        <w:keepNext/>
        <w:numPr>
          <w:ilvl w:val="0"/>
          <w:numId w:val="20"/>
        </w:numPr>
        <w:snapToGrid w:val="0"/>
        <w:spacing w:after="240"/>
        <w:ind w:left="567" w:hanging="567"/>
        <w:jc w:val="center"/>
        <w:rPr>
          <w:rFonts w:asciiTheme="minorBidi" w:hAnsiTheme="minorBidi" w:cstheme="minorBidi"/>
          <w:b/>
          <w:bCs/>
          <w:sz w:val="22"/>
          <w:szCs w:val="22"/>
          <w:lang w:val="es-ES_tradnl"/>
        </w:rPr>
      </w:pPr>
      <w:r w:rsidRPr="002F4384">
        <w:rPr>
          <w:rFonts w:asciiTheme="minorBidi" w:hAnsiTheme="minorBidi" w:cstheme="minorBidi"/>
          <w:b/>
          <w:bCs/>
          <w:sz w:val="22"/>
          <w:szCs w:val="22"/>
          <w:lang w:val="es-ES_tradnl"/>
        </w:rPr>
        <w:t xml:space="preserve">Informe sobre la ejecución del presupuesto para 2020-2021 (40 C/5) </w:t>
      </w:r>
      <w:r w:rsidRPr="002F4384">
        <w:rPr>
          <w:rFonts w:asciiTheme="minorBidi" w:hAnsiTheme="minorBidi" w:cstheme="minorBidi"/>
          <w:b/>
          <w:bCs/>
          <w:sz w:val="22"/>
          <w:szCs w:val="22"/>
          <w:lang w:val="es-ES_tradnl"/>
        </w:rPr>
        <w:br/>
        <w:t xml:space="preserve">al 31 de diciembre de 2021 y presentación del marco presupuestario integrado </w:t>
      </w:r>
      <w:r w:rsidRPr="002F4384">
        <w:rPr>
          <w:rFonts w:asciiTheme="minorBidi" w:hAnsiTheme="minorBidi" w:cstheme="minorBidi"/>
          <w:b/>
          <w:bCs/>
          <w:sz w:val="22"/>
          <w:szCs w:val="22"/>
          <w:lang w:val="es-ES_tradnl"/>
        </w:rPr>
        <w:br/>
        <w:t>para 2022</w:t>
      </w:r>
      <w:r w:rsidRPr="002F4384">
        <w:rPr>
          <w:rFonts w:asciiTheme="minorBidi" w:hAnsiTheme="minorBidi" w:cstheme="minorBidi"/>
          <w:b/>
          <w:bCs/>
          <w:sz w:val="22"/>
          <w:szCs w:val="22"/>
          <w:lang w:val="es-ES_tradnl"/>
        </w:rPr>
        <w:noBreakHyphen/>
        <w:t>2023</w:t>
      </w:r>
    </w:p>
    <w:p w14:paraId="68474AA1" w14:textId="77777777" w:rsidR="008C4954" w:rsidRPr="002F4384" w:rsidRDefault="008C4954" w:rsidP="008C4954">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Confirma</w:t>
      </w:r>
      <w:r w:rsidRPr="002F4384">
        <w:rPr>
          <w:rFonts w:asciiTheme="minorBidi" w:hAnsiTheme="minorBidi" w:cstheme="minorBidi"/>
          <w:bCs/>
          <w:sz w:val="22"/>
          <w:szCs w:val="22"/>
          <w:lang w:val="es-ES_tradnl"/>
        </w:rPr>
        <w:t xml:space="preserve"> que el presupuesto de la COI para 2020-2021, del que se da cuenta en la parte I del documento IOC/EC-53/3.1.Doc(2), se ha ejecutado de conformidad con el Programa y Presupuesto de la UNESCO para 2020-2021 (40 C/5 Aprobado), con inclusión de las consignaciones presupuestarias ajustadas para la Cuenta Especial de la COI aprobadas por la Asamblea de la COI en su 31ª reunión (IOC/A-31/3.2.Doc(3)) mediante su resolución A</w:t>
      </w:r>
      <w:r w:rsidRPr="002F4384">
        <w:rPr>
          <w:rFonts w:asciiTheme="minorBidi" w:hAnsiTheme="minorBidi" w:cstheme="minorBidi"/>
          <w:bCs/>
          <w:sz w:val="22"/>
          <w:szCs w:val="22"/>
          <w:lang w:val="es-ES_tradnl"/>
        </w:rPr>
        <w:noBreakHyphen/>
        <w:t>31/2;</w:t>
      </w:r>
    </w:p>
    <w:p w14:paraId="12070158" w14:textId="77777777" w:rsidR="008C4954" w:rsidRPr="002F4384" w:rsidRDefault="008C4954" w:rsidP="008C4954">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Observa</w:t>
      </w:r>
      <w:r w:rsidRPr="002F4384">
        <w:rPr>
          <w:rFonts w:asciiTheme="minorBidi" w:hAnsiTheme="minorBidi" w:cstheme="minorBidi"/>
          <w:bCs/>
          <w:sz w:val="22"/>
          <w:szCs w:val="22"/>
          <w:lang w:val="es-ES_tradnl"/>
        </w:rPr>
        <w:t xml:space="preserve"> que las metas de movilización de recursos extrapresupuestarios establecidas para el bienio 2020-2021 se han alcanzado en un 92 % en general, pero con diferencias considerables entre las funciones de la Comisión;</w:t>
      </w:r>
    </w:p>
    <w:p w14:paraId="31CB544D" w14:textId="77777777" w:rsidR="008C4954" w:rsidRPr="002F4384" w:rsidRDefault="008C4954" w:rsidP="008C4954">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Da las gracias</w:t>
      </w:r>
      <w:r w:rsidRPr="002F4384">
        <w:rPr>
          <w:rFonts w:asciiTheme="minorBidi" w:hAnsiTheme="minorBidi" w:cstheme="minorBidi"/>
          <w:bCs/>
          <w:sz w:val="22"/>
          <w:szCs w:val="22"/>
          <w:lang w:val="es-ES_tradnl"/>
        </w:rPr>
        <w:t xml:space="preserve"> a los Estados Miembros que han aportado recursos extrapresupuestarios y contribuciones en especie para la ejecución del programa para 2020-2021;</w:t>
      </w:r>
    </w:p>
    <w:p w14:paraId="606DE4D0" w14:textId="77777777" w:rsidR="008C4954" w:rsidRPr="002F4384" w:rsidRDefault="008C4954" w:rsidP="008C4954">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Expresa su satisfacción</w:t>
      </w:r>
      <w:r w:rsidRPr="002F4384">
        <w:rPr>
          <w:rFonts w:asciiTheme="minorBidi" w:hAnsiTheme="minorBidi" w:cstheme="minorBidi"/>
          <w:bCs/>
          <w:sz w:val="22"/>
          <w:szCs w:val="22"/>
          <w:lang w:val="es-ES_tradnl"/>
        </w:rPr>
        <w:t xml:space="preserve"> por el hecho de que el marco presupuestario integrado para 2022</w:t>
      </w:r>
      <w:r w:rsidRPr="002F4384">
        <w:rPr>
          <w:rFonts w:asciiTheme="minorBidi" w:hAnsiTheme="minorBidi" w:cstheme="minorBidi"/>
          <w:bCs/>
          <w:sz w:val="22"/>
          <w:szCs w:val="22"/>
          <w:lang w:val="es-ES_tradnl"/>
        </w:rPr>
        <w:noBreakHyphen/>
        <w:t>2023 aprobado por la Conferencia General de la UNESCO en su 41ª reunión, que se presenta en la parte II del documento IOC/EC-55/3.1.Doc(2), sea coherente con las asignaciones presupuestarias aprobadas por la Asamblea de la COI en su 31ª reunión (IOC/A</w:t>
      </w:r>
      <w:r w:rsidRPr="002F4384">
        <w:rPr>
          <w:rFonts w:asciiTheme="minorBidi" w:hAnsiTheme="minorBidi" w:cstheme="minorBidi"/>
          <w:bCs/>
          <w:sz w:val="22"/>
          <w:szCs w:val="22"/>
          <w:lang w:val="es-ES_tradnl"/>
        </w:rPr>
        <w:noBreakHyphen/>
        <w:t>31/4.2.Doc) mediante su resolución A-31/2;</w:t>
      </w:r>
    </w:p>
    <w:p w14:paraId="72EFED68" w14:textId="77777777" w:rsidR="008C4954" w:rsidRPr="002F4384" w:rsidRDefault="008C4954" w:rsidP="008C4954">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Toma nota</w:t>
      </w:r>
      <w:r w:rsidRPr="002F4384">
        <w:rPr>
          <w:rFonts w:asciiTheme="minorBidi" w:hAnsiTheme="minorBidi" w:cstheme="minorBidi"/>
          <w:bCs/>
          <w:sz w:val="22"/>
          <w:szCs w:val="22"/>
          <w:lang w:val="es-ES_tradnl"/>
        </w:rPr>
        <w:t xml:space="preserve"> de la información sobre la situación financiera de la Cuenta Especial de la COI a finales de 2021 y de las previsiones para 2022-2023, que figuran en el documento IOC/EC</w:t>
      </w:r>
      <w:r w:rsidRPr="002F4384">
        <w:rPr>
          <w:rFonts w:asciiTheme="minorBidi" w:hAnsiTheme="minorBidi" w:cstheme="minorBidi"/>
          <w:bCs/>
          <w:sz w:val="22"/>
          <w:szCs w:val="22"/>
          <w:lang w:val="es-ES_tradnl"/>
        </w:rPr>
        <w:noBreakHyphen/>
        <w:t>55/3.1.Doc(3);</w:t>
      </w:r>
    </w:p>
    <w:p w14:paraId="7973938E" w14:textId="77777777" w:rsidR="008C4954" w:rsidRPr="002F4384" w:rsidRDefault="008C4954" w:rsidP="008C4954">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Aprueba</w:t>
      </w:r>
      <w:r w:rsidRPr="002F4384">
        <w:rPr>
          <w:rFonts w:asciiTheme="minorBidi" w:hAnsiTheme="minorBidi" w:cstheme="minorBidi"/>
          <w:bCs/>
          <w:sz w:val="22"/>
          <w:szCs w:val="22"/>
          <w:lang w:val="es-ES_tradnl"/>
        </w:rPr>
        <w:t xml:space="preserve"> las asignaciones presupuestarias revisadas para 2022-2023 que se proponen en el cuadro 1 del documento IOC/EC-55/3.1.Doc(3);</w:t>
      </w:r>
    </w:p>
    <w:p w14:paraId="61F0BAA0" w14:textId="77777777" w:rsidR="008C4954" w:rsidRPr="002F4384" w:rsidRDefault="008C4954" w:rsidP="008C4954">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lastRenderedPageBreak/>
        <w:t>Alienta</w:t>
      </w:r>
      <w:r w:rsidRPr="002F4384">
        <w:rPr>
          <w:rFonts w:asciiTheme="minorBidi" w:hAnsiTheme="minorBidi" w:cstheme="minorBidi"/>
          <w:bCs/>
          <w:sz w:val="22"/>
          <w:szCs w:val="22"/>
          <w:lang w:val="es-ES_tradnl"/>
        </w:rPr>
        <w:t xml:space="preserve"> a todos los Estados Miembros a que aporten contribuciones voluntarias, preferentemente a la Cuenta Especial de la COI, a fin de alcanzar plenamente las metas de movilización de recursos extrapresupuestarios acordadas colectivamente para 2022-2023;</w:t>
      </w:r>
    </w:p>
    <w:p w14:paraId="6B3478B2" w14:textId="77777777" w:rsidR="008C4954" w:rsidRPr="002F4384" w:rsidRDefault="008C4954" w:rsidP="008C4954">
      <w:pPr>
        <w:tabs>
          <w:tab w:val="left" w:pos="-737"/>
        </w:tabs>
        <w:snapToGrid w:val="0"/>
        <w:spacing w:after="240"/>
        <w:jc w:val="both"/>
        <w:rPr>
          <w:rFonts w:asciiTheme="minorBidi" w:hAnsiTheme="minorBidi" w:cstheme="minorBidi"/>
          <w:b/>
          <w:bCs/>
          <w:sz w:val="22"/>
          <w:szCs w:val="22"/>
          <w:lang w:val="es-ES_tradnl"/>
        </w:rPr>
      </w:pPr>
      <w:r w:rsidRPr="002F4384">
        <w:rPr>
          <w:rFonts w:asciiTheme="minorBidi" w:hAnsiTheme="minorBidi" w:cstheme="minorBidi"/>
          <w:sz w:val="22"/>
          <w:szCs w:val="22"/>
          <w:u w:val="single"/>
          <w:lang w:val="es-ES_tradnl"/>
        </w:rPr>
        <w:t>Pide encarecidamente</w:t>
      </w:r>
      <w:r w:rsidRPr="002F4384">
        <w:rPr>
          <w:rFonts w:asciiTheme="minorBidi" w:hAnsiTheme="minorBidi" w:cstheme="minorBidi"/>
          <w:bCs/>
          <w:sz w:val="22"/>
          <w:szCs w:val="22"/>
          <w:lang w:val="es-ES_tradnl"/>
        </w:rPr>
        <w:t xml:space="preserve"> al Secretario Ejecutivo de la COI que proporcione, de aquí a septiembre de 2022, una estimación del presupuesto necesario —incluidas las necesidades de recursos humanos— para ejecutar de manera sostenible los programas básicos de la COI y ampliar sus actividades en respuesta a las crecientes demandas de los Estados Miembros y otras partes interesadas, según se indica en la resolución XXX-3 de la COI, y que la difunda a todos los Estados Miembros de la COI mediante una circular;</w:t>
      </w:r>
    </w:p>
    <w:p w14:paraId="57072612" w14:textId="77777777" w:rsidR="008C4954" w:rsidRPr="002F4384" w:rsidRDefault="008C4954" w:rsidP="008C4954">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Pide</w:t>
      </w:r>
      <w:r w:rsidRPr="002F4384">
        <w:rPr>
          <w:rFonts w:asciiTheme="minorBidi" w:hAnsiTheme="minorBidi" w:cstheme="minorBidi"/>
          <w:bCs/>
          <w:sz w:val="22"/>
          <w:szCs w:val="22"/>
          <w:lang w:val="es-ES_tradnl"/>
        </w:rPr>
        <w:t xml:space="preserve"> al Secretario Ejecutivo de la COI que prosiga sus esfuerzos para obtener contribuciones voluntarias adicionales, en particular de donantes del sector privado y de otros asociados, y para lograr la plena consecución de los objetivos programáticos de la Comisión para 2022</w:t>
      </w:r>
      <w:r w:rsidRPr="002F4384">
        <w:rPr>
          <w:rFonts w:asciiTheme="minorBidi" w:hAnsiTheme="minorBidi" w:cstheme="minorBidi"/>
          <w:bCs/>
          <w:sz w:val="22"/>
          <w:szCs w:val="22"/>
          <w:lang w:val="es-ES_tradnl"/>
        </w:rPr>
        <w:noBreakHyphen/>
        <w:t>2023;</w:t>
      </w:r>
    </w:p>
    <w:p w14:paraId="484C5F79" w14:textId="77777777" w:rsidR="008C4954" w:rsidRPr="002F4384" w:rsidRDefault="008C4954" w:rsidP="00035473">
      <w:pPr>
        <w:keepNext/>
        <w:numPr>
          <w:ilvl w:val="0"/>
          <w:numId w:val="20"/>
        </w:numPr>
        <w:snapToGrid w:val="0"/>
        <w:spacing w:after="240"/>
        <w:ind w:left="567" w:hanging="567"/>
        <w:jc w:val="center"/>
        <w:rPr>
          <w:rFonts w:asciiTheme="minorBidi" w:hAnsiTheme="minorBidi" w:cstheme="minorBidi"/>
          <w:b/>
          <w:bCs/>
          <w:sz w:val="22"/>
          <w:szCs w:val="22"/>
          <w:lang w:val="es-ES_tradnl"/>
        </w:rPr>
      </w:pPr>
      <w:r w:rsidRPr="002F4384">
        <w:rPr>
          <w:rFonts w:asciiTheme="minorBidi" w:hAnsiTheme="minorBidi" w:cstheme="minorBidi"/>
          <w:b/>
          <w:bCs/>
          <w:sz w:val="22"/>
          <w:szCs w:val="22"/>
          <w:lang w:val="es-ES_tradnl"/>
        </w:rPr>
        <w:t>Gobernanza y métodos de trabajo</w:t>
      </w:r>
    </w:p>
    <w:p w14:paraId="34F7841E" w14:textId="77777777" w:rsidR="008C4954" w:rsidRPr="002F4384" w:rsidRDefault="008C4954" w:rsidP="00035473">
      <w:pPr>
        <w:numPr>
          <w:ilvl w:val="0"/>
          <w:numId w:val="19"/>
        </w:numPr>
        <w:snapToGrid w:val="0"/>
        <w:spacing w:after="240"/>
        <w:ind w:left="567" w:hanging="567"/>
        <w:jc w:val="center"/>
        <w:rPr>
          <w:rFonts w:asciiTheme="minorBidi" w:hAnsiTheme="minorBidi" w:cstheme="minorBidi"/>
          <w:bCs/>
          <w:sz w:val="22"/>
          <w:szCs w:val="22"/>
          <w:u w:val="single"/>
          <w:lang w:val="es-ES_tradnl"/>
        </w:rPr>
      </w:pPr>
      <w:r w:rsidRPr="002F4384">
        <w:rPr>
          <w:rFonts w:asciiTheme="minorBidi" w:hAnsiTheme="minorBidi" w:cstheme="minorBidi"/>
          <w:bCs/>
          <w:sz w:val="22"/>
          <w:szCs w:val="22"/>
          <w:u w:val="single"/>
          <w:lang w:val="es-ES_tradnl"/>
        </w:rPr>
        <w:t>Revisión del Reglamento de la COI</w:t>
      </w:r>
    </w:p>
    <w:p w14:paraId="1694409A" w14:textId="2F2A1E04" w:rsidR="008C4954" w:rsidRPr="002F4384" w:rsidRDefault="008C4954" w:rsidP="008C4954">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Recuerda</w:t>
      </w:r>
      <w:r w:rsidRPr="002F4384">
        <w:rPr>
          <w:rFonts w:asciiTheme="minorBidi" w:hAnsiTheme="minorBidi" w:cstheme="minorBidi"/>
          <w:bCs/>
          <w:sz w:val="22"/>
          <w:szCs w:val="22"/>
          <w:lang w:val="es-ES_tradnl"/>
        </w:rPr>
        <w:t xml:space="preserve"> que la Asamblea de la COI, en su 31ª reunión, mediante su resolución A-31/2, pidió al Secretario Ejecutivo de la COI que preparara, en consulta con el Asesor Jurídico de la UNESCO y el Grupo Asesor sobre Finanzas para el per</w:t>
      </w:r>
      <w:r w:rsidR="00CA1106" w:rsidRPr="002F4384">
        <w:rPr>
          <w:rFonts w:asciiTheme="minorBidi" w:hAnsiTheme="minorBidi" w:cstheme="minorBidi"/>
          <w:bCs/>
          <w:sz w:val="22"/>
          <w:szCs w:val="22"/>
          <w:lang w:val="es-ES_tradnl"/>
        </w:rPr>
        <w:t>í</w:t>
      </w:r>
      <w:r w:rsidRPr="002F4384">
        <w:rPr>
          <w:rFonts w:asciiTheme="minorBidi" w:hAnsiTheme="minorBidi" w:cstheme="minorBidi"/>
          <w:bCs/>
          <w:sz w:val="22"/>
          <w:szCs w:val="22"/>
          <w:lang w:val="es-ES_tradnl"/>
        </w:rPr>
        <w:t>odo entre reuniones, una propuesta preliminar de Reglamento revisado para la Asamblea de la COI y Reglamento revisado para el Consejo Ejecutivo de la COI, haciendo las aclaraciones necesarias y armonizando las versiones lingüísticas, para su examen y aprobación por estos dos órganos;</w:t>
      </w:r>
    </w:p>
    <w:p w14:paraId="507F1548" w14:textId="1DCDD1AC" w:rsidR="008C4954" w:rsidRPr="002F4384" w:rsidRDefault="008C4954" w:rsidP="008C4954">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Reconoce</w:t>
      </w:r>
      <w:r w:rsidRPr="002F4384">
        <w:rPr>
          <w:rFonts w:asciiTheme="minorBidi" w:hAnsiTheme="minorBidi" w:cstheme="minorBidi"/>
          <w:bCs/>
          <w:sz w:val="22"/>
          <w:szCs w:val="22"/>
          <w:lang w:val="es-ES_tradnl"/>
        </w:rPr>
        <w:t xml:space="preserve"> que, tras un examen más detallado de la cuestión por parte de la Oficina del Asesor Jurídico de la UNESCO y del Grupo Asesor sobre Finanzas para el per</w:t>
      </w:r>
      <w:r w:rsidR="00CA1106" w:rsidRPr="002F4384">
        <w:rPr>
          <w:rFonts w:asciiTheme="minorBidi" w:hAnsiTheme="minorBidi" w:cstheme="minorBidi"/>
          <w:bCs/>
          <w:sz w:val="22"/>
          <w:szCs w:val="22"/>
          <w:lang w:val="es-ES_tradnl"/>
        </w:rPr>
        <w:t>í</w:t>
      </w:r>
      <w:r w:rsidRPr="002F4384">
        <w:rPr>
          <w:rFonts w:asciiTheme="minorBidi" w:hAnsiTheme="minorBidi" w:cstheme="minorBidi"/>
          <w:bCs/>
          <w:sz w:val="22"/>
          <w:szCs w:val="22"/>
          <w:lang w:val="es-ES_tradnl"/>
        </w:rPr>
        <w:t>odo entre reuniones, la preparación de estos dos reglamentos distintos constituye una tarea más difícil de lo que parecía a primera vista;</w:t>
      </w:r>
    </w:p>
    <w:p w14:paraId="366053FB" w14:textId="77777777" w:rsidR="008C4954" w:rsidRPr="002F4384" w:rsidRDefault="008C4954" w:rsidP="008C4954">
      <w:pPr>
        <w:tabs>
          <w:tab w:val="left" w:pos="-737"/>
        </w:tabs>
        <w:snapToGrid w:val="0"/>
        <w:spacing w:after="240"/>
        <w:jc w:val="both"/>
        <w:rPr>
          <w:rFonts w:asciiTheme="minorBidi" w:hAnsiTheme="minorBidi" w:cstheme="minorBidi"/>
          <w:bCs/>
          <w:iCs/>
          <w:sz w:val="22"/>
          <w:szCs w:val="22"/>
          <w:lang w:val="es-ES_tradnl"/>
        </w:rPr>
      </w:pPr>
      <w:r w:rsidRPr="002F4384">
        <w:rPr>
          <w:rFonts w:asciiTheme="minorBidi" w:hAnsiTheme="minorBidi" w:cstheme="minorBidi"/>
          <w:sz w:val="22"/>
          <w:szCs w:val="22"/>
          <w:u w:val="single"/>
          <w:lang w:val="es-ES_tradnl"/>
        </w:rPr>
        <w:t>Conviene</w:t>
      </w:r>
      <w:r w:rsidRPr="002F4384">
        <w:rPr>
          <w:rFonts w:asciiTheme="minorBidi" w:hAnsiTheme="minorBidi" w:cstheme="minorBidi"/>
          <w:bCs/>
          <w:sz w:val="22"/>
          <w:szCs w:val="22"/>
          <w:lang w:val="es-ES_tradnl"/>
        </w:rPr>
        <w:t xml:space="preserve"> en que la elaboración de reglamentos distintos para la Asamblea y para el Consejo Ejecutivo de la COI debe valorarse a la luz de las exigencias estatutarias y, especialmente, del artículo 6.B.3 de los Estatutos de la COI, en el que se dispone que “la Asamblea establecerá el Reglamento de la Comisión”;</w:t>
      </w:r>
    </w:p>
    <w:p w14:paraId="2882A272" w14:textId="77777777" w:rsidR="008C4954" w:rsidRPr="002F4384" w:rsidRDefault="008C4954" w:rsidP="008C4954">
      <w:pPr>
        <w:tabs>
          <w:tab w:val="left" w:pos="-737"/>
        </w:tabs>
        <w:snapToGrid w:val="0"/>
        <w:spacing w:after="240"/>
        <w:jc w:val="both"/>
        <w:rPr>
          <w:rFonts w:asciiTheme="minorBidi" w:hAnsiTheme="minorBidi" w:cstheme="minorBidi"/>
          <w:bCs/>
          <w:iCs/>
          <w:sz w:val="22"/>
          <w:szCs w:val="22"/>
          <w:lang w:val="es-ES_tradnl"/>
        </w:rPr>
      </w:pPr>
      <w:r w:rsidRPr="002F4384">
        <w:rPr>
          <w:rFonts w:asciiTheme="minorBidi" w:hAnsiTheme="minorBidi" w:cstheme="minorBidi"/>
          <w:sz w:val="22"/>
          <w:szCs w:val="22"/>
          <w:u w:val="single"/>
          <w:lang w:val="es-ES_tradnl"/>
        </w:rPr>
        <w:t>Acoge con beneplácito</w:t>
      </w:r>
      <w:r w:rsidRPr="002F4384">
        <w:rPr>
          <w:rFonts w:asciiTheme="minorBidi" w:hAnsiTheme="minorBidi" w:cstheme="minorBidi"/>
          <w:bCs/>
          <w:sz w:val="22"/>
          <w:szCs w:val="22"/>
          <w:lang w:val="es-ES_tradnl"/>
        </w:rPr>
        <w:t xml:space="preserve"> la propuesta que figura en el documento IOC/EC-55/5.1.Doc(1) por considerarla respetuosa con el deseo de los Estados Miembros de abstenerse de toda revisión sustancial del Reglamento, reorganizándolo en lugar de revisarlo verdaderamente;</w:t>
      </w:r>
    </w:p>
    <w:p w14:paraId="369EB639" w14:textId="77777777" w:rsidR="008C4954" w:rsidRPr="002F4384" w:rsidRDefault="008C4954" w:rsidP="008C4954">
      <w:pPr>
        <w:tabs>
          <w:tab w:val="left" w:pos="-737"/>
        </w:tabs>
        <w:snapToGrid w:val="0"/>
        <w:spacing w:after="240"/>
        <w:jc w:val="both"/>
        <w:rPr>
          <w:rFonts w:asciiTheme="minorBidi" w:hAnsiTheme="minorBidi" w:cstheme="minorBidi"/>
          <w:bCs/>
          <w:iCs/>
          <w:sz w:val="22"/>
          <w:szCs w:val="22"/>
          <w:lang w:val="es-ES_tradnl"/>
        </w:rPr>
      </w:pPr>
      <w:r w:rsidRPr="002F4384">
        <w:rPr>
          <w:rFonts w:asciiTheme="minorBidi" w:hAnsiTheme="minorBidi" w:cstheme="minorBidi"/>
          <w:sz w:val="22"/>
          <w:szCs w:val="22"/>
          <w:u w:val="single"/>
          <w:lang w:val="es-ES_tradnl"/>
        </w:rPr>
        <w:t>Recomienda</w:t>
      </w:r>
      <w:r w:rsidRPr="002F4384">
        <w:rPr>
          <w:rFonts w:asciiTheme="minorBidi" w:hAnsiTheme="minorBidi" w:cstheme="minorBidi"/>
          <w:bCs/>
          <w:sz w:val="22"/>
          <w:szCs w:val="22"/>
          <w:lang w:val="es-ES_tradnl"/>
        </w:rPr>
        <w:t xml:space="preserve"> que la Asamblea de la COI, en su 32ª reunión, adopte el enfoque general que se expone en el documento IOC/EC-55/5.1.Doc(1), basado en la propuesta de:</w:t>
      </w:r>
    </w:p>
    <w:p w14:paraId="01C17523" w14:textId="77777777" w:rsidR="008C4954" w:rsidRPr="002F4384" w:rsidRDefault="008C4954" w:rsidP="00035473">
      <w:pPr>
        <w:numPr>
          <w:ilvl w:val="0"/>
          <w:numId w:val="21"/>
        </w:numPr>
        <w:snapToGrid w:val="0"/>
        <w:spacing w:after="240"/>
        <w:ind w:left="1134" w:hanging="567"/>
        <w:jc w:val="both"/>
        <w:rPr>
          <w:rFonts w:asciiTheme="minorBidi" w:hAnsiTheme="minorBidi" w:cstheme="minorBidi"/>
          <w:bCs/>
          <w:iCs/>
          <w:sz w:val="22"/>
          <w:szCs w:val="22"/>
          <w:lang w:val="es-ES_tradnl"/>
        </w:rPr>
      </w:pPr>
      <w:r w:rsidRPr="002F4384">
        <w:rPr>
          <w:rFonts w:asciiTheme="minorBidi" w:hAnsiTheme="minorBidi" w:cstheme="minorBidi"/>
          <w:bCs/>
          <w:sz w:val="22"/>
          <w:szCs w:val="22"/>
          <w:lang w:val="es-ES_tradnl"/>
        </w:rPr>
        <w:t>abstenerse de iniciar un procedimiento de modificación de los Estatutos de la COI;</w:t>
      </w:r>
    </w:p>
    <w:p w14:paraId="75B77DAD" w14:textId="77777777" w:rsidR="008C4954" w:rsidRPr="002F4384" w:rsidRDefault="008C4954" w:rsidP="00035473">
      <w:pPr>
        <w:numPr>
          <w:ilvl w:val="0"/>
          <w:numId w:val="21"/>
        </w:numPr>
        <w:snapToGrid w:val="0"/>
        <w:spacing w:after="240"/>
        <w:ind w:left="1134" w:hanging="567"/>
        <w:jc w:val="both"/>
        <w:rPr>
          <w:rFonts w:asciiTheme="minorBidi" w:hAnsiTheme="minorBidi" w:cstheme="minorBidi"/>
          <w:bCs/>
          <w:iCs/>
          <w:sz w:val="22"/>
          <w:szCs w:val="22"/>
          <w:lang w:val="es-ES_tradnl"/>
        </w:rPr>
      </w:pPr>
      <w:r w:rsidRPr="002F4384">
        <w:rPr>
          <w:rFonts w:asciiTheme="minorBidi" w:hAnsiTheme="minorBidi" w:cstheme="minorBidi"/>
          <w:bCs/>
          <w:sz w:val="22"/>
          <w:szCs w:val="22"/>
          <w:lang w:val="es-ES_tradnl"/>
        </w:rPr>
        <w:t>de conformidad con el artículo 6.B.3 de los Estatutos, mantener un único Reglamento de la Comisión, que oficialmente corresponde establecer a la Asamblea de la COI;</w:t>
      </w:r>
    </w:p>
    <w:p w14:paraId="1B5D5E5F" w14:textId="77777777" w:rsidR="008C4954" w:rsidRPr="002F4384" w:rsidRDefault="008C4954" w:rsidP="00035473">
      <w:pPr>
        <w:numPr>
          <w:ilvl w:val="0"/>
          <w:numId w:val="21"/>
        </w:numPr>
        <w:snapToGrid w:val="0"/>
        <w:spacing w:after="240"/>
        <w:ind w:left="1134" w:hanging="567"/>
        <w:jc w:val="both"/>
        <w:rPr>
          <w:rFonts w:asciiTheme="minorBidi" w:hAnsiTheme="minorBidi" w:cstheme="minorBidi"/>
          <w:bCs/>
          <w:iCs/>
          <w:sz w:val="22"/>
          <w:szCs w:val="22"/>
          <w:lang w:val="es-ES_tradnl"/>
        </w:rPr>
      </w:pPr>
      <w:r w:rsidRPr="002F4384">
        <w:rPr>
          <w:rFonts w:asciiTheme="minorBidi" w:hAnsiTheme="minorBidi" w:cstheme="minorBidi"/>
          <w:bCs/>
          <w:sz w:val="22"/>
          <w:szCs w:val="22"/>
          <w:lang w:val="es-ES_tradnl"/>
        </w:rPr>
        <w:t>revisar el Reglamento actual sobre la base de una distinción entre los artículos generales, los que se aplican tanto a la Asamblea como al Consejo Ejecutivo de la COI y los que solo se aplican a uno de estos órganos;</w:t>
      </w:r>
    </w:p>
    <w:p w14:paraId="67FA2B1D" w14:textId="77777777" w:rsidR="008C4954" w:rsidRPr="002F4384" w:rsidRDefault="008C4954" w:rsidP="00035473">
      <w:pPr>
        <w:numPr>
          <w:ilvl w:val="0"/>
          <w:numId w:val="21"/>
        </w:numPr>
        <w:snapToGrid w:val="0"/>
        <w:spacing w:after="240"/>
        <w:ind w:left="1134" w:hanging="567"/>
        <w:jc w:val="both"/>
        <w:rPr>
          <w:rFonts w:asciiTheme="minorBidi" w:hAnsiTheme="minorBidi" w:cstheme="minorBidi"/>
          <w:bCs/>
          <w:iCs/>
          <w:sz w:val="22"/>
          <w:szCs w:val="22"/>
          <w:lang w:val="es-ES_tradnl"/>
        </w:rPr>
      </w:pPr>
      <w:r w:rsidRPr="002F4384">
        <w:rPr>
          <w:rFonts w:asciiTheme="minorBidi" w:hAnsiTheme="minorBidi" w:cstheme="minorBidi"/>
          <w:bCs/>
          <w:sz w:val="22"/>
          <w:szCs w:val="22"/>
          <w:lang w:val="es-ES_tradnl"/>
        </w:rPr>
        <w:t>reconocer y especificar la competencia del Consejo Ejecutivo de la COI para suspender temporalmente la aplicación de los artículos del Reglamento relativos a su organización y funcionamiento, señalando que cualquier modificación de los artículos del Reglamento solo puede ser adoptada por decisión de la Asamblea de la COI;</w:t>
      </w:r>
    </w:p>
    <w:p w14:paraId="0354F81E" w14:textId="77777777" w:rsidR="008C4954" w:rsidRPr="002F4384" w:rsidRDefault="008C4954" w:rsidP="008C4954">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lastRenderedPageBreak/>
        <w:t>Observa</w:t>
      </w:r>
      <w:r w:rsidRPr="002F4384">
        <w:rPr>
          <w:rFonts w:asciiTheme="minorBidi" w:hAnsiTheme="minorBidi" w:cstheme="minorBidi"/>
          <w:bCs/>
          <w:sz w:val="22"/>
          <w:szCs w:val="22"/>
          <w:lang w:val="es-ES_tradnl"/>
        </w:rPr>
        <w:t xml:space="preserve"> que, en caso de que la Asamblea de la COI apruebe esta recomendación, el Consejo Ejecutivo de la COI no tendrá que celebrar una reunión extraordinaria inmediatamente después de la 32ª reunión de la Asamblea de la COI para aprobar su propio Reglamento, como se preveía inicialmente en la resolución A-31/2 de la COI;</w:t>
      </w:r>
    </w:p>
    <w:p w14:paraId="6DBF3EAF" w14:textId="77777777" w:rsidR="008C4954" w:rsidRPr="002F4384" w:rsidRDefault="008C4954" w:rsidP="008C4954">
      <w:pPr>
        <w:tabs>
          <w:tab w:val="left" w:pos="-737"/>
        </w:tabs>
        <w:snapToGrid w:val="0"/>
        <w:spacing w:after="240"/>
        <w:jc w:val="both"/>
        <w:rPr>
          <w:rFonts w:asciiTheme="minorBidi" w:hAnsiTheme="minorBidi" w:cstheme="minorBidi"/>
          <w:bCs/>
          <w:iCs/>
          <w:sz w:val="22"/>
          <w:szCs w:val="22"/>
          <w:lang w:val="es-ES_tradnl"/>
        </w:rPr>
      </w:pPr>
      <w:r w:rsidRPr="002F4384">
        <w:rPr>
          <w:rFonts w:asciiTheme="minorBidi" w:hAnsiTheme="minorBidi" w:cstheme="minorBidi"/>
          <w:sz w:val="22"/>
          <w:szCs w:val="22"/>
          <w:u w:val="single"/>
          <w:lang w:val="es-ES_tradnl"/>
        </w:rPr>
        <w:t>Toma nota</w:t>
      </w:r>
      <w:r w:rsidRPr="002F4384">
        <w:rPr>
          <w:rFonts w:asciiTheme="minorBidi" w:hAnsiTheme="minorBidi" w:cstheme="minorBidi"/>
          <w:bCs/>
          <w:sz w:val="22"/>
          <w:szCs w:val="22"/>
          <w:lang w:val="es-ES_tradnl"/>
        </w:rPr>
        <w:t xml:space="preserve"> del conjunto no exhaustivo de comentarios proporcionado por la Oficina del Asesor Jurídico de la UNESCO en el anexo del documento IOC/EC-55/5.1.Doc(1);</w:t>
      </w:r>
    </w:p>
    <w:p w14:paraId="5CD4AAB9" w14:textId="63EC8A55" w:rsidR="008C4954" w:rsidRPr="002F4384" w:rsidRDefault="008C4954" w:rsidP="008C4954">
      <w:pPr>
        <w:tabs>
          <w:tab w:val="left" w:pos="-737"/>
        </w:tabs>
        <w:snapToGrid w:val="0"/>
        <w:spacing w:after="240"/>
        <w:jc w:val="both"/>
        <w:rPr>
          <w:rFonts w:asciiTheme="minorBidi" w:hAnsiTheme="minorBidi" w:cstheme="minorBidi"/>
          <w:bCs/>
          <w:iCs/>
          <w:sz w:val="22"/>
          <w:szCs w:val="22"/>
          <w:lang w:val="es-ES_tradnl"/>
        </w:rPr>
      </w:pPr>
      <w:r w:rsidRPr="002F4384">
        <w:rPr>
          <w:rFonts w:asciiTheme="minorBidi" w:hAnsiTheme="minorBidi" w:cstheme="minorBidi"/>
          <w:sz w:val="22"/>
          <w:szCs w:val="22"/>
          <w:u w:val="single"/>
          <w:lang w:val="es-ES_tradnl"/>
        </w:rPr>
        <w:t>Invita</w:t>
      </w:r>
      <w:r w:rsidRPr="002F4384">
        <w:rPr>
          <w:rFonts w:asciiTheme="minorBidi" w:hAnsiTheme="minorBidi" w:cstheme="minorBidi"/>
          <w:bCs/>
          <w:sz w:val="22"/>
          <w:szCs w:val="22"/>
          <w:lang w:val="es-ES_tradnl"/>
        </w:rPr>
        <w:t xml:space="preserve"> al Secretario Ejecutivo de la COI a que prepare el proyecto revisado de Reglamento para su examen y aprobación por la Asamblea de la COI en su 32ª reunión, en 2023, sin ninguna modificación sustancial, sobre la base de los debates mantenidos en el Grupo Asesor sobre Finanzas para el per</w:t>
      </w:r>
      <w:r w:rsidR="00CA1106" w:rsidRPr="002F4384">
        <w:rPr>
          <w:rFonts w:asciiTheme="minorBidi" w:hAnsiTheme="minorBidi" w:cstheme="minorBidi"/>
          <w:bCs/>
          <w:sz w:val="22"/>
          <w:szCs w:val="22"/>
          <w:lang w:val="es-ES_tradnl"/>
        </w:rPr>
        <w:t>í</w:t>
      </w:r>
      <w:r w:rsidRPr="002F4384">
        <w:rPr>
          <w:rFonts w:asciiTheme="minorBidi" w:hAnsiTheme="minorBidi" w:cstheme="minorBidi"/>
          <w:bCs/>
          <w:sz w:val="22"/>
          <w:szCs w:val="22"/>
          <w:lang w:val="es-ES_tradnl"/>
        </w:rPr>
        <w:t>odo entre reuniones y en el Consejo Ejecutivo de la COI y en consonancia con las siguientes recomendaciones:</w:t>
      </w:r>
    </w:p>
    <w:p w14:paraId="65A66262" w14:textId="77777777" w:rsidR="008C4954" w:rsidRPr="002F4384" w:rsidRDefault="008C4954" w:rsidP="00035473">
      <w:pPr>
        <w:numPr>
          <w:ilvl w:val="0"/>
          <w:numId w:val="22"/>
        </w:numPr>
        <w:snapToGrid w:val="0"/>
        <w:spacing w:after="240"/>
        <w:ind w:left="1134" w:hanging="567"/>
        <w:jc w:val="both"/>
        <w:rPr>
          <w:rFonts w:asciiTheme="minorBidi" w:hAnsiTheme="minorBidi" w:cstheme="minorBidi"/>
          <w:bCs/>
          <w:iCs/>
          <w:sz w:val="22"/>
          <w:szCs w:val="22"/>
          <w:lang w:val="es-ES_tradnl"/>
        </w:rPr>
      </w:pPr>
      <w:r w:rsidRPr="002F4384">
        <w:rPr>
          <w:rFonts w:asciiTheme="minorBidi" w:hAnsiTheme="minorBidi" w:cstheme="minorBidi"/>
          <w:bCs/>
          <w:sz w:val="22"/>
          <w:szCs w:val="22"/>
          <w:lang w:val="es-ES_tradnl"/>
        </w:rPr>
        <w:t>aumentar la claridad y armonizar las versiones lingüísticas, centrándose en mejorar únicamente lo que debe mejorarse;</w:t>
      </w:r>
    </w:p>
    <w:p w14:paraId="3B192803" w14:textId="77777777" w:rsidR="008C4954" w:rsidRPr="002F4384" w:rsidRDefault="008C4954" w:rsidP="00035473">
      <w:pPr>
        <w:numPr>
          <w:ilvl w:val="0"/>
          <w:numId w:val="22"/>
        </w:numPr>
        <w:snapToGrid w:val="0"/>
        <w:spacing w:after="240"/>
        <w:ind w:left="1134" w:hanging="567"/>
        <w:jc w:val="both"/>
        <w:rPr>
          <w:rFonts w:asciiTheme="minorBidi" w:hAnsiTheme="minorBidi" w:cstheme="minorBidi"/>
          <w:bCs/>
          <w:iCs/>
          <w:sz w:val="22"/>
          <w:szCs w:val="22"/>
          <w:lang w:val="es-ES_tradnl"/>
        </w:rPr>
      </w:pPr>
      <w:r w:rsidRPr="002F4384">
        <w:rPr>
          <w:rFonts w:asciiTheme="minorBidi" w:hAnsiTheme="minorBidi" w:cstheme="minorBidi"/>
          <w:bCs/>
          <w:sz w:val="22"/>
          <w:szCs w:val="22"/>
          <w:lang w:val="es-ES_tradnl"/>
        </w:rPr>
        <w:t>elaborar directrices para las consultas por correspondencia, aplicables tanto a la Asamblea como al Consejo Ejecutivo de la COI, sobre la base de las mejores prácticas vigentes y de la experiencia de la UNESCO;</w:t>
      </w:r>
    </w:p>
    <w:p w14:paraId="4F20CFD5" w14:textId="77777777" w:rsidR="008C4954" w:rsidRPr="002F4384" w:rsidRDefault="008C4954" w:rsidP="00035473">
      <w:pPr>
        <w:numPr>
          <w:ilvl w:val="0"/>
          <w:numId w:val="22"/>
        </w:numPr>
        <w:snapToGrid w:val="0"/>
        <w:spacing w:after="240"/>
        <w:ind w:left="1134" w:hanging="567"/>
        <w:jc w:val="both"/>
        <w:rPr>
          <w:rFonts w:asciiTheme="minorBidi" w:hAnsiTheme="minorBidi" w:cstheme="minorBidi"/>
          <w:bCs/>
          <w:iCs/>
          <w:sz w:val="22"/>
          <w:szCs w:val="22"/>
          <w:lang w:val="es-ES_tradnl"/>
        </w:rPr>
      </w:pPr>
      <w:r w:rsidRPr="002F4384">
        <w:rPr>
          <w:rFonts w:asciiTheme="minorBidi" w:hAnsiTheme="minorBidi" w:cstheme="minorBidi"/>
          <w:bCs/>
          <w:sz w:val="22"/>
          <w:szCs w:val="22"/>
          <w:lang w:val="es-ES_tradnl"/>
        </w:rPr>
        <w:t>incluir en el Reglamento una disposición relativa a la celebración de reuniones virtuales, pero solamente como medida excepcional;</w:t>
      </w:r>
    </w:p>
    <w:p w14:paraId="38D208ED" w14:textId="77777777" w:rsidR="008C4954" w:rsidRPr="002F4384" w:rsidRDefault="008C4954" w:rsidP="00035473">
      <w:pPr>
        <w:numPr>
          <w:ilvl w:val="0"/>
          <w:numId w:val="22"/>
        </w:numPr>
        <w:snapToGrid w:val="0"/>
        <w:spacing w:after="240"/>
        <w:ind w:left="1134" w:hanging="567"/>
        <w:jc w:val="both"/>
        <w:rPr>
          <w:rFonts w:asciiTheme="minorBidi" w:hAnsiTheme="minorBidi" w:cstheme="minorBidi"/>
          <w:bCs/>
          <w:iCs/>
          <w:sz w:val="22"/>
          <w:szCs w:val="22"/>
          <w:lang w:val="es-ES_tradnl"/>
        </w:rPr>
      </w:pPr>
      <w:r w:rsidRPr="002F4384">
        <w:rPr>
          <w:rFonts w:asciiTheme="minorBidi" w:hAnsiTheme="minorBidi" w:cstheme="minorBidi"/>
          <w:bCs/>
          <w:sz w:val="22"/>
          <w:szCs w:val="22"/>
          <w:lang w:val="es-ES_tradnl"/>
        </w:rPr>
        <w:t>presentar a la Asamblea de la COI el proyecto de directrices para las reuniones virtuales junto con el proyecto revisado de Reglamento;</w:t>
      </w:r>
    </w:p>
    <w:p w14:paraId="6CAD512C" w14:textId="77777777" w:rsidR="008C4954" w:rsidRPr="002F4384" w:rsidRDefault="008C4954" w:rsidP="00035473">
      <w:pPr>
        <w:numPr>
          <w:ilvl w:val="0"/>
          <w:numId w:val="19"/>
        </w:numPr>
        <w:snapToGrid w:val="0"/>
        <w:spacing w:after="240"/>
        <w:ind w:left="567" w:hanging="567"/>
        <w:jc w:val="center"/>
        <w:rPr>
          <w:rFonts w:asciiTheme="minorBidi" w:hAnsiTheme="minorBidi" w:cstheme="minorBidi"/>
          <w:bCs/>
          <w:sz w:val="22"/>
          <w:szCs w:val="22"/>
          <w:u w:val="single"/>
          <w:lang w:val="es-ES_tradnl"/>
        </w:rPr>
      </w:pPr>
      <w:r w:rsidRPr="002F4384">
        <w:rPr>
          <w:rFonts w:asciiTheme="minorBidi" w:hAnsiTheme="minorBidi" w:cstheme="minorBidi"/>
          <w:bCs/>
          <w:sz w:val="22"/>
          <w:szCs w:val="22"/>
          <w:u w:val="single"/>
          <w:lang w:val="es-ES_tradnl"/>
        </w:rPr>
        <w:t>Presentación de informes sobre las contribuciones en especie</w:t>
      </w:r>
    </w:p>
    <w:p w14:paraId="50100676" w14:textId="5818690F" w:rsidR="008C4954" w:rsidRPr="002F4384" w:rsidRDefault="008C4954" w:rsidP="008C4954">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Recuerda</w:t>
      </w:r>
      <w:r w:rsidRPr="002F4384">
        <w:rPr>
          <w:rFonts w:asciiTheme="minorBidi" w:hAnsiTheme="minorBidi" w:cstheme="minorBidi"/>
          <w:bCs/>
          <w:sz w:val="22"/>
          <w:szCs w:val="22"/>
          <w:lang w:val="es-ES_tradnl"/>
        </w:rPr>
        <w:t xml:space="preserve"> que en la resolución A-31/2 de la COI se invitó al Grupo Asesor sobre Finanzas para el per</w:t>
      </w:r>
      <w:r w:rsidR="00CA1106" w:rsidRPr="002F4384">
        <w:rPr>
          <w:rFonts w:asciiTheme="minorBidi" w:hAnsiTheme="minorBidi" w:cstheme="minorBidi"/>
          <w:bCs/>
          <w:sz w:val="22"/>
          <w:szCs w:val="22"/>
          <w:lang w:val="es-ES_tradnl"/>
        </w:rPr>
        <w:t>í</w:t>
      </w:r>
      <w:r w:rsidRPr="002F4384">
        <w:rPr>
          <w:rFonts w:asciiTheme="minorBidi" w:hAnsiTheme="minorBidi" w:cstheme="minorBidi"/>
          <w:bCs/>
          <w:sz w:val="22"/>
          <w:szCs w:val="22"/>
          <w:lang w:val="es-ES_tradnl"/>
        </w:rPr>
        <w:t>odo entre reuniones a elaborar una propuesta referente a un enfoque y una metodología sistemáticos para la presentación de informes sobre las contribuciones en especie, de acuerdo con la versión actualizada de los principios rectores de la programación y la presupuestación (anexo I de la resolución EC-53/2 de la COI) y el artículo 10 de los Estatutos de la COI, para su examen por la Asamblea de la COI en su 32ª reunión;</w:t>
      </w:r>
    </w:p>
    <w:p w14:paraId="11D4B1EA" w14:textId="53E57219" w:rsidR="008C4954" w:rsidRPr="002F4384" w:rsidRDefault="008C4954" w:rsidP="008C4954">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Acoge con beneplácito</w:t>
      </w:r>
      <w:r w:rsidRPr="002F4384">
        <w:rPr>
          <w:rFonts w:asciiTheme="minorBidi" w:hAnsiTheme="minorBidi" w:cstheme="minorBidi"/>
          <w:bCs/>
          <w:sz w:val="22"/>
          <w:szCs w:val="22"/>
          <w:lang w:val="es-ES_tradnl"/>
        </w:rPr>
        <w:t xml:space="preserve"> el enfoque más sistemático e inclusivo para la presentación de informes sobre las contribuciones en especie propuesto por el Grupo Asesor sobre Finanzas para el per</w:t>
      </w:r>
      <w:r w:rsidR="00CA1106" w:rsidRPr="002F4384">
        <w:rPr>
          <w:rFonts w:asciiTheme="minorBidi" w:hAnsiTheme="minorBidi" w:cstheme="minorBidi"/>
          <w:bCs/>
          <w:sz w:val="22"/>
          <w:szCs w:val="22"/>
          <w:lang w:val="es-ES_tradnl"/>
        </w:rPr>
        <w:t>í</w:t>
      </w:r>
      <w:r w:rsidRPr="002F4384">
        <w:rPr>
          <w:rFonts w:asciiTheme="minorBidi" w:hAnsiTheme="minorBidi" w:cstheme="minorBidi"/>
          <w:bCs/>
          <w:sz w:val="22"/>
          <w:szCs w:val="22"/>
          <w:lang w:val="es-ES_tradnl"/>
        </w:rPr>
        <w:t>odo entre reuniones, que se presenta en el documento IOC/EC-55/5.1.Doc(2);</w:t>
      </w:r>
    </w:p>
    <w:p w14:paraId="27BA17B4" w14:textId="77777777" w:rsidR="008C4954" w:rsidRPr="002F4384" w:rsidRDefault="008C4954" w:rsidP="008C4954">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Invita</w:t>
      </w:r>
      <w:r w:rsidRPr="002F4384">
        <w:rPr>
          <w:rFonts w:asciiTheme="minorBidi" w:hAnsiTheme="minorBidi" w:cstheme="minorBidi"/>
          <w:bCs/>
          <w:sz w:val="22"/>
          <w:szCs w:val="22"/>
          <w:lang w:val="es-ES_tradnl"/>
        </w:rPr>
        <w:t xml:space="preserve"> al Secretario Ejecutivo de la COI a que ponga en marcha el proceso piloto de presentación de informes para el año natural 2022 de acuerdo con el siguiente calendario:</w:t>
      </w:r>
    </w:p>
    <w:p w14:paraId="292C28FD" w14:textId="77777777" w:rsidR="008C4954" w:rsidRPr="002F4384" w:rsidRDefault="008C4954" w:rsidP="008C4954">
      <w:pPr>
        <w:snapToGrid w:val="0"/>
        <w:spacing w:after="240"/>
        <w:ind w:left="567"/>
        <w:jc w:val="both"/>
        <w:rPr>
          <w:rFonts w:asciiTheme="minorBidi" w:hAnsiTheme="minorBidi" w:cstheme="minorBidi"/>
          <w:bCs/>
          <w:sz w:val="22"/>
          <w:szCs w:val="22"/>
          <w:lang w:val="es-ES_tradnl"/>
        </w:rPr>
      </w:pPr>
      <w:r w:rsidRPr="002F4384">
        <w:rPr>
          <w:rFonts w:asciiTheme="minorBidi" w:hAnsiTheme="minorBidi" w:cstheme="minorBidi"/>
          <w:bCs/>
          <w:sz w:val="22"/>
          <w:szCs w:val="22"/>
          <w:u w:val="single"/>
          <w:lang w:val="es-ES_tradnl"/>
        </w:rPr>
        <w:t>de septiembre de 2022 a enero de 2023</w:t>
      </w:r>
      <w:r w:rsidRPr="002F4384">
        <w:rPr>
          <w:rFonts w:asciiTheme="minorBidi" w:hAnsiTheme="minorBidi" w:cstheme="minorBidi"/>
          <w:bCs/>
          <w:sz w:val="22"/>
          <w:szCs w:val="22"/>
          <w:lang w:val="es-ES_tradnl"/>
        </w:rPr>
        <w:t>: la Secretaría de la COI envía una circular a los Estados Miembros en septiembre de 2022 en la que se comunica la metodología y se solicita que se presenten las declaraciones oficiales de contribuciones para el año natural 2022 a más tardar el 20 de enero de 2023;</w:t>
      </w:r>
    </w:p>
    <w:p w14:paraId="1E2D2829" w14:textId="44DF0603" w:rsidR="008C4954" w:rsidRPr="002F4384" w:rsidRDefault="008C4954" w:rsidP="008C4954">
      <w:pPr>
        <w:snapToGrid w:val="0"/>
        <w:spacing w:after="240"/>
        <w:ind w:left="567"/>
        <w:jc w:val="both"/>
        <w:rPr>
          <w:rFonts w:asciiTheme="minorBidi" w:hAnsiTheme="minorBidi" w:cstheme="minorBidi"/>
          <w:bCs/>
          <w:sz w:val="22"/>
          <w:szCs w:val="22"/>
          <w:lang w:val="es-ES_tradnl"/>
        </w:rPr>
      </w:pPr>
      <w:r w:rsidRPr="002F4384">
        <w:rPr>
          <w:rFonts w:asciiTheme="minorBidi" w:hAnsiTheme="minorBidi" w:cstheme="minorBidi"/>
          <w:bCs/>
          <w:sz w:val="22"/>
          <w:szCs w:val="22"/>
          <w:u w:val="single"/>
          <w:lang w:val="es-ES_tradnl"/>
        </w:rPr>
        <w:t>febrero de 2023</w:t>
      </w:r>
      <w:r w:rsidRPr="002F4384">
        <w:rPr>
          <w:rFonts w:asciiTheme="minorBidi" w:hAnsiTheme="minorBidi" w:cstheme="minorBidi"/>
          <w:bCs/>
          <w:sz w:val="22"/>
          <w:szCs w:val="22"/>
          <w:lang w:val="es-ES_tradnl"/>
        </w:rPr>
        <w:t>: el informe completo sobre las contribuciones en especie se transmite al Grupo Asesor sobre Finanzas para el per</w:t>
      </w:r>
      <w:r w:rsidR="00CA1106" w:rsidRPr="002F4384">
        <w:rPr>
          <w:rFonts w:asciiTheme="minorBidi" w:hAnsiTheme="minorBidi" w:cstheme="minorBidi"/>
          <w:bCs/>
          <w:sz w:val="22"/>
          <w:szCs w:val="22"/>
          <w:lang w:val="es-ES_tradnl"/>
        </w:rPr>
        <w:t>í</w:t>
      </w:r>
      <w:r w:rsidRPr="002F4384">
        <w:rPr>
          <w:rFonts w:asciiTheme="minorBidi" w:hAnsiTheme="minorBidi" w:cstheme="minorBidi"/>
          <w:bCs/>
          <w:sz w:val="22"/>
          <w:szCs w:val="22"/>
          <w:lang w:val="es-ES_tradnl"/>
        </w:rPr>
        <w:t>odo entre reuniones (per</w:t>
      </w:r>
      <w:r w:rsidR="00CA1106" w:rsidRPr="002F4384">
        <w:rPr>
          <w:rFonts w:asciiTheme="minorBidi" w:hAnsiTheme="minorBidi" w:cstheme="minorBidi"/>
          <w:bCs/>
          <w:sz w:val="22"/>
          <w:szCs w:val="22"/>
          <w:lang w:val="es-ES_tradnl"/>
        </w:rPr>
        <w:t>í</w:t>
      </w:r>
      <w:r w:rsidRPr="002F4384">
        <w:rPr>
          <w:rFonts w:asciiTheme="minorBidi" w:hAnsiTheme="minorBidi" w:cstheme="minorBidi"/>
          <w:bCs/>
          <w:sz w:val="22"/>
          <w:szCs w:val="22"/>
          <w:lang w:val="es-ES_tradnl"/>
        </w:rPr>
        <w:t>odo entre reuniones 2022</w:t>
      </w:r>
      <w:r w:rsidRPr="002F4384">
        <w:rPr>
          <w:rFonts w:asciiTheme="minorBidi" w:hAnsiTheme="minorBidi" w:cstheme="minorBidi"/>
          <w:bCs/>
          <w:sz w:val="22"/>
          <w:szCs w:val="22"/>
          <w:lang w:val="es-ES_tradnl"/>
        </w:rPr>
        <w:noBreakHyphen/>
        <w:t>2023) para que este lo examine y, según proceda, pueda formular propuestas de revisión de la metodología para su examen por la Asamblea de la COI en 2023;</w:t>
      </w:r>
    </w:p>
    <w:p w14:paraId="456A73DA" w14:textId="77777777" w:rsidR="008C4954" w:rsidRPr="002F4384" w:rsidRDefault="008C4954" w:rsidP="008C4954">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t>Invita también</w:t>
      </w:r>
      <w:r w:rsidRPr="002F4384">
        <w:rPr>
          <w:rFonts w:asciiTheme="minorBidi" w:hAnsiTheme="minorBidi" w:cstheme="minorBidi"/>
          <w:bCs/>
          <w:sz w:val="22"/>
          <w:szCs w:val="22"/>
          <w:lang w:val="es-ES_tradnl"/>
        </w:rPr>
        <w:t xml:space="preserve"> al Secretario Ejecutivo de la COI a que presente dicho informe a la Asamblea de la COI en su 32ª reunión para que lo examine y decida sobre la presentación de informes en el futuro;</w:t>
      </w:r>
    </w:p>
    <w:p w14:paraId="1FEB4C90" w14:textId="1D65F839" w:rsidR="008C4954" w:rsidRPr="002F4384" w:rsidRDefault="008C4954" w:rsidP="008C4954">
      <w:pPr>
        <w:tabs>
          <w:tab w:val="left" w:pos="-737"/>
        </w:tabs>
        <w:snapToGrid w:val="0"/>
        <w:spacing w:after="240"/>
        <w:jc w:val="both"/>
        <w:rPr>
          <w:rFonts w:asciiTheme="minorBidi" w:hAnsiTheme="minorBidi" w:cstheme="minorBidi"/>
          <w:bCs/>
          <w:sz w:val="22"/>
          <w:szCs w:val="22"/>
          <w:lang w:val="es-ES_tradnl"/>
        </w:rPr>
      </w:pPr>
      <w:r w:rsidRPr="002F4384">
        <w:rPr>
          <w:rFonts w:asciiTheme="minorBidi" w:hAnsiTheme="minorBidi" w:cstheme="minorBidi"/>
          <w:sz w:val="22"/>
          <w:szCs w:val="22"/>
          <w:u w:val="single"/>
          <w:lang w:val="es-ES_tradnl"/>
        </w:rPr>
        <w:lastRenderedPageBreak/>
        <w:t>Pide</w:t>
      </w:r>
      <w:r w:rsidRPr="002F4384">
        <w:rPr>
          <w:rFonts w:asciiTheme="minorBidi" w:hAnsiTheme="minorBidi" w:cstheme="minorBidi"/>
          <w:bCs/>
          <w:sz w:val="22"/>
          <w:szCs w:val="22"/>
          <w:lang w:val="es-ES_tradnl"/>
        </w:rPr>
        <w:t xml:space="preserve"> al Secretario Ejecutivo de la COI que trabaje en los asuntos que son objeto de la presente resolución en consulta con el Grupo Asesor sobre Finanzas para el per</w:t>
      </w:r>
      <w:r w:rsidR="00CA1106" w:rsidRPr="002F4384">
        <w:rPr>
          <w:rFonts w:asciiTheme="minorBidi" w:hAnsiTheme="minorBidi" w:cstheme="minorBidi"/>
          <w:bCs/>
          <w:sz w:val="22"/>
          <w:szCs w:val="22"/>
          <w:lang w:val="es-ES_tradnl"/>
        </w:rPr>
        <w:t>í</w:t>
      </w:r>
      <w:r w:rsidRPr="002F4384">
        <w:rPr>
          <w:rFonts w:asciiTheme="minorBidi" w:hAnsiTheme="minorBidi" w:cstheme="minorBidi"/>
          <w:bCs/>
          <w:sz w:val="22"/>
          <w:szCs w:val="22"/>
          <w:lang w:val="es-ES_tradnl"/>
        </w:rPr>
        <w:t>odo entre reuniones durante el per</w:t>
      </w:r>
      <w:r w:rsidR="00CA1106" w:rsidRPr="002F4384">
        <w:rPr>
          <w:rFonts w:asciiTheme="minorBidi" w:hAnsiTheme="minorBidi" w:cstheme="minorBidi"/>
          <w:bCs/>
          <w:sz w:val="22"/>
          <w:szCs w:val="22"/>
          <w:lang w:val="es-ES_tradnl"/>
        </w:rPr>
        <w:t>í</w:t>
      </w:r>
      <w:r w:rsidRPr="002F4384">
        <w:rPr>
          <w:rFonts w:asciiTheme="minorBidi" w:hAnsiTheme="minorBidi" w:cstheme="minorBidi"/>
          <w:bCs/>
          <w:sz w:val="22"/>
          <w:szCs w:val="22"/>
          <w:lang w:val="es-ES_tradnl"/>
        </w:rPr>
        <w:t>odo entre reuniones 2022-2023.</w:t>
      </w:r>
    </w:p>
    <w:p w14:paraId="475F38D7" w14:textId="2CE4A258" w:rsidR="006D72DF" w:rsidRPr="002F4384" w:rsidRDefault="002504DF" w:rsidP="00A626B0">
      <w:pPr>
        <w:pStyle w:val="Heading2"/>
        <w:ind w:left="709" w:hanging="709"/>
        <w:jc w:val="both"/>
        <w:rPr>
          <w:rFonts w:asciiTheme="minorBidi" w:hAnsiTheme="minorBidi" w:cstheme="minorBidi"/>
          <w:szCs w:val="22"/>
          <w:lang w:val="es-ES_tradnl"/>
        </w:rPr>
      </w:pPr>
      <w:bookmarkStart w:id="158" w:name="_Toc85469075"/>
      <w:bookmarkStart w:id="159" w:name="_Toc115256330"/>
      <w:r w:rsidRPr="002F4384">
        <w:rPr>
          <w:rFonts w:asciiTheme="minorBidi" w:hAnsiTheme="minorBidi" w:cstheme="minorBidi"/>
          <w:szCs w:val="22"/>
          <w:lang w:val="es-ES_tradnl"/>
        </w:rPr>
        <w:t>5.3</w:t>
      </w:r>
      <w:r w:rsidRPr="002F4384">
        <w:rPr>
          <w:rFonts w:asciiTheme="minorBidi" w:hAnsiTheme="minorBidi" w:cstheme="minorBidi"/>
          <w:szCs w:val="22"/>
          <w:lang w:val="es-ES_tradnl"/>
        </w:rPr>
        <w:tab/>
        <w:t>PREPARACIÓN DE LAS PRÓXIMAS REUNIONES DE LA ASAMBLEA Y DEL CONSEJO EJECUTIVO</w:t>
      </w:r>
      <w:bookmarkEnd w:id="158"/>
      <w:bookmarkEnd w:id="159"/>
    </w:p>
    <w:p w14:paraId="0E9F0755" w14:textId="68D99716" w:rsidR="00AC5B09" w:rsidRPr="002F4384" w:rsidRDefault="004E6E30"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El Secretario Ejecutivo recordó al Consejo Ejecutivo</w:t>
      </w:r>
      <w:r w:rsidR="00855BDE" w:rsidRPr="002F4384">
        <w:rPr>
          <w:rFonts w:asciiTheme="minorBidi" w:hAnsiTheme="minorBidi" w:cstheme="minorBidi"/>
          <w:lang w:val="es-ES_tradnl"/>
        </w:rPr>
        <w:t xml:space="preserve"> </w:t>
      </w:r>
      <w:r w:rsidRPr="002F4384">
        <w:rPr>
          <w:rFonts w:asciiTheme="minorBidi" w:hAnsiTheme="minorBidi" w:cstheme="minorBidi"/>
          <w:lang w:val="es-ES_tradnl"/>
        </w:rPr>
        <w:t xml:space="preserve">la decisión A-31/4.6 adoptada por la Asamblea </w:t>
      </w:r>
      <w:r w:rsidR="00AC5B09" w:rsidRPr="002F4384">
        <w:rPr>
          <w:rFonts w:asciiTheme="minorBidi" w:hAnsiTheme="minorBidi" w:cstheme="minorBidi"/>
          <w:lang w:val="es-ES_tradnl"/>
        </w:rPr>
        <w:t xml:space="preserve">de la COI </w:t>
      </w:r>
      <w:r w:rsidRPr="002F4384">
        <w:rPr>
          <w:rFonts w:asciiTheme="minorBidi" w:hAnsiTheme="minorBidi" w:cstheme="minorBidi"/>
          <w:lang w:val="es-ES_tradnl"/>
        </w:rPr>
        <w:t>en su 31ª reunión</w:t>
      </w:r>
      <w:r w:rsidR="00AC5B09" w:rsidRPr="002F4384">
        <w:rPr>
          <w:rFonts w:asciiTheme="minorBidi" w:hAnsiTheme="minorBidi" w:cstheme="minorBidi"/>
          <w:lang w:val="es-ES_tradnl"/>
        </w:rPr>
        <w:t xml:space="preserve"> sobre las fechas y la duración de la 32ª reunión de la Asamblea en 2023</w:t>
      </w:r>
      <w:r w:rsidRPr="002F4384">
        <w:rPr>
          <w:rFonts w:asciiTheme="minorBidi" w:hAnsiTheme="minorBidi" w:cstheme="minorBidi"/>
          <w:lang w:val="es-ES_tradnl"/>
        </w:rPr>
        <w:t>.</w:t>
      </w:r>
      <w:r w:rsidR="00AC5B09" w:rsidRPr="002F4384">
        <w:rPr>
          <w:rFonts w:asciiTheme="minorBidi" w:hAnsiTheme="minorBidi" w:cstheme="minorBidi"/>
          <w:lang w:val="es-ES_tradnl"/>
        </w:rPr>
        <w:t xml:space="preserve"> En cumplimiento de esta decisión, la Secretaría hizo una primera reserva de salas del 19 al 30 de junio de 2023 en la Sede de la UNESCO.</w:t>
      </w:r>
    </w:p>
    <w:p w14:paraId="2B14732A" w14:textId="7E860998" w:rsidR="00546571" w:rsidRPr="002F4384" w:rsidRDefault="00BF2A6F"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La Secretaría preguntó al Consejo </w:t>
      </w:r>
      <w:r w:rsidR="00707D8E" w:rsidRPr="002F4384">
        <w:rPr>
          <w:rFonts w:asciiTheme="minorBidi" w:hAnsiTheme="minorBidi" w:cstheme="minorBidi"/>
          <w:lang w:val="es-ES_tradnl"/>
        </w:rPr>
        <w:t xml:space="preserve">Ejecutivo </w:t>
      </w:r>
      <w:r w:rsidRPr="002F4384">
        <w:rPr>
          <w:rFonts w:asciiTheme="minorBidi" w:hAnsiTheme="minorBidi" w:cstheme="minorBidi"/>
          <w:lang w:val="es-ES_tradnl"/>
        </w:rPr>
        <w:t>sobre las posibles incompatibilidad</w:t>
      </w:r>
      <w:r w:rsidR="00962F39" w:rsidRPr="002F4384">
        <w:rPr>
          <w:rFonts w:asciiTheme="minorBidi" w:hAnsiTheme="minorBidi" w:cstheme="minorBidi"/>
          <w:lang w:val="es-ES_tradnl"/>
        </w:rPr>
        <w:t>es</w:t>
      </w:r>
      <w:r w:rsidRPr="002F4384">
        <w:rPr>
          <w:rFonts w:asciiTheme="minorBidi" w:hAnsiTheme="minorBidi" w:cstheme="minorBidi"/>
          <w:lang w:val="es-ES_tradnl"/>
        </w:rPr>
        <w:t xml:space="preserve"> de calendario con otras reuniones de interés para la comunidad oceanográfica, pero también con otras reuniones importantes del programa </w:t>
      </w:r>
      <w:r w:rsidR="00962F39" w:rsidRPr="002F4384">
        <w:rPr>
          <w:rFonts w:asciiTheme="minorBidi" w:hAnsiTheme="minorBidi" w:cstheme="minorBidi"/>
          <w:lang w:val="es-ES_tradnl"/>
        </w:rPr>
        <w:t>de</w:t>
      </w:r>
      <w:r w:rsidRPr="002F4384">
        <w:rPr>
          <w:rFonts w:asciiTheme="minorBidi" w:hAnsiTheme="minorBidi" w:cstheme="minorBidi"/>
          <w:lang w:val="es-ES_tradnl"/>
        </w:rPr>
        <w:t xml:space="preserve"> la UNESCO.</w:t>
      </w:r>
      <w:r w:rsidR="00962F39" w:rsidRPr="002F4384">
        <w:rPr>
          <w:rFonts w:asciiTheme="minorBidi" w:hAnsiTheme="minorBidi" w:cstheme="minorBidi"/>
          <w:lang w:val="es-ES_tradnl"/>
        </w:rPr>
        <w:t xml:space="preserve"> En este sentido se mencionaron las reuniones del Congreso Meteorológico Mundial y del Consejo Internacional de Coordinación del Programa sobre el Hombre y la Biosfera (MAB), cuyas fechas se habían fijado antes de las previstas para la reunión del Consejo Ejecutivo de la COI.</w:t>
      </w:r>
    </w:p>
    <w:p w14:paraId="62834866" w14:textId="25F88B2D" w:rsidR="00990874" w:rsidRPr="002F4384" w:rsidRDefault="00990874"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Se descartó la posibilidad de celebrar una reunión extraordinaria del Consejo Ejecutivo dedicada a la aprobación de un reglamento específico para el Consejo Ejecutivo, tal como se establecía en la decisión A-31/4.6, tras </w:t>
      </w:r>
      <w:r w:rsidR="00040F40" w:rsidRPr="002F4384">
        <w:rPr>
          <w:rFonts w:asciiTheme="minorBidi" w:hAnsiTheme="minorBidi" w:cstheme="minorBidi"/>
          <w:lang w:val="es-ES_tradnl"/>
        </w:rPr>
        <w:t>examinarse</w:t>
      </w:r>
      <w:r w:rsidRPr="002F4384">
        <w:rPr>
          <w:rFonts w:asciiTheme="minorBidi" w:hAnsiTheme="minorBidi" w:cstheme="minorBidi"/>
          <w:lang w:val="es-ES_tradnl"/>
        </w:rPr>
        <w:t xml:space="preserve"> esta cuestión en el marco de los puntos 5.1 y 5.2 del orden del día.</w:t>
      </w:r>
    </w:p>
    <w:p w14:paraId="0D8C026C" w14:textId="3430AEFA" w:rsidR="00990874" w:rsidRPr="002F4384" w:rsidRDefault="0068222F"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En sus observaciones finales, el Secretario Ejecutivo recordó al Consejo Ejecutivo que en 2023 desempeñaría un papel importante en el proceso de selección del nuevo Secretario Ejecutivo de la COI, en particular </w:t>
      </w:r>
      <w:r w:rsidR="006F511A" w:rsidRPr="002F4384">
        <w:rPr>
          <w:rFonts w:asciiTheme="minorBidi" w:hAnsiTheme="minorBidi" w:cstheme="minorBidi"/>
          <w:lang w:val="es-ES_tradnl"/>
        </w:rPr>
        <w:t>para confeccionar</w:t>
      </w:r>
      <w:r w:rsidRPr="002F4384">
        <w:rPr>
          <w:rFonts w:asciiTheme="minorBidi" w:hAnsiTheme="minorBidi" w:cstheme="minorBidi"/>
          <w:lang w:val="es-ES_tradnl"/>
        </w:rPr>
        <w:t>, en una reunión a puerta cerrada, una lista de un máximo de seis candidatos preferidos que se presentaría</w:t>
      </w:r>
      <w:r w:rsidR="00BF1C33" w:rsidRPr="002F4384">
        <w:rPr>
          <w:rFonts w:asciiTheme="minorBidi" w:hAnsiTheme="minorBidi" w:cstheme="minorBidi"/>
          <w:lang w:val="es-ES_tradnl"/>
        </w:rPr>
        <w:t xml:space="preserve"> </w:t>
      </w:r>
      <w:r w:rsidRPr="002F4384">
        <w:rPr>
          <w:rFonts w:asciiTheme="minorBidi" w:hAnsiTheme="minorBidi" w:cstheme="minorBidi"/>
          <w:lang w:val="es-ES_tradnl"/>
        </w:rPr>
        <w:t>a la Directora General de la UNESCO.</w:t>
      </w:r>
    </w:p>
    <w:p w14:paraId="4A65514E" w14:textId="6794F7B4" w:rsidR="00BF1C33" w:rsidRPr="002F4384" w:rsidRDefault="003A59D3"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Consejo Ejecutivo adoptó la </w:t>
      </w:r>
      <w:r w:rsidRPr="002F4384">
        <w:rPr>
          <w:rFonts w:asciiTheme="minorBidi" w:hAnsiTheme="minorBidi" w:cstheme="minorBidi"/>
          <w:u w:val="single"/>
          <w:lang w:val="es-ES_tradnl"/>
        </w:rPr>
        <w:t>decisión IOC/EC-55/5.3</w:t>
      </w:r>
      <w:r w:rsidRPr="002F4384">
        <w:rPr>
          <w:rFonts w:asciiTheme="minorBidi" w:hAnsiTheme="minorBidi" w:cstheme="minorBidi"/>
          <w:lang w:val="es-ES_tradnl"/>
        </w:rPr>
        <w:t>, que figura a continuación.</w:t>
      </w:r>
    </w:p>
    <w:p w14:paraId="10670AB8" w14:textId="77777777" w:rsidR="00176378" w:rsidRPr="002F4384" w:rsidRDefault="00176378" w:rsidP="00715D29">
      <w:pPr>
        <w:keepNext/>
        <w:keepLines/>
        <w:tabs>
          <w:tab w:val="left" w:pos="709"/>
        </w:tabs>
        <w:spacing w:after="240"/>
        <w:jc w:val="center"/>
        <w:outlineLvl w:val="0"/>
        <w:rPr>
          <w:rFonts w:asciiTheme="minorBidi" w:eastAsia="SimSun" w:hAnsiTheme="minorBidi" w:cstheme="minorBidi"/>
          <w:b/>
          <w:sz w:val="22"/>
          <w:szCs w:val="22"/>
          <w:lang w:val="es-ES_tradnl"/>
        </w:rPr>
      </w:pPr>
      <w:r w:rsidRPr="002F4384">
        <w:rPr>
          <w:rFonts w:asciiTheme="minorBidi" w:eastAsia="SimSun" w:hAnsiTheme="minorBidi" w:cstheme="minorBidi"/>
          <w:b/>
          <w:bCs/>
          <w:sz w:val="22"/>
          <w:szCs w:val="22"/>
          <w:lang w:val="es-ES_tradnl"/>
        </w:rPr>
        <w:t xml:space="preserve">Preparación de la 32ª reunión de la Asamblea y las próximas reuniones </w:t>
      </w:r>
      <w:r w:rsidRPr="002F4384">
        <w:rPr>
          <w:rFonts w:asciiTheme="minorBidi" w:eastAsia="SimSun" w:hAnsiTheme="minorBidi" w:cstheme="minorBidi"/>
          <w:b/>
          <w:bCs/>
          <w:sz w:val="22"/>
          <w:szCs w:val="22"/>
          <w:lang w:val="es-ES_tradnl"/>
        </w:rPr>
        <w:br/>
        <w:t>del Consejo Ejecutivo</w:t>
      </w:r>
    </w:p>
    <w:p w14:paraId="5C12E8EB" w14:textId="77777777" w:rsidR="00176378" w:rsidRPr="002F4384" w:rsidRDefault="00176378" w:rsidP="00176378">
      <w:pPr>
        <w:keepNext/>
        <w:spacing w:after="240"/>
        <w:ind w:left="567" w:hanging="567"/>
        <w:jc w:val="both"/>
        <w:rPr>
          <w:rFonts w:asciiTheme="minorBidi" w:hAnsiTheme="minorBidi" w:cstheme="minorBidi"/>
          <w:iCs/>
          <w:sz w:val="22"/>
          <w:szCs w:val="22"/>
          <w:lang w:val="es-ES_tradnl"/>
        </w:rPr>
      </w:pPr>
      <w:r w:rsidRPr="002F4384">
        <w:rPr>
          <w:rFonts w:asciiTheme="minorBidi" w:hAnsiTheme="minorBidi" w:cstheme="minorBidi"/>
          <w:sz w:val="22"/>
          <w:szCs w:val="22"/>
          <w:lang w:val="es-ES_tradnl"/>
        </w:rPr>
        <w:t>El Consejo Ejecutivo,</w:t>
      </w:r>
    </w:p>
    <w:p w14:paraId="5C7E626D" w14:textId="77777777" w:rsidR="00176378" w:rsidRPr="002F4384" w:rsidRDefault="00176378" w:rsidP="00176378">
      <w:pPr>
        <w:spacing w:after="240"/>
        <w:jc w:val="both"/>
        <w:rPr>
          <w:rFonts w:asciiTheme="minorBidi" w:hAnsiTheme="minorBidi" w:cstheme="minorBidi"/>
          <w:iCs/>
          <w:sz w:val="22"/>
          <w:szCs w:val="22"/>
          <w:lang w:val="es-ES_tradnl"/>
        </w:rPr>
      </w:pPr>
      <w:r w:rsidRPr="002F4384">
        <w:rPr>
          <w:rFonts w:asciiTheme="minorBidi" w:hAnsiTheme="minorBidi" w:cstheme="minorBidi"/>
          <w:iCs/>
          <w:sz w:val="22"/>
          <w:szCs w:val="22"/>
          <w:u w:val="single"/>
          <w:lang w:val="es-ES_tradnl"/>
        </w:rPr>
        <w:t>Recordando</w:t>
      </w:r>
      <w:r w:rsidRPr="002F4384">
        <w:rPr>
          <w:rFonts w:asciiTheme="minorBidi" w:hAnsiTheme="minorBidi" w:cstheme="minorBidi"/>
          <w:iCs/>
          <w:sz w:val="22"/>
          <w:szCs w:val="22"/>
          <w:lang w:val="es-ES_tradnl"/>
        </w:rPr>
        <w:t xml:space="preserve"> las recomendaciones formuladas por el Consejo Ejecutivo en su 54ª reunión (decisión EC-54/4) y la decisión A-31/4.6 adoptada por la Asamblea de la COI en su 31ª reunión,</w:t>
      </w:r>
    </w:p>
    <w:p w14:paraId="7792CE61" w14:textId="77777777" w:rsidR="00176378" w:rsidRPr="002F4384" w:rsidRDefault="00176378" w:rsidP="00176378">
      <w:pPr>
        <w:spacing w:after="240"/>
        <w:jc w:val="both"/>
        <w:rPr>
          <w:rFonts w:asciiTheme="minorBidi" w:hAnsiTheme="minorBidi" w:cstheme="minorBidi"/>
          <w:iCs/>
          <w:sz w:val="22"/>
          <w:szCs w:val="22"/>
          <w:lang w:val="es-ES_tradnl"/>
        </w:rPr>
      </w:pPr>
      <w:r w:rsidRPr="002F4384">
        <w:rPr>
          <w:rFonts w:asciiTheme="minorBidi" w:hAnsiTheme="minorBidi" w:cstheme="minorBidi"/>
          <w:iCs/>
          <w:sz w:val="22"/>
          <w:szCs w:val="22"/>
          <w:u w:val="single"/>
          <w:lang w:val="es-ES_tradnl"/>
        </w:rPr>
        <w:t>Tomando nota</w:t>
      </w:r>
      <w:r w:rsidRPr="002F4384">
        <w:rPr>
          <w:rFonts w:asciiTheme="minorBidi" w:hAnsiTheme="minorBidi" w:cstheme="minorBidi"/>
          <w:iCs/>
          <w:sz w:val="22"/>
          <w:szCs w:val="22"/>
          <w:lang w:val="es-ES_tradnl"/>
        </w:rPr>
        <w:t xml:space="preserve"> de que ya no es necesario celebrar la reunión extraordinaria del Consejo Ejecutivo dedicada a la aprobación de un Reglamento específico para el Consejo Ejecutivo,</w:t>
      </w:r>
    </w:p>
    <w:p w14:paraId="560456D3" w14:textId="77777777" w:rsidR="00176378" w:rsidRPr="002F4384" w:rsidRDefault="00176378" w:rsidP="00176378">
      <w:pPr>
        <w:spacing w:after="240"/>
        <w:jc w:val="both"/>
        <w:rPr>
          <w:rFonts w:asciiTheme="minorBidi" w:hAnsiTheme="minorBidi" w:cstheme="minorBidi"/>
          <w:iCs/>
          <w:sz w:val="22"/>
          <w:szCs w:val="22"/>
          <w:lang w:val="es-ES_tradnl"/>
        </w:rPr>
      </w:pPr>
      <w:r w:rsidRPr="002F4384">
        <w:rPr>
          <w:rFonts w:asciiTheme="minorBidi" w:hAnsiTheme="minorBidi" w:cstheme="minorBidi"/>
          <w:iCs/>
          <w:sz w:val="22"/>
          <w:szCs w:val="22"/>
          <w:u w:val="single"/>
          <w:lang w:val="es-ES_tradnl"/>
        </w:rPr>
        <w:t>Decide</w:t>
      </w:r>
      <w:r w:rsidRPr="002F4384">
        <w:rPr>
          <w:rFonts w:asciiTheme="minorBidi" w:hAnsiTheme="minorBidi" w:cstheme="minorBidi"/>
          <w:iCs/>
          <w:sz w:val="22"/>
          <w:szCs w:val="22"/>
          <w:lang w:val="es-ES_tradnl"/>
        </w:rPr>
        <w:t xml:space="preserve"> celebrar:</w:t>
      </w:r>
    </w:p>
    <w:p w14:paraId="7F83B297" w14:textId="5D3D74C9" w:rsidR="00176378" w:rsidRPr="002F4384" w:rsidRDefault="00176378" w:rsidP="00035473">
      <w:pPr>
        <w:numPr>
          <w:ilvl w:val="0"/>
          <w:numId w:val="23"/>
        </w:numPr>
        <w:spacing w:after="240"/>
        <w:ind w:left="1134" w:hanging="567"/>
        <w:jc w:val="both"/>
        <w:rPr>
          <w:rFonts w:asciiTheme="minorBidi" w:hAnsiTheme="minorBidi" w:cstheme="minorBidi"/>
          <w:iCs/>
          <w:sz w:val="22"/>
          <w:szCs w:val="22"/>
          <w:lang w:val="es-ES_tradnl"/>
        </w:rPr>
      </w:pPr>
      <w:r w:rsidRPr="002F4384">
        <w:rPr>
          <w:rFonts w:asciiTheme="minorBidi" w:hAnsiTheme="minorBidi" w:cstheme="minorBidi"/>
          <w:iCs/>
          <w:sz w:val="22"/>
          <w:szCs w:val="22"/>
          <w:lang w:val="es-ES_tradnl"/>
        </w:rPr>
        <w:t>la 32ª reunión de la Asamblea, con una duración de seis días y medio más un Día de las Ciencias Oceánicas, en la Sede de la UNESCO, durante el per</w:t>
      </w:r>
      <w:r w:rsidR="0009103B" w:rsidRPr="002F4384">
        <w:rPr>
          <w:rFonts w:asciiTheme="minorBidi" w:hAnsiTheme="minorBidi" w:cstheme="minorBidi"/>
          <w:iCs/>
          <w:sz w:val="22"/>
          <w:szCs w:val="22"/>
          <w:lang w:val="es-ES_tradnl"/>
        </w:rPr>
        <w:t>í</w:t>
      </w:r>
      <w:r w:rsidRPr="002F4384">
        <w:rPr>
          <w:rFonts w:asciiTheme="minorBidi" w:hAnsiTheme="minorBidi" w:cstheme="minorBidi"/>
          <w:iCs/>
          <w:sz w:val="22"/>
          <w:szCs w:val="22"/>
          <w:lang w:val="es-ES_tradnl"/>
        </w:rPr>
        <w:t>odo del 20 al 30 de junio de 2023, precedida por una reunión de un día del Consejo Ejecutivo (56ª reunión) en su función de Comité de Dirección de la Asamblea;</w:t>
      </w:r>
    </w:p>
    <w:p w14:paraId="7A67582B" w14:textId="77777777" w:rsidR="00176378" w:rsidRPr="002F4384" w:rsidRDefault="00176378" w:rsidP="00035473">
      <w:pPr>
        <w:numPr>
          <w:ilvl w:val="0"/>
          <w:numId w:val="23"/>
        </w:numPr>
        <w:spacing w:after="240"/>
        <w:ind w:left="1134" w:hanging="567"/>
        <w:jc w:val="both"/>
        <w:rPr>
          <w:rFonts w:asciiTheme="minorBidi" w:hAnsiTheme="minorBidi" w:cstheme="minorBidi"/>
          <w:iCs/>
          <w:sz w:val="22"/>
          <w:szCs w:val="22"/>
          <w:lang w:val="es-ES_tradnl"/>
        </w:rPr>
      </w:pPr>
      <w:r w:rsidRPr="002F4384">
        <w:rPr>
          <w:rFonts w:asciiTheme="minorBidi" w:hAnsiTheme="minorBidi" w:cstheme="minorBidi"/>
          <w:iCs/>
          <w:sz w:val="22"/>
          <w:szCs w:val="22"/>
          <w:lang w:val="es-ES_tradnl"/>
        </w:rPr>
        <w:t>la 57ª reunión del Consejo Ejecutivo, con una duración de tres días y medio, en la Sede de la UNESCO en París, en junio/julio de 2024.</w:t>
      </w:r>
    </w:p>
    <w:p w14:paraId="3F8A62BD" w14:textId="77777777" w:rsidR="008B1F43" w:rsidRPr="002F4384" w:rsidRDefault="006C22D1" w:rsidP="00715D29">
      <w:pPr>
        <w:pStyle w:val="Heading1"/>
        <w:numPr>
          <w:ilvl w:val="0"/>
          <w:numId w:val="8"/>
        </w:numPr>
        <w:tabs>
          <w:tab w:val="left" w:pos="709"/>
        </w:tabs>
        <w:spacing w:before="240"/>
        <w:ind w:left="709" w:hanging="720"/>
        <w:jc w:val="both"/>
        <w:rPr>
          <w:rFonts w:asciiTheme="minorBidi" w:hAnsiTheme="minorBidi" w:cstheme="minorBidi"/>
          <w:szCs w:val="22"/>
          <w:lang w:val="es-ES_tradnl"/>
        </w:rPr>
      </w:pPr>
      <w:bookmarkStart w:id="160" w:name="_Toc57369056"/>
      <w:bookmarkStart w:id="161" w:name="_Toc141510531"/>
      <w:bookmarkStart w:id="162" w:name="_Toc85469076"/>
      <w:bookmarkStart w:id="163" w:name="_Toc115256331"/>
      <w:bookmarkStart w:id="164" w:name="_Toc415051565"/>
      <w:bookmarkStart w:id="165" w:name="_Toc445908060"/>
      <w:r w:rsidRPr="002F4384">
        <w:rPr>
          <w:rFonts w:asciiTheme="minorBidi" w:hAnsiTheme="minorBidi" w:cstheme="minorBidi"/>
          <w:szCs w:val="22"/>
          <w:lang w:val="es-ES_tradnl"/>
        </w:rPr>
        <w:lastRenderedPageBreak/>
        <w:t>APROBACIÓN DE LAS RESOLUCIONES Y MODALIDADES PARA LA FINALIZACIÓN DEL INFORME</w:t>
      </w:r>
      <w:bookmarkEnd w:id="160"/>
      <w:bookmarkEnd w:id="161"/>
      <w:bookmarkEnd w:id="162"/>
      <w:bookmarkEnd w:id="163"/>
    </w:p>
    <w:p w14:paraId="41A96DA8" w14:textId="1B254C02" w:rsidR="004E6E30" w:rsidRPr="002F4384" w:rsidRDefault="00667651" w:rsidP="005C3715">
      <w:pPr>
        <w:pStyle w:val="Style2"/>
        <w:numPr>
          <w:ilvl w:val="0"/>
          <w:numId w:val="7"/>
        </w:numPr>
        <w:tabs>
          <w:tab w:val="left" w:pos="709"/>
        </w:tabs>
        <w:ind w:left="0" w:hanging="567"/>
        <w:rPr>
          <w:rFonts w:asciiTheme="minorBidi" w:hAnsiTheme="minorBidi" w:cstheme="minorBidi"/>
          <w:lang w:val="es-ES_tradnl"/>
        </w:rPr>
      </w:pPr>
      <w:bookmarkStart w:id="166" w:name="_Toc289696443"/>
      <w:bookmarkStart w:id="167" w:name="_Toc358657278"/>
      <w:bookmarkEnd w:id="164"/>
      <w:bookmarkEnd w:id="165"/>
      <w:r w:rsidRPr="002F4384">
        <w:rPr>
          <w:rFonts w:asciiTheme="minorBidi" w:hAnsiTheme="minorBidi" w:cstheme="minorBidi"/>
          <w:lang w:val="es-ES_tradnl"/>
        </w:rPr>
        <w:t>El Presidente del Comité de Resoluciones</w:t>
      </w:r>
      <w:r w:rsidR="00176378" w:rsidRPr="002F4384">
        <w:rPr>
          <w:rFonts w:asciiTheme="minorBidi" w:hAnsiTheme="minorBidi" w:cstheme="minorBidi"/>
          <w:lang w:val="es-ES_tradnl"/>
        </w:rPr>
        <w:t>, el Profesor</w:t>
      </w:r>
      <w:r w:rsidR="00176378" w:rsidRPr="002F4384">
        <w:rPr>
          <w:rFonts w:asciiTheme="minorBidi" w:hAnsiTheme="minorBidi" w:cstheme="minorBidi"/>
          <w:lang w:val="es-ES_tradnl" w:eastAsia="en-GB"/>
        </w:rPr>
        <w:t xml:space="preserve"> Yutaka Michida (Japón),</w:t>
      </w:r>
      <w:r w:rsidRPr="002F4384">
        <w:rPr>
          <w:rFonts w:asciiTheme="minorBidi" w:hAnsiTheme="minorBidi" w:cstheme="minorBidi"/>
          <w:lang w:val="es-ES_tradnl"/>
        </w:rPr>
        <w:t xml:space="preserve"> informó al Consejo Ejecutivo de la labor del Comité</w:t>
      </w:r>
      <w:r w:rsidR="00176378" w:rsidRPr="002F4384">
        <w:rPr>
          <w:rFonts w:asciiTheme="minorBidi" w:hAnsiTheme="minorBidi" w:cstheme="minorBidi"/>
          <w:lang w:val="es-ES_tradnl"/>
        </w:rPr>
        <w:t xml:space="preserve">, que </w:t>
      </w:r>
      <w:r w:rsidR="00017E66" w:rsidRPr="002F4384">
        <w:rPr>
          <w:rFonts w:asciiTheme="minorBidi" w:hAnsiTheme="minorBidi" w:cstheme="minorBidi"/>
          <w:lang w:val="es-ES_tradnl"/>
        </w:rPr>
        <w:t>había examinado</w:t>
      </w:r>
      <w:r w:rsidR="00176378" w:rsidRPr="002F4384">
        <w:rPr>
          <w:rFonts w:asciiTheme="minorBidi" w:hAnsiTheme="minorBidi" w:cstheme="minorBidi"/>
          <w:lang w:val="es-ES_tradnl"/>
        </w:rPr>
        <w:t xml:space="preserve"> dos proyectos de resolución y celebr</w:t>
      </w:r>
      <w:r w:rsidR="00017E66" w:rsidRPr="002F4384">
        <w:rPr>
          <w:rFonts w:asciiTheme="minorBidi" w:hAnsiTheme="minorBidi" w:cstheme="minorBidi"/>
          <w:lang w:val="es-ES_tradnl"/>
        </w:rPr>
        <w:t>ado</w:t>
      </w:r>
      <w:r w:rsidR="00176378" w:rsidRPr="002F4384">
        <w:rPr>
          <w:rFonts w:asciiTheme="minorBidi" w:hAnsiTheme="minorBidi" w:cstheme="minorBidi"/>
          <w:lang w:val="es-ES_tradnl"/>
        </w:rPr>
        <w:t xml:space="preserve"> dos sesiones durante la reunión.</w:t>
      </w:r>
    </w:p>
    <w:p w14:paraId="24A9C8E5" w14:textId="77777777" w:rsidR="007F7B82" w:rsidRPr="002F4384" w:rsidRDefault="004E6E30"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A continuación, el Presidente de la COI invitó al Consejo Ejecutivo a que aprobara, en </w:t>
      </w:r>
      <w:r w:rsidR="00E33D1B" w:rsidRPr="002F4384">
        <w:rPr>
          <w:rFonts w:asciiTheme="minorBidi" w:hAnsiTheme="minorBidi" w:cstheme="minorBidi"/>
          <w:lang w:val="es-ES_tradnl"/>
        </w:rPr>
        <w:t xml:space="preserve">sesión </w:t>
      </w:r>
      <w:r w:rsidRPr="002F4384">
        <w:rPr>
          <w:rFonts w:asciiTheme="minorBidi" w:hAnsiTheme="minorBidi" w:cstheme="minorBidi"/>
          <w:lang w:val="es-ES_tradnl"/>
        </w:rPr>
        <w:t xml:space="preserve">plenaria, </w:t>
      </w:r>
      <w:r w:rsidR="00E33D1B" w:rsidRPr="002F4384">
        <w:rPr>
          <w:rFonts w:asciiTheme="minorBidi" w:hAnsiTheme="minorBidi" w:cstheme="minorBidi"/>
          <w:lang w:val="es-ES_tradnl"/>
        </w:rPr>
        <w:t>dos resoluciones además de las decisiones ya adoptadas en cada punto del orden del día.</w:t>
      </w:r>
    </w:p>
    <w:p w14:paraId="1BE08EF0" w14:textId="6D4BA4DE" w:rsidR="00C10378" w:rsidRPr="002F4384" w:rsidRDefault="007F7B82"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Secretario Ejecutivo informó al Consejo </w:t>
      </w:r>
      <w:r w:rsidR="00017E66" w:rsidRPr="002F4384">
        <w:rPr>
          <w:rFonts w:asciiTheme="minorBidi" w:hAnsiTheme="minorBidi" w:cstheme="minorBidi"/>
          <w:lang w:val="es-ES_tradnl"/>
        </w:rPr>
        <w:t xml:space="preserve">Ejecutivo </w:t>
      </w:r>
      <w:r w:rsidRPr="002F4384">
        <w:rPr>
          <w:rFonts w:asciiTheme="minorBidi" w:hAnsiTheme="minorBidi" w:cstheme="minorBidi"/>
          <w:lang w:val="es-ES_tradnl"/>
        </w:rPr>
        <w:t>de que, como era ahora habitual, la Secretaría redactaba la parte narrativa del informe resumido para la reunión únicamente en inglés. El texto solo estaría disponible poco después de la reunión, junto con el conjunto de decisiones adoptadas y resoluciones aprobadas, y se traduciría para que los miembros del Consejo Ejecutivo lo examinaran.</w:t>
      </w:r>
    </w:p>
    <w:p w14:paraId="6CDA0CD1" w14:textId="180F1E0C" w:rsidR="007F7B82" w:rsidRPr="002F4384" w:rsidRDefault="007F7B82"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El Presidente dio las gracias a la Relatora, la Dra. Suzan El-Gharabawy</w:t>
      </w:r>
      <w:r w:rsidR="00FA3F2E" w:rsidRPr="002F4384">
        <w:rPr>
          <w:rFonts w:asciiTheme="minorBidi" w:hAnsiTheme="minorBidi" w:cstheme="minorBidi"/>
          <w:lang w:val="es-ES_tradnl"/>
        </w:rPr>
        <w:t xml:space="preserve"> (</w:t>
      </w:r>
      <w:r w:rsidRPr="002F4384">
        <w:rPr>
          <w:rFonts w:asciiTheme="minorBidi" w:hAnsiTheme="minorBidi" w:cstheme="minorBidi"/>
          <w:lang w:val="es-ES_tradnl"/>
        </w:rPr>
        <w:t>Egipto</w:t>
      </w:r>
      <w:r w:rsidR="00FA3F2E" w:rsidRPr="002F4384">
        <w:rPr>
          <w:rFonts w:asciiTheme="minorBidi" w:hAnsiTheme="minorBidi" w:cstheme="minorBidi"/>
          <w:lang w:val="es-ES_tradnl"/>
        </w:rPr>
        <w:t>)</w:t>
      </w:r>
      <w:r w:rsidRPr="002F4384">
        <w:rPr>
          <w:rFonts w:asciiTheme="minorBidi" w:hAnsiTheme="minorBidi" w:cstheme="minorBidi"/>
          <w:lang w:val="es-ES_tradnl"/>
        </w:rPr>
        <w:t xml:space="preserve"> por su excelente contribución a los trabajos de la reunión.</w:t>
      </w:r>
    </w:p>
    <w:p w14:paraId="45CC6466" w14:textId="1BB3D7F2" w:rsidR="007F7B82" w:rsidRPr="002F4384" w:rsidRDefault="007F7B82"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Consejo Ejecutivo adoptó la </w:t>
      </w:r>
      <w:r w:rsidRPr="002F4384">
        <w:rPr>
          <w:rFonts w:asciiTheme="minorBidi" w:hAnsiTheme="minorBidi" w:cstheme="minorBidi"/>
          <w:u w:val="single"/>
          <w:lang w:val="es-ES_tradnl"/>
        </w:rPr>
        <w:t>decisión IOC/EC-55/6</w:t>
      </w:r>
      <w:r w:rsidRPr="002F4384">
        <w:rPr>
          <w:rFonts w:asciiTheme="minorBidi" w:hAnsiTheme="minorBidi" w:cstheme="minorBidi"/>
          <w:lang w:val="es-ES_tradnl"/>
        </w:rPr>
        <w:t>.</w:t>
      </w:r>
    </w:p>
    <w:p w14:paraId="2864325D" w14:textId="77777777" w:rsidR="00F42E71" w:rsidRPr="002F4384" w:rsidRDefault="00F42E71" w:rsidP="00F42E71">
      <w:pPr>
        <w:keepNext/>
        <w:keepLines/>
        <w:tabs>
          <w:tab w:val="left" w:pos="709"/>
        </w:tabs>
        <w:spacing w:after="240"/>
        <w:jc w:val="center"/>
        <w:outlineLvl w:val="0"/>
        <w:rPr>
          <w:rFonts w:asciiTheme="minorBidi" w:eastAsia="SimSun" w:hAnsiTheme="minorBidi" w:cstheme="minorBidi"/>
          <w:b/>
          <w:sz w:val="22"/>
          <w:szCs w:val="22"/>
          <w:lang w:val="es-ES_tradnl"/>
        </w:rPr>
      </w:pPr>
      <w:r w:rsidRPr="002F4384">
        <w:rPr>
          <w:rFonts w:asciiTheme="minorBidi" w:eastAsia="SimSun" w:hAnsiTheme="minorBidi" w:cstheme="minorBidi"/>
          <w:b/>
          <w:bCs/>
          <w:sz w:val="22"/>
          <w:szCs w:val="22"/>
          <w:lang w:val="es-ES_tradnl"/>
        </w:rPr>
        <w:t>Aprobación de las resoluciones y modalidades para la finalización del informe</w:t>
      </w:r>
    </w:p>
    <w:p w14:paraId="26ECED7B" w14:textId="77777777" w:rsidR="00F42E71" w:rsidRPr="002F4384" w:rsidRDefault="00F42E71" w:rsidP="00F42E71">
      <w:pPr>
        <w:keepNext/>
        <w:tabs>
          <w:tab w:val="left" w:pos="709"/>
          <w:tab w:val="num" w:pos="1400"/>
        </w:tabs>
        <w:spacing w:after="240"/>
        <w:ind w:left="720" w:hanging="720"/>
        <w:jc w:val="both"/>
        <w:rPr>
          <w:rFonts w:asciiTheme="minorBidi" w:hAnsiTheme="minorBidi" w:cstheme="minorBidi"/>
          <w:iCs/>
          <w:sz w:val="22"/>
          <w:szCs w:val="22"/>
          <w:lang w:val="es-ES_tradnl"/>
        </w:rPr>
      </w:pPr>
      <w:r w:rsidRPr="002F4384">
        <w:rPr>
          <w:rFonts w:asciiTheme="minorBidi" w:hAnsiTheme="minorBidi" w:cstheme="minorBidi"/>
          <w:sz w:val="22"/>
          <w:szCs w:val="22"/>
          <w:lang w:val="es-ES_tradnl"/>
        </w:rPr>
        <w:t>El Consejo Ejecutivo,</w:t>
      </w:r>
    </w:p>
    <w:p w14:paraId="6A5F5D66" w14:textId="77777777" w:rsidR="00F42E71" w:rsidRPr="002F4384" w:rsidRDefault="00F42E71" w:rsidP="00F42E71">
      <w:pPr>
        <w:spacing w:after="240"/>
        <w:jc w:val="both"/>
        <w:rPr>
          <w:rFonts w:asciiTheme="minorBidi" w:hAnsiTheme="minorBidi" w:cstheme="minorBidi"/>
          <w:iCs/>
          <w:sz w:val="22"/>
          <w:szCs w:val="22"/>
          <w:lang w:val="es-ES_tradnl"/>
        </w:rPr>
      </w:pPr>
      <w:r w:rsidRPr="002F4384">
        <w:rPr>
          <w:rFonts w:asciiTheme="minorBidi" w:hAnsiTheme="minorBidi" w:cstheme="minorBidi"/>
          <w:iCs/>
          <w:sz w:val="22"/>
          <w:szCs w:val="22"/>
          <w:u w:val="single"/>
          <w:lang w:val="es-ES_tradnl"/>
        </w:rPr>
        <w:t>Recordando</w:t>
      </w:r>
      <w:r w:rsidRPr="002F4384">
        <w:rPr>
          <w:rFonts w:asciiTheme="minorBidi" w:hAnsiTheme="minorBidi" w:cstheme="minorBidi"/>
          <w:iCs/>
          <w:sz w:val="22"/>
          <w:szCs w:val="22"/>
          <w:lang w:val="es-ES_tradnl"/>
        </w:rPr>
        <w:t xml:space="preserve"> las recomendaciones formuladas por el Consejo Ejecutivo en su 52ª reunión (decisión EC</w:t>
      </w:r>
      <w:r w:rsidRPr="002F4384">
        <w:rPr>
          <w:rFonts w:asciiTheme="minorBidi" w:hAnsiTheme="minorBidi" w:cstheme="minorBidi"/>
          <w:iCs/>
          <w:sz w:val="22"/>
          <w:szCs w:val="22"/>
          <w:lang w:val="es-ES_tradnl"/>
        </w:rPr>
        <w:noBreakHyphen/>
        <w:t>LII/3.3) sobre las cuestiones de organización,</w:t>
      </w:r>
    </w:p>
    <w:p w14:paraId="678F0A76" w14:textId="77777777" w:rsidR="00F42E71" w:rsidRPr="002F4384" w:rsidRDefault="00F42E71" w:rsidP="00F42E71">
      <w:pPr>
        <w:spacing w:after="240"/>
        <w:jc w:val="both"/>
        <w:rPr>
          <w:rFonts w:asciiTheme="minorBidi" w:hAnsiTheme="minorBidi" w:cstheme="minorBidi"/>
          <w:iCs/>
          <w:sz w:val="22"/>
          <w:szCs w:val="22"/>
          <w:lang w:val="es-ES_tradnl"/>
        </w:rPr>
      </w:pPr>
      <w:r w:rsidRPr="002F4384">
        <w:rPr>
          <w:rFonts w:asciiTheme="minorBidi" w:hAnsiTheme="minorBidi" w:cstheme="minorBidi"/>
          <w:iCs/>
          <w:sz w:val="22"/>
          <w:szCs w:val="22"/>
          <w:u w:val="single"/>
          <w:lang w:val="es-ES_tradnl"/>
        </w:rPr>
        <w:t>Adopta</w:t>
      </w:r>
      <w:r w:rsidRPr="002F4384">
        <w:rPr>
          <w:rFonts w:asciiTheme="minorBidi" w:hAnsiTheme="minorBidi" w:cstheme="minorBidi"/>
          <w:iCs/>
          <w:sz w:val="22"/>
          <w:szCs w:val="22"/>
          <w:lang w:val="es-ES_tradnl"/>
        </w:rPr>
        <w:t xml:space="preserve"> las decisiones y </w:t>
      </w:r>
      <w:r w:rsidRPr="002F4384">
        <w:rPr>
          <w:rFonts w:asciiTheme="minorBidi" w:hAnsiTheme="minorBidi" w:cstheme="minorBidi"/>
          <w:iCs/>
          <w:sz w:val="22"/>
          <w:szCs w:val="22"/>
          <w:u w:val="single"/>
          <w:lang w:val="es-ES_tradnl"/>
        </w:rPr>
        <w:t>aprueba</w:t>
      </w:r>
      <w:r w:rsidRPr="002F4384">
        <w:rPr>
          <w:rFonts w:asciiTheme="minorBidi" w:hAnsiTheme="minorBidi" w:cstheme="minorBidi"/>
          <w:iCs/>
          <w:sz w:val="22"/>
          <w:szCs w:val="22"/>
          <w:lang w:val="es-ES_tradnl"/>
        </w:rPr>
        <w:t xml:space="preserve"> las dos resoluciones de la reunión;</w:t>
      </w:r>
    </w:p>
    <w:p w14:paraId="75914D18" w14:textId="77777777" w:rsidR="00F42E71" w:rsidRPr="002F4384" w:rsidRDefault="00F42E71" w:rsidP="00F42E71">
      <w:pPr>
        <w:spacing w:after="240"/>
        <w:jc w:val="both"/>
        <w:rPr>
          <w:rFonts w:asciiTheme="minorBidi" w:hAnsiTheme="minorBidi" w:cstheme="minorBidi"/>
          <w:iCs/>
          <w:sz w:val="22"/>
          <w:szCs w:val="22"/>
          <w:lang w:val="es-ES_tradnl"/>
        </w:rPr>
      </w:pPr>
      <w:r w:rsidRPr="002F4384">
        <w:rPr>
          <w:rFonts w:asciiTheme="minorBidi" w:hAnsiTheme="minorBidi" w:cstheme="minorBidi"/>
          <w:iCs/>
          <w:sz w:val="22"/>
          <w:szCs w:val="22"/>
          <w:u w:val="single"/>
          <w:lang w:val="es-ES_tradnl"/>
        </w:rPr>
        <w:t>Pide</w:t>
      </w:r>
      <w:r w:rsidRPr="002F4384">
        <w:rPr>
          <w:rFonts w:asciiTheme="minorBidi" w:hAnsiTheme="minorBidi" w:cstheme="minorBidi"/>
          <w:iCs/>
          <w:sz w:val="22"/>
          <w:szCs w:val="22"/>
          <w:lang w:val="es-ES_tradnl"/>
        </w:rPr>
        <w:t xml:space="preserve"> al Secretario Ejecutivo que distribuya el proyecto de informe de la reunión a los Estados Miembros en los cuatro idiomas de trabajo de la Comisión a más tardar el 30 de julio de 2022 para su aprobación por correspondencia a más tardar el 30 de septiembre de 2022.</w:t>
      </w:r>
    </w:p>
    <w:p w14:paraId="69C17F50" w14:textId="04C13218" w:rsidR="0044492A" w:rsidRPr="002F4384" w:rsidRDefault="00667651" w:rsidP="00715D29">
      <w:pPr>
        <w:pStyle w:val="Heading1"/>
        <w:numPr>
          <w:ilvl w:val="0"/>
          <w:numId w:val="8"/>
        </w:numPr>
        <w:tabs>
          <w:tab w:val="left" w:pos="709"/>
        </w:tabs>
        <w:ind w:left="709" w:hanging="720"/>
        <w:rPr>
          <w:rFonts w:asciiTheme="minorBidi" w:hAnsiTheme="minorBidi" w:cstheme="minorBidi"/>
          <w:szCs w:val="22"/>
          <w:lang w:val="es-ES_tradnl"/>
        </w:rPr>
      </w:pPr>
      <w:bookmarkStart w:id="168" w:name="_ADOPTION_OF_RESOLUTIONS"/>
      <w:bookmarkStart w:id="169" w:name="_Toc289696468"/>
      <w:bookmarkStart w:id="170" w:name="_Toc357517573"/>
      <w:bookmarkStart w:id="171" w:name="_Toc358657316"/>
      <w:bookmarkStart w:id="172" w:name="_Toc415051587"/>
      <w:bookmarkStart w:id="173" w:name="_Toc445908065"/>
      <w:bookmarkStart w:id="174" w:name="_Toc57369058"/>
      <w:bookmarkStart w:id="175" w:name="_Toc85469077"/>
      <w:bookmarkStart w:id="176" w:name="_Toc115256332"/>
      <w:bookmarkEnd w:id="122"/>
      <w:bookmarkEnd w:id="123"/>
      <w:bookmarkEnd w:id="124"/>
      <w:bookmarkEnd w:id="125"/>
      <w:bookmarkEnd w:id="126"/>
      <w:bookmarkEnd w:id="127"/>
      <w:bookmarkEnd w:id="128"/>
      <w:bookmarkEnd w:id="166"/>
      <w:bookmarkEnd w:id="167"/>
      <w:bookmarkEnd w:id="168"/>
      <w:r w:rsidRPr="002F4384">
        <w:rPr>
          <w:rFonts w:asciiTheme="minorBidi" w:hAnsiTheme="minorBidi" w:cstheme="minorBidi"/>
          <w:szCs w:val="22"/>
          <w:lang w:val="es-ES_tradnl"/>
        </w:rPr>
        <w:t>CLAUSURA</w:t>
      </w:r>
      <w:bookmarkEnd w:id="169"/>
      <w:bookmarkEnd w:id="170"/>
      <w:bookmarkEnd w:id="171"/>
      <w:bookmarkEnd w:id="172"/>
      <w:bookmarkEnd w:id="173"/>
      <w:bookmarkEnd w:id="174"/>
      <w:bookmarkEnd w:id="175"/>
      <w:bookmarkEnd w:id="176"/>
    </w:p>
    <w:p w14:paraId="3F3E121B" w14:textId="330B2AAF" w:rsidR="004E6E30" w:rsidRPr="002F4384" w:rsidRDefault="00667651"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Consejo Ejecutivo se reunió en plenaria durante </w:t>
      </w:r>
      <w:r w:rsidR="00427EEE" w:rsidRPr="002F4384">
        <w:rPr>
          <w:rFonts w:asciiTheme="minorBidi" w:hAnsiTheme="minorBidi" w:cstheme="minorBidi"/>
          <w:lang w:val="es-ES_tradnl"/>
        </w:rPr>
        <w:t xml:space="preserve">3,5 </w:t>
      </w:r>
      <w:r w:rsidRPr="002F4384">
        <w:rPr>
          <w:rFonts w:asciiTheme="minorBidi" w:hAnsiTheme="minorBidi" w:cstheme="minorBidi"/>
          <w:lang w:val="es-ES_tradnl"/>
        </w:rPr>
        <w:t xml:space="preserve">días, del </w:t>
      </w:r>
      <w:r w:rsidR="00427EEE" w:rsidRPr="002F4384">
        <w:rPr>
          <w:rFonts w:asciiTheme="minorBidi" w:hAnsiTheme="minorBidi" w:cstheme="minorBidi"/>
          <w:lang w:val="es-ES_tradnl"/>
        </w:rPr>
        <w:t xml:space="preserve">14 </w:t>
      </w:r>
      <w:r w:rsidRPr="002F4384">
        <w:rPr>
          <w:rFonts w:asciiTheme="minorBidi" w:hAnsiTheme="minorBidi" w:cstheme="minorBidi"/>
          <w:lang w:val="es-ES_tradnl"/>
        </w:rPr>
        <w:t xml:space="preserve">al </w:t>
      </w:r>
      <w:r w:rsidR="00427EEE" w:rsidRPr="002F4384">
        <w:rPr>
          <w:rFonts w:asciiTheme="minorBidi" w:hAnsiTheme="minorBidi" w:cstheme="minorBidi"/>
          <w:lang w:val="es-ES_tradnl"/>
        </w:rPr>
        <w:t xml:space="preserve">17 </w:t>
      </w:r>
      <w:r w:rsidRPr="002F4384">
        <w:rPr>
          <w:rFonts w:asciiTheme="minorBidi" w:hAnsiTheme="minorBidi" w:cstheme="minorBidi"/>
          <w:lang w:val="es-ES_tradnl"/>
        </w:rPr>
        <w:t xml:space="preserve">de junio de 2022, examinó </w:t>
      </w:r>
      <w:r w:rsidR="00427EEE" w:rsidRPr="002F4384">
        <w:rPr>
          <w:rFonts w:asciiTheme="minorBidi" w:hAnsiTheme="minorBidi" w:cstheme="minorBidi"/>
          <w:lang w:val="es-ES_tradnl"/>
        </w:rPr>
        <w:t xml:space="preserve">18 </w:t>
      </w:r>
      <w:r w:rsidRPr="002F4384">
        <w:rPr>
          <w:rFonts w:asciiTheme="minorBidi" w:hAnsiTheme="minorBidi" w:cstheme="minorBidi"/>
          <w:lang w:val="es-ES_tradnl"/>
        </w:rPr>
        <w:t xml:space="preserve">puntos de su orden del día y </w:t>
      </w:r>
      <w:r w:rsidR="00427EEE" w:rsidRPr="002F4384">
        <w:rPr>
          <w:rFonts w:asciiTheme="minorBidi" w:hAnsiTheme="minorBidi" w:cstheme="minorBidi"/>
          <w:lang w:val="es-ES_tradnl"/>
        </w:rPr>
        <w:t xml:space="preserve">aprobó 11 </w:t>
      </w:r>
      <w:r w:rsidRPr="002F4384">
        <w:rPr>
          <w:rFonts w:asciiTheme="minorBidi" w:hAnsiTheme="minorBidi" w:cstheme="minorBidi"/>
          <w:lang w:val="es-ES_tradnl"/>
        </w:rPr>
        <w:t>decisiones y</w:t>
      </w:r>
      <w:r w:rsidR="00427EEE" w:rsidRPr="002F4384">
        <w:rPr>
          <w:rFonts w:asciiTheme="minorBidi" w:hAnsiTheme="minorBidi" w:cstheme="minorBidi"/>
          <w:lang w:val="es-ES_tradnl"/>
        </w:rPr>
        <w:t xml:space="preserve"> dos </w:t>
      </w:r>
      <w:r w:rsidRPr="002F4384">
        <w:rPr>
          <w:rFonts w:asciiTheme="minorBidi" w:hAnsiTheme="minorBidi" w:cstheme="minorBidi"/>
          <w:lang w:val="es-ES_tradnl"/>
        </w:rPr>
        <w:t xml:space="preserve">resoluciones. </w:t>
      </w:r>
      <w:r w:rsidR="00427EEE" w:rsidRPr="002F4384">
        <w:rPr>
          <w:rFonts w:asciiTheme="minorBidi" w:hAnsiTheme="minorBidi" w:cstheme="minorBidi"/>
          <w:lang w:val="es-ES_tradnl"/>
        </w:rPr>
        <w:t>La sesión plenaria estuvo complementada por ocho reuniones paralelas y una reunión de información paralela organizada por el Canadá sobre la bomba de carbono biogeoquímica del Atlántico Norte.</w:t>
      </w:r>
      <w:r w:rsidR="0083596B" w:rsidRPr="002F4384">
        <w:rPr>
          <w:rFonts w:asciiTheme="minorBidi" w:hAnsiTheme="minorBidi" w:cstheme="minorBidi"/>
          <w:lang w:val="es-ES_tradnl"/>
        </w:rPr>
        <w:t xml:space="preserve"> Las sesiones plenarias se transmitieron en el sitio web de la COI en cuatro idiomas, pero no permitieron la participación a distancia en los debates.</w:t>
      </w:r>
    </w:p>
    <w:p w14:paraId="61A4B653" w14:textId="6F06BE3C" w:rsidR="0083596B" w:rsidRPr="002F4384" w:rsidRDefault="0083596B"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En sus observaciones finales, el Presidente y el Secretario Ejecutivo agradecieron a los miembros de la Mesa y a las delegaciones que habían tenido que hacer frente a unas condiciones todavía difíciles para estar representados en esta reunión.</w:t>
      </w:r>
      <w:r w:rsidR="00415A0B" w:rsidRPr="002F4384">
        <w:rPr>
          <w:rFonts w:asciiTheme="minorBidi" w:hAnsiTheme="minorBidi" w:cstheme="minorBidi"/>
          <w:lang w:val="es-ES_tradnl"/>
        </w:rPr>
        <w:t xml:space="preserve"> A pesar de todas las circunstancias, la COI estaba haciendo avanzar la planificación y gestión sostenibles de los océanos. Se apoyaba cada vez más en su comunidad de expertos y en el compromiso de las partes interesadas nacionales y las organizaciones asociadas a fin de fortalecer la estrategia para el océano que necesitamos y el futuro que queremos.</w:t>
      </w:r>
    </w:p>
    <w:p w14:paraId="70BCEE0B" w14:textId="6416E57E" w:rsidR="00415A0B" w:rsidRPr="002F4384" w:rsidRDefault="00415A0B"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El Presidente de la Comisión dio las gracias a todos los que trabajaban entre bastidores, especialmente a los numerosos servicios de la UNESCO y a los miembros de la Secretaría que habían hecho posible esta reunión.</w:t>
      </w:r>
    </w:p>
    <w:p w14:paraId="4B495AD1" w14:textId="4E713C9D" w:rsidR="007A5F2E" w:rsidRPr="002F4384" w:rsidRDefault="004E6E30" w:rsidP="005C3715">
      <w:pPr>
        <w:pStyle w:val="Style2"/>
        <w:numPr>
          <w:ilvl w:val="0"/>
          <w:numId w:val="7"/>
        </w:numPr>
        <w:tabs>
          <w:tab w:val="left" w:pos="709"/>
        </w:tabs>
        <w:ind w:left="0" w:hanging="567"/>
        <w:rPr>
          <w:rFonts w:asciiTheme="minorBidi" w:hAnsiTheme="minorBidi" w:cstheme="minorBidi"/>
          <w:lang w:val="es-ES_tradnl"/>
        </w:rPr>
      </w:pPr>
      <w:r w:rsidRPr="002F4384">
        <w:rPr>
          <w:rFonts w:asciiTheme="minorBidi" w:hAnsiTheme="minorBidi" w:cstheme="minorBidi"/>
          <w:lang w:val="es-ES_tradnl"/>
        </w:rPr>
        <w:t xml:space="preserve">El Presidente de la Comisión clausuró la 55ª reunión del Consejo Ejecutivo a las </w:t>
      </w:r>
      <w:r w:rsidR="00415A0B" w:rsidRPr="002F4384">
        <w:rPr>
          <w:rFonts w:asciiTheme="minorBidi" w:hAnsiTheme="minorBidi" w:cstheme="minorBidi"/>
          <w:lang w:val="es-ES_tradnl"/>
        </w:rPr>
        <w:t xml:space="preserve">12:22 </w:t>
      </w:r>
      <w:r w:rsidRPr="002F4384">
        <w:rPr>
          <w:rFonts w:asciiTheme="minorBidi" w:hAnsiTheme="minorBidi" w:cstheme="minorBidi"/>
          <w:lang w:val="es-ES_tradnl"/>
        </w:rPr>
        <w:t>horas (hora de París)</w:t>
      </w:r>
      <w:r w:rsidR="00415A0B" w:rsidRPr="002F4384">
        <w:rPr>
          <w:rFonts w:asciiTheme="minorBidi" w:hAnsiTheme="minorBidi" w:cstheme="minorBidi"/>
          <w:lang w:val="es-ES_tradnl"/>
        </w:rPr>
        <w:t xml:space="preserve"> el 17 de junio de 2022</w:t>
      </w:r>
      <w:r w:rsidRPr="002F4384">
        <w:rPr>
          <w:rFonts w:asciiTheme="minorBidi" w:hAnsiTheme="minorBidi" w:cstheme="minorBidi"/>
          <w:lang w:val="es-ES_tradnl"/>
        </w:rPr>
        <w:t>.</w:t>
      </w:r>
    </w:p>
    <w:sectPr w:rsidR="007A5F2E" w:rsidRPr="002F4384" w:rsidSect="007D1CCB">
      <w:headerReference w:type="even" r:id="rId22"/>
      <w:headerReference w:type="default" r:id="rId23"/>
      <w:headerReference w:type="first" r:id="rId24"/>
      <w:type w:val="oddPage"/>
      <w:pgSz w:w="11907" w:h="16840" w:code="9"/>
      <w:pgMar w:top="1418" w:right="1134" w:bottom="1389" w:left="1134" w:header="851"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5D355" w14:textId="77777777" w:rsidR="00D47BE7" w:rsidRDefault="00D47BE7">
      <w:r>
        <w:separator/>
      </w:r>
    </w:p>
  </w:endnote>
  <w:endnote w:type="continuationSeparator" w:id="0">
    <w:p w14:paraId="4B1F0F11" w14:textId="77777777" w:rsidR="00D47BE7" w:rsidRDefault="00D4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albaum Display Light">
    <w:charset w:val="00"/>
    <w:family w:val="roman"/>
    <w:pitch w:val="variable"/>
    <w:sig w:usb0="8000002F" w:usb1="0000000A" w:usb2="00000000" w:usb3="00000000" w:csb0="00000001"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l?r ??fc"/>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9A85" w14:textId="77777777" w:rsidR="00237CA1" w:rsidRDefault="00237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43F2" w14:textId="77777777" w:rsidR="00D47BE7" w:rsidRDefault="00D47BE7">
      <w:r>
        <w:separator/>
      </w:r>
    </w:p>
  </w:footnote>
  <w:footnote w:type="continuationSeparator" w:id="0">
    <w:p w14:paraId="0EEC2E59" w14:textId="77777777" w:rsidR="00D47BE7" w:rsidRDefault="00D47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E262" w14:textId="77777777" w:rsidR="00237CA1" w:rsidRPr="009F4FAB" w:rsidRDefault="00237CA1">
    <w:pPr>
      <w:pStyle w:val="Header"/>
      <w:tabs>
        <w:tab w:val="clear" w:pos="8306"/>
      </w:tabs>
      <w:rPr>
        <w:rStyle w:val="PageNumber"/>
        <w:rFonts w:ascii="Arial" w:hAnsi="Arial" w:cs="Arial"/>
        <w:sz w:val="20"/>
        <w:szCs w:val="20"/>
      </w:rPr>
    </w:pPr>
    <w:r w:rsidRPr="009F4FAB">
      <w:rPr>
        <w:rFonts w:ascii="Arial" w:hAnsi="Arial" w:cs="Arial"/>
        <w:sz w:val="20"/>
        <w:szCs w:val="20"/>
      </w:rPr>
      <w:t>IOC-XXIV/2</w:t>
    </w:r>
    <w:r>
      <w:rPr>
        <w:rFonts w:ascii="Arial" w:hAnsi="Arial" w:cs="Arial"/>
        <w:sz w:val="20"/>
        <w:szCs w:val="20"/>
      </w:rPr>
      <w:t xml:space="preserve"> – </w:t>
    </w:r>
    <w:r w:rsidRPr="009F4FAB">
      <w:rPr>
        <w:rFonts w:ascii="Arial" w:hAnsi="Arial" w:cs="Arial"/>
        <w:sz w:val="20"/>
        <w:szCs w:val="20"/>
      </w:rPr>
      <w:t xml:space="preserve">Page </w:t>
    </w:r>
    <w:r w:rsidRPr="009F4FAB">
      <w:rPr>
        <w:rStyle w:val="PageNumber"/>
        <w:rFonts w:ascii="Arial" w:hAnsi="Arial" w:cs="Arial"/>
        <w:sz w:val="20"/>
        <w:szCs w:val="20"/>
      </w:rPr>
      <w:fldChar w:fldCharType="begin"/>
    </w:r>
    <w:r w:rsidRPr="009F4FAB">
      <w:rPr>
        <w:rStyle w:val="PageNumber"/>
        <w:rFonts w:ascii="Arial" w:hAnsi="Arial" w:cs="Arial"/>
        <w:sz w:val="20"/>
        <w:szCs w:val="20"/>
      </w:rPr>
      <w:instrText xml:space="preserve"> </w:instrText>
    </w:r>
    <w:r>
      <w:rPr>
        <w:rStyle w:val="PageNumber"/>
        <w:rFonts w:ascii="Arial" w:hAnsi="Arial" w:cs="Arial"/>
        <w:sz w:val="20"/>
        <w:szCs w:val="20"/>
      </w:rPr>
      <w:instrText>PAGE</w:instrText>
    </w:r>
    <w:r w:rsidRPr="009F4FAB">
      <w:rPr>
        <w:rStyle w:val="PageNumber"/>
        <w:rFonts w:ascii="Arial" w:hAnsi="Arial" w:cs="Arial"/>
        <w:sz w:val="20"/>
        <w:szCs w:val="20"/>
      </w:rPr>
      <w:instrText xml:space="preserve"> </w:instrText>
    </w:r>
    <w:r w:rsidRPr="009F4FAB">
      <w:rPr>
        <w:rStyle w:val="PageNumber"/>
        <w:rFonts w:ascii="Arial" w:hAnsi="Arial" w:cs="Arial"/>
        <w:sz w:val="20"/>
        <w:szCs w:val="20"/>
      </w:rPr>
      <w:fldChar w:fldCharType="separate"/>
    </w:r>
    <w:r>
      <w:rPr>
        <w:rStyle w:val="PageNumber"/>
        <w:rFonts w:ascii="Arial" w:hAnsi="Arial" w:cs="Arial"/>
        <w:noProof/>
        <w:sz w:val="20"/>
        <w:szCs w:val="20"/>
      </w:rPr>
      <w:t>2</w:t>
    </w:r>
    <w:r w:rsidRPr="009F4FAB">
      <w:rPr>
        <w:rStyle w:val="PageNumber"/>
        <w:rFonts w:ascii="Arial" w:hAnsi="Arial" w:cs="Arial"/>
        <w:sz w:val="20"/>
        <w:szCs w:val="20"/>
      </w:rPr>
      <w:fldChar w:fldCharType="end"/>
    </w:r>
  </w:p>
  <w:p w14:paraId="4BB38086" w14:textId="77777777" w:rsidR="00237CA1" w:rsidRPr="009F4FAB" w:rsidRDefault="00237CA1">
    <w:pPr>
      <w:pStyle w:val="Header"/>
      <w:tabs>
        <w:tab w:val="clear" w:pos="8306"/>
      </w:tabs>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8C8C" w14:textId="692F1FFC" w:rsidR="00237CA1" w:rsidRPr="00400E24" w:rsidRDefault="00237CA1" w:rsidP="0028091E">
    <w:pPr>
      <w:pStyle w:val="Marge"/>
      <w:tabs>
        <w:tab w:val="left" w:pos="6379"/>
      </w:tabs>
      <w:spacing w:after="0"/>
      <w:rPr>
        <w:rFonts w:ascii="Arial" w:hAnsi="Arial" w:cs="Arial"/>
        <w:b/>
        <w:sz w:val="32"/>
        <w:szCs w:val="32"/>
        <w:lang w:val="es-ES"/>
      </w:rPr>
    </w:pPr>
    <w:r w:rsidRPr="00A01FFD">
      <w:rPr>
        <w:rFonts w:ascii="Arial" w:hAnsi="Arial" w:cs="Arial"/>
        <w:sz w:val="22"/>
        <w:szCs w:val="22"/>
        <w:lang w:val="es-ES"/>
      </w:rPr>
      <w:t>Distribución limitada</w:t>
    </w:r>
    <w:r w:rsidRPr="00A01FFD">
      <w:rPr>
        <w:rFonts w:ascii="Arial" w:hAnsi="Arial" w:cs="Arial"/>
        <w:sz w:val="22"/>
        <w:szCs w:val="22"/>
        <w:lang w:val="es-ES"/>
      </w:rPr>
      <w:tab/>
    </w:r>
    <w:r w:rsidRPr="00400E24">
      <w:rPr>
        <w:rFonts w:ascii="Arial" w:hAnsi="Arial" w:cs="Arial"/>
        <w:b/>
        <w:bCs/>
        <w:sz w:val="32"/>
        <w:szCs w:val="32"/>
        <w:lang w:val="es-ES"/>
      </w:rPr>
      <w:t>IOC/EC-55/</w:t>
    </w:r>
    <w:r>
      <w:rPr>
        <w:rFonts w:ascii="Arial" w:hAnsi="Arial" w:cs="Arial"/>
        <w:b/>
        <w:bCs/>
        <w:sz w:val="32"/>
        <w:szCs w:val="32"/>
        <w:lang w:val="es-ES"/>
      </w:rPr>
      <w:t>SR Prov.</w:t>
    </w:r>
  </w:p>
  <w:p w14:paraId="2998B652" w14:textId="03D1038F" w:rsidR="00237CA1" w:rsidRPr="00FC215C" w:rsidRDefault="00237CA1" w:rsidP="001D229D">
    <w:pPr>
      <w:tabs>
        <w:tab w:val="left" w:pos="6379"/>
      </w:tabs>
      <w:jc w:val="both"/>
      <w:rPr>
        <w:rFonts w:ascii="Arial" w:hAnsi="Arial" w:cs="Arial"/>
        <w:sz w:val="22"/>
        <w:szCs w:val="22"/>
        <w:lang w:val="es-ES"/>
      </w:rPr>
    </w:pPr>
    <w:r>
      <w:rPr>
        <w:noProof/>
        <w:lang w:eastAsia="fr-FR"/>
      </w:rPr>
      <w:drawing>
        <wp:anchor distT="0" distB="0" distL="114300" distR="114300" simplePos="0" relativeHeight="251657728" behindDoc="0" locked="0" layoutInCell="1" allowOverlap="1" wp14:anchorId="772A5073" wp14:editId="4CBAD623">
          <wp:simplePos x="0" y="0"/>
          <wp:positionH relativeFrom="column">
            <wp:posOffset>-46990</wp:posOffset>
          </wp:positionH>
          <wp:positionV relativeFrom="paragraph">
            <wp:posOffset>155575</wp:posOffset>
          </wp:positionV>
          <wp:extent cx="1578610" cy="1047115"/>
          <wp:effectExtent l="0" t="0" r="0" b="0"/>
          <wp:wrapSquare wrapText="bothSides"/>
          <wp:docPr id="1" name="Picture 1" descr="Logo, company name&#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pic:spPr>
              </pic:pic>
            </a:graphicData>
          </a:graphic>
          <wp14:sizeRelH relativeFrom="page">
            <wp14:pctWidth>0</wp14:pctWidth>
          </wp14:sizeRelH>
          <wp14:sizeRelV relativeFrom="page">
            <wp14:pctHeight>0</wp14:pctHeight>
          </wp14:sizeRelV>
        </wp:anchor>
      </w:drawing>
    </w:r>
    <w:r w:rsidRPr="00A01FFD">
      <w:rPr>
        <w:rFonts w:ascii="Arial" w:hAnsi="Arial" w:cs="Arial"/>
        <w:sz w:val="22"/>
        <w:szCs w:val="22"/>
        <w:lang w:val="es-ES"/>
      </w:rPr>
      <w:tab/>
    </w:r>
    <w:r w:rsidRPr="00FC215C">
      <w:rPr>
        <w:rFonts w:ascii="Arial" w:hAnsi="Arial" w:cs="Arial"/>
        <w:sz w:val="22"/>
        <w:szCs w:val="22"/>
        <w:lang w:val="es-ES"/>
      </w:rPr>
      <w:t>París, 2</w:t>
    </w:r>
    <w:r>
      <w:rPr>
        <w:rFonts w:ascii="Arial" w:hAnsi="Arial" w:cs="Arial"/>
        <w:sz w:val="22"/>
        <w:szCs w:val="22"/>
        <w:lang w:val="es-ES"/>
      </w:rPr>
      <w:t>8</w:t>
    </w:r>
    <w:r w:rsidRPr="00FC215C">
      <w:rPr>
        <w:rFonts w:ascii="Arial" w:hAnsi="Arial" w:cs="Arial"/>
        <w:sz w:val="22"/>
        <w:szCs w:val="22"/>
        <w:lang w:val="es-ES"/>
      </w:rPr>
      <w:t xml:space="preserve"> de </w:t>
    </w:r>
    <w:r>
      <w:rPr>
        <w:rFonts w:ascii="Arial" w:hAnsi="Arial" w:cs="Arial"/>
        <w:sz w:val="22"/>
        <w:szCs w:val="22"/>
        <w:lang w:val="es-ES"/>
      </w:rPr>
      <w:t>junio</w:t>
    </w:r>
    <w:r w:rsidRPr="00FC215C">
      <w:rPr>
        <w:rFonts w:ascii="Arial" w:hAnsi="Arial" w:cs="Arial"/>
        <w:sz w:val="22"/>
        <w:szCs w:val="22"/>
        <w:lang w:val="es-ES"/>
      </w:rPr>
      <w:t xml:space="preserve"> de 2022</w:t>
    </w:r>
  </w:p>
  <w:p w14:paraId="62972AFF" w14:textId="7328CFEF" w:rsidR="00237CA1" w:rsidRPr="00FC215C" w:rsidRDefault="00237CA1" w:rsidP="001D229D">
    <w:pPr>
      <w:tabs>
        <w:tab w:val="left" w:pos="6379"/>
      </w:tabs>
      <w:jc w:val="both"/>
      <w:rPr>
        <w:rFonts w:ascii="Arial" w:hAnsi="Arial" w:cs="Arial"/>
        <w:sz w:val="22"/>
        <w:szCs w:val="22"/>
        <w:lang w:val="es-ES"/>
      </w:rPr>
    </w:pPr>
    <w:r w:rsidRPr="00FC215C">
      <w:rPr>
        <w:rFonts w:ascii="Arial" w:hAnsi="Arial" w:cs="Arial"/>
        <w:sz w:val="22"/>
        <w:szCs w:val="22"/>
        <w:lang w:val="es-ES"/>
      </w:rPr>
      <w:tab/>
      <w:t>Original: inglés</w:t>
    </w:r>
  </w:p>
  <w:p w14:paraId="5C597637" w14:textId="77777777" w:rsidR="00237CA1" w:rsidRPr="00A01FFD" w:rsidRDefault="00237CA1" w:rsidP="00B46127">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 w:val="22"/>
        <w:szCs w:val="22"/>
        <w:lang w:val="es-ES"/>
      </w:rPr>
    </w:pPr>
  </w:p>
  <w:p w14:paraId="6F19064D" w14:textId="77777777" w:rsidR="00237CA1" w:rsidRPr="00A01FFD" w:rsidRDefault="00237CA1" w:rsidP="00B46127">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 w:val="22"/>
        <w:szCs w:val="22"/>
        <w:lang w:val="es-ES"/>
      </w:rPr>
    </w:pPr>
  </w:p>
  <w:p w14:paraId="2E13AE83" w14:textId="77777777" w:rsidR="00237CA1" w:rsidRPr="00A01FFD" w:rsidRDefault="00237CA1" w:rsidP="00B46127">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441A98DA" w14:textId="77777777" w:rsidR="00237CA1" w:rsidRPr="00A01FFD" w:rsidRDefault="00237CA1" w:rsidP="00B46127">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4B66C50D" w14:textId="38945A37" w:rsidR="00237CA1" w:rsidRDefault="00237CA1" w:rsidP="00B46127">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2E55BD15" w14:textId="2A43A4F3" w:rsidR="001D229D" w:rsidRDefault="001D229D" w:rsidP="00B46127">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001BBB59" w14:textId="77777777" w:rsidR="001D229D" w:rsidRPr="00A01FFD" w:rsidRDefault="001D229D" w:rsidP="00B46127">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40A2661B" w14:textId="77777777" w:rsidR="00237CA1" w:rsidRPr="00A01FFD" w:rsidRDefault="00237CA1" w:rsidP="00B4612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r w:rsidRPr="00A01FFD">
      <w:rPr>
        <w:rFonts w:ascii="Arial" w:hAnsi="Arial" w:cs="Arial"/>
        <w:b/>
        <w:bCs/>
        <w:sz w:val="22"/>
        <w:szCs w:val="22"/>
        <w:lang w:val="es-ES"/>
      </w:rPr>
      <w:t>COMISIÓN OCEANOGRÁFICA INTERGUBERNAMENTAL</w:t>
    </w:r>
  </w:p>
  <w:p w14:paraId="3133E03E" w14:textId="77777777" w:rsidR="00237CA1" w:rsidRPr="00A01FFD" w:rsidRDefault="00237CA1" w:rsidP="00B46127">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lang w:val="es-ES"/>
      </w:rPr>
    </w:pPr>
    <w:r w:rsidRPr="00A01FFD">
      <w:rPr>
        <w:rFonts w:ascii="Arial" w:hAnsi="Arial" w:cs="Arial"/>
        <w:sz w:val="22"/>
        <w:szCs w:val="22"/>
        <w:lang w:val="es-ES"/>
      </w:rPr>
      <w:t>(de la UNESCO)</w:t>
    </w:r>
  </w:p>
  <w:p w14:paraId="2E2E7A79" w14:textId="77777777" w:rsidR="00237CA1" w:rsidRPr="00A01FFD" w:rsidRDefault="00237CA1" w:rsidP="00B4612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p>
  <w:p w14:paraId="481D4687" w14:textId="77777777" w:rsidR="00237CA1" w:rsidRPr="00A01FFD" w:rsidRDefault="00237CA1" w:rsidP="00B46127">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sz w:val="22"/>
        <w:szCs w:val="22"/>
        <w:lang w:val="es-ES"/>
      </w:rPr>
    </w:pPr>
    <w:r w:rsidRPr="00A01FFD">
      <w:rPr>
        <w:rFonts w:ascii="Arial" w:hAnsi="Arial" w:cs="Arial"/>
        <w:b/>
        <w:bCs/>
        <w:sz w:val="22"/>
        <w:szCs w:val="22"/>
        <w:lang w:val="es-ES"/>
      </w:rPr>
      <w:t>55ª reunión del Consejo Ejecutivo</w:t>
    </w:r>
  </w:p>
  <w:p w14:paraId="26278954" w14:textId="77777777" w:rsidR="00237CA1" w:rsidRPr="00A01FFD" w:rsidRDefault="00237CA1" w:rsidP="00B4612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r w:rsidRPr="00A01FFD">
      <w:rPr>
        <w:rFonts w:ascii="Arial" w:hAnsi="Arial" w:cs="Arial"/>
        <w:sz w:val="22"/>
        <w:szCs w:val="22"/>
        <w:lang w:val="es-ES"/>
      </w:rPr>
      <w:t>UNESCO, París, 14-17 de junio de 2022</w:t>
    </w:r>
  </w:p>
  <w:p w14:paraId="55CC1EA6" w14:textId="77777777" w:rsidR="00237CA1" w:rsidRPr="00A01FFD" w:rsidRDefault="00237CA1" w:rsidP="00B46127">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sz w:val="22"/>
        <w:szCs w:val="22"/>
        <w:lang w:val="es-ES"/>
      </w:rPr>
    </w:pPr>
  </w:p>
  <w:p w14:paraId="12C0BCEB" w14:textId="77777777" w:rsidR="00237CA1" w:rsidRPr="00A01FFD" w:rsidRDefault="00237CA1" w:rsidP="00B46127">
    <w:pPr>
      <w:jc w:val="center"/>
      <w:rPr>
        <w:rFonts w:ascii="Arial" w:hAnsi="Arial" w:cs="Arial"/>
        <w:sz w:val="22"/>
        <w:szCs w:val="22"/>
        <w:lang w:val="es-ES"/>
      </w:rPr>
    </w:pPr>
  </w:p>
  <w:p w14:paraId="638770F0" w14:textId="77777777" w:rsidR="00237CA1" w:rsidRPr="00A01FFD" w:rsidRDefault="00237CA1" w:rsidP="00FA0F10">
    <w:pPr>
      <w:jc w:val="center"/>
      <w:rPr>
        <w:rFonts w:ascii="Arial" w:hAnsi="Arial" w:cs="Arial"/>
        <w:sz w:val="22"/>
        <w:szCs w:val="22"/>
        <w:lang w:val="es-ES"/>
      </w:rPr>
    </w:pPr>
  </w:p>
  <w:p w14:paraId="5E04922F" w14:textId="77777777" w:rsidR="00237CA1" w:rsidRPr="00A01FFD" w:rsidRDefault="00237CA1" w:rsidP="00FA0F10">
    <w:pPr>
      <w:jc w:val="center"/>
      <w:rPr>
        <w:rFonts w:ascii="Arial" w:hAnsi="Arial" w:cs="Arial"/>
        <w:sz w:val="22"/>
        <w:szCs w:val="22"/>
        <w:lang w:val="es-ES"/>
      </w:rPr>
    </w:pPr>
  </w:p>
  <w:p w14:paraId="7068FD99" w14:textId="77777777" w:rsidR="00237CA1" w:rsidRPr="00A01FFD" w:rsidRDefault="00237CA1" w:rsidP="008B7757">
    <w:pPr>
      <w:rPr>
        <w:rFonts w:ascii="Arial" w:hAnsi="Arial" w:cs="Arial"/>
        <w:sz w:val="22"/>
        <w:szCs w:val="22"/>
        <w:lang w:val="es-ES"/>
      </w:rPr>
    </w:pPr>
  </w:p>
  <w:p w14:paraId="541C7489" w14:textId="1D703E7A" w:rsidR="00237CA1" w:rsidRPr="00AE3190" w:rsidRDefault="00237CA1" w:rsidP="0028091E">
    <w:pPr>
      <w:jc w:val="center"/>
      <w:rPr>
        <w:rFonts w:ascii="Arial" w:hAnsi="Arial" w:cs="Arial"/>
        <w:b/>
        <w:bCs/>
        <w:caps/>
        <w:sz w:val="22"/>
        <w:szCs w:val="22"/>
      </w:rPr>
    </w:pPr>
    <w:r w:rsidRPr="00AE3190">
      <w:rPr>
        <w:rFonts w:ascii="Arial" w:hAnsi="Arial" w:cs="Arial"/>
        <w:b/>
        <w:bCs/>
        <w:caps/>
        <w:sz w:val="22"/>
        <w:szCs w:val="22"/>
      </w:rPr>
      <w:t>INFORME RESUMIDO</w:t>
    </w:r>
  </w:p>
  <w:p w14:paraId="5119F752" w14:textId="00772AC1" w:rsidR="00237CA1" w:rsidRDefault="00237CA1" w:rsidP="0028091E">
    <w:pPr>
      <w:pStyle w:val="Header"/>
      <w:jc w:val="center"/>
      <w:rPr>
        <w:rFonts w:ascii="Arial" w:hAnsi="Arial" w:cs="Arial"/>
        <w:sz w:val="22"/>
        <w:szCs w:val="22"/>
      </w:rPr>
    </w:pPr>
  </w:p>
  <w:p w14:paraId="76AFCCE8" w14:textId="5154D339" w:rsidR="001D229D" w:rsidRDefault="001D229D" w:rsidP="0028091E">
    <w:pPr>
      <w:pStyle w:val="Header"/>
      <w:jc w:val="center"/>
      <w:rPr>
        <w:rFonts w:ascii="Arial" w:hAnsi="Arial" w:cs="Arial"/>
        <w:sz w:val="22"/>
        <w:szCs w:val="22"/>
      </w:rPr>
    </w:pPr>
  </w:p>
  <w:p w14:paraId="3E380926" w14:textId="77777777" w:rsidR="001D229D" w:rsidRPr="00A01FFD" w:rsidRDefault="001D229D" w:rsidP="0028091E">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D5C8" w14:textId="7C77D8FC" w:rsidR="00237CA1" w:rsidRPr="00400E24" w:rsidRDefault="00237CA1" w:rsidP="00400E24">
    <w:pPr>
      <w:pStyle w:val="Header"/>
      <w:tabs>
        <w:tab w:val="clear" w:pos="4153"/>
        <w:tab w:val="clear" w:pos="8306"/>
        <w:tab w:val="center" w:pos="3690"/>
      </w:tabs>
      <w:ind w:firstLine="90"/>
      <w:jc w:val="center"/>
      <w:rPr>
        <w:rFonts w:ascii="Arial" w:hAnsi="Arial" w:cs="Arial"/>
        <w:sz w:val="22"/>
        <w:szCs w:val="22"/>
      </w:rPr>
    </w:pPr>
    <w:r w:rsidRPr="00400E24">
      <w:rPr>
        <w:rFonts w:ascii="Arial" w:hAnsi="Arial" w:cs="Arial"/>
        <w:sz w:val="22"/>
        <w:szCs w:val="22"/>
      </w:rPr>
      <w:t xml:space="preserve">- </w:t>
    </w:r>
    <w:r w:rsidRPr="00400E24">
      <w:rPr>
        <w:rFonts w:ascii="Arial" w:hAnsi="Arial" w:cs="Arial"/>
        <w:sz w:val="22"/>
        <w:szCs w:val="22"/>
      </w:rPr>
      <w:fldChar w:fldCharType="begin"/>
    </w:r>
    <w:r w:rsidRPr="00400E24">
      <w:rPr>
        <w:rFonts w:ascii="Arial" w:hAnsi="Arial" w:cs="Arial"/>
        <w:sz w:val="22"/>
        <w:szCs w:val="22"/>
      </w:rPr>
      <w:instrText xml:space="preserve"> PAGE   \* MERGEFORMAT </w:instrText>
    </w:r>
    <w:r w:rsidRPr="00400E24">
      <w:rPr>
        <w:rFonts w:ascii="Arial" w:hAnsi="Arial" w:cs="Arial"/>
        <w:sz w:val="22"/>
        <w:szCs w:val="22"/>
      </w:rPr>
      <w:fldChar w:fldCharType="separate"/>
    </w:r>
    <w:r w:rsidRPr="00400E24">
      <w:rPr>
        <w:rFonts w:ascii="Arial" w:hAnsi="Arial" w:cs="Arial"/>
        <w:sz w:val="22"/>
        <w:szCs w:val="22"/>
      </w:rPr>
      <w:t>i</w:t>
    </w:r>
    <w:r w:rsidRPr="00400E24">
      <w:rPr>
        <w:rFonts w:ascii="Arial" w:hAnsi="Arial" w:cs="Arial"/>
        <w:noProof/>
        <w:sz w:val="22"/>
        <w:szCs w:val="22"/>
      </w:rPr>
      <w:fldChar w:fldCharType="end"/>
    </w:r>
    <w:r w:rsidRPr="00400E24">
      <w:rPr>
        <w:rFonts w:ascii="Arial" w:hAnsi="Arial" w:cs="Arial"/>
        <w:noProof/>
        <w:sz w:val="22"/>
        <w:szCs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367A" w14:textId="1CCC403F" w:rsidR="00237CA1" w:rsidRPr="00400E24" w:rsidRDefault="00237CA1" w:rsidP="00400E24">
    <w:pPr>
      <w:pStyle w:val="Header"/>
      <w:tabs>
        <w:tab w:val="clear" w:pos="4153"/>
        <w:tab w:val="clear" w:pos="8306"/>
        <w:tab w:val="center" w:pos="3690"/>
      </w:tabs>
      <w:ind w:firstLine="90"/>
      <w:jc w:val="center"/>
      <w:rPr>
        <w:rStyle w:val="PageNumber"/>
        <w:rFonts w:ascii="Arial" w:hAnsi="Arial" w:cs="Arial"/>
        <w:sz w:val="22"/>
        <w:szCs w:val="22"/>
        <w:lang w:val="en-US"/>
      </w:rPr>
    </w:pPr>
    <w:r w:rsidRPr="00400E24">
      <w:rPr>
        <w:rFonts w:ascii="Arial" w:hAnsi="Arial" w:cs="Arial"/>
        <w:sz w:val="22"/>
        <w:szCs w:val="22"/>
      </w:rPr>
      <w:t xml:space="preserve">- </w:t>
    </w:r>
    <w:r w:rsidRPr="00400E24">
      <w:rPr>
        <w:rFonts w:ascii="Arial" w:hAnsi="Arial" w:cs="Arial"/>
        <w:sz w:val="22"/>
        <w:szCs w:val="22"/>
      </w:rPr>
      <w:fldChar w:fldCharType="begin"/>
    </w:r>
    <w:r w:rsidRPr="00400E24">
      <w:rPr>
        <w:rFonts w:ascii="Arial" w:hAnsi="Arial" w:cs="Arial"/>
        <w:sz w:val="22"/>
        <w:szCs w:val="22"/>
      </w:rPr>
      <w:instrText xml:space="preserve"> PAGE   \* MERGEFORMAT </w:instrText>
    </w:r>
    <w:r w:rsidRPr="00400E24">
      <w:rPr>
        <w:rFonts w:ascii="Arial" w:hAnsi="Arial" w:cs="Arial"/>
        <w:sz w:val="22"/>
        <w:szCs w:val="22"/>
      </w:rPr>
      <w:fldChar w:fldCharType="separate"/>
    </w:r>
    <w:r w:rsidRPr="00400E24">
      <w:rPr>
        <w:rFonts w:ascii="Arial" w:hAnsi="Arial" w:cs="Arial"/>
        <w:noProof/>
        <w:sz w:val="22"/>
        <w:szCs w:val="22"/>
      </w:rPr>
      <w:t>i</w:t>
    </w:r>
    <w:r w:rsidRPr="00400E24">
      <w:rPr>
        <w:rFonts w:ascii="Arial" w:hAnsi="Arial" w:cs="Arial"/>
        <w:noProof/>
        <w:sz w:val="22"/>
        <w:szCs w:val="22"/>
      </w:rPr>
      <w:fldChar w:fldCharType="end"/>
    </w:r>
    <w:r w:rsidRPr="00400E24">
      <w:rPr>
        <w:rFonts w:ascii="Arial" w:hAnsi="Arial" w:cs="Arial"/>
        <w:noProof/>
        <w:sz w:val="22"/>
        <w:szCs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EC07" w14:textId="77777777" w:rsidR="00237CA1" w:rsidRDefault="00237C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4F0D" w14:textId="7E467A53" w:rsidR="00237CA1" w:rsidRPr="00400E24" w:rsidRDefault="001D229D" w:rsidP="001D229D">
    <w:pPr>
      <w:pStyle w:val="Header"/>
      <w:widowControl w:val="0"/>
      <w:tabs>
        <w:tab w:val="left" w:pos="567"/>
      </w:tabs>
      <w:snapToGrid w:val="0"/>
      <w:spacing w:after="240"/>
      <w:jc w:val="both"/>
      <w:textAlignment w:val="baseline"/>
      <w:rPr>
        <w:rFonts w:asciiTheme="minorBidi" w:hAnsiTheme="minorBidi" w:cstheme="minorBidi"/>
        <w:sz w:val="22"/>
        <w:lang w:val="es-ES_tradnl"/>
      </w:rPr>
    </w:pPr>
    <w:r w:rsidRPr="002958F7">
      <w:rPr>
        <w:rFonts w:asciiTheme="minorBidi" w:hAnsiTheme="minorBidi" w:cstheme="minorBidi"/>
        <w:sz w:val="22"/>
        <w:lang w:val="pt-PT"/>
      </w:rPr>
      <w:t>IOC/EC-55/SR Prov.</w:t>
    </w:r>
    <w:r w:rsidR="00237CA1" w:rsidRPr="002958F7">
      <w:rPr>
        <w:rFonts w:asciiTheme="minorBidi" w:hAnsiTheme="minorBidi" w:cstheme="minorBidi"/>
        <w:sz w:val="22"/>
        <w:lang w:val="pt-PT"/>
      </w:rPr>
      <w:t xml:space="preserve"> – pág. </w:t>
    </w:r>
    <w:r w:rsidR="00237CA1" w:rsidRPr="00400E24">
      <w:rPr>
        <w:rFonts w:asciiTheme="minorBidi" w:hAnsiTheme="minorBidi" w:cstheme="minorBidi"/>
        <w:sz w:val="22"/>
        <w:lang w:val="es-ES_tradnl"/>
      </w:rPr>
      <w:fldChar w:fldCharType="begin"/>
    </w:r>
    <w:r w:rsidR="00237CA1" w:rsidRPr="002958F7">
      <w:rPr>
        <w:rFonts w:asciiTheme="minorBidi" w:hAnsiTheme="minorBidi" w:cstheme="minorBidi"/>
        <w:sz w:val="22"/>
        <w:lang w:val="pt-PT"/>
      </w:rPr>
      <w:instrText xml:space="preserve"> PAGE </w:instrText>
    </w:r>
    <w:r w:rsidR="00237CA1" w:rsidRPr="00400E24">
      <w:rPr>
        <w:rFonts w:asciiTheme="minorBidi" w:hAnsiTheme="minorBidi" w:cstheme="minorBidi"/>
        <w:sz w:val="22"/>
        <w:lang w:val="es-ES_tradnl"/>
      </w:rPr>
      <w:fldChar w:fldCharType="separate"/>
    </w:r>
    <w:r w:rsidR="00237CA1" w:rsidRPr="002958F7">
      <w:rPr>
        <w:rFonts w:asciiTheme="minorBidi" w:hAnsiTheme="minorBidi" w:cstheme="minorBidi"/>
        <w:noProof/>
        <w:sz w:val="22"/>
        <w:lang w:val="pt-PT"/>
      </w:rPr>
      <w:t>2</w:t>
    </w:r>
    <w:r w:rsidR="00237CA1" w:rsidRPr="00400E24">
      <w:rPr>
        <w:rFonts w:asciiTheme="minorBidi" w:hAnsiTheme="minorBidi" w:cstheme="minorBidi"/>
        <w:noProof/>
        <w:sz w:val="22"/>
        <w:lang w:val="es-ES_tradnl"/>
      </w:rPr>
      <w:t>8</w:t>
    </w:r>
    <w:r w:rsidR="00237CA1" w:rsidRPr="00400E24">
      <w:rPr>
        <w:rFonts w:asciiTheme="minorBidi" w:hAnsiTheme="minorBidi" w:cstheme="minorBidi"/>
        <w:sz w:val="22"/>
        <w:lang w:val="es-ES_tradn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18E8" w14:textId="585C82E2" w:rsidR="00237CA1" w:rsidRPr="00400E24" w:rsidRDefault="001D229D" w:rsidP="001D229D">
    <w:pPr>
      <w:pStyle w:val="Header"/>
      <w:widowControl w:val="0"/>
      <w:tabs>
        <w:tab w:val="left" w:pos="567"/>
      </w:tabs>
      <w:snapToGrid w:val="0"/>
      <w:spacing w:after="240"/>
      <w:jc w:val="right"/>
      <w:textAlignment w:val="baseline"/>
      <w:rPr>
        <w:rFonts w:asciiTheme="minorBidi" w:hAnsiTheme="minorBidi" w:cstheme="minorBidi"/>
        <w:sz w:val="22"/>
        <w:lang w:val="es-ES_tradnl"/>
      </w:rPr>
    </w:pPr>
    <w:r w:rsidRPr="002958F7">
      <w:rPr>
        <w:rFonts w:asciiTheme="minorBidi" w:hAnsiTheme="minorBidi" w:cstheme="minorBidi"/>
        <w:sz w:val="22"/>
        <w:lang w:val="pt-PT"/>
      </w:rPr>
      <w:t>IOC/EC-55/SR Prov.</w:t>
    </w:r>
    <w:r w:rsidR="00237CA1" w:rsidRPr="002958F7">
      <w:rPr>
        <w:rFonts w:asciiTheme="minorBidi" w:hAnsiTheme="minorBidi" w:cstheme="minorBidi"/>
        <w:sz w:val="22"/>
        <w:lang w:val="pt-PT"/>
      </w:rPr>
      <w:t xml:space="preserve"> – pág. </w:t>
    </w:r>
    <w:r w:rsidR="00237CA1" w:rsidRPr="00400E24">
      <w:rPr>
        <w:rFonts w:asciiTheme="minorBidi" w:hAnsiTheme="minorBidi" w:cstheme="minorBidi"/>
        <w:sz w:val="22"/>
        <w:lang w:val="es-ES_tradnl"/>
      </w:rPr>
      <w:fldChar w:fldCharType="begin"/>
    </w:r>
    <w:r w:rsidR="00237CA1" w:rsidRPr="002958F7">
      <w:rPr>
        <w:rFonts w:asciiTheme="minorBidi" w:hAnsiTheme="minorBidi" w:cstheme="minorBidi"/>
        <w:sz w:val="22"/>
        <w:lang w:val="pt-PT"/>
      </w:rPr>
      <w:instrText xml:space="preserve"> PAGE </w:instrText>
    </w:r>
    <w:r w:rsidR="00237CA1" w:rsidRPr="00400E24">
      <w:rPr>
        <w:rFonts w:asciiTheme="minorBidi" w:hAnsiTheme="minorBidi" w:cstheme="minorBidi"/>
        <w:sz w:val="22"/>
        <w:lang w:val="es-ES_tradnl"/>
      </w:rPr>
      <w:fldChar w:fldCharType="separate"/>
    </w:r>
    <w:r w:rsidR="00237CA1" w:rsidRPr="002958F7">
      <w:rPr>
        <w:rFonts w:asciiTheme="minorBidi" w:hAnsiTheme="minorBidi" w:cstheme="minorBidi"/>
        <w:noProof/>
        <w:sz w:val="22"/>
        <w:lang w:val="pt-PT"/>
      </w:rPr>
      <w:t>3</w:t>
    </w:r>
    <w:r w:rsidR="00237CA1" w:rsidRPr="00400E24">
      <w:rPr>
        <w:rFonts w:asciiTheme="minorBidi" w:hAnsiTheme="minorBidi" w:cstheme="minorBidi"/>
        <w:noProof/>
        <w:sz w:val="22"/>
        <w:lang w:val="es-ES_tradnl"/>
      </w:rPr>
      <w:t>5</w:t>
    </w:r>
    <w:r w:rsidR="00237CA1" w:rsidRPr="00400E24">
      <w:rPr>
        <w:rFonts w:asciiTheme="minorBidi" w:hAnsiTheme="minorBidi" w:cstheme="minorBidi"/>
        <w:sz w:val="22"/>
        <w:lang w:val="es-ES_tradn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5917" w14:textId="7039FBEF" w:rsidR="00237CA1" w:rsidRPr="001D229D" w:rsidRDefault="001D229D" w:rsidP="001D229D">
    <w:pPr>
      <w:pStyle w:val="Header"/>
      <w:widowControl w:val="0"/>
      <w:tabs>
        <w:tab w:val="left" w:pos="567"/>
      </w:tabs>
      <w:snapToGrid w:val="0"/>
      <w:spacing w:after="240"/>
      <w:jc w:val="right"/>
      <w:textAlignment w:val="baseline"/>
    </w:pPr>
    <w:r w:rsidRPr="001D229D">
      <w:rPr>
        <w:rFonts w:asciiTheme="minorBidi" w:hAnsiTheme="minorBidi" w:cstheme="minorBidi"/>
        <w:sz w:val="22"/>
        <w:lang w:val="en-GB"/>
      </w:rPr>
      <w:t>IOC/EC-55/SR Prov.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9B2CF1"/>
    <w:multiLevelType w:val="hybridMultilevel"/>
    <w:tmpl w:val="1AD0E8CA"/>
    <w:lvl w:ilvl="0" w:tplc="EEE45D30">
      <w:start w:val="1"/>
      <w:numFmt w:val="lowerRoman"/>
      <w:lvlText w:val="%1)"/>
      <w:lvlJc w:val="left"/>
      <w:pPr>
        <w:ind w:left="1211" w:hanging="360"/>
      </w:pPr>
      <w:rPr>
        <w:rFonts w:hint="default"/>
        <w:b w:val="0"/>
        <w:bCs w:val="0"/>
        <w:i w:val="0"/>
        <w:iCs w:val="0"/>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 w15:restartNumberingAfterBreak="0">
    <w:nsid w:val="0C66605E"/>
    <w:multiLevelType w:val="hybridMultilevel"/>
    <w:tmpl w:val="07B29866"/>
    <w:lvl w:ilvl="0" w:tplc="8B76B7C6">
      <w:start w:val="1"/>
      <w:numFmt w:val="decimal"/>
      <w:lvlText w:val="%1."/>
      <w:lvlJc w:val="left"/>
      <w:pPr>
        <w:ind w:left="153" w:hanging="360"/>
      </w:pPr>
      <w:rPr>
        <w:rFonts w:ascii="Arial" w:hAnsi="Arial" w:hint="default"/>
        <w:b w:val="0"/>
        <w:bCs w:val="0"/>
        <w:i w:val="0"/>
        <w:iCs/>
        <w:sz w:val="22"/>
        <w:szCs w:val="22"/>
      </w:rPr>
    </w:lvl>
    <w:lvl w:ilvl="1" w:tplc="EEE45D30">
      <w:start w:val="1"/>
      <w:numFmt w:val="lowerRoman"/>
      <w:lvlText w:val="%2)"/>
      <w:lvlJc w:val="left"/>
      <w:pPr>
        <w:ind w:left="873" w:hanging="360"/>
      </w:pPr>
      <w:rPr>
        <w:rFonts w:hint="default"/>
        <w:b w:val="0"/>
        <w:bCs w:val="0"/>
        <w:i w:val="0"/>
        <w:iCs w:val="0"/>
        <w:caps w:val="0"/>
        <w:strike w:val="0"/>
        <w:dstrike w:val="0"/>
        <w:vanish w:val="0"/>
        <w:sz w:val="22"/>
        <w:szCs w:val="22"/>
        <w:vertAlign w:val="baseline"/>
      </w:rPr>
    </w:lvl>
    <w:lvl w:ilvl="2" w:tplc="040C001B">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3" w15:restartNumberingAfterBreak="0">
    <w:nsid w:val="0E6F7C14"/>
    <w:multiLevelType w:val="hybridMultilevel"/>
    <w:tmpl w:val="C2C0BF74"/>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0552EB6"/>
    <w:multiLevelType w:val="hybridMultilevel"/>
    <w:tmpl w:val="5EEAB2B0"/>
    <w:lvl w:ilvl="0" w:tplc="A58ED3EC">
      <w:start w:val="1"/>
      <w:numFmt w:val="bullet"/>
      <w:lvlText w:val="-"/>
      <w:lvlJc w:val="left"/>
      <w:pPr>
        <w:ind w:left="1211" w:hanging="360"/>
      </w:pPr>
      <w:rPr>
        <w:rFonts w:ascii="Walbaum Display Light" w:hAnsi="Walbaum Display Light" w:hint="default"/>
        <w:i/>
        <w:sz w:val="22"/>
        <w:szCs w:val="22"/>
      </w:rPr>
    </w:lvl>
    <w:lvl w:ilvl="1" w:tplc="C44C0CDE">
      <w:start w:val="1"/>
      <w:numFmt w:val="lowerLetter"/>
      <w:lvlText w:val="%2."/>
      <w:lvlJc w:val="left"/>
      <w:pPr>
        <w:ind w:left="1931" w:hanging="360"/>
      </w:pPr>
    </w:lvl>
    <w:lvl w:ilvl="2" w:tplc="0AE0B5BC">
      <w:start w:val="1"/>
      <w:numFmt w:val="lowerRoman"/>
      <w:lvlText w:val="%3."/>
      <w:lvlJc w:val="right"/>
      <w:pPr>
        <w:ind w:left="2651" w:hanging="180"/>
      </w:pPr>
    </w:lvl>
    <w:lvl w:ilvl="3" w:tplc="7E0AE5DE" w:tentative="1">
      <w:start w:val="1"/>
      <w:numFmt w:val="decimal"/>
      <w:lvlText w:val="%4."/>
      <w:lvlJc w:val="left"/>
      <w:pPr>
        <w:ind w:left="3371" w:hanging="360"/>
      </w:pPr>
    </w:lvl>
    <w:lvl w:ilvl="4" w:tplc="00586AF0" w:tentative="1">
      <w:start w:val="1"/>
      <w:numFmt w:val="lowerLetter"/>
      <w:lvlText w:val="%5."/>
      <w:lvlJc w:val="left"/>
      <w:pPr>
        <w:ind w:left="4091" w:hanging="360"/>
      </w:pPr>
    </w:lvl>
    <w:lvl w:ilvl="5" w:tplc="FFF6036A" w:tentative="1">
      <w:start w:val="1"/>
      <w:numFmt w:val="lowerRoman"/>
      <w:lvlText w:val="%6."/>
      <w:lvlJc w:val="right"/>
      <w:pPr>
        <w:ind w:left="4811" w:hanging="180"/>
      </w:pPr>
    </w:lvl>
    <w:lvl w:ilvl="6" w:tplc="510478AE" w:tentative="1">
      <w:start w:val="1"/>
      <w:numFmt w:val="decimal"/>
      <w:lvlText w:val="%7."/>
      <w:lvlJc w:val="left"/>
      <w:pPr>
        <w:ind w:left="5531" w:hanging="360"/>
      </w:pPr>
    </w:lvl>
    <w:lvl w:ilvl="7" w:tplc="1382CD26" w:tentative="1">
      <w:start w:val="1"/>
      <w:numFmt w:val="lowerLetter"/>
      <w:lvlText w:val="%8."/>
      <w:lvlJc w:val="left"/>
      <w:pPr>
        <w:ind w:left="6251" w:hanging="360"/>
      </w:pPr>
    </w:lvl>
    <w:lvl w:ilvl="8" w:tplc="AFE4711A" w:tentative="1">
      <w:start w:val="1"/>
      <w:numFmt w:val="lowerRoman"/>
      <w:lvlText w:val="%9."/>
      <w:lvlJc w:val="right"/>
      <w:pPr>
        <w:ind w:left="6971" w:hanging="180"/>
      </w:pPr>
    </w:lvl>
  </w:abstractNum>
  <w:abstractNum w:abstractNumId="5" w15:restartNumberingAfterBreak="0">
    <w:nsid w:val="1C494513"/>
    <w:multiLevelType w:val="hybridMultilevel"/>
    <w:tmpl w:val="3F168D6C"/>
    <w:lvl w:ilvl="0" w:tplc="E7CE87F6">
      <w:start w:val="1"/>
      <w:numFmt w:val="bullet"/>
      <w:lvlText w:val="-"/>
      <w:lvlJc w:val="left"/>
      <w:pPr>
        <w:ind w:left="1211" w:hanging="360"/>
      </w:pPr>
      <w:rPr>
        <w:rFonts w:ascii="Walbaum Display Light" w:hAnsi="Walbaum Display Light" w:hint="default"/>
        <w:i/>
        <w:sz w:val="22"/>
        <w:szCs w:val="22"/>
      </w:rPr>
    </w:lvl>
    <w:lvl w:ilvl="1" w:tplc="524C81D6">
      <w:start w:val="1"/>
      <w:numFmt w:val="lowerLetter"/>
      <w:lvlText w:val="%2."/>
      <w:lvlJc w:val="left"/>
      <w:pPr>
        <w:ind w:left="1931" w:hanging="360"/>
      </w:pPr>
    </w:lvl>
    <w:lvl w:ilvl="2" w:tplc="92B6D8F0">
      <w:start w:val="1"/>
      <w:numFmt w:val="lowerRoman"/>
      <w:lvlText w:val="%3."/>
      <w:lvlJc w:val="right"/>
      <w:pPr>
        <w:ind w:left="2651" w:hanging="180"/>
      </w:pPr>
    </w:lvl>
    <w:lvl w:ilvl="3" w:tplc="1E7E0B24" w:tentative="1">
      <w:start w:val="1"/>
      <w:numFmt w:val="decimal"/>
      <w:lvlText w:val="%4."/>
      <w:lvlJc w:val="left"/>
      <w:pPr>
        <w:ind w:left="3371" w:hanging="360"/>
      </w:pPr>
    </w:lvl>
    <w:lvl w:ilvl="4" w:tplc="BE7E5BB2" w:tentative="1">
      <w:start w:val="1"/>
      <w:numFmt w:val="lowerLetter"/>
      <w:lvlText w:val="%5."/>
      <w:lvlJc w:val="left"/>
      <w:pPr>
        <w:ind w:left="4091" w:hanging="360"/>
      </w:pPr>
    </w:lvl>
    <w:lvl w:ilvl="5" w:tplc="4B9652A8" w:tentative="1">
      <w:start w:val="1"/>
      <w:numFmt w:val="lowerRoman"/>
      <w:lvlText w:val="%6."/>
      <w:lvlJc w:val="right"/>
      <w:pPr>
        <w:ind w:left="4811" w:hanging="180"/>
      </w:pPr>
    </w:lvl>
    <w:lvl w:ilvl="6" w:tplc="65FE4142" w:tentative="1">
      <w:start w:val="1"/>
      <w:numFmt w:val="decimal"/>
      <w:lvlText w:val="%7."/>
      <w:lvlJc w:val="left"/>
      <w:pPr>
        <w:ind w:left="5531" w:hanging="360"/>
      </w:pPr>
    </w:lvl>
    <w:lvl w:ilvl="7" w:tplc="063EB5DA" w:tentative="1">
      <w:start w:val="1"/>
      <w:numFmt w:val="lowerLetter"/>
      <w:lvlText w:val="%8."/>
      <w:lvlJc w:val="left"/>
      <w:pPr>
        <w:ind w:left="6251" w:hanging="360"/>
      </w:pPr>
    </w:lvl>
    <w:lvl w:ilvl="8" w:tplc="1A56944E" w:tentative="1">
      <w:start w:val="1"/>
      <w:numFmt w:val="lowerRoman"/>
      <w:lvlText w:val="%9."/>
      <w:lvlJc w:val="right"/>
      <w:pPr>
        <w:ind w:left="6971" w:hanging="180"/>
      </w:pPr>
    </w:lvl>
  </w:abstractNum>
  <w:abstractNum w:abstractNumId="6" w15:restartNumberingAfterBreak="0">
    <w:nsid w:val="25CB0D19"/>
    <w:multiLevelType w:val="hybridMultilevel"/>
    <w:tmpl w:val="78ACF6E6"/>
    <w:lvl w:ilvl="0" w:tplc="E558F76A">
      <w:start w:val="1"/>
      <w:numFmt w:val="bullet"/>
      <w:pStyle w:val="ListBullet2"/>
      <w:lvlText w:val=""/>
      <w:lvlJc w:val="left"/>
      <w:pPr>
        <w:tabs>
          <w:tab w:val="num" w:pos="851"/>
        </w:tabs>
        <w:ind w:left="851" w:hanging="284"/>
      </w:pPr>
      <w:rPr>
        <w:rFonts w:ascii="Symbol" w:hAnsi="Symbol" w:hint="default"/>
      </w:rPr>
    </w:lvl>
    <w:lvl w:ilvl="1" w:tplc="5478D524" w:tentative="1">
      <w:start w:val="1"/>
      <w:numFmt w:val="bullet"/>
      <w:lvlText w:val="o"/>
      <w:lvlJc w:val="left"/>
      <w:pPr>
        <w:tabs>
          <w:tab w:val="num" w:pos="1440"/>
        </w:tabs>
        <w:ind w:left="1440" w:hanging="360"/>
      </w:pPr>
      <w:rPr>
        <w:rFonts w:ascii="Courier New" w:hAnsi="Courier New" w:cs="Courier New" w:hint="default"/>
      </w:rPr>
    </w:lvl>
    <w:lvl w:ilvl="2" w:tplc="3C8AFF8A" w:tentative="1">
      <w:start w:val="1"/>
      <w:numFmt w:val="bullet"/>
      <w:lvlText w:val=""/>
      <w:lvlJc w:val="left"/>
      <w:pPr>
        <w:tabs>
          <w:tab w:val="num" w:pos="2160"/>
        </w:tabs>
        <w:ind w:left="2160" w:hanging="360"/>
      </w:pPr>
      <w:rPr>
        <w:rFonts w:ascii="Wingdings" w:hAnsi="Wingdings" w:hint="default"/>
      </w:rPr>
    </w:lvl>
    <w:lvl w:ilvl="3" w:tplc="09FC7F52" w:tentative="1">
      <w:start w:val="1"/>
      <w:numFmt w:val="bullet"/>
      <w:lvlText w:val=""/>
      <w:lvlJc w:val="left"/>
      <w:pPr>
        <w:tabs>
          <w:tab w:val="num" w:pos="2880"/>
        </w:tabs>
        <w:ind w:left="2880" w:hanging="360"/>
      </w:pPr>
      <w:rPr>
        <w:rFonts w:ascii="Symbol" w:hAnsi="Symbol" w:hint="default"/>
      </w:rPr>
    </w:lvl>
    <w:lvl w:ilvl="4" w:tplc="04BCDFCC" w:tentative="1">
      <w:start w:val="1"/>
      <w:numFmt w:val="bullet"/>
      <w:lvlText w:val="o"/>
      <w:lvlJc w:val="left"/>
      <w:pPr>
        <w:tabs>
          <w:tab w:val="num" w:pos="3600"/>
        </w:tabs>
        <w:ind w:left="3600" w:hanging="360"/>
      </w:pPr>
      <w:rPr>
        <w:rFonts w:ascii="Courier New" w:hAnsi="Courier New" w:cs="Courier New" w:hint="default"/>
      </w:rPr>
    </w:lvl>
    <w:lvl w:ilvl="5" w:tplc="2448399A" w:tentative="1">
      <w:start w:val="1"/>
      <w:numFmt w:val="bullet"/>
      <w:lvlText w:val=""/>
      <w:lvlJc w:val="left"/>
      <w:pPr>
        <w:tabs>
          <w:tab w:val="num" w:pos="4320"/>
        </w:tabs>
        <w:ind w:left="4320" w:hanging="360"/>
      </w:pPr>
      <w:rPr>
        <w:rFonts w:ascii="Wingdings" w:hAnsi="Wingdings" w:hint="default"/>
      </w:rPr>
    </w:lvl>
    <w:lvl w:ilvl="6" w:tplc="3216E254" w:tentative="1">
      <w:start w:val="1"/>
      <w:numFmt w:val="bullet"/>
      <w:lvlText w:val=""/>
      <w:lvlJc w:val="left"/>
      <w:pPr>
        <w:tabs>
          <w:tab w:val="num" w:pos="5040"/>
        </w:tabs>
        <w:ind w:left="5040" w:hanging="360"/>
      </w:pPr>
      <w:rPr>
        <w:rFonts w:ascii="Symbol" w:hAnsi="Symbol" w:hint="default"/>
      </w:rPr>
    </w:lvl>
    <w:lvl w:ilvl="7" w:tplc="609E2414" w:tentative="1">
      <w:start w:val="1"/>
      <w:numFmt w:val="bullet"/>
      <w:lvlText w:val="o"/>
      <w:lvlJc w:val="left"/>
      <w:pPr>
        <w:tabs>
          <w:tab w:val="num" w:pos="5760"/>
        </w:tabs>
        <w:ind w:left="5760" w:hanging="360"/>
      </w:pPr>
      <w:rPr>
        <w:rFonts w:ascii="Courier New" w:hAnsi="Courier New" w:cs="Courier New" w:hint="default"/>
      </w:rPr>
    </w:lvl>
    <w:lvl w:ilvl="8" w:tplc="5698665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F0343F"/>
    <w:multiLevelType w:val="hybridMultilevel"/>
    <w:tmpl w:val="ED8EDE94"/>
    <w:lvl w:ilvl="0" w:tplc="EEE45D30">
      <w:start w:val="1"/>
      <w:numFmt w:val="lowerRoman"/>
      <w:lvlText w:val="%1)"/>
      <w:lvlJc w:val="left"/>
      <w:pPr>
        <w:ind w:left="1848"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D491349"/>
    <w:multiLevelType w:val="hybridMultilevel"/>
    <w:tmpl w:val="52A861BC"/>
    <w:lvl w:ilvl="0" w:tplc="60B0B4DA">
      <w:start w:val="1"/>
      <w:numFmt w:val="decimal"/>
      <w:lvlText w:val="%1."/>
      <w:lvlJc w:val="left"/>
      <w:pPr>
        <w:ind w:left="1211" w:hanging="360"/>
      </w:pPr>
      <w:rPr>
        <w:rFonts w:ascii="Arial" w:hAnsi="Arial" w:cs="Arial" w:hint="default"/>
        <w:i/>
        <w:sz w:val="22"/>
        <w:szCs w:val="22"/>
      </w:rPr>
    </w:lvl>
    <w:lvl w:ilvl="1" w:tplc="B09CC5C8">
      <w:start w:val="1"/>
      <w:numFmt w:val="lowerLetter"/>
      <w:lvlText w:val="%2."/>
      <w:lvlJc w:val="left"/>
      <w:pPr>
        <w:ind w:left="1931" w:hanging="360"/>
      </w:pPr>
    </w:lvl>
    <w:lvl w:ilvl="2" w:tplc="4028BD4C">
      <w:start w:val="1"/>
      <w:numFmt w:val="lowerRoman"/>
      <w:lvlText w:val="%3."/>
      <w:lvlJc w:val="right"/>
      <w:pPr>
        <w:ind w:left="2651" w:hanging="180"/>
      </w:pPr>
    </w:lvl>
    <w:lvl w:ilvl="3" w:tplc="7BE0C0D8" w:tentative="1">
      <w:start w:val="1"/>
      <w:numFmt w:val="decimal"/>
      <w:lvlText w:val="%4."/>
      <w:lvlJc w:val="left"/>
      <w:pPr>
        <w:ind w:left="3371" w:hanging="360"/>
      </w:pPr>
    </w:lvl>
    <w:lvl w:ilvl="4" w:tplc="A7969E68" w:tentative="1">
      <w:start w:val="1"/>
      <w:numFmt w:val="lowerLetter"/>
      <w:lvlText w:val="%5."/>
      <w:lvlJc w:val="left"/>
      <w:pPr>
        <w:ind w:left="4091" w:hanging="360"/>
      </w:pPr>
    </w:lvl>
    <w:lvl w:ilvl="5" w:tplc="6652F52A" w:tentative="1">
      <w:start w:val="1"/>
      <w:numFmt w:val="lowerRoman"/>
      <w:lvlText w:val="%6."/>
      <w:lvlJc w:val="right"/>
      <w:pPr>
        <w:ind w:left="4811" w:hanging="180"/>
      </w:pPr>
    </w:lvl>
    <w:lvl w:ilvl="6" w:tplc="DB469382" w:tentative="1">
      <w:start w:val="1"/>
      <w:numFmt w:val="decimal"/>
      <w:lvlText w:val="%7."/>
      <w:lvlJc w:val="left"/>
      <w:pPr>
        <w:ind w:left="5531" w:hanging="360"/>
      </w:pPr>
    </w:lvl>
    <w:lvl w:ilvl="7" w:tplc="51020E42" w:tentative="1">
      <w:start w:val="1"/>
      <w:numFmt w:val="lowerLetter"/>
      <w:lvlText w:val="%8."/>
      <w:lvlJc w:val="left"/>
      <w:pPr>
        <w:ind w:left="6251" w:hanging="360"/>
      </w:pPr>
    </w:lvl>
    <w:lvl w:ilvl="8" w:tplc="4992BBCA" w:tentative="1">
      <w:start w:val="1"/>
      <w:numFmt w:val="lowerRoman"/>
      <w:lvlText w:val="%9."/>
      <w:lvlJc w:val="right"/>
      <w:pPr>
        <w:ind w:left="6971" w:hanging="180"/>
      </w:pPr>
    </w:lvl>
  </w:abstractNum>
  <w:abstractNum w:abstractNumId="9" w15:restartNumberingAfterBreak="0">
    <w:nsid w:val="325E6BCE"/>
    <w:multiLevelType w:val="hybridMultilevel"/>
    <w:tmpl w:val="2AA44296"/>
    <w:lvl w:ilvl="0" w:tplc="EEE45D30">
      <w:start w:val="1"/>
      <w:numFmt w:val="lowerRoman"/>
      <w:lvlText w:val="%1)"/>
      <w:lvlJc w:val="left"/>
      <w:pPr>
        <w:ind w:left="720" w:hanging="360"/>
      </w:pPr>
      <w:rPr>
        <w:rFonts w:hint="default"/>
        <w:b w:val="0"/>
        <w:bCs w:val="0"/>
        <w:i w:val="0"/>
        <w:iCs w:val="0"/>
        <w:caps w:val="0"/>
        <w:strike w:val="0"/>
        <w:dstrike w:val="0"/>
        <w:vanish w:val="0"/>
        <w:sz w:val="22"/>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33782"/>
    <w:multiLevelType w:val="multilevel"/>
    <w:tmpl w:val="22125D7A"/>
    <w:lvl w:ilvl="0">
      <w:start w:val="2"/>
      <w:numFmt w:val="decimal"/>
      <w:lvlText w:val="%1"/>
      <w:lvlJc w:val="left"/>
      <w:pPr>
        <w:ind w:left="360" w:hanging="360"/>
      </w:pPr>
      <w:rPr>
        <w:rFonts w:hint="default"/>
        <w:b/>
        <w:sz w:val="22"/>
      </w:rPr>
    </w:lvl>
    <w:lvl w:ilvl="1">
      <w:start w:val="1"/>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b/>
        <w:sz w:val="22"/>
      </w:rPr>
    </w:lvl>
    <w:lvl w:ilvl="3">
      <w:start w:val="1"/>
      <w:numFmt w:val="decimal"/>
      <w:lvlText w:val="%1.%2.%3.%4"/>
      <w:lvlJc w:val="left"/>
      <w:pPr>
        <w:ind w:left="2847" w:hanging="720"/>
      </w:pPr>
      <w:rPr>
        <w:rFonts w:hint="default"/>
        <w:b w:val="0"/>
        <w:sz w:val="22"/>
      </w:rPr>
    </w:lvl>
    <w:lvl w:ilvl="4">
      <w:start w:val="1"/>
      <w:numFmt w:val="decimal"/>
      <w:lvlText w:val="%1.%2.%3.%4.%5"/>
      <w:lvlJc w:val="left"/>
      <w:pPr>
        <w:ind w:left="3916" w:hanging="1080"/>
      </w:pPr>
      <w:rPr>
        <w:rFonts w:hint="default"/>
        <w:b w:val="0"/>
        <w:sz w:val="22"/>
      </w:rPr>
    </w:lvl>
    <w:lvl w:ilvl="5">
      <w:start w:val="1"/>
      <w:numFmt w:val="decimal"/>
      <w:lvlText w:val="%1.%2.%3.%4.%5.%6"/>
      <w:lvlJc w:val="left"/>
      <w:pPr>
        <w:ind w:left="4625" w:hanging="1080"/>
      </w:pPr>
      <w:rPr>
        <w:rFonts w:hint="default"/>
        <w:b w:val="0"/>
        <w:sz w:val="22"/>
      </w:rPr>
    </w:lvl>
    <w:lvl w:ilvl="6">
      <w:start w:val="1"/>
      <w:numFmt w:val="decimal"/>
      <w:lvlText w:val="%1.%2.%3.%4.%5.%6.%7"/>
      <w:lvlJc w:val="left"/>
      <w:pPr>
        <w:ind w:left="5694" w:hanging="1440"/>
      </w:pPr>
      <w:rPr>
        <w:rFonts w:hint="default"/>
        <w:b w:val="0"/>
        <w:sz w:val="22"/>
      </w:rPr>
    </w:lvl>
    <w:lvl w:ilvl="7">
      <w:start w:val="1"/>
      <w:numFmt w:val="decimal"/>
      <w:lvlText w:val="%1.%2.%3.%4.%5.%6.%7.%8"/>
      <w:lvlJc w:val="left"/>
      <w:pPr>
        <w:ind w:left="6403" w:hanging="1440"/>
      </w:pPr>
      <w:rPr>
        <w:rFonts w:hint="default"/>
        <w:b w:val="0"/>
        <w:sz w:val="22"/>
      </w:rPr>
    </w:lvl>
    <w:lvl w:ilvl="8">
      <w:start w:val="1"/>
      <w:numFmt w:val="decimal"/>
      <w:lvlText w:val="%1.%2.%3.%4.%5.%6.%7.%8.%9"/>
      <w:lvlJc w:val="left"/>
      <w:pPr>
        <w:ind w:left="7472" w:hanging="1800"/>
      </w:pPr>
      <w:rPr>
        <w:rFonts w:hint="default"/>
        <w:b w:val="0"/>
        <w:sz w:val="22"/>
      </w:rPr>
    </w:lvl>
  </w:abstractNum>
  <w:abstractNum w:abstractNumId="11" w15:restartNumberingAfterBreak="0">
    <w:nsid w:val="36396FF4"/>
    <w:multiLevelType w:val="multilevel"/>
    <w:tmpl w:val="CE48273E"/>
    <w:lvl w:ilvl="0">
      <w:start w:val="1"/>
      <w:numFmt w:val="decimal"/>
      <w:lvlText w:val="%1."/>
      <w:lvlJc w:val="left"/>
      <w:pPr>
        <w:ind w:left="360" w:hanging="360"/>
      </w:pPr>
      <w:rPr>
        <w:rFonts w:ascii="Arial" w:hAnsi="Arial" w:hint="default"/>
        <w:b/>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6A46450"/>
    <w:multiLevelType w:val="hybridMultilevel"/>
    <w:tmpl w:val="C11007C2"/>
    <w:lvl w:ilvl="0" w:tplc="EEE45D30">
      <w:start w:val="1"/>
      <w:numFmt w:val="lowerRoman"/>
      <w:lvlText w:val="%1)"/>
      <w:lvlJc w:val="left"/>
      <w:pPr>
        <w:ind w:left="1848"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EE801B0"/>
    <w:multiLevelType w:val="hybridMultilevel"/>
    <w:tmpl w:val="DE72602C"/>
    <w:lvl w:ilvl="0" w:tplc="2DAA417E">
      <w:start w:val="1"/>
      <w:numFmt w:val="bullet"/>
      <w:pStyle w:val="TIRETbul1cm"/>
      <w:lvlText w:val=""/>
      <w:lvlJc w:val="left"/>
      <w:pPr>
        <w:tabs>
          <w:tab w:val="num" w:pos="644"/>
        </w:tabs>
        <w:ind w:left="284" w:firstLine="0"/>
      </w:pPr>
      <w:rPr>
        <w:rFonts w:ascii="Symbol" w:hAnsi="Symbol" w:hint="default"/>
      </w:rPr>
    </w:lvl>
    <w:lvl w:ilvl="1" w:tplc="E8A0C1C4" w:tentative="1">
      <w:start w:val="1"/>
      <w:numFmt w:val="bullet"/>
      <w:lvlText w:val="o"/>
      <w:lvlJc w:val="left"/>
      <w:pPr>
        <w:tabs>
          <w:tab w:val="num" w:pos="1440"/>
        </w:tabs>
        <w:ind w:left="1440" w:hanging="360"/>
      </w:pPr>
      <w:rPr>
        <w:rFonts w:ascii="Courier New" w:hAnsi="Courier New" w:cs="Arial" w:hint="default"/>
      </w:rPr>
    </w:lvl>
    <w:lvl w:ilvl="2" w:tplc="F2C881C2" w:tentative="1">
      <w:start w:val="1"/>
      <w:numFmt w:val="bullet"/>
      <w:lvlText w:val=""/>
      <w:lvlJc w:val="left"/>
      <w:pPr>
        <w:tabs>
          <w:tab w:val="num" w:pos="2160"/>
        </w:tabs>
        <w:ind w:left="2160" w:hanging="360"/>
      </w:pPr>
      <w:rPr>
        <w:rFonts w:ascii="Wingdings" w:hAnsi="Wingdings" w:hint="default"/>
      </w:rPr>
    </w:lvl>
    <w:lvl w:ilvl="3" w:tplc="7AD60894" w:tentative="1">
      <w:start w:val="1"/>
      <w:numFmt w:val="bullet"/>
      <w:lvlText w:val=""/>
      <w:lvlJc w:val="left"/>
      <w:pPr>
        <w:tabs>
          <w:tab w:val="num" w:pos="2880"/>
        </w:tabs>
        <w:ind w:left="2880" w:hanging="360"/>
      </w:pPr>
      <w:rPr>
        <w:rFonts w:ascii="Symbol" w:hAnsi="Symbol" w:hint="default"/>
      </w:rPr>
    </w:lvl>
    <w:lvl w:ilvl="4" w:tplc="65909A44" w:tentative="1">
      <w:start w:val="1"/>
      <w:numFmt w:val="bullet"/>
      <w:lvlText w:val="o"/>
      <w:lvlJc w:val="left"/>
      <w:pPr>
        <w:tabs>
          <w:tab w:val="num" w:pos="3600"/>
        </w:tabs>
        <w:ind w:left="3600" w:hanging="360"/>
      </w:pPr>
      <w:rPr>
        <w:rFonts w:ascii="Courier New" w:hAnsi="Courier New" w:cs="Arial" w:hint="default"/>
      </w:rPr>
    </w:lvl>
    <w:lvl w:ilvl="5" w:tplc="9B8E421E" w:tentative="1">
      <w:start w:val="1"/>
      <w:numFmt w:val="bullet"/>
      <w:lvlText w:val=""/>
      <w:lvlJc w:val="left"/>
      <w:pPr>
        <w:tabs>
          <w:tab w:val="num" w:pos="4320"/>
        </w:tabs>
        <w:ind w:left="4320" w:hanging="360"/>
      </w:pPr>
      <w:rPr>
        <w:rFonts w:ascii="Wingdings" w:hAnsi="Wingdings" w:hint="default"/>
      </w:rPr>
    </w:lvl>
    <w:lvl w:ilvl="6" w:tplc="DA8248DC" w:tentative="1">
      <w:start w:val="1"/>
      <w:numFmt w:val="bullet"/>
      <w:lvlText w:val=""/>
      <w:lvlJc w:val="left"/>
      <w:pPr>
        <w:tabs>
          <w:tab w:val="num" w:pos="5040"/>
        </w:tabs>
        <w:ind w:left="5040" w:hanging="360"/>
      </w:pPr>
      <w:rPr>
        <w:rFonts w:ascii="Symbol" w:hAnsi="Symbol" w:hint="default"/>
      </w:rPr>
    </w:lvl>
    <w:lvl w:ilvl="7" w:tplc="7D382F40" w:tentative="1">
      <w:start w:val="1"/>
      <w:numFmt w:val="bullet"/>
      <w:lvlText w:val="o"/>
      <w:lvlJc w:val="left"/>
      <w:pPr>
        <w:tabs>
          <w:tab w:val="num" w:pos="5760"/>
        </w:tabs>
        <w:ind w:left="5760" w:hanging="360"/>
      </w:pPr>
      <w:rPr>
        <w:rFonts w:ascii="Courier New" w:hAnsi="Courier New" w:cs="Arial" w:hint="default"/>
      </w:rPr>
    </w:lvl>
    <w:lvl w:ilvl="8" w:tplc="F80C6A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C0599B"/>
    <w:multiLevelType w:val="hybridMultilevel"/>
    <w:tmpl w:val="1C2620C6"/>
    <w:lvl w:ilvl="0" w:tplc="EEE45D30">
      <w:start w:val="1"/>
      <w:numFmt w:val="lowerRoman"/>
      <w:lvlText w:val="%1)"/>
      <w:lvlJc w:val="left"/>
      <w:pPr>
        <w:ind w:left="1848"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40485BFE"/>
    <w:multiLevelType w:val="hybridMultilevel"/>
    <w:tmpl w:val="040229D4"/>
    <w:lvl w:ilvl="0" w:tplc="EEE45D30">
      <w:start w:val="1"/>
      <w:numFmt w:val="lowerRoman"/>
      <w:lvlText w:val="%1)"/>
      <w:lvlJc w:val="left"/>
      <w:pPr>
        <w:ind w:left="1211" w:hanging="360"/>
      </w:pPr>
      <w:rPr>
        <w:rFonts w:hint="default"/>
        <w:b w:val="0"/>
        <w:bCs w:val="0"/>
        <w:i w:val="0"/>
        <w:iCs w:val="0"/>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6" w15:restartNumberingAfterBreak="0">
    <w:nsid w:val="5B506060"/>
    <w:multiLevelType w:val="hybridMultilevel"/>
    <w:tmpl w:val="36C204D8"/>
    <w:lvl w:ilvl="0" w:tplc="EEE45D30">
      <w:start w:val="1"/>
      <w:numFmt w:val="lowerRoman"/>
      <w:lvlText w:val="%1)"/>
      <w:lvlJc w:val="left"/>
      <w:pPr>
        <w:ind w:left="1848"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3542A3E"/>
    <w:multiLevelType w:val="hybridMultilevel"/>
    <w:tmpl w:val="FF9A6904"/>
    <w:lvl w:ilvl="0" w:tplc="19040B9C">
      <w:start w:val="1"/>
      <w:numFmt w:val="decimal"/>
      <w:pStyle w:val="Quick1"/>
      <w:lvlText w:val="%1"/>
      <w:lvlJc w:val="left"/>
      <w:pPr>
        <w:tabs>
          <w:tab w:val="num" w:pos="720"/>
        </w:tabs>
        <w:ind w:left="720" w:hanging="1440"/>
      </w:pPr>
      <w:rPr>
        <w:rFonts w:ascii="Times New Roman" w:hAnsi="Times New Roman" w:hint="default"/>
        <w:b w:val="0"/>
        <w:i/>
        <w:sz w:val="22"/>
      </w:rPr>
    </w:lvl>
    <w:lvl w:ilvl="1" w:tplc="DB5E51E6">
      <w:start w:val="4"/>
      <w:numFmt w:val="lowerRoman"/>
      <w:lvlText w:val="(%2)"/>
      <w:lvlJc w:val="left"/>
      <w:pPr>
        <w:tabs>
          <w:tab w:val="num" w:pos="1457"/>
        </w:tabs>
        <w:ind w:left="1304" w:hanging="567"/>
      </w:pPr>
      <w:rPr>
        <w:rFonts w:hint="default"/>
      </w:rPr>
    </w:lvl>
    <w:lvl w:ilvl="2" w:tplc="7310D0E0">
      <w:numFmt w:val="bullet"/>
      <w:lvlText w:val="-"/>
      <w:lvlJc w:val="left"/>
      <w:pPr>
        <w:tabs>
          <w:tab w:val="num" w:pos="4680"/>
        </w:tabs>
        <w:ind w:left="4680" w:hanging="1260"/>
      </w:pPr>
      <w:rPr>
        <w:rFonts w:ascii="Times New Roman" w:eastAsia="Times New Roman" w:hAnsi="Times New Roman" w:cs="Times New Roman" w:hint="default"/>
      </w:rPr>
    </w:lvl>
    <w:lvl w:ilvl="3" w:tplc="DFBAA1E4" w:tentative="1">
      <w:start w:val="1"/>
      <w:numFmt w:val="decimal"/>
      <w:lvlText w:val="%4."/>
      <w:lvlJc w:val="left"/>
      <w:pPr>
        <w:tabs>
          <w:tab w:val="num" w:pos="4320"/>
        </w:tabs>
        <w:ind w:left="4320" w:hanging="360"/>
      </w:pPr>
    </w:lvl>
    <w:lvl w:ilvl="4" w:tplc="24542F0E" w:tentative="1">
      <w:start w:val="1"/>
      <w:numFmt w:val="lowerLetter"/>
      <w:lvlText w:val="%5."/>
      <w:lvlJc w:val="left"/>
      <w:pPr>
        <w:tabs>
          <w:tab w:val="num" w:pos="5040"/>
        </w:tabs>
        <w:ind w:left="5040" w:hanging="360"/>
      </w:pPr>
    </w:lvl>
    <w:lvl w:ilvl="5" w:tplc="8138C7BE" w:tentative="1">
      <w:start w:val="1"/>
      <w:numFmt w:val="lowerRoman"/>
      <w:lvlText w:val="%6."/>
      <w:lvlJc w:val="right"/>
      <w:pPr>
        <w:tabs>
          <w:tab w:val="num" w:pos="5760"/>
        </w:tabs>
        <w:ind w:left="5760" w:hanging="180"/>
      </w:pPr>
    </w:lvl>
    <w:lvl w:ilvl="6" w:tplc="65C25C48" w:tentative="1">
      <w:start w:val="1"/>
      <w:numFmt w:val="decimal"/>
      <w:lvlText w:val="%7."/>
      <w:lvlJc w:val="left"/>
      <w:pPr>
        <w:tabs>
          <w:tab w:val="num" w:pos="6480"/>
        </w:tabs>
        <w:ind w:left="6480" w:hanging="360"/>
      </w:pPr>
    </w:lvl>
    <w:lvl w:ilvl="7" w:tplc="D43238C0" w:tentative="1">
      <w:start w:val="1"/>
      <w:numFmt w:val="lowerLetter"/>
      <w:lvlText w:val="%8."/>
      <w:lvlJc w:val="left"/>
      <w:pPr>
        <w:tabs>
          <w:tab w:val="num" w:pos="7200"/>
        </w:tabs>
        <w:ind w:left="7200" w:hanging="360"/>
      </w:pPr>
    </w:lvl>
    <w:lvl w:ilvl="8" w:tplc="939657A8" w:tentative="1">
      <w:start w:val="1"/>
      <w:numFmt w:val="lowerRoman"/>
      <w:lvlText w:val="%9."/>
      <w:lvlJc w:val="right"/>
      <w:pPr>
        <w:tabs>
          <w:tab w:val="num" w:pos="7920"/>
        </w:tabs>
        <w:ind w:left="7920" w:hanging="180"/>
      </w:pPr>
    </w:lvl>
  </w:abstractNum>
  <w:abstractNum w:abstractNumId="19" w15:restartNumberingAfterBreak="0">
    <w:nsid w:val="79657590"/>
    <w:multiLevelType w:val="hybridMultilevel"/>
    <w:tmpl w:val="D152DA10"/>
    <w:lvl w:ilvl="0" w:tplc="2FC63746">
      <w:start w:val="1"/>
      <w:numFmt w:val="decimal"/>
      <w:pStyle w:val="Paragrafonumerato"/>
      <w:lvlText w:val="%1"/>
      <w:lvlJc w:val="left"/>
      <w:pPr>
        <w:tabs>
          <w:tab w:val="num" w:pos="720"/>
        </w:tabs>
        <w:ind w:left="720" w:hanging="360"/>
      </w:pPr>
      <w:rPr>
        <w:rFonts w:hint="default"/>
        <w:b w:val="0"/>
        <w:i/>
      </w:rPr>
    </w:lvl>
    <w:lvl w:ilvl="1" w:tplc="FF760106">
      <w:start w:val="1"/>
      <w:numFmt w:val="bullet"/>
      <w:lvlText w:val=""/>
      <w:lvlJc w:val="left"/>
      <w:pPr>
        <w:tabs>
          <w:tab w:val="num" w:pos="1440"/>
        </w:tabs>
        <w:ind w:left="1440" w:hanging="360"/>
      </w:pPr>
      <w:rPr>
        <w:rFonts w:ascii="Symbol" w:hAnsi="Symbol" w:hint="default"/>
        <w:b w:val="0"/>
        <w:i/>
      </w:rPr>
    </w:lvl>
    <w:lvl w:ilvl="2" w:tplc="9A34324A" w:tentative="1">
      <w:start w:val="1"/>
      <w:numFmt w:val="lowerRoman"/>
      <w:lvlText w:val="%3."/>
      <w:lvlJc w:val="right"/>
      <w:pPr>
        <w:tabs>
          <w:tab w:val="num" w:pos="2160"/>
        </w:tabs>
        <w:ind w:left="2160" w:hanging="180"/>
      </w:pPr>
    </w:lvl>
    <w:lvl w:ilvl="3" w:tplc="A49A2A2E" w:tentative="1">
      <w:start w:val="1"/>
      <w:numFmt w:val="decimal"/>
      <w:lvlText w:val="%4."/>
      <w:lvlJc w:val="left"/>
      <w:pPr>
        <w:tabs>
          <w:tab w:val="num" w:pos="2880"/>
        </w:tabs>
        <w:ind w:left="2880" w:hanging="360"/>
      </w:pPr>
    </w:lvl>
    <w:lvl w:ilvl="4" w:tplc="6B46DC6A" w:tentative="1">
      <w:start w:val="1"/>
      <w:numFmt w:val="lowerLetter"/>
      <w:lvlText w:val="%5."/>
      <w:lvlJc w:val="left"/>
      <w:pPr>
        <w:tabs>
          <w:tab w:val="num" w:pos="3600"/>
        </w:tabs>
        <w:ind w:left="3600" w:hanging="360"/>
      </w:pPr>
    </w:lvl>
    <w:lvl w:ilvl="5" w:tplc="6526E20A" w:tentative="1">
      <w:start w:val="1"/>
      <w:numFmt w:val="lowerRoman"/>
      <w:lvlText w:val="%6."/>
      <w:lvlJc w:val="right"/>
      <w:pPr>
        <w:tabs>
          <w:tab w:val="num" w:pos="4320"/>
        </w:tabs>
        <w:ind w:left="4320" w:hanging="180"/>
      </w:pPr>
    </w:lvl>
    <w:lvl w:ilvl="6" w:tplc="53926C8C" w:tentative="1">
      <w:start w:val="1"/>
      <w:numFmt w:val="decimal"/>
      <w:lvlText w:val="%7."/>
      <w:lvlJc w:val="left"/>
      <w:pPr>
        <w:tabs>
          <w:tab w:val="num" w:pos="5040"/>
        </w:tabs>
        <w:ind w:left="5040" w:hanging="360"/>
      </w:pPr>
    </w:lvl>
    <w:lvl w:ilvl="7" w:tplc="BB7AB51A" w:tentative="1">
      <w:start w:val="1"/>
      <w:numFmt w:val="lowerLetter"/>
      <w:lvlText w:val="%8."/>
      <w:lvlJc w:val="left"/>
      <w:pPr>
        <w:tabs>
          <w:tab w:val="num" w:pos="5760"/>
        </w:tabs>
        <w:ind w:left="5760" w:hanging="360"/>
      </w:pPr>
    </w:lvl>
    <w:lvl w:ilvl="8" w:tplc="1F7ADC48" w:tentative="1">
      <w:start w:val="1"/>
      <w:numFmt w:val="lowerRoman"/>
      <w:lvlText w:val="%9."/>
      <w:lvlJc w:val="right"/>
      <w:pPr>
        <w:tabs>
          <w:tab w:val="num" w:pos="6480"/>
        </w:tabs>
        <w:ind w:left="6480" w:hanging="180"/>
      </w:pPr>
    </w:lvl>
  </w:abstractNum>
  <w:abstractNum w:abstractNumId="20" w15:restartNumberingAfterBreak="0">
    <w:nsid w:val="7C755613"/>
    <w:multiLevelType w:val="hybridMultilevel"/>
    <w:tmpl w:val="A5F07E0A"/>
    <w:lvl w:ilvl="0" w:tplc="EEE45D30">
      <w:start w:val="1"/>
      <w:numFmt w:val="lowerRoman"/>
      <w:lvlText w:val="%1)"/>
      <w:lvlJc w:val="left"/>
      <w:pPr>
        <w:ind w:left="1287" w:hanging="720"/>
      </w:pPr>
      <w:rPr>
        <w:rFonts w:hint="default"/>
        <w:b w:val="0"/>
        <w:bCs w:val="0"/>
        <w:i w:val="0"/>
        <w:iCs w:val="0"/>
        <w:sz w:val="22"/>
        <w:szCs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1" w15:restartNumberingAfterBreak="0">
    <w:nsid w:val="7DE33371"/>
    <w:multiLevelType w:val="hybridMultilevel"/>
    <w:tmpl w:val="3F9EEF3E"/>
    <w:lvl w:ilvl="0" w:tplc="EEE45D30">
      <w:start w:val="1"/>
      <w:numFmt w:val="lowerRoman"/>
      <w:lvlText w:val="%1)"/>
      <w:lvlJc w:val="left"/>
      <w:pPr>
        <w:ind w:left="1800" w:hanging="720"/>
      </w:pPr>
      <w:rPr>
        <w:rFonts w:hint="default"/>
        <w:b w:val="0"/>
        <w:bCs w:val="0"/>
        <w:i w:val="0"/>
        <w:iCs w:val="0"/>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E695DCC"/>
    <w:multiLevelType w:val="hybridMultilevel"/>
    <w:tmpl w:val="40C8B202"/>
    <w:lvl w:ilvl="0" w:tplc="541E8CA0">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num w:numId="1">
    <w:abstractNumId w:val="18"/>
  </w:num>
  <w:num w:numId="2">
    <w:abstractNumId w:val="17"/>
  </w:num>
  <w:num w:numId="3">
    <w:abstractNumId w:val="13"/>
  </w:num>
  <w:num w:numId="4">
    <w:abstractNumId w:val="19"/>
  </w:num>
  <w:num w:numId="5">
    <w:abstractNumId w:val="6"/>
  </w:num>
  <w:num w:numId="6">
    <w:abstractNumId w:val="0"/>
  </w:num>
  <w:num w:numId="7">
    <w:abstractNumId w:val="8"/>
  </w:num>
  <w:num w:numId="8">
    <w:abstractNumId w:val="11"/>
  </w:num>
  <w:num w:numId="9">
    <w:abstractNumId w:val="10"/>
  </w:num>
  <w:num w:numId="10">
    <w:abstractNumId w:val="5"/>
  </w:num>
  <w:num w:numId="11">
    <w:abstractNumId w:val="4"/>
  </w:num>
  <w:num w:numId="12">
    <w:abstractNumId w:val="16"/>
  </w:num>
  <w:num w:numId="13">
    <w:abstractNumId w:val="14"/>
  </w:num>
  <w:num w:numId="14">
    <w:abstractNumId w:val="12"/>
  </w:num>
  <w:num w:numId="15">
    <w:abstractNumId w:val="7"/>
  </w:num>
  <w:num w:numId="16">
    <w:abstractNumId w:val="2"/>
  </w:num>
  <w:num w:numId="17">
    <w:abstractNumId w:val="9"/>
  </w:num>
  <w:num w:numId="18">
    <w:abstractNumId w:val="20"/>
  </w:num>
  <w:num w:numId="19">
    <w:abstractNumId w:val="22"/>
  </w:num>
  <w:num w:numId="20">
    <w:abstractNumId w:val="3"/>
  </w:num>
  <w:num w:numId="21">
    <w:abstractNumId w:val="15"/>
  </w:num>
  <w:num w:numId="22">
    <w:abstractNumId w:val="1"/>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n-GB" w:vendorID="64" w:dllVersion="6" w:nlCheck="1" w:checkStyle="1"/>
  <w:activeWritingStyle w:appName="MSWord" w:lang="es-ES_tradnl" w:vendorID="64" w:dllVersion="6" w:nlCheck="1" w:checkStyle="0"/>
  <w:activeWritingStyle w:appName="MSWord" w:lang="fr-FR" w:vendorID="64" w:dllVersion="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pt-PT"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evenAndOddHeaders/>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854"/>
    <w:rsid w:val="00000F06"/>
    <w:rsid w:val="00001936"/>
    <w:rsid w:val="00001F0D"/>
    <w:rsid w:val="00002522"/>
    <w:rsid w:val="00002EBD"/>
    <w:rsid w:val="00003473"/>
    <w:rsid w:val="00004019"/>
    <w:rsid w:val="000048B7"/>
    <w:rsid w:val="00005CF9"/>
    <w:rsid w:val="000063B8"/>
    <w:rsid w:val="00006A4E"/>
    <w:rsid w:val="00007A90"/>
    <w:rsid w:val="000108AD"/>
    <w:rsid w:val="00011413"/>
    <w:rsid w:val="000114A5"/>
    <w:rsid w:val="00011715"/>
    <w:rsid w:val="000118BA"/>
    <w:rsid w:val="000122F5"/>
    <w:rsid w:val="0001270E"/>
    <w:rsid w:val="000131D0"/>
    <w:rsid w:val="00013BCD"/>
    <w:rsid w:val="00014750"/>
    <w:rsid w:val="00014A50"/>
    <w:rsid w:val="000152F2"/>
    <w:rsid w:val="00017136"/>
    <w:rsid w:val="00017A18"/>
    <w:rsid w:val="00017A9F"/>
    <w:rsid w:val="00017AC1"/>
    <w:rsid w:val="00017CCB"/>
    <w:rsid w:val="00017E66"/>
    <w:rsid w:val="00017EDE"/>
    <w:rsid w:val="00020268"/>
    <w:rsid w:val="000202B5"/>
    <w:rsid w:val="000204E6"/>
    <w:rsid w:val="00020AC1"/>
    <w:rsid w:val="00021657"/>
    <w:rsid w:val="000218B7"/>
    <w:rsid w:val="00021D03"/>
    <w:rsid w:val="00022555"/>
    <w:rsid w:val="000226CF"/>
    <w:rsid w:val="00022C6D"/>
    <w:rsid w:val="00024176"/>
    <w:rsid w:val="0002478F"/>
    <w:rsid w:val="0002593E"/>
    <w:rsid w:val="00026012"/>
    <w:rsid w:val="000302B8"/>
    <w:rsid w:val="000304C1"/>
    <w:rsid w:val="00030649"/>
    <w:rsid w:val="0003080C"/>
    <w:rsid w:val="00030E13"/>
    <w:rsid w:val="00031720"/>
    <w:rsid w:val="00032D33"/>
    <w:rsid w:val="00033B67"/>
    <w:rsid w:val="00035473"/>
    <w:rsid w:val="000364E2"/>
    <w:rsid w:val="00036779"/>
    <w:rsid w:val="00037EB4"/>
    <w:rsid w:val="000409EE"/>
    <w:rsid w:val="00040B94"/>
    <w:rsid w:val="00040F40"/>
    <w:rsid w:val="0004170F"/>
    <w:rsid w:val="00041E79"/>
    <w:rsid w:val="00043673"/>
    <w:rsid w:val="000436D3"/>
    <w:rsid w:val="00044B62"/>
    <w:rsid w:val="00045046"/>
    <w:rsid w:val="000450CD"/>
    <w:rsid w:val="00045CBC"/>
    <w:rsid w:val="0004675B"/>
    <w:rsid w:val="0004707E"/>
    <w:rsid w:val="00047324"/>
    <w:rsid w:val="00047BD8"/>
    <w:rsid w:val="000522F8"/>
    <w:rsid w:val="00053068"/>
    <w:rsid w:val="00053198"/>
    <w:rsid w:val="000540E9"/>
    <w:rsid w:val="000547BA"/>
    <w:rsid w:val="000554F7"/>
    <w:rsid w:val="000558BE"/>
    <w:rsid w:val="0005722C"/>
    <w:rsid w:val="000574A5"/>
    <w:rsid w:val="00057CA3"/>
    <w:rsid w:val="0006147E"/>
    <w:rsid w:val="000619B4"/>
    <w:rsid w:val="00062D35"/>
    <w:rsid w:val="00063A91"/>
    <w:rsid w:val="0006599A"/>
    <w:rsid w:val="000663E0"/>
    <w:rsid w:val="00066869"/>
    <w:rsid w:val="000668BF"/>
    <w:rsid w:val="00067ACA"/>
    <w:rsid w:val="0007086E"/>
    <w:rsid w:val="0007186C"/>
    <w:rsid w:val="00071B48"/>
    <w:rsid w:val="0007206A"/>
    <w:rsid w:val="0007361F"/>
    <w:rsid w:val="00073771"/>
    <w:rsid w:val="00073DD7"/>
    <w:rsid w:val="00074704"/>
    <w:rsid w:val="000769D6"/>
    <w:rsid w:val="000771F2"/>
    <w:rsid w:val="000771FD"/>
    <w:rsid w:val="0007730F"/>
    <w:rsid w:val="000778BC"/>
    <w:rsid w:val="00077E85"/>
    <w:rsid w:val="00077EC7"/>
    <w:rsid w:val="00081475"/>
    <w:rsid w:val="000817D8"/>
    <w:rsid w:val="00081CCD"/>
    <w:rsid w:val="00081D82"/>
    <w:rsid w:val="00082465"/>
    <w:rsid w:val="00082AC1"/>
    <w:rsid w:val="00083008"/>
    <w:rsid w:val="0008441B"/>
    <w:rsid w:val="00087179"/>
    <w:rsid w:val="00090449"/>
    <w:rsid w:val="0009103B"/>
    <w:rsid w:val="00091728"/>
    <w:rsid w:val="00093B5E"/>
    <w:rsid w:val="00093DF4"/>
    <w:rsid w:val="00094856"/>
    <w:rsid w:val="00095603"/>
    <w:rsid w:val="00096321"/>
    <w:rsid w:val="0009660C"/>
    <w:rsid w:val="00096BFB"/>
    <w:rsid w:val="00097683"/>
    <w:rsid w:val="000A04CE"/>
    <w:rsid w:val="000A0930"/>
    <w:rsid w:val="000A095A"/>
    <w:rsid w:val="000A0AF9"/>
    <w:rsid w:val="000A106A"/>
    <w:rsid w:val="000A5643"/>
    <w:rsid w:val="000A5EF0"/>
    <w:rsid w:val="000A606E"/>
    <w:rsid w:val="000A632F"/>
    <w:rsid w:val="000B051E"/>
    <w:rsid w:val="000B2560"/>
    <w:rsid w:val="000B35D3"/>
    <w:rsid w:val="000B383A"/>
    <w:rsid w:val="000B4EAD"/>
    <w:rsid w:val="000B4FB4"/>
    <w:rsid w:val="000B5559"/>
    <w:rsid w:val="000B5F80"/>
    <w:rsid w:val="000B6105"/>
    <w:rsid w:val="000B7A03"/>
    <w:rsid w:val="000B7B9B"/>
    <w:rsid w:val="000C0388"/>
    <w:rsid w:val="000C03B5"/>
    <w:rsid w:val="000C209A"/>
    <w:rsid w:val="000C3195"/>
    <w:rsid w:val="000C3592"/>
    <w:rsid w:val="000C4CC1"/>
    <w:rsid w:val="000C4FA5"/>
    <w:rsid w:val="000C57D6"/>
    <w:rsid w:val="000C58A3"/>
    <w:rsid w:val="000C5ABF"/>
    <w:rsid w:val="000C6921"/>
    <w:rsid w:val="000C6BF3"/>
    <w:rsid w:val="000C70DB"/>
    <w:rsid w:val="000D17B4"/>
    <w:rsid w:val="000D1C92"/>
    <w:rsid w:val="000D1D41"/>
    <w:rsid w:val="000D269F"/>
    <w:rsid w:val="000D2C4B"/>
    <w:rsid w:val="000D2FE5"/>
    <w:rsid w:val="000D304C"/>
    <w:rsid w:val="000D3E54"/>
    <w:rsid w:val="000D61DC"/>
    <w:rsid w:val="000D6B8D"/>
    <w:rsid w:val="000D74FB"/>
    <w:rsid w:val="000D777A"/>
    <w:rsid w:val="000D79BB"/>
    <w:rsid w:val="000D7B28"/>
    <w:rsid w:val="000E0701"/>
    <w:rsid w:val="000E1465"/>
    <w:rsid w:val="000E16F6"/>
    <w:rsid w:val="000E1C78"/>
    <w:rsid w:val="000E2802"/>
    <w:rsid w:val="000E2DB5"/>
    <w:rsid w:val="000E2F38"/>
    <w:rsid w:val="000E31F0"/>
    <w:rsid w:val="000E3764"/>
    <w:rsid w:val="000E655D"/>
    <w:rsid w:val="000E6CF1"/>
    <w:rsid w:val="000E6D7A"/>
    <w:rsid w:val="000E7194"/>
    <w:rsid w:val="000F0BE7"/>
    <w:rsid w:val="000F0E14"/>
    <w:rsid w:val="000F20FC"/>
    <w:rsid w:val="000F22C8"/>
    <w:rsid w:val="000F2E9D"/>
    <w:rsid w:val="000F3480"/>
    <w:rsid w:val="000F3841"/>
    <w:rsid w:val="000F4D8A"/>
    <w:rsid w:val="000F4DD1"/>
    <w:rsid w:val="000F50C8"/>
    <w:rsid w:val="000F56F6"/>
    <w:rsid w:val="000F5C86"/>
    <w:rsid w:val="000F6034"/>
    <w:rsid w:val="000F6CB5"/>
    <w:rsid w:val="000F6D82"/>
    <w:rsid w:val="000F6F7E"/>
    <w:rsid w:val="000F740F"/>
    <w:rsid w:val="000F7DEB"/>
    <w:rsid w:val="0010050F"/>
    <w:rsid w:val="00101EA7"/>
    <w:rsid w:val="001027FF"/>
    <w:rsid w:val="00104246"/>
    <w:rsid w:val="001043D2"/>
    <w:rsid w:val="0010463F"/>
    <w:rsid w:val="00104B8F"/>
    <w:rsid w:val="00105AD7"/>
    <w:rsid w:val="001068A8"/>
    <w:rsid w:val="00107521"/>
    <w:rsid w:val="00107DBB"/>
    <w:rsid w:val="001108F1"/>
    <w:rsid w:val="00110D7D"/>
    <w:rsid w:val="00110F4E"/>
    <w:rsid w:val="001116E5"/>
    <w:rsid w:val="001119BC"/>
    <w:rsid w:val="00111FD9"/>
    <w:rsid w:val="00112888"/>
    <w:rsid w:val="00112B6F"/>
    <w:rsid w:val="00112F30"/>
    <w:rsid w:val="00113386"/>
    <w:rsid w:val="001139AE"/>
    <w:rsid w:val="001148E0"/>
    <w:rsid w:val="00114D14"/>
    <w:rsid w:val="00114E20"/>
    <w:rsid w:val="00115C1B"/>
    <w:rsid w:val="00116FA6"/>
    <w:rsid w:val="001170BF"/>
    <w:rsid w:val="00117A78"/>
    <w:rsid w:val="001203B9"/>
    <w:rsid w:val="0012058E"/>
    <w:rsid w:val="00121204"/>
    <w:rsid w:val="001215D1"/>
    <w:rsid w:val="00121839"/>
    <w:rsid w:val="0012306C"/>
    <w:rsid w:val="0012379E"/>
    <w:rsid w:val="00124B57"/>
    <w:rsid w:val="001253C3"/>
    <w:rsid w:val="001270B9"/>
    <w:rsid w:val="00127CC6"/>
    <w:rsid w:val="00127DC3"/>
    <w:rsid w:val="00127F85"/>
    <w:rsid w:val="0013018B"/>
    <w:rsid w:val="0013068F"/>
    <w:rsid w:val="0013099A"/>
    <w:rsid w:val="00132278"/>
    <w:rsid w:val="00132964"/>
    <w:rsid w:val="00132A0A"/>
    <w:rsid w:val="00132B8D"/>
    <w:rsid w:val="00132E17"/>
    <w:rsid w:val="00132FEC"/>
    <w:rsid w:val="001331CE"/>
    <w:rsid w:val="0013385C"/>
    <w:rsid w:val="001346DF"/>
    <w:rsid w:val="001349BC"/>
    <w:rsid w:val="001349FC"/>
    <w:rsid w:val="00134ED6"/>
    <w:rsid w:val="00135CA1"/>
    <w:rsid w:val="00135F6F"/>
    <w:rsid w:val="00140043"/>
    <w:rsid w:val="00140361"/>
    <w:rsid w:val="00141031"/>
    <w:rsid w:val="00142F35"/>
    <w:rsid w:val="001431DF"/>
    <w:rsid w:val="00143A10"/>
    <w:rsid w:val="001445C2"/>
    <w:rsid w:val="0014576B"/>
    <w:rsid w:val="00145C4C"/>
    <w:rsid w:val="00145E97"/>
    <w:rsid w:val="00146B35"/>
    <w:rsid w:val="00146CB2"/>
    <w:rsid w:val="00146CB5"/>
    <w:rsid w:val="00147634"/>
    <w:rsid w:val="0015099B"/>
    <w:rsid w:val="001513C1"/>
    <w:rsid w:val="001518B4"/>
    <w:rsid w:val="00151914"/>
    <w:rsid w:val="00152045"/>
    <w:rsid w:val="001527D8"/>
    <w:rsid w:val="00152897"/>
    <w:rsid w:val="00152BE4"/>
    <w:rsid w:val="0015373B"/>
    <w:rsid w:val="00154580"/>
    <w:rsid w:val="00154E78"/>
    <w:rsid w:val="00155004"/>
    <w:rsid w:val="001557BE"/>
    <w:rsid w:val="001561ED"/>
    <w:rsid w:val="00156CE3"/>
    <w:rsid w:val="00161975"/>
    <w:rsid w:val="00163A6B"/>
    <w:rsid w:val="00163C11"/>
    <w:rsid w:val="001645D8"/>
    <w:rsid w:val="00164A06"/>
    <w:rsid w:val="00167FC6"/>
    <w:rsid w:val="0017091F"/>
    <w:rsid w:val="00171E8C"/>
    <w:rsid w:val="0017224A"/>
    <w:rsid w:val="00172AB1"/>
    <w:rsid w:val="00172AF2"/>
    <w:rsid w:val="00172C7C"/>
    <w:rsid w:val="00173742"/>
    <w:rsid w:val="00173DC8"/>
    <w:rsid w:val="00173E90"/>
    <w:rsid w:val="00173EBC"/>
    <w:rsid w:val="001742D7"/>
    <w:rsid w:val="00174D66"/>
    <w:rsid w:val="0017558F"/>
    <w:rsid w:val="00176378"/>
    <w:rsid w:val="001769E5"/>
    <w:rsid w:val="00177862"/>
    <w:rsid w:val="0017786A"/>
    <w:rsid w:val="00180A22"/>
    <w:rsid w:val="001810FE"/>
    <w:rsid w:val="00181830"/>
    <w:rsid w:val="0018296D"/>
    <w:rsid w:val="00183286"/>
    <w:rsid w:val="001834A0"/>
    <w:rsid w:val="001834EB"/>
    <w:rsid w:val="00183FA4"/>
    <w:rsid w:val="00185ED4"/>
    <w:rsid w:val="0018665E"/>
    <w:rsid w:val="00186CA1"/>
    <w:rsid w:val="0018705D"/>
    <w:rsid w:val="0018755B"/>
    <w:rsid w:val="00187648"/>
    <w:rsid w:val="00190D7E"/>
    <w:rsid w:val="00190E8F"/>
    <w:rsid w:val="0019171A"/>
    <w:rsid w:val="00192FFA"/>
    <w:rsid w:val="00194036"/>
    <w:rsid w:val="0019422C"/>
    <w:rsid w:val="00194702"/>
    <w:rsid w:val="00195276"/>
    <w:rsid w:val="00195725"/>
    <w:rsid w:val="00196BD4"/>
    <w:rsid w:val="001A0564"/>
    <w:rsid w:val="001A0994"/>
    <w:rsid w:val="001A0E90"/>
    <w:rsid w:val="001A17B9"/>
    <w:rsid w:val="001A26C5"/>
    <w:rsid w:val="001A4878"/>
    <w:rsid w:val="001A4ABF"/>
    <w:rsid w:val="001A4E88"/>
    <w:rsid w:val="001A5861"/>
    <w:rsid w:val="001A59C8"/>
    <w:rsid w:val="001A5D3B"/>
    <w:rsid w:val="001A5EBF"/>
    <w:rsid w:val="001A6C82"/>
    <w:rsid w:val="001A7E89"/>
    <w:rsid w:val="001B0CE5"/>
    <w:rsid w:val="001B14DD"/>
    <w:rsid w:val="001B1B4D"/>
    <w:rsid w:val="001B2E04"/>
    <w:rsid w:val="001B3220"/>
    <w:rsid w:val="001B3B0D"/>
    <w:rsid w:val="001B4FC8"/>
    <w:rsid w:val="001B53DD"/>
    <w:rsid w:val="001B583E"/>
    <w:rsid w:val="001B5878"/>
    <w:rsid w:val="001B5B10"/>
    <w:rsid w:val="001B7520"/>
    <w:rsid w:val="001C0F93"/>
    <w:rsid w:val="001C1363"/>
    <w:rsid w:val="001C19A9"/>
    <w:rsid w:val="001C3049"/>
    <w:rsid w:val="001C31C1"/>
    <w:rsid w:val="001C37A6"/>
    <w:rsid w:val="001C45C8"/>
    <w:rsid w:val="001C4D60"/>
    <w:rsid w:val="001C4D8F"/>
    <w:rsid w:val="001C5201"/>
    <w:rsid w:val="001C533D"/>
    <w:rsid w:val="001C5B0D"/>
    <w:rsid w:val="001C63E2"/>
    <w:rsid w:val="001C6575"/>
    <w:rsid w:val="001C6B0F"/>
    <w:rsid w:val="001C6CCA"/>
    <w:rsid w:val="001C79FC"/>
    <w:rsid w:val="001D0895"/>
    <w:rsid w:val="001D1660"/>
    <w:rsid w:val="001D1E68"/>
    <w:rsid w:val="001D229D"/>
    <w:rsid w:val="001D34CC"/>
    <w:rsid w:val="001D3AE2"/>
    <w:rsid w:val="001D3D38"/>
    <w:rsid w:val="001D420B"/>
    <w:rsid w:val="001D4B5D"/>
    <w:rsid w:val="001D5054"/>
    <w:rsid w:val="001D5DEE"/>
    <w:rsid w:val="001D6BE1"/>
    <w:rsid w:val="001E1722"/>
    <w:rsid w:val="001E184E"/>
    <w:rsid w:val="001E1EAC"/>
    <w:rsid w:val="001E350E"/>
    <w:rsid w:val="001E4C08"/>
    <w:rsid w:val="001E4DC1"/>
    <w:rsid w:val="001E539C"/>
    <w:rsid w:val="001E55F8"/>
    <w:rsid w:val="001E5D6A"/>
    <w:rsid w:val="001E5FA6"/>
    <w:rsid w:val="001E6044"/>
    <w:rsid w:val="001E6102"/>
    <w:rsid w:val="001E76AA"/>
    <w:rsid w:val="001E79DD"/>
    <w:rsid w:val="001F0DD6"/>
    <w:rsid w:val="001F100F"/>
    <w:rsid w:val="001F187B"/>
    <w:rsid w:val="001F2685"/>
    <w:rsid w:val="001F2C6F"/>
    <w:rsid w:val="001F4492"/>
    <w:rsid w:val="001F4E93"/>
    <w:rsid w:val="001F5092"/>
    <w:rsid w:val="001F57F2"/>
    <w:rsid w:val="001F6078"/>
    <w:rsid w:val="001F6E4E"/>
    <w:rsid w:val="001F77A4"/>
    <w:rsid w:val="001F78C7"/>
    <w:rsid w:val="001F7944"/>
    <w:rsid w:val="001F7AFF"/>
    <w:rsid w:val="00200F2A"/>
    <w:rsid w:val="00201B4C"/>
    <w:rsid w:val="0020297F"/>
    <w:rsid w:val="00206556"/>
    <w:rsid w:val="00207148"/>
    <w:rsid w:val="002071CB"/>
    <w:rsid w:val="002074A1"/>
    <w:rsid w:val="00210707"/>
    <w:rsid w:val="002116A5"/>
    <w:rsid w:val="00211F51"/>
    <w:rsid w:val="002132A8"/>
    <w:rsid w:val="002139EC"/>
    <w:rsid w:val="002162F4"/>
    <w:rsid w:val="002176A8"/>
    <w:rsid w:val="00217A46"/>
    <w:rsid w:val="00217C90"/>
    <w:rsid w:val="00217CB8"/>
    <w:rsid w:val="00220161"/>
    <w:rsid w:val="002212C0"/>
    <w:rsid w:val="00221835"/>
    <w:rsid w:val="002225D7"/>
    <w:rsid w:val="00223E03"/>
    <w:rsid w:val="002240DF"/>
    <w:rsid w:val="0022420A"/>
    <w:rsid w:val="002253C7"/>
    <w:rsid w:val="00225F95"/>
    <w:rsid w:val="00226417"/>
    <w:rsid w:val="00227218"/>
    <w:rsid w:val="0022754E"/>
    <w:rsid w:val="0023002C"/>
    <w:rsid w:val="00231025"/>
    <w:rsid w:val="00231086"/>
    <w:rsid w:val="00231E62"/>
    <w:rsid w:val="00231F1F"/>
    <w:rsid w:val="002320F2"/>
    <w:rsid w:val="002324BC"/>
    <w:rsid w:val="00232C89"/>
    <w:rsid w:val="00232D3E"/>
    <w:rsid w:val="00234274"/>
    <w:rsid w:val="00234D27"/>
    <w:rsid w:val="00234F72"/>
    <w:rsid w:val="00236933"/>
    <w:rsid w:val="00236EB0"/>
    <w:rsid w:val="00237BD8"/>
    <w:rsid w:val="00237CA1"/>
    <w:rsid w:val="002420A9"/>
    <w:rsid w:val="00243102"/>
    <w:rsid w:val="0024352B"/>
    <w:rsid w:val="00243F52"/>
    <w:rsid w:val="0024550A"/>
    <w:rsid w:val="00245FAC"/>
    <w:rsid w:val="0024635E"/>
    <w:rsid w:val="002464A5"/>
    <w:rsid w:val="00246BE8"/>
    <w:rsid w:val="002470BD"/>
    <w:rsid w:val="00247FD5"/>
    <w:rsid w:val="002501BF"/>
    <w:rsid w:val="002504DF"/>
    <w:rsid w:val="00250E1E"/>
    <w:rsid w:val="00251B81"/>
    <w:rsid w:val="00252006"/>
    <w:rsid w:val="00252607"/>
    <w:rsid w:val="00252FA2"/>
    <w:rsid w:val="0025391C"/>
    <w:rsid w:val="00253A9B"/>
    <w:rsid w:val="00253DC9"/>
    <w:rsid w:val="00253F45"/>
    <w:rsid w:val="002545BE"/>
    <w:rsid w:val="002546BA"/>
    <w:rsid w:val="00254CBD"/>
    <w:rsid w:val="00254FBB"/>
    <w:rsid w:val="002556EB"/>
    <w:rsid w:val="00255724"/>
    <w:rsid w:val="002559F8"/>
    <w:rsid w:val="00255F77"/>
    <w:rsid w:val="00256BCA"/>
    <w:rsid w:val="00257629"/>
    <w:rsid w:val="00260961"/>
    <w:rsid w:val="00262137"/>
    <w:rsid w:val="00262B6F"/>
    <w:rsid w:val="00263350"/>
    <w:rsid w:val="00263575"/>
    <w:rsid w:val="0026435E"/>
    <w:rsid w:val="00264B3D"/>
    <w:rsid w:val="00265D62"/>
    <w:rsid w:val="0026754E"/>
    <w:rsid w:val="00267E33"/>
    <w:rsid w:val="00271250"/>
    <w:rsid w:val="00271317"/>
    <w:rsid w:val="0027152B"/>
    <w:rsid w:val="00271761"/>
    <w:rsid w:val="0027205F"/>
    <w:rsid w:val="00272198"/>
    <w:rsid w:val="00272521"/>
    <w:rsid w:val="00272BD1"/>
    <w:rsid w:val="00274FCD"/>
    <w:rsid w:val="002752D7"/>
    <w:rsid w:val="002755CC"/>
    <w:rsid w:val="00275668"/>
    <w:rsid w:val="002757F5"/>
    <w:rsid w:val="00275F39"/>
    <w:rsid w:val="00276079"/>
    <w:rsid w:val="0027608F"/>
    <w:rsid w:val="002772A6"/>
    <w:rsid w:val="0028014B"/>
    <w:rsid w:val="0028091E"/>
    <w:rsid w:val="00280F2B"/>
    <w:rsid w:val="00281464"/>
    <w:rsid w:val="002820C5"/>
    <w:rsid w:val="002821C7"/>
    <w:rsid w:val="00282558"/>
    <w:rsid w:val="002828A6"/>
    <w:rsid w:val="002840E4"/>
    <w:rsid w:val="00285857"/>
    <w:rsid w:val="002858D3"/>
    <w:rsid w:val="00286D84"/>
    <w:rsid w:val="00287B66"/>
    <w:rsid w:val="0029164B"/>
    <w:rsid w:val="00291809"/>
    <w:rsid w:val="00291A24"/>
    <w:rsid w:val="00291BD0"/>
    <w:rsid w:val="002927E7"/>
    <w:rsid w:val="002934A0"/>
    <w:rsid w:val="002947D9"/>
    <w:rsid w:val="002958F7"/>
    <w:rsid w:val="00295E42"/>
    <w:rsid w:val="0029643C"/>
    <w:rsid w:val="00296900"/>
    <w:rsid w:val="00296A09"/>
    <w:rsid w:val="00297E18"/>
    <w:rsid w:val="002A1DA2"/>
    <w:rsid w:val="002A220F"/>
    <w:rsid w:val="002A227B"/>
    <w:rsid w:val="002A36ED"/>
    <w:rsid w:val="002A3813"/>
    <w:rsid w:val="002A3AF4"/>
    <w:rsid w:val="002A42CE"/>
    <w:rsid w:val="002A5232"/>
    <w:rsid w:val="002A549D"/>
    <w:rsid w:val="002A697B"/>
    <w:rsid w:val="002A7AE1"/>
    <w:rsid w:val="002B1E25"/>
    <w:rsid w:val="002B1E89"/>
    <w:rsid w:val="002B1FDE"/>
    <w:rsid w:val="002B2FA1"/>
    <w:rsid w:val="002B3280"/>
    <w:rsid w:val="002B3AA2"/>
    <w:rsid w:val="002B3FE4"/>
    <w:rsid w:val="002B5193"/>
    <w:rsid w:val="002B5247"/>
    <w:rsid w:val="002B5DC6"/>
    <w:rsid w:val="002B620C"/>
    <w:rsid w:val="002B6F46"/>
    <w:rsid w:val="002B706E"/>
    <w:rsid w:val="002B7087"/>
    <w:rsid w:val="002C110C"/>
    <w:rsid w:val="002C1698"/>
    <w:rsid w:val="002C1F63"/>
    <w:rsid w:val="002C21DF"/>
    <w:rsid w:val="002C2B8C"/>
    <w:rsid w:val="002C3A05"/>
    <w:rsid w:val="002C4293"/>
    <w:rsid w:val="002C44BA"/>
    <w:rsid w:val="002C6239"/>
    <w:rsid w:val="002C6909"/>
    <w:rsid w:val="002C795F"/>
    <w:rsid w:val="002D017B"/>
    <w:rsid w:val="002D091C"/>
    <w:rsid w:val="002D11A6"/>
    <w:rsid w:val="002D148B"/>
    <w:rsid w:val="002D171F"/>
    <w:rsid w:val="002D1CF1"/>
    <w:rsid w:val="002D1D7F"/>
    <w:rsid w:val="002D20F7"/>
    <w:rsid w:val="002D2E7F"/>
    <w:rsid w:val="002D449F"/>
    <w:rsid w:val="002D4B6C"/>
    <w:rsid w:val="002D75E2"/>
    <w:rsid w:val="002E2A57"/>
    <w:rsid w:val="002E2DDD"/>
    <w:rsid w:val="002E3246"/>
    <w:rsid w:val="002E32B3"/>
    <w:rsid w:val="002E419D"/>
    <w:rsid w:val="002E4762"/>
    <w:rsid w:val="002E4C7A"/>
    <w:rsid w:val="002E4E70"/>
    <w:rsid w:val="002E586F"/>
    <w:rsid w:val="002E69BC"/>
    <w:rsid w:val="002E7716"/>
    <w:rsid w:val="002E7908"/>
    <w:rsid w:val="002E7A42"/>
    <w:rsid w:val="002E7BB5"/>
    <w:rsid w:val="002F068A"/>
    <w:rsid w:val="002F1E7D"/>
    <w:rsid w:val="002F21B3"/>
    <w:rsid w:val="002F4384"/>
    <w:rsid w:val="002F4C7A"/>
    <w:rsid w:val="002F50F4"/>
    <w:rsid w:val="002F6237"/>
    <w:rsid w:val="002F71F0"/>
    <w:rsid w:val="002F7D47"/>
    <w:rsid w:val="003003B5"/>
    <w:rsid w:val="00300995"/>
    <w:rsid w:val="003024A1"/>
    <w:rsid w:val="003024F3"/>
    <w:rsid w:val="0030286A"/>
    <w:rsid w:val="00302C23"/>
    <w:rsid w:val="003037AD"/>
    <w:rsid w:val="00304B6E"/>
    <w:rsid w:val="00304BA7"/>
    <w:rsid w:val="00305166"/>
    <w:rsid w:val="00305549"/>
    <w:rsid w:val="003059CD"/>
    <w:rsid w:val="00305B0D"/>
    <w:rsid w:val="00305FEE"/>
    <w:rsid w:val="0030645B"/>
    <w:rsid w:val="0031097C"/>
    <w:rsid w:val="00310E17"/>
    <w:rsid w:val="003112A8"/>
    <w:rsid w:val="00311366"/>
    <w:rsid w:val="003126A1"/>
    <w:rsid w:val="003127D1"/>
    <w:rsid w:val="00312E7C"/>
    <w:rsid w:val="0031381E"/>
    <w:rsid w:val="00313C2C"/>
    <w:rsid w:val="003149A2"/>
    <w:rsid w:val="00314B34"/>
    <w:rsid w:val="00314CA6"/>
    <w:rsid w:val="00314CB3"/>
    <w:rsid w:val="00314E83"/>
    <w:rsid w:val="0031759A"/>
    <w:rsid w:val="00320F03"/>
    <w:rsid w:val="00321D47"/>
    <w:rsid w:val="0032581E"/>
    <w:rsid w:val="00325E95"/>
    <w:rsid w:val="00327197"/>
    <w:rsid w:val="00330539"/>
    <w:rsid w:val="003306B6"/>
    <w:rsid w:val="00330B52"/>
    <w:rsid w:val="00330C10"/>
    <w:rsid w:val="00330F52"/>
    <w:rsid w:val="00330FA4"/>
    <w:rsid w:val="003328DA"/>
    <w:rsid w:val="00333316"/>
    <w:rsid w:val="003343A3"/>
    <w:rsid w:val="00334794"/>
    <w:rsid w:val="00337E2A"/>
    <w:rsid w:val="003404A2"/>
    <w:rsid w:val="00340F8B"/>
    <w:rsid w:val="00341957"/>
    <w:rsid w:val="00341AB8"/>
    <w:rsid w:val="00343F2F"/>
    <w:rsid w:val="0034416A"/>
    <w:rsid w:val="00344CA7"/>
    <w:rsid w:val="00346816"/>
    <w:rsid w:val="00347A45"/>
    <w:rsid w:val="00350B17"/>
    <w:rsid w:val="00351054"/>
    <w:rsid w:val="0035149D"/>
    <w:rsid w:val="00351B25"/>
    <w:rsid w:val="00351F25"/>
    <w:rsid w:val="00353425"/>
    <w:rsid w:val="00353DEC"/>
    <w:rsid w:val="003541FB"/>
    <w:rsid w:val="00354A6A"/>
    <w:rsid w:val="0035519E"/>
    <w:rsid w:val="0035638C"/>
    <w:rsid w:val="003565C1"/>
    <w:rsid w:val="0035795B"/>
    <w:rsid w:val="00360241"/>
    <w:rsid w:val="00360B86"/>
    <w:rsid w:val="0036148B"/>
    <w:rsid w:val="00361A86"/>
    <w:rsid w:val="00362B84"/>
    <w:rsid w:val="00362ECA"/>
    <w:rsid w:val="0036390D"/>
    <w:rsid w:val="00364AB4"/>
    <w:rsid w:val="003653C4"/>
    <w:rsid w:val="003657EC"/>
    <w:rsid w:val="00365A38"/>
    <w:rsid w:val="00365C82"/>
    <w:rsid w:val="00367865"/>
    <w:rsid w:val="003679F5"/>
    <w:rsid w:val="00367C3F"/>
    <w:rsid w:val="00367DF7"/>
    <w:rsid w:val="0037027B"/>
    <w:rsid w:val="00370E07"/>
    <w:rsid w:val="00370FE3"/>
    <w:rsid w:val="00371CDF"/>
    <w:rsid w:val="003721D4"/>
    <w:rsid w:val="003729D2"/>
    <w:rsid w:val="00372A11"/>
    <w:rsid w:val="00373EE6"/>
    <w:rsid w:val="0037554F"/>
    <w:rsid w:val="00375F79"/>
    <w:rsid w:val="003774FA"/>
    <w:rsid w:val="00377903"/>
    <w:rsid w:val="00377B88"/>
    <w:rsid w:val="00377D9F"/>
    <w:rsid w:val="00382002"/>
    <w:rsid w:val="0038218C"/>
    <w:rsid w:val="0038269B"/>
    <w:rsid w:val="00382DCB"/>
    <w:rsid w:val="00383B03"/>
    <w:rsid w:val="0038417D"/>
    <w:rsid w:val="003846D4"/>
    <w:rsid w:val="00384F8D"/>
    <w:rsid w:val="00385184"/>
    <w:rsid w:val="0038546A"/>
    <w:rsid w:val="00385798"/>
    <w:rsid w:val="00385972"/>
    <w:rsid w:val="00385FA1"/>
    <w:rsid w:val="00386515"/>
    <w:rsid w:val="00386A3A"/>
    <w:rsid w:val="00386B35"/>
    <w:rsid w:val="00390DE9"/>
    <w:rsid w:val="00391250"/>
    <w:rsid w:val="00391652"/>
    <w:rsid w:val="0039168E"/>
    <w:rsid w:val="00391A17"/>
    <w:rsid w:val="0039208B"/>
    <w:rsid w:val="0039311E"/>
    <w:rsid w:val="0039471F"/>
    <w:rsid w:val="003964C2"/>
    <w:rsid w:val="003A03A1"/>
    <w:rsid w:val="003A06C7"/>
    <w:rsid w:val="003A0CEF"/>
    <w:rsid w:val="003A1494"/>
    <w:rsid w:val="003A17DF"/>
    <w:rsid w:val="003A2538"/>
    <w:rsid w:val="003A2B39"/>
    <w:rsid w:val="003A3948"/>
    <w:rsid w:val="003A482F"/>
    <w:rsid w:val="003A4977"/>
    <w:rsid w:val="003A5824"/>
    <w:rsid w:val="003A59CF"/>
    <w:rsid w:val="003A59D3"/>
    <w:rsid w:val="003A5A24"/>
    <w:rsid w:val="003A5F0A"/>
    <w:rsid w:val="003A6BD3"/>
    <w:rsid w:val="003A7593"/>
    <w:rsid w:val="003A7678"/>
    <w:rsid w:val="003B015C"/>
    <w:rsid w:val="003B1D87"/>
    <w:rsid w:val="003B29A6"/>
    <w:rsid w:val="003B2D60"/>
    <w:rsid w:val="003B3BF5"/>
    <w:rsid w:val="003B4234"/>
    <w:rsid w:val="003B4777"/>
    <w:rsid w:val="003B4A59"/>
    <w:rsid w:val="003B5872"/>
    <w:rsid w:val="003B5D07"/>
    <w:rsid w:val="003B68E5"/>
    <w:rsid w:val="003B702D"/>
    <w:rsid w:val="003C01FF"/>
    <w:rsid w:val="003C02A1"/>
    <w:rsid w:val="003C03F4"/>
    <w:rsid w:val="003C077E"/>
    <w:rsid w:val="003C0AC2"/>
    <w:rsid w:val="003C16AA"/>
    <w:rsid w:val="003C1856"/>
    <w:rsid w:val="003C1D6C"/>
    <w:rsid w:val="003C2EEE"/>
    <w:rsid w:val="003C418C"/>
    <w:rsid w:val="003C4EAD"/>
    <w:rsid w:val="003C5002"/>
    <w:rsid w:val="003C5F6D"/>
    <w:rsid w:val="003C6C72"/>
    <w:rsid w:val="003C72FE"/>
    <w:rsid w:val="003C732B"/>
    <w:rsid w:val="003C7424"/>
    <w:rsid w:val="003C79E5"/>
    <w:rsid w:val="003D11CA"/>
    <w:rsid w:val="003D12E1"/>
    <w:rsid w:val="003D17DC"/>
    <w:rsid w:val="003D1C64"/>
    <w:rsid w:val="003D1C6F"/>
    <w:rsid w:val="003D22E3"/>
    <w:rsid w:val="003D24CC"/>
    <w:rsid w:val="003D2E1E"/>
    <w:rsid w:val="003D32E2"/>
    <w:rsid w:val="003D3EF6"/>
    <w:rsid w:val="003D5373"/>
    <w:rsid w:val="003D6B58"/>
    <w:rsid w:val="003D70E4"/>
    <w:rsid w:val="003D719A"/>
    <w:rsid w:val="003D7FE8"/>
    <w:rsid w:val="003E306D"/>
    <w:rsid w:val="003E3702"/>
    <w:rsid w:val="003E4561"/>
    <w:rsid w:val="003E498F"/>
    <w:rsid w:val="003E4CE7"/>
    <w:rsid w:val="003E59A1"/>
    <w:rsid w:val="003E5ACF"/>
    <w:rsid w:val="003E5FE3"/>
    <w:rsid w:val="003E6753"/>
    <w:rsid w:val="003E7281"/>
    <w:rsid w:val="003E7849"/>
    <w:rsid w:val="003E7B9A"/>
    <w:rsid w:val="003F1336"/>
    <w:rsid w:val="003F1C5A"/>
    <w:rsid w:val="003F211A"/>
    <w:rsid w:val="003F24EA"/>
    <w:rsid w:val="003F2A10"/>
    <w:rsid w:val="003F36CC"/>
    <w:rsid w:val="003F4578"/>
    <w:rsid w:val="003F54AC"/>
    <w:rsid w:val="003F54FF"/>
    <w:rsid w:val="003F7D8F"/>
    <w:rsid w:val="00400B2C"/>
    <w:rsid w:val="00400B60"/>
    <w:rsid w:val="00400C14"/>
    <w:rsid w:val="00400E24"/>
    <w:rsid w:val="00400F8F"/>
    <w:rsid w:val="004014A1"/>
    <w:rsid w:val="00401F7D"/>
    <w:rsid w:val="00402B2B"/>
    <w:rsid w:val="00402DD1"/>
    <w:rsid w:val="00402F48"/>
    <w:rsid w:val="00405FE1"/>
    <w:rsid w:val="004061CC"/>
    <w:rsid w:val="004064CB"/>
    <w:rsid w:val="00406DA8"/>
    <w:rsid w:val="00406F9C"/>
    <w:rsid w:val="00407B08"/>
    <w:rsid w:val="004114FF"/>
    <w:rsid w:val="00411771"/>
    <w:rsid w:val="00411A71"/>
    <w:rsid w:val="00411ABD"/>
    <w:rsid w:val="00412481"/>
    <w:rsid w:val="00412567"/>
    <w:rsid w:val="0041263E"/>
    <w:rsid w:val="00412CB1"/>
    <w:rsid w:val="004142DD"/>
    <w:rsid w:val="00414627"/>
    <w:rsid w:val="00414773"/>
    <w:rsid w:val="00414E71"/>
    <w:rsid w:val="0041561A"/>
    <w:rsid w:val="00415A0B"/>
    <w:rsid w:val="0041602E"/>
    <w:rsid w:val="00416B2F"/>
    <w:rsid w:val="00416BF0"/>
    <w:rsid w:val="004178E5"/>
    <w:rsid w:val="00417E83"/>
    <w:rsid w:val="004202FC"/>
    <w:rsid w:val="00420491"/>
    <w:rsid w:val="00420A8F"/>
    <w:rsid w:val="00421816"/>
    <w:rsid w:val="00423467"/>
    <w:rsid w:val="00423BDE"/>
    <w:rsid w:val="004241E8"/>
    <w:rsid w:val="004249B7"/>
    <w:rsid w:val="004249D8"/>
    <w:rsid w:val="00424C61"/>
    <w:rsid w:val="0042588D"/>
    <w:rsid w:val="00425BE4"/>
    <w:rsid w:val="00425BEB"/>
    <w:rsid w:val="004275F8"/>
    <w:rsid w:val="00427CCD"/>
    <w:rsid w:val="00427EEE"/>
    <w:rsid w:val="00430663"/>
    <w:rsid w:val="0043138D"/>
    <w:rsid w:val="00431572"/>
    <w:rsid w:val="00431C31"/>
    <w:rsid w:val="00432FBF"/>
    <w:rsid w:val="00433B51"/>
    <w:rsid w:val="00435FE0"/>
    <w:rsid w:val="00436BDB"/>
    <w:rsid w:val="00436DB4"/>
    <w:rsid w:val="00437B74"/>
    <w:rsid w:val="004416BF"/>
    <w:rsid w:val="00441A8F"/>
    <w:rsid w:val="004423B2"/>
    <w:rsid w:val="0044335B"/>
    <w:rsid w:val="00443C31"/>
    <w:rsid w:val="0044492A"/>
    <w:rsid w:val="00444BD8"/>
    <w:rsid w:val="00444F96"/>
    <w:rsid w:val="00445FFC"/>
    <w:rsid w:val="004462BD"/>
    <w:rsid w:val="004463C6"/>
    <w:rsid w:val="004465FB"/>
    <w:rsid w:val="00446E42"/>
    <w:rsid w:val="0044721A"/>
    <w:rsid w:val="004500B3"/>
    <w:rsid w:val="0045059E"/>
    <w:rsid w:val="00451088"/>
    <w:rsid w:val="00452560"/>
    <w:rsid w:val="0045265F"/>
    <w:rsid w:val="004527FE"/>
    <w:rsid w:val="00452881"/>
    <w:rsid w:val="00452DD8"/>
    <w:rsid w:val="004533A2"/>
    <w:rsid w:val="0045360B"/>
    <w:rsid w:val="004557E3"/>
    <w:rsid w:val="00455E18"/>
    <w:rsid w:val="00455E48"/>
    <w:rsid w:val="00455F65"/>
    <w:rsid w:val="00457150"/>
    <w:rsid w:val="00457533"/>
    <w:rsid w:val="00457981"/>
    <w:rsid w:val="00457F68"/>
    <w:rsid w:val="00460ACD"/>
    <w:rsid w:val="0046100B"/>
    <w:rsid w:val="00462683"/>
    <w:rsid w:val="00462C88"/>
    <w:rsid w:val="00463008"/>
    <w:rsid w:val="004636C5"/>
    <w:rsid w:val="004643F9"/>
    <w:rsid w:val="00464E51"/>
    <w:rsid w:val="00465A38"/>
    <w:rsid w:val="00465B9A"/>
    <w:rsid w:val="004666E6"/>
    <w:rsid w:val="00466D28"/>
    <w:rsid w:val="00466F2A"/>
    <w:rsid w:val="00467513"/>
    <w:rsid w:val="0047034D"/>
    <w:rsid w:val="00470D47"/>
    <w:rsid w:val="004713CB"/>
    <w:rsid w:val="004718ED"/>
    <w:rsid w:val="00472792"/>
    <w:rsid w:val="00472F54"/>
    <w:rsid w:val="004736A3"/>
    <w:rsid w:val="00473FE5"/>
    <w:rsid w:val="004753E3"/>
    <w:rsid w:val="004755FD"/>
    <w:rsid w:val="00475B7C"/>
    <w:rsid w:val="00476DD2"/>
    <w:rsid w:val="0047751D"/>
    <w:rsid w:val="004801A0"/>
    <w:rsid w:val="00480294"/>
    <w:rsid w:val="004805AE"/>
    <w:rsid w:val="0048134E"/>
    <w:rsid w:val="00481791"/>
    <w:rsid w:val="00482974"/>
    <w:rsid w:val="00482D57"/>
    <w:rsid w:val="0048328B"/>
    <w:rsid w:val="00483D6D"/>
    <w:rsid w:val="0048405E"/>
    <w:rsid w:val="00484512"/>
    <w:rsid w:val="00484ADA"/>
    <w:rsid w:val="00485C82"/>
    <w:rsid w:val="0048606B"/>
    <w:rsid w:val="00486CD5"/>
    <w:rsid w:val="00486F87"/>
    <w:rsid w:val="0049066B"/>
    <w:rsid w:val="00490A22"/>
    <w:rsid w:val="00490E3B"/>
    <w:rsid w:val="00490EA9"/>
    <w:rsid w:val="0049123A"/>
    <w:rsid w:val="00491A60"/>
    <w:rsid w:val="0049237A"/>
    <w:rsid w:val="004930CA"/>
    <w:rsid w:val="004943C6"/>
    <w:rsid w:val="00494E72"/>
    <w:rsid w:val="00495C83"/>
    <w:rsid w:val="00495EDC"/>
    <w:rsid w:val="0049713A"/>
    <w:rsid w:val="00497B86"/>
    <w:rsid w:val="004A036A"/>
    <w:rsid w:val="004A0795"/>
    <w:rsid w:val="004A0ECC"/>
    <w:rsid w:val="004A25D4"/>
    <w:rsid w:val="004A2CD6"/>
    <w:rsid w:val="004A2EB8"/>
    <w:rsid w:val="004A315C"/>
    <w:rsid w:val="004A36B2"/>
    <w:rsid w:val="004A383A"/>
    <w:rsid w:val="004A39CA"/>
    <w:rsid w:val="004A4856"/>
    <w:rsid w:val="004A4AEF"/>
    <w:rsid w:val="004A53A9"/>
    <w:rsid w:val="004A5695"/>
    <w:rsid w:val="004A57E3"/>
    <w:rsid w:val="004A5803"/>
    <w:rsid w:val="004A5B35"/>
    <w:rsid w:val="004A5C44"/>
    <w:rsid w:val="004A5F99"/>
    <w:rsid w:val="004B16A7"/>
    <w:rsid w:val="004B1853"/>
    <w:rsid w:val="004B1CF5"/>
    <w:rsid w:val="004B2B51"/>
    <w:rsid w:val="004B49B3"/>
    <w:rsid w:val="004B4B67"/>
    <w:rsid w:val="004B650D"/>
    <w:rsid w:val="004B68FC"/>
    <w:rsid w:val="004B7941"/>
    <w:rsid w:val="004B7F26"/>
    <w:rsid w:val="004C0189"/>
    <w:rsid w:val="004C05C9"/>
    <w:rsid w:val="004C107D"/>
    <w:rsid w:val="004C1DA8"/>
    <w:rsid w:val="004C1EE3"/>
    <w:rsid w:val="004C2A55"/>
    <w:rsid w:val="004C2ABF"/>
    <w:rsid w:val="004C2FB7"/>
    <w:rsid w:val="004C32FD"/>
    <w:rsid w:val="004C37A0"/>
    <w:rsid w:val="004C38B1"/>
    <w:rsid w:val="004C3BD8"/>
    <w:rsid w:val="004C3C0C"/>
    <w:rsid w:val="004C54F2"/>
    <w:rsid w:val="004C55E9"/>
    <w:rsid w:val="004C57F5"/>
    <w:rsid w:val="004C5E26"/>
    <w:rsid w:val="004C6089"/>
    <w:rsid w:val="004D0CE4"/>
    <w:rsid w:val="004D147D"/>
    <w:rsid w:val="004D2175"/>
    <w:rsid w:val="004D221B"/>
    <w:rsid w:val="004D2DC1"/>
    <w:rsid w:val="004D3792"/>
    <w:rsid w:val="004D3A8D"/>
    <w:rsid w:val="004D3EEC"/>
    <w:rsid w:val="004D42EB"/>
    <w:rsid w:val="004D4313"/>
    <w:rsid w:val="004D45B8"/>
    <w:rsid w:val="004D4B76"/>
    <w:rsid w:val="004D5055"/>
    <w:rsid w:val="004D5084"/>
    <w:rsid w:val="004D5BF7"/>
    <w:rsid w:val="004D64FC"/>
    <w:rsid w:val="004D67EC"/>
    <w:rsid w:val="004D6FF9"/>
    <w:rsid w:val="004D78FF"/>
    <w:rsid w:val="004E046B"/>
    <w:rsid w:val="004E10CD"/>
    <w:rsid w:val="004E13E5"/>
    <w:rsid w:val="004E1C01"/>
    <w:rsid w:val="004E2D1B"/>
    <w:rsid w:val="004E31E6"/>
    <w:rsid w:val="004E3E86"/>
    <w:rsid w:val="004E41A5"/>
    <w:rsid w:val="004E43D0"/>
    <w:rsid w:val="004E4937"/>
    <w:rsid w:val="004E4CC0"/>
    <w:rsid w:val="004E5080"/>
    <w:rsid w:val="004E52FC"/>
    <w:rsid w:val="004E584A"/>
    <w:rsid w:val="004E6E30"/>
    <w:rsid w:val="004E7E41"/>
    <w:rsid w:val="004F0324"/>
    <w:rsid w:val="004F0676"/>
    <w:rsid w:val="004F0887"/>
    <w:rsid w:val="004F133A"/>
    <w:rsid w:val="004F19AA"/>
    <w:rsid w:val="004F2D13"/>
    <w:rsid w:val="004F47A4"/>
    <w:rsid w:val="004F4815"/>
    <w:rsid w:val="004F4A86"/>
    <w:rsid w:val="004F4C24"/>
    <w:rsid w:val="004F60EB"/>
    <w:rsid w:val="004F628C"/>
    <w:rsid w:val="00502299"/>
    <w:rsid w:val="00502726"/>
    <w:rsid w:val="00503E8B"/>
    <w:rsid w:val="00503F54"/>
    <w:rsid w:val="00506175"/>
    <w:rsid w:val="005063BE"/>
    <w:rsid w:val="00506E85"/>
    <w:rsid w:val="00507767"/>
    <w:rsid w:val="005079AC"/>
    <w:rsid w:val="005102BE"/>
    <w:rsid w:val="0051094D"/>
    <w:rsid w:val="005111BA"/>
    <w:rsid w:val="00512DCE"/>
    <w:rsid w:val="00513ABF"/>
    <w:rsid w:val="00513EE3"/>
    <w:rsid w:val="0051444E"/>
    <w:rsid w:val="00514BBB"/>
    <w:rsid w:val="00514CE8"/>
    <w:rsid w:val="00514FAE"/>
    <w:rsid w:val="00515207"/>
    <w:rsid w:val="0051524A"/>
    <w:rsid w:val="00515398"/>
    <w:rsid w:val="005157A7"/>
    <w:rsid w:val="00515A31"/>
    <w:rsid w:val="00516079"/>
    <w:rsid w:val="00516E5A"/>
    <w:rsid w:val="00516EE8"/>
    <w:rsid w:val="00520297"/>
    <w:rsid w:val="0052076A"/>
    <w:rsid w:val="00520A7A"/>
    <w:rsid w:val="00523076"/>
    <w:rsid w:val="00523B06"/>
    <w:rsid w:val="00525AB8"/>
    <w:rsid w:val="00525CC2"/>
    <w:rsid w:val="0052620B"/>
    <w:rsid w:val="00526756"/>
    <w:rsid w:val="0052719A"/>
    <w:rsid w:val="00527225"/>
    <w:rsid w:val="005319D6"/>
    <w:rsid w:val="00531E37"/>
    <w:rsid w:val="00531F19"/>
    <w:rsid w:val="00532A16"/>
    <w:rsid w:val="00532CE7"/>
    <w:rsid w:val="0053312D"/>
    <w:rsid w:val="00533347"/>
    <w:rsid w:val="00533EE0"/>
    <w:rsid w:val="0053404B"/>
    <w:rsid w:val="00534056"/>
    <w:rsid w:val="00535BD5"/>
    <w:rsid w:val="00536B27"/>
    <w:rsid w:val="00536F6E"/>
    <w:rsid w:val="0053719B"/>
    <w:rsid w:val="00540065"/>
    <w:rsid w:val="005403E9"/>
    <w:rsid w:val="005414F1"/>
    <w:rsid w:val="00541E05"/>
    <w:rsid w:val="005422E1"/>
    <w:rsid w:val="00543B52"/>
    <w:rsid w:val="00544046"/>
    <w:rsid w:val="00545631"/>
    <w:rsid w:val="00546571"/>
    <w:rsid w:val="005471D3"/>
    <w:rsid w:val="00547546"/>
    <w:rsid w:val="00551AB9"/>
    <w:rsid w:val="00551D8B"/>
    <w:rsid w:val="00551F02"/>
    <w:rsid w:val="00552D24"/>
    <w:rsid w:val="00556F56"/>
    <w:rsid w:val="005573FA"/>
    <w:rsid w:val="00557431"/>
    <w:rsid w:val="005602F9"/>
    <w:rsid w:val="005609EA"/>
    <w:rsid w:val="00560B49"/>
    <w:rsid w:val="00560E2C"/>
    <w:rsid w:val="00560EA0"/>
    <w:rsid w:val="005610F2"/>
    <w:rsid w:val="00562A5E"/>
    <w:rsid w:val="00563C19"/>
    <w:rsid w:val="005643C5"/>
    <w:rsid w:val="005652C3"/>
    <w:rsid w:val="00566815"/>
    <w:rsid w:val="005708C6"/>
    <w:rsid w:val="00571726"/>
    <w:rsid w:val="00571EBD"/>
    <w:rsid w:val="00572068"/>
    <w:rsid w:val="00572C8F"/>
    <w:rsid w:val="00574044"/>
    <w:rsid w:val="00574867"/>
    <w:rsid w:val="00575367"/>
    <w:rsid w:val="005756A9"/>
    <w:rsid w:val="00575F4F"/>
    <w:rsid w:val="00576ADA"/>
    <w:rsid w:val="00576C33"/>
    <w:rsid w:val="00580B35"/>
    <w:rsid w:val="0058272D"/>
    <w:rsid w:val="00582869"/>
    <w:rsid w:val="00582CEC"/>
    <w:rsid w:val="00584745"/>
    <w:rsid w:val="00584F2B"/>
    <w:rsid w:val="00585016"/>
    <w:rsid w:val="0058570A"/>
    <w:rsid w:val="00587BFB"/>
    <w:rsid w:val="00591393"/>
    <w:rsid w:val="005916B5"/>
    <w:rsid w:val="00591783"/>
    <w:rsid w:val="0059182F"/>
    <w:rsid w:val="00592557"/>
    <w:rsid w:val="005928B2"/>
    <w:rsid w:val="00592A3D"/>
    <w:rsid w:val="005937A7"/>
    <w:rsid w:val="00596EBD"/>
    <w:rsid w:val="005973A3"/>
    <w:rsid w:val="00597B84"/>
    <w:rsid w:val="00597D50"/>
    <w:rsid w:val="005A04E6"/>
    <w:rsid w:val="005A0766"/>
    <w:rsid w:val="005A20C0"/>
    <w:rsid w:val="005A248C"/>
    <w:rsid w:val="005A3F17"/>
    <w:rsid w:val="005A3F86"/>
    <w:rsid w:val="005A4707"/>
    <w:rsid w:val="005A49C9"/>
    <w:rsid w:val="005A4C5A"/>
    <w:rsid w:val="005A51F6"/>
    <w:rsid w:val="005A5335"/>
    <w:rsid w:val="005A5E74"/>
    <w:rsid w:val="005A5EA4"/>
    <w:rsid w:val="005A69D5"/>
    <w:rsid w:val="005A6D63"/>
    <w:rsid w:val="005A71FD"/>
    <w:rsid w:val="005A7C7E"/>
    <w:rsid w:val="005B037A"/>
    <w:rsid w:val="005B15D0"/>
    <w:rsid w:val="005B1B37"/>
    <w:rsid w:val="005B5F6C"/>
    <w:rsid w:val="005B70F9"/>
    <w:rsid w:val="005B72F7"/>
    <w:rsid w:val="005B7492"/>
    <w:rsid w:val="005B7657"/>
    <w:rsid w:val="005C032C"/>
    <w:rsid w:val="005C06AB"/>
    <w:rsid w:val="005C0F36"/>
    <w:rsid w:val="005C2582"/>
    <w:rsid w:val="005C267D"/>
    <w:rsid w:val="005C3715"/>
    <w:rsid w:val="005C3EDF"/>
    <w:rsid w:val="005C3F40"/>
    <w:rsid w:val="005C4166"/>
    <w:rsid w:val="005C43B7"/>
    <w:rsid w:val="005C4BC9"/>
    <w:rsid w:val="005C67B6"/>
    <w:rsid w:val="005C78BA"/>
    <w:rsid w:val="005D0044"/>
    <w:rsid w:val="005D0317"/>
    <w:rsid w:val="005D10DF"/>
    <w:rsid w:val="005D1225"/>
    <w:rsid w:val="005D369C"/>
    <w:rsid w:val="005D3F03"/>
    <w:rsid w:val="005D429C"/>
    <w:rsid w:val="005D550A"/>
    <w:rsid w:val="005D5521"/>
    <w:rsid w:val="005D58C7"/>
    <w:rsid w:val="005D5D6D"/>
    <w:rsid w:val="005D6422"/>
    <w:rsid w:val="005D70C7"/>
    <w:rsid w:val="005E01F6"/>
    <w:rsid w:val="005E07DF"/>
    <w:rsid w:val="005E18FB"/>
    <w:rsid w:val="005E196B"/>
    <w:rsid w:val="005E2CC7"/>
    <w:rsid w:val="005E32B9"/>
    <w:rsid w:val="005E36B7"/>
    <w:rsid w:val="005E3DCC"/>
    <w:rsid w:val="005E544C"/>
    <w:rsid w:val="005F02E0"/>
    <w:rsid w:val="005F043C"/>
    <w:rsid w:val="005F1035"/>
    <w:rsid w:val="005F1352"/>
    <w:rsid w:val="005F1BF5"/>
    <w:rsid w:val="005F1DEA"/>
    <w:rsid w:val="005F3A39"/>
    <w:rsid w:val="005F3BFE"/>
    <w:rsid w:val="005F53AE"/>
    <w:rsid w:val="005F589B"/>
    <w:rsid w:val="005F701E"/>
    <w:rsid w:val="005F7394"/>
    <w:rsid w:val="005F76DE"/>
    <w:rsid w:val="006005BE"/>
    <w:rsid w:val="00600D6B"/>
    <w:rsid w:val="00601B44"/>
    <w:rsid w:val="00601E86"/>
    <w:rsid w:val="00601FEA"/>
    <w:rsid w:val="00602326"/>
    <w:rsid w:val="006024EE"/>
    <w:rsid w:val="00603B1E"/>
    <w:rsid w:val="00603E17"/>
    <w:rsid w:val="00603F02"/>
    <w:rsid w:val="00604D9F"/>
    <w:rsid w:val="006052DE"/>
    <w:rsid w:val="0060560F"/>
    <w:rsid w:val="0060561F"/>
    <w:rsid w:val="006069E3"/>
    <w:rsid w:val="00606E7D"/>
    <w:rsid w:val="00606FC2"/>
    <w:rsid w:val="0060718E"/>
    <w:rsid w:val="00607928"/>
    <w:rsid w:val="00607E11"/>
    <w:rsid w:val="00607FF2"/>
    <w:rsid w:val="006110A4"/>
    <w:rsid w:val="006119C9"/>
    <w:rsid w:val="006120B4"/>
    <w:rsid w:val="006126C2"/>
    <w:rsid w:val="00612C81"/>
    <w:rsid w:val="00612CF7"/>
    <w:rsid w:val="00613C00"/>
    <w:rsid w:val="00614B61"/>
    <w:rsid w:val="00614D50"/>
    <w:rsid w:val="00616396"/>
    <w:rsid w:val="00616726"/>
    <w:rsid w:val="0061685C"/>
    <w:rsid w:val="006169E5"/>
    <w:rsid w:val="006176E8"/>
    <w:rsid w:val="00617A20"/>
    <w:rsid w:val="00620982"/>
    <w:rsid w:val="00621849"/>
    <w:rsid w:val="006219EA"/>
    <w:rsid w:val="006226F7"/>
    <w:rsid w:val="006232BD"/>
    <w:rsid w:val="006239A0"/>
    <w:rsid w:val="00623B3D"/>
    <w:rsid w:val="006243F8"/>
    <w:rsid w:val="00624B8C"/>
    <w:rsid w:val="00625697"/>
    <w:rsid w:val="006257AD"/>
    <w:rsid w:val="00626C61"/>
    <w:rsid w:val="00626C8E"/>
    <w:rsid w:val="00627A96"/>
    <w:rsid w:val="00627C0C"/>
    <w:rsid w:val="006303ED"/>
    <w:rsid w:val="006310D8"/>
    <w:rsid w:val="006313F2"/>
    <w:rsid w:val="006314AF"/>
    <w:rsid w:val="0063189A"/>
    <w:rsid w:val="00631C78"/>
    <w:rsid w:val="00631D48"/>
    <w:rsid w:val="00632B36"/>
    <w:rsid w:val="00633184"/>
    <w:rsid w:val="00633962"/>
    <w:rsid w:val="00633C29"/>
    <w:rsid w:val="0063482A"/>
    <w:rsid w:val="00635FAE"/>
    <w:rsid w:val="0063620E"/>
    <w:rsid w:val="00636398"/>
    <w:rsid w:val="0063640A"/>
    <w:rsid w:val="0063645C"/>
    <w:rsid w:val="00636568"/>
    <w:rsid w:val="00636896"/>
    <w:rsid w:val="00636E5C"/>
    <w:rsid w:val="00640806"/>
    <w:rsid w:val="00640D3D"/>
    <w:rsid w:val="00641101"/>
    <w:rsid w:val="00641140"/>
    <w:rsid w:val="0064177E"/>
    <w:rsid w:val="006419C5"/>
    <w:rsid w:val="006422B8"/>
    <w:rsid w:val="00644659"/>
    <w:rsid w:val="00645F5A"/>
    <w:rsid w:val="0064698C"/>
    <w:rsid w:val="00646DAE"/>
    <w:rsid w:val="00646E80"/>
    <w:rsid w:val="0064739F"/>
    <w:rsid w:val="00647524"/>
    <w:rsid w:val="0065028A"/>
    <w:rsid w:val="0065044C"/>
    <w:rsid w:val="0065063B"/>
    <w:rsid w:val="00650D1C"/>
    <w:rsid w:val="0065159A"/>
    <w:rsid w:val="006515DA"/>
    <w:rsid w:val="00652135"/>
    <w:rsid w:val="00652345"/>
    <w:rsid w:val="0065376B"/>
    <w:rsid w:val="00654DF5"/>
    <w:rsid w:val="00655262"/>
    <w:rsid w:val="006553F9"/>
    <w:rsid w:val="0065690F"/>
    <w:rsid w:val="006570C3"/>
    <w:rsid w:val="006573CE"/>
    <w:rsid w:val="00660718"/>
    <w:rsid w:val="00660CE9"/>
    <w:rsid w:val="006610F2"/>
    <w:rsid w:val="00661DC8"/>
    <w:rsid w:val="006620C0"/>
    <w:rsid w:val="006623BF"/>
    <w:rsid w:val="00662A49"/>
    <w:rsid w:val="00662CDD"/>
    <w:rsid w:val="006636EE"/>
    <w:rsid w:val="00663795"/>
    <w:rsid w:val="006637E2"/>
    <w:rsid w:val="0066420F"/>
    <w:rsid w:val="006643FB"/>
    <w:rsid w:val="00664C2F"/>
    <w:rsid w:val="00665A70"/>
    <w:rsid w:val="00666503"/>
    <w:rsid w:val="00667651"/>
    <w:rsid w:val="0067070C"/>
    <w:rsid w:val="00670C39"/>
    <w:rsid w:val="00671141"/>
    <w:rsid w:val="0067130B"/>
    <w:rsid w:val="0067176C"/>
    <w:rsid w:val="006728F6"/>
    <w:rsid w:val="00672C13"/>
    <w:rsid w:val="00672E4B"/>
    <w:rsid w:val="00672FE5"/>
    <w:rsid w:val="00672FFC"/>
    <w:rsid w:val="006733B2"/>
    <w:rsid w:val="0067560E"/>
    <w:rsid w:val="00676538"/>
    <w:rsid w:val="006768D0"/>
    <w:rsid w:val="006769DD"/>
    <w:rsid w:val="00677FEB"/>
    <w:rsid w:val="0068222F"/>
    <w:rsid w:val="00682588"/>
    <w:rsid w:val="00683252"/>
    <w:rsid w:val="00683347"/>
    <w:rsid w:val="006836A6"/>
    <w:rsid w:val="00683D90"/>
    <w:rsid w:val="006854A4"/>
    <w:rsid w:val="00685DE1"/>
    <w:rsid w:val="00686F66"/>
    <w:rsid w:val="0068721B"/>
    <w:rsid w:val="006874CA"/>
    <w:rsid w:val="0068758F"/>
    <w:rsid w:val="00692286"/>
    <w:rsid w:val="00692E36"/>
    <w:rsid w:val="00693043"/>
    <w:rsid w:val="00693223"/>
    <w:rsid w:val="00693B17"/>
    <w:rsid w:val="00694081"/>
    <w:rsid w:val="00694852"/>
    <w:rsid w:val="00694B00"/>
    <w:rsid w:val="00695439"/>
    <w:rsid w:val="00695BCA"/>
    <w:rsid w:val="0069633F"/>
    <w:rsid w:val="006969C1"/>
    <w:rsid w:val="006974A6"/>
    <w:rsid w:val="006978E9"/>
    <w:rsid w:val="006A111C"/>
    <w:rsid w:val="006A2553"/>
    <w:rsid w:val="006A30D6"/>
    <w:rsid w:val="006A32E1"/>
    <w:rsid w:val="006A3322"/>
    <w:rsid w:val="006A3A34"/>
    <w:rsid w:val="006A476B"/>
    <w:rsid w:val="006A48B7"/>
    <w:rsid w:val="006A49AB"/>
    <w:rsid w:val="006A4C1D"/>
    <w:rsid w:val="006A4C2C"/>
    <w:rsid w:val="006A5049"/>
    <w:rsid w:val="006A62D8"/>
    <w:rsid w:val="006A737B"/>
    <w:rsid w:val="006A7614"/>
    <w:rsid w:val="006A7C33"/>
    <w:rsid w:val="006A7D54"/>
    <w:rsid w:val="006B0115"/>
    <w:rsid w:val="006B03D0"/>
    <w:rsid w:val="006B0899"/>
    <w:rsid w:val="006B0B0B"/>
    <w:rsid w:val="006B0E5C"/>
    <w:rsid w:val="006B204A"/>
    <w:rsid w:val="006B27E9"/>
    <w:rsid w:val="006B2C39"/>
    <w:rsid w:val="006B33AD"/>
    <w:rsid w:val="006B4038"/>
    <w:rsid w:val="006B4852"/>
    <w:rsid w:val="006B4CE6"/>
    <w:rsid w:val="006B4E85"/>
    <w:rsid w:val="006B5125"/>
    <w:rsid w:val="006B5D57"/>
    <w:rsid w:val="006B6DE8"/>
    <w:rsid w:val="006B7E57"/>
    <w:rsid w:val="006C0081"/>
    <w:rsid w:val="006C22D1"/>
    <w:rsid w:val="006C2A97"/>
    <w:rsid w:val="006C2DC1"/>
    <w:rsid w:val="006C3E21"/>
    <w:rsid w:val="006C3F27"/>
    <w:rsid w:val="006C41A5"/>
    <w:rsid w:val="006C4B04"/>
    <w:rsid w:val="006C5815"/>
    <w:rsid w:val="006C5892"/>
    <w:rsid w:val="006C5CFA"/>
    <w:rsid w:val="006C5E1D"/>
    <w:rsid w:val="006C6119"/>
    <w:rsid w:val="006C6D92"/>
    <w:rsid w:val="006C7E77"/>
    <w:rsid w:val="006D0436"/>
    <w:rsid w:val="006D11EA"/>
    <w:rsid w:val="006D1402"/>
    <w:rsid w:val="006D16E2"/>
    <w:rsid w:val="006D201D"/>
    <w:rsid w:val="006D2EBE"/>
    <w:rsid w:val="006D48EB"/>
    <w:rsid w:val="006D5BCF"/>
    <w:rsid w:val="006D6768"/>
    <w:rsid w:val="006D72DF"/>
    <w:rsid w:val="006E0756"/>
    <w:rsid w:val="006E198A"/>
    <w:rsid w:val="006E1DF0"/>
    <w:rsid w:val="006E1E47"/>
    <w:rsid w:val="006E1F84"/>
    <w:rsid w:val="006E505F"/>
    <w:rsid w:val="006E523C"/>
    <w:rsid w:val="006E5672"/>
    <w:rsid w:val="006E5A60"/>
    <w:rsid w:val="006E6408"/>
    <w:rsid w:val="006E79A7"/>
    <w:rsid w:val="006E7C19"/>
    <w:rsid w:val="006F156E"/>
    <w:rsid w:val="006F18C2"/>
    <w:rsid w:val="006F2A5B"/>
    <w:rsid w:val="006F4024"/>
    <w:rsid w:val="006F40B1"/>
    <w:rsid w:val="006F46E3"/>
    <w:rsid w:val="006F4A7E"/>
    <w:rsid w:val="006F511A"/>
    <w:rsid w:val="006F6450"/>
    <w:rsid w:val="006F70F6"/>
    <w:rsid w:val="006F7385"/>
    <w:rsid w:val="006F7449"/>
    <w:rsid w:val="006F7F97"/>
    <w:rsid w:val="007000EF"/>
    <w:rsid w:val="00701551"/>
    <w:rsid w:val="0070195D"/>
    <w:rsid w:val="007019C7"/>
    <w:rsid w:val="00701E35"/>
    <w:rsid w:val="00701FB6"/>
    <w:rsid w:val="0070268E"/>
    <w:rsid w:val="007029D1"/>
    <w:rsid w:val="0070323A"/>
    <w:rsid w:val="007034EF"/>
    <w:rsid w:val="007039AE"/>
    <w:rsid w:val="00704766"/>
    <w:rsid w:val="0070600C"/>
    <w:rsid w:val="00706A37"/>
    <w:rsid w:val="00707D8E"/>
    <w:rsid w:val="0071080C"/>
    <w:rsid w:val="0071196E"/>
    <w:rsid w:val="00712854"/>
    <w:rsid w:val="007137DC"/>
    <w:rsid w:val="00713B5B"/>
    <w:rsid w:val="00714BE2"/>
    <w:rsid w:val="00714FFD"/>
    <w:rsid w:val="007159DC"/>
    <w:rsid w:val="00715D1B"/>
    <w:rsid w:val="00715D29"/>
    <w:rsid w:val="00715FDD"/>
    <w:rsid w:val="0071606B"/>
    <w:rsid w:val="007200BA"/>
    <w:rsid w:val="00721373"/>
    <w:rsid w:val="00721E20"/>
    <w:rsid w:val="007226E0"/>
    <w:rsid w:val="007232FB"/>
    <w:rsid w:val="007235AB"/>
    <w:rsid w:val="00723B39"/>
    <w:rsid w:val="00724336"/>
    <w:rsid w:val="00725B59"/>
    <w:rsid w:val="00727A48"/>
    <w:rsid w:val="00730565"/>
    <w:rsid w:val="00730C27"/>
    <w:rsid w:val="00731C2B"/>
    <w:rsid w:val="007320E9"/>
    <w:rsid w:val="00734339"/>
    <w:rsid w:val="00735234"/>
    <w:rsid w:val="007357C7"/>
    <w:rsid w:val="00735F94"/>
    <w:rsid w:val="00736D77"/>
    <w:rsid w:val="00737435"/>
    <w:rsid w:val="0073790C"/>
    <w:rsid w:val="007400F1"/>
    <w:rsid w:val="00740A59"/>
    <w:rsid w:val="007412D1"/>
    <w:rsid w:val="007415A9"/>
    <w:rsid w:val="00741814"/>
    <w:rsid w:val="007421D9"/>
    <w:rsid w:val="00742578"/>
    <w:rsid w:val="00742D94"/>
    <w:rsid w:val="00743495"/>
    <w:rsid w:val="007446B3"/>
    <w:rsid w:val="00744C4D"/>
    <w:rsid w:val="0074500D"/>
    <w:rsid w:val="00745F2E"/>
    <w:rsid w:val="00746920"/>
    <w:rsid w:val="007469C4"/>
    <w:rsid w:val="00747ACF"/>
    <w:rsid w:val="007504A0"/>
    <w:rsid w:val="00752525"/>
    <w:rsid w:val="007527A4"/>
    <w:rsid w:val="007530DA"/>
    <w:rsid w:val="00753B27"/>
    <w:rsid w:val="00753D09"/>
    <w:rsid w:val="007549B4"/>
    <w:rsid w:val="007575E7"/>
    <w:rsid w:val="0076041F"/>
    <w:rsid w:val="007608DC"/>
    <w:rsid w:val="00760A49"/>
    <w:rsid w:val="00760C68"/>
    <w:rsid w:val="00761081"/>
    <w:rsid w:val="0076186A"/>
    <w:rsid w:val="00761AF3"/>
    <w:rsid w:val="00761B0B"/>
    <w:rsid w:val="00761D26"/>
    <w:rsid w:val="00762083"/>
    <w:rsid w:val="00762551"/>
    <w:rsid w:val="007625C4"/>
    <w:rsid w:val="00762850"/>
    <w:rsid w:val="00762E2F"/>
    <w:rsid w:val="0076331B"/>
    <w:rsid w:val="00764933"/>
    <w:rsid w:val="00764D9A"/>
    <w:rsid w:val="0076530E"/>
    <w:rsid w:val="00765399"/>
    <w:rsid w:val="007654D4"/>
    <w:rsid w:val="00765553"/>
    <w:rsid w:val="00766B1B"/>
    <w:rsid w:val="007675E1"/>
    <w:rsid w:val="007700A1"/>
    <w:rsid w:val="0077113C"/>
    <w:rsid w:val="00771D5D"/>
    <w:rsid w:val="007726C9"/>
    <w:rsid w:val="00773A4E"/>
    <w:rsid w:val="00774187"/>
    <w:rsid w:val="0077438B"/>
    <w:rsid w:val="007750CF"/>
    <w:rsid w:val="00775584"/>
    <w:rsid w:val="00776DD2"/>
    <w:rsid w:val="00777356"/>
    <w:rsid w:val="007800C1"/>
    <w:rsid w:val="00780799"/>
    <w:rsid w:val="007811B1"/>
    <w:rsid w:val="00781D4D"/>
    <w:rsid w:val="0078228C"/>
    <w:rsid w:val="007822DF"/>
    <w:rsid w:val="00782AA7"/>
    <w:rsid w:val="00782BF1"/>
    <w:rsid w:val="00782CA2"/>
    <w:rsid w:val="00783FC6"/>
    <w:rsid w:val="00784178"/>
    <w:rsid w:val="007841F4"/>
    <w:rsid w:val="00784523"/>
    <w:rsid w:val="007845C9"/>
    <w:rsid w:val="00784A27"/>
    <w:rsid w:val="00784C2D"/>
    <w:rsid w:val="007859E2"/>
    <w:rsid w:val="00786C8C"/>
    <w:rsid w:val="00787A4F"/>
    <w:rsid w:val="0079075C"/>
    <w:rsid w:val="007916C6"/>
    <w:rsid w:val="007918CB"/>
    <w:rsid w:val="00791E2D"/>
    <w:rsid w:val="007931B5"/>
    <w:rsid w:val="007932D4"/>
    <w:rsid w:val="00793A1A"/>
    <w:rsid w:val="00793AED"/>
    <w:rsid w:val="00795233"/>
    <w:rsid w:val="00795769"/>
    <w:rsid w:val="0079703C"/>
    <w:rsid w:val="00797355"/>
    <w:rsid w:val="00797C2A"/>
    <w:rsid w:val="007A0180"/>
    <w:rsid w:val="007A152F"/>
    <w:rsid w:val="007A2BB2"/>
    <w:rsid w:val="007A2CA6"/>
    <w:rsid w:val="007A2F6C"/>
    <w:rsid w:val="007A53DD"/>
    <w:rsid w:val="007A5764"/>
    <w:rsid w:val="007A5F2E"/>
    <w:rsid w:val="007A644E"/>
    <w:rsid w:val="007A679B"/>
    <w:rsid w:val="007A72F3"/>
    <w:rsid w:val="007B01C4"/>
    <w:rsid w:val="007B076B"/>
    <w:rsid w:val="007B24A1"/>
    <w:rsid w:val="007B2A34"/>
    <w:rsid w:val="007B2A94"/>
    <w:rsid w:val="007B3F27"/>
    <w:rsid w:val="007B41F7"/>
    <w:rsid w:val="007B52F3"/>
    <w:rsid w:val="007B6932"/>
    <w:rsid w:val="007B7579"/>
    <w:rsid w:val="007B774B"/>
    <w:rsid w:val="007C0719"/>
    <w:rsid w:val="007C141A"/>
    <w:rsid w:val="007C2BE7"/>
    <w:rsid w:val="007C2D89"/>
    <w:rsid w:val="007C309C"/>
    <w:rsid w:val="007C3202"/>
    <w:rsid w:val="007C326F"/>
    <w:rsid w:val="007C3CB4"/>
    <w:rsid w:val="007C3F3C"/>
    <w:rsid w:val="007C5B63"/>
    <w:rsid w:val="007C5F95"/>
    <w:rsid w:val="007C636E"/>
    <w:rsid w:val="007C674C"/>
    <w:rsid w:val="007C6B81"/>
    <w:rsid w:val="007C6F4F"/>
    <w:rsid w:val="007C710A"/>
    <w:rsid w:val="007D1CCB"/>
    <w:rsid w:val="007D20E7"/>
    <w:rsid w:val="007D22BF"/>
    <w:rsid w:val="007D27C7"/>
    <w:rsid w:val="007D2896"/>
    <w:rsid w:val="007D3159"/>
    <w:rsid w:val="007D315C"/>
    <w:rsid w:val="007D36D3"/>
    <w:rsid w:val="007D4120"/>
    <w:rsid w:val="007D4618"/>
    <w:rsid w:val="007D4E4C"/>
    <w:rsid w:val="007D59C0"/>
    <w:rsid w:val="007D6136"/>
    <w:rsid w:val="007D63E7"/>
    <w:rsid w:val="007D6D66"/>
    <w:rsid w:val="007D6DDD"/>
    <w:rsid w:val="007D6F6E"/>
    <w:rsid w:val="007D7661"/>
    <w:rsid w:val="007D7EC0"/>
    <w:rsid w:val="007E0D9D"/>
    <w:rsid w:val="007E23EA"/>
    <w:rsid w:val="007E2C6C"/>
    <w:rsid w:val="007E37AE"/>
    <w:rsid w:val="007E427F"/>
    <w:rsid w:val="007E4410"/>
    <w:rsid w:val="007E46A6"/>
    <w:rsid w:val="007E5442"/>
    <w:rsid w:val="007E5BFB"/>
    <w:rsid w:val="007E5E93"/>
    <w:rsid w:val="007E729B"/>
    <w:rsid w:val="007E7A94"/>
    <w:rsid w:val="007E7D04"/>
    <w:rsid w:val="007F0286"/>
    <w:rsid w:val="007F0A52"/>
    <w:rsid w:val="007F0DD3"/>
    <w:rsid w:val="007F2368"/>
    <w:rsid w:val="007F34BF"/>
    <w:rsid w:val="007F430C"/>
    <w:rsid w:val="007F4A97"/>
    <w:rsid w:val="007F5517"/>
    <w:rsid w:val="007F5D03"/>
    <w:rsid w:val="007F67C2"/>
    <w:rsid w:val="007F7566"/>
    <w:rsid w:val="007F7B82"/>
    <w:rsid w:val="007F7BE1"/>
    <w:rsid w:val="00800389"/>
    <w:rsid w:val="00800490"/>
    <w:rsid w:val="00801A7A"/>
    <w:rsid w:val="00803142"/>
    <w:rsid w:val="00803703"/>
    <w:rsid w:val="0080372C"/>
    <w:rsid w:val="00803FD4"/>
    <w:rsid w:val="00805C58"/>
    <w:rsid w:val="00807F39"/>
    <w:rsid w:val="008118B1"/>
    <w:rsid w:val="00812A8D"/>
    <w:rsid w:val="00812E66"/>
    <w:rsid w:val="00813296"/>
    <w:rsid w:val="00813AF7"/>
    <w:rsid w:val="00814684"/>
    <w:rsid w:val="00815B3B"/>
    <w:rsid w:val="00815C14"/>
    <w:rsid w:val="00815FD9"/>
    <w:rsid w:val="008166C0"/>
    <w:rsid w:val="00816F51"/>
    <w:rsid w:val="0082087A"/>
    <w:rsid w:val="008215A0"/>
    <w:rsid w:val="00822233"/>
    <w:rsid w:val="00823311"/>
    <w:rsid w:val="00823735"/>
    <w:rsid w:val="00823C86"/>
    <w:rsid w:val="00823DB8"/>
    <w:rsid w:val="008243DC"/>
    <w:rsid w:val="00824D64"/>
    <w:rsid w:val="00825494"/>
    <w:rsid w:val="00825703"/>
    <w:rsid w:val="00827557"/>
    <w:rsid w:val="0083026F"/>
    <w:rsid w:val="00831BC0"/>
    <w:rsid w:val="008324FE"/>
    <w:rsid w:val="00832777"/>
    <w:rsid w:val="00833C3B"/>
    <w:rsid w:val="00834133"/>
    <w:rsid w:val="008345F6"/>
    <w:rsid w:val="00834ED5"/>
    <w:rsid w:val="0083596B"/>
    <w:rsid w:val="008365AD"/>
    <w:rsid w:val="00836AE4"/>
    <w:rsid w:val="00836E98"/>
    <w:rsid w:val="008404CD"/>
    <w:rsid w:val="00842245"/>
    <w:rsid w:val="00842FF7"/>
    <w:rsid w:val="00843890"/>
    <w:rsid w:val="00843894"/>
    <w:rsid w:val="00843A83"/>
    <w:rsid w:val="00843E81"/>
    <w:rsid w:val="008447EA"/>
    <w:rsid w:val="008453C5"/>
    <w:rsid w:val="00846B97"/>
    <w:rsid w:val="008475B6"/>
    <w:rsid w:val="008476CC"/>
    <w:rsid w:val="00851917"/>
    <w:rsid w:val="008526FB"/>
    <w:rsid w:val="00852875"/>
    <w:rsid w:val="00853853"/>
    <w:rsid w:val="00853C2C"/>
    <w:rsid w:val="00854D11"/>
    <w:rsid w:val="00855410"/>
    <w:rsid w:val="00855BDE"/>
    <w:rsid w:val="008562F8"/>
    <w:rsid w:val="00856E17"/>
    <w:rsid w:val="00857C55"/>
    <w:rsid w:val="00860527"/>
    <w:rsid w:val="00861103"/>
    <w:rsid w:val="00861196"/>
    <w:rsid w:val="008618E3"/>
    <w:rsid w:val="0086205E"/>
    <w:rsid w:val="008622A7"/>
    <w:rsid w:val="008651DB"/>
    <w:rsid w:val="008653A8"/>
    <w:rsid w:val="0086723D"/>
    <w:rsid w:val="008677B6"/>
    <w:rsid w:val="00867D9F"/>
    <w:rsid w:val="008703AC"/>
    <w:rsid w:val="008709D4"/>
    <w:rsid w:val="008711E0"/>
    <w:rsid w:val="0087130F"/>
    <w:rsid w:val="00871828"/>
    <w:rsid w:val="00871C7A"/>
    <w:rsid w:val="00871F71"/>
    <w:rsid w:val="0087296D"/>
    <w:rsid w:val="00872C23"/>
    <w:rsid w:val="00872C60"/>
    <w:rsid w:val="00873B59"/>
    <w:rsid w:val="00875167"/>
    <w:rsid w:val="008754B4"/>
    <w:rsid w:val="0087598E"/>
    <w:rsid w:val="00875F9C"/>
    <w:rsid w:val="00881190"/>
    <w:rsid w:val="00881862"/>
    <w:rsid w:val="00881FE7"/>
    <w:rsid w:val="008820FA"/>
    <w:rsid w:val="00882138"/>
    <w:rsid w:val="00882175"/>
    <w:rsid w:val="00882AF4"/>
    <w:rsid w:val="008851F7"/>
    <w:rsid w:val="00885ABB"/>
    <w:rsid w:val="00885B07"/>
    <w:rsid w:val="00885C38"/>
    <w:rsid w:val="00885F5D"/>
    <w:rsid w:val="00887181"/>
    <w:rsid w:val="008900E2"/>
    <w:rsid w:val="00891537"/>
    <w:rsid w:val="00891688"/>
    <w:rsid w:val="00891937"/>
    <w:rsid w:val="00891EDF"/>
    <w:rsid w:val="00892CE9"/>
    <w:rsid w:val="00893B42"/>
    <w:rsid w:val="00893D04"/>
    <w:rsid w:val="008946BD"/>
    <w:rsid w:val="008947BA"/>
    <w:rsid w:val="008948D4"/>
    <w:rsid w:val="008950F6"/>
    <w:rsid w:val="00895EE7"/>
    <w:rsid w:val="008968F1"/>
    <w:rsid w:val="00897572"/>
    <w:rsid w:val="008979E0"/>
    <w:rsid w:val="00897E5E"/>
    <w:rsid w:val="008A16FD"/>
    <w:rsid w:val="008A20CE"/>
    <w:rsid w:val="008A254E"/>
    <w:rsid w:val="008A41AC"/>
    <w:rsid w:val="008A44DE"/>
    <w:rsid w:val="008A537B"/>
    <w:rsid w:val="008A5764"/>
    <w:rsid w:val="008A5D56"/>
    <w:rsid w:val="008A6A4D"/>
    <w:rsid w:val="008A7154"/>
    <w:rsid w:val="008B0DEC"/>
    <w:rsid w:val="008B101A"/>
    <w:rsid w:val="008B1888"/>
    <w:rsid w:val="008B1F43"/>
    <w:rsid w:val="008B28E2"/>
    <w:rsid w:val="008B5E78"/>
    <w:rsid w:val="008B65FB"/>
    <w:rsid w:val="008B67BD"/>
    <w:rsid w:val="008B6D11"/>
    <w:rsid w:val="008B7325"/>
    <w:rsid w:val="008B7744"/>
    <w:rsid w:val="008B7757"/>
    <w:rsid w:val="008C0934"/>
    <w:rsid w:val="008C10EE"/>
    <w:rsid w:val="008C12B6"/>
    <w:rsid w:val="008C15F0"/>
    <w:rsid w:val="008C1BFE"/>
    <w:rsid w:val="008C1F6A"/>
    <w:rsid w:val="008C2DA5"/>
    <w:rsid w:val="008C31A8"/>
    <w:rsid w:val="008C32D1"/>
    <w:rsid w:val="008C4954"/>
    <w:rsid w:val="008C4C02"/>
    <w:rsid w:val="008C5FB5"/>
    <w:rsid w:val="008C70D5"/>
    <w:rsid w:val="008C7129"/>
    <w:rsid w:val="008C72EE"/>
    <w:rsid w:val="008D0018"/>
    <w:rsid w:val="008D0483"/>
    <w:rsid w:val="008D04FE"/>
    <w:rsid w:val="008D09CC"/>
    <w:rsid w:val="008D123C"/>
    <w:rsid w:val="008D1B6F"/>
    <w:rsid w:val="008D2E76"/>
    <w:rsid w:val="008D5469"/>
    <w:rsid w:val="008D54FF"/>
    <w:rsid w:val="008D5521"/>
    <w:rsid w:val="008D5E47"/>
    <w:rsid w:val="008D5FD9"/>
    <w:rsid w:val="008D60EF"/>
    <w:rsid w:val="008D65DA"/>
    <w:rsid w:val="008D660A"/>
    <w:rsid w:val="008D7940"/>
    <w:rsid w:val="008E0AE7"/>
    <w:rsid w:val="008E0AEB"/>
    <w:rsid w:val="008E0B6C"/>
    <w:rsid w:val="008E0D09"/>
    <w:rsid w:val="008E0E61"/>
    <w:rsid w:val="008E0EBE"/>
    <w:rsid w:val="008E1268"/>
    <w:rsid w:val="008E2499"/>
    <w:rsid w:val="008E2BB2"/>
    <w:rsid w:val="008E2D5C"/>
    <w:rsid w:val="008E3331"/>
    <w:rsid w:val="008E3CA3"/>
    <w:rsid w:val="008E3E9A"/>
    <w:rsid w:val="008E44B7"/>
    <w:rsid w:val="008E4945"/>
    <w:rsid w:val="008E67EB"/>
    <w:rsid w:val="008E7BBD"/>
    <w:rsid w:val="008E7BE3"/>
    <w:rsid w:val="008F115B"/>
    <w:rsid w:val="008F1197"/>
    <w:rsid w:val="008F1750"/>
    <w:rsid w:val="008F1C32"/>
    <w:rsid w:val="008F2AD6"/>
    <w:rsid w:val="008F2E6F"/>
    <w:rsid w:val="008F3876"/>
    <w:rsid w:val="008F41EA"/>
    <w:rsid w:val="008F5057"/>
    <w:rsid w:val="008F547C"/>
    <w:rsid w:val="008F6ED1"/>
    <w:rsid w:val="008F75F3"/>
    <w:rsid w:val="008F7F96"/>
    <w:rsid w:val="00900194"/>
    <w:rsid w:val="00901229"/>
    <w:rsid w:val="00901EA1"/>
    <w:rsid w:val="00902C47"/>
    <w:rsid w:val="00902E07"/>
    <w:rsid w:val="00903E79"/>
    <w:rsid w:val="00905F31"/>
    <w:rsid w:val="009060CE"/>
    <w:rsid w:val="00910D48"/>
    <w:rsid w:val="00911074"/>
    <w:rsid w:val="009119BB"/>
    <w:rsid w:val="00913FF3"/>
    <w:rsid w:val="0091419D"/>
    <w:rsid w:val="0091508C"/>
    <w:rsid w:val="00915AEF"/>
    <w:rsid w:val="0091685B"/>
    <w:rsid w:val="009170E5"/>
    <w:rsid w:val="00917C96"/>
    <w:rsid w:val="009207AA"/>
    <w:rsid w:val="00920A91"/>
    <w:rsid w:val="00920DF0"/>
    <w:rsid w:val="0092116B"/>
    <w:rsid w:val="009217FE"/>
    <w:rsid w:val="00921FBB"/>
    <w:rsid w:val="009229C9"/>
    <w:rsid w:val="009234C3"/>
    <w:rsid w:val="009243A3"/>
    <w:rsid w:val="009249D8"/>
    <w:rsid w:val="00924DF9"/>
    <w:rsid w:val="00926826"/>
    <w:rsid w:val="00930D51"/>
    <w:rsid w:val="00931574"/>
    <w:rsid w:val="00931BE5"/>
    <w:rsid w:val="00933174"/>
    <w:rsid w:val="00934C8C"/>
    <w:rsid w:val="00934DDB"/>
    <w:rsid w:val="009356D1"/>
    <w:rsid w:val="00935D0B"/>
    <w:rsid w:val="009365C6"/>
    <w:rsid w:val="00936A15"/>
    <w:rsid w:val="00940840"/>
    <w:rsid w:val="00940C08"/>
    <w:rsid w:val="0094115B"/>
    <w:rsid w:val="00941747"/>
    <w:rsid w:val="00942989"/>
    <w:rsid w:val="009439E8"/>
    <w:rsid w:val="00943D0B"/>
    <w:rsid w:val="0094413F"/>
    <w:rsid w:val="00945A6D"/>
    <w:rsid w:val="00946300"/>
    <w:rsid w:val="009470AA"/>
    <w:rsid w:val="009478FE"/>
    <w:rsid w:val="009510D9"/>
    <w:rsid w:val="00951B56"/>
    <w:rsid w:val="00951F27"/>
    <w:rsid w:val="009522AC"/>
    <w:rsid w:val="00952395"/>
    <w:rsid w:val="00952EF7"/>
    <w:rsid w:val="009535CD"/>
    <w:rsid w:val="00953838"/>
    <w:rsid w:val="00954B7B"/>
    <w:rsid w:val="009553F2"/>
    <w:rsid w:val="009555E2"/>
    <w:rsid w:val="009559D4"/>
    <w:rsid w:val="00955EBF"/>
    <w:rsid w:val="00956644"/>
    <w:rsid w:val="00957724"/>
    <w:rsid w:val="00957CFC"/>
    <w:rsid w:val="00960E50"/>
    <w:rsid w:val="00961014"/>
    <w:rsid w:val="0096102B"/>
    <w:rsid w:val="0096196F"/>
    <w:rsid w:val="00962BA9"/>
    <w:rsid w:val="00962F39"/>
    <w:rsid w:val="00963F73"/>
    <w:rsid w:val="00964B17"/>
    <w:rsid w:val="009653F7"/>
    <w:rsid w:val="009656E8"/>
    <w:rsid w:val="00965C2C"/>
    <w:rsid w:val="00965E51"/>
    <w:rsid w:val="00966139"/>
    <w:rsid w:val="009666E7"/>
    <w:rsid w:val="00967281"/>
    <w:rsid w:val="00967649"/>
    <w:rsid w:val="0096788E"/>
    <w:rsid w:val="009702FB"/>
    <w:rsid w:val="0097129A"/>
    <w:rsid w:val="009714CB"/>
    <w:rsid w:val="009720A5"/>
    <w:rsid w:val="0097289C"/>
    <w:rsid w:val="00974740"/>
    <w:rsid w:val="00974BF3"/>
    <w:rsid w:val="00974E47"/>
    <w:rsid w:val="009777B5"/>
    <w:rsid w:val="00977A36"/>
    <w:rsid w:val="00980918"/>
    <w:rsid w:val="0098165A"/>
    <w:rsid w:val="009824BD"/>
    <w:rsid w:val="009825E1"/>
    <w:rsid w:val="00982854"/>
    <w:rsid w:val="009838C5"/>
    <w:rsid w:val="009842DB"/>
    <w:rsid w:val="00985409"/>
    <w:rsid w:val="0098582F"/>
    <w:rsid w:val="00985949"/>
    <w:rsid w:val="009866CC"/>
    <w:rsid w:val="009868FB"/>
    <w:rsid w:val="00986934"/>
    <w:rsid w:val="00987C01"/>
    <w:rsid w:val="0099009F"/>
    <w:rsid w:val="009902F8"/>
    <w:rsid w:val="00990874"/>
    <w:rsid w:val="00991447"/>
    <w:rsid w:val="00991627"/>
    <w:rsid w:val="00991FDC"/>
    <w:rsid w:val="00992454"/>
    <w:rsid w:val="00992566"/>
    <w:rsid w:val="009926B7"/>
    <w:rsid w:val="00992A82"/>
    <w:rsid w:val="00992F93"/>
    <w:rsid w:val="00994A07"/>
    <w:rsid w:val="00994E27"/>
    <w:rsid w:val="00994E69"/>
    <w:rsid w:val="00994F0A"/>
    <w:rsid w:val="00995BAC"/>
    <w:rsid w:val="00995F04"/>
    <w:rsid w:val="00996EA2"/>
    <w:rsid w:val="009975D5"/>
    <w:rsid w:val="009976E8"/>
    <w:rsid w:val="009979D1"/>
    <w:rsid w:val="00997E57"/>
    <w:rsid w:val="009A0359"/>
    <w:rsid w:val="009A08AC"/>
    <w:rsid w:val="009A0FCA"/>
    <w:rsid w:val="009A11FC"/>
    <w:rsid w:val="009A177A"/>
    <w:rsid w:val="009A196B"/>
    <w:rsid w:val="009A19EE"/>
    <w:rsid w:val="009A1D2F"/>
    <w:rsid w:val="009A1F48"/>
    <w:rsid w:val="009A32DF"/>
    <w:rsid w:val="009A3330"/>
    <w:rsid w:val="009A371A"/>
    <w:rsid w:val="009A4E3E"/>
    <w:rsid w:val="009A50EB"/>
    <w:rsid w:val="009A6DFC"/>
    <w:rsid w:val="009A7181"/>
    <w:rsid w:val="009A7E81"/>
    <w:rsid w:val="009B04D1"/>
    <w:rsid w:val="009B09FA"/>
    <w:rsid w:val="009B28E8"/>
    <w:rsid w:val="009B3338"/>
    <w:rsid w:val="009B33F7"/>
    <w:rsid w:val="009B34BB"/>
    <w:rsid w:val="009B3CD1"/>
    <w:rsid w:val="009B45DD"/>
    <w:rsid w:val="009B4632"/>
    <w:rsid w:val="009B48D4"/>
    <w:rsid w:val="009B5127"/>
    <w:rsid w:val="009B5307"/>
    <w:rsid w:val="009B5C89"/>
    <w:rsid w:val="009B5E44"/>
    <w:rsid w:val="009B6DCB"/>
    <w:rsid w:val="009B6E65"/>
    <w:rsid w:val="009B70B8"/>
    <w:rsid w:val="009B70C4"/>
    <w:rsid w:val="009B7E00"/>
    <w:rsid w:val="009C15B1"/>
    <w:rsid w:val="009C1AC6"/>
    <w:rsid w:val="009C1C50"/>
    <w:rsid w:val="009C2A35"/>
    <w:rsid w:val="009C4947"/>
    <w:rsid w:val="009C5B5C"/>
    <w:rsid w:val="009C653E"/>
    <w:rsid w:val="009C6924"/>
    <w:rsid w:val="009C6C2E"/>
    <w:rsid w:val="009C7657"/>
    <w:rsid w:val="009C76D9"/>
    <w:rsid w:val="009D0374"/>
    <w:rsid w:val="009D2299"/>
    <w:rsid w:val="009D22E2"/>
    <w:rsid w:val="009D2807"/>
    <w:rsid w:val="009D3443"/>
    <w:rsid w:val="009D4202"/>
    <w:rsid w:val="009D5DFD"/>
    <w:rsid w:val="009D6EEE"/>
    <w:rsid w:val="009D77EB"/>
    <w:rsid w:val="009E044C"/>
    <w:rsid w:val="009E07B4"/>
    <w:rsid w:val="009E082B"/>
    <w:rsid w:val="009E187B"/>
    <w:rsid w:val="009E1DFC"/>
    <w:rsid w:val="009E22F2"/>
    <w:rsid w:val="009E2DF8"/>
    <w:rsid w:val="009E382E"/>
    <w:rsid w:val="009E3BAB"/>
    <w:rsid w:val="009E4AD5"/>
    <w:rsid w:val="009E50AC"/>
    <w:rsid w:val="009E5338"/>
    <w:rsid w:val="009E7837"/>
    <w:rsid w:val="009E7B46"/>
    <w:rsid w:val="009F3673"/>
    <w:rsid w:val="009F3744"/>
    <w:rsid w:val="009F4FAB"/>
    <w:rsid w:val="009F679A"/>
    <w:rsid w:val="009F67E9"/>
    <w:rsid w:val="009F6CE3"/>
    <w:rsid w:val="009F6D5E"/>
    <w:rsid w:val="009F6F1F"/>
    <w:rsid w:val="009F7535"/>
    <w:rsid w:val="009F787C"/>
    <w:rsid w:val="009F7E33"/>
    <w:rsid w:val="00A00873"/>
    <w:rsid w:val="00A00EF5"/>
    <w:rsid w:val="00A01F9B"/>
    <w:rsid w:val="00A01FFD"/>
    <w:rsid w:val="00A0341F"/>
    <w:rsid w:val="00A03CDA"/>
    <w:rsid w:val="00A04308"/>
    <w:rsid w:val="00A0566E"/>
    <w:rsid w:val="00A063DF"/>
    <w:rsid w:val="00A076E1"/>
    <w:rsid w:val="00A1093D"/>
    <w:rsid w:val="00A115A5"/>
    <w:rsid w:val="00A12640"/>
    <w:rsid w:val="00A148EB"/>
    <w:rsid w:val="00A16B09"/>
    <w:rsid w:val="00A17255"/>
    <w:rsid w:val="00A179DD"/>
    <w:rsid w:val="00A17D90"/>
    <w:rsid w:val="00A217B5"/>
    <w:rsid w:val="00A2212B"/>
    <w:rsid w:val="00A22958"/>
    <w:rsid w:val="00A22CEB"/>
    <w:rsid w:val="00A24081"/>
    <w:rsid w:val="00A24D8A"/>
    <w:rsid w:val="00A24E49"/>
    <w:rsid w:val="00A24F63"/>
    <w:rsid w:val="00A2554D"/>
    <w:rsid w:val="00A26021"/>
    <w:rsid w:val="00A262C0"/>
    <w:rsid w:val="00A266DE"/>
    <w:rsid w:val="00A3033D"/>
    <w:rsid w:val="00A3218A"/>
    <w:rsid w:val="00A3475F"/>
    <w:rsid w:val="00A352F0"/>
    <w:rsid w:val="00A35C96"/>
    <w:rsid w:val="00A35DE2"/>
    <w:rsid w:val="00A3609D"/>
    <w:rsid w:val="00A363B1"/>
    <w:rsid w:val="00A36827"/>
    <w:rsid w:val="00A403C6"/>
    <w:rsid w:val="00A40408"/>
    <w:rsid w:val="00A406E2"/>
    <w:rsid w:val="00A407B1"/>
    <w:rsid w:val="00A419B3"/>
    <w:rsid w:val="00A43045"/>
    <w:rsid w:val="00A44E1E"/>
    <w:rsid w:val="00A46362"/>
    <w:rsid w:val="00A4764B"/>
    <w:rsid w:val="00A5082E"/>
    <w:rsid w:val="00A50A36"/>
    <w:rsid w:val="00A51AE1"/>
    <w:rsid w:val="00A52C33"/>
    <w:rsid w:val="00A52E91"/>
    <w:rsid w:val="00A5449F"/>
    <w:rsid w:val="00A54572"/>
    <w:rsid w:val="00A54BE0"/>
    <w:rsid w:val="00A54C4C"/>
    <w:rsid w:val="00A56BF8"/>
    <w:rsid w:val="00A578CD"/>
    <w:rsid w:val="00A5797C"/>
    <w:rsid w:val="00A60034"/>
    <w:rsid w:val="00A60F5D"/>
    <w:rsid w:val="00A61102"/>
    <w:rsid w:val="00A62012"/>
    <w:rsid w:val="00A62162"/>
    <w:rsid w:val="00A626B0"/>
    <w:rsid w:val="00A63F7B"/>
    <w:rsid w:val="00A64A91"/>
    <w:rsid w:val="00A6558E"/>
    <w:rsid w:val="00A65936"/>
    <w:rsid w:val="00A65DCC"/>
    <w:rsid w:val="00A65F27"/>
    <w:rsid w:val="00A665B4"/>
    <w:rsid w:val="00A66614"/>
    <w:rsid w:val="00A66617"/>
    <w:rsid w:val="00A66714"/>
    <w:rsid w:val="00A6713D"/>
    <w:rsid w:val="00A67AC8"/>
    <w:rsid w:val="00A70BED"/>
    <w:rsid w:val="00A70FB0"/>
    <w:rsid w:val="00A710E8"/>
    <w:rsid w:val="00A71550"/>
    <w:rsid w:val="00A7336E"/>
    <w:rsid w:val="00A73B61"/>
    <w:rsid w:val="00A73DC5"/>
    <w:rsid w:val="00A74079"/>
    <w:rsid w:val="00A743AE"/>
    <w:rsid w:val="00A74B29"/>
    <w:rsid w:val="00A74FE4"/>
    <w:rsid w:val="00A75888"/>
    <w:rsid w:val="00A75ADB"/>
    <w:rsid w:val="00A75FA6"/>
    <w:rsid w:val="00A81A6D"/>
    <w:rsid w:val="00A8248C"/>
    <w:rsid w:val="00A82DD9"/>
    <w:rsid w:val="00A859F4"/>
    <w:rsid w:val="00A85E40"/>
    <w:rsid w:val="00A86D93"/>
    <w:rsid w:val="00A879D7"/>
    <w:rsid w:val="00A9132C"/>
    <w:rsid w:val="00A917B0"/>
    <w:rsid w:val="00A91918"/>
    <w:rsid w:val="00A91C4C"/>
    <w:rsid w:val="00A92B16"/>
    <w:rsid w:val="00A92D50"/>
    <w:rsid w:val="00A930B4"/>
    <w:rsid w:val="00A9337A"/>
    <w:rsid w:val="00A93735"/>
    <w:rsid w:val="00A959EE"/>
    <w:rsid w:val="00A95D3A"/>
    <w:rsid w:val="00A968E8"/>
    <w:rsid w:val="00A96B3F"/>
    <w:rsid w:val="00A974EB"/>
    <w:rsid w:val="00A97F96"/>
    <w:rsid w:val="00AA0595"/>
    <w:rsid w:val="00AA0AC8"/>
    <w:rsid w:val="00AA0B71"/>
    <w:rsid w:val="00AA2E8A"/>
    <w:rsid w:val="00AA341B"/>
    <w:rsid w:val="00AA36A5"/>
    <w:rsid w:val="00AA4120"/>
    <w:rsid w:val="00AA50B6"/>
    <w:rsid w:val="00AA599A"/>
    <w:rsid w:val="00AA5CF4"/>
    <w:rsid w:val="00AA62C6"/>
    <w:rsid w:val="00AA6343"/>
    <w:rsid w:val="00AA691A"/>
    <w:rsid w:val="00AA6ABA"/>
    <w:rsid w:val="00AA73F3"/>
    <w:rsid w:val="00AA7B54"/>
    <w:rsid w:val="00AB0357"/>
    <w:rsid w:val="00AB1725"/>
    <w:rsid w:val="00AB2522"/>
    <w:rsid w:val="00AB3F82"/>
    <w:rsid w:val="00AB433E"/>
    <w:rsid w:val="00AB4507"/>
    <w:rsid w:val="00AB4FB7"/>
    <w:rsid w:val="00AB6006"/>
    <w:rsid w:val="00AB6A0C"/>
    <w:rsid w:val="00AB6BC8"/>
    <w:rsid w:val="00AB7A12"/>
    <w:rsid w:val="00AC1A0A"/>
    <w:rsid w:val="00AC1C2F"/>
    <w:rsid w:val="00AC1F81"/>
    <w:rsid w:val="00AC2E37"/>
    <w:rsid w:val="00AC46B9"/>
    <w:rsid w:val="00AC5B09"/>
    <w:rsid w:val="00AC7077"/>
    <w:rsid w:val="00AC745A"/>
    <w:rsid w:val="00AD0D71"/>
    <w:rsid w:val="00AD1657"/>
    <w:rsid w:val="00AD1B62"/>
    <w:rsid w:val="00AD35BD"/>
    <w:rsid w:val="00AD36C6"/>
    <w:rsid w:val="00AD4D43"/>
    <w:rsid w:val="00AD4D4C"/>
    <w:rsid w:val="00AD4E7F"/>
    <w:rsid w:val="00AD4FCB"/>
    <w:rsid w:val="00AD61E1"/>
    <w:rsid w:val="00AD7BF7"/>
    <w:rsid w:val="00AE0690"/>
    <w:rsid w:val="00AE29AC"/>
    <w:rsid w:val="00AE3190"/>
    <w:rsid w:val="00AE377B"/>
    <w:rsid w:val="00AE3F92"/>
    <w:rsid w:val="00AE45B0"/>
    <w:rsid w:val="00AE47B5"/>
    <w:rsid w:val="00AE4EB9"/>
    <w:rsid w:val="00AE53F6"/>
    <w:rsid w:val="00AE5843"/>
    <w:rsid w:val="00AE6FAF"/>
    <w:rsid w:val="00AF035B"/>
    <w:rsid w:val="00AF0CC4"/>
    <w:rsid w:val="00AF0F7C"/>
    <w:rsid w:val="00AF1569"/>
    <w:rsid w:val="00AF205D"/>
    <w:rsid w:val="00AF230B"/>
    <w:rsid w:val="00AF23F0"/>
    <w:rsid w:val="00AF29F0"/>
    <w:rsid w:val="00AF3291"/>
    <w:rsid w:val="00AF329D"/>
    <w:rsid w:val="00AF3680"/>
    <w:rsid w:val="00AF590B"/>
    <w:rsid w:val="00AF65E9"/>
    <w:rsid w:val="00B01E16"/>
    <w:rsid w:val="00B030D2"/>
    <w:rsid w:val="00B05477"/>
    <w:rsid w:val="00B056D1"/>
    <w:rsid w:val="00B057F2"/>
    <w:rsid w:val="00B063E3"/>
    <w:rsid w:val="00B06DBB"/>
    <w:rsid w:val="00B0701C"/>
    <w:rsid w:val="00B07177"/>
    <w:rsid w:val="00B071E2"/>
    <w:rsid w:val="00B072AE"/>
    <w:rsid w:val="00B07CEA"/>
    <w:rsid w:val="00B1033C"/>
    <w:rsid w:val="00B10D65"/>
    <w:rsid w:val="00B130B3"/>
    <w:rsid w:val="00B1314F"/>
    <w:rsid w:val="00B13937"/>
    <w:rsid w:val="00B13938"/>
    <w:rsid w:val="00B13980"/>
    <w:rsid w:val="00B13A40"/>
    <w:rsid w:val="00B14E5B"/>
    <w:rsid w:val="00B153AB"/>
    <w:rsid w:val="00B15636"/>
    <w:rsid w:val="00B157D0"/>
    <w:rsid w:val="00B15957"/>
    <w:rsid w:val="00B15F2B"/>
    <w:rsid w:val="00B16233"/>
    <w:rsid w:val="00B16BB9"/>
    <w:rsid w:val="00B174FC"/>
    <w:rsid w:val="00B17B28"/>
    <w:rsid w:val="00B2008C"/>
    <w:rsid w:val="00B20694"/>
    <w:rsid w:val="00B22255"/>
    <w:rsid w:val="00B23E86"/>
    <w:rsid w:val="00B24286"/>
    <w:rsid w:val="00B24528"/>
    <w:rsid w:val="00B24D1D"/>
    <w:rsid w:val="00B25059"/>
    <w:rsid w:val="00B25707"/>
    <w:rsid w:val="00B25889"/>
    <w:rsid w:val="00B25BEC"/>
    <w:rsid w:val="00B25F41"/>
    <w:rsid w:val="00B26A21"/>
    <w:rsid w:val="00B27C8C"/>
    <w:rsid w:val="00B32D46"/>
    <w:rsid w:val="00B34531"/>
    <w:rsid w:val="00B34667"/>
    <w:rsid w:val="00B348CB"/>
    <w:rsid w:val="00B34E2C"/>
    <w:rsid w:val="00B350E0"/>
    <w:rsid w:val="00B35CB7"/>
    <w:rsid w:val="00B37DDE"/>
    <w:rsid w:val="00B401E8"/>
    <w:rsid w:val="00B4058E"/>
    <w:rsid w:val="00B40C2F"/>
    <w:rsid w:val="00B40CD9"/>
    <w:rsid w:val="00B42379"/>
    <w:rsid w:val="00B428A7"/>
    <w:rsid w:val="00B42A63"/>
    <w:rsid w:val="00B4359C"/>
    <w:rsid w:val="00B448FE"/>
    <w:rsid w:val="00B44CA2"/>
    <w:rsid w:val="00B450FA"/>
    <w:rsid w:val="00B455A7"/>
    <w:rsid w:val="00B45821"/>
    <w:rsid w:val="00B45ABF"/>
    <w:rsid w:val="00B46127"/>
    <w:rsid w:val="00B46A29"/>
    <w:rsid w:val="00B46AD9"/>
    <w:rsid w:val="00B472AD"/>
    <w:rsid w:val="00B510C9"/>
    <w:rsid w:val="00B514DC"/>
    <w:rsid w:val="00B5169D"/>
    <w:rsid w:val="00B51D04"/>
    <w:rsid w:val="00B52857"/>
    <w:rsid w:val="00B52902"/>
    <w:rsid w:val="00B5360E"/>
    <w:rsid w:val="00B53C4F"/>
    <w:rsid w:val="00B54398"/>
    <w:rsid w:val="00B5617E"/>
    <w:rsid w:val="00B56463"/>
    <w:rsid w:val="00B56E93"/>
    <w:rsid w:val="00B5731B"/>
    <w:rsid w:val="00B6092A"/>
    <w:rsid w:val="00B60D1F"/>
    <w:rsid w:val="00B62249"/>
    <w:rsid w:val="00B628F2"/>
    <w:rsid w:val="00B62C59"/>
    <w:rsid w:val="00B638D8"/>
    <w:rsid w:val="00B642DE"/>
    <w:rsid w:val="00B6551A"/>
    <w:rsid w:val="00B65580"/>
    <w:rsid w:val="00B655BC"/>
    <w:rsid w:val="00B65B05"/>
    <w:rsid w:val="00B65D04"/>
    <w:rsid w:val="00B660C7"/>
    <w:rsid w:val="00B66C8D"/>
    <w:rsid w:val="00B66C8E"/>
    <w:rsid w:val="00B67119"/>
    <w:rsid w:val="00B67AD7"/>
    <w:rsid w:val="00B700C1"/>
    <w:rsid w:val="00B70944"/>
    <w:rsid w:val="00B711D5"/>
    <w:rsid w:val="00B712A3"/>
    <w:rsid w:val="00B712C7"/>
    <w:rsid w:val="00B71F89"/>
    <w:rsid w:val="00B72204"/>
    <w:rsid w:val="00B726F8"/>
    <w:rsid w:val="00B729AA"/>
    <w:rsid w:val="00B735CE"/>
    <w:rsid w:val="00B73B48"/>
    <w:rsid w:val="00B7558D"/>
    <w:rsid w:val="00B755C3"/>
    <w:rsid w:val="00B755FD"/>
    <w:rsid w:val="00B75EAD"/>
    <w:rsid w:val="00B762F3"/>
    <w:rsid w:val="00B77E01"/>
    <w:rsid w:val="00B800C7"/>
    <w:rsid w:val="00B80331"/>
    <w:rsid w:val="00B80E13"/>
    <w:rsid w:val="00B81337"/>
    <w:rsid w:val="00B816A2"/>
    <w:rsid w:val="00B8452A"/>
    <w:rsid w:val="00B85105"/>
    <w:rsid w:val="00B85366"/>
    <w:rsid w:val="00B855D0"/>
    <w:rsid w:val="00B855F5"/>
    <w:rsid w:val="00B85C50"/>
    <w:rsid w:val="00B87E03"/>
    <w:rsid w:val="00B87E2B"/>
    <w:rsid w:val="00B90BA6"/>
    <w:rsid w:val="00B91DE8"/>
    <w:rsid w:val="00B92B94"/>
    <w:rsid w:val="00B934F4"/>
    <w:rsid w:val="00B958BC"/>
    <w:rsid w:val="00B96039"/>
    <w:rsid w:val="00B96CF3"/>
    <w:rsid w:val="00B9702A"/>
    <w:rsid w:val="00BA01E3"/>
    <w:rsid w:val="00BA0400"/>
    <w:rsid w:val="00BA1764"/>
    <w:rsid w:val="00BA27DC"/>
    <w:rsid w:val="00BA3182"/>
    <w:rsid w:val="00BA544E"/>
    <w:rsid w:val="00BA6181"/>
    <w:rsid w:val="00BA7736"/>
    <w:rsid w:val="00BB11C2"/>
    <w:rsid w:val="00BB26AB"/>
    <w:rsid w:val="00BB2B2F"/>
    <w:rsid w:val="00BB2BDF"/>
    <w:rsid w:val="00BB3214"/>
    <w:rsid w:val="00BB36D7"/>
    <w:rsid w:val="00BB41F3"/>
    <w:rsid w:val="00BB53AF"/>
    <w:rsid w:val="00BB5C88"/>
    <w:rsid w:val="00BB65AB"/>
    <w:rsid w:val="00BB7619"/>
    <w:rsid w:val="00BB76F6"/>
    <w:rsid w:val="00BB7937"/>
    <w:rsid w:val="00BC1AE8"/>
    <w:rsid w:val="00BC1C7E"/>
    <w:rsid w:val="00BC1DC5"/>
    <w:rsid w:val="00BC23A6"/>
    <w:rsid w:val="00BC26E3"/>
    <w:rsid w:val="00BC2A15"/>
    <w:rsid w:val="00BC325A"/>
    <w:rsid w:val="00BC33E0"/>
    <w:rsid w:val="00BC36AF"/>
    <w:rsid w:val="00BC46AB"/>
    <w:rsid w:val="00BC4EC9"/>
    <w:rsid w:val="00BC4EDD"/>
    <w:rsid w:val="00BC5C37"/>
    <w:rsid w:val="00BC74B8"/>
    <w:rsid w:val="00BC74BC"/>
    <w:rsid w:val="00BC76E7"/>
    <w:rsid w:val="00BD08A8"/>
    <w:rsid w:val="00BD0F4D"/>
    <w:rsid w:val="00BD17B4"/>
    <w:rsid w:val="00BD286A"/>
    <w:rsid w:val="00BD3683"/>
    <w:rsid w:val="00BD3A4A"/>
    <w:rsid w:val="00BD3D4C"/>
    <w:rsid w:val="00BD400E"/>
    <w:rsid w:val="00BD42F6"/>
    <w:rsid w:val="00BD6214"/>
    <w:rsid w:val="00BD6A30"/>
    <w:rsid w:val="00BD7345"/>
    <w:rsid w:val="00BE0173"/>
    <w:rsid w:val="00BE1E7B"/>
    <w:rsid w:val="00BE2F4E"/>
    <w:rsid w:val="00BE41B3"/>
    <w:rsid w:val="00BE4374"/>
    <w:rsid w:val="00BE4F78"/>
    <w:rsid w:val="00BE5451"/>
    <w:rsid w:val="00BE62DF"/>
    <w:rsid w:val="00BE6561"/>
    <w:rsid w:val="00BE65BF"/>
    <w:rsid w:val="00BF061E"/>
    <w:rsid w:val="00BF0F3C"/>
    <w:rsid w:val="00BF1130"/>
    <w:rsid w:val="00BF1686"/>
    <w:rsid w:val="00BF1B57"/>
    <w:rsid w:val="00BF1C33"/>
    <w:rsid w:val="00BF20C1"/>
    <w:rsid w:val="00BF21D8"/>
    <w:rsid w:val="00BF254D"/>
    <w:rsid w:val="00BF2A6F"/>
    <w:rsid w:val="00BF2E38"/>
    <w:rsid w:val="00BF3CD9"/>
    <w:rsid w:val="00BF3D64"/>
    <w:rsid w:val="00BF3E2B"/>
    <w:rsid w:val="00BF522A"/>
    <w:rsid w:val="00BF53DE"/>
    <w:rsid w:val="00BF64F5"/>
    <w:rsid w:val="00BF68A0"/>
    <w:rsid w:val="00BF6FD7"/>
    <w:rsid w:val="00BF78CF"/>
    <w:rsid w:val="00BF7F81"/>
    <w:rsid w:val="00C002C2"/>
    <w:rsid w:val="00C01058"/>
    <w:rsid w:val="00C01909"/>
    <w:rsid w:val="00C01BC5"/>
    <w:rsid w:val="00C04B08"/>
    <w:rsid w:val="00C05784"/>
    <w:rsid w:val="00C069AB"/>
    <w:rsid w:val="00C07A5E"/>
    <w:rsid w:val="00C07C57"/>
    <w:rsid w:val="00C07CDA"/>
    <w:rsid w:val="00C07EA2"/>
    <w:rsid w:val="00C10096"/>
    <w:rsid w:val="00C10288"/>
    <w:rsid w:val="00C10378"/>
    <w:rsid w:val="00C106A2"/>
    <w:rsid w:val="00C113FE"/>
    <w:rsid w:val="00C11574"/>
    <w:rsid w:val="00C11708"/>
    <w:rsid w:val="00C132A7"/>
    <w:rsid w:val="00C13CDE"/>
    <w:rsid w:val="00C14226"/>
    <w:rsid w:val="00C16BF1"/>
    <w:rsid w:val="00C1744D"/>
    <w:rsid w:val="00C17641"/>
    <w:rsid w:val="00C1791F"/>
    <w:rsid w:val="00C20193"/>
    <w:rsid w:val="00C20ABA"/>
    <w:rsid w:val="00C21DDE"/>
    <w:rsid w:val="00C2263B"/>
    <w:rsid w:val="00C22A4B"/>
    <w:rsid w:val="00C233D9"/>
    <w:rsid w:val="00C239FB"/>
    <w:rsid w:val="00C23FDA"/>
    <w:rsid w:val="00C2410F"/>
    <w:rsid w:val="00C24231"/>
    <w:rsid w:val="00C24B6A"/>
    <w:rsid w:val="00C25346"/>
    <w:rsid w:val="00C26136"/>
    <w:rsid w:val="00C264CE"/>
    <w:rsid w:val="00C26955"/>
    <w:rsid w:val="00C27BE5"/>
    <w:rsid w:val="00C305B3"/>
    <w:rsid w:val="00C306E4"/>
    <w:rsid w:val="00C312C9"/>
    <w:rsid w:val="00C31EBA"/>
    <w:rsid w:val="00C3272D"/>
    <w:rsid w:val="00C333B5"/>
    <w:rsid w:val="00C33403"/>
    <w:rsid w:val="00C336E5"/>
    <w:rsid w:val="00C33E43"/>
    <w:rsid w:val="00C34469"/>
    <w:rsid w:val="00C34496"/>
    <w:rsid w:val="00C3473F"/>
    <w:rsid w:val="00C34F17"/>
    <w:rsid w:val="00C35251"/>
    <w:rsid w:val="00C363CC"/>
    <w:rsid w:val="00C36C09"/>
    <w:rsid w:val="00C36D5E"/>
    <w:rsid w:val="00C3795A"/>
    <w:rsid w:val="00C402D8"/>
    <w:rsid w:val="00C404B8"/>
    <w:rsid w:val="00C405D4"/>
    <w:rsid w:val="00C409EA"/>
    <w:rsid w:val="00C40B45"/>
    <w:rsid w:val="00C42262"/>
    <w:rsid w:val="00C423C8"/>
    <w:rsid w:val="00C4269F"/>
    <w:rsid w:val="00C42D63"/>
    <w:rsid w:val="00C4334C"/>
    <w:rsid w:val="00C43905"/>
    <w:rsid w:val="00C4502C"/>
    <w:rsid w:val="00C45663"/>
    <w:rsid w:val="00C45A80"/>
    <w:rsid w:val="00C45D76"/>
    <w:rsid w:val="00C45E58"/>
    <w:rsid w:val="00C45E80"/>
    <w:rsid w:val="00C4685E"/>
    <w:rsid w:val="00C46F68"/>
    <w:rsid w:val="00C476B5"/>
    <w:rsid w:val="00C51CAD"/>
    <w:rsid w:val="00C5228C"/>
    <w:rsid w:val="00C525BF"/>
    <w:rsid w:val="00C52768"/>
    <w:rsid w:val="00C5292C"/>
    <w:rsid w:val="00C52C4A"/>
    <w:rsid w:val="00C543FC"/>
    <w:rsid w:val="00C54573"/>
    <w:rsid w:val="00C55C31"/>
    <w:rsid w:val="00C5600A"/>
    <w:rsid w:val="00C57B98"/>
    <w:rsid w:val="00C57F50"/>
    <w:rsid w:val="00C57FAB"/>
    <w:rsid w:val="00C57FDB"/>
    <w:rsid w:val="00C57FE9"/>
    <w:rsid w:val="00C6005A"/>
    <w:rsid w:val="00C60F43"/>
    <w:rsid w:val="00C61065"/>
    <w:rsid w:val="00C614A7"/>
    <w:rsid w:val="00C63143"/>
    <w:rsid w:val="00C63D9E"/>
    <w:rsid w:val="00C6404D"/>
    <w:rsid w:val="00C65087"/>
    <w:rsid w:val="00C655DD"/>
    <w:rsid w:val="00C65F9B"/>
    <w:rsid w:val="00C66D5C"/>
    <w:rsid w:val="00C66E40"/>
    <w:rsid w:val="00C67A49"/>
    <w:rsid w:val="00C67F8D"/>
    <w:rsid w:val="00C704EE"/>
    <w:rsid w:val="00C70680"/>
    <w:rsid w:val="00C70C40"/>
    <w:rsid w:val="00C72831"/>
    <w:rsid w:val="00C72A0A"/>
    <w:rsid w:val="00C72AB8"/>
    <w:rsid w:val="00C72FBA"/>
    <w:rsid w:val="00C73B21"/>
    <w:rsid w:val="00C73E3A"/>
    <w:rsid w:val="00C755AD"/>
    <w:rsid w:val="00C76378"/>
    <w:rsid w:val="00C8011F"/>
    <w:rsid w:val="00C80F73"/>
    <w:rsid w:val="00C8358C"/>
    <w:rsid w:val="00C84003"/>
    <w:rsid w:val="00C85595"/>
    <w:rsid w:val="00C866C8"/>
    <w:rsid w:val="00C869D1"/>
    <w:rsid w:val="00C86E17"/>
    <w:rsid w:val="00C86ECB"/>
    <w:rsid w:val="00C8736C"/>
    <w:rsid w:val="00C87B80"/>
    <w:rsid w:val="00C90123"/>
    <w:rsid w:val="00C90E0A"/>
    <w:rsid w:val="00C924B3"/>
    <w:rsid w:val="00C92945"/>
    <w:rsid w:val="00C9474D"/>
    <w:rsid w:val="00C94B70"/>
    <w:rsid w:val="00C95BCD"/>
    <w:rsid w:val="00C960AC"/>
    <w:rsid w:val="00C96EB8"/>
    <w:rsid w:val="00C97C58"/>
    <w:rsid w:val="00CA018B"/>
    <w:rsid w:val="00CA0F07"/>
    <w:rsid w:val="00CA1106"/>
    <w:rsid w:val="00CA1924"/>
    <w:rsid w:val="00CA19D2"/>
    <w:rsid w:val="00CA1C2F"/>
    <w:rsid w:val="00CA20B8"/>
    <w:rsid w:val="00CA3EC6"/>
    <w:rsid w:val="00CA5016"/>
    <w:rsid w:val="00CA5753"/>
    <w:rsid w:val="00CA5EC7"/>
    <w:rsid w:val="00CA7839"/>
    <w:rsid w:val="00CA7DB0"/>
    <w:rsid w:val="00CA7E8E"/>
    <w:rsid w:val="00CB141C"/>
    <w:rsid w:val="00CB1C15"/>
    <w:rsid w:val="00CB1C67"/>
    <w:rsid w:val="00CB1EE5"/>
    <w:rsid w:val="00CB2CB0"/>
    <w:rsid w:val="00CB2DD1"/>
    <w:rsid w:val="00CB327A"/>
    <w:rsid w:val="00CB5000"/>
    <w:rsid w:val="00CB55BE"/>
    <w:rsid w:val="00CB5CA6"/>
    <w:rsid w:val="00CB633F"/>
    <w:rsid w:val="00CB6486"/>
    <w:rsid w:val="00CB6F55"/>
    <w:rsid w:val="00CB7F20"/>
    <w:rsid w:val="00CC122C"/>
    <w:rsid w:val="00CC171B"/>
    <w:rsid w:val="00CC1D68"/>
    <w:rsid w:val="00CC27F7"/>
    <w:rsid w:val="00CC280E"/>
    <w:rsid w:val="00CC3492"/>
    <w:rsid w:val="00CC3A67"/>
    <w:rsid w:val="00CC4773"/>
    <w:rsid w:val="00CC673A"/>
    <w:rsid w:val="00CC6B77"/>
    <w:rsid w:val="00CC6BA5"/>
    <w:rsid w:val="00CD0273"/>
    <w:rsid w:val="00CD04AA"/>
    <w:rsid w:val="00CD0E3D"/>
    <w:rsid w:val="00CD2F50"/>
    <w:rsid w:val="00CD34A4"/>
    <w:rsid w:val="00CD36CC"/>
    <w:rsid w:val="00CD47C6"/>
    <w:rsid w:val="00CD54FC"/>
    <w:rsid w:val="00CD56B4"/>
    <w:rsid w:val="00CD5A10"/>
    <w:rsid w:val="00CD5B4A"/>
    <w:rsid w:val="00CD5DD4"/>
    <w:rsid w:val="00CD5EBB"/>
    <w:rsid w:val="00CD648E"/>
    <w:rsid w:val="00CD77CE"/>
    <w:rsid w:val="00CD7DCD"/>
    <w:rsid w:val="00CE0E5A"/>
    <w:rsid w:val="00CE1000"/>
    <w:rsid w:val="00CE14AD"/>
    <w:rsid w:val="00CE1DDF"/>
    <w:rsid w:val="00CE219A"/>
    <w:rsid w:val="00CE2EE4"/>
    <w:rsid w:val="00CE351B"/>
    <w:rsid w:val="00CE3A44"/>
    <w:rsid w:val="00CE3BD0"/>
    <w:rsid w:val="00CE54B7"/>
    <w:rsid w:val="00CE5916"/>
    <w:rsid w:val="00CE5FF3"/>
    <w:rsid w:val="00CE6C0C"/>
    <w:rsid w:val="00CE6C47"/>
    <w:rsid w:val="00CE74ED"/>
    <w:rsid w:val="00CE7E4B"/>
    <w:rsid w:val="00CF0334"/>
    <w:rsid w:val="00CF2B33"/>
    <w:rsid w:val="00CF3385"/>
    <w:rsid w:val="00CF3429"/>
    <w:rsid w:val="00CF3A2B"/>
    <w:rsid w:val="00CF3C28"/>
    <w:rsid w:val="00CF3CB5"/>
    <w:rsid w:val="00CF451B"/>
    <w:rsid w:val="00CF48CD"/>
    <w:rsid w:val="00CF49FF"/>
    <w:rsid w:val="00CF5C24"/>
    <w:rsid w:val="00CF5FFF"/>
    <w:rsid w:val="00CF65EC"/>
    <w:rsid w:val="00CF6A7C"/>
    <w:rsid w:val="00CF71E1"/>
    <w:rsid w:val="00CF7382"/>
    <w:rsid w:val="00D00740"/>
    <w:rsid w:val="00D00BDB"/>
    <w:rsid w:val="00D0120A"/>
    <w:rsid w:val="00D02334"/>
    <w:rsid w:val="00D025CB"/>
    <w:rsid w:val="00D0275B"/>
    <w:rsid w:val="00D03234"/>
    <w:rsid w:val="00D0334B"/>
    <w:rsid w:val="00D037BF"/>
    <w:rsid w:val="00D03C48"/>
    <w:rsid w:val="00D05E8C"/>
    <w:rsid w:val="00D06081"/>
    <w:rsid w:val="00D06D04"/>
    <w:rsid w:val="00D0704F"/>
    <w:rsid w:val="00D07278"/>
    <w:rsid w:val="00D07592"/>
    <w:rsid w:val="00D07DF9"/>
    <w:rsid w:val="00D10113"/>
    <w:rsid w:val="00D10236"/>
    <w:rsid w:val="00D11465"/>
    <w:rsid w:val="00D12618"/>
    <w:rsid w:val="00D129AD"/>
    <w:rsid w:val="00D13193"/>
    <w:rsid w:val="00D1399F"/>
    <w:rsid w:val="00D14CCA"/>
    <w:rsid w:val="00D14DB0"/>
    <w:rsid w:val="00D15473"/>
    <w:rsid w:val="00D15C6B"/>
    <w:rsid w:val="00D1780B"/>
    <w:rsid w:val="00D2187D"/>
    <w:rsid w:val="00D21A1B"/>
    <w:rsid w:val="00D21F9E"/>
    <w:rsid w:val="00D22233"/>
    <w:rsid w:val="00D2341A"/>
    <w:rsid w:val="00D23C8A"/>
    <w:rsid w:val="00D23D60"/>
    <w:rsid w:val="00D2499A"/>
    <w:rsid w:val="00D24A0F"/>
    <w:rsid w:val="00D25144"/>
    <w:rsid w:val="00D25F49"/>
    <w:rsid w:val="00D2642B"/>
    <w:rsid w:val="00D276C7"/>
    <w:rsid w:val="00D27769"/>
    <w:rsid w:val="00D3006A"/>
    <w:rsid w:val="00D30342"/>
    <w:rsid w:val="00D30B4D"/>
    <w:rsid w:val="00D30F74"/>
    <w:rsid w:val="00D312F7"/>
    <w:rsid w:val="00D3182D"/>
    <w:rsid w:val="00D31AE5"/>
    <w:rsid w:val="00D334D6"/>
    <w:rsid w:val="00D33B0B"/>
    <w:rsid w:val="00D33C95"/>
    <w:rsid w:val="00D33ED8"/>
    <w:rsid w:val="00D3474D"/>
    <w:rsid w:val="00D347A6"/>
    <w:rsid w:val="00D40B08"/>
    <w:rsid w:val="00D413B2"/>
    <w:rsid w:val="00D41964"/>
    <w:rsid w:val="00D42EB5"/>
    <w:rsid w:val="00D42FB1"/>
    <w:rsid w:val="00D43766"/>
    <w:rsid w:val="00D437F4"/>
    <w:rsid w:val="00D43A4A"/>
    <w:rsid w:val="00D43CFC"/>
    <w:rsid w:val="00D46991"/>
    <w:rsid w:val="00D46E1C"/>
    <w:rsid w:val="00D47945"/>
    <w:rsid w:val="00D47BE7"/>
    <w:rsid w:val="00D5026C"/>
    <w:rsid w:val="00D507DB"/>
    <w:rsid w:val="00D53A88"/>
    <w:rsid w:val="00D540DF"/>
    <w:rsid w:val="00D551AB"/>
    <w:rsid w:val="00D5520E"/>
    <w:rsid w:val="00D55324"/>
    <w:rsid w:val="00D56F68"/>
    <w:rsid w:val="00D570F6"/>
    <w:rsid w:val="00D571E8"/>
    <w:rsid w:val="00D5724D"/>
    <w:rsid w:val="00D5785D"/>
    <w:rsid w:val="00D6056C"/>
    <w:rsid w:val="00D60C30"/>
    <w:rsid w:val="00D61FA6"/>
    <w:rsid w:val="00D62972"/>
    <w:rsid w:val="00D63591"/>
    <w:rsid w:val="00D639C4"/>
    <w:rsid w:val="00D639CC"/>
    <w:rsid w:val="00D6433D"/>
    <w:rsid w:val="00D655A6"/>
    <w:rsid w:val="00D6599F"/>
    <w:rsid w:val="00D659CD"/>
    <w:rsid w:val="00D733E0"/>
    <w:rsid w:val="00D7398C"/>
    <w:rsid w:val="00D740A0"/>
    <w:rsid w:val="00D74F45"/>
    <w:rsid w:val="00D7525B"/>
    <w:rsid w:val="00D75780"/>
    <w:rsid w:val="00D75B9D"/>
    <w:rsid w:val="00D77085"/>
    <w:rsid w:val="00D7797D"/>
    <w:rsid w:val="00D808EF"/>
    <w:rsid w:val="00D81BEA"/>
    <w:rsid w:val="00D82805"/>
    <w:rsid w:val="00D83153"/>
    <w:rsid w:val="00D84C76"/>
    <w:rsid w:val="00D84F2C"/>
    <w:rsid w:val="00D85305"/>
    <w:rsid w:val="00D85939"/>
    <w:rsid w:val="00D85A27"/>
    <w:rsid w:val="00D86252"/>
    <w:rsid w:val="00D86C13"/>
    <w:rsid w:val="00D8788E"/>
    <w:rsid w:val="00D90873"/>
    <w:rsid w:val="00D922B9"/>
    <w:rsid w:val="00D9275C"/>
    <w:rsid w:val="00D92BB9"/>
    <w:rsid w:val="00D94AE4"/>
    <w:rsid w:val="00D94B36"/>
    <w:rsid w:val="00D94B82"/>
    <w:rsid w:val="00D96004"/>
    <w:rsid w:val="00D96235"/>
    <w:rsid w:val="00D97927"/>
    <w:rsid w:val="00DA0146"/>
    <w:rsid w:val="00DA0392"/>
    <w:rsid w:val="00DA0A33"/>
    <w:rsid w:val="00DA2293"/>
    <w:rsid w:val="00DA2913"/>
    <w:rsid w:val="00DA2FFE"/>
    <w:rsid w:val="00DA33AD"/>
    <w:rsid w:val="00DA38D2"/>
    <w:rsid w:val="00DA3CE6"/>
    <w:rsid w:val="00DA3D9C"/>
    <w:rsid w:val="00DA53E8"/>
    <w:rsid w:val="00DA54CE"/>
    <w:rsid w:val="00DA6BC9"/>
    <w:rsid w:val="00DA6C05"/>
    <w:rsid w:val="00DB0F9D"/>
    <w:rsid w:val="00DB13A0"/>
    <w:rsid w:val="00DB2295"/>
    <w:rsid w:val="00DB2762"/>
    <w:rsid w:val="00DB2AC7"/>
    <w:rsid w:val="00DB3868"/>
    <w:rsid w:val="00DB643D"/>
    <w:rsid w:val="00DB6568"/>
    <w:rsid w:val="00DB6845"/>
    <w:rsid w:val="00DB76E3"/>
    <w:rsid w:val="00DC0040"/>
    <w:rsid w:val="00DC2A1F"/>
    <w:rsid w:val="00DC3A33"/>
    <w:rsid w:val="00DC4651"/>
    <w:rsid w:val="00DC48A6"/>
    <w:rsid w:val="00DC4AAD"/>
    <w:rsid w:val="00DD0287"/>
    <w:rsid w:val="00DD127B"/>
    <w:rsid w:val="00DD1314"/>
    <w:rsid w:val="00DD1BA6"/>
    <w:rsid w:val="00DD2903"/>
    <w:rsid w:val="00DD2B2D"/>
    <w:rsid w:val="00DD3FAB"/>
    <w:rsid w:val="00DD4263"/>
    <w:rsid w:val="00DD70ED"/>
    <w:rsid w:val="00DD7665"/>
    <w:rsid w:val="00DE0271"/>
    <w:rsid w:val="00DE2230"/>
    <w:rsid w:val="00DE2391"/>
    <w:rsid w:val="00DE268E"/>
    <w:rsid w:val="00DE2B08"/>
    <w:rsid w:val="00DE2BDA"/>
    <w:rsid w:val="00DE3CE9"/>
    <w:rsid w:val="00DE56AE"/>
    <w:rsid w:val="00DE612A"/>
    <w:rsid w:val="00DE679B"/>
    <w:rsid w:val="00DF091E"/>
    <w:rsid w:val="00DF1EB4"/>
    <w:rsid w:val="00DF261B"/>
    <w:rsid w:val="00DF3095"/>
    <w:rsid w:val="00DF3774"/>
    <w:rsid w:val="00DF3BF4"/>
    <w:rsid w:val="00DF4DB6"/>
    <w:rsid w:val="00DF53FA"/>
    <w:rsid w:val="00DF679C"/>
    <w:rsid w:val="00DF775D"/>
    <w:rsid w:val="00E0096F"/>
    <w:rsid w:val="00E00B45"/>
    <w:rsid w:val="00E019AB"/>
    <w:rsid w:val="00E01C3B"/>
    <w:rsid w:val="00E022AA"/>
    <w:rsid w:val="00E03093"/>
    <w:rsid w:val="00E0321A"/>
    <w:rsid w:val="00E06186"/>
    <w:rsid w:val="00E06529"/>
    <w:rsid w:val="00E06B3E"/>
    <w:rsid w:val="00E10DC3"/>
    <w:rsid w:val="00E10DDC"/>
    <w:rsid w:val="00E10F19"/>
    <w:rsid w:val="00E11225"/>
    <w:rsid w:val="00E11289"/>
    <w:rsid w:val="00E11882"/>
    <w:rsid w:val="00E1218D"/>
    <w:rsid w:val="00E1318B"/>
    <w:rsid w:val="00E13BBD"/>
    <w:rsid w:val="00E14872"/>
    <w:rsid w:val="00E14E64"/>
    <w:rsid w:val="00E1502E"/>
    <w:rsid w:val="00E1527D"/>
    <w:rsid w:val="00E15710"/>
    <w:rsid w:val="00E16419"/>
    <w:rsid w:val="00E16EA1"/>
    <w:rsid w:val="00E174FB"/>
    <w:rsid w:val="00E17A85"/>
    <w:rsid w:val="00E2162A"/>
    <w:rsid w:val="00E21A56"/>
    <w:rsid w:val="00E21EFB"/>
    <w:rsid w:val="00E222AF"/>
    <w:rsid w:val="00E2233E"/>
    <w:rsid w:val="00E2242A"/>
    <w:rsid w:val="00E22D9E"/>
    <w:rsid w:val="00E23C14"/>
    <w:rsid w:val="00E24959"/>
    <w:rsid w:val="00E24996"/>
    <w:rsid w:val="00E2687E"/>
    <w:rsid w:val="00E2696A"/>
    <w:rsid w:val="00E26CF8"/>
    <w:rsid w:val="00E27086"/>
    <w:rsid w:val="00E2757E"/>
    <w:rsid w:val="00E27F98"/>
    <w:rsid w:val="00E32ED4"/>
    <w:rsid w:val="00E3365F"/>
    <w:rsid w:val="00E337D7"/>
    <w:rsid w:val="00E33D1B"/>
    <w:rsid w:val="00E34635"/>
    <w:rsid w:val="00E35B77"/>
    <w:rsid w:val="00E3636E"/>
    <w:rsid w:val="00E3713E"/>
    <w:rsid w:val="00E3797A"/>
    <w:rsid w:val="00E411A6"/>
    <w:rsid w:val="00E41BA0"/>
    <w:rsid w:val="00E420D0"/>
    <w:rsid w:val="00E432AB"/>
    <w:rsid w:val="00E43C4C"/>
    <w:rsid w:val="00E44771"/>
    <w:rsid w:val="00E44961"/>
    <w:rsid w:val="00E44EE1"/>
    <w:rsid w:val="00E46A6D"/>
    <w:rsid w:val="00E46DE6"/>
    <w:rsid w:val="00E47C27"/>
    <w:rsid w:val="00E50452"/>
    <w:rsid w:val="00E504AA"/>
    <w:rsid w:val="00E5174A"/>
    <w:rsid w:val="00E51B1F"/>
    <w:rsid w:val="00E51C3C"/>
    <w:rsid w:val="00E5249C"/>
    <w:rsid w:val="00E5340A"/>
    <w:rsid w:val="00E540FE"/>
    <w:rsid w:val="00E543A7"/>
    <w:rsid w:val="00E54602"/>
    <w:rsid w:val="00E5494F"/>
    <w:rsid w:val="00E54976"/>
    <w:rsid w:val="00E56103"/>
    <w:rsid w:val="00E56FB2"/>
    <w:rsid w:val="00E57242"/>
    <w:rsid w:val="00E57935"/>
    <w:rsid w:val="00E5798D"/>
    <w:rsid w:val="00E609C1"/>
    <w:rsid w:val="00E62137"/>
    <w:rsid w:val="00E6253E"/>
    <w:rsid w:val="00E6307D"/>
    <w:rsid w:val="00E6380C"/>
    <w:rsid w:val="00E649B8"/>
    <w:rsid w:val="00E65108"/>
    <w:rsid w:val="00E65D59"/>
    <w:rsid w:val="00E66A25"/>
    <w:rsid w:val="00E66D2E"/>
    <w:rsid w:val="00E67575"/>
    <w:rsid w:val="00E67990"/>
    <w:rsid w:val="00E67A95"/>
    <w:rsid w:val="00E70711"/>
    <w:rsid w:val="00E71068"/>
    <w:rsid w:val="00E714A8"/>
    <w:rsid w:val="00E72768"/>
    <w:rsid w:val="00E72CD4"/>
    <w:rsid w:val="00E731B0"/>
    <w:rsid w:val="00E73446"/>
    <w:rsid w:val="00E73F07"/>
    <w:rsid w:val="00E74C08"/>
    <w:rsid w:val="00E74CD3"/>
    <w:rsid w:val="00E751B4"/>
    <w:rsid w:val="00E76288"/>
    <w:rsid w:val="00E800A9"/>
    <w:rsid w:val="00E8029B"/>
    <w:rsid w:val="00E80659"/>
    <w:rsid w:val="00E806C0"/>
    <w:rsid w:val="00E80C25"/>
    <w:rsid w:val="00E8142E"/>
    <w:rsid w:val="00E8257F"/>
    <w:rsid w:val="00E8396E"/>
    <w:rsid w:val="00E83D89"/>
    <w:rsid w:val="00E85C7A"/>
    <w:rsid w:val="00E866D7"/>
    <w:rsid w:val="00E876D5"/>
    <w:rsid w:val="00E9038B"/>
    <w:rsid w:val="00E9059C"/>
    <w:rsid w:val="00E9167D"/>
    <w:rsid w:val="00E9232F"/>
    <w:rsid w:val="00E92F9F"/>
    <w:rsid w:val="00E9401A"/>
    <w:rsid w:val="00E944E6"/>
    <w:rsid w:val="00E95B02"/>
    <w:rsid w:val="00E96BF3"/>
    <w:rsid w:val="00E973E2"/>
    <w:rsid w:val="00EA0136"/>
    <w:rsid w:val="00EA01E0"/>
    <w:rsid w:val="00EA0A2D"/>
    <w:rsid w:val="00EA2859"/>
    <w:rsid w:val="00EA2A40"/>
    <w:rsid w:val="00EA4375"/>
    <w:rsid w:val="00EA492C"/>
    <w:rsid w:val="00EA4A2C"/>
    <w:rsid w:val="00EA502A"/>
    <w:rsid w:val="00EA5D30"/>
    <w:rsid w:val="00EA644D"/>
    <w:rsid w:val="00EA7CD9"/>
    <w:rsid w:val="00EB1FFA"/>
    <w:rsid w:val="00EB2DF8"/>
    <w:rsid w:val="00EB3AF5"/>
    <w:rsid w:val="00EB3E66"/>
    <w:rsid w:val="00EB3EC8"/>
    <w:rsid w:val="00EB552D"/>
    <w:rsid w:val="00EB5893"/>
    <w:rsid w:val="00EB6023"/>
    <w:rsid w:val="00EB6177"/>
    <w:rsid w:val="00EB690A"/>
    <w:rsid w:val="00EB70C5"/>
    <w:rsid w:val="00EB7162"/>
    <w:rsid w:val="00EB7DB9"/>
    <w:rsid w:val="00EC010E"/>
    <w:rsid w:val="00EC01EC"/>
    <w:rsid w:val="00EC0276"/>
    <w:rsid w:val="00EC041C"/>
    <w:rsid w:val="00EC0469"/>
    <w:rsid w:val="00EC10EA"/>
    <w:rsid w:val="00EC1D29"/>
    <w:rsid w:val="00EC1E80"/>
    <w:rsid w:val="00EC2BA6"/>
    <w:rsid w:val="00EC2EBD"/>
    <w:rsid w:val="00EC313B"/>
    <w:rsid w:val="00EC362D"/>
    <w:rsid w:val="00EC47EC"/>
    <w:rsid w:val="00EC5114"/>
    <w:rsid w:val="00EC5E1E"/>
    <w:rsid w:val="00EC6908"/>
    <w:rsid w:val="00EC6E41"/>
    <w:rsid w:val="00EC7467"/>
    <w:rsid w:val="00EC7D44"/>
    <w:rsid w:val="00EC7E67"/>
    <w:rsid w:val="00ED0973"/>
    <w:rsid w:val="00ED1810"/>
    <w:rsid w:val="00ED18D4"/>
    <w:rsid w:val="00ED243E"/>
    <w:rsid w:val="00ED34B7"/>
    <w:rsid w:val="00ED3A58"/>
    <w:rsid w:val="00ED52D2"/>
    <w:rsid w:val="00ED5435"/>
    <w:rsid w:val="00ED6207"/>
    <w:rsid w:val="00ED671C"/>
    <w:rsid w:val="00ED6963"/>
    <w:rsid w:val="00ED7566"/>
    <w:rsid w:val="00EE0CB4"/>
    <w:rsid w:val="00EE3FEE"/>
    <w:rsid w:val="00EE43C9"/>
    <w:rsid w:val="00EE5BDD"/>
    <w:rsid w:val="00EE6226"/>
    <w:rsid w:val="00EE6284"/>
    <w:rsid w:val="00EE62D8"/>
    <w:rsid w:val="00EE7F22"/>
    <w:rsid w:val="00EF00B8"/>
    <w:rsid w:val="00EF1DC3"/>
    <w:rsid w:val="00EF3CE4"/>
    <w:rsid w:val="00EF42B2"/>
    <w:rsid w:val="00EF53AC"/>
    <w:rsid w:val="00EF7479"/>
    <w:rsid w:val="00F006DD"/>
    <w:rsid w:val="00F015F1"/>
    <w:rsid w:val="00F0176A"/>
    <w:rsid w:val="00F01911"/>
    <w:rsid w:val="00F01DEC"/>
    <w:rsid w:val="00F03C1C"/>
    <w:rsid w:val="00F05DB7"/>
    <w:rsid w:val="00F104C5"/>
    <w:rsid w:val="00F105A4"/>
    <w:rsid w:val="00F110B1"/>
    <w:rsid w:val="00F119FB"/>
    <w:rsid w:val="00F11D31"/>
    <w:rsid w:val="00F1213B"/>
    <w:rsid w:val="00F127B9"/>
    <w:rsid w:val="00F13E9D"/>
    <w:rsid w:val="00F14361"/>
    <w:rsid w:val="00F15310"/>
    <w:rsid w:val="00F15541"/>
    <w:rsid w:val="00F155EC"/>
    <w:rsid w:val="00F15B65"/>
    <w:rsid w:val="00F16DC0"/>
    <w:rsid w:val="00F16F30"/>
    <w:rsid w:val="00F17164"/>
    <w:rsid w:val="00F17245"/>
    <w:rsid w:val="00F20645"/>
    <w:rsid w:val="00F216CC"/>
    <w:rsid w:val="00F21E2A"/>
    <w:rsid w:val="00F21F99"/>
    <w:rsid w:val="00F23122"/>
    <w:rsid w:val="00F231C3"/>
    <w:rsid w:val="00F2326A"/>
    <w:rsid w:val="00F2452E"/>
    <w:rsid w:val="00F24A51"/>
    <w:rsid w:val="00F251DB"/>
    <w:rsid w:val="00F25597"/>
    <w:rsid w:val="00F25D3F"/>
    <w:rsid w:val="00F2684F"/>
    <w:rsid w:val="00F26B84"/>
    <w:rsid w:val="00F30351"/>
    <w:rsid w:val="00F307D4"/>
    <w:rsid w:val="00F30A13"/>
    <w:rsid w:val="00F313D9"/>
    <w:rsid w:val="00F31708"/>
    <w:rsid w:val="00F31A06"/>
    <w:rsid w:val="00F323A1"/>
    <w:rsid w:val="00F32B72"/>
    <w:rsid w:val="00F33D1E"/>
    <w:rsid w:val="00F3523E"/>
    <w:rsid w:val="00F3633A"/>
    <w:rsid w:val="00F36A4E"/>
    <w:rsid w:val="00F37296"/>
    <w:rsid w:val="00F37380"/>
    <w:rsid w:val="00F40299"/>
    <w:rsid w:val="00F402D4"/>
    <w:rsid w:val="00F4114C"/>
    <w:rsid w:val="00F41D97"/>
    <w:rsid w:val="00F42042"/>
    <w:rsid w:val="00F42138"/>
    <w:rsid w:val="00F423CF"/>
    <w:rsid w:val="00F4249F"/>
    <w:rsid w:val="00F42B97"/>
    <w:rsid w:val="00F42DF7"/>
    <w:rsid w:val="00F42E71"/>
    <w:rsid w:val="00F42E92"/>
    <w:rsid w:val="00F431F7"/>
    <w:rsid w:val="00F43BD7"/>
    <w:rsid w:val="00F442B4"/>
    <w:rsid w:val="00F44587"/>
    <w:rsid w:val="00F4481B"/>
    <w:rsid w:val="00F45261"/>
    <w:rsid w:val="00F45889"/>
    <w:rsid w:val="00F460CB"/>
    <w:rsid w:val="00F4633A"/>
    <w:rsid w:val="00F464D0"/>
    <w:rsid w:val="00F46EE2"/>
    <w:rsid w:val="00F47A6A"/>
    <w:rsid w:val="00F50303"/>
    <w:rsid w:val="00F504C1"/>
    <w:rsid w:val="00F56562"/>
    <w:rsid w:val="00F56AD3"/>
    <w:rsid w:val="00F60F1D"/>
    <w:rsid w:val="00F6144D"/>
    <w:rsid w:val="00F61541"/>
    <w:rsid w:val="00F621BB"/>
    <w:rsid w:val="00F63478"/>
    <w:rsid w:val="00F634FA"/>
    <w:rsid w:val="00F648D4"/>
    <w:rsid w:val="00F64C09"/>
    <w:rsid w:val="00F64DE0"/>
    <w:rsid w:val="00F6510F"/>
    <w:rsid w:val="00F652C9"/>
    <w:rsid w:val="00F6536B"/>
    <w:rsid w:val="00F660B1"/>
    <w:rsid w:val="00F66250"/>
    <w:rsid w:val="00F70AE2"/>
    <w:rsid w:val="00F71B2E"/>
    <w:rsid w:val="00F72899"/>
    <w:rsid w:val="00F73284"/>
    <w:rsid w:val="00F733D0"/>
    <w:rsid w:val="00F73583"/>
    <w:rsid w:val="00F74169"/>
    <w:rsid w:val="00F741AF"/>
    <w:rsid w:val="00F75475"/>
    <w:rsid w:val="00F756A2"/>
    <w:rsid w:val="00F767D6"/>
    <w:rsid w:val="00F7696A"/>
    <w:rsid w:val="00F76C12"/>
    <w:rsid w:val="00F8042D"/>
    <w:rsid w:val="00F806D3"/>
    <w:rsid w:val="00F82A87"/>
    <w:rsid w:val="00F83193"/>
    <w:rsid w:val="00F83780"/>
    <w:rsid w:val="00F83AA4"/>
    <w:rsid w:val="00F840F3"/>
    <w:rsid w:val="00F84E59"/>
    <w:rsid w:val="00F87A4C"/>
    <w:rsid w:val="00F87EA3"/>
    <w:rsid w:val="00F87EBA"/>
    <w:rsid w:val="00F90255"/>
    <w:rsid w:val="00F90C4C"/>
    <w:rsid w:val="00F90F44"/>
    <w:rsid w:val="00F91E5D"/>
    <w:rsid w:val="00F91FA9"/>
    <w:rsid w:val="00F929BD"/>
    <w:rsid w:val="00F92DE8"/>
    <w:rsid w:val="00F9337C"/>
    <w:rsid w:val="00F933EA"/>
    <w:rsid w:val="00F93450"/>
    <w:rsid w:val="00F93A2F"/>
    <w:rsid w:val="00F93AF6"/>
    <w:rsid w:val="00F959D7"/>
    <w:rsid w:val="00F95C73"/>
    <w:rsid w:val="00F95D7E"/>
    <w:rsid w:val="00F9615F"/>
    <w:rsid w:val="00FA0EAF"/>
    <w:rsid w:val="00FA0F10"/>
    <w:rsid w:val="00FA1555"/>
    <w:rsid w:val="00FA1A0E"/>
    <w:rsid w:val="00FA1D22"/>
    <w:rsid w:val="00FA300D"/>
    <w:rsid w:val="00FA3F2E"/>
    <w:rsid w:val="00FA4B37"/>
    <w:rsid w:val="00FA548B"/>
    <w:rsid w:val="00FA5B11"/>
    <w:rsid w:val="00FA7682"/>
    <w:rsid w:val="00FA78FE"/>
    <w:rsid w:val="00FA7CC6"/>
    <w:rsid w:val="00FB06E8"/>
    <w:rsid w:val="00FB0B9F"/>
    <w:rsid w:val="00FB132D"/>
    <w:rsid w:val="00FB3490"/>
    <w:rsid w:val="00FB39C4"/>
    <w:rsid w:val="00FB4249"/>
    <w:rsid w:val="00FB4266"/>
    <w:rsid w:val="00FB48D3"/>
    <w:rsid w:val="00FB4F3A"/>
    <w:rsid w:val="00FB5D1A"/>
    <w:rsid w:val="00FB5DCC"/>
    <w:rsid w:val="00FB5ECA"/>
    <w:rsid w:val="00FB6741"/>
    <w:rsid w:val="00FB6AA9"/>
    <w:rsid w:val="00FB7590"/>
    <w:rsid w:val="00FC09C1"/>
    <w:rsid w:val="00FC1C09"/>
    <w:rsid w:val="00FC215C"/>
    <w:rsid w:val="00FC261B"/>
    <w:rsid w:val="00FC2EEF"/>
    <w:rsid w:val="00FC404C"/>
    <w:rsid w:val="00FC4C5B"/>
    <w:rsid w:val="00FC5160"/>
    <w:rsid w:val="00FC57EF"/>
    <w:rsid w:val="00FC7634"/>
    <w:rsid w:val="00FC794A"/>
    <w:rsid w:val="00FC7E59"/>
    <w:rsid w:val="00FD08D0"/>
    <w:rsid w:val="00FD120D"/>
    <w:rsid w:val="00FD2B71"/>
    <w:rsid w:val="00FD3897"/>
    <w:rsid w:val="00FD38CE"/>
    <w:rsid w:val="00FD40EA"/>
    <w:rsid w:val="00FD54F3"/>
    <w:rsid w:val="00FD56B5"/>
    <w:rsid w:val="00FD5A20"/>
    <w:rsid w:val="00FD69F7"/>
    <w:rsid w:val="00FE0C8D"/>
    <w:rsid w:val="00FE1AB3"/>
    <w:rsid w:val="00FE1BEE"/>
    <w:rsid w:val="00FE1DB1"/>
    <w:rsid w:val="00FE1F69"/>
    <w:rsid w:val="00FE2E9E"/>
    <w:rsid w:val="00FE30E2"/>
    <w:rsid w:val="00FE3595"/>
    <w:rsid w:val="00FE4431"/>
    <w:rsid w:val="00FE466E"/>
    <w:rsid w:val="00FE47BF"/>
    <w:rsid w:val="00FE4AE7"/>
    <w:rsid w:val="00FE4FE8"/>
    <w:rsid w:val="00FE53AB"/>
    <w:rsid w:val="00FE553D"/>
    <w:rsid w:val="00FE5D3F"/>
    <w:rsid w:val="00FE7344"/>
    <w:rsid w:val="00FF106F"/>
    <w:rsid w:val="00FF14C7"/>
    <w:rsid w:val="00FF1B74"/>
    <w:rsid w:val="00FF258B"/>
    <w:rsid w:val="00FF25A2"/>
    <w:rsid w:val="00FF2AAD"/>
    <w:rsid w:val="00FF2DF7"/>
    <w:rsid w:val="00FF310D"/>
    <w:rsid w:val="00FF3193"/>
    <w:rsid w:val="00FF5108"/>
    <w:rsid w:val="00FF535C"/>
    <w:rsid w:val="00FF546C"/>
    <w:rsid w:val="00FF5853"/>
    <w:rsid w:val="00FF5DD6"/>
    <w:rsid w:val="00FF7C76"/>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E1909D"/>
  <w15:docId w15:val="{31BEA170-CA73-4672-8940-EA8B1676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ECB"/>
    <w:rPr>
      <w:sz w:val="24"/>
      <w:szCs w:val="24"/>
    </w:rPr>
  </w:style>
  <w:style w:type="paragraph" w:styleId="Heading1">
    <w:name w:val="heading 1"/>
    <w:basedOn w:val="Normal"/>
    <w:next w:val="Marge"/>
    <w:qFormat/>
    <w:rsid w:val="003E7849"/>
    <w:pPr>
      <w:keepNext/>
      <w:keepLines/>
      <w:spacing w:after="240"/>
      <w:outlineLvl w:val="0"/>
    </w:pPr>
    <w:rPr>
      <w:rFonts w:ascii="Arial" w:hAnsi="Arial"/>
      <w:b/>
      <w:bCs/>
      <w:kern w:val="28"/>
      <w:sz w:val="22"/>
    </w:rPr>
  </w:style>
  <w:style w:type="paragraph" w:styleId="Heading2">
    <w:name w:val="heading 2"/>
    <w:basedOn w:val="Normal"/>
    <w:next w:val="Marge"/>
    <w:qFormat/>
    <w:rsid w:val="003E7849"/>
    <w:pPr>
      <w:keepNext/>
      <w:keepLines/>
      <w:tabs>
        <w:tab w:val="left" w:pos="737"/>
      </w:tabs>
      <w:spacing w:after="240"/>
      <w:ind w:left="567" w:hanging="567"/>
      <w:outlineLvl w:val="1"/>
    </w:pPr>
    <w:rPr>
      <w:rFonts w:ascii="Arial" w:hAnsi="Arial"/>
      <w:bCs/>
      <w:caps/>
      <w:sz w:val="22"/>
    </w:rPr>
  </w:style>
  <w:style w:type="paragraph" w:styleId="Heading3">
    <w:name w:val="heading 3"/>
    <w:basedOn w:val="Normal"/>
    <w:next w:val="Marge"/>
    <w:link w:val="Heading3Char"/>
    <w:qFormat/>
    <w:rsid w:val="003E7849"/>
    <w:pPr>
      <w:keepNext/>
      <w:keepLines/>
      <w:spacing w:after="240"/>
      <w:ind w:left="567" w:hanging="567"/>
      <w:outlineLvl w:val="2"/>
    </w:pPr>
    <w:rPr>
      <w:rFonts w:ascii="Arial" w:hAnsi="Arial"/>
      <w:b/>
      <w:bCs/>
      <w:sz w:val="22"/>
    </w:rPr>
  </w:style>
  <w:style w:type="paragraph" w:styleId="Heading4">
    <w:name w:val="heading 4"/>
    <w:basedOn w:val="Normal"/>
    <w:next w:val="Marge"/>
    <w:link w:val="Heading4Char"/>
    <w:qFormat/>
    <w:pPr>
      <w:keepNext/>
      <w:keepLines/>
      <w:tabs>
        <w:tab w:val="left" w:pos="567"/>
      </w:tabs>
      <w:spacing w:after="240"/>
      <w:outlineLvl w:val="3"/>
    </w:pPr>
    <w:rPr>
      <w:b/>
      <w:bCs/>
    </w:rPr>
  </w:style>
  <w:style w:type="paragraph" w:styleId="Heading5">
    <w:name w:val="heading 5"/>
    <w:basedOn w:val="Normal"/>
    <w:next w:val="Marge"/>
    <w:autoRedefine/>
    <w:qFormat/>
    <w:rsid w:val="00F47A6A"/>
    <w:pPr>
      <w:keepNext/>
      <w:keepLines/>
      <w:spacing w:after="240"/>
      <w:ind w:left="1701" w:hanging="992"/>
      <w:outlineLvl w:val="4"/>
    </w:pPr>
    <w:rPr>
      <w:rFonts w:ascii="Arial" w:hAnsi="Arial"/>
      <w:bCs/>
      <w:i/>
      <w:sz w:val="22"/>
    </w:rPr>
  </w:style>
  <w:style w:type="paragraph" w:styleId="Heading6">
    <w:name w:val="heading 6"/>
    <w:basedOn w:val="Normal"/>
    <w:next w:val="Marge"/>
    <w:qFormat/>
    <w:pPr>
      <w:keepNext/>
      <w:keepLines/>
      <w:tabs>
        <w:tab w:val="left" w:pos="1134"/>
      </w:tabs>
      <w:spacing w:after="240"/>
      <w:ind w:left="567"/>
      <w:outlineLvl w:val="5"/>
    </w:pPr>
    <w:rPr>
      <w:b/>
      <w:bCs/>
    </w:rPr>
  </w:style>
  <w:style w:type="paragraph" w:styleId="Heading7">
    <w:name w:val="heading 7"/>
    <w:basedOn w:val="Normal"/>
    <w:next w:val="Normal"/>
    <w:qFormat/>
    <w:pPr>
      <w:keepNext/>
      <w:ind w:left="540"/>
      <w:outlineLvl w:val="6"/>
    </w:pPr>
    <w:rPr>
      <w:b/>
      <w:bCs/>
    </w:rPr>
  </w:style>
  <w:style w:type="paragraph" w:styleId="Heading8">
    <w:name w:val="heading 8"/>
    <w:basedOn w:val="Normal"/>
    <w:next w:val="Normal"/>
    <w:qFormat/>
    <w:pPr>
      <w:keepNext/>
      <w:tabs>
        <w:tab w:val="left" w:pos="-1440"/>
      </w:tabs>
      <w:ind w:left="2880" w:hanging="2880"/>
      <w:jc w:val="both"/>
      <w:outlineLvl w:val="7"/>
    </w:pPr>
    <w:rPr>
      <w:u w:val="single"/>
      <w:lang w:val="es-ES_tradnl"/>
    </w:rPr>
  </w:style>
  <w:style w:type="paragraph" w:styleId="Heading9">
    <w:name w:val="heading 9"/>
    <w:basedOn w:val="Normal"/>
    <w:next w:val="Normal"/>
    <w:qFormat/>
    <w:pPr>
      <w:keepNext/>
      <w:spacing w:after="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qFormat/>
    <w:pPr>
      <w:ind w:firstLine="0"/>
    </w:pPr>
  </w:style>
  <w:style w:type="paragraph" w:customStyle="1" w:styleId="Par">
    <w:name w:val="Par"/>
    <w:basedOn w:val="Normal"/>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left" w:pos="1134"/>
      </w:tabs>
      <w:ind w:left="1134"/>
    </w:pPr>
  </w:style>
  <w:style w:type="paragraph" w:customStyle="1" w:styleId="c">
    <w:name w:val="(c)"/>
    <w:basedOn w:val="Normal"/>
    <w:pPr>
      <w:tabs>
        <w:tab w:val="left" w:pos="1701"/>
      </w:tabs>
      <w:spacing w:after="240"/>
      <w:ind w:left="1701" w:hanging="567"/>
      <w:jc w:val="both"/>
    </w:pPr>
  </w:style>
  <w:style w:type="paragraph" w:customStyle="1" w:styleId="alina">
    <w:name w:val="alinéa"/>
    <w:basedOn w:val="Normal"/>
    <w:pPr>
      <w:spacing w:after="240"/>
      <w:ind w:left="567"/>
      <w:jc w:val="both"/>
    </w:p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paragraph" w:styleId="BodyText">
    <w:name w:val="Body Text"/>
    <w:basedOn w:val="Normal"/>
    <w:link w:val="BodyTextChar"/>
    <w:rPr>
      <w:i/>
      <w:iCs/>
    </w:rPr>
  </w:style>
  <w:style w:type="paragraph" w:customStyle="1" w:styleId="paragraphnumerote">
    <w:name w:val="paragraph numerote"/>
    <w:basedOn w:val="Normal"/>
    <w:link w:val="paragraphnumeroteCharChar"/>
    <w:autoRedefine/>
    <w:rsid w:val="00C27BE5"/>
    <w:pPr>
      <w:shd w:val="clear" w:color="auto" w:fill="FFFFFF"/>
      <w:spacing w:after="240"/>
      <w:jc w:val="both"/>
    </w:pPr>
    <w:rPr>
      <w:rFonts w:ascii="Arial" w:hAnsi="Arial"/>
      <w:iCs/>
      <w:sz w:val="22"/>
      <w:szCs w:val="22"/>
    </w:rPr>
  </w:style>
  <w:style w:type="paragraph" w:customStyle="1" w:styleId="TIRETbul1cm">
    <w:name w:val="TIRET bul 1cm"/>
    <w:basedOn w:val="Normal"/>
    <w:pPr>
      <w:numPr>
        <w:numId w:val="3"/>
      </w:numPr>
      <w:adjustRightInd w:val="0"/>
      <w:spacing w:after="240"/>
      <w:jc w:val="both"/>
    </w:pPr>
  </w:style>
  <w:style w:type="paragraph" w:customStyle="1" w:styleId="Serre">
    <w:name w:val="Serre"/>
    <w:basedOn w:val="Normal"/>
    <w:pPr>
      <w:suppressAutoHyphens/>
      <w:jc w:val="both"/>
      <w:outlineLvl w:val="2"/>
    </w:pPr>
    <w:rPr>
      <w:lang w:eastAsia="fr-FR"/>
    </w:rPr>
  </w:style>
  <w:style w:type="paragraph" w:styleId="BodyTextIndent">
    <w:name w:val="Body Text Indent"/>
    <w:basedOn w:val="Normal"/>
    <w:link w:val="BodyTextIndentChar"/>
    <w:pPr>
      <w:spacing w:before="120" w:after="120"/>
      <w:ind w:firstLine="1134"/>
    </w:pPr>
    <w:rPr>
      <w:rFonts w:ascii="Arial" w:hAnsi="Arial" w:cs="Arial"/>
      <w:sz w:val="22"/>
      <w:szCs w:val="22"/>
    </w:rPr>
  </w:style>
  <w:style w:type="paragraph" w:styleId="BodyText3">
    <w:name w:val="Body Text 3"/>
    <w:basedOn w:val="Normal"/>
    <w:pPr>
      <w:spacing w:before="120" w:after="120"/>
      <w:ind w:right="-58"/>
      <w:jc w:val="both"/>
    </w:pPr>
    <w:rPr>
      <w:rFonts w:ascii="Arial" w:hAnsi="Arial" w:cs="Arial"/>
      <w:sz w:val="22"/>
      <w:szCs w:val="22"/>
    </w:rPr>
  </w:style>
  <w:style w:type="paragraph" w:customStyle="1" w:styleId="non-decis">
    <w:name w:val="non-decis"/>
    <w:basedOn w:val="Normal"/>
    <w:pPr>
      <w:ind w:left="737" w:right="737"/>
      <w:jc w:val="both"/>
    </w:pPr>
    <w:rPr>
      <w:sz w:val="20"/>
      <w:szCs w:val="20"/>
    </w:rPr>
  </w:style>
  <w:style w:type="paragraph" w:customStyle="1" w:styleId="decis">
    <w:name w:val="decis"/>
    <w:basedOn w:val="BodyText"/>
    <w:pPr>
      <w:numPr>
        <w:numId w:val="2"/>
      </w:numPr>
      <w:jc w:val="both"/>
    </w:pPr>
    <w:rPr>
      <w:i w:val="0"/>
      <w:iCs w:val="0"/>
    </w:rPr>
  </w:style>
  <w:style w:type="paragraph" w:styleId="BodyTextIndent2">
    <w:name w:val="Body Text Indent 2"/>
    <w:basedOn w:val="Normal"/>
    <w:pPr>
      <w:ind w:left="1440" w:hanging="1440"/>
    </w:pPr>
    <w:rPr>
      <w:i/>
      <w:iCs/>
    </w:rPr>
  </w:style>
  <w:style w:type="paragraph" w:styleId="BodyTextIndent3">
    <w:name w:val="Body Text Indent 3"/>
    <w:basedOn w:val="Normal"/>
    <w:pPr>
      <w:widowControl w:val="0"/>
      <w:ind w:left="3600" w:hanging="2880"/>
    </w:pPr>
    <w:rPr>
      <w:b/>
      <w:bCs/>
      <w:sz w:val="20"/>
      <w:szCs w:val="20"/>
      <w:lang w:val="en-US"/>
    </w:rPr>
  </w:style>
  <w:style w:type="paragraph" w:styleId="BodyText2">
    <w:name w:val="Body Text 2"/>
    <w:basedOn w:val="Normal"/>
    <w:rPr>
      <w:i/>
      <w:iCs/>
      <w:color w:val="000000"/>
    </w:rPr>
  </w:style>
  <w:style w:type="character" w:styleId="PageNumber">
    <w:name w:val="page number"/>
    <w:basedOn w:val="DefaultParagraphFont"/>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rsid w:val="0052719A"/>
    <w:pPr>
      <w:tabs>
        <w:tab w:val="right" w:leader="dot" w:pos="9628"/>
      </w:tabs>
      <w:spacing w:before="120" w:after="120"/>
      <w:ind w:left="567" w:hanging="567"/>
    </w:pPr>
    <w:rPr>
      <w:rFonts w:ascii="Arial" w:hAnsi="Arial" w:cs="Arial"/>
      <w:b/>
      <w:noProof/>
      <w:sz w:val="22"/>
      <w:szCs w:val="22"/>
    </w:rPr>
  </w:style>
  <w:style w:type="paragraph" w:styleId="TOC2">
    <w:name w:val="toc 2"/>
    <w:basedOn w:val="Normal"/>
    <w:next w:val="Normal"/>
    <w:autoRedefine/>
    <w:uiPriority w:val="39"/>
    <w:rsid w:val="0052719A"/>
    <w:pPr>
      <w:tabs>
        <w:tab w:val="right" w:leader="dot" w:pos="9639"/>
      </w:tabs>
      <w:spacing w:after="120"/>
      <w:ind w:left="1134" w:hanging="567"/>
    </w:pPr>
    <w:rPr>
      <w:rFonts w:ascii="Arial" w:hAnsi="Arial" w:cs="Arial"/>
      <w:bCs/>
      <w:iCs/>
      <w:noProof/>
      <w:sz w:val="22"/>
      <w:szCs w:val="22"/>
    </w:rPr>
  </w:style>
  <w:style w:type="paragraph" w:styleId="TOC3">
    <w:name w:val="toc 3"/>
    <w:basedOn w:val="Normal"/>
    <w:next w:val="Normal"/>
    <w:autoRedefine/>
    <w:uiPriority w:val="39"/>
    <w:rsid w:val="0052719A"/>
    <w:pPr>
      <w:tabs>
        <w:tab w:val="right" w:leader="dot" w:pos="9639"/>
      </w:tabs>
      <w:spacing w:before="120" w:after="60"/>
      <w:ind w:left="1701" w:hanging="567"/>
    </w:pPr>
    <w:rPr>
      <w:rFonts w:ascii="Arial" w:hAnsi="Arial" w:cs="Arial"/>
      <w:noProof/>
      <w:color w:val="000000"/>
      <w:sz w:val="22"/>
      <w:szCs w:val="22"/>
    </w:rPr>
  </w:style>
  <w:style w:type="paragraph" w:styleId="TOC4">
    <w:name w:val="toc 4"/>
    <w:basedOn w:val="Normal"/>
    <w:next w:val="Normal"/>
    <w:autoRedefine/>
    <w:uiPriority w:val="39"/>
    <w:rsid w:val="00414E71"/>
    <w:pPr>
      <w:tabs>
        <w:tab w:val="left" w:pos="1843"/>
        <w:tab w:val="right" w:leader="dot" w:pos="9356"/>
      </w:tabs>
      <w:spacing w:after="60"/>
      <w:ind w:left="1843" w:hanging="567"/>
    </w:pPr>
    <w:rPr>
      <w:noProof/>
      <w:color w:val="000000"/>
    </w:rPr>
  </w:style>
  <w:style w:type="paragraph" w:styleId="TOC5">
    <w:name w:val="toc 5"/>
    <w:basedOn w:val="Normal"/>
    <w:next w:val="Normal"/>
    <w:autoRedefine/>
    <w:uiPriority w:val="39"/>
    <w:rsid w:val="00B52857"/>
    <w:pPr>
      <w:tabs>
        <w:tab w:val="left" w:pos="1920"/>
        <w:tab w:val="left" w:pos="2340"/>
        <w:tab w:val="right" w:leader="dot" w:pos="9360"/>
      </w:tabs>
      <w:spacing w:after="60"/>
      <w:ind w:left="2340" w:hanging="900"/>
    </w:pPr>
    <w:rPr>
      <w:rFonts w:ascii="Arial" w:hAnsi="Arial" w:cs="Arial"/>
      <w:i/>
      <w:noProof/>
      <w:sz w:val="22"/>
      <w:szCs w:val="22"/>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standard">
    <w:name w:val="standard"/>
    <w:basedOn w:val="Header"/>
    <w:autoRedefine/>
    <w:pPr>
      <w:tabs>
        <w:tab w:val="clear" w:pos="4153"/>
        <w:tab w:val="clear" w:pos="8306"/>
        <w:tab w:val="center" w:pos="4419"/>
        <w:tab w:val="right" w:pos="8838"/>
      </w:tabs>
      <w:jc w:val="both"/>
    </w:pPr>
    <w:rPr>
      <w:rFonts w:eastAsia="Arial Unicode MS"/>
      <w:sz w:val="22"/>
      <w:szCs w:val="22"/>
      <w:u w:val="single"/>
    </w:rPr>
  </w:style>
  <w:style w:type="paragraph" w:customStyle="1" w:styleId="Quick1">
    <w:name w:val="Quick 1."/>
    <w:basedOn w:val="Normal"/>
    <w:pPr>
      <w:widowControl w:val="0"/>
      <w:numPr>
        <w:numId w:val="1"/>
      </w:numPr>
      <w:jc w:val="both"/>
    </w:pPr>
    <w:rPr>
      <w:sz w:val="22"/>
      <w:szCs w:val="22"/>
      <w:lang w:val="en-AU"/>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eastAsia="x-none"/>
    </w:rPr>
  </w:style>
  <w:style w:type="paragraph" w:styleId="Title">
    <w:name w:val="Title"/>
    <w:basedOn w:val="Normal"/>
    <w:qFormat/>
    <w:pPr>
      <w:jc w:val="center"/>
    </w:pPr>
    <w:rPr>
      <w:b/>
      <w:bCs/>
      <w:lang w:val="en-US"/>
    </w:rPr>
  </w:style>
  <w:style w:type="paragraph" w:styleId="BlockText">
    <w:name w:val="Block Text"/>
    <w:basedOn w:val="Normal"/>
    <w:pPr>
      <w:ind w:left="1440" w:right="615"/>
    </w:pPr>
    <w:rPr>
      <w:sz w:val="20"/>
      <w:szCs w:val="20"/>
    </w:rPr>
  </w:style>
  <w:style w:type="paragraph" w:customStyle="1" w:styleId="COI">
    <w:name w:val="COI"/>
    <w:basedOn w:val="Marge"/>
    <w:link w:val="COIChar"/>
    <w:pPr>
      <w:tabs>
        <w:tab w:val="left" w:pos="709"/>
      </w:tabs>
      <w:ind w:hanging="709"/>
    </w:pPr>
    <w:rPr>
      <w:lang w:val="x-none"/>
    </w:rPr>
  </w:style>
  <w:style w:type="paragraph" w:customStyle="1" w:styleId="Textedebulles2">
    <w:name w:val="Texte de bulles2"/>
    <w:basedOn w:val="Normal"/>
    <w:semiHidden/>
    <w:rPr>
      <w:rFonts w:ascii="Tahoma" w:hAnsi="Tahoma" w:cs="Tahoma"/>
      <w:sz w:val="16"/>
      <w:szCs w:val="16"/>
    </w:rPr>
  </w:style>
  <w:style w:type="paragraph" w:customStyle="1" w:styleId="Textedebulles1">
    <w:name w:val="Texte de bulles1"/>
    <w:basedOn w:val="Normal"/>
    <w:semiHidden/>
    <w:pPr>
      <w:widowControl w:val="0"/>
      <w:autoSpaceDE w:val="0"/>
      <w:autoSpaceDN w:val="0"/>
      <w:adjustRightInd w:val="0"/>
      <w:jc w:val="both"/>
    </w:pPr>
    <w:rPr>
      <w:rFonts w:ascii="Tahoma" w:hAnsi="Tahoma" w:cs="Tahoma"/>
      <w:sz w:val="16"/>
      <w:szCs w:val="16"/>
    </w:rPr>
  </w:style>
  <w:style w:type="paragraph" w:customStyle="1" w:styleId="Docheading">
    <w:name w:val="Doc. heading"/>
    <w:basedOn w:val="Header"/>
    <w:rsid w:val="00D07DB3"/>
    <w:pPr>
      <w:spacing w:after="480"/>
      <w:jc w:val="center"/>
    </w:pPr>
    <w:rPr>
      <w:rFonts w:ascii="Arial" w:hAnsi="Arial" w:cs="Arial"/>
      <w:b/>
      <w:bCs/>
      <w:caps/>
    </w:rPr>
  </w:style>
  <w:style w:type="paragraph" w:customStyle="1" w:styleId="content">
    <w:name w:val="content"/>
    <w:basedOn w:val="Normal"/>
    <w:rsid w:val="00CE4AE5"/>
    <w:pPr>
      <w:spacing w:before="100" w:beforeAutospacing="1" w:after="100" w:afterAutospacing="1" w:line="255" w:lineRule="atLeast"/>
    </w:pPr>
    <w:rPr>
      <w:rFonts w:ascii="Verdana" w:eastAsia="Arial Unicode MS" w:hAnsi="Verdana" w:cs="Arial Unicode MS"/>
      <w:color w:val="000000"/>
      <w:sz w:val="17"/>
      <w:szCs w:val="17"/>
      <w:lang w:val="en-US"/>
    </w:rPr>
  </w:style>
  <w:style w:type="paragraph" w:customStyle="1" w:styleId="Default">
    <w:name w:val="Default"/>
    <w:rsid w:val="00B753D6"/>
    <w:pPr>
      <w:autoSpaceDE w:val="0"/>
      <w:autoSpaceDN w:val="0"/>
      <w:adjustRightInd w:val="0"/>
    </w:pPr>
    <w:rPr>
      <w:rFonts w:eastAsia="SimSun"/>
      <w:color w:val="000000"/>
      <w:sz w:val="24"/>
      <w:szCs w:val="24"/>
      <w:lang w:val="en-US" w:eastAsia="zh-CN"/>
    </w:rPr>
  </w:style>
  <w:style w:type="table" w:styleId="TableGrid">
    <w:name w:val="Table Grid"/>
    <w:basedOn w:val="TableNormal"/>
    <w:rsid w:val="00BD3CB1"/>
    <w:pPr>
      <w:tabs>
        <w:tab w:val="left" w:pos="567"/>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508A9"/>
    <w:rPr>
      <w:b/>
      <w:bCs/>
    </w:rPr>
  </w:style>
  <w:style w:type="character" w:customStyle="1" w:styleId="uwolf">
    <w:name w:val="u_wolf"/>
    <w:semiHidden/>
    <w:rsid w:val="008559E8"/>
    <w:rPr>
      <w:rFonts w:ascii="Arial" w:hAnsi="Arial" w:cs="Arial"/>
      <w:color w:val="auto"/>
      <w:sz w:val="20"/>
      <w:szCs w:val="20"/>
    </w:rPr>
  </w:style>
  <w:style w:type="paragraph" w:styleId="NormalIndent">
    <w:name w:val="Normal Indent"/>
    <w:basedOn w:val="Normal"/>
    <w:rsid w:val="008559E8"/>
    <w:pPr>
      <w:overflowPunct w:val="0"/>
      <w:autoSpaceDE w:val="0"/>
      <w:autoSpaceDN w:val="0"/>
      <w:spacing w:before="120" w:after="120"/>
      <w:ind w:left="708"/>
      <w:jc w:val="both"/>
    </w:pPr>
    <w:rPr>
      <w:rFonts w:ascii="Garamond" w:eastAsia="MS Mincho" w:hAnsi="Garamond"/>
      <w:lang w:val="en-US" w:eastAsia="ja-JP"/>
    </w:rPr>
  </w:style>
  <w:style w:type="character" w:customStyle="1" w:styleId="paragraphnumeroteCharChar">
    <w:name w:val="paragraph numerote Char Char"/>
    <w:link w:val="paragraphnumerote"/>
    <w:rsid w:val="00C27BE5"/>
    <w:rPr>
      <w:rFonts w:ascii="Arial" w:hAnsi="Arial"/>
      <w:iCs/>
      <w:snapToGrid w:val="0"/>
      <w:sz w:val="22"/>
      <w:szCs w:val="22"/>
      <w:shd w:val="clear" w:color="auto" w:fill="FFFFFF"/>
      <w:lang w:eastAsia="en-US"/>
    </w:rPr>
  </w:style>
  <w:style w:type="paragraph" w:styleId="BalloonText">
    <w:name w:val="Balloon Text"/>
    <w:basedOn w:val="Normal"/>
    <w:link w:val="BalloonTextChar"/>
    <w:semiHidden/>
    <w:rsid w:val="00087BE4"/>
    <w:rPr>
      <w:rFonts w:ascii="Tahoma" w:hAnsi="Tahoma" w:cs="Tahoma"/>
      <w:sz w:val="16"/>
      <w:szCs w:val="16"/>
    </w:rPr>
  </w:style>
  <w:style w:type="paragraph" w:customStyle="1" w:styleId="paragraphnumerote0">
    <w:name w:val="paragraphnumerote"/>
    <w:basedOn w:val="Normal"/>
    <w:rsid w:val="00B3026B"/>
    <w:pPr>
      <w:spacing w:before="100" w:beforeAutospacing="1" w:after="100" w:afterAutospacing="1"/>
    </w:pPr>
    <w:rPr>
      <w:lang w:val="en-US"/>
    </w:rPr>
  </w:style>
  <w:style w:type="character" w:customStyle="1" w:styleId="paragraphnumerotechar">
    <w:name w:val="paragraphnumerotechar"/>
    <w:basedOn w:val="DefaultParagraphFont"/>
    <w:rsid w:val="00B3026B"/>
  </w:style>
  <w:style w:type="character" w:customStyle="1" w:styleId="size10w1">
    <w:name w:val="size10w1"/>
    <w:rsid w:val="00522EA8"/>
    <w:rPr>
      <w:rFonts w:ascii="Verdana" w:hAnsi="Verdana" w:hint="default"/>
      <w:color w:val="FFFFFF"/>
      <w:sz w:val="11"/>
      <w:szCs w:val="11"/>
      <w:u w:val="none"/>
      <w:effect w:val="none"/>
    </w:rPr>
  </w:style>
  <w:style w:type="paragraph" w:customStyle="1" w:styleId="Norm">
    <w:name w:val="Norm"/>
    <w:basedOn w:val="paragraphnumerote"/>
    <w:rsid w:val="004B6D65"/>
  </w:style>
  <w:style w:type="paragraph" w:customStyle="1" w:styleId="Style1">
    <w:name w:val="Style1"/>
    <w:basedOn w:val="PlainText"/>
    <w:next w:val="PlainText"/>
    <w:autoRedefine/>
    <w:rsid w:val="001D3D38"/>
    <w:rPr>
      <w:rFonts w:ascii="Arial" w:hAnsi="Arial" w:cs="Arial"/>
      <w:sz w:val="24"/>
    </w:rPr>
  </w:style>
  <w:style w:type="paragraph" w:styleId="PlainText">
    <w:name w:val="Plain Text"/>
    <w:basedOn w:val="Normal"/>
    <w:rsid w:val="001D3D38"/>
    <w:rPr>
      <w:rFonts w:ascii="Courier New" w:hAnsi="Courier New" w:cs="Courier New"/>
      <w:sz w:val="20"/>
      <w:szCs w:val="20"/>
    </w:rPr>
  </w:style>
  <w:style w:type="character" w:customStyle="1" w:styleId="A1">
    <w:name w:val="A1"/>
    <w:rsid w:val="00F442B4"/>
    <w:rPr>
      <w:rFonts w:cs="Benton Sans"/>
      <w:color w:val="000000"/>
      <w:sz w:val="15"/>
      <w:szCs w:val="15"/>
    </w:rPr>
  </w:style>
  <w:style w:type="paragraph" w:styleId="NormalWeb">
    <w:name w:val="Normal (Web)"/>
    <w:basedOn w:val="Normal"/>
    <w:uiPriority w:val="99"/>
    <w:rsid w:val="00F442B4"/>
    <w:pPr>
      <w:spacing w:before="100" w:beforeAutospacing="1" w:after="100" w:afterAutospacing="1"/>
    </w:pPr>
    <w:rPr>
      <w:rFonts w:eastAsia="MS Mincho"/>
      <w:lang w:val="en-US" w:eastAsia="ja-JP"/>
    </w:rPr>
  </w:style>
  <w:style w:type="paragraph" w:customStyle="1" w:styleId="CM52">
    <w:name w:val="CM52"/>
    <w:basedOn w:val="Default"/>
    <w:next w:val="Default"/>
    <w:rsid w:val="00DD1314"/>
    <w:pPr>
      <w:widowControl w:val="0"/>
      <w:spacing w:after="245"/>
    </w:pPr>
    <w:rPr>
      <w:color w:val="auto"/>
    </w:rPr>
  </w:style>
  <w:style w:type="paragraph" w:customStyle="1" w:styleId="Paragrafonumerato">
    <w:name w:val="Paragrafo numerato"/>
    <w:basedOn w:val="Normal"/>
    <w:rsid w:val="00D24A0F"/>
    <w:pPr>
      <w:numPr>
        <w:numId w:val="4"/>
      </w:numPr>
      <w:spacing w:after="240"/>
      <w:jc w:val="both"/>
    </w:pPr>
    <w:rPr>
      <w:rFonts w:eastAsia="MS Mincho"/>
      <w:lang w:val="en-US"/>
    </w:rPr>
  </w:style>
  <w:style w:type="paragraph" w:styleId="ListBullet2">
    <w:name w:val="List Bullet 2"/>
    <w:basedOn w:val="Normal"/>
    <w:rsid w:val="00FB39C4"/>
    <w:pPr>
      <w:numPr>
        <w:numId w:val="5"/>
      </w:numPr>
    </w:pPr>
  </w:style>
  <w:style w:type="paragraph" w:customStyle="1" w:styleId="marge0">
    <w:name w:val="marge"/>
    <w:basedOn w:val="Normal"/>
    <w:rsid w:val="000C209A"/>
    <w:pPr>
      <w:spacing w:before="100" w:beforeAutospacing="1" w:after="100" w:afterAutospacing="1"/>
    </w:pPr>
    <w:rPr>
      <w:rFonts w:eastAsia="MS Mincho"/>
      <w:lang w:val="en-US" w:eastAsia="ja-JP" w:bidi="hi-IN"/>
    </w:rPr>
  </w:style>
  <w:style w:type="character" w:customStyle="1" w:styleId="msoins0">
    <w:name w:val="msoins"/>
    <w:basedOn w:val="DefaultParagraphFont"/>
    <w:rsid w:val="000C209A"/>
  </w:style>
  <w:style w:type="paragraph" w:customStyle="1" w:styleId="coi0">
    <w:name w:val="coi"/>
    <w:basedOn w:val="Normal"/>
    <w:rsid w:val="00872C23"/>
    <w:pPr>
      <w:spacing w:before="240" w:after="240"/>
      <w:jc w:val="both"/>
    </w:pPr>
    <w:rPr>
      <w:rFonts w:ascii="Arial" w:eastAsia="SimSun" w:hAnsi="Arial" w:cs="Arial"/>
      <w:sz w:val="22"/>
      <w:szCs w:val="22"/>
      <w:lang w:val="en-US" w:eastAsia="zh-CN"/>
    </w:rPr>
  </w:style>
  <w:style w:type="paragraph" w:styleId="DocumentMap">
    <w:name w:val="Document Map"/>
    <w:basedOn w:val="Normal"/>
    <w:semiHidden/>
    <w:rsid w:val="006169E5"/>
    <w:pPr>
      <w:shd w:val="clear" w:color="auto" w:fill="000080"/>
    </w:pPr>
    <w:rPr>
      <w:rFonts w:ascii="Tahoma" w:hAnsi="Tahoma" w:cs="Tahoma"/>
      <w:sz w:val="20"/>
      <w:szCs w:val="20"/>
    </w:rPr>
  </w:style>
  <w:style w:type="paragraph" w:customStyle="1" w:styleId="Norma">
    <w:name w:val="Norma"/>
    <w:basedOn w:val="Heading4"/>
    <w:rsid w:val="0087130F"/>
    <w:pPr>
      <w:tabs>
        <w:tab w:val="clear" w:pos="567"/>
        <w:tab w:val="left" w:pos="720"/>
      </w:tabs>
      <w:spacing w:before="240" w:after="0"/>
      <w:ind w:left="720" w:hanging="720"/>
    </w:pPr>
    <w:rPr>
      <w:rFonts w:ascii="Arial" w:hAnsi="Arial" w:cs="Arial"/>
      <w:sz w:val="22"/>
      <w:szCs w:val="22"/>
    </w:rPr>
  </w:style>
  <w:style w:type="paragraph" w:customStyle="1" w:styleId="Heading5111">
    <w:name w:val="Heading 5111"/>
    <w:basedOn w:val="Normal"/>
    <w:link w:val="Heading5111Char"/>
    <w:rsid w:val="005B037A"/>
    <w:pPr>
      <w:spacing w:after="240"/>
      <w:ind w:left="1800" w:hanging="1080"/>
    </w:pPr>
    <w:rPr>
      <w:rFonts w:ascii="Arial" w:hAnsi="Arial" w:cs="Arial"/>
      <w:i/>
      <w:sz w:val="22"/>
      <w:szCs w:val="22"/>
    </w:rPr>
  </w:style>
  <w:style w:type="character" w:customStyle="1" w:styleId="Heading5111Char">
    <w:name w:val="Heading 5111 Char"/>
    <w:link w:val="Heading5111"/>
    <w:rsid w:val="005B037A"/>
    <w:rPr>
      <w:rFonts w:ascii="Arial" w:hAnsi="Arial" w:cs="Arial"/>
      <w:i/>
      <w:snapToGrid w:val="0"/>
      <w:sz w:val="22"/>
      <w:szCs w:val="22"/>
      <w:lang w:val="en-GB" w:eastAsia="en-US" w:bidi="ar-SA"/>
    </w:rPr>
  </w:style>
  <w:style w:type="paragraph" w:styleId="ListBullet3">
    <w:name w:val="List Bullet 3"/>
    <w:basedOn w:val="Normal"/>
    <w:rsid w:val="00DE2230"/>
    <w:pPr>
      <w:numPr>
        <w:numId w:val="6"/>
      </w:numPr>
    </w:pPr>
  </w:style>
  <w:style w:type="character" w:customStyle="1" w:styleId="apple-style-span">
    <w:name w:val="apple-style-span"/>
    <w:basedOn w:val="DefaultParagraphFont"/>
    <w:rsid w:val="001C37A6"/>
  </w:style>
  <w:style w:type="paragraph" w:customStyle="1" w:styleId="Paragrafoelenco">
    <w:name w:val="Paragrafo elenco"/>
    <w:basedOn w:val="paragraphnumerote"/>
    <w:qFormat/>
    <w:rsid w:val="003E5ACF"/>
    <w:rPr>
      <w:lang w:val="en-US"/>
    </w:rPr>
  </w:style>
  <w:style w:type="paragraph" w:customStyle="1" w:styleId="Paragrafoelenco1">
    <w:name w:val="Paragrafo elenco1"/>
    <w:basedOn w:val="Normal"/>
    <w:rsid w:val="0043138D"/>
    <w:pPr>
      <w:widowControl w:val="0"/>
      <w:autoSpaceDE w:val="0"/>
      <w:autoSpaceDN w:val="0"/>
      <w:adjustRightInd w:val="0"/>
      <w:ind w:left="720"/>
      <w:contextualSpacing/>
      <w:jc w:val="both"/>
    </w:pPr>
  </w:style>
  <w:style w:type="character" w:customStyle="1" w:styleId="BodyTextChar">
    <w:name w:val="Body Text Char"/>
    <w:link w:val="BodyText"/>
    <w:rsid w:val="00286D84"/>
    <w:rPr>
      <w:i/>
      <w:iCs/>
      <w:snapToGrid w:val="0"/>
      <w:sz w:val="24"/>
      <w:szCs w:val="24"/>
      <w:lang w:val="en-GB" w:eastAsia="en-US" w:bidi="ar-SA"/>
    </w:rPr>
  </w:style>
  <w:style w:type="character" w:customStyle="1" w:styleId="CharChar2">
    <w:name w:val="Char Char2"/>
    <w:rsid w:val="00C11574"/>
    <w:rPr>
      <w:sz w:val="24"/>
      <w:szCs w:val="24"/>
      <w:lang w:val="en-GB"/>
    </w:rPr>
  </w:style>
  <w:style w:type="paragraph" w:customStyle="1" w:styleId="ColorfulList-Accent11">
    <w:name w:val="Colorful List - Accent 11"/>
    <w:basedOn w:val="Normal"/>
    <w:qFormat/>
    <w:rsid w:val="00CE2EE4"/>
    <w:pPr>
      <w:widowControl w:val="0"/>
      <w:autoSpaceDE w:val="0"/>
      <w:autoSpaceDN w:val="0"/>
      <w:adjustRightInd w:val="0"/>
      <w:ind w:left="720"/>
      <w:contextualSpacing/>
      <w:jc w:val="both"/>
    </w:pPr>
  </w:style>
  <w:style w:type="paragraph" w:customStyle="1" w:styleId="Revisione">
    <w:name w:val="Revisione"/>
    <w:hidden/>
    <w:semiHidden/>
    <w:rsid w:val="004643F9"/>
    <w:rPr>
      <w:sz w:val="24"/>
      <w:szCs w:val="24"/>
      <w:lang w:val="en-GB"/>
    </w:rPr>
  </w:style>
  <w:style w:type="character" w:customStyle="1" w:styleId="BalloonTextChar">
    <w:name w:val="Balloon Text Char"/>
    <w:link w:val="BalloonText"/>
    <w:rsid w:val="002755CC"/>
    <w:rPr>
      <w:rFonts w:ascii="Tahoma" w:hAnsi="Tahoma" w:cs="Tahoma"/>
      <w:snapToGrid w:val="0"/>
      <w:sz w:val="16"/>
      <w:szCs w:val="16"/>
      <w:lang w:val="en-GB" w:eastAsia="en-US" w:bidi="ar-SA"/>
    </w:rPr>
  </w:style>
  <w:style w:type="character" w:customStyle="1" w:styleId="A31">
    <w:name w:val="A3+1"/>
    <w:rsid w:val="00433B51"/>
    <w:rPr>
      <w:rFonts w:cs="Vera Humana 95"/>
      <w:color w:val="221E1F"/>
      <w:sz w:val="18"/>
      <w:szCs w:val="18"/>
    </w:rPr>
  </w:style>
  <w:style w:type="paragraph" w:customStyle="1" w:styleId="Recommendation">
    <w:name w:val="Recommendation"/>
    <w:basedOn w:val="Normal"/>
    <w:rsid w:val="002E69BC"/>
    <w:pPr>
      <w:keepNext/>
      <w:keepLines/>
      <w:spacing w:before="480" w:after="240"/>
      <w:jc w:val="center"/>
      <w:outlineLvl w:val="0"/>
    </w:pPr>
    <w:rPr>
      <w:rFonts w:eastAsia="SimSun"/>
      <w:bCs/>
      <w:kern w:val="28"/>
      <w:u w:val="single"/>
      <w:lang w:val="en-US"/>
    </w:rPr>
  </w:style>
  <w:style w:type="paragraph" w:styleId="CommentSubject">
    <w:name w:val="annotation subject"/>
    <w:basedOn w:val="CommentText"/>
    <w:next w:val="CommentText"/>
    <w:link w:val="CommentSubjectChar"/>
    <w:rsid w:val="002E32B3"/>
    <w:rPr>
      <w:b/>
      <w:bCs/>
    </w:rPr>
  </w:style>
  <w:style w:type="character" w:customStyle="1" w:styleId="CommentTextChar">
    <w:name w:val="Comment Text Char"/>
    <w:link w:val="CommentText"/>
    <w:rsid w:val="002E32B3"/>
    <w:rPr>
      <w:snapToGrid w:val="0"/>
      <w:lang w:val="en-GB"/>
    </w:rPr>
  </w:style>
  <w:style w:type="character" w:customStyle="1" w:styleId="CommentSubjectChar">
    <w:name w:val="Comment Subject Char"/>
    <w:link w:val="CommentSubject"/>
    <w:rsid w:val="002E32B3"/>
    <w:rPr>
      <w:b/>
      <w:bCs/>
      <w:snapToGrid w:val="0"/>
      <w:lang w:val="en-GB"/>
    </w:rPr>
  </w:style>
  <w:style w:type="paragraph" w:customStyle="1" w:styleId="ListParagraph1">
    <w:name w:val="List Paragraph1"/>
    <w:basedOn w:val="Normal"/>
    <w:qFormat/>
    <w:rsid w:val="007E37AE"/>
    <w:pPr>
      <w:widowControl w:val="0"/>
      <w:autoSpaceDE w:val="0"/>
      <w:autoSpaceDN w:val="0"/>
      <w:adjustRightInd w:val="0"/>
      <w:ind w:left="720"/>
      <w:contextualSpacing/>
      <w:jc w:val="both"/>
    </w:pPr>
  </w:style>
  <w:style w:type="paragraph" w:customStyle="1" w:styleId="Title5">
    <w:name w:val="Title 5"/>
    <w:basedOn w:val="Normal"/>
    <w:link w:val="Title5Car"/>
    <w:qFormat/>
    <w:rsid w:val="00F47A6A"/>
    <w:pPr>
      <w:spacing w:after="240"/>
      <w:ind w:left="1707" w:hanging="981"/>
    </w:pPr>
    <w:rPr>
      <w:rFonts w:ascii="Arial" w:hAnsi="Arial"/>
      <w:i/>
      <w:caps/>
    </w:rPr>
  </w:style>
  <w:style w:type="paragraph" w:customStyle="1" w:styleId="TableauGrille31">
    <w:name w:val="Tableau Grille 31"/>
    <w:basedOn w:val="Heading1"/>
    <w:next w:val="Normal"/>
    <w:uiPriority w:val="39"/>
    <w:semiHidden/>
    <w:unhideWhenUsed/>
    <w:qFormat/>
    <w:rsid w:val="0070600C"/>
    <w:pPr>
      <w:spacing w:before="480" w:after="0" w:line="276" w:lineRule="auto"/>
      <w:outlineLvl w:val="9"/>
    </w:pPr>
    <w:rPr>
      <w:rFonts w:ascii="Cambria" w:hAnsi="Cambria"/>
      <w:color w:val="365F91"/>
      <w:kern w:val="0"/>
      <w:sz w:val="28"/>
      <w:szCs w:val="28"/>
      <w:lang w:eastAsia="fr-FR"/>
    </w:rPr>
  </w:style>
  <w:style w:type="character" w:customStyle="1" w:styleId="Title5Car">
    <w:name w:val="Title 5 Car"/>
    <w:link w:val="Title5"/>
    <w:rsid w:val="00F47A6A"/>
    <w:rPr>
      <w:rFonts w:ascii="Arial" w:hAnsi="Arial" w:cs="Arial"/>
      <w:i/>
      <w:caps/>
      <w:snapToGrid w:val="0"/>
      <w:sz w:val="24"/>
      <w:szCs w:val="24"/>
      <w:lang w:val="en-GB" w:eastAsia="en-US"/>
    </w:rPr>
  </w:style>
  <w:style w:type="paragraph" w:customStyle="1" w:styleId="ColorfulList-Accent12">
    <w:name w:val="Colorful List - Accent 12"/>
    <w:basedOn w:val="Normal"/>
    <w:uiPriority w:val="34"/>
    <w:qFormat/>
    <w:rsid w:val="00885ABB"/>
    <w:pPr>
      <w:ind w:left="720"/>
      <w:contextualSpacing/>
    </w:pPr>
    <w:rPr>
      <w:rFonts w:ascii="Arial" w:hAnsi="Arial"/>
      <w:sz w:val="22"/>
    </w:rPr>
  </w:style>
  <w:style w:type="character" w:customStyle="1" w:styleId="COIChar">
    <w:name w:val="COI Char"/>
    <w:link w:val="COI"/>
    <w:locked/>
    <w:rsid w:val="003A03A1"/>
    <w:rPr>
      <w:sz w:val="24"/>
      <w:szCs w:val="24"/>
      <w:lang w:eastAsia="en-US"/>
    </w:rPr>
  </w:style>
  <w:style w:type="paragraph" w:customStyle="1" w:styleId="ColorfulShading-Accent11">
    <w:name w:val="Colorful Shading - Accent 11"/>
    <w:hidden/>
    <w:uiPriority w:val="99"/>
    <w:semiHidden/>
    <w:rsid w:val="00472F54"/>
    <w:rPr>
      <w:snapToGrid w:val="0"/>
      <w:sz w:val="24"/>
      <w:szCs w:val="24"/>
      <w:lang w:val="en-GB"/>
    </w:rPr>
  </w:style>
  <w:style w:type="character" w:customStyle="1" w:styleId="Heading3Char">
    <w:name w:val="Heading 3 Char"/>
    <w:link w:val="Heading3"/>
    <w:rsid w:val="003E7849"/>
    <w:rPr>
      <w:rFonts w:ascii="Arial" w:hAnsi="Arial"/>
      <w:b/>
      <w:bCs/>
      <w:snapToGrid w:val="0"/>
      <w:sz w:val="22"/>
      <w:szCs w:val="24"/>
      <w:lang w:val="en-GB"/>
    </w:rPr>
  </w:style>
  <w:style w:type="character" w:customStyle="1" w:styleId="Heading4Char">
    <w:name w:val="Heading 4 Char"/>
    <w:link w:val="Heading4"/>
    <w:rsid w:val="002C44BA"/>
    <w:rPr>
      <w:b/>
      <w:bCs/>
      <w:snapToGrid w:val="0"/>
      <w:sz w:val="24"/>
      <w:szCs w:val="24"/>
      <w:lang w:val="en-GB" w:eastAsia="en-US"/>
    </w:rPr>
  </w:style>
  <w:style w:type="paragraph" w:styleId="ListParagraph">
    <w:name w:val="List Paragraph"/>
    <w:basedOn w:val="Normal"/>
    <w:link w:val="ListParagraphChar"/>
    <w:uiPriority w:val="34"/>
    <w:qFormat/>
    <w:rsid w:val="00C72A0A"/>
    <w:pPr>
      <w:ind w:left="720"/>
      <w:contextualSpacing/>
    </w:pPr>
  </w:style>
  <w:style w:type="character" w:customStyle="1" w:styleId="textstory">
    <w:name w:val="textstory"/>
    <w:rsid w:val="00132FEC"/>
  </w:style>
  <w:style w:type="character" w:customStyle="1" w:styleId="MargeChar">
    <w:name w:val="Marge Char"/>
    <w:link w:val="Marge"/>
    <w:qFormat/>
    <w:rsid w:val="00CD7DCD"/>
    <w:rPr>
      <w:snapToGrid w:val="0"/>
      <w:sz w:val="24"/>
      <w:szCs w:val="24"/>
      <w:lang w:val="en-GB" w:eastAsia="en-US"/>
    </w:rPr>
  </w:style>
  <w:style w:type="paragraph" w:customStyle="1" w:styleId="Style2">
    <w:name w:val="Style2"/>
    <w:basedOn w:val="paragraphnumerote"/>
    <w:link w:val="Style2Car"/>
    <w:qFormat/>
    <w:rsid w:val="00163C11"/>
    <w:pPr>
      <w:tabs>
        <w:tab w:val="num" w:pos="1400"/>
      </w:tabs>
      <w:ind w:left="720"/>
    </w:pPr>
  </w:style>
  <w:style w:type="character" w:customStyle="1" w:styleId="HeaderChar">
    <w:name w:val="Header Char"/>
    <w:link w:val="Header"/>
    <w:uiPriority w:val="99"/>
    <w:qFormat/>
    <w:rsid w:val="001D1E68"/>
    <w:rPr>
      <w:snapToGrid w:val="0"/>
      <w:sz w:val="24"/>
      <w:szCs w:val="24"/>
      <w:lang w:eastAsia="en-US"/>
    </w:rPr>
  </w:style>
  <w:style w:type="character" w:customStyle="1" w:styleId="Style2Car">
    <w:name w:val="Style2 Car"/>
    <w:link w:val="Style2"/>
    <w:rsid w:val="00163C11"/>
    <w:rPr>
      <w:rFonts w:ascii="Arial" w:hAnsi="Arial"/>
      <w:iCs/>
      <w:snapToGrid w:val="0"/>
      <w:sz w:val="22"/>
      <w:szCs w:val="22"/>
      <w:shd w:val="clear" w:color="auto" w:fill="FFFFFF"/>
      <w:lang w:eastAsia="en-US"/>
    </w:rPr>
  </w:style>
  <w:style w:type="paragraph" w:styleId="EndnoteText">
    <w:name w:val="endnote text"/>
    <w:basedOn w:val="Normal"/>
    <w:link w:val="EndnoteTextChar"/>
    <w:rsid w:val="00724336"/>
    <w:rPr>
      <w:sz w:val="20"/>
      <w:szCs w:val="20"/>
    </w:rPr>
  </w:style>
  <w:style w:type="character" w:customStyle="1" w:styleId="EndnoteTextChar">
    <w:name w:val="Endnote Text Char"/>
    <w:link w:val="EndnoteText"/>
    <w:rsid w:val="00724336"/>
    <w:rPr>
      <w:snapToGrid w:val="0"/>
      <w:lang w:val="en-GB"/>
    </w:rPr>
  </w:style>
  <w:style w:type="character" w:styleId="EndnoteReference">
    <w:name w:val="endnote reference"/>
    <w:rsid w:val="00724336"/>
    <w:rPr>
      <w:vertAlign w:val="superscript"/>
    </w:rPr>
  </w:style>
  <w:style w:type="paragraph" w:styleId="Revision">
    <w:name w:val="Revision"/>
    <w:hidden/>
    <w:uiPriority w:val="99"/>
    <w:semiHidden/>
    <w:rsid w:val="00E57935"/>
    <w:rPr>
      <w:snapToGrid w:val="0"/>
      <w:sz w:val="24"/>
      <w:szCs w:val="24"/>
      <w:lang w:val="en-GB"/>
    </w:rPr>
  </w:style>
  <w:style w:type="character" w:customStyle="1" w:styleId="A4">
    <w:name w:val="A4"/>
    <w:uiPriority w:val="99"/>
    <w:rsid w:val="00514BBB"/>
    <w:rPr>
      <w:rFonts w:cs="Roboto"/>
      <w:color w:val="000000"/>
      <w:sz w:val="18"/>
      <w:szCs w:val="18"/>
    </w:rPr>
  </w:style>
  <w:style w:type="paragraph" w:customStyle="1" w:styleId="Listecouleur-Accent11">
    <w:name w:val="Liste couleur - Accent 11"/>
    <w:basedOn w:val="Normal"/>
    <w:uiPriority w:val="34"/>
    <w:qFormat/>
    <w:rsid w:val="00E8029B"/>
    <w:pPr>
      <w:ind w:left="720"/>
      <w:contextualSpacing/>
    </w:pPr>
    <w:rPr>
      <w:rFonts w:ascii="Arial" w:hAnsi="Arial"/>
      <w:sz w:val="22"/>
    </w:rPr>
  </w:style>
  <w:style w:type="paragraph" w:styleId="NoSpacing">
    <w:name w:val="No Spacing"/>
    <w:link w:val="NoSpacingChar"/>
    <w:uiPriority w:val="1"/>
    <w:qFormat/>
    <w:rsid w:val="003B5D07"/>
    <w:rPr>
      <w:rFonts w:ascii="Calibri" w:hAnsi="Calibri"/>
      <w:sz w:val="22"/>
      <w:szCs w:val="22"/>
      <w:lang w:val="en-US"/>
    </w:rPr>
  </w:style>
  <w:style w:type="character" w:customStyle="1" w:styleId="NoSpacingChar">
    <w:name w:val="No Spacing Char"/>
    <w:link w:val="NoSpacing"/>
    <w:uiPriority w:val="1"/>
    <w:rsid w:val="003B5D07"/>
    <w:rPr>
      <w:rFonts w:ascii="Calibri" w:hAnsi="Calibri"/>
      <w:sz w:val="22"/>
      <w:szCs w:val="22"/>
      <w:lang w:val="en-US" w:eastAsia="en-US"/>
    </w:rPr>
  </w:style>
  <w:style w:type="character" w:customStyle="1" w:styleId="Mencinsinresolver1">
    <w:name w:val="Mención sin resolver1"/>
    <w:uiPriority w:val="99"/>
    <w:semiHidden/>
    <w:unhideWhenUsed/>
    <w:rsid w:val="006C0081"/>
    <w:rPr>
      <w:color w:val="605E5C"/>
      <w:shd w:val="clear" w:color="auto" w:fill="E1DFDD"/>
    </w:rPr>
  </w:style>
  <w:style w:type="character" w:customStyle="1" w:styleId="Mencinsinresolver2">
    <w:name w:val="Mención sin resolver2"/>
    <w:uiPriority w:val="99"/>
    <w:semiHidden/>
    <w:unhideWhenUsed/>
    <w:rsid w:val="00BD3A4A"/>
    <w:rPr>
      <w:color w:val="605E5C"/>
      <w:shd w:val="clear" w:color="auto" w:fill="E1DFDD"/>
    </w:rPr>
  </w:style>
  <w:style w:type="paragraph" w:styleId="TOCHeading">
    <w:name w:val="TOC Heading"/>
    <w:basedOn w:val="Heading1"/>
    <w:next w:val="Normal"/>
    <w:uiPriority w:val="39"/>
    <w:unhideWhenUsed/>
    <w:qFormat/>
    <w:rsid w:val="00455F65"/>
    <w:pPr>
      <w:spacing w:before="240" w:after="0" w:line="259" w:lineRule="auto"/>
      <w:outlineLvl w:val="9"/>
    </w:pPr>
    <w:rPr>
      <w:rFonts w:ascii="Calibri Light" w:eastAsia="DengXian Light" w:hAnsi="Calibri Light"/>
      <w:b w:val="0"/>
      <w:bCs w:val="0"/>
      <w:color w:val="2F5496"/>
      <w:kern w:val="0"/>
      <w:sz w:val="32"/>
      <w:szCs w:val="32"/>
      <w:lang w:val="en-US"/>
    </w:rPr>
  </w:style>
  <w:style w:type="character" w:customStyle="1" w:styleId="ListParagraphChar">
    <w:name w:val="List Paragraph Char"/>
    <w:link w:val="ListParagraph"/>
    <w:uiPriority w:val="34"/>
    <w:locked/>
    <w:rsid w:val="007E5442"/>
    <w:rPr>
      <w:snapToGrid w:val="0"/>
      <w:sz w:val="24"/>
      <w:szCs w:val="24"/>
      <w:lang w:eastAsia="en-US"/>
    </w:rPr>
  </w:style>
  <w:style w:type="character" w:customStyle="1" w:styleId="apple-converted-space">
    <w:name w:val="apple-converted-space"/>
    <w:basedOn w:val="DefaultParagraphFont"/>
    <w:rsid w:val="00A85E40"/>
  </w:style>
  <w:style w:type="character" w:customStyle="1" w:styleId="BodyTextIndentChar">
    <w:name w:val="Body Text Indent Char"/>
    <w:link w:val="BodyTextIndent"/>
    <w:rsid w:val="00A85E40"/>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2779">
      <w:bodyDiv w:val="1"/>
      <w:marLeft w:val="0"/>
      <w:marRight w:val="0"/>
      <w:marTop w:val="0"/>
      <w:marBottom w:val="0"/>
      <w:divBdr>
        <w:top w:val="none" w:sz="0" w:space="0" w:color="auto"/>
        <w:left w:val="none" w:sz="0" w:space="0" w:color="auto"/>
        <w:bottom w:val="none" w:sz="0" w:space="0" w:color="auto"/>
        <w:right w:val="none" w:sz="0" w:space="0" w:color="auto"/>
      </w:divBdr>
    </w:div>
    <w:div w:id="19398939">
      <w:bodyDiv w:val="1"/>
      <w:marLeft w:val="0"/>
      <w:marRight w:val="0"/>
      <w:marTop w:val="0"/>
      <w:marBottom w:val="0"/>
      <w:divBdr>
        <w:top w:val="none" w:sz="0" w:space="0" w:color="auto"/>
        <w:left w:val="none" w:sz="0" w:space="0" w:color="auto"/>
        <w:bottom w:val="none" w:sz="0" w:space="0" w:color="auto"/>
        <w:right w:val="none" w:sz="0" w:space="0" w:color="auto"/>
      </w:divBdr>
      <w:divsChild>
        <w:div w:id="1433279917">
          <w:marLeft w:val="0"/>
          <w:marRight w:val="0"/>
          <w:marTop w:val="0"/>
          <w:marBottom w:val="0"/>
          <w:divBdr>
            <w:top w:val="none" w:sz="0" w:space="0" w:color="auto"/>
            <w:left w:val="none" w:sz="0" w:space="0" w:color="auto"/>
            <w:bottom w:val="none" w:sz="0" w:space="0" w:color="auto"/>
            <w:right w:val="none" w:sz="0" w:space="0" w:color="auto"/>
          </w:divBdr>
        </w:div>
      </w:divsChild>
    </w:div>
    <w:div w:id="47188885">
      <w:bodyDiv w:val="1"/>
      <w:marLeft w:val="0"/>
      <w:marRight w:val="0"/>
      <w:marTop w:val="0"/>
      <w:marBottom w:val="0"/>
      <w:divBdr>
        <w:top w:val="none" w:sz="0" w:space="0" w:color="auto"/>
        <w:left w:val="none" w:sz="0" w:space="0" w:color="auto"/>
        <w:bottom w:val="none" w:sz="0" w:space="0" w:color="auto"/>
        <w:right w:val="none" w:sz="0" w:space="0" w:color="auto"/>
      </w:divBdr>
    </w:div>
    <w:div w:id="49153951">
      <w:bodyDiv w:val="1"/>
      <w:marLeft w:val="0"/>
      <w:marRight w:val="0"/>
      <w:marTop w:val="0"/>
      <w:marBottom w:val="0"/>
      <w:divBdr>
        <w:top w:val="none" w:sz="0" w:space="0" w:color="auto"/>
        <w:left w:val="none" w:sz="0" w:space="0" w:color="auto"/>
        <w:bottom w:val="none" w:sz="0" w:space="0" w:color="auto"/>
        <w:right w:val="none" w:sz="0" w:space="0" w:color="auto"/>
      </w:divBdr>
    </w:div>
    <w:div w:id="59179486">
      <w:bodyDiv w:val="1"/>
      <w:marLeft w:val="0"/>
      <w:marRight w:val="0"/>
      <w:marTop w:val="0"/>
      <w:marBottom w:val="0"/>
      <w:divBdr>
        <w:top w:val="none" w:sz="0" w:space="0" w:color="auto"/>
        <w:left w:val="none" w:sz="0" w:space="0" w:color="auto"/>
        <w:bottom w:val="none" w:sz="0" w:space="0" w:color="auto"/>
        <w:right w:val="none" w:sz="0" w:space="0" w:color="auto"/>
      </w:divBdr>
    </w:div>
    <w:div w:id="67002260">
      <w:bodyDiv w:val="1"/>
      <w:marLeft w:val="0"/>
      <w:marRight w:val="0"/>
      <w:marTop w:val="0"/>
      <w:marBottom w:val="0"/>
      <w:divBdr>
        <w:top w:val="none" w:sz="0" w:space="0" w:color="auto"/>
        <w:left w:val="none" w:sz="0" w:space="0" w:color="auto"/>
        <w:bottom w:val="none" w:sz="0" w:space="0" w:color="auto"/>
        <w:right w:val="none" w:sz="0" w:space="0" w:color="auto"/>
      </w:divBdr>
    </w:div>
    <w:div w:id="76103303">
      <w:bodyDiv w:val="1"/>
      <w:marLeft w:val="0"/>
      <w:marRight w:val="0"/>
      <w:marTop w:val="0"/>
      <w:marBottom w:val="0"/>
      <w:divBdr>
        <w:top w:val="none" w:sz="0" w:space="0" w:color="auto"/>
        <w:left w:val="none" w:sz="0" w:space="0" w:color="auto"/>
        <w:bottom w:val="none" w:sz="0" w:space="0" w:color="auto"/>
        <w:right w:val="none" w:sz="0" w:space="0" w:color="auto"/>
      </w:divBdr>
    </w:div>
    <w:div w:id="83769175">
      <w:bodyDiv w:val="1"/>
      <w:marLeft w:val="0"/>
      <w:marRight w:val="0"/>
      <w:marTop w:val="0"/>
      <w:marBottom w:val="0"/>
      <w:divBdr>
        <w:top w:val="none" w:sz="0" w:space="0" w:color="auto"/>
        <w:left w:val="none" w:sz="0" w:space="0" w:color="auto"/>
        <w:bottom w:val="none" w:sz="0" w:space="0" w:color="auto"/>
        <w:right w:val="none" w:sz="0" w:space="0" w:color="auto"/>
      </w:divBdr>
    </w:div>
    <w:div w:id="105735691">
      <w:bodyDiv w:val="1"/>
      <w:marLeft w:val="0"/>
      <w:marRight w:val="0"/>
      <w:marTop w:val="0"/>
      <w:marBottom w:val="0"/>
      <w:divBdr>
        <w:top w:val="none" w:sz="0" w:space="0" w:color="auto"/>
        <w:left w:val="none" w:sz="0" w:space="0" w:color="auto"/>
        <w:bottom w:val="none" w:sz="0" w:space="0" w:color="auto"/>
        <w:right w:val="none" w:sz="0" w:space="0" w:color="auto"/>
      </w:divBdr>
    </w:div>
    <w:div w:id="115564479">
      <w:bodyDiv w:val="1"/>
      <w:marLeft w:val="0"/>
      <w:marRight w:val="0"/>
      <w:marTop w:val="0"/>
      <w:marBottom w:val="0"/>
      <w:divBdr>
        <w:top w:val="none" w:sz="0" w:space="0" w:color="auto"/>
        <w:left w:val="none" w:sz="0" w:space="0" w:color="auto"/>
        <w:bottom w:val="none" w:sz="0" w:space="0" w:color="auto"/>
        <w:right w:val="none" w:sz="0" w:space="0" w:color="auto"/>
      </w:divBdr>
    </w:div>
    <w:div w:id="118761377">
      <w:bodyDiv w:val="1"/>
      <w:marLeft w:val="0"/>
      <w:marRight w:val="0"/>
      <w:marTop w:val="0"/>
      <w:marBottom w:val="0"/>
      <w:divBdr>
        <w:top w:val="none" w:sz="0" w:space="0" w:color="auto"/>
        <w:left w:val="none" w:sz="0" w:space="0" w:color="auto"/>
        <w:bottom w:val="none" w:sz="0" w:space="0" w:color="auto"/>
        <w:right w:val="none" w:sz="0" w:space="0" w:color="auto"/>
      </w:divBdr>
    </w:div>
    <w:div w:id="120196439">
      <w:bodyDiv w:val="1"/>
      <w:marLeft w:val="0"/>
      <w:marRight w:val="0"/>
      <w:marTop w:val="0"/>
      <w:marBottom w:val="0"/>
      <w:divBdr>
        <w:top w:val="none" w:sz="0" w:space="0" w:color="auto"/>
        <w:left w:val="none" w:sz="0" w:space="0" w:color="auto"/>
        <w:bottom w:val="none" w:sz="0" w:space="0" w:color="auto"/>
        <w:right w:val="none" w:sz="0" w:space="0" w:color="auto"/>
      </w:divBdr>
    </w:div>
    <w:div w:id="120345066">
      <w:bodyDiv w:val="1"/>
      <w:marLeft w:val="0"/>
      <w:marRight w:val="0"/>
      <w:marTop w:val="0"/>
      <w:marBottom w:val="0"/>
      <w:divBdr>
        <w:top w:val="none" w:sz="0" w:space="0" w:color="auto"/>
        <w:left w:val="none" w:sz="0" w:space="0" w:color="auto"/>
        <w:bottom w:val="none" w:sz="0" w:space="0" w:color="auto"/>
        <w:right w:val="none" w:sz="0" w:space="0" w:color="auto"/>
      </w:divBdr>
    </w:div>
    <w:div w:id="132790823">
      <w:bodyDiv w:val="1"/>
      <w:marLeft w:val="0"/>
      <w:marRight w:val="0"/>
      <w:marTop w:val="0"/>
      <w:marBottom w:val="0"/>
      <w:divBdr>
        <w:top w:val="none" w:sz="0" w:space="0" w:color="auto"/>
        <w:left w:val="none" w:sz="0" w:space="0" w:color="auto"/>
        <w:bottom w:val="none" w:sz="0" w:space="0" w:color="auto"/>
        <w:right w:val="none" w:sz="0" w:space="0" w:color="auto"/>
      </w:divBdr>
    </w:div>
    <w:div w:id="147869540">
      <w:bodyDiv w:val="1"/>
      <w:marLeft w:val="0"/>
      <w:marRight w:val="0"/>
      <w:marTop w:val="0"/>
      <w:marBottom w:val="0"/>
      <w:divBdr>
        <w:top w:val="none" w:sz="0" w:space="0" w:color="auto"/>
        <w:left w:val="none" w:sz="0" w:space="0" w:color="auto"/>
        <w:bottom w:val="none" w:sz="0" w:space="0" w:color="auto"/>
        <w:right w:val="none" w:sz="0" w:space="0" w:color="auto"/>
      </w:divBdr>
    </w:div>
    <w:div w:id="150030037">
      <w:bodyDiv w:val="1"/>
      <w:marLeft w:val="0"/>
      <w:marRight w:val="0"/>
      <w:marTop w:val="0"/>
      <w:marBottom w:val="0"/>
      <w:divBdr>
        <w:top w:val="none" w:sz="0" w:space="0" w:color="auto"/>
        <w:left w:val="none" w:sz="0" w:space="0" w:color="auto"/>
        <w:bottom w:val="none" w:sz="0" w:space="0" w:color="auto"/>
        <w:right w:val="none" w:sz="0" w:space="0" w:color="auto"/>
      </w:divBdr>
    </w:div>
    <w:div w:id="152256707">
      <w:bodyDiv w:val="1"/>
      <w:marLeft w:val="0"/>
      <w:marRight w:val="0"/>
      <w:marTop w:val="0"/>
      <w:marBottom w:val="0"/>
      <w:divBdr>
        <w:top w:val="none" w:sz="0" w:space="0" w:color="auto"/>
        <w:left w:val="none" w:sz="0" w:space="0" w:color="auto"/>
        <w:bottom w:val="none" w:sz="0" w:space="0" w:color="auto"/>
        <w:right w:val="none" w:sz="0" w:space="0" w:color="auto"/>
      </w:divBdr>
    </w:div>
    <w:div w:id="157892246">
      <w:bodyDiv w:val="1"/>
      <w:marLeft w:val="0"/>
      <w:marRight w:val="0"/>
      <w:marTop w:val="0"/>
      <w:marBottom w:val="0"/>
      <w:divBdr>
        <w:top w:val="none" w:sz="0" w:space="0" w:color="auto"/>
        <w:left w:val="none" w:sz="0" w:space="0" w:color="auto"/>
        <w:bottom w:val="none" w:sz="0" w:space="0" w:color="auto"/>
        <w:right w:val="none" w:sz="0" w:space="0" w:color="auto"/>
      </w:divBdr>
    </w:div>
    <w:div w:id="161816598">
      <w:bodyDiv w:val="1"/>
      <w:marLeft w:val="0"/>
      <w:marRight w:val="0"/>
      <w:marTop w:val="0"/>
      <w:marBottom w:val="0"/>
      <w:divBdr>
        <w:top w:val="none" w:sz="0" w:space="0" w:color="auto"/>
        <w:left w:val="none" w:sz="0" w:space="0" w:color="auto"/>
        <w:bottom w:val="none" w:sz="0" w:space="0" w:color="auto"/>
        <w:right w:val="none" w:sz="0" w:space="0" w:color="auto"/>
      </w:divBdr>
    </w:div>
    <w:div w:id="167714100">
      <w:bodyDiv w:val="1"/>
      <w:marLeft w:val="0"/>
      <w:marRight w:val="0"/>
      <w:marTop w:val="0"/>
      <w:marBottom w:val="0"/>
      <w:divBdr>
        <w:top w:val="none" w:sz="0" w:space="0" w:color="auto"/>
        <w:left w:val="none" w:sz="0" w:space="0" w:color="auto"/>
        <w:bottom w:val="none" w:sz="0" w:space="0" w:color="auto"/>
        <w:right w:val="none" w:sz="0" w:space="0" w:color="auto"/>
      </w:divBdr>
    </w:div>
    <w:div w:id="169563917">
      <w:bodyDiv w:val="1"/>
      <w:marLeft w:val="0"/>
      <w:marRight w:val="0"/>
      <w:marTop w:val="0"/>
      <w:marBottom w:val="0"/>
      <w:divBdr>
        <w:top w:val="none" w:sz="0" w:space="0" w:color="auto"/>
        <w:left w:val="none" w:sz="0" w:space="0" w:color="auto"/>
        <w:bottom w:val="none" w:sz="0" w:space="0" w:color="auto"/>
        <w:right w:val="none" w:sz="0" w:space="0" w:color="auto"/>
      </w:divBdr>
    </w:div>
    <w:div w:id="171727721">
      <w:bodyDiv w:val="1"/>
      <w:marLeft w:val="0"/>
      <w:marRight w:val="0"/>
      <w:marTop w:val="0"/>
      <w:marBottom w:val="0"/>
      <w:divBdr>
        <w:top w:val="none" w:sz="0" w:space="0" w:color="auto"/>
        <w:left w:val="none" w:sz="0" w:space="0" w:color="auto"/>
        <w:bottom w:val="none" w:sz="0" w:space="0" w:color="auto"/>
        <w:right w:val="none" w:sz="0" w:space="0" w:color="auto"/>
      </w:divBdr>
    </w:div>
    <w:div w:id="190385763">
      <w:bodyDiv w:val="1"/>
      <w:marLeft w:val="0"/>
      <w:marRight w:val="0"/>
      <w:marTop w:val="0"/>
      <w:marBottom w:val="0"/>
      <w:divBdr>
        <w:top w:val="none" w:sz="0" w:space="0" w:color="auto"/>
        <w:left w:val="none" w:sz="0" w:space="0" w:color="auto"/>
        <w:bottom w:val="none" w:sz="0" w:space="0" w:color="auto"/>
        <w:right w:val="none" w:sz="0" w:space="0" w:color="auto"/>
      </w:divBdr>
    </w:div>
    <w:div w:id="198129449">
      <w:bodyDiv w:val="1"/>
      <w:marLeft w:val="0"/>
      <w:marRight w:val="0"/>
      <w:marTop w:val="0"/>
      <w:marBottom w:val="0"/>
      <w:divBdr>
        <w:top w:val="none" w:sz="0" w:space="0" w:color="auto"/>
        <w:left w:val="none" w:sz="0" w:space="0" w:color="auto"/>
        <w:bottom w:val="none" w:sz="0" w:space="0" w:color="auto"/>
        <w:right w:val="none" w:sz="0" w:space="0" w:color="auto"/>
      </w:divBdr>
    </w:div>
    <w:div w:id="199168508">
      <w:bodyDiv w:val="1"/>
      <w:marLeft w:val="0"/>
      <w:marRight w:val="0"/>
      <w:marTop w:val="0"/>
      <w:marBottom w:val="0"/>
      <w:divBdr>
        <w:top w:val="none" w:sz="0" w:space="0" w:color="auto"/>
        <w:left w:val="none" w:sz="0" w:space="0" w:color="auto"/>
        <w:bottom w:val="none" w:sz="0" w:space="0" w:color="auto"/>
        <w:right w:val="none" w:sz="0" w:space="0" w:color="auto"/>
      </w:divBdr>
    </w:div>
    <w:div w:id="201285855">
      <w:bodyDiv w:val="1"/>
      <w:marLeft w:val="0"/>
      <w:marRight w:val="0"/>
      <w:marTop w:val="0"/>
      <w:marBottom w:val="0"/>
      <w:divBdr>
        <w:top w:val="none" w:sz="0" w:space="0" w:color="auto"/>
        <w:left w:val="none" w:sz="0" w:space="0" w:color="auto"/>
        <w:bottom w:val="none" w:sz="0" w:space="0" w:color="auto"/>
        <w:right w:val="none" w:sz="0" w:space="0" w:color="auto"/>
      </w:divBdr>
    </w:div>
    <w:div w:id="201523257">
      <w:bodyDiv w:val="1"/>
      <w:marLeft w:val="0"/>
      <w:marRight w:val="0"/>
      <w:marTop w:val="0"/>
      <w:marBottom w:val="0"/>
      <w:divBdr>
        <w:top w:val="none" w:sz="0" w:space="0" w:color="auto"/>
        <w:left w:val="none" w:sz="0" w:space="0" w:color="auto"/>
        <w:bottom w:val="none" w:sz="0" w:space="0" w:color="auto"/>
        <w:right w:val="none" w:sz="0" w:space="0" w:color="auto"/>
      </w:divBdr>
    </w:div>
    <w:div w:id="209264674">
      <w:bodyDiv w:val="1"/>
      <w:marLeft w:val="0"/>
      <w:marRight w:val="0"/>
      <w:marTop w:val="0"/>
      <w:marBottom w:val="0"/>
      <w:divBdr>
        <w:top w:val="none" w:sz="0" w:space="0" w:color="auto"/>
        <w:left w:val="none" w:sz="0" w:space="0" w:color="auto"/>
        <w:bottom w:val="none" w:sz="0" w:space="0" w:color="auto"/>
        <w:right w:val="none" w:sz="0" w:space="0" w:color="auto"/>
      </w:divBdr>
    </w:div>
    <w:div w:id="228347524">
      <w:bodyDiv w:val="1"/>
      <w:marLeft w:val="0"/>
      <w:marRight w:val="0"/>
      <w:marTop w:val="0"/>
      <w:marBottom w:val="0"/>
      <w:divBdr>
        <w:top w:val="none" w:sz="0" w:space="0" w:color="auto"/>
        <w:left w:val="none" w:sz="0" w:space="0" w:color="auto"/>
        <w:bottom w:val="none" w:sz="0" w:space="0" w:color="auto"/>
        <w:right w:val="none" w:sz="0" w:space="0" w:color="auto"/>
      </w:divBdr>
    </w:div>
    <w:div w:id="229775682">
      <w:bodyDiv w:val="1"/>
      <w:marLeft w:val="0"/>
      <w:marRight w:val="0"/>
      <w:marTop w:val="0"/>
      <w:marBottom w:val="0"/>
      <w:divBdr>
        <w:top w:val="none" w:sz="0" w:space="0" w:color="auto"/>
        <w:left w:val="none" w:sz="0" w:space="0" w:color="auto"/>
        <w:bottom w:val="none" w:sz="0" w:space="0" w:color="auto"/>
        <w:right w:val="none" w:sz="0" w:space="0" w:color="auto"/>
      </w:divBdr>
    </w:div>
    <w:div w:id="236984148">
      <w:bodyDiv w:val="1"/>
      <w:marLeft w:val="0"/>
      <w:marRight w:val="0"/>
      <w:marTop w:val="0"/>
      <w:marBottom w:val="0"/>
      <w:divBdr>
        <w:top w:val="none" w:sz="0" w:space="0" w:color="auto"/>
        <w:left w:val="none" w:sz="0" w:space="0" w:color="auto"/>
        <w:bottom w:val="none" w:sz="0" w:space="0" w:color="auto"/>
        <w:right w:val="none" w:sz="0" w:space="0" w:color="auto"/>
      </w:divBdr>
    </w:div>
    <w:div w:id="241523311">
      <w:bodyDiv w:val="1"/>
      <w:marLeft w:val="0"/>
      <w:marRight w:val="0"/>
      <w:marTop w:val="0"/>
      <w:marBottom w:val="0"/>
      <w:divBdr>
        <w:top w:val="none" w:sz="0" w:space="0" w:color="auto"/>
        <w:left w:val="none" w:sz="0" w:space="0" w:color="auto"/>
        <w:bottom w:val="none" w:sz="0" w:space="0" w:color="auto"/>
        <w:right w:val="none" w:sz="0" w:space="0" w:color="auto"/>
      </w:divBdr>
    </w:div>
    <w:div w:id="241985544">
      <w:bodyDiv w:val="1"/>
      <w:marLeft w:val="0"/>
      <w:marRight w:val="0"/>
      <w:marTop w:val="0"/>
      <w:marBottom w:val="0"/>
      <w:divBdr>
        <w:top w:val="none" w:sz="0" w:space="0" w:color="auto"/>
        <w:left w:val="none" w:sz="0" w:space="0" w:color="auto"/>
        <w:bottom w:val="none" w:sz="0" w:space="0" w:color="auto"/>
        <w:right w:val="none" w:sz="0" w:space="0" w:color="auto"/>
      </w:divBdr>
    </w:div>
    <w:div w:id="246692895">
      <w:bodyDiv w:val="1"/>
      <w:marLeft w:val="0"/>
      <w:marRight w:val="0"/>
      <w:marTop w:val="0"/>
      <w:marBottom w:val="0"/>
      <w:divBdr>
        <w:top w:val="none" w:sz="0" w:space="0" w:color="auto"/>
        <w:left w:val="none" w:sz="0" w:space="0" w:color="auto"/>
        <w:bottom w:val="none" w:sz="0" w:space="0" w:color="auto"/>
        <w:right w:val="none" w:sz="0" w:space="0" w:color="auto"/>
      </w:divBdr>
    </w:div>
    <w:div w:id="260115219">
      <w:bodyDiv w:val="1"/>
      <w:marLeft w:val="0"/>
      <w:marRight w:val="0"/>
      <w:marTop w:val="0"/>
      <w:marBottom w:val="0"/>
      <w:divBdr>
        <w:top w:val="none" w:sz="0" w:space="0" w:color="auto"/>
        <w:left w:val="none" w:sz="0" w:space="0" w:color="auto"/>
        <w:bottom w:val="none" w:sz="0" w:space="0" w:color="auto"/>
        <w:right w:val="none" w:sz="0" w:space="0" w:color="auto"/>
      </w:divBdr>
    </w:div>
    <w:div w:id="269746609">
      <w:bodyDiv w:val="1"/>
      <w:marLeft w:val="0"/>
      <w:marRight w:val="0"/>
      <w:marTop w:val="0"/>
      <w:marBottom w:val="0"/>
      <w:divBdr>
        <w:top w:val="none" w:sz="0" w:space="0" w:color="auto"/>
        <w:left w:val="none" w:sz="0" w:space="0" w:color="auto"/>
        <w:bottom w:val="none" w:sz="0" w:space="0" w:color="auto"/>
        <w:right w:val="none" w:sz="0" w:space="0" w:color="auto"/>
      </w:divBdr>
    </w:div>
    <w:div w:id="283971786">
      <w:bodyDiv w:val="1"/>
      <w:marLeft w:val="0"/>
      <w:marRight w:val="0"/>
      <w:marTop w:val="0"/>
      <w:marBottom w:val="0"/>
      <w:divBdr>
        <w:top w:val="none" w:sz="0" w:space="0" w:color="auto"/>
        <w:left w:val="none" w:sz="0" w:space="0" w:color="auto"/>
        <w:bottom w:val="none" w:sz="0" w:space="0" w:color="auto"/>
        <w:right w:val="none" w:sz="0" w:space="0" w:color="auto"/>
      </w:divBdr>
    </w:div>
    <w:div w:id="295181054">
      <w:bodyDiv w:val="1"/>
      <w:marLeft w:val="0"/>
      <w:marRight w:val="0"/>
      <w:marTop w:val="0"/>
      <w:marBottom w:val="0"/>
      <w:divBdr>
        <w:top w:val="none" w:sz="0" w:space="0" w:color="auto"/>
        <w:left w:val="none" w:sz="0" w:space="0" w:color="auto"/>
        <w:bottom w:val="none" w:sz="0" w:space="0" w:color="auto"/>
        <w:right w:val="none" w:sz="0" w:space="0" w:color="auto"/>
      </w:divBdr>
    </w:div>
    <w:div w:id="295910674">
      <w:bodyDiv w:val="1"/>
      <w:marLeft w:val="0"/>
      <w:marRight w:val="0"/>
      <w:marTop w:val="0"/>
      <w:marBottom w:val="0"/>
      <w:divBdr>
        <w:top w:val="none" w:sz="0" w:space="0" w:color="auto"/>
        <w:left w:val="none" w:sz="0" w:space="0" w:color="auto"/>
        <w:bottom w:val="none" w:sz="0" w:space="0" w:color="auto"/>
        <w:right w:val="none" w:sz="0" w:space="0" w:color="auto"/>
      </w:divBdr>
      <w:divsChild>
        <w:div w:id="1448817204">
          <w:marLeft w:val="0"/>
          <w:marRight w:val="0"/>
          <w:marTop w:val="0"/>
          <w:marBottom w:val="0"/>
          <w:divBdr>
            <w:top w:val="none" w:sz="0" w:space="0" w:color="auto"/>
            <w:left w:val="none" w:sz="0" w:space="0" w:color="auto"/>
            <w:bottom w:val="none" w:sz="0" w:space="0" w:color="auto"/>
            <w:right w:val="none" w:sz="0" w:space="0" w:color="auto"/>
          </w:divBdr>
        </w:div>
      </w:divsChild>
    </w:div>
    <w:div w:id="296303883">
      <w:bodyDiv w:val="1"/>
      <w:marLeft w:val="0"/>
      <w:marRight w:val="0"/>
      <w:marTop w:val="0"/>
      <w:marBottom w:val="0"/>
      <w:divBdr>
        <w:top w:val="none" w:sz="0" w:space="0" w:color="auto"/>
        <w:left w:val="none" w:sz="0" w:space="0" w:color="auto"/>
        <w:bottom w:val="none" w:sz="0" w:space="0" w:color="auto"/>
        <w:right w:val="none" w:sz="0" w:space="0" w:color="auto"/>
      </w:divBdr>
    </w:div>
    <w:div w:id="296374850">
      <w:bodyDiv w:val="1"/>
      <w:marLeft w:val="0"/>
      <w:marRight w:val="0"/>
      <w:marTop w:val="0"/>
      <w:marBottom w:val="0"/>
      <w:divBdr>
        <w:top w:val="none" w:sz="0" w:space="0" w:color="auto"/>
        <w:left w:val="none" w:sz="0" w:space="0" w:color="auto"/>
        <w:bottom w:val="none" w:sz="0" w:space="0" w:color="auto"/>
        <w:right w:val="none" w:sz="0" w:space="0" w:color="auto"/>
      </w:divBdr>
    </w:div>
    <w:div w:id="301154922">
      <w:bodyDiv w:val="1"/>
      <w:marLeft w:val="0"/>
      <w:marRight w:val="0"/>
      <w:marTop w:val="0"/>
      <w:marBottom w:val="0"/>
      <w:divBdr>
        <w:top w:val="none" w:sz="0" w:space="0" w:color="auto"/>
        <w:left w:val="none" w:sz="0" w:space="0" w:color="auto"/>
        <w:bottom w:val="none" w:sz="0" w:space="0" w:color="auto"/>
        <w:right w:val="none" w:sz="0" w:space="0" w:color="auto"/>
      </w:divBdr>
    </w:div>
    <w:div w:id="305940146">
      <w:bodyDiv w:val="1"/>
      <w:marLeft w:val="0"/>
      <w:marRight w:val="0"/>
      <w:marTop w:val="0"/>
      <w:marBottom w:val="0"/>
      <w:divBdr>
        <w:top w:val="none" w:sz="0" w:space="0" w:color="auto"/>
        <w:left w:val="none" w:sz="0" w:space="0" w:color="auto"/>
        <w:bottom w:val="none" w:sz="0" w:space="0" w:color="auto"/>
        <w:right w:val="none" w:sz="0" w:space="0" w:color="auto"/>
      </w:divBdr>
    </w:div>
    <w:div w:id="306397243">
      <w:bodyDiv w:val="1"/>
      <w:marLeft w:val="0"/>
      <w:marRight w:val="0"/>
      <w:marTop w:val="0"/>
      <w:marBottom w:val="0"/>
      <w:divBdr>
        <w:top w:val="none" w:sz="0" w:space="0" w:color="auto"/>
        <w:left w:val="none" w:sz="0" w:space="0" w:color="auto"/>
        <w:bottom w:val="none" w:sz="0" w:space="0" w:color="auto"/>
        <w:right w:val="none" w:sz="0" w:space="0" w:color="auto"/>
      </w:divBdr>
    </w:div>
    <w:div w:id="317073793">
      <w:bodyDiv w:val="1"/>
      <w:marLeft w:val="0"/>
      <w:marRight w:val="0"/>
      <w:marTop w:val="0"/>
      <w:marBottom w:val="0"/>
      <w:divBdr>
        <w:top w:val="none" w:sz="0" w:space="0" w:color="auto"/>
        <w:left w:val="none" w:sz="0" w:space="0" w:color="auto"/>
        <w:bottom w:val="none" w:sz="0" w:space="0" w:color="auto"/>
        <w:right w:val="none" w:sz="0" w:space="0" w:color="auto"/>
      </w:divBdr>
    </w:div>
    <w:div w:id="320620886">
      <w:bodyDiv w:val="1"/>
      <w:marLeft w:val="0"/>
      <w:marRight w:val="0"/>
      <w:marTop w:val="0"/>
      <w:marBottom w:val="0"/>
      <w:divBdr>
        <w:top w:val="none" w:sz="0" w:space="0" w:color="auto"/>
        <w:left w:val="none" w:sz="0" w:space="0" w:color="auto"/>
        <w:bottom w:val="none" w:sz="0" w:space="0" w:color="auto"/>
        <w:right w:val="none" w:sz="0" w:space="0" w:color="auto"/>
      </w:divBdr>
    </w:div>
    <w:div w:id="321003706">
      <w:bodyDiv w:val="1"/>
      <w:marLeft w:val="0"/>
      <w:marRight w:val="0"/>
      <w:marTop w:val="0"/>
      <w:marBottom w:val="0"/>
      <w:divBdr>
        <w:top w:val="none" w:sz="0" w:space="0" w:color="auto"/>
        <w:left w:val="none" w:sz="0" w:space="0" w:color="auto"/>
        <w:bottom w:val="none" w:sz="0" w:space="0" w:color="auto"/>
        <w:right w:val="none" w:sz="0" w:space="0" w:color="auto"/>
      </w:divBdr>
    </w:div>
    <w:div w:id="328139082">
      <w:bodyDiv w:val="1"/>
      <w:marLeft w:val="0"/>
      <w:marRight w:val="0"/>
      <w:marTop w:val="0"/>
      <w:marBottom w:val="0"/>
      <w:divBdr>
        <w:top w:val="none" w:sz="0" w:space="0" w:color="auto"/>
        <w:left w:val="none" w:sz="0" w:space="0" w:color="auto"/>
        <w:bottom w:val="none" w:sz="0" w:space="0" w:color="auto"/>
        <w:right w:val="none" w:sz="0" w:space="0" w:color="auto"/>
      </w:divBdr>
    </w:div>
    <w:div w:id="328170942">
      <w:bodyDiv w:val="1"/>
      <w:marLeft w:val="0"/>
      <w:marRight w:val="0"/>
      <w:marTop w:val="0"/>
      <w:marBottom w:val="0"/>
      <w:divBdr>
        <w:top w:val="none" w:sz="0" w:space="0" w:color="auto"/>
        <w:left w:val="none" w:sz="0" w:space="0" w:color="auto"/>
        <w:bottom w:val="none" w:sz="0" w:space="0" w:color="auto"/>
        <w:right w:val="none" w:sz="0" w:space="0" w:color="auto"/>
      </w:divBdr>
    </w:div>
    <w:div w:id="336926362">
      <w:bodyDiv w:val="1"/>
      <w:marLeft w:val="0"/>
      <w:marRight w:val="0"/>
      <w:marTop w:val="0"/>
      <w:marBottom w:val="0"/>
      <w:divBdr>
        <w:top w:val="none" w:sz="0" w:space="0" w:color="auto"/>
        <w:left w:val="none" w:sz="0" w:space="0" w:color="auto"/>
        <w:bottom w:val="none" w:sz="0" w:space="0" w:color="auto"/>
        <w:right w:val="none" w:sz="0" w:space="0" w:color="auto"/>
      </w:divBdr>
    </w:div>
    <w:div w:id="337082623">
      <w:bodyDiv w:val="1"/>
      <w:marLeft w:val="0"/>
      <w:marRight w:val="0"/>
      <w:marTop w:val="0"/>
      <w:marBottom w:val="0"/>
      <w:divBdr>
        <w:top w:val="none" w:sz="0" w:space="0" w:color="auto"/>
        <w:left w:val="none" w:sz="0" w:space="0" w:color="auto"/>
        <w:bottom w:val="none" w:sz="0" w:space="0" w:color="auto"/>
        <w:right w:val="none" w:sz="0" w:space="0" w:color="auto"/>
      </w:divBdr>
    </w:div>
    <w:div w:id="338309739">
      <w:bodyDiv w:val="1"/>
      <w:marLeft w:val="0"/>
      <w:marRight w:val="0"/>
      <w:marTop w:val="0"/>
      <w:marBottom w:val="0"/>
      <w:divBdr>
        <w:top w:val="none" w:sz="0" w:space="0" w:color="auto"/>
        <w:left w:val="none" w:sz="0" w:space="0" w:color="auto"/>
        <w:bottom w:val="none" w:sz="0" w:space="0" w:color="auto"/>
        <w:right w:val="none" w:sz="0" w:space="0" w:color="auto"/>
      </w:divBdr>
    </w:div>
    <w:div w:id="340474854">
      <w:bodyDiv w:val="1"/>
      <w:marLeft w:val="0"/>
      <w:marRight w:val="0"/>
      <w:marTop w:val="0"/>
      <w:marBottom w:val="0"/>
      <w:divBdr>
        <w:top w:val="none" w:sz="0" w:space="0" w:color="auto"/>
        <w:left w:val="none" w:sz="0" w:space="0" w:color="auto"/>
        <w:bottom w:val="none" w:sz="0" w:space="0" w:color="auto"/>
        <w:right w:val="none" w:sz="0" w:space="0" w:color="auto"/>
      </w:divBdr>
    </w:div>
    <w:div w:id="348525991">
      <w:bodyDiv w:val="1"/>
      <w:marLeft w:val="0"/>
      <w:marRight w:val="0"/>
      <w:marTop w:val="0"/>
      <w:marBottom w:val="0"/>
      <w:divBdr>
        <w:top w:val="none" w:sz="0" w:space="0" w:color="auto"/>
        <w:left w:val="none" w:sz="0" w:space="0" w:color="auto"/>
        <w:bottom w:val="none" w:sz="0" w:space="0" w:color="auto"/>
        <w:right w:val="none" w:sz="0" w:space="0" w:color="auto"/>
      </w:divBdr>
    </w:div>
    <w:div w:id="353460605">
      <w:bodyDiv w:val="1"/>
      <w:marLeft w:val="0"/>
      <w:marRight w:val="0"/>
      <w:marTop w:val="0"/>
      <w:marBottom w:val="0"/>
      <w:divBdr>
        <w:top w:val="none" w:sz="0" w:space="0" w:color="auto"/>
        <w:left w:val="none" w:sz="0" w:space="0" w:color="auto"/>
        <w:bottom w:val="none" w:sz="0" w:space="0" w:color="auto"/>
        <w:right w:val="none" w:sz="0" w:space="0" w:color="auto"/>
      </w:divBdr>
    </w:div>
    <w:div w:id="369578246">
      <w:bodyDiv w:val="1"/>
      <w:marLeft w:val="0"/>
      <w:marRight w:val="0"/>
      <w:marTop w:val="0"/>
      <w:marBottom w:val="0"/>
      <w:divBdr>
        <w:top w:val="none" w:sz="0" w:space="0" w:color="auto"/>
        <w:left w:val="none" w:sz="0" w:space="0" w:color="auto"/>
        <w:bottom w:val="none" w:sz="0" w:space="0" w:color="auto"/>
        <w:right w:val="none" w:sz="0" w:space="0" w:color="auto"/>
      </w:divBdr>
    </w:div>
    <w:div w:id="373385852">
      <w:bodyDiv w:val="1"/>
      <w:marLeft w:val="0"/>
      <w:marRight w:val="0"/>
      <w:marTop w:val="0"/>
      <w:marBottom w:val="0"/>
      <w:divBdr>
        <w:top w:val="none" w:sz="0" w:space="0" w:color="auto"/>
        <w:left w:val="none" w:sz="0" w:space="0" w:color="auto"/>
        <w:bottom w:val="none" w:sz="0" w:space="0" w:color="auto"/>
        <w:right w:val="none" w:sz="0" w:space="0" w:color="auto"/>
      </w:divBdr>
    </w:div>
    <w:div w:id="375661782">
      <w:bodyDiv w:val="1"/>
      <w:marLeft w:val="0"/>
      <w:marRight w:val="0"/>
      <w:marTop w:val="0"/>
      <w:marBottom w:val="0"/>
      <w:divBdr>
        <w:top w:val="none" w:sz="0" w:space="0" w:color="auto"/>
        <w:left w:val="none" w:sz="0" w:space="0" w:color="auto"/>
        <w:bottom w:val="none" w:sz="0" w:space="0" w:color="auto"/>
        <w:right w:val="none" w:sz="0" w:space="0" w:color="auto"/>
      </w:divBdr>
    </w:div>
    <w:div w:id="405960941">
      <w:bodyDiv w:val="1"/>
      <w:marLeft w:val="0"/>
      <w:marRight w:val="0"/>
      <w:marTop w:val="0"/>
      <w:marBottom w:val="0"/>
      <w:divBdr>
        <w:top w:val="none" w:sz="0" w:space="0" w:color="auto"/>
        <w:left w:val="none" w:sz="0" w:space="0" w:color="auto"/>
        <w:bottom w:val="none" w:sz="0" w:space="0" w:color="auto"/>
        <w:right w:val="none" w:sz="0" w:space="0" w:color="auto"/>
      </w:divBdr>
    </w:div>
    <w:div w:id="407308071">
      <w:bodyDiv w:val="1"/>
      <w:marLeft w:val="0"/>
      <w:marRight w:val="0"/>
      <w:marTop w:val="0"/>
      <w:marBottom w:val="0"/>
      <w:divBdr>
        <w:top w:val="none" w:sz="0" w:space="0" w:color="auto"/>
        <w:left w:val="none" w:sz="0" w:space="0" w:color="auto"/>
        <w:bottom w:val="none" w:sz="0" w:space="0" w:color="auto"/>
        <w:right w:val="none" w:sz="0" w:space="0" w:color="auto"/>
      </w:divBdr>
    </w:div>
    <w:div w:id="414742064">
      <w:bodyDiv w:val="1"/>
      <w:marLeft w:val="0"/>
      <w:marRight w:val="0"/>
      <w:marTop w:val="0"/>
      <w:marBottom w:val="0"/>
      <w:divBdr>
        <w:top w:val="none" w:sz="0" w:space="0" w:color="auto"/>
        <w:left w:val="none" w:sz="0" w:space="0" w:color="auto"/>
        <w:bottom w:val="none" w:sz="0" w:space="0" w:color="auto"/>
        <w:right w:val="none" w:sz="0" w:space="0" w:color="auto"/>
      </w:divBdr>
    </w:div>
    <w:div w:id="424233374">
      <w:bodyDiv w:val="1"/>
      <w:marLeft w:val="0"/>
      <w:marRight w:val="0"/>
      <w:marTop w:val="0"/>
      <w:marBottom w:val="0"/>
      <w:divBdr>
        <w:top w:val="none" w:sz="0" w:space="0" w:color="auto"/>
        <w:left w:val="none" w:sz="0" w:space="0" w:color="auto"/>
        <w:bottom w:val="none" w:sz="0" w:space="0" w:color="auto"/>
        <w:right w:val="none" w:sz="0" w:space="0" w:color="auto"/>
      </w:divBdr>
    </w:div>
    <w:div w:id="435946098">
      <w:bodyDiv w:val="1"/>
      <w:marLeft w:val="0"/>
      <w:marRight w:val="0"/>
      <w:marTop w:val="0"/>
      <w:marBottom w:val="0"/>
      <w:divBdr>
        <w:top w:val="none" w:sz="0" w:space="0" w:color="auto"/>
        <w:left w:val="none" w:sz="0" w:space="0" w:color="auto"/>
        <w:bottom w:val="none" w:sz="0" w:space="0" w:color="auto"/>
        <w:right w:val="none" w:sz="0" w:space="0" w:color="auto"/>
      </w:divBdr>
    </w:div>
    <w:div w:id="468547518">
      <w:bodyDiv w:val="1"/>
      <w:marLeft w:val="0"/>
      <w:marRight w:val="0"/>
      <w:marTop w:val="0"/>
      <w:marBottom w:val="0"/>
      <w:divBdr>
        <w:top w:val="none" w:sz="0" w:space="0" w:color="auto"/>
        <w:left w:val="none" w:sz="0" w:space="0" w:color="auto"/>
        <w:bottom w:val="none" w:sz="0" w:space="0" w:color="auto"/>
        <w:right w:val="none" w:sz="0" w:space="0" w:color="auto"/>
      </w:divBdr>
    </w:div>
    <w:div w:id="470446714">
      <w:bodyDiv w:val="1"/>
      <w:marLeft w:val="0"/>
      <w:marRight w:val="0"/>
      <w:marTop w:val="0"/>
      <w:marBottom w:val="0"/>
      <w:divBdr>
        <w:top w:val="none" w:sz="0" w:space="0" w:color="auto"/>
        <w:left w:val="none" w:sz="0" w:space="0" w:color="auto"/>
        <w:bottom w:val="none" w:sz="0" w:space="0" w:color="auto"/>
        <w:right w:val="none" w:sz="0" w:space="0" w:color="auto"/>
      </w:divBdr>
    </w:div>
    <w:div w:id="478613773">
      <w:bodyDiv w:val="1"/>
      <w:marLeft w:val="0"/>
      <w:marRight w:val="0"/>
      <w:marTop w:val="0"/>
      <w:marBottom w:val="0"/>
      <w:divBdr>
        <w:top w:val="none" w:sz="0" w:space="0" w:color="auto"/>
        <w:left w:val="none" w:sz="0" w:space="0" w:color="auto"/>
        <w:bottom w:val="none" w:sz="0" w:space="0" w:color="auto"/>
        <w:right w:val="none" w:sz="0" w:space="0" w:color="auto"/>
      </w:divBdr>
    </w:div>
    <w:div w:id="498497477">
      <w:bodyDiv w:val="1"/>
      <w:marLeft w:val="0"/>
      <w:marRight w:val="0"/>
      <w:marTop w:val="0"/>
      <w:marBottom w:val="0"/>
      <w:divBdr>
        <w:top w:val="none" w:sz="0" w:space="0" w:color="auto"/>
        <w:left w:val="none" w:sz="0" w:space="0" w:color="auto"/>
        <w:bottom w:val="none" w:sz="0" w:space="0" w:color="auto"/>
        <w:right w:val="none" w:sz="0" w:space="0" w:color="auto"/>
      </w:divBdr>
    </w:div>
    <w:div w:id="499321220">
      <w:bodyDiv w:val="1"/>
      <w:marLeft w:val="0"/>
      <w:marRight w:val="0"/>
      <w:marTop w:val="0"/>
      <w:marBottom w:val="0"/>
      <w:divBdr>
        <w:top w:val="none" w:sz="0" w:space="0" w:color="auto"/>
        <w:left w:val="none" w:sz="0" w:space="0" w:color="auto"/>
        <w:bottom w:val="none" w:sz="0" w:space="0" w:color="auto"/>
        <w:right w:val="none" w:sz="0" w:space="0" w:color="auto"/>
      </w:divBdr>
    </w:div>
    <w:div w:id="500580835">
      <w:bodyDiv w:val="1"/>
      <w:marLeft w:val="0"/>
      <w:marRight w:val="0"/>
      <w:marTop w:val="0"/>
      <w:marBottom w:val="0"/>
      <w:divBdr>
        <w:top w:val="none" w:sz="0" w:space="0" w:color="auto"/>
        <w:left w:val="none" w:sz="0" w:space="0" w:color="auto"/>
        <w:bottom w:val="none" w:sz="0" w:space="0" w:color="auto"/>
        <w:right w:val="none" w:sz="0" w:space="0" w:color="auto"/>
      </w:divBdr>
    </w:div>
    <w:div w:id="501942279">
      <w:bodyDiv w:val="1"/>
      <w:marLeft w:val="0"/>
      <w:marRight w:val="0"/>
      <w:marTop w:val="0"/>
      <w:marBottom w:val="0"/>
      <w:divBdr>
        <w:top w:val="none" w:sz="0" w:space="0" w:color="auto"/>
        <w:left w:val="none" w:sz="0" w:space="0" w:color="auto"/>
        <w:bottom w:val="none" w:sz="0" w:space="0" w:color="auto"/>
        <w:right w:val="none" w:sz="0" w:space="0" w:color="auto"/>
      </w:divBdr>
    </w:div>
    <w:div w:id="504443789">
      <w:bodyDiv w:val="1"/>
      <w:marLeft w:val="0"/>
      <w:marRight w:val="0"/>
      <w:marTop w:val="0"/>
      <w:marBottom w:val="0"/>
      <w:divBdr>
        <w:top w:val="none" w:sz="0" w:space="0" w:color="auto"/>
        <w:left w:val="none" w:sz="0" w:space="0" w:color="auto"/>
        <w:bottom w:val="none" w:sz="0" w:space="0" w:color="auto"/>
        <w:right w:val="none" w:sz="0" w:space="0" w:color="auto"/>
      </w:divBdr>
    </w:div>
    <w:div w:id="504901703">
      <w:bodyDiv w:val="1"/>
      <w:marLeft w:val="0"/>
      <w:marRight w:val="0"/>
      <w:marTop w:val="0"/>
      <w:marBottom w:val="0"/>
      <w:divBdr>
        <w:top w:val="none" w:sz="0" w:space="0" w:color="auto"/>
        <w:left w:val="none" w:sz="0" w:space="0" w:color="auto"/>
        <w:bottom w:val="none" w:sz="0" w:space="0" w:color="auto"/>
        <w:right w:val="none" w:sz="0" w:space="0" w:color="auto"/>
      </w:divBdr>
    </w:div>
    <w:div w:id="513811747">
      <w:bodyDiv w:val="1"/>
      <w:marLeft w:val="0"/>
      <w:marRight w:val="0"/>
      <w:marTop w:val="0"/>
      <w:marBottom w:val="0"/>
      <w:divBdr>
        <w:top w:val="none" w:sz="0" w:space="0" w:color="auto"/>
        <w:left w:val="none" w:sz="0" w:space="0" w:color="auto"/>
        <w:bottom w:val="none" w:sz="0" w:space="0" w:color="auto"/>
        <w:right w:val="none" w:sz="0" w:space="0" w:color="auto"/>
      </w:divBdr>
    </w:div>
    <w:div w:id="527721874">
      <w:bodyDiv w:val="1"/>
      <w:marLeft w:val="0"/>
      <w:marRight w:val="0"/>
      <w:marTop w:val="0"/>
      <w:marBottom w:val="0"/>
      <w:divBdr>
        <w:top w:val="none" w:sz="0" w:space="0" w:color="auto"/>
        <w:left w:val="none" w:sz="0" w:space="0" w:color="auto"/>
        <w:bottom w:val="none" w:sz="0" w:space="0" w:color="auto"/>
        <w:right w:val="none" w:sz="0" w:space="0" w:color="auto"/>
      </w:divBdr>
    </w:div>
    <w:div w:id="528688860">
      <w:bodyDiv w:val="1"/>
      <w:marLeft w:val="0"/>
      <w:marRight w:val="0"/>
      <w:marTop w:val="0"/>
      <w:marBottom w:val="0"/>
      <w:divBdr>
        <w:top w:val="none" w:sz="0" w:space="0" w:color="auto"/>
        <w:left w:val="none" w:sz="0" w:space="0" w:color="auto"/>
        <w:bottom w:val="none" w:sz="0" w:space="0" w:color="auto"/>
        <w:right w:val="none" w:sz="0" w:space="0" w:color="auto"/>
      </w:divBdr>
    </w:div>
    <w:div w:id="539703788">
      <w:bodyDiv w:val="1"/>
      <w:marLeft w:val="0"/>
      <w:marRight w:val="0"/>
      <w:marTop w:val="0"/>
      <w:marBottom w:val="0"/>
      <w:divBdr>
        <w:top w:val="none" w:sz="0" w:space="0" w:color="auto"/>
        <w:left w:val="none" w:sz="0" w:space="0" w:color="auto"/>
        <w:bottom w:val="none" w:sz="0" w:space="0" w:color="auto"/>
        <w:right w:val="none" w:sz="0" w:space="0" w:color="auto"/>
      </w:divBdr>
    </w:div>
    <w:div w:id="545484177">
      <w:bodyDiv w:val="1"/>
      <w:marLeft w:val="0"/>
      <w:marRight w:val="0"/>
      <w:marTop w:val="0"/>
      <w:marBottom w:val="0"/>
      <w:divBdr>
        <w:top w:val="none" w:sz="0" w:space="0" w:color="auto"/>
        <w:left w:val="none" w:sz="0" w:space="0" w:color="auto"/>
        <w:bottom w:val="none" w:sz="0" w:space="0" w:color="auto"/>
        <w:right w:val="none" w:sz="0" w:space="0" w:color="auto"/>
      </w:divBdr>
    </w:div>
    <w:div w:id="547644820">
      <w:bodyDiv w:val="1"/>
      <w:marLeft w:val="0"/>
      <w:marRight w:val="0"/>
      <w:marTop w:val="0"/>
      <w:marBottom w:val="0"/>
      <w:divBdr>
        <w:top w:val="none" w:sz="0" w:space="0" w:color="auto"/>
        <w:left w:val="none" w:sz="0" w:space="0" w:color="auto"/>
        <w:bottom w:val="none" w:sz="0" w:space="0" w:color="auto"/>
        <w:right w:val="none" w:sz="0" w:space="0" w:color="auto"/>
      </w:divBdr>
    </w:div>
    <w:div w:id="553469597">
      <w:bodyDiv w:val="1"/>
      <w:marLeft w:val="0"/>
      <w:marRight w:val="0"/>
      <w:marTop w:val="0"/>
      <w:marBottom w:val="0"/>
      <w:divBdr>
        <w:top w:val="none" w:sz="0" w:space="0" w:color="auto"/>
        <w:left w:val="none" w:sz="0" w:space="0" w:color="auto"/>
        <w:bottom w:val="none" w:sz="0" w:space="0" w:color="auto"/>
        <w:right w:val="none" w:sz="0" w:space="0" w:color="auto"/>
      </w:divBdr>
    </w:div>
    <w:div w:id="557017743">
      <w:bodyDiv w:val="1"/>
      <w:marLeft w:val="0"/>
      <w:marRight w:val="0"/>
      <w:marTop w:val="0"/>
      <w:marBottom w:val="0"/>
      <w:divBdr>
        <w:top w:val="none" w:sz="0" w:space="0" w:color="auto"/>
        <w:left w:val="none" w:sz="0" w:space="0" w:color="auto"/>
        <w:bottom w:val="none" w:sz="0" w:space="0" w:color="auto"/>
        <w:right w:val="none" w:sz="0" w:space="0" w:color="auto"/>
      </w:divBdr>
    </w:div>
    <w:div w:id="560822425">
      <w:bodyDiv w:val="1"/>
      <w:marLeft w:val="0"/>
      <w:marRight w:val="0"/>
      <w:marTop w:val="0"/>
      <w:marBottom w:val="0"/>
      <w:divBdr>
        <w:top w:val="none" w:sz="0" w:space="0" w:color="auto"/>
        <w:left w:val="none" w:sz="0" w:space="0" w:color="auto"/>
        <w:bottom w:val="none" w:sz="0" w:space="0" w:color="auto"/>
        <w:right w:val="none" w:sz="0" w:space="0" w:color="auto"/>
      </w:divBdr>
    </w:div>
    <w:div w:id="560871961">
      <w:bodyDiv w:val="1"/>
      <w:marLeft w:val="0"/>
      <w:marRight w:val="0"/>
      <w:marTop w:val="0"/>
      <w:marBottom w:val="0"/>
      <w:divBdr>
        <w:top w:val="none" w:sz="0" w:space="0" w:color="auto"/>
        <w:left w:val="none" w:sz="0" w:space="0" w:color="auto"/>
        <w:bottom w:val="none" w:sz="0" w:space="0" w:color="auto"/>
        <w:right w:val="none" w:sz="0" w:space="0" w:color="auto"/>
      </w:divBdr>
    </w:div>
    <w:div w:id="564610507">
      <w:bodyDiv w:val="1"/>
      <w:marLeft w:val="0"/>
      <w:marRight w:val="0"/>
      <w:marTop w:val="0"/>
      <w:marBottom w:val="0"/>
      <w:divBdr>
        <w:top w:val="none" w:sz="0" w:space="0" w:color="auto"/>
        <w:left w:val="none" w:sz="0" w:space="0" w:color="auto"/>
        <w:bottom w:val="none" w:sz="0" w:space="0" w:color="auto"/>
        <w:right w:val="none" w:sz="0" w:space="0" w:color="auto"/>
      </w:divBdr>
    </w:div>
    <w:div w:id="571625035">
      <w:bodyDiv w:val="1"/>
      <w:marLeft w:val="0"/>
      <w:marRight w:val="0"/>
      <w:marTop w:val="0"/>
      <w:marBottom w:val="0"/>
      <w:divBdr>
        <w:top w:val="none" w:sz="0" w:space="0" w:color="auto"/>
        <w:left w:val="none" w:sz="0" w:space="0" w:color="auto"/>
        <w:bottom w:val="none" w:sz="0" w:space="0" w:color="auto"/>
        <w:right w:val="none" w:sz="0" w:space="0" w:color="auto"/>
      </w:divBdr>
    </w:div>
    <w:div w:id="581256342">
      <w:bodyDiv w:val="1"/>
      <w:marLeft w:val="0"/>
      <w:marRight w:val="0"/>
      <w:marTop w:val="0"/>
      <w:marBottom w:val="0"/>
      <w:divBdr>
        <w:top w:val="none" w:sz="0" w:space="0" w:color="auto"/>
        <w:left w:val="none" w:sz="0" w:space="0" w:color="auto"/>
        <w:bottom w:val="none" w:sz="0" w:space="0" w:color="auto"/>
        <w:right w:val="none" w:sz="0" w:space="0" w:color="auto"/>
      </w:divBdr>
    </w:div>
    <w:div w:id="593246573">
      <w:bodyDiv w:val="1"/>
      <w:marLeft w:val="0"/>
      <w:marRight w:val="0"/>
      <w:marTop w:val="0"/>
      <w:marBottom w:val="0"/>
      <w:divBdr>
        <w:top w:val="none" w:sz="0" w:space="0" w:color="auto"/>
        <w:left w:val="none" w:sz="0" w:space="0" w:color="auto"/>
        <w:bottom w:val="none" w:sz="0" w:space="0" w:color="auto"/>
        <w:right w:val="none" w:sz="0" w:space="0" w:color="auto"/>
      </w:divBdr>
    </w:div>
    <w:div w:id="605695409">
      <w:bodyDiv w:val="1"/>
      <w:marLeft w:val="0"/>
      <w:marRight w:val="0"/>
      <w:marTop w:val="0"/>
      <w:marBottom w:val="0"/>
      <w:divBdr>
        <w:top w:val="none" w:sz="0" w:space="0" w:color="auto"/>
        <w:left w:val="none" w:sz="0" w:space="0" w:color="auto"/>
        <w:bottom w:val="none" w:sz="0" w:space="0" w:color="auto"/>
        <w:right w:val="none" w:sz="0" w:space="0" w:color="auto"/>
      </w:divBdr>
    </w:div>
    <w:div w:id="609431180">
      <w:bodyDiv w:val="1"/>
      <w:marLeft w:val="0"/>
      <w:marRight w:val="0"/>
      <w:marTop w:val="0"/>
      <w:marBottom w:val="0"/>
      <w:divBdr>
        <w:top w:val="none" w:sz="0" w:space="0" w:color="auto"/>
        <w:left w:val="none" w:sz="0" w:space="0" w:color="auto"/>
        <w:bottom w:val="none" w:sz="0" w:space="0" w:color="auto"/>
        <w:right w:val="none" w:sz="0" w:space="0" w:color="auto"/>
      </w:divBdr>
    </w:div>
    <w:div w:id="614096391">
      <w:bodyDiv w:val="1"/>
      <w:marLeft w:val="0"/>
      <w:marRight w:val="0"/>
      <w:marTop w:val="0"/>
      <w:marBottom w:val="0"/>
      <w:divBdr>
        <w:top w:val="none" w:sz="0" w:space="0" w:color="auto"/>
        <w:left w:val="none" w:sz="0" w:space="0" w:color="auto"/>
        <w:bottom w:val="none" w:sz="0" w:space="0" w:color="auto"/>
        <w:right w:val="none" w:sz="0" w:space="0" w:color="auto"/>
      </w:divBdr>
    </w:div>
    <w:div w:id="620846421">
      <w:bodyDiv w:val="1"/>
      <w:marLeft w:val="0"/>
      <w:marRight w:val="0"/>
      <w:marTop w:val="0"/>
      <w:marBottom w:val="0"/>
      <w:divBdr>
        <w:top w:val="none" w:sz="0" w:space="0" w:color="auto"/>
        <w:left w:val="none" w:sz="0" w:space="0" w:color="auto"/>
        <w:bottom w:val="none" w:sz="0" w:space="0" w:color="auto"/>
        <w:right w:val="none" w:sz="0" w:space="0" w:color="auto"/>
      </w:divBdr>
    </w:div>
    <w:div w:id="633100537">
      <w:bodyDiv w:val="1"/>
      <w:marLeft w:val="0"/>
      <w:marRight w:val="0"/>
      <w:marTop w:val="0"/>
      <w:marBottom w:val="0"/>
      <w:divBdr>
        <w:top w:val="none" w:sz="0" w:space="0" w:color="auto"/>
        <w:left w:val="none" w:sz="0" w:space="0" w:color="auto"/>
        <w:bottom w:val="none" w:sz="0" w:space="0" w:color="auto"/>
        <w:right w:val="none" w:sz="0" w:space="0" w:color="auto"/>
      </w:divBdr>
    </w:div>
    <w:div w:id="646590933">
      <w:bodyDiv w:val="1"/>
      <w:marLeft w:val="0"/>
      <w:marRight w:val="0"/>
      <w:marTop w:val="0"/>
      <w:marBottom w:val="0"/>
      <w:divBdr>
        <w:top w:val="none" w:sz="0" w:space="0" w:color="auto"/>
        <w:left w:val="none" w:sz="0" w:space="0" w:color="auto"/>
        <w:bottom w:val="none" w:sz="0" w:space="0" w:color="auto"/>
        <w:right w:val="none" w:sz="0" w:space="0" w:color="auto"/>
      </w:divBdr>
    </w:div>
    <w:div w:id="649748258">
      <w:bodyDiv w:val="1"/>
      <w:marLeft w:val="0"/>
      <w:marRight w:val="0"/>
      <w:marTop w:val="0"/>
      <w:marBottom w:val="0"/>
      <w:divBdr>
        <w:top w:val="none" w:sz="0" w:space="0" w:color="auto"/>
        <w:left w:val="none" w:sz="0" w:space="0" w:color="auto"/>
        <w:bottom w:val="none" w:sz="0" w:space="0" w:color="auto"/>
        <w:right w:val="none" w:sz="0" w:space="0" w:color="auto"/>
      </w:divBdr>
    </w:div>
    <w:div w:id="653485284">
      <w:bodyDiv w:val="1"/>
      <w:marLeft w:val="0"/>
      <w:marRight w:val="0"/>
      <w:marTop w:val="0"/>
      <w:marBottom w:val="0"/>
      <w:divBdr>
        <w:top w:val="none" w:sz="0" w:space="0" w:color="auto"/>
        <w:left w:val="none" w:sz="0" w:space="0" w:color="auto"/>
        <w:bottom w:val="none" w:sz="0" w:space="0" w:color="auto"/>
        <w:right w:val="none" w:sz="0" w:space="0" w:color="auto"/>
      </w:divBdr>
    </w:div>
    <w:div w:id="660736878">
      <w:bodyDiv w:val="1"/>
      <w:marLeft w:val="0"/>
      <w:marRight w:val="0"/>
      <w:marTop w:val="0"/>
      <w:marBottom w:val="0"/>
      <w:divBdr>
        <w:top w:val="none" w:sz="0" w:space="0" w:color="auto"/>
        <w:left w:val="none" w:sz="0" w:space="0" w:color="auto"/>
        <w:bottom w:val="none" w:sz="0" w:space="0" w:color="auto"/>
        <w:right w:val="none" w:sz="0" w:space="0" w:color="auto"/>
      </w:divBdr>
    </w:div>
    <w:div w:id="669063817">
      <w:bodyDiv w:val="1"/>
      <w:marLeft w:val="0"/>
      <w:marRight w:val="0"/>
      <w:marTop w:val="0"/>
      <w:marBottom w:val="0"/>
      <w:divBdr>
        <w:top w:val="none" w:sz="0" w:space="0" w:color="auto"/>
        <w:left w:val="none" w:sz="0" w:space="0" w:color="auto"/>
        <w:bottom w:val="none" w:sz="0" w:space="0" w:color="auto"/>
        <w:right w:val="none" w:sz="0" w:space="0" w:color="auto"/>
      </w:divBdr>
    </w:div>
    <w:div w:id="673453996">
      <w:bodyDiv w:val="1"/>
      <w:marLeft w:val="0"/>
      <w:marRight w:val="0"/>
      <w:marTop w:val="0"/>
      <w:marBottom w:val="0"/>
      <w:divBdr>
        <w:top w:val="none" w:sz="0" w:space="0" w:color="auto"/>
        <w:left w:val="none" w:sz="0" w:space="0" w:color="auto"/>
        <w:bottom w:val="none" w:sz="0" w:space="0" w:color="auto"/>
        <w:right w:val="none" w:sz="0" w:space="0" w:color="auto"/>
      </w:divBdr>
    </w:div>
    <w:div w:id="678968612">
      <w:bodyDiv w:val="1"/>
      <w:marLeft w:val="0"/>
      <w:marRight w:val="0"/>
      <w:marTop w:val="0"/>
      <w:marBottom w:val="0"/>
      <w:divBdr>
        <w:top w:val="none" w:sz="0" w:space="0" w:color="auto"/>
        <w:left w:val="none" w:sz="0" w:space="0" w:color="auto"/>
        <w:bottom w:val="none" w:sz="0" w:space="0" w:color="auto"/>
        <w:right w:val="none" w:sz="0" w:space="0" w:color="auto"/>
      </w:divBdr>
    </w:div>
    <w:div w:id="685447879">
      <w:bodyDiv w:val="1"/>
      <w:marLeft w:val="0"/>
      <w:marRight w:val="0"/>
      <w:marTop w:val="0"/>
      <w:marBottom w:val="0"/>
      <w:divBdr>
        <w:top w:val="none" w:sz="0" w:space="0" w:color="auto"/>
        <w:left w:val="none" w:sz="0" w:space="0" w:color="auto"/>
        <w:bottom w:val="none" w:sz="0" w:space="0" w:color="auto"/>
        <w:right w:val="none" w:sz="0" w:space="0" w:color="auto"/>
      </w:divBdr>
    </w:div>
    <w:div w:id="691685821">
      <w:bodyDiv w:val="1"/>
      <w:marLeft w:val="0"/>
      <w:marRight w:val="0"/>
      <w:marTop w:val="0"/>
      <w:marBottom w:val="0"/>
      <w:divBdr>
        <w:top w:val="none" w:sz="0" w:space="0" w:color="auto"/>
        <w:left w:val="none" w:sz="0" w:space="0" w:color="auto"/>
        <w:bottom w:val="none" w:sz="0" w:space="0" w:color="auto"/>
        <w:right w:val="none" w:sz="0" w:space="0" w:color="auto"/>
      </w:divBdr>
    </w:div>
    <w:div w:id="706759504">
      <w:bodyDiv w:val="1"/>
      <w:marLeft w:val="0"/>
      <w:marRight w:val="0"/>
      <w:marTop w:val="0"/>
      <w:marBottom w:val="0"/>
      <w:divBdr>
        <w:top w:val="none" w:sz="0" w:space="0" w:color="auto"/>
        <w:left w:val="none" w:sz="0" w:space="0" w:color="auto"/>
        <w:bottom w:val="none" w:sz="0" w:space="0" w:color="auto"/>
        <w:right w:val="none" w:sz="0" w:space="0" w:color="auto"/>
      </w:divBdr>
    </w:div>
    <w:div w:id="718096221">
      <w:bodyDiv w:val="1"/>
      <w:marLeft w:val="0"/>
      <w:marRight w:val="0"/>
      <w:marTop w:val="0"/>
      <w:marBottom w:val="0"/>
      <w:divBdr>
        <w:top w:val="none" w:sz="0" w:space="0" w:color="auto"/>
        <w:left w:val="none" w:sz="0" w:space="0" w:color="auto"/>
        <w:bottom w:val="none" w:sz="0" w:space="0" w:color="auto"/>
        <w:right w:val="none" w:sz="0" w:space="0" w:color="auto"/>
      </w:divBdr>
    </w:div>
    <w:div w:id="738863526">
      <w:bodyDiv w:val="1"/>
      <w:marLeft w:val="0"/>
      <w:marRight w:val="0"/>
      <w:marTop w:val="0"/>
      <w:marBottom w:val="0"/>
      <w:divBdr>
        <w:top w:val="none" w:sz="0" w:space="0" w:color="auto"/>
        <w:left w:val="none" w:sz="0" w:space="0" w:color="auto"/>
        <w:bottom w:val="none" w:sz="0" w:space="0" w:color="auto"/>
        <w:right w:val="none" w:sz="0" w:space="0" w:color="auto"/>
      </w:divBdr>
    </w:div>
    <w:div w:id="743573518">
      <w:bodyDiv w:val="1"/>
      <w:marLeft w:val="0"/>
      <w:marRight w:val="0"/>
      <w:marTop w:val="0"/>
      <w:marBottom w:val="0"/>
      <w:divBdr>
        <w:top w:val="none" w:sz="0" w:space="0" w:color="auto"/>
        <w:left w:val="none" w:sz="0" w:space="0" w:color="auto"/>
        <w:bottom w:val="none" w:sz="0" w:space="0" w:color="auto"/>
        <w:right w:val="none" w:sz="0" w:space="0" w:color="auto"/>
      </w:divBdr>
    </w:div>
    <w:div w:id="748648744">
      <w:bodyDiv w:val="1"/>
      <w:marLeft w:val="0"/>
      <w:marRight w:val="0"/>
      <w:marTop w:val="0"/>
      <w:marBottom w:val="0"/>
      <w:divBdr>
        <w:top w:val="none" w:sz="0" w:space="0" w:color="auto"/>
        <w:left w:val="none" w:sz="0" w:space="0" w:color="auto"/>
        <w:bottom w:val="none" w:sz="0" w:space="0" w:color="auto"/>
        <w:right w:val="none" w:sz="0" w:space="0" w:color="auto"/>
      </w:divBdr>
    </w:div>
    <w:div w:id="765617732">
      <w:bodyDiv w:val="1"/>
      <w:marLeft w:val="0"/>
      <w:marRight w:val="0"/>
      <w:marTop w:val="0"/>
      <w:marBottom w:val="0"/>
      <w:divBdr>
        <w:top w:val="none" w:sz="0" w:space="0" w:color="auto"/>
        <w:left w:val="none" w:sz="0" w:space="0" w:color="auto"/>
        <w:bottom w:val="none" w:sz="0" w:space="0" w:color="auto"/>
        <w:right w:val="none" w:sz="0" w:space="0" w:color="auto"/>
      </w:divBdr>
    </w:div>
    <w:div w:id="769473099">
      <w:bodyDiv w:val="1"/>
      <w:marLeft w:val="0"/>
      <w:marRight w:val="0"/>
      <w:marTop w:val="0"/>
      <w:marBottom w:val="0"/>
      <w:divBdr>
        <w:top w:val="none" w:sz="0" w:space="0" w:color="auto"/>
        <w:left w:val="none" w:sz="0" w:space="0" w:color="auto"/>
        <w:bottom w:val="none" w:sz="0" w:space="0" w:color="auto"/>
        <w:right w:val="none" w:sz="0" w:space="0" w:color="auto"/>
      </w:divBdr>
    </w:div>
    <w:div w:id="770589191">
      <w:bodyDiv w:val="1"/>
      <w:marLeft w:val="0"/>
      <w:marRight w:val="0"/>
      <w:marTop w:val="0"/>
      <w:marBottom w:val="0"/>
      <w:divBdr>
        <w:top w:val="none" w:sz="0" w:space="0" w:color="auto"/>
        <w:left w:val="none" w:sz="0" w:space="0" w:color="auto"/>
        <w:bottom w:val="none" w:sz="0" w:space="0" w:color="auto"/>
        <w:right w:val="none" w:sz="0" w:space="0" w:color="auto"/>
      </w:divBdr>
    </w:div>
    <w:div w:id="777063923">
      <w:bodyDiv w:val="1"/>
      <w:marLeft w:val="0"/>
      <w:marRight w:val="0"/>
      <w:marTop w:val="0"/>
      <w:marBottom w:val="0"/>
      <w:divBdr>
        <w:top w:val="none" w:sz="0" w:space="0" w:color="auto"/>
        <w:left w:val="none" w:sz="0" w:space="0" w:color="auto"/>
        <w:bottom w:val="none" w:sz="0" w:space="0" w:color="auto"/>
        <w:right w:val="none" w:sz="0" w:space="0" w:color="auto"/>
      </w:divBdr>
    </w:div>
    <w:div w:id="780761630">
      <w:bodyDiv w:val="1"/>
      <w:marLeft w:val="0"/>
      <w:marRight w:val="0"/>
      <w:marTop w:val="0"/>
      <w:marBottom w:val="0"/>
      <w:divBdr>
        <w:top w:val="none" w:sz="0" w:space="0" w:color="auto"/>
        <w:left w:val="none" w:sz="0" w:space="0" w:color="auto"/>
        <w:bottom w:val="none" w:sz="0" w:space="0" w:color="auto"/>
        <w:right w:val="none" w:sz="0" w:space="0" w:color="auto"/>
      </w:divBdr>
    </w:div>
    <w:div w:id="781614171">
      <w:bodyDiv w:val="1"/>
      <w:marLeft w:val="0"/>
      <w:marRight w:val="0"/>
      <w:marTop w:val="0"/>
      <w:marBottom w:val="0"/>
      <w:divBdr>
        <w:top w:val="none" w:sz="0" w:space="0" w:color="auto"/>
        <w:left w:val="none" w:sz="0" w:space="0" w:color="auto"/>
        <w:bottom w:val="none" w:sz="0" w:space="0" w:color="auto"/>
        <w:right w:val="none" w:sz="0" w:space="0" w:color="auto"/>
      </w:divBdr>
    </w:div>
    <w:div w:id="784469891">
      <w:bodyDiv w:val="1"/>
      <w:marLeft w:val="0"/>
      <w:marRight w:val="0"/>
      <w:marTop w:val="0"/>
      <w:marBottom w:val="0"/>
      <w:divBdr>
        <w:top w:val="none" w:sz="0" w:space="0" w:color="auto"/>
        <w:left w:val="none" w:sz="0" w:space="0" w:color="auto"/>
        <w:bottom w:val="none" w:sz="0" w:space="0" w:color="auto"/>
        <w:right w:val="none" w:sz="0" w:space="0" w:color="auto"/>
      </w:divBdr>
    </w:div>
    <w:div w:id="791945588">
      <w:bodyDiv w:val="1"/>
      <w:marLeft w:val="0"/>
      <w:marRight w:val="0"/>
      <w:marTop w:val="0"/>
      <w:marBottom w:val="0"/>
      <w:divBdr>
        <w:top w:val="none" w:sz="0" w:space="0" w:color="auto"/>
        <w:left w:val="none" w:sz="0" w:space="0" w:color="auto"/>
        <w:bottom w:val="none" w:sz="0" w:space="0" w:color="auto"/>
        <w:right w:val="none" w:sz="0" w:space="0" w:color="auto"/>
      </w:divBdr>
    </w:div>
    <w:div w:id="799960553">
      <w:bodyDiv w:val="1"/>
      <w:marLeft w:val="0"/>
      <w:marRight w:val="0"/>
      <w:marTop w:val="0"/>
      <w:marBottom w:val="0"/>
      <w:divBdr>
        <w:top w:val="none" w:sz="0" w:space="0" w:color="auto"/>
        <w:left w:val="none" w:sz="0" w:space="0" w:color="auto"/>
        <w:bottom w:val="none" w:sz="0" w:space="0" w:color="auto"/>
        <w:right w:val="none" w:sz="0" w:space="0" w:color="auto"/>
      </w:divBdr>
    </w:div>
    <w:div w:id="800077649">
      <w:bodyDiv w:val="1"/>
      <w:marLeft w:val="0"/>
      <w:marRight w:val="0"/>
      <w:marTop w:val="0"/>
      <w:marBottom w:val="0"/>
      <w:divBdr>
        <w:top w:val="none" w:sz="0" w:space="0" w:color="auto"/>
        <w:left w:val="none" w:sz="0" w:space="0" w:color="auto"/>
        <w:bottom w:val="none" w:sz="0" w:space="0" w:color="auto"/>
        <w:right w:val="none" w:sz="0" w:space="0" w:color="auto"/>
      </w:divBdr>
    </w:div>
    <w:div w:id="803037992">
      <w:bodyDiv w:val="1"/>
      <w:marLeft w:val="0"/>
      <w:marRight w:val="0"/>
      <w:marTop w:val="0"/>
      <w:marBottom w:val="0"/>
      <w:divBdr>
        <w:top w:val="none" w:sz="0" w:space="0" w:color="auto"/>
        <w:left w:val="none" w:sz="0" w:space="0" w:color="auto"/>
        <w:bottom w:val="none" w:sz="0" w:space="0" w:color="auto"/>
        <w:right w:val="none" w:sz="0" w:space="0" w:color="auto"/>
      </w:divBdr>
    </w:div>
    <w:div w:id="806094819">
      <w:bodyDiv w:val="1"/>
      <w:marLeft w:val="0"/>
      <w:marRight w:val="0"/>
      <w:marTop w:val="0"/>
      <w:marBottom w:val="0"/>
      <w:divBdr>
        <w:top w:val="none" w:sz="0" w:space="0" w:color="auto"/>
        <w:left w:val="none" w:sz="0" w:space="0" w:color="auto"/>
        <w:bottom w:val="none" w:sz="0" w:space="0" w:color="auto"/>
        <w:right w:val="none" w:sz="0" w:space="0" w:color="auto"/>
      </w:divBdr>
    </w:div>
    <w:div w:id="806436095">
      <w:bodyDiv w:val="1"/>
      <w:marLeft w:val="0"/>
      <w:marRight w:val="0"/>
      <w:marTop w:val="0"/>
      <w:marBottom w:val="0"/>
      <w:divBdr>
        <w:top w:val="none" w:sz="0" w:space="0" w:color="auto"/>
        <w:left w:val="none" w:sz="0" w:space="0" w:color="auto"/>
        <w:bottom w:val="none" w:sz="0" w:space="0" w:color="auto"/>
        <w:right w:val="none" w:sz="0" w:space="0" w:color="auto"/>
      </w:divBdr>
    </w:div>
    <w:div w:id="818614184">
      <w:bodyDiv w:val="1"/>
      <w:marLeft w:val="0"/>
      <w:marRight w:val="0"/>
      <w:marTop w:val="0"/>
      <w:marBottom w:val="0"/>
      <w:divBdr>
        <w:top w:val="none" w:sz="0" w:space="0" w:color="auto"/>
        <w:left w:val="none" w:sz="0" w:space="0" w:color="auto"/>
        <w:bottom w:val="none" w:sz="0" w:space="0" w:color="auto"/>
        <w:right w:val="none" w:sz="0" w:space="0" w:color="auto"/>
      </w:divBdr>
    </w:div>
    <w:div w:id="819343895">
      <w:bodyDiv w:val="1"/>
      <w:marLeft w:val="0"/>
      <w:marRight w:val="0"/>
      <w:marTop w:val="0"/>
      <w:marBottom w:val="0"/>
      <w:divBdr>
        <w:top w:val="none" w:sz="0" w:space="0" w:color="auto"/>
        <w:left w:val="none" w:sz="0" w:space="0" w:color="auto"/>
        <w:bottom w:val="none" w:sz="0" w:space="0" w:color="auto"/>
        <w:right w:val="none" w:sz="0" w:space="0" w:color="auto"/>
      </w:divBdr>
    </w:div>
    <w:div w:id="822116116">
      <w:bodyDiv w:val="1"/>
      <w:marLeft w:val="0"/>
      <w:marRight w:val="0"/>
      <w:marTop w:val="0"/>
      <w:marBottom w:val="0"/>
      <w:divBdr>
        <w:top w:val="none" w:sz="0" w:space="0" w:color="auto"/>
        <w:left w:val="none" w:sz="0" w:space="0" w:color="auto"/>
        <w:bottom w:val="none" w:sz="0" w:space="0" w:color="auto"/>
        <w:right w:val="none" w:sz="0" w:space="0" w:color="auto"/>
      </w:divBdr>
    </w:div>
    <w:div w:id="827869256">
      <w:bodyDiv w:val="1"/>
      <w:marLeft w:val="0"/>
      <w:marRight w:val="0"/>
      <w:marTop w:val="0"/>
      <w:marBottom w:val="0"/>
      <w:divBdr>
        <w:top w:val="none" w:sz="0" w:space="0" w:color="auto"/>
        <w:left w:val="none" w:sz="0" w:space="0" w:color="auto"/>
        <w:bottom w:val="none" w:sz="0" w:space="0" w:color="auto"/>
        <w:right w:val="none" w:sz="0" w:space="0" w:color="auto"/>
      </w:divBdr>
    </w:div>
    <w:div w:id="831800705">
      <w:bodyDiv w:val="1"/>
      <w:marLeft w:val="0"/>
      <w:marRight w:val="0"/>
      <w:marTop w:val="0"/>
      <w:marBottom w:val="0"/>
      <w:divBdr>
        <w:top w:val="none" w:sz="0" w:space="0" w:color="auto"/>
        <w:left w:val="none" w:sz="0" w:space="0" w:color="auto"/>
        <w:bottom w:val="none" w:sz="0" w:space="0" w:color="auto"/>
        <w:right w:val="none" w:sz="0" w:space="0" w:color="auto"/>
      </w:divBdr>
    </w:div>
    <w:div w:id="848762718">
      <w:bodyDiv w:val="1"/>
      <w:marLeft w:val="0"/>
      <w:marRight w:val="0"/>
      <w:marTop w:val="0"/>
      <w:marBottom w:val="0"/>
      <w:divBdr>
        <w:top w:val="none" w:sz="0" w:space="0" w:color="auto"/>
        <w:left w:val="none" w:sz="0" w:space="0" w:color="auto"/>
        <w:bottom w:val="none" w:sz="0" w:space="0" w:color="auto"/>
        <w:right w:val="none" w:sz="0" w:space="0" w:color="auto"/>
      </w:divBdr>
    </w:div>
    <w:div w:id="853543666">
      <w:bodyDiv w:val="1"/>
      <w:marLeft w:val="0"/>
      <w:marRight w:val="0"/>
      <w:marTop w:val="0"/>
      <w:marBottom w:val="0"/>
      <w:divBdr>
        <w:top w:val="none" w:sz="0" w:space="0" w:color="auto"/>
        <w:left w:val="none" w:sz="0" w:space="0" w:color="auto"/>
        <w:bottom w:val="none" w:sz="0" w:space="0" w:color="auto"/>
        <w:right w:val="none" w:sz="0" w:space="0" w:color="auto"/>
      </w:divBdr>
    </w:div>
    <w:div w:id="864365048">
      <w:bodyDiv w:val="1"/>
      <w:marLeft w:val="0"/>
      <w:marRight w:val="0"/>
      <w:marTop w:val="0"/>
      <w:marBottom w:val="0"/>
      <w:divBdr>
        <w:top w:val="none" w:sz="0" w:space="0" w:color="auto"/>
        <w:left w:val="none" w:sz="0" w:space="0" w:color="auto"/>
        <w:bottom w:val="none" w:sz="0" w:space="0" w:color="auto"/>
        <w:right w:val="none" w:sz="0" w:space="0" w:color="auto"/>
      </w:divBdr>
    </w:div>
    <w:div w:id="869874300">
      <w:bodyDiv w:val="1"/>
      <w:marLeft w:val="0"/>
      <w:marRight w:val="0"/>
      <w:marTop w:val="0"/>
      <w:marBottom w:val="0"/>
      <w:divBdr>
        <w:top w:val="none" w:sz="0" w:space="0" w:color="auto"/>
        <w:left w:val="none" w:sz="0" w:space="0" w:color="auto"/>
        <w:bottom w:val="none" w:sz="0" w:space="0" w:color="auto"/>
        <w:right w:val="none" w:sz="0" w:space="0" w:color="auto"/>
      </w:divBdr>
    </w:div>
    <w:div w:id="875511019">
      <w:bodyDiv w:val="1"/>
      <w:marLeft w:val="0"/>
      <w:marRight w:val="0"/>
      <w:marTop w:val="0"/>
      <w:marBottom w:val="0"/>
      <w:divBdr>
        <w:top w:val="none" w:sz="0" w:space="0" w:color="auto"/>
        <w:left w:val="none" w:sz="0" w:space="0" w:color="auto"/>
        <w:bottom w:val="none" w:sz="0" w:space="0" w:color="auto"/>
        <w:right w:val="none" w:sz="0" w:space="0" w:color="auto"/>
      </w:divBdr>
    </w:div>
    <w:div w:id="888421319">
      <w:bodyDiv w:val="1"/>
      <w:marLeft w:val="0"/>
      <w:marRight w:val="0"/>
      <w:marTop w:val="0"/>
      <w:marBottom w:val="0"/>
      <w:divBdr>
        <w:top w:val="none" w:sz="0" w:space="0" w:color="auto"/>
        <w:left w:val="none" w:sz="0" w:space="0" w:color="auto"/>
        <w:bottom w:val="none" w:sz="0" w:space="0" w:color="auto"/>
        <w:right w:val="none" w:sz="0" w:space="0" w:color="auto"/>
      </w:divBdr>
    </w:div>
    <w:div w:id="890313604">
      <w:bodyDiv w:val="1"/>
      <w:marLeft w:val="0"/>
      <w:marRight w:val="0"/>
      <w:marTop w:val="0"/>
      <w:marBottom w:val="0"/>
      <w:divBdr>
        <w:top w:val="none" w:sz="0" w:space="0" w:color="auto"/>
        <w:left w:val="none" w:sz="0" w:space="0" w:color="auto"/>
        <w:bottom w:val="none" w:sz="0" w:space="0" w:color="auto"/>
        <w:right w:val="none" w:sz="0" w:space="0" w:color="auto"/>
      </w:divBdr>
    </w:div>
    <w:div w:id="891699965">
      <w:bodyDiv w:val="1"/>
      <w:marLeft w:val="0"/>
      <w:marRight w:val="0"/>
      <w:marTop w:val="0"/>
      <w:marBottom w:val="0"/>
      <w:divBdr>
        <w:top w:val="none" w:sz="0" w:space="0" w:color="auto"/>
        <w:left w:val="none" w:sz="0" w:space="0" w:color="auto"/>
        <w:bottom w:val="none" w:sz="0" w:space="0" w:color="auto"/>
        <w:right w:val="none" w:sz="0" w:space="0" w:color="auto"/>
      </w:divBdr>
    </w:div>
    <w:div w:id="899440906">
      <w:bodyDiv w:val="1"/>
      <w:marLeft w:val="0"/>
      <w:marRight w:val="0"/>
      <w:marTop w:val="0"/>
      <w:marBottom w:val="0"/>
      <w:divBdr>
        <w:top w:val="none" w:sz="0" w:space="0" w:color="auto"/>
        <w:left w:val="none" w:sz="0" w:space="0" w:color="auto"/>
        <w:bottom w:val="none" w:sz="0" w:space="0" w:color="auto"/>
        <w:right w:val="none" w:sz="0" w:space="0" w:color="auto"/>
      </w:divBdr>
    </w:div>
    <w:div w:id="903415336">
      <w:bodyDiv w:val="1"/>
      <w:marLeft w:val="0"/>
      <w:marRight w:val="0"/>
      <w:marTop w:val="0"/>
      <w:marBottom w:val="0"/>
      <w:divBdr>
        <w:top w:val="none" w:sz="0" w:space="0" w:color="auto"/>
        <w:left w:val="none" w:sz="0" w:space="0" w:color="auto"/>
        <w:bottom w:val="none" w:sz="0" w:space="0" w:color="auto"/>
        <w:right w:val="none" w:sz="0" w:space="0" w:color="auto"/>
      </w:divBdr>
    </w:div>
    <w:div w:id="919096687">
      <w:bodyDiv w:val="1"/>
      <w:marLeft w:val="0"/>
      <w:marRight w:val="0"/>
      <w:marTop w:val="0"/>
      <w:marBottom w:val="0"/>
      <w:divBdr>
        <w:top w:val="none" w:sz="0" w:space="0" w:color="auto"/>
        <w:left w:val="none" w:sz="0" w:space="0" w:color="auto"/>
        <w:bottom w:val="none" w:sz="0" w:space="0" w:color="auto"/>
        <w:right w:val="none" w:sz="0" w:space="0" w:color="auto"/>
      </w:divBdr>
    </w:div>
    <w:div w:id="921718140">
      <w:bodyDiv w:val="1"/>
      <w:marLeft w:val="0"/>
      <w:marRight w:val="0"/>
      <w:marTop w:val="0"/>
      <w:marBottom w:val="0"/>
      <w:divBdr>
        <w:top w:val="none" w:sz="0" w:space="0" w:color="auto"/>
        <w:left w:val="none" w:sz="0" w:space="0" w:color="auto"/>
        <w:bottom w:val="none" w:sz="0" w:space="0" w:color="auto"/>
        <w:right w:val="none" w:sz="0" w:space="0" w:color="auto"/>
      </w:divBdr>
    </w:div>
    <w:div w:id="943608358">
      <w:bodyDiv w:val="1"/>
      <w:marLeft w:val="0"/>
      <w:marRight w:val="0"/>
      <w:marTop w:val="0"/>
      <w:marBottom w:val="0"/>
      <w:divBdr>
        <w:top w:val="none" w:sz="0" w:space="0" w:color="auto"/>
        <w:left w:val="none" w:sz="0" w:space="0" w:color="auto"/>
        <w:bottom w:val="none" w:sz="0" w:space="0" w:color="auto"/>
        <w:right w:val="none" w:sz="0" w:space="0" w:color="auto"/>
      </w:divBdr>
    </w:div>
    <w:div w:id="947782859">
      <w:bodyDiv w:val="1"/>
      <w:marLeft w:val="0"/>
      <w:marRight w:val="0"/>
      <w:marTop w:val="0"/>
      <w:marBottom w:val="0"/>
      <w:divBdr>
        <w:top w:val="none" w:sz="0" w:space="0" w:color="auto"/>
        <w:left w:val="none" w:sz="0" w:space="0" w:color="auto"/>
        <w:bottom w:val="none" w:sz="0" w:space="0" w:color="auto"/>
        <w:right w:val="none" w:sz="0" w:space="0" w:color="auto"/>
      </w:divBdr>
    </w:div>
    <w:div w:id="950622832">
      <w:bodyDiv w:val="1"/>
      <w:marLeft w:val="0"/>
      <w:marRight w:val="0"/>
      <w:marTop w:val="0"/>
      <w:marBottom w:val="0"/>
      <w:divBdr>
        <w:top w:val="none" w:sz="0" w:space="0" w:color="auto"/>
        <w:left w:val="none" w:sz="0" w:space="0" w:color="auto"/>
        <w:bottom w:val="none" w:sz="0" w:space="0" w:color="auto"/>
        <w:right w:val="none" w:sz="0" w:space="0" w:color="auto"/>
      </w:divBdr>
    </w:div>
    <w:div w:id="961114886">
      <w:bodyDiv w:val="1"/>
      <w:marLeft w:val="0"/>
      <w:marRight w:val="0"/>
      <w:marTop w:val="0"/>
      <w:marBottom w:val="0"/>
      <w:divBdr>
        <w:top w:val="none" w:sz="0" w:space="0" w:color="auto"/>
        <w:left w:val="none" w:sz="0" w:space="0" w:color="auto"/>
        <w:bottom w:val="none" w:sz="0" w:space="0" w:color="auto"/>
        <w:right w:val="none" w:sz="0" w:space="0" w:color="auto"/>
      </w:divBdr>
    </w:div>
    <w:div w:id="977801052">
      <w:bodyDiv w:val="1"/>
      <w:marLeft w:val="0"/>
      <w:marRight w:val="0"/>
      <w:marTop w:val="0"/>
      <w:marBottom w:val="0"/>
      <w:divBdr>
        <w:top w:val="none" w:sz="0" w:space="0" w:color="auto"/>
        <w:left w:val="none" w:sz="0" w:space="0" w:color="auto"/>
        <w:bottom w:val="none" w:sz="0" w:space="0" w:color="auto"/>
        <w:right w:val="none" w:sz="0" w:space="0" w:color="auto"/>
      </w:divBdr>
    </w:div>
    <w:div w:id="983704328">
      <w:bodyDiv w:val="1"/>
      <w:marLeft w:val="0"/>
      <w:marRight w:val="0"/>
      <w:marTop w:val="0"/>
      <w:marBottom w:val="0"/>
      <w:divBdr>
        <w:top w:val="none" w:sz="0" w:space="0" w:color="auto"/>
        <w:left w:val="none" w:sz="0" w:space="0" w:color="auto"/>
        <w:bottom w:val="none" w:sz="0" w:space="0" w:color="auto"/>
        <w:right w:val="none" w:sz="0" w:space="0" w:color="auto"/>
      </w:divBdr>
    </w:div>
    <w:div w:id="984628007">
      <w:bodyDiv w:val="1"/>
      <w:marLeft w:val="0"/>
      <w:marRight w:val="0"/>
      <w:marTop w:val="0"/>
      <w:marBottom w:val="0"/>
      <w:divBdr>
        <w:top w:val="none" w:sz="0" w:space="0" w:color="auto"/>
        <w:left w:val="none" w:sz="0" w:space="0" w:color="auto"/>
        <w:bottom w:val="none" w:sz="0" w:space="0" w:color="auto"/>
        <w:right w:val="none" w:sz="0" w:space="0" w:color="auto"/>
      </w:divBdr>
    </w:div>
    <w:div w:id="986666352">
      <w:bodyDiv w:val="1"/>
      <w:marLeft w:val="0"/>
      <w:marRight w:val="0"/>
      <w:marTop w:val="0"/>
      <w:marBottom w:val="0"/>
      <w:divBdr>
        <w:top w:val="none" w:sz="0" w:space="0" w:color="auto"/>
        <w:left w:val="none" w:sz="0" w:space="0" w:color="auto"/>
        <w:bottom w:val="none" w:sz="0" w:space="0" w:color="auto"/>
        <w:right w:val="none" w:sz="0" w:space="0" w:color="auto"/>
      </w:divBdr>
    </w:div>
    <w:div w:id="992757507">
      <w:bodyDiv w:val="1"/>
      <w:marLeft w:val="0"/>
      <w:marRight w:val="0"/>
      <w:marTop w:val="0"/>
      <w:marBottom w:val="0"/>
      <w:divBdr>
        <w:top w:val="none" w:sz="0" w:space="0" w:color="auto"/>
        <w:left w:val="none" w:sz="0" w:space="0" w:color="auto"/>
        <w:bottom w:val="none" w:sz="0" w:space="0" w:color="auto"/>
        <w:right w:val="none" w:sz="0" w:space="0" w:color="auto"/>
      </w:divBdr>
    </w:div>
    <w:div w:id="995956750">
      <w:bodyDiv w:val="1"/>
      <w:marLeft w:val="0"/>
      <w:marRight w:val="0"/>
      <w:marTop w:val="0"/>
      <w:marBottom w:val="0"/>
      <w:divBdr>
        <w:top w:val="none" w:sz="0" w:space="0" w:color="auto"/>
        <w:left w:val="none" w:sz="0" w:space="0" w:color="auto"/>
        <w:bottom w:val="none" w:sz="0" w:space="0" w:color="auto"/>
        <w:right w:val="none" w:sz="0" w:space="0" w:color="auto"/>
      </w:divBdr>
    </w:div>
    <w:div w:id="998924904">
      <w:bodyDiv w:val="1"/>
      <w:marLeft w:val="0"/>
      <w:marRight w:val="0"/>
      <w:marTop w:val="0"/>
      <w:marBottom w:val="0"/>
      <w:divBdr>
        <w:top w:val="none" w:sz="0" w:space="0" w:color="auto"/>
        <w:left w:val="none" w:sz="0" w:space="0" w:color="auto"/>
        <w:bottom w:val="none" w:sz="0" w:space="0" w:color="auto"/>
        <w:right w:val="none" w:sz="0" w:space="0" w:color="auto"/>
      </w:divBdr>
    </w:div>
    <w:div w:id="1001156092">
      <w:bodyDiv w:val="1"/>
      <w:marLeft w:val="0"/>
      <w:marRight w:val="0"/>
      <w:marTop w:val="0"/>
      <w:marBottom w:val="0"/>
      <w:divBdr>
        <w:top w:val="none" w:sz="0" w:space="0" w:color="auto"/>
        <w:left w:val="none" w:sz="0" w:space="0" w:color="auto"/>
        <w:bottom w:val="none" w:sz="0" w:space="0" w:color="auto"/>
        <w:right w:val="none" w:sz="0" w:space="0" w:color="auto"/>
      </w:divBdr>
    </w:div>
    <w:div w:id="1005477268">
      <w:bodyDiv w:val="1"/>
      <w:marLeft w:val="0"/>
      <w:marRight w:val="0"/>
      <w:marTop w:val="0"/>
      <w:marBottom w:val="0"/>
      <w:divBdr>
        <w:top w:val="none" w:sz="0" w:space="0" w:color="auto"/>
        <w:left w:val="none" w:sz="0" w:space="0" w:color="auto"/>
        <w:bottom w:val="none" w:sz="0" w:space="0" w:color="auto"/>
        <w:right w:val="none" w:sz="0" w:space="0" w:color="auto"/>
      </w:divBdr>
    </w:div>
    <w:div w:id="1009287116">
      <w:bodyDiv w:val="1"/>
      <w:marLeft w:val="0"/>
      <w:marRight w:val="0"/>
      <w:marTop w:val="0"/>
      <w:marBottom w:val="0"/>
      <w:divBdr>
        <w:top w:val="none" w:sz="0" w:space="0" w:color="auto"/>
        <w:left w:val="none" w:sz="0" w:space="0" w:color="auto"/>
        <w:bottom w:val="none" w:sz="0" w:space="0" w:color="auto"/>
        <w:right w:val="none" w:sz="0" w:space="0" w:color="auto"/>
      </w:divBdr>
    </w:div>
    <w:div w:id="1015696113">
      <w:bodyDiv w:val="1"/>
      <w:marLeft w:val="0"/>
      <w:marRight w:val="0"/>
      <w:marTop w:val="0"/>
      <w:marBottom w:val="0"/>
      <w:divBdr>
        <w:top w:val="none" w:sz="0" w:space="0" w:color="auto"/>
        <w:left w:val="none" w:sz="0" w:space="0" w:color="auto"/>
        <w:bottom w:val="none" w:sz="0" w:space="0" w:color="auto"/>
        <w:right w:val="none" w:sz="0" w:space="0" w:color="auto"/>
      </w:divBdr>
    </w:div>
    <w:div w:id="1027755825">
      <w:bodyDiv w:val="1"/>
      <w:marLeft w:val="0"/>
      <w:marRight w:val="0"/>
      <w:marTop w:val="0"/>
      <w:marBottom w:val="0"/>
      <w:divBdr>
        <w:top w:val="none" w:sz="0" w:space="0" w:color="auto"/>
        <w:left w:val="none" w:sz="0" w:space="0" w:color="auto"/>
        <w:bottom w:val="none" w:sz="0" w:space="0" w:color="auto"/>
        <w:right w:val="none" w:sz="0" w:space="0" w:color="auto"/>
      </w:divBdr>
    </w:div>
    <w:div w:id="1054427427">
      <w:bodyDiv w:val="1"/>
      <w:marLeft w:val="0"/>
      <w:marRight w:val="0"/>
      <w:marTop w:val="0"/>
      <w:marBottom w:val="0"/>
      <w:divBdr>
        <w:top w:val="none" w:sz="0" w:space="0" w:color="auto"/>
        <w:left w:val="none" w:sz="0" w:space="0" w:color="auto"/>
        <w:bottom w:val="none" w:sz="0" w:space="0" w:color="auto"/>
        <w:right w:val="none" w:sz="0" w:space="0" w:color="auto"/>
      </w:divBdr>
    </w:div>
    <w:div w:id="1057555945">
      <w:bodyDiv w:val="1"/>
      <w:marLeft w:val="0"/>
      <w:marRight w:val="0"/>
      <w:marTop w:val="0"/>
      <w:marBottom w:val="0"/>
      <w:divBdr>
        <w:top w:val="none" w:sz="0" w:space="0" w:color="auto"/>
        <w:left w:val="none" w:sz="0" w:space="0" w:color="auto"/>
        <w:bottom w:val="none" w:sz="0" w:space="0" w:color="auto"/>
        <w:right w:val="none" w:sz="0" w:space="0" w:color="auto"/>
      </w:divBdr>
    </w:div>
    <w:div w:id="1058631275">
      <w:bodyDiv w:val="1"/>
      <w:marLeft w:val="0"/>
      <w:marRight w:val="0"/>
      <w:marTop w:val="0"/>
      <w:marBottom w:val="0"/>
      <w:divBdr>
        <w:top w:val="none" w:sz="0" w:space="0" w:color="auto"/>
        <w:left w:val="none" w:sz="0" w:space="0" w:color="auto"/>
        <w:bottom w:val="none" w:sz="0" w:space="0" w:color="auto"/>
        <w:right w:val="none" w:sz="0" w:space="0" w:color="auto"/>
      </w:divBdr>
    </w:div>
    <w:div w:id="1068309965">
      <w:bodyDiv w:val="1"/>
      <w:marLeft w:val="0"/>
      <w:marRight w:val="0"/>
      <w:marTop w:val="0"/>
      <w:marBottom w:val="0"/>
      <w:divBdr>
        <w:top w:val="none" w:sz="0" w:space="0" w:color="auto"/>
        <w:left w:val="none" w:sz="0" w:space="0" w:color="auto"/>
        <w:bottom w:val="none" w:sz="0" w:space="0" w:color="auto"/>
        <w:right w:val="none" w:sz="0" w:space="0" w:color="auto"/>
      </w:divBdr>
    </w:div>
    <w:div w:id="1080908328">
      <w:bodyDiv w:val="1"/>
      <w:marLeft w:val="0"/>
      <w:marRight w:val="0"/>
      <w:marTop w:val="0"/>
      <w:marBottom w:val="0"/>
      <w:divBdr>
        <w:top w:val="none" w:sz="0" w:space="0" w:color="auto"/>
        <w:left w:val="none" w:sz="0" w:space="0" w:color="auto"/>
        <w:bottom w:val="none" w:sz="0" w:space="0" w:color="auto"/>
        <w:right w:val="none" w:sz="0" w:space="0" w:color="auto"/>
      </w:divBdr>
    </w:div>
    <w:div w:id="1081677581">
      <w:bodyDiv w:val="1"/>
      <w:marLeft w:val="0"/>
      <w:marRight w:val="0"/>
      <w:marTop w:val="0"/>
      <w:marBottom w:val="0"/>
      <w:divBdr>
        <w:top w:val="none" w:sz="0" w:space="0" w:color="auto"/>
        <w:left w:val="none" w:sz="0" w:space="0" w:color="auto"/>
        <w:bottom w:val="none" w:sz="0" w:space="0" w:color="auto"/>
        <w:right w:val="none" w:sz="0" w:space="0" w:color="auto"/>
      </w:divBdr>
    </w:div>
    <w:div w:id="1113213862">
      <w:bodyDiv w:val="1"/>
      <w:marLeft w:val="0"/>
      <w:marRight w:val="0"/>
      <w:marTop w:val="0"/>
      <w:marBottom w:val="0"/>
      <w:divBdr>
        <w:top w:val="none" w:sz="0" w:space="0" w:color="auto"/>
        <w:left w:val="none" w:sz="0" w:space="0" w:color="auto"/>
        <w:bottom w:val="none" w:sz="0" w:space="0" w:color="auto"/>
        <w:right w:val="none" w:sz="0" w:space="0" w:color="auto"/>
      </w:divBdr>
    </w:div>
    <w:div w:id="1125192543">
      <w:bodyDiv w:val="1"/>
      <w:marLeft w:val="0"/>
      <w:marRight w:val="0"/>
      <w:marTop w:val="0"/>
      <w:marBottom w:val="0"/>
      <w:divBdr>
        <w:top w:val="none" w:sz="0" w:space="0" w:color="auto"/>
        <w:left w:val="none" w:sz="0" w:space="0" w:color="auto"/>
        <w:bottom w:val="none" w:sz="0" w:space="0" w:color="auto"/>
        <w:right w:val="none" w:sz="0" w:space="0" w:color="auto"/>
      </w:divBdr>
    </w:div>
    <w:div w:id="1138493208">
      <w:bodyDiv w:val="1"/>
      <w:marLeft w:val="0"/>
      <w:marRight w:val="0"/>
      <w:marTop w:val="0"/>
      <w:marBottom w:val="0"/>
      <w:divBdr>
        <w:top w:val="none" w:sz="0" w:space="0" w:color="auto"/>
        <w:left w:val="none" w:sz="0" w:space="0" w:color="auto"/>
        <w:bottom w:val="none" w:sz="0" w:space="0" w:color="auto"/>
        <w:right w:val="none" w:sz="0" w:space="0" w:color="auto"/>
      </w:divBdr>
    </w:div>
    <w:div w:id="1147093502">
      <w:bodyDiv w:val="1"/>
      <w:marLeft w:val="0"/>
      <w:marRight w:val="0"/>
      <w:marTop w:val="0"/>
      <w:marBottom w:val="0"/>
      <w:divBdr>
        <w:top w:val="none" w:sz="0" w:space="0" w:color="auto"/>
        <w:left w:val="none" w:sz="0" w:space="0" w:color="auto"/>
        <w:bottom w:val="none" w:sz="0" w:space="0" w:color="auto"/>
        <w:right w:val="none" w:sz="0" w:space="0" w:color="auto"/>
      </w:divBdr>
    </w:div>
    <w:div w:id="1165710417">
      <w:bodyDiv w:val="1"/>
      <w:marLeft w:val="0"/>
      <w:marRight w:val="0"/>
      <w:marTop w:val="0"/>
      <w:marBottom w:val="0"/>
      <w:divBdr>
        <w:top w:val="none" w:sz="0" w:space="0" w:color="auto"/>
        <w:left w:val="none" w:sz="0" w:space="0" w:color="auto"/>
        <w:bottom w:val="none" w:sz="0" w:space="0" w:color="auto"/>
        <w:right w:val="none" w:sz="0" w:space="0" w:color="auto"/>
      </w:divBdr>
    </w:div>
    <w:div w:id="1177773013">
      <w:bodyDiv w:val="1"/>
      <w:marLeft w:val="0"/>
      <w:marRight w:val="0"/>
      <w:marTop w:val="0"/>
      <w:marBottom w:val="0"/>
      <w:divBdr>
        <w:top w:val="none" w:sz="0" w:space="0" w:color="auto"/>
        <w:left w:val="none" w:sz="0" w:space="0" w:color="auto"/>
        <w:bottom w:val="none" w:sz="0" w:space="0" w:color="auto"/>
        <w:right w:val="none" w:sz="0" w:space="0" w:color="auto"/>
      </w:divBdr>
    </w:div>
    <w:div w:id="1180505969">
      <w:bodyDiv w:val="1"/>
      <w:marLeft w:val="0"/>
      <w:marRight w:val="0"/>
      <w:marTop w:val="0"/>
      <w:marBottom w:val="0"/>
      <w:divBdr>
        <w:top w:val="none" w:sz="0" w:space="0" w:color="auto"/>
        <w:left w:val="none" w:sz="0" w:space="0" w:color="auto"/>
        <w:bottom w:val="none" w:sz="0" w:space="0" w:color="auto"/>
        <w:right w:val="none" w:sz="0" w:space="0" w:color="auto"/>
      </w:divBdr>
    </w:div>
    <w:div w:id="1187325552">
      <w:bodyDiv w:val="1"/>
      <w:marLeft w:val="0"/>
      <w:marRight w:val="0"/>
      <w:marTop w:val="0"/>
      <w:marBottom w:val="0"/>
      <w:divBdr>
        <w:top w:val="none" w:sz="0" w:space="0" w:color="auto"/>
        <w:left w:val="none" w:sz="0" w:space="0" w:color="auto"/>
        <w:bottom w:val="none" w:sz="0" w:space="0" w:color="auto"/>
        <w:right w:val="none" w:sz="0" w:space="0" w:color="auto"/>
      </w:divBdr>
    </w:div>
    <w:div w:id="1195848954">
      <w:bodyDiv w:val="1"/>
      <w:marLeft w:val="0"/>
      <w:marRight w:val="0"/>
      <w:marTop w:val="0"/>
      <w:marBottom w:val="0"/>
      <w:divBdr>
        <w:top w:val="none" w:sz="0" w:space="0" w:color="auto"/>
        <w:left w:val="none" w:sz="0" w:space="0" w:color="auto"/>
        <w:bottom w:val="none" w:sz="0" w:space="0" w:color="auto"/>
        <w:right w:val="none" w:sz="0" w:space="0" w:color="auto"/>
      </w:divBdr>
    </w:div>
    <w:div w:id="1197356600">
      <w:bodyDiv w:val="1"/>
      <w:marLeft w:val="0"/>
      <w:marRight w:val="0"/>
      <w:marTop w:val="0"/>
      <w:marBottom w:val="0"/>
      <w:divBdr>
        <w:top w:val="none" w:sz="0" w:space="0" w:color="auto"/>
        <w:left w:val="none" w:sz="0" w:space="0" w:color="auto"/>
        <w:bottom w:val="none" w:sz="0" w:space="0" w:color="auto"/>
        <w:right w:val="none" w:sz="0" w:space="0" w:color="auto"/>
      </w:divBdr>
    </w:div>
    <w:div w:id="1203323393">
      <w:bodyDiv w:val="1"/>
      <w:marLeft w:val="0"/>
      <w:marRight w:val="0"/>
      <w:marTop w:val="0"/>
      <w:marBottom w:val="0"/>
      <w:divBdr>
        <w:top w:val="none" w:sz="0" w:space="0" w:color="auto"/>
        <w:left w:val="none" w:sz="0" w:space="0" w:color="auto"/>
        <w:bottom w:val="none" w:sz="0" w:space="0" w:color="auto"/>
        <w:right w:val="none" w:sz="0" w:space="0" w:color="auto"/>
      </w:divBdr>
    </w:div>
    <w:div w:id="1203445482">
      <w:bodyDiv w:val="1"/>
      <w:marLeft w:val="0"/>
      <w:marRight w:val="0"/>
      <w:marTop w:val="0"/>
      <w:marBottom w:val="0"/>
      <w:divBdr>
        <w:top w:val="none" w:sz="0" w:space="0" w:color="auto"/>
        <w:left w:val="none" w:sz="0" w:space="0" w:color="auto"/>
        <w:bottom w:val="none" w:sz="0" w:space="0" w:color="auto"/>
        <w:right w:val="none" w:sz="0" w:space="0" w:color="auto"/>
      </w:divBdr>
    </w:div>
    <w:div w:id="1212039196">
      <w:bodyDiv w:val="1"/>
      <w:marLeft w:val="0"/>
      <w:marRight w:val="0"/>
      <w:marTop w:val="0"/>
      <w:marBottom w:val="0"/>
      <w:divBdr>
        <w:top w:val="none" w:sz="0" w:space="0" w:color="auto"/>
        <w:left w:val="none" w:sz="0" w:space="0" w:color="auto"/>
        <w:bottom w:val="none" w:sz="0" w:space="0" w:color="auto"/>
        <w:right w:val="none" w:sz="0" w:space="0" w:color="auto"/>
      </w:divBdr>
    </w:div>
    <w:div w:id="1212307150">
      <w:bodyDiv w:val="1"/>
      <w:marLeft w:val="0"/>
      <w:marRight w:val="0"/>
      <w:marTop w:val="0"/>
      <w:marBottom w:val="0"/>
      <w:divBdr>
        <w:top w:val="none" w:sz="0" w:space="0" w:color="auto"/>
        <w:left w:val="none" w:sz="0" w:space="0" w:color="auto"/>
        <w:bottom w:val="none" w:sz="0" w:space="0" w:color="auto"/>
        <w:right w:val="none" w:sz="0" w:space="0" w:color="auto"/>
      </w:divBdr>
    </w:div>
    <w:div w:id="1221869359">
      <w:bodyDiv w:val="1"/>
      <w:marLeft w:val="0"/>
      <w:marRight w:val="0"/>
      <w:marTop w:val="0"/>
      <w:marBottom w:val="0"/>
      <w:divBdr>
        <w:top w:val="none" w:sz="0" w:space="0" w:color="auto"/>
        <w:left w:val="none" w:sz="0" w:space="0" w:color="auto"/>
        <w:bottom w:val="none" w:sz="0" w:space="0" w:color="auto"/>
        <w:right w:val="none" w:sz="0" w:space="0" w:color="auto"/>
      </w:divBdr>
    </w:div>
    <w:div w:id="1222475007">
      <w:bodyDiv w:val="1"/>
      <w:marLeft w:val="0"/>
      <w:marRight w:val="0"/>
      <w:marTop w:val="0"/>
      <w:marBottom w:val="0"/>
      <w:divBdr>
        <w:top w:val="none" w:sz="0" w:space="0" w:color="auto"/>
        <w:left w:val="none" w:sz="0" w:space="0" w:color="auto"/>
        <w:bottom w:val="none" w:sz="0" w:space="0" w:color="auto"/>
        <w:right w:val="none" w:sz="0" w:space="0" w:color="auto"/>
      </w:divBdr>
    </w:div>
    <w:div w:id="1232619618">
      <w:bodyDiv w:val="1"/>
      <w:marLeft w:val="0"/>
      <w:marRight w:val="0"/>
      <w:marTop w:val="0"/>
      <w:marBottom w:val="0"/>
      <w:divBdr>
        <w:top w:val="none" w:sz="0" w:space="0" w:color="auto"/>
        <w:left w:val="none" w:sz="0" w:space="0" w:color="auto"/>
        <w:bottom w:val="none" w:sz="0" w:space="0" w:color="auto"/>
        <w:right w:val="none" w:sz="0" w:space="0" w:color="auto"/>
      </w:divBdr>
    </w:div>
    <w:div w:id="1234045631">
      <w:bodyDiv w:val="1"/>
      <w:marLeft w:val="0"/>
      <w:marRight w:val="0"/>
      <w:marTop w:val="0"/>
      <w:marBottom w:val="0"/>
      <w:divBdr>
        <w:top w:val="none" w:sz="0" w:space="0" w:color="auto"/>
        <w:left w:val="none" w:sz="0" w:space="0" w:color="auto"/>
        <w:bottom w:val="none" w:sz="0" w:space="0" w:color="auto"/>
        <w:right w:val="none" w:sz="0" w:space="0" w:color="auto"/>
      </w:divBdr>
    </w:div>
    <w:div w:id="1234510956">
      <w:bodyDiv w:val="1"/>
      <w:marLeft w:val="0"/>
      <w:marRight w:val="0"/>
      <w:marTop w:val="0"/>
      <w:marBottom w:val="0"/>
      <w:divBdr>
        <w:top w:val="none" w:sz="0" w:space="0" w:color="auto"/>
        <w:left w:val="none" w:sz="0" w:space="0" w:color="auto"/>
        <w:bottom w:val="none" w:sz="0" w:space="0" w:color="auto"/>
        <w:right w:val="none" w:sz="0" w:space="0" w:color="auto"/>
      </w:divBdr>
    </w:div>
    <w:div w:id="1241058710">
      <w:bodyDiv w:val="1"/>
      <w:marLeft w:val="0"/>
      <w:marRight w:val="0"/>
      <w:marTop w:val="0"/>
      <w:marBottom w:val="0"/>
      <w:divBdr>
        <w:top w:val="none" w:sz="0" w:space="0" w:color="auto"/>
        <w:left w:val="none" w:sz="0" w:space="0" w:color="auto"/>
        <w:bottom w:val="none" w:sz="0" w:space="0" w:color="auto"/>
        <w:right w:val="none" w:sz="0" w:space="0" w:color="auto"/>
      </w:divBdr>
    </w:div>
    <w:div w:id="1247109116">
      <w:bodyDiv w:val="1"/>
      <w:marLeft w:val="0"/>
      <w:marRight w:val="0"/>
      <w:marTop w:val="0"/>
      <w:marBottom w:val="0"/>
      <w:divBdr>
        <w:top w:val="none" w:sz="0" w:space="0" w:color="auto"/>
        <w:left w:val="none" w:sz="0" w:space="0" w:color="auto"/>
        <w:bottom w:val="none" w:sz="0" w:space="0" w:color="auto"/>
        <w:right w:val="none" w:sz="0" w:space="0" w:color="auto"/>
      </w:divBdr>
    </w:div>
    <w:div w:id="1256090644">
      <w:bodyDiv w:val="1"/>
      <w:marLeft w:val="0"/>
      <w:marRight w:val="0"/>
      <w:marTop w:val="0"/>
      <w:marBottom w:val="0"/>
      <w:divBdr>
        <w:top w:val="none" w:sz="0" w:space="0" w:color="auto"/>
        <w:left w:val="none" w:sz="0" w:space="0" w:color="auto"/>
        <w:bottom w:val="none" w:sz="0" w:space="0" w:color="auto"/>
        <w:right w:val="none" w:sz="0" w:space="0" w:color="auto"/>
      </w:divBdr>
    </w:div>
    <w:div w:id="1257057123">
      <w:bodyDiv w:val="1"/>
      <w:marLeft w:val="0"/>
      <w:marRight w:val="0"/>
      <w:marTop w:val="0"/>
      <w:marBottom w:val="0"/>
      <w:divBdr>
        <w:top w:val="none" w:sz="0" w:space="0" w:color="auto"/>
        <w:left w:val="none" w:sz="0" w:space="0" w:color="auto"/>
        <w:bottom w:val="none" w:sz="0" w:space="0" w:color="auto"/>
        <w:right w:val="none" w:sz="0" w:space="0" w:color="auto"/>
      </w:divBdr>
    </w:div>
    <w:div w:id="1260914084">
      <w:bodyDiv w:val="1"/>
      <w:marLeft w:val="0"/>
      <w:marRight w:val="0"/>
      <w:marTop w:val="0"/>
      <w:marBottom w:val="0"/>
      <w:divBdr>
        <w:top w:val="none" w:sz="0" w:space="0" w:color="auto"/>
        <w:left w:val="none" w:sz="0" w:space="0" w:color="auto"/>
        <w:bottom w:val="none" w:sz="0" w:space="0" w:color="auto"/>
        <w:right w:val="none" w:sz="0" w:space="0" w:color="auto"/>
      </w:divBdr>
    </w:div>
    <w:div w:id="1275551547">
      <w:bodyDiv w:val="1"/>
      <w:marLeft w:val="0"/>
      <w:marRight w:val="0"/>
      <w:marTop w:val="0"/>
      <w:marBottom w:val="0"/>
      <w:divBdr>
        <w:top w:val="none" w:sz="0" w:space="0" w:color="auto"/>
        <w:left w:val="none" w:sz="0" w:space="0" w:color="auto"/>
        <w:bottom w:val="none" w:sz="0" w:space="0" w:color="auto"/>
        <w:right w:val="none" w:sz="0" w:space="0" w:color="auto"/>
      </w:divBdr>
    </w:div>
    <w:div w:id="1278680127">
      <w:bodyDiv w:val="1"/>
      <w:marLeft w:val="0"/>
      <w:marRight w:val="0"/>
      <w:marTop w:val="0"/>
      <w:marBottom w:val="0"/>
      <w:divBdr>
        <w:top w:val="none" w:sz="0" w:space="0" w:color="auto"/>
        <w:left w:val="none" w:sz="0" w:space="0" w:color="auto"/>
        <w:bottom w:val="none" w:sz="0" w:space="0" w:color="auto"/>
        <w:right w:val="none" w:sz="0" w:space="0" w:color="auto"/>
      </w:divBdr>
      <w:divsChild>
        <w:div w:id="1784499217">
          <w:marLeft w:val="0"/>
          <w:marRight w:val="0"/>
          <w:marTop w:val="0"/>
          <w:marBottom w:val="0"/>
          <w:divBdr>
            <w:top w:val="none" w:sz="0" w:space="0" w:color="auto"/>
            <w:left w:val="none" w:sz="0" w:space="0" w:color="auto"/>
            <w:bottom w:val="none" w:sz="0" w:space="0" w:color="auto"/>
            <w:right w:val="none" w:sz="0" w:space="0" w:color="auto"/>
          </w:divBdr>
        </w:div>
      </w:divsChild>
    </w:div>
    <w:div w:id="1283029232">
      <w:bodyDiv w:val="1"/>
      <w:marLeft w:val="0"/>
      <w:marRight w:val="0"/>
      <w:marTop w:val="0"/>
      <w:marBottom w:val="0"/>
      <w:divBdr>
        <w:top w:val="none" w:sz="0" w:space="0" w:color="auto"/>
        <w:left w:val="none" w:sz="0" w:space="0" w:color="auto"/>
        <w:bottom w:val="none" w:sz="0" w:space="0" w:color="auto"/>
        <w:right w:val="none" w:sz="0" w:space="0" w:color="auto"/>
      </w:divBdr>
    </w:div>
    <w:div w:id="1283343886">
      <w:bodyDiv w:val="1"/>
      <w:marLeft w:val="0"/>
      <w:marRight w:val="0"/>
      <w:marTop w:val="0"/>
      <w:marBottom w:val="0"/>
      <w:divBdr>
        <w:top w:val="none" w:sz="0" w:space="0" w:color="auto"/>
        <w:left w:val="none" w:sz="0" w:space="0" w:color="auto"/>
        <w:bottom w:val="none" w:sz="0" w:space="0" w:color="auto"/>
        <w:right w:val="none" w:sz="0" w:space="0" w:color="auto"/>
      </w:divBdr>
    </w:div>
    <w:div w:id="1308851361">
      <w:bodyDiv w:val="1"/>
      <w:marLeft w:val="0"/>
      <w:marRight w:val="0"/>
      <w:marTop w:val="0"/>
      <w:marBottom w:val="0"/>
      <w:divBdr>
        <w:top w:val="none" w:sz="0" w:space="0" w:color="auto"/>
        <w:left w:val="none" w:sz="0" w:space="0" w:color="auto"/>
        <w:bottom w:val="none" w:sz="0" w:space="0" w:color="auto"/>
        <w:right w:val="none" w:sz="0" w:space="0" w:color="auto"/>
      </w:divBdr>
    </w:div>
    <w:div w:id="1314677891">
      <w:bodyDiv w:val="1"/>
      <w:marLeft w:val="0"/>
      <w:marRight w:val="0"/>
      <w:marTop w:val="0"/>
      <w:marBottom w:val="0"/>
      <w:divBdr>
        <w:top w:val="none" w:sz="0" w:space="0" w:color="auto"/>
        <w:left w:val="none" w:sz="0" w:space="0" w:color="auto"/>
        <w:bottom w:val="none" w:sz="0" w:space="0" w:color="auto"/>
        <w:right w:val="none" w:sz="0" w:space="0" w:color="auto"/>
      </w:divBdr>
    </w:div>
    <w:div w:id="1327514893">
      <w:bodyDiv w:val="1"/>
      <w:marLeft w:val="0"/>
      <w:marRight w:val="0"/>
      <w:marTop w:val="0"/>
      <w:marBottom w:val="0"/>
      <w:divBdr>
        <w:top w:val="none" w:sz="0" w:space="0" w:color="auto"/>
        <w:left w:val="none" w:sz="0" w:space="0" w:color="auto"/>
        <w:bottom w:val="none" w:sz="0" w:space="0" w:color="auto"/>
        <w:right w:val="none" w:sz="0" w:space="0" w:color="auto"/>
      </w:divBdr>
    </w:div>
    <w:div w:id="1333291227">
      <w:bodyDiv w:val="1"/>
      <w:marLeft w:val="0"/>
      <w:marRight w:val="0"/>
      <w:marTop w:val="0"/>
      <w:marBottom w:val="0"/>
      <w:divBdr>
        <w:top w:val="none" w:sz="0" w:space="0" w:color="auto"/>
        <w:left w:val="none" w:sz="0" w:space="0" w:color="auto"/>
        <w:bottom w:val="none" w:sz="0" w:space="0" w:color="auto"/>
        <w:right w:val="none" w:sz="0" w:space="0" w:color="auto"/>
      </w:divBdr>
    </w:div>
    <w:div w:id="1336687518">
      <w:bodyDiv w:val="1"/>
      <w:marLeft w:val="0"/>
      <w:marRight w:val="0"/>
      <w:marTop w:val="0"/>
      <w:marBottom w:val="0"/>
      <w:divBdr>
        <w:top w:val="none" w:sz="0" w:space="0" w:color="auto"/>
        <w:left w:val="none" w:sz="0" w:space="0" w:color="auto"/>
        <w:bottom w:val="none" w:sz="0" w:space="0" w:color="auto"/>
        <w:right w:val="none" w:sz="0" w:space="0" w:color="auto"/>
      </w:divBdr>
    </w:div>
    <w:div w:id="1342008821">
      <w:bodyDiv w:val="1"/>
      <w:marLeft w:val="0"/>
      <w:marRight w:val="0"/>
      <w:marTop w:val="0"/>
      <w:marBottom w:val="0"/>
      <w:divBdr>
        <w:top w:val="none" w:sz="0" w:space="0" w:color="auto"/>
        <w:left w:val="none" w:sz="0" w:space="0" w:color="auto"/>
        <w:bottom w:val="none" w:sz="0" w:space="0" w:color="auto"/>
        <w:right w:val="none" w:sz="0" w:space="0" w:color="auto"/>
      </w:divBdr>
    </w:div>
    <w:div w:id="1346056754">
      <w:bodyDiv w:val="1"/>
      <w:marLeft w:val="0"/>
      <w:marRight w:val="0"/>
      <w:marTop w:val="0"/>
      <w:marBottom w:val="0"/>
      <w:divBdr>
        <w:top w:val="none" w:sz="0" w:space="0" w:color="auto"/>
        <w:left w:val="none" w:sz="0" w:space="0" w:color="auto"/>
        <w:bottom w:val="none" w:sz="0" w:space="0" w:color="auto"/>
        <w:right w:val="none" w:sz="0" w:space="0" w:color="auto"/>
      </w:divBdr>
    </w:div>
    <w:div w:id="1352142518">
      <w:bodyDiv w:val="1"/>
      <w:marLeft w:val="0"/>
      <w:marRight w:val="0"/>
      <w:marTop w:val="0"/>
      <w:marBottom w:val="0"/>
      <w:divBdr>
        <w:top w:val="none" w:sz="0" w:space="0" w:color="auto"/>
        <w:left w:val="none" w:sz="0" w:space="0" w:color="auto"/>
        <w:bottom w:val="none" w:sz="0" w:space="0" w:color="auto"/>
        <w:right w:val="none" w:sz="0" w:space="0" w:color="auto"/>
      </w:divBdr>
    </w:div>
    <w:div w:id="1367605325">
      <w:bodyDiv w:val="1"/>
      <w:marLeft w:val="0"/>
      <w:marRight w:val="0"/>
      <w:marTop w:val="0"/>
      <w:marBottom w:val="0"/>
      <w:divBdr>
        <w:top w:val="none" w:sz="0" w:space="0" w:color="auto"/>
        <w:left w:val="none" w:sz="0" w:space="0" w:color="auto"/>
        <w:bottom w:val="none" w:sz="0" w:space="0" w:color="auto"/>
        <w:right w:val="none" w:sz="0" w:space="0" w:color="auto"/>
      </w:divBdr>
    </w:div>
    <w:div w:id="1396931671">
      <w:bodyDiv w:val="1"/>
      <w:marLeft w:val="0"/>
      <w:marRight w:val="0"/>
      <w:marTop w:val="0"/>
      <w:marBottom w:val="0"/>
      <w:divBdr>
        <w:top w:val="none" w:sz="0" w:space="0" w:color="auto"/>
        <w:left w:val="none" w:sz="0" w:space="0" w:color="auto"/>
        <w:bottom w:val="none" w:sz="0" w:space="0" w:color="auto"/>
        <w:right w:val="none" w:sz="0" w:space="0" w:color="auto"/>
      </w:divBdr>
    </w:div>
    <w:div w:id="1407648372">
      <w:bodyDiv w:val="1"/>
      <w:marLeft w:val="0"/>
      <w:marRight w:val="0"/>
      <w:marTop w:val="0"/>
      <w:marBottom w:val="0"/>
      <w:divBdr>
        <w:top w:val="none" w:sz="0" w:space="0" w:color="auto"/>
        <w:left w:val="none" w:sz="0" w:space="0" w:color="auto"/>
        <w:bottom w:val="none" w:sz="0" w:space="0" w:color="auto"/>
        <w:right w:val="none" w:sz="0" w:space="0" w:color="auto"/>
      </w:divBdr>
    </w:div>
    <w:div w:id="1409183288">
      <w:bodyDiv w:val="1"/>
      <w:marLeft w:val="0"/>
      <w:marRight w:val="0"/>
      <w:marTop w:val="0"/>
      <w:marBottom w:val="0"/>
      <w:divBdr>
        <w:top w:val="none" w:sz="0" w:space="0" w:color="auto"/>
        <w:left w:val="none" w:sz="0" w:space="0" w:color="auto"/>
        <w:bottom w:val="none" w:sz="0" w:space="0" w:color="auto"/>
        <w:right w:val="none" w:sz="0" w:space="0" w:color="auto"/>
      </w:divBdr>
    </w:div>
    <w:div w:id="1436558857">
      <w:bodyDiv w:val="1"/>
      <w:marLeft w:val="0"/>
      <w:marRight w:val="0"/>
      <w:marTop w:val="0"/>
      <w:marBottom w:val="0"/>
      <w:divBdr>
        <w:top w:val="none" w:sz="0" w:space="0" w:color="auto"/>
        <w:left w:val="none" w:sz="0" w:space="0" w:color="auto"/>
        <w:bottom w:val="none" w:sz="0" w:space="0" w:color="auto"/>
        <w:right w:val="none" w:sz="0" w:space="0" w:color="auto"/>
      </w:divBdr>
      <w:divsChild>
        <w:div w:id="796266869">
          <w:marLeft w:val="0"/>
          <w:marRight w:val="0"/>
          <w:marTop w:val="0"/>
          <w:marBottom w:val="0"/>
          <w:divBdr>
            <w:top w:val="none" w:sz="0" w:space="0" w:color="auto"/>
            <w:left w:val="none" w:sz="0" w:space="0" w:color="auto"/>
            <w:bottom w:val="none" w:sz="0" w:space="0" w:color="auto"/>
            <w:right w:val="none" w:sz="0" w:space="0" w:color="auto"/>
          </w:divBdr>
        </w:div>
      </w:divsChild>
    </w:div>
    <w:div w:id="1446464078">
      <w:bodyDiv w:val="1"/>
      <w:marLeft w:val="0"/>
      <w:marRight w:val="0"/>
      <w:marTop w:val="0"/>
      <w:marBottom w:val="0"/>
      <w:divBdr>
        <w:top w:val="none" w:sz="0" w:space="0" w:color="auto"/>
        <w:left w:val="none" w:sz="0" w:space="0" w:color="auto"/>
        <w:bottom w:val="none" w:sz="0" w:space="0" w:color="auto"/>
        <w:right w:val="none" w:sz="0" w:space="0" w:color="auto"/>
      </w:divBdr>
    </w:div>
    <w:div w:id="1470198900">
      <w:bodyDiv w:val="1"/>
      <w:marLeft w:val="0"/>
      <w:marRight w:val="0"/>
      <w:marTop w:val="0"/>
      <w:marBottom w:val="0"/>
      <w:divBdr>
        <w:top w:val="none" w:sz="0" w:space="0" w:color="auto"/>
        <w:left w:val="none" w:sz="0" w:space="0" w:color="auto"/>
        <w:bottom w:val="none" w:sz="0" w:space="0" w:color="auto"/>
        <w:right w:val="none" w:sz="0" w:space="0" w:color="auto"/>
      </w:divBdr>
    </w:div>
    <w:div w:id="1478105923">
      <w:bodyDiv w:val="1"/>
      <w:marLeft w:val="0"/>
      <w:marRight w:val="0"/>
      <w:marTop w:val="0"/>
      <w:marBottom w:val="0"/>
      <w:divBdr>
        <w:top w:val="none" w:sz="0" w:space="0" w:color="auto"/>
        <w:left w:val="none" w:sz="0" w:space="0" w:color="auto"/>
        <w:bottom w:val="none" w:sz="0" w:space="0" w:color="auto"/>
        <w:right w:val="none" w:sz="0" w:space="0" w:color="auto"/>
      </w:divBdr>
    </w:div>
    <w:div w:id="1482117082">
      <w:bodyDiv w:val="1"/>
      <w:marLeft w:val="0"/>
      <w:marRight w:val="0"/>
      <w:marTop w:val="0"/>
      <w:marBottom w:val="0"/>
      <w:divBdr>
        <w:top w:val="none" w:sz="0" w:space="0" w:color="auto"/>
        <w:left w:val="none" w:sz="0" w:space="0" w:color="auto"/>
        <w:bottom w:val="none" w:sz="0" w:space="0" w:color="auto"/>
        <w:right w:val="none" w:sz="0" w:space="0" w:color="auto"/>
      </w:divBdr>
    </w:div>
    <w:div w:id="1493058967">
      <w:bodyDiv w:val="1"/>
      <w:marLeft w:val="0"/>
      <w:marRight w:val="0"/>
      <w:marTop w:val="0"/>
      <w:marBottom w:val="0"/>
      <w:divBdr>
        <w:top w:val="none" w:sz="0" w:space="0" w:color="auto"/>
        <w:left w:val="none" w:sz="0" w:space="0" w:color="auto"/>
        <w:bottom w:val="none" w:sz="0" w:space="0" w:color="auto"/>
        <w:right w:val="none" w:sz="0" w:space="0" w:color="auto"/>
      </w:divBdr>
    </w:div>
    <w:div w:id="1495335595">
      <w:bodyDiv w:val="1"/>
      <w:marLeft w:val="0"/>
      <w:marRight w:val="0"/>
      <w:marTop w:val="0"/>
      <w:marBottom w:val="0"/>
      <w:divBdr>
        <w:top w:val="none" w:sz="0" w:space="0" w:color="auto"/>
        <w:left w:val="none" w:sz="0" w:space="0" w:color="auto"/>
        <w:bottom w:val="none" w:sz="0" w:space="0" w:color="auto"/>
        <w:right w:val="none" w:sz="0" w:space="0" w:color="auto"/>
      </w:divBdr>
    </w:div>
    <w:div w:id="1507675701">
      <w:bodyDiv w:val="1"/>
      <w:marLeft w:val="0"/>
      <w:marRight w:val="0"/>
      <w:marTop w:val="0"/>
      <w:marBottom w:val="0"/>
      <w:divBdr>
        <w:top w:val="none" w:sz="0" w:space="0" w:color="auto"/>
        <w:left w:val="none" w:sz="0" w:space="0" w:color="auto"/>
        <w:bottom w:val="none" w:sz="0" w:space="0" w:color="auto"/>
        <w:right w:val="none" w:sz="0" w:space="0" w:color="auto"/>
      </w:divBdr>
    </w:div>
    <w:div w:id="1532764779">
      <w:bodyDiv w:val="1"/>
      <w:marLeft w:val="0"/>
      <w:marRight w:val="0"/>
      <w:marTop w:val="0"/>
      <w:marBottom w:val="0"/>
      <w:divBdr>
        <w:top w:val="none" w:sz="0" w:space="0" w:color="auto"/>
        <w:left w:val="none" w:sz="0" w:space="0" w:color="auto"/>
        <w:bottom w:val="none" w:sz="0" w:space="0" w:color="auto"/>
        <w:right w:val="none" w:sz="0" w:space="0" w:color="auto"/>
      </w:divBdr>
    </w:div>
    <w:div w:id="1533494232">
      <w:bodyDiv w:val="1"/>
      <w:marLeft w:val="0"/>
      <w:marRight w:val="0"/>
      <w:marTop w:val="0"/>
      <w:marBottom w:val="0"/>
      <w:divBdr>
        <w:top w:val="none" w:sz="0" w:space="0" w:color="auto"/>
        <w:left w:val="none" w:sz="0" w:space="0" w:color="auto"/>
        <w:bottom w:val="none" w:sz="0" w:space="0" w:color="auto"/>
        <w:right w:val="none" w:sz="0" w:space="0" w:color="auto"/>
      </w:divBdr>
    </w:div>
    <w:div w:id="1538081752">
      <w:bodyDiv w:val="1"/>
      <w:marLeft w:val="0"/>
      <w:marRight w:val="0"/>
      <w:marTop w:val="0"/>
      <w:marBottom w:val="0"/>
      <w:divBdr>
        <w:top w:val="none" w:sz="0" w:space="0" w:color="auto"/>
        <w:left w:val="none" w:sz="0" w:space="0" w:color="auto"/>
        <w:bottom w:val="none" w:sz="0" w:space="0" w:color="auto"/>
        <w:right w:val="none" w:sz="0" w:space="0" w:color="auto"/>
      </w:divBdr>
    </w:div>
    <w:div w:id="1542936657">
      <w:bodyDiv w:val="1"/>
      <w:marLeft w:val="0"/>
      <w:marRight w:val="0"/>
      <w:marTop w:val="0"/>
      <w:marBottom w:val="0"/>
      <w:divBdr>
        <w:top w:val="none" w:sz="0" w:space="0" w:color="auto"/>
        <w:left w:val="none" w:sz="0" w:space="0" w:color="auto"/>
        <w:bottom w:val="none" w:sz="0" w:space="0" w:color="auto"/>
        <w:right w:val="none" w:sz="0" w:space="0" w:color="auto"/>
      </w:divBdr>
    </w:div>
    <w:div w:id="1558709913">
      <w:bodyDiv w:val="1"/>
      <w:marLeft w:val="0"/>
      <w:marRight w:val="0"/>
      <w:marTop w:val="0"/>
      <w:marBottom w:val="0"/>
      <w:divBdr>
        <w:top w:val="none" w:sz="0" w:space="0" w:color="auto"/>
        <w:left w:val="none" w:sz="0" w:space="0" w:color="auto"/>
        <w:bottom w:val="none" w:sz="0" w:space="0" w:color="auto"/>
        <w:right w:val="none" w:sz="0" w:space="0" w:color="auto"/>
      </w:divBdr>
    </w:div>
    <w:div w:id="1560169522">
      <w:bodyDiv w:val="1"/>
      <w:marLeft w:val="0"/>
      <w:marRight w:val="0"/>
      <w:marTop w:val="0"/>
      <w:marBottom w:val="0"/>
      <w:divBdr>
        <w:top w:val="none" w:sz="0" w:space="0" w:color="auto"/>
        <w:left w:val="none" w:sz="0" w:space="0" w:color="auto"/>
        <w:bottom w:val="none" w:sz="0" w:space="0" w:color="auto"/>
        <w:right w:val="none" w:sz="0" w:space="0" w:color="auto"/>
      </w:divBdr>
    </w:div>
    <w:div w:id="1565140203">
      <w:bodyDiv w:val="1"/>
      <w:marLeft w:val="0"/>
      <w:marRight w:val="0"/>
      <w:marTop w:val="0"/>
      <w:marBottom w:val="0"/>
      <w:divBdr>
        <w:top w:val="none" w:sz="0" w:space="0" w:color="auto"/>
        <w:left w:val="none" w:sz="0" w:space="0" w:color="auto"/>
        <w:bottom w:val="none" w:sz="0" w:space="0" w:color="auto"/>
        <w:right w:val="none" w:sz="0" w:space="0" w:color="auto"/>
      </w:divBdr>
    </w:div>
    <w:div w:id="1565677968">
      <w:bodyDiv w:val="1"/>
      <w:marLeft w:val="0"/>
      <w:marRight w:val="0"/>
      <w:marTop w:val="0"/>
      <w:marBottom w:val="0"/>
      <w:divBdr>
        <w:top w:val="none" w:sz="0" w:space="0" w:color="auto"/>
        <w:left w:val="none" w:sz="0" w:space="0" w:color="auto"/>
        <w:bottom w:val="none" w:sz="0" w:space="0" w:color="auto"/>
        <w:right w:val="none" w:sz="0" w:space="0" w:color="auto"/>
      </w:divBdr>
    </w:div>
    <w:div w:id="1571965047">
      <w:bodyDiv w:val="1"/>
      <w:marLeft w:val="0"/>
      <w:marRight w:val="0"/>
      <w:marTop w:val="0"/>
      <w:marBottom w:val="0"/>
      <w:divBdr>
        <w:top w:val="none" w:sz="0" w:space="0" w:color="auto"/>
        <w:left w:val="none" w:sz="0" w:space="0" w:color="auto"/>
        <w:bottom w:val="none" w:sz="0" w:space="0" w:color="auto"/>
        <w:right w:val="none" w:sz="0" w:space="0" w:color="auto"/>
      </w:divBdr>
    </w:div>
    <w:div w:id="1574857418">
      <w:bodyDiv w:val="1"/>
      <w:marLeft w:val="0"/>
      <w:marRight w:val="0"/>
      <w:marTop w:val="0"/>
      <w:marBottom w:val="0"/>
      <w:divBdr>
        <w:top w:val="none" w:sz="0" w:space="0" w:color="auto"/>
        <w:left w:val="none" w:sz="0" w:space="0" w:color="auto"/>
        <w:bottom w:val="none" w:sz="0" w:space="0" w:color="auto"/>
        <w:right w:val="none" w:sz="0" w:space="0" w:color="auto"/>
      </w:divBdr>
    </w:div>
    <w:div w:id="1576939471">
      <w:bodyDiv w:val="1"/>
      <w:marLeft w:val="0"/>
      <w:marRight w:val="0"/>
      <w:marTop w:val="0"/>
      <w:marBottom w:val="0"/>
      <w:divBdr>
        <w:top w:val="none" w:sz="0" w:space="0" w:color="auto"/>
        <w:left w:val="none" w:sz="0" w:space="0" w:color="auto"/>
        <w:bottom w:val="none" w:sz="0" w:space="0" w:color="auto"/>
        <w:right w:val="none" w:sz="0" w:space="0" w:color="auto"/>
      </w:divBdr>
    </w:div>
    <w:div w:id="1581408717">
      <w:bodyDiv w:val="1"/>
      <w:marLeft w:val="0"/>
      <w:marRight w:val="0"/>
      <w:marTop w:val="0"/>
      <w:marBottom w:val="0"/>
      <w:divBdr>
        <w:top w:val="none" w:sz="0" w:space="0" w:color="auto"/>
        <w:left w:val="none" w:sz="0" w:space="0" w:color="auto"/>
        <w:bottom w:val="none" w:sz="0" w:space="0" w:color="auto"/>
        <w:right w:val="none" w:sz="0" w:space="0" w:color="auto"/>
      </w:divBdr>
    </w:div>
    <w:div w:id="1582181722">
      <w:bodyDiv w:val="1"/>
      <w:marLeft w:val="0"/>
      <w:marRight w:val="0"/>
      <w:marTop w:val="0"/>
      <w:marBottom w:val="0"/>
      <w:divBdr>
        <w:top w:val="none" w:sz="0" w:space="0" w:color="auto"/>
        <w:left w:val="none" w:sz="0" w:space="0" w:color="auto"/>
        <w:bottom w:val="none" w:sz="0" w:space="0" w:color="auto"/>
        <w:right w:val="none" w:sz="0" w:space="0" w:color="auto"/>
      </w:divBdr>
    </w:div>
    <w:div w:id="1584222615">
      <w:bodyDiv w:val="1"/>
      <w:marLeft w:val="0"/>
      <w:marRight w:val="0"/>
      <w:marTop w:val="0"/>
      <w:marBottom w:val="0"/>
      <w:divBdr>
        <w:top w:val="none" w:sz="0" w:space="0" w:color="auto"/>
        <w:left w:val="none" w:sz="0" w:space="0" w:color="auto"/>
        <w:bottom w:val="none" w:sz="0" w:space="0" w:color="auto"/>
        <w:right w:val="none" w:sz="0" w:space="0" w:color="auto"/>
      </w:divBdr>
    </w:div>
    <w:div w:id="1588811124">
      <w:bodyDiv w:val="1"/>
      <w:marLeft w:val="0"/>
      <w:marRight w:val="0"/>
      <w:marTop w:val="0"/>
      <w:marBottom w:val="0"/>
      <w:divBdr>
        <w:top w:val="none" w:sz="0" w:space="0" w:color="auto"/>
        <w:left w:val="none" w:sz="0" w:space="0" w:color="auto"/>
        <w:bottom w:val="none" w:sz="0" w:space="0" w:color="auto"/>
        <w:right w:val="none" w:sz="0" w:space="0" w:color="auto"/>
      </w:divBdr>
    </w:div>
    <w:div w:id="1592815162">
      <w:bodyDiv w:val="1"/>
      <w:marLeft w:val="0"/>
      <w:marRight w:val="0"/>
      <w:marTop w:val="0"/>
      <w:marBottom w:val="0"/>
      <w:divBdr>
        <w:top w:val="none" w:sz="0" w:space="0" w:color="auto"/>
        <w:left w:val="none" w:sz="0" w:space="0" w:color="auto"/>
        <w:bottom w:val="none" w:sz="0" w:space="0" w:color="auto"/>
        <w:right w:val="none" w:sz="0" w:space="0" w:color="auto"/>
      </w:divBdr>
    </w:div>
    <w:div w:id="1601335351">
      <w:bodyDiv w:val="1"/>
      <w:marLeft w:val="0"/>
      <w:marRight w:val="0"/>
      <w:marTop w:val="0"/>
      <w:marBottom w:val="0"/>
      <w:divBdr>
        <w:top w:val="none" w:sz="0" w:space="0" w:color="auto"/>
        <w:left w:val="none" w:sz="0" w:space="0" w:color="auto"/>
        <w:bottom w:val="none" w:sz="0" w:space="0" w:color="auto"/>
        <w:right w:val="none" w:sz="0" w:space="0" w:color="auto"/>
      </w:divBdr>
    </w:div>
    <w:div w:id="1607276820">
      <w:bodyDiv w:val="1"/>
      <w:marLeft w:val="0"/>
      <w:marRight w:val="0"/>
      <w:marTop w:val="0"/>
      <w:marBottom w:val="0"/>
      <w:divBdr>
        <w:top w:val="none" w:sz="0" w:space="0" w:color="auto"/>
        <w:left w:val="none" w:sz="0" w:space="0" w:color="auto"/>
        <w:bottom w:val="none" w:sz="0" w:space="0" w:color="auto"/>
        <w:right w:val="none" w:sz="0" w:space="0" w:color="auto"/>
      </w:divBdr>
    </w:div>
    <w:div w:id="1616865142">
      <w:bodyDiv w:val="1"/>
      <w:marLeft w:val="0"/>
      <w:marRight w:val="0"/>
      <w:marTop w:val="0"/>
      <w:marBottom w:val="0"/>
      <w:divBdr>
        <w:top w:val="none" w:sz="0" w:space="0" w:color="auto"/>
        <w:left w:val="none" w:sz="0" w:space="0" w:color="auto"/>
        <w:bottom w:val="none" w:sz="0" w:space="0" w:color="auto"/>
        <w:right w:val="none" w:sz="0" w:space="0" w:color="auto"/>
      </w:divBdr>
    </w:div>
    <w:div w:id="1626079671">
      <w:bodyDiv w:val="1"/>
      <w:marLeft w:val="0"/>
      <w:marRight w:val="0"/>
      <w:marTop w:val="0"/>
      <w:marBottom w:val="0"/>
      <w:divBdr>
        <w:top w:val="none" w:sz="0" w:space="0" w:color="auto"/>
        <w:left w:val="none" w:sz="0" w:space="0" w:color="auto"/>
        <w:bottom w:val="none" w:sz="0" w:space="0" w:color="auto"/>
        <w:right w:val="none" w:sz="0" w:space="0" w:color="auto"/>
      </w:divBdr>
    </w:div>
    <w:div w:id="1626423881">
      <w:bodyDiv w:val="1"/>
      <w:marLeft w:val="0"/>
      <w:marRight w:val="0"/>
      <w:marTop w:val="0"/>
      <w:marBottom w:val="0"/>
      <w:divBdr>
        <w:top w:val="none" w:sz="0" w:space="0" w:color="auto"/>
        <w:left w:val="none" w:sz="0" w:space="0" w:color="auto"/>
        <w:bottom w:val="none" w:sz="0" w:space="0" w:color="auto"/>
        <w:right w:val="none" w:sz="0" w:space="0" w:color="auto"/>
      </w:divBdr>
    </w:div>
    <w:div w:id="1632898880">
      <w:bodyDiv w:val="1"/>
      <w:marLeft w:val="0"/>
      <w:marRight w:val="0"/>
      <w:marTop w:val="0"/>
      <w:marBottom w:val="0"/>
      <w:divBdr>
        <w:top w:val="none" w:sz="0" w:space="0" w:color="auto"/>
        <w:left w:val="none" w:sz="0" w:space="0" w:color="auto"/>
        <w:bottom w:val="none" w:sz="0" w:space="0" w:color="auto"/>
        <w:right w:val="none" w:sz="0" w:space="0" w:color="auto"/>
      </w:divBdr>
    </w:div>
    <w:div w:id="1634217366">
      <w:bodyDiv w:val="1"/>
      <w:marLeft w:val="0"/>
      <w:marRight w:val="0"/>
      <w:marTop w:val="0"/>
      <w:marBottom w:val="0"/>
      <w:divBdr>
        <w:top w:val="none" w:sz="0" w:space="0" w:color="auto"/>
        <w:left w:val="none" w:sz="0" w:space="0" w:color="auto"/>
        <w:bottom w:val="none" w:sz="0" w:space="0" w:color="auto"/>
        <w:right w:val="none" w:sz="0" w:space="0" w:color="auto"/>
      </w:divBdr>
    </w:div>
    <w:div w:id="1639610170">
      <w:bodyDiv w:val="1"/>
      <w:marLeft w:val="0"/>
      <w:marRight w:val="0"/>
      <w:marTop w:val="0"/>
      <w:marBottom w:val="0"/>
      <w:divBdr>
        <w:top w:val="none" w:sz="0" w:space="0" w:color="auto"/>
        <w:left w:val="none" w:sz="0" w:space="0" w:color="auto"/>
        <w:bottom w:val="none" w:sz="0" w:space="0" w:color="auto"/>
        <w:right w:val="none" w:sz="0" w:space="0" w:color="auto"/>
      </w:divBdr>
    </w:div>
    <w:div w:id="1641763685">
      <w:bodyDiv w:val="1"/>
      <w:marLeft w:val="0"/>
      <w:marRight w:val="0"/>
      <w:marTop w:val="0"/>
      <w:marBottom w:val="0"/>
      <w:divBdr>
        <w:top w:val="none" w:sz="0" w:space="0" w:color="auto"/>
        <w:left w:val="none" w:sz="0" w:space="0" w:color="auto"/>
        <w:bottom w:val="none" w:sz="0" w:space="0" w:color="auto"/>
        <w:right w:val="none" w:sz="0" w:space="0" w:color="auto"/>
      </w:divBdr>
    </w:div>
    <w:div w:id="1645042412">
      <w:bodyDiv w:val="1"/>
      <w:marLeft w:val="0"/>
      <w:marRight w:val="0"/>
      <w:marTop w:val="0"/>
      <w:marBottom w:val="0"/>
      <w:divBdr>
        <w:top w:val="none" w:sz="0" w:space="0" w:color="auto"/>
        <w:left w:val="none" w:sz="0" w:space="0" w:color="auto"/>
        <w:bottom w:val="none" w:sz="0" w:space="0" w:color="auto"/>
        <w:right w:val="none" w:sz="0" w:space="0" w:color="auto"/>
      </w:divBdr>
    </w:div>
    <w:div w:id="1646084484">
      <w:bodyDiv w:val="1"/>
      <w:marLeft w:val="0"/>
      <w:marRight w:val="0"/>
      <w:marTop w:val="0"/>
      <w:marBottom w:val="0"/>
      <w:divBdr>
        <w:top w:val="none" w:sz="0" w:space="0" w:color="auto"/>
        <w:left w:val="none" w:sz="0" w:space="0" w:color="auto"/>
        <w:bottom w:val="none" w:sz="0" w:space="0" w:color="auto"/>
        <w:right w:val="none" w:sz="0" w:space="0" w:color="auto"/>
      </w:divBdr>
    </w:div>
    <w:div w:id="1650789672">
      <w:bodyDiv w:val="1"/>
      <w:marLeft w:val="0"/>
      <w:marRight w:val="0"/>
      <w:marTop w:val="0"/>
      <w:marBottom w:val="0"/>
      <w:divBdr>
        <w:top w:val="none" w:sz="0" w:space="0" w:color="auto"/>
        <w:left w:val="none" w:sz="0" w:space="0" w:color="auto"/>
        <w:bottom w:val="none" w:sz="0" w:space="0" w:color="auto"/>
        <w:right w:val="none" w:sz="0" w:space="0" w:color="auto"/>
      </w:divBdr>
    </w:div>
    <w:div w:id="1653676359">
      <w:bodyDiv w:val="1"/>
      <w:marLeft w:val="0"/>
      <w:marRight w:val="0"/>
      <w:marTop w:val="0"/>
      <w:marBottom w:val="0"/>
      <w:divBdr>
        <w:top w:val="none" w:sz="0" w:space="0" w:color="auto"/>
        <w:left w:val="none" w:sz="0" w:space="0" w:color="auto"/>
        <w:bottom w:val="none" w:sz="0" w:space="0" w:color="auto"/>
        <w:right w:val="none" w:sz="0" w:space="0" w:color="auto"/>
      </w:divBdr>
    </w:div>
    <w:div w:id="1659841455">
      <w:bodyDiv w:val="1"/>
      <w:marLeft w:val="0"/>
      <w:marRight w:val="0"/>
      <w:marTop w:val="0"/>
      <w:marBottom w:val="0"/>
      <w:divBdr>
        <w:top w:val="none" w:sz="0" w:space="0" w:color="auto"/>
        <w:left w:val="none" w:sz="0" w:space="0" w:color="auto"/>
        <w:bottom w:val="none" w:sz="0" w:space="0" w:color="auto"/>
        <w:right w:val="none" w:sz="0" w:space="0" w:color="auto"/>
      </w:divBdr>
    </w:div>
    <w:div w:id="1660426144">
      <w:bodyDiv w:val="1"/>
      <w:marLeft w:val="0"/>
      <w:marRight w:val="0"/>
      <w:marTop w:val="0"/>
      <w:marBottom w:val="0"/>
      <w:divBdr>
        <w:top w:val="none" w:sz="0" w:space="0" w:color="auto"/>
        <w:left w:val="none" w:sz="0" w:space="0" w:color="auto"/>
        <w:bottom w:val="none" w:sz="0" w:space="0" w:color="auto"/>
        <w:right w:val="none" w:sz="0" w:space="0" w:color="auto"/>
      </w:divBdr>
    </w:div>
    <w:div w:id="1666127538">
      <w:bodyDiv w:val="1"/>
      <w:marLeft w:val="0"/>
      <w:marRight w:val="0"/>
      <w:marTop w:val="0"/>
      <w:marBottom w:val="0"/>
      <w:divBdr>
        <w:top w:val="none" w:sz="0" w:space="0" w:color="auto"/>
        <w:left w:val="none" w:sz="0" w:space="0" w:color="auto"/>
        <w:bottom w:val="none" w:sz="0" w:space="0" w:color="auto"/>
        <w:right w:val="none" w:sz="0" w:space="0" w:color="auto"/>
      </w:divBdr>
    </w:div>
    <w:div w:id="1667591624">
      <w:bodyDiv w:val="1"/>
      <w:marLeft w:val="0"/>
      <w:marRight w:val="0"/>
      <w:marTop w:val="0"/>
      <w:marBottom w:val="0"/>
      <w:divBdr>
        <w:top w:val="none" w:sz="0" w:space="0" w:color="auto"/>
        <w:left w:val="none" w:sz="0" w:space="0" w:color="auto"/>
        <w:bottom w:val="none" w:sz="0" w:space="0" w:color="auto"/>
        <w:right w:val="none" w:sz="0" w:space="0" w:color="auto"/>
      </w:divBdr>
    </w:div>
    <w:div w:id="1669409319">
      <w:bodyDiv w:val="1"/>
      <w:marLeft w:val="0"/>
      <w:marRight w:val="0"/>
      <w:marTop w:val="0"/>
      <w:marBottom w:val="0"/>
      <w:divBdr>
        <w:top w:val="none" w:sz="0" w:space="0" w:color="auto"/>
        <w:left w:val="none" w:sz="0" w:space="0" w:color="auto"/>
        <w:bottom w:val="none" w:sz="0" w:space="0" w:color="auto"/>
        <w:right w:val="none" w:sz="0" w:space="0" w:color="auto"/>
      </w:divBdr>
    </w:div>
    <w:div w:id="1697073342">
      <w:bodyDiv w:val="1"/>
      <w:marLeft w:val="0"/>
      <w:marRight w:val="0"/>
      <w:marTop w:val="0"/>
      <w:marBottom w:val="0"/>
      <w:divBdr>
        <w:top w:val="none" w:sz="0" w:space="0" w:color="auto"/>
        <w:left w:val="none" w:sz="0" w:space="0" w:color="auto"/>
        <w:bottom w:val="none" w:sz="0" w:space="0" w:color="auto"/>
        <w:right w:val="none" w:sz="0" w:space="0" w:color="auto"/>
      </w:divBdr>
    </w:div>
    <w:div w:id="1699620749">
      <w:bodyDiv w:val="1"/>
      <w:marLeft w:val="0"/>
      <w:marRight w:val="0"/>
      <w:marTop w:val="0"/>
      <w:marBottom w:val="0"/>
      <w:divBdr>
        <w:top w:val="none" w:sz="0" w:space="0" w:color="auto"/>
        <w:left w:val="none" w:sz="0" w:space="0" w:color="auto"/>
        <w:bottom w:val="none" w:sz="0" w:space="0" w:color="auto"/>
        <w:right w:val="none" w:sz="0" w:space="0" w:color="auto"/>
      </w:divBdr>
    </w:div>
    <w:div w:id="1705057975">
      <w:bodyDiv w:val="1"/>
      <w:marLeft w:val="0"/>
      <w:marRight w:val="0"/>
      <w:marTop w:val="0"/>
      <w:marBottom w:val="0"/>
      <w:divBdr>
        <w:top w:val="none" w:sz="0" w:space="0" w:color="auto"/>
        <w:left w:val="none" w:sz="0" w:space="0" w:color="auto"/>
        <w:bottom w:val="none" w:sz="0" w:space="0" w:color="auto"/>
        <w:right w:val="none" w:sz="0" w:space="0" w:color="auto"/>
      </w:divBdr>
    </w:div>
    <w:div w:id="1712723069">
      <w:bodyDiv w:val="1"/>
      <w:marLeft w:val="0"/>
      <w:marRight w:val="0"/>
      <w:marTop w:val="0"/>
      <w:marBottom w:val="0"/>
      <w:divBdr>
        <w:top w:val="none" w:sz="0" w:space="0" w:color="auto"/>
        <w:left w:val="none" w:sz="0" w:space="0" w:color="auto"/>
        <w:bottom w:val="none" w:sz="0" w:space="0" w:color="auto"/>
        <w:right w:val="none" w:sz="0" w:space="0" w:color="auto"/>
      </w:divBdr>
    </w:div>
    <w:div w:id="1717464422">
      <w:bodyDiv w:val="1"/>
      <w:marLeft w:val="0"/>
      <w:marRight w:val="0"/>
      <w:marTop w:val="0"/>
      <w:marBottom w:val="0"/>
      <w:divBdr>
        <w:top w:val="none" w:sz="0" w:space="0" w:color="auto"/>
        <w:left w:val="none" w:sz="0" w:space="0" w:color="auto"/>
        <w:bottom w:val="none" w:sz="0" w:space="0" w:color="auto"/>
        <w:right w:val="none" w:sz="0" w:space="0" w:color="auto"/>
      </w:divBdr>
    </w:div>
    <w:div w:id="1726368889">
      <w:bodyDiv w:val="1"/>
      <w:marLeft w:val="0"/>
      <w:marRight w:val="0"/>
      <w:marTop w:val="0"/>
      <w:marBottom w:val="0"/>
      <w:divBdr>
        <w:top w:val="none" w:sz="0" w:space="0" w:color="auto"/>
        <w:left w:val="none" w:sz="0" w:space="0" w:color="auto"/>
        <w:bottom w:val="none" w:sz="0" w:space="0" w:color="auto"/>
        <w:right w:val="none" w:sz="0" w:space="0" w:color="auto"/>
      </w:divBdr>
    </w:div>
    <w:div w:id="1726565519">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3385299">
      <w:bodyDiv w:val="1"/>
      <w:marLeft w:val="0"/>
      <w:marRight w:val="0"/>
      <w:marTop w:val="0"/>
      <w:marBottom w:val="0"/>
      <w:divBdr>
        <w:top w:val="none" w:sz="0" w:space="0" w:color="auto"/>
        <w:left w:val="none" w:sz="0" w:space="0" w:color="auto"/>
        <w:bottom w:val="none" w:sz="0" w:space="0" w:color="auto"/>
        <w:right w:val="none" w:sz="0" w:space="0" w:color="auto"/>
      </w:divBdr>
    </w:div>
    <w:div w:id="1753624062">
      <w:bodyDiv w:val="1"/>
      <w:marLeft w:val="0"/>
      <w:marRight w:val="0"/>
      <w:marTop w:val="0"/>
      <w:marBottom w:val="0"/>
      <w:divBdr>
        <w:top w:val="none" w:sz="0" w:space="0" w:color="auto"/>
        <w:left w:val="none" w:sz="0" w:space="0" w:color="auto"/>
        <w:bottom w:val="none" w:sz="0" w:space="0" w:color="auto"/>
        <w:right w:val="none" w:sz="0" w:space="0" w:color="auto"/>
      </w:divBdr>
    </w:div>
    <w:div w:id="1768117679">
      <w:bodyDiv w:val="1"/>
      <w:marLeft w:val="0"/>
      <w:marRight w:val="0"/>
      <w:marTop w:val="0"/>
      <w:marBottom w:val="0"/>
      <w:divBdr>
        <w:top w:val="none" w:sz="0" w:space="0" w:color="auto"/>
        <w:left w:val="none" w:sz="0" w:space="0" w:color="auto"/>
        <w:bottom w:val="none" w:sz="0" w:space="0" w:color="auto"/>
        <w:right w:val="none" w:sz="0" w:space="0" w:color="auto"/>
      </w:divBdr>
    </w:div>
    <w:div w:id="1769690514">
      <w:bodyDiv w:val="1"/>
      <w:marLeft w:val="0"/>
      <w:marRight w:val="0"/>
      <w:marTop w:val="0"/>
      <w:marBottom w:val="0"/>
      <w:divBdr>
        <w:top w:val="none" w:sz="0" w:space="0" w:color="auto"/>
        <w:left w:val="none" w:sz="0" w:space="0" w:color="auto"/>
        <w:bottom w:val="none" w:sz="0" w:space="0" w:color="auto"/>
        <w:right w:val="none" w:sz="0" w:space="0" w:color="auto"/>
      </w:divBdr>
    </w:div>
    <w:div w:id="1770930838">
      <w:bodyDiv w:val="1"/>
      <w:marLeft w:val="0"/>
      <w:marRight w:val="0"/>
      <w:marTop w:val="0"/>
      <w:marBottom w:val="0"/>
      <w:divBdr>
        <w:top w:val="none" w:sz="0" w:space="0" w:color="auto"/>
        <w:left w:val="none" w:sz="0" w:space="0" w:color="auto"/>
        <w:bottom w:val="none" w:sz="0" w:space="0" w:color="auto"/>
        <w:right w:val="none" w:sz="0" w:space="0" w:color="auto"/>
      </w:divBdr>
    </w:div>
    <w:div w:id="1830749554">
      <w:bodyDiv w:val="1"/>
      <w:marLeft w:val="0"/>
      <w:marRight w:val="0"/>
      <w:marTop w:val="0"/>
      <w:marBottom w:val="0"/>
      <w:divBdr>
        <w:top w:val="none" w:sz="0" w:space="0" w:color="auto"/>
        <w:left w:val="none" w:sz="0" w:space="0" w:color="auto"/>
        <w:bottom w:val="none" w:sz="0" w:space="0" w:color="auto"/>
        <w:right w:val="none" w:sz="0" w:space="0" w:color="auto"/>
      </w:divBdr>
    </w:div>
    <w:div w:id="1839803867">
      <w:bodyDiv w:val="1"/>
      <w:marLeft w:val="0"/>
      <w:marRight w:val="0"/>
      <w:marTop w:val="0"/>
      <w:marBottom w:val="0"/>
      <w:divBdr>
        <w:top w:val="none" w:sz="0" w:space="0" w:color="auto"/>
        <w:left w:val="none" w:sz="0" w:space="0" w:color="auto"/>
        <w:bottom w:val="none" w:sz="0" w:space="0" w:color="auto"/>
        <w:right w:val="none" w:sz="0" w:space="0" w:color="auto"/>
      </w:divBdr>
    </w:div>
    <w:div w:id="1843084658">
      <w:bodyDiv w:val="1"/>
      <w:marLeft w:val="0"/>
      <w:marRight w:val="0"/>
      <w:marTop w:val="0"/>
      <w:marBottom w:val="0"/>
      <w:divBdr>
        <w:top w:val="none" w:sz="0" w:space="0" w:color="auto"/>
        <w:left w:val="none" w:sz="0" w:space="0" w:color="auto"/>
        <w:bottom w:val="none" w:sz="0" w:space="0" w:color="auto"/>
        <w:right w:val="none" w:sz="0" w:space="0" w:color="auto"/>
      </w:divBdr>
    </w:div>
    <w:div w:id="1854342108">
      <w:bodyDiv w:val="1"/>
      <w:marLeft w:val="0"/>
      <w:marRight w:val="0"/>
      <w:marTop w:val="0"/>
      <w:marBottom w:val="0"/>
      <w:divBdr>
        <w:top w:val="none" w:sz="0" w:space="0" w:color="auto"/>
        <w:left w:val="none" w:sz="0" w:space="0" w:color="auto"/>
        <w:bottom w:val="none" w:sz="0" w:space="0" w:color="auto"/>
        <w:right w:val="none" w:sz="0" w:space="0" w:color="auto"/>
      </w:divBdr>
    </w:div>
    <w:div w:id="1855531652">
      <w:bodyDiv w:val="1"/>
      <w:marLeft w:val="0"/>
      <w:marRight w:val="0"/>
      <w:marTop w:val="0"/>
      <w:marBottom w:val="0"/>
      <w:divBdr>
        <w:top w:val="none" w:sz="0" w:space="0" w:color="auto"/>
        <w:left w:val="none" w:sz="0" w:space="0" w:color="auto"/>
        <w:bottom w:val="none" w:sz="0" w:space="0" w:color="auto"/>
        <w:right w:val="none" w:sz="0" w:space="0" w:color="auto"/>
      </w:divBdr>
    </w:div>
    <w:div w:id="1864241153">
      <w:bodyDiv w:val="1"/>
      <w:marLeft w:val="0"/>
      <w:marRight w:val="0"/>
      <w:marTop w:val="0"/>
      <w:marBottom w:val="0"/>
      <w:divBdr>
        <w:top w:val="none" w:sz="0" w:space="0" w:color="auto"/>
        <w:left w:val="none" w:sz="0" w:space="0" w:color="auto"/>
        <w:bottom w:val="none" w:sz="0" w:space="0" w:color="auto"/>
        <w:right w:val="none" w:sz="0" w:space="0" w:color="auto"/>
      </w:divBdr>
    </w:div>
    <w:div w:id="1868563906">
      <w:bodyDiv w:val="1"/>
      <w:marLeft w:val="0"/>
      <w:marRight w:val="0"/>
      <w:marTop w:val="0"/>
      <w:marBottom w:val="0"/>
      <w:divBdr>
        <w:top w:val="none" w:sz="0" w:space="0" w:color="auto"/>
        <w:left w:val="none" w:sz="0" w:space="0" w:color="auto"/>
        <w:bottom w:val="none" w:sz="0" w:space="0" w:color="auto"/>
        <w:right w:val="none" w:sz="0" w:space="0" w:color="auto"/>
      </w:divBdr>
    </w:div>
    <w:div w:id="1872647593">
      <w:bodyDiv w:val="1"/>
      <w:marLeft w:val="0"/>
      <w:marRight w:val="0"/>
      <w:marTop w:val="0"/>
      <w:marBottom w:val="0"/>
      <w:divBdr>
        <w:top w:val="none" w:sz="0" w:space="0" w:color="auto"/>
        <w:left w:val="none" w:sz="0" w:space="0" w:color="auto"/>
        <w:bottom w:val="none" w:sz="0" w:space="0" w:color="auto"/>
        <w:right w:val="none" w:sz="0" w:space="0" w:color="auto"/>
      </w:divBdr>
    </w:div>
    <w:div w:id="1875263211">
      <w:bodyDiv w:val="1"/>
      <w:marLeft w:val="0"/>
      <w:marRight w:val="0"/>
      <w:marTop w:val="0"/>
      <w:marBottom w:val="0"/>
      <w:divBdr>
        <w:top w:val="none" w:sz="0" w:space="0" w:color="auto"/>
        <w:left w:val="none" w:sz="0" w:space="0" w:color="auto"/>
        <w:bottom w:val="none" w:sz="0" w:space="0" w:color="auto"/>
        <w:right w:val="none" w:sz="0" w:space="0" w:color="auto"/>
      </w:divBdr>
    </w:div>
    <w:div w:id="1886021152">
      <w:bodyDiv w:val="1"/>
      <w:marLeft w:val="0"/>
      <w:marRight w:val="0"/>
      <w:marTop w:val="0"/>
      <w:marBottom w:val="0"/>
      <w:divBdr>
        <w:top w:val="none" w:sz="0" w:space="0" w:color="auto"/>
        <w:left w:val="none" w:sz="0" w:space="0" w:color="auto"/>
        <w:bottom w:val="none" w:sz="0" w:space="0" w:color="auto"/>
        <w:right w:val="none" w:sz="0" w:space="0" w:color="auto"/>
      </w:divBdr>
    </w:div>
    <w:div w:id="1892375761">
      <w:bodyDiv w:val="1"/>
      <w:marLeft w:val="0"/>
      <w:marRight w:val="0"/>
      <w:marTop w:val="0"/>
      <w:marBottom w:val="0"/>
      <w:divBdr>
        <w:top w:val="none" w:sz="0" w:space="0" w:color="auto"/>
        <w:left w:val="none" w:sz="0" w:space="0" w:color="auto"/>
        <w:bottom w:val="none" w:sz="0" w:space="0" w:color="auto"/>
        <w:right w:val="none" w:sz="0" w:space="0" w:color="auto"/>
      </w:divBdr>
    </w:div>
    <w:div w:id="1892501485">
      <w:bodyDiv w:val="1"/>
      <w:marLeft w:val="0"/>
      <w:marRight w:val="0"/>
      <w:marTop w:val="0"/>
      <w:marBottom w:val="0"/>
      <w:divBdr>
        <w:top w:val="none" w:sz="0" w:space="0" w:color="auto"/>
        <w:left w:val="none" w:sz="0" w:space="0" w:color="auto"/>
        <w:bottom w:val="none" w:sz="0" w:space="0" w:color="auto"/>
        <w:right w:val="none" w:sz="0" w:space="0" w:color="auto"/>
      </w:divBdr>
    </w:div>
    <w:div w:id="1894808041">
      <w:bodyDiv w:val="1"/>
      <w:marLeft w:val="0"/>
      <w:marRight w:val="0"/>
      <w:marTop w:val="0"/>
      <w:marBottom w:val="0"/>
      <w:divBdr>
        <w:top w:val="none" w:sz="0" w:space="0" w:color="auto"/>
        <w:left w:val="none" w:sz="0" w:space="0" w:color="auto"/>
        <w:bottom w:val="none" w:sz="0" w:space="0" w:color="auto"/>
        <w:right w:val="none" w:sz="0" w:space="0" w:color="auto"/>
      </w:divBdr>
    </w:div>
    <w:div w:id="1898318648">
      <w:bodyDiv w:val="1"/>
      <w:marLeft w:val="0"/>
      <w:marRight w:val="0"/>
      <w:marTop w:val="0"/>
      <w:marBottom w:val="0"/>
      <w:divBdr>
        <w:top w:val="none" w:sz="0" w:space="0" w:color="auto"/>
        <w:left w:val="none" w:sz="0" w:space="0" w:color="auto"/>
        <w:bottom w:val="none" w:sz="0" w:space="0" w:color="auto"/>
        <w:right w:val="none" w:sz="0" w:space="0" w:color="auto"/>
      </w:divBdr>
    </w:div>
    <w:div w:id="1927109265">
      <w:bodyDiv w:val="1"/>
      <w:marLeft w:val="0"/>
      <w:marRight w:val="0"/>
      <w:marTop w:val="0"/>
      <w:marBottom w:val="0"/>
      <w:divBdr>
        <w:top w:val="none" w:sz="0" w:space="0" w:color="auto"/>
        <w:left w:val="none" w:sz="0" w:space="0" w:color="auto"/>
        <w:bottom w:val="none" w:sz="0" w:space="0" w:color="auto"/>
        <w:right w:val="none" w:sz="0" w:space="0" w:color="auto"/>
      </w:divBdr>
    </w:div>
    <w:div w:id="1927491261">
      <w:bodyDiv w:val="1"/>
      <w:marLeft w:val="0"/>
      <w:marRight w:val="0"/>
      <w:marTop w:val="0"/>
      <w:marBottom w:val="0"/>
      <w:divBdr>
        <w:top w:val="none" w:sz="0" w:space="0" w:color="auto"/>
        <w:left w:val="none" w:sz="0" w:space="0" w:color="auto"/>
        <w:bottom w:val="none" w:sz="0" w:space="0" w:color="auto"/>
        <w:right w:val="none" w:sz="0" w:space="0" w:color="auto"/>
      </w:divBdr>
    </w:div>
    <w:div w:id="1934631524">
      <w:bodyDiv w:val="1"/>
      <w:marLeft w:val="0"/>
      <w:marRight w:val="0"/>
      <w:marTop w:val="0"/>
      <w:marBottom w:val="0"/>
      <w:divBdr>
        <w:top w:val="none" w:sz="0" w:space="0" w:color="auto"/>
        <w:left w:val="none" w:sz="0" w:space="0" w:color="auto"/>
        <w:bottom w:val="none" w:sz="0" w:space="0" w:color="auto"/>
        <w:right w:val="none" w:sz="0" w:space="0" w:color="auto"/>
      </w:divBdr>
    </w:div>
    <w:div w:id="1936670752">
      <w:bodyDiv w:val="1"/>
      <w:marLeft w:val="0"/>
      <w:marRight w:val="0"/>
      <w:marTop w:val="0"/>
      <w:marBottom w:val="0"/>
      <w:divBdr>
        <w:top w:val="none" w:sz="0" w:space="0" w:color="auto"/>
        <w:left w:val="none" w:sz="0" w:space="0" w:color="auto"/>
        <w:bottom w:val="none" w:sz="0" w:space="0" w:color="auto"/>
        <w:right w:val="none" w:sz="0" w:space="0" w:color="auto"/>
      </w:divBdr>
    </w:div>
    <w:div w:id="1944726258">
      <w:bodyDiv w:val="1"/>
      <w:marLeft w:val="0"/>
      <w:marRight w:val="0"/>
      <w:marTop w:val="0"/>
      <w:marBottom w:val="0"/>
      <w:divBdr>
        <w:top w:val="none" w:sz="0" w:space="0" w:color="auto"/>
        <w:left w:val="none" w:sz="0" w:space="0" w:color="auto"/>
        <w:bottom w:val="none" w:sz="0" w:space="0" w:color="auto"/>
        <w:right w:val="none" w:sz="0" w:space="0" w:color="auto"/>
      </w:divBdr>
    </w:div>
    <w:div w:id="1946887887">
      <w:bodyDiv w:val="1"/>
      <w:marLeft w:val="0"/>
      <w:marRight w:val="0"/>
      <w:marTop w:val="0"/>
      <w:marBottom w:val="0"/>
      <w:divBdr>
        <w:top w:val="none" w:sz="0" w:space="0" w:color="auto"/>
        <w:left w:val="none" w:sz="0" w:space="0" w:color="auto"/>
        <w:bottom w:val="none" w:sz="0" w:space="0" w:color="auto"/>
        <w:right w:val="none" w:sz="0" w:space="0" w:color="auto"/>
      </w:divBdr>
    </w:div>
    <w:div w:id="1973289907">
      <w:bodyDiv w:val="1"/>
      <w:marLeft w:val="0"/>
      <w:marRight w:val="0"/>
      <w:marTop w:val="0"/>
      <w:marBottom w:val="0"/>
      <w:divBdr>
        <w:top w:val="none" w:sz="0" w:space="0" w:color="auto"/>
        <w:left w:val="none" w:sz="0" w:space="0" w:color="auto"/>
        <w:bottom w:val="none" w:sz="0" w:space="0" w:color="auto"/>
        <w:right w:val="none" w:sz="0" w:space="0" w:color="auto"/>
      </w:divBdr>
    </w:div>
    <w:div w:id="1983460373">
      <w:bodyDiv w:val="1"/>
      <w:marLeft w:val="0"/>
      <w:marRight w:val="0"/>
      <w:marTop w:val="0"/>
      <w:marBottom w:val="0"/>
      <w:divBdr>
        <w:top w:val="none" w:sz="0" w:space="0" w:color="auto"/>
        <w:left w:val="none" w:sz="0" w:space="0" w:color="auto"/>
        <w:bottom w:val="none" w:sz="0" w:space="0" w:color="auto"/>
        <w:right w:val="none" w:sz="0" w:space="0" w:color="auto"/>
      </w:divBdr>
    </w:div>
    <w:div w:id="1988362485">
      <w:bodyDiv w:val="1"/>
      <w:marLeft w:val="0"/>
      <w:marRight w:val="0"/>
      <w:marTop w:val="0"/>
      <w:marBottom w:val="0"/>
      <w:divBdr>
        <w:top w:val="none" w:sz="0" w:space="0" w:color="auto"/>
        <w:left w:val="none" w:sz="0" w:space="0" w:color="auto"/>
        <w:bottom w:val="none" w:sz="0" w:space="0" w:color="auto"/>
        <w:right w:val="none" w:sz="0" w:space="0" w:color="auto"/>
      </w:divBdr>
    </w:div>
    <w:div w:id="1991522570">
      <w:bodyDiv w:val="1"/>
      <w:marLeft w:val="0"/>
      <w:marRight w:val="0"/>
      <w:marTop w:val="0"/>
      <w:marBottom w:val="0"/>
      <w:divBdr>
        <w:top w:val="none" w:sz="0" w:space="0" w:color="auto"/>
        <w:left w:val="none" w:sz="0" w:space="0" w:color="auto"/>
        <w:bottom w:val="none" w:sz="0" w:space="0" w:color="auto"/>
        <w:right w:val="none" w:sz="0" w:space="0" w:color="auto"/>
      </w:divBdr>
    </w:div>
    <w:div w:id="1992833544">
      <w:bodyDiv w:val="1"/>
      <w:marLeft w:val="0"/>
      <w:marRight w:val="0"/>
      <w:marTop w:val="0"/>
      <w:marBottom w:val="0"/>
      <w:divBdr>
        <w:top w:val="none" w:sz="0" w:space="0" w:color="auto"/>
        <w:left w:val="none" w:sz="0" w:space="0" w:color="auto"/>
        <w:bottom w:val="none" w:sz="0" w:space="0" w:color="auto"/>
        <w:right w:val="none" w:sz="0" w:space="0" w:color="auto"/>
      </w:divBdr>
    </w:div>
    <w:div w:id="1992976927">
      <w:bodyDiv w:val="1"/>
      <w:marLeft w:val="0"/>
      <w:marRight w:val="0"/>
      <w:marTop w:val="0"/>
      <w:marBottom w:val="0"/>
      <w:divBdr>
        <w:top w:val="none" w:sz="0" w:space="0" w:color="auto"/>
        <w:left w:val="none" w:sz="0" w:space="0" w:color="auto"/>
        <w:bottom w:val="none" w:sz="0" w:space="0" w:color="auto"/>
        <w:right w:val="none" w:sz="0" w:space="0" w:color="auto"/>
      </w:divBdr>
    </w:div>
    <w:div w:id="1999729778">
      <w:bodyDiv w:val="1"/>
      <w:marLeft w:val="0"/>
      <w:marRight w:val="0"/>
      <w:marTop w:val="0"/>
      <w:marBottom w:val="0"/>
      <w:divBdr>
        <w:top w:val="none" w:sz="0" w:space="0" w:color="auto"/>
        <w:left w:val="none" w:sz="0" w:space="0" w:color="auto"/>
        <w:bottom w:val="none" w:sz="0" w:space="0" w:color="auto"/>
        <w:right w:val="none" w:sz="0" w:space="0" w:color="auto"/>
      </w:divBdr>
    </w:div>
    <w:div w:id="2001804937">
      <w:bodyDiv w:val="1"/>
      <w:marLeft w:val="0"/>
      <w:marRight w:val="0"/>
      <w:marTop w:val="0"/>
      <w:marBottom w:val="0"/>
      <w:divBdr>
        <w:top w:val="none" w:sz="0" w:space="0" w:color="auto"/>
        <w:left w:val="none" w:sz="0" w:space="0" w:color="auto"/>
        <w:bottom w:val="none" w:sz="0" w:space="0" w:color="auto"/>
        <w:right w:val="none" w:sz="0" w:space="0" w:color="auto"/>
      </w:divBdr>
    </w:div>
    <w:div w:id="2004041761">
      <w:bodyDiv w:val="1"/>
      <w:marLeft w:val="0"/>
      <w:marRight w:val="0"/>
      <w:marTop w:val="0"/>
      <w:marBottom w:val="0"/>
      <w:divBdr>
        <w:top w:val="none" w:sz="0" w:space="0" w:color="auto"/>
        <w:left w:val="none" w:sz="0" w:space="0" w:color="auto"/>
        <w:bottom w:val="none" w:sz="0" w:space="0" w:color="auto"/>
        <w:right w:val="none" w:sz="0" w:space="0" w:color="auto"/>
      </w:divBdr>
    </w:div>
    <w:div w:id="2007826938">
      <w:bodyDiv w:val="1"/>
      <w:marLeft w:val="0"/>
      <w:marRight w:val="0"/>
      <w:marTop w:val="0"/>
      <w:marBottom w:val="0"/>
      <w:divBdr>
        <w:top w:val="none" w:sz="0" w:space="0" w:color="auto"/>
        <w:left w:val="none" w:sz="0" w:space="0" w:color="auto"/>
        <w:bottom w:val="none" w:sz="0" w:space="0" w:color="auto"/>
        <w:right w:val="none" w:sz="0" w:space="0" w:color="auto"/>
      </w:divBdr>
    </w:div>
    <w:div w:id="2008560321">
      <w:bodyDiv w:val="1"/>
      <w:marLeft w:val="0"/>
      <w:marRight w:val="0"/>
      <w:marTop w:val="0"/>
      <w:marBottom w:val="0"/>
      <w:divBdr>
        <w:top w:val="none" w:sz="0" w:space="0" w:color="auto"/>
        <w:left w:val="none" w:sz="0" w:space="0" w:color="auto"/>
        <w:bottom w:val="none" w:sz="0" w:space="0" w:color="auto"/>
        <w:right w:val="none" w:sz="0" w:space="0" w:color="auto"/>
      </w:divBdr>
    </w:div>
    <w:div w:id="2015571968">
      <w:bodyDiv w:val="1"/>
      <w:marLeft w:val="0"/>
      <w:marRight w:val="0"/>
      <w:marTop w:val="0"/>
      <w:marBottom w:val="0"/>
      <w:divBdr>
        <w:top w:val="none" w:sz="0" w:space="0" w:color="auto"/>
        <w:left w:val="none" w:sz="0" w:space="0" w:color="auto"/>
        <w:bottom w:val="none" w:sz="0" w:space="0" w:color="auto"/>
        <w:right w:val="none" w:sz="0" w:space="0" w:color="auto"/>
      </w:divBdr>
    </w:div>
    <w:div w:id="2029985288">
      <w:bodyDiv w:val="1"/>
      <w:marLeft w:val="0"/>
      <w:marRight w:val="0"/>
      <w:marTop w:val="0"/>
      <w:marBottom w:val="0"/>
      <w:divBdr>
        <w:top w:val="none" w:sz="0" w:space="0" w:color="auto"/>
        <w:left w:val="none" w:sz="0" w:space="0" w:color="auto"/>
        <w:bottom w:val="none" w:sz="0" w:space="0" w:color="auto"/>
        <w:right w:val="none" w:sz="0" w:space="0" w:color="auto"/>
      </w:divBdr>
    </w:div>
    <w:div w:id="2035572574">
      <w:bodyDiv w:val="1"/>
      <w:marLeft w:val="0"/>
      <w:marRight w:val="0"/>
      <w:marTop w:val="0"/>
      <w:marBottom w:val="0"/>
      <w:divBdr>
        <w:top w:val="none" w:sz="0" w:space="0" w:color="auto"/>
        <w:left w:val="none" w:sz="0" w:space="0" w:color="auto"/>
        <w:bottom w:val="none" w:sz="0" w:space="0" w:color="auto"/>
        <w:right w:val="none" w:sz="0" w:space="0" w:color="auto"/>
      </w:divBdr>
    </w:div>
    <w:div w:id="2047948736">
      <w:bodyDiv w:val="1"/>
      <w:marLeft w:val="0"/>
      <w:marRight w:val="0"/>
      <w:marTop w:val="0"/>
      <w:marBottom w:val="0"/>
      <w:divBdr>
        <w:top w:val="none" w:sz="0" w:space="0" w:color="auto"/>
        <w:left w:val="none" w:sz="0" w:space="0" w:color="auto"/>
        <w:bottom w:val="none" w:sz="0" w:space="0" w:color="auto"/>
        <w:right w:val="none" w:sz="0" w:space="0" w:color="auto"/>
      </w:divBdr>
    </w:div>
    <w:div w:id="2052460392">
      <w:bodyDiv w:val="1"/>
      <w:marLeft w:val="0"/>
      <w:marRight w:val="0"/>
      <w:marTop w:val="0"/>
      <w:marBottom w:val="0"/>
      <w:divBdr>
        <w:top w:val="none" w:sz="0" w:space="0" w:color="auto"/>
        <w:left w:val="none" w:sz="0" w:space="0" w:color="auto"/>
        <w:bottom w:val="none" w:sz="0" w:space="0" w:color="auto"/>
        <w:right w:val="none" w:sz="0" w:space="0" w:color="auto"/>
      </w:divBdr>
    </w:div>
    <w:div w:id="2056193739">
      <w:bodyDiv w:val="1"/>
      <w:marLeft w:val="0"/>
      <w:marRight w:val="0"/>
      <w:marTop w:val="0"/>
      <w:marBottom w:val="0"/>
      <w:divBdr>
        <w:top w:val="none" w:sz="0" w:space="0" w:color="auto"/>
        <w:left w:val="none" w:sz="0" w:space="0" w:color="auto"/>
        <w:bottom w:val="none" w:sz="0" w:space="0" w:color="auto"/>
        <w:right w:val="none" w:sz="0" w:space="0" w:color="auto"/>
      </w:divBdr>
    </w:div>
    <w:div w:id="2057851466">
      <w:bodyDiv w:val="1"/>
      <w:marLeft w:val="0"/>
      <w:marRight w:val="0"/>
      <w:marTop w:val="0"/>
      <w:marBottom w:val="0"/>
      <w:divBdr>
        <w:top w:val="none" w:sz="0" w:space="0" w:color="auto"/>
        <w:left w:val="none" w:sz="0" w:space="0" w:color="auto"/>
        <w:bottom w:val="none" w:sz="0" w:space="0" w:color="auto"/>
        <w:right w:val="none" w:sz="0" w:space="0" w:color="auto"/>
      </w:divBdr>
    </w:div>
    <w:div w:id="2059091282">
      <w:bodyDiv w:val="1"/>
      <w:marLeft w:val="0"/>
      <w:marRight w:val="0"/>
      <w:marTop w:val="0"/>
      <w:marBottom w:val="0"/>
      <w:divBdr>
        <w:top w:val="none" w:sz="0" w:space="0" w:color="auto"/>
        <w:left w:val="none" w:sz="0" w:space="0" w:color="auto"/>
        <w:bottom w:val="none" w:sz="0" w:space="0" w:color="auto"/>
        <w:right w:val="none" w:sz="0" w:space="0" w:color="auto"/>
      </w:divBdr>
    </w:div>
    <w:div w:id="2066029921">
      <w:bodyDiv w:val="1"/>
      <w:marLeft w:val="0"/>
      <w:marRight w:val="0"/>
      <w:marTop w:val="0"/>
      <w:marBottom w:val="0"/>
      <w:divBdr>
        <w:top w:val="none" w:sz="0" w:space="0" w:color="auto"/>
        <w:left w:val="none" w:sz="0" w:space="0" w:color="auto"/>
        <w:bottom w:val="none" w:sz="0" w:space="0" w:color="auto"/>
        <w:right w:val="none" w:sz="0" w:space="0" w:color="auto"/>
      </w:divBdr>
    </w:div>
    <w:div w:id="2066219203">
      <w:bodyDiv w:val="1"/>
      <w:marLeft w:val="0"/>
      <w:marRight w:val="0"/>
      <w:marTop w:val="0"/>
      <w:marBottom w:val="0"/>
      <w:divBdr>
        <w:top w:val="none" w:sz="0" w:space="0" w:color="auto"/>
        <w:left w:val="none" w:sz="0" w:space="0" w:color="auto"/>
        <w:bottom w:val="none" w:sz="0" w:space="0" w:color="auto"/>
        <w:right w:val="none" w:sz="0" w:space="0" w:color="auto"/>
      </w:divBdr>
    </w:div>
    <w:div w:id="2078164917">
      <w:bodyDiv w:val="1"/>
      <w:marLeft w:val="0"/>
      <w:marRight w:val="0"/>
      <w:marTop w:val="0"/>
      <w:marBottom w:val="0"/>
      <w:divBdr>
        <w:top w:val="none" w:sz="0" w:space="0" w:color="auto"/>
        <w:left w:val="none" w:sz="0" w:space="0" w:color="auto"/>
        <w:bottom w:val="none" w:sz="0" w:space="0" w:color="auto"/>
        <w:right w:val="none" w:sz="0" w:space="0" w:color="auto"/>
      </w:divBdr>
    </w:div>
    <w:div w:id="2090300680">
      <w:bodyDiv w:val="1"/>
      <w:marLeft w:val="0"/>
      <w:marRight w:val="0"/>
      <w:marTop w:val="0"/>
      <w:marBottom w:val="0"/>
      <w:divBdr>
        <w:top w:val="none" w:sz="0" w:space="0" w:color="auto"/>
        <w:left w:val="none" w:sz="0" w:space="0" w:color="auto"/>
        <w:bottom w:val="none" w:sz="0" w:space="0" w:color="auto"/>
        <w:right w:val="none" w:sz="0" w:space="0" w:color="auto"/>
      </w:divBdr>
    </w:div>
    <w:div w:id="2094470361">
      <w:bodyDiv w:val="1"/>
      <w:marLeft w:val="0"/>
      <w:marRight w:val="0"/>
      <w:marTop w:val="0"/>
      <w:marBottom w:val="0"/>
      <w:divBdr>
        <w:top w:val="none" w:sz="0" w:space="0" w:color="auto"/>
        <w:left w:val="none" w:sz="0" w:space="0" w:color="auto"/>
        <w:bottom w:val="none" w:sz="0" w:space="0" w:color="auto"/>
        <w:right w:val="none" w:sz="0" w:space="0" w:color="auto"/>
      </w:divBdr>
    </w:div>
    <w:div w:id="2094473558">
      <w:bodyDiv w:val="1"/>
      <w:marLeft w:val="0"/>
      <w:marRight w:val="0"/>
      <w:marTop w:val="0"/>
      <w:marBottom w:val="0"/>
      <w:divBdr>
        <w:top w:val="none" w:sz="0" w:space="0" w:color="auto"/>
        <w:left w:val="none" w:sz="0" w:space="0" w:color="auto"/>
        <w:bottom w:val="none" w:sz="0" w:space="0" w:color="auto"/>
        <w:right w:val="none" w:sz="0" w:space="0" w:color="auto"/>
      </w:divBdr>
    </w:div>
    <w:div w:id="2096585205">
      <w:bodyDiv w:val="1"/>
      <w:marLeft w:val="0"/>
      <w:marRight w:val="0"/>
      <w:marTop w:val="0"/>
      <w:marBottom w:val="0"/>
      <w:divBdr>
        <w:top w:val="none" w:sz="0" w:space="0" w:color="auto"/>
        <w:left w:val="none" w:sz="0" w:space="0" w:color="auto"/>
        <w:bottom w:val="none" w:sz="0" w:space="0" w:color="auto"/>
        <w:right w:val="none" w:sz="0" w:space="0" w:color="auto"/>
      </w:divBdr>
    </w:div>
    <w:div w:id="2109278010">
      <w:bodyDiv w:val="1"/>
      <w:marLeft w:val="0"/>
      <w:marRight w:val="0"/>
      <w:marTop w:val="0"/>
      <w:marBottom w:val="0"/>
      <w:divBdr>
        <w:top w:val="none" w:sz="0" w:space="0" w:color="auto"/>
        <w:left w:val="none" w:sz="0" w:space="0" w:color="auto"/>
        <w:bottom w:val="none" w:sz="0" w:space="0" w:color="auto"/>
        <w:right w:val="none" w:sz="0" w:space="0" w:color="auto"/>
      </w:divBdr>
    </w:div>
    <w:div w:id="2116780024">
      <w:bodyDiv w:val="1"/>
      <w:marLeft w:val="0"/>
      <w:marRight w:val="0"/>
      <w:marTop w:val="0"/>
      <w:marBottom w:val="0"/>
      <w:divBdr>
        <w:top w:val="none" w:sz="0" w:space="0" w:color="auto"/>
        <w:left w:val="none" w:sz="0" w:space="0" w:color="auto"/>
        <w:bottom w:val="none" w:sz="0" w:space="0" w:color="auto"/>
        <w:right w:val="none" w:sz="0" w:space="0" w:color="auto"/>
      </w:divBdr>
    </w:div>
    <w:div w:id="2117165428">
      <w:bodyDiv w:val="1"/>
      <w:marLeft w:val="0"/>
      <w:marRight w:val="0"/>
      <w:marTop w:val="0"/>
      <w:marBottom w:val="0"/>
      <w:divBdr>
        <w:top w:val="none" w:sz="0" w:space="0" w:color="auto"/>
        <w:left w:val="none" w:sz="0" w:space="0" w:color="auto"/>
        <w:bottom w:val="none" w:sz="0" w:space="0" w:color="auto"/>
        <w:right w:val="none" w:sz="0" w:space="0" w:color="auto"/>
      </w:divBdr>
    </w:div>
    <w:div w:id="2121872082">
      <w:bodyDiv w:val="1"/>
      <w:marLeft w:val="0"/>
      <w:marRight w:val="0"/>
      <w:marTop w:val="0"/>
      <w:marBottom w:val="0"/>
      <w:divBdr>
        <w:top w:val="none" w:sz="0" w:space="0" w:color="auto"/>
        <w:left w:val="none" w:sz="0" w:space="0" w:color="auto"/>
        <w:bottom w:val="none" w:sz="0" w:space="0" w:color="auto"/>
        <w:right w:val="none" w:sz="0" w:space="0" w:color="auto"/>
      </w:divBdr>
    </w:div>
    <w:div w:id="2122795964">
      <w:bodyDiv w:val="1"/>
      <w:marLeft w:val="0"/>
      <w:marRight w:val="0"/>
      <w:marTop w:val="0"/>
      <w:marBottom w:val="0"/>
      <w:divBdr>
        <w:top w:val="none" w:sz="0" w:space="0" w:color="auto"/>
        <w:left w:val="none" w:sz="0" w:space="0" w:color="auto"/>
        <w:bottom w:val="none" w:sz="0" w:space="0" w:color="auto"/>
        <w:right w:val="none" w:sz="0" w:space="0" w:color="auto"/>
      </w:divBdr>
    </w:div>
    <w:div w:id="2140105073">
      <w:bodyDiv w:val="1"/>
      <w:marLeft w:val="0"/>
      <w:marRight w:val="0"/>
      <w:marTop w:val="0"/>
      <w:marBottom w:val="0"/>
      <w:divBdr>
        <w:top w:val="none" w:sz="0" w:space="0" w:color="auto"/>
        <w:left w:val="none" w:sz="0" w:space="0" w:color="auto"/>
        <w:bottom w:val="none" w:sz="0" w:space="0" w:color="auto"/>
        <w:right w:val="none" w:sz="0" w:space="0" w:color="auto"/>
      </w:divBdr>
    </w:div>
    <w:div w:id="2144302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goosocean.org/index.php?option=com_oe&amp;task=viewDocumentRecord&amp;docID=2660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oceanexpert.org/document/28496"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unesdoc.unesco.org/ark:/48223/pf0000379949.locale=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yperlink" Target="https://digitallibrary.un.org/record/70230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BC1B2-7BBB-E143-B8CF-E62A508CC4A7}">
  <ds:schemaRefs>
    <ds:schemaRef ds:uri="http://schemas.openxmlformats.org/officeDocument/2006/bibliography"/>
  </ds:schemaRefs>
</ds:datastoreItem>
</file>

<file path=customXml/itemProps2.xml><?xml version="1.0" encoding="utf-8"?>
<ds:datastoreItem xmlns:ds="http://schemas.openxmlformats.org/officeDocument/2006/customXml" ds:itemID="{983E0158-10AF-48A2-A42E-3C2A88C6A904}">
  <ds:schemaRefs>
    <ds:schemaRef ds:uri="http://schemas.microsoft.com/sharepoint/events"/>
  </ds:schemaRefs>
</ds:datastoreItem>
</file>

<file path=customXml/itemProps3.xml><?xml version="1.0" encoding="utf-8"?>
<ds:datastoreItem xmlns:ds="http://schemas.openxmlformats.org/officeDocument/2006/customXml" ds:itemID="{52965696-FF32-4D5D-8B0B-41EB5417B2D7}">
  <ds:schemaRefs>
    <ds:schemaRef ds:uri="http://schemas.microsoft.com/sharepoint/v3/contenttype/forms"/>
  </ds:schemaRefs>
</ds:datastoreItem>
</file>

<file path=customXml/itemProps4.xml><?xml version="1.0" encoding="utf-8"?>
<ds:datastoreItem xmlns:ds="http://schemas.openxmlformats.org/officeDocument/2006/customXml" ds:itemID="{696625B8-5A92-4546-AC73-E39BB55C2DEC}">
  <ds:schemaRefs>
    <ds:schemaRef ds:uri="http://schemas.microsoft.com/office/2006/metadata/longProperties"/>
  </ds:schemaRefs>
</ds:datastoreItem>
</file>

<file path=customXml/itemProps5.xml><?xml version="1.0" encoding="utf-8"?>
<ds:datastoreItem xmlns:ds="http://schemas.openxmlformats.org/officeDocument/2006/customXml" ds:itemID="{5C6F2E61-D399-45A9-9B02-53667B12F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1273</TotalTime>
  <Pages>46</Pages>
  <Words>23430</Words>
  <Characters>133552</Characters>
  <Application>Microsoft Office Word</Application>
  <DocSecurity>0</DocSecurity>
  <Lines>1112</Lines>
  <Paragraphs>313</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Comisión Oceanográfica Intergubernamental_x000d_
(de la UNESCO)_x000d_
55ª reunión del Consejo Ejecutivo_x000d_
UNESCO, París, 14-17 de junio de 2022</vt:lpstr>
      <vt:lpstr>IOC 55th session of the Executive Council: provisional action paper - for eLuna</vt:lpstr>
      <vt:lpstr>IOC 49th session of the Executive Council: Draft provisional action paper</vt:lpstr>
    </vt:vector>
  </TitlesOfParts>
  <Company>UNESCO</Company>
  <LinksUpToDate>false</LinksUpToDate>
  <CharactersWithSpaces>156669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Oceanográfica Intergubernamental_x000d_
(de la UNESCO)_x000d_
55ª reunión del Consejo Ejecutivo_x000d_
UNESCO, París, 14-17 de junio de 2022</dc:title>
  <dc:subject>IOC/EC-55/SR Prov.</dc:subject>
  <dc:creator>p_boned</dc:creator>
  <cp:keywords>1053.16E</cp:keywords>
  <dc:description/>
  <cp:lastModifiedBy>Boned, Patrice</cp:lastModifiedBy>
  <cp:revision>307</cp:revision>
  <cp:lastPrinted>2022-01-18T16:54:00Z</cp:lastPrinted>
  <dcterms:created xsi:type="dcterms:W3CDTF">2022-06-10T14:53:00Z</dcterms:created>
  <dcterms:modified xsi:type="dcterms:W3CDTF">2023-01-20T17:20:00Z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S</vt:lpwstr>
  </property>
  <property fmtid="{D5CDD505-2E9C-101B-9397-08002B2CF9AE}" pid="3" name="PublishingExpirationDate">
    <vt:lpwstr/>
  </property>
  <property fmtid="{D5CDD505-2E9C-101B-9397-08002B2CF9AE}" pid="4" name="PublishingStartDate">
    <vt:lpwstr/>
  </property>
  <property fmtid="{D5CDD505-2E9C-101B-9397-08002B2CF9AE}" pid="5" name="_dlc_DocId">
    <vt:lpwstr>DN3HXZNSAUTS-2414-48</vt:lpwstr>
  </property>
  <property fmtid="{D5CDD505-2E9C-101B-9397-08002B2CF9AE}" pid="6" name="_dlc_DocIdItemGuid">
    <vt:lpwstr>8c334f66-a1c5-4d93-98c9-f03cc1966411</vt:lpwstr>
  </property>
  <property fmtid="{D5CDD505-2E9C-101B-9397-08002B2CF9AE}" pid="7" name="_dlc_DocIdUrl">
    <vt:lpwstr>https://teams.unesco.org/ORG/ioc/_layouts/15/DocIdRedir.aspx?ID=DN3HXZNSAUTS-2414-48, DN3HXZNSAUTS-2414-48</vt:lpwstr>
  </property>
  <property fmtid="{D5CDD505-2E9C-101B-9397-08002B2CF9AE}" pid="8" name="JobDCPMS">
    <vt:lpwstr>202201925</vt:lpwstr>
  </property>
  <property fmtid="{D5CDD505-2E9C-101B-9397-08002B2CF9AE}" pid="9" name="TranslatedWith">
    <vt:lpwstr>Mercury</vt:lpwstr>
  </property>
  <property fmtid="{D5CDD505-2E9C-101B-9397-08002B2CF9AE}" pid="10" name="GeneratedBy">
    <vt:lpwstr>k_bou-habib</vt:lpwstr>
  </property>
  <property fmtid="{D5CDD505-2E9C-101B-9397-08002B2CF9AE}" pid="11" name="GeneratedDate">
    <vt:lpwstr>06/03/2022 14:35:25</vt:lpwstr>
  </property>
  <property fmtid="{D5CDD505-2E9C-101B-9397-08002B2CF9AE}" pid="12" name="OriginalDocID">
    <vt:lpwstr>fa001445-0119-4514-bb1a-c165933b7d65</vt:lpwstr>
  </property>
</Properties>
</file>