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45"/>
        <w:gridCol w:w="2941"/>
      </w:tblGrid>
      <w:tr w:rsidR="00D53493" w:rsidRPr="00065207" w14:paraId="6076C12C" w14:textId="77777777" w:rsidTr="00785C59">
        <w:tc>
          <w:tcPr>
            <w:tcW w:w="6345" w:type="dxa"/>
          </w:tcPr>
          <w:p w14:paraId="593EB73E" w14:textId="77777777" w:rsidR="00D53493" w:rsidRPr="00065207" w:rsidRDefault="00D53493" w:rsidP="00006271">
            <w:pPr>
              <w:spacing w:after="240"/>
              <w:rPr>
                <w:rFonts w:asciiTheme="minorBidi" w:hAnsiTheme="minorBidi" w:cstheme="minorBidi"/>
                <w:sz w:val="22"/>
                <w:szCs w:val="22"/>
              </w:rPr>
            </w:pPr>
            <w:r w:rsidRPr="00065207">
              <w:rPr>
                <w:rFonts w:asciiTheme="minorBidi" w:hAnsiTheme="minorBidi" w:cstheme="minorBidi"/>
                <w:sz w:val="22"/>
                <w:szCs w:val="22"/>
                <w:lang w:val="fr-FR"/>
              </w:rPr>
              <w:t>Distribution limitée</w:t>
            </w:r>
          </w:p>
          <w:p w14:paraId="5608AFEC" w14:textId="77777777" w:rsidR="00D53493" w:rsidRPr="00065207" w:rsidRDefault="00D53493" w:rsidP="00785C59">
            <w:pPr>
              <w:rPr>
                <w:rFonts w:asciiTheme="minorBidi" w:hAnsiTheme="minorBidi" w:cstheme="minorBidi"/>
                <w:sz w:val="22"/>
                <w:szCs w:val="22"/>
              </w:rPr>
            </w:pPr>
          </w:p>
        </w:tc>
        <w:tc>
          <w:tcPr>
            <w:tcW w:w="2941" w:type="dxa"/>
          </w:tcPr>
          <w:p w14:paraId="2651C7E1" w14:textId="77777777" w:rsidR="00D53493" w:rsidRPr="00006271" w:rsidRDefault="00D53493" w:rsidP="00C363FE">
            <w:pPr>
              <w:ind w:left="213"/>
              <w:rPr>
                <w:rFonts w:asciiTheme="minorBidi" w:hAnsiTheme="minorBidi" w:cstheme="minorBidi"/>
                <w:b/>
                <w:bCs/>
                <w:sz w:val="22"/>
                <w:szCs w:val="22"/>
                <w:lang w:val="fr-FR"/>
              </w:rPr>
            </w:pPr>
            <w:r w:rsidRPr="00006271">
              <w:rPr>
                <w:rFonts w:asciiTheme="minorBidi" w:hAnsiTheme="minorBidi" w:cstheme="minorBidi"/>
                <w:b/>
                <w:bCs/>
                <w:sz w:val="22"/>
                <w:szCs w:val="22"/>
                <w:lang w:val="fr-FR"/>
              </w:rPr>
              <w:t>EC-55/</w:t>
            </w:r>
            <w:proofErr w:type="gramStart"/>
            <w:r w:rsidRPr="00006271">
              <w:rPr>
                <w:rFonts w:asciiTheme="minorBidi" w:hAnsiTheme="minorBidi" w:cstheme="minorBidi"/>
                <w:b/>
                <w:bCs/>
                <w:sz w:val="22"/>
                <w:szCs w:val="22"/>
                <w:lang w:val="fr-FR"/>
              </w:rPr>
              <w:t>DR.[</w:t>
            </w:r>
            <w:proofErr w:type="gramEnd"/>
            <w:r w:rsidRPr="00006271">
              <w:rPr>
                <w:rFonts w:asciiTheme="minorBidi" w:hAnsiTheme="minorBidi" w:cstheme="minorBidi"/>
                <w:b/>
                <w:bCs/>
                <w:sz w:val="22"/>
                <w:szCs w:val="22"/>
                <w:lang w:val="fr-FR"/>
              </w:rPr>
              <w:t>5.2]</w:t>
            </w:r>
          </w:p>
          <w:p w14:paraId="2A6DBFBB" w14:textId="77777777" w:rsidR="00D53493" w:rsidRPr="00006271" w:rsidRDefault="00D53493" w:rsidP="00C363FE">
            <w:pPr>
              <w:ind w:left="213"/>
              <w:rPr>
                <w:rFonts w:asciiTheme="minorBidi" w:hAnsiTheme="minorBidi" w:cstheme="minorBidi"/>
                <w:sz w:val="22"/>
                <w:szCs w:val="22"/>
                <w:lang w:val="fr-FR"/>
              </w:rPr>
            </w:pPr>
            <w:r w:rsidRPr="00065207">
              <w:rPr>
                <w:rFonts w:asciiTheme="minorBidi" w:hAnsiTheme="minorBidi" w:cstheme="minorBidi"/>
                <w:sz w:val="22"/>
                <w:szCs w:val="22"/>
                <w:lang w:val="fr-FR"/>
              </w:rPr>
              <w:t>PARIS, le 16 juin 2022</w:t>
            </w:r>
          </w:p>
          <w:p w14:paraId="4F613D3A" w14:textId="77777777" w:rsidR="00D53493" w:rsidRPr="00065207" w:rsidRDefault="00D53493" w:rsidP="00006271">
            <w:pPr>
              <w:pStyle w:val="Header"/>
              <w:tabs>
                <w:tab w:val="clear" w:pos="4153"/>
                <w:tab w:val="clear" w:pos="8306"/>
                <w:tab w:val="left" w:pos="709"/>
              </w:tabs>
              <w:spacing w:after="240"/>
              <w:ind w:left="213"/>
              <w:rPr>
                <w:rFonts w:asciiTheme="minorBidi" w:hAnsiTheme="minorBidi" w:cstheme="minorBidi"/>
                <w:sz w:val="22"/>
                <w:szCs w:val="22"/>
              </w:rPr>
            </w:pPr>
            <w:r w:rsidRPr="00065207">
              <w:rPr>
                <w:rFonts w:asciiTheme="minorBidi" w:hAnsiTheme="minorBidi" w:cstheme="minorBidi"/>
                <w:sz w:val="22"/>
                <w:szCs w:val="22"/>
                <w:lang w:val="fr-FR"/>
              </w:rPr>
              <w:t>Original anglais</w:t>
            </w:r>
          </w:p>
        </w:tc>
      </w:tr>
    </w:tbl>
    <w:p w14:paraId="3C610A77" w14:textId="456AAD2B" w:rsidR="00D53493" w:rsidRPr="00006271" w:rsidRDefault="00006271" w:rsidP="00006271">
      <w:pPr>
        <w:tabs>
          <w:tab w:val="clear" w:pos="567"/>
          <w:tab w:val="left" w:pos="709"/>
        </w:tabs>
        <w:snapToGrid/>
        <w:spacing w:before="240" w:after="240" w:line="360" w:lineRule="auto"/>
        <w:jc w:val="both"/>
        <w:rPr>
          <w:rFonts w:asciiTheme="minorBidi" w:hAnsiTheme="minorBidi" w:cstheme="minorBidi"/>
          <w:b/>
          <w:snapToGrid/>
          <w:sz w:val="22"/>
          <w:szCs w:val="22"/>
          <w:u w:val="single"/>
          <w:lang w:val="fr-FR"/>
        </w:rPr>
      </w:pPr>
      <w:r>
        <w:rPr>
          <w:rFonts w:asciiTheme="minorBidi" w:hAnsiTheme="minorBidi" w:cstheme="minorBidi"/>
          <w:b/>
          <w:bCs/>
          <w:sz w:val="22"/>
          <w:szCs w:val="22"/>
          <w:u w:val="single"/>
          <w:lang w:val="fr-FR"/>
        </w:rPr>
        <w:t>P</w:t>
      </w:r>
      <w:r w:rsidRPr="00006271">
        <w:rPr>
          <w:rFonts w:asciiTheme="minorBidi" w:hAnsiTheme="minorBidi" w:cstheme="minorBidi"/>
          <w:b/>
          <w:bCs/>
          <w:sz w:val="22"/>
          <w:szCs w:val="22"/>
          <w:u w:val="single"/>
          <w:lang w:val="fr-FR"/>
        </w:rPr>
        <w:t>rojet de résolution</w:t>
      </w:r>
      <w:r w:rsidR="00D53493" w:rsidRPr="00006271">
        <w:rPr>
          <w:rFonts w:asciiTheme="minorBidi" w:hAnsiTheme="minorBidi" w:cstheme="minorBidi"/>
          <w:b/>
          <w:bCs/>
          <w:sz w:val="22"/>
          <w:szCs w:val="22"/>
          <w:u w:val="single"/>
          <w:lang w:val="fr-FR"/>
        </w:rPr>
        <w:t> EC-55/[5.2]</w:t>
      </w:r>
    </w:p>
    <w:p w14:paraId="71DB3B0A" w14:textId="77777777" w:rsidR="00D53493" w:rsidRPr="00006271" w:rsidRDefault="00D53493" w:rsidP="00DE56ED">
      <w:pPr>
        <w:tabs>
          <w:tab w:val="clear" w:pos="567"/>
          <w:tab w:val="left" w:pos="450"/>
        </w:tabs>
        <w:spacing w:after="240"/>
        <w:rPr>
          <w:rFonts w:asciiTheme="minorBidi" w:eastAsia="Calibri" w:hAnsiTheme="minorBidi" w:cstheme="minorBidi"/>
          <w:iCs/>
          <w:sz w:val="22"/>
          <w:szCs w:val="22"/>
          <w:lang w:val="fr-FR"/>
        </w:rPr>
      </w:pPr>
      <w:r w:rsidRPr="00065207">
        <w:rPr>
          <w:rFonts w:asciiTheme="minorBidi" w:hAnsiTheme="minorBidi" w:cstheme="minorBidi"/>
          <w:sz w:val="22"/>
          <w:szCs w:val="22"/>
          <w:lang w:val="fr-FR"/>
        </w:rPr>
        <w:t>Présenté par l’Allemagne, l’Argentine, l’Australie, le Bangladesh, la Belgique, le Bénin, le Brésil, le Canada, la Chine, la Côte d’Ivoire, l’Égypte, les États-Unis d’Amérique, la Fédération de Russie, la France, la Grenade, le Japon, le Koweït, le Maroc, la Norvège, le Portugal, la République de Corée, le Royaume-Uni de Grande-Bretagne et d’Irlande du Nord, Saint-Vincent-et-les</w:t>
      </w:r>
      <w:r w:rsidR="00DE56ED">
        <w:rPr>
          <w:rFonts w:asciiTheme="minorBidi" w:hAnsiTheme="minorBidi" w:cstheme="minorBidi"/>
          <w:sz w:val="22"/>
          <w:szCs w:val="22"/>
          <w:lang w:val="fr-FR"/>
        </w:rPr>
        <w:t xml:space="preserve"> </w:t>
      </w:r>
      <w:r w:rsidRPr="00065207">
        <w:rPr>
          <w:rFonts w:asciiTheme="minorBidi" w:hAnsiTheme="minorBidi" w:cstheme="minorBidi"/>
          <w:sz w:val="22"/>
          <w:szCs w:val="22"/>
          <w:lang w:val="fr-FR"/>
        </w:rPr>
        <w:t>Grenadines et la Türkiye.</w:t>
      </w:r>
    </w:p>
    <w:p w14:paraId="0274D73D" w14:textId="77777777" w:rsidR="00D53493" w:rsidRPr="00006271" w:rsidRDefault="00D53493" w:rsidP="00006271">
      <w:pPr>
        <w:spacing w:after="240"/>
        <w:jc w:val="both"/>
        <w:rPr>
          <w:rFonts w:asciiTheme="minorBidi" w:eastAsia="Calibri" w:hAnsiTheme="minorBidi" w:cstheme="minorBidi"/>
          <w:iCs/>
          <w:sz w:val="22"/>
          <w:szCs w:val="22"/>
          <w:lang w:val="fr-FR"/>
        </w:rPr>
      </w:pPr>
      <w:r w:rsidRPr="00065207">
        <w:rPr>
          <w:rFonts w:asciiTheme="minorBidi" w:hAnsiTheme="minorBidi" w:cstheme="minorBidi"/>
          <w:sz w:val="22"/>
          <w:szCs w:val="22"/>
          <w:lang w:val="fr-FR"/>
        </w:rPr>
        <w:t>Point </w:t>
      </w:r>
      <w:r w:rsidRPr="00065207">
        <w:rPr>
          <w:rFonts w:asciiTheme="minorBidi" w:hAnsiTheme="minorBidi" w:cstheme="minorBidi"/>
          <w:b/>
          <w:bCs/>
          <w:sz w:val="22"/>
          <w:szCs w:val="22"/>
          <w:lang w:val="fr-FR"/>
        </w:rPr>
        <w:t>5.2</w:t>
      </w:r>
      <w:r w:rsidRPr="00065207">
        <w:rPr>
          <w:rFonts w:asciiTheme="minorBidi" w:hAnsiTheme="minorBidi" w:cstheme="minorBidi"/>
          <w:sz w:val="22"/>
          <w:szCs w:val="22"/>
          <w:lang w:val="fr-FR"/>
        </w:rPr>
        <w:t xml:space="preserve"> de l’ordre du jour</w:t>
      </w:r>
    </w:p>
    <w:p w14:paraId="5771E227" w14:textId="77777777" w:rsidR="00D53493" w:rsidRPr="00006271" w:rsidRDefault="00D53493" w:rsidP="00006271">
      <w:pPr>
        <w:spacing w:after="240"/>
        <w:jc w:val="both"/>
        <w:rPr>
          <w:rFonts w:asciiTheme="minorBidi" w:eastAsia="Calibri" w:hAnsiTheme="minorBidi" w:cstheme="minorBidi"/>
          <w:b/>
          <w:bCs/>
          <w:sz w:val="22"/>
          <w:szCs w:val="22"/>
          <w:lang w:val="fr-FR"/>
        </w:rPr>
      </w:pPr>
      <w:r w:rsidRPr="00065207">
        <w:rPr>
          <w:rFonts w:asciiTheme="minorBidi" w:hAnsiTheme="minorBidi" w:cstheme="minorBidi"/>
          <w:b/>
          <w:bCs/>
          <w:sz w:val="22"/>
          <w:szCs w:val="22"/>
          <w:lang w:val="fr-FR"/>
        </w:rPr>
        <w:t>QUESTIONS DE GOUVERNANCE, DE PROGRAMMATION ET DE BUDGÉTISATION INTÉRESSANT LA COMMISSION</w:t>
      </w:r>
    </w:p>
    <w:p w14:paraId="46FDC557" w14:textId="77777777" w:rsidR="00D53493" w:rsidRPr="00006271" w:rsidRDefault="00D53493" w:rsidP="00006271">
      <w:pPr>
        <w:spacing w:after="240"/>
        <w:jc w:val="both"/>
        <w:rPr>
          <w:rFonts w:asciiTheme="minorBidi" w:eastAsia="Calibri" w:hAnsiTheme="minorBidi" w:cstheme="minorBidi"/>
          <w:sz w:val="22"/>
          <w:szCs w:val="22"/>
          <w:lang w:val="fr-FR"/>
        </w:rPr>
      </w:pPr>
      <w:r w:rsidRPr="00065207">
        <w:rPr>
          <w:rFonts w:asciiTheme="minorBidi" w:hAnsiTheme="minorBidi" w:cstheme="minorBidi"/>
          <w:sz w:val="22"/>
          <w:szCs w:val="22"/>
          <w:lang w:val="fr-FR"/>
        </w:rPr>
        <w:t>Le Conseil exécutif,</w:t>
      </w:r>
    </w:p>
    <w:p w14:paraId="10887CEA" w14:textId="4886C22F" w:rsidR="00D53493" w:rsidRPr="00006271" w:rsidRDefault="00006271" w:rsidP="00006271">
      <w:pPr>
        <w:pStyle w:val="b"/>
        <w:tabs>
          <w:tab w:val="clear" w:pos="1134"/>
        </w:tabs>
        <w:ind w:left="567"/>
        <w:rPr>
          <w:rFonts w:asciiTheme="minorBidi" w:eastAsia="Calibri" w:hAnsiTheme="minorBidi" w:cstheme="minorBidi"/>
          <w:sz w:val="22"/>
          <w:szCs w:val="22"/>
          <w:lang w:val="fr-FR"/>
        </w:rPr>
      </w:pPr>
      <w:r w:rsidRPr="00006271">
        <w:rPr>
          <w:rFonts w:asciiTheme="minorBidi" w:hAnsiTheme="minorBidi" w:cstheme="minorBidi"/>
          <w:sz w:val="22"/>
          <w:szCs w:val="22"/>
          <w:lang w:val="fr-FR"/>
        </w:rPr>
        <w:t>1.</w:t>
      </w:r>
      <w:r w:rsidRPr="00006271">
        <w:rPr>
          <w:rFonts w:asciiTheme="minorBidi" w:hAnsiTheme="minorBidi" w:cstheme="minorBidi"/>
          <w:sz w:val="22"/>
          <w:szCs w:val="22"/>
          <w:lang w:val="fr-FR"/>
        </w:rPr>
        <w:tab/>
      </w:r>
      <w:r w:rsidR="00D53493" w:rsidRPr="00065207">
        <w:rPr>
          <w:rFonts w:asciiTheme="minorBidi" w:hAnsiTheme="minorBidi" w:cstheme="minorBidi"/>
          <w:b/>
          <w:bCs/>
          <w:sz w:val="22"/>
          <w:szCs w:val="22"/>
          <w:lang w:val="fr-FR"/>
        </w:rPr>
        <w:t>Ayant examiné</w:t>
      </w:r>
      <w:r w:rsidR="00D53493" w:rsidRPr="00065207">
        <w:rPr>
          <w:rFonts w:asciiTheme="minorBidi" w:hAnsiTheme="minorBidi" w:cstheme="minorBidi"/>
          <w:sz w:val="22"/>
          <w:szCs w:val="22"/>
          <w:lang w:val="fr-FR"/>
        </w:rPr>
        <w:t xml:space="preserve"> les documents</w:t>
      </w:r>
      <w:r w:rsidR="00065207">
        <w:rPr>
          <w:rFonts w:asciiTheme="minorBidi" w:hAnsiTheme="minorBidi" w:cstheme="minorBidi"/>
          <w:sz w:val="22"/>
          <w:szCs w:val="22"/>
          <w:lang w:val="fr-FR"/>
        </w:rPr>
        <w:t> </w:t>
      </w:r>
      <w:r w:rsidR="00D53493" w:rsidRPr="00065207">
        <w:rPr>
          <w:rFonts w:asciiTheme="minorBidi" w:hAnsiTheme="minorBidi" w:cstheme="minorBidi"/>
          <w:sz w:val="22"/>
          <w:szCs w:val="22"/>
          <w:lang w:val="fr-FR"/>
        </w:rPr>
        <w:t>:</w:t>
      </w:r>
    </w:p>
    <w:p w14:paraId="5F2CDC78" w14:textId="1A3E39B6" w:rsidR="00F978F8" w:rsidRPr="00006271" w:rsidRDefault="00006271" w:rsidP="00006271">
      <w:pPr>
        <w:pStyle w:val="b"/>
        <w:tabs>
          <w:tab w:val="clear" w:pos="1134"/>
        </w:tabs>
        <w:rPr>
          <w:rFonts w:asciiTheme="minorBidi" w:eastAsia="Calibri" w:hAnsiTheme="minorBidi" w:cstheme="minorBidi"/>
          <w:sz w:val="22"/>
          <w:szCs w:val="22"/>
          <w:lang w:val="fr-FR"/>
        </w:rPr>
      </w:pPr>
      <w:r>
        <w:rPr>
          <w:rFonts w:asciiTheme="minorBidi" w:hAnsiTheme="minorBidi" w:cstheme="minorBidi"/>
          <w:sz w:val="22"/>
          <w:szCs w:val="22"/>
          <w:lang w:val="fr-FR"/>
        </w:rPr>
        <w:t>(i)</w:t>
      </w:r>
      <w:r>
        <w:rPr>
          <w:rFonts w:asciiTheme="minorBidi" w:hAnsiTheme="minorBidi" w:cstheme="minorBidi"/>
          <w:sz w:val="22"/>
          <w:szCs w:val="22"/>
          <w:lang w:val="fr-FR"/>
        </w:rPr>
        <w:tab/>
      </w:r>
      <w:r w:rsidR="00F978F8" w:rsidRPr="00065207">
        <w:rPr>
          <w:rFonts w:asciiTheme="minorBidi" w:hAnsiTheme="minorBidi" w:cstheme="minorBidi"/>
          <w:sz w:val="22"/>
          <w:szCs w:val="22"/>
          <w:lang w:val="fr-FR"/>
        </w:rPr>
        <w:t>IOC/EC-55/3.1.Doc(2) – Rapport sur l’exécution du budget 2020-2021 (40 C/5) au</w:t>
      </w:r>
      <w:r w:rsidR="00B635CC">
        <w:rPr>
          <w:rFonts w:asciiTheme="minorBidi" w:hAnsiTheme="minorBidi" w:cstheme="minorBidi"/>
          <w:sz w:val="22"/>
          <w:szCs w:val="22"/>
          <w:lang w:val="fr-FR"/>
        </w:rPr>
        <w:t> </w:t>
      </w:r>
      <w:r w:rsidR="00F978F8" w:rsidRPr="00065207">
        <w:rPr>
          <w:rFonts w:asciiTheme="minorBidi" w:hAnsiTheme="minorBidi" w:cstheme="minorBidi"/>
          <w:sz w:val="22"/>
          <w:szCs w:val="22"/>
          <w:lang w:val="fr-FR"/>
        </w:rPr>
        <w:t>31 décembre 2021 et grandes lignes du cadre budgétaire intégré 2022-2023,</w:t>
      </w:r>
    </w:p>
    <w:p w14:paraId="5712E207" w14:textId="26835F87" w:rsidR="00F978F8" w:rsidRPr="00006271" w:rsidRDefault="00006271" w:rsidP="00006271">
      <w:pPr>
        <w:pStyle w:val="b"/>
        <w:tabs>
          <w:tab w:val="clear" w:pos="1134"/>
        </w:tabs>
        <w:rPr>
          <w:rFonts w:asciiTheme="minorBidi" w:eastAsia="Calibri" w:hAnsiTheme="minorBidi" w:cstheme="minorBidi"/>
          <w:sz w:val="22"/>
          <w:szCs w:val="22"/>
          <w:lang w:val="fr-FR"/>
        </w:rPr>
      </w:pPr>
      <w:r>
        <w:rPr>
          <w:rFonts w:asciiTheme="minorBidi" w:hAnsiTheme="minorBidi" w:cstheme="minorBidi"/>
          <w:sz w:val="22"/>
          <w:szCs w:val="22"/>
          <w:lang w:val="fr-FR"/>
        </w:rPr>
        <w:t>(ii)</w:t>
      </w:r>
      <w:r>
        <w:rPr>
          <w:rFonts w:asciiTheme="minorBidi" w:hAnsiTheme="minorBidi" w:cstheme="minorBidi"/>
          <w:sz w:val="22"/>
          <w:szCs w:val="22"/>
          <w:lang w:val="fr-FR"/>
        </w:rPr>
        <w:tab/>
      </w:r>
      <w:r w:rsidR="00F978F8" w:rsidRPr="00065207">
        <w:rPr>
          <w:rFonts w:asciiTheme="minorBidi" w:hAnsiTheme="minorBidi" w:cstheme="minorBidi"/>
          <w:sz w:val="22"/>
          <w:szCs w:val="22"/>
          <w:lang w:val="fr-FR"/>
        </w:rPr>
        <w:t>IOC/EC-55/3.1.Doc(3) – Situation financière du Compte spécial de la COI à la fin de 2021 et prévisions pour 2022-2023,</w:t>
      </w:r>
    </w:p>
    <w:p w14:paraId="0A75F8BE" w14:textId="53817191" w:rsidR="00F978F8" w:rsidRPr="00006271" w:rsidRDefault="00006271" w:rsidP="00006271">
      <w:pPr>
        <w:pStyle w:val="b"/>
        <w:tabs>
          <w:tab w:val="clear" w:pos="1134"/>
        </w:tabs>
        <w:rPr>
          <w:rFonts w:asciiTheme="minorBidi" w:eastAsia="Calibri" w:hAnsiTheme="minorBidi" w:cstheme="minorBidi"/>
          <w:sz w:val="22"/>
          <w:szCs w:val="22"/>
          <w:lang w:val="fr-FR"/>
        </w:rPr>
      </w:pPr>
      <w:r>
        <w:rPr>
          <w:rFonts w:asciiTheme="minorBidi" w:hAnsiTheme="minorBidi" w:cstheme="minorBidi"/>
          <w:sz w:val="22"/>
          <w:szCs w:val="22"/>
          <w:lang w:val="fr-FR"/>
        </w:rPr>
        <w:t>(iii)</w:t>
      </w:r>
      <w:r>
        <w:rPr>
          <w:rFonts w:asciiTheme="minorBidi" w:hAnsiTheme="minorBidi" w:cstheme="minorBidi"/>
          <w:sz w:val="22"/>
          <w:szCs w:val="22"/>
          <w:lang w:val="fr-FR"/>
        </w:rPr>
        <w:tab/>
      </w:r>
      <w:r w:rsidR="002649D8" w:rsidRPr="00065207">
        <w:rPr>
          <w:rFonts w:asciiTheme="minorBidi" w:hAnsiTheme="minorBidi" w:cstheme="minorBidi"/>
          <w:sz w:val="22"/>
          <w:szCs w:val="22"/>
          <w:lang w:val="fr-FR"/>
        </w:rPr>
        <w:t>IOC/EC-55/5.1.Doc(1) – Révision proposée du Règlement intérieur de la COI – Premier projet,</w:t>
      </w:r>
    </w:p>
    <w:p w14:paraId="6AD44E76" w14:textId="5C3AC519" w:rsidR="002649D8" w:rsidRPr="00006271" w:rsidRDefault="00006271" w:rsidP="00006271">
      <w:pPr>
        <w:pStyle w:val="b"/>
        <w:tabs>
          <w:tab w:val="clear" w:pos="1134"/>
        </w:tabs>
        <w:rPr>
          <w:rFonts w:asciiTheme="minorBidi" w:eastAsia="Calibri" w:hAnsiTheme="minorBidi" w:cstheme="minorBidi"/>
          <w:sz w:val="22"/>
          <w:szCs w:val="22"/>
          <w:lang w:val="fr-FR"/>
        </w:rPr>
      </w:pPr>
      <w:r>
        <w:rPr>
          <w:rFonts w:asciiTheme="minorBidi" w:hAnsiTheme="minorBidi" w:cstheme="minorBidi"/>
          <w:sz w:val="22"/>
          <w:szCs w:val="22"/>
          <w:lang w:val="fr-FR"/>
        </w:rPr>
        <w:t>(iv)</w:t>
      </w:r>
      <w:r>
        <w:rPr>
          <w:rFonts w:asciiTheme="minorBidi" w:hAnsiTheme="minorBidi" w:cstheme="minorBidi"/>
          <w:sz w:val="22"/>
          <w:szCs w:val="22"/>
          <w:lang w:val="fr-FR"/>
        </w:rPr>
        <w:tab/>
      </w:r>
      <w:r w:rsidR="002649D8" w:rsidRPr="00065207">
        <w:rPr>
          <w:rFonts w:asciiTheme="minorBidi" w:hAnsiTheme="minorBidi" w:cstheme="minorBidi"/>
          <w:sz w:val="22"/>
          <w:szCs w:val="22"/>
          <w:lang w:val="fr-FR"/>
        </w:rPr>
        <w:t>IOC/EC-55/5.1.Doc(2) – Rapport du Président du Groupe consultatif financier intersessions (période intersessions de décembre 2021 à juin 2022),</w:t>
      </w:r>
    </w:p>
    <w:p w14:paraId="6DD302F8" w14:textId="315D29E4" w:rsidR="00767CF6" w:rsidRPr="00006271" w:rsidRDefault="002649D8" w:rsidP="00006271">
      <w:pPr>
        <w:pStyle w:val="b"/>
        <w:numPr>
          <w:ilvl w:val="0"/>
          <w:numId w:val="21"/>
        </w:numPr>
        <w:tabs>
          <w:tab w:val="clear" w:pos="1134"/>
        </w:tabs>
        <w:ind w:left="567" w:hanging="567"/>
        <w:jc w:val="center"/>
        <w:rPr>
          <w:rFonts w:asciiTheme="minorBidi" w:eastAsia="Calibri" w:hAnsiTheme="minorBidi" w:cstheme="minorBidi"/>
          <w:b/>
          <w:sz w:val="22"/>
          <w:szCs w:val="22"/>
          <w:lang w:val="fr-FR"/>
        </w:rPr>
      </w:pPr>
      <w:r w:rsidRPr="00065207">
        <w:rPr>
          <w:rFonts w:asciiTheme="minorBidi" w:hAnsiTheme="minorBidi" w:cstheme="minorBidi"/>
          <w:b/>
          <w:bCs/>
          <w:sz w:val="22"/>
          <w:szCs w:val="22"/>
          <w:lang w:val="fr-FR"/>
        </w:rPr>
        <w:t>Rapport sur l’exécution du budget 2020-2021 (40</w:t>
      </w:r>
      <w:r w:rsidR="0049057A">
        <w:rPr>
          <w:rFonts w:asciiTheme="minorBidi" w:hAnsiTheme="minorBidi" w:cstheme="minorBidi"/>
          <w:b/>
          <w:bCs/>
          <w:sz w:val="22"/>
          <w:szCs w:val="22"/>
          <w:lang w:val="fr-FR"/>
        </w:rPr>
        <w:t> </w:t>
      </w:r>
      <w:r w:rsidRPr="00065207">
        <w:rPr>
          <w:rFonts w:asciiTheme="minorBidi" w:hAnsiTheme="minorBidi" w:cstheme="minorBidi"/>
          <w:b/>
          <w:bCs/>
          <w:sz w:val="22"/>
          <w:szCs w:val="22"/>
          <w:lang w:val="fr-FR"/>
        </w:rPr>
        <w:t xml:space="preserve">C/5) au 31 décembre 2021 </w:t>
      </w:r>
      <w:r w:rsidR="00006271">
        <w:rPr>
          <w:rFonts w:asciiTheme="minorBidi" w:hAnsiTheme="minorBidi" w:cstheme="minorBidi"/>
          <w:b/>
          <w:bCs/>
          <w:sz w:val="22"/>
          <w:szCs w:val="22"/>
          <w:lang w:val="fr-FR"/>
        </w:rPr>
        <w:br/>
      </w:r>
      <w:r w:rsidRPr="00065207">
        <w:rPr>
          <w:rFonts w:asciiTheme="minorBidi" w:hAnsiTheme="minorBidi" w:cstheme="minorBidi"/>
          <w:b/>
          <w:bCs/>
          <w:sz w:val="22"/>
          <w:szCs w:val="22"/>
          <w:lang w:val="fr-FR"/>
        </w:rPr>
        <w:t>et grandes lignes du cadre budgétaire intégré 2022-2023</w:t>
      </w:r>
    </w:p>
    <w:p w14:paraId="6DFF1D03" w14:textId="5B028054" w:rsidR="00D53493" w:rsidRPr="00006271" w:rsidRDefault="00006271" w:rsidP="00006271">
      <w:pPr>
        <w:pStyle w:val="b"/>
        <w:tabs>
          <w:tab w:val="clear" w:pos="1134"/>
        </w:tabs>
        <w:ind w:left="567"/>
        <w:rPr>
          <w:rFonts w:asciiTheme="minorBidi" w:eastAsia="Calibri" w:hAnsiTheme="minorBidi" w:cstheme="minorBidi"/>
          <w:sz w:val="22"/>
          <w:szCs w:val="22"/>
          <w:lang w:val="fr-FR"/>
        </w:rPr>
      </w:pPr>
      <w:r w:rsidRPr="00006271">
        <w:rPr>
          <w:rFonts w:asciiTheme="minorBidi" w:hAnsiTheme="minorBidi" w:cstheme="minorBidi"/>
          <w:sz w:val="22"/>
          <w:szCs w:val="22"/>
          <w:lang w:val="fr-FR"/>
        </w:rPr>
        <w:t>2.</w:t>
      </w:r>
      <w:r w:rsidRPr="00006271">
        <w:rPr>
          <w:rFonts w:asciiTheme="minorBidi" w:hAnsiTheme="minorBidi" w:cstheme="minorBidi"/>
          <w:sz w:val="22"/>
          <w:szCs w:val="22"/>
          <w:lang w:val="fr-FR"/>
        </w:rPr>
        <w:tab/>
      </w:r>
      <w:r w:rsidR="00D53493" w:rsidRPr="00065207">
        <w:rPr>
          <w:rFonts w:asciiTheme="minorBidi" w:hAnsiTheme="minorBidi" w:cstheme="minorBidi"/>
          <w:b/>
          <w:bCs/>
          <w:sz w:val="22"/>
          <w:szCs w:val="22"/>
          <w:lang w:val="fr-FR"/>
        </w:rPr>
        <w:t>Confirme</w:t>
      </w:r>
      <w:r w:rsidR="00D53493" w:rsidRPr="00065207">
        <w:rPr>
          <w:rFonts w:asciiTheme="minorBidi" w:hAnsiTheme="minorBidi" w:cstheme="minorBidi"/>
          <w:sz w:val="22"/>
          <w:szCs w:val="22"/>
          <w:lang w:val="fr-FR"/>
        </w:rPr>
        <w:t xml:space="preserve"> que le budget de la COI pour 2020-2021, tel que présenté dans la Partie I du document IOC/EC-55/3.1.Doc(2), a été exécuté conformément au Programme et budget approuvés pour 2020-2021 (40 C/5), y compris </w:t>
      </w:r>
      <w:r w:rsidR="00992C76">
        <w:rPr>
          <w:rFonts w:asciiTheme="minorBidi" w:hAnsiTheme="minorBidi" w:cstheme="minorBidi"/>
          <w:sz w:val="22"/>
          <w:szCs w:val="22"/>
          <w:lang w:val="fr-FR"/>
        </w:rPr>
        <w:t>aux</w:t>
      </w:r>
      <w:r w:rsidR="00D53493" w:rsidRPr="00065207">
        <w:rPr>
          <w:rFonts w:asciiTheme="minorBidi" w:hAnsiTheme="minorBidi" w:cstheme="minorBidi"/>
          <w:sz w:val="22"/>
          <w:szCs w:val="22"/>
          <w:lang w:val="fr-FR"/>
        </w:rPr>
        <w:t xml:space="preserve"> crédits budgétaires ajustés pour le Compte spécial de la COI tels qu’approuvés par l’Assemblée de la COI à sa 31</w:t>
      </w:r>
      <w:r w:rsidR="00D53493" w:rsidRPr="00065207">
        <w:rPr>
          <w:rFonts w:asciiTheme="minorBidi" w:hAnsiTheme="minorBidi" w:cstheme="minorBidi"/>
          <w:sz w:val="22"/>
          <w:szCs w:val="22"/>
          <w:vertAlign w:val="superscript"/>
          <w:lang w:val="fr-FR"/>
        </w:rPr>
        <w:t>e</w:t>
      </w:r>
      <w:r w:rsidR="00D53493" w:rsidRPr="00065207">
        <w:rPr>
          <w:rFonts w:asciiTheme="minorBidi" w:hAnsiTheme="minorBidi" w:cstheme="minorBidi"/>
          <w:sz w:val="22"/>
          <w:szCs w:val="22"/>
          <w:lang w:val="fr-FR"/>
        </w:rPr>
        <w:t> session (IOC/A-31/3.2.Doc(3)) dans sa résolution A-31/2 ;</w:t>
      </w:r>
    </w:p>
    <w:p w14:paraId="6F08E908" w14:textId="759B0331" w:rsidR="00D53493" w:rsidRPr="00006271" w:rsidRDefault="000B6A23" w:rsidP="00006271">
      <w:pPr>
        <w:pStyle w:val="b"/>
        <w:tabs>
          <w:tab w:val="clear" w:pos="1134"/>
        </w:tabs>
        <w:ind w:left="567"/>
        <w:rPr>
          <w:rFonts w:asciiTheme="minorBidi" w:eastAsia="Calibri" w:hAnsiTheme="minorBidi" w:cstheme="minorBidi"/>
          <w:sz w:val="22"/>
          <w:szCs w:val="22"/>
          <w:lang w:val="fr-FR"/>
        </w:rPr>
      </w:pPr>
      <w:r w:rsidRPr="000B6A23">
        <w:rPr>
          <w:rFonts w:asciiTheme="minorBidi" w:hAnsiTheme="minorBidi" w:cstheme="minorBidi"/>
          <w:sz w:val="22"/>
          <w:szCs w:val="22"/>
          <w:lang w:val="fr-FR"/>
        </w:rPr>
        <w:t>3.</w:t>
      </w:r>
      <w:r w:rsidRPr="000B6A23">
        <w:rPr>
          <w:rFonts w:asciiTheme="minorBidi" w:hAnsiTheme="minorBidi" w:cstheme="minorBidi"/>
          <w:sz w:val="22"/>
          <w:szCs w:val="22"/>
          <w:lang w:val="fr-FR"/>
        </w:rPr>
        <w:tab/>
      </w:r>
      <w:r w:rsidR="00D53493" w:rsidRPr="00065207">
        <w:rPr>
          <w:rFonts w:asciiTheme="minorBidi" w:hAnsiTheme="minorBidi" w:cstheme="minorBidi"/>
          <w:b/>
          <w:bCs/>
          <w:sz w:val="22"/>
          <w:szCs w:val="22"/>
          <w:lang w:val="fr-FR"/>
        </w:rPr>
        <w:t>Constate</w:t>
      </w:r>
      <w:r w:rsidR="00D53493" w:rsidRPr="00065207">
        <w:rPr>
          <w:rFonts w:asciiTheme="minorBidi" w:hAnsiTheme="minorBidi" w:cstheme="minorBidi"/>
          <w:sz w:val="22"/>
          <w:szCs w:val="22"/>
          <w:lang w:val="fr-FR"/>
        </w:rPr>
        <w:t xml:space="preserve"> que les objectifs de mobilisation de ressources extrabudgétaires fixés pour l’exercice</w:t>
      </w:r>
      <w:r w:rsidR="00065207">
        <w:rPr>
          <w:rFonts w:asciiTheme="minorBidi" w:hAnsiTheme="minorBidi" w:cstheme="minorBidi"/>
          <w:sz w:val="22"/>
          <w:szCs w:val="22"/>
          <w:lang w:val="fr-FR"/>
        </w:rPr>
        <w:t> </w:t>
      </w:r>
      <w:r w:rsidR="00D53493" w:rsidRPr="00065207">
        <w:rPr>
          <w:rFonts w:asciiTheme="minorBidi" w:hAnsiTheme="minorBidi" w:cstheme="minorBidi"/>
          <w:sz w:val="22"/>
          <w:szCs w:val="22"/>
          <w:lang w:val="fr-FR"/>
        </w:rPr>
        <w:t>2020-2021 ont été atteints à hauteur de 92 % dans l’ensemble, mais avec des écarts considérables entre les fonctions de la Commission</w:t>
      </w:r>
      <w:r w:rsidR="00065207">
        <w:rPr>
          <w:rFonts w:asciiTheme="minorBidi" w:hAnsiTheme="minorBidi" w:cstheme="minorBidi"/>
          <w:sz w:val="22"/>
          <w:szCs w:val="22"/>
          <w:lang w:val="fr-FR"/>
        </w:rPr>
        <w:t> </w:t>
      </w:r>
      <w:r w:rsidR="00D53493" w:rsidRPr="00065207">
        <w:rPr>
          <w:rFonts w:asciiTheme="minorBidi" w:hAnsiTheme="minorBidi" w:cstheme="minorBidi"/>
          <w:sz w:val="22"/>
          <w:szCs w:val="22"/>
          <w:lang w:val="fr-FR"/>
        </w:rPr>
        <w:t>;</w:t>
      </w:r>
    </w:p>
    <w:p w14:paraId="43E0DC4E" w14:textId="29006D78" w:rsidR="00D53493" w:rsidRPr="00006271" w:rsidRDefault="000B6A23" w:rsidP="00006271">
      <w:pPr>
        <w:pStyle w:val="b"/>
        <w:tabs>
          <w:tab w:val="clear" w:pos="1134"/>
        </w:tabs>
        <w:ind w:left="567"/>
        <w:rPr>
          <w:rFonts w:asciiTheme="minorBidi" w:eastAsia="Calibri" w:hAnsiTheme="minorBidi" w:cstheme="minorBidi"/>
          <w:sz w:val="22"/>
          <w:szCs w:val="22"/>
          <w:lang w:val="fr-FR"/>
        </w:rPr>
      </w:pPr>
      <w:r w:rsidRPr="000B6A23">
        <w:rPr>
          <w:rFonts w:asciiTheme="minorBidi" w:hAnsiTheme="minorBidi" w:cstheme="minorBidi"/>
          <w:sz w:val="22"/>
          <w:szCs w:val="22"/>
          <w:lang w:val="fr-FR"/>
        </w:rPr>
        <w:t>4.</w:t>
      </w:r>
      <w:r w:rsidRPr="000B6A23">
        <w:rPr>
          <w:rFonts w:asciiTheme="minorBidi" w:hAnsiTheme="minorBidi" w:cstheme="minorBidi"/>
          <w:sz w:val="22"/>
          <w:szCs w:val="22"/>
          <w:lang w:val="fr-FR"/>
        </w:rPr>
        <w:tab/>
      </w:r>
      <w:r w:rsidR="00D53493" w:rsidRPr="00065207">
        <w:rPr>
          <w:rFonts w:asciiTheme="minorBidi" w:hAnsiTheme="minorBidi" w:cstheme="minorBidi"/>
          <w:b/>
          <w:bCs/>
          <w:sz w:val="22"/>
          <w:szCs w:val="22"/>
          <w:lang w:val="fr-FR"/>
        </w:rPr>
        <w:t>Remercie</w:t>
      </w:r>
      <w:r w:rsidR="00D53493" w:rsidRPr="00065207">
        <w:rPr>
          <w:rFonts w:asciiTheme="minorBidi" w:hAnsiTheme="minorBidi" w:cstheme="minorBidi"/>
          <w:sz w:val="22"/>
          <w:szCs w:val="22"/>
          <w:lang w:val="fr-FR"/>
        </w:rPr>
        <w:t xml:space="preserve"> les États membres qui ont fourni des ressources extrabudgétaires et des contributions en nature pour la mise en œuvre du programme 2020-2021</w:t>
      </w:r>
      <w:r w:rsidR="00065207">
        <w:rPr>
          <w:rFonts w:asciiTheme="minorBidi" w:hAnsiTheme="minorBidi" w:cstheme="minorBidi"/>
          <w:sz w:val="22"/>
          <w:szCs w:val="22"/>
          <w:lang w:val="fr-FR"/>
        </w:rPr>
        <w:t> </w:t>
      </w:r>
      <w:r w:rsidR="00D53493" w:rsidRPr="00065207">
        <w:rPr>
          <w:rFonts w:asciiTheme="minorBidi" w:hAnsiTheme="minorBidi" w:cstheme="minorBidi"/>
          <w:sz w:val="22"/>
          <w:szCs w:val="22"/>
          <w:lang w:val="fr-FR"/>
        </w:rPr>
        <w:t>;</w:t>
      </w:r>
    </w:p>
    <w:p w14:paraId="247074AE" w14:textId="23DFB773" w:rsidR="00D53493" w:rsidRPr="00006271" w:rsidRDefault="000B6A23" w:rsidP="00006271">
      <w:pPr>
        <w:pStyle w:val="b"/>
        <w:tabs>
          <w:tab w:val="clear" w:pos="1134"/>
        </w:tabs>
        <w:ind w:left="567"/>
        <w:rPr>
          <w:rFonts w:asciiTheme="minorBidi" w:eastAsia="Calibri" w:hAnsiTheme="minorBidi" w:cstheme="minorBidi"/>
          <w:sz w:val="22"/>
          <w:szCs w:val="22"/>
          <w:lang w:val="fr-FR"/>
        </w:rPr>
      </w:pPr>
      <w:r w:rsidRPr="000B6A23">
        <w:rPr>
          <w:rFonts w:asciiTheme="minorBidi" w:hAnsiTheme="minorBidi" w:cstheme="minorBidi"/>
          <w:sz w:val="22"/>
          <w:szCs w:val="22"/>
          <w:lang w:val="fr-FR"/>
        </w:rPr>
        <w:t>5.</w:t>
      </w:r>
      <w:r w:rsidRPr="000B6A23">
        <w:rPr>
          <w:rFonts w:asciiTheme="minorBidi" w:hAnsiTheme="minorBidi" w:cstheme="minorBidi"/>
          <w:sz w:val="22"/>
          <w:szCs w:val="22"/>
          <w:lang w:val="fr-FR"/>
        </w:rPr>
        <w:tab/>
      </w:r>
      <w:r w:rsidR="00D53493" w:rsidRPr="00065207">
        <w:rPr>
          <w:rFonts w:asciiTheme="minorBidi" w:hAnsiTheme="minorBidi" w:cstheme="minorBidi"/>
          <w:b/>
          <w:bCs/>
          <w:sz w:val="22"/>
          <w:szCs w:val="22"/>
          <w:lang w:val="fr-FR"/>
        </w:rPr>
        <w:t>Exprime sa satisfaction</w:t>
      </w:r>
      <w:r w:rsidR="00D53493" w:rsidRPr="00065207">
        <w:rPr>
          <w:rFonts w:asciiTheme="minorBidi" w:hAnsiTheme="minorBidi" w:cstheme="minorBidi"/>
          <w:sz w:val="22"/>
          <w:szCs w:val="22"/>
          <w:lang w:val="fr-FR"/>
        </w:rPr>
        <w:t xml:space="preserve"> quant au fait que le cadre budgétaire intégré pour 2022-2023 approuvé par la Conférence générale de l’UNESCO à sa 41</w:t>
      </w:r>
      <w:r w:rsidR="00D53493" w:rsidRPr="00065207">
        <w:rPr>
          <w:rFonts w:asciiTheme="minorBidi" w:hAnsiTheme="minorBidi" w:cstheme="minorBidi"/>
          <w:sz w:val="22"/>
          <w:szCs w:val="22"/>
          <w:vertAlign w:val="superscript"/>
          <w:lang w:val="fr-FR"/>
        </w:rPr>
        <w:t>e</w:t>
      </w:r>
      <w:r w:rsidR="00D53493" w:rsidRPr="00065207">
        <w:rPr>
          <w:rFonts w:asciiTheme="minorBidi" w:hAnsiTheme="minorBidi" w:cstheme="minorBidi"/>
          <w:sz w:val="22"/>
          <w:szCs w:val="22"/>
          <w:lang w:val="fr-FR"/>
        </w:rPr>
        <w:t> session et présenté dans la Partie II du document IOC/EC-55/3.1.Doc(2) est conforme aux allocations budgétaires approuvées par l’Assemblée de la COI à sa 31</w:t>
      </w:r>
      <w:r w:rsidR="00D53493" w:rsidRPr="00065207">
        <w:rPr>
          <w:rFonts w:asciiTheme="minorBidi" w:hAnsiTheme="minorBidi" w:cstheme="minorBidi"/>
          <w:sz w:val="22"/>
          <w:szCs w:val="22"/>
          <w:vertAlign w:val="superscript"/>
          <w:lang w:val="fr-FR"/>
        </w:rPr>
        <w:t>e</w:t>
      </w:r>
      <w:r w:rsidR="00D53493" w:rsidRPr="00065207">
        <w:rPr>
          <w:rFonts w:asciiTheme="minorBidi" w:hAnsiTheme="minorBidi" w:cstheme="minorBidi"/>
          <w:sz w:val="22"/>
          <w:szCs w:val="22"/>
          <w:lang w:val="fr-FR"/>
        </w:rPr>
        <w:t> session (IOC/A-31/4.2.Doc) dans sa résolution A-31/2 ;</w:t>
      </w:r>
    </w:p>
    <w:p w14:paraId="0938F09C" w14:textId="1DB44E12" w:rsidR="00D53493" w:rsidRPr="00006271" w:rsidRDefault="000B6A23" w:rsidP="00006271">
      <w:pPr>
        <w:pStyle w:val="b"/>
        <w:tabs>
          <w:tab w:val="clear" w:pos="1134"/>
        </w:tabs>
        <w:ind w:left="567"/>
        <w:rPr>
          <w:rFonts w:asciiTheme="minorBidi" w:eastAsia="Calibri" w:hAnsiTheme="minorBidi" w:cstheme="minorBidi"/>
          <w:sz w:val="22"/>
          <w:szCs w:val="22"/>
          <w:lang w:val="fr-FR"/>
        </w:rPr>
      </w:pPr>
      <w:r w:rsidRPr="000B6A23">
        <w:rPr>
          <w:rFonts w:asciiTheme="minorBidi" w:hAnsiTheme="minorBidi" w:cstheme="minorBidi"/>
          <w:sz w:val="22"/>
          <w:szCs w:val="22"/>
          <w:lang w:val="fr-FR"/>
        </w:rPr>
        <w:lastRenderedPageBreak/>
        <w:t>6.</w:t>
      </w:r>
      <w:r w:rsidRPr="000B6A23">
        <w:rPr>
          <w:rFonts w:asciiTheme="minorBidi" w:hAnsiTheme="minorBidi" w:cstheme="minorBidi"/>
          <w:sz w:val="22"/>
          <w:szCs w:val="22"/>
          <w:lang w:val="fr-FR"/>
        </w:rPr>
        <w:tab/>
      </w:r>
      <w:r w:rsidR="00D53493" w:rsidRPr="00065207">
        <w:rPr>
          <w:rFonts w:asciiTheme="minorBidi" w:hAnsiTheme="minorBidi" w:cstheme="minorBidi"/>
          <w:b/>
          <w:bCs/>
          <w:sz w:val="22"/>
          <w:szCs w:val="22"/>
          <w:lang w:val="fr-FR"/>
        </w:rPr>
        <w:t>Prend acte</w:t>
      </w:r>
      <w:r w:rsidR="00D53493" w:rsidRPr="00065207">
        <w:rPr>
          <w:rFonts w:asciiTheme="minorBidi" w:hAnsiTheme="minorBidi" w:cstheme="minorBidi"/>
          <w:sz w:val="22"/>
          <w:szCs w:val="22"/>
          <w:lang w:val="fr-FR"/>
        </w:rPr>
        <w:t xml:space="preserve"> des informations sur la situation financière du Compte spécial de la COI à la fin de l’exercice 2021 et des prévisions pour 2022-2023, telles qu’elles figurent dans le document IOC/EC-55/3.1.Doc(3) ;</w:t>
      </w:r>
    </w:p>
    <w:p w14:paraId="68734964" w14:textId="6D3C96AC" w:rsidR="008A5FBD" w:rsidRPr="00006271" w:rsidRDefault="000B6A23" w:rsidP="00006271">
      <w:pPr>
        <w:pStyle w:val="b"/>
        <w:tabs>
          <w:tab w:val="clear" w:pos="1134"/>
        </w:tabs>
        <w:ind w:left="567"/>
        <w:rPr>
          <w:rFonts w:asciiTheme="minorBidi" w:eastAsia="Calibri" w:hAnsiTheme="minorBidi" w:cstheme="minorBidi"/>
          <w:sz w:val="22"/>
          <w:szCs w:val="22"/>
          <w:lang w:val="fr-FR"/>
        </w:rPr>
      </w:pPr>
      <w:r w:rsidRPr="000B6A23">
        <w:rPr>
          <w:rFonts w:asciiTheme="minorBidi" w:hAnsiTheme="minorBidi" w:cstheme="minorBidi"/>
          <w:sz w:val="22"/>
          <w:szCs w:val="22"/>
          <w:lang w:val="fr-FR"/>
        </w:rPr>
        <w:t>7.</w:t>
      </w:r>
      <w:r w:rsidRPr="000B6A23">
        <w:rPr>
          <w:rFonts w:asciiTheme="minorBidi" w:hAnsiTheme="minorBidi" w:cstheme="minorBidi"/>
          <w:sz w:val="22"/>
          <w:szCs w:val="22"/>
          <w:lang w:val="fr-FR"/>
        </w:rPr>
        <w:tab/>
      </w:r>
      <w:r w:rsidR="008A5FBD" w:rsidRPr="00065207">
        <w:rPr>
          <w:rFonts w:asciiTheme="minorBidi" w:hAnsiTheme="minorBidi" w:cstheme="minorBidi"/>
          <w:b/>
          <w:bCs/>
          <w:sz w:val="22"/>
          <w:szCs w:val="22"/>
          <w:lang w:val="fr-FR"/>
        </w:rPr>
        <w:t>Approuve</w:t>
      </w:r>
      <w:r w:rsidR="008A5FBD" w:rsidRPr="00065207">
        <w:rPr>
          <w:rFonts w:asciiTheme="minorBidi" w:hAnsiTheme="minorBidi" w:cstheme="minorBidi"/>
          <w:sz w:val="22"/>
          <w:szCs w:val="22"/>
          <w:lang w:val="fr-FR"/>
        </w:rPr>
        <w:t xml:space="preserve"> les crédits budgétaires révisés pour 2022-2023, tels qu’ils figurent </w:t>
      </w:r>
      <w:r w:rsidR="00C455DE">
        <w:rPr>
          <w:rFonts w:asciiTheme="minorBidi" w:hAnsiTheme="minorBidi" w:cstheme="minorBidi"/>
          <w:sz w:val="22"/>
          <w:szCs w:val="22"/>
          <w:lang w:val="fr-FR"/>
        </w:rPr>
        <w:t>au</w:t>
      </w:r>
      <w:r w:rsidR="008A5FBD" w:rsidRPr="00065207">
        <w:rPr>
          <w:rFonts w:asciiTheme="minorBidi" w:hAnsiTheme="minorBidi" w:cstheme="minorBidi"/>
          <w:sz w:val="22"/>
          <w:szCs w:val="22"/>
          <w:lang w:val="fr-FR"/>
        </w:rPr>
        <w:t xml:space="preserve"> tableau 1 du document IOC/EC-55/3.1.Doc(3) ;</w:t>
      </w:r>
    </w:p>
    <w:p w14:paraId="29D36E6D" w14:textId="00FD970A" w:rsidR="00D53493" w:rsidRPr="00006271" w:rsidRDefault="000B6A23" w:rsidP="00006271">
      <w:pPr>
        <w:pStyle w:val="b"/>
        <w:tabs>
          <w:tab w:val="clear" w:pos="1134"/>
        </w:tabs>
        <w:ind w:left="567"/>
        <w:rPr>
          <w:rFonts w:asciiTheme="minorBidi" w:eastAsia="Calibri" w:hAnsiTheme="minorBidi" w:cstheme="minorBidi"/>
          <w:sz w:val="22"/>
          <w:szCs w:val="22"/>
          <w:lang w:val="fr-FR"/>
        </w:rPr>
      </w:pPr>
      <w:r w:rsidRPr="000B6A23">
        <w:rPr>
          <w:rFonts w:asciiTheme="minorBidi" w:hAnsiTheme="minorBidi" w:cstheme="minorBidi"/>
          <w:sz w:val="22"/>
          <w:szCs w:val="22"/>
          <w:lang w:val="fr-FR"/>
        </w:rPr>
        <w:t>8.</w:t>
      </w:r>
      <w:r w:rsidRPr="000B6A23">
        <w:rPr>
          <w:rFonts w:asciiTheme="minorBidi" w:hAnsiTheme="minorBidi" w:cstheme="minorBidi"/>
          <w:sz w:val="22"/>
          <w:szCs w:val="22"/>
          <w:lang w:val="fr-FR"/>
        </w:rPr>
        <w:tab/>
      </w:r>
      <w:r w:rsidR="00D53493" w:rsidRPr="00065207">
        <w:rPr>
          <w:rFonts w:asciiTheme="minorBidi" w:hAnsiTheme="minorBidi" w:cstheme="minorBidi"/>
          <w:b/>
          <w:bCs/>
          <w:sz w:val="22"/>
          <w:szCs w:val="22"/>
          <w:lang w:val="fr-FR"/>
        </w:rPr>
        <w:t>Encourage</w:t>
      </w:r>
      <w:r w:rsidR="00D53493" w:rsidRPr="00065207">
        <w:rPr>
          <w:rFonts w:asciiTheme="minorBidi" w:hAnsiTheme="minorBidi" w:cstheme="minorBidi"/>
          <w:sz w:val="22"/>
          <w:szCs w:val="22"/>
          <w:lang w:val="fr-FR"/>
        </w:rPr>
        <w:t xml:space="preserve"> tous les États membres à fournir des contributions volontaires pour assurer la pleine réalisation des objectifs de mobilisation de ressources extrabudgétaires convenus collectivement pour 2022-2023, de préférence au Compte spécial de la COI ;</w:t>
      </w:r>
    </w:p>
    <w:p w14:paraId="2F40110F" w14:textId="7712A083" w:rsidR="007C398E" w:rsidRPr="00006271" w:rsidRDefault="000B6A23" w:rsidP="00006271">
      <w:pPr>
        <w:pStyle w:val="b"/>
        <w:tabs>
          <w:tab w:val="clear" w:pos="1134"/>
        </w:tabs>
        <w:ind w:left="567"/>
        <w:rPr>
          <w:rFonts w:asciiTheme="minorBidi" w:eastAsia="Calibri" w:hAnsiTheme="minorBidi" w:cstheme="minorBidi"/>
          <w:b/>
          <w:bCs/>
          <w:sz w:val="22"/>
          <w:szCs w:val="22"/>
          <w:lang w:val="fr-FR"/>
        </w:rPr>
      </w:pPr>
      <w:r w:rsidRPr="000B6A23">
        <w:rPr>
          <w:rFonts w:asciiTheme="minorBidi" w:hAnsiTheme="minorBidi" w:cstheme="minorBidi"/>
          <w:sz w:val="22"/>
          <w:szCs w:val="22"/>
          <w:lang w:val="fr-FR"/>
        </w:rPr>
        <w:t>9.</w:t>
      </w:r>
      <w:r w:rsidRPr="000B6A23">
        <w:rPr>
          <w:rFonts w:asciiTheme="minorBidi" w:hAnsiTheme="minorBidi" w:cstheme="minorBidi"/>
          <w:sz w:val="22"/>
          <w:szCs w:val="22"/>
          <w:lang w:val="fr-FR"/>
        </w:rPr>
        <w:tab/>
      </w:r>
      <w:r w:rsidR="007C398E" w:rsidRPr="00065207">
        <w:rPr>
          <w:rFonts w:asciiTheme="minorBidi" w:hAnsiTheme="minorBidi" w:cstheme="minorBidi"/>
          <w:b/>
          <w:bCs/>
          <w:sz w:val="22"/>
          <w:szCs w:val="22"/>
          <w:lang w:val="fr-FR"/>
        </w:rPr>
        <w:t>Prie instamment</w:t>
      </w:r>
      <w:r w:rsidR="007C398E" w:rsidRPr="00065207">
        <w:rPr>
          <w:rFonts w:asciiTheme="minorBidi" w:hAnsiTheme="minorBidi" w:cstheme="minorBidi"/>
          <w:sz w:val="22"/>
          <w:szCs w:val="22"/>
          <w:lang w:val="fr-FR"/>
        </w:rPr>
        <w:t xml:space="preserve"> le Secrétaire exécutif de la COI de présenter d’ici septembre 2022 une estimation du budget, y compris des besoins en ressources humaines, nécessaire pour exécuter dans la durée les programmes fondamentaux de la COI et développer les activités de la Commission en réponse au nombre croissant de demandes des États membres et d’autres parties prenantes comme évoqué dans la résolution XXX-3 de la COI, </w:t>
      </w:r>
      <w:r w:rsidR="00992C76">
        <w:rPr>
          <w:rFonts w:asciiTheme="minorBidi" w:hAnsiTheme="minorBidi" w:cstheme="minorBidi"/>
          <w:sz w:val="22"/>
          <w:szCs w:val="22"/>
          <w:lang w:val="fr-FR"/>
        </w:rPr>
        <w:t>ainsi que</w:t>
      </w:r>
      <w:r w:rsidR="007C398E" w:rsidRPr="00065207">
        <w:rPr>
          <w:rFonts w:asciiTheme="minorBidi" w:hAnsiTheme="minorBidi" w:cstheme="minorBidi"/>
          <w:sz w:val="22"/>
          <w:szCs w:val="22"/>
          <w:lang w:val="fr-FR"/>
        </w:rPr>
        <w:t xml:space="preserve"> de la communiquer à l’ensemble des États membres de la COI par lettre circulaire ;</w:t>
      </w:r>
    </w:p>
    <w:p w14:paraId="47DB2E89" w14:textId="792EFB32" w:rsidR="00D53493" w:rsidRPr="00006271" w:rsidRDefault="000B6A23" w:rsidP="00006271">
      <w:pPr>
        <w:pStyle w:val="b"/>
        <w:tabs>
          <w:tab w:val="clear" w:pos="1134"/>
        </w:tabs>
        <w:ind w:left="567"/>
        <w:rPr>
          <w:rFonts w:asciiTheme="minorBidi" w:eastAsia="Calibri" w:hAnsiTheme="minorBidi" w:cstheme="minorBidi"/>
          <w:sz w:val="22"/>
          <w:szCs w:val="22"/>
          <w:lang w:val="fr-FR"/>
        </w:rPr>
      </w:pPr>
      <w:r w:rsidRPr="000B6A23">
        <w:rPr>
          <w:rFonts w:asciiTheme="minorBidi" w:hAnsiTheme="minorBidi" w:cstheme="minorBidi"/>
          <w:sz w:val="22"/>
          <w:szCs w:val="22"/>
          <w:lang w:val="fr-FR"/>
        </w:rPr>
        <w:t>10.</w:t>
      </w:r>
      <w:r w:rsidRPr="000B6A23">
        <w:rPr>
          <w:rFonts w:asciiTheme="minorBidi" w:hAnsiTheme="minorBidi" w:cstheme="minorBidi"/>
          <w:sz w:val="22"/>
          <w:szCs w:val="22"/>
          <w:lang w:val="fr-FR"/>
        </w:rPr>
        <w:tab/>
      </w:r>
      <w:r w:rsidR="00C363FE" w:rsidRPr="00065207">
        <w:rPr>
          <w:rFonts w:asciiTheme="minorBidi" w:hAnsiTheme="minorBidi" w:cstheme="minorBidi"/>
          <w:b/>
          <w:bCs/>
          <w:sz w:val="22"/>
          <w:szCs w:val="22"/>
          <w:lang w:val="fr-FR"/>
        </w:rPr>
        <w:t>Prie également</w:t>
      </w:r>
      <w:r w:rsidR="00C363FE" w:rsidRPr="00065207">
        <w:rPr>
          <w:rFonts w:asciiTheme="minorBidi" w:hAnsiTheme="minorBidi" w:cstheme="minorBidi"/>
          <w:sz w:val="22"/>
          <w:szCs w:val="22"/>
          <w:lang w:val="fr-FR"/>
        </w:rPr>
        <w:t xml:space="preserve"> le Secrétaire exécutif de la COI de poursuivre ses efforts pour obtenir de nouvelles contributions volontaires, y compris de donateurs du secteur privé et d’autres partenaires, ainsi que pour parvenir à la mise en œuvre intégrale des objectifs programmatiques de la Commission pour 2022-2023 ;</w:t>
      </w:r>
    </w:p>
    <w:p w14:paraId="3E951F8D" w14:textId="77777777" w:rsidR="00D53493" w:rsidRPr="00065207" w:rsidRDefault="00D53493" w:rsidP="000B6A23">
      <w:pPr>
        <w:pStyle w:val="b"/>
        <w:numPr>
          <w:ilvl w:val="0"/>
          <w:numId w:val="21"/>
        </w:numPr>
        <w:tabs>
          <w:tab w:val="clear" w:pos="1134"/>
        </w:tabs>
        <w:ind w:left="567" w:hanging="567"/>
        <w:jc w:val="center"/>
        <w:rPr>
          <w:rFonts w:asciiTheme="minorBidi" w:eastAsia="Calibri" w:hAnsiTheme="minorBidi" w:cstheme="minorBidi"/>
          <w:b/>
          <w:sz w:val="22"/>
          <w:szCs w:val="22"/>
        </w:rPr>
      </w:pPr>
      <w:r w:rsidRPr="00065207">
        <w:rPr>
          <w:rFonts w:asciiTheme="minorBidi" w:hAnsiTheme="minorBidi" w:cstheme="minorBidi"/>
          <w:b/>
          <w:bCs/>
          <w:sz w:val="22"/>
          <w:szCs w:val="22"/>
          <w:lang w:val="fr-FR"/>
        </w:rPr>
        <w:t>Gouvernance et méthodes de travail</w:t>
      </w:r>
    </w:p>
    <w:p w14:paraId="79E83FA2" w14:textId="77777777" w:rsidR="007C3923" w:rsidRPr="00006271" w:rsidRDefault="007C3923" w:rsidP="000B6A23">
      <w:pPr>
        <w:pStyle w:val="ListParagraph"/>
        <w:numPr>
          <w:ilvl w:val="0"/>
          <w:numId w:val="18"/>
        </w:numPr>
        <w:spacing w:after="240"/>
        <w:ind w:left="567" w:hanging="567"/>
        <w:contextualSpacing w:val="0"/>
        <w:jc w:val="center"/>
        <w:rPr>
          <w:rFonts w:asciiTheme="minorBidi" w:eastAsia="Calibri" w:hAnsiTheme="minorBidi" w:cstheme="minorBidi"/>
          <w:bCs/>
          <w:sz w:val="22"/>
          <w:szCs w:val="22"/>
          <w:u w:val="single"/>
          <w:lang w:val="fr-FR"/>
        </w:rPr>
      </w:pPr>
      <w:r w:rsidRPr="00065207">
        <w:rPr>
          <w:rFonts w:asciiTheme="minorBidi" w:hAnsiTheme="minorBidi" w:cstheme="minorBidi"/>
          <w:sz w:val="22"/>
          <w:szCs w:val="22"/>
          <w:u w:val="single"/>
          <w:lang w:val="fr-FR"/>
        </w:rPr>
        <w:t>Révision du Règlement intérieur de la COI</w:t>
      </w:r>
    </w:p>
    <w:p w14:paraId="5DDE1AC4" w14:textId="411E114E" w:rsidR="00D53493" w:rsidRPr="00006271" w:rsidRDefault="000B6A23" w:rsidP="00006271">
      <w:pPr>
        <w:pStyle w:val="b"/>
        <w:tabs>
          <w:tab w:val="clear" w:pos="1134"/>
        </w:tabs>
        <w:ind w:left="567"/>
        <w:rPr>
          <w:rFonts w:asciiTheme="minorBidi" w:eastAsia="Calibri" w:hAnsiTheme="minorBidi" w:cstheme="minorBidi"/>
          <w:sz w:val="22"/>
          <w:szCs w:val="22"/>
          <w:lang w:val="fr-FR"/>
        </w:rPr>
      </w:pPr>
      <w:r w:rsidRPr="000B6A23">
        <w:rPr>
          <w:rFonts w:asciiTheme="minorBidi" w:hAnsiTheme="minorBidi" w:cstheme="minorBidi"/>
          <w:sz w:val="22"/>
          <w:szCs w:val="22"/>
          <w:lang w:val="fr-FR"/>
        </w:rPr>
        <w:t>11.</w:t>
      </w:r>
      <w:r w:rsidRPr="000B6A23">
        <w:rPr>
          <w:rFonts w:asciiTheme="minorBidi" w:hAnsiTheme="minorBidi" w:cstheme="minorBidi"/>
          <w:sz w:val="22"/>
          <w:szCs w:val="22"/>
          <w:lang w:val="fr-FR"/>
        </w:rPr>
        <w:tab/>
      </w:r>
      <w:r w:rsidR="00D53493" w:rsidRPr="00065207">
        <w:rPr>
          <w:rFonts w:asciiTheme="minorBidi" w:hAnsiTheme="minorBidi" w:cstheme="minorBidi"/>
          <w:b/>
          <w:bCs/>
          <w:sz w:val="22"/>
          <w:szCs w:val="22"/>
          <w:lang w:val="fr-FR"/>
        </w:rPr>
        <w:t>Rappelle</w:t>
      </w:r>
      <w:r w:rsidR="00D53493" w:rsidRPr="00065207">
        <w:rPr>
          <w:rFonts w:asciiTheme="minorBidi" w:hAnsiTheme="minorBidi" w:cstheme="minorBidi"/>
          <w:sz w:val="22"/>
          <w:szCs w:val="22"/>
          <w:lang w:val="fr-FR"/>
        </w:rPr>
        <w:t xml:space="preserve"> que l’Assemblée de la COI, à sa 31</w:t>
      </w:r>
      <w:r w:rsidR="00D53493" w:rsidRPr="00065207">
        <w:rPr>
          <w:rFonts w:asciiTheme="minorBidi" w:hAnsiTheme="minorBidi" w:cstheme="minorBidi"/>
          <w:sz w:val="22"/>
          <w:szCs w:val="22"/>
          <w:vertAlign w:val="superscript"/>
          <w:lang w:val="fr-FR"/>
        </w:rPr>
        <w:t>e</w:t>
      </w:r>
      <w:r w:rsidR="00D53493" w:rsidRPr="00065207">
        <w:rPr>
          <w:rFonts w:asciiTheme="minorBidi" w:hAnsiTheme="minorBidi" w:cstheme="minorBidi"/>
          <w:sz w:val="22"/>
          <w:szCs w:val="22"/>
          <w:lang w:val="fr-FR"/>
        </w:rPr>
        <w:t> session, par le biais de sa résolution A</w:t>
      </w:r>
      <w:r w:rsidR="008D435B">
        <w:rPr>
          <w:rFonts w:asciiTheme="minorBidi" w:hAnsiTheme="minorBidi" w:cstheme="minorBidi"/>
          <w:sz w:val="22"/>
          <w:szCs w:val="22"/>
          <w:lang w:val="fr-FR"/>
        </w:rPr>
        <w:noBreakHyphen/>
      </w:r>
      <w:r w:rsidR="00D53493" w:rsidRPr="00065207">
        <w:rPr>
          <w:rFonts w:asciiTheme="minorBidi" w:hAnsiTheme="minorBidi" w:cstheme="minorBidi"/>
          <w:sz w:val="22"/>
          <w:szCs w:val="22"/>
          <w:lang w:val="fr-FR"/>
        </w:rPr>
        <w:t xml:space="preserve">31/2, </w:t>
      </w:r>
      <w:r w:rsidR="00390E9C">
        <w:rPr>
          <w:rFonts w:asciiTheme="minorBidi" w:hAnsiTheme="minorBidi" w:cstheme="minorBidi"/>
          <w:sz w:val="22"/>
          <w:szCs w:val="22"/>
          <w:lang w:val="fr-FR"/>
        </w:rPr>
        <w:t>a prié</w:t>
      </w:r>
      <w:r w:rsidR="00D53493" w:rsidRPr="00065207">
        <w:rPr>
          <w:rFonts w:asciiTheme="minorBidi" w:hAnsiTheme="minorBidi" w:cstheme="minorBidi"/>
          <w:sz w:val="22"/>
          <w:szCs w:val="22"/>
          <w:lang w:val="fr-FR"/>
        </w:rPr>
        <w:t xml:space="preserve"> le Secrétaire exécutif de la COI de préparer, en consultation avec le Conseiller juridique de l’UNESCO et le Groupe consultatif financier intersessions (IFAG), une proposition préliminaire tendant à établir deux documents révisés, l’un concernant le Règlement intérieur de l’Assemblée de la COI et l’autre le Règlement intérieur du Conseil exécutif de la Commission, en apportant les éclaircissements nécessaires et en harmonisant les différentes versions linguistiques, pour examen et adoption par ces deux organes ;</w:t>
      </w:r>
    </w:p>
    <w:p w14:paraId="2CB5C737" w14:textId="42215A7B" w:rsidR="00D615EB" w:rsidRPr="00006271" w:rsidRDefault="000B6A23" w:rsidP="00006271">
      <w:pPr>
        <w:pStyle w:val="b"/>
        <w:tabs>
          <w:tab w:val="clear" w:pos="1134"/>
        </w:tabs>
        <w:ind w:left="567"/>
        <w:rPr>
          <w:rFonts w:asciiTheme="minorBidi" w:eastAsia="Calibri" w:hAnsiTheme="minorBidi" w:cstheme="minorBidi"/>
          <w:sz w:val="22"/>
          <w:szCs w:val="22"/>
          <w:lang w:val="fr-FR"/>
        </w:rPr>
      </w:pPr>
      <w:r w:rsidRPr="000B6A23">
        <w:rPr>
          <w:rFonts w:asciiTheme="minorBidi" w:hAnsiTheme="minorBidi" w:cstheme="minorBidi"/>
          <w:sz w:val="22"/>
          <w:szCs w:val="22"/>
          <w:lang w:val="fr-FR"/>
        </w:rPr>
        <w:t>12.</w:t>
      </w:r>
      <w:r w:rsidRPr="000B6A23">
        <w:rPr>
          <w:rFonts w:asciiTheme="minorBidi" w:hAnsiTheme="minorBidi" w:cstheme="minorBidi"/>
          <w:sz w:val="22"/>
          <w:szCs w:val="22"/>
          <w:lang w:val="fr-FR"/>
        </w:rPr>
        <w:tab/>
      </w:r>
      <w:r w:rsidR="00D53493" w:rsidRPr="00065207">
        <w:rPr>
          <w:rFonts w:asciiTheme="minorBidi" w:hAnsiTheme="minorBidi" w:cstheme="minorBidi"/>
          <w:b/>
          <w:bCs/>
          <w:sz w:val="22"/>
          <w:szCs w:val="22"/>
          <w:lang w:val="fr-FR"/>
        </w:rPr>
        <w:t>Reconnaît</w:t>
      </w:r>
      <w:r w:rsidR="00D53493" w:rsidRPr="00065207">
        <w:rPr>
          <w:rFonts w:asciiTheme="minorBidi" w:hAnsiTheme="minorBidi" w:cstheme="minorBidi"/>
          <w:sz w:val="22"/>
          <w:szCs w:val="22"/>
          <w:lang w:val="fr-FR"/>
        </w:rPr>
        <w:t xml:space="preserve"> que, après un examen plus approfondi de la question par l’Office du Conseiller juridique de l’UNESCO et le Groupe consultatif financier intersessions (IFAG), la préparation de ces deux règlements intérieurs distincts représente un exercice plus ardu qu’il ne le paraissait de prime abord ;</w:t>
      </w:r>
    </w:p>
    <w:p w14:paraId="54A8660A" w14:textId="44CA34A4" w:rsidR="007F7B14" w:rsidRPr="00006271" w:rsidRDefault="000B6A23" w:rsidP="00006271">
      <w:pPr>
        <w:pStyle w:val="b"/>
        <w:tabs>
          <w:tab w:val="clear" w:pos="1134"/>
        </w:tabs>
        <w:ind w:left="567"/>
        <w:rPr>
          <w:rFonts w:asciiTheme="minorBidi" w:hAnsiTheme="minorBidi" w:cstheme="minorBidi"/>
          <w:iCs/>
          <w:sz w:val="22"/>
          <w:szCs w:val="22"/>
          <w:lang w:val="fr-FR"/>
        </w:rPr>
      </w:pPr>
      <w:r w:rsidRPr="000B6A23">
        <w:rPr>
          <w:rFonts w:asciiTheme="minorBidi" w:hAnsiTheme="minorBidi" w:cstheme="minorBidi"/>
          <w:sz w:val="22"/>
          <w:szCs w:val="22"/>
          <w:lang w:val="fr-FR"/>
        </w:rPr>
        <w:t>13.</w:t>
      </w:r>
      <w:r w:rsidRPr="000B6A23">
        <w:rPr>
          <w:rFonts w:asciiTheme="minorBidi" w:hAnsiTheme="minorBidi" w:cstheme="minorBidi"/>
          <w:sz w:val="22"/>
          <w:szCs w:val="22"/>
          <w:lang w:val="fr-FR"/>
        </w:rPr>
        <w:tab/>
      </w:r>
      <w:r w:rsidR="00D615EB" w:rsidRPr="00065207">
        <w:rPr>
          <w:rFonts w:asciiTheme="minorBidi" w:hAnsiTheme="minorBidi" w:cstheme="minorBidi"/>
          <w:b/>
          <w:bCs/>
          <w:sz w:val="22"/>
          <w:szCs w:val="22"/>
          <w:lang w:val="fr-FR"/>
        </w:rPr>
        <w:t>Convient</w:t>
      </w:r>
      <w:r w:rsidR="00D615EB" w:rsidRPr="00065207">
        <w:rPr>
          <w:rFonts w:asciiTheme="minorBidi" w:hAnsiTheme="minorBidi" w:cstheme="minorBidi"/>
          <w:sz w:val="22"/>
          <w:szCs w:val="22"/>
          <w:lang w:val="fr-FR"/>
        </w:rPr>
        <w:t xml:space="preserve"> que l’élaboration de deux règlements intérieurs distincts pour l’Assemblée et le Conseil exécutif de la COI doit être évaluée en tenant compte des contraintes statutaires et notamment de l’article 6</w:t>
      </w:r>
      <w:r w:rsidR="00782434">
        <w:rPr>
          <w:rFonts w:asciiTheme="minorBidi" w:hAnsiTheme="minorBidi" w:cstheme="minorBidi"/>
          <w:sz w:val="22"/>
          <w:szCs w:val="22"/>
          <w:lang w:val="fr-FR"/>
        </w:rPr>
        <w:t>.</w:t>
      </w:r>
      <w:r w:rsidR="00D615EB" w:rsidRPr="00065207">
        <w:rPr>
          <w:rFonts w:asciiTheme="minorBidi" w:hAnsiTheme="minorBidi" w:cstheme="minorBidi"/>
          <w:sz w:val="22"/>
          <w:szCs w:val="22"/>
          <w:lang w:val="fr-FR"/>
        </w:rPr>
        <w:t>B.3 des Statuts de la COI, selon lequel « l’Assemblée fixe le Règlement intérieur de la Commission » ;</w:t>
      </w:r>
    </w:p>
    <w:p w14:paraId="5B5F7E66" w14:textId="163D670E" w:rsidR="00427AC8" w:rsidRPr="00006271" w:rsidRDefault="000B6A23" w:rsidP="00006271">
      <w:pPr>
        <w:pStyle w:val="b"/>
        <w:tabs>
          <w:tab w:val="clear" w:pos="1134"/>
        </w:tabs>
        <w:ind w:left="567"/>
        <w:rPr>
          <w:rFonts w:asciiTheme="minorBidi" w:hAnsiTheme="minorBidi" w:cstheme="minorBidi"/>
          <w:iCs/>
          <w:sz w:val="22"/>
          <w:szCs w:val="22"/>
          <w:lang w:val="fr-FR"/>
        </w:rPr>
      </w:pPr>
      <w:r w:rsidRPr="000B6A23">
        <w:rPr>
          <w:rFonts w:asciiTheme="minorBidi" w:hAnsiTheme="minorBidi" w:cstheme="minorBidi"/>
          <w:sz w:val="22"/>
          <w:szCs w:val="22"/>
          <w:lang w:val="fr-FR"/>
        </w:rPr>
        <w:t>14.</w:t>
      </w:r>
      <w:r w:rsidRPr="000B6A23">
        <w:rPr>
          <w:rFonts w:asciiTheme="minorBidi" w:hAnsiTheme="minorBidi" w:cstheme="minorBidi"/>
          <w:sz w:val="22"/>
          <w:szCs w:val="22"/>
          <w:lang w:val="fr-FR"/>
        </w:rPr>
        <w:tab/>
      </w:r>
      <w:r w:rsidR="00427AC8" w:rsidRPr="00065207">
        <w:rPr>
          <w:rFonts w:asciiTheme="minorBidi" w:hAnsiTheme="minorBidi" w:cstheme="minorBidi"/>
          <w:b/>
          <w:bCs/>
          <w:sz w:val="22"/>
          <w:szCs w:val="22"/>
          <w:lang w:val="fr-FR"/>
        </w:rPr>
        <w:t>Accueille favorablement</w:t>
      </w:r>
      <w:r w:rsidR="00427AC8" w:rsidRPr="00065207">
        <w:rPr>
          <w:rFonts w:asciiTheme="minorBidi" w:hAnsiTheme="minorBidi" w:cstheme="minorBidi"/>
          <w:sz w:val="22"/>
          <w:szCs w:val="22"/>
          <w:lang w:val="fr-FR"/>
        </w:rPr>
        <w:t xml:space="preserve"> la proposition contenue dans le document</w:t>
      </w:r>
      <w:r w:rsidR="002073E9">
        <w:rPr>
          <w:rFonts w:asciiTheme="minorBidi" w:hAnsiTheme="minorBidi" w:cstheme="minorBidi"/>
          <w:sz w:val="22"/>
          <w:szCs w:val="22"/>
          <w:lang w:val="fr-FR"/>
        </w:rPr>
        <w:t xml:space="preserve"> </w:t>
      </w:r>
      <w:r w:rsidR="00427AC8" w:rsidRPr="00065207">
        <w:rPr>
          <w:rFonts w:asciiTheme="minorBidi" w:hAnsiTheme="minorBidi" w:cstheme="minorBidi"/>
          <w:sz w:val="22"/>
          <w:szCs w:val="22"/>
          <w:lang w:val="fr-FR"/>
        </w:rPr>
        <w:t>IOC/EC</w:t>
      </w:r>
      <w:r w:rsidR="002073E9">
        <w:rPr>
          <w:rFonts w:asciiTheme="minorBidi" w:hAnsiTheme="minorBidi" w:cstheme="minorBidi"/>
          <w:sz w:val="22"/>
          <w:szCs w:val="22"/>
          <w:lang w:val="fr-FR"/>
        </w:rPr>
        <w:noBreakHyphen/>
      </w:r>
      <w:r w:rsidR="00427AC8" w:rsidRPr="00065207">
        <w:rPr>
          <w:rFonts w:asciiTheme="minorBidi" w:hAnsiTheme="minorBidi" w:cstheme="minorBidi"/>
          <w:sz w:val="22"/>
          <w:szCs w:val="22"/>
          <w:lang w:val="fr-FR"/>
        </w:rPr>
        <w:t>55/5.1.Doc(1), laquelle respecte le souhait des États membres de s’abstenir de toute révision substantielle du Règlement intérieur en le réorganisant plutôt qu’en le révisant véritablement ;</w:t>
      </w:r>
    </w:p>
    <w:p w14:paraId="7980F70D" w14:textId="03FD6793" w:rsidR="007F7B14" w:rsidRPr="00006271" w:rsidRDefault="000B6A23" w:rsidP="002073E9">
      <w:pPr>
        <w:pStyle w:val="b"/>
        <w:keepNext/>
        <w:tabs>
          <w:tab w:val="clear" w:pos="1134"/>
        </w:tabs>
        <w:ind w:left="567"/>
        <w:rPr>
          <w:rFonts w:asciiTheme="minorBidi" w:hAnsiTheme="minorBidi" w:cstheme="minorBidi"/>
          <w:iCs/>
          <w:sz w:val="22"/>
          <w:szCs w:val="22"/>
          <w:lang w:val="fr-FR"/>
        </w:rPr>
      </w:pPr>
      <w:r w:rsidRPr="000B6A23">
        <w:rPr>
          <w:rFonts w:asciiTheme="minorBidi" w:hAnsiTheme="minorBidi" w:cstheme="minorBidi"/>
          <w:sz w:val="22"/>
          <w:szCs w:val="22"/>
          <w:lang w:val="fr-FR"/>
        </w:rPr>
        <w:lastRenderedPageBreak/>
        <w:t>15.</w:t>
      </w:r>
      <w:r w:rsidRPr="000B6A23">
        <w:rPr>
          <w:rFonts w:asciiTheme="minorBidi" w:hAnsiTheme="minorBidi" w:cstheme="minorBidi"/>
          <w:sz w:val="22"/>
          <w:szCs w:val="22"/>
          <w:lang w:val="fr-FR"/>
        </w:rPr>
        <w:tab/>
      </w:r>
      <w:r w:rsidR="007F7B14" w:rsidRPr="00065207">
        <w:rPr>
          <w:rFonts w:asciiTheme="minorBidi" w:hAnsiTheme="minorBidi" w:cstheme="minorBidi"/>
          <w:b/>
          <w:bCs/>
          <w:sz w:val="22"/>
          <w:szCs w:val="22"/>
          <w:lang w:val="fr-FR"/>
        </w:rPr>
        <w:t>Recommande</w:t>
      </w:r>
      <w:r w:rsidR="007F7B14" w:rsidRPr="00065207">
        <w:rPr>
          <w:rFonts w:asciiTheme="minorBidi" w:hAnsiTheme="minorBidi" w:cstheme="minorBidi"/>
          <w:sz w:val="22"/>
          <w:szCs w:val="22"/>
          <w:lang w:val="fr-FR"/>
        </w:rPr>
        <w:t xml:space="preserve"> que l’Assemblée de la COI, à sa 32</w:t>
      </w:r>
      <w:r w:rsidR="007F7B14" w:rsidRPr="00065207">
        <w:rPr>
          <w:rFonts w:asciiTheme="minorBidi" w:hAnsiTheme="minorBidi" w:cstheme="minorBidi"/>
          <w:sz w:val="22"/>
          <w:szCs w:val="22"/>
          <w:vertAlign w:val="superscript"/>
          <w:lang w:val="fr-FR"/>
        </w:rPr>
        <w:t>e</w:t>
      </w:r>
      <w:r w:rsidR="007F7B14" w:rsidRPr="00065207">
        <w:rPr>
          <w:rFonts w:asciiTheme="minorBidi" w:hAnsiTheme="minorBidi" w:cstheme="minorBidi"/>
          <w:sz w:val="22"/>
          <w:szCs w:val="22"/>
          <w:lang w:val="fr-FR"/>
        </w:rPr>
        <w:t> session, adopte l’approche globale telle que présentée dans le document IOC/EC-55/5.</w:t>
      </w:r>
      <w:proofErr w:type="gramStart"/>
      <w:r w:rsidR="007F7B14" w:rsidRPr="00065207">
        <w:rPr>
          <w:rFonts w:asciiTheme="minorBidi" w:hAnsiTheme="minorBidi" w:cstheme="minorBidi"/>
          <w:sz w:val="22"/>
          <w:szCs w:val="22"/>
          <w:lang w:val="fr-FR"/>
        </w:rPr>
        <w:t>1.Doc</w:t>
      </w:r>
      <w:proofErr w:type="gramEnd"/>
      <w:r w:rsidR="007F7B14" w:rsidRPr="00065207">
        <w:rPr>
          <w:rFonts w:asciiTheme="minorBidi" w:hAnsiTheme="minorBidi" w:cstheme="minorBidi"/>
          <w:sz w:val="22"/>
          <w:szCs w:val="22"/>
          <w:lang w:val="fr-FR"/>
        </w:rPr>
        <w:t>(1) et reposant sur la proposition de :</w:t>
      </w:r>
    </w:p>
    <w:p w14:paraId="6392B26B" w14:textId="052D161B" w:rsidR="007F7B14" w:rsidRPr="00006271" w:rsidRDefault="000B6A23" w:rsidP="00006271">
      <w:pPr>
        <w:pStyle w:val="b"/>
        <w:tabs>
          <w:tab w:val="clear" w:pos="1134"/>
        </w:tabs>
        <w:rPr>
          <w:rFonts w:asciiTheme="minorBidi" w:hAnsiTheme="minorBidi" w:cstheme="minorBidi"/>
          <w:iCs/>
          <w:sz w:val="22"/>
          <w:szCs w:val="22"/>
          <w:lang w:val="fr-FR"/>
        </w:rPr>
      </w:pPr>
      <w:r>
        <w:rPr>
          <w:rFonts w:asciiTheme="minorBidi" w:hAnsiTheme="minorBidi" w:cstheme="minorBidi"/>
          <w:sz w:val="22"/>
          <w:szCs w:val="22"/>
          <w:lang w:val="fr-FR"/>
        </w:rPr>
        <w:t>(i)</w:t>
      </w:r>
      <w:r>
        <w:rPr>
          <w:rFonts w:asciiTheme="minorBidi" w:hAnsiTheme="minorBidi" w:cstheme="minorBidi"/>
          <w:sz w:val="22"/>
          <w:szCs w:val="22"/>
          <w:lang w:val="fr-FR"/>
        </w:rPr>
        <w:tab/>
      </w:r>
      <w:r w:rsidR="007F7B14" w:rsidRPr="00065207">
        <w:rPr>
          <w:rFonts w:asciiTheme="minorBidi" w:hAnsiTheme="minorBidi" w:cstheme="minorBidi"/>
          <w:sz w:val="22"/>
          <w:szCs w:val="22"/>
          <w:lang w:val="fr-FR"/>
        </w:rPr>
        <w:t>s’abstenir de s’engager dans une procédure de modification des Statuts de la COI,</w:t>
      </w:r>
    </w:p>
    <w:p w14:paraId="0DD3A717" w14:textId="0314B403" w:rsidR="007F7B14" w:rsidRPr="00006271" w:rsidRDefault="000B6A23" w:rsidP="00006271">
      <w:pPr>
        <w:pStyle w:val="b"/>
        <w:tabs>
          <w:tab w:val="clear" w:pos="1134"/>
        </w:tabs>
        <w:rPr>
          <w:rFonts w:asciiTheme="minorBidi" w:hAnsiTheme="minorBidi" w:cstheme="minorBidi"/>
          <w:iCs/>
          <w:sz w:val="22"/>
          <w:szCs w:val="22"/>
          <w:lang w:val="fr-FR"/>
        </w:rPr>
      </w:pPr>
      <w:r>
        <w:rPr>
          <w:rFonts w:asciiTheme="minorBidi" w:hAnsiTheme="minorBidi" w:cstheme="minorBidi"/>
          <w:sz w:val="22"/>
          <w:szCs w:val="22"/>
          <w:lang w:val="fr-FR"/>
        </w:rPr>
        <w:t>(ii)</w:t>
      </w:r>
      <w:r>
        <w:rPr>
          <w:rFonts w:asciiTheme="minorBidi" w:hAnsiTheme="minorBidi" w:cstheme="minorBidi"/>
          <w:sz w:val="22"/>
          <w:szCs w:val="22"/>
          <w:lang w:val="fr-FR"/>
        </w:rPr>
        <w:tab/>
      </w:r>
      <w:r w:rsidR="007F7B14" w:rsidRPr="00065207">
        <w:rPr>
          <w:rFonts w:asciiTheme="minorBidi" w:hAnsiTheme="minorBidi" w:cstheme="minorBidi"/>
          <w:sz w:val="22"/>
          <w:szCs w:val="22"/>
          <w:lang w:val="fr-FR"/>
        </w:rPr>
        <w:t>conformément à l’article 6.B.3 des Statuts, maintenir un document unique pour le Règlement intérieur de la Commission, qui sera officiellement fixé par l’Assemblée de la COI,</w:t>
      </w:r>
    </w:p>
    <w:p w14:paraId="0BBDC645" w14:textId="3EF245E7" w:rsidR="007F7B14" w:rsidRPr="00006271" w:rsidRDefault="00970F1E" w:rsidP="00006271">
      <w:pPr>
        <w:pStyle w:val="b"/>
        <w:tabs>
          <w:tab w:val="clear" w:pos="1134"/>
        </w:tabs>
        <w:rPr>
          <w:rFonts w:asciiTheme="minorBidi" w:hAnsiTheme="minorBidi" w:cstheme="minorBidi"/>
          <w:iCs/>
          <w:sz w:val="22"/>
          <w:szCs w:val="22"/>
          <w:lang w:val="fr-FR"/>
        </w:rPr>
      </w:pPr>
      <w:r>
        <w:rPr>
          <w:rFonts w:asciiTheme="minorBidi" w:hAnsiTheme="minorBidi" w:cstheme="minorBidi"/>
          <w:sz w:val="22"/>
          <w:szCs w:val="22"/>
          <w:lang w:val="fr-FR"/>
        </w:rPr>
        <w:t>(iii)</w:t>
      </w:r>
      <w:r>
        <w:rPr>
          <w:rFonts w:asciiTheme="minorBidi" w:hAnsiTheme="minorBidi" w:cstheme="minorBidi"/>
          <w:sz w:val="22"/>
          <w:szCs w:val="22"/>
          <w:lang w:val="fr-FR"/>
        </w:rPr>
        <w:tab/>
      </w:r>
      <w:r w:rsidR="007F7B14" w:rsidRPr="00065207">
        <w:rPr>
          <w:rFonts w:asciiTheme="minorBidi" w:hAnsiTheme="minorBidi" w:cstheme="minorBidi"/>
          <w:sz w:val="22"/>
          <w:szCs w:val="22"/>
          <w:lang w:val="fr-FR"/>
        </w:rPr>
        <w:t>réviser le Règlement intérieur actuel en établissant une distinction entre les articles d’ordre général, les articles applicables à l’Assemblée de la COI et au Conseil exécutif de la COI, et les articles applicables uniquement à l’un de ces deux organes,</w:t>
      </w:r>
    </w:p>
    <w:p w14:paraId="0A6BFF4A" w14:textId="6E8EC238" w:rsidR="00E61069" w:rsidRPr="00006271" w:rsidRDefault="00970F1E" w:rsidP="00006271">
      <w:pPr>
        <w:pStyle w:val="b"/>
        <w:tabs>
          <w:tab w:val="clear" w:pos="1134"/>
        </w:tabs>
        <w:rPr>
          <w:rFonts w:asciiTheme="minorBidi" w:hAnsiTheme="minorBidi" w:cstheme="minorBidi"/>
          <w:iCs/>
          <w:sz w:val="22"/>
          <w:szCs w:val="22"/>
          <w:lang w:val="fr-FR"/>
        </w:rPr>
      </w:pPr>
      <w:r>
        <w:rPr>
          <w:rFonts w:asciiTheme="minorBidi" w:hAnsiTheme="minorBidi" w:cstheme="minorBidi"/>
          <w:sz w:val="22"/>
          <w:szCs w:val="22"/>
          <w:lang w:val="fr-FR"/>
        </w:rPr>
        <w:t>(iv)</w:t>
      </w:r>
      <w:r>
        <w:rPr>
          <w:rFonts w:asciiTheme="minorBidi" w:hAnsiTheme="minorBidi" w:cstheme="minorBidi"/>
          <w:sz w:val="22"/>
          <w:szCs w:val="22"/>
          <w:lang w:val="fr-FR"/>
        </w:rPr>
        <w:tab/>
      </w:r>
      <w:r w:rsidR="007F7B14" w:rsidRPr="00065207">
        <w:rPr>
          <w:rFonts w:asciiTheme="minorBidi" w:hAnsiTheme="minorBidi" w:cstheme="minorBidi"/>
          <w:sz w:val="22"/>
          <w:szCs w:val="22"/>
          <w:lang w:val="fr-FR"/>
        </w:rPr>
        <w:t>reconnaître et préciser la compétence du Conseil exécutif de la COI pour suspendre temporairement les articles concernant son organisation et son fonctionnement, sachant que tout amendement au Règlement intérieur ne peut être adopté que par décision de l’Assemblée de la COI ;</w:t>
      </w:r>
    </w:p>
    <w:p w14:paraId="6C2D7287" w14:textId="725072B6" w:rsidR="0055537B" w:rsidRPr="00006271" w:rsidRDefault="00970F1E" w:rsidP="00006271">
      <w:pPr>
        <w:pStyle w:val="b"/>
        <w:tabs>
          <w:tab w:val="clear" w:pos="1134"/>
        </w:tabs>
        <w:ind w:left="567"/>
        <w:rPr>
          <w:rFonts w:asciiTheme="minorBidi" w:eastAsia="Calibri" w:hAnsiTheme="minorBidi" w:cstheme="minorBidi"/>
          <w:bCs/>
          <w:sz w:val="22"/>
          <w:szCs w:val="22"/>
          <w:lang w:val="fr-FR"/>
        </w:rPr>
      </w:pPr>
      <w:r w:rsidRPr="00970F1E">
        <w:rPr>
          <w:rFonts w:asciiTheme="minorBidi" w:hAnsiTheme="minorBidi" w:cstheme="minorBidi"/>
          <w:sz w:val="22"/>
          <w:szCs w:val="22"/>
          <w:lang w:val="fr-FR"/>
        </w:rPr>
        <w:t>16.</w:t>
      </w:r>
      <w:r w:rsidRPr="00970F1E">
        <w:rPr>
          <w:rFonts w:asciiTheme="minorBidi" w:hAnsiTheme="minorBidi" w:cstheme="minorBidi"/>
          <w:sz w:val="22"/>
          <w:szCs w:val="22"/>
          <w:lang w:val="fr-FR"/>
        </w:rPr>
        <w:tab/>
      </w:r>
      <w:r w:rsidR="007F7B14" w:rsidRPr="00065207">
        <w:rPr>
          <w:rFonts w:asciiTheme="minorBidi" w:hAnsiTheme="minorBidi" w:cstheme="minorBidi"/>
          <w:b/>
          <w:bCs/>
          <w:sz w:val="22"/>
          <w:szCs w:val="22"/>
          <w:lang w:val="fr-FR"/>
        </w:rPr>
        <w:t>Note</w:t>
      </w:r>
      <w:r w:rsidR="007F7B14" w:rsidRPr="00065207">
        <w:rPr>
          <w:rFonts w:asciiTheme="minorBidi" w:hAnsiTheme="minorBidi" w:cstheme="minorBidi"/>
          <w:sz w:val="22"/>
          <w:szCs w:val="22"/>
          <w:lang w:val="fr-FR"/>
        </w:rPr>
        <w:t xml:space="preserve"> que, si l’Assemblée de la COI devait adopter cette recommandation, il ne serait pas nécessaire que le Conseil exécutif de la COI tienne une session extraordinaire immédiatement après la 32</w:t>
      </w:r>
      <w:r w:rsidR="007F7B14" w:rsidRPr="00065207">
        <w:rPr>
          <w:rFonts w:asciiTheme="minorBidi" w:hAnsiTheme="minorBidi" w:cstheme="minorBidi"/>
          <w:sz w:val="22"/>
          <w:szCs w:val="22"/>
          <w:vertAlign w:val="superscript"/>
          <w:lang w:val="fr-FR"/>
        </w:rPr>
        <w:t>e</w:t>
      </w:r>
      <w:r w:rsidR="007F7B14" w:rsidRPr="00065207">
        <w:rPr>
          <w:rFonts w:asciiTheme="minorBidi" w:hAnsiTheme="minorBidi" w:cstheme="minorBidi"/>
          <w:sz w:val="22"/>
          <w:szCs w:val="22"/>
          <w:lang w:val="fr-FR"/>
        </w:rPr>
        <w:t> session de l’Assemblée de la Commission afin d’adopter son propre Règlement intérieur, contrairement à ce qui était prévu dans la résolution A</w:t>
      </w:r>
      <w:r w:rsidR="0015330E">
        <w:rPr>
          <w:rFonts w:asciiTheme="minorBidi" w:hAnsiTheme="minorBidi" w:cstheme="minorBidi"/>
          <w:sz w:val="22"/>
          <w:szCs w:val="22"/>
          <w:lang w:val="fr-FR"/>
        </w:rPr>
        <w:noBreakHyphen/>
      </w:r>
      <w:r w:rsidR="007F7B14" w:rsidRPr="00065207">
        <w:rPr>
          <w:rFonts w:asciiTheme="minorBidi" w:hAnsiTheme="minorBidi" w:cstheme="minorBidi"/>
          <w:sz w:val="22"/>
          <w:szCs w:val="22"/>
          <w:lang w:val="fr-FR"/>
        </w:rPr>
        <w:t>31/2 de la COI ;</w:t>
      </w:r>
    </w:p>
    <w:p w14:paraId="268F8B2C" w14:textId="6FBDBE9C" w:rsidR="00CA3DF3" w:rsidRPr="00006271" w:rsidRDefault="00970F1E" w:rsidP="00006271">
      <w:pPr>
        <w:pStyle w:val="b"/>
        <w:tabs>
          <w:tab w:val="clear" w:pos="1134"/>
        </w:tabs>
        <w:ind w:left="567"/>
        <w:rPr>
          <w:rFonts w:asciiTheme="minorBidi" w:eastAsia="Calibri" w:hAnsiTheme="minorBidi" w:cstheme="minorBidi"/>
          <w:iCs/>
          <w:sz w:val="22"/>
          <w:szCs w:val="22"/>
          <w:lang w:val="fr-FR"/>
        </w:rPr>
      </w:pPr>
      <w:r w:rsidRPr="00970F1E">
        <w:rPr>
          <w:rFonts w:asciiTheme="minorBidi" w:hAnsiTheme="minorBidi" w:cstheme="minorBidi"/>
          <w:sz w:val="22"/>
          <w:szCs w:val="22"/>
          <w:lang w:val="fr-FR"/>
        </w:rPr>
        <w:t>17.</w:t>
      </w:r>
      <w:r w:rsidRPr="00970F1E">
        <w:rPr>
          <w:rFonts w:asciiTheme="minorBidi" w:hAnsiTheme="minorBidi" w:cstheme="minorBidi"/>
          <w:sz w:val="22"/>
          <w:szCs w:val="22"/>
          <w:lang w:val="fr-FR"/>
        </w:rPr>
        <w:tab/>
      </w:r>
      <w:r w:rsidR="002E79FC" w:rsidRPr="00065207">
        <w:rPr>
          <w:rFonts w:asciiTheme="minorBidi" w:hAnsiTheme="minorBidi" w:cstheme="minorBidi"/>
          <w:b/>
          <w:bCs/>
          <w:sz w:val="22"/>
          <w:szCs w:val="22"/>
          <w:lang w:val="fr-FR"/>
        </w:rPr>
        <w:t>Note également</w:t>
      </w:r>
      <w:r w:rsidR="002E79FC" w:rsidRPr="00065207">
        <w:rPr>
          <w:rFonts w:asciiTheme="minorBidi" w:hAnsiTheme="minorBidi" w:cstheme="minorBidi"/>
          <w:sz w:val="22"/>
          <w:szCs w:val="22"/>
          <w:lang w:val="fr-FR"/>
        </w:rPr>
        <w:t xml:space="preserve"> la série non exhaustive de commentaires établis par l’Office du Conseiller juridique de l’UNESCO dans l’annexe au document IOC/EC-55/5.</w:t>
      </w:r>
      <w:proofErr w:type="gramStart"/>
      <w:r w:rsidR="002E79FC" w:rsidRPr="00065207">
        <w:rPr>
          <w:rFonts w:asciiTheme="minorBidi" w:hAnsiTheme="minorBidi" w:cstheme="minorBidi"/>
          <w:sz w:val="22"/>
          <w:szCs w:val="22"/>
          <w:lang w:val="fr-FR"/>
        </w:rPr>
        <w:t>1.Doc</w:t>
      </w:r>
      <w:proofErr w:type="gramEnd"/>
      <w:r w:rsidR="002E79FC" w:rsidRPr="00065207">
        <w:rPr>
          <w:rFonts w:asciiTheme="minorBidi" w:hAnsiTheme="minorBidi" w:cstheme="minorBidi"/>
          <w:sz w:val="22"/>
          <w:szCs w:val="22"/>
          <w:lang w:val="fr-FR"/>
        </w:rPr>
        <w:t>(1) ;</w:t>
      </w:r>
    </w:p>
    <w:p w14:paraId="6BDAE0A3" w14:textId="5667EBBB" w:rsidR="002E79FC" w:rsidRPr="00006271" w:rsidRDefault="00970F1E" w:rsidP="00006271">
      <w:pPr>
        <w:pStyle w:val="b"/>
        <w:tabs>
          <w:tab w:val="clear" w:pos="1134"/>
        </w:tabs>
        <w:ind w:left="567"/>
        <w:rPr>
          <w:rFonts w:asciiTheme="minorBidi" w:eastAsia="Calibri" w:hAnsiTheme="minorBidi" w:cstheme="minorBidi"/>
          <w:iCs/>
          <w:sz w:val="22"/>
          <w:szCs w:val="22"/>
          <w:lang w:val="fr-FR"/>
        </w:rPr>
      </w:pPr>
      <w:r w:rsidRPr="00970F1E">
        <w:rPr>
          <w:rFonts w:asciiTheme="minorBidi" w:hAnsiTheme="minorBidi" w:cstheme="minorBidi"/>
          <w:sz w:val="22"/>
          <w:szCs w:val="22"/>
          <w:lang w:val="fr-FR"/>
        </w:rPr>
        <w:t>18.</w:t>
      </w:r>
      <w:r w:rsidRPr="00970F1E">
        <w:rPr>
          <w:rFonts w:asciiTheme="minorBidi" w:hAnsiTheme="minorBidi" w:cstheme="minorBidi"/>
          <w:sz w:val="22"/>
          <w:szCs w:val="22"/>
          <w:lang w:val="fr-FR"/>
        </w:rPr>
        <w:tab/>
      </w:r>
      <w:r w:rsidR="002E79FC" w:rsidRPr="00065207">
        <w:rPr>
          <w:rFonts w:asciiTheme="minorBidi" w:hAnsiTheme="minorBidi" w:cstheme="minorBidi"/>
          <w:b/>
          <w:bCs/>
          <w:sz w:val="22"/>
          <w:szCs w:val="22"/>
          <w:lang w:val="fr-FR"/>
        </w:rPr>
        <w:t>Invite</w:t>
      </w:r>
      <w:r w:rsidR="002E79FC" w:rsidRPr="00065207">
        <w:rPr>
          <w:rFonts w:asciiTheme="minorBidi" w:hAnsiTheme="minorBidi" w:cstheme="minorBidi"/>
          <w:sz w:val="22"/>
          <w:szCs w:val="22"/>
          <w:lang w:val="fr-FR"/>
        </w:rPr>
        <w:t xml:space="preserve"> le Secrétaire exécutif de la COI à préparer le projet de Règlement intérieur révisé pour examen et adoption par l’Assemblée de la COI à sa 32</w:t>
      </w:r>
      <w:r w:rsidR="002E79FC" w:rsidRPr="00065207">
        <w:rPr>
          <w:rFonts w:asciiTheme="minorBidi" w:hAnsiTheme="minorBidi" w:cstheme="minorBidi"/>
          <w:sz w:val="22"/>
          <w:szCs w:val="22"/>
          <w:vertAlign w:val="superscript"/>
          <w:lang w:val="fr-FR"/>
        </w:rPr>
        <w:t>e</w:t>
      </w:r>
      <w:r w:rsidR="002E79FC" w:rsidRPr="00065207">
        <w:rPr>
          <w:rFonts w:asciiTheme="minorBidi" w:hAnsiTheme="minorBidi" w:cstheme="minorBidi"/>
          <w:sz w:val="22"/>
          <w:szCs w:val="22"/>
          <w:lang w:val="fr-FR"/>
        </w:rPr>
        <w:t xml:space="preserve"> session en 2023, sans modification substantielle, en s’appuyant sur les discussions avec le Groupe consultatif financier intersessions (IFAG) et les délibérations du Conseil exécutif de la COI </w:t>
      </w:r>
      <w:r w:rsidR="002619DD">
        <w:rPr>
          <w:rFonts w:asciiTheme="minorBidi" w:hAnsiTheme="minorBidi" w:cstheme="minorBidi"/>
          <w:sz w:val="22"/>
          <w:szCs w:val="22"/>
          <w:lang w:val="fr-FR"/>
        </w:rPr>
        <w:t>ainsi qu’</w:t>
      </w:r>
      <w:r w:rsidR="002E79FC" w:rsidRPr="00065207">
        <w:rPr>
          <w:rFonts w:asciiTheme="minorBidi" w:hAnsiTheme="minorBidi" w:cstheme="minorBidi"/>
          <w:sz w:val="22"/>
          <w:szCs w:val="22"/>
          <w:lang w:val="fr-FR"/>
        </w:rPr>
        <w:t>en se conformant aux recommandations suivantes :</w:t>
      </w:r>
    </w:p>
    <w:p w14:paraId="46E8BC42" w14:textId="70DDB874" w:rsidR="00ED2A9F" w:rsidRPr="00006271" w:rsidRDefault="00970F1E" w:rsidP="00006271">
      <w:pPr>
        <w:pStyle w:val="b"/>
        <w:tabs>
          <w:tab w:val="clear" w:pos="1134"/>
        </w:tabs>
        <w:rPr>
          <w:rFonts w:asciiTheme="minorBidi" w:hAnsiTheme="minorBidi" w:cstheme="minorBidi"/>
          <w:iCs/>
          <w:sz w:val="22"/>
          <w:szCs w:val="22"/>
          <w:lang w:val="fr-FR"/>
        </w:rPr>
      </w:pPr>
      <w:r>
        <w:rPr>
          <w:rFonts w:asciiTheme="minorBidi" w:hAnsiTheme="minorBidi" w:cstheme="minorBidi"/>
          <w:sz w:val="22"/>
          <w:szCs w:val="22"/>
          <w:lang w:val="fr-FR"/>
        </w:rPr>
        <w:t>(i)</w:t>
      </w:r>
      <w:r>
        <w:rPr>
          <w:rFonts w:asciiTheme="minorBidi" w:hAnsiTheme="minorBidi" w:cstheme="minorBidi"/>
          <w:sz w:val="22"/>
          <w:szCs w:val="22"/>
          <w:lang w:val="fr-FR"/>
        </w:rPr>
        <w:tab/>
      </w:r>
      <w:r w:rsidR="00ED2A9F" w:rsidRPr="00065207">
        <w:rPr>
          <w:rFonts w:asciiTheme="minorBidi" w:hAnsiTheme="minorBidi" w:cstheme="minorBidi"/>
          <w:sz w:val="22"/>
          <w:szCs w:val="22"/>
          <w:lang w:val="fr-FR"/>
        </w:rPr>
        <w:t>améliorer la clarté et aligner les versions linguistiques, en s’attachant à corriger uniquement ce qui a besoin d’être corrigé,</w:t>
      </w:r>
    </w:p>
    <w:p w14:paraId="698B114E" w14:textId="3396C90D" w:rsidR="00ED2A9F" w:rsidRPr="00006271" w:rsidRDefault="00970F1E" w:rsidP="00006271">
      <w:pPr>
        <w:pStyle w:val="b"/>
        <w:tabs>
          <w:tab w:val="clear" w:pos="1134"/>
        </w:tabs>
        <w:rPr>
          <w:rFonts w:asciiTheme="minorBidi" w:hAnsiTheme="minorBidi" w:cstheme="minorBidi"/>
          <w:iCs/>
          <w:sz w:val="22"/>
          <w:szCs w:val="22"/>
          <w:lang w:val="fr-FR"/>
        </w:rPr>
      </w:pPr>
      <w:r>
        <w:rPr>
          <w:rFonts w:asciiTheme="minorBidi" w:hAnsiTheme="minorBidi" w:cstheme="minorBidi"/>
          <w:sz w:val="22"/>
          <w:szCs w:val="22"/>
          <w:lang w:val="fr-FR"/>
        </w:rPr>
        <w:t>(ii)</w:t>
      </w:r>
      <w:r>
        <w:rPr>
          <w:rFonts w:asciiTheme="minorBidi" w:hAnsiTheme="minorBidi" w:cstheme="minorBidi"/>
          <w:sz w:val="22"/>
          <w:szCs w:val="22"/>
          <w:lang w:val="fr-FR"/>
        </w:rPr>
        <w:tab/>
      </w:r>
      <w:r w:rsidR="00ED2A9F" w:rsidRPr="00065207">
        <w:rPr>
          <w:rFonts w:asciiTheme="minorBidi" w:hAnsiTheme="minorBidi" w:cstheme="minorBidi"/>
          <w:sz w:val="22"/>
          <w:szCs w:val="22"/>
          <w:lang w:val="fr-FR"/>
        </w:rPr>
        <w:t>élaborer des principes directeurs pour les consultations par correspondance, applicables aussi bien à l’Assemblée de la COI qu’au Conseil exécutif de la COI, sur la base des bonnes pratiques en vigueur et de l’expérience de l’UNESCO,</w:t>
      </w:r>
    </w:p>
    <w:p w14:paraId="1723DBAB" w14:textId="4ABC13C2" w:rsidR="00ED2A9F" w:rsidRPr="00006271" w:rsidRDefault="00970F1E" w:rsidP="00006271">
      <w:pPr>
        <w:pStyle w:val="b"/>
        <w:tabs>
          <w:tab w:val="clear" w:pos="1134"/>
        </w:tabs>
        <w:rPr>
          <w:rFonts w:asciiTheme="minorBidi" w:hAnsiTheme="minorBidi" w:cstheme="minorBidi"/>
          <w:iCs/>
          <w:sz w:val="22"/>
          <w:szCs w:val="22"/>
          <w:lang w:val="fr-FR"/>
        </w:rPr>
      </w:pPr>
      <w:r>
        <w:rPr>
          <w:rFonts w:asciiTheme="minorBidi" w:hAnsiTheme="minorBidi" w:cstheme="minorBidi"/>
          <w:sz w:val="22"/>
          <w:szCs w:val="22"/>
          <w:lang w:val="fr-FR"/>
        </w:rPr>
        <w:t>(iii)</w:t>
      </w:r>
      <w:r>
        <w:rPr>
          <w:rFonts w:asciiTheme="minorBidi" w:hAnsiTheme="minorBidi" w:cstheme="minorBidi"/>
          <w:sz w:val="22"/>
          <w:szCs w:val="22"/>
          <w:lang w:val="fr-FR"/>
        </w:rPr>
        <w:tab/>
      </w:r>
      <w:r w:rsidR="00ED2A9F" w:rsidRPr="00065207">
        <w:rPr>
          <w:rFonts w:asciiTheme="minorBidi" w:hAnsiTheme="minorBidi" w:cstheme="minorBidi"/>
          <w:sz w:val="22"/>
          <w:szCs w:val="22"/>
          <w:lang w:val="fr-FR"/>
        </w:rPr>
        <w:t>inclure dans le Règlement intérieur une disposition concernant la tenue de réunions en ligne, mais seulement à titre exceptionnel,</w:t>
      </w:r>
    </w:p>
    <w:p w14:paraId="55AEEC09" w14:textId="4CAAF9E6" w:rsidR="0055537B" w:rsidRPr="00006271" w:rsidRDefault="00970F1E" w:rsidP="00006271">
      <w:pPr>
        <w:pStyle w:val="b"/>
        <w:tabs>
          <w:tab w:val="clear" w:pos="1134"/>
        </w:tabs>
        <w:rPr>
          <w:rFonts w:asciiTheme="minorBidi" w:hAnsiTheme="minorBidi" w:cstheme="minorBidi"/>
          <w:iCs/>
          <w:sz w:val="22"/>
          <w:szCs w:val="22"/>
          <w:lang w:val="fr-FR"/>
        </w:rPr>
      </w:pPr>
      <w:r>
        <w:rPr>
          <w:rFonts w:asciiTheme="minorBidi" w:hAnsiTheme="minorBidi" w:cstheme="minorBidi"/>
          <w:sz w:val="22"/>
          <w:szCs w:val="22"/>
          <w:lang w:val="fr-FR"/>
        </w:rPr>
        <w:t>(iv)</w:t>
      </w:r>
      <w:r>
        <w:rPr>
          <w:rFonts w:asciiTheme="minorBidi" w:hAnsiTheme="minorBidi" w:cstheme="minorBidi"/>
          <w:sz w:val="22"/>
          <w:szCs w:val="22"/>
          <w:lang w:val="fr-FR"/>
        </w:rPr>
        <w:tab/>
      </w:r>
      <w:r w:rsidR="00ED2A9F" w:rsidRPr="00065207">
        <w:rPr>
          <w:rFonts w:asciiTheme="minorBidi" w:hAnsiTheme="minorBidi" w:cstheme="minorBidi"/>
          <w:sz w:val="22"/>
          <w:szCs w:val="22"/>
          <w:lang w:val="fr-FR"/>
        </w:rPr>
        <w:t>soumettre le projet de principes directeurs concernant la tenue de réunions en ligne à l’Assemblée de la COI avec le projet de Règlement intérieur révisé ;</w:t>
      </w:r>
    </w:p>
    <w:p w14:paraId="32A208F6" w14:textId="77777777" w:rsidR="00427AC8" w:rsidRPr="00006271" w:rsidRDefault="001F475E" w:rsidP="00970F1E">
      <w:pPr>
        <w:pStyle w:val="ListParagraph"/>
        <w:numPr>
          <w:ilvl w:val="0"/>
          <w:numId w:val="18"/>
        </w:numPr>
        <w:spacing w:after="240"/>
        <w:ind w:left="567" w:hanging="567"/>
        <w:contextualSpacing w:val="0"/>
        <w:jc w:val="center"/>
        <w:rPr>
          <w:rFonts w:asciiTheme="minorBidi" w:eastAsia="Calibri" w:hAnsiTheme="minorBidi" w:cstheme="minorBidi"/>
          <w:bCs/>
          <w:sz w:val="22"/>
          <w:szCs w:val="22"/>
          <w:u w:val="single"/>
          <w:lang w:val="fr-FR"/>
        </w:rPr>
      </w:pPr>
      <w:r w:rsidRPr="00065207">
        <w:rPr>
          <w:rFonts w:asciiTheme="minorBidi" w:hAnsiTheme="minorBidi" w:cstheme="minorBidi"/>
          <w:sz w:val="22"/>
          <w:szCs w:val="22"/>
          <w:u w:val="single"/>
          <w:lang w:val="fr-FR"/>
        </w:rPr>
        <w:t>Rapport sur les contributions en nature</w:t>
      </w:r>
    </w:p>
    <w:p w14:paraId="0D3E8A3B" w14:textId="1145CCA6" w:rsidR="00DE56ED" w:rsidRDefault="00970F1E" w:rsidP="00006271">
      <w:pPr>
        <w:pStyle w:val="b"/>
        <w:tabs>
          <w:tab w:val="clear" w:pos="1134"/>
        </w:tabs>
        <w:ind w:left="567"/>
        <w:rPr>
          <w:rFonts w:asciiTheme="minorBidi" w:hAnsiTheme="minorBidi" w:cstheme="minorBidi"/>
          <w:sz w:val="22"/>
          <w:szCs w:val="22"/>
          <w:lang w:val="fr-FR"/>
        </w:rPr>
      </w:pPr>
      <w:r w:rsidRPr="00970F1E">
        <w:rPr>
          <w:rFonts w:asciiTheme="minorBidi" w:hAnsiTheme="minorBidi" w:cstheme="minorBidi"/>
          <w:sz w:val="22"/>
          <w:szCs w:val="22"/>
          <w:lang w:val="fr-FR"/>
        </w:rPr>
        <w:t>19.</w:t>
      </w:r>
      <w:r w:rsidRPr="00970F1E">
        <w:rPr>
          <w:rFonts w:asciiTheme="minorBidi" w:hAnsiTheme="minorBidi" w:cstheme="minorBidi"/>
          <w:sz w:val="22"/>
          <w:szCs w:val="22"/>
          <w:lang w:val="fr-FR"/>
        </w:rPr>
        <w:tab/>
      </w:r>
      <w:r w:rsidR="00427AC8" w:rsidRPr="00065207">
        <w:rPr>
          <w:rFonts w:asciiTheme="minorBidi" w:hAnsiTheme="minorBidi" w:cstheme="minorBidi"/>
          <w:b/>
          <w:bCs/>
          <w:sz w:val="22"/>
          <w:szCs w:val="22"/>
          <w:lang w:val="fr-FR"/>
        </w:rPr>
        <w:t>Rappelle</w:t>
      </w:r>
      <w:r w:rsidR="00427AC8" w:rsidRPr="00065207">
        <w:rPr>
          <w:rFonts w:asciiTheme="minorBidi" w:hAnsiTheme="minorBidi" w:cstheme="minorBidi"/>
          <w:sz w:val="22"/>
          <w:szCs w:val="22"/>
          <w:lang w:val="fr-FR"/>
        </w:rPr>
        <w:t xml:space="preserve"> que la résolution A-31/2 de la COI </w:t>
      </w:r>
      <w:r w:rsidR="00390E9C">
        <w:rPr>
          <w:rFonts w:asciiTheme="minorBidi" w:hAnsiTheme="minorBidi" w:cstheme="minorBidi"/>
          <w:sz w:val="22"/>
          <w:szCs w:val="22"/>
          <w:lang w:val="fr-FR"/>
        </w:rPr>
        <w:t>a invité</w:t>
      </w:r>
      <w:r w:rsidR="00427AC8" w:rsidRPr="00065207">
        <w:rPr>
          <w:rFonts w:asciiTheme="minorBidi" w:hAnsiTheme="minorBidi" w:cstheme="minorBidi"/>
          <w:sz w:val="22"/>
          <w:szCs w:val="22"/>
          <w:lang w:val="fr-FR"/>
        </w:rPr>
        <w:t xml:space="preserve"> le Groupe consultatif financier intersessions (IFAG) « à élaborer une proposition d’approche et de méthode systématiques pour la notification des contributions en nature, qui soit conforme aux principes directeurs actualisés pour la programmation et la budgétisation (annexe I de la résolution EC-53/2) ainsi qu’à l’article 10 des Statuts de la COI, en vue de son examen par l’Assemblée de la Commission à sa 32</w:t>
      </w:r>
      <w:r w:rsidR="00427AC8" w:rsidRPr="00065207">
        <w:rPr>
          <w:rFonts w:asciiTheme="minorBidi" w:hAnsiTheme="minorBidi" w:cstheme="minorBidi"/>
          <w:sz w:val="22"/>
          <w:szCs w:val="22"/>
          <w:vertAlign w:val="superscript"/>
          <w:lang w:val="fr-FR"/>
        </w:rPr>
        <w:t>e</w:t>
      </w:r>
      <w:r w:rsidR="00427AC8" w:rsidRPr="00065207">
        <w:rPr>
          <w:rFonts w:asciiTheme="minorBidi" w:hAnsiTheme="minorBidi" w:cstheme="minorBidi"/>
          <w:sz w:val="22"/>
          <w:szCs w:val="22"/>
          <w:lang w:val="fr-FR"/>
        </w:rPr>
        <w:t> session » ;</w:t>
      </w:r>
    </w:p>
    <w:p w14:paraId="3349AA23" w14:textId="0016D10B" w:rsidR="00427AC8" w:rsidRPr="00006271" w:rsidRDefault="00970F1E" w:rsidP="00006271">
      <w:pPr>
        <w:pStyle w:val="b"/>
        <w:tabs>
          <w:tab w:val="clear" w:pos="1134"/>
        </w:tabs>
        <w:ind w:left="567"/>
        <w:rPr>
          <w:rFonts w:asciiTheme="minorBidi" w:eastAsia="Calibri" w:hAnsiTheme="minorBidi" w:cstheme="minorBidi"/>
          <w:sz w:val="22"/>
          <w:szCs w:val="22"/>
          <w:lang w:val="fr-FR"/>
        </w:rPr>
      </w:pPr>
      <w:r>
        <w:rPr>
          <w:rFonts w:asciiTheme="minorBidi" w:hAnsiTheme="minorBidi" w:cstheme="minorBidi"/>
          <w:sz w:val="22"/>
          <w:szCs w:val="22"/>
          <w:lang w:val="fr-FR"/>
        </w:rPr>
        <w:lastRenderedPageBreak/>
        <w:t>20</w:t>
      </w:r>
      <w:r w:rsidRPr="00970F1E">
        <w:rPr>
          <w:rFonts w:asciiTheme="minorBidi" w:hAnsiTheme="minorBidi" w:cstheme="minorBidi"/>
          <w:sz w:val="22"/>
          <w:szCs w:val="22"/>
          <w:lang w:val="fr-FR"/>
        </w:rPr>
        <w:t>.</w:t>
      </w:r>
      <w:r w:rsidRPr="00970F1E">
        <w:rPr>
          <w:rFonts w:asciiTheme="minorBidi" w:hAnsiTheme="minorBidi" w:cstheme="minorBidi"/>
          <w:sz w:val="22"/>
          <w:szCs w:val="22"/>
          <w:lang w:val="fr-FR"/>
        </w:rPr>
        <w:tab/>
      </w:r>
      <w:r w:rsidR="00427AC8" w:rsidRPr="00065207">
        <w:rPr>
          <w:rFonts w:asciiTheme="minorBidi" w:hAnsiTheme="minorBidi" w:cstheme="minorBidi"/>
          <w:b/>
          <w:bCs/>
          <w:sz w:val="22"/>
          <w:szCs w:val="22"/>
          <w:lang w:val="fr-FR"/>
        </w:rPr>
        <w:t>Se félicite</w:t>
      </w:r>
      <w:r w:rsidR="00427AC8" w:rsidRPr="00065207">
        <w:rPr>
          <w:rFonts w:asciiTheme="minorBidi" w:hAnsiTheme="minorBidi" w:cstheme="minorBidi"/>
          <w:sz w:val="22"/>
          <w:szCs w:val="22"/>
          <w:lang w:val="fr-FR"/>
        </w:rPr>
        <w:t xml:space="preserve"> de l’approche plus systématique et inclusive pour rendre compte des contributions en nature, telle que proposée par le Groupe consultatif financier intersessions (IFAG) et présentée dans le document IOC/EC-55/5.</w:t>
      </w:r>
      <w:proofErr w:type="gramStart"/>
      <w:r w:rsidR="00427AC8" w:rsidRPr="00065207">
        <w:rPr>
          <w:rFonts w:asciiTheme="minorBidi" w:hAnsiTheme="minorBidi" w:cstheme="minorBidi"/>
          <w:sz w:val="22"/>
          <w:szCs w:val="22"/>
          <w:lang w:val="fr-FR"/>
        </w:rPr>
        <w:t>1.Doc</w:t>
      </w:r>
      <w:proofErr w:type="gramEnd"/>
      <w:r w:rsidR="00427AC8" w:rsidRPr="00065207">
        <w:rPr>
          <w:rFonts w:asciiTheme="minorBidi" w:hAnsiTheme="minorBidi" w:cstheme="minorBidi"/>
          <w:sz w:val="22"/>
          <w:szCs w:val="22"/>
          <w:lang w:val="fr-FR"/>
        </w:rPr>
        <w:t>(2) ;</w:t>
      </w:r>
    </w:p>
    <w:p w14:paraId="2C10DD1A" w14:textId="00513433" w:rsidR="00DE56ED" w:rsidRDefault="00970F1E" w:rsidP="00006271">
      <w:pPr>
        <w:pStyle w:val="b"/>
        <w:tabs>
          <w:tab w:val="clear" w:pos="1134"/>
        </w:tabs>
        <w:ind w:left="567"/>
        <w:rPr>
          <w:rFonts w:asciiTheme="minorBidi" w:hAnsiTheme="minorBidi" w:cstheme="minorBidi"/>
          <w:sz w:val="22"/>
          <w:szCs w:val="22"/>
          <w:lang w:val="fr-FR"/>
        </w:rPr>
      </w:pPr>
      <w:r>
        <w:rPr>
          <w:rFonts w:asciiTheme="minorBidi" w:hAnsiTheme="minorBidi" w:cstheme="minorBidi"/>
          <w:sz w:val="22"/>
          <w:szCs w:val="22"/>
          <w:lang w:val="fr-FR"/>
        </w:rPr>
        <w:t>21</w:t>
      </w:r>
      <w:r w:rsidRPr="00970F1E">
        <w:rPr>
          <w:rFonts w:asciiTheme="minorBidi" w:hAnsiTheme="minorBidi" w:cstheme="minorBidi"/>
          <w:sz w:val="22"/>
          <w:szCs w:val="22"/>
          <w:lang w:val="fr-FR"/>
        </w:rPr>
        <w:t>.</w:t>
      </w:r>
      <w:r w:rsidRPr="00970F1E">
        <w:rPr>
          <w:rFonts w:asciiTheme="minorBidi" w:hAnsiTheme="minorBidi" w:cstheme="minorBidi"/>
          <w:sz w:val="22"/>
          <w:szCs w:val="22"/>
          <w:lang w:val="fr-FR"/>
        </w:rPr>
        <w:tab/>
      </w:r>
      <w:r w:rsidR="00427AC8" w:rsidRPr="00065207">
        <w:rPr>
          <w:rFonts w:asciiTheme="minorBidi" w:hAnsiTheme="minorBidi" w:cstheme="minorBidi"/>
          <w:b/>
          <w:bCs/>
          <w:sz w:val="22"/>
          <w:szCs w:val="22"/>
          <w:lang w:val="fr-FR"/>
        </w:rPr>
        <w:t xml:space="preserve">Invite </w:t>
      </w:r>
      <w:r w:rsidR="00427AC8" w:rsidRPr="00065207">
        <w:rPr>
          <w:rFonts w:asciiTheme="minorBidi" w:hAnsiTheme="minorBidi" w:cstheme="minorBidi"/>
          <w:sz w:val="22"/>
          <w:szCs w:val="22"/>
          <w:lang w:val="fr-FR"/>
        </w:rPr>
        <w:t>le Secrétaire exécutif de la COI à lancer l’exercice pilote d’établissement de rapports pour l’année civile 2022 selon le calendrier suivant :</w:t>
      </w:r>
    </w:p>
    <w:p w14:paraId="1DFF06DD" w14:textId="77777777" w:rsidR="00532396" w:rsidRPr="00006271" w:rsidRDefault="00EF2D5B" w:rsidP="00970F1E">
      <w:pPr>
        <w:pStyle w:val="ListParagraph"/>
        <w:shd w:val="clear" w:color="auto" w:fill="FFFFFF"/>
        <w:tabs>
          <w:tab w:val="clear" w:pos="567"/>
        </w:tabs>
        <w:snapToGrid/>
        <w:spacing w:after="240"/>
        <w:ind w:left="567"/>
        <w:contextualSpacing w:val="0"/>
        <w:jc w:val="both"/>
        <w:rPr>
          <w:rFonts w:asciiTheme="minorBidi" w:eastAsiaTheme="minorHAnsi" w:hAnsiTheme="minorBidi" w:cstheme="minorBidi"/>
          <w:snapToGrid/>
          <w:color w:val="000000"/>
          <w:sz w:val="22"/>
          <w:szCs w:val="22"/>
          <w:lang w:val="fr-FR"/>
        </w:rPr>
      </w:pPr>
      <w:proofErr w:type="gramStart"/>
      <w:r w:rsidRPr="00065207">
        <w:rPr>
          <w:rFonts w:asciiTheme="minorBidi" w:hAnsiTheme="minorBidi" w:cstheme="minorBidi"/>
          <w:sz w:val="22"/>
          <w:szCs w:val="22"/>
          <w:u w:val="single"/>
          <w:lang w:val="fr-FR"/>
        </w:rPr>
        <w:t>septembre</w:t>
      </w:r>
      <w:proofErr w:type="gramEnd"/>
      <w:r w:rsidRPr="00065207">
        <w:rPr>
          <w:rFonts w:asciiTheme="minorBidi" w:hAnsiTheme="minorBidi" w:cstheme="minorBidi"/>
          <w:sz w:val="22"/>
          <w:szCs w:val="22"/>
          <w:u w:val="single"/>
          <w:lang w:val="fr-FR"/>
        </w:rPr>
        <w:t> 2022 – janvier 2023</w:t>
      </w:r>
      <w:r w:rsidR="00065207">
        <w:rPr>
          <w:rFonts w:asciiTheme="minorBidi" w:hAnsiTheme="minorBidi" w:cstheme="minorBidi"/>
          <w:sz w:val="22"/>
          <w:szCs w:val="22"/>
          <w:lang w:val="fr-FR"/>
        </w:rPr>
        <w:t> </w:t>
      </w:r>
      <w:r w:rsidRPr="00065207">
        <w:rPr>
          <w:rFonts w:asciiTheme="minorBidi" w:hAnsiTheme="minorBidi" w:cstheme="minorBidi"/>
          <w:sz w:val="22"/>
          <w:szCs w:val="22"/>
          <w:lang w:val="fr-FR"/>
        </w:rPr>
        <w:t>: le Secrétariat de la COI envoie une lettre circulaire aux États membres en septembre 2022 leur expliquant la méthodologie et leur demandant d’adresser leurs déclarations officielles de contributions pour l’année civile 2022, au plus tard le 20 janvier 2023,</w:t>
      </w:r>
    </w:p>
    <w:p w14:paraId="5BB70CA6" w14:textId="77777777" w:rsidR="00532396" w:rsidRPr="00006271" w:rsidRDefault="00532396" w:rsidP="00970F1E">
      <w:pPr>
        <w:pStyle w:val="ListParagraph"/>
        <w:shd w:val="clear" w:color="auto" w:fill="FFFFFF"/>
        <w:tabs>
          <w:tab w:val="clear" w:pos="567"/>
        </w:tabs>
        <w:snapToGrid/>
        <w:spacing w:after="240"/>
        <w:ind w:left="567"/>
        <w:contextualSpacing w:val="0"/>
        <w:jc w:val="both"/>
        <w:rPr>
          <w:rFonts w:asciiTheme="minorBidi" w:eastAsiaTheme="minorHAnsi" w:hAnsiTheme="minorBidi" w:cstheme="minorBidi"/>
          <w:snapToGrid/>
          <w:color w:val="000000"/>
          <w:sz w:val="22"/>
          <w:szCs w:val="22"/>
          <w:lang w:val="fr-FR"/>
        </w:rPr>
      </w:pPr>
      <w:proofErr w:type="gramStart"/>
      <w:r w:rsidRPr="00065207">
        <w:rPr>
          <w:rFonts w:asciiTheme="minorBidi" w:hAnsiTheme="minorBidi" w:cstheme="minorBidi"/>
          <w:sz w:val="22"/>
          <w:szCs w:val="22"/>
          <w:u w:val="single"/>
          <w:lang w:val="fr-FR"/>
        </w:rPr>
        <w:t>février</w:t>
      </w:r>
      <w:proofErr w:type="gramEnd"/>
      <w:r w:rsidRPr="00065207">
        <w:rPr>
          <w:rFonts w:asciiTheme="minorBidi" w:hAnsiTheme="minorBidi" w:cstheme="minorBidi"/>
          <w:sz w:val="22"/>
          <w:szCs w:val="22"/>
          <w:u w:val="single"/>
          <w:lang w:val="fr-FR"/>
        </w:rPr>
        <w:t> 2023</w:t>
      </w:r>
      <w:r w:rsidR="00065207">
        <w:rPr>
          <w:rFonts w:asciiTheme="minorBidi" w:hAnsiTheme="minorBidi" w:cstheme="minorBidi"/>
          <w:sz w:val="22"/>
          <w:szCs w:val="22"/>
          <w:lang w:val="fr-FR"/>
        </w:rPr>
        <w:t> </w:t>
      </w:r>
      <w:r w:rsidRPr="00065207">
        <w:rPr>
          <w:rFonts w:asciiTheme="minorBidi" w:hAnsiTheme="minorBidi" w:cstheme="minorBidi"/>
          <w:sz w:val="22"/>
          <w:szCs w:val="22"/>
          <w:lang w:val="fr-FR"/>
        </w:rPr>
        <w:t>: le rapport complet sur les contributions en nature est communiqué au Groupe consultatif financier intersessions (IFAG) (mandat intersessions 2022-2023) pour discussion et proposition éventuelle de révision de la méthodologie à soumettre à l’Assemblée de la COI en 2023 ;</w:t>
      </w:r>
    </w:p>
    <w:p w14:paraId="186D1745" w14:textId="03AF17A3" w:rsidR="00532396" w:rsidRPr="00006271" w:rsidRDefault="00970F1E" w:rsidP="00006271">
      <w:pPr>
        <w:pStyle w:val="b"/>
        <w:tabs>
          <w:tab w:val="clear" w:pos="1134"/>
        </w:tabs>
        <w:ind w:left="567"/>
        <w:rPr>
          <w:rFonts w:asciiTheme="minorBidi" w:eastAsia="Calibri" w:hAnsiTheme="minorBidi" w:cstheme="minorBidi"/>
          <w:sz w:val="22"/>
          <w:szCs w:val="22"/>
          <w:lang w:val="fr-FR"/>
        </w:rPr>
      </w:pPr>
      <w:r w:rsidRPr="00970F1E">
        <w:rPr>
          <w:rFonts w:asciiTheme="minorBidi" w:hAnsiTheme="minorBidi" w:cstheme="minorBidi"/>
          <w:sz w:val="22"/>
          <w:szCs w:val="22"/>
          <w:lang w:val="fr-FR"/>
        </w:rPr>
        <w:t>22.</w:t>
      </w:r>
      <w:r w:rsidRPr="00970F1E">
        <w:rPr>
          <w:rFonts w:asciiTheme="minorBidi" w:hAnsiTheme="minorBidi" w:cstheme="minorBidi"/>
          <w:sz w:val="22"/>
          <w:szCs w:val="22"/>
          <w:lang w:val="fr-FR"/>
        </w:rPr>
        <w:tab/>
      </w:r>
      <w:r w:rsidR="00532396" w:rsidRPr="00065207">
        <w:rPr>
          <w:rFonts w:asciiTheme="minorBidi" w:hAnsiTheme="minorBidi" w:cstheme="minorBidi"/>
          <w:b/>
          <w:bCs/>
          <w:sz w:val="22"/>
          <w:szCs w:val="22"/>
          <w:lang w:val="fr-FR"/>
        </w:rPr>
        <w:t xml:space="preserve">Invite </w:t>
      </w:r>
      <w:r w:rsidR="000B5E86">
        <w:rPr>
          <w:rFonts w:asciiTheme="minorBidi" w:hAnsiTheme="minorBidi" w:cstheme="minorBidi"/>
          <w:b/>
          <w:bCs/>
          <w:sz w:val="22"/>
          <w:szCs w:val="22"/>
          <w:lang w:val="fr-FR"/>
        </w:rPr>
        <w:t>également</w:t>
      </w:r>
      <w:r w:rsidR="00532396" w:rsidRPr="00065207">
        <w:rPr>
          <w:rFonts w:asciiTheme="minorBidi" w:hAnsiTheme="minorBidi" w:cstheme="minorBidi"/>
          <w:sz w:val="22"/>
          <w:szCs w:val="22"/>
          <w:lang w:val="fr-FR"/>
        </w:rPr>
        <w:t xml:space="preserve"> le Secrétaire de la COI </w:t>
      </w:r>
      <w:r w:rsidR="00065207">
        <w:rPr>
          <w:rFonts w:asciiTheme="minorBidi" w:hAnsiTheme="minorBidi" w:cstheme="minorBidi"/>
          <w:sz w:val="22"/>
          <w:szCs w:val="22"/>
          <w:lang w:val="fr-FR"/>
        </w:rPr>
        <w:t>à</w:t>
      </w:r>
      <w:r w:rsidR="00532396" w:rsidRPr="00065207">
        <w:rPr>
          <w:rFonts w:asciiTheme="minorBidi" w:hAnsiTheme="minorBidi" w:cstheme="minorBidi"/>
          <w:sz w:val="22"/>
          <w:szCs w:val="22"/>
          <w:lang w:val="fr-FR"/>
        </w:rPr>
        <w:t xml:space="preserve"> présenter le rapport susmentionné à l’Assemblée de la COI à sa 32</w:t>
      </w:r>
      <w:r w:rsidR="00532396" w:rsidRPr="00065207">
        <w:rPr>
          <w:rFonts w:asciiTheme="minorBidi" w:hAnsiTheme="minorBidi" w:cstheme="minorBidi"/>
          <w:sz w:val="22"/>
          <w:szCs w:val="22"/>
          <w:vertAlign w:val="superscript"/>
          <w:lang w:val="fr-FR"/>
        </w:rPr>
        <w:t>e</w:t>
      </w:r>
      <w:r w:rsidR="00532396" w:rsidRPr="00065207">
        <w:rPr>
          <w:rFonts w:asciiTheme="minorBidi" w:hAnsiTheme="minorBidi" w:cstheme="minorBidi"/>
          <w:sz w:val="22"/>
          <w:szCs w:val="22"/>
          <w:lang w:val="fr-FR"/>
        </w:rPr>
        <w:t> session pour examen et décision sur les futurs rapports ;</w:t>
      </w:r>
    </w:p>
    <w:p w14:paraId="2C22792D" w14:textId="078AC833" w:rsidR="00825F39" w:rsidRPr="00006271" w:rsidRDefault="00970F1E" w:rsidP="00006271">
      <w:pPr>
        <w:pStyle w:val="b"/>
        <w:tabs>
          <w:tab w:val="clear" w:pos="1134"/>
        </w:tabs>
        <w:ind w:left="567"/>
        <w:rPr>
          <w:rFonts w:asciiTheme="minorBidi" w:eastAsia="Calibri" w:hAnsiTheme="minorBidi" w:cstheme="minorBidi"/>
          <w:sz w:val="22"/>
          <w:szCs w:val="22"/>
          <w:lang w:val="fr-FR"/>
        </w:rPr>
      </w:pPr>
      <w:r w:rsidRPr="00970F1E">
        <w:rPr>
          <w:rFonts w:asciiTheme="minorBidi" w:hAnsiTheme="minorBidi" w:cstheme="minorBidi"/>
          <w:sz w:val="22"/>
          <w:szCs w:val="22"/>
          <w:lang w:val="fr-FR"/>
        </w:rPr>
        <w:t>23.</w:t>
      </w:r>
      <w:r w:rsidRPr="00970F1E">
        <w:rPr>
          <w:rFonts w:asciiTheme="minorBidi" w:hAnsiTheme="minorBidi" w:cstheme="minorBidi"/>
          <w:sz w:val="22"/>
          <w:szCs w:val="22"/>
          <w:lang w:val="fr-FR"/>
        </w:rPr>
        <w:tab/>
      </w:r>
      <w:r w:rsidR="00825F39" w:rsidRPr="00065207">
        <w:rPr>
          <w:rFonts w:asciiTheme="minorBidi" w:hAnsiTheme="minorBidi" w:cstheme="minorBidi"/>
          <w:b/>
          <w:bCs/>
          <w:sz w:val="22"/>
          <w:szCs w:val="22"/>
          <w:lang w:val="fr-FR"/>
        </w:rPr>
        <w:t>Prie</w:t>
      </w:r>
      <w:r w:rsidR="00825F39" w:rsidRPr="00065207">
        <w:rPr>
          <w:rFonts w:asciiTheme="minorBidi" w:hAnsiTheme="minorBidi" w:cstheme="minorBidi"/>
          <w:sz w:val="22"/>
          <w:szCs w:val="22"/>
          <w:lang w:val="fr-FR"/>
        </w:rPr>
        <w:t xml:space="preserve"> le Secrétaire exécutif de la COI de se pencher sur les questions couvertes par la présente résolution en consultation avec le Groupe consultatif financier intersessions (IFAG) au cours de la période intersessions 2022-2023.</w:t>
      </w:r>
    </w:p>
    <w:sectPr w:rsidR="00825F39" w:rsidRPr="00006271" w:rsidSect="0068597B">
      <w:headerReference w:type="even" r:id="rId8"/>
      <w:headerReference w:type="default" r:id="rId9"/>
      <w:footerReference w:type="even" r:id="rId10"/>
      <w:pgSz w:w="11907" w:h="16840" w:code="9"/>
      <w:pgMar w:top="1135"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60A9" w14:textId="77777777" w:rsidR="00774360" w:rsidRDefault="00774360" w:rsidP="006D0597">
      <w:r>
        <w:separator/>
      </w:r>
    </w:p>
  </w:endnote>
  <w:endnote w:type="continuationSeparator" w:id="0">
    <w:p w14:paraId="5260B62E" w14:textId="77777777" w:rsidR="00774360" w:rsidRDefault="00774360" w:rsidP="006D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6515" w14:textId="77777777" w:rsidR="006D0597" w:rsidRPr="00C84C61" w:rsidRDefault="006D0597" w:rsidP="00C84C61">
    <w:pPr>
      <w:pStyle w:val="Footer"/>
      <w:rPr>
        <w:rFonts w:asciiTheme="minorBidi" w:hAnsiTheme="minorBidi" w:cstheme="minorBidi"/>
        <w:sz w:val="22"/>
        <w:szCs w:val="22"/>
      </w:rPr>
    </w:pPr>
  </w:p>
  <w:p w14:paraId="24D0A468" w14:textId="77777777" w:rsidR="006D0597" w:rsidRDefault="006D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8E471" w14:textId="77777777" w:rsidR="00774360" w:rsidRDefault="00774360" w:rsidP="006D0597">
      <w:r>
        <w:separator/>
      </w:r>
    </w:p>
  </w:footnote>
  <w:footnote w:type="continuationSeparator" w:id="0">
    <w:p w14:paraId="63E8842D" w14:textId="77777777" w:rsidR="00774360" w:rsidRDefault="00774360" w:rsidP="006D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39A2" w14:textId="0E36165D" w:rsidR="006D0597" w:rsidRPr="00970F1E" w:rsidRDefault="006D0597" w:rsidP="00316F0C">
    <w:pPr>
      <w:spacing w:after="240"/>
      <w:rPr>
        <w:rFonts w:asciiTheme="minorBidi" w:hAnsiTheme="minorBidi" w:cstheme="minorBidi"/>
        <w:bCs/>
        <w:sz w:val="22"/>
        <w:szCs w:val="22"/>
      </w:rPr>
    </w:pPr>
    <w:r w:rsidRPr="00065207">
      <w:rPr>
        <w:rFonts w:asciiTheme="minorBidi" w:hAnsiTheme="minorBidi" w:cstheme="minorBidi"/>
        <w:sz w:val="22"/>
        <w:szCs w:val="22"/>
        <w:lang w:val="fr-FR"/>
      </w:rPr>
      <w:t>EC-55/</w:t>
    </w:r>
    <w:proofErr w:type="gramStart"/>
    <w:r w:rsidRPr="00065207">
      <w:rPr>
        <w:rFonts w:asciiTheme="minorBidi" w:hAnsiTheme="minorBidi" w:cstheme="minorBidi"/>
        <w:sz w:val="22"/>
        <w:szCs w:val="22"/>
        <w:lang w:val="fr-FR"/>
      </w:rPr>
      <w:t>DR.[</w:t>
    </w:r>
    <w:proofErr w:type="gramEnd"/>
    <w:r w:rsidRPr="00065207">
      <w:rPr>
        <w:rFonts w:asciiTheme="minorBidi" w:hAnsiTheme="minorBidi" w:cstheme="minorBidi"/>
        <w:sz w:val="22"/>
        <w:szCs w:val="22"/>
        <w:lang w:val="fr-FR"/>
      </w:rPr>
      <w:t>5.2]</w:t>
    </w:r>
    <w:r w:rsidR="00970F1E">
      <w:rPr>
        <w:rFonts w:asciiTheme="minorBidi" w:hAnsiTheme="minorBidi" w:cstheme="minorBidi"/>
        <w:bCs/>
        <w:sz w:val="22"/>
        <w:szCs w:val="22"/>
      </w:rPr>
      <w:t xml:space="preserve"> – </w:t>
    </w:r>
    <w:r w:rsidRPr="00065207">
      <w:rPr>
        <w:rFonts w:asciiTheme="minorBidi" w:hAnsiTheme="minorBidi" w:cstheme="minorBidi"/>
        <w:bCs/>
        <w:sz w:val="22"/>
        <w:szCs w:val="22"/>
        <w:lang w:val="fr-FR"/>
      </w:rPr>
      <w:t xml:space="preserve">page </w:t>
    </w:r>
    <w:r w:rsidRPr="00065207">
      <w:rPr>
        <w:rFonts w:asciiTheme="minorBidi" w:hAnsiTheme="minorBidi" w:cstheme="minorBidi"/>
        <w:bCs/>
        <w:sz w:val="22"/>
        <w:szCs w:val="22"/>
        <w:lang w:val="en-US"/>
      </w:rPr>
      <w:fldChar w:fldCharType="begin"/>
    </w:r>
    <w:r w:rsidRPr="00065207">
      <w:rPr>
        <w:rFonts w:asciiTheme="minorBidi" w:hAnsiTheme="minorBidi" w:cstheme="minorBidi"/>
        <w:bCs/>
        <w:sz w:val="22"/>
        <w:szCs w:val="22"/>
        <w:lang w:val="fr-FR"/>
      </w:rPr>
      <w:instrText xml:space="preserve"> PAGE   \* MERGEFORMAT </w:instrText>
    </w:r>
    <w:r w:rsidRPr="00065207">
      <w:rPr>
        <w:rFonts w:asciiTheme="minorBidi" w:hAnsiTheme="minorBidi" w:cstheme="minorBidi"/>
        <w:bCs/>
        <w:sz w:val="22"/>
        <w:szCs w:val="22"/>
        <w:lang w:val="en-US"/>
      </w:rPr>
      <w:fldChar w:fldCharType="separate"/>
    </w:r>
    <w:r w:rsidR="000B5E86">
      <w:rPr>
        <w:rFonts w:asciiTheme="minorBidi" w:hAnsiTheme="minorBidi" w:cstheme="minorBidi"/>
        <w:bCs/>
        <w:noProof/>
        <w:sz w:val="22"/>
        <w:szCs w:val="22"/>
        <w:lang w:val="fr-FR"/>
      </w:rPr>
      <w:t>4</w:t>
    </w:r>
    <w:r w:rsidRPr="00065207">
      <w:rPr>
        <w:rFonts w:asciiTheme="minorBidi" w:hAnsiTheme="minorBidi" w:cstheme="minorBidi"/>
        <w:bCs/>
        <w:noProof/>
        <w:sz w:val="22"/>
        <w:szCs w:val="22"/>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BC48" w14:textId="4D58E9C3" w:rsidR="006D0597" w:rsidRPr="00970F1E" w:rsidRDefault="00970F1E" w:rsidP="00316F0C">
    <w:pPr>
      <w:spacing w:after="240"/>
      <w:ind w:left="6521"/>
      <w:rPr>
        <w:rFonts w:asciiTheme="minorBidi" w:hAnsiTheme="minorBidi" w:cstheme="minorBidi"/>
        <w:bCs/>
        <w:sz w:val="22"/>
        <w:szCs w:val="22"/>
      </w:rPr>
    </w:pPr>
    <w:r w:rsidRPr="00065207">
      <w:rPr>
        <w:rFonts w:asciiTheme="minorBidi" w:hAnsiTheme="minorBidi" w:cstheme="minorBidi"/>
        <w:sz w:val="22"/>
        <w:szCs w:val="22"/>
        <w:lang w:val="fr-FR"/>
      </w:rPr>
      <w:t>EC-55/</w:t>
    </w:r>
    <w:proofErr w:type="gramStart"/>
    <w:r w:rsidRPr="00065207">
      <w:rPr>
        <w:rFonts w:asciiTheme="minorBidi" w:hAnsiTheme="minorBidi" w:cstheme="minorBidi"/>
        <w:sz w:val="22"/>
        <w:szCs w:val="22"/>
        <w:lang w:val="fr-FR"/>
      </w:rPr>
      <w:t>DR.[</w:t>
    </w:r>
    <w:proofErr w:type="gramEnd"/>
    <w:r w:rsidRPr="00065207">
      <w:rPr>
        <w:rFonts w:asciiTheme="minorBidi" w:hAnsiTheme="minorBidi" w:cstheme="minorBidi"/>
        <w:sz w:val="22"/>
        <w:szCs w:val="22"/>
        <w:lang w:val="fr-FR"/>
      </w:rPr>
      <w:t>5.2]</w:t>
    </w:r>
    <w:r>
      <w:rPr>
        <w:rFonts w:asciiTheme="minorBidi" w:hAnsiTheme="minorBidi" w:cstheme="minorBidi"/>
        <w:bCs/>
        <w:sz w:val="22"/>
        <w:szCs w:val="22"/>
      </w:rPr>
      <w:t xml:space="preserve"> – </w:t>
    </w:r>
    <w:r w:rsidRPr="00065207">
      <w:rPr>
        <w:rFonts w:asciiTheme="minorBidi" w:hAnsiTheme="minorBidi" w:cstheme="minorBidi"/>
        <w:bCs/>
        <w:sz w:val="22"/>
        <w:szCs w:val="22"/>
        <w:lang w:val="fr-FR"/>
      </w:rPr>
      <w:t xml:space="preserve">page </w:t>
    </w:r>
    <w:r w:rsidRPr="00065207">
      <w:rPr>
        <w:rFonts w:asciiTheme="minorBidi" w:hAnsiTheme="minorBidi" w:cstheme="minorBidi"/>
        <w:bCs/>
        <w:sz w:val="22"/>
        <w:szCs w:val="22"/>
        <w:lang w:val="en-US"/>
      </w:rPr>
      <w:fldChar w:fldCharType="begin"/>
    </w:r>
    <w:r w:rsidRPr="00065207">
      <w:rPr>
        <w:rFonts w:asciiTheme="minorBidi" w:hAnsiTheme="minorBidi" w:cstheme="minorBidi"/>
        <w:bCs/>
        <w:sz w:val="22"/>
        <w:szCs w:val="22"/>
        <w:lang w:val="fr-FR"/>
      </w:rPr>
      <w:instrText xml:space="preserve"> PAGE   \* MERGEFORMAT </w:instrText>
    </w:r>
    <w:r w:rsidRPr="00065207">
      <w:rPr>
        <w:rFonts w:asciiTheme="minorBidi" w:hAnsiTheme="minorBidi" w:cstheme="minorBidi"/>
        <w:bCs/>
        <w:sz w:val="22"/>
        <w:szCs w:val="22"/>
        <w:lang w:val="en-US"/>
      </w:rPr>
      <w:fldChar w:fldCharType="separate"/>
    </w:r>
    <w:r>
      <w:rPr>
        <w:rFonts w:asciiTheme="minorBidi" w:hAnsiTheme="minorBidi"/>
        <w:bCs/>
        <w:lang w:val="en-US"/>
      </w:rPr>
      <w:t>2</w:t>
    </w:r>
    <w:r w:rsidRPr="00065207">
      <w:rPr>
        <w:rFonts w:asciiTheme="minorBidi" w:hAnsiTheme="minorBidi" w:cstheme="minorBidi"/>
        <w:bCs/>
        <w:noProof/>
        <w:sz w:val="22"/>
        <w:szCs w:val="22"/>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B2CF1"/>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08751969"/>
    <w:multiLevelType w:val="multilevel"/>
    <w:tmpl w:val="8D1E4284"/>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E6F7C14"/>
    <w:multiLevelType w:val="hybridMultilevel"/>
    <w:tmpl w:val="C2C0BF7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A9166BC"/>
    <w:multiLevelType w:val="hybridMultilevel"/>
    <w:tmpl w:val="D2BE6D6A"/>
    <w:lvl w:ilvl="0" w:tplc="1E1A5676">
      <w:start w:val="1"/>
      <w:numFmt w:val="decimal"/>
      <w:lvlText w:val="%1."/>
      <w:lvlJc w:val="left"/>
      <w:pPr>
        <w:ind w:left="720" w:hanging="360"/>
      </w:pPr>
      <w:rPr>
        <w:rFonts w:asciiTheme="minorBidi" w:eastAsiaTheme="minorHAnsi" w:hAnsiTheme="minorBid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BC33398"/>
    <w:multiLevelType w:val="hybridMultilevel"/>
    <w:tmpl w:val="6CC8C5BC"/>
    <w:lvl w:ilvl="0" w:tplc="39002AE6">
      <w:start w:val="1"/>
      <w:numFmt w:val="decimal"/>
      <w:lvlText w:val="%1."/>
      <w:lvlJc w:val="left"/>
      <w:pPr>
        <w:ind w:left="720" w:hanging="360"/>
      </w:pPr>
      <w:rPr>
        <w:rFonts w:ascii="Arial" w:hAnsi="Arial" w:cs="Arial" w:hint="default"/>
        <w:b w:val="0"/>
        <w:bCs/>
        <w:i w:val="0"/>
        <w:iCs/>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0" w15:restartNumberingAfterBreak="0">
    <w:nsid w:val="259F0891"/>
    <w:multiLevelType w:val="multilevel"/>
    <w:tmpl w:val="8FB0B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30008F"/>
    <w:multiLevelType w:val="hybridMultilevel"/>
    <w:tmpl w:val="2FDA2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52A37BF"/>
    <w:multiLevelType w:val="hybridMultilevel"/>
    <w:tmpl w:val="E15656C6"/>
    <w:lvl w:ilvl="0" w:tplc="F31C1A3C">
      <w:start w:val="1"/>
      <w:numFmt w:val="upperRoman"/>
      <w:lvlText w:val="%1."/>
      <w:lvlJc w:val="left"/>
      <w:pPr>
        <w:ind w:left="2223" w:hanging="936"/>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4"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485BFE"/>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6"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C17629"/>
    <w:multiLevelType w:val="hybridMultilevel"/>
    <w:tmpl w:val="D362F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2646EE"/>
    <w:multiLevelType w:val="hybridMultilevel"/>
    <w:tmpl w:val="7EB0BD6A"/>
    <w:lvl w:ilvl="0" w:tplc="42A4FCC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abstractNumId w:val="0"/>
  </w:num>
  <w:num w:numId="2">
    <w:abstractNumId w:val="20"/>
  </w:num>
  <w:num w:numId="3">
    <w:abstractNumId w:val="10"/>
  </w:num>
  <w:num w:numId="4">
    <w:abstractNumId w:val="2"/>
  </w:num>
  <w:num w:numId="5">
    <w:abstractNumId w:val="18"/>
  </w:num>
  <w:num w:numId="6">
    <w:abstractNumId w:val="14"/>
  </w:num>
  <w:num w:numId="7">
    <w:abstractNumId w:val="16"/>
  </w:num>
  <w:num w:numId="8">
    <w:abstractNumId w:val="6"/>
  </w:num>
  <w:num w:numId="9">
    <w:abstractNumId w:val="8"/>
  </w:num>
  <w:num w:numId="10">
    <w:abstractNumId w:val="4"/>
  </w:num>
  <w:num w:numId="11">
    <w:abstractNumId w:val="7"/>
  </w:num>
  <w:num w:numId="12">
    <w:abstractNumId w:val="1"/>
  </w:num>
  <w:num w:numId="13">
    <w:abstractNumId w:val="11"/>
  </w:num>
  <w:num w:numId="14">
    <w:abstractNumId w:val="21"/>
  </w:num>
  <w:num w:numId="15">
    <w:abstractNumId w:val="13"/>
  </w:num>
  <w:num w:numId="16">
    <w:abstractNumId w:val="9"/>
  </w:num>
  <w:num w:numId="17">
    <w:abstractNumId w:val="19"/>
  </w:num>
  <w:num w:numId="18">
    <w:abstractNumId w:val="22"/>
  </w:num>
  <w:num w:numId="19">
    <w:abstractNumId w:val="12"/>
  </w:num>
  <w:num w:numId="20">
    <w:abstractNumId w:val="17"/>
  </w:num>
  <w:num w:numId="21">
    <w:abstractNumId w:val="5"/>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93"/>
    <w:rsid w:val="00002B42"/>
    <w:rsid w:val="00006271"/>
    <w:rsid w:val="00010F33"/>
    <w:rsid w:val="00015C46"/>
    <w:rsid w:val="000168D0"/>
    <w:rsid w:val="0002089D"/>
    <w:rsid w:val="00032890"/>
    <w:rsid w:val="00036A5B"/>
    <w:rsid w:val="00043C54"/>
    <w:rsid w:val="00044F46"/>
    <w:rsid w:val="00047244"/>
    <w:rsid w:val="00065207"/>
    <w:rsid w:val="00072EAE"/>
    <w:rsid w:val="000743BB"/>
    <w:rsid w:val="000747D1"/>
    <w:rsid w:val="00085397"/>
    <w:rsid w:val="00094D17"/>
    <w:rsid w:val="000A73D8"/>
    <w:rsid w:val="000A7F61"/>
    <w:rsid w:val="000B5E86"/>
    <w:rsid w:val="000B6A23"/>
    <w:rsid w:val="000D249F"/>
    <w:rsid w:val="000D6434"/>
    <w:rsid w:val="000E344F"/>
    <w:rsid w:val="000E6DE1"/>
    <w:rsid w:val="001051AA"/>
    <w:rsid w:val="00122495"/>
    <w:rsid w:val="00127609"/>
    <w:rsid w:val="00137A1E"/>
    <w:rsid w:val="0015330E"/>
    <w:rsid w:val="00153381"/>
    <w:rsid w:val="001564A0"/>
    <w:rsid w:val="00157D10"/>
    <w:rsid w:val="001750B5"/>
    <w:rsid w:val="001903A0"/>
    <w:rsid w:val="00194CE1"/>
    <w:rsid w:val="001B1B3B"/>
    <w:rsid w:val="001C0D97"/>
    <w:rsid w:val="001D0CD8"/>
    <w:rsid w:val="001D5B1D"/>
    <w:rsid w:val="001E34AB"/>
    <w:rsid w:val="001F3F56"/>
    <w:rsid w:val="001F475E"/>
    <w:rsid w:val="002073E9"/>
    <w:rsid w:val="00222214"/>
    <w:rsid w:val="00222649"/>
    <w:rsid w:val="002500BA"/>
    <w:rsid w:val="002619DD"/>
    <w:rsid w:val="002649D8"/>
    <w:rsid w:val="00271989"/>
    <w:rsid w:val="00285C1C"/>
    <w:rsid w:val="00291205"/>
    <w:rsid w:val="00291C31"/>
    <w:rsid w:val="002A1E26"/>
    <w:rsid w:val="002A467C"/>
    <w:rsid w:val="002B0345"/>
    <w:rsid w:val="002B0AD4"/>
    <w:rsid w:val="002B1D58"/>
    <w:rsid w:val="002B5650"/>
    <w:rsid w:val="002C1CE1"/>
    <w:rsid w:val="002C271E"/>
    <w:rsid w:val="002D47A6"/>
    <w:rsid w:val="002E79FC"/>
    <w:rsid w:val="002F4995"/>
    <w:rsid w:val="00314CA0"/>
    <w:rsid w:val="00315F6C"/>
    <w:rsid w:val="00316F0C"/>
    <w:rsid w:val="003226F3"/>
    <w:rsid w:val="00331026"/>
    <w:rsid w:val="003574E2"/>
    <w:rsid w:val="00371CCD"/>
    <w:rsid w:val="00387CF2"/>
    <w:rsid w:val="00390E9C"/>
    <w:rsid w:val="00394092"/>
    <w:rsid w:val="003A14D1"/>
    <w:rsid w:val="003A4DED"/>
    <w:rsid w:val="003B27DE"/>
    <w:rsid w:val="003C1E3C"/>
    <w:rsid w:val="003C5CB6"/>
    <w:rsid w:val="003D4FC0"/>
    <w:rsid w:val="003E3AC9"/>
    <w:rsid w:val="003E3F65"/>
    <w:rsid w:val="003F2754"/>
    <w:rsid w:val="004057BB"/>
    <w:rsid w:val="0041087D"/>
    <w:rsid w:val="00412BA6"/>
    <w:rsid w:val="00427AC8"/>
    <w:rsid w:val="004302F9"/>
    <w:rsid w:val="00444D97"/>
    <w:rsid w:val="00453BBE"/>
    <w:rsid w:val="004548D3"/>
    <w:rsid w:val="004569F7"/>
    <w:rsid w:val="00473E15"/>
    <w:rsid w:val="0049057A"/>
    <w:rsid w:val="00492B66"/>
    <w:rsid w:val="00493830"/>
    <w:rsid w:val="0049425E"/>
    <w:rsid w:val="004A0A45"/>
    <w:rsid w:val="004A0BDD"/>
    <w:rsid w:val="004B4881"/>
    <w:rsid w:val="004C3CE8"/>
    <w:rsid w:val="004D15F9"/>
    <w:rsid w:val="004D6C13"/>
    <w:rsid w:val="004E7E5B"/>
    <w:rsid w:val="00502B7F"/>
    <w:rsid w:val="00512B5A"/>
    <w:rsid w:val="00513DF3"/>
    <w:rsid w:val="00532396"/>
    <w:rsid w:val="00532C23"/>
    <w:rsid w:val="005353C2"/>
    <w:rsid w:val="00543430"/>
    <w:rsid w:val="00545304"/>
    <w:rsid w:val="0055537B"/>
    <w:rsid w:val="005626E9"/>
    <w:rsid w:val="005638D9"/>
    <w:rsid w:val="00571AC5"/>
    <w:rsid w:val="00577C2E"/>
    <w:rsid w:val="00581141"/>
    <w:rsid w:val="005C4C56"/>
    <w:rsid w:val="005C5FF8"/>
    <w:rsid w:val="005E0B8A"/>
    <w:rsid w:val="005E62DC"/>
    <w:rsid w:val="005F433F"/>
    <w:rsid w:val="005F4B89"/>
    <w:rsid w:val="005F4DFB"/>
    <w:rsid w:val="00602A84"/>
    <w:rsid w:val="00612CC5"/>
    <w:rsid w:val="00617623"/>
    <w:rsid w:val="006278BC"/>
    <w:rsid w:val="006343D3"/>
    <w:rsid w:val="006354A9"/>
    <w:rsid w:val="00643DC1"/>
    <w:rsid w:val="00684693"/>
    <w:rsid w:val="0068597B"/>
    <w:rsid w:val="006974A9"/>
    <w:rsid w:val="006A02CE"/>
    <w:rsid w:val="006A6D43"/>
    <w:rsid w:val="006B027C"/>
    <w:rsid w:val="006B2514"/>
    <w:rsid w:val="006B7440"/>
    <w:rsid w:val="006D0597"/>
    <w:rsid w:val="006F4EF7"/>
    <w:rsid w:val="006F5709"/>
    <w:rsid w:val="006F6055"/>
    <w:rsid w:val="00714601"/>
    <w:rsid w:val="0071737C"/>
    <w:rsid w:val="0074514F"/>
    <w:rsid w:val="007529D2"/>
    <w:rsid w:val="00755D90"/>
    <w:rsid w:val="007602AB"/>
    <w:rsid w:val="007642AD"/>
    <w:rsid w:val="0076504D"/>
    <w:rsid w:val="00767CF6"/>
    <w:rsid w:val="00774360"/>
    <w:rsid w:val="00782434"/>
    <w:rsid w:val="00782DE6"/>
    <w:rsid w:val="0079274B"/>
    <w:rsid w:val="007A4762"/>
    <w:rsid w:val="007B148E"/>
    <w:rsid w:val="007B1F03"/>
    <w:rsid w:val="007C3923"/>
    <w:rsid w:val="007C398E"/>
    <w:rsid w:val="007C467F"/>
    <w:rsid w:val="007D1B26"/>
    <w:rsid w:val="007E3A84"/>
    <w:rsid w:val="007F53DE"/>
    <w:rsid w:val="007F6C53"/>
    <w:rsid w:val="007F7B14"/>
    <w:rsid w:val="008003D0"/>
    <w:rsid w:val="0080412A"/>
    <w:rsid w:val="008104A3"/>
    <w:rsid w:val="00815464"/>
    <w:rsid w:val="00825F39"/>
    <w:rsid w:val="00837448"/>
    <w:rsid w:val="0084747B"/>
    <w:rsid w:val="00854458"/>
    <w:rsid w:val="00856599"/>
    <w:rsid w:val="00865277"/>
    <w:rsid w:val="00891A3F"/>
    <w:rsid w:val="008A0F94"/>
    <w:rsid w:val="008A1868"/>
    <w:rsid w:val="008A5FBD"/>
    <w:rsid w:val="008A7002"/>
    <w:rsid w:val="008B7758"/>
    <w:rsid w:val="008D435B"/>
    <w:rsid w:val="008E3DD4"/>
    <w:rsid w:val="008F10FD"/>
    <w:rsid w:val="008F3017"/>
    <w:rsid w:val="008F7157"/>
    <w:rsid w:val="00924048"/>
    <w:rsid w:val="00934CDA"/>
    <w:rsid w:val="0093649D"/>
    <w:rsid w:val="00936DFC"/>
    <w:rsid w:val="00942222"/>
    <w:rsid w:val="0096068C"/>
    <w:rsid w:val="00970F1E"/>
    <w:rsid w:val="00990FF7"/>
    <w:rsid w:val="00991DE0"/>
    <w:rsid w:val="00992C76"/>
    <w:rsid w:val="009969B5"/>
    <w:rsid w:val="00996BFF"/>
    <w:rsid w:val="009D7DAF"/>
    <w:rsid w:val="009E0B61"/>
    <w:rsid w:val="009E1650"/>
    <w:rsid w:val="009F1985"/>
    <w:rsid w:val="009F44AF"/>
    <w:rsid w:val="00A06FCB"/>
    <w:rsid w:val="00A23707"/>
    <w:rsid w:val="00A279AB"/>
    <w:rsid w:val="00A3508D"/>
    <w:rsid w:val="00A3677E"/>
    <w:rsid w:val="00A70583"/>
    <w:rsid w:val="00A714D1"/>
    <w:rsid w:val="00A74B43"/>
    <w:rsid w:val="00A914FF"/>
    <w:rsid w:val="00AB0788"/>
    <w:rsid w:val="00AB0EE9"/>
    <w:rsid w:val="00AC0A18"/>
    <w:rsid w:val="00AC29F1"/>
    <w:rsid w:val="00B01A7E"/>
    <w:rsid w:val="00B20A2C"/>
    <w:rsid w:val="00B42117"/>
    <w:rsid w:val="00B45827"/>
    <w:rsid w:val="00B503DD"/>
    <w:rsid w:val="00B5070E"/>
    <w:rsid w:val="00B528F5"/>
    <w:rsid w:val="00B60569"/>
    <w:rsid w:val="00B635CC"/>
    <w:rsid w:val="00B70367"/>
    <w:rsid w:val="00B705A8"/>
    <w:rsid w:val="00B71151"/>
    <w:rsid w:val="00B86DD2"/>
    <w:rsid w:val="00BA2656"/>
    <w:rsid w:val="00BA42EF"/>
    <w:rsid w:val="00BB0F29"/>
    <w:rsid w:val="00BC2C20"/>
    <w:rsid w:val="00BC76A6"/>
    <w:rsid w:val="00BE40AC"/>
    <w:rsid w:val="00C039DF"/>
    <w:rsid w:val="00C063AC"/>
    <w:rsid w:val="00C068AF"/>
    <w:rsid w:val="00C06FC8"/>
    <w:rsid w:val="00C1352A"/>
    <w:rsid w:val="00C1538A"/>
    <w:rsid w:val="00C203B4"/>
    <w:rsid w:val="00C27652"/>
    <w:rsid w:val="00C311DD"/>
    <w:rsid w:val="00C3374D"/>
    <w:rsid w:val="00C363FE"/>
    <w:rsid w:val="00C455DE"/>
    <w:rsid w:val="00C62D6D"/>
    <w:rsid w:val="00C631C3"/>
    <w:rsid w:val="00C82158"/>
    <w:rsid w:val="00C84C61"/>
    <w:rsid w:val="00C85745"/>
    <w:rsid w:val="00C874E2"/>
    <w:rsid w:val="00C9293A"/>
    <w:rsid w:val="00C9755D"/>
    <w:rsid w:val="00CA3DF3"/>
    <w:rsid w:val="00CC6D9C"/>
    <w:rsid w:val="00CD214B"/>
    <w:rsid w:val="00CE125C"/>
    <w:rsid w:val="00CE79CB"/>
    <w:rsid w:val="00CF4B94"/>
    <w:rsid w:val="00D17D3D"/>
    <w:rsid w:val="00D3033E"/>
    <w:rsid w:val="00D31E07"/>
    <w:rsid w:val="00D3722D"/>
    <w:rsid w:val="00D42A63"/>
    <w:rsid w:val="00D53493"/>
    <w:rsid w:val="00D556B7"/>
    <w:rsid w:val="00D615EB"/>
    <w:rsid w:val="00D62192"/>
    <w:rsid w:val="00D66411"/>
    <w:rsid w:val="00D773C8"/>
    <w:rsid w:val="00DA4CD1"/>
    <w:rsid w:val="00DB3543"/>
    <w:rsid w:val="00DB6350"/>
    <w:rsid w:val="00DC1FC5"/>
    <w:rsid w:val="00DC270F"/>
    <w:rsid w:val="00DE04BD"/>
    <w:rsid w:val="00DE56ED"/>
    <w:rsid w:val="00DE65CE"/>
    <w:rsid w:val="00DE661D"/>
    <w:rsid w:val="00DE7F66"/>
    <w:rsid w:val="00DF6E9E"/>
    <w:rsid w:val="00E011DB"/>
    <w:rsid w:val="00E03B03"/>
    <w:rsid w:val="00E06C65"/>
    <w:rsid w:val="00E311FA"/>
    <w:rsid w:val="00E31C92"/>
    <w:rsid w:val="00E33778"/>
    <w:rsid w:val="00E4329D"/>
    <w:rsid w:val="00E47393"/>
    <w:rsid w:val="00E61069"/>
    <w:rsid w:val="00E63726"/>
    <w:rsid w:val="00E7572E"/>
    <w:rsid w:val="00E95E6A"/>
    <w:rsid w:val="00EB0F4F"/>
    <w:rsid w:val="00EB1CC9"/>
    <w:rsid w:val="00EB2553"/>
    <w:rsid w:val="00ED2A9F"/>
    <w:rsid w:val="00EE24C9"/>
    <w:rsid w:val="00EF2D5B"/>
    <w:rsid w:val="00F01140"/>
    <w:rsid w:val="00F06A2B"/>
    <w:rsid w:val="00F20672"/>
    <w:rsid w:val="00F35026"/>
    <w:rsid w:val="00F45C06"/>
    <w:rsid w:val="00F57DDF"/>
    <w:rsid w:val="00F6037B"/>
    <w:rsid w:val="00F6277D"/>
    <w:rsid w:val="00F75A9E"/>
    <w:rsid w:val="00F85958"/>
    <w:rsid w:val="00F93FA0"/>
    <w:rsid w:val="00F978F8"/>
    <w:rsid w:val="00FB28BD"/>
    <w:rsid w:val="00FB3BEB"/>
    <w:rsid w:val="00FD20DC"/>
    <w:rsid w:val="00FF1299"/>
    <w:rsid w:val="00FF7D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D3656"/>
  <w15:docId w15:val="{3BC901F4-F99A-40CC-AFAC-A070C3C6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93"/>
    <w:pPr>
      <w:tabs>
        <w:tab w:val="left" w:pos="567"/>
      </w:tabs>
      <w:snapToGrid w:val="0"/>
      <w:spacing w:after="0" w:line="240" w:lineRule="auto"/>
    </w:pPr>
    <w:rPr>
      <w:rFonts w:ascii="Times New Roman" w:eastAsia="Times New Roman" w:hAnsi="Times New Roman" w:cs="Times New Roman"/>
      <w:snapToGrid w:val="0"/>
      <w:sz w:val="24"/>
      <w:szCs w:val="24"/>
      <w:lang w:val="en-GB"/>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4472C4"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customStyle="1" w:styleId="b">
    <w:name w:val="(b)"/>
    <w:basedOn w:val="Normal"/>
    <w:rsid w:val="00D53493"/>
    <w:pPr>
      <w:tabs>
        <w:tab w:val="clear" w:pos="567"/>
        <w:tab w:val="left" w:pos="-737"/>
        <w:tab w:val="left" w:pos="1134"/>
      </w:tabs>
      <w:spacing w:after="240"/>
      <w:ind w:left="1134" w:hanging="567"/>
      <w:jc w:val="both"/>
    </w:pPr>
  </w:style>
  <w:style w:type="paragraph" w:styleId="ListParagraph">
    <w:name w:val="List Paragraph"/>
    <w:basedOn w:val="Normal"/>
    <w:uiPriority w:val="34"/>
    <w:qFormat/>
    <w:rsid w:val="00D53493"/>
    <w:pPr>
      <w:ind w:left="720"/>
      <w:contextualSpacing/>
    </w:pPr>
  </w:style>
  <w:style w:type="paragraph" w:styleId="Header">
    <w:name w:val="header"/>
    <w:basedOn w:val="Normal"/>
    <w:link w:val="HeaderChar"/>
    <w:uiPriority w:val="99"/>
    <w:rsid w:val="00D53493"/>
    <w:pPr>
      <w:tabs>
        <w:tab w:val="clear" w:pos="567"/>
        <w:tab w:val="center" w:pos="4153"/>
        <w:tab w:val="right" w:pos="8306"/>
      </w:tabs>
      <w:snapToGrid/>
      <w:jc w:val="both"/>
    </w:pPr>
    <w:rPr>
      <w:snapToGrid/>
      <w:szCs w:val="20"/>
    </w:rPr>
  </w:style>
  <w:style w:type="character" w:customStyle="1" w:styleId="HeaderChar">
    <w:name w:val="Header Char"/>
    <w:basedOn w:val="DefaultParagraphFont"/>
    <w:link w:val="Header"/>
    <w:uiPriority w:val="99"/>
    <w:rsid w:val="00D53493"/>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C2C20"/>
    <w:rPr>
      <w:sz w:val="16"/>
      <w:szCs w:val="16"/>
    </w:rPr>
  </w:style>
  <w:style w:type="paragraph" w:styleId="CommentText">
    <w:name w:val="annotation text"/>
    <w:basedOn w:val="Normal"/>
    <w:link w:val="CommentTextChar"/>
    <w:uiPriority w:val="99"/>
    <w:semiHidden/>
    <w:unhideWhenUsed/>
    <w:rsid w:val="00BC2C20"/>
    <w:rPr>
      <w:sz w:val="20"/>
      <w:szCs w:val="20"/>
    </w:rPr>
  </w:style>
  <w:style w:type="character" w:customStyle="1" w:styleId="CommentTextChar">
    <w:name w:val="Comment Text Char"/>
    <w:basedOn w:val="DefaultParagraphFont"/>
    <w:link w:val="CommentText"/>
    <w:uiPriority w:val="99"/>
    <w:semiHidden/>
    <w:rsid w:val="00BC2C20"/>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C2C20"/>
    <w:rPr>
      <w:b/>
      <w:bCs/>
    </w:rPr>
  </w:style>
  <w:style w:type="character" w:customStyle="1" w:styleId="CommentSubjectChar">
    <w:name w:val="Comment Subject Char"/>
    <w:basedOn w:val="CommentTextChar"/>
    <w:link w:val="CommentSubject"/>
    <w:uiPriority w:val="99"/>
    <w:semiHidden/>
    <w:rsid w:val="00BC2C20"/>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BC2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C20"/>
    <w:rPr>
      <w:rFonts w:ascii="Segoe UI" w:eastAsia="Times New Roman" w:hAnsi="Segoe UI" w:cs="Segoe UI"/>
      <w:snapToGrid w:val="0"/>
      <w:sz w:val="18"/>
      <w:szCs w:val="18"/>
      <w:lang w:val="en-GB"/>
    </w:rPr>
  </w:style>
  <w:style w:type="paragraph" w:customStyle="1" w:styleId="Default">
    <w:name w:val="Default"/>
    <w:rsid w:val="00FB28BD"/>
    <w:pPr>
      <w:autoSpaceDE w:val="0"/>
      <w:autoSpaceDN w:val="0"/>
      <w:adjustRightInd w:val="0"/>
      <w:spacing w:after="0" w:line="240" w:lineRule="auto"/>
    </w:pPr>
    <w:rPr>
      <w:rFonts w:ascii="Arial" w:eastAsia="SimSun" w:hAnsi="Arial" w:cs="Arial"/>
      <w:color w:val="000000"/>
      <w:sz w:val="24"/>
      <w:szCs w:val="24"/>
      <w:lang w:val="en-GB" w:eastAsia="en-GB"/>
    </w:rPr>
  </w:style>
  <w:style w:type="paragraph" w:styleId="Footer">
    <w:name w:val="footer"/>
    <w:basedOn w:val="Normal"/>
    <w:link w:val="FooterChar"/>
    <w:uiPriority w:val="99"/>
    <w:unhideWhenUsed/>
    <w:rsid w:val="006D0597"/>
    <w:pPr>
      <w:tabs>
        <w:tab w:val="clear" w:pos="567"/>
        <w:tab w:val="center" w:pos="4513"/>
        <w:tab w:val="right" w:pos="9026"/>
      </w:tabs>
    </w:pPr>
  </w:style>
  <w:style w:type="character" w:customStyle="1" w:styleId="FooterChar">
    <w:name w:val="Footer Char"/>
    <w:basedOn w:val="DefaultParagraphFont"/>
    <w:link w:val="Footer"/>
    <w:uiPriority w:val="99"/>
    <w:rsid w:val="006D0597"/>
    <w:rPr>
      <w:rFonts w:ascii="Times New Roman" w:eastAsia="Times New Roman" w:hAnsi="Times New Roman" w:cs="Times New Roman"/>
      <w:snapToGrid w:val="0"/>
      <w:sz w:val="24"/>
      <w:szCs w:val="24"/>
      <w:lang w:val="en-GB"/>
    </w:rPr>
  </w:style>
  <w:style w:type="paragraph" w:styleId="Revision">
    <w:name w:val="Revision"/>
    <w:hidden/>
    <w:uiPriority w:val="99"/>
    <w:semiHidden/>
    <w:rsid w:val="00137A1E"/>
    <w:pPr>
      <w:spacing w:after="0" w:line="240" w:lineRule="auto"/>
    </w:pPr>
    <w:rPr>
      <w:rFonts w:ascii="Times New Roman" w:eastAsia="Times New Roman" w:hAnsi="Times New Roman" w:cs="Times New Roman"/>
      <w:snapToGrid w:val="0"/>
      <w:sz w:val="24"/>
      <w:szCs w:val="24"/>
      <w:lang w:val="en-GB"/>
    </w:rPr>
  </w:style>
  <w:style w:type="paragraph" w:styleId="FootnoteText">
    <w:name w:val="footnote text"/>
    <w:basedOn w:val="Normal"/>
    <w:link w:val="FootnoteTextChar"/>
    <w:uiPriority w:val="99"/>
    <w:semiHidden/>
    <w:rsid w:val="002E79FC"/>
    <w:pPr>
      <w:ind w:left="567" w:hanging="567"/>
    </w:pPr>
    <w:rPr>
      <w:sz w:val="20"/>
      <w:szCs w:val="20"/>
    </w:rPr>
  </w:style>
  <w:style w:type="character" w:customStyle="1" w:styleId="FootnoteTextChar">
    <w:name w:val="Footnote Text Char"/>
    <w:basedOn w:val="DefaultParagraphFont"/>
    <w:link w:val="FootnoteText"/>
    <w:uiPriority w:val="99"/>
    <w:semiHidden/>
    <w:rsid w:val="002E79FC"/>
    <w:rPr>
      <w:rFonts w:ascii="Times New Roman" w:eastAsia="Times New Roman" w:hAnsi="Times New Roman" w:cs="Times New Roman"/>
      <w:snapToGrid w:val="0"/>
      <w:sz w:val="20"/>
      <w:szCs w:val="20"/>
      <w:lang w:val="en-GB"/>
    </w:rPr>
  </w:style>
  <w:style w:type="paragraph" w:customStyle="1" w:styleId="alina">
    <w:name w:val="alinéa"/>
    <w:basedOn w:val="Normal"/>
    <w:rsid w:val="00427AC8"/>
    <w:pPr>
      <w:snapToGrid/>
      <w:spacing w:after="240"/>
      <w:ind w:left="567"/>
      <w:jc w:val="both"/>
    </w:pPr>
    <w:rPr>
      <w:snapToGrid/>
    </w:rPr>
  </w:style>
  <w:style w:type="paragraph" w:customStyle="1" w:styleId="TIRETbul1cm">
    <w:name w:val="TIRET bul 1cm"/>
    <w:basedOn w:val="Normal"/>
    <w:rsid w:val="00427AC8"/>
    <w:pPr>
      <w:numPr>
        <w:numId w:val="19"/>
      </w:numPr>
      <w:tabs>
        <w:tab w:val="clear" w:pos="567"/>
        <w:tab w:val="clear" w:pos="644"/>
        <w:tab w:val="num" w:pos="851"/>
      </w:tabs>
      <w:adjustRightInd w:val="0"/>
      <w:spacing w:after="240"/>
      <w:ind w:left="851" w:hanging="284"/>
      <w:jc w:val="both"/>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31238">
      <w:bodyDiv w:val="1"/>
      <w:marLeft w:val="0"/>
      <w:marRight w:val="0"/>
      <w:marTop w:val="0"/>
      <w:marBottom w:val="0"/>
      <w:divBdr>
        <w:top w:val="none" w:sz="0" w:space="0" w:color="auto"/>
        <w:left w:val="none" w:sz="0" w:space="0" w:color="auto"/>
        <w:bottom w:val="none" w:sz="0" w:space="0" w:color="auto"/>
        <w:right w:val="none" w:sz="0" w:space="0" w:color="auto"/>
      </w:divBdr>
    </w:div>
    <w:div w:id="1456634662">
      <w:bodyDiv w:val="1"/>
      <w:marLeft w:val="0"/>
      <w:marRight w:val="0"/>
      <w:marTop w:val="0"/>
      <w:marBottom w:val="0"/>
      <w:divBdr>
        <w:top w:val="none" w:sz="0" w:space="0" w:color="auto"/>
        <w:left w:val="none" w:sz="0" w:space="0" w:color="auto"/>
        <w:bottom w:val="none" w:sz="0" w:space="0" w:color="auto"/>
        <w:right w:val="none" w:sz="0" w:space="0" w:color="auto"/>
      </w:divBdr>
    </w:div>
    <w:div w:id="149692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FC6FC-3044-433F-991C-B1AFA459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1489</Words>
  <Characters>8490</Characters>
  <Application>Microsoft Office Word</Application>
  <DocSecurity>4</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EC-55/[5.2]</dc:title>
  <dc:subject>EC-55/DR.[5.2]</dc:subject>
  <dc:creator>Pastor Reyes, Ingrid</dc:creator>
  <dc:description/>
  <cp:lastModifiedBy>Boned, Patrice</cp:lastModifiedBy>
  <cp:revision>2</cp:revision>
  <cp:lastPrinted>2022-06-14T13:50:00Z</cp:lastPrinted>
  <dcterms:created xsi:type="dcterms:W3CDTF">2022-06-16T15:16:00Z</dcterms:created>
  <dcterms:modified xsi:type="dcterms:W3CDTF">2022-06-16T15:16:00Z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marine.cottarel</vt:lpwstr>
  </property>
  <property fmtid="{D5CDD505-2E9C-101B-9397-08002B2CF9AE}" pid="4" name="GeneratedDate">
    <vt:lpwstr>06/16/2022 12:34:12</vt:lpwstr>
  </property>
  <property fmtid="{D5CDD505-2E9C-101B-9397-08002B2CF9AE}" pid="5" name="OriginalDocID">
    <vt:lpwstr>5ffc580b-f904-4b95-a3b0-6106067ebc3d</vt:lpwstr>
  </property>
  <property fmtid="{D5CDD505-2E9C-101B-9397-08002B2CF9AE}" pid="6" name="JobDCPMS">
    <vt:lpwstr>202201668</vt:lpwstr>
  </property>
  <property fmtid="{D5CDD505-2E9C-101B-9397-08002B2CF9AE}" pid="7" name="Language">
    <vt:lpwstr>F</vt:lpwstr>
  </property>
</Properties>
</file>