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183CB" w14:textId="4B2A07F8" w:rsidR="00FA68D9" w:rsidRPr="00BC03E1" w:rsidRDefault="00FA68D9">
      <w:pPr>
        <w:rPr>
          <w:rFonts w:asciiTheme="minorBidi" w:hAnsiTheme="minorBidi" w:cstheme="minorBidi"/>
          <w:sz w:val="22"/>
          <w:szCs w:val="22"/>
        </w:rPr>
      </w:pPr>
    </w:p>
    <w:tbl>
      <w:tblPr>
        <w:tblStyle w:val="TableGrid"/>
        <w:tblW w:w="6804" w:type="dxa"/>
        <w:jc w:val="center"/>
        <w:tblLook w:val="04A0" w:firstRow="1" w:lastRow="0" w:firstColumn="1" w:lastColumn="0" w:noHBand="0" w:noVBand="1"/>
      </w:tblPr>
      <w:tblGrid>
        <w:gridCol w:w="6804"/>
      </w:tblGrid>
      <w:tr w:rsidR="00FA68D9" w:rsidRPr="00BC03E1" w14:paraId="1709CCC6" w14:textId="77777777" w:rsidTr="006D43E7">
        <w:trPr>
          <w:trHeight w:val="2507"/>
          <w:jc w:val="center"/>
        </w:trPr>
        <w:tc>
          <w:tcPr>
            <w:tcW w:w="6804" w:type="dxa"/>
          </w:tcPr>
          <w:p w14:paraId="33D8523D" w14:textId="2EFF265F" w:rsidR="001B5075" w:rsidRPr="00BC03E1" w:rsidRDefault="001B5075" w:rsidP="002D239B">
            <w:pPr>
              <w:tabs>
                <w:tab w:val="clear" w:pos="567"/>
              </w:tabs>
              <w:snapToGrid/>
              <w:spacing w:before="240" w:after="240"/>
              <w:ind w:left="113" w:right="113"/>
              <w:jc w:val="center"/>
              <w:rPr>
                <w:rFonts w:asciiTheme="minorBidi" w:hAnsiTheme="minorBidi" w:cstheme="minorBidi"/>
                <w:bCs/>
                <w:sz w:val="22"/>
                <w:szCs w:val="22"/>
                <w:u w:val="single"/>
              </w:rPr>
            </w:pPr>
            <w:r>
              <w:rPr>
                <w:rFonts w:asciiTheme="minorBidi" w:hAnsiTheme="minorBidi"/>
                <w:bCs/>
                <w:sz w:val="22"/>
                <w:szCs w:val="22"/>
                <w:u w:val="single"/>
              </w:rPr>
              <w:t>Резюме</w:t>
            </w:r>
          </w:p>
          <w:p w14:paraId="26255667" w14:textId="138389FB" w:rsidR="006B18B7" w:rsidRPr="00BC03E1" w:rsidRDefault="006B18B7" w:rsidP="002D239B">
            <w:pPr>
              <w:widowControl w:val="0"/>
              <w:shd w:val="clear" w:color="auto" w:fill="FFFFFF"/>
              <w:adjustRightInd w:val="0"/>
              <w:spacing w:after="240"/>
              <w:ind w:left="113" w:right="113"/>
              <w:jc w:val="both"/>
              <w:textAlignment w:val="baseline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В настоящем документе представлен краткий доклад председателя Межсессионной финансовой консультативной группы</w:t>
            </w:r>
            <w:r w:rsidR="00A3412C">
              <w:rPr>
                <w:rFonts w:asciiTheme="minorBidi" w:hAnsiTheme="minorBidi"/>
                <w:sz w:val="22"/>
                <w:szCs w:val="22"/>
                <w:lang w:val="en-US"/>
              </w:rPr>
              <w:t> </w:t>
            </w:r>
            <w:r>
              <w:rPr>
                <w:rFonts w:asciiTheme="minorBidi" w:hAnsiTheme="minorBidi"/>
                <w:sz w:val="22"/>
                <w:szCs w:val="22"/>
              </w:rPr>
              <w:t>(МФКГ) о работе, проделанной МФКГ в межсессионный период с декабря 2021 г. по июнь 2022 г.</w:t>
            </w:r>
          </w:p>
          <w:p w14:paraId="6C050125" w14:textId="0170713C" w:rsidR="00FA68D9" w:rsidRPr="00BC03E1" w:rsidRDefault="006B18B7" w:rsidP="002D239B">
            <w:pPr>
              <w:tabs>
                <w:tab w:val="clear" w:pos="567"/>
              </w:tabs>
              <w:snapToGrid/>
              <w:spacing w:after="240"/>
              <w:ind w:left="113" w:right="113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  <w:u w:val="single"/>
              </w:rPr>
              <w:t>Предлагаемое решение</w:t>
            </w:r>
            <w:r>
              <w:rPr>
                <w:rFonts w:asciiTheme="minorBidi" w:hAnsiTheme="minorBidi"/>
                <w:sz w:val="22"/>
                <w:szCs w:val="22"/>
              </w:rPr>
              <w:t xml:space="preserve"> упоминается в Предварительном документе о </w:t>
            </w:r>
            <w:r w:rsidRPr="004714B9">
              <w:rPr>
                <w:rFonts w:asciiTheme="minorBidi" w:hAnsiTheme="minorBidi"/>
                <w:sz w:val="22"/>
                <w:szCs w:val="22"/>
              </w:rPr>
              <w:t xml:space="preserve">принятых и предлагаемых мерах (IOC/EC-55/AP) как </w:t>
            </w:r>
            <w:proofErr w:type="spellStart"/>
            <w:r w:rsidRPr="004714B9">
              <w:rPr>
                <w:rFonts w:asciiTheme="minorBidi" w:hAnsiTheme="minorBidi"/>
                <w:sz w:val="22"/>
                <w:szCs w:val="22"/>
              </w:rPr>
              <w:t>Реш</w:t>
            </w:r>
            <w:proofErr w:type="spellEnd"/>
            <w:r w:rsidRPr="004714B9">
              <w:rPr>
                <w:rFonts w:asciiTheme="minorBidi" w:hAnsiTheme="minorBidi"/>
                <w:sz w:val="22"/>
                <w:szCs w:val="22"/>
              </w:rPr>
              <w:t>. EC-55/5.1.</w:t>
            </w:r>
          </w:p>
        </w:tc>
      </w:tr>
    </w:tbl>
    <w:p w14:paraId="552B7FD7" w14:textId="6DFD8523" w:rsidR="000A569C" w:rsidRPr="004714B9" w:rsidRDefault="00FA68D9" w:rsidP="008913FD">
      <w:pPr>
        <w:pStyle w:val="ListParagraph"/>
        <w:numPr>
          <w:ilvl w:val="0"/>
          <w:numId w:val="36"/>
        </w:numPr>
        <w:tabs>
          <w:tab w:val="clear" w:pos="567"/>
          <w:tab w:val="left" w:pos="714"/>
        </w:tabs>
        <w:adjustRightInd w:val="0"/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>
        <w:br w:type="page"/>
      </w:r>
      <w:r w:rsidRPr="004714B9">
        <w:rPr>
          <w:rFonts w:ascii="Arial" w:hAnsi="Arial" w:cs="Arial"/>
          <w:sz w:val="22"/>
          <w:szCs w:val="22"/>
        </w:rPr>
        <w:lastRenderedPageBreak/>
        <w:t>В</w:t>
      </w:r>
      <w:r w:rsidR="004714B9">
        <w:rPr>
          <w:rFonts w:ascii="Arial" w:hAnsi="Arial" w:cs="Arial"/>
          <w:sz w:val="22"/>
          <w:szCs w:val="22"/>
        </w:rPr>
        <w:t xml:space="preserve"> соответствии с </w:t>
      </w:r>
      <w:r w:rsidRPr="004714B9">
        <w:rPr>
          <w:rFonts w:ascii="Arial" w:hAnsi="Arial" w:cs="Arial"/>
          <w:sz w:val="22"/>
          <w:szCs w:val="22"/>
        </w:rPr>
        <w:t xml:space="preserve">принятой МОК </w:t>
      </w:r>
      <w:hyperlink r:id="rId8" w:history="1">
        <w:r w:rsidRPr="004714B9">
          <w:rPr>
            <w:rStyle w:val="Hyperlink"/>
            <w:rFonts w:ascii="Arial" w:hAnsi="Arial" w:cs="Arial"/>
            <w:sz w:val="22"/>
            <w:szCs w:val="22"/>
          </w:rPr>
          <w:t>резолюци</w:t>
        </w:r>
        <w:r w:rsidR="004714B9">
          <w:rPr>
            <w:rStyle w:val="Hyperlink"/>
            <w:rFonts w:ascii="Arial" w:hAnsi="Arial" w:cs="Arial"/>
            <w:sz w:val="22"/>
            <w:szCs w:val="22"/>
          </w:rPr>
          <w:t>ей</w:t>
        </w:r>
        <w:r w:rsidRPr="004714B9">
          <w:rPr>
            <w:rStyle w:val="Hyperlink"/>
            <w:rFonts w:ascii="Arial" w:hAnsi="Arial" w:cs="Arial"/>
            <w:sz w:val="22"/>
            <w:szCs w:val="22"/>
          </w:rPr>
          <w:t xml:space="preserve"> A-31/2</w:t>
        </w:r>
      </w:hyperlink>
      <w:r w:rsidRPr="004714B9">
        <w:rPr>
          <w:rFonts w:ascii="Arial" w:hAnsi="Arial" w:cs="Arial"/>
          <w:sz w:val="22"/>
          <w:szCs w:val="22"/>
        </w:rPr>
        <w:t xml:space="preserve"> возобновление работы Межсессионной финансовой консультативной группы открытого состава (МФКГ) было </w:t>
      </w:r>
      <w:r w:rsidR="004714B9">
        <w:rPr>
          <w:rFonts w:ascii="Arial" w:hAnsi="Arial" w:cs="Arial"/>
          <w:sz w:val="22"/>
          <w:szCs w:val="22"/>
        </w:rPr>
        <w:t>формализовано</w:t>
      </w:r>
      <w:r w:rsidRPr="004714B9">
        <w:rPr>
          <w:rFonts w:ascii="Arial" w:hAnsi="Arial" w:cs="Arial"/>
          <w:sz w:val="22"/>
          <w:szCs w:val="22"/>
        </w:rPr>
        <w:t xml:space="preserve"> </w:t>
      </w:r>
      <w:r w:rsidR="004714B9">
        <w:rPr>
          <w:rFonts w:ascii="Arial" w:hAnsi="Arial" w:cs="Arial"/>
          <w:sz w:val="22"/>
          <w:szCs w:val="22"/>
        </w:rPr>
        <w:t>посредством</w:t>
      </w:r>
      <w:r w:rsidRPr="004714B9">
        <w:rPr>
          <w:rFonts w:ascii="Arial" w:hAnsi="Arial" w:cs="Arial"/>
          <w:sz w:val="22"/>
          <w:szCs w:val="22"/>
        </w:rPr>
        <w:t xml:space="preserve"> направления государствам-членам циркулярного письма МОК </w:t>
      </w:r>
      <w:r w:rsidR="004714B9">
        <w:rPr>
          <w:rFonts w:ascii="Arial" w:hAnsi="Arial" w:cs="Arial"/>
          <w:sz w:val="22"/>
          <w:szCs w:val="22"/>
        </w:rPr>
        <w:br/>
      </w:r>
      <w:hyperlink r:id="rId9" w:history="1">
        <w:r w:rsidRPr="004714B9">
          <w:rPr>
            <w:rStyle w:val="Hyperlink"/>
            <w:rFonts w:ascii="Arial" w:hAnsi="Arial" w:cs="Arial"/>
            <w:sz w:val="22"/>
            <w:szCs w:val="22"/>
          </w:rPr>
          <w:t>№ 2862</w:t>
        </w:r>
      </w:hyperlink>
      <w:r w:rsidRPr="004714B9">
        <w:rPr>
          <w:rFonts w:ascii="Arial" w:hAnsi="Arial" w:cs="Arial"/>
          <w:sz w:val="22"/>
          <w:szCs w:val="22"/>
        </w:rPr>
        <w:t xml:space="preserve"> от 20 октября 2021 г. с пр</w:t>
      </w:r>
      <w:r w:rsidR="004714B9">
        <w:rPr>
          <w:rFonts w:ascii="Arial" w:hAnsi="Arial" w:cs="Arial"/>
          <w:sz w:val="22"/>
          <w:szCs w:val="22"/>
        </w:rPr>
        <w:t xml:space="preserve">едложением </w:t>
      </w:r>
      <w:r w:rsidRPr="004714B9">
        <w:rPr>
          <w:rFonts w:ascii="Arial" w:hAnsi="Arial" w:cs="Arial"/>
          <w:sz w:val="22"/>
          <w:szCs w:val="22"/>
        </w:rPr>
        <w:t>представ</w:t>
      </w:r>
      <w:r w:rsidR="004714B9">
        <w:rPr>
          <w:rFonts w:ascii="Arial" w:hAnsi="Arial" w:cs="Arial"/>
          <w:sz w:val="22"/>
          <w:szCs w:val="22"/>
        </w:rPr>
        <w:t>ить</w:t>
      </w:r>
      <w:r w:rsidRPr="004714B9">
        <w:rPr>
          <w:rFonts w:ascii="Arial" w:hAnsi="Arial" w:cs="Arial"/>
          <w:sz w:val="22"/>
          <w:szCs w:val="22"/>
        </w:rPr>
        <w:t xml:space="preserve"> кандидатур</w:t>
      </w:r>
      <w:r w:rsidR="004714B9">
        <w:rPr>
          <w:rFonts w:ascii="Arial" w:hAnsi="Arial" w:cs="Arial"/>
          <w:sz w:val="22"/>
          <w:szCs w:val="22"/>
        </w:rPr>
        <w:t>ы</w:t>
      </w:r>
      <w:r w:rsidRPr="004714B9">
        <w:rPr>
          <w:rFonts w:ascii="Arial" w:hAnsi="Arial" w:cs="Arial"/>
          <w:sz w:val="22"/>
          <w:szCs w:val="22"/>
        </w:rPr>
        <w:t xml:space="preserve"> в состав МФКГ.</w:t>
      </w:r>
    </w:p>
    <w:p w14:paraId="6A13C1A9" w14:textId="6C744C42" w:rsidR="000A569C" w:rsidRPr="004714B9" w:rsidRDefault="006B18B7" w:rsidP="008913FD">
      <w:pPr>
        <w:pStyle w:val="ListParagraph"/>
        <w:numPr>
          <w:ilvl w:val="0"/>
          <w:numId w:val="36"/>
        </w:numPr>
        <w:tabs>
          <w:tab w:val="clear" w:pos="567"/>
          <w:tab w:val="left" w:pos="714"/>
        </w:tabs>
        <w:adjustRightInd w:val="0"/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4714B9">
        <w:rPr>
          <w:rFonts w:ascii="Arial" w:hAnsi="Arial" w:cs="Arial"/>
          <w:sz w:val="22"/>
          <w:szCs w:val="22"/>
        </w:rPr>
        <w:t>В соответствии с обычной практикой первоначальная работа группы была организована путем переписки, а окончательн</w:t>
      </w:r>
      <w:r w:rsidR="004714B9">
        <w:rPr>
          <w:rFonts w:ascii="Arial" w:hAnsi="Arial" w:cs="Arial"/>
          <w:sz w:val="22"/>
          <w:szCs w:val="22"/>
        </w:rPr>
        <w:t xml:space="preserve">ая доработка </w:t>
      </w:r>
      <w:r w:rsidRPr="004714B9">
        <w:rPr>
          <w:rFonts w:ascii="Arial" w:hAnsi="Arial" w:cs="Arial"/>
          <w:sz w:val="22"/>
          <w:szCs w:val="22"/>
        </w:rPr>
        <w:t>выводов был</w:t>
      </w:r>
      <w:r w:rsidR="004714B9">
        <w:rPr>
          <w:rFonts w:ascii="Arial" w:hAnsi="Arial" w:cs="Arial"/>
          <w:sz w:val="22"/>
          <w:szCs w:val="22"/>
        </w:rPr>
        <w:t>а проведена</w:t>
      </w:r>
      <w:r w:rsidRPr="004714B9">
        <w:rPr>
          <w:rFonts w:ascii="Arial" w:hAnsi="Arial" w:cs="Arial"/>
          <w:sz w:val="22"/>
          <w:szCs w:val="22"/>
        </w:rPr>
        <w:t xml:space="preserve"> на очном </w:t>
      </w:r>
      <w:r w:rsidR="004714B9">
        <w:rPr>
          <w:rFonts w:ascii="Arial" w:hAnsi="Arial" w:cs="Arial"/>
          <w:sz w:val="22"/>
          <w:szCs w:val="22"/>
        </w:rPr>
        <w:t>совещании</w:t>
      </w:r>
      <w:r w:rsidRPr="004714B9">
        <w:rPr>
          <w:rFonts w:ascii="Arial" w:hAnsi="Arial" w:cs="Arial"/>
          <w:sz w:val="22"/>
          <w:szCs w:val="22"/>
        </w:rPr>
        <w:t xml:space="preserve">, состоявшемся 13 июня 2022 г. В общей сложности в работе группы, проходившей под руководством заместителя председателя МОК Карима </w:t>
      </w:r>
      <w:proofErr w:type="spellStart"/>
      <w:r w:rsidRPr="004714B9">
        <w:rPr>
          <w:rFonts w:ascii="Arial" w:hAnsi="Arial" w:cs="Arial"/>
          <w:sz w:val="22"/>
          <w:szCs w:val="22"/>
        </w:rPr>
        <w:t>Хильми</w:t>
      </w:r>
      <w:proofErr w:type="spellEnd"/>
      <w:r w:rsidRPr="004714B9">
        <w:rPr>
          <w:rFonts w:ascii="Arial" w:hAnsi="Arial" w:cs="Arial"/>
          <w:sz w:val="22"/>
          <w:szCs w:val="22"/>
        </w:rPr>
        <w:t xml:space="preserve"> (Марокко), приняли участие восемнадцать (18) государств-членов: Аргентина, Австралия, Бангладеш, Бельгия, Бенин, Египет, Германия, Гренада, Канада, Китай, Кувейт, Норвегия, Португалия, Российская Федерация, Соединенное Королевство, Соединенные Штаты Америки, Турция и Япония.</w:t>
      </w:r>
    </w:p>
    <w:p w14:paraId="795781CD" w14:textId="45BFD6E8" w:rsidR="006B18B7" w:rsidRPr="004714B9" w:rsidRDefault="006B18B7" w:rsidP="008913FD">
      <w:pPr>
        <w:pStyle w:val="ListParagraph"/>
        <w:numPr>
          <w:ilvl w:val="0"/>
          <w:numId w:val="36"/>
        </w:numPr>
        <w:tabs>
          <w:tab w:val="clear" w:pos="567"/>
          <w:tab w:val="left" w:pos="714"/>
        </w:tabs>
        <w:adjustRightInd w:val="0"/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4714B9">
        <w:rPr>
          <w:rFonts w:ascii="Arial" w:hAnsi="Arial" w:cs="Arial"/>
          <w:sz w:val="22"/>
          <w:szCs w:val="22"/>
        </w:rPr>
        <w:t xml:space="preserve">Сосредоточившись в соответствии с поручением 31-й сессии Ассамблеи МОК на вопросах, </w:t>
      </w:r>
      <w:r w:rsidR="004714B9">
        <w:rPr>
          <w:rFonts w:ascii="Arial" w:hAnsi="Arial" w:cs="Arial"/>
          <w:sz w:val="22"/>
          <w:szCs w:val="22"/>
        </w:rPr>
        <w:t>рассматриваемых</w:t>
      </w:r>
      <w:r w:rsidRPr="004714B9">
        <w:rPr>
          <w:rFonts w:ascii="Arial" w:hAnsi="Arial" w:cs="Arial"/>
          <w:sz w:val="22"/>
          <w:szCs w:val="22"/>
        </w:rPr>
        <w:t xml:space="preserve"> в резолюции МОК A-31/2, и руководствуясь Кругом ведения </w:t>
      </w:r>
      <w:r w:rsidR="004714B9" w:rsidRPr="004714B9">
        <w:rPr>
          <w:rFonts w:ascii="Arial" w:hAnsi="Arial" w:cs="Arial"/>
          <w:sz w:val="22"/>
          <w:szCs w:val="22"/>
        </w:rPr>
        <w:t xml:space="preserve">МФКГ </w:t>
      </w:r>
      <w:r w:rsidRPr="004714B9">
        <w:rPr>
          <w:rFonts w:ascii="Arial" w:hAnsi="Arial" w:cs="Arial"/>
          <w:sz w:val="22"/>
          <w:szCs w:val="22"/>
        </w:rPr>
        <w:t>(см. приложение 2 к резолюции МОК XXVIII-3)</w:t>
      </w:r>
      <w:r w:rsidR="004714B9">
        <w:rPr>
          <w:rFonts w:ascii="Arial" w:hAnsi="Arial" w:cs="Arial"/>
          <w:sz w:val="22"/>
          <w:szCs w:val="22"/>
        </w:rPr>
        <w:t>, группа</w:t>
      </w:r>
      <w:r w:rsidRPr="004714B9">
        <w:rPr>
          <w:rFonts w:ascii="Arial" w:hAnsi="Arial" w:cs="Arial"/>
          <w:sz w:val="22"/>
          <w:szCs w:val="22"/>
        </w:rPr>
        <w:t xml:space="preserve"> уделила основное внимание обсуждению трех следующих тем:</w:t>
      </w:r>
    </w:p>
    <w:p w14:paraId="1771F25A" w14:textId="1D6E8BEA" w:rsidR="006B18B7" w:rsidRPr="004714B9" w:rsidRDefault="004714B9" w:rsidP="008913FD">
      <w:pPr>
        <w:pStyle w:val="ListParagraph"/>
        <w:numPr>
          <w:ilvl w:val="0"/>
          <w:numId w:val="30"/>
        </w:numPr>
        <w:tabs>
          <w:tab w:val="clear" w:pos="567"/>
        </w:tabs>
        <w:adjustRightInd w:val="0"/>
        <w:spacing w:after="240"/>
        <w:ind w:left="1418"/>
        <w:contextualSpacing w:val="0"/>
        <w:rPr>
          <w:rFonts w:ascii="Arial" w:hAnsi="Arial" w:cs="Arial"/>
          <w:b/>
          <w:color w:val="231F2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И</w:t>
      </w:r>
      <w:r w:rsidR="006B18B7" w:rsidRPr="004714B9">
        <w:rPr>
          <w:rFonts w:ascii="Arial" w:hAnsi="Arial" w:cs="Arial"/>
          <w:b/>
          <w:sz w:val="22"/>
          <w:szCs w:val="22"/>
        </w:rPr>
        <w:t>сполнение бюджета 2020-2021 гг. по состоянию на 31 декабря 2021 г.; определение общей структуры комплексного бюджета на 2022-2023 гг.; финансовое положение специального счета МОК по состоянию на конец 2021 г. и прогноз на 2022-2023 гг.</w:t>
      </w:r>
    </w:p>
    <w:p w14:paraId="0281635A" w14:textId="2AA0F7B9" w:rsidR="006B18B7" w:rsidRPr="004714B9" w:rsidRDefault="006B18B7" w:rsidP="008913FD">
      <w:pPr>
        <w:pStyle w:val="ListParagraph"/>
        <w:numPr>
          <w:ilvl w:val="0"/>
          <w:numId w:val="36"/>
        </w:numPr>
        <w:tabs>
          <w:tab w:val="clear" w:pos="567"/>
          <w:tab w:val="left" w:pos="714"/>
        </w:tabs>
        <w:adjustRightInd w:val="0"/>
        <w:spacing w:after="240"/>
        <w:ind w:left="0" w:firstLine="0"/>
        <w:contextualSpacing w:val="0"/>
        <w:jc w:val="both"/>
        <w:rPr>
          <w:rFonts w:ascii="Arial" w:hAnsi="Arial" w:cs="Arial"/>
          <w:color w:val="231F20"/>
          <w:sz w:val="22"/>
          <w:szCs w:val="22"/>
        </w:rPr>
      </w:pPr>
      <w:r w:rsidRPr="004714B9">
        <w:rPr>
          <w:rFonts w:ascii="Arial" w:hAnsi="Arial" w:cs="Arial"/>
          <w:sz w:val="22"/>
          <w:szCs w:val="22"/>
        </w:rPr>
        <w:t xml:space="preserve">В связи с этим группой были рассмотрены документы </w:t>
      </w:r>
      <w:hyperlink r:id="rId10" w:history="1">
        <w:r w:rsidRPr="004714B9">
          <w:rPr>
            <w:rStyle w:val="Hyperlink"/>
            <w:rFonts w:ascii="Arial" w:hAnsi="Arial" w:cs="Arial"/>
            <w:sz w:val="22"/>
            <w:szCs w:val="22"/>
          </w:rPr>
          <w:t>IOC/EC-55/3.1.Doc(1)</w:t>
        </w:r>
      </w:hyperlink>
      <w:r w:rsidRPr="004714B9">
        <w:rPr>
          <w:rFonts w:ascii="Arial" w:hAnsi="Arial" w:cs="Arial"/>
          <w:sz w:val="22"/>
          <w:szCs w:val="22"/>
        </w:rPr>
        <w:t xml:space="preserve"> и </w:t>
      </w:r>
      <w:hyperlink r:id="rId11" w:history="1">
        <w:r w:rsidRPr="004714B9">
          <w:rPr>
            <w:rStyle w:val="Hyperlink"/>
            <w:rFonts w:ascii="Arial" w:hAnsi="Arial" w:cs="Arial"/>
            <w:sz w:val="22"/>
            <w:szCs w:val="22"/>
          </w:rPr>
          <w:t>IOC/EC</w:t>
        </w:r>
        <w:r w:rsidR="00A12058">
          <w:rPr>
            <w:rStyle w:val="Hyperlink"/>
            <w:rFonts w:ascii="Arial" w:hAnsi="Arial" w:cs="Arial"/>
            <w:sz w:val="22"/>
            <w:szCs w:val="22"/>
          </w:rPr>
          <w:noBreakHyphen/>
        </w:r>
        <w:r w:rsidRPr="004714B9">
          <w:rPr>
            <w:rStyle w:val="Hyperlink"/>
            <w:rFonts w:ascii="Arial" w:hAnsi="Arial" w:cs="Arial"/>
            <w:sz w:val="22"/>
            <w:szCs w:val="22"/>
          </w:rPr>
          <w:t>55/3.1.Doc(2)</w:t>
        </w:r>
      </w:hyperlink>
      <w:r w:rsidRPr="004714B9">
        <w:rPr>
          <w:rFonts w:ascii="Arial" w:hAnsi="Arial" w:cs="Arial"/>
          <w:sz w:val="22"/>
          <w:szCs w:val="22"/>
        </w:rPr>
        <w:t>.</w:t>
      </w:r>
      <w:r w:rsidRPr="004714B9">
        <w:rPr>
          <w:rFonts w:ascii="Arial" w:hAnsi="Arial" w:cs="Arial"/>
          <w:color w:val="231F20"/>
          <w:sz w:val="22"/>
          <w:szCs w:val="22"/>
        </w:rPr>
        <w:t xml:space="preserve"> МФКГ выразила удовлетворение общими показателями исполнения бюджета двухлетнего периода 2020-2021 гг., в особенности 100</w:t>
      </w:r>
      <w:r w:rsidR="004714B9">
        <w:rPr>
          <w:rFonts w:ascii="Arial" w:hAnsi="Arial" w:cs="Arial"/>
          <w:color w:val="231F20"/>
          <w:sz w:val="22"/>
          <w:szCs w:val="22"/>
        </w:rPr>
        <w:t xml:space="preserve">-процентным </w:t>
      </w:r>
      <w:r w:rsidRPr="004714B9">
        <w:rPr>
          <w:rFonts w:ascii="Arial" w:hAnsi="Arial" w:cs="Arial"/>
          <w:color w:val="231F20"/>
          <w:sz w:val="22"/>
          <w:szCs w:val="22"/>
        </w:rPr>
        <w:t>показателем освоения бюджетных средств по линии обычной программы. На своей 31-й сессии в июне 2021 г. Ассамблея МОК отметила несколько более низкие, чем обычно, показатели освоения бюджетных средств в первый год двухлетнего периода</w:t>
      </w:r>
      <w:r w:rsidR="004714B9">
        <w:rPr>
          <w:rFonts w:ascii="Arial" w:hAnsi="Arial" w:cs="Arial"/>
          <w:color w:val="231F20"/>
          <w:sz w:val="22"/>
          <w:szCs w:val="22"/>
        </w:rPr>
        <w:t xml:space="preserve">, что </w:t>
      </w:r>
      <w:r w:rsidR="0066673A">
        <w:rPr>
          <w:rFonts w:ascii="Arial" w:hAnsi="Arial" w:cs="Arial"/>
          <w:color w:val="231F20"/>
          <w:sz w:val="22"/>
          <w:szCs w:val="22"/>
        </w:rPr>
        <w:t>было вызвано</w:t>
      </w:r>
      <w:r w:rsidR="004714B9">
        <w:rPr>
          <w:rFonts w:ascii="Arial" w:hAnsi="Arial" w:cs="Arial"/>
          <w:color w:val="231F20"/>
          <w:sz w:val="22"/>
          <w:szCs w:val="22"/>
        </w:rPr>
        <w:t xml:space="preserve"> </w:t>
      </w:r>
      <w:r w:rsidR="0066673A">
        <w:rPr>
          <w:rFonts w:ascii="Arial" w:hAnsi="Arial" w:cs="Arial"/>
          <w:color w:val="231F20"/>
          <w:sz w:val="22"/>
          <w:szCs w:val="22"/>
        </w:rPr>
        <w:t xml:space="preserve">работой в </w:t>
      </w:r>
      <w:r w:rsidR="004714B9">
        <w:rPr>
          <w:rFonts w:ascii="Arial" w:hAnsi="Arial" w:cs="Arial"/>
          <w:color w:val="231F20"/>
          <w:sz w:val="22"/>
          <w:szCs w:val="22"/>
        </w:rPr>
        <w:t>условия</w:t>
      </w:r>
      <w:r w:rsidR="0066673A">
        <w:rPr>
          <w:rFonts w:ascii="Arial" w:hAnsi="Arial" w:cs="Arial"/>
          <w:color w:val="231F20"/>
          <w:sz w:val="22"/>
          <w:szCs w:val="22"/>
        </w:rPr>
        <w:t>х</w:t>
      </w:r>
      <w:r w:rsidRPr="004714B9">
        <w:rPr>
          <w:rFonts w:ascii="Arial" w:hAnsi="Arial" w:cs="Arial"/>
          <w:color w:val="231F20"/>
          <w:sz w:val="22"/>
          <w:szCs w:val="22"/>
        </w:rPr>
        <w:t xml:space="preserve"> пандемии COVID-19. Тем не менее, в соответствии с обязательствами, взятыми на себя Исполнительным секретарем, Секретариат МОК сумел к концу 2021 г. полностью </w:t>
      </w:r>
      <w:r w:rsidR="0066673A">
        <w:rPr>
          <w:rFonts w:ascii="Arial" w:hAnsi="Arial" w:cs="Arial"/>
          <w:color w:val="231F20"/>
          <w:sz w:val="22"/>
          <w:szCs w:val="22"/>
        </w:rPr>
        <w:t>выполнить</w:t>
      </w:r>
      <w:r w:rsidRPr="004714B9">
        <w:rPr>
          <w:rFonts w:ascii="Arial" w:hAnsi="Arial" w:cs="Arial"/>
          <w:color w:val="231F20"/>
          <w:sz w:val="22"/>
          <w:szCs w:val="22"/>
        </w:rPr>
        <w:t xml:space="preserve"> двухлетний план работы.</w:t>
      </w:r>
    </w:p>
    <w:p w14:paraId="014B554F" w14:textId="596317FD" w:rsidR="000A569C" w:rsidRPr="004714B9" w:rsidRDefault="006B18B7" w:rsidP="008913FD">
      <w:pPr>
        <w:pStyle w:val="ListParagraph"/>
        <w:numPr>
          <w:ilvl w:val="0"/>
          <w:numId w:val="36"/>
        </w:numPr>
        <w:tabs>
          <w:tab w:val="clear" w:pos="567"/>
          <w:tab w:val="left" w:pos="714"/>
        </w:tabs>
        <w:adjustRightInd w:val="0"/>
        <w:spacing w:after="240"/>
        <w:ind w:left="0" w:firstLine="0"/>
        <w:contextualSpacing w:val="0"/>
        <w:jc w:val="both"/>
        <w:rPr>
          <w:rFonts w:ascii="Arial" w:hAnsi="Arial" w:cs="Arial"/>
          <w:color w:val="231F20"/>
          <w:sz w:val="22"/>
          <w:szCs w:val="22"/>
        </w:rPr>
      </w:pPr>
      <w:r w:rsidRPr="004714B9">
        <w:rPr>
          <w:rFonts w:ascii="Arial" w:hAnsi="Arial" w:cs="Arial"/>
          <w:sz w:val="22"/>
          <w:szCs w:val="22"/>
        </w:rPr>
        <w:t>Группа отметила также, что установленные на двухлетний период 2020-2021 гг. плановые показатели привлечения внебюджетных средств были выполнены на 92%. При этом был отмечен существенный разброс показателей результативности этой работы на разных функциональных направлениях деятельности Комиссии.</w:t>
      </w:r>
      <w:r w:rsidRPr="004714B9">
        <w:rPr>
          <w:rFonts w:ascii="Arial" w:hAnsi="Arial" w:cs="Arial"/>
          <w:color w:val="231F20"/>
          <w:sz w:val="22"/>
          <w:szCs w:val="22"/>
        </w:rPr>
        <w:t xml:space="preserve"> МФКГ выразила признательность всем государствам-членам, оказавшим Комиссии финансовую поддержку в 2020-2021 гг., и отметила заключение ряда новых перспективных партнерских соглашений, а также возросший уровень инвестиций в развитие потенциала.</w:t>
      </w:r>
    </w:p>
    <w:p w14:paraId="212A5403" w14:textId="2D285686" w:rsidR="000A569C" w:rsidRPr="004714B9" w:rsidRDefault="006B18B7" w:rsidP="008913FD">
      <w:pPr>
        <w:pStyle w:val="ListParagraph"/>
        <w:numPr>
          <w:ilvl w:val="0"/>
          <w:numId w:val="36"/>
        </w:numPr>
        <w:tabs>
          <w:tab w:val="clear" w:pos="567"/>
          <w:tab w:val="left" w:pos="714"/>
        </w:tabs>
        <w:adjustRightInd w:val="0"/>
        <w:spacing w:after="240"/>
        <w:ind w:left="0" w:firstLine="0"/>
        <w:contextualSpacing w:val="0"/>
        <w:jc w:val="both"/>
        <w:rPr>
          <w:rFonts w:ascii="Arial" w:hAnsi="Arial" w:cs="Arial"/>
          <w:color w:val="231F20"/>
          <w:sz w:val="22"/>
          <w:szCs w:val="22"/>
        </w:rPr>
      </w:pPr>
      <w:r w:rsidRPr="004714B9">
        <w:rPr>
          <w:rFonts w:ascii="Arial" w:hAnsi="Arial" w:cs="Arial"/>
          <w:sz w:val="22"/>
          <w:szCs w:val="22"/>
        </w:rPr>
        <w:t xml:space="preserve">Группа выразила удовлетворение комплексным бюджетом на 2022-2023 гг., который был утвержден Генеральной конференцией ЮНЕСКО на ее 41-й сессии после рассмотрения Ассамблеей МОК </w:t>
      </w:r>
      <w:hyperlink r:id="rId12" w:history="1">
        <w:r w:rsidRPr="004714B9">
          <w:rPr>
            <w:rStyle w:val="Hyperlink"/>
            <w:rFonts w:ascii="Arial" w:hAnsi="Arial" w:cs="Arial"/>
            <w:sz w:val="22"/>
            <w:szCs w:val="22"/>
          </w:rPr>
          <w:t>(документ IOC/A-31/4.2.Doc)</w:t>
        </w:r>
      </w:hyperlink>
      <w:r w:rsidRPr="004714B9">
        <w:rPr>
          <w:rFonts w:ascii="Arial" w:hAnsi="Arial" w:cs="Arial"/>
          <w:sz w:val="22"/>
          <w:szCs w:val="22"/>
        </w:rPr>
        <w:t xml:space="preserve"> и последующего утверждения в ее резолюции</w:t>
      </w:r>
      <w:r w:rsidR="00A12058">
        <w:rPr>
          <w:rFonts w:ascii="Arial" w:hAnsi="Arial" w:cs="Arial"/>
          <w:sz w:val="22"/>
          <w:szCs w:val="22"/>
          <w:lang w:val="en-US"/>
        </w:rPr>
        <w:t> </w:t>
      </w:r>
      <w:r w:rsidRPr="004714B9">
        <w:rPr>
          <w:rFonts w:ascii="Arial" w:hAnsi="Arial" w:cs="Arial"/>
          <w:sz w:val="22"/>
          <w:szCs w:val="22"/>
        </w:rPr>
        <w:t>A-31/2.</w:t>
      </w:r>
    </w:p>
    <w:p w14:paraId="75F6AC11" w14:textId="69B79331" w:rsidR="006B18B7" w:rsidRPr="004714B9" w:rsidRDefault="0066673A" w:rsidP="008913FD">
      <w:pPr>
        <w:pStyle w:val="ListParagraph"/>
        <w:numPr>
          <w:ilvl w:val="0"/>
          <w:numId w:val="30"/>
        </w:numPr>
        <w:tabs>
          <w:tab w:val="clear" w:pos="567"/>
        </w:tabs>
        <w:adjustRightInd w:val="0"/>
        <w:spacing w:after="240"/>
        <w:ind w:left="1418"/>
        <w:contextualSpacing w:val="0"/>
        <w:rPr>
          <w:rFonts w:ascii="Arial" w:hAnsi="Arial" w:cs="Arial"/>
          <w:b/>
          <w:color w:val="231F20"/>
          <w:sz w:val="22"/>
          <w:szCs w:val="22"/>
        </w:rPr>
      </w:pPr>
      <w:r>
        <w:rPr>
          <w:rFonts w:ascii="Arial" w:hAnsi="Arial" w:cs="Arial"/>
          <w:b/>
          <w:color w:val="231F20"/>
          <w:sz w:val="22"/>
          <w:szCs w:val="22"/>
        </w:rPr>
        <w:t>Пересмотр</w:t>
      </w:r>
      <w:r w:rsidR="006B18B7" w:rsidRPr="004714B9">
        <w:rPr>
          <w:rFonts w:ascii="Arial" w:hAnsi="Arial" w:cs="Arial"/>
          <w:b/>
          <w:color w:val="231F20"/>
          <w:sz w:val="22"/>
          <w:szCs w:val="22"/>
        </w:rPr>
        <w:t xml:space="preserve"> Правил процедуры МОК</w:t>
      </w:r>
    </w:p>
    <w:p w14:paraId="4B91A13F" w14:textId="2C871FBD" w:rsidR="006B18B7" w:rsidRPr="004714B9" w:rsidRDefault="006B18B7" w:rsidP="008913FD">
      <w:pPr>
        <w:pStyle w:val="ListParagraph"/>
        <w:numPr>
          <w:ilvl w:val="0"/>
          <w:numId w:val="36"/>
        </w:numPr>
        <w:tabs>
          <w:tab w:val="clear" w:pos="567"/>
          <w:tab w:val="left" w:pos="714"/>
        </w:tabs>
        <w:adjustRightInd w:val="0"/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4714B9">
        <w:rPr>
          <w:rFonts w:ascii="Arial" w:hAnsi="Arial" w:cs="Arial"/>
          <w:sz w:val="22"/>
          <w:szCs w:val="22"/>
        </w:rPr>
        <w:t xml:space="preserve">На своей 31-й сессии в 2021 г. Ассамблея приняла резолюцию А-31/2, в которой просила </w:t>
      </w:r>
      <w:r w:rsidRPr="004714B9">
        <w:rPr>
          <w:rFonts w:ascii="Arial" w:hAnsi="Arial" w:cs="Arial"/>
          <w:i/>
          <w:sz w:val="22"/>
          <w:szCs w:val="22"/>
        </w:rPr>
        <w:t>«Исполнительного секретаря МОК в сотрудничестве с юрисконсультом ЮНЕСКО и МФКГ подготовить предварительное предложение о пересмотре отдельно Правил процедуры</w:t>
      </w:r>
      <w:r w:rsidR="004714B9">
        <w:rPr>
          <w:rFonts w:ascii="Arial" w:hAnsi="Arial" w:cs="Arial"/>
          <w:i/>
          <w:sz w:val="22"/>
          <w:szCs w:val="22"/>
        </w:rPr>
        <w:t xml:space="preserve"> </w:t>
      </w:r>
      <w:r w:rsidRPr="004714B9">
        <w:rPr>
          <w:rFonts w:ascii="Arial" w:hAnsi="Arial" w:cs="Arial"/>
          <w:i/>
          <w:sz w:val="22"/>
          <w:szCs w:val="22"/>
        </w:rPr>
        <w:t>Ассамблеи</w:t>
      </w:r>
      <w:r w:rsidR="004714B9">
        <w:rPr>
          <w:rFonts w:ascii="Arial" w:hAnsi="Arial" w:cs="Arial"/>
          <w:i/>
          <w:sz w:val="22"/>
          <w:szCs w:val="22"/>
        </w:rPr>
        <w:t xml:space="preserve"> </w:t>
      </w:r>
      <w:r w:rsidRPr="004714B9">
        <w:rPr>
          <w:rFonts w:ascii="Arial" w:hAnsi="Arial" w:cs="Arial"/>
          <w:i/>
          <w:sz w:val="22"/>
          <w:szCs w:val="22"/>
        </w:rPr>
        <w:t>МОК</w:t>
      </w:r>
      <w:r w:rsidR="004714B9">
        <w:rPr>
          <w:rFonts w:ascii="Arial" w:hAnsi="Arial" w:cs="Arial"/>
          <w:i/>
          <w:sz w:val="22"/>
          <w:szCs w:val="22"/>
        </w:rPr>
        <w:t xml:space="preserve"> </w:t>
      </w:r>
      <w:r w:rsidRPr="004714B9">
        <w:rPr>
          <w:rFonts w:ascii="Arial" w:hAnsi="Arial" w:cs="Arial"/>
          <w:i/>
          <w:sz w:val="22"/>
          <w:szCs w:val="22"/>
        </w:rPr>
        <w:t>и</w:t>
      </w:r>
      <w:r w:rsidR="004714B9">
        <w:rPr>
          <w:rFonts w:ascii="Arial" w:hAnsi="Arial" w:cs="Arial"/>
          <w:i/>
          <w:sz w:val="22"/>
          <w:szCs w:val="22"/>
        </w:rPr>
        <w:t xml:space="preserve"> </w:t>
      </w:r>
      <w:r w:rsidRPr="004714B9">
        <w:rPr>
          <w:rFonts w:ascii="Arial" w:hAnsi="Arial" w:cs="Arial"/>
          <w:i/>
          <w:sz w:val="22"/>
          <w:szCs w:val="22"/>
        </w:rPr>
        <w:t>Правил</w:t>
      </w:r>
      <w:r w:rsidR="004714B9">
        <w:rPr>
          <w:rFonts w:ascii="Arial" w:hAnsi="Arial" w:cs="Arial"/>
          <w:i/>
          <w:sz w:val="22"/>
          <w:szCs w:val="22"/>
        </w:rPr>
        <w:t xml:space="preserve"> </w:t>
      </w:r>
      <w:r w:rsidRPr="004714B9">
        <w:rPr>
          <w:rFonts w:ascii="Arial" w:hAnsi="Arial" w:cs="Arial"/>
          <w:i/>
          <w:sz w:val="22"/>
          <w:szCs w:val="22"/>
        </w:rPr>
        <w:t>процедуры</w:t>
      </w:r>
      <w:r w:rsidR="004714B9">
        <w:rPr>
          <w:rFonts w:ascii="Arial" w:hAnsi="Arial" w:cs="Arial"/>
          <w:i/>
          <w:sz w:val="22"/>
          <w:szCs w:val="22"/>
        </w:rPr>
        <w:t xml:space="preserve"> </w:t>
      </w:r>
      <w:r w:rsidRPr="004714B9">
        <w:rPr>
          <w:rFonts w:ascii="Arial" w:hAnsi="Arial" w:cs="Arial"/>
          <w:i/>
          <w:sz w:val="22"/>
          <w:szCs w:val="22"/>
        </w:rPr>
        <w:t>Исполнительного</w:t>
      </w:r>
      <w:r w:rsidR="004714B9">
        <w:rPr>
          <w:rFonts w:ascii="Arial" w:hAnsi="Arial" w:cs="Arial"/>
          <w:i/>
          <w:sz w:val="22"/>
          <w:szCs w:val="22"/>
        </w:rPr>
        <w:t xml:space="preserve"> </w:t>
      </w:r>
      <w:r w:rsidRPr="004714B9">
        <w:rPr>
          <w:rFonts w:ascii="Arial" w:hAnsi="Arial" w:cs="Arial"/>
          <w:i/>
          <w:sz w:val="22"/>
          <w:szCs w:val="22"/>
        </w:rPr>
        <w:t>совета</w:t>
      </w:r>
      <w:r w:rsidR="004714B9">
        <w:rPr>
          <w:rFonts w:ascii="Arial" w:hAnsi="Arial" w:cs="Arial"/>
          <w:i/>
          <w:sz w:val="22"/>
          <w:szCs w:val="22"/>
        </w:rPr>
        <w:t xml:space="preserve"> </w:t>
      </w:r>
      <w:r w:rsidRPr="004714B9">
        <w:rPr>
          <w:rFonts w:ascii="Arial" w:hAnsi="Arial" w:cs="Arial"/>
          <w:i/>
          <w:sz w:val="22"/>
          <w:szCs w:val="22"/>
        </w:rPr>
        <w:t>МОК</w:t>
      </w:r>
      <w:r w:rsidR="004714B9">
        <w:rPr>
          <w:rFonts w:ascii="Arial" w:hAnsi="Arial" w:cs="Arial"/>
          <w:i/>
          <w:sz w:val="22"/>
          <w:szCs w:val="22"/>
        </w:rPr>
        <w:t xml:space="preserve"> </w:t>
      </w:r>
      <w:r w:rsidRPr="004714B9">
        <w:rPr>
          <w:rFonts w:ascii="Arial" w:hAnsi="Arial" w:cs="Arial"/>
          <w:i/>
          <w:sz w:val="22"/>
          <w:szCs w:val="22"/>
        </w:rPr>
        <w:t>с внесением необходимых разъяснений и согласованием текстов на различных языках для рассмотрения и утверждения этими двумя органами»</w:t>
      </w:r>
      <w:r w:rsidRPr="004714B9">
        <w:rPr>
          <w:rFonts w:ascii="Arial" w:hAnsi="Arial" w:cs="Arial"/>
          <w:sz w:val="22"/>
          <w:szCs w:val="22"/>
        </w:rPr>
        <w:t>.</w:t>
      </w:r>
    </w:p>
    <w:p w14:paraId="58DBADB3" w14:textId="6A3323BA" w:rsidR="000A569C" w:rsidRPr="004714B9" w:rsidRDefault="006B18B7" w:rsidP="008913FD">
      <w:pPr>
        <w:pStyle w:val="ListParagraph"/>
        <w:numPr>
          <w:ilvl w:val="0"/>
          <w:numId w:val="36"/>
        </w:numPr>
        <w:tabs>
          <w:tab w:val="clear" w:pos="567"/>
          <w:tab w:val="left" w:pos="714"/>
        </w:tabs>
        <w:adjustRightInd w:val="0"/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4714B9">
        <w:rPr>
          <w:rFonts w:ascii="Arial" w:hAnsi="Arial" w:cs="Arial"/>
          <w:sz w:val="22"/>
          <w:szCs w:val="22"/>
        </w:rPr>
        <w:lastRenderedPageBreak/>
        <w:t xml:space="preserve">В соответствии с </w:t>
      </w:r>
      <w:r w:rsidR="0066673A">
        <w:rPr>
          <w:rFonts w:ascii="Arial" w:hAnsi="Arial" w:cs="Arial"/>
          <w:sz w:val="22"/>
          <w:szCs w:val="22"/>
        </w:rPr>
        <w:t>указанной</w:t>
      </w:r>
      <w:r w:rsidRPr="004714B9">
        <w:rPr>
          <w:rFonts w:ascii="Arial" w:hAnsi="Arial" w:cs="Arial"/>
          <w:sz w:val="22"/>
          <w:szCs w:val="22"/>
        </w:rPr>
        <w:t xml:space="preserve"> резолюцией Секретариат в консультации с бюро ЮНЕСКО по правовым вопросам поручил компетентному юридическому консультанту провести предварительный анализ целесообразности и потенциальных сложностей, связанных с разработкой отдельных сводов Правил процедуры для Ассамблеи МОК и Исполнительного совета МОК. Результаты проведенного анализа были представлены должностным лицам МОК в ходе их ежегодного совещания, организованного 14-17 января 2022 г., и доведены председателем Межсессионной финансовой консультативной группы до сведения участников МФКГ в его электронном </w:t>
      </w:r>
      <w:r w:rsidR="0066673A">
        <w:rPr>
          <w:rFonts w:ascii="Arial" w:hAnsi="Arial" w:cs="Arial"/>
          <w:sz w:val="22"/>
          <w:szCs w:val="22"/>
        </w:rPr>
        <w:t>письме</w:t>
      </w:r>
      <w:r w:rsidRPr="004714B9">
        <w:rPr>
          <w:rFonts w:ascii="Arial" w:hAnsi="Arial" w:cs="Arial"/>
          <w:sz w:val="22"/>
          <w:szCs w:val="22"/>
        </w:rPr>
        <w:t xml:space="preserve"> от 14 апреля 2022 г. (см. </w:t>
      </w:r>
      <w:hyperlink r:id="rId13" w:history="1">
        <w:r w:rsidRPr="004714B9">
          <w:rPr>
            <w:rStyle w:val="Hyperlink"/>
            <w:rFonts w:ascii="Arial" w:hAnsi="Arial" w:cs="Arial"/>
            <w:sz w:val="22"/>
            <w:szCs w:val="22"/>
          </w:rPr>
          <w:t>Рабочая записка МФКГ № 2</w:t>
        </w:r>
      </w:hyperlink>
      <w:r w:rsidRPr="004714B9">
        <w:rPr>
          <w:rFonts w:ascii="Arial" w:hAnsi="Arial" w:cs="Arial"/>
          <w:sz w:val="22"/>
          <w:szCs w:val="22"/>
        </w:rPr>
        <w:t>).</w:t>
      </w:r>
    </w:p>
    <w:p w14:paraId="64EE4951" w14:textId="77777777" w:rsidR="000A569C" w:rsidRPr="004714B9" w:rsidRDefault="006B18B7" w:rsidP="008913FD">
      <w:pPr>
        <w:pStyle w:val="ListParagraph"/>
        <w:numPr>
          <w:ilvl w:val="0"/>
          <w:numId w:val="36"/>
        </w:numPr>
        <w:tabs>
          <w:tab w:val="clear" w:pos="567"/>
          <w:tab w:val="left" w:pos="714"/>
        </w:tabs>
        <w:adjustRightInd w:val="0"/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4714B9">
        <w:rPr>
          <w:rFonts w:ascii="Arial" w:hAnsi="Arial" w:cs="Arial"/>
          <w:sz w:val="22"/>
          <w:szCs w:val="22"/>
        </w:rPr>
        <w:t>Основной вывод по итогам анализа состоит в том, что несмотря на отсутствие видимых препятствий, которые делали бы невозможной подготовку упомянутых отдельных сводов правил процедуры, эта работа является более сложной, чем может показаться на первый взгляд.</w:t>
      </w:r>
    </w:p>
    <w:p w14:paraId="4B1CB7B8" w14:textId="6AC631F7" w:rsidR="000A569C" w:rsidRPr="004714B9" w:rsidRDefault="006B18B7" w:rsidP="008913FD">
      <w:pPr>
        <w:pStyle w:val="ListParagraph"/>
        <w:numPr>
          <w:ilvl w:val="0"/>
          <w:numId w:val="36"/>
        </w:numPr>
        <w:tabs>
          <w:tab w:val="clear" w:pos="567"/>
          <w:tab w:val="left" w:pos="714"/>
        </w:tabs>
        <w:adjustRightInd w:val="0"/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4714B9">
        <w:rPr>
          <w:rFonts w:ascii="Arial" w:hAnsi="Arial" w:cs="Arial"/>
          <w:sz w:val="22"/>
          <w:szCs w:val="22"/>
        </w:rPr>
        <w:t xml:space="preserve">Во-первых, требуется провести оценку на предмет соответствия такой раздельной подготовки уставным ограничениям. Согласно </w:t>
      </w:r>
      <w:r w:rsidR="0066673A">
        <w:rPr>
          <w:rFonts w:ascii="Arial" w:hAnsi="Arial" w:cs="Arial"/>
          <w:sz w:val="22"/>
          <w:szCs w:val="22"/>
        </w:rPr>
        <w:t xml:space="preserve">положениям </w:t>
      </w:r>
      <w:r w:rsidRPr="004714B9">
        <w:rPr>
          <w:rFonts w:ascii="Arial" w:hAnsi="Arial" w:cs="Arial"/>
          <w:sz w:val="22"/>
          <w:szCs w:val="22"/>
        </w:rPr>
        <w:t>статьи 6.B.3 Пересмотренного Устава МОК, принятого Генеральной конференцией ЮНЕСКО 16 ноября 1999 г. в резолюции 30 C/22: «Ассамблея устанавливает Правила процедуры Комиссии».</w:t>
      </w:r>
    </w:p>
    <w:p w14:paraId="2F372E3B" w14:textId="77777777" w:rsidR="000A569C" w:rsidRPr="004714B9" w:rsidRDefault="006B18B7" w:rsidP="008913FD">
      <w:pPr>
        <w:pStyle w:val="ListParagraph"/>
        <w:numPr>
          <w:ilvl w:val="0"/>
          <w:numId w:val="36"/>
        </w:numPr>
        <w:tabs>
          <w:tab w:val="clear" w:pos="567"/>
          <w:tab w:val="left" w:pos="714"/>
        </w:tabs>
        <w:adjustRightInd w:val="0"/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4714B9">
        <w:rPr>
          <w:rFonts w:ascii="Arial" w:hAnsi="Arial" w:cs="Arial"/>
          <w:sz w:val="22"/>
          <w:szCs w:val="22"/>
        </w:rPr>
        <w:t>Во-вторых, это предполагает необходимость внимательного учета существующих положений Правил процедуры, в разной степени применимых к Ассамблее и Исполнительному совету.</w:t>
      </w:r>
    </w:p>
    <w:p w14:paraId="47AAE697" w14:textId="0566A1D3" w:rsidR="000A569C" w:rsidRPr="004714B9" w:rsidRDefault="006B18B7" w:rsidP="008913FD">
      <w:pPr>
        <w:pStyle w:val="ListParagraph"/>
        <w:numPr>
          <w:ilvl w:val="0"/>
          <w:numId w:val="36"/>
        </w:numPr>
        <w:tabs>
          <w:tab w:val="clear" w:pos="567"/>
          <w:tab w:val="left" w:pos="714"/>
        </w:tabs>
        <w:adjustRightInd w:val="0"/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4714B9">
        <w:rPr>
          <w:rFonts w:ascii="Arial" w:hAnsi="Arial" w:cs="Arial"/>
          <w:sz w:val="22"/>
          <w:szCs w:val="22"/>
        </w:rPr>
        <w:t xml:space="preserve">В-третьих, в выводах анализа было подтверждено, что нынешние Правила процедуры Комиссии грешат явной несогласованностью языковых версий, на что было указано в докладе председателя МФКГ, представленном </w:t>
      </w:r>
      <w:r w:rsidR="0066673A">
        <w:rPr>
          <w:rFonts w:ascii="Arial" w:hAnsi="Arial" w:cs="Arial"/>
          <w:sz w:val="22"/>
          <w:szCs w:val="22"/>
        </w:rPr>
        <w:t xml:space="preserve">в ходе </w:t>
      </w:r>
      <w:r w:rsidRPr="004714B9">
        <w:rPr>
          <w:rFonts w:ascii="Arial" w:hAnsi="Arial" w:cs="Arial"/>
          <w:sz w:val="22"/>
          <w:szCs w:val="22"/>
        </w:rPr>
        <w:t>31-й сессии Ассамблеи (</w:t>
      </w:r>
      <w:hyperlink r:id="rId14" w:history="1">
        <w:r w:rsidRPr="004714B9">
          <w:rPr>
            <w:rFonts w:ascii="Arial" w:hAnsi="Arial" w:cs="Arial"/>
            <w:color w:val="0000FF" w:themeColor="hyperlink"/>
            <w:sz w:val="22"/>
            <w:szCs w:val="22"/>
            <w:u w:val="single"/>
          </w:rPr>
          <w:t>IOC/A-31/4.3.Doc</w:t>
        </w:r>
      </w:hyperlink>
      <w:r w:rsidRPr="004714B9">
        <w:rPr>
          <w:rFonts w:ascii="Arial" w:hAnsi="Arial" w:cs="Arial"/>
          <w:sz w:val="22"/>
          <w:szCs w:val="22"/>
        </w:rPr>
        <w:t>). Между английской и французской версиями действующих Правил существуют очевидные расхождения, что может вызывать серьезные сложности в плане толкования и применения соответствующих положений.</w:t>
      </w:r>
    </w:p>
    <w:p w14:paraId="45D2E9F5" w14:textId="77777777" w:rsidR="000A569C" w:rsidRPr="004714B9" w:rsidRDefault="006B18B7" w:rsidP="008913FD">
      <w:pPr>
        <w:pStyle w:val="ListParagraph"/>
        <w:numPr>
          <w:ilvl w:val="0"/>
          <w:numId w:val="36"/>
        </w:numPr>
        <w:tabs>
          <w:tab w:val="clear" w:pos="567"/>
          <w:tab w:val="left" w:pos="714"/>
        </w:tabs>
        <w:adjustRightInd w:val="0"/>
        <w:spacing w:after="240"/>
        <w:ind w:left="0" w:firstLine="0"/>
        <w:contextualSpacing w:val="0"/>
        <w:jc w:val="both"/>
        <w:rPr>
          <w:rFonts w:ascii="Arial" w:eastAsia="Times New Roman" w:hAnsi="Arial" w:cs="Arial"/>
          <w:iCs/>
          <w:sz w:val="22"/>
          <w:szCs w:val="22"/>
        </w:rPr>
      </w:pPr>
      <w:r w:rsidRPr="004714B9">
        <w:rPr>
          <w:rFonts w:ascii="Arial" w:hAnsi="Arial" w:cs="Arial"/>
          <w:iCs/>
          <w:sz w:val="22"/>
          <w:szCs w:val="22"/>
        </w:rPr>
        <w:t>В связи с этим разделение действующих Правил процедуры на два свода правил, применимых соответственно к Ассамблее и Исполнительному совету, возможно только на основе четкого определения объекта и цели действующих положений.</w:t>
      </w:r>
    </w:p>
    <w:p w14:paraId="7F271EE7" w14:textId="7324C6E9" w:rsidR="006B18B7" w:rsidRPr="004714B9" w:rsidRDefault="006B18B7" w:rsidP="008913FD">
      <w:pPr>
        <w:pStyle w:val="ListParagraph"/>
        <w:numPr>
          <w:ilvl w:val="0"/>
          <w:numId w:val="36"/>
        </w:numPr>
        <w:tabs>
          <w:tab w:val="clear" w:pos="567"/>
          <w:tab w:val="left" w:pos="714"/>
        </w:tabs>
        <w:adjustRightInd w:val="0"/>
        <w:spacing w:after="240"/>
        <w:ind w:left="0" w:firstLine="0"/>
        <w:contextualSpacing w:val="0"/>
        <w:jc w:val="both"/>
        <w:rPr>
          <w:rFonts w:ascii="Arial" w:eastAsia="Times New Roman" w:hAnsi="Arial" w:cs="Arial"/>
          <w:iCs/>
          <w:sz w:val="22"/>
          <w:szCs w:val="22"/>
        </w:rPr>
      </w:pPr>
      <w:r w:rsidRPr="004714B9">
        <w:rPr>
          <w:rFonts w:ascii="Arial" w:hAnsi="Arial" w:cs="Arial"/>
          <w:sz w:val="22"/>
          <w:szCs w:val="22"/>
        </w:rPr>
        <w:t>По причинам, изложенным выше, документ (</w:t>
      </w:r>
      <w:hyperlink r:id="rId15" w:history="1">
        <w:r w:rsidRPr="004714B9">
          <w:rPr>
            <w:rStyle w:val="Hyperlink"/>
            <w:rFonts w:ascii="Arial" w:hAnsi="Arial" w:cs="Arial"/>
            <w:iCs/>
            <w:sz w:val="22"/>
            <w:szCs w:val="22"/>
          </w:rPr>
          <w:t>IOC/EC-55/5.1.Doc(1)</w:t>
        </w:r>
      </w:hyperlink>
      <w:r w:rsidRPr="004714B9">
        <w:rPr>
          <w:rFonts w:ascii="Arial" w:hAnsi="Arial" w:cs="Arial"/>
          <w:sz w:val="22"/>
          <w:szCs w:val="22"/>
        </w:rPr>
        <w:t>), представленный на рассмотрение Исполнительного совета, был подготовлен на основе предложения</w:t>
      </w:r>
      <w:r w:rsidR="00505E80" w:rsidRPr="00505E80">
        <w:rPr>
          <w:rFonts w:ascii="Arial" w:hAnsi="Arial" w:cs="Arial"/>
          <w:sz w:val="22"/>
          <w:szCs w:val="22"/>
        </w:rPr>
        <w:t>:</w:t>
      </w:r>
    </w:p>
    <w:p w14:paraId="1AD98911" w14:textId="77777777" w:rsidR="006B18B7" w:rsidRPr="004714B9" w:rsidRDefault="006B18B7" w:rsidP="008913FD">
      <w:pPr>
        <w:numPr>
          <w:ilvl w:val="0"/>
          <w:numId w:val="32"/>
        </w:numPr>
        <w:shd w:val="clear" w:color="auto" w:fill="FFFFFF"/>
        <w:tabs>
          <w:tab w:val="clear" w:pos="567"/>
        </w:tabs>
        <w:adjustRightInd w:val="0"/>
        <w:spacing w:after="240"/>
        <w:ind w:left="1134" w:hanging="425"/>
        <w:jc w:val="both"/>
        <w:rPr>
          <w:rFonts w:ascii="Arial" w:eastAsia="Times New Roman" w:hAnsi="Arial" w:cs="Arial"/>
          <w:iCs/>
          <w:sz w:val="22"/>
          <w:szCs w:val="22"/>
        </w:rPr>
      </w:pPr>
      <w:r w:rsidRPr="004714B9">
        <w:rPr>
          <w:rFonts w:ascii="Arial" w:hAnsi="Arial" w:cs="Arial"/>
          <w:iCs/>
          <w:sz w:val="22"/>
          <w:szCs w:val="22"/>
        </w:rPr>
        <w:t>воздержаться от запуска процедуры внесения поправок в Устав МОК;</w:t>
      </w:r>
    </w:p>
    <w:p w14:paraId="266C227A" w14:textId="77777777" w:rsidR="006B18B7" w:rsidRPr="004714B9" w:rsidRDefault="006B18B7" w:rsidP="008913FD">
      <w:pPr>
        <w:numPr>
          <w:ilvl w:val="0"/>
          <w:numId w:val="32"/>
        </w:numPr>
        <w:shd w:val="clear" w:color="auto" w:fill="FFFFFF"/>
        <w:tabs>
          <w:tab w:val="clear" w:pos="567"/>
        </w:tabs>
        <w:adjustRightInd w:val="0"/>
        <w:spacing w:after="240"/>
        <w:ind w:left="1134" w:hanging="425"/>
        <w:jc w:val="both"/>
        <w:rPr>
          <w:rFonts w:ascii="Arial" w:eastAsia="Times New Roman" w:hAnsi="Arial" w:cs="Arial"/>
          <w:iCs/>
          <w:sz w:val="22"/>
          <w:szCs w:val="22"/>
        </w:rPr>
      </w:pPr>
      <w:r w:rsidRPr="004714B9">
        <w:rPr>
          <w:rFonts w:ascii="Arial" w:hAnsi="Arial" w:cs="Arial"/>
          <w:iCs/>
          <w:sz w:val="22"/>
          <w:szCs w:val="22"/>
        </w:rPr>
        <w:t>в соответствии со статьей 6.B.3 Устава сохранить единый свод Правил процедуры Комиссии, который должен быть официально определен Ассамблеей;</w:t>
      </w:r>
    </w:p>
    <w:p w14:paraId="3726C867" w14:textId="77777777" w:rsidR="000A569C" w:rsidRPr="004714B9" w:rsidRDefault="006B18B7" w:rsidP="008913FD">
      <w:pPr>
        <w:numPr>
          <w:ilvl w:val="0"/>
          <w:numId w:val="32"/>
        </w:numPr>
        <w:shd w:val="clear" w:color="auto" w:fill="FFFFFF"/>
        <w:tabs>
          <w:tab w:val="clear" w:pos="567"/>
        </w:tabs>
        <w:adjustRightInd w:val="0"/>
        <w:spacing w:after="240"/>
        <w:ind w:left="1134" w:hanging="425"/>
        <w:jc w:val="both"/>
        <w:rPr>
          <w:rFonts w:ascii="Arial" w:eastAsia="Times New Roman" w:hAnsi="Arial" w:cs="Arial"/>
          <w:iCs/>
          <w:sz w:val="22"/>
          <w:szCs w:val="22"/>
        </w:rPr>
      </w:pPr>
      <w:r w:rsidRPr="004714B9">
        <w:rPr>
          <w:rFonts w:ascii="Arial" w:hAnsi="Arial" w:cs="Arial"/>
          <w:iCs/>
          <w:sz w:val="22"/>
          <w:szCs w:val="22"/>
        </w:rPr>
        <w:t>пересмотреть действующие Правила процедуры, разграничив общие статьи, применимые и к Ассамблее, и к Исполнительному совету, и статьи, применимые только к одному из этих органов;</w:t>
      </w:r>
    </w:p>
    <w:p w14:paraId="4E1D64D9" w14:textId="77777777" w:rsidR="000A569C" w:rsidRPr="004714B9" w:rsidRDefault="006B18B7" w:rsidP="008913FD">
      <w:pPr>
        <w:numPr>
          <w:ilvl w:val="0"/>
          <w:numId w:val="32"/>
        </w:numPr>
        <w:shd w:val="clear" w:color="auto" w:fill="FFFFFF"/>
        <w:tabs>
          <w:tab w:val="clear" w:pos="567"/>
        </w:tabs>
        <w:adjustRightInd w:val="0"/>
        <w:spacing w:after="240"/>
        <w:ind w:left="1134" w:hanging="425"/>
        <w:jc w:val="both"/>
        <w:rPr>
          <w:rFonts w:ascii="Arial" w:eastAsia="Times New Roman" w:hAnsi="Arial" w:cs="Arial"/>
          <w:iCs/>
          <w:sz w:val="22"/>
          <w:szCs w:val="22"/>
        </w:rPr>
      </w:pPr>
      <w:r w:rsidRPr="004714B9">
        <w:rPr>
          <w:rFonts w:ascii="Arial" w:hAnsi="Arial" w:cs="Arial"/>
          <w:iCs/>
          <w:sz w:val="22"/>
          <w:szCs w:val="22"/>
        </w:rPr>
        <w:t>пересмотреть статьи 55 и 56 с целью признания и уточнения полномочий Исполнительного совета вносить поправки в статьи, касающиеся его организации и функционирования, или приостанавливать их действие.</w:t>
      </w:r>
    </w:p>
    <w:p w14:paraId="44357B90" w14:textId="3DB861CB" w:rsidR="006B18B7" w:rsidRPr="004714B9" w:rsidRDefault="006B18B7" w:rsidP="008913FD">
      <w:pPr>
        <w:pStyle w:val="ListParagraph"/>
        <w:numPr>
          <w:ilvl w:val="0"/>
          <w:numId w:val="36"/>
        </w:numPr>
        <w:tabs>
          <w:tab w:val="clear" w:pos="567"/>
          <w:tab w:val="left" w:pos="714"/>
        </w:tabs>
        <w:adjustRightInd w:val="0"/>
        <w:spacing w:after="240"/>
        <w:ind w:left="0" w:firstLine="0"/>
        <w:contextualSpacing w:val="0"/>
        <w:jc w:val="both"/>
        <w:rPr>
          <w:rFonts w:ascii="Arial" w:hAnsi="Arial" w:cs="Arial"/>
          <w:snapToGrid/>
          <w:color w:val="000000" w:themeColor="text1"/>
          <w:sz w:val="22"/>
          <w:szCs w:val="22"/>
        </w:rPr>
      </w:pPr>
      <w:r w:rsidRPr="004714B9">
        <w:rPr>
          <w:rFonts w:ascii="Arial" w:hAnsi="Arial" w:cs="Arial"/>
          <w:color w:val="000000" w:themeColor="text1"/>
          <w:sz w:val="22"/>
          <w:szCs w:val="22"/>
        </w:rPr>
        <w:t>Члены МФКГ выразили удовлетворение представленным в документе</w:t>
      </w:r>
      <w:r w:rsidR="00A12058">
        <w:rPr>
          <w:rFonts w:ascii="Arial" w:hAnsi="Arial" w:cs="Arial"/>
          <w:color w:val="000000" w:themeColor="text1"/>
          <w:sz w:val="22"/>
          <w:szCs w:val="22"/>
          <w:lang w:val="en-US"/>
        </w:rPr>
        <w:t> </w:t>
      </w:r>
      <w:r w:rsidRPr="004714B9">
        <w:rPr>
          <w:rFonts w:ascii="Arial" w:hAnsi="Arial" w:cs="Arial"/>
          <w:color w:val="000000" w:themeColor="text1"/>
          <w:sz w:val="22"/>
          <w:szCs w:val="22"/>
        </w:rPr>
        <w:t>IOC/EC</w:t>
      </w:r>
      <w:r w:rsidR="00A12058">
        <w:rPr>
          <w:rFonts w:ascii="Arial" w:hAnsi="Arial" w:cs="Arial"/>
          <w:color w:val="000000" w:themeColor="text1"/>
          <w:sz w:val="22"/>
          <w:szCs w:val="22"/>
        </w:rPr>
        <w:noBreakHyphen/>
      </w:r>
      <w:r w:rsidRPr="004714B9">
        <w:rPr>
          <w:rFonts w:ascii="Arial" w:hAnsi="Arial" w:cs="Arial"/>
          <w:color w:val="000000" w:themeColor="text1"/>
          <w:sz w:val="22"/>
          <w:szCs w:val="22"/>
        </w:rPr>
        <w:t xml:space="preserve">55/5.1Doc(1) предложением Секретариата, охарактеризовав его как «взвешенный первоначальный подход». Как подчеркнул председатель МФКГ в своем информационном письме от 6 июня 2022 г., указанный подход отличается от </w:t>
      </w:r>
      <w:proofErr w:type="spellStart"/>
      <w:r w:rsidRPr="004714B9">
        <w:rPr>
          <w:rFonts w:ascii="Arial" w:hAnsi="Arial" w:cs="Arial"/>
          <w:color w:val="000000" w:themeColor="text1"/>
          <w:sz w:val="22"/>
          <w:szCs w:val="22"/>
        </w:rPr>
        <w:t>обсуждавшегося</w:t>
      </w:r>
      <w:proofErr w:type="spellEnd"/>
      <w:r w:rsidRPr="004714B9">
        <w:rPr>
          <w:rFonts w:ascii="Arial" w:hAnsi="Arial" w:cs="Arial"/>
          <w:color w:val="000000" w:themeColor="text1"/>
          <w:sz w:val="22"/>
          <w:szCs w:val="22"/>
        </w:rPr>
        <w:t xml:space="preserve"> в ходе 31-й сессии Ассамблеи лишь тем, что предусматривает сохранение единого свода правил, который должен быть утвержден Ассамблеей МОК в 2023 г. (таким образом, отпадает необходимость в проведении в 2023 г. внеочередной сессии Исполнительного совета).</w:t>
      </w:r>
    </w:p>
    <w:p w14:paraId="52D2210C" w14:textId="77777777" w:rsidR="006B18B7" w:rsidRPr="0066673A" w:rsidRDefault="006B18B7" w:rsidP="008913FD">
      <w:pPr>
        <w:pStyle w:val="ListParagraph"/>
        <w:numPr>
          <w:ilvl w:val="0"/>
          <w:numId w:val="36"/>
        </w:numPr>
        <w:tabs>
          <w:tab w:val="clear" w:pos="567"/>
          <w:tab w:val="left" w:pos="714"/>
        </w:tabs>
        <w:adjustRightInd w:val="0"/>
        <w:spacing w:after="240"/>
        <w:ind w:left="0" w:firstLine="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6673A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Он в полной мере учитывает желание государств-членов воздержаться от любого субстантивного пересмотра Правил в виде их </w:t>
      </w:r>
      <w:proofErr w:type="spellStart"/>
      <w:r w:rsidRPr="0066673A">
        <w:rPr>
          <w:rFonts w:ascii="Arial" w:hAnsi="Arial" w:cs="Arial"/>
          <w:color w:val="000000" w:themeColor="text1"/>
          <w:sz w:val="22"/>
          <w:szCs w:val="22"/>
        </w:rPr>
        <w:t>переформулирования</w:t>
      </w:r>
      <w:proofErr w:type="spellEnd"/>
      <w:r w:rsidRPr="0066673A">
        <w:rPr>
          <w:rFonts w:ascii="Arial" w:hAnsi="Arial" w:cs="Arial"/>
          <w:color w:val="000000" w:themeColor="text1"/>
          <w:sz w:val="22"/>
          <w:szCs w:val="22"/>
        </w:rPr>
        <w:t xml:space="preserve"> вместо реального их пересмотра, и предлагает лишь минимальные поправки к статьям 55 и 56, направленные на то, чтобы обеспечить максимально эффективное функционирование Исполнительного совета.</w:t>
      </w:r>
    </w:p>
    <w:p w14:paraId="624AAC1D" w14:textId="44234973" w:rsidR="006B18B7" w:rsidRPr="004714B9" w:rsidRDefault="006B18B7" w:rsidP="008913FD">
      <w:pPr>
        <w:pStyle w:val="ListParagraph"/>
        <w:numPr>
          <w:ilvl w:val="0"/>
          <w:numId w:val="36"/>
        </w:numPr>
        <w:tabs>
          <w:tab w:val="clear" w:pos="567"/>
          <w:tab w:val="left" w:pos="714"/>
        </w:tabs>
        <w:adjustRightInd w:val="0"/>
        <w:spacing w:after="240"/>
        <w:ind w:left="0" w:firstLine="0"/>
        <w:contextualSpacing w:val="0"/>
        <w:jc w:val="both"/>
        <w:rPr>
          <w:rFonts w:ascii="Arial" w:eastAsia="Times New Roman" w:hAnsi="Arial" w:cs="Arial"/>
          <w:iCs/>
          <w:sz w:val="22"/>
          <w:szCs w:val="22"/>
        </w:rPr>
      </w:pPr>
      <w:r w:rsidRPr="0066673A">
        <w:rPr>
          <w:rFonts w:ascii="Arial" w:hAnsi="Arial" w:cs="Arial"/>
          <w:sz w:val="22"/>
          <w:szCs w:val="22"/>
        </w:rPr>
        <w:t xml:space="preserve">Группа рассмотрела также приложение к документу IOC/EC-55/5.1Doc(1), в котором содержится не исчерпывающий список замечаний специалистов по правовым вопросам, указавших на случаи, когда государствам-членам можно было бы предложить рассмотреть возможность внесения дополнительных разъяснений, что требует более глубокого </w:t>
      </w:r>
      <w:r w:rsidR="00DF69FE">
        <w:rPr>
          <w:rFonts w:ascii="Arial" w:hAnsi="Arial" w:cs="Arial"/>
          <w:sz w:val="22"/>
          <w:szCs w:val="22"/>
        </w:rPr>
        <w:t>анализа</w:t>
      </w:r>
      <w:r w:rsidRPr="0066673A">
        <w:rPr>
          <w:rFonts w:ascii="Arial" w:hAnsi="Arial" w:cs="Arial"/>
          <w:sz w:val="22"/>
          <w:szCs w:val="22"/>
        </w:rPr>
        <w:t xml:space="preserve"> Правил.</w:t>
      </w:r>
      <w:r w:rsidRPr="0066673A">
        <w:rPr>
          <w:rFonts w:ascii="Arial" w:hAnsi="Arial" w:cs="Arial"/>
          <w:iCs/>
          <w:sz w:val="22"/>
          <w:szCs w:val="22"/>
        </w:rPr>
        <w:t xml:space="preserve"> </w:t>
      </w:r>
      <w:r w:rsidRPr="0066673A">
        <w:rPr>
          <w:rFonts w:ascii="Arial" w:hAnsi="Arial" w:cs="Arial"/>
          <w:sz w:val="22"/>
          <w:szCs w:val="22"/>
        </w:rPr>
        <w:t>Состоявшееся 13 июня очное</w:t>
      </w:r>
      <w:r w:rsidRPr="004714B9">
        <w:rPr>
          <w:rFonts w:ascii="Arial" w:hAnsi="Arial" w:cs="Arial"/>
          <w:sz w:val="22"/>
          <w:szCs w:val="22"/>
        </w:rPr>
        <w:t xml:space="preserve"> совещание позволило рассмотреть поочередно все содержащиеся в приложении статьи Правил с учетом представленных замечаний, а также предложений в отношении возможных улучшений, что повысило готовность к обсуждению данного вопроса в ходе сессии.</w:t>
      </w:r>
    </w:p>
    <w:p w14:paraId="65B9BDCF" w14:textId="42B425AD" w:rsidR="006B18B7" w:rsidRPr="004714B9" w:rsidRDefault="004D5102" w:rsidP="008913FD">
      <w:pPr>
        <w:pStyle w:val="ListParagraph"/>
        <w:numPr>
          <w:ilvl w:val="0"/>
          <w:numId w:val="36"/>
        </w:numPr>
        <w:tabs>
          <w:tab w:val="clear" w:pos="567"/>
          <w:tab w:val="left" w:pos="714"/>
        </w:tabs>
        <w:adjustRightInd w:val="0"/>
        <w:spacing w:after="240"/>
        <w:ind w:left="0" w:firstLine="0"/>
        <w:contextualSpacing w:val="0"/>
        <w:jc w:val="both"/>
        <w:rPr>
          <w:rFonts w:ascii="Arial" w:hAnsi="Arial" w:cs="Arial"/>
          <w:snapToGrid/>
          <w:sz w:val="22"/>
          <w:szCs w:val="22"/>
        </w:rPr>
      </w:pPr>
      <w:r w:rsidRPr="004714B9">
        <w:rPr>
          <w:rFonts w:ascii="Arial" w:hAnsi="Arial" w:cs="Arial"/>
          <w:sz w:val="22"/>
          <w:szCs w:val="22"/>
        </w:rPr>
        <w:t>Таким образом, дискуссия в Исполнительном совете должна быть сфокусирована на следующих аспектах:</w:t>
      </w:r>
    </w:p>
    <w:p w14:paraId="21B38FE8" w14:textId="77777777" w:rsidR="006B18B7" w:rsidRPr="004714B9" w:rsidRDefault="006B18B7" w:rsidP="008913FD">
      <w:pPr>
        <w:numPr>
          <w:ilvl w:val="0"/>
          <w:numId w:val="32"/>
        </w:numPr>
        <w:shd w:val="clear" w:color="auto" w:fill="FFFFFF"/>
        <w:tabs>
          <w:tab w:val="clear" w:pos="567"/>
        </w:tabs>
        <w:adjustRightInd w:val="0"/>
        <w:spacing w:after="240"/>
        <w:ind w:left="1134" w:hanging="425"/>
        <w:jc w:val="both"/>
        <w:rPr>
          <w:rFonts w:ascii="Arial" w:eastAsia="Times New Roman" w:hAnsi="Arial" w:cs="Arial"/>
          <w:iCs/>
          <w:sz w:val="22"/>
          <w:szCs w:val="22"/>
        </w:rPr>
      </w:pPr>
      <w:r w:rsidRPr="004714B9">
        <w:rPr>
          <w:rFonts w:ascii="Arial" w:hAnsi="Arial" w:cs="Arial"/>
          <w:sz w:val="22"/>
          <w:szCs w:val="22"/>
        </w:rPr>
        <w:t>определить, является ли предложенный подход приемлемым для государств-членов;</w:t>
      </w:r>
    </w:p>
    <w:p w14:paraId="596C2E71" w14:textId="77777777" w:rsidR="000A569C" w:rsidRPr="004714B9" w:rsidRDefault="006B18B7" w:rsidP="008913FD">
      <w:pPr>
        <w:numPr>
          <w:ilvl w:val="0"/>
          <w:numId w:val="32"/>
        </w:numPr>
        <w:shd w:val="clear" w:color="auto" w:fill="FFFFFF"/>
        <w:tabs>
          <w:tab w:val="clear" w:pos="567"/>
        </w:tabs>
        <w:adjustRightInd w:val="0"/>
        <w:spacing w:after="240"/>
        <w:ind w:left="1134" w:hanging="425"/>
        <w:jc w:val="both"/>
        <w:rPr>
          <w:rFonts w:ascii="Arial" w:eastAsia="Times New Roman" w:hAnsi="Arial" w:cs="Arial"/>
          <w:iCs/>
          <w:sz w:val="22"/>
          <w:szCs w:val="22"/>
        </w:rPr>
      </w:pPr>
      <w:r w:rsidRPr="004714B9">
        <w:rPr>
          <w:rFonts w:ascii="Arial" w:hAnsi="Arial" w:cs="Arial"/>
          <w:iCs/>
          <w:sz w:val="22"/>
          <w:szCs w:val="22"/>
        </w:rPr>
        <w:t>решить, следует ли Секретариату продолжать пересмотр Правил, с тем чтобы обеспечить большую их ясность и согласованность в соответствии с рекомендациями группы юристов;</w:t>
      </w:r>
    </w:p>
    <w:p w14:paraId="43912D3F" w14:textId="58B2AB8D" w:rsidR="006B18B7" w:rsidRPr="004714B9" w:rsidRDefault="006B18B7" w:rsidP="008913FD">
      <w:pPr>
        <w:numPr>
          <w:ilvl w:val="0"/>
          <w:numId w:val="32"/>
        </w:numPr>
        <w:shd w:val="clear" w:color="auto" w:fill="FFFFFF"/>
        <w:tabs>
          <w:tab w:val="clear" w:pos="567"/>
        </w:tabs>
        <w:adjustRightInd w:val="0"/>
        <w:spacing w:after="240"/>
        <w:ind w:left="1134" w:hanging="425"/>
        <w:jc w:val="both"/>
        <w:rPr>
          <w:rFonts w:ascii="Arial" w:eastAsia="Times New Roman" w:hAnsi="Arial" w:cs="Arial"/>
          <w:iCs/>
          <w:sz w:val="22"/>
          <w:szCs w:val="22"/>
        </w:rPr>
      </w:pPr>
      <w:r w:rsidRPr="004714B9">
        <w:rPr>
          <w:rFonts w:ascii="Arial" w:hAnsi="Arial" w:cs="Arial"/>
          <w:iCs/>
          <w:sz w:val="22"/>
          <w:szCs w:val="22"/>
        </w:rPr>
        <w:t>возможно, указать ряд областей/вопросов, требующих приоритетного внимания, и/или добавить ряд конкретных рекомендаций.</w:t>
      </w:r>
    </w:p>
    <w:p w14:paraId="6BCF0261" w14:textId="1DDCB2CC" w:rsidR="004D5102" w:rsidRPr="004714B9" w:rsidRDefault="004D5102" w:rsidP="008913FD">
      <w:pPr>
        <w:pStyle w:val="ListParagraph"/>
        <w:numPr>
          <w:ilvl w:val="0"/>
          <w:numId w:val="36"/>
        </w:numPr>
        <w:tabs>
          <w:tab w:val="clear" w:pos="567"/>
          <w:tab w:val="left" w:pos="714"/>
        </w:tabs>
        <w:adjustRightInd w:val="0"/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4714B9">
        <w:rPr>
          <w:rFonts w:ascii="Arial" w:hAnsi="Arial" w:cs="Arial"/>
          <w:sz w:val="22"/>
          <w:szCs w:val="22"/>
        </w:rPr>
        <w:t>Что касается двух последних из вышеупомянутых аспектов, то группа согласовала несколько предварительных замечаний, а именно:</w:t>
      </w:r>
    </w:p>
    <w:p w14:paraId="59878457" w14:textId="04412120" w:rsidR="004D5102" w:rsidRPr="004714B9" w:rsidRDefault="00A136A4" w:rsidP="008913FD">
      <w:pPr>
        <w:numPr>
          <w:ilvl w:val="0"/>
          <w:numId w:val="32"/>
        </w:numPr>
        <w:shd w:val="clear" w:color="auto" w:fill="FFFFFF"/>
        <w:tabs>
          <w:tab w:val="clear" w:pos="567"/>
        </w:tabs>
        <w:adjustRightInd w:val="0"/>
        <w:spacing w:after="240"/>
        <w:ind w:left="1134" w:hanging="425"/>
        <w:jc w:val="both"/>
        <w:rPr>
          <w:rFonts w:ascii="Arial" w:eastAsia="Times New Roman" w:hAnsi="Arial" w:cs="Arial"/>
          <w:iCs/>
          <w:sz w:val="22"/>
          <w:szCs w:val="22"/>
        </w:rPr>
      </w:pPr>
      <w:r w:rsidRPr="004714B9">
        <w:rPr>
          <w:rFonts w:ascii="Arial" w:hAnsi="Arial" w:cs="Arial"/>
          <w:sz w:val="22"/>
          <w:szCs w:val="22"/>
        </w:rPr>
        <w:t>добиваясь большей ясности и согласованности языковых версий, сосредоточиться на исправлении только того, что нуждается в исправлении;</w:t>
      </w:r>
    </w:p>
    <w:p w14:paraId="66BD2E8D" w14:textId="51A07608" w:rsidR="00A136A4" w:rsidRPr="004714B9" w:rsidRDefault="00A136A4" w:rsidP="008913FD">
      <w:pPr>
        <w:numPr>
          <w:ilvl w:val="0"/>
          <w:numId w:val="32"/>
        </w:numPr>
        <w:shd w:val="clear" w:color="auto" w:fill="FFFFFF"/>
        <w:tabs>
          <w:tab w:val="clear" w:pos="567"/>
        </w:tabs>
        <w:adjustRightInd w:val="0"/>
        <w:spacing w:after="240"/>
        <w:ind w:left="1134" w:hanging="425"/>
        <w:jc w:val="both"/>
        <w:rPr>
          <w:rFonts w:ascii="Arial" w:eastAsia="Times New Roman" w:hAnsi="Arial" w:cs="Arial"/>
          <w:iCs/>
          <w:sz w:val="22"/>
          <w:szCs w:val="22"/>
        </w:rPr>
      </w:pPr>
      <w:r w:rsidRPr="004714B9">
        <w:rPr>
          <w:rFonts w:ascii="Arial" w:hAnsi="Arial" w:cs="Arial"/>
          <w:iCs/>
          <w:sz w:val="22"/>
          <w:szCs w:val="22"/>
        </w:rPr>
        <w:t>разработать руководящие принципы проведения заочных консультаций, применимые как к Ассамблее, так и к Исполнительному совету, на основе преобладающих передовых методов и накопленного ЮНЕСКО опыта;</w:t>
      </w:r>
    </w:p>
    <w:p w14:paraId="1FDCFF9A" w14:textId="13DCED98" w:rsidR="00A136A4" w:rsidRPr="004714B9" w:rsidRDefault="00A136A4" w:rsidP="008913FD">
      <w:pPr>
        <w:numPr>
          <w:ilvl w:val="0"/>
          <w:numId w:val="32"/>
        </w:numPr>
        <w:shd w:val="clear" w:color="auto" w:fill="FFFFFF"/>
        <w:tabs>
          <w:tab w:val="clear" w:pos="567"/>
        </w:tabs>
        <w:adjustRightInd w:val="0"/>
        <w:spacing w:after="240"/>
        <w:ind w:left="1134" w:hanging="425"/>
        <w:jc w:val="both"/>
        <w:rPr>
          <w:rFonts w:ascii="Arial" w:eastAsia="Times New Roman" w:hAnsi="Arial" w:cs="Arial"/>
          <w:iCs/>
          <w:sz w:val="22"/>
          <w:szCs w:val="22"/>
        </w:rPr>
      </w:pPr>
      <w:r w:rsidRPr="004714B9">
        <w:rPr>
          <w:rFonts w:ascii="Arial" w:hAnsi="Arial" w:cs="Arial"/>
          <w:iCs/>
          <w:sz w:val="22"/>
          <w:szCs w:val="22"/>
        </w:rPr>
        <w:t>включить в Правила положение о проведении онлайновых совещаний, но лишь в порядке исключения;</w:t>
      </w:r>
    </w:p>
    <w:p w14:paraId="0114FE7E" w14:textId="1D93AE26" w:rsidR="00A136A4" w:rsidRPr="004714B9" w:rsidRDefault="00A136A4" w:rsidP="008913FD">
      <w:pPr>
        <w:numPr>
          <w:ilvl w:val="0"/>
          <w:numId w:val="32"/>
        </w:numPr>
        <w:shd w:val="clear" w:color="auto" w:fill="FFFFFF"/>
        <w:tabs>
          <w:tab w:val="clear" w:pos="567"/>
        </w:tabs>
        <w:adjustRightInd w:val="0"/>
        <w:spacing w:after="240"/>
        <w:ind w:left="1134" w:hanging="425"/>
        <w:jc w:val="both"/>
        <w:rPr>
          <w:rFonts w:ascii="Arial" w:eastAsia="Times New Roman" w:hAnsi="Arial" w:cs="Arial"/>
          <w:iCs/>
          <w:sz w:val="22"/>
          <w:szCs w:val="22"/>
        </w:rPr>
      </w:pPr>
      <w:r w:rsidRPr="004714B9">
        <w:rPr>
          <w:rFonts w:ascii="Arial" w:hAnsi="Arial" w:cs="Arial"/>
          <w:iCs/>
          <w:sz w:val="22"/>
          <w:szCs w:val="22"/>
        </w:rPr>
        <w:t>представить Ассамблее вместе с пересмотренным проектом Правил проект руководящих принципов проведения совещаний в онлайновом формате.</w:t>
      </w:r>
    </w:p>
    <w:p w14:paraId="33819917" w14:textId="0B73B602" w:rsidR="006B18B7" w:rsidRPr="004714B9" w:rsidRDefault="006B18B7" w:rsidP="008913FD">
      <w:pPr>
        <w:pStyle w:val="ListParagraph"/>
        <w:numPr>
          <w:ilvl w:val="0"/>
          <w:numId w:val="36"/>
        </w:numPr>
        <w:tabs>
          <w:tab w:val="clear" w:pos="567"/>
          <w:tab w:val="left" w:pos="714"/>
        </w:tabs>
        <w:adjustRightInd w:val="0"/>
        <w:spacing w:after="240"/>
        <w:ind w:left="0" w:firstLine="0"/>
        <w:contextualSpacing w:val="0"/>
        <w:jc w:val="both"/>
        <w:rPr>
          <w:rFonts w:ascii="Arial" w:eastAsia="Times New Roman" w:hAnsi="Arial" w:cs="Arial"/>
          <w:iCs/>
          <w:sz w:val="22"/>
          <w:szCs w:val="22"/>
        </w:rPr>
      </w:pPr>
      <w:r w:rsidRPr="004714B9">
        <w:rPr>
          <w:rFonts w:ascii="Arial" w:hAnsi="Arial" w:cs="Arial"/>
          <w:sz w:val="22"/>
          <w:szCs w:val="22"/>
        </w:rPr>
        <w:t>Секретариат будет руководствоваться этими положениями при подготовке предварительного окончательного варианта Правил, который будет представлен Ассамблее МОК для утверждения на ее 32-й сессии.</w:t>
      </w:r>
    </w:p>
    <w:p w14:paraId="65AF482C" w14:textId="77777777" w:rsidR="006B18B7" w:rsidRPr="004714B9" w:rsidRDefault="006B18B7" w:rsidP="008913FD">
      <w:pPr>
        <w:numPr>
          <w:ilvl w:val="0"/>
          <w:numId w:val="30"/>
        </w:numPr>
        <w:tabs>
          <w:tab w:val="clear" w:pos="567"/>
        </w:tabs>
        <w:adjustRightInd w:val="0"/>
        <w:spacing w:after="240"/>
        <w:ind w:left="1418"/>
        <w:rPr>
          <w:rFonts w:ascii="Arial" w:hAnsi="Arial" w:cs="Arial"/>
          <w:b/>
          <w:color w:val="231F20"/>
          <w:sz w:val="22"/>
          <w:szCs w:val="22"/>
        </w:rPr>
      </w:pPr>
      <w:r w:rsidRPr="004714B9">
        <w:rPr>
          <w:rFonts w:ascii="Arial" w:hAnsi="Arial" w:cs="Arial"/>
          <w:b/>
          <w:color w:val="231F20"/>
          <w:sz w:val="22"/>
          <w:szCs w:val="22"/>
        </w:rPr>
        <w:t>Отчетность в отношении взносов в натуральной форме</w:t>
      </w:r>
    </w:p>
    <w:p w14:paraId="4FC08C29" w14:textId="77777777" w:rsidR="006B18B7" w:rsidRPr="004714B9" w:rsidRDefault="006B18B7" w:rsidP="008913FD">
      <w:pPr>
        <w:pStyle w:val="ListParagraph"/>
        <w:numPr>
          <w:ilvl w:val="0"/>
          <w:numId w:val="36"/>
        </w:numPr>
        <w:tabs>
          <w:tab w:val="clear" w:pos="567"/>
          <w:tab w:val="left" w:pos="714"/>
        </w:tabs>
        <w:adjustRightInd w:val="0"/>
        <w:spacing w:after="240"/>
        <w:ind w:left="0" w:firstLine="0"/>
        <w:contextualSpacing w:val="0"/>
        <w:jc w:val="both"/>
        <w:rPr>
          <w:rFonts w:ascii="Arial" w:hAnsi="Arial" w:cs="Arial"/>
          <w:color w:val="231F20"/>
          <w:sz w:val="22"/>
          <w:szCs w:val="22"/>
        </w:rPr>
      </w:pPr>
      <w:r w:rsidRPr="004714B9">
        <w:rPr>
          <w:rFonts w:ascii="Arial" w:hAnsi="Arial" w:cs="Arial"/>
          <w:color w:val="231F20"/>
          <w:sz w:val="22"/>
          <w:szCs w:val="22"/>
        </w:rPr>
        <w:t>В своей резолюции A-31/2 МОК предложила МФКГ «подготовить предложение по системному подходу к отчетности за взносы в натуральной форме и ее методологии в соответствии с обновленными Руководящими принципами подготовки программы и бюджета и статьей 10 Устава МОК для рассмотрения Ассамблеей МОК на ее 32-й сессии.</w:t>
      </w:r>
    </w:p>
    <w:p w14:paraId="678AD610" w14:textId="339FE1EC" w:rsidR="006B18B7" w:rsidRPr="004714B9" w:rsidRDefault="006B18B7" w:rsidP="008913FD">
      <w:pPr>
        <w:pStyle w:val="ListParagraph"/>
        <w:numPr>
          <w:ilvl w:val="0"/>
          <w:numId w:val="36"/>
        </w:numPr>
        <w:tabs>
          <w:tab w:val="clear" w:pos="567"/>
          <w:tab w:val="left" w:pos="714"/>
        </w:tabs>
        <w:adjustRightInd w:val="0"/>
        <w:spacing w:after="240"/>
        <w:ind w:left="0" w:firstLine="0"/>
        <w:contextualSpacing w:val="0"/>
        <w:jc w:val="both"/>
        <w:rPr>
          <w:rFonts w:ascii="Arial" w:hAnsi="Arial" w:cs="Arial"/>
          <w:color w:val="231F20"/>
          <w:sz w:val="22"/>
          <w:szCs w:val="22"/>
        </w:rPr>
      </w:pPr>
      <w:r w:rsidRPr="004714B9">
        <w:rPr>
          <w:rFonts w:ascii="Arial" w:hAnsi="Arial" w:cs="Arial"/>
          <w:sz w:val="22"/>
          <w:szCs w:val="22"/>
        </w:rPr>
        <w:lastRenderedPageBreak/>
        <w:t xml:space="preserve">Работа МФКГ в межсессионный период по данному вопросу была организована на основе </w:t>
      </w:r>
      <w:hyperlink r:id="rId16" w:history="1">
        <w:r w:rsidRPr="004714B9">
          <w:rPr>
            <w:rStyle w:val="Hyperlink"/>
            <w:rFonts w:ascii="Arial" w:hAnsi="Arial" w:cs="Arial"/>
            <w:sz w:val="22"/>
            <w:szCs w:val="22"/>
          </w:rPr>
          <w:t>Рабочей записки МФКГ № 1</w:t>
        </w:r>
      </w:hyperlink>
      <w:r w:rsidRPr="004714B9">
        <w:rPr>
          <w:rFonts w:ascii="Arial" w:hAnsi="Arial" w:cs="Arial"/>
          <w:sz w:val="22"/>
          <w:szCs w:val="22"/>
        </w:rPr>
        <w:t>.</w:t>
      </w:r>
      <w:r w:rsidRPr="004714B9">
        <w:rPr>
          <w:rFonts w:ascii="Arial" w:hAnsi="Arial" w:cs="Arial"/>
          <w:color w:val="231F20"/>
          <w:sz w:val="22"/>
          <w:szCs w:val="22"/>
        </w:rPr>
        <w:t xml:space="preserve"> Члены группы согласились с предложенным подходом, подчеркнув при этом следующее:</w:t>
      </w:r>
    </w:p>
    <w:p w14:paraId="2E7BE29E" w14:textId="77777777" w:rsidR="006B18B7" w:rsidRPr="004714B9" w:rsidRDefault="006B18B7" w:rsidP="008913FD">
      <w:pPr>
        <w:numPr>
          <w:ilvl w:val="0"/>
          <w:numId w:val="32"/>
        </w:numPr>
        <w:shd w:val="clear" w:color="auto" w:fill="FFFFFF"/>
        <w:tabs>
          <w:tab w:val="clear" w:pos="567"/>
        </w:tabs>
        <w:adjustRightInd w:val="0"/>
        <w:spacing w:after="240"/>
        <w:ind w:left="1134" w:hanging="425"/>
        <w:jc w:val="both"/>
        <w:rPr>
          <w:rFonts w:ascii="Arial" w:eastAsia="Times New Roman" w:hAnsi="Arial" w:cs="Arial"/>
          <w:iCs/>
          <w:sz w:val="22"/>
          <w:szCs w:val="22"/>
        </w:rPr>
      </w:pPr>
      <w:r w:rsidRPr="004714B9">
        <w:rPr>
          <w:rFonts w:ascii="Arial" w:hAnsi="Arial" w:cs="Arial"/>
          <w:sz w:val="22"/>
          <w:szCs w:val="22"/>
        </w:rPr>
        <w:t>предлагаемый более системный подход к отчетности в отношении взносов в натуральной форме приветствуется как более инклюзивный и справедливый;</w:t>
      </w:r>
    </w:p>
    <w:p w14:paraId="61B19CF7" w14:textId="29B5FDCE" w:rsidR="006B18B7" w:rsidRPr="004714B9" w:rsidRDefault="006B18B7" w:rsidP="008913FD">
      <w:pPr>
        <w:numPr>
          <w:ilvl w:val="0"/>
          <w:numId w:val="32"/>
        </w:numPr>
        <w:shd w:val="clear" w:color="auto" w:fill="FFFFFF"/>
        <w:tabs>
          <w:tab w:val="clear" w:pos="567"/>
        </w:tabs>
        <w:adjustRightInd w:val="0"/>
        <w:spacing w:after="240"/>
        <w:ind w:left="1134" w:hanging="425"/>
        <w:jc w:val="both"/>
        <w:rPr>
          <w:rFonts w:ascii="Arial" w:eastAsia="Times New Roman" w:hAnsi="Arial" w:cs="Arial"/>
          <w:iCs/>
          <w:sz w:val="22"/>
          <w:szCs w:val="22"/>
        </w:rPr>
      </w:pPr>
      <w:r w:rsidRPr="004714B9">
        <w:rPr>
          <w:rFonts w:ascii="Arial" w:hAnsi="Arial" w:cs="Arial"/>
          <w:iCs/>
          <w:sz w:val="22"/>
          <w:szCs w:val="22"/>
        </w:rPr>
        <w:t xml:space="preserve">помимо соответствия руководящим принципам, изложенным в </w:t>
      </w:r>
      <w:r w:rsidR="00DF69FE">
        <w:rPr>
          <w:rFonts w:ascii="Arial" w:hAnsi="Arial" w:cs="Arial"/>
          <w:iCs/>
          <w:sz w:val="22"/>
          <w:szCs w:val="22"/>
        </w:rPr>
        <w:t>вышеупомянутой р</w:t>
      </w:r>
      <w:r w:rsidRPr="004714B9">
        <w:rPr>
          <w:rFonts w:ascii="Arial" w:hAnsi="Arial" w:cs="Arial"/>
          <w:iCs/>
          <w:sz w:val="22"/>
          <w:szCs w:val="22"/>
        </w:rPr>
        <w:t>абочей записке, включаемые в отчетность взносы в натуральной форме должны быть настолько актуальны для МОК с точки зрения достижения ее целей, что в случае их отсутствия соответствующие расходы все равно были бы покрыты МОК за счет собственных бюджетных средств;</w:t>
      </w:r>
    </w:p>
    <w:p w14:paraId="6C65FCB5" w14:textId="70D5DB88" w:rsidR="00B70FDF" w:rsidRPr="00DF69FE" w:rsidRDefault="00B70FDF" w:rsidP="008913FD">
      <w:pPr>
        <w:numPr>
          <w:ilvl w:val="0"/>
          <w:numId w:val="32"/>
        </w:numPr>
        <w:shd w:val="clear" w:color="auto" w:fill="FFFFFF"/>
        <w:tabs>
          <w:tab w:val="clear" w:pos="567"/>
        </w:tabs>
        <w:adjustRightInd w:val="0"/>
        <w:spacing w:after="240"/>
        <w:ind w:left="1134" w:hanging="425"/>
        <w:jc w:val="both"/>
        <w:rPr>
          <w:rFonts w:ascii="Arial" w:eastAsia="Times New Roman" w:hAnsi="Arial" w:cs="Arial"/>
          <w:iCs/>
          <w:sz w:val="22"/>
          <w:szCs w:val="22"/>
        </w:rPr>
      </w:pPr>
      <w:r w:rsidRPr="004714B9">
        <w:rPr>
          <w:rFonts w:ascii="Arial" w:hAnsi="Arial" w:cs="Arial"/>
          <w:iCs/>
          <w:sz w:val="22"/>
          <w:szCs w:val="22"/>
        </w:rPr>
        <w:t xml:space="preserve">все виды расходов, осуществляемых на национальном уровне в связи с участием в программах, мероприятиях и т.п., в принципе не относятся к категории взносов в </w:t>
      </w:r>
      <w:r w:rsidRPr="00DF69FE">
        <w:rPr>
          <w:rFonts w:ascii="Arial" w:hAnsi="Arial" w:cs="Arial"/>
          <w:iCs/>
          <w:sz w:val="22"/>
          <w:szCs w:val="22"/>
        </w:rPr>
        <w:t>натуральной форме, если бенефициаром связанных с указанными расходами выгод является та же страна;</w:t>
      </w:r>
    </w:p>
    <w:p w14:paraId="75DF9A33" w14:textId="3AF93109" w:rsidR="006B18B7" w:rsidRPr="00DF69FE" w:rsidRDefault="006B18B7" w:rsidP="008913FD">
      <w:pPr>
        <w:numPr>
          <w:ilvl w:val="0"/>
          <w:numId w:val="32"/>
        </w:numPr>
        <w:shd w:val="clear" w:color="auto" w:fill="FFFFFF"/>
        <w:tabs>
          <w:tab w:val="clear" w:pos="567"/>
        </w:tabs>
        <w:adjustRightInd w:val="0"/>
        <w:spacing w:after="240"/>
        <w:ind w:left="1134" w:hanging="425"/>
        <w:jc w:val="both"/>
        <w:rPr>
          <w:rFonts w:ascii="Arial" w:eastAsia="Times New Roman" w:hAnsi="Arial" w:cs="Arial"/>
          <w:iCs/>
          <w:sz w:val="22"/>
          <w:szCs w:val="22"/>
        </w:rPr>
      </w:pPr>
      <w:r w:rsidRPr="00DF69FE">
        <w:rPr>
          <w:rFonts w:ascii="Arial" w:hAnsi="Arial" w:cs="Arial"/>
          <w:iCs/>
          <w:sz w:val="22"/>
          <w:szCs w:val="22"/>
        </w:rPr>
        <w:t>добровольные (внебюджетные) взносы в денежной форме в поддержку бюджета МОК, которые Комиссия может использовать по своему усмотрению, четко отличаются от взносов в натуральной форме, когда МОК получает выгоду в виде стоимостного эквивалента такого взноса, в отличие от получения прямой выгоды при использовании собственных денежных средств;</w:t>
      </w:r>
    </w:p>
    <w:p w14:paraId="1E2B9B01" w14:textId="5F79F617" w:rsidR="006B18B7" w:rsidRPr="00DF69FE" w:rsidRDefault="006B18B7" w:rsidP="008913FD">
      <w:pPr>
        <w:numPr>
          <w:ilvl w:val="0"/>
          <w:numId w:val="32"/>
        </w:numPr>
        <w:shd w:val="clear" w:color="auto" w:fill="FFFFFF"/>
        <w:tabs>
          <w:tab w:val="clear" w:pos="567"/>
        </w:tabs>
        <w:adjustRightInd w:val="0"/>
        <w:spacing w:after="240"/>
        <w:ind w:left="1134" w:hanging="425"/>
        <w:jc w:val="both"/>
        <w:rPr>
          <w:rFonts w:ascii="Arial" w:eastAsia="Times New Roman" w:hAnsi="Arial" w:cs="Arial"/>
          <w:iCs/>
          <w:sz w:val="22"/>
          <w:szCs w:val="22"/>
        </w:rPr>
      </w:pPr>
      <w:r w:rsidRPr="00DF69FE">
        <w:rPr>
          <w:rFonts w:ascii="Arial" w:hAnsi="Arial" w:cs="Arial"/>
          <w:iCs/>
          <w:sz w:val="22"/>
          <w:szCs w:val="22"/>
        </w:rPr>
        <w:t>стоимостная величина взноса в натуральной форме должна выражаться непосредственно в виде рыночной цены, т.е. объема затрат стороны, делающей взнос: именно в этом случае взнос будет на 100% соответствовать целям принимающей организации;</w:t>
      </w:r>
    </w:p>
    <w:p w14:paraId="09E62E3D" w14:textId="1E60E8AF" w:rsidR="006B18B7" w:rsidRPr="004714B9" w:rsidRDefault="006B18B7" w:rsidP="008913FD">
      <w:pPr>
        <w:numPr>
          <w:ilvl w:val="0"/>
          <w:numId w:val="32"/>
        </w:numPr>
        <w:shd w:val="clear" w:color="auto" w:fill="FFFFFF"/>
        <w:tabs>
          <w:tab w:val="clear" w:pos="567"/>
        </w:tabs>
        <w:adjustRightInd w:val="0"/>
        <w:spacing w:after="240"/>
        <w:ind w:left="1134" w:hanging="425"/>
        <w:jc w:val="both"/>
        <w:rPr>
          <w:rFonts w:ascii="Arial" w:eastAsia="Times New Roman" w:hAnsi="Arial" w:cs="Arial"/>
          <w:iCs/>
          <w:sz w:val="22"/>
          <w:szCs w:val="22"/>
        </w:rPr>
      </w:pPr>
      <w:r w:rsidRPr="00DF69FE">
        <w:rPr>
          <w:rFonts w:ascii="Arial" w:hAnsi="Arial" w:cs="Arial"/>
          <w:iCs/>
          <w:sz w:val="22"/>
          <w:szCs w:val="22"/>
        </w:rPr>
        <w:t>термин «</w:t>
      </w:r>
      <w:r w:rsidR="00DF69FE">
        <w:rPr>
          <w:rFonts w:ascii="Arial" w:hAnsi="Arial" w:cs="Arial"/>
          <w:iCs/>
          <w:sz w:val="22"/>
          <w:szCs w:val="22"/>
        </w:rPr>
        <w:t>участник</w:t>
      </w:r>
      <w:r w:rsidRPr="00DF69FE">
        <w:rPr>
          <w:rFonts w:ascii="Arial" w:hAnsi="Arial" w:cs="Arial"/>
          <w:iCs/>
          <w:sz w:val="22"/>
          <w:szCs w:val="22"/>
        </w:rPr>
        <w:t>» (вместо термина «донор») представляется более подходящим для использования в типовом формуляре отчета (см. приложение III к Рабочей записке МФГС № 1); это позволит провести различие с «донорами», оказывающими поддержку</w:t>
      </w:r>
      <w:r w:rsidRPr="004714B9">
        <w:rPr>
          <w:rFonts w:ascii="Arial" w:hAnsi="Arial" w:cs="Arial"/>
          <w:iCs/>
          <w:sz w:val="22"/>
          <w:szCs w:val="22"/>
        </w:rPr>
        <w:t xml:space="preserve"> бюджету МОК в денежной форме.</w:t>
      </w:r>
    </w:p>
    <w:p w14:paraId="36E820D0" w14:textId="45EE03BA" w:rsidR="006B18B7" w:rsidRPr="004714B9" w:rsidRDefault="006B18B7" w:rsidP="008913FD">
      <w:pPr>
        <w:pStyle w:val="ListParagraph"/>
        <w:numPr>
          <w:ilvl w:val="0"/>
          <w:numId w:val="36"/>
        </w:numPr>
        <w:tabs>
          <w:tab w:val="clear" w:pos="567"/>
          <w:tab w:val="left" w:pos="714"/>
        </w:tabs>
        <w:adjustRightInd w:val="0"/>
        <w:spacing w:after="240"/>
        <w:ind w:left="0" w:firstLine="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714B9">
        <w:rPr>
          <w:rFonts w:ascii="Arial" w:hAnsi="Arial" w:cs="Arial"/>
          <w:sz w:val="22"/>
          <w:szCs w:val="22"/>
        </w:rPr>
        <w:t xml:space="preserve">В связи с вышеизложенным члены МФКГ высказали мнение, что по итогам дополнительного обсуждения на пленарном заседании и в рамках сессионного комитета по финансовым вопросам Исполнительный совет мог бы рекомендовать Секретариату </w:t>
      </w:r>
      <w:r w:rsidRPr="004714B9">
        <w:rPr>
          <w:rFonts w:ascii="Arial" w:hAnsi="Arial" w:cs="Arial"/>
          <w:b/>
          <w:sz w:val="22"/>
          <w:szCs w:val="22"/>
          <w:u w:val="single"/>
        </w:rPr>
        <w:t>ввести в экспериментальном порядке представление отчетности</w:t>
      </w:r>
      <w:r w:rsidRPr="004714B9">
        <w:rPr>
          <w:rFonts w:ascii="Arial" w:hAnsi="Arial" w:cs="Arial"/>
          <w:sz w:val="22"/>
          <w:szCs w:val="22"/>
        </w:rPr>
        <w:t xml:space="preserve"> в соответствии с приведенным ниже планом-графиком и с учетом рекомендаций Исполнительного совета:</w:t>
      </w:r>
    </w:p>
    <w:p w14:paraId="6A487D9D" w14:textId="77777777" w:rsidR="004714B9" w:rsidRDefault="006B18B7" w:rsidP="008913FD">
      <w:pPr>
        <w:numPr>
          <w:ilvl w:val="0"/>
          <w:numId w:val="32"/>
        </w:numPr>
        <w:shd w:val="clear" w:color="auto" w:fill="FFFFFF"/>
        <w:tabs>
          <w:tab w:val="clear" w:pos="567"/>
        </w:tabs>
        <w:adjustRightInd w:val="0"/>
        <w:spacing w:after="240"/>
        <w:ind w:left="1134" w:hanging="425"/>
        <w:jc w:val="both"/>
        <w:rPr>
          <w:rFonts w:ascii="Arial" w:hAnsi="Arial" w:cs="Arial"/>
          <w:snapToGrid/>
          <w:color w:val="000000"/>
          <w:sz w:val="22"/>
          <w:szCs w:val="22"/>
        </w:rPr>
      </w:pPr>
      <w:r w:rsidRPr="004714B9">
        <w:rPr>
          <w:rFonts w:ascii="Arial" w:hAnsi="Arial" w:cs="Arial"/>
          <w:snapToGrid/>
          <w:color w:val="000000"/>
          <w:sz w:val="22"/>
          <w:szCs w:val="22"/>
          <w:u w:val="single"/>
        </w:rPr>
        <w:t>Июль 2022 г. – январь 2023 г.</w:t>
      </w:r>
      <w:r w:rsidRPr="004714B9">
        <w:rPr>
          <w:rFonts w:ascii="Arial" w:hAnsi="Arial" w:cs="Arial"/>
          <w:snapToGrid/>
          <w:color w:val="000000"/>
          <w:sz w:val="22"/>
          <w:szCs w:val="22"/>
        </w:rPr>
        <w:t>: Секретариат МОК направляет государствам-членам циркулярное письмо с изложением методологии и просьбой представить не позднее 20 января 2023 г. официальные отчеты о взносах за 2022 календарный год.</w:t>
      </w:r>
    </w:p>
    <w:p w14:paraId="74F6DA20" w14:textId="77777777" w:rsidR="000A569C" w:rsidRPr="004714B9" w:rsidRDefault="006B18B7" w:rsidP="008913FD">
      <w:pPr>
        <w:numPr>
          <w:ilvl w:val="0"/>
          <w:numId w:val="32"/>
        </w:numPr>
        <w:shd w:val="clear" w:color="auto" w:fill="FFFFFF"/>
        <w:tabs>
          <w:tab w:val="clear" w:pos="567"/>
        </w:tabs>
        <w:adjustRightInd w:val="0"/>
        <w:spacing w:after="240"/>
        <w:ind w:left="1134" w:hanging="425"/>
        <w:jc w:val="both"/>
        <w:rPr>
          <w:rFonts w:ascii="Arial" w:eastAsiaTheme="minorHAnsi" w:hAnsi="Arial" w:cs="Arial"/>
          <w:snapToGrid/>
          <w:color w:val="000000"/>
          <w:sz w:val="22"/>
          <w:szCs w:val="22"/>
        </w:rPr>
      </w:pPr>
      <w:r w:rsidRPr="005D6539">
        <w:rPr>
          <w:rFonts w:ascii="Arial" w:hAnsi="Arial" w:cs="Arial"/>
          <w:sz w:val="22"/>
          <w:szCs w:val="22"/>
          <w:u w:val="single"/>
        </w:rPr>
        <w:t>Февраль 2023 г.</w:t>
      </w:r>
      <w:r w:rsidRPr="004714B9">
        <w:rPr>
          <w:rFonts w:ascii="Arial" w:hAnsi="Arial" w:cs="Arial"/>
          <w:sz w:val="22"/>
          <w:szCs w:val="22"/>
        </w:rPr>
        <w:t>: итоговый отчет о взносах в натуральной форме передается в МФКГ (межсессионные полномочия 2022-2023 гг.) для обсуждения и возможного внесения предложений по пересмотру методологии с последующим препровождением на рассмотрение Ассамблеи МОК в 2023 г.</w:t>
      </w:r>
    </w:p>
    <w:p w14:paraId="2E907985" w14:textId="45EB7511" w:rsidR="006B18B7" w:rsidRPr="004714B9" w:rsidRDefault="006B18B7" w:rsidP="008913FD">
      <w:pPr>
        <w:numPr>
          <w:ilvl w:val="0"/>
          <w:numId w:val="32"/>
        </w:numPr>
        <w:shd w:val="clear" w:color="auto" w:fill="FFFFFF"/>
        <w:tabs>
          <w:tab w:val="clear" w:pos="567"/>
        </w:tabs>
        <w:adjustRightInd w:val="0"/>
        <w:spacing w:after="240"/>
        <w:ind w:left="1134" w:hanging="425"/>
        <w:jc w:val="both"/>
        <w:rPr>
          <w:rFonts w:ascii="Arial" w:eastAsiaTheme="minorHAnsi" w:hAnsi="Arial" w:cs="Arial"/>
          <w:snapToGrid/>
          <w:color w:val="000000"/>
          <w:sz w:val="22"/>
          <w:szCs w:val="22"/>
        </w:rPr>
      </w:pPr>
      <w:r w:rsidRPr="004714B9">
        <w:rPr>
          <w:rFonts w:ascii="Arial" w:hAnsi="Arial" w:cs="Arial"/>
          <w:sz w:val="22"/>
          <w:szCs w:val="22"/>
        </w:rPr>
        <w:t>Ассамблея рассматривает указанный отчет и принимает решение в отношении дальнейшего представления отчетности.</w:t>
      </w:r>
    </w:p>
    <w:p w14:paraId="77929E22" w14:textId="77777777" w:rsidR="006B18B7" w:rsidRPr="004714B9" w:rsidRDefault="006B18B7" w:rsidP="008913FD">
      <w:pPr>
        <w:tabs>
          <w:tab w:val="clear" w:pos="567"/>
        </w:tabs>
        <w:adjustRightInd w:val="0"/>
        <w:spacing w:after="240"/>
        <w:jc w:val="both"/>
        <w:rPr>
          <w:rFonts w:asciiTheme="minorBidi" w:eastAsiaTheme="minorHAnsi" w:hAnsiTheme="minorBidi" w:cstheme="minorBidi"/>
          <w:snapToGrid/>
          <w:color w:val="000000"/>
          <w:sz w:val="22"/>
          <w:szCs w:val="22"/>
          <w:lang w:eastAsia="fr-FR"/>
        </w:rPr>
      </w:pPr>
    </w:p>
    <w:p w14:paraId="1AD70508" w14:textId="50971E89" w:rsidR="00DC2EAE" w:rsidRPr="00BC03E1" w:rsidRDefault="00DC2EAE" w:rsidP="008913FD">
      <w:pPr>
        <w:tabs>
          <w:tab w:val="clear" w:pos="567"/>
        </w:tabs>
        <w:adjustRightInd w:val="0"/>
        <w:spacing w:after="240"/>
        <w:jc w:val="both"/>
        <w:rPr>
          <w:rFonts w:asciiTheme="minorBidi" w:hAnsiTheme="minorBidi" w:cstheme="minorBidi"/>
          <w:b/>
          <w:sz w:val="22"/>
          <w:szCs w:val="22"/>
        </w:rPr>
      </w:pPr>
    </w:p>
    <w:sectPr w:rsidR="00DC2EAE" w:rsidRPr="00BC03E1" w:rsidSect="002D239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418" w:right="1134" w:bottom="1134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D7F25" w14:textId="77777777" w:rsidR="00500559" w:rsidRDefault="00500559">
      <w:r>
        <w:separator/>
      </w:r>
    </w:p>
  </w:endnote>
  <w:endnote w:type="continuationSeparator" w:id="0">
    <w:p w14:paraId="544AC4CB" w14:textId="77777777" w:rsidR="00500559" w:rsidRDefault="0050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albaum Display Light">
    <w:charset w:val="00"/>
    <w:family w:val="roman"/>
    <w:pitch w:val="variable"/>
    <w:sig w:usb0="8000002F" w:usb1="0000000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 (Founder Extended)">
    <w:altName w:val="Microsoft YaHe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507DD" w14:textId="77777777" w:rsidR="00FE1B02" w:rsidRDefault="00FE1B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9F61B" w14:textId="77777777" w:rsidR="00FE1B02" w:rsidRDefault="00FE1B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B6864" w14:textId="77777777" w:rsidR="00FE1B02" w:rsidRDefault="00FE1B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1340A" w14:textId="77777777" w:rsidR="00500559" w:rsidRDefault="00500559">
      <w:r>
        <w:separator/>
      </w:r>
    </w:p>
  </w:footnote>
  <w:footnote w:type="continuationSeparator" w:id="0">
    <w:p w14:paraId="26006E97" w14:textId="77777777" w:rsidR="00500559" w:rsidRDefault="00500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8030A" w14:textId="477E0A44" w:rsidR="00AE2085" w:rsidRPr="00FF54F5" w:rsidRDefault="00AE2085" w:rsidP="00FF54F5">
    <w:pPr>
      <w:pStyle w:val="Header"/>
      <w:rPr>
        <w:rFonts w:ascii="Arial" w:hAnsi="Arial" w:cs="Arial"/>
        <w:bCs/>
        <w:sz w:val="22"/>
        <w:szCs w:val="22"/>
      </w:rPr>
    </w:pPr>
    <w:r>
      <w:rPr>
        <w:rFonts w:ascii="Arial" w:hAnsi="Arial"/>
        <w:bCs/>
        <w:sz w:val="22"/>
        <w:szCs w:val="22"/>
      </w:rPr>
      <w:t>IOC/EC-55/5.1.Doc</w:t>
    </w:r>
    <w:sdt>
      <w:sdtPr>
        <w:rPr>
          <w:rFonts w:ascii="Arial" w:hAnsi="Arial" w:cs="Arial"/>
          <w:bCs/>
          <w:sz w:val="22"/>
          <w:szCs w:val="22"/>
        </w:rPr>
        <w:id w:val="554519101"/>
        <w:docPartObj>
          <w:docPartGallery w:val="Page Numbers (Top of Page)"/>
          <w:docPartUnique/>
        </w:docPartObj>
      </w:sdtPr>
      <w:sdtEndPr/>
      <w:sdtContent>
        <w:r>
          <w:rPr>
            <w:rFonts w:ascii="Arial" w:hAnsi="Arial"/>
            <w:bCs/>
            <w:sz w:val="22"/>
            <w:szCs w:val="22"/>
          </w:rPr>
          <w:t xml:space="preserve">(2) – page </w:t>
        </w:r>
        <w:r w:rsidR="000E759E" w:rsidRPr="000E759E">
          <w:rPr>
            <w:rFonts w:ascii="Arial" w:hAnsi="Arial" w:cs="Arial"/>
            <w:bCs/>
            <w:sz w:val="22"/>
            <w:szCs w:val="22"/>
          </w:rPr>
          <w:fldChar w:fldCharType="begin"/>
        </w:r>
        <w:r w:rsidR="000E759E" w:rsidRPr="000E759E">
          <w:rPr>
            <w:rFonts w:ascii="Arial" w:hAnsi="Arial" w:cs="Arial"/>
            <w:bCs/>
            <w:sz w:val="22"/>
            <w:szCs w:val="22"/>
          </w:rPr>
          <w:instrText xml:space="preserve"> PAGE   \* MERGEFORMAT </w:instrText>
        </w:r>
        <w:r w:rsidR="000E759E" w:rsidRPr="000E759E">
          <w:rPr>
            <w:rFonts w:ascii="Arial" w:hAnsi="Arial" w:cs="Arial"/>
            <w:bCs/>
            <w:sz w:val="22"/>
            <w:szCs w:val="22"/>
          </w:rPr>
          <w:fldChar w:fldCharType="separate"/>
        </w:r>
        <w:r w:rsidR="00C74FCE">
          <w:rPr>
            <w:rFonts w:ascii="Arial" w:hAnsi="Arial" w:cs="Arial"/>
            <w:bCs/>
            <w:sz w:val="22"/>
            <w:szCs w:val="22"/>
          </w:rPr>
          <w:t>4</w:t>
        </w:r>
        <w:r w:rsidR="000E759E" w:rsidRPr="000E759E">
          <w:rPr>
            <w:rFonts w:ascii="Arial" w:hAnsi="Arial" w:cs="Arial"/>
            <w:bCs/>
            <w:sz w:val="22"/>
            <w:szCs w:val="22"/>
          </w:rPr>
          <w:fldChar w:fldCharType="end"/>
        </w:r>
      </w:sdtContent>
    </w:sdt>
  </w:p>
  <w:p w14:paraId="7669745D" w14:textId="77777777" w:rsidR="00AE2085" w:rsidRPr="00D7566D" w:rsidRDefault="00AE2085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B357" w14:textId="0553CB27" w:rsidR="00AE2085" w:rsidRPr="00DD55DA" w:rsidRDefault="00AE2085" w:rsidP="00FF54F5">
    <w:pPr>
      <w:pStyle w:val="Header"/>
      <w:jc w:val="right"/>
      <w:rPr>
        <w:rFonts w:ascii="Arial" w:hAnsi="Arial" w:cs="Arial"/>
        <w:bCs/>
        <w:sz w:val="22"/>
        <w:szCs w:val="22"/>
      </w:rPr>
    </w:pPr>
    <w:r>
      <w:rPr>
        <w:rFonts w:ascii="Arial" w:hAnsi="Arial"/>
        <w:bCs/>
        <w:sz w:val="22"/>
        <w:szCs w:val="22"/>
      </w:rPr>
      <w:t xml:space="preserve">IOC/EC-55/5.1.Doc(2) – page </w:t>
    </w:r>
    <w:r w:rsidR="000E759E" w:rsidRPr="000E759E">
      <w:rPr>
        <w:rFonts w:ascii="Arial" w:hAnsi="Arial" w:cs="Arial"/>
        <w:bCs/>
        <w:sz w:val="22"/>
        <w:szCs w:val="22"/>
      </w:rPr>
      <w:fldChar w:fldCharType="begin"/>
    </w:r>
    <w:r w:rsidR="000E759E" w:rsidRPr="000E759E">
      <w:rPr>
        <w:rFonts w:ascii="Arial" w:hAnsi="Arial" w:cs="Arial"/>
        <w:bCs/>
        <w:sz w:val="22"/>
        <w:szCs w:val="22"/>
      </w:rPr>
      <w:instrText xml:space="preserve"> PAGE   \* MERGEFORMAT </w:instrText>
    </w:r>
    <w:r w:rsidR="000E759E" w:rsidRPr="000E759E">
      <w:rPr>
        <w:rFonts w:ascii="Arial" w:hAnsi="Arial" w:cs="Arial"/>
        <w:bCs/>
        <w:sz w:val="22"/>
        <w:szCs w:val="22"/>
      </w:rPr>
      <w:fldChar w:fldCharType="separate"/>
    </w:r>
    <w:r w:rsidR="00C74FCE">
      <w:rPr>
        <w:rFonts w:ascii="Arial" w:hAnsi="Arial" w:cs="Arial"/>
        <w:bCs/>
        <w:sz w:val="22"/>
        <w:szCs w:val="22"/>
      </w:rPr>
      <w:t>5</w:t>
    </w:r>
    <w:r w:rsidR="000E759E" w:rsidRPr="000E759E">
      <w:rPr>
        <w:rFonts w:ascii="Arial" w:hAnsi="Arial" w:cs="Arial"/>
        <w:bCs/>
        <w:sz w:val="22"/>
        <w:szCs w:val="22"/>
      </w:rPr>
      <w:fldChar w:fldCharType="end"/>
    </w:r>
  </w:p>
  <w:p w14:paraId="115C0040" w14:textId="77777777" w:rsidR="00AE2085" w:rsidRPr="00DD55DA" w:rsidRDefault="00AE2085" w:rsidP="00FF54F5">
    <w:pPr>
      <w:pStyle w:val="Header"/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E2890" w14:textId="122C0DDE" w:rsidR="00AE2085" w:rsidRPr="0042612F" w:rsidRDefault="00AE2085" w:rsidP="00D73E3C">
    <w:pPr>
      <w:pStyle w:val="Marge"/>
      <w:tabs>
        <w:tab w:val="left" w:pos="5670"/>
        <w:tab w:val="left" w:pos="7088"/>
      </w:tabs>
      <w:spacing w:after="0"/>
      <w:rPr>
        <w:rFonts w:ascii="Arial" w:hAnsi="Arial" w:cs="Arial"/>
        <w:b/>
        <w:sz w:val="36"/>
        <w:szCs w:val="36"/>
      </w:rPr>
    </w:pPr>
    <w:r w:rsidRPr="004714B9">
      <w:rPr>
        <w:rFonts w:ascii="Arial" w:hAnsi="Arial" w:cs="Arial"/>
        <w:sz w:val="22"/>
        <w:szCs w:val="22"/>
      </w:rPr>
      <w:t>Рассылается по списку</w:t>
    </w:r>
    <w:r>
      <w:rPr>
        <w:rFonts w:ascii="Arial" w:hAnsi="Arial"/>
        <w:b/>
        <w:sz w:val="36"/>
        <w:szCs w:val="36"/>
      </w:rPr>
      <w:tab/>
    </w:r>
    <w:bookmarkStart w:id="0" w:name="_Hlk54263549"/>
    <w:r>
      <w:rPr>
        <w:rFonts w:ascii="Arial" w:hAnsi="Arial"/>
        <w:b/>
        <w:sz w:val="36"/>
        <w:szCs w:val="36"/>
      </w:rPr>
      <w:t>IOC/EC-55/5.1</w:t>
    </w:r>
    <w:bookmarkEnd w:id="0"/>
    <w:r>
      <w:rPr>
        <w:rFonts w:ascii="Arial" w:hAnsi="Arial"/>
        <w:b/>
        <w:sz w:val="36"/>
        <w:szCs w:val="36"/>
      </w:rPr>
      <w:t>.Doc(2)</w:t>
    </w:r>
  </w:p>
  <w:p w14:paraId="4821F6A8" w14:textId="77777777" w:rsidR="000A569C" w:rsidRPr="004714B9" w:rsidRDefault="00AE2085" w:rsidP="00D73E3C">
    <w:pPr>
      <w:pStyle w:val="Marge"/>
      <w:tabs>
        <w:tab w:val="left" w:pos="5670"/>
      </w:tabs>
      <w:spacing w:after="0"/>
      <w:rPr>
        <w:rFonts w:ascii="Arial" w:hAnsi="Arial" w:cs="Arial"/>
        <w:sz w:val="22"/>
        <w:szCs w:val="22"/>
      </w:rPr>
    </w:pPr>
    <w:r>
      <w:rPr>
        <w:rFonts w:cs="Arial"/>
        <w:b/>
        <w:noProof/>
        <w:snapToGrid/>
        <w:szCs w:val="22"/>
      </w:rPr>
      <w:drawing>
        <wp:anchor distT="0" distB="0" distL="114300" distR="114300" simplePos="0" relativeHeight="251658240" behindDoc="0" locked="0" layoutInCell="1" allowOverlap="1" wp14:anchorId="7C2FCC9E" wp14:editId="3855C8E1">
          <wp:simplePos x="0" y="0"/>
          <wp:positionH relativeFrom="column">
            <wp:posOffset>-88265</wp:posOffset>
          </wp:positionH>
          <wp:positionV relativeFrom="paragraph">
            <wp:posOffset>93345</wp:posOffset>
          </wp:positionV>
          <wp:extent cx="1578610" cy="1047115"/>
          <wp:effectExtent l="0" t="0" r="2540" b="635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Cs w:val="22"/>
      </w:rPr>
      <w:tab/>
    </w:r>
    <w:r w:rsidRPr="004714B9">
      <w:rPr>
        <w:rFonts w:ascii="Arial" w:hAnsi="Arial" w:cs="Arial"/>
        <w:sz w:val="22"/>
        <w:szCs w:val="22"/>
      </w:rPr>
      <w:t>Париж, 13 июня 2022 г.</w:t>
    </w:r>
  </w:p>
  <w:p w14:paraId="07C76426" w14:textId="75FF5CF2" w:rsidR="00AE2085" w:rsidRPr="00BF254D" w:rsidRDefault="002D239B" w:rsidP="00D73E3C">
    <w:pPr>
      <w:pStyle w:val="Marge"/>
      <w:tabs>
        <w:tab w:val="left" w:pos="5670"/>
      </w:tabs>
      <w:rPr>
        <w:rFonts w:ascii="Arial" w:hAnsi="Arial" w:cs="Arial"/>
        <w:sz w:val="22"/>
        <w:szCs w:val="22"/>
      </w:rPr>
    </w:pPr>
    <w:r>
      <w:rPr>
        <w:rFonts w:ascii="Arial" w:hAnsi="Arial"/>
        <w:sz w:val="22"/>
        <w:szCs w:val="22"/>
      </w:rPr>
      <w:tab/>
    </w:r>
    <w:r w:rsidR="00AE2085">
      <w:rPr>
        <w:rFonts w:ascii="Arial" w:hAnsi="Arial"/>
        <w:sz w:val="22"/>
        <w:szCs w:val="22"/>
      </w:rPr>
      <w:t>Оригинал: английский</w:t>
    </w:r>
  </w:p>
  <w:p w14:paraId="0759C652" w14:textId="6ACD3015" w:rsidR="00AE2085" w:rsidRDefault="00AE2085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</w:rPr>
    </w:pPr>
  </w:p>
  <w:p w14:paraId="5CBA7A2E" w14:textId="7CD94594" w:rsidR="00AE2085" w:rsidRDefault="00AE2085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</w:rPr>
    </w:pPr>
  </w:p>
  <w:p w14:paraId="364F293E" w14:textId="4E082054" w:rsidR="00AE2085" w:rsidRDefault="00AE2085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</w:rPr>
    </w:pPr>
  </w:p>
  <w:p w14:paraId="28CD0B7C" w14:textId="77777777" w:rsidR="00AE2085" w:rsidRDefault="00AE2085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</w:rPr>
    </w:pPr>
  </w:p>
  <w:p w14:paraId="7458004E" w14:textId="77777777" w:rsidR="001C5703" w:rsidRDefault="001C5703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 w:val="22"/>
        <w:szCs w:val="22"/>
      </w:rPr>
    </w:pPr>
  </w:p>
  <w:p w14:paraId="6B4C32BE" w14:textId="77777777" w:rsidR="001C5703" w:rsidRDefault="001C5703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 w:val="22"/>
        <w:szCs w:val="22"/>
      </w:rPr>
    </w:pPr>
  </w:p>
  <w:p w14:paraId="6A89EB7A" w14:textId="77777777" w:rsidR="001C5703" w:rsidRDefault="001C5703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 w:val="22"/>
        <w:szCs w:val="22"/>
      </w:rPr>
    </w:pPr>
  </w:p>
  <w:p w14:paraId="71A52761" w14:textId="19B160B8" w:rsidR="00AE2085" w:rsidRPr="002D239B" w:rsidRDefault="00AE2085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 w:val="28"/>
        <w:szCs w:val="28"/>
      </w:rPr>
    </w:pPr>
    <w:r w:rsidRPr="002D239B">
      <w:rPr>
        <w:rFonts w:ascii="Arial" w:hAnsi="Arial"/>
        <w:b/>
        <w:sz w:val="28"/>
        <w:szCs w:val="28"/>
      </w:rPr>
      <w:t>М</w:t>
    </w:r>
    <w:r w:rsidR="002D239B" w:rsidRPr="002D239B">
      <w:rPr>
        <w:rFonts w:ascii="Arial" w:hAnsi="Arial"/>
        <w:b/>
        <w:sz w:val="28"/>
        <w:szCs w:val="28"/>
      </w:rPr>
      <w:t>ежправительственная океанографическая комиссия</w:t>
    </w:r>
  </w:p>
  <w:p w14:paraId="67E49D49" w14:textId="77777777" w:rsidR="00AE2085" w:rsidRPr="002D239B" w:rsidRDefault="00AE2085" w:rsidP="00B17054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Cs/>
        <w:sz w:val="28"/>
        <w:szCs w:val="28"/>
      </w:rPr>
    </w:pPr>
    <w:r w:rsidRPr="002D239B">
      <w:rPr>
        <w:rFonts w:ascii="Arial" w:hAnsi="Arial"/>
        <w:bCs/>
        <w:sz w:val="28"/>
        <w:szCs w:val="28"/>
      </w:rPr>
      <w:t>(ЮНЕСКО)</w:t>
    </w:r>
  </w:p>
  <w:p w14:paraId="4872ECD5" w14:textId="77777777" w:rsidR="00AE2085" w:rsidRPr="001C5703" w:rsidRDefault="00AE2085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 w:val="22"/>
        <w:szCs w:val="22"/>
      </w:rPr>
    </w:pPr>
  </w:p>
  <w:p w14:paraId="7BF4961F" w14:textId="6379F32C" w:rsidR="00AE2085" w:rsidRPr="001C5703" w:rsidRDefault="00AE2085" w:rsidP="00B17054">
    <w:pPr>
      <w:tabs>
        <w:tab w:val="left" w:pos="-1440"/>
        <w:tab w:val="left" w:pos="-72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Пятьдесят пятая сессия Исполнительного совета</w:t>
    </w:r>
  </w:p>
  <w:p w14:paraId="71300EEE" w14:textId="3170380F" w:rsidR="00AE2085" w:rsidRPr="001C5703" w:rsidRDefault="00AE2085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/>
        <w:bCs/>
        <w:sz w:val="22"/>
        <w:szCs w:val="22"/>
      </w:rPr>
      <w:t>ЮНЕСКО, Париж, 14-17 июня 2022 г.</w:t>
    </w:r>
  </w:p>
  <w:p w14:paraId="5BB9C169" w14:textId="77777777" w:rsidR="00AE2085" w:rsidRPr="004714B9" w:rsidRDefault="00AE2085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  <w:sz w:val="22"/>
        <w:szCs w:val="22"/>
      </w:rPr>
    </w:pPr>
  </w:p>
  <w:p w14:paraId="003DCA37" w14:textId="77777777" w:rsidR="00AE2085" w:rsidRPr="004714B9" w:rsidRDefault="00AE2085" w:rsidP="00B17054">
    <w:pPr>
      <w:jc w:val="center"/>
      <w:rPr>
        <w:rFonts w:cs="Arial"/>
        <w:sz w:val="22"/>
        <w:szCs w:val="22"/>
      </w:rPr>
    </w:pPr>
  </w:p>
  <w:p w14:paraId="4AE80372" w14:textId="3E96AA22" w:rsidR="00AE2085" w:rsidRPr="001C5703" w:rsidRDefault="00AE2085" w:rsidP="00FA68D9">
    <w:pPr>
      <w:keepNext/>
      <w:widowControl w:val="0"/>
      <w:tabs>
        <w:tab w:val="right" w:pos="9540"/>
      </w:tabs>
      <w:adjustRightInd w:val="0"/>
      <w:jc w:val="both"/>
      <w:textAlignment w:val="baseline"/>
      <w:outlineLvl w:val="6"/>
      <w:rPr>
        <w:rFonts w:ascii="Arial" w:eastAsia="Times New Roman" w:hAnsi="Arial" w:cs="Arial"/>
        <w:sz w:val="22"/>
        <w:szCs w:val="22"/>
      </w:rPr>
    </w:pPr>
    <w:r>
      <w:rPr>
        <w:rFonts w:ascii="Arial" w:hAnsi="Arial"/>
        <w:sz w:val="22"/>
        <w:szCs w:val="22"/>
        <w:u w:val="single"/>
      </w:rPr>
      <w:t xml:space="preserve">Пункт </w:t>
    </w:r>
    <w:r>
      <w:rPr>
        <w:rFonts w:ascii="Arial" w:hAnsi="Arial"/>
        <w:b/>
        <w:sz w:val="22"/>
        <w:szCs w:val="22"/>
        <w:u w:val="single"/>
      </w:rPr>
      <w:t>5.1</w:t>
    </w:r>
    <w:r>
      <w:rPr>
        <w:rFonts w:ascii="Arial" w:hAnsi="Arial"/>
        <w:sz w:val="22"/>
        <w:szCs w:val="22"/>
        <w:u w:val="single"/>
      </w:rPr>
      <w:t xml:space="preserve"> предварительной повестки дня</w:t>
    </w:r>
  </w:p>
  <w:p w14:paraId="5283A965" w14:textId="13B85A04" w:rsidR="00AE2085" w:rsidRPr="004714B9" w:rsidRDefault="00AE2085" w:rsidP="00FA68D9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rPr>
        <w:rFonts w:ascii="Arial" w:hAnsi="Arial" w:cs="Arial"/>
        <w:b/>
        <w:bCs/>
        <w:caps/>
        <w:sz w:val="22"/>
        <w:szCs w:val="22"/>
      </w:rPr>
    </w:pPr>
  </w:p>
  <w:p w14:paraId="022DE9AE" w14:textId="77777777" w:rsidR="001C5703" w:rsidRPr="004714B9" w:rsidRDefault="001C5703" w:rsidP="00BB15F8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bCs/>
        <w:caps/>
        <w:sz w:val="22"/>
        <w:szCs w:val="22"/>
      </w:rPr>
    </w:pPr>
  </w:p>
  <w:p w14:paraId="618DB2D5" w14:textId="77777777" w:rsidR="001C5703" w:rsidRPr="004714B9" w:rsidRDefault="001C5703" w:rsidP="00BB15F8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bCs/>
        <w:caps/>
        <w:sz w:val="22"/>
        <w:szCs w:val="22"/>
      </w:rPr>
    </w:pPr>
  </w:p>
  <w:p w14:paraId="74A2B30A" w14:textId="79381C2F" w:rsidR="006B18B7" w:rsidRPr="002D239B" w:rsidRDefault="006B18B7" w:rsidP="006B18B7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bCs/>
        <w:caps/>
        <w:sz w:val="28"/>
        <w:szCs w:val="28"/>
      </w:rPr>
    </w:pPr>
    <w:r w:rsidRPr="002D239B">
      <w:rPr>
        <w:rFonts w:ascii="Arial" w:hAnsi="Arial"/>
        <w:b/>
        <w:bCs/>
        <w:caps/>
        <w:sz w:val="28"/>
        <w:szCs w:val="28"/>
      </w:rPr>
      <w:t>Д</w:t>
    </w:r>
    <w:r w:rsidR="002D239B" w:rsidRPr="002D239B">
      <w:rPr>
        <w:rFonts w:ascii="Arial" w:hAnsi="Arial"/>
        <w:b/>
        <w:bCs/>
        <w:sz w:val="28"/>
        <w:szCs w:val="28"/>
      </w:rPr>
      <w:t xml:space="preserve">оклад председателя </w:t>
    </w:r>
    <w:r w:rsidRPr="002D239B">
      <w:rPr>
        <w:rFonts w:ascii="Arial" w:hAnsi="Arial"/>
        <w:b/>
        <w:bCs/>
        <w:caps/>
        <w:sz w:val="28"/>
        <w:szCs w:val="28"/>
      </w:rPr>
      <w:t>М</w:t>
    </w:r>
    <w:r w:rsidR="002D239B" w:rsidRPr="002D239B">
      <w:rPr>
        <w:rFonts w:ascii="Arial" w:hAnsi="Arial"/>
        <w:b/>
        <w:bCs/>
        <w:sz w:val="28"/>
        <w:szCs w:val="28"/>
      </w:rPr>
      <w:t>ежсессионной финансовой</w:t>
    </w:r>
    <w:r w:rsidR="002D239B">
      <w:rPr>
        <w:rFonts w:ascii="Arial" w:hAnsi="Arial"/>
        <w:b/>
        <w:bCs/>
        <w:sz w:val="28"/>
        <w:szCs w:val="28"/>
      </w:rPr>
      <w:br/>
    </w:r>
    <w:r w:rsidR="002D239B" w:rsidRPr="002D239B">
      <w:rPr>
        <w:rFonts w:ascii="Arial" w:hAnsi="Arial"/>
        <w:b/>
        <w:bCs/>
        <w:sz w:val="28"/>
        <w:szCs w:val="28"/>
      </w:rPr>
      <w:t>консультативной группы</w:t>
    </w:r>
  </w:p>
  <w:p w14:paraId="20BB8D82" w14:textId="211A4801" w:rsidR="006B18B7" w:rsidRPr="00FA3507" w:rsidRDefault="006D43E7" w:rsidP="006B18B7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bCs/>
        <w:caps/>
      </w:rPr>
    </w:pPr>
    <w:r>
      <w:rPr>
        <w:rFonts w:ascii="Arial" w:hAnsi="Arial"/>
        <w:b/>
      </w:rPr>
      <w:br/>
      <w:t>(Межсессионный период: декабрь 2021 г. – июнь 2022 г.)</w:t>
    </w:r>
  </w:p>
  <w:p w14:paraId="12B25AD8" w14:textId="77777777" w:rsidR="00AE2085" w:rsidRPr="004714B9" w:rsidRDefault="00AE2085" w:rsidP="00FA68D9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rPr>
        <w:rFonts w:cs="Arial"/>
        <w:bCs/>
        <w:sz w:val="22"/>
        <w:szCs w:val="22"/>
      </w:rPr>
    </w:pPr>
  </w:p>
  <w:p w14:paraId="5F53C7C4" w14:textId="77777777" w:rsidR="00AE2085" w:rsidRPr="004714B9" w:rsidRDefault="00AE2085" w:rsidP="00B1705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7E48FC"/>
    <w:lvl w:ilvl="0">
      <w:start w:val="1"/>
      <w:numFmt w:val="lowerRoman"/>
      <w:pStyle w:val="Listnumbered"/>
      <w:lvlText w:val="(%1)"/>
      <w:lvlJc w:val="left"/>
      <w:pPr>
        <w:tabs>
          <w:tab w:val="num" w:pos="1021"/>
        </w:tabs>
        <w:ind w:left="1021" w:hanging="454"/>
      </w:pPr>
      <w:rPr>
        <w:rFonts w:hint="default"/>
      </w:rPr>
    </w:lvl>
  </w:abstractNum>
  <w:abstractNum w:abstractNumId="1" w15:restartNumberingAfterBreak="0">
    <w:nsid w:val="030F172E"/>
    <w:multiLevelType w:val="hybridMultilevel"/>
    <w:tmpl w:val="FC84EE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634F"/>
    <w:multiLevelType w:val="hybridMultilevel"/>
    <w:tmpl w:val="3E687FA6"/>
    <w:lvl w:ilvl="0" w:tplc="6A48E2BE">
      <w:start w:val="1"/>
      <w:numFmt w:val="decimal"/>
      <w:pStyle w:val="ParaCOI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A513E"/>
    <w:multiLevelType w:val="hybridMultilevel"/>
    <w:tmpl w:val="E97E1C0A"/>
    <w:lvl w:ilvl="0" w:tplc="BB487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263AC"/>
    <w:multiLevelType w:val="hybridMultilevel"/>
    <w:tmpl w:val="2506A2EE"/>
    <w:lvl w:ilvl="0" w:tplc="5410399A">
      <w:start w:val="1"/>
      <w:numFmt w:val="bullet"/>
      <w:pStyle w:val="ListBullet2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D2652"/>
    <w:multiLevelType w:val="hybridMultilevel"/>
    <w:tmpl w:val="B8E4A65A"/>
    <w:lvl w:ilvl="0" w:tplc="62AA797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900789"/>
    <w:multiLevelType w:val="hybridMultilevel"/>
    <w:tmpl w:val="BAF29046"/>
    <w:lvl w:ilvl="0" w:tplc="55F4CEC8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E4189A"/>
    <w:multiLevelType w:val="hybridMultilevel"/>
    <w:tmpl w:val="0A2A62A8"/>
    <w:lvl w:ilvl="0" w:tplc="D4BAA45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772B2"/>
    <w:multiLevelType w:val="hybridMultilevel"/>
    <w:tmpl w:val="FF8887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D735A"/>
    <w:multiLevelType w:val="hybridMultilevel"/>
    <w:tmpl w:val="8FE4C96A"/>
    <w:lvl w:ilvl="0" w:tplc="BFBE583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94513"/>
    <w:multiLevelType w:val="hybridMultilevel"/>
    <w:tmpl w:val="3F168D6C"/>
    <w:lvl w:ilvl="0" w:tplc="B4163634">
      <w:start w:val="1"/>
      <w:numFmt w:val="bullet"/>
      <w:lvlText w:val="-"/>
      <w:lvlJc w:val="left"/>
      <w:pPr>
        <w:ind w:left="1211" w:hanging="360"/>
      </w:pPr>
      <w:rPr>
        <w:rFonts w:ascii="Walbaum Display Light" w:hAnsi="Walbaum Display Light" w:hint="default"/>
        <w:i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1931" w:hanging="360"/>
      </w:pPr>
    </w:lvl>
    <w:lvl w:ilvl="2" w:tplc="040C001B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4534464"/>
    <w:multiLevelType w:val="hybridMultilevel"/>
    <w:tmpl w:val="C28C0C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A0ECE"/>
    <w:multiLevelType w:val="hybridMultilevel"/>
    <w:tmpl w:val="DBC2431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B57F5"/>
    <w:multiLevelType w:val="hybridMultilevel"/>
    <w:tmpl w:val="69A41796"/>
    <w:lvl w:ilvl="0" w:tplc="B76C1B9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825B9"/>
    <w:multiLevelType w:val="hybridMultilevel"/>
    <w:tmpl w:val="6E2C0D1E"/>
    <w:lvl w:ilvl="0" w:tplc="9320CC54">
      <w:start w:val="1"/>
      <w:numFmt w:val="decimal"/>
      <w:lvlText w:val="%1."/>
      <w:lvlJc w:val="left"/>
      <w:pPr>
        <w:ind w:left="563" w:hanging="441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</w:rPr>
    </w:lvl>
    <w:lvl w:ilvl="1" w:tplc="35266EB0">
      <w:numFmt w:val="bullet"/>
      <w:lvlText w:val="•"/>
      <w:lvlJc w:val="left"/>
      <w:pPr>
        <w:ind w:left="1272" w:hanging="441"/>
      </w:pPr>
      <w:rPr>
        <w:rFonts w:hint="default"/>
      </w:rPr>
    </w:lvl>
    <w:lvl w:ilvl="2" w:tplc="DE8C1D48">
      <w:numFmt w:val="bullet"/>
      <w:lvlText w:val="•"/>
      <w:lvlJc w:val="left"/>
      <w:pPr>
        <w:ind w:left="1984" w:hanging="441"/>
      </w:pPr>
      <w:rPr>
        <w:rFonts w:hint="default"/>
      </w:rPr>
    </w:lvl>
    <w:lvl w:ilvl="3" w:tplc="9640A292">
      <w:numFmt w:val="bullet"/>
      <w:lvlText w:val="•"/>
      <w:lvlJc w:val="left"/>
      <w:pPr>
        <w:ind w:left="2696" w:hanging="441"/>
      </w:pPr>
      <w:rPr>
        <w:rFonts w:hint="default"/>
      </w:rPr>
    </w:lvl>
    <w:lvl w:ilvl="4" w:tplc="5672D22C">
      <w:numFmt w:val="bullet"/>
      <w:lvlText w:val="•"/>
      <w:lvlJc w:val="left"/>
      <w:pPr>
        <w:ind w:left="3408" w:hanging="441"/>
      </w:pPr>
      <w:rPr>
        <w:rFonts w:hint="default"/>
      </w:rPr>
    </w:lvl>
    <w:lvl w:ilvl="5" w:tplc="9E1C2B98">
      <w:numFmt w:val="bullet"/>
      <w:lvlText w:val="•"/>
      <w:lvlJc w:val="left"/>
      <w:pPr>
        <w:ind w:left="4120" w:hanging="441"/>
      </w:pPr>
      <w:rPr>
        <w:rFonts w:hint="default"/>
      </w:rPr>
    </w:lvl>
    <w:lvl w:ilvl="6" w:tplc="C792E872">
      <w:numFmt w:val="bullet"/>
      <w:lvlText w:val="•"/>
      <w:lvlJc w:val="left"/>
      <w:pPr>
        <w:ind w:left="4832" w:hanging="441"/>
      </w:pPr>
      <w:rPr>
        <w:rFonts w:hint="default"/>
      </w:rPr>
    </w:lvl>
    <w:lvl w:ilvl="7" w:tplc="18586436">
      <w:numFmt w:val="bullet"/>
      <w:lvlText w:val="•"/>
      <w:lvlJc w:val="left"/>
      <w:pPr>
        <w:ind w:left="5544" w:hanging="441"/>
      </w:pPr>
      <w:rPr>
        <w:rFonts w:hint="default"/>
      </w:rPr>
    </w:lvl>
    <w:lvl w:ilvl="8" w:tplc="D492668C">
      <w:numFmt w:val="bullet"/>
      <w:lvlText w:val="•"/>
      <w:lvlJc w:val="left"/>
      <w:pPr>
        <w:ind w:left="6256" w:hanging="441"/>
      </w:pPr>
      <w:rPr>
        <w:rFonts w:hint="default"/>
      </w:rPr>
    </w:lvl>
  </w:abstractNum>
  <w:abstractNum w:abstractNumId="15" w15:restartNumberingAfterBreak="0">
    <w:nsid w:val="339102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B14D83"/>
    <w:multiLevelType w:val="singleLevel"/>
    <w:tmpl w:val="927E70FE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17" w15:restartNumberingAfterBreak="0">
    <w:nsid w:val="346E1C6B"/>
    <w:multiLevelType w:val="multilevel"/>
    <w:tmpl w:val="908245F4"/>
    <w:lvl w:ilvl="0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8" w15:restartNumberingAfterBreak="0">
    <w:nsid w:val="50062B8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92646EE"/>
    <w:multiLevelType w:val="hybridMultilevel"/>
    <w:tmpl w:val="7EB0BD6A"/>
    <w:lvl w:ilvl="0" w:tplc="42A4FC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D294C"/>
    <w:multiLevelType w:val="hybridMultilevel"/>
    <w:tmpl w:val="062066E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E32CA9"/>
    <w:multiLevelType w:val="hybridMultilevel"/>
    <w:tmpl w:val="50843CD0"/>
    <w:lvl w:ilvl="0" w:tplc="05E2F3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3F5B97"/>
    <w:multiLevelType w:val="multilevel"/>
    <w:tmpl w:val="E49E002A"/>
    <w:lvl w:ilvl="0">
      <w:start w:val="1"/>
      <w:numFmt w:val="decimal"/>
      <w:pStyle w:val="decis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5455D9"/>
    <w:multiLevelType w:val="hybridMultilevel"/>
    <w:tmpl w:val="BD4A63B8"/>
    <w:lvl w:ilvl="0" w:tplc="091CDE1E">
      <w:start w:val="1"/>
      <w:numFmt w:val="decimal"/>
      <w:lvlText w:val="%1."/>
      <w:lvlJc w:val="left"/>
      <w:pPr>
        <w:ind w:left="477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5490" w:hanging="360"/>
      </w:pPr>
    </w:lvl>
    <w:lvl w:ilvl="2" w:tplc="0409001B" w:tentative="1">
      <w:start w:val="1"/>
      <w:numFmt w:val="lowerRoman"/>
      <w:lvlText w:val="%3."/>
      <w:lvlJc w:val="right"/>
      <w:pPr>
        <w:ind w:left="6210" w:hanging="180"/>
      </w:pPr>
    </w:lvl>
    <w:lvl w:ilvl="3" w:tplc="0409000F" w:tentative="1">
      <w:start w:val="1"/>
      <w:numFmt w:val="decimal"/>
      <w:lvlText w:val="%4."/>
      <w:lvlJc w:val="left"/>
      <w:pPr>
        <w:ind w:left="6930" w:hanging="360"/>
      </w:pPr>
    </w:lvl>
    <w:lvl w:ilvl="4" w:tplc="04090019" w:tentative="1">
      <w:start w:val="1"/>
      <w:numFmt w:val="lowerLetter"/>
      <w:lvlText w:val="%5."/>
      <w:lvlJc w:val="left"/>
      <w:pPr>
        <w:ind w:left="7650" w:hanging="360"/>
      </w:pPr>
    </w:lvl>
    <w:lvl w:ilvl="5" w:tplc="0409001B" w:tentative="1">
      <w:start w:val="1"/>
      <w:numFmt w:val="lowerRoman"/>
      <w:lvlText w:val="%6."/>
      <w:lvlJc w:val="right"/>
      <w:pPr>
        <w:ind w:left="8370" w:hanging="180"/>
      </w:pPr>
    </w:lvl>
    <w:lvl w:ilvl="6" w:tplc="0409000F" w:tentative="1">
      <w:start w:val="1"/>
      <w:numFmt w:val="decimal"/>
      <w:lvlText w:val="%7."/>
      <w:lvlJc w:val="left"/>
      <w:pPr>
        <w:ind w:left="9090" w:hanging="360"/>
      </w:pPr>
    </w:lvl>
    <w:lvl w:ilvl="7" w:tplc="04090019" w:tentative="1">
      <w:start w:val="1"/>
      <w:numFmt w:val="lowerLetter"/>
      <w:lvlText w:val="%8."/>
      <w:lvlJc w:val="left"/>
      <w:pPr>
        <w:ind w:left="9810" w:hanging="360"/>
      </w:pPr>
    </w:lvl>
    <w:lvl w:ilvl="8" w:tplc="0409001B" w:tentative="1">
      <w:start w:val="1"/>
      <w:numFmt w:val="lowerRoman"/>
      <w:lvlText w:val="%9."/>
      <w:lvlJc w:val="right"/>
      <w:pPr>
        <w:ind w:left="10530" w:hanging="180"/>
      </w:pPr>
    </w:lvl>
  </w:abstractNum>
  <w:abstractNum w:abstractNumId="24" w15:restartNumberingAfterBreak="0">
    <w:nsid w:val="774B4E7C"/>
    <w:multiLevelType w:val="hybridMultilevel"/>
    <w:tmpl w:val="DB10B0C0"/>
    <w:lvl w:ilvl="0" w:tplc="522267D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5" w15:restartNumberingAfterBreak="0">
    <w:nsid w:val="7A8C16CF"/>
    <w:multiLevelType w:val="hybridMultilevel"/>
    <w:tmpl w:val="77EE77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16"/>
  </w:num>
  <w:num w:numId="11">
    <w:abstractNumId w:val="24"/>
  </w:num>
  <w:num w:numId="12">
    <w:abstractNumId w:val="16"/>
  </w:num>
  <w:num w:numId="13">
    <w:abstractNumId w:val="13"/>
  </w:num>
  <w:num w:numId="14">
    <w:abstractNumId w:val="17"/>
  </w:num>
  <w:num w:numId="15">
    <w:abstractNumId w:val="7"/>
  </w:num>
  <w:num w:numId="16">
    <w:abstractNumId w:val="18"/>
  </w:num>
  <w:num w:numId="17">
    <w:abstractNumId w:val="15"/>
  </w:num>
  <w:num w:numId="18">
    <w:abstractNumId w:val="6"/>
  </w:num>
  <w:num w:numId="19">
    <w:abstractNumId w:val="20"/>
  </w:num>
  <w:num w:numId="20">
    <w:abstractNumId w:val="21"/>
  </w:num>
  <w:num w:numId="21">
    <w:abstractNumId w:val="3"/>
  </w:num>
  <w:num w:numId="22">
    <w:abstractNumId w:val="1"/>
  </w:num>
  <w:num w:numId="23">
    <w:abstractNumId w:val="0"/>
  </w:num>
  <w:num w:numId="24">
    <w:abstractNumId w:val="4"/>
  </w:num>
  <w:num w:numId="25">
    <w:abstractNumId w:val="5"/>
  </w:num>
  <w:num w:numId="26">
    <w:abstractNumId w:val="2"/>
  </w:num>
  <w:num w:numId="27">
    <w:abstractNumId w:val="22"/>
  </w:num>
  <w:num w:numId="28">
    <w:abstractNumId w:val="23"/>
  </w:num>
  <w:num w:numId="29">
    <w:abstractNumId w:val="12"/>
  </w:num>
  <w:num w:numId="30">
    <w:abstractNumId w:val="9"/>
  </w:num>
  <w:num w:numId="31">
    <w:abstractNumId w:val="14"/>
  </w:num>
  <w:num w:numId="32">
    <w:abstractNumId w:val="10"/>
  </w:num>
  <w:num w:numId="33">
    <w:abstractNumId w:val="25"/>
  </w:num>
  <w:num w:numId="34">
    <w:abstractNumId w:val="11"/>
  </w:num>
  <w:num w:numId="35">
    <w:abstractNumId w:val="8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0" w:nlCheck="1" w:checkStyle="0"/>
  <w:activeWritingStyle w:appName="MSWord" w:lang="es-AR" w:vendorID="64" w:dllVersion="6" w:nlCheck="1" w:checkStyle="0"/>
  <w:activeWritingStyle w:appName="MSWord" w:lang="pt-PT" w:vendorID="64" w:dllVersion="0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doNotHyphenateCaps/>
  <w:evenAndOddHeaders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754"/>
    <w:rsid w:val="00001799"/>
    <w:rsid w:val="000031EF"/>
    <w:rsid w:val="00004725"/>
    <w:rsid w:val="000055C3"/>
    <w:rsid w:val="00006C25"/>
    <w:rsid w:val="00010B89"/>
    <w:rsid w:val="000118CD"/>
    <w:rsid w:val="00013390"/>
    <w:rsid w:val="00017E4B"/>
    <w:rsid w:val="00025A88"/>
    <w:rsid w:val="00026782"/>
    <w:rsid w:val="00027122"/>
    <w:rsid w:val="000319A1"/>
    <w:rsid w:val="00032C8E"/>
    <w:rsid w:val="00033544"/>
    <w:rsid w:val="00034C53"/>
    <w:rsid w:val="00034C70"/>
    <w:rsid w:val="000431C5"/>
    <w:rsid w:val="000445B8"/>
    <w:rsid w:val="0004582F"/>
    <w:rsid w:val="00060399"/>
    <w:rsid w:val="00060718"/>
    <w:rsid w:val="000658F2"/>
    <w:rsid w:val="00065DEB"/>
    <w:rsid w:val="0006619A"/>
    <w:rsid w:val="0006675E"/>
    <w:rsid w:val="00067004"/>
    <w:rsid w:val="00067E0B"/>
    <w:rsid w:val="000719A5"/>
    <w:rsid w:val="000748A0"/>
    <w:rsid w:val="00075DC0"/>
    <w:rsid w:val="00080B76"/>
    <w:rsid w:val="00080CDD"/>
    <w:rsid w:val="00081592"/>
    <w:rsid w:val="000816BD"/>
    <w:rsid w:val="00082162"/>
    <w:rsid w:val="0008285A"/>
    <w:rsid w:val="00083369"/>
    <w:rsid w:val="0008382D"/>
    <w:rsid w:val="00085FE9"/>
    <w:rsid w:val="00086071"/>
    <w:rsid w:val="00090675"/>
    <w:rsid w:val="0009246D"/>
    <w:rsid w:val="0009256F"/>
    <w:rsid w:val="00097CDF"/>
    <w:rsid w:val="000A569C"/>
    <w:rsid w:val="000A6D08"/>
    <w:rsid w:val="000B1B44"/>
    <w:rsid w:val="000B40F3"/>
    <w:rsid w:val="000C3738"/>
    <w:rsid w:val="000C3BB5"/>
    <w:rsid w:val="000D6EB3"/>
    <w:rsid w:val="000D719C"/>
    <w:rsid w:val="000E0533"/>
    <w:rsid w:val="000E188E"/>
    <w:rsid w:val="000E55FB"/>
    <w:rsid w:val="000E759E"/>
    <w:rsid w:val="000E7E22"/>
    <w:rsid w:val="000F4768"/>
    <w:rsid w:val="000F4DDB"/>
    <w:rsid w:val="000F7203"/>
    <w:rsid w:val="000F78B3"/>
    <w:rsid w:val="001002FF"/>
    <w:rsid w:val="001026BE"/>
    <w:rsid w:val="00104894"/>
    <w:rsid w:val="00104EE2"/>
    <w:rsid w:val="001056F8"/>
    <w:rsid w:val="00105E15"/>
    <w:rsid w:val="00105EA4"/>
    <w:rsid w:val="00110568"/>
    <w:rsid w:val="00110D3A"/>
    <w:rsid w:val="00113F97"/>
    <w:rsid w:val="0012374E"/>
    <w:rsid w:val="00123F7E"/>
    <w:rsid w:val="00127B21"/>
    <w:rsid w:val="00131529"/>
    <w:rsid w:val="0013238B"/>
    <w:rsid w:val="00134711"/>
    <w:rsid w:val="00135717"/>
    <w:rsid w:val="0013649D"/>
    <w:rsid w:val="00143B1A"/>
    <w:rsid w:val="0014529C"/>
    <w:rsid w:val="0015046B"/>
    <w:rsid w:val="001524A3"/>
    <w:rsid w:val="0015561D"/>
    <w:rsid w:val="001579AB"/>
    <w:rsid w:val="00160284"/>
    <w:rsid w:val="001646D8"/>
    <w:rsid w:val="0016592F"/>
    <w:rsid w:val="001659AA"/>
    <w:rsid w:val="00165CBD"/>
    <w:rsid w:val="0017022A"/>
    <w:rsid w:val="0017169B"/>
    <w:rsid w:val="001766F9"/>
    <w:rsid w:val="00181F98"/>
    <w:rsid w:val="00182096"/>
    <w:rsid w:val="0018253D"/>
    <w:rsid w:val="00183FEA"/>
    <w:rsid w:val="00185B54"/>
    <w:rsid w:val="00185D28"/>
    <w:rsid w:val="0019010A"/>
    <w:rsid w:val="00192400"/>
    <w:rsid w:val="001A033E"/>
    <w:rsid w:val="001A071C"/>
    <w:rsid w:val="001A2943"/>
    <w:rsid w:val="001A6261"/>
    <w:rsid w:val="001A6DDA"/>
    <w:rsid w:val="001A73F8"/>
    <w:rsid w:val="001B2807"/>
    <w:rsid w:val="001B5075"/>
    <w:rsid w:val="001B64AC"/>
    <w:rsid w:val="001C18CF"/>
    <w:rsid w:val="001C20FE"/>
    <w:rsid w:val="001C4F30"/>
    <w:rsid w:val="001C5703"/>
    <w:rsid w:val="001C6221"/>
    <w:rsid w:val="001C6842"/>
    <w:rsid w:val="001C6D83"/>
    <w:rsid w:val="001D11E8"/>
    <w:rsid w:val="001D69B3"/>
    <w:rsid w:val="001E441E"/>
    <w:rsid w:val="001E5FF2"/>
    <w:rsid w:val="001F65B3"/>
    <w:rsid w:val="001F65D5"/>
    <w:rsid w:val="001F6CF5"/>
    <w:rsid w:val="001F7EF6"/>
    <w:rsid w:val="00200519"/>
    <w:rsid w:val="0020169B"/>
    <w:rsid w:val="00203E48"/>
    <w:rsid w:val="0020573A"/>
    <w:rsid w:val="00207581"/>
    <w:rsid w:val="00215B28"/>
    <w:rsid w:val="00216228"/>
    <w:rsid w:val="00225B52"/>
    <w:rsid w:val="00231994"/>
    <w:rsid w:val="00232596"/>
    <w:rsid w:val="00232FAE"/>
    <w:rsid w:val="0023308D"/>
    <w:rsid w:val="00237FCC"/>
    <w:rsid w:val="00243536"/>
    <w:rsid w:val="00255764"/>
    <w:rsid w:val="002571D5"/>
    <w:rsid w:val="00257562"/>
    <w:rsid w:val="00257884"/>
    <w:rsid w:val="0026233A"/>
    <w:rsid w:val="00264CE4"/>
    <w:rsid w:val="00265C91"/>
    <w:rsid w:val="00265E4E"/>
    <w:rsid w:val="0027043E"/>
    <w:rsid w:val="00272866"/>
    <w:rsid w:val="00273C68"/>
    <w:rsid w:val="00274D0A"/>
    <w:rsid w:val="0028078A"/>
    <w:rsid w:val="00282456"/>
    <w:rsid w:val="00282FBC"/>
    <w:rsid w:val="00283B06"/>
    <w:rsid w:val="00286B3B"/>
    <w:rsid w:val="002A05D9"/>
    <w:rsid w:val="002A3541"/>
    <w:rsid w:val="002A3623"/>
    <w:rsid w:val="002A364B"/>
    <w:rsid w:val="002A3D8C"/>
    <w:rsid w:val="002B0438"/>
    <w:rsid w:val="002B0B65"/>
    <w:rsid w:val="002B2FB7"/>
    <w:rsid w:val="002B58F5"/>
    <w:rsid w:val="002B70D5"/>
    <w:rsid w:val="002C44BD"/>
    <w:rsid w:val="002C6A49"/>
    <w:rsid w:val="002D2062"/>
    <w:rsid w:val="002D239B"/>
    <w:rsid w:val="002D41F6"/>
    <w:rsid w:val="002D4B35"/>
    <w:rsid w:val="002E0A07"/>
    <w:rsid w:val="002E3B10"/>
    <w:rsid w:val="002E524A"/>
    <w:rsid w:val="002E558B"/>
    <w:rsid w:val="002E6FCC"/>
    <w:rsid w:val="002F0EB7"/>
    <w:rsid w:val="002F11B4"/>
    <w:rsid w:val="002F2691"/>
    <w:rsid w:val="002F27AC"/>
    <w:rsid w:val="002F335A"/>
    <w:rsid w:val="002F37FA"/>
    <w:rsid w:val="002F53C8"/>
    <w:rsid w:val="002F577C"/>
    <w:rsid w:val="002F58A0"/>
    <w:rsid w:val="002F6710"/>
    <w:rsid w:val="00304613"/>
    <w:rsid w:val="00306797"/>
    <w:rsid w:val="003118C0"/>
    <w:rsid w:val="00313AB1"/>
    <w:rsid w:val="00314406"/>
    <w:rsid w:val="00315268"/>
    <w:rsid w:val="00317A57"/>
    <w:rsid w:val="00320986"/>
    <w:rsid w:val="00321055"/>
    <w:rsid w:val="00322E7B"/>
    <w:rsid w:val="00323A23"/>
    <w:rsid w:val="00323C8D"/>
    <w:rsid w:val="00327059"/>
    <w:rsid w:val="00332421"/>
    <w:rsid w:val="00332534"/>
    <w:rsid w:val="00332785"/>
    <w:rsid w:val="0033582A"/>
    <w:rsid w:val="0033741E"/>
    <w:rsid w:val="00341FD0"/>
    <w:rsid w:val="0034392B"/>
    <w:rsid w:val="003448F2"/>
    <w:rsid w:val="00344E00"/>
    <w:rsid w:val="00352423"/>
    <w:rsid w:val="00354A10"/>
    <w:rsid w:val="00355A56"/>
    <w:rsid w:val="003563D2"/>
    <w:rsid w:val="00363AC7"/>
    <w:rsid w:val="00366C04"/>
    <w:rsid w:val="003727A0"/>
    <w:rsid w:val="003774D6"/>
    <w:rsid w:val="00382463"/>
    <w:rsid w:val="00385DCE"/>
    <w:rsid w:val="00393704"/>
    <w:rsid w:val="0039512E"/>
    <w:rsid w:val="00395A11"/>
    <w:rsid w:val="003B2CC9"/>
    <w:rsid w:val="003B3349"/>
    <w:rsid w:val="003B390E"/>
    <w:rsid w:val="003B64CB"/>
    <w:rsid w:val="003B6DA1"/>
    <w:rsid w:val="003B6ECA"/>
    <w:rsid w:val="003B6FC5"/>
    <w:rsid w:val="003C15F6"/>
    <w:rsid w:val="003C240D"/>
    <w:rsid w:val="003C27B7"/>
    <w:rsid w:val="003C309A"/>
    <w:rsid w:val="003C4A99"/>
    <w:rsid w:val="003C608A"/>
    <w:rsid w:val="003D31F1"/>
    <w:rsid w:val="003D4548"/>
    <w:rsid w:val="003D4FDB"/>
    <w:rsid w:val="003E26AB"/>
    <w:rsid w:val="003E331B"/>
    <w:rsid w:val="003E5A89"/>
    <w:rsid w:val="003E7B79"/>
    <w:rsid w:val="003F03C3"/>
    <w:rsid w:val="003F5299"/>
    <w:rsid w:val="003F74E5"/>
    <w:rsid w:val="004003E9"/>
    <w:rsid w:val="004032DB"/>
    <w:rsid w:val="00403EB2"/>
    <w:rsid w:val="004047AA"/>
    <w:rsid w:val="00404945"/>
    <w:rsid w:val="00405201"/>
    <w:rsid w:val="004118ED"/>
    <w:rsid w:val="004119A8"/>
    <w:rsid w:val="004137C7"/>
    <w:rsid w:val="00417106"/>
    <w:rsid w:val="00425E51"/>
    <w:rsid w:val="0042612F"/>
    <w:rsid w:val="00431123"/>
    <w:rsid w:val="00431696"/>
    <w:rsid w:val="00437DB1"/>
    <w:rsid w:val="00441F29"/>
    <w:rsid w:val="00441FE3"/>
    <w:rsid w:val="00450AA6"/>
    <w:rsid w:val="00452512"/>
    <w:rsid w:val="00452CFD"/>
    <w:rsid w:val="00453CE0"/>
    <w:rsid w:val="00463AB2"/>
    <w:rsid w:val="00470230"/>
    <w:rsid w:val="004714B9"/>
    <w:rsid w:val="004750C1"/>
    <w:rsid w:val="004768E8"/>
    <w:rsid w:val="00476A0C"/>
    <w:rsid w:val="00477409"/>
    <w:rsid w:val="0048119B"/>
    <w:rsid w:val="00481C77"/>
    <w:rsid w:val="00485772"/>
    <w:rsid w:val="00485AA9"/>
    <w:rsid w:val="00486080"/>
    <w:rsid w:val="0049319A"/>
    <w:rsid w:val="00494DB3"/>
    <w:rsid w:val="00495A69"/>
    <w:rsid w:val="004966AD"/>
    <w:rsid w:val="004A0A6B"/>
    <w:rsid w:val="004A0F6A"/>
    <w:rsid w:val="004B389C"/>
    <w:rsid w:val="004B3D01"/>
    <w:rsid w:val="004B5787"/>
    <w:rsid w:val="004B7754"/>
    <w:rsid w:val="004C4469"/>
    <w:rsid w:val="004C586B"/>
    <w:rsid w:val="004C6065"/>
    <w:rsid w:val="004C6FFD"/>
    <w:rsid w:val="004C78C5"/>
    <w:rsid w:val="004D4484"/>
    <w:rsid w:val="004D4CCC"/>
    <w:rsid w:val="004D5102"/>
    <w:rsid w:val="004E084D"/>
    <w:rsid w:val="004E2D89"/>
    <w:rsid w:val="004E3446"/>
    <w:rsid w:val="004E4A23"/>
    <w:rsid w:val="004E6B90"/>
    <w:rsid w:val="004F0BEC"/>
    <w:rsid w:val="004F4AC5"/>
    <w:rsid w:val="004F5686"/>
    <w:rsid w:val="00500559"/>
    <w:rsid w:val="00505E80"/>
    <w:rsid w:val="005066B5"/>
    <w:rsid w:val="00514AC0"/>
    <w:rsid w:val="00515020"/>
    <w:rsid w:val="00523B29"/>
    <w:rsid w:val="00523DF2"/>
    <w:rsid w:val="00524D94"/>
    <w:rsid w:val="00530113"/>
    <w:rsid w:val="00534733"/>
    <w:rsid w:val="0053720B"/>
    <w:rsid w:val="005462A1"/>
    <w:rsid w:val="00554688"/>
    <w:rsid w:val="00555D7F"/>
    <w:rsid w:val="00556410"/>
    <w:rsid w:val="00556709"/>
    <w:rsid w:val="005616DE"/>
    <w:rsid w:val="00561F97"/>
    <w:rsid w:val="00562F4C"/>
    <w:rsid w:val="0056655B"/>
    <w:rsid w:val="00570881"/>
    <w:rsid w:val="00572116"/>
    <w:rsid w:val="00574F2F"/>
    <w:rsid w:val="00575B63"/>
    <w:rsid w:val="00576EF7"/>
    <w:rsid w:val="005829FE"/>
    <w:rsid w:val="0058628A"/>
    <w:rsid w:val="00587822"/>
    <w:rsid w:val="005878F6"/>
    <w:rsid w:val="00593EC9"/>
    <w:rsid w:val="00596959"/>
    <w:rsid w:val="005A1B75"/>
    <w:rsid w:val="005A5334"/>
    <w:rsid w:val="005A7E87"/>
    <w:rsid w:val="005B0510"/>
    <w:rsid w:val="005B09E3"/>
    <w:rsid w:val="005B0F21"/>
    <w:rsid w:val="005B2606"/>
    <w:rsid w:val="005B6674"/>
    <w:rsid w:val="005B670F"/>
    <w:rsid w:val="005B6C1C"/>
    <w:rsid w:val="005C565B"/>
    <w:rsid w:val="005C5B67"/>
    <w:rsid w:val="005C6245"/>
    <w:rsid w:val="005C76B4"/>
    <w:rsid w:val="005D05AB"/>
    <w:rsid w:val="005D0CC4"/>
    <w:rsid w:val="005D36CA"/>
    <w:rsid w:val="005D5313"/>
    <w:rsid w:val="005D6539"/>
    <w:rsid w:val="005E21F0"/>
    <w:rsid w:val="005E2BCD"/>
    <w:rsid w:val="005E325F"/>
    <w:rsid w:val="005E4600"/>
    <w:rsid w:val="005E4C90"/>
    <w:rsid w:val="005E661A"/>
    <w:rsid w:val="005F05C2"/>
    <w:rsid w:val="005F0A67"/>
    <w:rsid w:val="005F39DB"/>
    <w:rsid w:val="005F55BE"/>
    <w:rsid w:val="005F7150"/>
    <w:rsid w:val="00600999"/>
    <w:rsid w:val="00602C02"/>
    <w:rsid w:val="0060360F"/>
    <w:rsid w:val="006122F2"/>
    <w:rsid w:val="00612A3E"/>
    <w:rsid w:val="00613F3F"/>
    <w:rsid w:val="006140DB"/>
    <w:rsid w:val="00625EE0"/>
    <w:rsid w:val="00625FE6"/>
    <w:rsid w:val="006327B2"/>
    <w:rsid w:val="006331C8"/>
    <w:rsid w:val="00637621"/>
    <w:rsid w:val="00641D3D"/>
    <w:rsid w:val="00645699"/>
    <w:rsid w:val="00646F26"/>
    <w:rsid w:val="006502B2"/>
    <w:rsid w:val="00650A87"/>
    <w:rsid w:val="00654AA1"/>
    <w:rsid w:val="00657AC1"/>
    <w:rsid w:val="00657EB5"/>
    <w:rsid w:val="006644A7"/>
    <w:rsid w:val="00666085"/>
    <w:rsid w:val="0066673A"/>
    <w:rsid w:val="0067098E"/>
    <w:rsid w:val="00671A70"/>
    <w:rsid w:val="00672A6F"/>
    <w:rsid w:val="0067544A"/>
    <w:rsid w:val="0067704F"/>
    <w:rsid w:val="00681D60"/>
    <w:rsid w:val="00682998"/>
    <w:rsid w:val="00694BEE"/>
    <w:rsid w:val="006A1ED7"/>
    <w:rsid w:val="006A2412"/>
    <w:rsid w:val="006A2C9D"/>
    <w:rsid w:val="006A3196"/>
    <w:rsid w:val="006B18B7"/>
    <w:rsid w:val="006B2331"/>
    <w:rsid w:val="006B2C23"/>
    <w:rsid w:val="006B7AA9"/>
    <w:rsid w:val="006C2500"/>
    <w:rsid w:val="006C48C7"/>
    <w:rsid w:val="006C6875"/>
    <w:rsid w:val="006C6EB1"/>
    <w:rsid w:val="006C7AE8"/>
    <w:rsid w:val="006D3C9B"/>
    <w:rsid w:val="006D43E7"/>
    <w:rsid w:val="006E0BCF"/>
    <w:rsid w:val="006E33FC"/>
    <w:rsid w:val="006E3403"/>
    <w:rsid w:val="006E3CA0"/>
    <w:rsid w:val="006E5A90"/>
    <w:rsid w:val="006F53F4"/>
    <w:rsid w:val="006F6B09"/>
    <w:rsid w:val="0070039C"/>
    <w:rsid w:val="007026E3"/>
    <w:rsid w:val="00702EB4"/>
    <w:rsid w:val="007033D9"/>
    <w:rsid w:val="00704AD8"/>
    <w:rsid w:val="00705DFD"/>
    <w:rsid w:val="007069A8"/>
    <w:rsid w:val="00713AE4"/>
    <w:rsid w:val="007156EF"/>
    <w:rsid w:val="007169AF"/>
    <w:rsid w:val="007206CD"/>
    <w:rsid w:val="00727C74"/>
    <w:rsid w:val="00727EEF"/>
    <w:rsid w:val="00731536"/>
    <w:rsid w:val="00732AF2"/>
    <w:rsid w:val="007331F8"/>
    <w:rsid w:val="00735534"/>
    <w:rsid w:val="00735E52"/>
    <w:rsid w:val="007443CA"/>
    <w:rsid w:val="00744650"/>
    <w:rsid w:val="007464AB"/>
    <w:rsid w:val="00747591"/>
    <w:rsid w:val="00750F05"/>
    <w:rsid w:val="00753668"/>
    <w:rsid w:val="00755DEA"/>
    <w:rsid w:val="00756E80"/>
    <w:rsid w:val="007577B2"/>
    <w:rsid w:val="00760C16"/>
    <w:rsid w:val="007628BE"/>
    <w:rsid w:val="00762B2E"/>
    <w:rsid w:val="00766688"/>
    <w:rsid w:val="00770033"/>
    <w:rsid w:val="00770EC7"/>
    <w:rsid w:val="00771A2C"/>
    <w:rsid w:val="00774083"/>
    <w:rsid w:val="007746A7"/>
    <w:rsid w:val="00774FDF"/>
    <w:rsid w:val="007756DF"/>
    <w:rsid w:val="00777BF8"/>
    <w:rsid w:val="00782F36"/>
    <w:rsid w:val="007869BC"/>
    <w:rsid w:val="00787155"/>
    <w:rsid w:val="00787C77"/>
    <w:rsid w:val="00790644"/>
    <w:rsid w:val="0079161F"/>
    <w:rsid w:val="00795D13"/>
    <w:rsid w:val="007A264F"/>
    <w:rsid w:val="007A4866"/>
    <w:rsid w:val="007B032D"/>
    <w:rsid w:val="007B267F"/>
    <w:rsid w:val="007B4E4D"/>
    <w:rsid w:val="007B5C46"/>
    <w:rsid w:val="007B70CA"/>
    <w:rsid w:val="007B79DB"/>
    <w:rsid w:val="007C23B2"/>
    <w:rsid w:val="007C2552"/>
    <w:rsid w:val="007C4C1D"/>
    <w:rsid w:val="007C58F2"/>
    <w:rsid w:val="007C60C1"/>
    <w:rsid w:val="007C6427"/>
    <w:rsid w:val="007D02E1"/>
    <w:rsid w:val="007D14B6"/>
    <w:rsid w:val="007D3990"/>
    <w:rsid w:val="007D4781"/>
    <w:rsid w:val="007D5C6F"/>
    <w:rsid w:val="007E27D0"/>
    <w:rsid w:val="007E331D"/>
    <w:rsid w:val="007E3BE2"/>
    <w:rsid w:val="007E6267"/>
    <w:rsid w:val="007E6585"/>
    <w:rsid w:val="007F0B67"/>
    <w:rsid w:val="007F0FB9"/>
    <w:rsid w:val="007F1A39"/>
    <w:rsid w:val="007F77F4"/>
    <w:rsid w:val="00800665"/>
    <w:rsid w:val="00806CD3"/>
    <w:rsid w:val="008074BE"/>
    <w:rsid w:val="00811963"/>
    <w:rsid w:val="0081272A"/>
    <w:rsid w:val="008148FD"/>
    <w:rsid w:val="00821ABA"/>
    <w:rsid w:val="0082240E"/>
    <w:rsid w:val="00823535"/>
    <w:rsid w:val="008242A0"/>
    <w:rsid w:val="00825797"/>
    <w:rsid w:val="0083349A"/>
    <w:rsid w:val="008334C8"/>
    <w:rsid w:val="00835997"/>
    <w:rsid w:val="00835F4D"/>
    <w:rsid w:val="008426CA"/>
    <w:rsid w:val="00843E81"/>
    <w:rsid w:val="00845462"/>
    <w:rsid w:val="00850082"/>
    <w:rsid w:val="00851937"/>
    <w:rsid w:val="00856ABB"/>
    <w:rsid w:val="008608E0"/>
    <w:rsid w:val="008613A7"/>
    <w:rsid w:val="00864ABF"/>
    <w:rsid w:val="00866274"/>
    <w:rsid w:val="00866366"/>
    <w:rsid w:val="00867B04"/>
    <w:rsid w:val="0087160D"/>
    <w:rsid w:val="00873AFD"/>
    <w:rsid w:val="00873C36"/>
    <w:rsid w:val="0087409D"/>
    <w:rsid w:val="00876067"/>
    <w:rsid w:val="00884332"/>
    <w:rsid w:val="00886AA5"/>
    <w:rsid w:val="008901AA"/>
    <w:rsid w:val="00890255"/>
    <w:rsid w:val="008913FD"/>
    <w:rsid w:val="0089179C"/>
    <w:rsid w:val="00895E0F"/>
    <w:rsid w:val="00896575"/>
    <w:rsid w:val="008967F5"/>
    <w:rsid w:val="008A05D0"/>
    <w:rsid w:val="008A0C1C"/>
    <w:rsid w:val="008A4124"/>
    <w:rsid w:val="008A6D88"/>
    <w:rsid w:val="008A7D5D"/>
    <w:rsid w:val="008B19BD"/>
    <w:rsid w:val="008B4407"/>
    <w:rsid w:val="008B544A"/>
    <w:rsid w:val="008B77EB"/>
    <w:rsid w:val="008C15AF"/>
    <w:rsid w:val="008C74FA"/>
    <w:rsid w:val="008D5C30"/>
    <w:rsid w:val="008E0DC5"/>
    <w:rsid w:val="008E280C"/>
    <w:rsid w:val="008E5F82"/>
    <w:rsid w:val="008E75D2"/>
    <w:rsid w:val="008F0135"/>
    <w:rsid w:val="008F4611"/>
    <w:rsid w:val="008F67D5"/>
    <w:rsid w:val="00900C89"/>
    <w:rsid w:val="00900FD7"/>
    <w:rsid w:val="009028D9"/>
    <w:rsid w:val="00903B13"/>
    <w:rsid w:val="00904ACB"/>
    <w:rsid w:val="00906E3C"/>
    <w:rsid w:val="00910C59"/>
    <w:rsid w:val="00911834"/>
    <w:rsid w:val="00912C72"/>
    <w:rsid w:val="0091479B"/>
    <w:rsid w:val="00920270"/>
    <w:rsid w:val="00922194"/>
    <w:rsid w:val="00923FC3"/>
    <w:rsid w:val="009258F7"/>
    <w:rsid w:val="009263CA"/>
    <w:rsid w:val="00926737"/>
    <w:rsid w:val="009278CB"/>
    <w:rsid w:val="0093392C"/>
    <w:rsid w:val="009346F3"/>
    <w:rsid w:val="00935F8E"/>
    <w:rsid w:val="00940BCB"/>
    <w:rsid w:val="00941FC7"/>
    <w:rsid w:val="00942E2B"/>
    <w:rsid w:val="0094308D"/>
    <w:rsid w:val="009453E9"/>
    <w:rsid w:val="00945D12"/>
    <w:rsid w:val="00952B4D"/>
    <w:rsid w:val="009531A0"/>
    <w:rsid w:val="009533B4"/>
    <w:rsid w:val="00953F37"/>
    <w:rsid w:val="00957CB2"/>
    <w:rsid w:val="0096155D"/>
    <w:rsid w:val="0096678C"/>
    <w:rsid w:val="00967E0F"/>
    <w:rsid w:val="00970D2E"/>
    <w:rsid w:val="0097327C"/>
    <w:rsid w:val="009736C0"/>
    <w:rsid w:val="0097668F"/>
    <w:rsid w:val="0098096C"/>
    <w:rsid w:val="00980AA0"/>
    <w:rsid w:val="00981A92"/>
    <w:rsid w:val="009827C6"/>
    <w:rsid w:val="009832EB"/>
    <w:rsid w:val="0098465E"/>
    <w:rsid w:val="00985E78"/>
    <w:rsid w:val="0098794B"/>
    <w:rsid w:val="009905D6"/>
    <w:rsid w:val="0099674A"/>
    <w:rsid w:val="009A03DB"/>
    <w:rsid w:val="009A0B03"/>
    <w:rsid w:val="009A1DDC"/>
    <w:rsid w:val="009A6B84"/>
    <w:rsid w:val="009A7F76"/>
    <w:rsid w:val="009B2FB5"/>
    <w:rsid w:val="009B33B9"/>
    <w:rsid w:val="009B4B8B"/>
    <w:rsid w:val="009B7ED9"/>
    <w:rsid w:val="009C32D0"/>
    <w:rsid w:val="009C50BC"/>
    <w:rsid w:val="009C5BA0"/>
    <w:rsid w:val="009D460D"/>
    <w:rsid w:val="009E05CD"/>
    <w:rsid w:val="009E4F85"/>
    <w:rsid w:val="009E511B"/>
    <w:rsid w:val="009E51C9"/>
    <w:rsid w:val="009F1EFE"/>
    <w:rsid w:val="009F2CE4"/>
    <w:rsid w:val="009F42E1"/>
    <w:rsid w:val="009F49EA"/>
    <w:rsid w:val="009F5659"/>
    <w:rsid w:val="009F66B1"/>
    <w:rsid w:val="00A02887"/>
    <w:rsid w:val="00A02E57"/>
    <w:rsid w:val="00A057C4"/>
    <w:rsid w:val="00A05A4D"/>
    <w:rsid w:val="00A05AB4"/>
    <w:rsid w:val="00A070D7"/>
    <w:rsid w:val="00A12058"/>
    <w:rsid w:val="00A12E09"/>
    <w:rsid w:val="00A136A4"/>
    <w:rsid w:val="00A25EB2"/>
    <w:rsid w:val="00A265E3"/>
    <w:rsid w:val="00A30AC2"/>
    <w:rsid w:val="00A3412C"/>
    <w:rsid w:val="00A403AD"/>
    <w:rsid w:val="00A40E60"/>
    <w:rsid w:val="00A45588"/>
    <w:rsid w:val="00A4607A"/>
    <w:rsid w:val="00A529FA"/>
    <w:rsid w:val="00A52B09"/>
    <w:rsid w:val="00A54730"/>
    <w:rsid w:val="00A54BD1"/>
    <w:rsid w:val="00A56096"/>
    <w:rsid w:val="00A56440"/>
    <w:rsid w:val="00A62E0B"/>
    <w:rsid w:val="00A63491"/>
    <w:rsid w:val="00A6553E"/>
    <w:rsid w:val="00A66622"/>
    <w:rsid w:val="00A7029E"/>
    <w:rsid w:val="00A72488"/>
    <w:rsid w:val="00A7294C"/>
    <w:rsid w:val="00A74B98"/>
    <w:rsid w:val="00A75239"/>
    <w:rsid w:val="00A7623D"/>
    <w:rsid w:val="00A81D6E"/>
    <w:rsid w:val="00A820F1"/>
    <w:rsid w:val="00AA3077"/>
    <w:rsid w:val="00AA36BB"/>
    <w:rsid w:val="00AA6564"/>
    <w:rsid w:val="00AA6FCA"/>
    <w:rsid w:val="00AB2387"/>
    <w:rsid w:val="00AB346C"/>
    <w:rsid w:val="00AB37B5"/>
    <w:rsid w:val="00AB5A78"/>
    <w:rsid w:val="00AC333C"/>
    <w:rsid w:val="00AC65C5"/>
    <w:rsid w:val="00AC6F12"/>
    <w:rsid w:val="00AC7D27"/>
    <w:rsid w:val="00AD035C"/>
    <w:rsid w:val="00AD1EB6"/>
    <w:rsid w:val="00AD2EC9"/>
    <w:rsid w:val="00AD3306"/>
    <w:rsid w:val="00AD64A4"/>
    <w:rsid w:val="00AD6B3B"/>
    <w:rsid w:val="00AE018F"/>
    <w:rsid w:val="00AE0B67"/>
    <w:rsid w:val="00AE187B"/>
    <w:rsid w:val="00AE2085"/>
    <w:rsid w:val="00AE26F5"/>
    <w:rsid w:val="00AE3537"/>
    <w:rsid w:val="00AE3F49"/>
    <w:rsid w:val="00AF7398"/>
    <w:rsid w:val="00B00B27"/>
    <w:rsid w:val="00B012D9"/>
    <w:rsid w:val="00B0184D"/>
    <w:rsid w:val="00B02B0A"/>
    <w:rsid w:val="00B046E5"/>
    <w:rsid w:val="00B046EA"/>
    <w:rsid w:val="00B04D6D"/>
    <w:rsid w:val="00B14DDB"/>
    <w:rsid w:val="00B14E7A"/>
    <w:rsid w:val="00B154B8"/>
    <w:rsid w:val="00B17054"/>
    <w:rsid w:val="00B201CC"/>
    <w:rsid w:val="00B2296C"/>
    <w:rsid w:val="00B26B8D"/>
    <w:rsid w:val="00B302AD"/>
    <w:rsid w:val="00B308C0"/>
    <w:rsid w:val="00B344A6"/>
    <w:rsid w:val="00B35F7A"/>
    <w:rsid w:val="00B36DD4"/>
    <w:rsid w:val="00B37B81"/>
    <w:rsid w:val="00B44A64"/>
    <w:rsid w:val="00B4523C"/>
    <w:rsid w:val="00B45A77"/>
    <w:rsid w:val="00B461D5"/>
    <w:rsid w:val="00B53C2C"/>
    <w:rsid w:val="00B5440A"/>
    <w:rsid w:val="00B6146B"/>
    <w:rsid w:val="00B64733"/>
    <w:rsid w:val="00B64CA2"/>
    <w:rsid w:val="00B64DE3"/>
    <w:rsid w:val="00B70FDF"/>
    <w:rsid w:val="00B75F3E"/>
    <w:rsid w:val="00B777B1"/>
    <w:rsid w:val="00B820A7"/>
    <w:rsid w:val="00B84320"/>
    <w:rsid w:val="00B84521"/>
    <w:rsid w:val="00B848E4"/>
    <w:rsid w:val="00B87A2E"/>
    <w:rsid w:val="00B91EC7"/>
    <w:rsid w:val="00B961F7"/>
    <w:rsid w:val="00BA0180"/>
    <w:rsid w:val="00BA1457"/>
    <w:rsid w:val="00BA3009"/>
    <w:rsid w:val="00BA6559"/>
    <w:rsid w:val="00BB080A"/>
    <w:rsid w:val="00BB15F8"/>
    <w:rsid w:val="00BB37B9"/>
    <w:rsid w:val="00BB3C67"/>
    <w:rsid w:val="00BB3D08"/>
    <w:rsid w:val="00BB7EC3"/>
    <w:rsid w:val="00BC03E1"/>
    <w:rsid w:val="00BC07E0"/>
    <w:rsid w:val="00BC5A68"/>
    <w:rsid w:val="00BC7AE6"/>
    <w:rsid w:val="00BE1951"/>
    <w:rsid w:val="00BE2960"/>
    <w:rsid w:val="00BE4A26"/>
    <w:rsid w:val="00BE76AB"/>
    <w:rsid w:val="00BF0F73"/>
    <w:rsid w:val="00C01CF5"/>
    <w:rsid w:val="00C021AC"/>
    <w:rsid w:val="00C0288A"/>
    <w:rsid w:val="00C0560F"/>
    <w:rsid w:val="00C073F3"/>
    <w:rsid w:val="00C161F8"/>
    <w:rsid w:val="00C16A4A"/>
    <w:rsid w:val="00C200DD"/>
    <w:rsid w:val="00C23624"/>
    <w:rsid w:val="00C26F58"/>
    <w:rsid w:val="00C34EE6"/>
    <w:rsid w:val="00C373AB"/>
    <w:rsid w:val="00C37980"/>
    <w:rsid w:val="00C40B1F"/>
    <w:rsid w:val="00C4149E"/>
    <w:rsid w:val="00C45D23"/>
    <w:rsid w:val="00C46D98"/>
    <w:rsid w:val="00C47727"/>
    <w:rsid w:val="00C50747"/>
    <w:rsid w:val="00C55047"/>
    <w:rsid w:val="00C57455"/>
    <w:rsid w:val="00C6051B"/>
    <w:rsid w:val="00C61B6B"/>
    <w:rsid w:val="00C62EFC"/>
    <w:rsid w:val="00C6503F"/>
    <w:rsid w:val="00C662E9"/>
    <w:rsid w:val="00C67E4A"/>
    <w:rsid w:val="00C71CFC"/>
    <w:rsid w:val="00C72A49"/>
    <w:rsid w:val="00C73498"/>
    <w:rsid w:val="00C74028"/>
    <w:rsid w:val="00C742E6"/>
    <w:rsid w:val="00C74FCE"/>
    <w:rsid w:val="00C75E37"/>
    <w:rsid w:val="00C7650A"/>
    <w:rsid w:val="00C818D1"/>
    <w:rsid w:val="00C81A70"/>
    <w:rsid w:val="00C82F7C"/>
    <w:rsid w:val="00C849C1"/>
    <w:rsid w:val="00C90C4E"/>
    <w:rsid w:val="00C96485"/>
    <w:rsid w:val="00C96BBC"/>
    <w:rsid w:val="00CA03C6"/>
    <w:rsid w:val="00CA2306"/>
    <w:rsid w:val="00CA2BE4"/>
    <w:rsid w:val="00CA3640"/>
    <w:rsid w:val="00CA5EBC"/>
    <w:rsid w:val="00CA69F1"/>
    <w:rsid w:val="00CA7799"/>
    <w:rsid w:val="00CB02C0"/>
    <w:rsid w:val="00CB0FC2"/>
    <w:rsid w:val="00CB1845"/>
    <w:rsid w:val="00CB2350"/>
    <w:rsid w:val="00CB30FB"/>
    <w:rsid w:val="00CB5F9B"/>
    <w:rsid w:val="00CB6E5F"/>
    <w:rsid w:val="00CB74DA"/>
    <w:rsid w:val="00CC7C0D"/>
    <w:rsid w:val="00CD31B6"/>
    <w:rsid w:val="00CD50AB"/>
    <w:rsid w:val="00CD7729"/>
    <w:rsid w:val="00CE11E4"/>
    <w:rsid w:val="00CE43C1"/>
    <w:rsid w:val="00CE4E66"/>
    <w:rsid w:val="00CE7502"/>
    <w:rsid w:val="00CF2D0C"/>
    <w:rsid w:val="00D02605"/>
    <w:rsid w:val="00D12711"/>
    <w:rsid w:val="00D1662F"/>
    <w:rsid w:val="00D204B7"/>
    <w:rsid w:val="00D2050E"/>
    <w:rsid w:val="00D36C3E"/>
    <w:rsid w:val="00D45B02"/>
    <w:rsid w:val="00D473EA"/>
    <w:rsid w:val="00D50B1A"/>
    <w:rsid w:val="00D512DE"/>
    <w:rsid w:val="00D56566"/>
    <w:rsid w:val="00D57367"/>
    <w:rsid w:val="00D61A37"/>
    <w:rsid w:val="00D6411D"/>
    <w:rsid w:val="00D64782"/>
    <w:rsid w:val="00D67278"/>
    <w:rsid w:val="00D67B8D"/>
    <w:rsid w:val="00D73E3C"/>
    <w:rsid w:val="00D74196"/>
    <w:rsid w:val="00D7566D"/>
    <w:rsid w:val="00D76E20"/>
    <w:rsid w:val="00D8125F"/>
    <w:rsid w:val="00D82754"/>
    <w:rsid w:val="00D86D5E"/>
    <w:rsid w:val="00D90453"/>
    <w:rsid w:val="00D91117"/>
    <w:rsid w:val="00D922B1"/>
    <w:rsid w:val="00D923CC"/>
    <w:rsid w:val="00DA5F08"/>
    <w:rsid w:val="00DB22A5"/>
    <w:rsid w:val="00DB7370"/>
    <w:rsid w:val="00DC139D"/>
    <w:rsid w:val="00DC2C8A"/>
    <w:rsid w:val="00DC2EAE"/>
    <w:rsid w:val="00DC4666"/>
    <w:rsid w:val="00DC4D2A"/>
    <w:rsid w:val="00DC571F"/>
    <w:rsid w:val="00DC71F3"/>
    <w:rsid w:val="00DD3F5E"/>
    <w:rsid w:val="00DD55DA"/>
    <w:rsid w:val="00DD5ADB"/>
    <w:rsid w:val="00DE0399"/>
    <w:rsid w:val="00DE271E"/>
    <w:rsid w:val="00DE569D"/>
    <w:rsid w:val="00DE6571"/>
    <w:rsid w:val="00DE7662"/>
    <w:rsid w:val="00DE7784"/>
    <w:rsid w:val="00DF0410"/>
    <w:rsid w:val="00DF39D8"/>
    <w:rsid w:val="00DF419A"/>
    <w:rsid w:val="00DF69FE"/>
    <w:rsid w:val="00DF7F7A"/>
    <w:rsid w:val="00E01FDA"/>
    <w:rsid w:val="00E03C5A"/>
    <w:rsid w:val="00E04B7F"/>
    <w:rsid w:val="00E0531A"/>
    <w:rsid w:val="00E10342"/>
    <w:rsid w:val="00E117F3"/>
    <w:rsid w:val="00E154A0"/>
    <w:rsid w:val="00E15729"/>
    <w:rsid w:val="00E179CF"/>
    <w:rsid w:val="00E202A8"/>
    <w:rsid w:val="00E229C2"/>
    <w:rsid w:val="00E232D1"/>
    <w:rsid w:val="00E2459C"/>
    <w:rsid w:val="00E24C1A"/>
    <w:rsid w:val="00E255B3"/>
    <w:rsid w:val="00E27421"/>
    <w:rsid w:val="00E32C35"/>
    <w:rsid w:val="00E369CE"/>
    <w:rsid w:val="00E417D3"/>
    <w:rsid w:val="00E41948"/>
    <w:rsid w:val="00E45331"/>
    <w:rsid w:val="00E45A2F"/>
    <w:rsid w:val="00E46978"/>
    <w:rsid w:val="00E46DA5"/>
    <w:rsid w:val="00E50A52"/>
    <w:rsid w:val="00E50CAC"/>
    <w:rsid w:val="00E564DA"/>
    <w:rsid w:val="00E574F6"/>
    <w:rsid w:val="00E608F3"/>
    <w:rsid w:val="00E60D6A"/>
    <w:rsid w:val="00E60FEA"/>
    <w:rsid w:val="00E63E82"/>
    <w:rsid w:val="00E65FAA"/>
    <w:rsid w:val="00E673A2"/>
    <w:rsid w:val="00E67552"/>
    <w:rsid w:val="00E75460"/>
    <w:rsid w:val="00E765E2"/>
    <w:rsid w:val="00E777DA"/>
    <w:rsid w:val="00E7794D"/>
    <w:rsid w:val="00E77BC6"/>
    <w:rsid w:val="00E77DE7"/>
    <w:rsid w:val="00E81DB4"/>
    <w:rsid w:val="00E83E68"/>
    <w:rsid w:val="00E84A3B"/>
    <w:rsid w:val="00E903F8"/>
    <w:rsid w:val="00E913BA"/>
    <w:rsid w:val="00E94F30"/>
    <w:rsid w:val="00E95B86"/>
    <w:rsid w:val="00E95F76"/>
    <w:rsid w:val="00EA4749"/>
    <w:rsid w:val="00EA7FE0"/>
    <w:rsid w:val="00EB362B"/>
    <w:rsid w:val="00EB56CD"/>
    <w:rsid w:val="00EB7F8F"/>
    <w:rsid w:val="00EC22AC"/>
    <w:rsid w:val="00EC2B26"/>
    <w:rsid w:val="00EC5BB8"/>
    <w:rsid w:val="00EC5F29"/>
    <w:rsid w:val="00ED1508"/>
    <w:rsid w:val="00ED324B"/>
    <w:rsid w:val="00EE171A"/>
    <w:rsid w:val="00EE2F00"/>
    <w:rsid w:val="00EE7052"/>
    <w:rsid w:val="00EF0BFF"/>
    <w:rsid w:val="00EF225C"/>
    <w:rsid w:val="00EF2790"/>
    <w:rsid w:val="00EF5E12"/>
    <w:rsid w:val="00EF6431"/>
    <w:rsid w:val="00EF661D"/>
    <w:rsid w:val="00EF748B"/>
    <w:rsid w:val="00EF7625"/>
    <w:rsid w:val="00F01066"/>
    <w:rsid w:val="00F051B9"/>
    <w:rsid w:val="00F13454"/>
    <w:rsid w:val="00F15E89"/>
    <w:rsid w:val="00F17FBE"/>
    <w:rsid w:val="00F2236C"/>
    <w:rsid w:val="00F2704F"/>
    <w:rsid w:val="00F2742F"/>
    <w:rsid w:val="00F32E45"/>
    <w:rsid w:val="00F34A3F"/>
    <w:rsid w:val="00F3686B"/>
    <w:rsid w:val="00F36D40"/>
    <w:rsid w:val="00F37E9A"/>
    <w:rsid w:val="00F40E3D"/>
    <w:rsid w:val="00F4275D"/>
    <w:rsid w:val="00F42E03"/>
    <w:rsid w:val="00F450E2"/>
    <w:rsid w:val="00F459B3"/>
    <w:rsid w:val="00F469C0"/>
    <w:rsid w:val="00F51365"/>
    <w:rsid w:val="00F54707"/>
    <w:rsid w:val="00F57317"/>
    <w:rsid w:val="00F615EE"/>
    <w:rsid w:val="00F625D4"/>
    <w:rsid w:val="00F62C19"/>
    <w:rsid w:val="00F6596B"/>
    <w:rsid w:val="00F65E15"/>
    <w:rsid w:val="00F7261E"/>
    <w:rsid w:val="00F74E91"/>
    <w:rsid w:val="00F76CC9"/>
    <w:rsid w:val="00F77F91"/>
    <w:rsid w:val="00F80390"/>
    <w:rsid w:val="00F8262B"/>
    <w:rsid w:val="00F83DB4"/>
    <w:rsid w:val="00F90174"/>
    <w:rsid w:val="00F92D39"/>
    <w:rsid w:val="00F92EBD"/>
    <w:rsid w:val="00F94A51"/>
    <w:rsid w:val="00F95414"/>
    <w:rsid w:val="00F95F72"/>
    <w:rsid w:val="00FA1BE4"/>
    <w:rsid w:val="00FA4B55"/>
    <w:rsid w:val="00FA5456"/>
    <w:rsid w:val="00FA5B2A"/>
    <w:rsid w:val="00FA68D9"/>
    <w:rsid w:val="00FA6FB3"/>
    <w:rsid w:val="00FB4EDC"/>
    <w:rsid w:val="00FC2702"/>
    <w:rsid w:val="00FC2BEC"/>
    <w:rsid w:val="00FC58B3"/>
    <w:rsid w:val="00FC65BB"/>
    <w:rsid w:val="00FC68A7"/>
    <w:rsid w:val="00FD08CC"/>
    <w:rsid w:val="00FD12DC"/>
    <w:rsid w:val="00FD65AE"/>
    <w:rsid w:val="00FE0520"/>
    <w:rsid w:val="00FE1B02"/>
    <w:rsid w:val="00FE33E1"/>
    <w:rsid w:val="00FE6ADA"/>
    <w:rsid w:val="00FF2C58"/>
    <w:rsid w:val="00FF54F5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41212C2"/>
  <w15:docId w15:val="{88EFA557-3987-417B-B615-57C2D2FA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snapToGrid w:val="0"/>
      <w:sz w:val="24"/>
      <w:szCs w:val="24"/>
    </w:rPr>
  </w:style>
  <w:style w:type="paragraph" w:styleId="Heading1">
    <w:name w:val="heading 1"/>
    <w:basedOn w:val="Normal"/>
    <w:next w:val="Marge"/>
    <w:link w:val="Heading1Char"/>
    <w:uiPriority w:val="9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link w:val="Heading2Char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link w:val="Heading3Char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link w:val="Heading4Char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link w:val="Heading5Char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link w:val="Heading6Char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link w:val="Heading7Char"/>
    <w:unhideWhenUsed/>
    <w:qFormat/>
    <w:rsid w:val="00FA68D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C2EAE"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JOBSTYLE">
    <w:name w:val="JOBSTYLE"/>
    <w:basedOn w:val="Normal"/>
    <w:pPr>
      <w:tabs>
        <w:tab w:val="left" w:pos="1134"/>
        <w:tab w:val="left" w:pos="6237"/>
      </w:tabs>
      <w:overflowPunct w:val="0"/>
      <w:autoSpaceDE w:val="0"/>
      <w:autoSpaceDN w:val="0"/>
      <w:adjustRightInd w:val="0"/>
      <w:snapToGrid/>
      <w:spacing w:line="960" w:lineRule="auto"/>
      <w:jc w:val="both"/>
      <w:textAlignment w:val="baseline"/>
    </w:pPr>
    <w:rPr>
      <w:rFonts w:eastAsia="Times New Roman"/>
      <w:snapToGrid/>
      <w:lang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character" w:styleId="FootnoteReference">
    <w:name w:val="footnote reference"/>
    <w:aliases w:val="16 Point,Superscript 6 Point,BVI fnr,nota pié di pagina,ftref,Footnote Refernece,Footnote Reference Number,Footnotes refss,Footnote Reference1, BVI fnr,FO,footnote ref,(NECG) Footnote Reference,Ref,de nota al pie,Footnote,note bp"/>
    <w:basedOn w:val="DefaultParagraphFont"/>
    <w:link w:val="CarattereCharCarattereCarattereCharCarattereCharCarattereCharCharCharCharChar"/>
    <w:qFormat/>
    <w:rPr>
      <w:vertAlign w:val="superscript"/>
    </w:rPr>
  </w:style>
  <w:style w:type="paragraph" w:styleId="FootnoteText">
    <w:name w:val="footnote text"/>
    <w:basedOn w:val="Normal"/>
    <w:link w:val="FootnoteTextChar"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link w:val="ParChar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TIRETbul1cm">
    <w:name w:val="TIRET bul 1cm"/>
    <w:basedOn w:val="Normal"/>
    <w:pPr>
      <w:numPr>
        <w:numId w:val="12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Marge">
    <w:name w:val="Marge"/>
    <w:basedOn w:val="Par"/>
    <w:link w:val="MargeChar"/>
    <w:pPr>
      <w:ind w:firstLine="0"/>
    </w:pPr>
  </w:style>
  <w:style w:type="character" w:customStyle="1" w:styleId="HeaderChar">
    <w:name w:val="Header Char"/>
    <w:basedOn w:val="DefaultParagraphFont"/>
    <w:link w:val="Header"/>
    <w:locked/>
    <w:rsid w:val="004B7754"/>
    <w:rPr>
      <w:rFonts w:eastAsia="Times New Roman"/>
      <w:snapToGrid w:val="0"/>
      <w:sz w:val="24"/>
      <w:szCs w:val="24"/>
      <w:lang w:val="ru-RU" w:eastAsia="en-US"/>
    </w:rPr>
  </w:style>
  <w:style w:type="table" w:styleId="TableGrid">
    <w:name w:val="Table Grid"/>
    <w:basedOn w:val="TableNormal"/>
    <w:rsid w:val="004B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35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5997"/>
    <w:rPr>
      <w:rFonts w:ascii="Tahoma" w:hAnsi="Tahoma" w:cs="Tahoma"/>
      <w:snapToGrid w:val="0"/>
      <w:sz w:val="16"/>
      <w:szCs w:val="16"/>
      <w:lang w:val="ru-RU"/>
    </w:rPr>
  </w:style>
  <w:style w:type="character" w:styleId="Hyperlink">
    <w:name w:val="Hyperlink"/>
    <w:basedOn w:val="DefaultParagraphFont"/>
    <w:rsid w:val="001A29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rsid w:val="008F4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F4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F4611"/>
    <w:rPr>
      <w:snapToGrid w:val="0"/>
      <w:lang w:val="ru-RU"/>
    </w:rPr>
  </w:style>
  <w:style w:type="paragraph" w:styleId="CommentSubject">
    <w:name w:val="annotation subject"/>
    <w:basedOn w:val="CommentText"/>
    <w:next w:val="CommentText"/>
    <w:link w:val="CommentSubjectChar"/>
    <w:rsid w:val="008F4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4611"/>
    <w:rPr>
      <w:b/>
      <w:bCs/>
      <w:snapToGrid w:val="0"/>
      <w:lang w:val="ru-RU"/>
    </w:rPr>
  </w:style>
  <w:style w:type="paragraph" w:customStyle="1" w:styleId="Default">
    <w:name w:val="Default"/>
    <w:rsid w:val="00D76E2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48E4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rsid w:val="00FA68D9"/>
    <w:rPr>
      <w:rFonts w:asciiTheme="majorHAnsi" w:eastAsiaTheme="majorEastAsia" w:hAnsiTheme="majorHAnsi" w:cstheme="majorBidi"/>
      <w:i/>
      <w:iCs/>
      <w:snapToGrid w:val="0"/>
      <w:color w:val="243F60" w:themeColor="accent1" w:themeShade="7F"/>
      <w:sz w:val="24"/>
      <w:szCs w:val="24"/>
      <w:lang w:val="ru-RU"/>
    </w:rPr>
  </w:style>
  <w:style w:type="paragraph" w:customStyle="1" w:styleId="CarattereCharCarattereCarattereCharCarattereCharCarattereCharCharCharCharChar">
    <w:name w:val="Carattere Char Carattere Carattere Char Carattere Char Carattere Char Char Char Char Char"/>
    <w:aliases w:val="Footnote Reference Char Char Char Char Char Char Char Char Char Char Char Char Char Char Char Char Char,footnote number Char Char"/>
    <w:basedOn w:val="Normal"/>
    <w:link w:val="FootnoteReference"/>
    <w:rsid w:val="007C4C1D"/>
    <w:pPr>
      <w:tabs>
        <w:tab w:val="clear" w:pos="567"/>
      </w:tabs>
      <w:snapToGrid/>
      <w:spacing w:before="120" w:after="160" w:line="240" w:lineRule="exact"/>
    </w:pPr>
    <w:rPr>
      <w:snapToGrid/>
      <w:sz w:val="20"/>
      <w:szCs w:val="20"/>
      <w:vertAlign w:val="superscript"/>
    </w:rPr>
  </w:style>
  <w:style w:type="paragraph" w:styleId="ListParagraph">
    <w:name w:val="List Paragraph"/>
    <w:basedOn w:val="Normal"/>
    <w:uiPriority w:val="34"/>
    <w:qFormat/>
    <w:rsid w:val="009C5BA0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semiHidden/>
    <w:rsid w:val="00DC2EAE"/>
    <w:rPr>
      <w:rFonts w:ascii="Arial" w:hAnsi="Arial" w:cs="Arial"/>
      <w:b/>
      <w:bCs/>
      <w:i/>
      <w:iCs/>
      <w:snapToGrid w:val="0"/>
      <w:sz w:val="18"/>
      <w:szCs w:val="18"/>
      <w:u w:val="single"/>
      <w:lang w:val="ru-RU"/>
    </w:rPr>
  </w:style>
  <w:style w:type="character" w:styleId="PageNumber">
    <w:name w:val="page number"/>
    <w:basedOn w:val="DefaultParagraphFont"/>
    <w:rsid w:val="00DC2EAE"/>
  </w:style>
  <w:style w:type="paragraph" w:customStyle="1" w:styleId="Serre">
    <w:name w:val="Serre"/>
    <w:basedOn w:val="Normal"/>
    <w:rsid w:val="00DC2EAE"/>
    <w:pPr>
      <w:tabs>
        <w:tab w:val="clear" w:pos="567"/>
      </w:tabs>
      <w:suppressAutoHyphens/>
      <w:snapToGrid/>
      <w:jc w:val="both"/>
      <w:outlineLvl w:val="2"/>
    </w:pPr>
    <w:rPr>
      <w:rFonts w:ascii="Arial" w:eastAsia="PMingLiU" w:hAnsi="Arial"/>
      <w:snapToGrid/>
      <w:sz w:val="22"/>
      <w:szCs w:val="20"/>
      <w:lang w:eastAsia="fr-FR"/>
    </w:rPr>
  </w:style>
  <w:style w:type="paragraph" w:customStyle="1" w:styleId="COI">
    <w:name w:val="COI"/>
    <w:basedOn w:val="Marge"/>
    <w:link w:val="COIChar"/>
    <w:autoRedefine/>
    <w:rsid w:val="00DC2EAE"/>
    <w:pPr>
      <w:autoSpaceDE w:val="0"/>
      <w:autoSpaceDN w:val="0"/>
      <w:adjustRightInd w:val="0"/>
    </w:pPr>
    <w:rPr>
      <w:rFonts w:ascii="Arial" w:eastAsia="Arial Unicode MS" w:hAnsi="Arial" w:cs="Arial"/>
      <w:color w:val="000000"/>
      <w:sz w:val="22"/>
      <w:szCs w:val="22"/>
    </w:rPr>
  </w:style>
  <w:style w:type="paragraph" w:styleId="BlockText">
    <w:name w:val="Block Text"/>
    <w:basedOn w:val="Normal"/>
    <w:rsid w:val="00DC2EAE"/>
    <w:pPr>
      <w:tabs>
        <w:tab w:val="clear" w:pos="567"/>
      </w:tabs>
      <w:snapToGrid/>
      <w:ind w:left="360" w:right="540"/>
      <w:jc w:val="both"/>
    </w:pPr>
    <w:rPr>
      <w:rFonts w:ascii="Arial" w:eastAsia="PMingLiU" w:hAnsi="Arial"/>
      <w:i/>
      <w:iCs/>
      <w:snapToGrid/>
      <w:sz w:val="22"/>
      <w:lang w:eastAsia="en-US"/>
    </w:rPr>
  </w:style>
  <w:style w:type="paragraph" w:styleId="BodyText2">
    <w:name w:val="Body Text 2"/>
    <w:basedOn w:val="Normal"/>
    <w:link w:val="BodyText2Char"/>
    <w:rsid w:val="00DC2EAE"/>
    <w:pPr>
      <w:tabs>
        <w:tab w:val="clear" w:pos="567"/>
      </w:tabs>
      <w:snapToGrid/>
      <w:spacing w:before="100" w:beforeAutospacing="1" w:after="100" w:afterAutospacing="1" w:line="360" w:lineRule="auto"/>
    </w:pPr>
    <w:rPr>
      <w:rFonts w:ascii="Arial" w:eastAsia="MS Mincho" w:hAnsi="Arial" w:cs="Arial"/>
      <w:snapToGrid/>
      <w:color w:val="FF0000"/>
      <w:sz w:val="22"/>
      <w:lang w:eastAsia="ja-JP"/>
    </w:rPr>
  </w:style>
  <w:style w:type="character" w:customStyle="1" w:styleId="BodyText2Char">
    <w:name w:val="Body Text 2 Char"/>
    <w:basedOn w:val="DefaultParagraphFont"/>
    <w:link w:val="BodyText2"/>
    <w:rsid w:val="00DC2EAE"/>
    <w:rPr>
      <w:rFonts w:ascii="Arial" w:eastAsia="MS Mincho" w:hAnsi="Arial" w:cs="Arial"/>
      <w:color w:val="FF0000"/>
      <w:sz w:val="22"/>
      <w:szCs w:val="24"/>
      <w:lang w:val="ru-RU" w:eastAsia="ja-JP"/>
    </w:rPr>
  </w:style>
  <w:style w:type="paragraph" w:styleId="BodyTextIndent">
    <w:name w:val="Body Text Indent"/>
    <w:aliases w:val="Quotation"/>
    <w:basedOn w:val="Normal"/>
    <w:link w:val="BodyTextIndentChar"/>
    <w:rsid w:val="00DC2EAE"/>
    <w:pPr>
      <w:tabs>
        <w:tab w:val="clear" w:pos="567"/>
      </w:tabs>
      <w:snapToGrid/>
      <w:spacing w:before="120" w:after="100" w:afterAutospacing="1"/>
      <w:ind w:left="1134" w:right="1134"/>
      <w:jc w:val="both"/>
    </w:pPr>
    <w:rPr>
      <w:rFonts w:ascii="Arial" w:eastAsia="PMingLiU" w:hAnsi="Arial"/>
      <w:i/>
      <w:snapToGrid/>
      <w:sz w:val="22"/>
      <w:lang w:eastAsia="en-US"/>
    </w:rPr>
  </w:style>
  <w:style w:type="character" w:customStyle="1" w:styleId="BodyTextIndentChar">
    <w:name w:val="Body Text Indent Char"/>
    <w:aliases w:val="Quotation Char"/>
    <w:basedOn w:val="DefaultParagraphFont"/>
    <w:link w:val="BodyTextIndent"/>
    <w:rsid w:val="00DC2EAE"/>
    <w:rPr>
      <w:rFonts w:ascii="Arial" w:eastAsia="PMingLiU" w:hAnsi="Arial"/>
      <w:i/>
      <w:sz w:val="22"/>
      <w:szCs w:val="24"/>
      <w:lang w:val="ru-RU" w:eastAsia="en-US"/>
    </w:rPr>
  </w:style>
  <w:style w:type="paragraph" w:customStyle="1" w:styleId="Docheading">
    <w:name w:val="Doc. heading"/>
    <w:basedOn w:val="Header"/>
    <w:rsid w:val="00DC2EAE"/>
    <w:pPr>
      <w:spacing w:after="480"/>
      <w:jc w:val="center"/>
    </w:pPr>
    <w:rPr>
      <w:rFonts w:ascii="Arial" w:eastAsia="PMingLiU" w:hAnsi="Arial" w:cs="Arial"/>
      <w:b/>
      <w:bCs/>
      <w:caps/>
    </w:rPr>
  </w:style>
  <w:style w:type="paragraph" w:styleId="BodyTextFirstIndent2">
    <w:name w:val="Body Text First Indent 2"/>
    <w:basedOn w:val="BodyTextIndent"/>
    <w:link w:val="BodyTextFirstIndent2Char"/>
    <w:rsid w:val="00DC2EAE"/>
    <w:pPr>
      <w:tabs>
        <w:tab w:val="left" w:pos="567"/>
      </w:tabs>
      <w:snapToGrid w:val="0"/>
      <w:spacing w:after="120"/>
      <w:ind w:left="283" w:firstLine="210"/>
      <w:jc w:val="left"/>
    </w:pPr>
    <w:rPr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DC2EAE"/>
    <w:rPr>
      <w:rFonts w:ascii="Arial" w:eastAsia="PMingLiU" w:hAnsi="Arial"/>
      <w:i/>
      <w:snapToGrid w:val="0"/>
      <w:sz w:val="22"/>
      <w:szCs w:val="24"/>
      <w:lang w:val="ru-RU" w:eastAsia="en-US"/>
    </w:rPr>
  </w:style>
  <w:style w:type="paragraph" w:customStyle="1" w:styleId="Listnumbered">
    <w:name w:val="List numbered"/>
    <w:basedOn w:val="ListBullet2"/>
    <w:autoRedefine/>
    <w:rsid w:val="00DC2EAE"/>
    <w:pPr>
      <w:numPr>
        <w:numId w:val="23"/>
      </w:numPr>
      <w:jc w:val="both"/>
    </w:pPr>
  </w:style>
  <w:style w:type="paragraph" w:customStyle="1" w:styleId="Style1">
    <w:name w:val="Style1"/>
    <w:basedOn w:val="Listnumbered"/>
    <w:autoRedefine/>
    <w:rsid w:val="00DC2EAE"/>
  </w:style>
  <w:style w:type="character" w:customStyle="1" w:styleId="ParChar">
    <w:name w:val="Par Char"/>
    <w:link w:val="Par"/>
    <w:rsid w:val="00DC2EAE"/>
    <w:rPr>
      <w:rFonts w:eastAsia="Times New Roman"/>
      <w:snapToGrid w:val="0"/>
      <w:sz w:val="24"/>
      <w:szCs w:val="24"/>
      <w:lang w:val="ru-RU" w:eastAsia="en-US"/>
    </w:rPr>
  </w:style>
  <w:style w:type="paragraph" w:styleId="ListBullet2">
    <w:name w:val="List Bullet 2"/>
    <w:basedOn w:val="Normal"/>
    <w:rsid w:val="00DC2EAE"/>
    <w:pPr>
      <w:numPr>
        <w:numId w:val="24"/>
      </w:numPr>
      <w:spacing w:after="240"/>
    </w:pPr>
    <w:rPr>
      <w:rFonts w:ascii="Arial" w:eastAsia="PMingLiU" w:hAnsi="Arial"/>
      <w:sz w:val="22"/>
      <w:lang w:eastAsia="en-US"/>
    </w:rPr>
  </w:style>
  <w:style w:type="character" w:customStyle="1" w:styleId="MargeChar">
    <w:name w:val="Marge Char"/>
    <w:link w:val="Marge"/>
    <w:rsid w:val="00DC2EAE"/>
    <w:rPr>
      <w:rFonts w:eastAsia="Times New Roman"/>
      <w:snapToGrid w:val="0"/>
      <w:sz w:val="24"/>
      <w:szCs w:val="24"/>
      <w:lang w:val="ru-RU" w:eastAsia="en-US"/>
    </w:rPr>
  </w:style>
  <w:style w:type="character" w:customStyle="1" w:styleId="COIChar">
    <w:name w:val="COI Char"/>
    <w:link w:val="COI"/>
    <w:rsid w:val="00DC2EAE"/>
    <w:rPr>
      <w:rFonts w:ascii="Arial" w:eastAsia="Arial Unicode MS" w:hAnsi="Arial" w:cs="Arial"/>
      <w:snapToGrid w:val="0"/>
      <w:color w:val="000000"/>
      <w:sz w:val="22"/>
      <w:szCs w:val="22"/>
      <w:lang w:val="ru-RU" w:eastAsia="en-US"/>
    </w:rPr>
  </w:style>
  <w:style w:type="character" w:customStyle="1" w:styleId="Titre9Car1">
    <w:name w:val="Titre 9 Car1"/>
    <w:semiHidden/>
    <w:rsid w:val="00DC2EAE"/>
    <w:rPr>
      <w:rFonts w:ascii="Cambria" w:eastAsia="Times New Roman" w:hAnsi="Cambria" w:cs="Times New Roman"/>
      <w:snapToGrid w:val="0"/>
      <w:sz w:val="22"/>
      <w:szCs w:val="22"/>
      <w:lang w:val="ru-RU" w:eastAsia="en-US"/>
    </w:rPr>
  </w:style>
  <w:style w:type="paragraph" w:customStyle="1" w:styleId="Paragrafoelenco1">
    <w:name w:val="Paragrafo elenco1"/>
    <w:basedOn w:val="Normal"/>
    <w:uiPriority w:val="99"/>
    <w:rsid w:val="00DC2EAE"/>
    <w:pPr>
      <w:tabs>
        <w:tab w:val="clear" w:pos="567"/>
      </w:tabs>
      <w:suppressAutoHyphens/>
      <w:snapToGrid/>
      <w:ind w:left="720"/>
      <w:contextualSpacing/>
    </w:pPr>
    <w:rPr>
      <w:rFonts w:eastAsia="Simsun (Founder Extended)"/>
      <w:snapToGrid/>
      <w:lang w:eastAsia="ar-SA"/>
    </w:rPr>
  </w:style>
  <w:style w:type="character" w:styleId="FollowedHyperlink">
    <w:name w:val="FollowedHyperlink"/>
    <w:rsid w:val="00DC2EAE"/>
    <w:rPr>
      <w:color w:val="800080"/>
      <w:u w:val="single"/>
    </w:rPr>
  </w:style>
  <w:style w:type="paragraph" w:styleId="EndnoteText">
    <w:name w:val="endnote text"/>
    <w:basedOn w:val="Normal"/>
    <w:link w:val="EndnoteTextChar"/>
    <w:rsid w:val="00DC2EAE"/>
    <w:rPr>
      <w:rFonts w:ascii="Arial" w:eastAsia="PMingLiU" w:hAnsi="Arial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DC2EAE"/>
    <w:rPr>
      <w:rFonts w:ascii="Arial" w:eastAsia="PMingLiU" w:hAnsi="Arial"/>
      <w:snapToGrid w:val="0"/>
      <w:lang w:val="ru-RU" w:eastAsia="en-US"/>
    </w:rPr>
  </w:style>
  <w:style w:type="character" w:styleId="EndnoteReference">
    <w:name w:val="endnote reference"/>
    <w:rsid w:val="00DC2EAE"/>
    <w:rPr>
      <w:vertAlign w:val="superscript"/>
    </w:rPr>
  </w:style>
  <w:style w:type="character" w:customStyle="1" w:styleId="Heading3Char">
    <w:name w:val="Heading 3 Char"/>
    <w:link w:val="Heading3"/>
    <w:rsid w:val="00DC2EAE"/>
    <w:rPr>
      <w:rFonts w:eastAsia="Times New Roman"/>
      <w:b/>
      <w:bCs/>
      <w:snapToGrid w:val="0"/>
      <w:sz w:val="24"/>
      <w:szCs w:val="24"/>
      <w:lang w:val="ru-RU" w:eastAsia="en-US"/>
    </w:rPr>
  </w:style>
  <w:style w:type="character" w:customStyle="1" w:styleId="FootnoteTextChar">
    <w:name w:val="Footnote Text Char"/>
    <w:link w:val="FootnoteText"/>
    <w:rsid w:val="00DC2EAE"/>
    <w:rPr>
      <w:rFonts w:eastAsia="Times New Roman"/>
      <w:snapToGrid w:val="0"/>
      <w:lang w:val="ru-RU" w:eastAsia="en-US"/>
    </w:rPr>
  </w:style>
  <w:style w:type="character" w:customStyle="1" w:styleId="Heading1Char">
    <w:name w:val="Heading 1 Char"/>
    <w:link w:val="Heading1"/>
    <w:uiPriority w:val="9"/>
    <w:rsid w:val="00DC2EAE"/>
    <w:rPr>
      <w:rFonts w:eastAsia="Times New Roman"/>
      <w:b/>
      <w:bCs/>
      <w:snapToGrid w:val="0"/>
      <w:kern w:val="28"/>
      <w:sz w:val="24"/>
      <w:szCs w:val="24"/>
      <w:lang w:eastAsia="en-US"/>
    </w:rPr>
  </w:style>
  <w:style w:type="paragraph" w:customStyle="1" w:styleId="ParaCOI">
    <w:name w:val="Para COI"/>
    <w:basedOn w:val="COI"/>
    <w:link w:val="ParaCOICar"/>
    <w:qFormat/>
    <w:rsid w:val="00DC2EAE"/>
    <w:pPr>
      <w:numPr>
        <w:numId w:val="26"/>
      </w:numPr>
      <w:tabs>
        <w:tab w:val="clear" w:pos="567"/>
        <w:tab w:val="left" w:pos="709"/>
      </w:tabs>
      <w:autoSpaceDE/>
      <w:autoSpaceDN/>
      <w:adjustRightInd/>
    </w:pPr>
    <w:rPr>
      <w:rFonts w:eastAsia="Times New Roman" w:cs="Times New Roman"/>
      <w:color w:val="auto"/>
      <w:lang w:eastAsia="zh-CN"/>
    </w:rPr>
  </w:style>
  <w:style w:type="character" w:customStyle="1" w:styleId="ParaCOICar">
    <w:name w:val="Para COI Car"/>
    <w:link w:val="ParaCOI"/>
    <w:rsid w:val="00DC2EAE"/>
    <w:rPr>
      <w:rFonts w:ascii="Arial" w:eastAsia="Times New Roman" w:hAnsi="Arial"/>
      <w:snapToGrid w:val="0"/>
      <w:sz w:val="22"/>
      <w:szCs w:val="22"/>
      <w:lang w:val="ru-RU"/>
    </w:rPr>
  </w:style>
  <w:style w:type="character" w:customStyle="1" w:styleId="Heading2Char">
    <w:name w:val="Heading 2 Char"/>
    <w:link w:val="Heading2"/>
    <w:rsid w:val="00DC2EAE"/>
    <w:rPr>
      <w:rFonts w:eastAsia="Times New Roman"/>
      <w:b/>
      <w:bCs/>
      <w:caps/>
      <w:snapToGrid w:val="0"/>
      <w:sz w:val="24"/>
      <w:szCs w:val="24"/>
      <w:lang w:val="ru-RU" w:eastAsia="en-US"/>
    </w:rPr>
  </w:style>
  <w:style w:type="character" w:customStyle="1" w:styleId="Heading4Char">
    <w:name w:val="Heading 4 Char"/>
    <w:link w:val="Heading4"/>
    <w:rsid w:val="00DC2EAE"/>
    <w:rPr>
      <w:rFonts w:eastAsia="Times New Roman"/>
      <w:b/>
      <w:bCs/>
      <w:snapToGrid w:val="0"/>
      <w:sz w:val="24"/>
      <w:szCs w:val="24"/>
      <w:lang w:val="ru-RU" w:eastAsia="en-US"/>
    </w:rPr>
  </w:style>
  <w:style w:type="character" w:customStyle="1" w:styleId="Heading5Char">
    <w:name w:val="Heading 5 Char"/>
    <w:link w:val="Heading5"/>
    <w:rsid w:val="00DC2EAE"/>
    <w:rPr>
      <w:rFonts w:eastAsia="Times New Roman"/>
      <w:b/>
      <w:bCs/>
      <w:snapToGrid w:val="0"/>
      <w:sz w:val="24"/>
      <w:szCs w:val="24"/>
      <w:lang w:val="ru-RU" w:eastAsia="en-US"/>
    </w:rPr>
  </w:style>
  <w:style w:type="character" w:customStyle="1" w:styleId="Heading6Char">
    <w:name w:val="Heading 6 Char"/>
    <w:link w:val="Heading6"/>
    <w:rsid w:val="00DC2EAE"/>
    <w:rPr>
      <w:rFonts w:eastAsia="Times New Roman"/>
      <w:b/>
      <w:iCs/>
      <w:snapToGrid w:val="0"/>
      <w:sz w:val="24"/>
      <w:szCs w:val="22"/>
      <w:lang w:val="ru-RU" w:eastAsia="en-US"/>
    </w:rPr>
  </w:style>
  <w:style w:type="character" w:customStyle="1" w:styleId="FooterChar">
    <w:name w:val="Footer Char"/>
    <w:link w:val="Footer"/>
    <w:rsid w:val="00DC2EAE"/>
    <w:rPr>
      <w:rFonts w:eastAsia="Times New Roman"/>
      <w:snapToGrid w:val="0"/>
      <w:sz w:val="24"/>
      <w:szCs w:val="24"/>
      <w:lang w:eastAsia="en-US"/>
    </w:rPr>
  </w:style>
  <w:style w:type="paragraph" w:customStyle="1" w:styleId="decis">
    <w:name w:val="decis"/>
    <w:basedOn w:val="BodyText"/>
    <w:rsid w:val="00DC2EAE"/>
    <w:pPr>
      <w:numPr>
        <w:numId w:val="27"/>
      </w:numPr>
      <w:tabs>
        <w:tab w:val="clear" w:pos="567"/>
      </w:tabs>
      <w:snapToGrid/>
      <w:spacing w:after="0"/>
      <w:jc w:val="both"/>
    </w:pPr>
    <w:rPr>
      <w:rFonts w:ascii="Times New Roman" w:eastAsia="Times New Roman" w:hAnsi="Times New Roman"/>
      <w:snapToGrid/>
      <w:sz w:val="24"/>
    </w:rPr>
  </w:style>
  <w:style w:type="paragraph" w:styleId="BodyText">
    <w:name w:val="Body Text"/>
    <w:basedOn w:val="Normal"/>
    <w:link w:val="BodyTextChar"/>
    <w:rsid w:val="00DC2EAE"/>
    <w:pPr>
      <w:spacing w:after="120"/>
    </w:pPr>
    <w:rPr>
      <w:rFonts w:ascii="Arial" w:eastAsia="PMingLiU" w:hAnsi="Arial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DC2EAE"/>
    <w:rPr>
      <w:rFonts w:ascii="Arial" w:eastAsia="PMingLiU" w:hAnsi="Arial"/>
      <w:snapToGrid w:val="0"/>
      <w:sz w:val="22"/>
      <w:szCs w:val="24"/>
      <w:lang w:val="ru-RU" w:eastAsia="en-US"/>
    </w:rPr>
  </w:style>
  <w:style w:type="paragraph" w:styleId="Revision">
    <w:name w:val="Revision"/>
    <w:hidden/>
    <w:uiPriority w:val="99"/>
    <w:semiHidden/>
    <w:rsid w:val="00DC2EAE"/>
    <w:rPr>
      <w:rFonts w:ascii="Arial" w:eastAsia="PMingLiU" w:hAnsi="Arial"/>
      <w:snapToGrid w:val="0"/>
      <w:sz w:val="22"/>
      <w:szCs w:val="24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84320"/>
    <w:rPr>
      <w:color w:val="605E5C"/>
      <w:shd w:val="clear" w:color="auto" w:fill="E1DFDD"/>
    </w:rPr>
  </w:style>
  <w:style w:type="paragraph" w:customStyle="1" w:styleId="Style2">
    <w:name w:val="Style2"/>
    <w:basedOn w:val="Normal"/>
    <w:link w:val="Style2Car"/>
    <w:qFormat/>
    <w:rsid w:val="006B18B7"/>
    <w:pPr>
      <w:shd w:val="clear" w:color="auto" w:fill="FFFFFF"/>
      <w:tabs>
        <w:tab w:val="clear" w:pos="567"/>
        <w:tab w:val="num" w:pos="1400"/>
      </w:tabs>
      <w:snapToGrid/>
      <w:spacing w:after="240"/>
      <w:ind w:left="720"/>
      <w:jc w:val="both"/>
    </w:pPr>
    <w:rPr>
      <w:rFonts w:ascii="Arial" w:eastAsia="Times New Roman" w:hAnsi="Arial"/>
      <w:iCs/>
      <w:sz w:val="22"/>
      <w:szCs w:val="22"/>
      <w:lang w:eastAsia="en-US"/>
    </w:rPr>
  </w:style>
  <w:style w:type="character" w:customStyle="1" w:styleId="Style2Car">
    <w:name w:val="Style2 Car"/>
    <w:basedOn w:val="DefaultParagraphFont"/>
    <w:link w:val="Style2"/>
    <w:rsid w:val="006B18B7"/>
    <w:rPr>
      <w:rFonts w:ascii="Arial" w:eastAsia="Times New Roman" w:hAnsi="Arial"/>
      <w:iCs/>
      <w:snapToGrid w:val="0"/>
      <w:sz w:val="22"/>
      <w:szCs w:val="22"/>
      <w:shd w:val="clear" w:color="auto" w:fill="FFFFFF"/>
      <w:lang w:val="ru-R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C0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esdoc.unesco.org/ark:/48223/pf0000379444.locale=en" TargetMode="External"/><Relationship Id="rId13" Type="http://schemas.openxmlformats.org/officeDocument/2006/relationships/hyperlink" Target="file:///\\hqfs\OurDrive\IOC\USERS\Boned\Executive%20Councils\EC-55\Working%20documents\IFAG%20report\EC-55-5-1-Doc2_xy_v0.docx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file:///\\hqfs\OurDrive\IOC\USERS\Boned\Executive%20Councils\EC-55\Working%20documents\IFAG%20report\EC-55-5-1-Doc2_xy_v0.doc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oceanexpert.org/document/30554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ceanexpert.org/document/30475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oceanexpert.org/document/3043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ceanexpert.org/document/30317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ceanexpert.org/document/29205" TargetMode="External"/><Relationship Id="rId14" Type="http://schemas.openxmlformats.org/officeDocument/2006/relationships/hyperlink" Target="https://oceanexpert.org/document/28496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B2523-44B5-490A-9AF7-C60B89924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1623</Words>
  <Characters>10937</Characters>
  <Application>Microsoft Office Word</Application>
  <DocSecurity>0</DocSecurity>
  <Lines>183</Lines>
  <Paragraphs>49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Revised provisional agenda of the forty-seventh session of the Executive Council of the Intergovernmental Oceanographic Commission</vt:lpstr>
      <vt:lpstr>Revised provisional agenda of the forty-seventh session of the Executive Council of the Intergovernmental Oceanographic Commission</vt:lpstr>
      <vt:lpstr>Revised provisional agenda of the forty-seventh session of the Executive Council of the Intergovernmental Oceanographic Commission</vt:lpstr>
    </vt:vector>
  </TitlesOfParts>
  <Company>UNESCO</Company>
  <LinksUpToDate>false</LinksUpToDate>
  <CharactersWithSpaces>12513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председателя Межсессионной финансовой_x000d_
консультативной группы_x000d_
(Межсессионный период: декабрь 2021 г. – июнь 2022 г.)_x000d_
</dc:title>
  <dc:subject>IOC/EC-55/5.1.Doc(2)</dc:subject>
  <dc:creator>UNESCO</dc:creator>
  <cp:keywords>0</cp:keywords>
  <dc:description/>
  <cp:lastModifiedBy>Chakhvorostova, Valentina</cp:lastModifiedBy>
  <cp:revision>8</cp:revision>
  <cp:lastPrinted>2022-05-23T16:06:00Z</cp:lastPrinted>
  <dcterms:created xsi:type="dcterms:W3CDTF">2022-06-14T07:24:00Z</dcterms:created>
  <dcterms:modified xsi:type="dcterms:W3CDTF">2022-06-14T07:50:00Z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R</vt:lpwstr>
  </property>
  <property fmtid="{D5CDD505-2E9C-101B-9397-08002B2CF9AE}" pid="3" name="JobDCPMS">
    <vt:lpwstr>2201651</vt:lpwstr>
  </property>
</Properties>
</file>