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FD72D" w14:textId="77777777" w:rsidR="00FA68D9" w:rsidRPr="00812502" w:rsidRDefault="00FA68D9">
      <w:pPr>
        <w:rPr>
          <w:rFonts w:ascii="Arial" w:hAnsi="Arial" w:cs="Arial"/>
          <w:sz w:val="22"/>
          <w:szCs w:val="22"/>
          <w:lang w:val="es-ES_tradnl"/>
        </w:rPr>
      </w:pPr>
    </w:p>
    <w:tbl>
      <w:tblPr>
        <w:tblStyle w:val="TableGrid"/>
        <w:tblW w:w="6804" w:type="dxa"/>
        <w:jc w:val="center"/>
        <w:tblLayout w:type="fixed"/>
        <w:tblCellMar>
          <w:left w:w="227" w:type="dxa"/>
          <w:right w:w="227" w:type="dxa"/>
        </w:tblCellMar>
        <w:tblLook w:val="04A0" w:firstRow="1" w:lastRow="0" w:firstColumn="1" w:lastColumn="0" w:noHBand="0" w:noVBand="1"/>
      </w:tblPr>
      <w:tblGrid>
        <w:gridCol w:w="6804"/>
      </w:tblGrid>
      <w:tr w:rsidR="00FA68D9" w:rsidRPr="00812502" w14:paraId="4A65F42A" w14:textId="77777777" w:rsidTr="000351F9">
        <w:trPr>
          <w:trHeight w:val="2507"/>
          <w:jc w:val="center"/>
        </w:trPr>
        <w:tc>
          <w:tcPr>
            <w:tcW w:w="6804" w:type="dxa"/>
          </w:tcPr>
          <w:p w14:paraId="501E98D0" w14:textId="77777777" w:rsidR="001B5075" w:rsidRPr="00812502" w:rsidRDefault="001B5075" w:rsidP="000351F9">
            <w:pPr>
              <w:tabs>
                <w:tab w:val="clear" w:pos="567"/>
              </w:tabs>
              <w:snapToGrid/>
              <w:spacing w:before="120" w:after="240"/>
              <w:jc w:val="center"/>
              <w:rPr>
                <w:rFonts w:ascii="Arial" w:hAnsi="Arial" w:cs="Arial"/>
                <w:bCs/>
                <w:sz w:val="22"/>
                <w:szCs w:val="22"/>
                <w:u w:val="single"/>
                <w:lang w:val="es-ES_tradnl"/>
              </w:rPr>
            </w:pPr>
            <w:r w:rsidRPr="00812502">
              <w:rPr>
                <w:rFonts w:ascii="Arial" w:hAnsi="Arial" w:cs="Arial"/>
                <w:sz w:val="22"/>
                <w:szCs w:val="22"/>
                <w:u w:val="single"/>
                <w:lang w:val="es-ES_tradnl"/>
              </w:rPr>
              <w:t>Resumen</w:t>
            </w:r>
          </w:p>
          <w:p w14:paraId="40D937A2" w14:textId="0449B439" w:rsidR="006B18B7" w:rsidRPr="00812502" w:rsidRDefault="006B18B7" w:rsidP="000351F9">
            <w:pPr>
              <w:widowControl w:val="0"/>
              <w:shd w:val="clear" w:color="auto" w:fill="FFFFFF"/>
              <w:adjustRightInd w:val="0"/>
              <w:spacing w:after="240"/>
              <w:jc w:val="both"/>
              <w:textAlignment w:val="baseline"/>
              <w:rPr>
                <w:rFonts w:ascii="Arial" w:eastAsia="Times New Roman" w:hAnsi="Arial" w:cs="Arial"/>
                <w:sz w:val="22"/>
                <w:szCs w:val="22"/>
                <w:lang w:val="es-ES_tradnl"/>
              </w:rPr>
            </w:pPr>
            <w:r w:rsidRPr="00812502">
              <w:rPr>
                <w:rFonts w:ascii="Arial" w:hAnsi="Arial" w:cs="Arial"/>
                <w:sz w:val="22"/>
                <w:szCs w:val="22"/>
                <w:lang w:val="es-ES_tradnl"/>
              </w:rPr>
              <w:t xml:space="preserve">El presente documento </w:t>
            </w:r>
            <w:r w:rsidR="00A27F0A" w:rsidRPr="00812502">
              <w:rPr>
                <w:rFonts w:ascii="Arial" w:hAnsi="Arial" w:cs="Arial"/>
                <w:sz w:val="22"/>
                <w:szCs w:val="22"/>
                <w:lang w:val="es-ES_tradnl"/>
              </w:rPr>
              <w:t xml:space="preserve">contiene </w:t>
            </w:r>
            <w:r w:rsidRPr="00812502">
              <w:rPr>
                <w:rFonts w:ascii="Arial" w:hAnsi="Arial" w:cs="Arial"/>
                <w:sz w:val="22"/>
                <w:szCs w:val="22"/>
                <w:lang w:val="es-ES_tradnl"/>
              </w:rPr>
              <w:t xml:space="preserve">un breve informe del Presidente del Grupo Asesor sobre Finanzas para el periodo entre reuniones </w:t>
            </w:r>
            <w:r w:rsidR="00A62DB8" w:rsidRPr="00812502">
              <w:rPr>
                <w:rFonts w:ascii="Arial" w:hAnsi="Arial" w:cs="Arial"/>
                <w:sz w:val="22"/>
                <w:szCs w:val="22"/>
                <w:lang w:val="es-ES_tradnl"/>
              </w:rPr>
              <w:t xml:space="preserve">(IFAG, por sus siglas en inglés) </w:t>
            </w:r>
            <w:r w:rsidRPr="00812502">
              <w:rPr>
                <w:rFonts w:ascii="Arial" w:hAnsi="Arial" w:cs="Arial"/>
                <w:sz w:val="22"/>
                <w:szCs w:val="22"/>
                <w:lang w:val="es-ES_tradnl"/>
              </w:rPr>
              <w:t xml:space="preserve">acerca del trabajo realizado en el periodo entre reuniones </w:t>
            </w:r>
            <w:r w:rsidR="00A27F0A" w:rsidRPr="00812502">
              <w:rPr>
                <w:rFonts w:ascii="Arial" w:hAnsi="Arial" w:cs="Arial"/>
                <w:sz w:val="22"/>
                <w:szCs w:val="22"/>
                <w:lang w:val="es-ES_tradnl"/>
              </w:rPr>
              <w:t xml:space="preserve">comprendido entre </w:t>
            </w:r>
            <w:r w:rsidRPr="00812502">
              <w:rPr>
                <w:rFonts w:ascii="Arial" w:hAnsi="Arial" w:cs="Arial"/>
                <w:sz w:val="22"/>
                <w:szCs w:val="22"/>
                <w:lang w:val="es-ES_tradnl"/>
              </w:rPr>
              <w:t xml:space="preserve">diciembre de 2021 </w:t>
            </w:r>
            <w:r w:rsidR="00A27F0A" w:rsidRPr="00812502">
              <w:rPr>
                <w:rFonts w:ascii="Arial" w:hAnsi="Arial" w:cs="Arial"/>
                <w:sz w:val="22"/>
                <w:szCs w:val="22"/>
                <w:lang w:val="es-ES_tradnl"/>
              </w:rPr>
              <w:t xml:space="preserve">y </w:t>
            </w:r>
            <w:r w:rsidRPr="00812502">
              <w:rPr>
                <w:rFonts w:ascii="Arial" w:hAnsi="Arial" w:cs="Arial"/>
                <w:sz w:val="22"/>
                <w:szCs w:val="22"/>
                <w:lang w:val="es-ES_tradnl"/>
              </w:rPr>
              <w:t>junio de 2022.</w:t>
            </w:r>
          </w:p>
          <w:p w14:paraId="6838140C" w14:textId="77777777" w:rsidR="00FA68D9" w:rsidRPr="00812502" w:rsidRDefault="006B18B7" w:rsidP="000351F9">
            <w:pPr>
              <w:tabs>
                <w:tab w:val="clear" w:pos="567"/>
              </w:tabs>
              <w:snapToGrid/>
              <w:spacing w:after="240"/>
              <w:jc w:val="both"/>
              <w:rPr>
                <w:rFonts w:ascii="Arial" w:hAnsi="Arial" w:cs="Arial"/>
                <w:b/>
                <w:bCs/>
                <w:sz w:val="22"/>
                <w:szCs w:val="22"/>
                <w:lang w:val="es-ES_tradnl"/>
              </w:rPr>
            </w:pPr>
            <w:r w:rsidRPr="00812502">
              <w:rPr>
                <w:rFonts w:ascii="Arial" w:hAnsi="Arial" w:cs="Arial"/>
                <w:sz w:val="22"/>
                <w:szCs w:val="22"/>
                <w:lang w:val="es-ES_tradnl"/>
              </w:rPr>
              <w:t xml:space="preserve">La </w:t>
            </w:r>
            <w:r w:rsidRPr="00812502">
              <w:rPr>
                <w:rFonts w:ascii="Arial" w:hAnsi="Arial" w:cs="Arial"/>
                <w:sz w:val="22"/>
                <w:szCs w:val="22"/>
                <w:u w:val="single"/>
                <w:lang w:val="es-ES_tradnl"/>
              </w:rPr>
              <w:t>decisión propuesta</w:t>
            </w:r>
            <w:r w:rsidRPr="00812502">
              <w:rPr>
                <w:rFonts w:ascii="Arial" w:hAnsi="Arial" w:cs="Arial"/>
                <w:sz w:val="22"/>
                <w:szCs w:val="22"/>
                <w:lang w:val="es-ES_tradnl"/>
              </w:rPr>
              <w:t xml:space="preserve"> lleva la referencia Dec. EC-55/5.1 en el documento de decisión provisional (IOC/EC-55/AP).</w:t>
            </w:r>
          </w:p>
        </w:tc>
      </w:tr>
    </w:tbl>
    <w:p w14:paraId="6C29AE64" w14:textId="77777777" w:rsidR="000351F9" w:rsidRPr="00812502" w:rsidRDefault="000351F9" w:rsidP="000351F9">
      <w:pPr>
        <w:rPr>
          <w:lang w:val="es-ES_tradnl"/>
        </w:rPr>
      </w:pPr>
    </w:p>
    <w:p w14:paraId="1E9E8BD8" w14:textId="77777777" w:rsidR="000351F9" w:rsidRPr="00812502" w:rsidRDefault="000351F9">
      <w:pPr>
        <w:tabs>
          <w:tab w:val="clear" w:pos="567"/>
        </w:tabs>
        <w:snapToGrid/>
        <w:rPr>
          <w:rFonts w:ascii="Arial" w:hAnsi="Arial" w:cs="Arial"/>
          <w:sz w:val="22"/>
          <w:szCs w:val="22"/>
          <w:lang w:val="es-ES_tradnl"/>
        </w:rPr>
      </w:pPr>
      <w:r w:rsidRPr="00812502">
        <w:rPr>
          <w:rFonts w:ascii="Arial" w:hAnsi="Arial" w:cs="Arial"/>
          <w:sz w:val="22"/>
          <w:szCs w:val="22"/>
          <w:lang w:val="es-ES_tradnl"/>
        </w:rPr>
        <w:br w:type="page"/>
      </w:r>
    </w:p>
    <w:p w14:paraId="57BC72D5" w14:textId="16142A11" w:rsidR="006B18B7" w:rsidRPr="00812502" w:rsidRDefault="00FA68D9" w:rsidP="000351F9">
      <w:pPr>
        <w:pStyle w:val="ListParagraph"/>
        <w:numPr>
          <w:ilvl w:val="0"/>
          <w:numId w:val="36"/>
        </w:numPr>
        <w:spacing w:after="240"/>
        <w:ind w:left="0" w:firstLine="0"/>
        <w:contextualSpacing w:val="0"/>
        <w:jc w:val="both"/>
        <w:rPr>
          <w:rFonts w:asciiTheme="minorBidi" w:hAnsiTheme="minorBidi" w:cstheme="minorBidi"/>
          <w:sz w:val="22"/>
          <w:szCs w:val="22"/>
          <w:lang w:val="es-ES_tradnl"/>
        </w:rPr>
      </w:pPr>
      <w:r w:rsidRPr="00812502">
        <w:rPr>
          <w:rFonts w:asciiTheme="minorBidi" w:hAnsiTheme="minorBidi" w:cstheme="minorBidi"/>
          <w:sz w:val="22"/>
          <w:szCs w:val="22"/>
          <w:lang w:val="es-ES_tradnl"/>
        </w:rPr>
        <w:lastRenderedPageBreak/>
        <w:t xml:space="preserve">De conformidad con la </w:t>
      </w:r>
      <w:hyperlink r:id="rId8" w:history="1">
        <w:r w:rsidRPr="00812502">
          <w:rPr>
            <w:rStyle w:val="Hyperlink"/>
            <w:rFonts w:asciiTheme="minorBidi" w:hAnsiTheme="minorBidi" w:cstheme="minorBidi"/>
            <w:sz w:val="22"/>
            <w:szCs w:val="22"/>
            <w:lang w:val="es-ES_tradnl"/>
          </w:rPr>
          <w:t>resolución A-31/2</w:t>
        </w:r>
      </w:hyperlink>
      <w:r w:rsidRPr="00812502">
        <w:rPr>
          <w:rFonts w:asciiTheme="minorBidi" w:hAnsiTheme="minorBidi" w:cstheme="minorBidi"/>
          <w:sz w:val="22"/>
          <w:szCs w:val="22"/>
          <w:lang w:val="es-ES_tradnl"/>
        </w:rPr>
        <w:t xml:space="preserve"> de la COI, el Grupo Asesor sobre Finanzas para el periodo entre reuniones se reconstituyó mediante una convocatoria de candidaturas dirigida a los Estados Miembros en la circular </w:t>
      </w:r>
      <w:hyperlink r:id="rId9" w:history="1">
        <w:r w:rsidRPr="00812502">
          <w:rPr>
            <w:rStyle w:val="Hyperlink"/>
            <w:rFonts w:asciiTheme="minorBidi" w:hAnsiTheme="minorBidi" w:cstheme="minorBidi"/>
            <w:sz w:val="22"/>
            <w:szCs w:val="22"/>
            <w:lang w:val="es-ES_tradnl"/>
          </w:rPr>
          <w:t>2862</w:t>
        </w:r>
      </w:hyperlink>
      <w:r w:rsidRPr="00812502">
        <w:rPr>
          <w:rFonts w:asciiTheme="minorBidi" w:hAnsiTheme="minorBidi" w:cstheme="minorBidi"/>
          <w:sz w:val="22"/>
          <w:szCs w:val="22"/>
          <w:lang w:val="es-ES_tradnl"/>
        </w:rPr>
        <w:t xml:space="preserve"> de la COI de fecha 20 de octubre de 2021. </w:t>
      </w:r>
    </w:p>
    <w:p w14:paraId="738E312A" w14:textId="0313425D" w:rsidR="00C73498" w:rsidRPr="00812502" w:rsidRDefault="006B18B7" w:rsidP="000351F9">
      <w:pPr>
        <w:pStyle w:val="ListParagraph"/>
        <w:numPr>
          <w:ilvl w:val="0"/>
          <w:numId w:val="36"/>
        </w:numPr>
        <w:spacing w:after="240"/>
        <w:ind w:left="0" w:firstLine="0"/>
        <w:contextualSpacing w:val="0"/>
        <w:jc w:val="both"/>
        <w:rPr>
          <w:rFonts w:asciiTheme="minorBidi" w:hAnsiTheme="minorBidi" w:cstheme="minorBidi"/>
          <w:sz w:val="22"/>
          <w:szCs w:val="22"/>
          <w:lang w:val="es-ES_tradnl"/>
        </w:rPr>
      </w:pPr>
      <w:r w:rsidRPr="00812502">
        <w:rPr>
          <w:rFonts w:asciiTheme="minorBidi" w:hAnsiTheme="minorBidi" w:cstheme="minorBidi"/>
          <w:sz w:val="22"/>
          <w:szCs w:val="22"/>
          <w:lang w:val="es-ES_tradnl"/>
        </w:rPr>
        <w:t xml:space="preserve">Como es habitual, el Grupo comenzó a trabajar por correspondencia y finalizó sus conclusiones en </w:t>
      </w:r>
      <w:r w:rsidR="00B4710E" w:rsidRPr="00812502">
        <w:rPr>
          <w:rFonts w:asciiTheme="minorBidi" w:hAnsiTheme="minorBidi" w:cstheme="minorBidi"/>
          <w:sz w:val="22"/>
          <w:szCs w:val="22"/>
          <w:lang w:val="es-ES_tradnl"/>
        </w:rPr>
        <w:t>una</w:t>
      </w:r>
      <w:r w:rsidRPr="00812502">
        <w:rPr>
          <w:rFonts w:asciiTheme="minorBidi" w:hAnsiTheme="minorBidi" w:cstheme="minorBidi"/>
          <w:sz w:val="22"/>
          <w:szCs w:val="22"/>
          <w:lang w:val="es-ES_tradnl"/>
        </w:rPr>
        <w:t xml:space="preserve"> reunión presencial el 13 de junio de 2022. En total, 18 Estados Miembros </w:t>
      </w:r>
      <w:r w:rsidR="000B439F">
        <w:rPr>
          <w:rFonts w:asciiTheme="minorBidi" w:hAnsiTheme="minorBidi" w:cstheme="minorBidi"/>
          <w:sz w:val="22"/>
          <w:szCs w:val="22"/>
          <w:lang w:val="es-ES_tradnl"/>
        </w:rPr>
        <w:br/>
      </w:r>
      <w:r w:rsidR="00B4710E" w:rsidRPr="00812502">
        <w:rPr>
          <w:rFonts w:asciiTheme="minorBidi" w:hAnsiTheme="minorBidi" w:cstheme="minorBidi"/>
          <w:sz w:val="22"/>
          <w:szCs w:val="22"/>
          <w:lang w:val="es-ES_tradnl"/>
        </w:rPr>
        <w:t>—</w:t>
      </w:r>
      <w:r w:rsidRPr="00812502">
        <w:rPr>
          <w:rFonts w:asciiTheme="minorBidi" w:hAnsiTheme="minorBidi" w:cstheme="minorBidi"/>
          <w:sz w:val="22"/>
          <w:szCs w:val="22"/>
          <w:lang w:val="es-ES_tradnl"/>
        </w:rPr>
        <w:t>Alemania, Argentina, Australia, Bangladesh, Bélgica, Benin, Canadá, China, Egipto, Estados Unidos de América, Federación de Rusia, Granada, Japón, Kuwait, Noruega, Portugal, Reino Unido y Türkiye</w:t>
      </w:r>
      <w:r w:rsidR="00B4710E" w:rsidRPr="00812502">
        <w:rPr>
          <w:rFonts w:asciiTheme="minorBidi" w:hAnsiTheme="minorBidi" w:cstheme="minorBidi"/>
          <w:sz w:val="22"/>
          <w:szCs w:val="22"/>
          <w:lang w:val="es-ES_tradnl"/>
        </w:rPr>
        <w:t>—</w:t>
      </w:r>
      <w:r w:rsidRPr="00812502">
        <w:rPr>
          <w:rFonts w:asciiTheme="minorBidi" w:hAnsiTheme="minorBidi" w:cstheme="minorBidi"/>
          <w:sz w:val="22"/>
          <w:szCs w:val="22"/>
          <w:lang w:val="es-ES_tradnl"/>
        </w:rPr>
        <w:t xml:space="preserve"> participaron en los trabajos del Grupo, presidido por el Vicepresidente de la COI, el Sr.</w:t>
      </w:r>
      <w:r w:rsidR="00495FD4" w:rsidRPr="00812502">
        <w:rPr>
          <w:rFonts w:asciiTheme="minorBidi" w:hAnsiTheme="minorBidi" w:cstheme="minorBidi"/>
          <w:sz w:val="22"/>
          <w:szCs w:val="22"/>
          <w:lang w:val="es-ES_tradnl"/>
        </w:rPr>
        <w:t> </w:t>
      </w:r>
      <w:r w:rsidRPr="00812502">
        <w:rPr>
          <w:rFonts w:asciiTheme="minorBidi" w:hAnsiTheme="minorBidi" w:cstheme="minorBidi"/>
          <w:sz w:val="22"/>
          <w:szCs w:val="22"/>
          <w:lang w:val="es-ES_tradnl"/>
        </w:rPr>
        <w:t xml:space="preserve">Karim Hilmi, de Marruecos. </w:t>
      </w:r>
    </w:p>
    <w:p w14:paraId="310105A8" w14:textId="77777777" w:rsidR="006B18B7" w:rsidRPr="00812502" w:rsidRDefault="006B18B7" w:rsidP="000351F9">
      <w:pPr>
        <w:pStyle w:val="ListParagraph"/>
        <w:numPr>
          <w:ilvl w:val="0"/>
          <w:numId w:val="36"/>
        </w:numPr>
        <w:spacing w:after="240"/>
        <w:ind w:left="0" w:firstLine="0"/>
        <w:contextualSpacing w:val="0"/>
        <w:jc w:val="both"/>
        <w:rPr>
          <w:rFonts w:asciiTheme="minorBidi" w:hAnsiTheme="minorBidi" w:cstheme="minorBidi"/>
          <w:sz w:val="22"/>
          <w:szCs w:val="22"/>
          <w:lang w:val="es-ES_tradnl"/>
        </w:rPr>
      </w:pPr>
      <w:r w:rsidRPr="00812502">
        <w:rPr>
          <w:rFonts w:asciiTheme="minorBidi" w:hAnsiTheme="minorBidi" w:cstheme="minorBidi"/>
          <w:sz w:val="22"/>
          <w:szCs w:val="22"/>
          <w:lang w:val="es-ES_tradnl"/>
        </w:rPr>
        <w:t xml:space="preserve">Centrándose, de acuerdo con lo dispuesto por la Asamblea de la COI en su 31ª reunión, en los temas de la resolución A-31/2 de la COI y de conformidad con el mandato del </w:t>
      </w:r>
      <w:r w:rsidR="00B4710E" w:rsidRPr="00812502">
        <w:rPr>
          <w:rFonts w:asciiTheme="minorBidi" w:hAnsiTheme="minorBidi" w:cstheme="minorBidi"/>
          <w:sz w:val="22"/>
          <w:szCs w:val="22"/>
          <w:lang w:val="es-ES_tradnl"/>
        </w:rPr>
        <w:t>IFAG</w:t>
      </w:r>
      <w:r w:rsidRPr="00812502">
        <w:rPr>
          <w:rFonts w:asciiTheme="minorBidi" w:hAnsiTheme="minorBidi" w:cstheme="minorBidi"/>
          <w:sz w:val="22"/>
          <w:szCs w:val="22"/>
          <w:lang w:val="es-ES_tradnl"/>
        </w:rPr>
        <w:t xml:space="preserve"> (anexo 2 de la resolución XXVIII-3 de la COI), el Grupo estructuró sus debates en tres partes principales de la siguiente manera:</w:t>
      </w:r>
    </w:p>
    <w:p w14:paraId="0F42B901" w14:textId="77777777" w:rsidR="006B18B7" w:rsidRPr="00812502" w:rsidRDefault="006B18B7" w:rsidP="000351F9">
      <w:pPr>
        <w:pStyle w:val="ListParagraph"/>
        <w:numPr>
          <w:ilvl w:val="0"/>
          <w:numId w:val="30"/>
        </w:numPr>
        <w:tabs>
          <w:tab w:val="clear" w:pos="567"/>
          <w:tab w:val="left" w:pos="709"/>
        </w:tabs>
        <w:spacing w:after="240"/>
        <w:contextualSpacing w:val="0"/>
        <w:jc w:val="center"/>
        <w:rPr>
          <w:rFonts w:asciiTheme="minorBidi" w:hAnsiTheme="minorBidi" w:cstheme="minorBidi"/>
          <w:b/>
          <w:color w:val="231F20"/>
          <w:sz w:val="22"/>
          <w:szCs w:val="22"/>
          <w:lang w:val="es-ES_tradnl"/>
        </w:rPr>
      </w:pPr>
      <w:r w:rsidRPr="00812502">
        <w:rPr>
          <w:rFonts w:asciiTheme="minorBidi" w:hAnsiTheme="minorBidi" w:cstheme="minorBidi"/>
          <w:b/>
          <w:bCs/>
          <w:sz w:val="22"/>
          <w:szCs w:val="22"/>
          <w:lang w:val="es-ES_tradnl"/>
        </w:rPr>
        <w:t>Ejecución del presupuesto para 2020-2021 al 31 de diciembre de 2021</w:t>
      </w:r>
      <w:r w:rsidR="00B56215" w:rsidRPr="00812502">
        <w:rPr>
          <w:rFonts w:asciiTheme="minorBidi" w:hAnsiTheme="minorBidi" w:cstheme="minorBidi"/>
          <w:b/>
          <w:bCs/>
          <w:sz w:val="22"/>
          <w:szCs w:val="22"/>
          <w:lang w:val="es-ES_tradnl"/>
        </w:rPr>
        <w:t>,</w:t>
      </w:r>
      <w:r w:rsidRPr="00812502">
        <w:rPr>
          <w:rFonts w:asciiTheme="minorBidi" w:hAnsiTheme="minorBidi" w:cstheme="minorBidi"/>
          <w:b/>
          <w:bCs/>
          <w:sz w:val="22"/>
          <w:szCs w:val="22"/>
          <w:lang w:val="es-ES_tradnl"/>
        </w:rPr>
        <w:t xml:space="preserve"> presentación del marco presupuestario integrado para 2022-2023 y situación financiera de la Cuenta Especial de la COI a finales de 2021 y previsión para 2022-2023</w:t>
      </w:r>
    </w:p>
    <w:p w14:paraId="1BBE4303" w14:textId="479A7798" w:rsidR="006B18B7" w:rsidRPr="00812502" w:rsidRDefault="006B18B7" w:rsidP="000351F9">
      <w:pPr>
        <w:pStyle w:val="ListParagraph"/>
        <w:numPr>
          <w:ilvl w:val="0"/>
          <w:numId w:val="36"/>
        </w:numPr>
        <w:spacing w:after="240"/>
        <w:ind w:left="0" w:firstLine="0"/>
        <w:contextualSpacing w:val="0"/>
        <w:jc w:val="both"/>
        <w:rPr>
          <w:rFonts w:asciiTheme="minorBidi" w:hAnsiTheme="minorBidi" w:cstheme="minorBidi"/>
          <w:color w:val="231F20"/>
          <w:sz w:val="22"/>
          <w:szCs w:val="22"/>
          <w:lang w:val="es-ES_tradnl"/>
        </w:rPr>
      </w:pPr>
      <w:r w:rsidRPr="00812502">
        <w:rPr>
          <w:rFonts w:asciiTheme="minorBidi" w:hAnsiTheme="minorBidi" w:cstheme="minorBidi"/>
          <w:sz w:val="22"/>
          <w:szCs w:val="22"/>
          <w:lang w:val="es-ES_tradnl"/>
        </w:rPr>
        <w:t xml:space="preserve">En este contexto, el Grupo examinó los documentos </w:t>
      </w:r>
      <w:hyperlink r:id="rId10" w:history="1">
        <w:r w:rsidRPr="00812502">
          <w:rPr>
            <w:rStyle w:val="Hyperlink"/>
            <w:rFonts w:asciiTheme="minorBidi" w:hAnsiTheme="minorBidi" w:cstheme="minorBidi"/>
            <w:sz w:val="22"/>
            <w:szCs w:val="22"/>
            <w:lang w:val="es-ES_tradnl"/>
          </w:rPr>
          <w:t>IOC/EC-55/3.1.Doc(1)</w:t>
        </w:r>
      </w:hyperlink>
      <w:r w:rsidRPr="00812502">
        <w:rPr>
          <w:rFonts w:asciiTheme="minorBidi" w:hAnsiTheme="minorBidi" w:cstheme="minorBidi"/>
          <w:sz w:val="22"/>
          <w:szCs w:val="22"/>
          <w:lang w:val="es-ES_tradnl"/>
        </w:rPr>
        <w:t xml:space="preserve"> e </w:t>
      </w:r>
      <w:hyperlink r:id="rId11" w:history="1">
        <w:r w:rsidRPr="00812502">
          <w:rPr>
            <w:rStyle w:val="Hyperlink"/>
            <w:rFonts w:asciiTheme="minorBidi" w:hAnsiTheme="minorBidi" w:cstheme="minorBidi"/>
            <w:sz w:val="22"/>
            <w:szCs w:val="22"/>
            <w:lang w:val="es-ES_tradnl"/>
          </w:rPr>
          <w:t>IOC/EC</w:t>
        </w:r>
        <w:r w:rsidR="000351F9" w:rsidRPr="00812502">
          <w:rPr>
            <w:rStyle w:val="Hyperlink"/>
            <w:rFonts w:asciiTheme="minorBidi" w:hAnsiTheme="minorBidi" w:cstheme="minorBidi"/>
            <w:sz w:val="22"/>
            <w:szCs w:val="22"/>
            <w:lang w:val="es-ES_tradnl"/>
          </w:rPr>
          <w:noBreakHyphen/>
        </w:r>
        <w:r w:rsidRPr="00812502">
          <w:rPr>
            <w:rStyle w:val="Hyperlink"/>
            <w:rFonts w:asciiTheme="minorBidi" w:hAnsiTheme="minorBidi" w:cstheme="minorBidi"/>
            <w:sz w:val="22"/>
            <w:szCs w:val="22"/>
            <w:lang w:val="es-ES_tradnl"/>
          </w:rPr>
          <w:t>55/3.1.Doc(2)</w:t>
        </w:r>
      </w:hyperlink>
      <w:r w:rsidRPr="00812502">
        <w:rPr>
          <w:rFonts w:asciiTheme="minorBidi" w:hAnsiTheme="minorBidi" w:cstheme="minorBidi"/>
          <w:sz w:val="22"/>
          <w:szCs w:val="22"/>
          <w:lang w:val="es-ES_tradnl"/>
        </w:rPr>
        <w:t>. Se mostró satisfecho con el índice de ejecución global para el bienio</w:t>
      </w:r>
      <w:r w:rsidR="000351F9" w:rsidRPr="00812502">
        <w:rPr>
          <w:rFonts w:asciiTheme="minorBidi" w:hAnsiTheme="minorBidi" w:cstheme="minorBidi"/>
          <w:sz w:val="22"/>
          <w:szCs w:val="22"/>
          <w:lang w:val="es-ES_tradnl"/>
        </w:rPr>
        <w:t> </w:t>
      </w:r>
      <w:r w:rsidRPr="00812502">
        <w:rPr>
          <w:rFonts w:asciiTheme="minorBidi" w:hAnsiTheme="minorBidi" w:cstheme="minorBidi"/>
          <w:sz w:val="22"/>
          <w:szCs w:val="22"/>
          <w:lang w:val="es-ES_tradnl"/>
        </w:rPr>
        <w:t>2020</w:t>
      </w:r>
      <w:r w:rsidR="000351F9" w:rsidRPr="00812502">
        <w:rPr>
          <w:rFonts w:asciiTheme="minorBidi" w:hAnsiTheme="minorBidi" w:cstheme="minorBidi"/>
          <w:sz w:val="22"/>
          <w:szCs w:val="22"/>
          <w:lang w:val="es-ES_tradnl"/>
        </w:rPr>
        <w:noBreakHyphen/>
      </w:r>
      <w:r w:rsidRPr="00812502">
        <w:rPr>
          <w:rFonts w:asciiTheme="minorBidi" w:hAnsiTheme="minorBidi" w:cstheme="minorBidi"/>
          <w:sz w:val="22"/>
          <w:szCs w:val="22"/>
          <w:lang w:val="es-ES_tradnl"/>
        </w:rPr>
        <w:t xml:space="preserve">2021 y, en particular, con el índice del 100% para la parte del presupuesto ordinario. La Asamblea de la COI, en su 31ª reunión en junio de 2021, </w:t>
      </w:r>
      <w:r w:rsidR="008C0036" w:rsidRPr="00812502">
        <w:rPr>
          <w:rFonts w:asciiTheme="minorBidi" w:hAnsiTheme="minorBidi" w:cstheme="minorBidi"/>
          <w:sz w:val="22"/>
          <w:szCs w:val="22"/>
          <w:lang w:val="es-ES_tradnl"/>
        </w:rPr>
        <w:t>había tomado</w:t>
      </w:r>
      <w:r w:rsidRPr="00812502">
        <w:rPr>
          <w:rFonts w:asciiTheme="minorBidi" w:hAnsiTheme="minorBidi" w:cstheme="minorBidi"/>
          <w:sz w:val="22"/>
          <w:szCs w:val="22"/>
          <w:lang w:val="es-ES_tradnl"/>
        </w:rPr>
        <w:t xml:space="preserve"> nota del índice de ejecución ligeramente inferior al habitual en el primer año del bienio debido a las condiciones de trabajo en el marco de la pandemia de COVID-19, pero, en consonancia con el compromiso del Secretario Ejecutivo, la Secretaría </w:t>
      </w:r>
      <w:r w:rsidR="008C0036" w:rsidRPr="00812502">
        <w:rPr>
          <w:rFonts w:asciiTheme="minorBidi" w:hAnsiTheme="minorBidi" w:cstheme="minorBidi"/>
          <w:sz w:val="22"/>
          <w:szCs w:val="22"/>
          <w:lang w:val="es-ES_tradnl"/>
        </w:rPr>
        <w:t>había podido</w:t>
      </w:r>
      <w:r w:rsidRPr="00812502">
        <w:rPr>
          <w:rFonts w:asciiTheme="minorBidi" w:hAnsiTheme="minorBidi" w:cstheme="minorBidi"/>
          <w:sz w:val="22"/>
          <w:szCs w:val="22"/>
          <w:lang w:val="es-ES_tradnl"/>
        </w:rPr>
        <w:t xml:space="preserve"> ejecutar plenamente el programa de trabajo bienal a finales de 2021.</w:t>
      </w:r>
    </w:p>
    <w:p w14:paraId="6D1D976A" w14:textId="0ED4D8EE" w:rsidR="006B18B7" w:rsidRPr="00812502" w:rsidRDefault="00A80BFF" w:rsidP="000351F9">
      <w:pPr>
        <w:pStyle w:val="ListParagraph"/>
        <w:numPr>
          <w:ilvl w:val="0"/>
          <w:numId w:val="36"/>
        </w:numPr>
        <w:spacing w:after="240"/>
        <w:ind w:left="0" w:firstLine="0"/>
        <w:contextualSpacing w:val="0"/>
        <w:jc w:val="both"/>
        <w:rPr>
          <w:rFonts w:asciiTheme="minorBidi" w:hAnsiTheme="minorBidi" w:cstheme="minorBidi"/>
          <w:color w:val="231F20"/>
          <w:sz w:val="22"/>
          <w:szCs w:val="22"/>
          <w:lang w:val="es-ES_tradnl"/>
        </w:rPr>
      </w:pPr>
      <w:r w:rsidRPr="00812502">
        <w:rPr>
          <w:rFonts w:asciiTheme="minorBidi" w:hAnsiTheme="minorBidi" w:cstheme="minorBidi"/>
          <w:sz w:val="22"/>
          <w:szCs w:val="22"/>
          <w:lang w:val="es-ES_tradnl"/>
        </w:rPr>
        <w:t>El</w:t>
      </w:r>
      <w:r w:rsidR="006B18B7" w:rsidRPr="00812502">
        <w:rPr>
          <w:rFonts w:asciiTheme="minorBidi" w:hAnsiTheme="minorBidi" w:cstheme="minorBidi"/>
          <w:sz w:val="22"/>
          <w:szCs w:val="22"/>
          <w:lang w:val="es-ES_tradnl"/>
        </w:rPr>
        <w:t xml:space="preserve"> Grupo observó </w:t>
      </w:r>
      <w:r w:rsidRPr="00812502">
        <w:rPr>
          <w:rFonts w:asciiTheme="minorBidi" w:hAnsiTheme="minorBidi" w:cstheme="minorBidi"/>
          <w:sz w:val="22"/>
          <w:szCs w:val="22"/>
          <w:lang w:val="es-ES_tradnl"/>
        </w:rPr>
        <w:t xml:space="preserve">además </w:t>
      </w:r>
      <w:r w:rsidR="006B18B7" w:rsidRPr="00812502">
        <w:rPr>
          <w:rFonts w:asciiTheme="minorBidi" w:hAnsiTheme="minorBidi" w:cstheme="minorBidi"/>
          <w:sz w:val="22"/>
          <w:szCs w:val="22"/>
          <w:lang w:val="es-ES_tradnl"/>
        </w:rPr>
        <w:t xml:space="preserve">que el objetivo de movilización de recursos extrapresupuestarios fijado para el bienio 2020-2021 se había alcanzado hasta el nivel del 92% en total, pero con diferencias entre las funciones de la Comisión. El </w:t>
      </w:r>
      <w:r w:rsidR="00506424" w:rsidRPr="00812502">
        <w:rPr>
          <w:rFonts w:asciiTheme="minorBidi" w:hAnsiTheme="minorBidi" w:cstheme="minorBidi"/>
          <w:sz w:val="22"/>
          <w:szCs w:val="22"/>
          <w:lang w:val="es-ES_tradnl"/>
        </w:rPr>
        <w:t>IFAG</w:t>
      </w:r>
      <w:r w:rsidR="006B18B7" w:rsidRPr="00812502">
        <w:rPr>
          <w:rFonts w:asciiTheme="minorBidi" w:hAnsiTheme="minorBidi" w:cstheme="minorBidi"/>
          <w:sz w:val="22"/>
          <w:szCs w:val="22"/>
          <w:lang w:val="es-ES_tradnl"/>
        </w:rPr>
        <w:t xml:space="preserve"> dio las gracias a todos los Estados Miembros que habían contribuido al presupuesto de la Comisión en el bienio 2020-2021, señalando una serie de nuevas alianzas prometedoras y un mayor nivel de inversión en el desarrollo de capacidades.</w:t>
      </w:r>
    </w:p>
    <w:p w14:paraId="2346A8BB" w14:textId="3BAA498F" w:rsidR="006B18B7" w:rsidRPr="00812502" w:rsidRDefault="006B18B7" w:rsidP="000351F9">
      <w:pPr>
        <w:pStyle w:val="ListParagraph"/>
        <w:numPr>
          <w:ilvl w:val="0"/>
          <w:numId w:val="36"/>
        </w:numPr>
        <w:spacing w:after="240"/>
        <w:ind w:left="0" w:firstLine="0"/>
        <w:contextualSpacing w:val="0"/>
        <w:jc w:val="both"/>
        <w:rPr>
          <w:rFonts w:asciiTheme="minorBidi" w:hAnsiTheme="minorBidi" w:cstheme="minorBidi"/>
          <w:color w:val="231F20"/>
          <w:sz w:val="22"/>
          <w:szCs w:val="22"/>
          <w:lang w:val="es-ES_tradnl"/>
        </w:rPr>
      </w:pPr>
      <w:r w:rsidRPr="00812502">
        <w:rPr>
          <w:rFonts w:asciiTheme="minorBidi" w:hAnsiTheme="minorBidi" w:cstheme="minorBidi"/>
          <w:sz w:val="22"/>
          <w:szCs w:val="22"/>
          <w:lang w:val="es-ES_tradnl"/>
        </w:rPr>
        <w:t>El Grupo quedó satisfecho por el hecho de que el marco presupuestario integrado para</w:t>
      </w:r>
      <w:r w:rsidR="000351F9" w:rsidRPr="00812502">
        <w:rPr>
          <w:rFonts w:asciiTheme="minorBidi" w:hAnsiTheme="minorBidi" w:cstheme="minorBidi"/>
          <w:sz w:val="22"/>
          <w:szCs w:val="22"/>
          <w:lang w:val="es-ES_tradnl"/>
        </w:rPr>
        <w:t> </w:t>
      </w:r>
      <w:r w:rsidRPr="00812502">
        <w:rPr>
          <w:rFonts w:asciiTheme="minorBidi" w:hAnsiTheme="minorBidi" w:cstheme="minorBidi"/>
          <w:sz w:val="22"/>
          <w:szCs w:val="22"/>
          <w:lang w:val="es-ES_tradnl"/>
        </w:rPr>
        <w:t>2022</w:t>
      </w:r>
      <w:r w:rsidR="000351F9" w:rsidRPr="00812502">
        <w:rPr>
          <w:rFonts w:asciiTheme="minorBidi" w:hAnsiTheme="minorBidi" w:cstheme="minorBidi"/>
          <w:sz w:val="22"/>
          <w:szCs w:val="22"/>
          <w:lang w:val="es-ES_tradnl"/>
        </w:rPr>
        <w:noBreakHyphen/>
      </w:r>
      <w:r w:rsidRPr="00812502">
        <w:rPr>
          <w:rFonts w:asciiTheme="minorBidi" w:hAnsiTheme="minorBidi" w:cstheme="minorBidi"/>
          <w:sz w:val="22"/>
          <w:szCs w:val="22"/>
          <w:lang w:val="es-ES_tradnl"/>
        </w:rPr>
        <w:t>2023 hubiera sido aprobado por la Conferencia General de la UNESCO en su 41ª</w:t>
      </w:r>
      <w:r w:rsidR="000351F9" w:rsidRPr="00812502">
        <w:rPr>
          <w:rFonts w:asciiTheme="minorBidi" w:hAnsiTheme="minorBidi" w:cstheme="minorBidi"/>
          <w:sz w:val="22"/>
          <w:szCs w:val="22"/>
          <w:lang w:val="es-ES_tradnl"/>
        </w:rPr>
        <w:t> </w:t>
      </w:r>
      <w:r w:rsidRPr="00812502">
        <w:rPr>
          <w:rFonts w:asciiTheme="minorBidi" w:hAnsiTheme="minorBidi" w:cstheme="minorBidi"/>
          <w:sz w:val="22"/>
          <w:szCs w:val="22"/>
          <w:lang w:val="es-ES_tradnl"/>
        </w:rPr>
        <w:t xml:space="preserve">reunión, una vez examinado por la Asamblea en el documento </w:t>
      </w:r>
      <w:hyperlink r:id="rId12" w:history="1">
        <w:r w:rsidRPr="00812502">
          <w:rPr>
            <w:rStyle w:val="Hyperlink"/>
            <w:rFonts w:asciiTheme="minorBidi" w:hAnsiTheme="minorBidi" w:cstheme="minorBidi"/>
            <w:sz w:val="22"/>
            <w:szCs w:val="22"/>
            <w:lang w:val="es-ES_tradnl"/>
          </w:rPr>
          <w:t>IOC/A-31/4.2.Doc</w:t>
        </w:r>
      </w:hyperlink>
      <w:r w:rsidRPr="00812502">
        <w:rPr>
          <w:rFonts w:asciiTheme="minorBidi" w:hAnsiTheme="minorBidi" w:cstheme="minorBidi"/>
          <w:sz w:val="22"/>
          <w:szCs w:val="22"/>
          <w:lang w:val="es-ES_tradnl"/>
        </w:rPr>
        <w:t xml:space="preserve"> y aprobado en la resolución A-31/2 de la COI.</w:t>
      </w:r>
    </w:p>
    <w:p w14:paraId="68C3E513" w14:textId="77777777" w:rsidR="006B18B7" w:rsidRPr="00812502" w:rsidRDefault="006B18B7" w:rsidP="000351F9">
      <w:pPr>
        <w:pStyle w:val="ListParagraph"/>
        <w:numPr>
          <w:ilvl w:val="0"/>
          <w:numId w:val="30"/>
        </w:numPr>
        <w:tabs>
          <w:tab w:val="clear" w:pos="567"/>
          <w:tab w:val="left" w:pos="709"/>
        </w:tabs>
        <w:spacing w:after="240"/>
        <w:contextualSpacing w:val="0"/>
        <w:jc w:val="center"/>
        <w:rPr>
          <w:rFonts w:asciiTheme="minorBidi" w:hAnsiTheme="minorBidi" w:cstheme="minorBidi"/>
          <w:b/>
          <w:color w:val="231F20"/>
          <w:sz w:val="22"/>
          <w:szCs w:val="22"/>
          <w:lang w:val="es-ES_tradnl"/>
        </w:rPr>
      </w:pPr>
      <w:r w:rsidRPr="00812502">
        <w:rPr>
          <w:rFonts w:asciiTheme="minorBidi" w:hAnsiTheme="minorBidi" w:cstheme="minorBidi"/>
          <w:b/>
          <w:bCs/>
          <w:sz w:val="22"/>
          <w:szCs w:val="22"/>
          <w:lang w:val="es-ES_tradnl"/>
        </w:rPr>
        <w:t>Examen del Reglamento de la COI</w:t>
      </w:r>
    </w:p>
    <w:p w14:paraId="0295D146" w14:textId="1A939D8A" w:rsidR="006B18B7" w:rsidRPr="00812502" w:rsidRDefault="006B18B7" w:rsidP="000351F9">
      <w:pPr>
        <w:pStyle w:val="ListParagraph"/>
        <w:numPr>
          <w:ilvl w:val="0"/>
          <w:numId w:val="36"/>
        </w:numPr>
        <w:spacing w:after="240"/>
        <w:ind w:left="0" w:firstLine="0"/>
        <w:contextualSpacing w:val="0"/>
        <w:jc w:val="both"/>
        <w:rPr>
          <w:rFonts w:asciiTheme="minorBidi" w:hAnsiTheme="minorBidi" w:cstheme="minorBidi"/>
          <w:sz w:val="22"/>
          <w:szCs w:val="22"/>
          <w:lang w:val="es-ES_tradnl"/>
        </w:rPr>
      </w:pPr>
      <w:r w:rsidRPr="00812502">
        <w:rPr>
          <w:rFonts w:asciiTheme="minorBidi" w:hAnsiTheme="minorBidi" w:cstheme="minorBidi"/>
          <w:sz w:val="22"/>
          <w:szCs w:val="22"/>
          <w:lang w:val="es-ES_tradnl"/>
        </w:rPr>
        <w:t xml:space="preserve">En </w:t>
      </w:r>
      <w:r w:rsidR="004C04EE" w:rsidRPr="00812502">
        <w:rPr>
          <w:rFonts w:asciiTheme="minorBidi" w:hAnsiTheme="minorBidi" w:cstheme="minorBidi"/>
          <w:sz w:val="22"/>
          <w:szCs w:val="22"/>
          <w:lang w:val="es-ES_tradnl"/>
        </w:rPr>
        <w:t>la</w:t>
      </w:r>
      <w:r w:rsidRPr="00812502">
        <w:rPr>
          <w:rFonts w:asciiTheme="minorBidi" w:hAnsiTheme="minorBidi" w:cstheme="minorBidi"/>
          <w:sz w:val="22"/>
          <w:szCs w:val="22"/>
          <w:lang w:val="es-ES_tradnl"/>
        </w:rPr>
        <w:t xml:space="preserve"> resolución A-31/2, </w:t>
      </w:r>
      <w:r w:rsidR="00A27F0A" w:rsidRPr="00812502">
        <w:rPr>
          <w:rFonts w:asciiTheme="minorBidi" w:hAnsiTheme="minorBidi" w:cstheme="minorBidi"/>
          <w:sz w:val="22"/>
          <w:szCs w:val="22"/>
          <w:lang w:val="es-ES_tradnl"/>
        </w:rPr>
        <w:t xml:space="preserve">aprobada </w:t>
      </w:r>
      <w:r w:rsidRPr="00812502">
        <w:rPr>
          <w:rFonts w:asciiTheme="minorBidi" w:hAnsiTheme="minorBidi" w:cstheme="minorBidi"/>
          <w:sz w:val="22"/>
          <w:szCs w:val="22"/>
          <w:lang w:val="es-ES_tradnl"/>
        </w:rPr>
        <w:t>por la Asamblea en su 31ª reunión en 2021, se pedía “</w:t>
      </w:r>
      <w:r w:rsidRPr="00812502">
        <w:rPr>
          <w:rFonts w:asciiTheme="minorBidi" w:hAnsiTheme="minorBidi" w:cstheme="minorBidi"/>
          <w:iCs/>
          <w:sz w:val="22"/>
          <w:szCs w:val="22"/>
          <w:lang w:val="es-ES_tradnl"/>
        </w:rPr>
        <w:t xml:space="preserve">al </w:t>
      </w:r>
      <w:r w:rsidRPr="00812502">
        <w:rPr>
          <w:rFonts w:asciiTheme="minorBidi" w:hAnsiTheme="minorBidi" w:cstheme="minorBidi"/>
          <w:sz w:val="22"/>
          <w:szCs w:val="22"/>
          <w:lang w:val="es-ES_tradnl"/>
        </w:rPr>
        <w:t>Secretario</w:t>
      </w:r>
      <w:r w:rsidRPr="00812502">
        <w:rPr>
          <w:rFonts w:asciiTheme="minorBidi" w:hAnsiTheme="minorBidi" w:cstheme="minorBidi"/>
          <w:iCs/>
          <w:sz w:val="22"/>
          <w:szCs w:val="22"/>
          <w:lang w:val="es-ES_tradnl"/>
        </w:rPr>
        <w:t xml:space="preserve"> Ejecutivo de la COI que prepa[rara], en consulta con el Asesor Jurídico de la UNESCO y el Grupo Asesor Financiero entre reuniones, una propuesta preliminar de Reglamento revisado para la Asamblea de la COI y Reglamento revisado para el Consejo Ejecutivo de la COI, haciendo las aclaraciones necesarias y armonizando las versiones lingüísticas, para su examen y aprobación por estos dos órganos</w:t>
      </w:r>
      <w:r w:rsidRPr="00812502">
        <w:rPr>
          <w:rFonts w:asciiTheme="minorBidi" w:hAnsiTheme="minorBidi" w:cstheme="minorBidi"/>
          <w:sz w:val="22"/>
          <w:szCs w:val="22"/>
          <w:lang w:val="es-ES_tradnl"/>
        </w:rPr>
        <w:t xml:space="preserve"> [...]”.</w:t>
      </w:r>
    </w:p>
    <w:p w14:paraId="488A2B2B" w14:textId="1692DE1B" w:rsidR="006B18B7" w:rsidRPr="00812502" w:rsidRDefault="006B18B7" w:rsidP="000351F9">
      <w:pPr>
        <w:pStyle w:val="ListParagraph"/>
        <w:numPr>
          <w:ilvl w:val="0"/>
          <w:numId w:val="36"/>
        </w:numPr>
        <w:spacing w:after="240"/>
        <w:ind w:left="0" w:firstLine="0"/>
        <w:contextualSpacing w:val="0"/>
        <w:jc w:val="both"/>
        <w:rPr>
          <w:rFonts w:asciiTheme="minorBidi" w:hAnsiTheme="minorBidi" w:cstheme="minorBidi"/>
          <w:sz w:val="22"/>
          <w:szCs w:val="22"/>
          <w:lang w:val="es-ES_tradnl"/>
        </w:rPr>
      </w:pPr>
      <w:r w:rsidRPr="00812502">
        <w:rPr>
          <w:rFonts w:asciiTheme="minorBidi" w:hAnsiTheme="minorBidi" w:cstheme="minorBidi"/>
          <w:sz w:val="22"/>
          <w:szCs w:val="22"/>
          <w:lang w:val="es-ES_tradnl"/>
        </w:rPr>
        <w:t xml:space="preserve">En consecuencia, la Secretaría, en consulta con la Oficina de Normas Internacionales y Asuntos Jurídicos de la UNESCO, había nombrado a un consultor jurídico competente para que realizara un análisis inicial de la viabilidad y las posibles complicaciones de preparar un reglamento para la Asamblea de la COI y un reglamento para el Consejo Ejecutivo de la COI. Este análisis se había presentado a la Mesa de la COI durante su reunión anual, del 17 al 21 de enero de 2022. Por su parte, el </w:t>
      </w:r>
      <w:r w:rsidR="00AE27E3" w:rsidRPr="00812502">
        <w:rPr>
          <w:rFonts w:asciiTheme="minorBidi" w:hAnsiTheme="minorBidi" w:cstheme="minorBidi"/>
          <w:sz w:val="22"/>
          <w:szCs w:val="22"/>
          <w:lang w:val="es-ES_tradnl"/>
        </w:rPr>
        <w:t>IFAG</w:t>
      </w:r>
      <w:r w:rsidRPr="00812502">
        <w:rPr>
          <w:rFonts w:asciiTheme="minorBidi" w:hAnsiTheme="minorBidi" w:cstheme="minorBidi"/>
          <w:sz w:val="22"/>
          <w:szCs w:val="22"/>
          <w:lang w:val="es-ES_tradnl"/>
        </w:rPr>
        <w:t xml:space="preserve"> lo había recibido de su Presidente en un correo electrónico de fecha 14 de abril de 2022 (véase como referencia la </w:t>
      </w:r>
      <w:hyperlink r:id="rId13" w:history="1">
        <w:r w:rsidRPr="00812502">
          <w:rPr>
            <w:rStyle w:val="Hyperlink"/>
            <w:rFonts w:asciiTheme="minorBidi" w:hAnsiTheme="minorBidi" w:cstheme="minorBidi"/>
            <w:sz w:val="22"/>
            <w:szCs w:val="22"/>
            <w:lang w:val="es-ES_tradnl"/>
          </w:rPr>
          <w:t xml:space="preserve">nota de trabajo n.º 2 del </w:t>
        </w:r>
        <w:r w:rsidR="004C04EE" w:rsidRPr="00812502">
          <w:rPr>
            <w:rStyle w:val="Hyperlink"/>
            <w:rFonts w:asciiTheme="minorBidi" w:hAnsiTheme="minorBidi" w:cstheme="minorBidi"/>
            <w:sz w:val="22"/>
            <w:szCs w:val="22"/>
            <w:lang w:val="es-ES_tradnl"/>
          </w:rPr>
          <w:t>IFAG</w:t>
        </w:r>
      </w:hyperlink>
      <w:r w:rsidRPr="00812502">
        <w:rPr>
          <w:rFonts w:asciiTheme="minorBidi" w:hAnsiTheme="minorBidi" w:cstheme="minorBidi"/>
          <w:sz w:val="22"/>
          <w:szCs w:val="22"/>
          <w:lang w:val="es-ES_tradnl"/>
        </w:rPr>
        <w:t>).</w:t>
      </w:r>
    </w:p>
    <w:p w14:paraId="77A6E810" w14:textId="1B5F7BC4" w:rsidR="008E75D2" w:rsidRPr="00812502" w:rsidRDefault="006B18B7" w:rsidP="000351F9">
      <w:pPr>
        <w:pStyle w:val="ListParagraph"/>
        <w:numPr>
          <w:ilvl w:val="0"/>
          <w:numId w:val="36"/>
        </w:numPr>
        <w:spacing w:after="240"/>
        <w:ind w:left="0" w:firstLine="0"/>
        <w:contextualSpacing w:val="0"/>
        <w:jc w:val="both"/>
        <w:rPr>
          <w:rFonts w:asciiTheme="minorBidi" w:hAnsiTheme="minorBidi" w:cstheme="minorBidi"/>
          <w:sz w:val="22"/>
          <w:szCs w:val="22"/>
          <w:lang w:val="es-ES_tradnl"/>
        </w:rPr>
      </w:pPr>
      <w:r w:rsidRPr="00812502">
        <w:rPr>
          <w:rFonts w:asciiTheme="minorBidi" w:hAnsiTheme="minorBidi" w:cstheme="minorBidi"/>
          <w:sz w:val="22"/>
          <w:szCs w:val="22"/>
          <w:lang w:val="es-ES_tradnl"/>
        </w:rPr>
        <w:lastRenderedPageBreak/>
        <w:t xml:space="preserve">La principal conclusión </w:t>
      </w:r>
      <w:r w:rsidR="00C37FDF" w:rsidRPr="00812502">
        <w:rPr>
          <w:rFonts w:asciiTheme="minorBidi" w:hAnsiTheme="minorBidi" w:cstheme="minorBidi"/>
          <w:sz w:val="22"/>
          <w:szCs w:val="22"/>
          <w:lang w:val="es-ES_tradnl"/>
        </w:rPr>
        <w:t>había sido</w:t>
      </w:r>
      <w:r w:rsidRPr="00812502">
        <w:rPr>
          <w:rFonts w:asciiTheme="minorBidi" w:hAnsiTheme="minorBidi" w:cstheme="minorBidi"/>
          <w:sz w:val="22"/>
          <w:szCs w:val="22"/>
          <w:lang w:val="es-ES_tradnl"/>
        </w:rPr>
        <w:t xml:space="preserve"> que, si bien no parecía haber obstáculos a la elaboración de estos dos reglamentos distintos que la hicieran inviable, era, sin embargo, un ejercicio más difícil de lo que parecía a primera vista.</w:t>
      </w:r>
    </w:p>
    <w:p w14:paraId="59219DAE" w14:textId="359329D6" w:rsidR="008E75D2" w:rsidRPr="00812502" w:rsidRDefault="006B18B7" w:rsidP="000351F9">
      <w:pPr>
        <w:pStyle w:val="ListParagraph"/>
        <w:numPr>
          <w:ilvl w:val="0"/>
          <w:numId w:val="36"/>
        </w:numPr>
        <w:spacing w:after="240"/>
        <w:ind w:left="0" w:firstLine="0"/>
        <w:contextualSpacing w:val="0"/>
        <w:jc w:val="both"/>
        <w:rPr>
          <w:rFonts w:asciiTheme="minorBidi" w:hAnsiTheme="minorBidi" w:cstheme="minorBidi"/>
          <w:sz w:val="22"/>
          <w:szCs w:val="22"/>
          <w:lang w:val="es-ES_tradnl"/>
        </w:rPr>
      </w:pPr>
      <w:r w:rsidRPr="00812502">
        <w:rPr>
          <w:rFonts w:asciiTheme="minorBidi" w:hAnsiTheme="minorBidi" w:cstheme="minorBidi"/>
          <w:sz w:val="22"/>
          <w:szCs w:val="22"/>
          <w:lang w:val="es-ES_tradnl"/>
        </w:rPr>
        <w:t xml:space="preserve">En primer lugar, el proceso de separación debía evaluarse con respecto a las limitaciones reglamentarias. Así pues, el artículo 6.B.3 de los Estatutos revisados de la COI, aprobados por la Conferencia General de la UNESCO el 16 de noviembre de 1999 en su resolución 30 C/22, </w:t>
      </w:r>
      <w:r w:rsidR="0095337F" w:rsidRPr="00812502">
        <w:rPr>
          <w:rFonts w:asciiTheme="minorBidi" w:hAnsiTheme="minorBidi" w:cstheme="minorBidi"/>
          <w:sz w:val="22"/>
          <w:szCs w:val="22"/>
          <w:lang w:val="es-ES_tradnl"/>
        </w:rPr>
        <w:t>rezaba de</w:t>
      </w:r>
      <w:r w:rsidRPr="00812502">
        <w:rPr>
          <w:rFonts w:asciiTheme="minorBidi" w:hAnsiTheme="minorBidi" w:cstheme="minorBidi"/>
          <w:sz w:val="22"/>
          <w:szCs w:val="22"/>
          <w:lang w:val="es-ES_tradnl"/>
        </w:rPr>
        <w:t xml:space="preserve"> l</w:t>
      </w:r>
      <w:r w:rsidR="0095337F" w:rsidRPr="00812502">
        <w:rPr>
          <w:rFonts w:asciiTheme="minorBidi" w:hAnsiTheme="minorBidi" w:cstheme="minorBidi"/>
          <w:sz w:val="22"/>
          <w:szCs w:val="22"/>
          <w:lang w:val="es-ES_tradnl"/>
        </w:rPr>
        <w:t>a</w:t>
      </w:r>
      <w:r w:rsidRPr="00812502">
        <w:rPr>
          <w:rFonts w:asciiTheme="minorBidi" w:hAnsiTheme="minorBidi" w:cstheme="minorBidi"/>
          <w:sz w:val="22"/>
          <w:szCs w:val="22"/>
          <w:lang w:val="es-ES_tradnl"/>
        </w:rPr>
        <w:t xml:space="preserve"> siguiente</w:t>
      </w:r>
      <w:r w:rsidR="0095337F" w:rsidRPr="00812502">
        <w:rPr>
          <w:rFonts w:asciiTheme="minorBidi" w:hAnsiTheme="minorBidi" w:cstheme="minorBidi"/>
          <w:sz w:val="22"/>
          <w:szCs w:val="22"/>
          <w:lang w:val="es-ES_tradnl"/>
        </w:rPr>
        <w:t xml:space="preserve"> manera</w:t>
      </w:r>
      <w:r w:rsidRPr="00812502">
        <w:rPr>
          <w:rFonts w:asciiTheme="minorBidi" w:hAnsiTheme="minorBidi" w:cstheme="minorBidi"/>
          <w:sz w:val="22"/>
          <w:szCs w:val="22"/>
          <w:lang w:val="es-ES_tradnl"/>
        </w:rPr>
        <w:t xml:space="preserve">: </w:t>
      </w:r>
      <w:r w:rsidR="000351F9" w:rsidRPr="00812502">
        <w:rPr>
          <w:rFonts w:asciiTheme="minorBidi" w:hAnsiTheme="minorBidi" w:cstheme="minorBidi"/>
          <w:sz w:val="22"/>
          <w:szCs w:val="22"/>
          <w:lang w:val="es-ES_tradnl"/>
        </w:rPr>
        <w:t>“</w:t>
      </w:r>
      <w:r w:rsidRPr="00812502">
        <w:rPr>
          <w:rFonts w:asciiTheme="minorBidi" w:hAnsiTheme="minorBidi" w:cstheme="minorBidi"/>
          <w:iCs/>
          <w:sz w:val="22"/>
          <w:szCs w:val="22"/>
          <w:lang w:val="es-ES_tradnl"/>
        </w:rPr>
        <w:t>[l]a Asamblea establecerá el Reglamento de la Comisión</w:t>
      </w:r>
      <w:r w:rsidR="000351F9" w:rsidRPr="00812502">
        <w:rPr>
          <w:rFonts w:asciiTheme="minorBidi" w:hAnsiTheme="minorBidi" w:cstheme="minorBidi"/>
          <w:sz w:val="22"/>
          <w:szCs w:val="22"/>
          <w:lang w:val="es-ES_tradnl"/>
        </w:rPr>
        <w:t>”</w:t>
      </w:r>
      <w:r w:rsidRPr="00812502">
        <w:rPr>
          <w:rFonts w:asciiTheme="minorBidi" w:hAnsiTheme="minorBidi" w:cstheme="minorBidi"/>
          <w:sz w:val="22"/>
          <w:szCs w:val="22"/>
          <w:lang w:val="es-ES_tradnl"/>
        </w:rPr>
        <w:t>.</w:t>
      </w:r>
    </w:p>
    <w:p w14:paraId="79AAFD64" w14:textId="69B8BED2" w:rsidR="008E75D2" w:rsidRPr="00812502" w:rsidRDefault="006B18B7" w:rsidP="000351F9">
      <w:pPr>
        <w:pStyle w:val="ListParagraph"/>
        <w:numPr>
          <w:ilvl w:val="0"/>
          <w:numId w:val="36"/>
        </w:numPr>
        <w:spacing w:after="240"/>
        <w:ind w:left="0" w:firstLine="0"/>
        <w:contextualSpacing w:val="0"/>
        <w:jc w:val="both"/>
        <w:rPr>
          <w:rFonts w:asciiTheme="minorBidi" w:hAnsiTheme="minorBidi" w:cstheme="minorBidi"/>
          <w:sz w:val="22"/>
          <w:szCs w:val="22"/>
          <w:lang w:val="es-ES_tradnl"/>
        </w:rPr>
      </w:pPr>
      <w:r w:rsidRPr="00812502">
        <w:rPr>
          <w:rFonts w:asciiTheme="minorBidi" w:hAnsiTheme="minorBidi" w:cstheme="minorBidi"/>
          <w:sz w:val="22"/>
          <w:szCs w:val="22"/>
          <w:lang w:val="es-ES_tradnl"/>
        </w:rPr>
        <w:t xml:space="preserve">En segundo lugar, </w:t>
      </w:r>
      <w:r w:rsidR="004001B2" w:rsidRPr="00812502">
        <w:rPr>
          <w:rFonts w:asciiTheme="minorBidi" w:hAnsiTheme="minorBidi" w:cstheme="minorBidi"/>
          <w:sz w:val="22"/>
          <w:szCs w:val="22"/>
          <w:lang w:val="es-ES_tradnl"/>
        </w:rPr>
        <w:t xml:space="preserve">el proceso </w:t>
      </w:r>
      <w:r w:rsidRPr="00812502">
        <w:rPr>
          <w:rFonts w:asciiTheme="minorBidi" w:hAnsiTheme="minorBidi" w:cstheme="minorBidi"/>
          <w:sz w:val="22"/>
          <w:szCs w:val="22"/>
          <w:lang w:val="es-ES_tradnl"/>
        </w:rPr>
        <w:t>requería un examen minucioso de las disposiciones existentes del Reglamento que no se aplicaban de igual manera a la Asamblea y al Consejo Ejecutivo.</w:t>
      </w:r>
    </w:p>
    <w:p w14:paraId="2FC7D5B9" w14:textId="6F7D7473" w:rsidR="006B18B7" w:rsidRPr="00812502" w:rsidRDefault="006B18B7" w:rsidP="000351F9">
      <w:pPr>
        <w:pStyle w:val="ListParagraph"/>
        <w:numPr>
          <w:ilvl w:val="0"/>
          <w:numId w:val="36"/>
        </w:numPr>
        <w:spacing w:after="240"/>
        <w:ind w:left="0" w:firstLine="0"/>
        <w:contextualSpacing w:val="0"/>
        <w:jc w:val="both"/>
        <w:rPr>
          <w:rFonts w:asciiTheme="minorBidi" w:hAnsiTheme="minorBidi" w:cstheme="minorBidi"/>
          <w:sz w:val="22"/>
          <w:szCs w:val="22"/>
          <w:lang w:val="es-ES_tradnl"/>
        </w:rPr>
      </w:pPr>
      <w:r w:rsidRPr="00812502">
        <w:rPr>
          <w:rFonts w:asciiTheme="minorBidi" w:hAnsiTheme="minorBidi" w:cstheme="minorBidi"/>
          <w:sz w:val="22"/>
          <w:szCs w:val="22"/>
          <w:lang w:val="es-ES_tradnl"/>
        </w:rPr>
        <w:t xml:space="preserve">En tercer lugar, del análisis se desprendía claramente que las versiones lingüísticas del Reglamento actual de la Comisión discrepaban, como se había indicado en el informe del Presidente del </w:t>
      </w:r>
      <w:r w:rsidR="0095337F" w:rsidRPr="00812502">
        <w:rPr>
          <w:rFonts w:asciiTheme="minorBidi" w:hAnsiTheme="minorBidi" w:cstheme="minorBidi"/>
          <w:sz w:val="22"/>
          <w:szCs w:val="22"/>
          <w:lang w:val="es-ES_tradnl"/>
        </w:rPr>
        <w:t>IFAG</w:t>
      </w:r>
      <w:r w:rsidRPr="00812502">
        <w:rPr>
          <w:rFonts w:asciiTheme="minorBidi" w:hAnsiTheme="minorBidi" w:cstheme="minorBidi"/>
          <w:sz w:val="22"/>
          <w:szCs w:val="22"/>
          <w:lang w:val="es-ES_tradnl"/>
        </w:rPr>
        <w:t xml:space="preserve"> presentado a la Asamblea en su 31ª reunión (</w:t>
      </w:r>
      <w:hyperlink r:id="rId14" w:history="1">
        <w:r w:rsidRPr="00812502">
          <w:rPr>
            <w:rStyle w:val="Hyperlink"/>
            <w:rFonts w:asciiTheme="minorBidi" w:hAnsiTheme="minorBidi" w:cstheme="minorBidi"/>
            <w:sz w:val="22"/>
            <w:szCs w:val="22"/>
            <w:lang w:val="es-ES_tradnl"/>
          </w:rPr>
          <w:t>IOC/A-31/4.3.Doc</w:t>
        </w:r>
      </w:hyperlink>
      <w:r w:rsidRPr="00812502">
        <w:rPr>
          <w:rFonts w:asciiTheme="minorBidi" w:hAnsiTheme="minorBidi" w:cstheme="minorBidi"/>
          <w:sz w:val="22"/>
          <w:szCs w:val="22"/>
          <w:lang w:val="es-ES_tradnl"/>
        </w:rPr>
        <w:t>). Existían obvias discrepancias entre las versiones en inglés y francés del Reglamento actual, que podían ocasionar dificultades significativas a la hora de interpretar y aplicar las disposiciones pertinentes.</w:t>
      </w:r>
    </w:p>
    <w:p w14:paraId="205EDF5E" w14:textId="3AE94AC7" w:rsidR="006B18B7" w:rsidRPr="00812502" w:rsidRDefault="006B18B7" w:rsidP="000351F9">
      <w:pPr>
        <w:pStyle w:val="ListParagraph"/>
        <w:numPr>
          <w:ilvl w:val="0"/>
          <w:numId w:val="36"/>
        </w:numPr>
        <w:spacing w:after="240"/>
        <w:ind w:left="0" w:firstLine="0"/>
        <w:contextualSpacing w:val="0"/>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 xml:space="preserve">Por lo tanto, la separación del actual Reglamento en un </w:t>
      </w:r>
      <w:r w:rsidR="0095337F" w:rsidRPr="00812502">
        <w:rPr>
          <w:rFonts w:asciiTheme="minorBidi" w:hAnsiTheme="minorBidi" w:cstheme="minorBidi"/>
          <w:sz w:val="22"/>
          <w:szCs w:val="22"/>
          <w:lang w:val="es-ES_tradnl"/>
        </w:rPr>
        <w:t>r</w:t>
      </w:r>
      <w:r w:rsidRPr="00812502">
        <w:rPr>
          <w:rFonts w:asciiTheme="minorBidi" w:hAnsiTheme="minorBidi" w:cstheme="minorBidi"/>
          <w:sz w:val="22"/>
          <w:szCs w:val="22"/>
          <w:lang w:val="es-ES_tradnl"/>
        </w:rPr>
        <w:t xml:space="preserve">eglamento para la Asamblea y un </w:t>
      </w:r>
      <w:r w:rsidR="0095337F" w:rsidRPr="00812502">
        <w:rPr>
          <w:rFonts w:asciiTheme="minorBidi" w:hAnsiTheme="minorBidi" w:cstheme="minorBidi"/>
          <w:sz w:val="22"/>
          <w:szCs w:val="22"/>
          <w:lang w:val="es-ES_tradnl"/>
        </w:rPr>
        <w:t>r</w:t>
      </w:r>
      <w:r w:rsidRPr="00812502">
        <w:rPr>
          <w:rFonts w:asciiTheme="minorBidi" w:hAnsiTheme="minorBidi" w:cstheme="minorBidi"/>
          <w:sz w:val="22"/>
          <w:szCs w:val="22"/>
          <w:lang w:val="es-ES_tradnl"/>
        </w:rPr>
        <w:t>eglamento para el Consejo Ejecutivo solo sería viable si se definían claramente el objeto y el propósito de las disposiciones existentes.</w:t>
      </w:r>
    </w:p>
    <w:p w14:paraId="72ABE5B9" w14:textId="77777777" w:rsidR="006B18B7" w:rsidRPr="00812502" w:rsidRDefault="006B18B7" w:rsidP="000351F9">
      <w:pPr>
        <w:pStyle w:val="ListParagraph"/>
        <w:numPr>
          <w:ilvl w:val="0"/>
          <w:numId w:val="36"/>
        </w:numPr>
        <w:spacing w:after="240"/>
        <w:ind w:left="0" w:firstLine="0"/>
        <w:contextualSpacing w:val="0"/>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 xml:space="preserve">Por las razones expuestas, el documento </w:t>
      </w:r>
      <w:hyperlink r:id="rId15" w:history="1">
        <w:r w:rsidRPr="00812502">
          <w:rPr>
            <w:rStyle w:val="Hyperlink"/>
            <w:rFonts w:asciiTheme="minorBidi" w:hAnsiTheme="minorBidi" w:cstheme="minorBidi"/>
            <w:sz w:val="22"/>
            <w:szCs w:val="22"/>
            <w:lang w:val="es-ES_tradnl"/>
          </w:rPr>
          <w:t>IOC/EC-55</w:t>
        </w:r>
        <w:r w:rsidR="001E023B" w:rsidRPr="00812502">
          <w:rPr>
            <w:rStyle w:val="Hyperlink"/>
            <w:rFonts w:asciiTheme="minorBidi" w:hAnsiTheme="minorBidi" w:cstheme="minorBidi"/>
            <w:sz w:val="22"/>
            <w:szCs w:val="22"/>
            <w:lang w:val="es-ES_tradnl"/>
          </w:rPr>
          <w:t>/5.</w:t>
        </w:r>
        <w:r w:rsidRPr="00812502">
          <w:rPr>
            <w:rStyle w:val="Hyperlink"/>
            <w:rFonts w:asciiTheme="minorBidi" w:hAnsiTheme="minorBidi" w:cstheme="minorBidi"/>
            <w:sz w:val="22"/>
            <w:szCs w:val="22"/>
            <w:lang w:val="es-ES_tradnl"/>
          </w:rPr>
          <w:t>1.Doc(1)</w:t>
        </w:r>
      </w:hyperlink>
      <w:r w:rsidRPr="00812502">
        <w:rPr>
          <w:rFonts w:asciiTheme="minorBidi" w:hAnsiTheme="minorBidi" w:cstheme="minorBidi"/>
          <w:sz w:val="22"/>
          <w:szCs w:val="22"/>
          <w:lang w:val="es-ES_tradnl"/>
        </w:rPr>
        <w:t xml:space="preserve"> que se presentaba al Consejo Ejecutivo para que lo examinara se basaba en las siguientes propuestas:</w:t>
      </w:r>
    </w:p>
    <w:p w14:paraId="4798DC79" w14:textId="77777777" w:rsidR="006B18B7" w:rsidRPr="00812502" w:rsidRDefault="006B18B7" w:rsidP="000351F9">
      <w:pPr>
        <w:numPr>
          <w:ilvl w:val="0"/>
          <w:numId w:val="32"/>
        </w:numPr>
        <w:shd w:val="clear" w:color="auto" w:fill="FFFFFF"/>
        <w:tabs>
          <w:tab w:val="clear" w:pos="567"/>
        </w:tabs>
        <w:snapToGrid/>
        <w:spacing w:after="240"/>
        <w:ind w:left="993" w:hanging="425"/>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abstenerse de iniciar un procedimiento de modificación de los Estatutos de la COI;</w:t>
      </w:r>
    </w:p>
    <w:p w14:paraId="4E4EE7F2" w14:textId="77777777" w:rsidR="006B18B7" w:rsidRPr="00812502" w:rsidRDefault="006B18B7" w:rsidP="000351F9">
      <w:pPr>
        <w:numPr>
          <w:ilvl w:val="0"/>
          <w:numId w:val="32"/>
        </w:numPr>
        <w:shd w:val="clear" w:color="auto" w:fill="FFFFFF"/>
        <w:tabs>
          <w:tab w:val="clear" w:pos="567"/>
        </w:tabs>
        <w:snapToGrid/>
        <w:spacing w:after="240"/>
        <w:ind w:left="993" w:hanging="425"/>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de conformidad con el artículo 6.B.3 de los Estatutos, mantener un único Reglamento de la Comisión, que determinaría oficialmente la Asamblea;</w:t>
      </w:r>
    </w:p>
    <w:p w14:paraId="44250E86" w14:textId="22E67675" w:rsidR="006B18B7" w:rsidRPr="00812502" w:rsidRDefault="006B18B7" w:rsidP="000351F9">
      <w:pPr>
        <w:numPr>
          <w:ilvl w:val="0"/>
          <w:numId w:val="32"/>
        </w:numPr>
        <w:shd w:val="clear" w:color="auto" w:fill="FFFFFF"/>
        <w:tabs>
          <w:tab w:val="clear" w:pos="567"/>
        </w:tabs>
        <w:snapToGrid/>
        <w:spacing w:after="240"/>
        <w:ind w:left="993" w:hanging="425"/>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revisar el Reglamento actual sobre la base de una distinción entre artículos generales, los que se aplican tanto a la Asamblea como al Consejo Ejecutivo y los que solo se aplican a uno de estos órganos;</w:t>
      </w:r>
    </w:p>
    <w:p w14:paraId="5CAAFBD3" w14:textId="7E5B28E3" w:rsidR="006B18B7" w:rsidRPr="00812502" w:rsidRDefault="006B18B7" w:rsidP="000351F9">
      <w:pPr>
        <w:numPr>
          <w:ilvl w:val="0"/>
          <w:numId w:val="32"/>
        </w:numPr>
        <w:shd w:val="clear" w:color="auto" w:fill="FFFFFF"/>
        <w:tabs>
          <w:tab w:val="clear" w:pos="567"/>
        </w:tabs>
        <w:snapToGrid/>
        <w:spacing w:after="240"/>
        <w:ind w:left="993" w:hanging="425"/>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modificar los artículos 55 y 56 a fin de reconocer y precisar la competencia del Consejo Ejecutivo para modificar los artículos relativos a su organización y funcionamiento o suspender su aplicación.</w:t>
      </w:r>
    </w:p>
    <w:p w14:paraId="268BC2FE" w14:textId="4368F20B" w:rsidR="006B18B7" w:rsidRPr="00812502" w:rsidRDefault="006B18B7" w:rsidP="000351F9">
      <w:pPr>
        <w:pStyle w:val="ListParagraph"/>
        <w:numPr>
          <w:ilvl w:val="0"/>
          <w:numId w:val="36"/>
        </w:numPr>
        <w:spacing w:after="240"/>
        <w:ind w:left="0" w:firstLine="0"/>
        <w:contextualSpacing w:val="0"/>
        <w:jc w:val="both"/>
        <w:rPr>
          <w:rFonts w:asciiTheme="minorBidi" w:hAnsiTheme="minorBidi" w:cstheme="minorBidi"/>
          <w:snapToGrid/>
          <w:color w:val="000000" w:themeColor="text1"/>
          <w:sz w:val="22"/>
          <w:szCs w:val="22"/>
          <w:lang w:val="es-ES_tradnl"/>
        </w:rPr>
      </w:pPr>
      <w:r w:rsidRPr="00812502">
        <w:rPr>
          <w:rFonts w:asciiTheme="minorBidi" w:hAnsiTheme="minorBidi" w:cstheme="minorBidi"/>
          <w:sz w:val="22"/>
          <w:szCs w:val="22"/>
          <w:lang w:val="es-ES_tradnl"/>
        </w:rPr>
        <w:t xml:space="preserve">Los miembros del </w:t>
      </w:r>
      <w:r w:rsidR="00166926" w:rsidRPr="00812502">
        <w:rPr>
          <w:rFonts w:asciiTheme="minorBidi" w:hAnsiTheme="minorBidi" w:cstheme="minorBidi"/>
          <w:sz w:val="22"/>
          <w:szCs w:val="22"/>
          <w:lang w:val="es-ES_tradnl"/>
        </w:rPr>
        <w:t>IFAG</w:t>
      </w:r>
      <w:r w:rsidRPr="00812502">
        <w:rPr>
          <w:rFonts w:asciiTheme="minorBidi" w:hAnsiTheme="minorBidi" w:cstheme="minorBidi"/>
          <w:sz w:val="22"/>
          <w:szCs w:val="22"/>
          <w:lang w:val="es-ES_tradnl"/>
        </w:rPr>
        <w:t xml:space="preserve"> acogieron con satisfacción la propuesta de la Secretaría presentada en el documento IOC/EC-55/5.1</w:t>
      </w:r>
      <w:r w:rsidR="00A07E9F" w:rsidRPr="00812502">
        <w:rPr>
          <w:rFonts w:asciiTheme="minorBidi" w:hAnsiTheme="minorBidi" w:cstheme="minorBidi"/>
          <w:sz w:val="22"/>
          <w:szCs w:val="22"/>
          <w:lang w:val="es-ES_tradnl"/>
        </w:rPr>
        <w:t>.</w:t>
      </w:r>
      <w:r w:rsidRPr="00812502">
        <w:rPr>
          <w:rFonts w:asciiTheme="minorBidi" w:hAnsiTheme="minorBidi" w:cstheme="minorBidi"/>
          <w:sz w:val="22"/>
          <w:szCs w:val="22"/>
          <w:lang w:val="es-ES_tradnl"/>
        </w:rPr>
        <w:t>Doc(1) como un</w:t>
      </w:r>
      <w:r w:rsidR="00FA6F31" w:rsidRPr="00812502">
        <w:rPr>
          <w:rFonts w:asciiTheme="minorBidi" w:hAnsiTheme="minorBidi" w:cstheme="minorBidi"/>
          <w:sz w:val="22"/>
          <w:szCs w:val="22"/>
          <w:lang w:val="es-ES_tradnl"/>
        </w:rPr>
        <w:t xml:space="preserve">a </w:t>
      </w:r>
      <w:r w:rsidR="000351F9" w:rsidRPr="00812502">
        <w:rPr>
          <w:rFonts w:asciiTheme="minorBidi" w:hAnsiTheme="minorBidi" w:cstheme="minorBidi"/>
          <w:sz w:val="22"/>
          <w:szCs w:val="22"/>
          <w:lang w:val="es-ES_tradnl"/>
        </w:rPr>
        <w:t>“</w:t>
      </w:r>
      <w:r w:rsidRPr="00812502">
        <w:rPr>
          <w:rFonts w:asciiTheme="minorBidi" w:hAnsiTheme="minorBidi" w:cstheme="minorBidi"/>
          <w:sz w:val="22"/>
          <w:szCs w:val="22"/>
          <w:lang w:val="es-ES_tradnl"/>
        </w:rPr>
        <w:t>primera versión</w:t>
      </w:r>
      <w:r w:rsidR="000351F9" w:rsidRPr="00812502">
        <w:rPr>
          <w:rFonts w:asciiTheme="minorBidi" w:hAnsiTheme="minorBidi" w:cstheme="minorBidi"/>
          <w:sz w:val="22"/>
          <w:szCs w:val="22"/>
          <w:lang w:val="es-ES_tradnl"/>
        </w:rPr>
        <w:t>”</w:t>
      </w:r>
      <w:r w:rsidR="00FA6F31" w:rsidRPr="00812502">
        <w:rPr>
          <w:rFonts w:asciiTheme="minorBidi" w:hAnsiTheme="minorBidi" w:cstheme="minorBidi"/>
          <w:sz w:val="22"/>
          <w:szCs w:val="22"/>
          <w:lang w:val="es-ES_tradnl"/>
        </w:rPr>
        <w:t xml:space="preserve"> con un enfoque prudente</w:t>
      </w:r>
      <w:r w:rsidRPr="00812502">
        <w:rPr>
          <w:rFonts w:asciiTheme="minorBidi" w:hAnsiTheme="minorBidi" w:cstheme="minorBidi"/>
          <w:sz w:val="22"/>
          <w:szCs w:val="22"/>
          <w:lang w:val="es-ES_tradnl"/>
        </w:rPr>
        <w:t xml:space="preserve">. Como </w:t>
      </w:r>
      <w:r w:rsidR="00FF7600" w:rsidRPr="00812502">
        <w:rPr>
          <w:rFonts w:asciiTheme="minorBidi" w:hAnsiTheme="minorBidi" w:cstheme="minorBidi"/>
          <w:sz w:val="22"/>
          <w:szCs w:val="22"/>
          <w:lang w:val="es-ES_tradnl"/>
        </w:rPr>
        <w:t>había destacado</w:t>
      </w:r>
      <w:r w:rsidRPr="00812502">
        <w:rPr>
          <w:rFonts w:asciiTheme="minorBidi" w:hAnsiTheme="minorBidi" w:cstheme="minorBidi"/>
          <w:sz w:val="22"/>
          <w:szCs w:val="22"/>
          <w:lang w:val="es-ES_tradnl"/>
        </w:rPr>
        <w:t xml:space="preserve"> el Presidente del </w:t>
      </w:r>
      <w:r w:rsidR="00FA6F31" w:rsidRPr="00812502">
        <w:rPr>
          <w:rFonts w:asciiTheme="minorBidi" w:hAnsiTheme="minorBidi" w:cstheme="minorBidi"/>
          <w:sz w:val="22"/>
          <w:szCs w:val="22"/>
          <w:lang w:val="es-ES_tradnl"/>
        </w:rPr>
        <w:t>IFAG</w:t>
      </w:r>
      <w:r w:rsidRPr="00812502">
        <w:rPr>
          <w:rFonts w:asciiTheme="minorBidi" w:hAnsiTheme="minorBidi" w:cstheme="minorBidi"/>
          <w:sz w:val="22"/>
          <w:szCs w:val="22"/>
          <w:lang w:val="es-ES_tradnl"/>
        </w:rPr>
        <w:t xml:space="preserve"> en su comunicación del 6 de junio de 2022, este enfoque solo difería de lo que se había debatido en la 31ª reunión de la Asamblea en el sentido de que </w:t>
      </w:r>
      <w:r w:rsidR="00A871DA" w:rsidRPr="00812502">
        <w:rPr>
          <w:rFonts w:asciiTheme="minorBidi" w:hAnsiTheme="minorBidi" w:cstheme="minorBidi"/>
          <w:sz w:val="22"/>
          <w:szCs w:val="22"/>
          <w:lang w:val="es-ES_tradnl"/>
        </w:rPr>
        <w:t>mantenía</w:t>
      </w:r>
      <w:r w:rsidRPr="00812502">
        <w:rPr>
          <w:rFonts w:asciiTheme="minorBidi" w:hAnsiTheme="minorBidi" w:cstheme="minorBidi"/>
          <w:sz w:val="22"/>
          <w:szCs w:val="22"/>
          <w:lang w:val="es-ES_tradnl"/>
        </w:rPr>
        <w:t xml:space="preserve"> un </w:t>
      </w:r>
      <w:r w:rsidR="00A871DA" w:rsidRPr="00812502">
        <w:rPr>
          <w:rFonts w:asciiTheme="minorBidi" w:hAnsiTheme="minorBidi" w:cstheme="minorBidi"/>
          <w:sz w:val="22"/>
          <w:szCs w:val="22"/>
          <w:lang w:val="es-ES_tradnl"/>
        </w:rPr>
        <w:t>Reglamento</w:t>
      </w:r>
      <w:r w:rsidRPr="00812502">
        <w:rPr>
          <w:rFonts w:asciiTheme="minorBidi" w:hAnsiTheme="minorBidi" w:cstheme="minorBidi"/>
          <w:sz w:val="22"/>
          <w:szCs w:val="22"/>
          <w:lang w:val="es-ES_tradnl"/>
        </w:rPr>
        <w:t xml:space="preserve"> que debía aprobar la Asamblea de la COI en 2023 (ya no sería necesaria una reunión extraordinaria del Consejo Ejecutivo en 2023).</w:t>
      </w:r>
    </w:p>
    <w:p w14:paraId="5AC44EFB" w14:textId="77777777" w:rsidR="006B18B7" w:rsidRPr="00812502" w:rsidRDefault="006B18B7" w:rsidP="000351F9">
      <w:pPr>
        <w:pStyle w:val="ListParagraph"/>
        <w:numPr>
          <w:ilvl w:val="0"/>
          <w:numId w:val="36"/>
        </w:numPr>
        <w:spacing w:after="240"/>
        <w:ind w:left="0" w:firstLine="0"/>
        <w:contextualSpacing w:val="0"/>
        <w:jc w:val="both"/>
        <w:rPr>
          <w:rFonts w:asciiTheme="minorBidi" w:hAnsiTheme="minorBidi" w:cstheme="minorBidi"/>
          <w:color w:val="000000" w:themeColor="text1"/>
          <w:sz w:val="22"/>
          <w:szCs w:val="22"/>
          <w:lang w:val="es-ES_tradnl"/>
        </w:rPr>
      </w:pPr>
      <w:r w:rsidRPr="00812502">
        <w:rPr>
          <w:rFonts w:asciiTheme="minorBidi" w:hAnsiTheme="minorBidi" w:cstheme="minorBidi"/>
          <w:sz w:val="22"/>
          <w:szCs w:val="22"/>
          <w:lang w:val="es-ES_tradnl"/>
        </w:rPr>
        <w:t>Respeta</w:t>
      </w:r>
      <w:r w:rsidR="009E5F02" w:rsidRPr="00812502">
        <w:rPr>
          <w:rFonts w:asciiTheme="minorBidi" w:hAnsiTheme="minorBidi" w:cstheme="minorBidi"/>
          <w:sz w:val="22"/>
          <w:szCs w:val="22"/>
          <w:lang w:val="es-ES_tradnl"/>
        </w:rPr>
        <w:t>ba</w:t>
      </w:r>
      <w:r w:rsidRPr="00812502">
        <w:rPr>
          <w:rFonts w:asciiTheme="minorBidi" w:hAnsiTheme="minorBidi" w:cstheme="minorBidi"/>
          <w:sz w:val="22"/>
          <w:szCs w:val="22"/>
          <w:lang w:val="es-ES_tradnl"/>
        </w:rPr>
        <w:t xml:space="preserve"> plenamente el deseo de los Estados Miembros de abstenerse de una revisión sustancial del Reglamento </w:t>
      </w:r>
      <w:r w:rsidR="00896C37" w:rsidRPr="00812502">
        <w:rPr>
          <w:rFonts w:asciiTheme="minorBidi" w:hAnsiTheme="minorBidi" w:cstheme="minorBidi"/>
          <w:sz w:val="22"/>
          <w:szCs w:val="22"/>
          <w:lang w:val="es-ES_tradnl"/>
        </w:rPr>
        <w:t>y</w:t>
      </w:r>
      <w:r w:rsidRPr="00812502">
        <w:rPr>
          <w:rFonts w:asciiTheme="minorBidi" w:hAnsiTheme="minorBidi" w:cstheme="minorBidi"/>
          <w:sz w:val="22"/>
          <w:szCs w:val="22"/>
          <w:lang w:val="es-ES_tradnl"/>
        </w:rPr>
        <w:t xml:space="preserve">, en lugar de revisarlo realmente, </w:t>
      </w:r>
      <w:r w:rsidR="00896C37" w:rsidRPr="00812502">
        <w:rPr>
          <w:rFonts w:asciiTheme="minorBidi" w:hAnsiTheme="minorBidi" w:cstheme="minorBidi"/>
          <w:sz w:val="22"/>
          <w:szCs w:val="22"/>
          <w:lang w:val="es-ES_tradnl"/>
        </w:rPr>
        <w:t>reorganizarlo</w:t>
      </w:r>
      <w:r w:rsidRPr="00812502">
        <w:rPr>
          <w:rFonts w:asciiTheme="minorBidi" w:hAnsiTheme="minorBidi" w:cstheme="minorBidi"/>
          <w:sz w:val="22"/>
          <w:szCs w:val="22"/>
          <w:lang w:val="es-ES_tradnl"/>
        </w:rPr>
        <w:t xml:space="preserve"> proponiendo </w:t>
      </w:r>
      <w:r w:rsidR="00896C37" w:rsidRPr="00812502">
        <w:rPr>
          <w:rFonts w:asciiTheme="minorBidi" w:hAnsiTheme="minorBidi" w:cstheme="minorBidi"/>
          <w:sz w:val="22"/>
          <w:szCs w:val="22"/>
          <w:lang w:val="es-ES_tradnl"/>
        </w:rPr>
        <w:t>solo</w:t>
      </w:r>
      <w:r w:rsidRPr="00812502">
        <w:rPr>
          <w:rFonts w:asciiTheme="minorBidi" w:hAnsiTheme="minorBidi" w:cstheme="minorBidi"/>
          <w:sz w:val="22"/>
          <w:szCs w:val="22"/>
          <w:lang w:val="es-ES_tradnl"/>
        </w:rPr>
        <w:t xml:space="preserve"> ajustes mínimos en los artículos 55 y 56 para optimizar el funcionamiento del Consejo Ejecutivo.</w:t>
      </w:r>
    </w:p>
    <w:p w14:paraId="3816E2AD" w14:textId="77777777" w:rsidR="006B18B7" w:rsidRPr="00812502" w:rsidRDefault="006B18B7" w:rsidP="000351F9">
      <w:pPr>
        <w:pStyle w:val="ListParagraph"/>
        <w:numPr>
          <w:ilvl w:val="0"/>
          <w:numId w:val="36"/>
        </w:numPr>
        <w:spacing w:after="240"/>
        <w:ind w:left="0" w:firstLine="0"/>
        <w:contextualSpacing w:val="0"/>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El Grupo también examinó el anexo del documento IOC/EC-55/5.1</w:t>
      </w:r>
      <w:r w:rsidR="009E5F02" w:rsidRPr="00812502">
        <w:rPr>
          <w:rFonts w:asciiTheme="minorBidi" w:hAnsiTheme="minorBidi" w:cstheme="minorBidi"/>
          <w:sz w:val="22"/>
          <w:szCs w:val="22"/>
          <w:lang w:val="es-ES_tradnl"/>
        </w:rPr>
        <w:t>.</w:t>
      </w:r>
      <w:r w:rsidRPr="00812502">
        <w:rPr>
          <w:rFonts w:asciiTheme="minorBidi" w:hAnsiTheme="minorBidi" w:cstheme="minorBidi"/>
          <w:sz w:val="22"/>
          <w:szCs w:val="22"/>
          <w:lang w:val="es-ES_tradnl"/>
        </w:rPr>
        <w:t xml:space="preserve">Doc(1) que contenía un conjunto no exhaustivo de comentarios de expertos jurídicos sobre casos en los que los Estados Miembros podrían considerar la conveniencia de aportar mayores aclaraciones, lo que requería una revisión más profunda del Reglamento. En la reunión presencial del 13 de junio se </w:t>
      </w:r>
      <w:r w:rsidR="009E5F02" w:rsidRPr="00812502">
        <w:rPr>
          <w:rFonts w:asciiTheme="minorBidi" w:hAnsiTheme="minorBidi" w:cstheme="minorBidi"/>
          <w:sz w:val="22"/>
          <w:szCs w:val="22"/>
          <w:lang w:val="es-ES_tradnl"/>
        </w:rPr>
        <w:t>había podido</w:t>
      </w:r>
      <w:r w:rsidRPr="00812502">
        <w:rPr>
          <w:rFonts w:asciiTheme="minorBidi" w:hAnsiTheme="minorBidi" w:cstheme="minorBidi"/>
          <w:sz w:val="22"/>
          <w:szCs w:val="22"/>
          <w:lang w:val="es-ES_tradnl"/>
        </w:rPr>
        <w:t xml:space="preserve"> repasar el anexo artículo por artículo, teniendo en cuenta los comentarios y los ámbitos de mejora sugeridos, con el fin de preparar mejor el debate durante la reunión.</w:t>
      </w:r>
    </w:p>
    <w:p w14:paraId="6102EB7A" w14:textId="77777777" w:rsidR="006B18B7" w:rsidRPr="00812502" w:rsidRDefault="004D5102" w:rsidP="000351F9">
      <w:pPr>
        <w:pStyle w:val="ListParagraph"/>
        <w:keepNext/>
        <w:numPr>
          <w:ilvl w:val="0"/>
          <w:numId w:val="36"/>
        </w:numPr>
        <w:spacing w:after="240"/>
        <w:ind w:left="0" w:firstLine="0"/>
        <w:contextualSpacing w:val="0"/>
        <w:jc w:val="both"/>
        <w:rPr>
          <w:rFonts w:asciiTheme="minorBidi" w:hAnsiTheme="minorBidi" w:cstheme="minorBidi"/>
          <w:snapToGrid/>
          <w:sz w:val="22"/>
          <w:szCs w:val="22"/>
          <w:lang w:val="es-ES_tradnl"/>
        </w:rPr>
      </w:pPr>
      <w:r w:rsidRPr="00812502">
        <w:rPr>
          <w:rFonts w:asciiTheme="minorBidi" w:hAnsiTheme="minorBidi" w:cstheme="minorBidi"/>
          <w:sz w:val="22"/>
          <w:szCs w:val="22"/>
          <w:lang w:val="es-ES_tradnl"/>
        </w:rPr>
        <w:lastRenderedPageBreak/>
        <w:t>Por lo tanto, el debate en la reunión del Consejo Ejecutivo debería centrarse en las siguientes cuestiones:</w:t>
      </w:r>
    </w:p>
    <w:p w14:paraId="48107EFC" w14:textId="77777777" w:rsidR="006B18B7" w:rsidRPr="00812502" w:rsidRDefault="006B18B7" w:rsidP="000351F9">
      <w:pPr>
        <w:numPr>
          <w:ilvl w:val="0"/>
          <w:numId w:val="32"/>
        </w:numPr>
        <w:shd w:val="clear" w:color="auto" w:fill="FFFFFF"/>
        <w:tabs>
          <w:tab w:val="clear" w:pos="567"/>
        </w:tabs>
        <w:snapToGrid/>
        <w:spacing w:after="240"/>
        <w:ind w:left="993" w:hanging="425"/>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determinar si el enfoque propuesto es satisfactorio para los Estados Miembros;</w:t>
      </w:r>
    </w:p>
    <w:p w14:paraId="3BE47751" w14:textId="77777777" w:rsidR="006B18B7" w:rsidRPr="00812502" w:rsidRDefault="006B18B7" w:rsidP="000351F9">
      <w:pPr>
        <w:numPr>
          <w:ilvl w:val="0"/>
          <w:numId w:val="32"/>
        </w:numPr>
        <w:shd w:val="clear" w:color="auto" w:fill="FFFFFF"/>
        <w:tabs>
          <w:tab w:val="clear" w:pos="567"/>
        </w:tabs>
        <w:snapToGrid/>
        <w:spacing w:after="240"/>
        <w:ind w:left="993" w:hanging="425"/>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 xml:space="preserve">decidir si se invita a la Secretaría a seguir revisando el Reglamento para aportar más claridad y coherencia, tal como aconseja el equipo jurídico; </w:t>
      </w:r>
    </w:p>
    <w:p w14:paraId="46C23C3C" w14:textId="77777777" w:rsidR="006B18B7" w:rsidRPr="00812502" w:rsidRDefault="006B18B7" w:rsidP="000351F9">
      <w:pPr>
        <w:numPr>
          <w:ilvl w:val="0"/>
          <w:numId w:val="32"/>
        </w:numPr>
        <w:shd w:val="clear" w:color="auto" w:fill="FFFFFF"/>
        <w:tabs>
          <w:tab w:val="clear" w:pos="567"/>
        </w:tabs>
        <w:snapToGrid/>
        <w:spacing w:after="240"/>
        <w:ind w:left="993" w:hanging="425"/>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indicar tal vez algunos ámbitos/puntos de atención prioritaria o añadir algunas recomendaciones específicas.</w:t>
      </w:r>
    </w:p>
    <w:p w14:paraId="248DB386" w14:textId="77777777" w:rsidR="004D5102" w:rsidRPr="00812502" w:rsidRDefault="004D5102" w:rsidP="000351F9">
      <w:pPr>
        <w:pStyle w:val="ListParagraph"/>
        <w:keepNext/>
        <w:numPr>
          <w:ilvl w:val="0"/>
          <w:numId w:val="36"/>
        </w:numPr>
        <w:spacing w:after="240"/>
        <w:ind w:left="0" w:firstLine="0"/>
        <w:contextualSpacing w:val="0"/>
        <w:jc w:val="both"/>
        <w:rPr>
          <w:rFonts w:asciiTheme="minorBidi" w:hAnsiTheme="minorBidi" w:cstheme="minorBidi"/>
          <w:sz w:val="22"/>
          <w:szCs w:val="22"/>
          <w:lang w:val="es-ES_tradnl"/>
        </w:rPr>
      </w:pPr>
      <w:r w:rsidRPr="00812502">
        <w:rPr>
          <w:rFonts w:asciiTheme="minorBidi" w:hAnsiTheme="minorBidi" w:cstheme="minorBidi"/>
          <w:sz w:val="22"/>
          <w:szCs w:val="22"/>
          <w:lang w:val="es-ES_tradnl"/>
        </w:rPr>
        <w:t>En cuanto a los dos últimos puntos, el Grupo formuló las siguientes observaciones preliminares:</w:t>
      </w:r>
    </w:p>
    <w:p w14:paraId="6B2CDA78" w14:textId="77777777" w:rsidR="004D5102" w:rsidRPr="00812502" w:rsidRDefault="00A136A4" w:rsidP="000351F9">
      <w:pPr>
        <w:numPr>
          <w:ilvl w:val="0"/>
          <w:numId w:val="32"/>
        </w:numPr>
        <w:shd w:val="clear" w:color="auto" w:fill="FFFFFF"/>
        <w:tabs>
          <w:tab w:val="clear" w:pos="567"/>
        </w:tabs>
        <w:snapToGrid/>
        <w:spacing w:after="240"/>
        <w:ind w:left="993" w:hanging="425"/>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al aumentar la claridad y alinear las versiones lingüísticas, centrarse en mejorar únicamente lo que debe mejorarse;</w:t>
      </w:r>
    </w:p>
    <w:p w14:paraId="32C60FAD" w14:textId="77777777" w:rsidR="00A136A4" w:rsidRPr="00812502" w:rsidRDefault="00A136A4" w:rsidP="000351F9">
      <w:pPr>
        <w:numPr>
          <w:ilvl w:val="0"/>
          <w:numId w:val="32"/>
        </w:numPr>
        <w:shd w:val="clear" w:color="auto" w:fill="FFFFFF"/>
        <w:tabs>
          <w:tab w:val="clear" w:pos="567"/>
        </w:tabs>
        <w:snapToGrid/>
        <w:spacing w:after="240"/>
        <w:ind w:left="993" w:hanging="425"/>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elaborar directrices para las consultas por correspondencia, aplicables tanto a la Asamblea como al Consejo Ejecutivo, basadas en las mejores prácticas vigentes y en la experiencia de la UNESCO;</w:t>
      </w:r>
    </w:p>
    <w:p w14:paraId="735430D8" w14:textId="77777777" w:rsidR="00A136A4" w:rsidRPr="00812502" w:rsidRDefault="00A136A4" w:rsidP="000351F9">
      <w:pPr>
        <w:numPr>
          <w:ilvl w:val="0"/>
          <w:numId w:val="32"/>
        </w:numPr>
        <w:shd w:val="clear" w:color="auto" w:fill="FFFFFF"/>
        <w:tabs>
          <w:tab w:val="clear" w:pos="567"/>
        </w:tabs>
        <w:snapToGrid/>
        <w:spacing w:after="240"/>
        <w:ind w:left="993" w:hanging="425"/>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incluir en el Reglamento una disposición relativa a la celebración de reuniones virtuales, pero solo como medida excepcional;</w:t>
      </w:r>
    </w:p>
    <w:p w14:paraId="7FE2B5DE" w14:textId="77777777" w:rsidR="00A136A4" w:rsidRPr="00812502" w:rsidRDefault="00A136A4" w:rsidP="000351F9">
      <w:pPr>
        <w:numPr>
          <w:ilvl w:val="0"/>
          <w:numId w:val="32"/>
        </w:numPr>
        <w:shd w:val="clear" w:color="auto" w:fill="FFFFFF"/>
        <w:tabs>
          <w:tab w:val="clear" w:pos="567"/>
        </w:tabs>
        <w:snapToGrid/>
        <w:spacing w:after="240"/>
        <w:ind w:left="993" w:hanging="425"/>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presentar a la Asamblea el proyecto de directrices para las reuniones virtuales junto con el proyecto revisado del Reglamento.</w:t>
      </w:r>
    </w:p>
    <w:p w14:paraId="3767F8F7" w14:textId="77777777" w:rsidR="006B18B7" w:rsidRPr="00812502" w:rsidRDefault="006B18B7" w:rsidP="000351F9">
      <w:pPr>
        <w:pStyle w:val="ListParagraph"/>
        <w:numPr>
          <w:ilvl w:val="0"/>
          <w:numId w:val="36"/>
        </w:numPr>
        <w:spacing w:after="240"/>
        <w:ind w:left="0" w:firstLine="0"/>
        <w:contextualSpacing w:val="0"/>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Esto servir</w:t>
      </w:r>
      <w:r w:rsidR="00946F66" w:rsidRPr="00812502">
        <w:rPr>
          <w:rFonts w:asciiTheme="minorBidi" w:hAnsiTheme="minorBidi" w:cstheme="minorBidi"/>
          <w:sz w:val="22"/>
          <w:szCs w:val="22"/>
          <w:lang w:val="es-ES_tradnl"/>
        </w:rPr>
        <w:t>ía</w:t>
      </w:r>
      <w:r w:rsidRPr="00812502">
        <w:rPr>
          <w:rFonts w:asciiTheme="minorBidi" w:hAnsiTheme="minorBidi" w:cstheme="minorBidi"/>
          <w:sz w:val="22"/>
          <w:szCs w:val="22"/>
          <w:lang w:val="es-ES_tradnl"/>
        </w:rPr>
        <w:t xml:space="preserve"> de guía para que la Secretaría prepar</w:t>
      </w:r>
      <w:r w:rsidR="004B0B8C" w:rsidRPr="00812502">
        <w:rPr>
          <w:rFonts w:asciiTheme="minorBidi" w:hAnsiTheme="minorBidi" w:cstheme="minorBidi"/>
          <w:sz w:val="22"/>
          <w:szCs w:val="22"/>
          <w:lang w:val="es-ES_tradnl"/>
        </w:rPr>
        <w:t>ara</w:t>
      </w:r>
      <w:r w:rsidRPr="00812502">
        <w:rPr>
          <w:rFonts w:asciiTheme="minorBidi" w:hAnsiTheme="minorBidi" w:cstheme="minorBidi"/>
          <w:sz w:val="22"/>
          <w:szCs w:val="22"/>
          <w:lang w:val="es-ES_tradnl"/>
        </w:rPr>
        <w:t xml:space="preserve"> la versión prefinal con miras a su aprobación por la Asamblea de la COI en su 32ª reunión en 2023.</w:t>
      </w:r>
    </w:p>
    <w:p w14:paraId="2AC6E430" w14:textId="77777777" w:rsidR="006B18B7" w:rsidRPr="00812502" w:rsidRDefault="006B18B7" w:rsidP="000351F9">
      <w:pPr>
        <w:numPr>
          <w:ilvl w:val="0"/>
          <w:numId w:val="30"/>
        </w:numPr>
        <w:tabs>
          <w:tab w:val="clear" w:pos="567"/>
        </w:tabs>
        <w:snapToGrid/>
        <w:spacing w:after="240"/>
        <w:jc w:val="center"/>
        <w:rPr>
          <w:rFonts w:asciiTheme="minorBidi" w:hAnsiTheme="minorBidi" w:cstheme="minorBidi"/>
          <w:b/>
          <w:color w:val="231F20"/>
          <w:sz w:val="22"/>
          <w:szCs w:val="22"/>
          <w:lang w:val="es-ES_tradnl"/>
        </w:rPr>
      </w:pPr>
      <w:r w:rsidRPr="00812502">
        <w:rPr>
          <w:rFonts w:asciiTheme="minorBidi" w:hAnsiTheme="minorBidi" w:cstheme="minorBidi"/>
          <w:b/>
          <w:bCs/>
          <w:sz w:val="22"/>
          <w:szCs w:val="22"/>
          <w:lang w:val="es-ES_tradnl"/>
        </w:rPr>
        <w:t>Informes sobre las contribuciones en especie</w:t>
      </w:r>
    </w:p>
    <w:p w14:paraId="71762FDF" w14:textId="4089D73E" w:rsidR="006B18B7" w:rsidRPr="00812502" w:rsidRDefault="006B18B7" w:rsidP="000351F9">
      <w:pPr>
        <w:pStyle w:val="ListParagraph"/>
        <w:numPr>
          <w:ilvl w:val="0"/>
          <w:numId w:val="36"/>
        </w:numPr>
        <w:spacing w:after="240"/>
        <w:ind w:left="0" w:firstLine="0"/>
        <w:contextualSpacing w:val="0"/>
        <w:jc w:val="both"/>
        <w:rPr>
          <w:rFonts w:asciiTheme="minorBidi" w:hAnsiTheme="minorBidi" w:cstheme="minorBidi"/>
          <w:color w:val="231F20"/>
          <w:sz w:val="22"/>
          <w:szCs w:val="22"/>
          <w:lang w:val="es-ES_tradnl"/>
        </w:rPr>
      </w:pPr>
      <w:r w:rsidRPr="00812502">
        <w:rPr>
          <w:rFonts w:asciiTheme="minorBidi" w:hAnsiTheme="minorBidi" w:cstheme="minorBidi"/>
          <w:sz w:val="22"/>
          <w:szCs w:val="22"/>
          <w:lang w:val="es-ES_tradnl"/>
        </w:rPr>
        <w:t xml:space="preserve">En la resolución A-31/2 de la COI se invitaba al </w:t>
      </w:r>
      <w:r w:rsidR="00B847E6" w:rsidRPr="00812502">
        <w:rPr>
          <w:rFonts w:asciiTheme="minorBidi" w:hAnsiTheme="minorBidi" w:cstheme="minorBidi"/>
          <w:sz w:val="22"/>
          <w:szCs w:val="22"/>
          <w:lang w:val="es-ES_tradnl"/>
        </w:rPr>
        <w:t xml:space="preserve">IFAG </w:t>
      </w:r>
      <w:r w:rsidRPr="00812502">
        <w:rPr>
          <w:rFonts w:asciiTheme="minorBidi" w:hAnsiTheme="minorBidi" w:cstheme="minorBidi"/>
          <w:sz w:val="22"/>
          <w:szCs w:val="22"/>
          <w:lang w:val="es-ES_tradnl"/>
        </w:rPr>
        <w:t xml:space="preserve">a </w:t>
      </w:r>
      <w:r w:rsidR="000351F9" w:rsidRPr="00812502">
        <w:rPr>
          <w:rFonts w:asciiTheme="minorBidi" w:hAnsiTheme="minorBidi" w:cstheme="minorBidi"/>
          <w:sz w:val="22"/>
          <w:szCs w:val="22"/>
          <w:lang w:val="es-ES_tradnl"/>
        </w:rPr>
        <w:t>“</w:t>
      </w:r>
      <w:r w:rsidRPr="00812502">
        <w:rPr>
          <w:rFonts w:asciiTheme="minorBidi" w:hAnsiTheme="minorBidi" w:cstheme="minorBidi"/>
          <w:sz w:val="22"/>
          <w:szCs w:val="22"/>
          <w:lang w:val="es-ES_tradnl"/>
        </w:rPr>
        <w:t>elaborar una propuesta referente a un enfoque y una metodología sistemáticos para informar sobre las contribuciones en especie, de acuerdo con los principios rectores de la programación y la presupuestación actualizados [...] y el artículo 10 de los Estatutos de la COI, que será examinada por la Asamblea de la COI en su 32ª</w:t>
      </w:r>
      <w:r w:rsidR="000B439F">
        <w:rPr>
          <w:rFonts w:asciiTheme="minorBidi" w:hAnsiTheme="minorBidi" w:cstheme="minorBidi"/>
          <w:sz w:val="22"/>
          <w:szCs w:val="22"/>
          <w:lang w:val="es-ES_tradnl"/>
        </w:rPr>
        <w:t> </w:t>
      </w:r>
      <w:r w:rsidRPr="00812502">
        <w:rPr>
          <w:rFonts w:asciiTheme="minorBidi" w:hAnsiTheme="minorBidi" w:cstheme="minorBidi"/>
          <w:sz w:val="22"/>
          <w:szCs w:val="22"/>
          <w:lang w:val="es-ES_tradnl"/>
        </w:rPr>
        <w:t>reunión</w:t>
      </w:r>
      <w:r w:rsidR="000351F9" w:rsidRPr="00812502">
        <w:rPr>
          <w:rFonts w:asciiTheme="minorBidi" w:hAnsiTheme="minorBidi" w:cstheme="minorBidi"/>
          <w:sz w:val="22"/>
          <w:szCs w:val="22"/>
          <w:lang w:val="es-ES_tradnl"/>
        </w:rPr>
        <w:t>”</w:t>
      </w:r>
      <w:r w:rsidRPr="00812502">
        <w:rPr>
          <w:rFonts w:asciiTheme="minorBidi" w:hAnsiTheme="minorBidi" w:cstheme="minorBidi"/>
          <w:sz w:val="22"/>
          <w:szCs w:val="22"/>
          <w:lang w:val="es-ES_tradnl"/>
        </w:rPr>
        <w:t>.</w:t>
      </w:r>
    </w:p>
    <w:p w14:paraId="5E176869" w14:textId="77777777" w:rsidR="006B18B7" w:rsidRPr="00812502" w:rsidRDefault="006B18B7" w:rsidP="000351F9">
      <w:pPr>
        <w:pStyle w:val="ListParagraph"/>
        <w:numPr>
          <w:ilvl w:val="0"/>
          <w:numId w:val="36"/>
        </w:numPr>
        <w:spacing w:after="240"/>
        <w:ind w:left="0" w:firstLine="0"/>
        <w:contextualSpacing w:val="0"/>
        <w:jc w:val="both"/>
        <w:rPr>
          <w:rFonts w:asciiTheme="minorBidi" w:hAnsiTheme="minorBidi" w:cstheme="minorBidi"/>
          <w:color w:val="231F20"/>
          <w:sz w:val="22"/>
          <w:szCs w:val="22"/>
          <w:lang w:val="es-ES_tradnl"/>
        </w:rPr>
      </w:pPr>
      <w:r w:rsidRPr="00812502">
        <w:rPr>
          <w:rFonts w:asciiTheme="minorBidi" w:hAnsiTheme="minorBidi" w:cstheme="minorBidi"/>
          <w:sz w:val="22"/>
          <w:szCs w:val="22"/>
          <w:lang w:val="es-ES_tradnl"/>
        </w:rPr>
        <w:t xml:space="preserve">El trabajo del </w:t>
      </w:r>
      <w:r w:rsidR="00B847E6" w:rsidRPr="00812502">
        <w:rPr>
          <w:rFonts w:asciiTheme="minorBidi" w:hAnsiTheme="minorBidi" w:cstheme="minorBidi"/>
          <w:sz w:val="22"/>
          <w:szCs w:val="22"/>
          <w:lang w:val="es-ES_tradnl"/>
        </w:rPr>
        <w:t>IFAG</w:t>
      </w:r>
      <w:r w:rsidRPr="00812502">
        <w:rPr>
          <w:rFonts w:asciiTheme="minorBidi" w:hAnsiTheme="minorBidi" w:cstheme="minorBidi"/>
          <w:sz w:val="22"/>
          <w:szCs w:val="22"/>
          <w:lang w:val="es-ES_tradnl"/>
        </w:rPr>
        <w:t xml:space="preserve"> en el periodo entre reuniones sobre esta cuestión se </w:t>
      </w:r>
      <w:r w:rsidR="005D6142" w:rsidRPr="00812502">
        <w:rPr>
          <w:rFonts w:asciiTheme="minorBidi" w:hAnsiTheme="minorBidi" w:cstheme="minorBidi"/>
          <w:sz w:val="22"/>
          <w:szCs w:val="22"/>
          <w:lang w:val="es-ES_tradnl"/>
        </w:rPr>
        <w:t>había basado</w:t>
      </w:r>
      <w:r w:rsidRPr="00812502">
        <w:rPr>
          <w:rFonts w:asciiTheme="minorBidi" w:hAnsiTheme="minorBidi" w:cstheme="minorBidi"/>
          <w:sz w:val="22"/>
          <w:szCs w:val="22"/>
          <w:lang w:val="es-ES_tradnl"/>
        </w:rPr>
        <w:t xml:space="preserve"> en su </w:t>
      </w:r>
      <w:hyperlink r:id="rId16" w:history="1">
        <w:r w:rsidRPr="00812502">
          <w:rPr>
            <w:rStyle w:val="Hyperlink"/>
            <w:rFonts w:asciiTheme="minorBidi" w:hAnsiTheme="minorBidi" w:cstheme="minorBidi"/>
            <w:sz w:val="22"/>
            <w:szCs w:val="22"/>
            <w:lang w:val="es-ES_tradnl"/>
          </w:rPr>
          <w:t>nota de trabajo n.º 1</w:t>
        </w:r>
      </w:hyperlink>
      <w:r w:rsidRPr="00812502">
        <w:rPr>
          <w:rFonts w:asciiTheme="minorBidi" w:hAnsiTheme="minorBidi" w:cstheme="minorBidi"/>
          <w:sz w:val="22"/>
          <w:szCs w:val="22"/>
          <w:lang w:val="es-ES_tradnl"/>
        </w:rPr>
        <w:t xml:space="preserve">. Los miembros del </w:t>
      </w:r>
      <w:r w:rsidR="00946F66" w:rsidRPr="00812502">
        <w:rPr>
          <w:rFonts w:asciiTheme="minorBidi" w:hAnsiTheme="minorBidi" w:cstheme="minorBidi"/>
          <w:sz w:val="22"/>
          <w:szCs w:val="22"/>
          <w:lang w:val="es-ES_tradnl"/>
        </w:rPr>
        <w:t>G</w:t>
      </w:r>
      <w:r w:rsidRPr="00812502">
        <w:rPr>
          <w:rFonts w:asciiTheme="minorBidi" w:hAnsiTheme="minorBidi" w:cstheme="minorBidi"/>
          <w:sz w:val="22"/>
          <w:szCs w:val="22"/>
          <w:lang w:val="es-ES_tradnl"/>
        </w:rPr>
        <w:t xml:space="preserve">rupo se mostraron de acuerdo con el enfoque propuesto, </w:t>
      </w:r>
      <w:r w:rsidR="004B0B8C" w:rsidRPr="00812502">
        <w:rPr>
          <w:rFonts w:asciiTheme="minorBidi" w:hAnsiTheme="minorBidi" w:cstheme="minorBidi"/>
          <w:sz w:val="22"/>
          <w:szCs w:val="22"/>
          <w:lang w:val="es-ES_tradnl"/>
        </w:rPr>
        <w:t>haciendo hincapié en</w:t>
      </w:r>
      <w:r w:rsidRPr="00812502">
        <w:rPr>
          <w:rFonts w:asciiTheme="minorBidi" w:hAnsiTheme="minorBidi" w:cstheme="minorBidi"/>
          <w:sz w:val="22"/>
          <w:szCs w:val="22"/>
          <w:lang w:val="es-ES_tradnl"/>
        </w:rPr>
        <w:t xml:space="preserve"> lo siguiente:</w:t>
      </w:r>
    </w:p>
    <w:p w14:paraId="430D5B49" w14:textId="77777777" w:rsidR="006B18B7" w:rsidRPr="00812502" w:rsidRDefault="006B18B7" w:rsidP="000351F9">
      <w:pPr>
        <w:numPr>
          <w:ilvl w:val="0"/>
          <w:numId w:val="32"/>
        </w:numPr>
        <w:shd w:val="clear" w:color="auto" w:fill="FFFFFF"/>
        <w:tabs>
          <w:tab w:val="clear" w:pos="567"/>
        </w:tabs>
        <w:snapToGrid/>
        <w:spacing w:after="240"/>
        <w:ind w:left="993" w:hanging="425"/>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se acoge favorablemente el enfoque más sistemático propuesto para informar sobre las contribuciones en especie por ser más inclusivo y equitativo;</w:t>
      </w:r>
    </w:p>
    <w:p w14:paraId="7273E2DF" w14:textId="77777777" w:rsidR="006B18B7" w:rsidRPr="00812502" w:rsidRDefault="006B18B7" w:rsidP="000351F9">
      <w:pPr>
        <w:numPr>
          <w:ilvl w:val="0"/>
          <w:numId w:val="32"/>
        </w:numPr>
        <w:shd w:val="clear" w:color="auto" w:fill="FFFFFF"/>
        <w:tabs>
          <w:tab w:val="clear" w:pos="567"/>
        </w:tabs>
        <w:snapToGrid/>
        <w:spacing w:after="240"/>
        <w:ind w:left="993" w:hanging="425"/>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 xml:space="preserve">además de los principios rectores que se destacan en la nota, las contribuciones en especie </w:t>
      </w:r>
      <w:r w:rsidR="007A75D4" w:rsidRPr="00812502">
        <w:rPr>
          <w:rFonts w:asciiTheme="minorBidi" w:hAnsiTheme="minorBidi" w:cstheme="minorBidi"/>
          <w:sz w:val="22"/>
          <w:szCs w:val="22"/>
          <w:lang w:val="es-ES_tradnl"/>
        </w:rPr>
        <w:t>comunicadas</w:t>
      </w:r>
      <w:r w:rsidRPr="00812502">
        <w:rPr>
          <w:rFonts w:asciiTheme="minorBidi" w:hAnsiTheme="minorBidi" w:cstheme="minorBidi"/>
          <w:sz w:val="22"/>
          <w:szCs w:val="22"/>
          <w:lang w:val="es-ES_tradnl"/>
        </w:rPr>
        <w:t xml:space="preserve"> deben ser necesarias para el logro de los objetivos de la COI y habrían tenido que ser sufragadas por esta última con su propio presupuesto de no haberse contado con ellas;</w:t>
      </w:r>
    </w:p>
    <w:p w14:paraId="62D37FAB" w14:textId="77777777" w:rsidR="00B70FDF" w:rsidRPr="00812502" w:rsidRDefault="00B70FDF" w:rsidP="000351F9">
      <w:pPr>
        <w:numPr>
          <w:ilvl w:val="0"/>
          <w:numId w:val="32"/>
        </w:numPr>
        <w:shd w:val="clear" w:color="auto" w:fill="FFFFFF"/>
        <w:tabs>
          <w:tab w:val="clear" w:pos="567"/>
        </w:tabs>
        <w:snapToGrid/>
        <w:spacing w:after="240"/>
        <w:ind w:left="993" w:hanging="425"/>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 xml:space="preserve">todos los tipos de gastos realizados en el plano nacional para la participación en programas, actividades, etc. </w:t>
      </w:r>
      <w:r w:rsidR="006E6FEA" w:rsidRPr="00812502">
        <w:rPr>
          <w:rFonts w:asciiTheme="minorBidi" w:hAnsiTheme="minorBidi" w:cstheme="minorBidi"/>
          <w:sz w:val="22"/>
          <w:szCs w:val="22"/>
          <w:lang w:val="es-ES_tradnl"/>
        </w:rPr>
        <w:t>que</w:t>
      </w:r>
      <w:r w:rsidRPr="00812502">
        <w:rPr>
          <w:rFonts w:asciiTheme="minorBidi" w:hAnsiTheme="minorBidi" w:cstheme="minorBidi"/>
          <w:sz w:val="22"/>
          <w:szCs w:val="22"/>
          <w:lang w:val="es-ES_tradnl"/>
        </w:rPr>
        <w:t xml:space="preserve"> benefici</w:t>
      </w:r>
      <w:r w:rsidR="006E6FEA" w:rsidRPr="00812502">
        <w:rPr>
          <w:rFonts w:asciiTheme="minorBidi" w:hAnsiTheme="minorBidi" w:cstheme="minorBidi"/>
          <w:sz w:val="22"/>
          <w:szCs w:val="22"/>
          <w:lang w:val="es-ES_tradnl"/>
        </w:rPr>
        <w:t xml:space="preserve">en a </w:t>
      </w:r>
      <w:r w:rsidRPr="00812502">
        <w:rPr>
          <w:rFonts w:asciiTheme="minorBidi" w:hAnsiTheme="minorBidi" w:cstheme="minorBidi"/>
          <w:sz w:val="22"/>
          <w:szCs w:val="22"/>
          <w:lang w:val="es-ES_tradnl"/>
        </w:rPr>
        <w:t>nacionales en principio no entran en esta categoría de contribuciones en especie;</w:t>
      </w:r>
    </w:p>
    <w:p w14:paraId="66D5AA4C" w14:textId="77777777" w:rsidR="006B18B7" w:rsidRPr="00812502" w:rsidRDefault="006B18B7" w:rsidP="000351F9">
      <w:pPr>
        <w:numPr>
          <w:ilvl w:val="0"/>
          <w:numId w:val="32"/>
        </w:numPr>
        <w:shd w:val="clear" w:color="auto" w:fill="FFFFFF"/>
        <w:tabs>
          <w:tab w:val="clear" w:pos="567"/>
        </w:tabs>
        <w:snapToGrid/>
        <w:spacing w:after="240"/>
        <w:ind w:left="993" w:hanging="425"/>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las contribuciones en efectivo voluntarias (extrapresupuestarias) al trabajo presupuestario de</w:t>
      </w:r>
      <w:r w:rsidR="008477A5" w:rsidRPr="00812502">
        <w:rPr>
          <w:rFonts w:asciiTheme="minorBidi" w:hAnsiTheme="minorBidi" w:cstheme="minorBidi"/>
          <w:sz w:val="22"/>
          <w:szCs w:val="22"/>
          <w:lang w:val="es-ES_tradnl"/>
        </w:rPr>
        <w:t xml:space="preserve"> </w:t>
      </w:r>
      <w:r w:rsidRPr="00812502">
        <w:rPr>
          <w:rFonts w:asciiTheme="minorBidi" w:hAnsiTheme="minorBidi" w:cstheme="minorBidi"/>
          <w:sz w:val="22"/>
          <w:szCs w:val="22"/>
          <w:lang w:val="es-ES_tradnl"/>
        </w:rPr>
        <w:t>l</w:t>
      </w:r>
      <w:r w:rsidR="008477A5" w:rsidRPr="00812502">
        <w:rPr>
          <w:rFonts w:asciiTheme="minorBidi" w:hAnsiTheme="minorBidi" w:cstheme="minorBidi"/>
          <w:sz w:val="22"/>
          <w:szCs w:val="22"/>
          <w:lang w:val="es-ES_tradnl"/>
        </w:rPr>
        <w:t>a</w:t>
      </w:r>
      <w:r w:rsidRPr="00812502">
        <w:rPr>
          <w:rFonts w:asciiTheme="minorBidi" w:hAnsiTheme="minorBidi" w:cstheme="minorBidi"/>
          <w:sz w:val="22"/>
          <w:szCs w:val="22"/>
          <w:lang w:val="es-ES_tradnl"/>
        </w:rPr>
        <w:t xml:space="preserve"> COI que </w:t>
      </w:r>
      <w:r w:rsidR="009E3C55" w:rsidRPr="00812502">
        <w:rPr>
          <w:rFonts w:asciiTheme="minorBidi" w:hAnsiTheme="minorBidi" w:cstheme="minorBidi"/>
          <w:sz w:val="22"/>
          <w:szCs w:val="22"/>
          <w:lang w:val="es-ES_tradnl"/>
        </w:rPr>
        <w:t>esta misma</w:t>
      </w:r>
      <w:r w:rsidRPr="00812502">
        <w:rPr>
          <w:rFonts w:asciiTheme="minorBidi" w:hAnsiTheme="minorBidi" w:cstheme="minorBidi"/>
          <w:sz w:val="22"/>
          <w:szCs w:val="22"/>
          <w:lang w:val="es-ES_tradnl"/>
        </w:rPr>
        <w:t xml:space="preserve"> pued</w:t>
      </w:r>
      <w:r w:rsidR="001B0498" w:rsidRPr="00812502">
        <w:rPr>
          <w:rFonts w:asciiTheme="minorBidi" w:hAnsiTheme="minorBidi" w:cstheme="minorBidi"/>
          <w:sz w:val="22"/>
          <w:szCs w:val="22"/>
          <w:lang w:val="es-ES_tradnl"/>
        </w:rPr>
        <w:t>a</w:t>
      </w:r>
      <w:r w:rsidRPr="00812502">
        <w:rPr>
          <w:rFonts w:asciiTheme="minorBidi" w:hAnsiTheme="minorBidi" w:cstheme="minorBidi"/>
          <w:sz w:val="22"/>
          <w:szCs w:val="22"/>
          <w:lang w:val="es-ES_tradnl"/>
        </w:rPr>
        <w:t xml:space="preserve"> utilizar son claramente distintas de las contribuciones </w:t>
      </w:r>
      <w:r w:rsidRPr="00812502">
        <w:rPr>
          <w:rFonts w:asciiTheme="minorBidi" w:hAnsiTheme="minorBidi" w:cstheme="minorBidi"/>
          <w:sz w:val="22"/>
          <w:szCs w:val="22"/>
          <w:lang w:val="es-ES_tradnl"/>
        </w:rPr>
        <w:lastRenderedPageBreak/>
        <w:t>en especie, en las que la COI se beneficia del valor de esa contribución, en lugar de obtener el beneficio directo del propio gasto en efectivo;</w:t>
      </w:r>
    </w:p>
    <w:p w14:paraId="2DF30405" w14:textId="77777777" w:rsidR="006B18B7" w:rsidRPr="00812502" w:rsidRDefault="006B18B7" w:rsidP="000351F9">
      <w:pPr>
        <w:numPr>
          <w:ilvl w:val="0"/>
          <w:numId w:val="32"/>
        </w:numPr>
        <w:shd w:val="clear" w:color="auto" w:fill="FFFFFF"/>
        <w:tabs>
          <w:tab w:val="clear" w:pos="567"/>
        </w:tabs>
        <w:snapToGrid/>
        <w:spacing w:after="240"/>
        <w:ind w:left="993" w:hanging="425"/>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el valor de las contribuciones en especie debe expresarse directamente como el precio de mercado, es decir, el gasto de la parte que realiza la contribución. Este es el caso en el que la contribución se dedica al 100% al logro de los objetivos de la organización receptora;</w:t>
      </w:r>
    </w:p>
    <w:p w14:paraId="5EEE088F" w14:textId="599241FD" w:rsidR="006B18B7" w:rsidRPr="00812502" w:rsidRDefault="006B18B7" w:rsidP="000351F9">
      <w:pPr>
        <w:numPr>
          <w:ilvl w:val="0"/>
          <w:numId w:val="32"/>
        </w:numPr>
        <w:shd w:val="clear" w:color="auto" w:fill="FFFFFF"/>
        <w:tabs>
          <w:tab w:val="clear" w:pos="567"/>
        </w:tabs>
        <w:snapToGrid/>
        <w:spacing w:after="240"/>
        <w:ind w:left="993" w:hanging="425"/>
        <w:jc w:val="both"/>
        <w:rPr>
          <w:rFonts w:asciiTheme="minorBidi" w:eastAsia="Times New Roman" w:hAnsiTheme="minorBidi" w:cstheme="minorBidi"/>
          <w:iCs/>
          <w:sz w:val="22"/>
          <w:szCs w:val="22"/>
          <w:lang w:val="es-ES_tradnl"/>
        </w:rPr>
      </w:pPr>
      <w:r w:rsidRPr="00812502">
        <w:rPr>
          <w:rFonts w:asciiTheme="minorBidi" w:hAnsiTheme="minorBidi" w:cstheme="minorBidi"/>
          <w:sz w:val="22"/>
          <w:szCs w:val="22"/>
          <w:lang w:val="es-ES_tradnl"/>
        </w:rPr>
        <w:t xml:space="preserve">el término </w:t>
      </w:r>
      <w:r w:rsidR="000351F9" w:rsidRPr="00812502">
        <w:rPr>
          <w:rFonts w:asciiTheme="minorBidi" w:hAnsiTheme="minorBidi" w:cstheme="minorBidi"/>
          <w:sz w:val="22"/>
          <w:szCs w:val="22"/>
          <w:lang w:val="es-ES_tradnl"/>
        </w:rPr>
        <w:t>“</w:t>
      </w:r>
      <w:r w:rsidRPr="00812502">
        <w:rPr>
          <w:rFonts w:asciiTheme="minorBidi" w:hAnsiTheme="minorBidi" w:cstheme="minorBidi"/>
          <w:sz w:val="22"/>
          <w:szCs w:val="22"/>
          <w:lang w:val="es-ES_tradnl"/>
        </w:rPr>
        <w:t>contribuyente</w:t>
      </w:r>
      <w:r w:rsidR="000351F9" w:rsidRPr="00812502">
        <w:rPr>
          <w:rFonts w:asciiTheme="minorBidi" w:hAnsiTheme="minorBidi" w:cstheme="minorBidi"/>
          <w:sz w:val="22"/>
          <w:szCs w:val="22"/>
          <w:lang w:val="es-ES_tradnl"/>
        </w:rPr>
        <w:t>”</w:t>
      </w:r>
      <w:r w:rsidRPr="00812502">
        <w:rPr>
          <w:rFonts w:asciiTheme="minorBidi" w:hAnsiTheme="minorBidi" w:cstheme="minorBidi"/>
          <w:sz w:val="22"/>
          <w:szCs w:val="22"/>
          <w:lang w:val="es-ES_tradnl"/>
        </w:rPr>
        <w:t xml:space="preserve"> puede ser más adecuado </w:t>
      </w:r>
      <w:r w:rsidR="00743CAC" w:rsidRPr="00812502">
        <w:rPr>
          <w:rFonts w:asciiTheme="minorBidi" w:hAnsiTheme="minorBidi" w:cstheme="minorBidi"/>
          <w:sz w:val="22"/>
          <w:szCs w:val="22"/>
          <w:lang w:val="es-ES_tradnl"/>
        </w:rPr>
        <w:t xml:space="preserve">que el de </w:t>
      </w:r>
      <w:r w:rsidR="000351F9" w:rsidRPr="00812502">
        <w:rPr>
          <w:rFonts w:asciiTheme="minorBidi" w:hAnsiTheme="minorBidi" w:cstheme="minorBidi"/>
          <w:sz w:val="22"/>
          <w:szCs w:val="22"/>
          <w:lang w:val="es-ES_tradnl"/>
        </w:rPr>
        <w:t>“</w:t>
      </w:r>
      <w:r w:rsidR="00743CAC" w:rsidRPr="00812502">
        <w:rPr>
          <w:rFonts w:asciiTheme="minorBidi" w:hAnsiTheme="minorBidi" w:cstheme="minorBidi"/>
          <w:sz w:val="22"/>
          <w:szCs w:val="22"/>
          <w:lang w:val="es-ES_tradnl"/>
        </w:rPr>
        <w:t>donante</w:t>
      </w:r>
      <w:r w:rsidR="000351F9" w:rsidRPr="00812502">
        <w:rPr>
          <w:rFonts w:asciiTheme="minorBidi" w:hAnsiTheme="minorBidi" w:cstheme="minorBidi"/>
          <w:sz w:val="22"/>
          <w:szCs w:val="22"/>
          <w:lang w:val="es-ES_tradnl"/>
        </w:rPr>
        <w:t>”</w:t>
      </w:r>
      <w:r w:rsidR="00743CAC" w:rsidRPr="00812502">
        <w:rPr>
          <w:rFonts w:asciiTheme="minorBidi" w:hAnsiTheme="minorBidi" w:cstheme="minorBidi"/>
          <w:sz w:val="22"/>
          <w:szCs w:val="22"/>
          <w:lang w:val="es-ES_tradnl"/>
        </w:rPr>
        <w:t xml:space="preserve"> </w:t>
      </w:r>
      <w:r w:rsidRPr="00812502">
        <w:rPr>
          <w:rFonts w:asciiTheme="minorBidi" w:hAnsiTheme="minorBidi" w:cstheme="minorBidi"/>
          <w:sz w:val="22"/>
          <w:szCs w:val="22"/>
          <w:lang w:val="es-ES_tradnl"/>
        </w:rPr>
        <w:t xml:space="preserve">para el modelo de informe (véase el anexo III de la nota de trabajo n.º 1 del </w:t>
      </w:r>
      <w:r w:rsidR="00902ED8" w:rsidRPr="00812502">
        <w:rPr>
          <w:rFonts w:asciiTheme="minorBidi" w:hAnsiTheme="minorBidi" w:cstheme="minorBidi"/>
          <w:sz w:val="22"/>
          <w:szCs w:val="22"/>
          <w:lang w:val="es-ES_tradnl"/>
        </w:rPr>
        <w:t>IFAG</w:t>
      </w:r>
      <w:r w:rsidRPr="00812502">
        <w:rPr>
          <w:rFonts w:asciiTheme="minorBidi" w:hAnsiTheme="minorBidi" w:cstheme="minorBidi"/>
          <w:sz w:val="22"/>
          <w:szCs w:val="22"/>
          <w:lang w:val="es-ES_tradnl"/>
        </w:rPr>
        <w:t>) a fin de diferenciarlo de</w:t>
      </w:r>
      <w:r w:rsidR="00743CAC" w:rsidRPr="00812502">
        <w:rPr>
          <w:rFonts w:asciiTheme="minorBidi" w:hAnsiTheme="minorBidi" w:cstheme="minorBidi"/>
          <w:sz w:val="22"/>
          <w:szCs w:val="22"/>
          <w:lang w:val="es-ES_tradnl"/>
        </w:rPr>
        <w:t xml:space="preserve">l de </w:t>
      </w:r>
      <w:r w:rsidR="000351F9" w:rsidRPr="00812502">
        <w:rPr>
          <w:rFonts w:asciiTheme="minorBidi" w:hAnsiTheme="minorBidi" w:cstheme="minorBidi"/>
          <w:sz w:val="22"/>
          <w:szCs w:val="22"/>
          <w:lang w:val="es-ES_tradnl"/>
        </w:rPr>
        <w:t>“</w:t>
      </w:r>
      <w:r w:rsidRPr="00812502">
        <w:rPr>
          <w:rFonts w:asciiTheme="minorBidi" w:hAnsiTheme="minorBidi" w:cstheme="minorBidi"/>
          <w:sz w:val="22"/>
          <w:szCs w:val="22"/>
          <w:lang w:val="es-ES_tradnl"/>
        </w:rPr>
        <w:t>donante en efectivo</w:t>
      </w:r>
      <w:r w:rsidR="000351F9" w:rsidRPr="00812502">
        <w:rPr>
          <w:rFonts w:asciiTheme="minorBidi" w:hAnsiTheme="minorBidi" w:cstheme="minorBidi"/>
          <w:sz w:val="22"/>
          <w:szCs w:val="22"/>
          <w:lang w:val="es-ES_tradnl"/>
        </w:rPr>
        <w:t>”</w:t>
      </w:r>
      <w:r w:rsidRPr="00812502">
        <w:rPr>
          <w:rFonts w:asciiTheme="minorBidi" w:hAnsiTheme="minorBidi" w:cstheme="minorBidi"/>
          <w:sz w:val="22"/>
          <w:szCs w:val="22"/>
          <w:lang w:val="es-ES_tradnl"/>
        </w:rPr>
        <w:t xml:space="preserve"> </w:t>
      </w:r>
      <w:r w:rsidR="00743CAC" w:rsidRPr="00812502">
        <w:rPr>
          <w:rFonts w:asciiTheme="minorBidi" w:hAnsiTheme="minorBidi" w:cstheme="minorBidi"/>
          <w:sz w:val="22"/>
          <w:szCs w:val="22"/>
          <w:lang w:val="es-ES_tradnl"/>
        </w:rPr>
        <w:t>a</w:t>
      </w:r>
      <w:r w:rsidRPr="00812502">
        <w:rPr>
          <w:rFonts w:asciiTheme="minorBidi" w:hAnsiTheme="minorBidi" w:cstheme="minorBidi"/>
          <w:sz w:val="22"/>
          <w:szCs w:val="22"/>
          <w:lang w:val="es-ES_tradnl"/>
        </w:rPr>
        <w:t>l trabajo presupuestario de la COI.</w:t>
      </w:r>
    </w:p>
    <w:p w14:paraId="6CCB407F" w14:textId="77777777" w:rsidR="006B18B7" w:rsidRPr="00812502" w:rsidRDefault="006B18B7" w:rsidP="000351F9">
      <w:pPr>
        <w:pStyle w:val="ListParagraph"/>
        <w:numPr>
          <w:ilvl w:val="0"/>
          <w:numId w:val="36"/>
        </w:numPr>
        <w:spacing w:after="240"/>
        <w:ind w:left="0" w:firstLine="0"/>
        <w:contextualSpacing w:val="0"/>
        <w:jc w:val="both"/>
        <w:rPr>
          <w:rFonts w:asciiTheme="minorBidi" w:hAnsiTheme="minorBidi" w:cstheme="minorBidi"/>
          <w:bCs/>
          <w:color w:val="000000"/>
          <w:sz w:val="22"/>
          <w:szCs w:val="22"/>
          <w:lang w:val="es-ES_tradnl"/>
        </w:rPr>
      </w:pPr>
      <w:r w:rsidRPr="00812502">
        <w:rPr>
          <w:rFonts w:asciiTheme="minorBidi" w:hAnsiTheme="minorBidi" w:cstheme="minorBidi"/>
          <w:sz w:val="22"/>
          <w:szCs w:val="22"/>
          <w:lang w:val="es-ES_tradnl"/>
        </w:rPr>
        <w:t xml:space="preserve">En este contexto, los miembros del </w:t>
      </w:r>
      <w:r w:rsidR="00F27440" w:rsidRPr="00812502">
        <w:rPr>
          <w:rFonts w:asciiTheme="minorBidi" w:hAnsiTheme="minorBidi" w:cstheme="minorBidi"/>
          <w:sz w:val="22"/>
          <w:szCs w:val="22"/>
          <w:lang w:val="es-ES_tradnl"/>
        </w:rPr>
        <w:t xml:space="preserve">IFAG </w:t>
      </w:r>
      <w:r w:rsidRPr="00812502">
        <w:rPr>
          <w:rFonts w:asciiTheme="minorBidi" w:hAnsiTheme="minorBidi" w:cstheme="minorBidi"/>
          <w:sz w:val="22"/>
          <w:szCs w:val="22"/>
          <w:lang w:val="es-ES_tradnl"/>
        </w:rPr>
        <w:t xml:space="preserve">opinaron que el Consejo Ejecutivo </w:t>
      </w:r>
      <w:r w:rsidR="00F27440" w:rsidRPr="00812502">
        <w:rPr>
          <w:rFonts w:asciiTheme="minorBidi" w:hAnsiTheme="minorBidi" w:cstheme="minorBidi"/>
          <w:sz w:val="22"/>
          <w:szCs w:val="22"/>
          <w:lang w:val="es-ES_tradnl"/>
        </w:rPr>
        <w:t>—</w:t>
      </w:r>
      <w:r w:rsidRPr="00812502">
        <w:rPr>
          <w:rFonts w:asciiTheme="minorBidi" w:hAnsiTheme="minorBidi" w:cstheme="minorBidi"/>
          <w:sz w:val="22"/>
          <w:szCs w:val="22"/>
          <w:lang w:val="es-ES_tradnl"/>
        </w:rPr>
        <w:t>tras un nuevo debate en plenaria, así como del Comité de Finanzas de la reunión</w:t>
      </w:r>
      <w:r w:rsidR="00F27440" w:rsidRPr="00812502">
        <w:rPr>
          <w:rFonts w:asciiTheme="minorBidi" w:hAnsiTheme="minorBidi" w:cstheme="minorBidi"/>
          <w:sz w:val="22"/>
          <w:szCs w:val="22"/>
          <w:lang w:val="es-ES_tradnl"/>
        </w:rPr>
        <w:t>—</w:t>
      </w:r>
      <w:r w:rsidRPr="00812502">
        <w:rPr>
          <w:rFonts w:asciiTheme="minorBidi" w:hAnsiTheme="minorBidi" w:cstheme="minorBidi"/>
          <w:sz w:val="22"/>
          <w:szCs w:val="22"/>
          <w:lang w:val="es-ES_tradnl"/>
        </w:rPr>
        <w:t xml:space="preserve"> podría recomendar que la Secretaría pusiera en marcha el </w:t>
      </w:r>
      <w:r w:rsidRPr="00812502">
        <w:rPr>
          <w:rFonts w:asciiTheme="minorBidi" w:hAnsiTheme="minorBidi" w:cstheme="minorBidi"/>
          <w:b/>
          <w:bCs/>
          <w:sz w:val="22"/>
          <w:szCs w:val="22"/>
          <w:u w:val="single"/>
          <w:lang w:val="es-ES_tradnl"/>
        </w:rPr>
        <w:t>periodo experimental de presentación de informes</w:t>
      </w:r>
      <w:r w:rsidRPr="00812502">
        <w:rPr>
          <w:rFonts w:asciiTheme="minorBidi" w:hAnsiTheme="minorBidi" w:cstheme="minorBidi"/>
          <w:sz w:val="22"/>
          <w:szCs w:val="22"/>
          <w:lang w:val="es-ES_tradnl"/>
        </w:rPr>
        <w:t xml:space="preserve"> de acuerdo con el siguiente calendario y teniendo en cuenta las recomendaciones del Consejo Ejecutivo:</w:t>
      </w:r>
    </w:p>
    <w:p w14:paraId="4C762D37" w14:textId="3AF37831" w:rsidR="006B18B7" w:rsidRPr="00812502" w:rsidRDefault="006B18B7" w:rsidP="000351F9">
      <w:pPr>
        <w:numPr>
          <w:ilvl w:val="0"/>
          <w:numId w:val="32"/>
        </w:numPr>
        <w:shd w:val="clear" w:color="auto" w:fill="FFFFFF"/>
        <w:tabs>
          <w:tab w:val="clear" w:pos="567"/>
        </w:tabs>
        <w:snapToGrid/>
        <w:spacing w:after="240"/>
        <w:ind w:left="993" w:hanging="425"/>
        <w:jc w:val="both"/>
        <w:rPr>
          <w:rFonts w:asciiTheme="minorBidi" w:eastAsiaTheme="minorHAnsi" w:hAnsiTheme="minorBidi" w:cstheme="minorBidi"/>
          <w:snapToGrid/>
          <w:color w:val="000000"/>
          <w:sz w:val="22"/>
          <w:szCs w:val="22"/>
          <w:lang w:val="es-ES_tradnl"/>
        </w:rPr>
      </w:pPr>
      <w:r w:rsidRPr="00812502">
        <w:rPr>
          <w:rFonts w:asciiTheme="minorBidi" w:hAnsiTheme="minorBidi" w:cstheme="minorBidi"/>
          <w:sz w:val="22"/>
          <w:szCs w:val="22"/>
          <w:u w:val="single"/>
          <w:lang w:val="es-ES_tradnl"/>
        </w:rPr>
        <w:t>De julio de 2022 a enero de 2023</w:t>
      </w:r>
      <w:r w:rsidRPr="00812502">
        <w:rPr>
          <w:rFonts w:asciiTheme="minorBidi" w:hAnsiTheme="minorBidi" w:cstheme="minorBidi"/>
          <w:sz w:val="22"/>
          <w:szCs w:val="22"/>
          <w:lang w:val="es-ES_tradnl"/>
        </w:rPr>
        <w:t>: la Secretaría de la COI envía una circular a los Estados Miembros en la que se comunica la metodología y se solicita</w:t>
      </w:r>
      <w:r w:rsidR="00F27440" w:rsidRPr="00812502">
        <w:rPr>
          <w:rFonts w:asciiTheme="minorBidi" w:hAnsiTheme="minorBidi" w:cstheme="minorBidi"/>
          <w:sz w:val="22"/>
          <w:szCs w:val="22"/>
          <w:lang w:val="es-ES_tradnl"/>
        </w:rPr>
        <w:t xml:space="preserve"> que se presenten las</w:t>
      </w:r>
      <w:r w:rsidRPr="00812502">
        <w:rPr>
          <w:rFonts w:asciiTheme="minorBidi" w:hAnsiTheme="minorBidi" w:cstheme="minorBidi"/>
          <w:sz w:val="22"/>
          <w:szCs w:val="22"/>
          <w:lang w:val="es-ES_tradnl"/>
        </w:rPr>
        <w:t xml:space="preserve"> declaraciones oficiales de contribuciones </w:t>
      </w:r>
      <w:r w:rsidR="00F27440" w:rsidRPr="00812502">
        <w:rPr>
          <w:rFonts w:asciiTheme="minorBidi" w:hAnsiTheme="minorBidi" w:cstheme="minorBidi"/>
          <w:sz w:val="22"/>
          <w:szCs w:val="22"/>
          <w:lang w:val="es-ES_tradnl"/>
        </w:rPr>
        <w:t xml:space="preserve">para </w:t>
      </w:r>
      <w:r w:rsidRPr="00812502">
        <w:rPr>
          <w:rFonts w:asciiTheme="minorBidi" w:hAnsiTheme="minorBidi" w:cstheme="minorBidi"/>
          <w:sz w:val="22"/>
          <w:szCs w:val="22"/>
          <w:lang w:val="es-ES_tradnl"/>
        </w:rPr>
        <w:t>el año natural 2022 a más tardar el 20 de enero de 2023.</w:t>
      </w:r>
    </w:p>
    <w:p w14:paraId="6E75B7A1" w14:textId="41321F9C" w:rsidR="006B18B7" w:rsidRPr="00812502" w:rsidRDefault="006B18B7" w:rsidP="000351F9">
      <w:pPr>
        <w:numPr>
          <w:ilvl w:val="0"/>
          <w:numId w:val="32"/>
        </w:numPr>
        <w:shd w:val="clear" w:color="auto" w:fill="FFFFFF"/>
        <w:tabs>
          <w:tab w:val="clear" w:pos="567"/>
        </w:tabs>
        <w:snapToGrid/>
        <w:spacing w:after="240"/>
        <w:ind w:left="993" w:hanging="425"/>
        <w:jc w:val="both"/>
        <w:rPr>
          <w:rFonts w:asciiTheme="minorBidi" w:eastAsiaTheme="minorHAnsi" w:hAnsiTheme="minorBidi" w:cstheme="minorBidi"/>
          <w:snapToGrid/>
          <w:color w:val="000000"/>
          <w:sz w:val="22"/>
          <w:szCs w:val="22"/>
          <w:lang w:val="es-ES_tradnl"/>
        </w:rPr>
      </w:pPr>
      <w:r w:rsidRPr="00812502">
        <w:rPr>
          <w:rFonts w:asciiTheme="minorBidi" w:hAnsiTheme="minorBidi" w:cstheme="minorBidi"/>
          <w:sz w:val="22"/>
          <w:szCs w:val="22"/>
          <w:u w:val="single"/>
          <w:lang w:val="es-ES_tradnl"/>
        </w:rPr>
        <w:t>Febrero de 2023</w:t>
      </w:r>
      <w:r w:rsidRPr="00812502">
        <w:rPr>
          <w:rFonts w:asciiTheme="minorBidi" w:hAnsiTheme="minorBidi" w:cstheme="minorBidi"/>
          <w:sz w:val="22"/>
          <w:szCs w:val="22"/>
          <w:lang w:val="es-ES_tradnl"/>
        </w:rPr>
        <w:t xml:space="preserve">: el informe completo sobre las contribuciones en especie se transmite al </w:t>
      </w:r>
      <w:r w:rsidR="001C5D8F" w:rsidRPr="00812502">
        <w:rPr>
          <w:rFonts w:asciiTheme="minorBidi" w:hAnsiTheme="minorBidi" w:cstheme="minorBidi"/>
          <w:sz w:val="22"/>
          <w:szCs w:val="22"/>
          <w:lang w:val="es-ES_tradnl"/>
        </w:rPr>
        <w:t>IFAG</w:t>
      </w:r>
      <w:r w:rsidRPr="00812502">
        <w:rPr>
          <w:rFonts w:asciiTheme="minorBidi" w:hAnsiTheme="minorBidi" w:cstheme="minorBidi"/>
          <w:sz w:val="22"/>
          <w:szCs w:val="22"/>
          <w:lang w:val="es-ES_tradnl"/>
        </w:rPr>
        <w:t xml:space="preserve"> (periodo entre reuniones 2022-2023) para que este lo estudie y pueda formular propuestas de revisión de la metodología que la Asamblea de la COI </w:t>
      </w:r>
      <w:r w:rsidR="001C5D8F" w:rsidRPr="00812502">
        <w:rPr>
          <w:rFonts w:asciiTheme="minorBidi" w:hAnsiTheme="minorBidi" w:cstheme="minorBidi"/>
          <w:sz w:val="22"/>
          <w:szCs w:val="22"/>
          <w:lang w:val="es-ES_tradnl"/>
        </w:rPr>
        <w:t>examin</w:t>
      </w:r>
      <w:r w:rsidR="00B320B5" w:rsidRPr="00812502">
        <w:rPr>
          <w:rFonts w:asciiTheme="minorBidi" w:hAnsiTheme="minorBidi" w:cstheme="minorBidi"/>
          <w:sz w:val="22"/>
          <w:szCs w:val="22"/>
          <w:lang w:val="es-ES_tradnl"/>
        </w:rPr>
        <w:t>ará</w:t>
      </w:r>
      <w:r w:rsidRPr="00812502">
        <w:rPr>
          <w:rFonts w:asciiTheme="minorBidi" w:hAnsiTheme="minorBidi" w:cstheme="minorBidi"/>
          <w:sz w:val="22"/>
          <w:szCs w:val="22"/>
          <w:lang w:val="es-ES_tradnl"/>
        </w:rPr>
        <w:t xml:space="preserve"> en 2023.</w:t>
      </w:r>
    </w:p>
    <w:p w14:paraId="35129DCA" w14:textId="77777777" w:rsidR="006B18B7" w:rsidRPr="00812502" w:rsidRDefault="006B18B7" w:rsidP="000351F9">
      <w:pPr>
        <w:numPr>
          <w:ilvl w:val="0"/>
          <w:numId w:val="32"/>
        </w:numPr>
        <w:shd w:val="clear" w:color="auto" w:fill="FFFFFF"/>
        <w:tabs>
          <w:tab w:val="clear" w:pos="567"/>
        </w:tabs>
        <w:snapToGrid/>
        <w:spacing w:after="240"/>
        <w:ind w:left="993" w:hanging="425"/>
        <w:jc w:val="both"/>
        <w:rPr>
          <w:rFonts w:asciiTheme="minorBidi" w:eastAsiaTheme="minorHAnsi" w:hAnsiTheme="minorBidi" w:cstheme="minorBidi"/>
          <w:snapToGrid/>
          <w:color w:val="000000"/>
          <w:sz w:val="22"/>
          <w:szCs w:val="22"/>
          <w:lang w:val="es-ES_tradnl"/>
        </w:rPr>
      </w:pPr>
      <w:r w:rsidRPr="00812502">
        <w:rPr>
          <w:rFonts w:asciiTheme="minorBidi" w:hAnsiTheme="minorBidi" w:cstheme="minorBidi"/>
          <w:sz w:val="22"/>
          <w:szCs w:val="22"/>
          <w:lang w:val="es-ES_tradnl"/>
        </w:rPr>
        <w:t>La Asamblea examina el informe y decid</w:t>
      </w:r>
      <w:r w:rsidR="00B320B5" w:rsidRPr="00812502">
        <w:rPr>
          <w:rFonts w:asciiTheme="minorBidi" w:hAnsiTheme="minorBidi" w:cstheme="minorBidi"/>
          <w:sz w:val="22"/>
          <w:szCs w:val="22"/>
          <w:lang w:val="es-ES_tradnl"/>
        </w:rPr>
        <w:t>e</w:t>
      </w:r>
      <w:r w:rsidRPr="00812502">
        <w:rPr>
          <w:rFonts w:asciiTheme="minorBidi" w:hAnsiTheme="minorBidi" w:cstheme="minorBidi"/>
          <w:sz w:val="22"/>
          <w:szCs w:val="22"/>
          <w:lang w:val="es-ES_tradnl"/>
        </w:rPr>
        <w:t xml:space="preserve"> sobre la futura presentación de informes.</w:t>
      </w:r>
    </w:p>
    <w:p w14:paraId="6C27ECA7" w14:textId="77777777" w:rsidR="00DC2EAE" w:rsidRPr="00812502" w:rsidRDefault="00DC2EAE" w:rsidP="000351F9">
      <w:pPr>
        <w:tabs>
          <w:tab w:val="clear" w:pos="567"/>
        </w:tabs>
        <w:snapToGrid/>
        <w:spacing w:after="240"/>
        <w:jc w:val="both"/>
        <w:rPr>
          <w:rFonts w:asciiTheme="minorBidi" w:hAnsiTheme="minorBidi" w:cstheme="minorBidi"/>
          <w:b/>
          <w:sz w:val="22"/>
          <w:szCs w:val="22"/>
          <w:lang w:val="es-ES_tradnl"/>
        </w:rPr>
      </w:pPr>
    </w:p>
    <w:sectPr w:rsidR="00DC2EAE" w:rsidRPr="00812502" w:rsidSect="004B7754">
      <w:headerReference w:type="even" r:id="rId17"/>
      <w:headerReference w:type="default" r:id="rId18"/>
      <w:headerReference w:type="first" r:id="rId19"/>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A8C21" w14:textId="77777777" w:rsidR="00A16A1F" w:rsidRDefault="00A16A1F">
      <w:r>
        <w:separator/>
      </w:r>
    </w:p>
  </w:endnote>
  <w:endnote w:type="continuationSeparator" w:id="0">
    <w:p w14:paraId="4FCDF81E" w14:textId="77777777" w:rsidR="00A16A1F" w:rsidRDefault="00A1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albaum Display Light">
    <w:altName w:val="Walbaum Display Light"/>
    <w:charset w:val="00"/>
    <w:family w:val="roman"/>
    <w:pitch w:val="variable"/>
    <w:sig w:usb0="8000002F" w:usb1="0000000A"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Founder Extended)">
    <w:altName w:val="Microsoft YaHe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BDA0" w14:textId="77777777" w:rsidR="00A16A1F" w:rsidRDefault="00A16A1F">
      <w:r>
        <w:separator/>
      </w:r>
    </w:p>
  </w:footnote>
  <w:footnote w:type="continuationSeparator" w:id="0">
    <w:p w14:paraId="5F0D1C7D" w14:textId="77777777" w:rsidR="00A16A1F" w:rsidRDefault="00A16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51BF" w14:textId="133DA2FD" w:rsidR="00AE2085" w:rsidRPr="000351F9" w:rsidRDefault="00AE2085" w:rsidP="00FF54F5">
    <w:pPr>
      <w:pStyle w:val="Header"/>
      <w:rPr>
        <w:rFonts w:ascii="Arial" w:hAnsi="Arial" w:cs="Arial"/>
        <w:bCs/>
        <w:sz w:val="22"/>
        <w:szCs w:val="22"/>
        <w:lang w:val="es-ES_tradnl"/>
      </w:rPr>
    </w:pPr>
    <w:r w:rsidRPr="000351F9">
      <w:rPr>
        <w:rFonts w:ascii="Arial" w:hAnsi="Arial" w:cs="Arial"/>
        <w:bCs/>
        <w:sz w:val="22"/>
        <w:szCs w:val="22"/>
        <w:lang w:val="es-ES_tradnl"/>
      </w:rPr>
      <w:t>IOC/EC-5</w:t>
    </w:r>
    <w:r w:rsidR="006B18B7" w:rsidRPr="000351F9">
      <w:rPr>
        <w:rFonts w:ascii="Arial" w:hAnsi="Arial" w:cs="Arial"/>
        <w:bCs/>
        <w:sz w:val="22"/>
        <w:szCs w:val="22"/>
        <w:lang w:val="es-ES_tradnl"/>
      </w:rPr>
      <w:t>5/5</w:t>
    </w:r>
    <w:r w:rsidRPr="000351F9">
      <w:rPr>
        <w:rFonts w:ascii="Arial" w:hAnsi="Arial" w:cs="Arial"/>
        <w:bCs/>
        <w:sz w:val="22"/>
        <w:szCs w:val="22"/>
        <w:lang w:val="es-ES_tradnl"/>
      </w:rPr>
      <w:t>.1.Doc</w:t>
    </w:r>
    <w:sdt>
      <w:sdtPr>
        <w:rPr>
          <w:rFonts w:ascii="Arial" w:hAnsi="Arial" w:cs="Arial"/>
          <w:bCs/>
          <w:sz w:val="22"/>
          <w:szCs w:val="22"/>
          <w:lang w:val="es-ES_tradnl"/>
        </w:rPr>
        <w:id w:val="554519101"/>
        <w:docPartObj>
          <w:docPartGallery w:val="Page Numbers (Top of Page)"/>
          <w:docPartUnique/>
        </w:docPartObj>
      </w:sdtPr>
      <w:sdtEndPr/>
      <w:sdtContent>
        <w:r w:rsidRPr="000351F9">
          <w:rPr>
            <w:rFonts w:ascii="Arial" w:hAnsi="Arial" w:cs="Arial"/>
            <w:bCs/>
            <w:sz w:val="22"/>
            <w:szCs w:val="22"/>
            <w:lang w:val="es-ES_tradnl"/>
          </w:rPr>
          <w:t>(2)</w:t>
        </w:r>
        <w:r w:rsidR="000E759E" w:rsidRPr="000351F9">
          <w:rPr>
            <w:rFonts w:ascii="Arial" w:hAnsi="Arial" w:cs="Arial"/>
            <w:bCs/>
            <w:sz w:val="22"/>
            <w:szCs w:val="22"/>
            <w:lang w:val="es-ES_tradnl"/>
          </w:rPr>
          <w:t xml:space="preserve"> – p</w:t>
        </w:r>
        <w:r w:rsidR="000351F9">
          <w:rPr>
            <w:rFonts w:ascii="Arial" w:hAnsi="Arial" w:cs="Arial"/>
            <w:bCs/>
            <w:sz w:val="22"/>
            <w:szCs w:val="22"/>
            <w:lang w:val="es-ES_tradnl"/>
          </w:rPr>
          <w:t>ág.</w:t>
        </w:r>
        <w:r w:rsidR="000E759E" w:rsidRPr="000351F9">
          <w:rPr>
            <w:rFonts w:ascii="Arial" w:hAnsi="Arial" w:cs="Arial"/>
            <w:bCs/>
            <w:sz w:val="22"/>
            <w:szCs w:val="22"/>
            <w:lang w:val="es-ES_tradnl"/>
          </w:rPr>
          <w:t xml:space="preserve"> </w:t>
        </w:r>
        <w:r w:rsidR="000E759E" w:rsidRPr="000351F9">
          <w:rPr>
            <w:rFonts w:ascii="Arial" w:hAnsi="Arial" w:cs="Arial"/>
            <w:bCs/>
            <w:sz w:val="22"/>
            <w:szCs w:val="22"/>
            <w:lang w:val="es-ES_tradnl"/>
          </w:rPr>
          <w:fldChar w:fldCharType="begin"/>
        </w:r>
        <w:r w:rsidR="000E759E" w:rsidRPr="000351F9">
          <w:rPr>
            <w:rFonts w:ascii="Arial" w:hAnsi="Arial" w:cs="Arial"/>
            <w:bCs/>
            <w:sz w:val="22"/>
            <w:szCs w:val="22"/>
            <w:lang w:val="es-ES_tradnl"/>
          </w:rPr>
          <w:instrText xml:space="preserve"> PAGE   \* MERGEFORMAT </w:instrText>
        </w:r>
        <w:r w:rsidR="000E759E" w:rsidRPr="000351F9">
          <w:rPr>
            <w:rFonts w:ascii="Arial" w:hAnsi="Arial" w:cs="Arial"/>
            <w:bCs/>
            <w:sz w:val="22"/>
            <w:szCs w:val="22"/>
            <w:lang w:val="es-ES_tradnl"/>
          </w:rPr>
          <w:fldChar w:fldCharType="separate"/>
        </w:r>
        <w:r w:rsidR="00EA6E8E" w:rsidRPr="000351F9">
          <w:rPr>
            <w:rFonts w:ascii="Arial" w:hAnsi="Arial" w:cs="Arial"/>
            <w:bCs/>
            <w:noProof/>
            <w:sz w:val="22"/>
            <w:szCs w:val="22"/>
            <w:lang w:val="es-ES_tradnl"/>
          </w:rPr>
          <w:t>4</w:t>
        </w:r>
        <w:r w:rsidR="000E759E" w:rsidRPr="000351F9">
          <w:rPr>
            <w:rFonts w:ascii="Arial" w:hAnsi="Arial" w:cs="Arial"/>
            <w:bCs/>
            <w:noProof/>
            <w:sz w:val="22"/>
            <w:szCs w:val="22"/>
            <w:lang w:val="es-ES_tradnl"/>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3762" w14:textId="75DDC936" w:rsidR="00AE2085" w:rsidRPr="000351F9" w:rsidRDefault="00AE2085" w:rsidP="00FF54F5">
    <w:pPr>
      <w:pStyle w:val="Header"/>
      <w:jc w:val="right"/>
      <w:rPr>
        <w:rFonts w:ascii="Arial" w:hAnsi="Arial" w:cs="Arial"/>
        <w:bCs/>
        <w:sz w:val="22"/>
        <w:szCs w:val="22"/>
        <w:lang w:val="es-ES_tradnl"/>
      </w:rPr>
    </w:pPr>
    <w:r w:rsidRPr="000351F9">
      <w:rPr>
        <w:rFonts w:ascii="Arial" w:hAnsi="Arial" w:cs="Arial"/>
        <w:bCs/>
        <w:sz w:val="22"/>
        <w:szCs w:val="22"/>
        <w:lang w:val="es-ES_tradnl"/>
      </w:rPr>
      <w:t>IOC/EC-55/</w:t>
    </w:r>
    <w:r w:rsidR="006B18B7" w:rsidRPr="000351F9">
      <w:rPr>
        <w:rFonts w:ascii="Arial" w:hAnsi="Arial" w:cs="Arial"/>
        <w:bCs/>
        <w:sz w:val="22"/>
        <w:szCs w:val="22"/>
        <w:lang w:val="es-ES_tradnl"/>
      </w:rPr>
      <w:t>5.1</w:t>
    </w:r>
    <w:r w:rsidRPr="000351F9">
      <w:rPr>
        <w:rFonts w:ascii="Arial" w:hAnsi="Arial" w:cs="Arial"/>
        <w:bCs/>
        <w:sz w:val="22"/>
        <w:szCs w:val="22"/>
        <w:lang w:val="es-ES_tradnl"/>
      </w:rPr>
      <w:t>.Doc(2)</w:t>
    </w:r>
    <w:r w:rsidR="000E759E" w:rsidRPr="000351F9">
      <w:rPr>
        <w:rFonts w:ascii="Arial" w:hAnsi="Arial" w:cs="Arial"/>
        <w:bCs/>
        <w:sz w:val="22"/>
        <w:szCs w:val="22"/>
        <w:lang w:val="es-ES_tradnl"/>
      </w:rPr>
      <w:t xml:space="preserve"> – p</w:t>
    </w:r>
    <w:r w:rsidR="000351F9">
      <w:rPr>
        <w:rFonts w:ascii="Arial" w:hAnsi="Arial" w:cs="Arial"/>
        <w:bCs/>
        <w:sz w:val="22"/>
        <w:szCs w:val="22"/>
        <w:lang w:val="es-ES_tradnl"/>
      </w:rPr>
      <w:t>ág.</w:t>
    </w:r>
    <w:r w:rsidR="000E759E" w:rsidRPr="000351F9">
      <w:rPr>
        <w:rFonts w:ascii="Arial" w:hAnsi="Arial" w:cs="Arial"/>
        <w:bCs/>
        <w:sz w:val="22"/>
        <w:szCs w:val="22"/>
        <w:lang w:val="es-ES_tradnl"/>
      </w:rPr>
      <w:t xml:space="preserve"> </w:t>
    </w:r>
    <w:r w:rsidR="000E759E" w:rsidRPr="000351F9">
      <w:rPr>
        <w:rFonts w:ascii="Arial" w:hAnsi="Arial" w:cs="Arial"/>
        <w:bCs/>
        <w:sz w:val="22"/>
        <w:szCs w:val="22"/>
        <w:lang w:val="es-ES_tradnl"/>
      </w:rPr>
      <w:fldChar w:fldCharType="begin"/>
    </w:r>
    <w:r w:rsidR="000E759E" w:rsidRPr="000351F9">
      <w:rPr>
        <w:rFonts w:ascii="Arial" w:hAnsi="Arial" w:cs="Arial"/>
        <w:bCs/>
        <w:sz w:val="22"/>
        <w:szCs w:val="22"/>
        <w:lang w:val="es-ES_tradnl"/>
      </w:rPr>
      <w:instrText xml:space="preserve"> PAGE   \* MERGEFORMAT </w:instrText>
    </w:r>
    <w:r w:rsidR="000E759E" w:rsidRPr="000351F9">
      <w:rPr>
        <w:rFonts w:ascii="Arial" w:hAnsi="Arial" w:cs="Arial"/>
        <w:bCs/>
        <w:sz w:val="22"/>
        <w:szCs w:val="22"/>
        <w:lang w:val="es-ES_tradnl"/>
      </w:rPr>
      <w:fldChar w:fldCharType="separate"/>
    </w:r>
    <w:r w:rsidR="00EA6E8E" w:rsidRPr="000351F9">
      <w:rPr>
        <w:rFonts w:ascii="Arial" w:hAnsi="Arial" w:cs="Arial"/>
        <w:bCs/>
        <w:noProof/>
        <w:sz w:val="22"/>
        <w:szCs w:val="22"/>
        <w:lang w:val="es-ES_tradnl"/>
      </w:rPr>
      <w:t>5</w:t>
    </w:r>
    <w:r w:rsidR="000E759E" w:rsidRPr="000351F9">
      <w:rPr>
        <w:rFonts w:ascii="Arial" w:hAnsi="Arial" w:cs="Arial"/>
        <w:bCs/>
        <w:noProof/>
        <w:sz w:val="22"/>
        <w:szCs w:val="22"/>
        <w:lang w:val="es-ES_trad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4260" w14:textId="77777777" w:rsidR="00AE2085" w:rsidRPr="006125A3" w:rsidRDefault="00AE2085" w:rsidP="00D73E3C">
    <w:pPr>
      <w:pStyle w:val="Marge"/>
      <w:tabs>
        <w:tab w:val="left" w:pos="5670"/>
        <w:tab w:val="left" w:pos="7088"/>
      </w:tabs>
      <w:spacing w:after="0"/>
      <w:rPr>
        <w:rFonts w:ascii="Arial" w:hAnsi="Arial" w:cs="Arial"/>
        <w:b/>
        <w:sz w:val="22"/>
        <w:szCs w:val="22"/>
        <w:lang w:val="es-ES"/>
      </w:rPr>
    </w:pPr>
    <w:r w:rsidRPr="006125A3">
      <w:rPr>
        <w:rFonts w:ascii="Arial" w:hAnsi="Arial" w:cs="Arial"/>
        <w:sz w:val="22"/>
        <w:szCs w:val="22"/>
        <w:lang w:val="es-ES"/>
      </w:rPr>
      <w:t>Distribución limitada</w:t>
    </w:r>
    <w:r w:rsidRPr="006125A3">
      <w:rPr>
        <w:rFonts w:ascii="Arial" w:hAnsi="Arial" w:cs="Arial"/>
        <w:sz w:val="22"/>
        <w:szCs w:val="22"/>
        <w:lang w:val="es-ES"/>
      </w:rPr>
      <w:tab/>
    </w:r>
    <w:r w:rsidRPr="000351F9">
      <w:rPr>
        <w:rFonts w:ascii="Arial" w:hAnsi="Arial" w:cs="Arial"/>
        <w:b/>
        <w:bCs/>
        <w:sz w:val="32"/>
        <w:szCs w:val="32"/>
        <w:lang w:val="es-ES"/>
      </w:rPr>
      <w:t>IOC/EC-55/5.1.Doc(2)</w:t>
    </w:r>
    <w:bookmarkStart w:id="0" w:name="_Hlk54263549"/>
    <w:bookmarkEnd w:id="0"/>
  </w:p>
  <w:p w14:paraId="259C173F" w14:textId="77777777" w:rsidR="00AE2085" w:rsidRPr="006125A3" w:rsidRDefault="00AE2085" w:rsidP="00D73E3C">
    <w:pPr>
      <w:pStyle w:val="Marge"/>
      <w:tabs>
        <w:tab w:val="left" w:pos="5670"/>
      </w:tabs>
      <w:spacing w:after="0"/>
      <w:rPr>
        <w:rFonts w:ascii="Arial" w:hAnsi="Arial" w:cs="Arial"/>
        <w:sz w:val="22"/>
        <w:szCs w:val="22"/>
        <w:lang w:val="es-ES"/>
      </w:rPr>
    </w:pPr>
    <w:r w:rsidRPr="006125A3">
      <w:rPr>
        <w:rFonts w:ascii="Arial" w:hAnsi="Arial" w:cs="Arial"/>
        <w:b/>
        <w:noProof/>
        <w:snapToGrid/>
        <w:sz w:val="22"/>
        <w:szCs w:val="22"/>
        <w:lang w:val="fr-FR" w:eastAsia="fr-FR"/>
      </w:rPr>
      <w:drawing>
        <wp:anchor distT="0" distB="0" distL="114300" distR="114300" simplePos="0" relativeHeight="251658240" behindDoc="0" locked="0" layoutInCell="1" allowOverlap="1" wp14:anchorId="05EACB34" wp14:editId="1B82302E">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6125A3">
      <w:rPr>
        <w:rFonts w:ascii="Arial" w:hAnsi="Arial" w:cs="Arial"/>
        <w:sz w:val="22"/>
        <w:szCs w:val="22"/>
        <w:lang w:val="es-ES"/>
      </w:rPr>
      <w:tab/>
      <w:t xml:space="preserve">París, 13 de junio de 2022 </w:t>
    </w:r>
  </w:p>
  <w:p w14:paraId="70349277" w14:textId="77777777" w:rsidR="00AE2085" w:rsidRPr="006125A3" w:rsidRDefault="00AE2085" w:rsidP="00D73E3C">
    <w:pPr>
      <w:pStyle w:val="Marge"/>
      <w:tabs>
        <w:tab w:val="left" w:pos="5670"/>
      </w:tabs>
      <w:rPr>
        <w:rFonts w:ascii="Arial" w:hAnsi="Arial" w:cs="Arial"/>
        <w:sz w:val="22"/>
        <w:szCs w:val="22"/>
        <w:lang w:val="es-ES"/>
      </w:rPr>
    </w:pPr>
    <w:r w:rsidRPr="006125A3">
      <w:rPr>
        <w:rFonts w:ascii="Arial" w:hAnsi="Arial" w:cs="Arial"/>
        <w:sz w:val="22"/>
        <w:szCs w:val="22"/>
        <w:lang w:val="es-ES"/>
      </w:rPr>
      <w:tab/>
      <w:t>Original: inglés</w:t>
    </w:r>
  </w:p>
  <w:p w14:paraId="2BE3E37B" w14:textId="77777777" w:rsidR="00AE2085" w:rsidRPr="006125A3" w:rsidRDefault="00AE2085"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 w:val="22"/>
        <w:szCs w:val="22"/>
        <w:lang w:val="es-ES"/>
      </w:rPr>
    </w:pPr>
  </w:p>
  <w:p w14:paraId="609AB016" w14:textId="77777777" w:rsidR="00AE2085" w:rsidRPr="006125A3" w:rsidRDefault="00AE2085"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 w:val="22"/>
        <w:szCs w:val="22"/>
        <w:lang w:val="es-ES"/>
      </w:rPr>
    </w:pPr>
  </w:p>
  <w:p w14:paraId="296223FF" w14:textId="77777777" w:rsidR="00AE2085" w:rsidRPr="006125A3" w:rsidRDefault="00AE208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350BA59C" w14:textId="77777777" w:rsidR="00AE2085" w:rsidRPr="006125A3" w:rsidRDefault="00AE208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1ADD1F73" w14:textId="77777777" w:rsidR="001C5703" w:rsidRPr="006125A3" w:rsidRDefault="001C5703"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p>
  <w:p w14:paraId="300C4716" w14:textId="77777777" w:rsidR="001C5703" w:rsidRPr="006125A3" w:rsidRDefault="001C5703"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p>
  <w:p w14:paraId="620FD555" w14:textId="77777777" w:rsidR="001C5703" w:rsidRPr="006125A3" w:rsidRDefault="001C5703"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p>
  <w:p w14:paraId="1477FC84" w14:textId="77777777" w:rsidR="00AE2085" w:rsidRPr="006125A3" w:rsidRDefault="00AE2085" w:rsidP="00812502">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r w:rsidRPr="006125A3">
      <w:rPr>
        <w:rFonts w:ascii="Arial" w:hAnsi="Arial" w:cs="Arial"/>
        <w:b/>
        <w:bCs/>
        <w:sz w:val="22"/>
        <w:szCs w:val="22"/>
        <w:lang w:val="es-ES"/>
      </w:rPr>
      <w:t>COMISIÓN OCEANOGRÁFICA INTERGUBERNAMENTAL</w:t>
    </w:r>
  </w:p>
  <w:p w14:paraId="5A1F173D" w14:textId="77777777" w:rsidR="00AE2085" w:rsidRPr="006125A3" w:rsidRDefault="00AE2085" w:rsidP="00812502">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lang w:val="es-ES"/>
      </w:rPr>
    </w:pPr>
    <w:r w:rsidRPr="006125A3">
      <w:rPr>
        <w:rFonts w:ascii="Arial" w:hAnsi="Arial" w:cs="Arial"/>
        <w:sz w:val="22"/>
        <w:szCs w:val="22"/>
        <w:lang w:val="es-ES"/>
      </w:rPr>
      <w:t>(de la UNESCO)</w:t>
    </w:r>
  </w:p>
  <w:p w14:paraId="75CB5D58" w14:textId="77777777" w:rsidR="00AE2085" w:rsidRPr="006125A3" w:rsidRDefault="00AE2085" w:rsidP="00812502">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p>
  <w:p w14:paraId="15C8DF2D" w14:textId="77777777" w:rsidR="00AE2085" w:rsidRPr="006125A3" w:rsidRDefault="00AE2085" w:rsidP="00812502">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lang w:val="es-ES"/>
      </w:rPr>
    </w:pPr>
    <w:r w:rsidRPr="006125A3">
      <w:rPr>
        <w:rFonts w:ascii="Arial" w:hAnsi="Arial" w:cs="Arial"/>
        <w:b/>
        <w:bCs/>
        <w:sz w:val="22"/>
        <w:szCs w:val="22"/>
        <w:lang w:val="es-ES"/>
      </w:rPr>
      <w:t>55ª reunión del Consejo Ejecutivo</w:t>
    </w:r>
  </w:p>
  <w:p w14:paraId="56266B88" w14:textId="0E04E73B" w:rsidR="00AE2085" w:rsidRPr="006125A3" w:rsidRDefault="00AE2085" w:rsidP="00812502">
    <w:pPr>
      <w:tabs>
        <w:tab w:val="left" w:pos="-1440"/>
        <w:tab w:val="left" w:pos="-720"/>
        <w:tab w:val="left" w:pos="720"/>
        <w:tab w:val="left" w:pos="1440"/>
        <w:tab w:val="left" w:pos="2160"/>
        <w:tab w:val="left" w:pos="2317"/>
        <w:tab w:val="left" w:pos="2880"/>
        <w:tab w:val="left" w:pos="3600"/>
        <w:tab w:val="left" w:pos="4320"/>
        <w:tab w:val="center" w:pos="4819"/>
        <w:tab w:val="left" w:pos="5040"/>
        <w:tab w:val="left" w:pos="5523"/>
        <w:tab w:val="left" w:pos="6480"/>
      </w:tabs>
      <w:jc w:val="center"/>
      <w:rPr>
        <w:rFonts w:ascii="Arial" w:hAnsi="Arial" w:cs="Arial"/>
        <w:b/>
        <w:sz w:val="22"/>
        <w:szCs w:val="22"/>
        <w:lang w:val="es-ES"/>
      </w:rPr>
    </w:pPr>
    <w:r w:rsidRPr="006125A3">
      <w:rPr>
        <w:rFonts w:ascii="Arial" w:hAnsi="Arial" w:cs="Arial"/>
        <w:sz w:val="22"/>
        <w:szCs w:val="22"/>
        <w:lang w:val="es-ES"/>
      </w:rPr>
      <w:t>UNESCO, París, 14-17 de junio de 2022</w:t>
    </w:r>
  </w:p>
  <w:p w14:paraId="1AF8245D" w14:textId="77777777" w:rsidR="00AE2085" w:rsidRPr="006125A3" w:rsidRDefault="00AE2085"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lang w:val="es-ES"/>
      </w:rPr>
    </w:pPr>
  </w:p>
  <w:p w14:paraId="3C97C31A" w14:textId="77777777" w:rsidR="00AE2085" w:rsidRPr="006125A3" w:rsidRDefault="00AE2085" w:rsidP="00B17054">
    <w:pPr>
      <w:jc w:val="center"/>
      <w:rPr>
        <w:rFonts w:ascii="Arial" w:hAnsi="Arial" w:cs="Arial"/>
        <w:sz w:val="22"/>
        <w:szCs w:val="22"/>
        <w:lang w:val="es-ES"/>
      </w:rPr>
    </w:pPr>
  </w:p>
  <w:p w14:paraId="25248295" w14:textId="77777777" w:rsidR="00AE2085" w:rsidRPr="006125A3" w:rsidRDefault="00AE2085" w:rsidP="00FA68D9">
    <w:pPr>
      <w:keepNext/>
      <w:widowControl w:val="0"/>
      <w:tabs>
        <w:tab w:val="right" w:pos="9540"/>
      </w:tabs>
      <w:adjustRightInd w:val="0"/>
      <w:jc w:val="both"/>
      <w:textAlignment w:val="baseline"/>
      <w:outlineLvl w:val="6"/>
      <w:rPr>
        <w:rFonts w:ascii="Arial" w:eastAsia="Times New Roman" w:hAnsi="Arial" w:cs="Arial"/>
        <w:sz w:val="22"/>
        <w:szCs w:val="22"/>
        <w:lang w:val="es-ES"/>
      </w:rPr>
    </w:pPr>
    <w:r w:rsidRPr="006125A3">
      <w:rPr>
        <w:rFonts w:ascii="Arial" w:hAnsi="Arial" w:cs="Arial"/>
        <w:sz w:val="22"/>
        <w:szCs w:val="22"/>
        <w:u w:val="single"/>
        <w:lang w:val="es-ES"/>
      </w:rPr>
      <w:t>Punto</w:t>
    </w:r>
    <w:r w:rsidRPr="006125A3">
      <w:rPr>
        <w:rFonts w:ascii="Arial" w:hAnsi="Arial" w:cs="Arial"/>
        <w:b/>
        <w:bCs/>
        <w:sz w:val="22"/>
        <w:szCs w:val="22"/>
        <w:u w:val="single"/>
        <w:lang w:val="es-ES"/>
      </w:rPr>
      <w:t xml:space="preserve"> 5.1</w:t>
    </w:r>
    <w:r w:rsidRPr="006125A3">
      <w:rPr>
        <w:rFonts w:ascii="Arial" w:hAnsi="Arial" w:cs="Arial"/>
        <w:sz w:val="22"/>
        <w:szCs w:val="22"/>
        <w:u w:val="single"/>
        <w:lang w:val="es-ES"/>
      </w:rPr>
      <w:t xml:space="preserve"> del orden del día provisional</w:t>
    </w:r>
  </w:p>
  <w:p w14:paraId="04B24235" w14:textId="77777777" w:rsidR="00AE2085" w:rsidRPr="006125A3" w:rsidRDefault="00AE2085"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sz w:val="22"/>
        <w:szCs w:val="22"/>
        <w:lang w:val="es-ES"/>
      </w:rPr>
    </w:pPr>
  </w:p>
  <w:p w14:paraId="45A2A7F2" w14:textId="77777777" w:rsidR="001C5703" w:rsidRPr="006125A3" w:rsidRDefault="001C5703" w:rsidP="00BB15F8">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22"/>
        <w:szCs w:val="22"/>
        <w:lang w:val="es-ES"/>
      </w:rPr>
    </w:pPr>
  </w:p>
  <w:p w14:paraId="0C11CDB4" w14:textId="77777777" w:rsidR="001C5703" w:rsidRPr="006125A3" w:rsidRDefault="001C5703" w:rsidP="00BB15F8">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22"/>
        <w:szCs w:val="22"/>
        <w:lang w:val="es-ES"/>
      </w:rPr>
    </w:pPr>
  </w:p>
  <w:p w14:paraId="220D1D40" w14:textId="12BC9F7A" w:rsidR="006B18B7" w:rsidRPr="00E03BE4" w:rsidRDefault="006B18B7" w:rsidP="006B18B7">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22"/>
        <w:szCs w:val="22"/>
        <w:lang w:val="es-ES"/>
      </w:rPr>
    </w:pPr>
    <w:r w:rsidRPr="00E03BE4">
      <w:rPr>
        <w:rFonts w:ascii="Arial" w:hAnsi="Arial" w:cs="Arial"/>
        <w:b/>
        <w:bCs/>
        <w:caps/>
        <w:sz w:val="22"/>
        <w:szCs w:val="22"/>
        <w:lang w:val="es-ES"/>
      </w:rPr>
      <w:t xml:space="preserve">Informe del Presidente del Grupo Asesor sobre Finanzas </w:t>
    </w:r>
    <w:r w:rsidR="000351F9">
      <w:rPr>
        <w:rFonts w:ascii="Arial" w:hAnsi="Arial" w:cs="Arial"/>
        <w:b/>
        <w:bCs/>
        <w:caps/>
        <w:sz w:val="22"/>
        <w:szCs w:val="22"/>
        <w:lang w:val="es-ES"/>
      </w:rPr>
      <w:br/>
    </w:r>
    <w:r w:rsidRPr="00E03BE4">
      <w:rPr>
        <w:rFonts w:ascii="Arial" w:hAnsi="Arial" w:cs="Arial"/>
        <w:b/>
        <w:bCs/>
        <w:caps/>
        <w:sz w:val="22"/>
        <w:szCs w:val="22"/>
        <w:lang w:val="es-ES"/>
      </w:rPr>
      <w:t>para el periodo entre reuniones</w:t>
    </w:r>
    <w:r w:rsidRPr="00E03BE4">
      <w:rPr>
        <w:rFonts w:ascii="Arial" w:hAnsi="Arial" w:cs="Arial"/>
        <w:caps/>
        <w:sz w:val="22"/>
        <w:szCs w:val="22"/>
        <w:lang w:val="es-ES"/>
      </w:rPr>
      <w:t xml:space="preserve"> </w:t>
    </w:r>
  </w:p>
  <w:p w14:paraId="6C27F631" w14:textId="77777777" w:rsidR="006B18B7" w:rsidRPr="006125A3" w:rsidRDefault="006B18B7" w:rsidP="006B18B7">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22"/>
        <w:szCs w:val="22"/>
        <w:lang w:val="es-ES"/>
      </w:rPr>
    </w:pPr>
  </w:p>
  <w:p w14:paraId="541C9CC0" w14:textId="0C2799EC" w:rsidR="006B18B7" w:rsidRPr="006125A3" w:rsidRDefault="006D43E7" w:rsidP="006B18B7">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22"/>
        <w:szCs w:val="22"/>
        <w:lang w:val="es-ES"/>
      </w:rPr>
    </w:pPr>
    <w:r w:rsidRPr="006125A3">
      <w:rPr>
        <w:rFonts w:ascii="Arial" w:hAnsi="Arial" w:cs="Arial"/>
        <w:b/>
        <w:bCs/>
        <w:sz w:val="22"/>
        <w:szCs w:val="22"/>
        <w:lang w:val="es-ES"/>
      </w:rPr>
      <w:t>(Periodo entre reuniones de diciembre de 2021 a junio de 2022)</w:t>
    </w:r>
  </w:p>
  <w:p w14:paraId="68B661C4" w14:textId="77777777" w:rsidR="00AE2085" w:rsidRPr="006125A3" w:rsidRDefault="00AE2085"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Cs/>
        <w:sz w:val="22"/>
        <w:szCs w:val="22"/>
        <w:lang w:val="es-ES"/>
      </w:rPr>
    </w:pPr>
  </w:p>
  <w:p w14:paraId="37D18B3F" w14:textId="77777777" w:rsidR="00AE2085" w:rsidRPr="006125A3" w:rsidRDefault="00AE2085" w:rsidP="00B17054">
    <w:pPr>
      <w:pStyle w:val="Header"/>
      <w:jc w:val="center"/>
      <w:rPr>
        <w:rFonts w:ascii="Arial" w:hAnsi="Arial" w:cs="Arial"/>
        <w:sz w:val="22"/>
        <w:szCs w:val="2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D9634F"/>
    <w:multiLevelType w:val="hybridMultilevel"/>
    <w:tmpl w:val="3E687FA6"/>
    <w:lvl w:ilvl="0" w:tplc="6A48E2BE">
      <w:start w:val="1"/>
      <w:numFmt w:val="decimal"/>
      <w:pStyle w:val="ParaCOI"/>
      <w:lvlText w:val="%1."/>
      <w:lvlJc w:val="left"/>
      <w:pPr>
        <w:ind w:left="720" w:hanging="360"/>
      </w:pPr>
      <w:rPr>
        <w:rFonts w:ascii="Arial" w:hAnsi="Arial" w:cs="Arial" w:hint="default"/>
        <w:sz w:val="22"/>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D2652"/>
    <w:multiLevelType w:val="hybridMultilevel"/>
    <w:tmpl w:val="B8E4A65A"/>
    <w:lvl w:ilvl="0" w:tplc="62AA797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772B2"/>
    <w:multiLevelType w:val="hybridMultilevel"/>
    <w:tmpl w:val="FF8887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1D735A"/>
    <w:multiLevelType w:val="hybridMultilevel"/>
    <w:tmpl w:val="8FE4C96A"/>
    <w:lvl w:ilvl="0" w:tplc="BFBE583C">
      <w:start w:val="1"/>
      <w:numFmt w:val="upp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1" w15:restartNumberingAfterBreak="0">
    <w:nsid w:val="24534464"/>
    <w:multiLevelType w:val="hybridMultilevel"/>
    <w:tmpl w:val="C28C0C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4A0ECE"/>
    <w:multiLevelType w:val="hybridMultilevel"/>
    <w:tmpl w:val="DBC243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0825B9"/>
    <w:multiLevelType w:val="hybridMultilevel"/>
    <w:tmpl w:val="6E2C0D1E"/>
    <w:lvl w:ilvl="0" w:tplc="9320CC5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5"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17"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2646EE"/>
    <w:multiLevelType w:val="hybridMultilevel"/>
    <w:tmpl w:val="CC4E876C"/>
    <w:lvl w:ilvl="0" w:tplc="9B766B4C">
      <w:start w:val="1"/>
      <w:numFmt w:val="decimal"/>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55455D9"/>
    <w:multiLevelType w:val="hybridMultilevel"/>
    <w:tmpl w:val="BD4A63B8"/>
    <w:lvl w:ilvl="0" w:tplc="091CDE1E">
      <w:start w:val="1"/>
      <w:numFmt w:val="decimal"/>
      <w:lvlText w:val="%1."/>
      <w:lvlJc w:val="left"/>
      <w:pPr>
        <w:ind w:left="4770" w:hanging="360"/>
      </w:pPr>
      <w:rPr>
        <w:b w:val="0"/>
        <w:color w:val="auto"/>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24"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5" w15:restartNumberingAfterBreak="0">
    <w:nsid w:val="7A8C16CF"/>
    <w:multiLevelType w:val="hybridMultilevel"/>
    <w:tmpl w:val="77EE77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24"/>
  </w:num>
  <w:num w:numId="12">
    <w:abstractNumId w:val="16"/>
  </w:num>
  <w:num w:numId="13">
    <w:abstractNumId w:val="13"/>
  </w:num>
  <w:num w:numId="14">
    <w:abstractNumId w:val="17"/>
  </w:num>
  <w:num w:numId="15">
    <w:abstractNumId w:val="7"/>
  </w:num>
  <w:num w:numId="16">
    <w:abstractNumId w:val="18"/>
  </w:num>
  <w:num w:numId="17">
    <w:abstractNumId w:val="15"/>
  </w:num>
  <w:num w:numId="18">
    <w:abstractNumId w:val="6"/>
  </w:num>
  <w:num w:numId="19">
    <w:abstractNumId w:val="20"/>
  </w:num>
  <w:num w:numId="20">
    <w:abstractNumId w:val="21"/>
  </w:num>
  <w:num w:numId="21">
    <w:abstractNumId w:val="3"/>
  </w:num>
  <w:num w:numId="22">
    <w:abstractNumId w:val="1"/>
  </w:num>
  <w:num w:numId="23">
    <w:abstractNumId w:val="0"/>
  </w:num>
  <w:num w:numId="24">
    <w:abstractNumId w:val="4"/>
  </w:num>
  <w:num w:numId="25">
    <w:abstractNumId w:val="5"/>
  </w:num>
  <w:num w:numId="26">
    <w:abstractNumId w:val="2"/>
  </w:num>
  <w:num w:numId="27">
    <w:abstractNumId w:val="22"/>
  </w:num>
  <w:num w:numId="28">
    <w:abstractNumId w:val="23"/>
  </w:num>
  <w:num w:numId="29">
    <w:abstractNumId w:val="12"/>
  </w:num>
  <w:num w:numId="30">
    <w:abstractNumId w:val="9"/>
  </w:num>
  <w:num w:numId="31">
    <w:abstractNumId w:val="14"/>
  </w:num>
  <w:num w:numId="32">
    <w:abstractNumId w:val="10"/>
  </w:num>
  <w:num w:numId="33">
    <w:abstractNumId w:val="25"/>
  </w:num>
  <w:num w:numId="34">
    <w:abstractNumId w:val="11"/>
  </w:num>
  <w:num w:numId="35">
    <w:abstractNumId w:val="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s-ES" w:vendorID="64" w:dllVersion="4096" w:nlCheck="1" w:checkStyle="0"/>
  <w:activeWritingStyle w:appName="MSWord" w:lang="es-ES" w:vendorID="64" w:dllVersion="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6C25"/>
    <w:rsid w:val="00010B89"/>
    <w:rsid w:val="000118CD"/>
    <w:rsid w:val="00013390"/>
    <w:rsid w:val="00017E4B"/>
    <w:rsid w:val="00025A88"/>
    <w:rsid w:val="00026782"/>
    <w:rsid w:val="00027122"/>
    <w:rsid w:val="000319A1"/>
    <w:rsid w:val="00032C8E"/>
    <w:rsid w:val="00033544"/>
    <w:rsid w:val="00034C53"/>
    <w:rsid w:val="00034C70"/>
    <w:rsid w:val="000351F9"/>
    <w:rsid w:val="000431C5"/>
    <w:rsid w:val="000445B8"/>
    <w:rsid w:val="0004582F"/>
    <w:rsid w:val="000530D1"/>
    <w:rsid w:val="00060399"/>
    <w:rsid w:val="00060718"/>
    <w:rsid w:val="000658F2"/>
    <w:rsid w:val="00065DEB"/>
    <w:rsid w:val="0006619A"/>
    <w:rsid w:val="0006675E"/>
    <w:rsid w:val="00067004"/>
    <w:rsid w:val="00067E0B"/>
    <w:rsid w:val="000719A5"/>
    <w:rsid w:val="000748A0"/>
    <w:rsid w:val="00075DC0"/>
    <w:rsid w:val="00080B76"/>
    <w:rsid w:val="00080CDD"/>
    <w:rsid w:val="00081592"/>
    <w:rsid w:val="000816BD"/>
    <w:rsid w:val="00082162"/>
    <w:rsid w:val="0008285A"/>
    <w:rsid w:val="00083369"/>
    <w:rsid w:val="0008382D"/>
    <w:rsid w:val="00085FE9"/>
    <w:rsid w:val="00086071"/>
    <w:rsid w:val="00090675"/>
    <w:rsid w:val="0009246D"/>
    <w:rsid w:val="0009256F"/>
    <w:rsid w:val="00097CDF"/>
    <w:rsid w:val="000A6D08"/>
    <w:rsid w:val="000B1B44"/>
    <w:rsid w:val="000B40F3"/>
    <w:rsid w:val="000B439F"/>
    <w:rsid w:val="000C3738"/>
    <w:rsid w:val="000C3BB5"/>
    <w:rsid w:val="000D6EB3"/>
    <w:rsid w:val="000D719C"/>
    <w:rsid w:val="000E0533"/>
    <w:rsid w:val="000E188E"/>
    <w:rsid w:val="000E55FB"/>
    <w:rsid w:val="000E759E"/>
    <w:rsid w:val="000E7E22"/>
    <w:rsid w:val="000F44E2"/>
    <w:rsid w:val="000F4768"/>
    <w:rsid w:val="000F4DDB"/>
    <w:rsid w:val="000F7203"/>
    <w:rsid w:val="000F78B3"/>
    <w:rsid w:val="001002FF"/>
    <w:rsid w:val="001026BE"/>
    <w:rsid w:val="00104894"/>
    <w:rsid w:val="00104EE2"/>
    <w:rsid w:val="001056F8"/>
    <w:rsid w:val="00105E15"/>
    <w:rsid w:val="00105EA4"/>
    <w:rsid w:val="00110568"/>
    <w:rsid w:val="00110D3A"/>
    <w:rsid w:val="00113F97"/>
    <w:rsid w:val="0012374E"/>
    <w:rsid w:val="00123F7E"/>
    <w:rsid w:val="00127B21"/>
    <w:rsid w:val="00131529"/>
    <w:rsid w:val="0013238B"/>
    <w:rsid w:val="00134711"/>
    <w:rsid w:val="00135717"/>
    <w:rsid w:val="0013649D"/>
    <w:rsid w:val="00143B1A"/>
    <w:rsid w:val="0014529C"/>
    <w:rsid w:val="0015046B"/>
    <w:rsid w:val="001524A3"/>
    <w:rsid w:val="0015561D"/>
    <w:rsid w:val="001579AB"/>
    <w:rsid w:val="00160284"/>
    <w:rsid w:val="001646D8"/>
    <w:rsid w:val="0016592F"/>
    <w:rsid w:val="001659AA"/>
    <w:rsid w:val="00165CBD"/>
    <w:rsid w:val="00166926"/>
    <w:rsid w:val="0017022A"/>
    <w:rsid w:val="0017169B"/>
    <w:rsid w:val="001766F9"/>
    <w:rsid w:val="00181F98"/>
    <w:rsid w:val="00182096"/>
    <w:rsid w:val="0018253D"/>
    <w:rsid w:val="00183FEA"/>
    <w:rsid w:val="00185B54"/>
    <w:rsid w:val="00185D28"/>
    <w:rsid w:val="0019010A"/>
    <w:rsid w:val="00192400"/>
    <w:rsid w:val="001A033E"/>
    <w:rsid w:val="001A071C"/>
    <w:rsid w:val="001A2943"/>
    <w:rsid w:val="001A6261"/>
    <w:rsid w:val="001A6DDA"/>
    <w:rsid w:val="001A73F8"/>
    <w:rsid w:val="001B0498"/>
    <w:rsid w:val="001B2807"/>
    <w:rsid w:val="001B5075"/>
    <w:rsid w:val="001B64AC"/>
    <w:rsid w:val="001C18CF"/>
    <w:rsid w:val="001C20FE"/>
    <w:rsid w:val="001C4F30"/>
    <w:rsid w:val="001C5703"/>
    <w:rsid w:val="001C5D8F"/>
    <w:rsid w:val="001C6221"/>
    <w:rsid w:val="001C6842"/>
    <w:rsid w:val="001C6D83"/>
    <w:rsid w:val="001D11E8"/>
    <w:rsid w:val="001D69B3"/>
    <w:rsid w:val="001E023B"/>
    <w:rsid w:val="001E441E"/>
    <w:rsid w:val="001E5FF2"/>
    <w:rsid w:val="001F65B3"/>
    <w:rsid w:val="001F65D5"/>
    <w:rsid w:val="001F6CF5"/>
    <w:rsid w:val="001F7EF6"/>
    <w:rsid w:val="00200519"/>
    <w:rsid w:val="0020169B"/>
    <w:rsid w:val="00203E48"/>
    <w:rsid w:val="0020573A"/>
    <w:rsid w:val="00207581"/>
    <w:rsid w:val="00215B28"/>
    <w:rsid w:val="00216228"/>
    <w:rsid w:val="00225B52"/>
    <w:rsid w:val="00231994"/>
    <w:rsid w:val="00232596"/>
    <w:rsid w:val="00232FAE"/>
    <w:rsid w:val="0023308D"/>
    <w:rsid w:val="00237FCC"/>
    <w:rsid w:val="00243536"/>
    <w:rsid w:val="00255764"/>
    <w:rsid w:val="002571D5"/>
    <w:rsid w:val="00257562"/>
    <w:rsid w:val="00257884"/>
    <w:rsid w:val="0026233A"/>
    <w:rsid w:val="00264CE4"/>
    <w:rsid w:val="00265C91"/>
    <w:rsid w:val="00265E4E"/>
    <w:rsid w:val="0027043E"/>
    <w:rsid w:val="00272866"/>
    <w:rsid w:val="00273C68"/>
    <w:rsid w:val="00274D0A"/>
    <w:rsid w:val="0028078A"/>
    <w:rsid w:val="00282456"/>
    <w:rsid w:val="00282FBC"/>
    <w:rsid w:val="00283B06"/>
    <w:rsid w:val="00286B08"/>
    <w:rsid w:val="00286B3B"/>
    <w:rsid w:val="002A05D9"/>
    <w:rsid w:val="002A3541"/>
    <w:rsid w:val="002A3623"/>
    <w:rsid w:val="002A364B"/>
    <w:rsid w:val="002A3D8C"/>
    <w:rsid w:val="002B0438"/>
    <w:rsid w:val="002B0B65"/>
    <w:rsid w:val="002B2FB7"/>
    <w:rsid w:val="002B58F5"/>
    <w:rsid w:val="002B70D5"/>
    <w:rsid w:val="002C44BD"/>
    <w:rsid w:val="002C6A49"/>
    <w:rsid w:val="002D2062"/>
    <w:rsid w:val="002D41F6"/>
    <w:rsid w:val="002D4B35"/>
    <w:rsid w:val="002E0A07"/>
    <w:rsid w:val="002E3B10"/>
    <w:rsid w:val="002E524A"/>
    <w:rsid w:val="002E558B"/>
    <w:rsid w:val="002E6FCC"/>
    <w:rsid w:val="002F0EB7"/>
    <w:rsid w:val="002F11B4"/>
    <w:rsid w:val="002F2691"/>
    <w:rsid w:val="002F27AC"/>
    <w:rsid w:val="002F335A"/>
    <w:rsid w:val="002F3405"/>
    <w:rsid w:val="002F37FA"/>
    <w:rsid w:val="002F53C8"/>
    <w:rsid w:val="002F577C"/>
    <w:rsid w:val="002F58A0"/>
    <w:rsid w:val="002F6710"/>
    <w:rsid w:val="00304613"/>
    <w:rsid w:val="00306797"/>
    <w:rsid w:val="003118C0"/>
    <w:rsid w:val="00313AB1"/>
    <w:rsid w:val="00315268"/>
    <w:rsid w:val="00317A57"/>
    <w:rsid w:val="00320986"/>
    <w:rsid w:val="00321055"/>
    <w:rsid w:val="00322E7B"/>
    <w:rsid w:val="00323A23"/>
    <w:rsid w:val="00323C8D"/>
    <w:rsid w:val="00327059"/>
    <w:rsid w:val="00332421"/>
    <w:rsid w:val="00332534"/>
    <w:rsid w:val="00332785"/>
    <w:rsid w:val="0033582A"/>
    <w:rsid w:val="0033741E"/>
    <w:rsid w:val="00341FD0"/>
    <w:rsid w:val="0034392B"/>
    <w:rsid w:val="003448F2"/>
    <w:rsid w:val="00344E00"/>
    <w:rsid w:val="00352423"/>
    <w:rsid w:val="00354A10"/>
    <w:rsid w:val="00355A56"/>
    <w:rsid w:val="003563D2"/>
    <w:rsid w:val="00363AC7"/>
    <w:rsid w:val="00366C04"/>
    <w:rsid w:val="003727A0"/>
    <w:rsid w:val="003774D6"/>
    <w:rsid w:val="00382463"/>
    <w:rsid w:val="00385DCE"/>
    <w:rsid w:val="00393704"/>
    <w:rsid w:val="0039512E"/>
    <w:rsid w:val="00395A11"/>
    <w:rsid w:val="003B2CC9"/>
    <w:rsid w:val="003B3349"/>
    <w:rsid w:val="003B390E"/>
    <w:rsid w:val="003B64CB"/>
    <w:rsid w:val="003B6DA1"/>
    <w:rsid w:val="003B6ECA"/>
    <w:rsid w:val="003B6FC5"/>
    <w:rsid w:val="003C15F6"/>
    <w:rsid w:val="003C240D"/>
    <w:rsid w:val="003C27B7"/>
    <w:rsid w:val="003C309A"/>
    <w:rsid w:val="003C3DA8"/>
    <w:rsid w:val="003C4A99"/>
    <w:rsid w:val="003C608A"/>
    <w:rsid w:val="003D31F1"/>
    <w:rsid w:val="003D4548"/>
    <w:rsid w:val="003D4FDB"/>
    <w:rsid w:val="003E26AB"/>
    <w:rsid w:val="003E331B"/>
    <w:rsid w:val="003E5A89"/>
    <w:rsid w:val="003E7B79"/>
    <w:rsid w:val="003F03C3"/>
    <w:rsid w:val="003F5299"/>
    <w:rsid w:val="003F74E5"/>
    <w:rsid w:val="004001B2"/>
    <w:rsid w:val="004003E9"/>
    <w:rsid w:val="004032DB"/>
    <w:rsid w:val="00403EB2"/>
    <w:rsid w:val="004047AA"/>
    <w:rsid w:val="00404945"/>
    <w:rsid w:val="00405201"/>
    <w:rsid w:val="004118ED"/>
    <w:rsid w:val="004119A8"/>
    <w:rsid w:val="004137C7"/>
    <w:rsid w:val="00417106"/>
    <w:rsid w:val="00425E51"/>
    <w:rsid w:val="0042612F"/>
    <w:rsid w:val="00431123"/>
    <w:rsid w:val="00431696"/>
    <w:rsid w:val="00437DB1"/>
    <w:rsid w:val="00441F29"/>
    <w:rsid w:val="00441FE3"/>
    <w:rsid w:val="00450AA6"/>
    <w:rsid w:val="00452512"/>
    <w:rsid w:val="00452CFD"/>
    <w:rsid w:val="00453CE0"/>
    <w:rsid w:val="00463AB2"/>
    <w:rsid w:val="00470230"/>
    <w:rsid w:val="004750C1"/>
    <w:rsid w:val="004768E8"/>
    <w:rsid w:val="00476A0C"/>
    <w:rsid w:val="00477409"/>
    <w:rsid w:val="0048119B"/>
    <w:rsid w:val="00481C77"/>
    <w:rsid w:val="00485772"/>
    <w:rsid w:val="00485AA9"/>
    <w:rsid w:val="00486080"/>
    <w:rsid w:val="0049319A"/>
    <w:rsid w:val="00494DB3"/>
    <w:rsid w:val="00495A69"/>
    <w:rsid w:val="00495FD4"/>
    <w:rsid w:val="004966AD"/>
    <w:rsid w:val="004A0A6B"/>
    <w:rsid w:val="004A0F6A"/>
    <w:rsid w:val="004B0B8C"/>
    <w:rsid w:val="004B389C"/>
    <w:rsid w:val="004B3D01"/>
    <w:rsid w:val="004B5787"/>
    <w:rsid w:val="004B7754"/>
    <w:rsid w:val="004C04EE"/>
    <w:rsid w:val="004C4469"/>
    <w:rsid w:val="004C586B"/>
    <w:rsid w:val="004C6065"/>
    <w:rsid w:val="004C6FFD"/>
    <w:rsid w:val="004C78C5"/>
    <w:rsid w:val="004D4484"/>
    <w:rsid w:val="004D4CCC"/>
    <w:rsid w:val="004D5102"/>
    <w:rsid w:val="004E084D"/>
    <w:rsid w:val="004E2D89"/>
    <w:rsid w:val="004E3446"/>
    <w:rsid w:val="004E4A23"/>
    <w:rsid w:val="004E6B90"/>
    <w:rsid w:val="004F0BEC"/>
    <w:rsid w:val="004F4AC5"/>
    <w:rsid w:val="004F5686"/>
    <w:rsid w:val="00506424"/>
    <w:rsid w:val="005066B5"/>
    <w:rsid w:val="00514AC0"/>
    <w:rsid w:val="00515020"/>
    <w:rsid w:val="00523B29"/>
    <w:rsid w:val="00523DF2"/>
    <w:rsid w:val="00524D94"/>
    <w:rsid w:val="00530113"/>
    <w:rsid w:val="00534733"/>
    <w:rsid w:val="0053720B"/>
    <w:rsid w:val="005462A1"/>
    <w:rsid w:val="00554688"/>
    <w:rsid w:val="00555D7F"/>
    <w:rsid w:val="00556410"/>
    <w:rsid w:val="00556709"/>
    <w:rsid w:val="005616DE"/>
    <w:rsid w:val="00561F97"/>
    <w:rsid w:val="00562F4C"/>
    <w:rsid w:val="0056655B"/>
    <w:rsid w:val="00570881"/>
    <w:rsid w:val="00572116"/>
    <w:rsid w:val="00574F2F"/>
    <w:rsid w:val="00575B63"/>
    <w:rsid w:val="00576EF7"/>
    <w:rsid w:val="005829FE"/>
    <w:rsid w:val="0058628A"/>
    <w:rsid w:val="00587822"/>
    <w:rsid w:val="005878F6"/>
    <w:rsid w:val="00593EC9"/>
    <w:rsid w:val="00596959"/>
    <w:rsid w:val="005A1B75"/>
    <w:rsid w:val="005A5334"/>
    <w:rsid w:val="005A7E87"/>
    <w:rsid w:val="005B0510"/>
    <w:rsid w:val="005B09E3"/>
    <w:rsid w:val="005B0F21"/>
    <w:rsid w:val="005B2606"/>
    <w:rsid w:val="005B6674"/>
    <w:rsid w:val="005B670F"/>
    <w:rsid w:val="005B6C1C"/>
    <w:rsid w:val="005C565B"/>
    <w:rsid w:val="005C5B67"/>
    <w:rsid w:val="005C6245"/>
    <w:rsid w:val="005C76B4"/>
    <w:rsid w:val="005D05AB"/>
    <w:rsid w:val="005D0CC4"/>
    <w:rsid w:val="005D36CA"/>
    <w:rsid w:val="005D5313"/>
    <w:rsid w:val="005D6142"/>
    <w:rsid w:val="005E21F0"/>
    <w:rsid w:val="005E2BCD"/>
    <w:rsid w:val="005E325F"/>
    <w:rsid w:val="005E4600"/>
    <w:rsid w:val="005E4C90"/>
    <w:rsid w:val="005E661A"/>
    <w:rsid w:val="005F05C2"/>
    <w:rsid w:val="005F0A67"/>
    <w:rsid w:val="005F39DB"/>
    <w:rsid w:val="005F55BE"/>
    <w:rsid w:val="005F7150"/>
    <w:rsid w:val="005F72D6"/>
    <w:rsid w:val="00600999"/>
    <w:rsid w:val="00602C02"/>
    <w:rsid w:val="0060360F"/>
    <w:rsid w:val="006122F2"/>
    <w:rsid w:val="006125A3"/>
    <w:rsid w:val="00612A3E"/>
    <w:rsid w:val="00613F3F"/>
    <w:rsid w:val="006140DB"/>
    <w:rsid w:val="00625EE0"/>
    <w:rsid w:val="00625FE6"/>
    <w:rsid w:val="006327B2"/>
    <w:rsid w:val="006331C8"/>
    <w:rsid w:val="00637621"/>
    <w:rsid w:val="00641D3D"/>
    <w:rsid w:val="00645699"/>
    <w:rsid w:val="00646F26"/>
    <w:rsid w:val="006502B2"/>
    <w:rsid w:val="00650A87"/>
    <w:rsid w:val="00654AA1"/>
    <w:rsid w:val="00657AC1"/>
    <w:rsid w:val="00657EB5"/>
    <w:rsid w:val="006644A7"/>
    <w:rsid w:val="00666085"/>
    <w:rsid w:val="0067098E"/>
    <w:rsid w:val="00671A70"/>
    <w:rsid w:val="00672A6F"/>
    <w:rsid w:val="0067544A"/>
    <w:rsid w:val="0067704F"/>
    <w:rsid w:val="00681D60"/>
    <w:rsid w:val="00682998"/>
    <w:rsid w:val="00694BEE"/>
    <w:rsid w:val="006A1ED7"/>
    <w:rsid w:val="006A2412"/>
    <w:rsid w:val="006A2C9D"/>
    <w:rsid w:val="006A3196"/>
    <w:rsid w:val="006B18B7"/>
    <w:rsid w:val="006B2331"/>
    <w:rsid w:val="006B2C23"/>
    <w:rsid w:val="006B7AA9"/>
    <w:rsid w:val="006C2500"/>
    <w:rsid w:val="006C48C7"/>
    <w:rsid w:val="006C6875"/>
    <w:rsid w:val="006C6EB1"/>
    <w:rsid w:val="006C7AE8"/>
    <w:rsid w:val="006D3C9B"/>
    <w:rsid w:val="006D43E7"/>
    <w:rsid w:val="006E0BCF"/>
    <w:rsid w:val="006E33FC"/>
    <w:rsid w:val="006E3403"/>
    <w:rsid w:val="006E3CA0"/>
    <w:rsid w:val="006E5A90"/>
    <w:rsid w:val="006E6FEA"/>
    <w:rsid w:val="006F53F4"/>
    <w:rsid w:val="006F6B09"/>
    <w:rsid w:val="0070039C"/>
    <w:rsid w:val="007026E3"/>
    <w:rsid w:val="00702EB4"/>
    <w:rsid w:val="007033D9"/>
    <w:rsid w:val="00704AD8"/>
    <w:rsid w:val="00705DFD"/>
    <w:rsid w:val="007069A8"/>
    <w:rsid w:val="00713AE4"/>
    <w:rsid w:val="007156EF"/>
    <w:rsid w:val="007169AF"/>
    <w:rsid w:val="007206CD"/>
    <w:rsid w:val="00727C74"/>
    <w:rsid w:val="00727EEF"/>
    <w:rsid w:val="00731536"/>
    <w:rsid w:val="00732AF2"/>
    <w:rsid w:val="007331F8"/>
    <w:rsid w:val="00735534"/>
    <w:rsid w:val="00735E52"/>
    <w:rsid w:val="00743CAC"/>
    <w:rsid w:val="007443CA"/>
    <w:rsid w:val="00744650"/>
    <w:rsid w:val="007464AB"/>
    <w:rsid w:val="00747591"/>
    <w:rsid w:val="00750F05"/>
    <w:rsid w:val="00753668"/>
    <w:rsid w:val="00755DEA"/>
    <w:rsid w:val="00756E80"/>
    <w:rsid w:val="007577B2"/>
    <w:rsid w:val="00760C16"/>
    <w:rsid w:val="007628BE"/>
    <w:rsid w:val="00762B2E"/>
    <w:rsid w:val="00766688"/>
    <w:rsid w:val="00770033"/>
    <w:rsid w:val="00770EC7"/>
    <w:rsid w:val="00771A2C"/>
    <w:rsid w:val="00774083"/>
    <w:rsid w:val="007746A7"/>
    <w:rsid w:val="00774FDF"/>
    <w:rsid w:val="007756DF"/>
    <w:rsid w:val="00777BF8"/>
    <w:rsid w:val="00782F36"/>
    <w:rsid w:val="007869BC"/>
    <w:rsid w:val="00787155"/>
    <w:rsid w:val="00787C77"/>
    <w:rsid w:val="00790644"/>
    <w:rsid w:val="0079161F"/>
    <w:rsid w:val="00795D13"/>
    <w:rsid w:val="007A264F"/>
    <w:rsid w:val="007A4866"/>
    <w:rsid w:val="007A75D4"/>
    <w:rsid w:val="007B032D"/>
    <w:rsid w:val="007B267F"/>
    <w:rsid w:val="007B4E4D"/>
    <w:rsid w:val="007B5C46"/>
    <w:rsid w:val="007B70CA"/>
    <w:rsid w:val="007B79DB"/>
    <w:rsid w:val="007C23B2"/>
    <w:rsid w:val="007C2552"/>
    <w:rsid w:val="007C4C1D"/>
    <w:rsid w:val="007C58F2"/>
    <w:rsid w:val="007C60C1"/>
    <w:rsid w:val="007C6427"/>
    <w:rsid w:val="007D02E1"/>
    <w:rsid w:val="007D14B6"/>
    <w:rsid w:val="007D3990"/>
    <w:rsid w:val="007D4781"/>
    <w:rsid w:val="007D5C6F"/>
    <w:rsid w:val="007E27D0"/>
    <w:rsid w:val="007E331D"/>
    <w:rsid w:val="007E3BE2"/>
    <w:rsid w:val="007E6267"/>
    <w:rsid w:val="007E6585"/>
    <w:rsid w:val="007F0B67"/>
    <w:rsid w:val="007F0FB9"/>
    <w:rsid w:val="007F1A39"/>
    <w:rsid w:val="007F77F4"/>
    <w:rsid w:val="00800665"/>
    <w:rsid w:val="00806CD3"/>
    <w:rsid w:val="008074BE"/>
    <w:rsid w:val="00811963"/>
    <w:rsid w:val="00812502"/>
    <w:rsid w:val="0081272A"/>
    <w:rsid w:val="008148FD"/>
    <w:rsid w:val="00821ABA"/>
    <w:rsid w:val="0082240E"/>
    <w:rsid w:val="00823535"/>
    <w:rsid w:val="008242A0"/>
    <w:rsid w:val="00825797"/>
    <w:rsid w:val="0083349A"/>
    <w:rsid w:val="008334C8"/>
    <w:rsid w:val="00835997"/>
    <w:rsid w:val="00835F4D"/>
    <w:rsid w:val="008426CA"/>
    <w:rsid w:val="00843E81"/>
    <w:rsid w:val="00845462"/>
    <w:rsid w:val="008477A5"/>
    <w:rsid w:val="00850082"/>
    <w:rsid w:val="00851937"/>
    <w:rsid w:val="00856ABB"/>
    <w:rsid w:val="008608E0"/>
    <w:rsid w:val="008613A7"/>
    <w:rsid w:val="00864ABF"/>
    <w:rsid w:val="00866274"/>
    <w:rsid w:val="00866366"/>
    <w:rsid w:val="00867B04"/>
    <w:rsid w:val="0087160D"/>
    <w:rsid w:val="00873AFD"/>
    <w:rsid w:val="00873C36"/>
    <w:rsid w:val="0087409D"/>
    <w:rsid w:val="00876067"/>
    <w:rsid w:val="00884332"/>
    <w:rsid w:val="00886AA5"/>
    <w:rsid w:val="008901AA"/>
    <w:rsid w:val="00890255"/>
    <w:rsid w:val="0089179C"/>
    <w:rsid w:val="00895E0F"/>
    <w:rsid w:val="00896575"/>
    <w:rsid w:val="008967F5"/>
    <w:rsid w:val="00896C37"/>
    <w:rsid w:val="008A05D0"/>
    <w:rsid w:val="008A0C1C"/>
    <w:rsid w:val="008A4124"/>
    <w:rsid w:val="008A6D88"/>
    <w:rsid w:val="008A7D5D"/>
    <w:rsid w:val="008B19BD"/>
    <w:rsid w:val="008B4407"/>
    <w:rsid w:val="008B544A"/>
    <w:rsid w:val="008B77EB"/>
    <w:rsid w:val="008C0036"/>
    <w:rsid w:val="008C0A75"/>
    <w:rsid w:val="008C15AF"/>
    <w:rsid w:val="008C74FA"/>
    <w:rsid w:val="008D5C30"/>
    <w:rsid w:val="008E0DC5"/>
    <w:rsid w:val="008E280C"/>
    <w:rsid w:val="008E5F82"/>
    <w:rsid w:val="008E75D2"/>
    <w:rsid w:val="008F0135"/>
    <w:rsid w:val="008F4611"/>
    <w:rsid w:val="008F67D5"/>
    <w:rsid w:val="00900C89"/>
    <w:rsid w:val="00900FD7"/>
    <w:rsid w:val="009028D9"/>
    <w:rsid w:val="00902ED8"/>
    <w:rsid w:val="00903B13"/>
    <w:rsid w:val="00904ACB"/>
    <w:rsid w:val="00906E3C"/>
    <w:rsid w:val="00910C59"/>
    <w:rsid w:val="00911834"/>
    <w:rsid w:val="00912C72"/>
    <w:rsid w:val="0091479B"/>
    <w:rsid w:val="00920270"/>
    <w:rsid w:val="00922194"/>
    <w:rsid w:val="00923FC3"/>
    <w:rsid w:val="009258F7"/>
    <w:rsid w:val="009263CA"/>
    <w:rsid w:val="00926737"/>
    <w:rsid w:val="00926F1D"/>
    <w:rsid w:val="009278CB"/>
    <w:rsid w:val="0093392C"/>
    <w:rsid w:val="009346F3"/>
    <w:rsid w:val="00935F8E"/>
    <w:rsid w:val="00940BCB"/>
    <w:rsid w:val="00941FC7"/>
    <w:rsid w:val="00942E2B"/>
    <w:rsid w:val="0094308D"/>
    <w:rsid w:val="009453E9"/>
    <w:rsid w:val="00945D12"/>
    <w:rsid w:val="00946F66"/>
    <w:rsid w:val="00952B4D"/>
    <w:rsid w:val="009531A0"/>
    <w:rsid w:val="0095337F"/>
    <w:rsid w:val="009533B4"/>
    <w:rsid w:val="00953F37"/>
    <w:rsid w:val="00957CB2"/>
    <w:rsid w:val="0096155D"/>
    <w:rsid w:val="0096678C"/>
    <w:rsid w:val="00967E0F"/>
    <w:rsid w:val="00970D2E"/>
    <w:rsid w:val="0097327C"/>
    <w:rsid w:val="009736C0"/>
    <w:rsid w:val="0097668F"/>
    <w:rsid w:val="0098096C"/>
    <w:rsid w:val="00980AA0"/>
    <w:rsid w:val="00981A92"/>
    <w:rsid w:val="009827C6"/>
    <w:rsid w:val="009832EB"/>
    <w:rsid w:val="0098465E"/>
    <w:rsid w:val="00985E78"/>
    <w:rsid w:val="0098794B"/>
    <w:rsid w:val="009905D6"/>
    <w:rsid w:val="0099674A"/>
    <w:rsid w:val="009A03DB"/>
    <w:rsid w:val="009A0B03"/>
    <w:rsid w:val="009A1DDC"/>
    <w:rsid w:val="009A6B84"/>
    <w:rsid w:val="009A7F76"/>
    <w:rsid w:val="009B2FB5"/>
    <w:rsid w:val="009B33B9"/>
    <w:rsid w:val="009B4B8B"/>
    <w:rsid w:val="009B7ED9"/>
    <w:rsid w:val="009C32D0"/>
    <w:rsid w:val="009C50BC"/>
    <w:rsid w:val="009C5BA0"/>
    <w:rsid w:val="009D460D"/>
    <w:rsid w:val="009E05CD"/>
    <w:rsid w:val="009E3C55"/>
    <w:rsid w:val="009E4F85"/>
    <w:rsid w:val="009E511B"/>
    <w:rsid w:val="009E51C9"/>
    <w:rsid w:val="009E5F02"/>
    <w:rsid w:val="009F1EFE"/>
    <w:rsid w:val="009F2CE4"/>
    <w:rsid w:val="009F42E1"/>
    <w:rsid w:val="009F49EA"/>
    <w:rsid w:val="009F5659"/>
    <w:rsid w:val="009F66B1"/>
    <w:rsid w:val="00A02887"/>
    <w:rsid w:val="00A02E57"/>
    <w:rsid w:val="00A057C4"/>
    <w:rsid w:val="00A05A4D"/>
    <w:rsid w:val="00A05AB4"/>
    <w:rsid w:val="00A070D7"/>
    <w:rsid w:val="00A07E9F"/>
    <w:rsid w:val="00A12E09"/>
    <w:rsid w:val="00A136A4"/>
    <w:rsid w:val="00A16A1F"/>
    <w:rsid w:val="00A25EB2"/>
    <w:rsid w:val="00A265E3"/>
    <w:rsid w:val="00A27F0A"/>
    <w:rsid w:val="00A30AC2"/>
    <w:rsid w:val="00A403AD"/>
    <w:rsid w:val="00A40E60"/>
    <w:rsid w:val="00A45588"/>
    <w:rsid w:val="00A4607A"/>
    <w:rsid w:val="00A529FA"/>
    <w:rsid w:val="00A52B09"/>
    <w:rsid w:val="00A54730"/>
    <w:rsid w:val="00A54BD1"/>
    <w:rsid w:val="00A56096"/>
    <w:rsid w:val="00A56440"/>
    <w:rsid w:val="00A62DB8"/>
    <w:rsid w:val="00A62E0B"/>
    <w:rsid w:val="00A63491"/>
    <w:rsid w:val="00A6553E"/>
    <w:rsid w:val="00A66622"/>
    <w:rsid w:val="00A7029E"/>
    <w:rsid w:val="00A72488"/>
    <w:rsid w:val="00A7294C"/>
    <w:rsid w:val="00A74B98"/>
    <w:rsid w:val="00A75239"/>
    <w:rsid w:val="00A7623D"/>
    <w:rsid w:val="00A80BFF"/>
    <w:rsid w:val="00A820F1"/>
    <w:rsid w:val="00A871DA"/>
    <w:rsid w:val="00AA3077"/>
    <w:rsid w:val="00AA36BB"/>
    <w:rsid w:val="00AA6564"/>
    <w:rsid w:val="00AA6FCA"/>
    <w:rsid w:val="00AB2387"/>
    <w:rsid w:val="00AB346C"/>
    <w:rsid w:val="00AB37B5"/>
    <w:rsid w:val="00AB5A78"/>
    <w:rsid w:val="00AC333C"/>
    <w:rsid w:val="00AC65C5"/>
    <w:rsid w:val="00AC6F12"/>
    <w:rsid w:val="00AC7D27"/>
    <w:rsid w:val="00AD035C"/>
    <w:rsid w:val="00AD1EB6"/>
    <w:rsid w:val="00AD2EC9"/>
    <w:rsid w:val="00AD64A4"/>
    <w:rsid w:val="00AD6B3B"/>
    <w:rsid w:val="00AE018F"/>
    <w:rsid w:val="00AE0B67"/>
    <w:rsid w:val="00AE187B"/>
    <w:rsid w:val="00AE2085"/>
    <w:rsid w:val="00AE26F5"/>
    <w:rsid w:val="00AE27E3"/>
    <w:rsid w:val="00AE3537"/>
    <w:rsid w:val="00AE3F49"/>
    <w:rsid w:val="00AF7398"/>
    <w:rsid w:val="00B00B27"/>
    <w:rsid w:val="00B012D9"/>
    <w:rsid w:val="00B0184D"/>
    <w:rsid w:val="00B02B0A"/>
    <w:rsid w:val="00B046E5"/>
    <w:rsid w:val="00B046EA"/>
    <w:rsid w:val="00B04D6D"/>
    <w:rsid w:val="00B14DDB"/>
    <w:rsid w:val="00B14E7A"/>
    <w:rsid w:val="00B154B8"/>
    <w:rsid w:val="00B17054"/>
    <w:rsid w:val="00B201CC"/>
    <w:rsid w:val="00B2296C"/>
    <w:rsid w:val="00B26B8D"/>
    <w:rsid w:val="00B302AD"/>
    <w:rsid w:val="00B308C0"/>
    <w:rsid w:val="00B320B5"/>
    <w:rsid w:val="00B344A6"/>
    <w:rsid w:val="00B35F7A"/>
    <w:rsid w:val="00B36DD4"/>
    <w:rsid w:val="00B37B81"/>
    <w:rsid w:val="00B44A64"/>
    <w:rsid w:val="00B4523C"/>
    <w:rsid w:val="00B45A77"/>
    <w:rsid w:val="00B461D5"/>
    <w:rsid w:val="00B4710E"/>
    <w:rsid w:val="00B53C2C"/>
    <w:rsid w:val="00B5440A"/>
    <w:rsid w:val="00B56215"/>
    <w:rsid w:val="00B6146B"/>
    <w:rsid w:val="00B64733"/>
    <w:rsid w:val="00B64CA2"/>
    <w:rsid w:val="00B64DE3"/>
    <w:rsid w:val="00B70FDF"/>
    <w:rsid w:val="00B75F3E"/>
    <w:rsid w:val="00B777B1"/>
    <w:rsid w:val="00B820A7"/>
    <w:rsid w:val="00B82BF2"/>
    <w:rsid w:val="00B84320"/>
    <w:rsid w:val="00B84521"/>
    <w:rsid w:val="00B847E6"/>
    <w:rsid w:val="00B848E4"/>
    <w:rsid w:val="00B87A2E"/>
    <w:rsid w:val="00B91EC7"/>
    <w:rsid w:val="00B961F7"/>
    <w:rsid w:val="00BA0180"/>
    <w:rsid w:val="00BA1457"/>
    <w:rsid w:val="00BA3009"/>
    <w:rsid w:val="00BA6559"/>
    <w:rsid w:val="00BB080A"/>
    <w:rsid w:val="00BB15F8"/>
    <w:rsid w:val="00BB37B9"/>
    <w:rsid w:val="00BB3C67"/>
    <w:rsid w:val="00BB3D08"/>
    <w:rsid w:val="00BB7EC3"/>
    <w:rsid w:val="00BC03E1"/>
    <w:rsid w:val="00BC07E0"/>
    <w:rsid w:val="00BC5A68"/>
    <w:rsid w:val="00BC7AE6"/>
    <w:rsid w:val="00BE1951"/>
    <w:rsid w:val="00BE2960"/>
    <w:rsid w:val="00BE4A26"/>
    <w:rsid w:val="00BE76AB"/>
    <w:rsid w:val="00BF0B20"/>
    <w:rsid w:val="00BF0F73"/>
    <w:rsid w:val="00C01CF5"/>
    <w:rsid w:val="00C021AC"/>
    <w:rsid w:val="00C0288A"/>
    <w:rsid w:val="00C0560F"/>
    <w:rsid w:val="00C073F3"/>
    <w:rsid w:val="00C161F8"/>
    <w:rsid w:val="00C16A4A"/>
    <w:rsid w:val="00C200DD"/>
    <w:rsid w:val="00C23624"/>
    <w:rsid w:val="00C26F58"/>
    <w:rsid w:val="00C34EE6"/>
    <w:rsid w:val="00C373AB"/>
    <w:rsid w:val="00C37980"/>
    <w:rsid w:val="00C37FDF"/>
    <w:rsid w:val="00C40B1F"/>
    <w:rsid w:val="00C4149E"/>
    <w:rsid w:val="00C45D23"/>
    <w:rsid w:val="00C46D98"/>
    <w:rsid w:val="00C47727"/>
    <w:rsid w:val="00C50747"/>
    <w:rsid w:val="00C55047"/>
    <w:rsid w:val="00C57455"/>
    <w:rsid w:val="00C6051B"/>
    <w:rsid w:val="00C61B6B"/>
    <w:rsid w:val="00C62EFC"/>
    <w:rsid w:val="00C6503F"/>
    <w:rsid w:val="00C662E9"/>
    <w:rsid w:val="00C67E4A"/>
    <w:rsid w:val="00C71CFC"/>
    <w:rsid w:val="00C72A49"/>
    <w:rsid w:val="00C73498"/>
    <w:rsid w:val="00C74028"/>
    <w:rsid w:val="00C742E6"/>
    <w:rsid w:val="00C74FCE"/>
    <w:rsid w:val="00C75E37"/>
    <w:rsid w:val="00C7650A"/>
    <w:rsid w:val="00C818D1"/>
    <w:rsid w:val="00C81A70"/>
    <w:rsid w:val="00C82F7C"/>
    <w:rsid w:val="00C849C1"/>
    <w:rsid w:val="00C90C4E"/>
    <w:rsid w:val="00C96485"/>
    <w:rsid w:val="00C96BBC"/>
    <w:rsid w:val="00CA03C6"/>
    <w:rsid w:val="00CA2306"/>
    <w:rsid w:val="00CA2BE4"/>
    <w:rsid w:val="00CA3640"/>
    <w:rsid w:val="00CA5EBC"/>
    <w:rsid w:val="00CA69F1"/>
    <w:rsid w:val="00CA7799"/>
    <w:rsid w:val="00CB02C0"/>
    <w:rsid w:val="00CB0FC2"/>
    <w:rsid w:val="00CB1845"/>
    <w:rsid w:val="00CB2350"/>
    <w:rsid w:val="00CB30FB"/>
    <w:rsid w:val="00CB5F9B"/>
    <w:rsid w:val="00CB6E5F"/>
    <w:rsid w:val="00CB74DA"/>
    <w:rsid w:val="00CC7C0D"/>
    <w:rsid w:val="00CD31B6"/>
    <w:rsid w:val="00CD50AB"/>
    <w:rsid w:val="00CD7729"/>
    <w:rsid w:val="00CE11E4"/>
    <w:rsid w:val="00CE43C1"/>
    <w:rsid w:val="00CE4E66"/>
    <w:rsid w:val="00CE7502"/>
    <w:rsid w:val="00CF2D0C"/>
    <w:rsid w:val="00D02605"/>
    <w:rsid w:val="00D12711"/>
    <w:rsid w:val="00D1662F"/>
    <w:rsid w:val="00D204B7"/>
    <w:rsid w:val="00D2050E"/>
    <w:rsid w:val="00D36C3E"/>
    <w:rsid w:val="00D45B02"/>
    <w:rsid w:val="00D473EA"/>
    <w:rsid w:val="00D50B1A"/>
    <w:rsid w:val="00D512DE"/>
    <w:rsid w:val="00D56566"/>
    <w:rsid w:val="00D57367"/>
    <w:rsid w:val="00D61A37"/>
    <w:rsid w:val="00D6411D"/>
    <w:rsid w:val="00D64782"/>
    <w:rsid w:val="00D67278"/>
    <w:rsid w:val="00D67B8D"/>
    <w:rsid w:val="00D73E3C"/>
    <w:rsid w:val="00D74196"/>
    <w:rsid w:val="00D7566D"/>
    <w:rsid w:val="00D76E20"/>
    <w:rsid w:val="00D8125F"/>
    <w:rsid w:val="00D82754"/>
    <w:rsid w:val="00D86D5E"/>
    <w:rsid w:val="00D90453"/>
    <w:rsid w:val="00D91117"/>
    <w:rsid w:val="00D922B1"/>
    <w:rsid w:val="00D923CC"/>
    <w:rsid w:val="00DA5F08"/>
    <w:rsid w:val="00DB22A5"/>
    <w:rsid w:val="00DB7370"/>
    <w:rsid w:val="00DC139D"/>
    <w:rsid w:val="00DC2C8A"/>
    <w:rsid w:val="00DC2EAE"/>
    <w:rsid w:val="00DC4666"/>
    <w:rsid w:val="00DC4D2A"/>
    <w:rsid w:val="00DC571F"/>
    <w:rsid w:val="00DC71F3"/>
    <w:rsid w:val="00DD3F5E"/>
    <w:rsid w:val="00DD55DA"/>
    <w:rsid w:val="00DD5ADB"/>
    <w:rsid w:val="00DE0399"/>
    <w:rsid w:val="00DE271E"/>
    <w:rsid w:val="00DE569D"/>
    <w:rsid w:val="00DE6571"/>
    <w:rsid w:val="00DE7662"/>
    <w:rsid w:val="00DE7784"/>
    <w:rsid w:val="00DF0410"/>
    <w:rsid w:val="00DF39D8"/>
    <w:rsid w:val="00DF419A"/>
    <w:rsid w:val="00DF7F7A"/>
    <w:rsid w:val="00E01FDA"/>
    <w:rsid w:val="00E03BE4"/>
    <w:rsid w:val="00E03C5A"/>
    <w:rsid w:val="00E04B7F"/>
    <w:rsid w:val="00E0531A"/>
    <w:rsid w:val="00E10342"/>
    <w:rsid w:val="00E117F3"/>
    <w:rsid w:val="00E154A0"/>
    <w:rsid w:val="00E15729"/>
    <w:rsid w:val="00E179CF"/>
    <w:rsid w:val="00E202A8"/>
    <w:rsid w:val="00E229C2"/>
    <w:rsid w:val="00E232D1"/>
    <w:rsid w:val="00E2459C"/>
    <w:rsid w:val="00E24C1A"/>
    <w:rsid w:val="00E255B3"/>
    <w:rsid w:val="00E27421"/>
    <w:rsid w:val="00E32C35"/>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E82"/>
    <w:rsid w:val="00E65FAA"/>
    <w:rsid w:val="00E673A2"/>
    <w:rsid w:val="00E67552"/>
    <w:rsid w:val="00E75460"/>
    <w:rsid w:val="00E765E2"/>
    <w:rsid w:val="00E777DA"/>
    <w:rsid w:val="00E7794D"/>
    <w:rsid w:val="00E77BC6"/>
    <w:rsid w:val="00E77DE7"/>
    <w:rsid w:val="00E81DB4"/>
    <w:rsid w:val="00E83E68"/>
    <w:rsid w:val="00E84A3B"/>
    <w:rsid w:val="00E903F8"/>
    <w:rsid w:val="00E913BA"/>
    <w:rsid w:val="00E94F30"/>
    <w:rsid w:val="00E95B86"/>
    <w:rsid w:val="00E95F76"/>
    <w:rsid w:val="00EA4749"/>
    <w:rsid w:val="00EA6E8E"/>
    <w:rsid w:val="00EA7FE0"/>
    <w:rsid w:val="00EB362B"/>
    <w:rsid w:val="00EB56CD"/>
    <w:rsid w:val="00EB7F8F"/>
    <w:rsid w:val="00EC22AC"/>
    <w:rsid w:val="00EC2B26"/>
    <w:rsid w:val="00EC5BB8"/>
    <w:rsid w:val="00EC5F29"/>
    <w:rsid w:val="00ED1508"/>
    <w:rsid w:val="00ED324B"/>
    <w:rsid w:val="00EE171A"/>
    <w:rsid w:val="00EE2F00"/>
    <w:rsid w:val="00EE7052"/>
    <w:rsid w:val="00EF0BFF"/>
    <w:rsid w:val="00EF225C"/>
    <w:rsid w:val="00EF2790"/>
    <w:rsid w:val="00EF5E12"/>
    <w:rsid w:val="00EF6431"/>
    <w:rsid w:val="00EF661D"/>
    <w:rsid w:val="00EF748B"/>
    <w:rsid w:val="00EF7625"/>
    <w:rsid w:val="00F01066"/>
    <w:rsid w:val="00F051B9"/>
    <w:rsid w:val="00F13454"/>
    <w:rsid w:val="00F15E89"/>
    <w:rsid w:val="00F17FBE"/>
    <w:rsid w:val="00F2236C"/>
    <w:rsid w:val="00F2704F"/>
    <w:rsid w:val="00F2742F"/>
    <w:rsid w:val="00F27440"/>
    <w:rsid w:val="00F32E45"/>
    <w:rsid w:val="00F34A3F"/>
    <w:rsid w:val="00F3686B"/>
    <w:rsid w:val="00F36D40"/>
    <w:rsid w:val="00F37E9A"/>
    <w:rsid w:val="00F40E3D"/>
    <w:rsid w:val="00F4275D"/>
    <w:rsid w:val="00F42E03"/>
    <w:rsid w:val="00F450E2"/>
    <w:rsid w:val="00F459B3"/>
    <w:rsid w:val="00F469C0"/>
    <w:rsid w:val="00F51365"/>
    <w:rsid w:val="00F54707"/>
    <w:rsid w:val="00F57317"/>
    <w:rsid w:val="00F615EE"/>
    <w:rsid w:val="00F625D4"/>
    <w:rsid w:val="00F62C19"/>
    <w:rsid w:val="00F6596B"/>
    <w:rsid w:val="00F65E15"/>
    <w:rsid w:val="00F7261E"/>
    <w:rsid w:val="00F74E91"/>
    <w:rsid w:val="00F76CC9"/>
    <w:rsid w:val="00F77F91"/>
    <w:rsid w:val="00F80390"/>
    <w:rsid w:val="00F8262B"/>
    <w:rsid w:val="00F83DB4"/>
    <w:rsid w:val="00F90174"/>
    <w:rsid w:val="00F92D39"/>
    <w:rsid w:val="00F92EBD"/>
    <w:rsid w:val="00F94A51"/>
    <w:rsid w:val="00F95414"/>
    <w:rsid w:val="00F95F72"/>
    <w:rsid w:val="00FA1BE4"/>
    <w:rsid w:val="00FA4B55"/>
    <w:rsid w:val="00FA5456"/>
    <w:rsid w:val="00FA5B2A"/>
    <w:rsid w:val="00FA68D9"/>
    <w:rsid w:val="00FA6F31"/>
    <w:rsid w:val="00FA6FB3"/>
    <w:rsid w:val="00FB4EDC"/>
    <w:rsid w:val="00FC2702"/>
    <w:rsid w:val="00FC2BEC"/>
    <w:rsid w:val="00FC58B3"/>
    <w:rsid w:val="00FC65BB"/>
    <w:rsid w:val="00FC68A7"/>
    <w:rsid w:val="00FD08CC"/>
    <w:rsid w:val="00FD12DC"/>
    <w:rsid w:val="00FD65AE"/>
    <w:rsid w:val="00FE0520"/>
    <w:rsid w:val="00FE33E1"/>
    <w:rsid w:val="00FE6ADA"/>
    <w:rsid w:val="00FF2C58"/>
    <w:rsid w:val="00FF54F5"/>
    <w:rsid w:val="00FF5F6A"/>
    <w:rsid w:val="00FF76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1E54EB"/>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link w:val="Heading1Char"/>
    <w:uiPriority w:val="9"/>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link w:val="Heading2Char"/>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link w:val="Heading3Char"/>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qFormat/>
    <w:pPr>
      <w:keepNext/>
      <w:keepLines/>
      <w:spacing w:after="240"/>
      <w:outlineLvl w:val="3"/>
    </w:pPr>
    <w:rPr>
      <w:rFonts w:eastAsia="Times New Roman"/>
      <w:b/>
      <w:bCs/>
      <w:lang w:eastAsia="en-US"/>
    </w:rPr>
  </w:style>
  <w:style w:type="paragraph" w:styleId="Heading5">
    <w:name w:val="heading 5"/>
    <w:basedOn w:val="Normal"/>
    <w:next w:val="Marge"/>
    <w:link w:val="Heading5Char"/>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link w:val="Heading6Char"/>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DC2EAE"/>
    <w:pPr>
      <w:spacing w:before="240" w:after="60"/>
      <w:outlineLvl w:val="8"/>
    </w:pPr>
    <w:rPr>
      <w:rFonts w:ascii="Arial" w:hAnsi="Arial" w:cs="Arial"/>
      <w:b/>
      <w:bCs/>
      <w:i/>
      <w:iCs/>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link w:val="FooterChar"/>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link w:val="FootnoteTextChar"/>
    <w:pPr>
      <w:ind w:left="567" w:hanging="567"/>
    </w:pPr>
    <w:rPr>
      <w:rFonts w:eastAsia="Times New Roman"/>
      <w:sz w:val="20"/>
      <w:szCs w:val="20"/>
      <w:lang w:eastAsia="en-US"/>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link w:val="ParChar"/>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link w:val="MargeChar"/>
    <w:pPr>
      <w:ind w:firstLine="0"/>
    </w:pPr>
  </w:style>
  <w:style w:type="character" w:customStyle="1" w:styleId="HeaderChar">
    <w:name w:val="Header Char"/>
    <w:basedOn w:val="DefaultParagraphFont"/>
    <w:link w:val="Header"/>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5997"/>
    <w:rPr>
      <w:rFonts w:ascii="Tahoma" w:hAnsi="Tahoma" w:cs="Tahoma"/>
      <w:sz w:val="16"/>
      <w:szCs w:val="16"/>
    </w:rPr>
  </w:style>
  <w:style w:type="character" w:customStyle="1" w:styleId="BalloonTextChar">
    <w:name w:val="Balloon Text Char"/>
    <w:basedOn w:val="DefaultParagraphFont"/>
    <w:link w:val="BalloonText"/>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qFormat/>
    <w:rsid w:val="008F4611"/>
    <w:rPr>
      <w:sz w:val="20"/>
      <w:szCs w:val="20"/>
    </w:rPr>
  </w:style>
  <w:style w:type="character" w:customStyle="1" w:styleId="CommentTextChar">
    <w:name w:val="Comment Text Char"/>
    <w:basedOn w:val="DefaultParagraphFont"/>
    <w:link w:val="CommentText"/>
    <w:uiPriority w:val="99"/>
    <w:qForma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customStyle="1" w:styleId="Heading9Char">
    <w:name w:val="Heading 9 Char"/>
    <w:basedOn w:val="DefaultParagraphFont"/>
    <w:link w:val="Heading9"/>
    <w:semiHidden/>
    <w:rsid w:val="00DC2EAE"/>
    <w:rPr>
      <w:rFonts w:ascii="Arial" w:hAnsi="Arial" w:cs="Arial"/>
      <w:b/>
      <w:bCs/>
      <w:i/>
      <w:iCs/>
      <w:snapToGrid w:val="0"/>
      <w:sz w:val="18"/>
      <w:szCs w:val="18"/>
      <w:u w:val="single"/>
      <w:lang w:val="en-GB"/>
    </w:rPr>
  </w:style>
  <w:style w:type="character" w:styleId="PageNumber">
    <w:name w:val="page number"/>
    <w:basedOn w:val="DefaultParagraphFont"/>
    <w:rsid w:val="00DC2EAE"/>
  </w:style>
  <w:style w:type="paragraph" w:customStyle="1" w:styleId="Serre">
    <w:name w:val="Serre"/>
    <w:basedOn w:val="Normal"/>
    <w:rsid w:val="00DC2EAE"/>
    <w:pPr>
      <w:tabs>
        <w:tab w:val="clear" w:pos="567"/>
      </w:tabs>
      <w:suppressAutoHyphens/>
      <w:snapToGrid/>
      <w:jc w:val="both"/>
      <w:outlineLvl w:val="2"/>
    </w:pPr>
    <w:rPr>
      <w:rFonts w:ascii="Arial" w:eastAsia="PMingLiU" w:hAnsi="Arial"/>
      <w:snapToGrid/>
      <w:sz w:val="22"/>
      <w:szCs w:val="20"/>
      <w:lang w:eastAsia="fr-FR"/>
    </w:rPr>
  </w:style>
  <w:style w:type="paragraph" w:customStyle="1" w:styleId="COI">
    <w:name w:val="COI"/>
    <w:basedOn w:val="Marge"/>
    <w:link w:val="COIChar"/>
    <w:autoRedefine/>
    <w:rsid w:val="00DC2EAE"/>
    <w:pPr>
      <w:autoSpaceDE w:val="0"/>
      <w:autoSpaceDN w:val="0"/>
      <w:adjustRightInd w:val="0"/>
    </w:pPr>
    <w:rPr>
      <w:rFonts w:ascii="Arial" w:eastAsia="Arial Unicode MS" w:hAnsi="Arial" w:cs="Arial"/>
      <w:color w:val="000000"/>
      <w:sz w:val="22"/>
      <w:szCs w:val="22"/>
    </w:rPr>
  </w:style>
  <w:style w:type="paragraph" w:styleId="BlockText">
    <w:name w:val="Block Text"/>
    <w:basedOn w:val="Normal"/>
    <w:rsid w:val="00DC2EAE"/>
    <w:pPr>
      <w:tabs>
        <w:tab w:val="clear" w:pos="567"/>
      </w:tabs>
      <w:snapToGrid/>
      <w:ind w:left="360" w:right="540"/>
      <w:jc w:val="both"/>
    </w:pPr>
    <w:rPr>
      <w:rFonts w:ascii="Arial" w:eastAsia="PMingLiU" w:hAnsi="Arial"/>
      <w:i/>
      <w:iCs/>
      <w:snapToGrid/>
      <w:sz w:val="22"/>
      <w:lang w:val="en-US" w:eastAsia="en-US"/>
    </w:rPr>
  </w:style>
  <w:style w:type="paragraph" w:styleId="BodyText2">
    <w:name w:val="Body Text 2"/>
    <w:basedOn w:val="Normal"/>
    <w:link w:val="BodyText2Char"/>
    <w:rsid w:val="00DC2EAE"/>
    <w:pPr>
      <w:tabs>
        <w:tab w:val="clear" w:pos="567"/>
      </w:tabs>
      <w:snapToGrid/>
      <w:spacing w:before="100" w:beforeAutospacing="1" w:after="100" w:afterAutospacing="1" w:line="360" w:lineRule="auto"/>
    </w:pPr>
    <w:rPr>
      <w:rFonts w:ascii="Arial" w:eastAsia="MS Mincho" w:hAnsi="Arial" w:cs="Arial"/>
      <w:snapToGrid/>
      <w:color w:val="FF0000"/>
      <w:sz w:val="22"/>
      <w:lang w:val="en-US" w:eastAsia="ja-JP"/>
    </w:rPr>
  </w:style>
  <w:style w:type="character" w:customStyle="1" w:styleId="BodyText2Char">
    <w:name w:val="Body Text 2 Char"/>
    <w:basedOn w:val="DefaultParagraphFont"/>
    <w:link w:val="BodyText2"/>
    <w:rsid w:val="00DC2EAE"/>
    <w:rPr>
      <w:rFonts w:ascii="Arial" w:eastAsia="MS Mincho" w:hAnsi="Arial" w:cs="Arial"/>
      <w:color w:val="FF0000"/>
      <w:sz w:val="22"/>
      <w:szCs w:val="24"/>
      <w:lang w:val="en-US" w:eastAsia="ja-JP"/>
    </w:rPr>
  </w:style>
  <w:style w:type="paragraph" w:styleId="BodyTextIndent">
    <w:name w:val="Body Text Indent"/>
    <w:aliases w:val="Quotation"/>
    <w:basedOn w:val="Normal"/>
    <w:link w:val="BodyTextIndentChar"/>
    <w:rsid w:val="00DC2EAE"/>
    <w:pPr>
      <w:tabs>
        <w:tab w:val="clear" w:pos="567"/>
      </w:tabs>
      <w:snapToGrid/>
      <w:spacing w:before="120" w:after="100" w:afterAutospacing="1"/>
      <w:ind w:left="1134" w:right="1134"/>
      <w:jc w:val="both"/>
    </w:pPr>
    <w:rPr>
      <w:rFonts w:ascii="Arial" w:eastAsia="PMingLiU" w:hAnsi="Arial"/>
      <w:i/>
      <w:snapToGrid/>
      <w:sz w:val="22"/>
      <w:lang w:eastAsia="en-US"/>
    </w:rPr>
  </w:style>
  <w:style w:type="character" w:customStyle="1" w:styleId="BodyTextIndentChar">
    <w:name w:val="Body Text Indent Char"/>
    <w:aliases w:val="Quotation Char"/>
    <w:basedOn w:val="DefaultParagraphFont"/>
    <w:link w:val="BodyTextIndent"/>
    <w:rsid w:val="00DC2EAE"/>
    <w:rPr>
      <w:rFonts w:ascii="Arial" w:eastAsia="PMingLiU" w:hAnsi="Arial"/>
      <w:i/>
      <w:sz w:val="22"/>
      <w:szCs w:val="24"/>
      <w:lang w:val="en-GB" w:eastAsia="en-US"/>
    </w:rPr>
  </w:style>
  <w:style w:type="paragraph" w:customStyle="1" w:styleId="Docheading">
    <w:name w:val="Doc. heading"/>
    <w:basedOn w:val="Header"/>
    <w:rsid w:val="00DC2EAE"/>
    <w:pPr>
      <w:spacing w:after="480"/>
      <w:jc w:val="center"/>
    </w:pPr>
    <w:rPr>
      <w:rFonts w:ascii="Arial" w:eastAsia="PMingLiU" w:hAnsi="Arial" w:cs="Arial"/>
      <w:b/>
      <w:bCs/>
      <w:caps/>
    </w:rPr>
  </w:style>
  <w:style w:type="paragraph" w:styleId="BodyTextFirstIndent2">
    <w:name w:val="Body Text First Indent 2"/>
    <w:basedOn w:val="BodyTextIndent"/>
    <w:link w:val="BodyTextFirstIndent2Char"/>
    <w:rsid w:val="00DC2EAE"/>
    <w:pPr>
      <w:tabs>
        <w:tab w:val="left" w:pos="567"/>
      </w:tabs>
      <w:snapToGrid w:val="0"/>
      <w:spacing w:after="120"/>
      <w:ind w:left="283" w:firstLine="210"/>
      <w:jc w:val="left"/>
    </w:pPr>
    <w:rPr>
      <w:snapToGrid w:val="0"/>
    </w:rPr>
  </w:style>
  <w:style w:type="character" w:customStyle="1" w:styleId="BodyTextFirstIndent2Char">
    <w:name w:val="Body Text First Indent 2 Char"/>
    <w:basedOn w:val="BodyTextIndentChar"/>
    <w:link w:val="BodyTextFirstIndent2"/>
    <w:rsid w:val="00DC2EAE"/>
    <w:rPr>
      <w:rFonts w:ascii="Arial" w:eastAsia="PMingLiU" w:hAnsi="Arial"/>
      <w:i/>
      <w:snapToGrid w:val="0"/>
      <w:sz w:val="22"/>
      <w:szCs w:val="24"/>
      <w:lang w:val="en-GB" w:eastAsia="en-US"/>
    </w:rPr>
  </w:style>
  <w:style w:type="paragraph" w:customStyle="1" w:styleId="Listnumbered">
    <w:name w:val="List numbered"/>
    <w:basedOn w:val="ListBullet2"/>
    <w:autoRedefine/>
    <w:rsid w:val="00DC2EAE"/>
    <w:pPr>
      <w:numPr>
        <w:numId w:val="23"/>
      </w:numPr>
      <w:jc w:val="both"/>
    </w:pPr>
  </w:style>
  <w:style w:type="paragraph" w:customStyle="1" w:styleId="Style1">
    <w:name w:val="Style1"/>
    <w:basedOn w:val="Listnumbered"/>
    <w:autoRedefine/>
    <w:rsid w:val="00DC2EAE"/>
  </w:style>
  <w:style w:type="character" w:customStyle="1" w:styleId="ParChar">
    <w:name w:val="Par Char"/>
    <w:link w:val="Par"/>
    <w:rsid w:val="00DC2EAE"/>
    <w:rPr>
      <w:rFonts w:eastAsia="Times New Roman"/>
      <w:snapToGrid w:val="0"/>
      <w:sz w:val="24"/>
      <w:szCs w:val="24"/>
      <w:lang w:val="en-GB" w:eastAsia="en-US"/>
    </w:rPr>
  </w:style>
  <w:style w:type="paragraph" w:styleId="ListBullet2">
    <w:name w:val="List Bullet 2"/>
    <w:basedOn w:val="Normal"/>
    <w:rsid w:val="00DC2EAE"/>
    <w:pPr>
      <w:numPr>
        <w:numId w:val="24"/>
      </w:numPr>
      <w:spacing w:after="240"/>
    </w:pPr>
    <w:rPr>
      <w:rFonts w:ascii="Arial" w:eastAsia="PMingLiU" w:hAnsi="Arial"/>
      <w:sz w:val="22"/>
      <w:lang w:eastAsia="en-US"/>
    </w:rPr>
  </w:style>
  <w:style w:type="character" w:customStyle="1" w:styleId="MargeChar">
    <w:name w:val="Marge Char"/>
    <w:link w:val="Marge"/>
    <w:rsid w:val="00DC2EAE"/>
    <w:rPr>
      <w:rFonts w:eastAsia="Times New Roman"/>
      <w:snapToGrid w:val="0"/>
      <w:sz w:val="24"/>
      <w:szCs w:val="24"/>
      <w:lang w:val="en-GB" w:eastAsia="en-US"/>
    </w:rPr>
  </w:style>
  <w:style w:type="character" w:customStyle="1" w:styleId="COIChar">
    <w:name w:val="COI Char"/>
    <w:link w:val="COI"/>
    <w:rsid w:val="00DC2EAE"/>
    <w:rPr>
      <w:rFonts w:ascii="Arial" w:eastAsia="Arial Unicode MS" w:hAnsi="Arial" w:cs="Arial"/>
      <w:snapToGrid w:val="0"/>
      <w:color w:val="000000"/>
      <w:sz w:val="22"/>
      <w:szCs w:val="22"/>
      <w:lang w:val="en-GB" w:eastAsia="en-US"/>
    </w:rPr>
  </w:style>
  <w:style w:type="character" w:customStyle="1" w:styleId="Titre9Car1">
    <w:name w:val="Titre 9 Car1"/>
    <w:semiHidden/>
    <w:rsid w:val="00DC2EAE"/>
    <w:rPr>
      <w:rFonts w:ascii="Cambria" w:eastAsia="Times New Roman" w:hAnsi="Cambria" w:cs="Times New Roman"/>
      <w:snapToGrid w:val="0"/>
      <w:sz w:val="22"/>
      <w:szCs w:val="22"/>
      <w:lang w:val="en-GB" w:eastAsia="en-US"/>
    </w:rPr>
  </w:style>
  <w:style w:type="paragraph" w:customStyle="1" w:styleId="Paragrafoelenco1">
    <w:name w:val="Paragrafo elenco1"/>
    <w:basedOn w:val="Normal"/>
    <w:uiPriority w:val="99"/>
    <w:rsid w:val="00DC2EAE"/>
    <w:pPr>
      <w:tabs>
        <w:tab w:val="clear" w:pos="567"/>
      </w:tabs>
      <w:suppressAutoHyphens/>
      <w:snapToGrid/>
      <w:ind w:left="720"/>
      <w:contextualSpacing/>
    </w:pPr>
    <w:rPr>
      <w:rFonts w:eastAsia="Simsun (Founder Extended)"/>
      <w:snapToGrid/>
      <w:lang w:eastAsia="ar-SA"/>
    </w:rPr>
  </w:style>
  <w:style w:type="character" w:styleId="FollowedHyperlink">
    <w:name w:val="FollowedHyperlink"/>
    <w:rsid w:val="00DC2EAE"/>
    <w:rPr>
      <w:color w:val="800080"/>
      <w:u w:val="single"/>
    </w:rPr>
  </w:style>
  <w:style w:type="paragraph" w:styleId="EndnoteText">
    <w:name w:val="endnote text"/>
    <w:basedOn w:val="Normal"/>
    <w:link w:val="EndnoteTextChar"/>
    <w:rsid w:val="00DC2EAE"/>
    <w:rPr>
      <w:rFonts w:ascii="Arial" w:eastAsia="PMingLiU" w:hAnsi="Arial"/>
      <w:sz w:val="20"/>
      <w:szCs w:val="20"/>
      <w:lang w:eastAsia="en-US"/>
    </w:rPr>
  </w:style>
  <w:style w:type="character" w:customStyle="1" w:styleId="EndnoteTextChar">
    <w:name w:val="Endnote Text Char"/>
    <w:basedOn w:val="DefaultParagraphFont"/>
    <w:link w:val="EndnoteText"/>
    <w:rsid w:val="00DC2EAE"/>
    <w:rPr>
      <w:rFonts w:ascii="Arial" w:eastAsia="PMingLiU" w:hAnsi="Arial"/>
      <w:snapToGrid w:val="0"/>
      <w:lang w:val="en-GB" w:eastAsia="en-US"/>
    </w:rPr>
  </w:style>
  <w:style w:type="character" w:styleId="EndnoteReference">
    <w:name w:val="endnote reference"/>
    <w:rsid w:val="00DC2EAE"/>
    <w:rPr>
      <w:vertAlign w:val="superscript"/>
    </w:rPr>
  </w:style>
  <w:style w:type="character" w:customStyle="1" w:styleId="Heading3Char">
    <w:name w:val="Heading 3 Char"/>
    <w:link w:val="Heading3"/>
    <w:rsid w:val="00DC2EAE"/>
    <w:rPr>
      <w:rFonts w:eastAsia="Times New Roman"/>
      <w:b/>
      <w:bCs/>
      <w:snapToGrid w:val="0"/>
      <w:sz w:val="24"/>
      <w:szCs w:val="24"/>
      <w:lang w:val="en-GB" w:eastAsia="en-US"/>
    </w:rPr>
  </w:style>
  <w:style w:type="character" w:customStyle="1" w:styleId="FootnoteTextChar">
    <w:name w:val="Footnote Text Char"/>
    <w:link w:val="FootnoteText"/>
    <w:rsid w:val="00DC2EAE"/>
    <w:rPr>
      <w:rFonts w:eastAsia="Times New Roman"/>
      <w:snapToGrid w:val="0"/>
      <w:lang w:val="en-GB" w:eastAsia="en-US"/>
    </w:rPr>
  </w:style>
  <w:style w:type="character" w:customStyle="1" w:styleId="Heading1Char">
    <w:name w:val="Heading 1 Char"/>
    <w:link w:val="Heading1"/>
    <w:uiPriority w:val="9"/>
    <w:rsid w:val="00DC2EAE"/>
    <w:rPr>
      <w:rFonts w:eastAsia="Times New Roman"/>
      <w:b/>
      <w:bCs/>
      <w:snapToGrid w:val="0"/>
      <w:kern w:val="28"/>
      <w:sz w:val="24"/>
      <w:szCs w:val="24"/>
      <w:lang w:eastAsia="en-US"/>
    </w:rPr>
  </w:style>
  <w:style w:type="paragraph" w:customStyle="1" w:styleId="ParaCOI">
    <w:name w:val="Para COI"/>
    <w:basedOn w:val="COI"/>
    <w:link w:val="ParaCOICar"/>
    <w:qFormat/>
    <w:rsid w:val="00DC2EAE"/>
    <w:pPr>
      <w:numPr>
        <w:numId w:val="26"/>
      </w:numPr>
      <w:tabs>
        <w:tab w:val="clear" w:pos="567"/>
        <w:tab w:val="left" w:pos="709"/>
      </w:tabs>
      <w:autoSpaceDE/>
      <w:autoSpaceDN/>
      <w:adjustRightInd/>
    </w:pPr>
    <w:rPr>
      <w:rFonts w:eastAsia="Times New Roman" w:cs="Times New Roman"/>
      <w:color w:val="auto"/>
      <w:lang w:eastAsia="zh-CN"/>
    </w:rPr>
  </w:style>
  <w:style w:type="character" w:customStyle="1" w:styleId="ParaCOICar">
    <w:name w:val="Para COI Car"/>
    <w:link w:val="ParaCOI"/>
    <w:rsid w:val="00DC2EAE"/>
    <w:rPr>
      <w:rFonts w:ascii="Arial" w:eastAsia="Times New Roman" w:hAnsi="Arial"/>
      <w:snapToGrid w:val="0"/>
      <w:sz w:val="22"/>
      <w:szCs w:val="22"/>
      <w:lang w:val="en-GB"/>
    </w:rPr>
  </w:style>
  <w:style w:type="character" w:customStyle="1" w:styleId="Heading2Char">
    <w:name w:val="Heading 2 Char"/>
    <w:link w:val="Heading2"/>
    <w:rsid w:val="00DC2EAE"/>
    <w:rPr>
      <w:rFonts w:eastAsia="Times New Roman"/>
      <w:b/>
      <w:bCs/>
      <w:caps/>
      <w:snapToGrid w:val="0"/>
      <w:sz w:val="24"/>
      <w:szCs w:val="24"/>
      <w:lang w:val="en-GB" w:eastAsia="en-US"/>
    </w:rPr>
  </w:style>
  <w:style w:type="character" w:customStyle="1" w:styleId="Heading4Char">
    <w:name w:val="Heading 4 Char"/>
    <w:link w:val="Heading4"/>
    <w:rsid w:val="00DC2EAE"/>
    <w:rPr>
      <w:rFonts w:eastAsia="Times New Roman"/>
      <w:b/>
      <w:bCs/>
      <w:snapToGrid w:val="0"/>
      <w:sz w:val="24"/>
      <w:szCs w:val="24"/>
      <w:lang w:val="en-GB" w:eastAsia="en-US"/>
    </w:rPr>
  </w:style>
  <w:style w:type="character" w:customStyle="1" w:styleId="Heading5Char">
    <w:name w:val="Heading 5 Char"/>
    <w:link w:val="Heading5"/>
    <w:rsid w:val="00DC2EAE"/>
    <w:rPr>
      <w:rFonts w:eastAsia="Times New Roman"/>
      <w:b/>
      <w:bCs/>
      <w:snapToGrid w:val="0"/>
      <w:sz w:val="24"/>
      <w:szCs w:val="24"/>
      <w:lang w:val="en-GB" w:eastAsia="en-US"/>
    </w:rPr>
  </w:style>
  <w:style w:type="character" w:customStyle="1" w:styleId="Heading6Char">
    <w:name w:val="Heading 6 Char"/>
    <w:link w:val="Heading6"/>
    <w:rsid w:val="00DC2EAE"/>
    <w:rPr>
      <w:rFonts w:eastAsia="Times New Roman"/>
      <w:b/>
      <w:iCs/>
      <w:snapToGrid w:val="0"/>
      <w:sz w:val="24"/>
      <w:szCs w:val="22"/>
      <w:lang w:val="en-GB" w:eastAsia="en-US"/>
    </w:rPr>
  </w:style>
  <w:style w:type="character" w:customStyle="1" w:styleId="FooterChar">
    <w:name w:val="Footer Char"/>
    <w:link w:val="Footer"/>
    <w:rsid w:val="00DC2EAE"/>
    <w:rPr>
      <w:rFonts w:eastAsia="Times New Roman"/>
      <w:snapToGrid w:val="0"/>
      <w:sz w:val="24"/>
      <w:szCs w:val="24"/>
      <w:lang w:eastAsia="en-US"/>
    </w:rPr>
  </w:style>
  <w:style w:type="paragraph" w:customStyle="1" w:styleId="decis">
    <w:name w:val="decis"/>
    <w:basedOn w:val="BodyText"/>
    <w:rsid w:val="00DC2EAE"/>
    <w:pPr>
      <w:numPr>
        <w:numId w:val="27"/>
      </w:numPr>
      <w:tabs>
        <w:tab w:val="clear" w:pos="567"/>
      </w:tabs>
      <w:snapToGrid/>
      <w:spacing w:after="0"/>
      <w:jc w:val="both"/>
    </w:pPr>
    <w:rPr>
      <w:rFonts w:ascii="Times New Roman" w:eastAsia="Times New Roman" w:hAnsi="Times New Roman"/>
      <w:snapToGrid/>
      <w:sz w:val="24"/>
    </w:rPr>
  </w:style>
  <w:style w:type="paragraph" w:styleId="BodyText">
    <w:name w:val="Body Text"/>
    <w:basedOn w:val="Normal"/>
    <w:link w:val="BodyTextChar"/>
    <w:rsid w:val="00DC2EAE"/>
    <w:pPr>
      <w:spacing w:after="120"/>
    </w:pPr>
    <w:rPr>
      <w:rFonts w:ascii="Arial" w:eastAsia="PMingLiU" w:hAnsi="Arial"/>
      <w:sz w:val="22"/>
      <w:lang w:eastAsia="en-US"/>
    </w:rPr>
  </w:style>
  <w:style w:type="character" w:customStyle="1" w:styleId="BodyTextChar">
    <w:name w:val="Body Text Char"/>
    <w:basedOn w:val="DefaultParagraphFont"/>
    <w:link w:val="BodyText"/>
    <w:rsid w:val="00DC2EAE"/>
    <w:rPr>
      <w:rFonts w:ascii="Arial" w:eastAsia="PMingLiU" w:hAnsi="Arial"/>
      <w:snapToGrid w:val="0"/>
      <w:sz w:val="22"/>
      <w:szCs w:val="24"/>
      <w:lang w:val="en-GB" w:eastAsia="en-US"/>
    </w:rPr>
  </w:style>
  <w:style w:type="paragraph" w:styleId="Revision">
    <w:name w:val="Revision"/>
    <w:hidden/>
    <w:uiPriority w:val="99"/>
    <w:semiHidden/>
    <w:rsid w:val="00DC2EAE"/>
    <w:rPr>
      <w:rFonts w:ascii="Arial" w:eastAsia="PMingLiU" w:hAnsi="Arial"/>
      <w:snapToGrid w:val="0"/>
      <w:sz w:val="22"/>
      <w:szCs w:val="24"/>
      <w:lang w:val="en-GB" w:eastAsia="en-US"/>
    </w:rPr>
  </w:style>
  <w:style w:type="character" w:customStyle="1" w:styleId="UnresolvedMention2">
    <w:name w:val="Unresolved Mention2"/>
    <w:basedOn w:val="DefaultParagraphFont"/>
    <w:uiPriority w:val="99"/>
    <w:semiHidden/>
    <w:unhideWhenUsed/>
    <w:rsid w:val="00B84320"/>
    <w:rPr>
      <w:color w:val="605E5C"/>
      <w:shd w:val="clear" w:color="auto" w:fill="E1DFDD"/>
    </w:rPr>
  </w:style>
  <w:style w:type="paragraph" w:customStyle="1" w:styleId="Style2">
    <w:name w:val="Style2"/>
    <w:basedOn w:val="Normal"/>
    <w:link w:val="Style2Car"/>
    <w:qFormat/>
    <w:rsid w:val="006B18B7"/>
    <w:pPr>
      <w:shd w:val="clear" w:color="auto" w:fill="FFFFFF"/>
      <w:tabs>
        <w:tab w:val="clear" w:pos="567"/>
        <w:tab w:val="num" w:pos="1400"/>
      </w:tabs>
      <w:snapToGrid/>
      <w:spacing w:after="240"/>
      <w:ind w:left="720"/>
      <w:jc w:val="both"/>
    </w:pPr>
    <w:rPr>
      <w:rFonts w:ascii="Arial" w:eastAsia="Times New Roman" w:hAnsi="Arial"/>
      <w:iCs/>
      <w:sz w:val="22"/>
      <w:szCs w:val="22"/>
      <w:lang w:eastAsia="en-US"/>
    </w:rPr>
  </w:style>
  <w:style w:type="character" w:customStyle="1" w:styleId="Style2Car">
    <w:name w:val="Style2 Car"/>
    <w:basedOn w:val="DefaultParagraphFont"/>
    <w:link w:val="Style2"/>
    <w:rsid w:val="006B18B7"/>
    <w:rPr>
      <w:rFonts w:ascii="Arial" w:eastAsia="Times New Roman" w:hAnsi="Arial"/>
      <w:iCs/>
      <w:snapToGrid w:val="0"/>
      <w:sz w:val="22"/>
      <w:szCs w:val="22"/>
      <w:shd w:val="clear" w:color="auto" w:fill="FFFFFF"/>
      <w:lang w:val="en-GB" w:eastAsia="en-US"/>
    </w:rPr>
  </w:style>
  <w:style w:type="character" w:customStyle="1" w:styleId="UnresolvedMention3">
    <w:name w:val="Unresolved Mention3"/>
    <w:basedOn w:val="DefaultParagraphFont"/>
    <w:uiPriority w:val="99"/>
    <w:semiHidden/>
    <w:unhideWhenUsed/>
    <w:rsid w:val="00BC03E1"/>
    <w:rPr>
      <w:color w:val="605E5C"/>
      <w:shd w:val="clear" w:color="auto" w:fill="E1DFDD"/>
    </w:rPr>
  </w:style>
  <w:style w:type="character" w:customStyle="1" w:styleId="UnresolvedMention4">
    <w:name w:val="Unresolved Mention4"/>
    <w:basedOn w:val="DefaultParagraphFont"/>
    <w:uiPriority w:val="99"/>
    <w:semiHidden/>
    <w:unhideWhenUsed/>
    <w:rsid w:val="00A62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77819489">
      <w:bodyDiv w:val="1"/>
      <w:marLeft w:val="0"/>
      <w:marRight w:val="0"/>
      <w:marTop w:val="0"/>
      <w:marBottom w:val="0"/>
      <w:divBdr>
        <w:top w:val="none" w:sz="0" w:space="0" w:color="auto"/>
        <w:left w:val="none" w:sz="0" w:space="0" w:color="auto"/>
        <w:bottom w:val="none" w:sz="0" w:space="0" w:color="auto"/>
        <w:right w:val="none" w:sz="0" w:space="0" w:color="auto"/>
      </w:divBdr>
    </w:div>
    <w:div w:id="245071447">
      <w:bodyDiv w:val="1"/>
      <w:marLeft w:val="0"/>
      <w:marRight w:val="0"/>
      <w:marTop w:val="0"/>
      <w:marBottom w:val="0"/>
      <w:divBdr>
        <w:top w:val="none" w:sz="0" w:space="0" w:color="auto"/>
        <w:left w:val="none" w:sz="0" w:space="0" w:color="auto"/>
        <w:bottom w:val="none" w:sz="0" w:space="0" w:color="auto"/>
        <w:right w:val="none" w:sz="0" w:space="0" w:color="auto"/>
      </w:divBdr>
    </w:div>
    <w:div w:id="393427644">
      <w:bodyDiv w:val="1"/>
      <w:marLeft w:val="0"/>
      <w:marRight w:val="0"/>
      <w:marTop w:val="0"/>
      <w:marBottom w:val="0"/>
      <w:divBdr>
        <w:top w:val="none" w:sz="0" w:space="0" w:color="auto"/>
        <w:left w:val="none" w:sz="0" w:space="0" w:color="auto"/>
        <w:bottom w:val="none" w:sz="0" w:space="0" w:color="auto"/>
        <w:right w:val="none" w:sz="0" w:space="0" w:color="auto"/>
      </w:divBdr>
    </w:div>
    <w:div w:id="399210852">
      <w:bodyDiv w:val="1"/>
      <w:marLeft w:val="0"/>
      <w:marRight w:val="0"/>
      <w:marTop w:val="0"/>
      <w:marBottom w:val="0"/>
      <w:divBdr>
        <w:top w:val="none" w:sz="0" w:space="0" w:color="auto"/>
        <w:left w:val="none" w:sz="0" w:space="0" w:color="auto"/>
        <w:bottom w:val="none" w:sz="0" w:space="0" w:color="auto"/>
        <w:right w:val="none" w:sz="0" w:space="0" w:color="auto"/>
      </w:divBdr>
    </w:div>
    <w:div w:id="490021289">
      <w:bodyDiv w:val="1"/>
      <w:marLeft w:val="0"/>
      <w:marRight w:val="0"/>
      <w:marTop w:val="0"/>
      <w:marBottom w:val="0"/>
      <w:divBdr>
        <w:top w:val="none" w:sz="0" w:space="0" w:color="auto"/>
        <w:left w:val="none" w:sz="0" w:space="0" w:color="auto"/>
        <w:bottom w:val="none" w:sz="0" w:space="0" w:color="auto"/>
        <w:right w:val="none" w:sz="0" w:space="0" w:color="auto"/>
      </w:divBdr>
    </w:div>
    <w:div w:id="551623716">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32330723">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187793996">
      <w:bodyDiv w:val="1"/>
      <w:marLeft w:val="0"/>
      <w:marRight w:val="0"/>
      <w:marTop w:val="0"/>
      <w:marBottom w:val="0"/>
      <w:divBdr>
        <w:top w:val="none" w:sz="0" w:space="0" w:color="auto"/>
        <w:left w:val="none" w:sz="0" w:space="0" w:color="auto"/>
        <w:bottom w:val="none" w:sz="0" w:space="0" w:color="auto"/>
        <w:right w:val="none" w:sz="0" w:space="0" w:color="auto"/>
      </w:divBdr>
    </w:div>
    <w:div w:id="1380085541">
      <w:bodyDiv w:val="1"/>
      <w:marLeft w:val="0"/>
      <w:marRight w:val="0"/>
      <w:marTop w:val="0"/>
      <w:marBottom w:val="0"/>
      <w:divBdr>
        <w:top w:val="none" w:sz="0" w:space="0" w:color="auto"/>
        <w:left w:val="none" w:sz="0" w:space="0" w:color="auto"/>
        <w:bottom w:val="none" w:sz="0" w:space="0" w:color="auto"/>
        <w:right w:val="none" w:sz="0" w:space="0" w:color="auto"/>
      </w:divBdr>
    </w:div>
    <w:div w:id="1398743887">
      <w:bodyDiv w:val="1"/>
      <w:marLeft w:val="0"/>
      <w:marRight w:val="0"/>
      <w:marTop w:val="0"/>
      <w:marBottom w:val="0"/>
      <w:divBdr>
        <w:top w:val="none" w:sz="0" w:space="0" w:color="auto"/>
        <w:left w:val="none" w:sz="0" w:space="0" w:color="auto"/>
        <w:bottom w:val="none" w:sz="0" w:space="0" w:color="auto"/>
        <w:right w:val="none" w:sz="0" w:space="0" w:color="auto"/>
      </w:divBdr>
    </w:div>
    <w:div w:id="1572349574">
      <w:bodyDiv w:val="1"/>
      <w:marLeft w:val="0"/>
      <w:marRight w:val="0"/>
      <w:marTop w:val="0"/>
      <w:marBottom w:val="0"/>
      <w:divBdr>
        <w:top w:val="none" w:sz="0" w:space="0" w:color="auto"/>
        <w:left w:val="none" w:sz="0" w:space="0" w:color="auto"/>
        <w:bottom w:val="none" w:sz="0" w:space="0" w:color="auto"/>
        <w:right w:val="none" w:sz="0" w:space="0" w:color="auto"/>
      </w:divBdr>
    </w:div>
    <w:div w:id="1576934209">
      <w:bodyDiv w:val="1"/>
      <w:marLeft w:val="0"/>
      <w:marRight w:val="0"/>
      <w:marTop w:val="0"/>
      <w:marBottom w:val="0"/>
      <w:divBdr>
        <w:top w:val="none" w:sz="0" w:space="0" w:color="auto"/>
        <w:left w:val="none" w:sz="0" w:space="0" w:color="auto"/>
        <w:bottom w:val="none" w:sz="0" w:space="0" w:color="auto"/>
        <w:right w:val="none" w:sz="0" w:space="0" w:color="auto"/>
      </w:divBdr>
    </w:div>
    <w:div w:id="1737319481">
      <w:bodyDiv w:val="1"/>
      <w:marLeft w:val="0"/>
      <w:marRight w:val="0"/>
      <w:marTop w:val="0"/>
      <w:marBottom w:val="0"/>
      <w:divBdr>
        <w:top w:val="none" w:sz="0" w:space="0" w:color="auto"/>
        <w:left w:val="none" w:sz="0" w:space="0" w:color="auto"/>
        <w:bottom w:val="none" w:sz="0" w:space="0" w:color="auto"/>
        <w:right w:val="none" w:sz="0" w:space="0" w:color="auto"/>
      </w:divBdr>
    </w:div>
    <w:div w:id="1776905825">
      <w:bodyDiv w:val="1"/>
      <w:marLeft w:val="0"/>
      <w:marRight w:val="0"/>
      <w:marTop w:val="0"/>
      <w:marBottom w:val="0"/>
      <w:divBdr>
        <w:top w:val="none" w:sz="0" w:space="0" w:color="auto"/>
        <w:left w:val="none" w:sz="0" w:space="0" w:color="auto"/>
        <w:bottom w:val="none" w:sz="0" w:space="0" w:color="auto"/>
        <w:right w:val="none" w:sz="0" w:space="0" w:color="auto"/>
      </w:divBdr>
    </w:div>
    <w:div w:id="1791361344">
      <w:bodyDiv w:val="1"/>
      <w:marLeft w:val="0"/>
      <w:marRight w:val="0"/>
      <w:marTop w:val="0"/>
      <w:marBottom w:val="0"/>
      <w:divBdr>
        <w:top w:val="none" w:sz="0" w:space="0" w:color="auto"/>
        <w:left w:val="none" w:sz="0" w:space="0" w:color="auto"/>
        <w:bottom w:val="none" w:sz="0" w:space="0" w:color="auto"/>
        <w:right w:val="none" w:sz="0" w:space="0" w:color="auto"/>
      </w:divBdr>
    </w:div>
    <w:div w:id="1818258248">
      <w:bodyDiv w:val="1"/>
      <w:marLeft w:val="0"/>
      <w:marRight w:val="0"/>
      <w:marTop w:val="0"/>
      <w:marBottom w:val="0"/>
      <w:divBdr>
        <w:top w:val="none" w:sz="0" w:space="0" w:color="auto"/>
        <w:left w:val="none" w:sz="0" w:space="0" w:color="auto"/>
        <w:bottom w:val="none" w:sz="0" w:space="0" w:color="auto"/>
        <w:right w:val="none" w:sz="0" w:space="0" w:color="auto"/>
      </w:divBdr>
    </w:div>
    <w:div w:id="19459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444_spa" TargetMode="External"/><Relationship Id="rId13" Type="http://schemas.openxmlformats.org/officeDocument/2006/relationships/hyperlink" Target="https://oceanexpert.org/document/2831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oc-cd.org/index.php?option=com_oe&amp;task=viewDocumentRecord&amp;docID=2809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ceanexpert.org/document/3055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0475" TargetMode="External"/><Relationship Id="rId5" Type="http://schemas.openxmlformats.org/officeDocument/2006/relationships/webSettings" Target="webSettings.xml"/><Relationship Id="rId15" Type="http://schemas.openxmlformats.org/officeDocument/2006/relationships/hyperlink" Target="https://oceanexpert.org/document/30436" TargetMode="External"/><Relationship Id="rId10" Type="http://schemas.openxmlformats.org/officeDocument/2006/relationships/hyperlink" Target="https://oceanexpert.org/document/3031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ceanexpert.org/document/29205" TargetMode="External"/><Relationship Id="rId14" Type="http://schemas.openxmlformats.org/officeDocument/2006/relationships/hyperlink" Target="https://oceanexpert.org/document/2849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9E5CE-06A8-4395-B26E-52D72FBD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2020</Words>
  <Characters>10807</Characters>
  <Application>Microsoft Office Word</Application>
  <DocSecurity>0</DocSecurity>
  <Lines>168</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Lain, Ruben</cp:lastModifiedBy>
  <cp:revision>4</cp:revision>
  <cp:lastPrinted>2022-05-23T16:06:00Z</cp:lastPrinted>
  <dcterms:created xsi:type="dcterms:W3CDTF">2022-06-14T07:44:00Z</dcterms:created>
  <dcterms:modified xsi:type="dcterms:W3CDTF">2022-06-14T07:46:00Z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y fmtid="{D5CDD505-2E9C-101B-9397-08002B2CF9AE}" pid="5" name="TranslatedWith">
    <vt:lpwstr>Mercury</vt:lpwstr>
  </property>
  <property fmtid="{D5CDD505-2E9C-101B-9397-08002B2CF9AE}" pid="6" name="GeneratedBy">
    <vt:lpwstr>k_bou-habib</vt:lpwstr>
  </property>
  <property fmtid="{D5CDD505-2E9C-101B-9397-08002B2CF9AE}" pid="7" name="GeneratedDate">
    <vt:lpwstr>06/13/2022 17:26:37</vt:lpwstr>
  </property>
  <property fmtid="{D5CDD505-2E9C-101B-9397-08002B2CF9AE}" pid="8" name="OriginalDocID">
    <vt:lpwstr>8c1cae1b-d0d3-43c7-b3c8-674fed46d9f0</vt:lpwstr>
  </property>
</Properties>
</file>