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7234" w:type="dxa"/>
        <w:jc w:val="center"/>
        <w:tblLayout w:type="fixed"/>
        <w:tblLook w:val="04A0" w:firstRow="1" w:lastRow="0" w:firstColumn="1" w:lastColumn="0" w:noHBand="0" w:noVBand="1"/>
      </w:tblPr>
      <w:tblGrid>
        <w:gridCol w:w="7234"/>
      </w:tblGrid>
      <w:tr w:rsidR="006A5AED" w14:paraId="1A4612E9" w14:textId="77777777" w:rsidTr="006F52CB">
        <w:trPr>
          <w:trHeight w:val="2378"/>
          <w:jc w:val="center"/>
        </w:trPr>
        <w:tc>
          <w:tcPr>
            <w:tcW w:w="7234" w:type="dxa"/>
          </w:tcPr>
          <w:p w14:paraId="1B888B8D" w14:textId="77777777"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042CD867" w14:textId="77777777" w:rsidR="006F52CB" w:rsidRPr="006F52CB" w:rsidRDefault="006F52CB" w:rsidP="006F52CB">
            <w:pPr>
              <w:tabs>
                <w:tab w:val="clear" w:pos="567"/>
              </w:tabs>
              <w:snapToGrid/>
              <w:spacing w:after="240"/>
              <w:ind w:left="171" w:right="177"/>
              <w:jc w:val="both"/>
              <w:rPr>
                <w:rFonts w:cs="Arial"/>
                <w:szCs w:val="22"/>
              </w:rPr>
            </w:pPr>
            <w:r w:rsidRPr="006F52CB">
              <w:rPr>
                <w:rFonts w:cs="Arial"/>
                <w:szCs w:val="22"/>
              </w:rPr>
              <w:t xml:space="preserve">Le présent document contient un bref rapport du Président du Groupe consultatif financier intersessions (IFAG) sur le travail accompli durant la période intersessions de décembre 2021 à juin 2022. </w:t>
            </w:r>
          </w:p>
          <w:p w14:paraId="40410ABF" w14:textId="7C26018C" w:rsidR="006A5AED" w:rsidRDefault="006F52CB" w:rsidP="006F52CB">
            <w:pPr>
              <w:tabs>
                <w:tab w:val="clear" w:pos="567"/>
              </w:tabs>
              <w:snapToGrid/>
              <w:spacing w:after="240"/>
              <w:ind w:left="171" w:right="177"/>
              <w:jc w:val="both"/>
              <w:rPr>
                <w:rFonts w:cs="Arial"/>
                <w:b/>
                <w:bCs/>
                <w:szCs w:val="22"/>
              </w:rPr>
            </w:pPr>
            <w:r w:rsidRPr="006F52CB">
              <w:rPr>
                <w:rFonts w:cs="Arial"/>
                <w:szCs w:val="22"/>
                <w:u w:val="single"/>
              </w:rPr>
              <w:t>Décision proposée</w:t>
            </w:r>
            <w:r w:rsidRPr="006F52CB">
              <w:rPr>
                <w:rFonts w:cs="Arial"/>
                <w:szCs w:val="22"/>
              </w:rPr>
              <w:t xml:space="preserve"> : </w:t>
            </w:r>
            <w:r w:rsidR="000D638E">
              <w:rPr>
                <w:rFonts w:cs="Arial"/>
                <w:szCs w:val="22"/>
              </w:rPr>
              <w:t>P</w:t>
            </w:r>
            <w:r w:rsidRPr="006F52CB">
              <w:rPr>
                <w:rFonts w:cs="Arial"/>
                <w:szCs w:val="22"/>
              </w:rPr>
              <w:t>résentée sous la cote Déc.</w:t>
            </w:r>
            <w:r w:rsidR="000D638E">
              <w:rPr>
                <w:rFonts w:cs="Arial"/>
                <w:szCs w:val="22"/>
              </w:rPr>
              <w:t>,</w:t>
            </w:r>
            <w:r w:rsidRPr="006F52CB">
              <w:rPr>
                <w:rFonts w:cs="Arial"/>
                <w:szCs w:val="22"/>
              </w:rPr>
              <w:t xml:space="preserve"> EC-55/5.1 dans le Document provisoire relatif aux décisions à adopter (IOC/EC-55/AP).</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018B8E4E" w14:textId="2E8070BA" w:rsidR="006F52CB" w:rsidRPr="00FD797F" w:rsidRDefault="006F52CB" w:rsidP="006F52CB">
      <w:pPr>
        <w:pStyle w:val="Marge"/>
        <w:rPr>
          <w:rFonts w:asciiTheme="minorBidi" w:hAnsiTheme="minorBidi" w:cstheme="minorBidi"/>
          <w:bCs/>
          <w:szCs w:val="22"/>
        </w:rPr>
      </w:pPr>
      <w:r w:rsidRPr="00FD797F">
        <w:rPr>
          <w:rFonts w:asciiTheme="minorBidi" w:hAnsiTheme="minorBidi" w:cstheme="minorBidi"/>
          <w:bCs/>
          <w:szCs w:val="22"/>
        </w:rPr>
        <w:lastRenderedPageBreak/>
        <w:t>1.</w:t>
      </w:r>
      <w:r w:rsidRPr="00FD797F">
        <w:rPr>
          <w:rFonts w:asciiTheme="minorBidi" w:hAnsiTheme="minorBidi" w:cstheme="minorBidi"/>
          <w:bCs/>
          <w:szCs w:val="22"/>
        </w:rPr>
        <w:tab/>
        <w:t xml:space="preserve">En application de la </w:t>
      </w:r>
      <w:hyperlink r:id="rId8" w:history="1">
        <w:r w:rsidRPr="00FD797F">
          <w:rPr>
            <w:rStyle w:val="Lienhypertexte"/>
            <w:rFonts w:asciiTheme="minorBidi" w:hAnsiTheme="minorBidi" w:cstheme="minorBidi"/>
            <w:szCs w:val="22"/>
          </w:rPr>
          <w:t>résolution A-31/2</w:t>
        </w:r>
      </w:hyperlink>
      <w:r>
        <w:rPr>
          <w:rFonts w:asciiTheme="minorBidi" w:hAnsiTheme="minorBidi" w:cstheme="minorBidi"/>
          <w:bCs/>
          <w:szCs w:val="22"/>
        </w:rPr>
        <w:t xml:space="preserve"> de la COI,</w:t>
      </w:r>
      <w:r w:rsidRPr="00FD797F">
        <w:rPr>
          <w:rFonts w:asciiTheme="minorBidi" w:hAnsiTheme="minorBidi" w:cstheme="minorBidi"/>
          <w:bCs/>
          <w:szCs w:val="22"/>
        </w:rPr>
        <w:t xml:space="preserve"> </w:t>
      </w:r>
      <w:r>
        <w:rPr>
          <w:rFonts w:asciiTheme="minorBidi" w:hAnsiTheme="minorBidi" w:cstheme="minorBidi"/>
          <w:bCs/>
          <w:szCs w:val="22"/>
        </w:rPr>
        <w:t>le Groupe consultatif financier intersessions à composition non limitée (IFAG) a été reconstitué à l</w:t>
      </w:r>
      <w:r w:rsidR="00E75EEB">
        <w:rPr>
          <w:rFonts w:asciiTheme="minorBidi" w:hAnsiTheme="minorBidi" w:cstheme="minorBidi"/>
          <w:bCs/>
          <w:szCs w:val="22"/>
        </w:rPr>
        <w:t>’</w:t>
      </w:r>
      <w:r>
        <w:rPr>
          <w:rFonts w:asciiTheme="minorBidi" w:hAnsiTheme="minorBidi" w:cstheme="minorBidi"/>
          <w:bCs/>
          <w:szCs w:val="22"/>
        </w:rPr>
        <w:t>issue d</w:t>
      </w:r>
      <w:r w:rsidR="00E75EEB">
        <w:rPr>
          <w:rFonts w:asciiTheme="minorBidi" w:hAnsiTheme="minorBidi" w:cstheme="minorBidi"/>
          <w:bCs/>
          <w:szCs w:val="22"/>
        </w:rPr>
        <w:t>’</w:t>
      </w:r>
      <w:r>
        <w:rPr>
          <w:rFonts w:asciiTheme="minorBidi" w:hAnsiTheme="minorBidi" w:cstheme="minorBidi"/>
          <w:bCs/>
          <w:szCs w:val="22"/>
        </w:rPr>
        <w:t xml:space="preserve">un appel à candidatures adressé aux États membres dans la Lettre circulaire </w:t>
      </w:r>
      <w:hyperlink r:id="rId9" w:history="1">
        <w:r w:rsidRPr="00F378E2">
          <w:rPr>
            <w:rStyle w:val="Lienhypertexte"/>
            <w:rFonts w:asciiTheme="minorBidi" w:hAnsiTheme="minorBidi" w:cstheme="minorBidi"/>
            <w:szCs w:val="22"/>
          </w:rPr>
          <w:t>2862</w:t>
        </w:r>
      </w:hyperlink>
      <w:r w:rsidRPr="00F378E2">
        <w:rPr>
          <w:rStyle w:val="Lienhypertexte"/>
          <w:rFonts w:asciiTheme="minorBidi" w:hAnsiTheme="minorBidi" w:cstheme="minorBidi"/>
          <w:szCs w:val="22"/>
        </w:rPr>
        <w:t xml:space="preserve"> </w:t>
      </w:r>
      <w:r>
        <w:rPr>
          <w:rFonts w:asciiTheme="minorBidi" w:hAnsiTheme="minorBidi" w:cstheme="minorBidi"/>
          <w:bCs/>
          <w:szCs w:val="22"/>
        </w:rPr>
        <w:t>de la COI (20 octobre 2021).</w:t>
      </w:r>
    </w:p>
    <w:p w14:paraId="61DEE7AD" w14:textId="3DCACBBD" w:rsidR="006F52CB" w:rsidRPr="00F378E2" w:rsidRDefault="006F52CB" w:rsidP="006F52CB">
      <w:pPr>
        <w:pStyle w:val="Marge"/>
        <w:rPr>
          <w:rFonts w:asciiTheme="minorBidi" w:hAnsiTheme="minorBidi" w:cstheme="minorBidi"/>
          <w:szCs w:val="22"/>
        </w:rPr>
      </w:pPr>
      <w:r w:rsidRPr="00F378E2">
        <w:rPr>
          <w:rFonts w:asciiTheme="minorBidi" w:hAnsiTheme="minorBidi" w:cstheme="minorBidi"/>
          <w:szCs w:val="22"/>
        </w:rPr>
        <w:t>2.</w:t>
      </w:r>
      <w:r w:rsidRPr="00F378E2">
        <w:rPr>
          <w:rFonts w:asciiTheme="minorBidi" w:hAnsiTheme="minorBidi" w:cstheme="minorBidi"/>
          <w:szCs w:val="22"/>
        </w:rPr>
        <w:tab/>
        <w:t xml:space="preserve">Comme </w:t>
      </w:r>
      <w:r>
        <w:rPr>
          <w:rFonts w:asciiTheme="minorBidi" w:hAnsiTheme="minorBidi" w:cstheme="minorBidi"/>
          <w:szCs w:val="22"/>
        </w:rPr>
        <w:t>il est d</w:t>
      </w:r>
      <w:r w:rsidR="00E75EEB">
        <w:rPr>
          <w:rFonts w:asciiTheme="minorBidi" w:hAnsiTheme="minorBidi" w:cstheme="minorBidi"/>
          <w:szCs w:val="22"/>
        </w:rPr>
        <w:t>’</w:t>
      </w:r>
      <w:r>
        <w:rPr>
          <w:rFonts w:asciiTheme="minorBidi" w:hAnsiTheme="minorBidi" w:cstheme="minorBidi"/>
          <w:szCs w:val="22"/>
        </w:rPr>
        <w:t>usage</w:t>
      </w:r>
      <w:r w:rsidRPr="00F378E2">
        <w:rPr>
          <w:rFonts w:asciiTheme="minorBidi" w:hAnsiTheme="minorBidi" w:cstheme="minorBidi"/>
          <w:szCs w:val="22"/>
        </w:rPr>
        <w:t xml:space="preserve">, le Groupe a </w:t>
      </w:r>
      <w:r>
        <w:rPr>
          <w:rFonts w:asciiTheme="minorBidi" w:hAnsiTheme="minorBidi" w:cstheme="minorBidi"/>
          <w:szCs w:val="22"/>
        </w:rPr>
        <w:t>commencé à travailler par correspondance et a finalisé ses conclusions lors de la réunion en présentiel qui s</w:t>
      </w:r>
      <w:r w:rsidR="00E75EEB">
        <w:rPr>
          <w:rFonts w:asciiTheme="minorBidi" w:hAnsiTheme="minorBidi" w:cstheme="minorBidi"/>
          <w:szCs w:val="22"/>
        </w:rPr>
        <w:t>’</w:t>
      </w:r>
      <w:r>
        <w:rPr>
          <w:rFonts w:asciiTheme="minorBidi" w:hAnsiTheme="minorBidi" w:cstheme="minorBidi"/>
          <w:szCs w:val="22"/>
        </w:rPr>
        <w:t xml:space="preserve">est tenue le 13 juin 2022. Au total, dix-huit (18) États </w:t>
      </w:r>
      <w:r w:rsidRPr="00B566A0">
        <w:rPr>
          <w:rFonts w:asciiTheme="minorBidi" w:hAnsiTheme="minorBidi" w:cstheme="minorBidi"/>
          <w:szCs w:val="22"/>
        </w:rPr>
        <w:t>membres – Allemagne, Argentine, Australie, Bangladesh, Belgique, Bénin, Canada, Chine, Égypte, États-Unis d</w:t>
      </w:r>
      <w:r w:rsidR="00E75EEB">
        <w:rPr>
          <w:rFonts w:asciiTheme="minorBidi" w:hAnsiTheme="minorBidi" w:cstheme="minorBidi"/>
          <w:szCs w:val="22"/>
        </w:rPr>
        <w:t>’</w:t>
      </w:r>
      <w:r w:rsidRPr="00B566A0">
        <w:rPr>
          <w:rFonts w:asciiTheme="minorBidi" w:hAnsiTheme="minorBidi" w:cstheme="minorBidi"/>
          <w:szCs w:val="22"/>
        </w:rPr>
        <w:t>Amérique, Fédération de Russie, Grenade, Japon, Koweït, Norvège, Portugal, Royaume-Uni de Grande-Bretagne et d</w:t>
      </w:r>
      <w:r w:rsidR="00E75EEB">
        <w:rPr>
          <w:rFonts w:asciiTheme="minorBidi" w:hAnsiTheme="minorBidi" w:cstheme="minorBidi"/>
          <w:szCs w:val="22"/>
        </w:rPr>
        <w:t>’</w:t>
      </w:r>
      <w:r w:rsidRPr="00B566A0">
        <w:rPr>
          <w:rFonts w:asciiTheme="minorBidi" w:hAnsiTheme="minorBidi" w:cstheme="minorBidi"/>
          <w:szCs w:val="22"/>
        </w:rPr>
        <w:t>Irlande du Nord et Türkiye – ont participé aux travaux du Groupe, présidés</w:t>
      </w:r>
      <w:r>
        <w:rPr>
          <w:rFonts w:asciiTheme="minorBidi" w:hAnsiTheme="minorBidi" w:cstheme="minorBidi"/>
          <w:szCs w:val="22"/>
        </w:rPr>
        <w:t xml:space="preserve"> par le Vice-Président de la COI, M. Karim Hilmi (Maroc).</w:t>
      </w:r>
    </w:p>
    <w:p w14:paraId="3F6AD188" w14:textId="7CFFD370" w:rsidR="006F52CB" w:rsidRPr="00564B4E" w:rsidRDefault="006F52CB" w:rsidP="006F52CB">
      <w:pPr>
        <w:pStyle w:val="Marge"/>
        <w:rPr>
          <w:rFonts w:asciiTheme="minorBidi" w:hAnsiTheme="minorBidi" w:cstheme="minorBidi"/>
          <w:szCs w:val="22"/>
        </w:rPr>
      </w:pPr>
      <w:r>
        <w:rPr>
          <w:rFonts w:asciiTheme="minorBidi" w:hAnsiTheme="minorBidi" w:cstheme="minorBidi"/>
          <w:szCs w:val="22"/>
        </w:rPr>
        <w:t>3.</w:t>
      </w:r>
      <w:r>
        <w:rPr>
          <w:rFonts w:asciiTheme="minorBidi" w:hAnsiTheme="minorBidi" w:cstheme="minorBidi"/>
          <w:szCs w:val="22"/>
        </w:rPr>
        <w:tab/>
        <w:t>En mettant l</w:t>
      </w:r>
      <w:r w:rsidR="00E75EEB">
        <w:rPr>
          <w:rFonts w:asciiTheme="minorBidi" w:hAnsiTheme="minorBidi" w:cstheme="minorBidi"/>
          <w:szCs w:val="22"/>
        </w:rPr>
        <w:t>’</w:t>
      </w:r>
      <w:r>
        <w:rPr>
          <w:rFonts w:asciiTheme="minorBidi" w:hAnsiTheme="minorBidi" w:cstheme="minorBidi"/>
          <w:szCs w:val="22"/>
        </w:rPr>
        <w:t xml:space="preserve">accent, comme le lui avait </w:t>
      </w:r>
      <w:r w:rsidRPr="00564B4E">
        <w:rPr>
          <w:rFonts w:asciiTheme="minorBidi" w:hAnsiTheme="minorBidi" w:cstheme="minorBidi"/>
          <w:szCs w:val="22"/>
        </w:rPr>
        <w:t>demandé l</w:t>
      </w:r>
      <w:r w:rsidR="00E75EEB">
        <w:rPr>
          <w:rFonts w:asciiTheme="minorBidi" w:hAnsiTheme="minorBidi" w:cstheme="minorBidi"/>
          <w:szCs w:val="22"/>
        </w:rPr>
        <w:t>’</w:t>
      </w:r>
      <w:r w:rsidRPr="00564B4E">
        <w:rPr>
          <w:rFonts w:asciiTheme="minorBidi" w:hAnsiTheme="minorBidi" w:cstheme="minorBidi"/>
          <w:szCs w:val="22"/>
        </w:rPr>
        <w:t>Assemblée de la COI à sa 31</w:t>
      </w:r>
      <w:r w:rsidRPr="00564B4E">
        <w:rPr>
          <w:rFonts w:asciiTheme="minorBidi" w:hAnsiTheme="minorBidi" w:cstheme="minorBidi"/>
          <w:szCs w:val="22"/>
          <w:vertAlign w:val="superscript"/>
        </w:rPr>
        <w:t>e</w:t>
      </w:r>
      <w:r w:rsidRPr="00564B4E">
        <w:rPr>
          <w:rFonts w:asciiTheme="minorBidi" w:hAnsiTheme="minorBidi" w:cstheme="minorBidi"/>
          <w:szCs w:val="22"/>
        </w:rPr>
        <w:t xml:space="preserve"> session, sur les questions couvertes par la résolution A-31/2 de la COI</w:t>
      </w:r>
      <w:r>
        <w:rPr>
          <w:rFonts w:asciiTheme="minorBidi" w:hAnsiTheme="minorBidi" w:cstheme="minorBidi"/>
          <w:szCs w:val="22"/>
        </w:rPr>
        <w:t xml:space="preserve">, et conformément à son mandat (annexe 2 de la résolution </w:t>
      </w:r>
      <w:r w:rsidRPr="00305538">
        <w:rPr>
          <w:rFonts w:asciiTheme="minorBidi" w:hAnsiTheme="minorBidi" w:cstheme="minorBidi"/>
          <w:szCs w:val="22"/>
        </w:rPr>
        <w:t>XXVIII-3)</w:t>
      </w:r>
      <w:r>
        <w:rPr>
          <w:rFonts w:asciiTheme="minorBidi" w:hAnsiTheme="minorBidi" w:cstheme="minorBidi"/>
          <w:szCs w:val="22"/>
        </w:rPr>
        <w:t xml:space="preserve">, </w:t>
      </w:r>
      <w:r w:rsidRPr="00564B4E">
        <w:rPr>
          <w:rFonts w:asciiTheme="minorBidi" w:hAnsiTheme="minorBidi" w:cstheme="minorBidi"/>
          <w:szCs w:val="22"/>
        </w:rPr>
        <w:t>le Groupe</w:t>
      </w:r>
      <w:r w:rsidRPr="00564B4E">
        <w:rPr>
          <w:rFonts w:asciiTheme="minorBidi" w:hAnsiTheme="minorBidi" w:cstheme="minorBidi"/>
          <w:bCs/>
          <w:szCs w:val="22"/>
        </w:rPr>
        <w:t xml:space="preserve"> </w:t>
      </w:r>
      <w:r>
        <w:rPr>
          <w:rFonts w:asciiTheme="minorBidi" w:hAnsiTheme="minorBidi" w:cstheme="minorBidi"/>
          <w:bCs/>
          <w:szCs w:val="22"/>
        </w:rPr>
        <w:t>consultatif financier intersessions</w:t>
      </w:r>
      <w:r w:rsidRPr="00564B4E">
        <w:rPr>
          <w:rFonts w:asciiTheme="minorBidi" w:hAnsiTheme="minorBidi" w:cstheme="minorBidi"/>
          <w:szCs w:val="22"/>
        </w:rPr>
        <w:t xml:space="preserve"> a </w:t>
      </w:r>
      <w:r>
        <w:rPr>
          <w:rFonts w:asciiTheme="minorBidi" w:hAnsiTheme="minorBidi" w:cstheme="minorBidi"/>
          <w:szCs w:val="22"/>
        </w:rPr>
        <w:t>organisé ses débats</w:t>
      </w:r>
      <w:r w:rsidRPr="00564B4E">
        <w:rPr>
          <w:rFonts w:asciiTheme="minorBidi" w:hAnsiTheme="minorBidi" w:cstheme="minorBidi"/>
          <w:szCs w:val="22"/>
        </w:rPr>
        <w:t xml:space="preserve"> </w:t>
      </w:r>
      <w:r>
        <w:rPr>
          <w:rFonts w:asciiTheme="minorBidi" w:hAnsiTheme="minorBidi" w:cstheme="minorBidi"/>
          <w:szCs w:val="22"/>
        </w:rPr>
        <w:t>selon les</w:t>
      </w:r>
      <w:r w:rsidRPr="00564B4E">
        <w:rPr>
          <w:rFonts w:asciiTheme="minorBidi" w:hAnsiTheme="minorBidi" w:cstheme="minorBidi"/>
          <w:szCs w:val="22"/>
        </w:rPr>
        <w:t xml:space="preserve"> trois grandes parties</w:t>
      </w:r>
      <w:r>
        <w:rPr>
          <w:rFonts w:asciiTheme="minorBidi" w:hAnsiTheme="minorBidi" w:cstheme="minorBidi"/>
          <w:szCs w:val="22"/>
        </w:rPr>
        <w:t xml:space="preserve"> suivantes :</w:t>
      </w:r>
    </w:p>
    <w:p w14:paraId="7FF5331B" w14:textId="5096981C" w:rsidR="006F52CB" w:rsidRPr="00BE5998" w:rsidRDefault="006F52CB" w:rsidP="006F52CB">
      <w:pPr>
        <w:pStyle w:val="Paragraphedeliste"/>
        <w:numPr>
          <w:ilvl w:val="0"/>
          <w:numId w:val="43"/>
        </w:numPr>
        <w:tabs>
          <w:tab w:val="clear" w:pos="567"/>
        </w:tabs>
        <w:spacing w:after="240"/>
        <w:ind w:left="567" w:hanging="567"/>
        <w:jc w:val="center"/>
        <w:rPr>
          <w:rFonts w:asciiTheme="minorBidi" w:hAnsiTheme="minorBidi" w:cstheme="minorBidi"/>
          <w:b/>
          <w:color w:val="231F20"/>
          <w:szCs w:val="22"/>
        </w:rPr>
      </w:pPr>
      <w:r w:rsidRPr="00BE5998">
        <w:rPr>
          <w:rFonts w:asciiTheme="minorBidi" w:hAnsiTheme="minorBidi" w:cstheme="minorBidi"/>
          <w:b/>
          <w:color w:val="231F20"/>
          <w:szCs w:val="22"/>
        </w:rPr>
        <w:t>Exécution du budget 2020-2021 au 31 décembre 2021</w:t>
      </w:r>
      <w:r>
        <w:rPr>
          <w:rFonts w:asciiTheme="minorBidi" w:hAnsiTheme="minorBidi" w:cstheme="minorBidi"/>
          <w:b/>
          <w:color w:val="231F20"/>
          <w:szCs w:val="22"/>
        </w:rPr>
        <w:t xml:space="preserve">, grandes lignes </w:t>
      </w:r>
      <w:r>
        <w:rPr>
          <w:rFonts w:asciiTheme="minorBidi" w:hAnsiTheme="minorBidi" w:cstheme="minorBidi"/>
          <w:b/>
          <w:color w:val="231F20"/>
          <w:szCs w:val="22"/>
        </w:rPr>
        <w:br/>
      </w:r>
      <w:r>
        <w:rPr>
          <w:rFonts w:asciiTheme="minorBidi" w:hAnsiTheme="minorBidi" w:cstheme="minorBidi"/>
          <w:b/>
          <w:color w:val="231F20"/>
          <w:szCs w:val="22"/>
        </w:rPr>
        <w:t xml:space="preserve">du cadre budgétaire intégré 2022-2023, </w:t>
      </w:r>
      <w:r w:rsidRPr="00BE5998">
        <w:rPr>
          <w:rFonts w:asciiTheme="minorBidi" w:hAnsiTheme="minorBidi" w:cstheme="minorBidi"/>
          <w:b/>
          <w:color w:val="231F20"/>
          <w:szCs w:val="22"/>
        </w:rPr>
        <w:t xml:space="preserve">situation financière du Compte spécial </w:t>
      </w:r>
      <w:r>
        <w:rPr>
          <w:rFonts w:asciiTheme="minorBidi" w:hAnsiTheme="minorBidi" w:cstheme="minorBidi"/>
          <w:b/>
          <w:color w:val="231F20"/>
          <w:szCs w:val="22"/>
        </w:rPr>
        <w:br/>
      </w:r>
      <w:r w:rsidRPr="00BE5998">
        <w:rPr>
          <w:rFonts w:asciiTheme="minorBidi" w:hAnsiTheme="minorBidi" w:cstheme="minorBidi"/>
          <w:b/>
          <w:color w:val="231F20"/>
          <w:szCs w:val="22"/>
        </w:rPr>
        <w:t>de la COI à la fin de l</w:t>
      </w:r>
      <w:r w:rsidR="00E75EEB">
        <w:rPr>
          <w:rFonts w:asciiTheme="minorBidi" w:hAnsiTheme="minorBidi" w:cstheme="minorBidi"/>
          <w:b/>
          <w:color w:val="231F20"/>
          <w:szCs w:val="22"/>
        </w:rPr>
        <w:t>’</w:t>
      </w:r>
      <w:r w:rsidRPr="00BE5998">
        <w:rPr>
          <w:rFonts w:asciiTheme="minorBidi" w:hAnsiTheme="minorBidi" w:cstheme="minorBidi"/>
          <w:b/>
          <w:color w:val="231F20"/>
          <w:szCs w:val="22"/>
        </w:rPr>
        <w:t>exercice 202</w:t>
      </w:r>
      <w:r>
        <w:rPr>
          <w:rFonts w:asciiTheme="minorBidi" w:hAnsiTheme="minorBidi" w:cstheme="minorBidi"/>
          <w:b/>
          <w:color w:val="231F20"/>
          <w:szCs w:val="22"/>
        </w:rPr>
        <w:t>1 et prévisions pour 2022-2023</w:t>
      </w:r>
    </w:p>
    <w:p w14:paraId="03EAA390" w14:textId="15B8512C" w:rsidR="006F52CB" w:rsidRDefault="006F52CB" w:rsidP="006F52CB">
      <w:pPr>
        <w:pStyle w:val="Marge"/>
      </w:pPr>
      <w:r w:rsidRPr="00BE5998">
        <w:rPr>
          <w:rFonts w:asciiTheme="minorBidi" w:hAnsiTheme="minorBidi" w:cstheme="minorBidi"/>
          <w:color w:val="231F20"/>
          <w:szCs w:val="22"/>
        </w:rPr>
        <w:t>4.</w:t>
      </w:r>
      <w:r w:rsidRPr="00BE5998">
        <w:rPr>
          <w:rFonts w:asciiTheme="minorBidi" w:hAnsiTheme="minorBidi" w:cstheme="minorBidi"/>
          <w:color w:val="231F20"/>
          <w:szCs w:val="22"/>
        </w:rPr>
        <w:tab/>
        <w:t>Dans ce context</w:t>
      </w:r>
      <w:r>
        <w:rPr>
          <w:rFonts w:asciiTheme="minorBidi" w:hAnsiTheme="minorBidi" w:cstheme="minorBidi"/>
          <w:color w:val="231F20"/>
          <w:szCs w:val="22"/>
        </w:rPr>
        <w:t>e</w:t>
      </w:r>
      <w:r w:rsidRPr="00BE5998">
        <w:rPr>
          <w:rFonts w:asciiTheme="minorBidi" w:hAnsiTheme="minorBidi" w:cstheme="minorBidi"/>
          <w:color w:val="231F20"/>
          <w:szCs w:val="22"/>
        </w:rPr>
        <w:t xml:space="preserve">, le Groupe a examiné les documents </w:t>
      </w:r>
      <w:hyperlink r:id="rId10" w:history="1">
        <w:r w:rsidRPr="00BE5998">
          <w:rPr>
            <w:rStyle w:val="Lienhypertexte"/>
            <w:rFonts w:asciiTheme="minorBidi" w:hAnsiTheme="minorBidi" w:cstheme="minorBidi"/>
            <w:szCs w:val="22"/>
          </w:rPr>
          <w:t>IOC/EC-55/3.</w:t>
        </w:r>
        <w:proofErr w:type="gramStart"/>
        <w:r w:rsidRPr="00BE5998">
          <w:rPr>
            <w:rStyle w:val="Lienhypertexte"/>
            <w:rFonts w:asciiTheme="minorBidi" w:hAnsiTheme="minorBidi" w:cstheme="minorBidi"/>
            <w:szCs w:val="22"/>
          </w:rPr>
          <w:t>1.Doc</w:t>
        </w:r>
        <w:proofErr w:type="gramEnd"/>
        <w:r w:rsidRPr="00BE5998">
          <w:rPr>
            <w:rStyle w:val="Lienhypertexte"/>
            <w:rFonts w:asciiTheme="minorBidi" w:hAnsiTheme="minorBidi" w:cstheme="minorBidi"/>
            <w:szCs w:val="22"/>
          </w:rPr>
          <w:t>(1)</w:t>
        </w:r>
      </w:hyperlink>
      <w:r w:rsidRPr="00BE5998">
        <w:rPr>
          <w:rFonts w:asciiTheme="minorBidi" w:hAnsiTheme="minorBidi" w:cstheme="minorBidi"/>
          <w:color w:val="231F20"/>
          <w:szCs w:val="22"/>
        </w:rPr>
        <w:t xml:space="preserve"> </w:t>
      </w:r>
      <w:r>
        <w:rPr>
          <w:rFonts w:asciiTheme="minorBidi" w:hAnsiTheme="minorBidi" w:cstheme="minorBidi"/>
          <w:color w:val="231F20"/>
          <w:szCs w:val="22"/>
        </w:rPr>
        <w:t>et</w:t>
      </w:r>
      <w:r w:rsidRPr="00BE5998">
        <w:rPr>
          <w:rFonts w:asciiTheme="minorBidi" w:hAnsiTheme="minorBidi" w:cstheme="minorBidi"/>
          <w:color w:val="231F20"/>
          <w:szCs w:val="22"/>
        </w:rPr>
        <w:t xml:space="preserve"> </w:t>
      </w:r>
      <w:r w:rsidR="00B445F5">
        <w:rPr>
          <w:rFonts w:asciiTheme="minorBidi" w:hAnsiTheme="minorBidi" w:cstheme="minorBidi"/>
          <w:color w:val="231F20"/>
          <w:szCs w:val="22"/>
        </w:rPr>
        <w:br/>
      </w:r>
      <w:hyperlink r:id="rId11" w:history="1">
        <w:r w:rsidRPr="00BE5998">
          <w:rPr>
            <w:rStyle w:val="Lienhypertexte"/>
            <w:rFonts w:asciiTheme="minorBidi" w:hAnsiTheme="minorBidi" w:cstheme="minorBidi"/>
            <w:szCs w:val="22"/>
          </w:rPr>
          <w:t>IOC/EC-55/3.1.Doc(2)</w:t>
        </w:r>
      </w:hyperlink>
      <w:r w:rsidRPr="00BE5998">
        <w:rPr>
          <w:rFonts w:asciiTheme="minorBidi" w:hAnsiTheme="minorBidi" w:cstheme="minorBidi"/>
          <w:color w:val="231F20"/>
          <w:szCs w:val="22"/>
        </w:rPr>
        <w:t>.</w:t>
      </w:r>
      <w:r w:rsidRPr="00A47646">
        <w:t xml:space="preserve"> Il a accueilli avec satisfaction le taux d</w:t>
      </w:r>
      <w:r w:rsidR="00E75EEB">
        <w:t>’</w:t>
      </w:r>
      <w:r w:rsidRPr="00A47646">
        <w:t>exécution global pour l</w:t>
      </w:r>
      <w:r w:rsidR="00E75EEB">
        <w:t>’</w:t>
      </w:r>
      <w:r w:rsidRPr="00A47646">
        <w:t>exercice biennal 2020-2021, notamment le taux de 100 % au titre du budget ordinaire. L</w:t>
      </w:r>
      <w:r w:rsidR="00E75EEB">
        <w:t>’</w:t>
      </w:r>
      <w:r w:rsidRPr="00A47646">
        <w:t>Assemblée de la COI a noté à sa 31</w:t>
      </w:r>
      <w:r w:rsidRPr="00A47646">
        <w:rPr>
          <w:vertAlign w:val="superscript"/>
        </w:rPr>
        <w:t>e</w:t>
      </w:r>
      <w:r w:rsidRPr="00A47646">
        <w:t xml:space="preserve"> session, en juin 2021, que le taux d</w:t>
      </w:r>
      <w:r w:rsidR="00E75EEB">
        <w:t>’</w:t>
      </w:r>
      <w:r w:rsidRPr="00A47646">
        <w:t>exécution avait été légèrement inférieur à la normale au cours de la première année de l</w:t>
      </w:r>
      <w:r w:rsidR="00E75EEB">
        <w:t>’</w:t>
      </w:r>
      <w:r w:rsidRPr="00A47646">
        <w:t>exercice biennal, ce qui s</w:t>
      </w:r>
      <w:r w:rsidR="00E75EEB">
        <w:t>’</w:t>
      </w:r>
      <w:r w:rsidRPr="00A47646">
        <w:t>expliquait par les conditions de travail liées à la pandémie de COVID-19, mais que conformément à son engagement, le Secrétariat était parvenu à mettre en œuvre l</w:t>
      </w:r>
      <w:r w:rsidR="00E75EEB">
        <w:t>’</w:t>
      </w:r>
      <w:r w:rsidRPr="00A47646">
        <w:t>intégralité du programme de travail biennal avant la fin de l</w:t>
      </w:r>
      <w:r w:rsidR="00E75EEB">
        <w:t>’</w:t>
      </w:r>
      <w:r w:rsidRPr="00A47646">
        <w:t>année 2021</w:t>
      </w:r>
      <w:r>
        <w:t>.</w:t>
      </w:r>
    </w:p>
    <w:p w14:paraId="796EC965" w14:textId="756C27BD" w:rsidR="006F52CB" w:rsidRPr="00A47646" w:rsidRDefault="006F52CB" w:rsidP="006F52CB">
      <w:pPr>
        <w:pStyle w:val="Marge"/>
      </w:pPr>
      <w:r w:rsidRPr="00A47646">
        <w:t>5.</w:t>
      </w:r>
      <w:r w:rsidRPr="00A47646">
        <w:tab/>
        <w:t>Le Groupe a également constaté que l</w:t>
      </w:r>
      <w:r w:rsidR="00E75EEB">
        <w:t>’</w:t>
      </w:r>
      <w:r w:rsidRPr="00A47646">
        <w:t>objectif de mobilisation de ressources extrabudgétaires fixé pour l</w:t>
      </w:r>
      <w:r w:rsidR="00E75EEB">
        <w:t>’</w:t>
      </w:r>
      <w:r w:rsidRPr="00A47646">
        <w:t>exercice 2020-2021 avait été atteint à hauteur de 92 % dans l</w:t>
      </w:r>
      <w:r w:rsidR="00E75EEB">
        <w:t>’</w:t>
      </w:r>
      <w:r w:rsidRPr="00A47646">
        <w:t>ensemble, tout en observant des écarts entre les fonctions de la Commission. Le Groupe a remercié l</w:t>
      </w:r>
      <w:r w:rsidR="00E75EEB">
        <w:t>’</w:t>
      </w:r>
      <w:r w:rsidRPr="00A47646">
        <w:t>ensemble des États membres ayant contribué au budget de la Commission au cours de l</w:t>
      </w:r>
      <w:r w:rsidR="00E75EEB">
        <w:t>’</w:t>
      </w:r>
      <w:r w:rsidRPr="00A47646">
        <w:t>exercice biennal 2020-2021, et a noté un certain nombre de nouveaux partenariats prometteurs et un niveau accru d</w:t>
      </w:r>
      <w:r w:rsidR="00E75EEB">
        <w:t>’</w:t>
      </w:r>
      <w:r w:rsidRPr="00A47646">
        <w:t>investissements en faveur du développement des capacités.</w:t>
      </w:r>
    </w:p>
    <w:p w14:paraId="2A311ADC" w14:textId="76EA6643" w:rsidR="006F52CB" w:rsidRDefault="006F52CB" w:rsidP="006F52CB">
      <w:pPr>
        <w:pStyle w:val="Marge"/>
      </w:pPr>
      <w:r w:rsidRPr="00A47646">
        <w:t>6.</w:t>
      </w:r>
      <w:r w:rsidRPr="00A47646">
        <w:tab/>
        <w:t>Le Groupe a constaté avec satisfaction que le cadre budgétaire intégré pour 2022-2023 avait été adopté par la Conférence générale de l</w:t>
      </w:r>
      <w:r w:rsidR="00E75EEB">
        <w:t>’</w:t>
      </w:r>
      <w:r w:rsidRPr="00A47646">
        <w:t>UNESCO à sa 41</w:t>
      </w:r>
      <w:r w:rsidRPr="00A47646">
        <w:rPr>
          <w:vertAlign w:val="superscript"/>
        </w:rPr>
        <w:t>e</w:t>
      </w:r>
      <w:r w:rsidRPr="00A47646">
        <w:t xml:space="preserve"> session, tel qu</w:t>
      </w:r>
      <w:r w:rsidR="00E75EEB">
        <w:t>’</w:t>
      </w:r>
      <w:r w:rsidRPr="00A47646">
        <w:t>examiné par l</w:t>
      </w:r>
      <w:r w:rsidR="00E75EEB">
        <w:t>’</w:t>
      </w:r>
      <w:r w:rsidRPr="00A47646">
        <w:t xml:space="preserve">Assemblée dans le document </w:t>
      </w:r>
      <w:hyperlink r:id="rId12" w:history="1">
        <w:r w:rsidRPr="00A47646">
          <w:rPr>
            <w:rStyle w:val="Lienhypertexte"/>
          </w:rPr>
          <w:t>IOC/A-31/4.2.Doc</w:t>
        </w:r>
      </w:hyperlink>
      <w:r w:rsidRPr="00A47646">
        <w:t xml:space="preserve"> et approuvé par la résolution IOC/A-31/2.</w:t>
      </w:r>
    </w:p>
    <w:p w14:paraId="5E74D1AE" w14:textId="77777777" w:rsidR="006F52CB" w:rsidRPr="00A47646" w:rsidRDefault="006F52CB" w:rsidP="006F52CB">
      <w:pPr>
        <w:pStyle w:val="Paragraphedeliste"/>
        <w:numPr>
          <w:ilvl w:val="0"/>
          <w:numId w:val="43"/>
        </w:numPr>
        <w:tabs>
          <w:tab w:val="clear" w:pos="567"/>
        </w:tabs>
        <w:spacing w:after="240"/>
        <w:ind w:left="567" w:hanging="567"/>
        <w:jc w:val="center"/>
        <w:rPr>
          <w:rFonts w:asciiTheme="minorBidi" w:hAnsiTheme="minorBidi" w:cstheme="minorBidi"/>
          <w:b/>
          <w:color w:val="231F20"/>
          <w:szCs w:val="22"/>
        </w:rPr>
      </w:pPr>
      <w:r w:rsidRPr="00A47646">
        <w:rPr>
          <w:rFonts w:asciiTheme="minorBidi" w:hAnsiTheme="minorBidi" w:cstheme="minorBidi"/>
          <w:b/>
          <w:color w:val="231F20"/>
          <w:szCs w:val="22"/>
        </w:rPr>
        <w:t>Révision du Règlement intérieur de la COI</w:t>
      </w:r>
    </w:p>
    <w:p w14:paraId="19EF6DA9" w14:textId="624FBF82" w:rsidR="006F52CB" w:rsidRDefault="006F52CB" w:rsidP="006F52CB">
      <w:pPr>
        <w:pStyle w:val="Marge"/>
        <w:rPr>
          <w:rFonts w:asciiTheme="minorBidi" w:hAnsiTheme="minorBidi" w:cstheme="minorBidi"/>
          <w:szCs w:val="22"/>
        </w:rPr>
      </w:pPr>
      <w:r w:rsidRPr="00A47646">
        <w:rPr>
          <w:rFonts w:asciiTheme="minorBidi" w:hAnsiTheme="minorBidi" w:cstheme="minorBidi"/>
          <w:szCs w:val="22"/>
        </w:rPr>
        <w:t>7.</w:t>
      </w:r>
      <w:r w:rsidRPr="00A47646">
        <w:rPr>
          <w:rFonts w:asciiTheme="minorBidi" w:hAnsiTheme="minorBidi" w:cstheme="minorBidi"/>
          <w:szCs w:val="22"/>
        </w:rPr>
        <w:tab/>
        <w:t xml:space="preserve">Par sa </w:t>
      </w:r>
      <w:r>
        <w:rPr>
          <w:rFonts w:asciiTheme="minorBidi" w:hAnsiTheme="minorBidi" w:cstheme="minorBidi"/>
          <w:szCs w:val="22"/>
        </w:rPr>
        <w:t>ré</w:t>
      </w:r>
      <w:r w:rsidRPr="00A47646">
        <w:rPr>
          <w:rFonts w:asciiTheme="minorBidi" w:hAnsiTheme="minorBidi" w:cstheme="minorBidi"/>
          <w:szCs w:val="22"/>
        </w:rPr>
        <w:t>solution A-31/2</w:t>
      </w:r>
      <w:r>
        <w:rPr>
          <w:rFonts w:asciiTheme="minorBidi" w:hAnsiTheme="minorBidi" w:cstheme="minorBidi"/>
          <w:szCs w:val="22"/>
        </w:rPr>
        <w:t>,</w:t>
      </w:r>
      <w:r w:rsidRPr="00A47646">
        <w:rPr>
          <w:rFonts w:asciiTheme="minorBidi" w:hAnsiTheme="minorBidi" w:cstheme="minorBidi"/>
          <w:szCs w:val="22"/>
        </w:rPr>
        <w:t xml:space="preserve"> adoptée à sa 31</w:t>
      </w:r>
      <w:r w:rsidRPr="00A47646">
        <w:rPr>
          <w:rFonts w:asciiTheme="minorBidi" w:hAnsiTheme="minorBidi" w:cstheme="minorBidi"/>
          <w:szCs w:val="22"/>
          <w:vertAlign w:val="superscript"/>
        </w:rPr>
        <w:t>e</w:t>
      </w:r>
      <w:r w:rsidRPr="00A47646">
        <w:rPr>
          <w:rFonts w:asciiTheme="minorBidi" w:hAnsiTheme="minorBidi" w:cstheme="minorBidi"/>
          <w:szCs w:val="22"/>
        </w:rPr>
        <w:t xml:space="preserve"> session en 2021, l</w:t>
      </w:r>
      <w:r w:rsidR="00E75EEB">
        <w:rPr>
          <w:rFonts w:asciiTheme="minorBidi" w:hAnsiTheme="minorBidi" w:cstheme="minorBidi"/>
          <w:szCs w:val="22"/>
        </w:rPr>
        <w:t>’</w:t>
      </w:r>
      <w:r w:rsidRPr="00A47646">
        <w:rPr>
          <w:rFonts w:asciiTheme="minorBidi" w:hAnsiTheme="minorBidi" w:cstheme="minorBidi"/>
          <w:szCs w:val="22"/>
        </w:rPr>
        <w:t xml:space="preserve">Assemblée a prié </w:t>
      </w:r>
      <w:r>
        <w:rPr>
          <w:rFonts w:asciiTheme="minorBidi" w:hAnsiTheme="minorBidi" w:cstheme="minorBidi"/>
          <w:szCs w:val="22"/>
        </w:rPr>
        <w:t>« </w:t>
      </w:r>
      <w:r w:rsidRPr="00A47646">
        <w:rPr>
          <w:rFonts w:asciiTheme="minorBidi" w:hAnsiTheme="minorBidi" w:cstheme="minorBidi"/>
          <w:i/>
          <w:szCs w:val="22"/>
        </w:rPr>
        <w:t>le Secrétaire exécutif de la COI de préparer, en consultation avec le Conseiller juridique de l</w:t>
      </w:r>
      <w:r w:rsidR="00E75EEB">
        <w:rPr>
          <w:rFonts w:asciiTheme="minorBidi" w:hAnsiTheme="minorBidi" w:cstheme="minorBidi"/>
          <w:i/>
          <w:szCs w:val="22"/>
        </w:rPr>
        <w:t>’</w:t>
      </w:r>
      <w:r w:rsidRPr="00A47646">
        <w:rPr>
          <w:rFonts w:asciiTheme="minorBidi" w:hAnsiTheme="minorBidi" w:cstheme="minorBidi"/>
          <w:i/>
          <w:szCs w:val="22"/>
        </w:rPr>
        <w:t>UNESCO et le Groupe consultatif financier intersessions, une proposition préliminaire tendant à établir deux documents révisés, l</w:t>
      </w:r>
      <w:r w:rsidR="00E75EEB">
        <w:rPr>
          <w:rFonts w:asciiTheme="minorBidi" w:hAnsiTheme="minorBidi" w:cstheme="minorBidi"/>
          <w:i/>
          <w:szCs w:val="22"/>
        </w:rPr>
        <w:t>’</w:t>
      </w:r>
      <w:r w:rsidRPr="00A47646">
        <w:rPr>
          <w:rFonts w:asciiTheme="minorBidi" w:hAnsiTheme="minorBidi" w:cstheme="minorBidi"/>
          <w:i/>
          <w:szCs w:val="22"/>
        </w:rPr>
        <w:t>un concernant le Règlement intérieur de l</w:t>
      </w:r>
      <w:r w:rsidR="00E75EEB">
        <w:rPr>
          <w:rFonts w:asciiTheme="minorBidi" w:hAnsiTheme="minorBidi" w:cstheme="minorBidi"/>
          <w:i/>
          <w:szCs w:val="22"/>
        </w:rPr>
        <w:t>’</w:t>
      </w:r>
      <w:r w:rsidRPr="00A47646">
        <w:rPr>
          <w:rFonts w:asciiTheme="minorBidi" w:hAnsiTheme="minorBidi" w:cstheme="minorBidi"/>
          <w:i/>
          <w:szCs w:val="22"/>
        </w:rPr>
        <w:t>Assemblée de la COI et l</w:t>
      </w:r>
      <w:r w:rsidR="00E75EEB">
        <w:rPr>
          <w:rFonts w:asciiTheme="minorBidi" w:hAnsiTheme="minorBidi" w:cstheme="minorBidi"/>
          <w:i/>
          <w:szCs w:val="22"/>
        </w:rPr>
        <w:t>’</w:t>
      </w:r>
      <w:r w:rsidRPr="00A47646">
        <w:rPr>
          <w:rFonts w:asciiTheme="minorBidi" w:hAnsiTheme="minorBidi" w:cstheme="minorBidi"/>
          <w:i/>
          <w:szCs w:val="22"/>
        </w:rPr>
        <w:t>autre le Règlement intérieur du Conseil exécutif de la Commission, en apportant les éclaircissements nécessaires et en harmonisant les différentes versions linguistiques, pour examen et adoption par ces deux organes </w:t>
      </w:r>
      <w:r>
        <w:rPr>
          <w:rFonts w:asciiTheme="minorBidi" w:hAnsiTheme="minorBidi" w:cstheme="minorBidi"/>
          <w:szCs w:val="22"/>
        </w:rPr>
        <w:t>».</w:t>
      </w:r>
    </w:p>
    <w:p w14:paraId="114EA5A5" w14:textId="17A6D101" w:rsidR="006F52CB" w:rsidRDefault="006F52CB" w:rsidP="006F52CB">
      <w:pPr>
        <w:pStyle w:val="Marge"/>
        <w:rPr>
          <w:rFonts w:eastAsia="DengXian" w:cs="Arial"/>
          <w:snapToGrid/>
          <w:szCs w:val="22"/>
          <w:lang w:eastAsia="en-GB"/>
        </w:rPr>
      </w:pPr>
      <w:r>
        <w:rPr>
          <w:rFonts w:asciiTheme="minorBidi" w:hAnsiTheme="minorBidi" w:cstheme="minorBidi"/>
          <w:szCs w:val="22"/>
        </w:rPr>
        <w:t>8.</w:t>
      </w:r>
      <w:r>
        <w:rPr>
          <w:rFonts w:asciiTheme="minorBidi" w:hAnsiTheme="minorBidi" w:cstheme="minorBidi"/>
          <w:szCs w:val="22"/>
        </w:rPr>
        <w:tab/>
        <w:t>Le Secrétariat a donc identifié, en consultation avec le Conseiller juridique de l</w:t>
      </w:r>
      <w:r w:rsidR="00E75EEB">
        <w:rPr>
          <w:rFonts w:asciiTheme="minorBidi" w:hAnsiTheme="minorBidi" w:cstheme="minorBidi"/>
          <w:szCs w:val="22"/>
        </w:rPr>
        <w:t>’</w:t>
      </w:r>
      <w:r>
        <w:rPr>
          <w:rFonts w:asciiTheme="minorBidi" w:hAnsiTheme="minorBidi" w:cstheme="minorBidi"/>
          <w:szCs w:val="22"/>
        </w:rPr>
        <w:t>UNESCO, un consultant juridique compétent qui a été chargé de fournir l</w:t>
      </w:r>
      <w:r w:rsidR="00E75EEB">
        <w:rPr>
          <w:rFonts w:asciiTheme="minorBidi" w:hAnsiTheme="minorBidi" w:cstheme="minorBidi"/>
          <w:szCs w:val="22"/>
        </w:rPr>
        <w:t>’</w:t>
      </w:r>
      <w:r>
        <w:rPr>
          <w:rFonts w:asciiTheme="minorBidi" w:hAnsiTheme="minorBidi" w:cstheme="minorBidi"/>
          <w:szCs w:val="22"/>
        </w:rPr>
        <w:t>analyse initiale de la faisabilité et des éventuelles complications liées à la rédaction de documents distincts, l</w:t>
      </w:r>
      <w:r w:rsidR="00E75EEB">
        <w:rPr>
          <w:rFonts w:asciiTheme="minorBidi" w:hAnsiTheme="minorBidi" w:cstheme="minorBidi"/>
          <w:szCs w:val="22"/>
        </w:rPr>
        <w:t>’</w:t>
      </w:r>
      <w:r>
        <w:rPr>
          <w:rFonts w:asciiTheme="minorBidi" w:hAnsiTheme="minorBidi" w:cstheme="minorBidi"/>
          <w:szCs w:val="22"/>
        </w:rPr>
        <w:t>un concernant le Règlement intérieur de l</w:t>
      </w:r>
      <w:r w:rsidR="00E75EEB">
        <w:rPr>
          <w:rFonts w:asciiTheme="minorBidi" w:hAnsiTheme="minorBidi" w:cstheme="minorBidi"/>
          <w:szCs w:val="22"/>
        </w:rPr>
        <w:t>’</w:t>
      </w:r>
      <w:r>
        <w:rPr>
          <w:rFonts w:asciiTheme="minorBidi" w:hAnsiTheme="minorBidi" w:cstheme="minorBidi"/>
          <w:szCs w:val="22"/>
        </w:rPr>
        <w:t>Assemblée de la COI et l</w:t>
      </w:r>
      <w:r w:rsidR="00E75EEB">
        <w:rPr>
          <w:rFonts w:asciiTheme="minorBidi" w:hAnsiTheme="minorBidi" w:cstheme="minorBidi"/>
          <w:szCs w:val="22"/>
        </w:rPr>
        <w:t>’</w:t>
      </w:r>
      <w:r>
        <w:rPr>
          <w:rFonts w:asciiTheme="minorBidi" w:hAnsiTheme="minorBidi" w:cstheme="minorBidi"/>
          <w:szCs w:val="22"/>
        </w:rPr>
        <w:t xml:space="preserve">autre le Règlement intérieur du Conseil exécutif de la Commission. </w:t>
      </w:r>
      <w:r w:rsidRPr="007B2F17">
        <w:rPr>
          <w:rFonts w:eastAsia="DengXian" w:cs="Arial"/>
          <w:snapToGrid/>
          <w:szCs w:val="22"/>
          <w:lang w:eastAsia="en-GB"/>
        </w:rPr>
        <w:t>Cette analyse a été présentée aux membres du Bureau de la COI lors de leur réunion annuelle (17-21 janvier 2022) et envoyée au Groupe consultatif financier intersessions</w:t>
      </w:r>
      <w:r>
        <w:rPr>
          <w:rFonts w:eastAsia="DengXian" w:cs="Arial"/>
          <w:snapToGrid/>
          <w:szCs w:val="22"/>
          <w:lang w:eastAsia="en-GB"/>
        </w:rPr>
        <w:t xml:space="preserve"> </w:t>
      </w:r>
      <w:r>
        <w:rPr>
          <w:rFonts w:eastAsia="DengXian" w:cs="Arial"/>
          <w:snapToGrid/>
          <w:szCs w:val="22"/>
          <w:lang w:eastAsia="en-GB"/>
        </w:rPr>
        <w:lastRenderedPageBreak/>
        <w:t>(IFAG)</w:t>
      </w:r>
      <w:r w:rsidRPr="007B2F17">
        <w:rPr>
          <w:rFonts w:eastAsia="DengXian" w:cs="Arial"/>
          <w:snapToGrid/>
          <w:szCs w:val="22"/>
          <w:lang w:eastAsia="en-GB"/>
        </w:rPr>
        <w:t xml:space="preserve"> par son Président, dans son courrier électronique du 14 avril 2022</w:t>
      </w:r>
      <w:r>
        <w:rPr>
          <w:rFonts w:eastAsia="DengXian" w:cs="Arial"/>
          <w:snapToGrid/>
          <w:szCs w:val="22"/>
          <w:lang w:eastAsia="en-GB"/>
        </w:rPr>
        <w:t xml:space="preserve"> (réf. </w:t>
      </w:r>
      <w:hyperlink r:id="rId13" w:history="1">
        <w:r w:rsidRPr="007B2F17">
          <w:rPr>
            <w:rStyle w:val="Lienhypertexte"/>
            <w:rFonts w:eastAsia="DengXian" w:cs="Arial"/>
            <w:szCs w:val="22"/>
            <w:lang w:eastAsia="en-GB"/>
          </w:rPr>
          <w:t>Note de travail 2</w:t>
        </w:r>
      </w:hyperlink>
      <w:r>
        <w:rPr>
          <w:rFonts w:eastAsia="DengXian" w:cs="Arial"/>
          <w:snapToGrid/>
          <w:szCs w:val="22"/>
          <w:lang w:eastAsia="en-GB"/>
        </w:rPr>
        <w:t xml:space="preserve"> de l</w:t>
      </w:r>
      <w:r w:rsidR="00E75EEB">
        <w:rPr>
          <w:rFonts w:eastAsia="DengXian" w:cs="Arial"/>
          <w:snapToGrid/>
          <w:szCs w:val="22"/>
          <w:lang w:eastAsia="en-GB"/>
        </w:rPr>
        <w:t>’</w:t>
      </w:r>
      <w:r>
        <w:rPr>
          <w:rFonts w:eastAsia="DengXian" w:cs="Arial"/>
          <w:snapToGrid/>
          <w:szCs w:val="22"/>
          <w:lang w:eastAsia="en-GB"/>
        </w:rPr>
        <w:t>IFAG).</w:t>
      </w:r>
    </w:p>
    <w:p w14:paraId="113555BB" w14:textId="0F5914AF" w:rsidR="006F52CB" w:rsidRDefault="006F52CB" w:rsidP="006F52CB">
      <w:pPr>
        <w:pStyle w:val="Marge"/>
        <w:rPr>
          <w:rFonts w:eastAsia="DengXian" w:cs="Arial"/>
          <w:snapToGrid/>
          <w:szCs w:val="22"/>
          <w:lang w:eastAsia="en-GB"/>
        </w:rPr>
      </w:pPr>
      <w:r>
        <w:rPr>
          <w:rFonts w:eastAsia="DengXian" w:cs="Arial"/>
          <w:snapToGrid/>
          <w:szCs w:val="22"/>
          <w:lang w:eastAsia="en-GB"/>
        </w:rPr>
        <w:t>9.</w:t>
      </w:r>
      <w:r>
        <w:rPr>
          <w:rFonts w:eastAsia="DengXian" w:cs="Arial"/>
          <w:snapToGrid/>
          <w:szCs w:val="22"/>
          <w:lang w:eastAsia="en-GB"/>
        </w:rPr>
        <w:tab/>
      </w:r>
      <w:r w:rsidRPr="007B2F17">
        <w:rPr>
          <w:rFonts w:eastAsia="DengXian" w:cs="Arial"/>
          <w:snapToGrid/>
          <w:szCs w:val="22"/>
          <w:lang w:eastAsia="en-GB"/>
        </w:rPr>
        <w:t>La principale conclusion est que, si l</w:t>
      </w:r>
      <w:r w:rsidR="00E75EEB">
        <w:rPr>
          <w:rFonts w:eastAsia="DengXian" w:cs="Arial"/>
          <w:snapToGrid/>
          <w:szCs w:val="22"/>
          <w:lang w:eastAsia="en-GB"/>
        </w:rPr>
        <w:t>’</w:t>
      </w:r>
      <w:r w:rsidRPr="007B2F17">
        <w:rPr>
          <w:rFonts w:eastAsia="DengXian" w:cs="Arial"/>
          <w:snapToGrid/>
          <w:szCs w:val="22"/>
          <w:lang w:eastAsia="en-GB"/>
        </w:rPr>
        <w:t>élaboration de ces règlements distincts ne semble pas être entravée par des obstacles qui la rendent irréalisable, elle constitue toutefois un exercice plus difficile qu</w:t>
      </w:r>
      <w:r w:rsidR="00E75EEB">
        <w:rPr>
          <w:rFonts w:eastAsia="DengXian" w:cs="Arial"/>
          <w:snapToGrid/>
          <w:szCs w:val="22"/>
          <w:lang w:eastAsia="en-GB"/>
        </w:rPr>
        <w:t>’</w:t>
      </w:r>
      <w:r w:rsidRPr="007B2F17">
        <w:rPr>
          <w:rFonts w:eastAsia="DengXian" w:cs="Arial"/>
          <w:snapToGrid/>
          <w:szCs w:val="22"/>
          <w:lang w:eastAsia="en-GB"/>
        </w:rPr>
        <w:t>il n</w:t>
      </w:r>
      <w:r w:rsidR="00E75EEB">
        <w:rPr>
          <w:rFonts w:eastAsia="DengXian" w:cs="Arial"/>
          <w:snapToGrid/>
          <w:szCs w:val="22"/>
          <w:lang w:eastAsia="en-GB"/>
        </w:rPr>
        <w:t>’</w:t>
      </w:r>
      <w:r w:rsidRPr="007B2F17">
        <w:rPr>
          <w:rFonts w:eastAsia="DengXian" w:cs="Arial"/>
          <w:snapToGrid/>
          <w:szCs w:val="22"/>
          <w:lang w:eastAsia="en-GB"/>
        </w:rPr>
        <w:t>y paraît à première vue</w:t>
      </w:r>
      <w:r>
        <w:rPr>
          <w:rFonts w:eastAsia="DengXian" w:cs="Arial"/>
          <w:snapToGrid/>
          <w:szCs w:val="22"/>
          <w:lang w:eastAsia="en-GB"/>
        </w:rPr>
        <w:t>.</w:t>
      </w:r>
    </w:p>
    <w:p w14:paraId="46268F8B" w14:textId="65365E4E" w:rsidR="006F52CB" w:rsidRPr="007B2F17" w:rsidRDefault="006F52CB" w:rsidP="006F52CB">
      <w:pPr>
        <w:pStyle w:val="Marge"/>
        <w:rPr>
          <w:rFonts w:eastAsia="DengXian" w:cs="Arial"/>
          <w:snapToGrid/>
          <w:szCs w:val="22"/>
          <w:lang w:eastAsia="en-GB"/>
        </w:rPr>
      </w:pPr>
      <w:r>
        <w:rPr>
          <w:rFonts w:eastAsia="DengXian" w:cs="Arial"/>
          <w:snapToGrid/>
          <w:szCs w:val="22"/>
          <w:lang w:eastAsia="en-GB"/>
        </w:rPr>
        <w:t>10.</w:t>
      </w:r>
      <w:r>
        <w:rPr>
          <w:rFonts w:eastAsia="DengXian" w:cs="Arial"/>
          <w:snapToGrid/>
          <w:szCs w:val="22"/>
          <w:lang w:eastAsia="en-GB"/>
        </w:rPr>
        <w:tab/>
      </w:r>
      <w:r w:rsidRPr="007B2F17">
        <w:rPr>
          <w:rFonts w:eastAsia="DengXian" w:cs="Arial"/>
          <w:snapToGrid/>
          <w:szCs w:val="22"/>
          <w:lang w:eastAsia="en-GB"/>
        </w:rPr>
        <w:t>Tout d</w:t>
      </w:r>
      <w:r w:rsidR="00E75EEB">
        <w:rPr>
          <w:rFonts w:eastAsia="DengXian" w:cs="Arial"/>
          <w:snapToGrid/>
          <w:szCs w:val="22"/>
          <w:lang w:eastAsia="en-GB"/>
        </w:rPr>
        <w:t>’</w:t>
      </w:r>
      <w:r w:rsidRPr="007B2F17">
        <w:rPr>
          <w:rFonts w:eastAsia="DengXian" w:cs="Arial"/>
          <w:snapToGrid/>
          <w:szCs w:val="22"/>
          <w:lang w:eastAsia="en-GB"/>
        </w:rPr>
        <w:t xml:space="preserve">abord, </w:t>
      </w:r>
      <w:r>
        <w:rPr>
          <w:rFonts w:eastAsia="DengXian" w:cs="Arial"/>
          <w:snapToGrid/>
          <w:szCs w:val="22"/>
          <w:lang w:eastAsia="en-GB"/>
        </w:rPr>
        <w:t>la démarche</w:t>
      </w:r>
      <w:r w:rsidRPr="007B2F17">
        <w:rPr>
          <w:rFonts w:eastAsia="DengXian" w:cs="Arial"/>
          <w:snapToGrid/>
          <w:szCs w:val="22"/>
          <w:lang w:eastAsia="en-GB"/>
        </w:rPr>
        <w:t xml:space="preserve"> de séparation doit être évalué</w:t>
      </w:r>
      <w:r>
        <w:rPr>
          <w:rFonts w:eastAsia="DengXian" w:cs="Arial"/>
          <w:snapToGrid/>
          <w:szCs w:val="22"/>
          <w:lang w:eastAsia="en-GB"/>
        </w:rPr>
        <w:t>e</w:t>
      </w:r>
      <w:r w:rsidRPr="007B2F17">
        <w:rPr>
          <w:rFonts w:eastAsia="DengXian" w:cs="Arial"/>
          <w:snapToGrid/>
          <w:szCs w:val="22"/>
          <w:lang w:eastAsia="en-GB"/>
        </w:rPr>
        <w:t xml:space="preserve"> en tenant compte des contraintes statutaires</w:t>
      </w:r>
      <w:r>
        <w:rPr>
          <w:rFonts w:eastAsia="DengXian" w:cs="Arial"/>
          <w:snapToGrid/>
          <w:szCs w:val="22"/>
          <w:lang w:eastAsia="en-GB"/>
        </w:rPr>
        <w:t xml:space="preserve">. </w:t>
      </w:r>
      <w:r w:rsidRPr="007B2F17">
        <w:rPr>
          <w:rFonts w:eastAsia="DengXian" w:cs="Arial"/>
          <w:snapToGrid/>
          <w:szCs w:val="22"/>
          <w:lang w:eastAsia="en-GB"/>
        </w:rPr>
        <w:t>Conformément à l</w:t>
      </w:r>
      <w:r w:rsidR="00E75EEB">
        <w:rPr>
          <w:rFonts w:eastAsia="DengXian" w:cs="Arial"/>
          <w:snapToGrid/>
          <w:szCs w:val="22"/>
          <w:lang w:eastAsia="en-GB"/>
        </w:rPr>
        <w:t>’</w:t>
      </w:r>
      <w:r w:rsidRPr="007B2F17">
        <w:rPr>
          <w:rFonts w:eastAsia="DengXian" w:cs="Arial"/>
          <w:snapToGrid/>
          <w:szCs w:val="22"/>
          <w:lang w:eastAsia="en-GB"/>
        </w:rPr>
        <w:t>article 6.B.3 des Statuts de la COI révisés, adoptés par la Conférence générale de l</w:t>
      </w:r>
      <w:r w:rsidR="00E75EEB">
        <w:rPr>
          <w:rFonts w:eastAsia="DengXian" w:cs="Arial"/>
          <w:snapToGrid/>
          <w:szCs w:val="22"/>
          <w:lang w:eastAsia="en-GB"/>
        </w:rPr>
        <w:t>’</w:t>
      </w:r>
      <w:r w:rsidRPr="007B2F17">
        <w:rPr>
          <w:rFonts w:eastAsia="DengXian" w:cs="Arial"/>
          <w:snapToGrid/>
          <w:szCs w:val="22"/>
          <w:lang w:eastAsia="en-GB"/>
        </w:rPr>
        <w:t xml:space="preserve">UNESCO le 16 novembre 1999 dans sa </w:t>
      </w:r>
      <w:r>
        <w:rPr>
          <w:rFonts w:eastAsia="DengXian" w:cs="Arial"/>
          <w:snapToGrid/>
          <w:szCs w:val="22"/>
          <w:lang w:eastAsia="en-GB"/>
        </w:rPr>
        <w:t>ré</w:t>
      </w:r>
      <w:r w:rsidRPr="007B2F17">
        <w:rPr>
          <w:rFonts w:eastAsia="DengXian" w:cs="Arial"/>
          <w:snapToGrid/>
          <w:szCs w:val="22"/>
          <w:lang w:eastAsia="en-GB"/>
        </w:rPr>
        <w:t>solution</w:t>
      </w:r>
      <w:r>
        <w:rPr>
          <w:rFonts w:eastAsia="DengXian" w:cs="Arial"/>
          <w:snapToGrid/>
          <w:szCs w:val="22"/>
          <w:lang w:eastAsia="en-GB"/>
        </w:rPr>
        <w:t xml:space="preserve"> 30 C/22, « </w:t>
      </w:r>
      <w:r w:rsidRPr="007B2F17">
        <w:rPr>
          <w:rFonts w:eastAsia="DengXian" w:cs="Arial"/>
          <w:i/>
          <w:snapToGrid/>
          <w:szCs w:val="22"/>
          <w:lang w:eastAsia="en-GB"/>
        </w:rPr>
        <w:t>[l]</w:t>
      </w:r>
      <w:r w:rsidR="00E75EEB">
        <w:rPr>
          <w:rFonts w:eastAsia="DengXian" w:cs="Arial"/>
          <w:i/>
          <w:snapToGrid/>
          <w:szCs w:val="22"/>
          <w:lang w:eastAsia="en-GB"/>
        </w:rPr>
        <w:t>’</w:t>
      </w:r>
      <w:r w:rsidRPr="007B2F17">
        <w:rPr>
          <w:rFonts w:eastAsia="DengXian" w:cs="Arial"/>
          <w:i/>
          <w:snapToGrid/>
          <w:szCs w:val="22"/>
          <w:lang w:eastAsia="en-GB"/>
        </w:rPr>
        <w:t>Assemblée fixe le Règlement intérieur de la Commission</w:t>
      </w:r>
      <w:r>
        <w:rPr>
          <w:rFonts w:eastAsia="DengXian" w:cs="Arial"/>
          <w:snapToGrid/>
          <w:szCs w:val="22"/>
          <w:lang w:eastAsia="en-GB"/>
        </w:rPr>
        <w:t> »</w:t>
      </w:r>
      <w:r w:rsidR="00892B11">
        <w:rPr>
          <w:rFonts w:eastAsia="DengXian" w:cs="Arial"/>
          <w:snapToGrid/>
          <w:szCs w:val="22"/>
          <w:lang w:eastAsia="en-GB"/>
        </w:rPr>
        <w:t>.</w:t>
      </w:r>
    </w:p>
    <w:p w14:paraId="505DB291" w14:textId="7A6E9E06" w:rsidR="006F52CB" w:rsidRDefault="006F52CB" w:rsidP="006F52CB">
      <w:pPr>
        <w:pStyle w:val="Marge"/>
        <w:rPr>
          <w:rFonts w:eastAsia="DengXian" w:cs="Arial"/>
          <w:snapToGrid/>
          <w:szCs w:val="22"/>
          <w:lang w:eastAsia="en-GB"/>
        </w:rPr>
      </w:pPr>
      <w:r>
        <w:rPr>
          <w:rFonts w:asciiTheme="minorBidi" w:hAnsiTheme="minorBidi" w:cstheme="minorBidi"/>
          <w:szCs w:val="22"/>
        </w:rPr>
        <w:t>11.</w:t>
      </w:r>
      <w:r>
        <w:rPr>
          <w:rFonts w:asciiTheme="minorBidi" w:hAnsiTheme="minorBidi" w:cstheme="minorBidi"/>
          <w:szCs w:val="22"/>
        </w:rPr>
        <w:tab/>
      </w:r>
      <w:r w:rsidRPr="00E61993">
        <w:rPr>
          <w:rFonts w:eastAsia="DengXian" w:cs="Arial"/>
          <w:snapToGrid/>
          <w:szCs w:val="22"/>
          <w:lang w:eastAsia="en-GB"/>
        </w:rPr>
        <w:t xml:space="preserve">Deuxièmement, </w:t>
      </w:r>
      <w:r>
        <w:rPr>
          <w:rFonts w:eastAsia="DengXian" w:cs="Arial"/>
          <w:snapToGrid/>
          <w:szCs w:val="22"/>
          <w:lang w:eastAsia="en-GB"/>
        </w:rPr>
        <w:t>la démarche</w:t>
      </w:r>
      <w:r w:rsidRPr="00E61993">
        <w:rPr>
          <w:rFonts w:eastAsia="DengXian" w:cs="Arial"/>
          <w:snapToGrid/>
          <w:szCs w:val="22"/>
          <w:lang w:eastAsia="en-GB"/>
        </w:rPr>
        <w:t xml:space="preserve"> suppose un examen attentif des dispositions existantes du Règlement intérieur, qui ne s</w:t>
      </w:r>
      <w:r w:rsidR="00E75EEB">
        <w:rPr>
          <w:rFonts w:eastAsia="DengXian" w:cs="Arial"/>
          <w:snapToGrid/>
          <w:szCs w:val="22"/>
          <w:lang w:eastAsia="en-GB"/>
        </w:rPr>
        <w:t>’</w:t>
      </w:r>
      <w:r w:rsidRPr="00E61993">
        <w:rPr>
          <w:rFonts w:eastAsia="DengXian" w:cs="Arial"/>
          <w:snapToGrid/>
          <w:szCs w:val="22"/>
          <w:lang w:eastAsia="en-GB"/>
        </w:rPr>
        <w:t>appliquent pas uniformément à l</w:t>
      </w:r>
      <w:r w:rsidR="00E75EEB">
        <w:rPr>
          <w:rFonts w:eastAsia="DengXian" w:cs="Arial"/>
          <w:snapToGrid/>
          <w:szCs w:val="22"/>
          <w:lang w:eastAsia="en-GB"/>
        </w:rPr>
        <w:t>’</w:t>
      </w:r>
      <w:r w:rsidRPr="00E61993">
        <w:rPr>
          <w:rFonts w:eastAsia="DengXian" w:cs="Arial"/>
          <w:snapToGrid/>
          <w:szCs w:val="22"/>
          <w:lang w:eastAsia="en-GB"/>
        </w:rPr>
        <w:t>Assemblée et au Conseil exécutif</w:t>
      </w:r>
      <w:r>
        <w:rPr>
          <w:rFonts w:eastAsia="DengXian" w:cs="Arial"/>
          <w:snapToGrid/>
          <w:szCs w:val="22"/>
          <w:lang w:eastAsia="en-GB"/>
        </w:rPr>
        <w:t>.</w:t>
      </w:r>
    </w:p>
    <w:p w14:paraId="3598542C" w14:textId="64786E88" w:rsidR="006F52CB" w:rsidRDefault="006F52CB" w:rsidP="006F52CB">
      <w:pPr>
        <w:pStyle w:val="Marge"/>
        <w:rPr>
          <w:rFonts w:asciiTheme="minorBidi" w:hAnsiTheme="minorBidi" w:cstheme="minorBidi"/>
          <w:szCs w:val="22"/>
        </w:rPr>
      </w:pPr>
      <w:r w:rsidRPr="00E61993">
        <w:rPr>
          <w:rFonts w:asciiTheme="minorBidi" w:hAnsiTheme="minorBidi" w:cstheme="minorBidi"/>
          <w:szCs w:val="22"/>
        </w:rPr>
        <w:t>1</w:t>
      </w:r>
      <w:r>
        <w:rPr>
          <w:rFonts w:asciiTheme="minorBidi" w:hAnsiTheme="minorBidi" w:cstheme="minorBidi"/>
          <w:szCs w:val="22"/>
        </w:rPr>
        <w:t>2</w:t>
      </w:r>
      <w:r w:rsidRPr="00E61993">
        <w:rPr>
          <w:rFonts w:asciiTheme="minorBidi" w:hAnsiTheme="minorBidi" w:cstheme="minorBidi"/>
          <w:szCs w:val="22"/>
        </w:rPr>
        <w:t>.</w:t>
      </w:r>
      <w:r w:rsidRPr="00E61993">
        <w:rPr>
          <w:rFonts w:asciiTheme="minorBidi" w:hAnsiTheme="minorBidi" w:cstheme="minorBidi"/>
          <w:szCs w:val="22"/>
        </w:rPr>
        <w:tab/>
        <w:t>Troisièmement, il re</w:t>
      </w:r>
      <w:r>
        <w:rPr>
          <w:rFonts w:asciiTheme="minorBidi" w:hAnsiTheme="minorBidi" w:cstheme="minorBidi"/>
          <w:szCs w:val="22"/>
        </w:rPr>
        <w:t>s</w:t>
      </w:r>
      <w:r w:rsidRPr="00E61993">
        <w:rPr>
          <w:rFonts w:asciiTheme="minorBidi" w:hAnsiTheme="minorBidi" w:cstheme="minorBidi"/>
          <w:szCs w:val="22"/>
        </w:rPr>
        <w:t>sort de l</w:t>
      </w:r>
      <w:r w:rsidR="00E75EEB">
        <w:rPr>
          <w:rFonts w:asciiTheme="minorBidi" w:hAnsiTheme="minorBidi" w:cstheme="minorBidi"/>
          <w:szCs w:val="22"/>
        </w:rPr>
        <w:t>’</w:t>
      </w:r>
      <w:r w:rsidRPr="00E61993">
        <w:rPr>
          <w:rFonts w:asciiTheme="minorBidi" w:hAnsiTheme="minorBidi" w:cstheme="minorBidi"/>
          <w:szCs w:val="22"/>
        </w:rPr>
        <w:t xml:space="preserve">analyse que </w:t>
      </w:r>
      <w:r w:rsidRPr="00E61993">
        <w:rPr>
          <w:rFonts w:eastAsia="DengXian" w:cs="Arial"/>
          <w:snapToGrid/>
          <w:szCs w:val="22"/>
          <w:lang w:eastAsia="en-GB"/>
        </w:rPr>
        <w:t>le Règlement intérieur actuel de la Commission souffre manifestement d</w:t>
      </w:r>
      <w:r w:rsidR="00E75EEB">
        <w:rPr>
          <w:rFonts w:eastAsia="DengXian" w:cs="Arial"/>
          <w:snapToGrid/>
          <w:szCs w:val="22"/>
          <w:lang w:eastAsia="en-GB"/>
        </w:rPr>
        <w:t>’</w:t>
      </w:r>
      <w:r w:rsidRPr="00E61993">
        <w:rPr>
          <w:rFonts w:eastAsia="DengXian" w:cs="Arial"/>
          <w:snapToGrid/>
          <w:szCs w:val="22"/>
          <w:lang w:eastAsia="en-GB"/>
        </w:rPr>
        <w:t>un mauvais alignement des versions linguistiques, comme le souligne le rapport du Président du Groupe consultatif financier intersessions à la 31</w:t>
      </w:r>
      <w:r w:rsidRPr="00E61993">
        <w:rPr>
          <w:rFonts w:eastAsia="DengXian" w:cs="Arial"/>
          <w:snapToGrid/>
          <w:szCs w:val="22"/>
          <w:vertAlign w:val="superscript"/>
          <w:lang w:eastAsia="en-GB"/>
        </w:rPr>
        <w:t>e</w:t>
      </w:r>
      <w:r w:rsidRPr="00E61993">
        <w:rPr>
          <w:rFonts w:eastAsia="DengXian" w:cs="Arial"/>
          <w:snapToGrid/>
          <w:szCs w:val="22"/>
          <w:lang w:eastAsia="en-GB"/>
        </w:rPr>
        <w:t xml:space="preserve"> session de l</w:t>
      </w:r>
      <w:r w:rsidR="00E75EEB">
        <w:rPr>
          <w:rFonts w:eastAsia="DengXian" w:cs="Arial"/>
          <w:snapToGrid/>
          <w:szCs w:val="22"/>
          <w:lang w:eastAsia="en-GB"/>
        </w:rPr>
        <w:t>’</w:t>
      </w:r>
      <w:r w:rsidRPr="00E61993">
        <w:rPr>
          <w:rFonts w:eastAsia="DengXian" w:cs="Arial"/>
          <w:snapToGrid/>
          <w:szCs w:val="22"/>
          <w:lang w:eastAsia="en-GB"/>
        </w:rPr>
        <w:t>Assemblée (</w:t>
      </w:r>
      <w:hyperlink r:id="rId14" w:history="1">
        <w:r w:rsidRPr="00E61993">
          <w:rPr>
            <w:rFonts w:eastAsia="DengXian" w:cs="Arial"/>
            <w:snapToGrid/>
            <w:color w:val="0000FF"/>
            <w:szCs w:val="22"/>
            <w:u w:val="single"/>
            <w:lang w:eastAsia="en-GB"/>
          </w:rPr>
          <w:t>IOC/A-31/4</w:t>
        </w:r>
        <w:bookmarkStart w:id="0" w:name="_Hlt104370888"/>
        <w:r w:rsidRPr="00E61993">
          <w:rPr>
            <w:rFonts w:eastAsia="DengXian" w:cs="Arial"/>
            <w:snapToGrid/>
            <w:color w:val="0000FF"/>
            <w:szCs w:val="22"/>
            <w:u w:val="single"/>
            <w:lang w:eastAsia="en-GB"/>
          </w:rPr>
          <w:t>.</w:t>
        </w:r>
        <w:bookmarkEnd w:id="0"/>
        <w:proofErr w:type="gramStart"/>
        <w:r w:rsidRPr="00E61993">
          <w:rPr>
            <w:rFonts w:eastAsia="DengXian" w:cs="Arial"/>
            <w:snapToGrid/>
            <w:color w:val="0000FF"/>
            <w:szCs w:val="22"/>
            <w:u w:val="single"/>
            <w:lang w:eastAsia="en-GB"/>
          </w:rPr>
          <w:t>3.Doc</w:t>
        </w:r>
        <w:proofErr w:type="gramEnd"/>
      </w:hyperlink>
      <w:r w:rsidRPr="00E61993">
        <w:rPr>
          <w:rFonts w:eastAsia="DengXian" w:cs="Arial"/>
          <w:snapToGrid/>
          <w:szCs w:val="22"/>
          <w:lang w:eastAsia="en-GB"/>
        </w:rPr>
        <w:t>). Il existe des divergences évidentes entre les versions anglaise et française du Règlement actuel, ce qui peut entraîner des difficultés importantes dans l</w:t>
      </w:r>
      <w:r w:rsidR="00E75EEB">
        <w:rPr>
          <w:rFonts w:eastAsia="DengXian" w:cs="Arial"/>
          <w:snapToGrid/>
          <w:szCs w:val="22"/>
          <w:lang w:eastAsia="en-GB"/>
        </w:rPr>
        <w:t>’</w:t>
      </w:r>
      <w:r w:rsidRPr="00E61993">
        <w:rPr>
          <w:rFonts w:eastAsia="DengXian" w:cs="Arial"/>
          <w:snapToGrid/>
          <w:szCs w:val="22"/>
          <w:lang w:eastAsia="en-GB"/>
        </w:rPr>
        <w:t>interprétation et la mise en œuvre des dispositions concernées</w:t>
      </w:r>
      <w:r>
        <w:rPr>
          <w:rFonts w:eastAsia="DengXian" w:cs="Arial"/>
          <w:snapToGrid/>
          <w:szCs w:val="22"/>
          <w:lang w:eastAsia="en-GB"/>
        </w:rPr>
        <w:t>.</w:t>
      </w:r>
      <w:r w:rsidRPr="00E61993">
        <w:rPr>
          <w:rFonts w:asciiTheme="minorBidi" w:hAnsiTheme="minorBidi" w:cstheme="minorBidi"/>
          <w:szCs w:val="22"/>
        </w:rPr>
        <w:t xml:space="preserve"> </w:t>
      </w:r>
    </w:p>
    <w:p w14:paraId="2FE1DA40" w14:textId="798B5ADC" w:rsidR="006F52CB" w:rsidRPr="00E61993" w:rsidRDefault="006F52CB" w:rsidP="006F52CB">
      <w:pPr>
        <w:pStyle w:val="Marge"/>
        <w:rPr>
          <w:rFonts w:asciiTheme="minorBidi" w:hAnsiTheme="minorBidi" w:cstheme="minorBidi"/>
          <w:szCs w:val="22"/>
        </w:rPr>
      </w:pPr>
      <w:r>
        <w:rPr>
          <w:rFonts w:asciiTheme="minorBidi" w:hAnsiTheme="minorBidi" w:cstheme="minorBidi"/>
          <w:szCs w:val="22"/>
        </w:rPr>
        <w:t>13.</w:t>
      </w:r>
      <w:r>
        <w:rPr>
          <w:rFonts w:asciiTheme="minorBidi" w:hAnsiTheme="minorBidi" w:cstheme="minorBidi"/>
          <w:szCs w:val="22"/>
        </w:rPr>
        <w:tab/>
      </w:r>
      <w:r w:rsidRPr="00E61993">
        <w:rPr>
          <w:rFonts w:eastAsia="DengXian" w:cs="Arial"/>
          <w:snapToGrid/>
          <w:szCs w:val="22"/>
          <w:lang w:eastAsia="en-GB"/>
        </w:rPr>
        <w:t>La séparation du Règlement intérieur actuel en deux documents distincts, applicables respectivement à l</w:t>
      </w:r>
      <w:r w:rsidR="00E75EEB">
        <w:rPr>
          <w:rFonts w:eastAsia="DengXian" w:cs="Arial"/>
          <w:snapToGrid/>
          <w:szCs w:val="22"/>
          <w:lang w:eastAsia="en-GB"/>
        </w:rPr>
        <w:t>’</w:t>
      </w:r>
      <w:r w:rsidRPr="00E61993">
        <w:rPr>
          <w:rFonts w:eastAsia="DengXian" w:cs="Arial"/>
          <w:snapToGrid/>
          <w:szCs w:val="22"/>
          <w:lang w:eastAsia="en-GB"/>
        </w:rPr>
        <w:t>Assemblée et au Conseil exécutif, n</w:t>
      </w:r>
      <w:r w:rsidR="00E75EEB">
        <w:rPr>
          <w:rFonts w:eastAsia="DengXian" w:cs="Arial"/>
          <w:snapToGrid/>
          <w:szCs w:val="22"/>
          <w:lang w:eastAsia="en-GB"/>
        </w:rPr>
        <w:t>’</w:t>
      </w:r>
      <w:r w:rsidRPr="00E61993">
        <w:rPr>
          <w:rFonts w:eastAsia="DengXian" w:cs="Arial"/>
          <w:snapToGrid/>
          <w:szCs w:val="22"/>
          <w:lang w:eastAsia="en-GB"/>
        </w:rPr>
        <w:t>est donc envisageable que sur la base d</w:t>
      </w:r>
      <w:r w:rsidR="00E75EEB">
        <w:rPr>
          <w:rFonts w:eastAsia="DengXian" w:cs="Arial"/>
          <w:snapToGrid/>
          <w:szCs w:val="22"/>
          <w:lang w:eastAsia="en-GB"/>
        </w:rPr>
        <w:t>’</w:t>
      </w:r>
      <w:r w:rsidRPr="00E61993">
        <w:rPr>
          <w:rFonts w:eastAsia="DengXian" w:cs="Arial"/>
          <w:snapToGrid/>
          <w:szCs w:val="22"/>
          <w:lang w:eastAsia="en-GB"/>
        </w:rPr>
        <w:t>une identification claire de l</w:t>
      </w:r>
      <w:r w:rsidR="00E75EEB">
        <w:rPr>
          <w:rFonts w:eastAsia="DengXian" w:cs="Arial"/>
          <w:snapToGrid/>
          <w:szCs w:val="22"/>
          <w:lang w:eastAsia="en-GB"/>
        </w:rPr>
        <w:t>’</w:t>
      </w:r>
      <w:r w:rsidRPr="00E61993">
        <w:rPr>
          <w:rFonts w:eastAsia="DengXian" w:cs="Arial"/>
          <w:snapToGrid/>
          <w:szCs w:val="22"/>
          <w:lang w:eastAsia="en-GB"/>
        </w:rPr>
        <w:t>objet et de la finalité des dispositions existantes</w:t>
      </w:r>
      <w:r>
        <w:rPr>
          <w:rFonts w:eastAsia="DengXian" w:cs="Arial"/>
          <w:snapToGrid/>
          <w:szCs w:val="22"/>
          <w:lang w:eastAsia="en-GB"/>
        </w:rPr>
        <w:t>.</w:t>
      </w:r>
    </w:p>
    <w:p w14:paraId="067EA0EC" w14:textId="77777777" w:rsidR="006F52CB" w:rsidRPr="00E61993" w:rsidRDefault="006F52CB" w:rsidP="006F52CB">
      <w:pPr>
        <w:pStyle w:val="Marge"/>
        <w:rPr>
          <w:rFonts w:asciiTheme="minorBidi" w:hAnsiTheme="minorBidi" w:cstheme="minorBidi"/>
          <w:iCs/>
          <w:szCs w:val="22"/>
        </w:rPr>
      </w:pPr>
      <w:r>
        <w:rPr>
          <w:rFonts w:asciiTheme="minorBidi" w:hAnsiTheme="minorBidi" w:cstheme="minorBidi"/>
          <w:iCs/>
          <w:szCs w:val="22"/>
        </w:rPr>
        <w:t>14</w:t>
      </w:r>
      <w:r w:rsidRPr="00E61993">
        <w:rPr>
          <w:rFonts w:asciiTheme="minorBidi" w:hAnsiTheme="minorBidi" w:cstheme="minorBidi"/>
          <w:iCs/>
          <w:szCs w:val="22"/>
        </w:rPr>
        <w:t>.</w:t>
      </w:r>
      <w:r w:rsidRPr="00E61993">
        <w:rPr>
          <w:rFonts w:asciiTheme="minorBidi" w:hAnsiTheme="minorBidi" w:cstheme="minorBidi"/>
          <w:iCs/>
          <w:szCs w:val="22"/>
        </w:rPr>
        <w:tab/>
      </w:r>
      <w:r w:rsidRPr="00E61993">
        <w:rPr>
          <w:rFonts w:eastAsia="DengXian" w:cs="Arial"/>
          <w:snapToGrid/>
          <w:szCs w:val="22"/>
          <w:lang w:eastAsia="en-GB"/>
        </w:rPr>
        <w:t>Pour les raisons susmentionnées, le document (</w:t>
      </w:r>
      <w:hyperlink r:id="rId15" w:history="1">
        <w:r w:rsidRPr="00E61993">
          <w:rPr>
            <w:rStyle w:val="Lienhypertexte"/>
            <w:rFonts w:eastAsia="DengXian" w:cs="Arial"/>
            <w:szCs w:val="22"/>
            <w:lang w:eastAsia="en-GB"/>
          </w:rPr>
          <w:t>IOC/EC-55/5.</w:t>
        </w:r>
        <w:proofErr w:type="gramStart"/>
        <w:r w:rsidRPr="00E61993">
          <w:rPr>
            <w:rStyle w:val="Lienhypertexte"/>
            <w:rFonts w:eastAsia="DengXian" w:cs="Arial"/>
            <w:szCs w:val="22"/>
            <w:lang w:eastAsia="en-GB"/>
          </w:rPr>
          <w:t>1.Doc</w:t>
        </w:r>
        <w:proofErr w:type="gramEnd"/>
        <w:r w:rsidRPr="00E61993">
          <w:rPr>
            <w:rStyle w:val="Lienhypertexte"/>
            <w:rFonts w:eastAsia="DengXian" w:cs="Arial"/>
            <w:szCs w:val="22"/>
            <w:lang w:eastAsia="en-GB"/>
          </w:rPr>
          <w:t>(1)</w:t>
        </w:r>
      </w:hyperlink>
      <w:r w:rsidRPr="00E61993">
        <w:rPr>
          <w:rFonts w:eastAsia="DengXian" w:cs="Arial"/>
          <w:snapToGrid/>
          <w:color w:val="000000"/>
          <w:szCs w:val="22"/>
          <w:lang w:eastAsia="en-GB"/>
        </w:rPr>
        <w:t>), présenté au Conseil exécutif pour examen, est fondé sur la proposition suivante :</w:t>
      </w:r>
    </w:p>
    <w:p w14:paraId="42F01EC7" w14:textId="3482DB7F" w:rsidR="006F52CB" w:rsidRPr="00E61993" w:rsidRDefault="006F52CB" w:rsidP="008631C4">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E61993">
        <w:rPr>
          <w:rFonts w:cs="Arial"/>
          <w:iCs/>
          <w:snapToGrid/>
          <w:szCs w:val="22"/>
          <w:lang w:eastAsia="en-GB"/>
        </w:rPr>
        <w:t>s</w:t>
      </w:r>
      <w:r w:rsidR="00E75EEB">
        <w:rPr>
          <w:rFonts w:cs="Arial"/>
          <w:iCs/>
          <w:snapToGrid/>
          <w:szCs w:val="22"/>
          <w:lang w:eastAsia="en-GB"/>
        </w:rPr>
        <w:t>’</w:t>
      </w:r>
      <w:r w:rsidRPr="00E61993">
        <w:rPr>
          <w:rFonts w:cs="Arial"/>
          <w:iCs/>
          <w:snapToGrid/>
          <w:szCs w:val="22"/>
          <w:lang w:eastAsia="en-GB"/>
        </w:rPr>
        <w:t>abstenir</w:t>
      </w:r>
      <w:proofErr w:type="gramEnd"/>
      <w:r w:rsidRPr="00E61993">
        <w:rPr>
          <w:rFonts w:cs="Arial"/>
          <w:iCs/>
          <w:snapToGrid/>
          <w:szCs w:val="22"/>
          <w:lang w:eastAsia="en-GB"/>
        </w:rPr>
        <w:t xml:space="preserve"> de s</w:t>
      </w:r>
      <w:r w:rsidR="00E75EEB">
        <w:rPr>
          <w:rFonts w:cs="Arial"/>
          <w:iCs/>
          <w:snapToGrid/>
          <w:szCs w:val="22"/>
          <w:lang w:eastAsia="en-GB"/>
        </w:rPr>
        <w:t>’</w:t>
      </w:r>
      <w:r w:rsidRPr="00E61993">
        <w:rPr>
          <w:rFonts w:cs="Arial"/>
          <w:iCs/>
          <w:snapToGrid/>
          <w:szCs w:val="22"/>
          <w:lang w:eastAsia="en-GB"/>
        </w:rPr>
        <w:t>engager dans une procédure de modification des Statuts de la COI ;</w:t>
      </w:r>
    </w:p>
    <w:p w14:paraId="10D9961B" w14:textId="0F2236DE" w:rsidR="006F52CB" w:rsidRPr="00E61993" w:rsidRDefault="006F52CB" w:rsidP="008631C4">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E61993">
        <w:rPr>
          <w:rFonts w:cs="Arial"/>
          <w:iCs/>
          <w:snapToGrid/>
          <w:szCs w:val="22"/>
          <w:lang w:eastAsia="en-GB"/>
        </w:rPr>
        <w:t>conformément</w:t>
      </w:r>
      <w:proofErr w:type="gramEnd"/>
      <w:r w:rsidRPr="00E61993">
        <w:rPr>
          <w:rFonts w:cs="Arial"/>
          <w:iCs/>
          <w:snapToGrid/>
          <w:szCs w:val="22"/>
          <w:lang w:eastAsia="en-GB"/>
        </w:rPr>
        <w:t xml:space="preserve"> à l</w:t>
      </w:r>
      <w:r w:rsidR="00E75EEB">
        <w:rPr>
          <w:rFonts w:cs="Arial"/>
          <w:iCs/>
          <w:snapToGrid/>
          <w:szCs w:val="22"/>
          <w:lang w:eastAsia="en-GB"/>
        </w:rPr>
        <w:t>’</w:t>
      </w:r>
      <w:r w:rsidRPr="00E61993">
        <w:rPr>
          <w:rFonts w:cs="Arial"/>
          <w:iCs/>
          <w:snapToGrid/>
          <w:szCs w:val="22"/>
          <w:lang w:eastAsia="en-GB"/>
        </w:rPr>
        <w:t>article 6.B.3 des Statuts, maintenir un document unique pour le Règlement intérieur de la Commission, qui sera officiellement fixé par l</w:t>
      </w:r>
      <w:r w:rsidR="00E75EEB">
        <w:rPr>
          <w:rFonts w:cs="Arial"/>
          <w:iCs/>
          <w:snapToGrid/>
          <w:szCs w:val="22"/>
          <w:lang w:eastAsia="en-GB"/>
        </w:rPr>
        <w:t>’</w:t>
      </w:r>
      <w:r w:rsidRPr="00E61993">
        <w:rPr>
          <w:rFonts w:cs="Arial"/>
          <w:iCs/>
          <w:snapToGrid/>
          <w:szCs w:val="22"/>
          <w:lang w:eastAsia="en-GB"/>
        </w:rPr>
        <w:t>Assemblée ;</w:t>
      </w:r>
    </w:p>
    <w:p w14:paraId="06604D2C" w14:textId="61306B11" w:rsidR="006F52CB" w:rsidRPr="00E61993" w:rsidRDefault="006F52CB" w:rsidP="008631C4">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E61993">
        <w:rPr>
          <w:rFonts w:cs="Arial"/>
          <w:iCs/>
          <w:snapToGrid/>
          <w:szCs w:val="22"/>
          <w:lang w:eastAsia="en-GB"/>
        </w:rPr>
        <w:t>réviser</w:t>
      </w:r>
      <w:proofErr w:type="gramEnd"/>
      <w:r w:rsidRPr="00E61993">
        <w:rPr>
          <w:rFonts w:cs="Arial"/>
          <w:iCs/>
          <w:snapToGrid/>
          <w:szCs w:val="22"/>
          <w:lang w:eastAsia="en-GB"/>
        </w:rPr>
        <w:t xml:space="preserve"> </w:t>
      </w:r>
      <w:r>
        <w:rPr>
          <w:rFonts w:cs="Arial"/>
          <w:iCs/>
          <w:snapToGrid/>
          <w:szCs w:val="22"/>
          <w:lang w:eastAsia="en-GB"/>
        </w:rPr>
        <w:t>le Règlement actuel</w:t>
      </w:r>
      <w:r w:rsidRPr="00E61993">
        <w:rPr>
          <w:rFonts w:cs="Arial"/>
          <w:iCs/>
          <w:snapToGrid/>
          <w:szCs w:val="22"/>
          <w:lang w:eastAsia="en-GB"/>
        </w:rPr>
        <w:t xml:space="preserve"> en établissant une distinction entre les </w:t>
      </w:r>
      <w:r>
        <w:rPr>
          <w:rFonts w:cs="Arial"/>
          <w:iCs/>
          <w:snapToGrid/>
          <w:szCs w:val="22"/>
          <w:lang w:eastAsia="en-GB"/>
        </w:rPr>
        <w:t>articles d</w:t>
      </w:r>
      <w:r w:rsidR="00E75EEB">
        <w:rPr>
          <w:rFonts w:cs="Arial"/>
          <w:iCs/>
          <w:snapToGrid/>
          <w:szCs w:val="22"/>
          <w:lang w:eastAsia="en-GB"/>
        </w:rPr>
        <w:t>’</w:t>
      </w:r>
      <w:r>
        <w:rPr>
          <w:rFonts w:cs="Arial"/>
          <w:iCs/>
          <w:snapToGrid/>
          <w:szCs w:val="22"/>
          <w:lang w:eastAsia="en-GB"/>
        </w:rPr>
        <w:t>ordre général</w:t>
      </w:r>
      <w:r w:rsidRPr="00E61993">
        <w:rPr>
          <w:rFonts w:cs="Arial"/>
          <w:iCs/>
          <w:snapToGrid/>
          <w:szCs w:val="22"/>
          <w:lang w:eastAsia="en-GB"/>
        </w:rPr>
        <w:t xml:space="preserve">, les </w:t>
      </w:r>
      <w:r>
        <w:rPr>
          <w:rFonts w:cs="Arial"/>
          <w:iCs/>
          <w:snapToGrid/>
          <w:szCs w:val="22"/>
          <w:lang w:eastAsia="en-GB"/>
        </w:rPr>
        <w:t>articles</w:t>
      </w:r>
      <w:r w:rsidRPr="00E61993">
        <w:rPr>
          <w:rFonts w:cs="Arial"/>
          <w:iCs/>
          <w:snapToGrid/>
          <w:szCs w:val="22"/>
          <w:lang w:eastAsia="en-GB"/>
        </w:rPr>
        <w:t xml:space="preserve"> applicables à l</w:t>
      </w:r>
      <w:r w:rsidR="00E75EEB">
        <w:rPr>
          <w:rFonts w:cs="Arial"/>
          <w:iCs/>
          <w:snapToGrid/>
          <w:szCs w:val="22"/>
          <w:lang w:eastAsia="en-GB"/>
        </w:rPr>
        <w:t>’</w:t>
      </w:r>
      <w:r w:rsidRPr="00E61993">
        <w:rPr>
          <w:rFonts w:cs="Arial"/>
          <w:iCs/>
          <w:snapToGrid/>
          <w:szCs w:val="22"/>
          <w:lang w:eastAsia="en-GB"/>
        </w:rPr>
        <w:t xml:space="preserve">Assemblée et au Conseil exécutif, et les </w:t>
      </w:r>
      <w:r>
        <w:rPr>
          <w:rFonts w:cs="Arial"/>
          <w:iCs/>
          <w:snapToGrid/>
          <w:szCs w:val="22"/>
          <w:lang w:eastAsia="en-GB"/>
        </w:rPr>
        <w:t>articles</w:t>
      </w:r>
      <w:r w:rsidRPr="00E61993">
        <w:rPr>
          <w:rFonts w:cs="Arial"/>
          <w:iCs/>
          <w:snapToGrid/>
          <w:szCs w:val="22"/>
          <w:lang w:eastAsia="en-GB"/>
        </w:rPr>
        <w:t xml:space="preserve"> applicables uniquement à l</w:t>
      </w:r>
      <w:r w:rsidR="00E75EEB">
        <w:rPr>
          <w:rFonts w:cs="Arial"/>
          <w:iCs/>
          <w:snapToGrid/>
          <w:szCs w:val="22"/>
          <w:lang w:eastAsia="en-GB"/>
        </w:rPr>
        <w:t>’</w:t>
      </w:r>
      <w:r w:rsidRPr="00E61993">
        <w:rPr>
          <w:rFonts w:cs="Arial"/>
          <w:iCs/>
          <w:snapToGrid/>
          <w:szCs w:val="22"/>
          <w:lang w:eastAsia="en-GB"/>
        </w:rPr>
        <w:t>un de ces deux organes ;</w:t>
      </w:r>
      <w:r w:rsidRPr="00E61993">
        <w:rPr>
          <w:rFonts w:asciiTheme="minorBidi" w:hAnsiTheme="minorBidi" w:cstheme="minorBidi"/>
          <w:iCs/>
          <w:szCs w:val="22"/>
        </w:rPr>
        <w:t xml:space="preserve"> </w:t>
      </w:r>
    </w:p>
    <w:p w14:paraId="377D4FC6" w14:textId="77777777" w:rsidR="006F52CB" w:rsidRPr="00E61993" w:rsidRDefault="006F52CB" w:rsidP="008631C4">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E61993">
        <w:rPr>
          <w:rFonts w:cs="Arial"/>
          <w:iCs/>
          <w:snapToGrid/>
          <w:szCs w:val="22"/>
          <w:lang w:eastAsia="en-GB"/>
        </w:rPr>
        <w:t>modifier</w:t>
      </w:r>
      <w:proofErr w:type="gramEnd"/>
      <w:r w:rsidRPr="00E61993">
        <w:rPr>
          <w:rFonts w:cs="Arial"/>
          <w:iCs/>
          <w:snapToGrid/>
          <w:szCs w:val="22"/>
          <w:lang w:eastAsia="en-GB"/>
        </w:rPr>
        <w:t xml:space="preserve"> les articles 55 et 56 afin de reconnaître et de préciser la compétence du Conseil exécutif pour modifier ou suspendre les articles concernant son organisation et son fonctionnement</w:t>
      </w:r>
      <w:r w:rsidRPr="00E61993">
        <w:rPr>
          <w:rFonts w:asciiTheme="minorBidi" w:hAnsiTheme="minorBidi" w:cstheme="minorBidi"/>
          <w:iCs/>
          <w:szCs w:val="22"/>
        </w:rPr>
        <w:t xml:space="preserve">. </w:t>
      </w:r>
    </w:p>
    <w:p w14:paraId="5D6A4102" w14:textId="67B10080" w:rsidR="006F52CB" w:rsidRDefault="006F52CB" w:rsidP="006F52CB">
      <w:pPr>
        <w:pStyle w:val="Marge"/>
        <w:rPr>
          <w:rFonts w:asciiTheme="minorBidi" w:hAnsiTheme="minorBidi" w:cstheme="minorBidi"/>
          <w:color w:val="000000" w:themeColor="text1"/>
          <w:szCs w:val="22"/>
        </w:rPr>
      </w:pPr>
      <w:r w:rsidRPr="008F1275">
        <w:rPr>
          <w:rFonts w:asciiTheme="minorBidi" w:hAnsiTheme="minorBidi" w:cstheme="minorBidi"/>
          <w:color w:val="000000" w:themeColor="text1"/>
          <w:szCs w:val="22"/>
        </w:rPr>
        <w:t>15.</w:t>
      </w:r>
      <w:r w:rsidRPr="008F1275">
        <w:rPr>
          <w:rFonts w:asciiTheme="minorBidi" w:hAnsiTheme="minorBidi" w:cstheme="minorBidi"/>
          <w:color w:val="000000" w:themeColor="text1"/>
          <w:szCs w:val="22"/>
        </w:rPr>
        <w:tab/>
        <w:t>Les membres de l</w:t>
      </w:r>
      <w:r w:rsidR="00E75EEB">
        <w:rPr>
          <w:rFonts w:asciiTheme="minorBidi" w:hAnsiTheme="minorBidi" w:cstheme="minorBidi"/>
          <w:color w:val="000000" w:themeColor="text1"/>
          <w:szCs w:val="22"/>
        </w:rPr>
        <w:t>’</w:t>
      </w:r>
      <w:r w:rsidRPr="008F1275">
        <w:rPr>
          <w:rFonts w:asciiTheme="minorBidi" w:hAnsiTheme="minorBidi" w:cstheme="minorBidi"/>
          <w:color w:val="000000" w:themeColor="text1"/>
          <w:szCs w:val="22"/>
        </w:rPr>
        <w:t>IFAG ont accueilli avec satisfaction la proposition du Secrétariat présentée</w:t>
      </w:r>
      <w:r>
        <w:rPr>
          <w:rFonts w:asciiTheme="minorBidi" w:hAnsiTheme="minorBidi" w:cstheme="minorBidi"/>
          <w:color w:val="000000" w:themeColor="text1"/>
          <w:szCs w:val="22"/>
        </w:rPr>
        <w:t xml:space="preserve"> dans le document </w:t>
      </w:r>
      <w:r w:rsidRPr="008F1275">
        <w:rPr>
          <w:rFonts w:asciiTheme="minorBidi" w:hAnsiTheme="minorBidi" w:cstheme="minorBidi"/>
          <w:color w:val="000000" w:themeColor="text1"/>
          <w:szCs w:val="22"/>
        </w:rPr>
        <w:t>IOC/EC-55/5.1</w:t>
      </w:r>
      <w:proofErr w:type="gramStart"/>
      <w:r w:rsidRPr="008F1275">
        <w:rPr>
          <w:rFonts w:asciiTheme="minorBidi" w:hAnsiTheme="minorBidi" w:cstheme="minorBidi"/>
          <w:color w:val="000000" w:themeColor="text1"/>
          <w:szCs w:val="22"/>
        </w:rPr>
        <w:t>Doc(</w:t>
      </w:r>
      <w:proofErr w:type="gramEnd"/>
      <w:r w:rsidRPr="008F1275">
        <w:rPr>
          <w:rFonts w:asciiTheme="minorBidi" w:hAnsiTheme="minorBidi" w:cstheme="minorBidi"/>
          <w:color w:val="000000" w:themeColor="text1"/>
          <w:szCs w:val="22"/>
        </w:rPr>
        <w:t>1)</w:t>
      </w:r>
      <w:r>
        <w:rPr>
          <w:rFonts w:asciiTheme="minorBidi" w:hAnsiTheme="minorBidi" w:cstheme="minorBidi"/>
          <w:color w:val="000000" w:themeColor="text1"/>
          <w:szCs w:val="22"/>
        </w:rPr>
        <w:t>,</w:t>
      </w:r>
      <w:r w:rsidRPr="008F1275">
        <w:rPr>
          <w:rFonts w:asciiTheme="minorBidi" w:hAnsiTheme="minorBidi" w:cstheme="minorBidi"/>
          <w:color w:val="000000" w:themeColor="text1"/>
          <w:szCs w:val="22"/>
        </w:rPr>
        <w:t xml:space="preserve"> </w:t>
      </w:r>
      <w:r>
        <w:rPr>
          <w:rFonts w:asciiTheme="minorBidi" w:hAnsiTheme="minorBidi" w:cstheme="minorBidi"/>
          <w:color w:val="000000" w:themeColor="text1"/>
          <w:szCs w:val="22"/>
        </w:rPr>
        <w:t>en tant qu</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approche prudente d</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élaboration d</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 xml:space="preserve">un « premier projet ». </w:t>
      </w:r>
      <w:r w:rsidRPr="0043040C">
        <w:rPr>
          <w:rFonts w:asciiTheme="minorBidi" w:hAnsiTheme="minorBidi" w:cstheme="minorBidi"/>
          <w:color w:val="000000" w:themeColor="text1"/>
          <w:szCs w:val="22"/>
        </w:rPr>
        <w:t>Comme l</w:t>
      </w:r>
      <w:r w:rsidR="00E75EEB">
        <w:rPr>
          <w:rFonts w:asciiTheme="minorBidi" w:hAnsiTheme="minorBidi" w:cstheme="minorBidi"/>
          <w:color w:val="000000" w:themeColor="text1"/>
          <w:szCs w:val="22"/>
        </w:rPr>
        <w:t>’</w:t>
      </w:r>
      <w:r w:rsidRPr="0043040C">
        <w:rPr>
          <w:rFonts w:asciiTheme="minorBidi" w:hAnsiTheme="minorBidi" w:cstheme="minorBidi"/>
          <w:color w:val="000000" w:themeColor="text1"/>
          <w:szCs w:val="22"/>
        </w:rPr>
        <w:t>a souligné le Président de l</w:t>
      </w:r>
      <w:r w:rsidR="00E75EEB">
        <w:rPr>
          <w:rFonts w:asciiTheme="minorBidi" w:hAnsiTheme="minorBidi" w:cstheme="minorBidi"/>
          <w:color w:val="000000" w:themeColor="text1"/>
          <w:szCs w:val="22"/>
        </w:rPr>
        <w:t>’</w:t>
      </w:r>
      <w:r w:rsidRPr="0043040C">
        <w:rPr>
          <w:rFonts w:asciiTheme="minorBidi" w:hAnsiTheme="minorBidi" w:cstheme="minorBidi"/>
          <w:color w:val="000000" w:themeColor="text1"/>
          <w:szCs w:val="22"/>
        </w:rPr>
        <w:t>IFAG dans sa communication du 6</w:t>
      </w:r>
      <w:r w:rsidR="00E75EEB">
        <w:rPr>
          <w:rFonts w:asciiTheme="minorBidi" w:hAnsiTheme="minorBidi" w:cstheme="minorBidi"/>
          <w:color w:val="000000" w:themeColor="text1"/>
          <w:szCs w:val="22"/>
        </w:rPr>
        <w:t> </w:t>
      </w:r>
      <w:r w:rsidRPr="0043040C">
        <w:rPr>
          <w:rFonts w:asciiTheme="minorBidi" w:hAnsiTheme="minorBidi" w:cstheme="minorBidi"/>
          <w:color w:val="000000" w:themeColor="text1"/>
          <w:szCs w:val="22"/>
        </w:rPr>
        <w:t>juin</w:t>
      </w:r>
      <w:r w:rsidR="00E75EEB">
        <w:rPr>
          <w:rFonts w:asciiTheme="minorBidi" w:hAnsiTheme="minorBidi" w:cstheme="minorBidi"/>
          <w:color w:val="000000" w:themeColor="text1"/>
          <w:szCs w:val="22"/>
        </w:rPr>
        <w:t> </w:t>
      </w:r>
      <w:r w:rsidRPr="0043040C">
        <w:rPr>
          <w:rFonts w:asciiTheme="minorBidi" w:hAnsiTheme="minorBidi" w:cstheme="minorBidi"/>
          <w:color w:val="000000" w:themeColor="text1"/>
          <w:szCs w:val="22"/>
        </w:rPr>
        <w:t>2022, cette approche ne diverge de ce qui a été discuté lors de la 31</w:t>
      </w:r>
      <w:r w:rsidRPr="0043040C">
        <w:rPr>
          <w:rFonts w:asciiTheme="minorBidi" w:hAnsiTheme="minorBidi" w:cstheme="minorBidi"/>
          <w:color w:val="000000" w:themeColor="text1"/>
          <w:szCs w:val="22"/>
          <w:vertAlign w:val="superscript"/>
        </w:rPr>
        <w:t>e</w:t>
      </w:r>
      <w:r w:rsidRPr="0043040C">
        <w:rPr>
          <w:rFonts w:asciiTheme="minorBidi" w:hAnsiTheme="minorBidi" w:cstheme="minorBidi"/>
          <w:color w:val="000000" w:themeColor="text1"/>
          <w:szCs w:val="22"/>
        </w:rPr>
        <w:t xml:space="preserve"> session de l</w:t>
      </w:r>
      <w:r w:rsidR="00E75EEB">
        <w:rPr>
          <w:rFonts w:asciiTheme="minorBidi" w:hAnsiTheme="minorBidi" w:cstheme="minorBidi"/>
          <w:color w:val="000000" w:themeColor="text1"/>
          <w:szCs w:val="22"/>
        </w:rPr>
        <w:t>’</w:t>
      </w:r>
      <w:r w:rsidRPr="0043040C">
        <w:rPr>
          <w:rFonts w:asciiTheme="minorBidi" w:hAnsiTheme="minorBidi" w:cstheme="minorBidi"/>
          <w:color w:val="000000" w:themeColor="text1"/>
          <w:szCs w:val="22"/>
        </w:rPr>
        <w:t xml:space="preserve">Assemblée que dans la mesure où elle </w:t>
      </w:r>
      <w:r>
        <w:rPr>
          <w:rFonts w:asciiTheme="minorBidi" w:hAnsiTheme="minorBidi" w:cstheme="minorBidi"/>
          <w:color w:val="000000" w:themeColor="text1"/>
          <w:szCs w:val="22"/>
        </w:rPr>
        <w:t>maintient le</w:t>
      </w:r>
      <w:r w:rsidRPr="0043040C">
        <w:rPr>
          <w:rFonts w:asciiTheme="minorBidi" w:hAnsiTheme="minorBidi" w:cstheme="minorBidi"/>
          <w:color w:val="000000" w:themeColor="text1"/>
          <w:szCs w:val="22"/>
        </w:rPr>
        <w:t xml:space="preserve"> </w:t>
      </w:r>
      <w:r>
        <w:rPr>
          <w:rFonts w:asciiTheme="minorBidi" w:hAnsiTheme="minorBidi" w:cstheme="minorBidi"/>
          <w:color w:val="000000" w:themeColor="text1"/>
          <w:szCs w:val="22"/>
        </w:rPr>
        <w:t>Règlement intérieur sous la forme d</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un seul document, qui sera approuvé par l</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Assemblée de la COI</w:t>
      </w:r>
      <w:r w:rsidRPr="0043040C">
        <w:rPr>
          <w:rFonts w:asciiTheme="minorBidi" w:hAnsiTheme="minorBidi" w:cstheme="minorBidi"/>
          <w:color w:val="000000" w:themeColor="text1"/>
          <w:szCs w:val="22"/>
        </w:rPr>
        <w:t xml:space="preserve"> en 2023 (il n</w:t>
      </w:r>
      <w:r w:rsidR="00E75EEB">
        <w:rPr>
          <w:rFonts w:asciiTheme="minorBidi" w:hAnsiTheme="minorBidi" w:cstheme="minorBidi"/>
          <w:color w:val="000000" w:themeColor="text1"/>
          <w:szCs w:val="22"/>
        </w:rPr>
        <w:t>’</w:t>
      </w:r>
      <w:r w:rsidRPr="0043040C">
        <w:rPr>
          <w:rFonts w:asciiTheme="minorBidi" w:hAnsiTheme="minorBidi" w:cstheme="minorBidi"/>
          <w:color w:val="000000" w:themeColor="text1"/>
          <w:szCs w:val="22"/>
        </w:rPr>
        <w:t>est plus nécessaire de tenir une session extraordinaire du Conseil exécutif en 2023</w:t>
      </w:r>
      <w:r>
        <w:rPr>
          <w:rFonts w:asciiTheme="minorBidi" w:hAnsiTheme="minorBidi" w:cstheme="minorBidi"/>
          <w:color w:val="000000" w:themeColor="text1"/>
          <w:szCs w:val="22"/>
        </w:rPr>
        <w:t>).</w:t>
      </w:r>
    </w:p>
    <w:p w14:paraId="504CE103" w14:textId="0E08170F" w:rsidR="006F52CB" w:rsidRDefault="006F52CB" w:rsidP="006F52CB">
      <w:pPr>
        <w:pStyle w:val="Marge"/>
        <w:rPr>
          <w:rFonts w:asciiTheme="minorBidi" w:hAnsiTheme="minorBidi" w:cstheme="minorBidi"/>
          <w:color w:val="000000" w:themeColor="text1"/>
          <w:szCs w:val="22"/>
        </w:rPr>
      </w:pPr>
      <w:r w:rsidRPr="00EF2B9D">
        <w:rPr>
          <w:rFonts w:asciiTheme="minorBidi" w:hAnsiTheme="minorBidi" w:cstheme="minorBidi"/>
          <w:color w:val="000000" w:themeColor="text1"/>
          <w:szCs w:val="22"/>
        </w:rPr>
        <w:t>16.</w:t>
      </w:r>
      <w:r w:rsidRPr="00EF2B9D">
        <w:rPr>
          <w:rFonts w:asciiTheme="minorBidi" w:hAnsiTheme="minorBidi" w:cstheme="minorBidi"/>
          <w:color w:val="000000" w:themeColor="text1"/>
          <w:szCs w:val="22"/>
        </w:rPr>
        <w:tab/>
        <w:t>L</w:t>
      </w:r>
      <w:r w:rsidR="00E75EEB">
        <w:rPr>
          <w:rFonts w:asciiTheme="minorBidi" w:hAnsiTheme="minorBidi" w:cstheme="minorBidi"/>
          <w:color w:val="000000" w:themeColor="text1"/>
          <w:szCs w:val="22"/>
        </w:rPr>
        <w:t>’</w:t>
      </w:r>
      <w:r w:rsidRPr="00EF2B9D">
        <w:rPr>
          <w:rFonts w:asciiTheme="minorBidi" w:hAnsiTheme="minorBidi" w:cstheme="minorBidi"/>
          <w:color w:val="000000" w:themeColor="text1"/>
          <w:szCs w:val="22"/>
        </w:rPr>
        <w:t>approche respecte pleinement le souhait des États membres</w:t>
      </w:r>
      <w:r>
        <w:rPr>
          <w:rFonts w:asciiTheme="minorBidi" w:hAnsiTheme="minorBidi" w:cstheme="minorBidi"/>
          <w:color w:val="000000" w:themeColor="text1"/>
          <w:szCs w:val="22"/>
        </w:rPr>
        <w:t xml:space="preserve"> de s</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abstenir de toute révision substantielle du Règlement intérieur en le réorganisant plutôt qu</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en le révisant véritablement, et en ne proposant que des modifications minimes des articles 55 et 56 visant à optimiser le fonctionnement du Conseil exécutif.</w:t>
      </w:r>
      <w:r w:rsidRPr="00EF2B9D">
        <w:rPr>
          <w:rFonts w:asciiTheme="minorBidi" w:hAnsiTheme="minorBidi" w:cstheme="minorBidi"/>
          <w:color w:val="000000" w:themeColor="text1"/>
          <w:szCs w:val="22"/>
        </w:rPr>
        <w:t xml:space="preserve"> </w:t>
      </w:r>
    </w:p>
    <w:p w14:paraId="30611086" w14:textId="2A16397B" w:rsidR="006F52CB" w:rsidRPr="00C37C8D" w:rsidRDefault="006F52CB" w:rsidP="00E75EEB">
      <w:pPr>
        <w:pStyle w:val="Marge"/>
        <w:keepNext/>
        <w:keepLines/>
        <w:rPr>
          <w:rFonts w:asciiTheme="minorBidi" w:hAnsiTheme="minorBidi" w:cstheme="minorBidi"/>
          <w:color w:val="000000" w:themeColor="text1"/>
          <w:szCs w:val="22"/>
        </w:rPr>
      </w:pPr>
      <w:r w:rsidRPr="00C37C8D">
        <w:rPr>
          <w:rFonts w:asciiTheme="minorBidi" w:hAnsiTheme="minorBidi" w:cstheme="minorBidi"/>
          <w:color w:val="000000" w:themeColor="text1"/>
          <w:szCs w:val="22"/>
        </w:rPr>
        <w:lastRenderedPageBreak/>
        <w:t>17.</w:t>
      </w:r>
      <w:r w:rsidRPr="00C37C8D">
        <w:rPr>
          <w:rFonts w:asciiTheme="minorBidi" w:hAnsiTheme="minorBidi" w:cstheme="minorBidi"/>
          <w:color w:val="000000" w:themeColor="text1"/>
          <w:szCs w:val="22"/>
        </w:rPr>
        <w:tab/>
        <w:t>Le Groupe a également examin</w:t>
      </w:r>
      <w:r>
        <w:rPr>
          <w:rFonts w:asciiTheme="minorBidi" w:hAnsiTheme="minorBidi" w:cstheme="minorBidi"/>
          <w:color w:val="000000" w:themeColor="text1"/>
          <w:szCs w:val="22"/>
        </w:rPr>
        <w:t>é</w:t>
      </w:r>
      <w:r w:rsidRPr="00C37C8D">
        <w:rPr>
          <w:rFonts w:asciiTheme="minorBidi" w:hAnsiTheme="minorBidi" w:cstheme="minorBidi"/>
          <w:color w:val="000000" w:themeColor="text1"/>
          <w:szCs w:val="22"/>
        </w:rPr>
        <w:t xml:space="preserve"> </w:t>
      </w:r>
      <w:r>
        <w:rPr>
          <w:rFonts w:asciiTheme="minorBidi" w:hAnsiTheme="minorBidi" w:cstheme="minorBidi"/>
          <w:color w:val="000000" w:themeColor="text1"/>
          <w:szCs w:val="22"/>
        </w:rPr>
        <w:t>l</w:t>
      </w:r>
      <w:r w:rsidR="00E75EEB">
        <w:rPr>
          <w:rFonts w:asciiTheme="minorBidi" w:hAnsiTheme="minorBidi" w:cstheme="minorBidi"/>
          <w:color w:val="000000" w:themeColor="text1"/>
          <w:szCs w:val="22"/>
        </w:rPr>
        <w:t>’</w:t>
      </w:r>
      <w:r>
        <w:rPr>
          <w:rFonts w:asciiTheme="minorBidi" w:hAnsiTheme="minorBidi" w:cstheme="minorBidi"/>
          <w:color w:val="000000" w:themeColor="text1"/>
          <w:szCs w:val="22"/>
        </w:rPr>
        <w:t xml:space="preserve">annexe du document </w:t>
      </w:r>
      <w:r w:rsidRPr="00C37C8D">
        <w:rPr>
          <w:rFonts w:asciiTheme="minorBidi" w:hAnsiTheme="minorBidi" w:cstheme="minorBidi"/>
          <w:iCs/>
          <w:szCs w:val="22"/>
        </w:rPr>
        <w:t>IOC/EC-55/5.1</w:t>
      </w:r>
      <w:proofErr w:type="gramStart"/>
      <w:r w:rsidRPr="00C37C8D">
        <w:rPr>
          <w:rFonts w:asciiTheme="minorBidi" w:hAnsiTheme="minorBidi" w:cstheme="minorBidi"/>
          <w:iCs/>
          <w:szCs w:val="22"/>
        </w:rPr>
        <w:t>Doc(</w:t>
      </w:r>
      <w:proofErr w:type="gramEnd"/>
      <w:r w:rsidRPr="00C37C8D">
        <w:rPr>
          <w:rFonts w:asciiTheme="minorBidi" w:hAnsiTheme="minorBidi" w:cstheme="minorBidi"/>
          <w:iCs/>
          <w:szCs w:val="22"/>
        </w:rPr>
        <w:t xml:space="preserve">1), qui contient une </w:t>
      </w:r>
      <w:r>
        <w:rPr>
          <w:rFonts w:asciiTheme="minorBidi" w:hAnsiTheme="minorBidi" w:cstheme="minorBidi"/>
          <w:iCs/>
          <w:szCs w:val="22"/>
        </w:rPr>
        <w:t>série non exhaustive de commentaires, établis par des experts juridiques, qui signalent les points sur lesquels les États membres pourraient souhaiter considérer l</w:t>
      </w:r>
      <w:r w:rsidR="00E75EEB">
        <w:rPr>
          <w:rFonts w:asciiTheme="minorBidi" w:hAnsiTheme="minorBidi" w:cstheme="minorBidi"/>
          <w:iCs/>
          <w:szCs w:val="22"/>
        </w:rPr>
        <w:t>’</w:t>
      </w:r>
      <w:r>
        <w:rPr>
          <w:rFonts w:asciiTheme="minorBidi" w:hAnsiTheme="minorBidi" w:cstheme="minorBidi"/>
          <w:iCs/>
          <w:szCs w:val="22"/>
        </w:rPr>
        <w:t>intérêt de plus amples clarifications, nécessitant un réexamen plus poussé du Règlement intérieur. La réunion qui s</w:t>
      </w:r>
      <w:r w:rsidR="00E75EEB">
        <w:rPr>
          <w:rFonts w:asciiTheme="minorBidi" w:hAnsiTheme="minorBidi" w:cstheme="minorBidi"/>
          <w:iCs/>
          <w:szCs w:val="22"/>
        </w:rPr>
        <w:t>’</w:t>
      </w:r>
      <w:r>
        <w:rPr>
          <w:rFonts w:asciiTheme="minorBidi" w:hAnsiTheme="minorBidi" w:cstheme="minorBidi"/>
          <w:iCs/>
          <w:szCs w:val="22"/>
        </w:rPr>
        <w:t>est tenue en présentiel le 13 juin a permis de parcourir l</w:t>
      </w:r>
      <w:r w:rsidR="00E75EEB">
        <w:rPr>
          <w:rFonts w:asciiTheme="minorBidi" w:hAnsiTheme="minorBidi" w:cstheme="minorBidi"/>
          <w:iCs/>
          <w:szCs w:val="22"/>
        </w:rPr>
        <w:t>’</w:t>
      </w:r>
      <w:r>
        <w:rPr>
          <w:rFonts w:asciiTheme="minorBidi" w:hAnsiTheme="minorBidi" w:cstheme="minorBidi"/>
          <w:iCs/>
          <w:szCs w:val="22"/>
        </w:rPr>
        <w:t>annexe article par article, en tenant compte des commentaires et des suggestions d</w:t>
      </w:r>
      <w:r w:rsidR="00E75EEB">
        <w:rPr>
          <w:rFonts w:asciiTheme="minorBidi" w:hAnsiTheme="minorBidi" w:cstheme="minorBidi"/>
          <w:iCs/>
          <w:szCs w:val="22"/>
        </w:rPr>
        <w:t>’</w:t>
      </w:r>
      <w:r>
        <w:rPr>
          <w:rFonts w:asciiTheme="minorBidi" w:hAnsiTheme="minorBidi" w:cstheme="minorBidi"/>
          <w:iCs/>
          <w:szCs w:val="22"/>
        </w:rPr>
        <w:t>amélioration, afin de mieux préparer les débats qui auront lieu pendant la session</w:t>
      </w:r>
      <w:r w:rsidR="009B67A0">
        <w:rPr>
          <w:rFonts w:asciiTheme="minorBidi" w:hAnsiTheme="minorBidi" w:cstheme="minorBidi"/>
          <w:iCs/>
          <w:szCs w:val="22"/>
        </w:rPr>
        <w:t>.</w:t>
      </w:r>
    </w:p>
    <w:p w14:paraId="16C3B5C1" w14:textId="77777777" w:rsidR="006F52CB" w:rsidRPr="00895D23" w:rsidRDefault="006F52CB" w:rsidP="006F52CB">
      <w:pPr>
        <w:pStyle w:val="Marge"/>
        <w:rPr>
          <w:rFonts w:asciiTheme="minorBidi" w:hAnsiTheme="minorBidi" w:cstheme="minorBidi"/>
          <w:szCs w:val="22"/>
        </w:rPr>
      </w:pPr>
      <w:r w:rsidRPr="00895D23">
        <w:rPr>
          <w:rFonts w:asciiTheme="minorBidi" w:hAnsiTheme="minorBidi" w:cstheme="minorBidi"/>
          <w:szCs w:val="22"/>
        </w:rPr>
        <w:t>18.</w:t>
      </w:r>
      <w:r w:rsidRPr="00895D23">
        <w:rPr>
          <w:rFonts w:asciiTheme="minorBidi" w:hAnsiTheme="minorBidi" w:cstheme="minorBidi"/>
          <w:szCs w:val="22"/>
        </w:rPr>
        <w:tab/>
      </w:r>
      <w:r>
        <w:rPr>
          <w:rFonts w:asciiTheme="minorBidi" w:hAnsiTheme="minorBidi" w:cstheme="minorBidi"/>
          <w:szCs w:val="22"/>
        </w:rPr>
        <w:t>Les débats qui se tiendront lors du</w:t>
      </w:r>
      <w:r w:rsidRPr="00895D23">
        <w:rPr>
          <w:rFonts w:asciiTheme="minorBidi" w:hAnsiTheme="minorBidi" w:cstheme="minorBidi"/>
          <w:szCs w:val="22"/>
        </w:rPr>
        <w:t xml:space="preserve"> </w:t>
      </w:r>
      <w:r>
        <w:rPr>
          <w:rFonts w:asciiTheme="minorBidi" w:hAnsiTheme="minorBidi" w:cstheme="minorBidi"/>
          <w:szCs w:val="22"/>
        </w:rPr>
        <w:t xml:space="preserve">Conseil exécutif </w:t>
      </w:r>
      <w:r w:rsidRPr="00895D23">
        <w:rPr>
          <w:rFonts w:asciiTheme="minorBidi" w:hAnsiTheme="minorBidi" w:cstheme="minorBidi"/>
          <w:szCs w:val="22"/>
        </w:rPr>
        <w:t xml:space="preserve">devraient </w:t>
      </w:r>
      <w:r>
        <w:rPr>
          <w:rFonts w:asciiTheme="minorBidi" w:hAnsiTheme="minorBidi" w:cstheme="minorBidi"/>
          <w:szCs w:val="22"/>
        </w:rPr>
        <w:t>ainsi viser en priorité à :</w:t>
      </w:r>
      <w:r w:rsidRPr="00895D23">
        <w:rPr>
          <w:rFonts w:asciiTheme="minorBidi" w:hAnsiTheme="minorBidi" w:cstheme="minorBidi"/>
          <w:szCs w:val="22"/>
        </w:rPr>
        <w:t xml:space="preserve"> </w:t>
      </w:r>
    </w:p>
    <w:p w14:paraId="6D20751E" w14:textId="74B1AA74" w:rsidR="006F52CB" w:rsidRDefault="006F52CB" w:rsidP="009B67A0">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895D23">
        <w:rPr>
          <w:rFonts w:asciiTheme="minorBidi" w:hAnsiTheme="minorBidi" w:cstheme="minorBidi"/>
          <w:iCs/>
          <w:szCs w:val="22"/>
        </w:rPr>
        <w:t>déterminer</w:t>
      </w:r>
      <w:proofErr w:type="gramEnd"/>
      <w:r w:rsidRPr="00895D23">
        <w:rPr>
          <w:rFonts w:asciiTheme="minorBidi" w:hAnsiTheme="minorBidi" w:cstheme="minorBidi"/>
          <w:iCs/>
          <w:szCs w:val="22"/>
        </w:rPr>
        <w:t xml:space="preserve"> si l</w:t>
      </w:r>
      <w:r w:rsidR="00E75EEB">
        <w:rPr>
          <w:rFonts w:asciiTheme="minorBidi" w:hAnsiTheme="minorBidi" w:cstheme="minorBidi"/>
          <w:iCs/>
          <w:szCs w:val="22"/>
        </w:rPr>
        <w:t>’</w:t>
      </w:r>
      <w:r w:rsidRPr="00895D23">
        <w:rPr>
          <w:rFonts w:asciiTheme="minorBidi" w:hAnsiTheme="minorBidi" w:cstheme="minorBidi"/>
          <w:iCs/>
          <w:szCs w:val="22"/>
        </w:rPr>
        <w:t>approche propos</w:t>
      </w:r>
      <w:r>
        <w:rPr>
          <w:rFonts w:asciiTheme="minorBidi" w:hAnsiTheme="minorBidi" w:cstheme="minorBidi"/>
          <w:iCs/>
          <w:szCs w:val="22"/>
        </w:rPr>
        <w:t>é</w:t>
      </w:r>
      <w:r w:rsidRPr="00895D23">
        <w:rPr>
          <w:rFonts w:asciiTheme="minorBidi" w:hAnsiTheme="minorBidi" w:cstheme="minorBidi"/>
          <w:iCs/>
          <w:szCs w:val="22"/>
        </w:rPr>
        <w:t xml:space="preserve">e </w:t>
      </w:r>
      <w:r>
        <w:rPr>
          <w:rFonts w:asciiTheme="minorBidi" w:hAnsiTheme="minorBidi" w:cstheme="minorBidi"/>
          <w:iCs/>
          <w:szCs w:val="22"/>
        </w:rPr>
        <w:t>satisfait</w:t>
      </w:r>
      <w:r w:rsidRPr="00895D23">
        <w:rPr>
          <w:rFonts w:asciiTheme="minorBidi" w:hAnsiTheme="minorBidi" w:cstheme="minorBidi"/>
          <w:iCs/>
          <w:szCs w:val="22"/>
        </w:rPr>
        <w:t xml:space="preserve"> les</w:t>
      </w:r>
      <w:r>
        <w:rPr>
          <w:rFonts w:asciiTheme="minorBidi" w:hAnsiTheme="minorBidi" w:cstheme="minorBidi"/>
          <w:iCs/>
          <w:szCs w:val="22"/>
        </w:rPr>
        <w:t xml:space="preserve"> États membres ;</w:t>
      </w:r>
    </w:p>
    <w:p w14:paraId="1139EF18" w14:textId="3FBC9E98" w:rsidR="006F52CB" w:rsidRDefault="006F52CB" w:rsidP="009B67A0">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Pr>
          <w:rFonts w:asciiTheme="minorBidi" w:hAnsiTheme="minorBidi" w:cstheme="minorBidi"/>
          <w:iCs/>
          <w:szCs w:val="22"/>
        </w:rPr>
        <w:t>examiner</w:t>
      </w:r>
      <w:proofErr w:type="gramEnd"/>
      <w:r>
        <w:rPr>
          <w:rFonts w:asciiTheme="minorBidi" w:hAnsiTheme="minorBidi" w:cstheme="minorBidi"/>
          <w:iCs/>
          <w:szCs w:val="22"/>
        </w:rPr>
        <w:t xml:space="preserve"> s</w:t>
      </w:r>
      <w:r w:rsidR="00E75EEB">
        <w:rPr>
          <w:rFonts w:asciiTheme="minorBidi" w:hAnsiTheme="minorBidi" w:cstheme="minorBidi"/>
          <w:iCs/>
          <w:szCs w:val="22"/>
        </w:rPr>
        <w:t>’</w:t>
      </w:r>
      <w:r>
        <w:rPr>
          <w:rFonts w:asciiTheme="minorBidi" w:hAnsiTheme="minorBidi" w:cstheme="minorBidi"/>
          <w:iCs/>
          <w:szCs w:val="22"/>
        </w:rPr>
        <w:t>il convient d</w:t>
      </w:r>
      <w:r w:rsidR="00E75EEB">
        <w:rPr>
          <w:rFonts w:asciiTheme="minorBidi" w:hAnsiTheme="minorBidi" w:cstheme="minorBidi"/>
          <w:iCs/>
          <w:szCs w:val="22"/>
        </w:rPr>
        <w:t>’</w:t>
      </w:r>
      <w:r>
        <w:rPr>
          <w:rFonts w:asciiTheme="minorBidi" w:hAnsiTheme="minorBidi" w:cstheme="minorBidi"/>
          <w:iCs/>
          <w:szCs w:val="22"/>
        </w:rPr>
        <w:t>inviter le Secrétariat à poursuivre la révision du Règlement intérieur afin d</w:t>
      </w:r>
      <w:r w:rsidR="00E75EEB">
        <w:rPr>
          <w:rFonts w:asciiTheme="minorBidi" w:hAnsiTheme="minorBidi" w:cstheme="minorBidi"/>
          <w:iCs/>
          <w:szCs w:val="22"/>
        </w:rPr>
        <w:t>’</w:t>
      </w:r>
      <w:r>
        <w:rPr>
          <w:rFonts w:asciiTheme="minorBidi" w:hAnsiTheme="minorBidi" w:cstheme="minorBidi"/>
          <w:iCs/>
          <w:szCs w:val="22"/>
        </w:rPr>
        <w:t>apporter davantage de clarté et de cohérence, comme le conseille l</w:t>
      </w:r>
      <w:r w:rsidR="00E75EEB">
        <w:rPr>
          <w:rFonts w:asciiTheme="minorBidi" w:hAnsiTheme="minorBidi" w:cstheme="minorBidi"/>
          <w:iCs/>
          <w:szCs w:val="22"/>
        </w:rPr>
        <w:t>’</w:t>
      </w:r>
      <w:r>
        <w:rPr>
          <w:rFonts w:asciiTheme="minorBidi" w:hAnsiTheme="minorBidi" w:cstheme="minorBidi"/>
          <w:iCs/>
          <w:szCs w:val="22"/>
        </w:rPr>
        <w:t>équipe juridique ;</w:t>
      </w:r>
    </w:p>
    <w:p w14:paraId="76963479" w14:textId="47CCC2D3" w:rsidR="006F52CB" w:rsidRPr="00895D23" w:rsidRDefault="006F52CB" w:rsidP="009B67A0">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Pr>
          <w:rFonts w:asciiTheme="minorBidi" w:hAnsiTheme="minorBidi" w:cstheme="minorBidi"/>
          <w:iCs/>
          <w:szCs w:val="22"/>
        </w:rPr>
        <w:t>indiquer</w:t>
      </w:r>
      <w:proofErr w:type="gramEnd"/>
      <w:r>
        <w:rPr>
          <w:rFonts w:asciiTheme="minorBidi" w:hAnsiTheme="minorBidi" w:cstheme="minorBidi"/>
          <w:iCs/>
          <w:szCs w:val="22"/>
        </w:rPr>
        <w:t xml:space="preserve"> éventuellement certains domaines/aspects prioritaires et/ou ajouter des recommandations spécifiques.</w:t>
      </w:r>
    </w:p>
    <w:p w14:paraId="7B67EE1B" w14:textId="77777777" w:rsidR="006F52CB" w:rsidRPr="00524A21" w:rsidRDefault="006F52CB" w:rsidP="006F52CB">
      <w:pPr>
        <w:pStyle w:val="Marge"/>
        <w:rPr>
          <w:rFonts w:asciiTheme="minorBidi" w:hAnsiTheme="minorBidi" w:cstheme="minorBidi"/>
          <w:szCs w:val="22"/>
        </w:rPr>
      </w:pPr>
      <w:r w:rsidRPr="00524A21">
        <w:rPr>
          <w:rFonts w:asciiTheme="minorBidi" w:hAnsiTheme="minorBidi" w:cstheme="minorBidi"/>
          <w:szCs w:val="22"/>
        </w:rPr>
        <w:t>19.</w:t>
      </w:r>
      <w:r w:rsidRPr="00524A21">
        <w:rPr>
          <w:rFonts w:asciiTheme="minorBidi" w:hAnsiTheme="minorBidi" w:cstheme="minorBidi"/>
          <w:szCs w:val="22"/>
        </w:rPr>
        <w:tab/>
      </w:r>
      <w:r>
        <w:rPr>
          <w:rFonts w:asciiTheme="minorBidi" w:hAnsiTheme="minorBidi" w:cstheme="minorBidi"/>
          <w:szCs w:val="22"/>
        </w:rPr>
        <w:t>En ce qui concerne les</w:t>
      </w:r>
      <w:r w:rsidRPr="00524A21">
        <w:rPr>
          <w:rFonts w:asciiTheme="minorBidi" w:hAnsiTheme="minorBidi" w:cstheme="minorBidi"/>
          <w:szCs w:val="22"/>
        </w:rPr>
        <w:t xml:space="preserve"> deux derniers points </w:t>
      </w:r>
      <w:r>
        <w:rPr>
          <w:rFonts w:asciiTheme="minorBidi" w:hAnsiTheme="minorBidi" w:cstheme="minorBidi"/>
          <w:szCs w:val="22"/>
        </w:rPr>
        <w:t>susmentionnés</w:t>
      </w:r>
      <w:r w:rsidRPr="00524A21">
        <w:rPr>
          <w:rFonts w:asciiTheme="minorBidi" w:hAnsiTheme="minorBidi" w:cstheme="minorBidi"/>
          <w:szCs w:val="22"/>
        </w:rPr>
        <w:t xml:space="preserve">, le Groupe a </w:t>
      </w:r>
      <w:r>
        <w:rPr>
          <w:rFonts w:asciiTheme="minorBidi" w:hAnsiTheme="minorBidi" w:cstheme="minorBidi"/>
          <w:szCs w:val="22"/>
        </w:rPr>
        <w:t xml:space="preserve">formulé un certain nombre de recommandations préliminaires : </w:t>
      </w:r>
    </w:p>
    <w:p w14:paraId="5D266E3A" w14:textId="38C79607" w:rsidR="006F52CB" w:rsidRPr="00524A21" w:rsidRDefault="006F52CB" w:rsidP="008B7C4D">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524A21">
        <w:rPr>
          <w:rFonts w:asciiTheme="minorBidi" w:hAnsiTheme="minorBidi" w:cstheme="minorBidi"/>
          <w:iCs/>
          <w:szCs w:val="22"/>
        </w:rPr>
        <w:t>tout</w:t>
      </w:r>
      <w:proofErr w:type="gramEnd"/>
      <w:r w:rsidRPr="00524A21">
        <w:rPr>
          <w:rFonts w:asciiTheme="minorBidi" w:hAnsiTheme="minorBidi" w:cstheme="minorBidi"/>
          <w:iCs/>
          <w:szCs w:val="22"/>
        </w:rPr>
        <w:t xml:space="preserve"> en améliorant la clarté</w:t>
      </w:r>
      <w:r>
        <w:rPr>
          <w:rFonts w:asciiTheme="minorBidi" w:hAnsiTheme="minorBidi" w:cstheme="minorBidi"/>
          <w:iCs/>
          <w:szCs w:val="22"/>
        </w:rPr>
        <w:t xml:space="preserve"> et en alignant les versions linguistiques, s</w:t>
      </w:r>
      <w:r w:rsidR="00E75EEB">
        <w:rPr>
          <w:rFonts w:asciiTheme="minorBidi" w:hAnsiTheme="minorBidi" w:cstheme="minorBidi"/>
          <w:iCs/>
          <w:szCs w:val="22"/>
        </w:rPr>
        <w:t>’</w:t>
      </w:r>
      <w:r>
        <w:rPr>
          <w:rFonts w:asciiTheme="minorBidi" w:hAnsiTheme="minorBidi" w:cstheme="minorBidi"/>
          <w:iCs/>
          <w:szCs w:val="22"/>
        </w:rPr>
        <w:t>attacher à corriger uniquement ce qui a besoin d</w:t>
      </w:r>
      <w:r w:rsidR="00E75EEB">
        <w:rPr>
          <w:rFonts w:asciiTheme="minorBidi" w:hAnsiTheme="minorBidi" w:cstheme="minorBidi"/>
          <w:iCs/>
          <w:szCs w:val="22"/>
        </w:rPr>
        <w:t>’</w:t>
      </w:r>
      <w:r>
        <w:rPr>
          <w:rFonts w:asciiTheme="minorBidi" w:hAnsiTheme="minorBidi" w:cstheme="minorBidi"/>
          <w:iCs/>
          <w:szCs w:val="22"/>
        </w:rPr>
        <w:t>être corrigé ;</w:t>
      </w:r>
    </w:p>
    <w:p w14:paraId="265FA0FB" w14:textId="25A9E4FB" w:rsidR="006F52CB" w:rsidRDefault="006F52CB" w:rsidP="008B7C4D">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Pr>
          <w:rFonts w:asciiTheme="minorBidi" w:hAnsiTheme="minorBidi" w:cstheme="minorBidi"/>
          <w:iCs/>
          <w:szCs w:val="22"/>
        </w:rPr>
        <w:t>élaborer</w:t>
      </w:r>
      <w:proofErr w:type="gramEnd"/>
      <w:r>
        <w:rPr>
          <w:rFonts w:asciiTheme="minorBidi" w:hAnsiTheme="minorBidi" w:cstheme="minorBidi"/>
          <w:iCs/>
          <w:szCs w:val="22"/>
        </w:rPr>
        <w:t xml:space="preserve"> des principes directeurs pour les consultations par correspondance, applicables aussi bien à l</w:t>
      </w:r>
      <w:r w:rsidR="00E75EEB">
        <w:rPr>
          <w:rFonts w:asciiTheme="minorBidi" w:hAnsiTheme="minorBidi" w:cstheme="minorBidi"/>
          <w:iCs/>
          <w:szCs w:val="22"/>
        </w:rPr>
        <w:t>’</w:t>
      </w:r>
      <w:r>
        <w:rPr>
          <w:rFonts w:asciiTheme="minorBidi" w:hAnsiTheme="minorBidi" w:cstheme="minorBidi"/>
          <w:iCs/>
          <w:szCs w:val="22"/>
        </w:rPr>
        <w:t>Assemblée qu</w:t>
      </w:r>
      <w:r w:rsidR="00E75EEB">
        <w:rPr>
          <w:rFonts w:asciiTheme="minorBidi" w:hAnsiTheme="minorBidi" w:cstheme="minorBidi"/>
          <w:iCs/>
          <w:szCs w:val="22"/>
        </w:rPr>
        <w:t>’</w:t>
      </w:r>
      <w:r>
        <w:rPr>
          <w:rFonts w:asciiTheme="minorBidi" w:hAnsiTheme="minorBidi" w:cstheme="minorBidi"/>
          <w:iCs/>
          <w:szCs w:val="22"/>
        </w:rPr>
        <w:t>au Conseil exécutif, sur la base des bonnes pratiques en vigueur et de l</w:t>
      </w:r>
      <w:r w:rsidR="00E75EEB">
        <w:rPr>
          <w:rFonts w:asciiTheme="minorBidi" w:hAnsiTheme="minorBidi" w:cstheme="minorBidi"/>
          <w:iCs/>
          <w:szCs w:val="22"/>
        </w:rPr>
        <w:t>’</w:t>
      </w:r>
      <w:r>
        <w:rPr>
          <w:rFonts w:asciiTheme="minorBidi" w:hAnsiTheme="minorBidi" w:cstheme="minorBidi"/>
          <w:iCs/>
          <w:szCs w:val="22"/>
        </w:rPr>
        <w:t>expérience de l</w:t>
      </w:r>
      <w:r w:rsidR="00E75EEB">
        <w:rPr>
          <w:rFonts w:asciiTheme="minorBidi" w:hAnsiTheme="minorBidi" w:cstheme="minorBidi"/>
          <w:iCs/>
          <w:szCs w:val="22"/>
        </w:rPr>
        <w:t>’</w:t>
      </w:r>
      <w:r>
        <w:rPr>
          <w:rFonts w:asciiTheme="minorBidi" w:hAnsiTheme="minorBidi" w:cstheme="minorBidi"/>
          <w:iCs/>
          <w:szCs w:val="22"/>
        </w:rPr>
        <w:t>UNESCO ;</w:t>
      </w:r>
    </w:p>
    <w:p w14:paraId="3DAF84F7" w14:textId="77777777" w:rsidR="006F52CB" w:rsidRDefault="006F52CB" w:rsidP="008B7C4D">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5B637D">
        <w:rPr>
          <w:rFonts w:asciiTheme="minorBidi" w:hAnsiTheme="minorBidi" w:cstheme="minorBidi"/>
          <w:iCs/>
          <w:szCs w:val="22"/>
        </w:rPr>
        <w:t>inclure</w:t>
      </w:r>
      <w:proofErr w:type="gramEnd"/>
      <w:r w:rsidRPr="005B637D">
        <w:rPr>
          <w:rFonts w:asciiTheme="minorBidi" w:hAnsiTheme="minorBidi" w:cstheme="minorBidi"/>
          <w:iCs/>
          <w:szCs w:val="22"/>
        </w:rPr>
        <w:t xml:space="preserve"> dans le Règlement une disposition concernant la tenue de </w:t>
      </w:r>
      <w:r>
        <w:rPr>
          <w:rFonts w:asciiTheme="minorBidi" w:hAnsiTheme="minorBidi" w:cstheme="minorBidi"/>
          <w:iCs/>
          <w:szCs w:val="22"/>
        </w:rPr>
        <w:t>ré</w:t>
      </w:r>
      <w:r w:rsidRPr="005B637D">
        <w:rPr>
          <w:rFonts w:asciiTheme="minorBidi" w:hAnsiTheme="minorBidi" w:cstheme="minorBidi"/>
          <w:iCs/>
          <w:szCs w:val="22"/>
        </w:rPr>
        <w:t>unions en ligne, mais seulement à titre exceptionnel</w:t>
      </w:r>
      <w:r>
        <w:rPr>
          <w:rFonts w:asciiTheme="minorBidi" w:hAnsiTheme="minorBidi" w:cstheme="minorBidi"/>
          <w:iCs/>
          <w:szCs w:val="22"/>
        </w:rPr>
        <w:t> ;</w:t>
      </w:r>
    </w:p>
    <w:p w14:paraId="118CD206" w14:textId="152F7D94" w:rsidR="006F52CB" w:rsidRPr="005B637D" w:rsidRDefault="006F52CB" w:rsidP="008B7C4D">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Pr>
          <w:rFonts w:asciiTheme="minorBidi" w:hAnsiTheme="minorBidi" w:cstheme="minorBidi"/>
          <w:iCs/>
          <w:szCs w:val="22"/>
        </w:rPr>
        <w:t>soumettre</w:t>
      </w:r>
      <w:proofErr w:type="gramEnd"/>
      <w:r>
        <w:rPr>
          <w:rFonts w:asciiTheme="minorBidi" w:hAnsiTheme="minorBidi" w:cstheme="minorBidi"/>
          <w:iCs/>
          <w:szCs w:val="22"/>
        </w:rPr>
        <w:t xml:space="preserve"> le projet de principes directeurs concernant la tenue de réunions en ligne à l</w:t>
      </w:r>
      <w:r w:rsidR="00E75EEB">
        <w:rPr>
          <w:rFonts w:asciiTheme="minorBidi" w:hAnsiTheme="minorBidi" w:cstheme="minorBidi"/>
          <w:iCs/>
          <w:szCs w:val="22"/>
        </w:rPr>
        <w:t>’</w:t>
      </w:r>
      <w:r>
        <w:rPr>
          <w:rFonts w:asciiTheme="minorBidi" w:hAnsiTheme="minorBidi" w:cstheme="minorBidi"/>
          <w:iCs/>
          <w:szCs w:val="22"/>
        </w:rPr>
        <w:t xml:space="preserve">Assemblée avec le projet de Règlement intérieur révisé.  </w:t>
      </w:r>
    </w:p>
    <w:p w14:paraId="6261DEEF" w14:textId="1C072F2E" w:rsidR="006F52CB" w:rsidRDefault="006F52CB" w:rsidP="006F52CB">
      <w:pPr>
        <w:pStyle w:val="Marge"/>
        <w:rPr>
          <w:rFonts w:asciiTheme="minorBidi" w:hAnsiTheme="minorBidi" w:cstheme="minorBidi"/>
          <w:iCs/>
          <w:szCs w:val="22"/>
        </w:rPr>
      </w:pPr>
      <w:r>
        <w:rPr>
          <w:rFonts w:asciiTheme="minorBidi" w:hAnsiTheme="minorBidi" w:cstheme="minorBidi"/>
          <w:iCs/>
          <w:szCs w:val="22"/>
        </w:rPr>
        <w:t>20.</w:t>
      </w:r>
      <w:r>
        <w:rPr>
          <w:rFonts w:asciiTheme="minorBidi" w:hAnsiTheme="minorBidi" w:cstheme="minorBidi"/>
          <w:iCs/>
          <w:szCs w:val="22"/>
        </w:rPr>
        <w:tab/>
        <w:t>Ces commentaires aideront le Secrétariat à préparer la version pré-finale pour adoption par l</w:t>
      </w:r>
      <w:r w:rsidR="00E75EEB">
        <w:rPr>
          <w:rFonts w:asciiTheme="minorBidi" w:hAnsiTheme="minorBidi" w:cstheme="minorBidi"/>
          <w:iCs/>
          <w:szCs w:val="22"/>
        </w:rPr>
        <w:t>’</w:t>
      </w:r>
      <w:r>
        <w:rPr>
          <w:rFonts w:asciiTheme="minorBidi" w:hAnsiTheme="minorBidi" w:cstheme="minorBidi"/>
          <w:iCs/>
          <w:szCs w:val="22"/>
        </w:rPr>
        <w:t>Assemblée de la COI à sa 32</w:t>
      </w:r>
      <w:r w:rsidRPr="005B637D">
        <w:rPr>
          <w:rFonts w:asciiTheme="minorBidi" w:hAnsiTheme="minorBidi" w:cstheme="minorBidi"/>
          <w:iCs/>
          <w:szCs w:val="22"/>
          <w:vertAlign w:val="superscript"/>
        </w:rPr>
        <w:t>e</w:t>
      </w:r>
      <w:r>
        <w:rPr>
          <w:rFonts w:asciiTheme="minorBidi" w:hAnsiTheme="minorBidi" w:cstheme="minorBidi"/>
          <w:iCs/>
          <w:szCs w:val="22"/>
        </w:rPr>
        <w:t xml:space="preserve"> session en 2023.</w:t>
      </w:r>
    </w:p>
    <w:p w14:paraId="5FB25DD9" w14:textId="77777777" w:rsidR="006F52CB" w:rsidRPr="00B2776E" w:rsidRDefault="006F52CB" w:rsidP="006F52CB">
      <w:pPr>
        <w:numPr>
          <w:ilvl w:val="0"/>
          <w:numId w:val="43"/>
        </w:numPr>
        <w:tabs>
          <w:tab w:val="clear" w:pos="567"/>
        </w:tabs>
        <w:snapToGrid/>
        <w:spacing w:after="240"/>
        <w:ind w:left="567" w:hanging="567"/>
        <w:contextualSpacing/>
        <w:jc w:val="center"/>
        <w:rPr>
          <w:rFonts w:asciiTheme="minorBidi" w:hAnsiTheme="minorBidi" w:cstheme="minorBidi"/>
          <w:b/>
          <w:color w:val="231F20"/>
          <w:szCs w:val="22"/>
        </w:rPr>
      </w:pPr>
      <w:r>
        <w:rPr>
          <w:rFonts w:eastAsia="Calibri" w:cs="Arial"/>
          <w:b/>
          <w:snapToGrid/>
          <w:szCs w:val="22"/>
        </w:rPr>
        <w:t>Rapport sur les</w:t>
      </w:r>
      <w:r w:rsidRPr="00B2776E">
        <w:rPr>
          <w:rFonts w:eastAsia="Calibri" w:cs="Arial"/>
          <w:b/>
          <w:snapToGrid/>
          <w:szCs w:val="22"/>
        </w:rPr>
        <w:t xml:space="preserve"> contributions en nature</w:t>
      </w:r>
    </w:p>
    <w:p w14:paraId="6FA2311B" w14:textId="17C42B75" w:rsidR="006F52CB" w:rsidRPr="00B2776E" w:rsidRDefault="006F52CB" w:rsidP="006F52CB">
      <w:pPr>
        <w:pStyle w:val="Marge"/>
        <w:rPr>
          <w:rFonts w:asciiTheme="minorBidi" w:hAnsiTheme="minorBidi" w:cstheme="minorBidi"/>
          <w:color w:val="231F20"/>
          <w:szCs w:val="22"/>
        </w:rPr>
      </w:pPr>
      <w:r>
        <w:rPr>
          <w:rFonts w:eastAsia="Calibri" w:cs="Arial"/>
          <w:snapToGrid/>
          <w:szCs w:val="22"/>
        </w:rPr>
        <w:t>21.</w:t>
      </w:r>
      <w:r>
        <w:rPr>
          <w:rFonts w:eastAsia="Calibri" w:cs="Arial"/>
          <w:snapToGrid/>
          <w:szCs w:val="22"/>
        </w:rPr>
        <w:tab/>
      </w:r>
      <w:r w:rsidRPr="00B2776E">
        <w:rPr>
          <w:rFonts w:eastAsia="Calibri" w:cs="Arial"/>
          <w:snapToGrid/>
          <w:szCs w:val="22"/>
        </w:rPr>
        <w:t>Par sa résolution A-31/2, l</w:t>
      </w:r>
      <w:r w:rsidR="00E75EEB">
        <w:rPr>
          <w:rFonts w:eastAsia="Calibri" w:cs="Arial"/>
          <w:snapToGrid/>
          <w:szCs w:val="22"/>
        </w:rPr>
        <w:t>’</w:t>
      </w:r>
      <w:r w:rsidRPr="00B2776E">
        <w:rPr>
          <w:rFonts w:eastAsia="Calibri" w:cs="Arial"/>
          <w:snapToGrid/>
          <w:szCs w:val="22"/>
        </w:rPr>
        <w:t>Assemblée de la COI a invité le Groupe consultatif financier intersessions (IFAG) à élaborer une proposition d</w:t>
      </w:r>
      <w:r w:rsidR="00E75EEB">
        <w:rPr>
          <w:rFonts w:eastAsia="Calibri" w:cs="Arial"/>
          <w:snapToGrid/>
          <w:szCs w:val="22"/>
        </w:rPr>
        <w:t>’</w:t>
      </w:r>
      <w:r w:rsidRPr="00B2776E">
        <w:rPr>
          <w:rFonts w:eastAsia="Calibri" w:cs="Arial"/>
          <w:snapToGrid/>
          <w:szCs w:val="22"/>
        </w:rPr>
        <w:t>approche et de méthode systématiques pour la notification des contributions en nature, qui soit conforme aux principes directeurs actualisés pour la programmation et la budgétisation […] ainsi qu</w:t>
      </w:r>
      <w:r w:rsidR="00E75EEB">
        <w:rPr>
          <w:rFonts w:eastAsia="Calibri" w:cs="Arial"/>
          <w:snapToGrid/>
          <w:szCs w:val="22"/>
        </w:rPr>
        <w:t>’</w:t>
      </w:r>
      <w:r w:rsidRPr="00B2776E">
        <w:rPr>
          <w:rFonts w:eastAsia="Calibri" w:cs="Arial"/>
          <w:snapToGrid/>
          <w:szCs w:val="22"/>
        </w:rPr>
        <w:t>à l</w:t>
      </w:r>
      <w:r w:rsidR="00E75EEB">
        <w:rPr>
          <w:rFonts w:eastAsia="Calibri" w:cs="Arial"/>
          <w:snapToGrid/>
          <w:szCs w:val="22"/>
        </w:rPr>
        <w:t>’</w:t>
      </w:r>
      <w:r w:rsidRPr="00B2776E">
        <w:rPr>
          <w:rFonts w:eastAsia="Calibri" w:cs="Arial"/>
          <w:snapToGrid/>
          <w:szCs w:val="22"/>
        </w:rPr>
        <w:t>article 10 des Statuts de la COI, en vue de son examen par l</w:t>
      </w:r>
      <w:r w:rsidR="00E75EEB">
        <w:rPr>
          <w:rFonts w:eastAsia="Calibri" w:cs="Arial"/>
          <w:snapToGrid/>
          <w:szCs w:val="22"/>
        </w:rPr>
        <w:t>’</w:t>
      </w:r>
      <w:r w:rsidRPr="00B2776E">
        <w:rPr>
          <w:rFonts w:eastAsia="Calibri" w:cs="Arial"/>
          <w:snapToGrid/>
          <w:szCs w:val="22"/>
        </w:rPr>
        <w:t>Assemblée de la Commission à sa 32</w:t>
      </w:r>
      <w:r w:rsidRPr="00B2776E">
        <w:rPr>
          <w:rFonts w:eastAsia="Calibri" w:cs="Arial"/>
          <w:snapToGrid/>
          <w:szCs w:val="22"/>
          <w:vertAlign w:val="superscript"/>
        </w:rPr>
        <w:t>e</w:t>
      </w:r>
      <w:r w:rsidRPr="00B2776E">
        <w:rPr>
          <w:rFonts w:eastAsia="Calibri" w:cs="Arial"/>
          <w:snapToGrid/>
          <w:szCs w:val="22"/>
        </w:rPr>
        <w:t> session</w:t>
      </w:r>
      <w:r w:rsidRPr="00B2776E">
        <w:rPr>
          <w:rFonts w:asciiTheme="minorBidi" w:hAnsiTheme="minorBidi" w:cstheme="minorBidi"/>
          <w:color w:val="231F20"/>
          <w:szCs w:val="22"/>
        </w:rPr>
        <w:t>.</w:t>
      </w:r>
    </w:p>
    <w:p w14:paraId="3C42C29C" w14:textId="682D32B1" w:rsidR="006F52CB" w:rsidRPr="00B2776E" w:rsidRDefault="006F52CB" w:rsidP="006F52CB">
      <w:pPr>
        <w:pStyle w:val="Marge"/>
        <w:rPr>
          <w:rFonts w:asciiTheme="minorBidi" w:hAnsiTheme="minorBidi" w:cstheme="minorBidi"/>
          <w:color w:val="231F20"/>
          <w:szCs w:val="22"/>
        </w:rPr>
      </w:pPr>
      <w:r>
        <w:rPr>
          <w:rFonts w:eastAsia="Calibri" w:cs="Arial"/>
          <w:snapToGrid/>
          <w:szCs w:val="22"/>
        </w:rPr>
        <w:t>22.</w:t>
      </w:r>
      <w:r>
        <w:rPr>
          <w:rFonts w:eastAsia="Calibri" w:cs="Arial"/>
          <w:snapToGrid/>
          <w:szCs w:val="22"/>
        </w:rPr>
        <w:tab/>
      </w:r>
      <w:r w:rsidRPr="00B2776E">
        <w:rPr>
          <w:rFonts w:eastAsia="Calibri" w:cs="Arial"/>
          <w:snapToGrid/>
          <w:szCs w:val="22"/>
        </w:rPr>
        <w:t>Pour ses travaux sur cette question lors de la période intersessions</w:t>
      </w:r>
      <w:r w:rsidR="005E1583">
        <w:rPr>
          <w:rFonts w:eastAsia="Calibri" w:cs="Arial"/>
          <w:snapToGrid/>
          <w:szCs w:val="22"/>
        </w:rPr>
        <w:t>,</w:t>
      </w:r>
      <w:r w:rsidRPr="00B2776E">
        <w:rPr>
          <w:rFonts w:eastAsia="Calibri" w:cs="Arial"/>
          <w:snapToGrid/>
          <w:szCs w:val="22"/>
        </w:rPr>
        <w:t xml:space="preserve"> l</w:t>
      </w:r>
      <w:r w:rsidR="00E75EEB">
        <w:rPr>
          <w:rFonts w:eastAsia="Calibri" w:cs="Arial"/>
          <w:snapToGrid/>
          <w:szCs w:val="22"/>
        </w:rPr>
        <w:t>’</w:t>
      </w:r>
      <w:r w:rsidRPr="00B2776E">
        <w:rPr>
          <w:rFonts w:eastAsia="Calibri" w:cs="Arial"/>
          <w:snapToGrid/>
          <w:szCs w:val="22"/>
        </w:rPr>
        <w:t>IFAG s</w:t>
      </w:r>
      <w:r w:rsidR="00E75EEB">
        <w:rPr>
          <w:rFonts w:eastAsia="Calibri" w:cs="Arial"/>
          <w:snapToGrid/>
          <w:szCs w:val="22"/>
        </w:rPr>
        <w:t>’</w:t>
      </w:r>
      <w:r w:rsidRPr="00B2776E">
        <w:rPr>
          <w:rFonts w:eastAsia="Calibri" w:cs="Arial"/>
          <w:snapToGrid/>
          <w:szCs w:val="22"/>
        </w:rPr>
        <w:t xml:space="preserve">est appuyé sur sa </w:t>
      </w:r>
      <w:hyperlink r:id="rId16" w:history="1">
        <w:r w:rsidRPr="00757293">
          <w:rPr>
            <w:rStyle w:val="Lienhypertexte"/>
            <w:rFonts w:eastAsia="DengXian" w:cs="Arial"/>
            <w:szCs w:val="22"/>
            <w:lang w:eastAsia="en-GB"/>
          </w:rPr>
          <w:t>Note de travail 1</w:t>
        </w:r>
      </w:hyperlink>
      <w:r w:rsidRPr="00EC2809">
        <w:rPr>
          <w:rStyle w:val="Lienhypertexte"/>
          <w:rFonts w:eastAsia="DengXian"/>
          <w:color w:val="auto"/>
          <w:u w:val="none"/>
          <w:lang w:eastAsia="en-GB"/>
        </w:rPr>
        <w:t>.</w:t>
      </w:r>
      <w:r w:rsidRPr="00EC2809">
        <w:rPr>
          <w:rFonts w:eastAsia="Calibri" w:cs="Arial"/>
          <w:snapToGrid/>
          <w:szCs w:val="22"/>
        </w:rPr>
        <w:t xml:space="preserve"> </w:t>
      </w:r>
      <w:r w:rsidRPr="00B2776E">
        <w:rPr>
          <w:rFonts w:eastAsia="Calibri" w:cs="Arial"/>
          <w:snapToGrid/>
          <w:szCs w:val="22"/>
        </w:rPr>
        <w:t>Les membres du Groupe ont approuvé l</w:t>
      </w:r>
      <w:r w:rsidR="00E75EEB">
        <w:rPr>
          <w:rFonts w:eastAsia="Calibri" w:cs="Arial"/>
          <w:snapToGrid/>
          <w:szCs w:val="22"/>
        </w:rPr>
        <w:t>’</w:t>
      </w:r>
      <w:r w:rsidRPr="00B2776E">
        <w:rPr>
          <w:rFonts w:eastAsia="Calibri" w:cs="Arial"/>
          <w:snapToGrid/>
          <w:szCs w:val="22"/>
        </w:rPr>
        <w:t>approche proposée, tout en soulignant les points suivants :</w:t>
      </w:r>
    </w:p>
    <w:p w14:paraId="6830A06E" w14:textId="2B8B0D46" w:rsidR="006F52CB" w:rsidRPr="00B2776E" w:rsidRDefault="006F52CB" w:rsidP="006F52CB">
      <w:pPr>
        <w:numPr>
          <w:ilvl w:val="0"/>
          <w:numId w:val="44"/>
        </w:numPr>
        <w:shd w:val="clear" w:color="auto" w:fill="FFFFFF"/>
        <w:tabs>
          <w:tab w:val="clear" w:pos="567"/>
        </w:tabs>
        <w:snapToGrid/>
        <w:spacing w:after="240"/>
        <w:ind w:left="851" w:hanging="284"/>
        <w:jc w:val="both"/>
        <w:rPr>
          <w:rFonts w:asciiTheme="minorBidi" w:hAnsiTheme="minorBidi" w:cstheme="minorBidi"/>
          <w:color w:val="231F20"/>
          <w:szCs w:val="22"/>
        </w:rPr>
      </w:pPr>
      <w:proofErr w:type="gramStart"/>
      <w:r w:rsidRPr="00B2776E">
        <w:rPr>
          <w:rFonts w:asciiTheme="minorBidi" w:hAnsiTheme="minorBidi" w:cstheme="minorBidi"/>
          <w:color w:val="231F20"/>
          <w:szCs w:val="22"/>
        </w:rPr>
        <w:t>l</w:t>
      </w:r>
      <w:r w:rsidR="00E75EEB">
        <w:rPr>
          <w:rFonts w:asciiTheme="minorBidi" w:hAnsiTheme="minorBidi" w:cstheme="minorBidi"/>
          <w:color w:val="231F20"/>
          <w:szCs w:val="22"/>
        </w:rPr>
        <w:t>’</w:t>
      </w:r>
      <w:r w:rsidRPr="00B2776E">
        <w:rPr>
          <w:rFonts w:asciiTheme="minorBidi" w:hAnsiTheme="minorBidi" w:cstheme="minorBidi"/>
          <w:color w:val="231F20"/>
          <w:szCs w:val="22"/>
        </w:rPr>
        <w:t>approche</w:t>
      </w:r>
      <w:proofErr w:type="gramEnd"/>
      <w:r w:rsidRPr="00B2776E">
        <w:rPr>
          <w:rFonts w:asciiTheme="minorBidi" w:hAnsiTheme="minorBidi" w:cstheme="minorBidi"/>
          <w:color w:val="231F20"/>
          <w:szCs w:val="22"/>
        </w:rPr>
        <w:t xml:space="preserve"> plus systématique proposée pour rendre compte des contributions en nature est la bienvenue, car elle est plus inclusive et équitable</w:t>
      </w:r>
      <w:r w:rsidR="00D851B5">
        <w:rPr>
          <w:rFonts w:asciiTheme="minorBidi" w:hAnsiTheme="minorBidi" w:cstheme="minorBidi"/>
          <w:color w:val="231F20"/>
          <w:szCs w:val="22"/>
        </w:rPr>
        <w:t> </w:t>
      </w:r>
      <w:r w:rsidRPr="00B2776E">
        <w:rPr>
          <w:rFonts w:asciiTheme="minorBidi" w:hAnsiTheme="minorBidi" w:cstheme="minorBidi"/>
          <w:color w:val="231F20"/>
          <w:szCs w:val="22"/>
        </w:rPr>
        <w:t>;</w:t>
      </w:r>
    </w:p>
    <w:p w14:paraId="2C8779EC" w14:textId="71C6E0D4" w:rsidR="006F52CB" w:rsidRPr="00B2776E" w:rsidRDefault="006F52CB" w:rsidP="006F52CB">
      <w:pPr>
        <w:numPr>
          <w:ilvl w:val="0"/>
          <w:numId w:val="44"/>
        </w:numPr>
        <w:shd w:val="clear" w:color="auto" w:fill="FFFFFF"/>
        <w:tabs>
          <w:tab w:val="clear" w:pos="567"/>
        </w:tabs>
        <w:snapToGrid/>
        <w:spacing w:after="240"/>
        <w:ind w:left="851" w:hanging="284"/>
        <w:jc w:val="both"/>
        <w:rPr>
          <w:rFonts w:asciiTheme="minorBidi" w:hAnsiTheme="minorBidi" w:cstheme="minorBidi"/>
          <w:color w:val="231F20"/>
          <w:szCs w:val="22"/>
        </w:rPr>
      </w:pPr>
      <w:proofErr w:type="gramStart"/>
      <w:r w:rsidRPr="00B2776E">
        <w:rPr>
          <w:rFonts w:asciiTheme="minorBidi" w:hAnsiTheme="minorBidi" w:cstheme="minorBidi"/>
          <w:color w:val="231F20"/>
          <w:szCs w:val="22"/>
        </w:rPr>
        <w:t>outre</w:t>
      </w:r>
      <w:proofErr w:type="gramEnd"/>
      <w:r w:rsidRPr="00B2776E">
        <w:rPr>
          <w:rFonts w:asciiTheme="minorBidi" w:hAnsiTheme="minorBidi" w:cstheme="minorBidi"/>
          <w:color w:val="231F20"/>
          <w:szCs w:val="22"/>
        </w:rPr>
        <w:t xml:space="preserve"> les principes directeurs énoncés dans la note de travail, les contributions en nature déclarées doivent être nécessaires à la réalisation des objectifs de la COI et auraient fait l</w:t>
      </w:r>
      <w:r w:rsidR="00E75EEB">
        <w:rPr>
          <w:rFonts w:asciiTheme="minorBidi" w:hAnsiTheme="minorBidi" w:cstheme="minorBidi"/>
          <w:color w:val="231F20"/>
          <w:szCs w:val="22"/>
        </w:rPr>
        <w:t>’</w:t>
      </w:r>
      <w:r w:rsidRPr="00B2776E">
        <w:rPr>
          <w:rFonts w:asciiTheme="minorBidi" w:hAnsiTheme="minorBidi" w:cstheme="minorBidi"/>
          <w:color w:val="231F20"/>
          <w:szCs w:val="22"/>
        </w:rPr>
        <w:t>objet de dépenses de la COI sur son propre budget si elles n</w:t>
      </w:r>
      <w:r w:rsidR="00E75EEB">
        <w:rPr>
          <w:rFonts w:asciiTheme="minorBidi" w:hAnsiTheme="minorBidi" w:cstheme="minorBidi"/>
          <w:color w:val="231F20"/>
          <w:szCs w:val="22"/>
        </w:rPr>
        <w:t>’</w:t>
      </w:r>
      <w:r w:rsidRPr="00B2776E">
        <w:rPr>
          <w:rFonts w:asciiTheme="minorBidi" w:hAnsiTheme="minorBidi" w:cstheme="minorBidi"/>
          <w:color w:val="231F20"/>
          <w:szCs w:val="22"/>
        </w:rPr>
        <w:t>avaient pas été fournies</w:t>
      </w:r>
      <w:r w:rsidR="00D851B5">
        <w:rPr>
          <w:rFonts w:asciiTheme="minorBidi" w:hAnsiTheme="minorBidi" w:cstheme="minorBidi"/>
          <w:color w:val="231F20"/>
          <w:szCs w:val="22"/>
        </w:rPr>
        <w:t> </w:t>
      </w:r>
      <w:r w:rsidRPr="00B2776E">
        <w:rPr>
          <w:rFonts w:asciiTheme="minorBidi" w:hAnsiTheme="minorBidi" w:cstheme="minorBidi"/>
          <w:color w:val="231F20"/>
          <w:szCs w:val="22"/>
        </w:rPr>
        <w:t>;</w:t>
      </w:r>
    </w:p>
    <w:p w14:paraId="645D2408" w14:textId="6406562A" w:rsidR="006F52CB" w:rsidRPr="00B2776E" w:rsidRDefault="006F52CB" w:rsidP="006F52CB">
      <w:pPr>
        <w:numPr>
          <w:ilvl w:val="0"/>
          <w:numId w:val="44"/>
        </w:numPr>
        <w:shd w:val="clear" w:color="auto" w:fill="FFFFFF"/>
        <w:tabs>
          <w:tab w:val="clear" w:pos="567"/>
        </w:tabs>
        <w:snapToGrid/>
        <w:spacing w:after="240"/>
        <w:ind w:left="851" w:hanging="284"/>
        <w:jc w:val="both"/>
        <w:rPr>
          <w:rFonts w:asciiTheme="minorBidi" w:hAnsiTheme="minorBidi" w:cstheme="minorBidi"/>
          <w:color w:val="231F20"/>
          <w:szCs w:val="22"/>
        </w:rPr>
      </w:pPr>
      <w:proofErr w:type="gramStart"/>
      <w:r w:rsidRPr="00B2776E">
        <w:rPr>
          <w:rFonts w:asciiTheme="minorBidi" w:hAnsiTheme="minorBidi" w:cstheme="minorBidi"/>
          <w:color w:val="231F20"/>
          <w:szCs w:val="22"/>
        </w:rPr>
        <w:lastRenderedPageBreak/>
        <w:t>tous</w:t>
      </w:r>
      <w:proofErr w:type="gramEnd"/>
      <w:r w:rsidRPr="00B2776E">
        <w:rPr>
          <w:rFonts w:asciiTheme="minorBidi" w:hAnsiTheme="minorBidi" w:cstheme="minorBidi"/>
          <w:color w:val="231F20"/>
          <w:szCs w:val="22"/>
        </w:rPr>
        <w:t xml:space="preserve"> les types de dépenses effectuées au niveau national pour la participation à des programmes, des activités, etc., dont les bénéficiaires de la valeur de ces dépenses sont également nationaux, n</w:t>
      </w:r>
      <w:r w:rsidR="00E75EEB">
        <w:rPr>
          <w:rFonts w:asciiTheme="minorBidi" w:hAnsiTheme="minorBidi" w:cstheme="minorBidi"/>
          <w:color w:val="231F20"/>
          <w:szCs w:val="22"/>
        </w:rPr>
        <w:t>’</w:t>
      </w:r>
      <w:r w:rsidRPr="00B2776E">
        <w:rPr>
          <w:rFonts w:asciiTheme="minorBidi" w:hAnsiTheme="minorBidi" w:cstheme="minorBidi"/>
          <w:color w:val="231F20"/>
          <w:szCs w:val="22"/>
        </w:rPr>
        <w:t>entrent pas en principe dans la catégorie des contributions en nature</w:t>
      </w:r>
      <w:r w:rsidR="00D851B5">
        <w:rPr>
          <w:rFonts w:asciiTheme="minorBidi" w:hAnsiTheme="minorBidi" w:cstheme="minorBidi"/>
          <w:color w:val="231F20"/>
          <w:szCs w:val="22"/>
        </w:rPr>
        <w:t> </w:t>
      </w:r>
      <w:r w:rsidRPr="00B2776E">
        <w:rPr>
          <w:rFonts w:asciiTheme="minorBidi" w:hAnsiTheme="minorBidi" w:cstheme="minorBidi"/>
          <w:color w:val="231F20"/>
          <w:szCs w:val="22"/>
        </w:rPr>
        <w:t>;</w:t>
      </w:r>
    </w:p>
    <w:p w14:paraId="643C23D1" w14:textId="2A8CF5A6" w:rsidR="006F52CB" w:rsidRPr="00B2776E" w:rsidRDefault="006F52CB" w:rsidP="006F52CB">
      <w:pPr>
        <w:numPr>
          <w:ilvl w:val="0"/>
          <w:numId w:val="44"/>
        </w:numPr>
        <w:shd w:val="clear" w:color="auto" w:fill="FFFFFF"/>
        <w:tabs>
          <w:tab w:val="clear" w:pos="567"/>
        </w:tabs>
        <w:snapToGrid/>
        <w:spacing w:after="240"/>
        <w:ind w:left="851" w:hanging="284"/>
        <w:jc w:val="both"/>
        <w:rPr>
          <w:rFonts w:asciiTheme="minorBidi" w:hAnsiTheme="minorBidi" w:cstheme="minorBidi"/>
          <w:color w:val="231F20"/>
          <w:szCs w:val="22"/>
        </w:rPr>
      </w:pPr>
      <w:proofErr w:type="gramStart"/>
      <w:r w:rsidRPr="00B2776E">
        <w:rPr>
          <w:rFonts w:asciiTheme="minorBidi" w:hAnsiTheme="minorBidi" w:cstheme="minorBidi"/>
          <w:color w:val="231F20"/>
          <w:szCs w:val="22"/>
        </w:rPr>
        <w:t>les</w:t>
      </w:r>
      <w:proofErr w:type="gramEnd"/>
      <w:r w:rsidRPr="00B2776E">
        <w:rPr>
          <w:rFonts w:asciiTheme="minorBidi" w:hAnsiTheme="minorBidi" w:cstheme="minorBidi"/>
          <w:color w:val="231F20"/>
          <w:szCs w:val="22"/>
        </w:rPr>
        <w:t xml:space="preserve"> contributions volontaires (extrabudgétaires) pécuniaires au budget de la COI, que la Commission elle-même peut utiliser, sont clairement distinctes des contributions en nature, pour lesquelles la COI bénéficie de la valeur de cette contribution, par opposition au fait de tirer un avantage direct de ses propres dépenses en espèces</w:t>
      </w:r>
      <w:r w:rsidR="00D851B5">
        <w:rPr>
          <w:rFonts w:asciiTheme="minorBidi" w:hAnsiTheme="minorBidi" w:cstheme="minorBidi"/>
          <w:color w:val="231F20"/>
          <w:szCs w:val="22"/>
        </w:rPr>
        <w:t> </w:t>
      </w:r>
      <w:r w:rsidRPr="00B2776E">
        <w:rPr>
          <w:rFonts w:asciiTheme="minorBidi" w:hAnsiTheme="minorBidi" w:cstheme="minorBidi"/>
          <w:color w:val="231F20"/>
          <w:szCs w:val="22"/>
        </w:rPr>
        <w:t>;</w:t>
      </w:r>
    </w:p>
    <w:p w14:paraId="7236EBC1" w14:textId="0DDEF658" w:rsidR="006F52CB" w:rsidRPr="00B2776E" w:rsidRDefault="006F52CB" w:rsidP="006F52CB">
      <w:pPr>
        <w:numPr>
          <w:ilvl w:val="0"/>
          <w:numId w:val="44"/>
        </w:numPr>
        <w:shd w:val="clear" w:color="auto" w:fill="FFFFFF"/>
        <w:tabs>
          <w:tab w:val="clear" w:pos="567"/>
        </w:tabs>
        <w:snapToGrid/>
        <w:spacing w:after="240"/>
        <w:ind w:left="851" w:hanging="284"/>
        <w:jc w:val="both"/>
        <w:rPr>
          <w:rFonts w:asciiTheme="minorBidi" w:hAnsiTheme="minorBidi" w:cstheme="minorBidi"/>
          <w:color w:val="231F20"/>
          <w:szCs w:val="22"/>
        </w:rPr>
      </w:pPr>
      <w:proofErr w:type="gramStart"/>
      <w:r w:rsidRPr="00B2776E">
        <w:rPr>
          <w:rFonts w:asciiTheme="minorBidi" w:hAnsiTheme="minorBidi" w:cstheme="minorBidi"/>
          <w:color w:val="231F20"/>
          <w:szCs w:val="22"/>
        </w:rPr>
        <w:t>la</w:t>
      </w:r>
      <w:proofErr w:type="gramEnd"/>
      <w:r w:rsidRPr="00B2776E">
        <w:rPr>
          <w:rFonts w:asciiTheme="minorBidi" w:hAnsiTheme="minorBidi" w:cstheme="minorBidi"/>
          <w:color w:val="231F20"/>
          <w:szCs w:val="22"/>
        </w:rPr>
        <w:t xml:space="preserve"> valeur des contributions en nature doit être directement exprimée au prix du marché, c</w:t>
      </w:r>
      <w:r w:rsidR="00E75EEB">
        <w:rPr>
          <w:rFonts w:asciiTheme="minorBidi" w:hAnsiTheme="minorBidi" w:cstheme="minorBidi"/>
          <w:color w:val="231F20"/>
          <w:szCs w:val="22"/>
        </w:rPr>
        <w:t>’</w:t>
      </w:r>
      <w:r w:rsidRPr="00B2776E">
        <w:rPr>
          <w:rFonts w:asciiTheme="minorBidi" w:hAnsiTheme="minorBidi" w:cstheme="minorBidi"/>
          <w:color w:val="231F20"/>
          <w:szCs w:val="22"/>
        </w:rPr>
        <w:t>est-à-dire correspondre à la dépense engagée par la partie qui apporte la contribution</w:t>
      </w:r>
      <w:r w:rsidR="003B3B93">
        <w:rPr>
          <w:rFonts w:asciiTheme="minorBidi" w:hAnsiTheme="minorBidi" w:cstheme="minorBidi"/>
          <w:color w:val="231F20"/>
          <w:szCs w:val="22"/>
        </w:rPr>
        <w:t> </w:t>
      </w:r>
      <w:r w:rsidRPr="00B2776E">
        <w:rPr>
          <w:rFonts w:asciiTheme="minorBidi" w:hAnsiTheme="minorBidi" w:cstheme="minorBidi"/>
          <w:color w:val="231F20"/>
          <w:szCs w:val="22"/>
        </w:rPr>
        <w:t>–</w:t>
      </w:r>
      <w:r w:rsidR="003B3B93">
        <w:rPr>
          <w:rFonts w:asciiTheme="minorBidi" w:hAnsiTheme="minorBidi" w:cstheme="minorBidi"/>
          <w:color w:val="231F20"/>
          <w:szCs w:val="22"/>
        </w:rPr>
        <w:t> </w:t>
      </w:r>
      <w:r w:rsidRPr="00B2776E">
        <w:rPr>
          <w:rFonts w:asciiTheme="minorBidi" w:hAnsiTheme="minorBidi" w:cstheme="minorBidi"/>
          <w:color w:val="231F20"/>
          <w:szCs w:val="22"/>
        </w:rPr>
        <w:t>c</w:t>
      </w:r>
      <w:r w:rsidR="00E75EEB">
        <w:rPr>
          <w:rFonts w:asciiTheme="minorBidi" w:hAnsiTheme="minorBidi" w:cstheme="minorBidi"/>
          <w:color w:val="231F20"/>
          <w:szCs w:val="22"/>
        </w:rPr>
        <w:t>’</w:t>
      </w:r>
      <w:r w:rsidRPr="00B2776E">
        <w:rPr>
          <w:rFonts w:asciiTheme="minorBidi" w:hAnsiTheme="minorBidi" w:cstheme="minorBidi"/>
          <w:color w:val="231F20"/>
          <w:szCs w:val="22"/>
        </w:rPr>
        <w:t>est le cas lorsque la contribution est consacrée à 100</w:t>
      </w:r>
      <w:r w:rsidR="003B3B93">
        <w:rPr>
          <w:rFonts w:asciiTheme="minorBidi" w:hAnsiTheme="minorBidi" w:cstheme="minorBidi"/>
          <w:color w:val="231F20"/>
          <w:szCs w:val="22"/>
        </w:rPr>
        <w:t> </w:t>
      </w:r>
      <w:r w:rsidRPr="00B2776E">
        <w:rPr>
          <w:rFonts w:asciiTheme="minorBidi" w:hAnsiTheme="minorBidi" w:cstheme="minorBidi"/>
          <w:color w:val="231F20"/>
          <w:szCs w:val="22"/>
        </w:rPr>
        <w:t>% aux objectifs de l</w:t>
      </w:r>
      <w:r w:rsidR="00E75EEB">
        <w:rPr>
          <w:rFonts w:asciiTheme="minorBidi" w:hAnsiTheme="minorBidi" w:cstheme="minorBidi"/>
          <w:color w:val="231F20"/>
          <w:szCs w:val="22"/>
        </w:rPr>
        <w:t>’</w:t>
      </w:r>
      <w:r w:rsidRPr="00B2776E">
        <w:rPr>
          <w:rFonts w:asciiTheme="minorBidi" w:hAnsiTheme="minorBidi" w:cstheme="minorBidi"/>
          <w:color w:val="231F20"/>
          <w:szCs w:val="22"/>
        </w:rPr>
        <w:t>organisme bénéficiaire</w:t>
      </w:r>
      <w:r w:rsidR="00D851B5">
        <w:rPr>
          <w:rFonts w:asciiTheme="minorBidi" w:hAnsiTheme="minorBidi" w:cstheme="minorBidi"/>
          <w:color w:val="231F20"/>
          <w:szCs w:val="22"/>
        </w:rPr>
        <w:t> </w:t>
      </w:r>
      <w:r w:rsidRPr="00B2776E">
        <w:rPr>
          <w:rFonts w:asciiTheme="minorBidi" w:hAnsiTheme="minorBidi" w:cstheme="minorBidi"/>
          <w:color w:val="231F20"/>
          <w:szCs w:val="22"/>
        </w:rPr>
        <w:t>;</w:t>
      </w:r>
    </w:p>
    <w:p w14:paraId="3FFF3B5B" w14:textId="42DDD95D" w:rsidR="006F52CB" w:rsidRPr="00B2776E" w:rsidRDefault="006F52CB" w:rsidP="006F52CB">
      <w:pPr>
        <w:numPr>
          <w:ilvl w:val="0"/>
          <w:numId w:val="44"/>
        </w:numPr>
        <w:shd w:val="clear" w:color="auto" w:fill="FFFFFF"/>
        <w:tabs>
          <w:tab w:val="clear" w:pos="567"/>
        </w:tabs>
        <w:snapToGrid/>
        <w:spacing w:after="240"/>
        <w:ind w:left="851" w:hanging="284"/>
        <w:jc w:val="both"/>
        <w:rPr>
          <w:rFonts w:asciiTheme="minorBidi" w:hAnsiTheme="minorBidi" w:cstheme="minorBidi"/>
          <w:iCs/>
          <w:szCs w:val="22"/>
        </w:rPr>
      </w:pPr>
      <w:proofErr w:type="gramStart"/>
      <w:r w:rsidRPr="00B2776E">
        <w:rPr>
          <w:rFonts w:asciiTheme="minorBidi" w:hAnsiTheme="minorBidi" w:cstheme="minorBidi"/>
          <w:color w:val="231F20"/>
          <w:szCs w:val="22"/>
        </w:rPr>
        <w:t>le</w:t>
      </w:r>
      <w:proofErr w:type="gramEnd"/>
      <w:r w:rsidRPr="00B2776E">
        <w:rPr>
          <w:rFonts w:asciiTheme="minorBidi" w:hAnsiTheme="minorBidi" w:cstheme="minorBidi"/>
          <w:color w:val="231F20"/>
          <w:szCs w:val="22"/>
        </w:rPr>
        <w:t xml:space="preserve"> terme «</w:t>
      </w:r>
      <w:r w:rsidR="003B3B93">
        <w:rPr>
          <w:rFonts w:asciiTheme="minorBidi" w:hAnsiTheme="minorBidi" w:cstheme="minorBidi"/>
          <w:color w:val="231F20"/>
          <w:szCs w:val="22"/>
        </w:rPr>
        <w:t> </w:t>
      </w:r>
      <w:r w:rsidRPr="00B2776E">
        <w:rPr>
          <w:rFonts w:asciiTheme="minorBidi" w:hAnsiTheme="minorBidi" w:cstheme="minorBidi"/>
          <w:color w:val="231F20"/>
          <w:szCs w:val="22"/>
        </w:rPr>
        <w:t>contributeur</w:t>
      </w:r>
      <w:r w:rsidR="003B3B93">
        <w:rPr>
          <w:rFonts w:asciiTheme="minorBidi" w:hAnsiTheme="minorBidi" w:cstheme="minorBidi"/>
          <w:color w:val="231F20"/>
          <w:szCs w:val="22"/>
        </w:rPr>
        <w:t> </w:t>
      </w:r>
      <w:r w:rsidRPr="00B2776E">
        <w:rPr>
          <w:rFonts w:asciiTheme="minorBidi" w:hAnsiTheme="minorBidi" w:cstheme="minorBidi"/>
          <w:color w:val="231F20"/>
          <w:szCs w:val="22"/>
        </w:rPr>
        <w:t>» pourrait être plus approprié que le terme «</w:t>
      </w:r>
      <w:r w:rsidR="003B3B93">
        <w:rPr>
          <w:rFonts w:asciiTheme="minorBidi" w:hAnsiTheme="minorBidi" w:cstheme="minorBidi"/>
          <w:color w:val="231F20"/>
          <w:szCs w:val="22"/>
        </w:rPr>
        <w:t> </w:t>
      </w:r>
      <w:r w:rsidRPr="00B2776E">
        <w:rPr>
          <w:rFonts w:asciiTheme="minorBidi" w:hAnsiTheme="minorBidi" w:cstheme="minorBidi"/>
          <w:color w:val="231F20"/>
          <w:szCs w:val="22"/>
        </w:rPr>
        <w:t>donateur</w:t>
      </w:r>
      <w:r w:rsidR="003B3B93">
        <w:rPr>
          <w:rFonts w:asciiTheme="minorBidi" w:hAnsiTheme="minorBidi" w:cstheme="minorBidi"/>
          <w:color w:val="231F20"/>
          <w:szCs w:val="22"/>
        </w:rPr>
        <w:t> </w:t>
      </w:r>
      <w:r w:rsidRPr="00B2776E">
        <w:rPr>
          <w:rFonts w:asciiTheme="minorBidi" w:hAnsiTheme="minorBidi" w:cstheme="minorBidi"/>
          <w:color w:val="231F20"/>
          <w:szCs w:val="22"/>
        </w:rPr>
        <w:t xml:space="preserve">» pour le modèle de rapport (réf. </w:t>
      </w:r>
      <w:r w:rsidR="000C3CF8">
        <w:rPr>
          <w:rFonts w:asciiTheme="minorBidi" w:hAnsiTheme="minorBidi" w:cstheme="minorBidi"/>
          <w:color w:val="231F20"/>
          <w:szCs w:val="22"/>
        </w:rPr>
        <w:t>a</w:t>
      </w:r>
      <w:r w:rsidRPr="00B2776E">
        <w:rPr>
          <w:rFonts w:asciiTheme="minorBidi" w:hAnsiTheme="minorBidi" w:cstheme="minorBidi"/>
          <w:color w:val="231F20"/>
          <w:szCs w:val="22"/>
        </w:rPr>
        <w:t>nnexe III de la Note de travail 1 de l</w:t>
      </w:r>
      <w:r w:rsidR="00E75EEB">
        <w:rPr>
          <w:rFonts w:asciiTheme="minorBidi" w:hAnsiTheme="minorBidi" w:cstheme="minorBidi"/>
          <w:color w:val="231F20"/>
          <w:szCs w:val="22"/>
        </w:rPr>
        <w:t>’</w:t>
      </w:r>
      <w:r w:rsidRPr="00B2776E">
        <w:rPr>
          <w:rFonts w:asciiTheme="minorBidi" w:hAnsiTheme="minorBidi" w:cstheme="minorBidi"/>
          <w:color w:val="231F20"/>
          <w:szCs w:val="22"/>
        </w:rPr>
        <w:t>IFAG), afin d</w:t>
      </w:r>
      <w:r w:rsidR="00E75EEB">
        <w:rPr>
          <w:rFonts w:asciiTheme="minorBidi" w:hAnsiTheme="minorBidi" w:cstheme="minorBidi"/>
          <w:color w:val="231F20"/>
          <w:szCs w:val="22"/>
        </w:rPr>
        <w:t>’</w:t>
      </w:r>
      <w:r w:rsidRPr="00B2776E">
        <w:rPr>
          <w:rFonts w:asciiTheme="minorBidi" w:hAnsiTheme="minorBidi" w:cstheme="minorBidi"/>
          <w:color w:val="231F20"/>
          <w:szCs w:val="22"/>
        </w:rPr>
        <w:t>établir une distinction avec les «</w:t>
      </w:r>
      <w:r w:rsidR="003B3B93">
        <w:rPr>
          <w:rFonts w:asciiTheme="minorBidi" w:hAnsiTheme="minorBidi" w:cstheme="minorBidi"/>
          <w:color w:val="231F20"/>
          <w:szCs w:val="22"/>
        </w:rPr>
        <w:t> </w:t>
      </w:r>
      <w:r w:rsidRPr="00B2776E">
        <w:rPr>
          <w:rFonts w:asciiTheme="minorBidi" w:hAnsiTheme="minorBidi" w:cstheme="minorBidi"/>
          <w:color w:val="231F20"/>
          <w:szCs w:val="22"/>
        </w:rPr>
        <w:t>donateurs</w:t>
      </w:r>
      <w:r w:rsidR="003B3B93">
        <w:rPr>
          <w:rFonts w:asciiTheme="minorBidi" w:hAnsiTheme="minorBidi" w:cstheme="minorBidi"/>
          <w:color w:val="231F20"/>
          <w:szCs w:val="22"/>
        </w:rPr>
        <w:t> </w:t>
      </w:r>
      <w:r w:rsidRPr="00B2776E">
        <w:rPr>
          <w:rFonts w:asciiTheme="minorBidi" w:hAnsiTheme="minorBidi" w:cstheme="minorBidi"/>
          <w:color w:val="231F20"/>
          <w:szCs w:val="22"/>
        </w:rPr>
        <w:t>» de fonds au budget de la COI</w:t>
      </w:r>
      <w:r w:rsidRPr="00B2776E">
        <w:rPr>
          <w:rFonts w:asciiTheme="minorBidi" w:hAnsiTheme="minorBidi" w:cstheme="minorBidi"/>
          <w:iCs/>
          <w:szCs w:val="22"/>
        </w:rPr>
        <w:t>.</w:t>
      </w:r>
    </w:p>
    <w:p w14:paraId="3D94EFCB" w14:textId="45514D23" w:rsidR="006F52CB" w:rsidRPr="00B2776E" w:rsidRDefault="006F52CB" w:rsidP="006F52CB">
      <w:pPr>
        <w:pStyle w:val="Marge"/>
        <w:rPr>
          <w:rFonts w:asciiTheme="minorBidi" w:hAnsiTheme="minorBidi" w:cstheme="minorBidi"/>
          <w:bCs/>
          <w:color w:val="000000"/>
          <w:szCs w:val="22"/>
        </w:rPr>
      </w:pPr>
      <w:r>
        <w:rPr>
          <w:rFonts w:eastAsia="Calibri" w:cs="Arial"/>
          <w:snapToGrid/>
          <w:szCs w:val="22"/>
        </w:rPr>
        <w:t>23.</w:t>
      </w:r>
      <w:r>
        <w:rPr>
          <w:rFonts w:eastAsia="Calibri" w:cs="Arial"/>
          <w:snapToGrid/>
          <w:szCs w:val="22"/>
        </w:rPr>
        <w:tab/>
      </w:r>
      <w:r w:rsidRPr="00B2776E">
        <w:rPr>
          <w:rFonts w:eastAsia="Calibri" w:cs="Arial"/>
          <w:snapToGrid/>
          <w:szCs w:val="22"/>
        </w:rPr>
        <w:t>Dans ce contexte, les membres de l</w:t>
      </w:r>
      <w:r w:rsidR="00E75EEB">
        <w:rPr>
          <w:rFonts w:eastAsia="Calibri" w:cs="Arial"/>
          <w:snapToGrid/>
          <w:szCs w:val="22"/>
        </w:rPr>
        <w:t>’</w:t>
      </w:r>
      <w:r w:rsidRPr="00B2776E">
        <w:rPr>
          <w:rFonts w:eastAsia="Calibri" w:cs="Arial"/>
          <w:snapToGrid/>
          <w:szCs w:val="22"/>
        </w:rPr>
        <w:t>IFAG sont d</w:t>
      </w:r>
      <w:r w:rsidR="00E75EEB">
        <w:rPr>
          <w:rFonts w:eastAsia="Calibri" w:cs="Arial"/>
          <w:snapToGrid/>
          <w:szCs w:val="22"/>
        </w:rPr>
        <w:t>’</w:t>
      </w:r>
      <w:r w:rsidRPr="00B2776E">
        <w:rPr>
          <w:rFonts w:eastAsia="Calibri" w:cs="Arial"/>
          <w:snapToGrid/>
          <w:szCs w:val="22"/>
        </w:rPr>
        <w:t>avis que le Conseil exécutif – à l</w:t>
      </w:r>
      <w:r w:rsidR="00E75EEB">
        <w:rPr>
          <w:rFonts w:eastAsia="Calibri" w:cs="Arial"/>
          <w:snapToGrid/>
          <w:szCs w:val="22"/>
        </w:rPr>
        <w:t>’</w:t>
      </w:r>
      <w:r w:rsidRPr="00B2776E">
        <w:rPr>
          <w:rFonts w:eastAsia="Calibri" w:cs="Arial"/>
          <w:snapToGrid/>
          <w:szCs w:val="22"/>
        </w:rPr>
        <w:t>issue d</w:t>
      </w:r>
      <w:r w:rsidR="00E75EEB">
        <w:rPr>
          <w:rFonts w:eastAsia="Calibri" w:cs="Arial"/>
          <w:snapToGrid/>
          <w:szCs w:val="22"/>
        </w:rPr>
        <w:t>’</w:t>
      </w:r>
      <w:r w:rsidRPr="00B2776E">
        <w:rPr>
          <w:rFonts w:eastAsia="Calibri" w:cs="Arial"/>
          <w:snapToGrid/>
          <w:szCs w:val="22"/>
        </w:rPr>
        <w:t xml:space="preserve">une discussion plus approfondie en plénière et dans le cadre du Comité financier établi pour la durée de la session – pourrait recommander au Secrétariat de lancer un </w:t>
      </w:r>
      <w:r w:rsidRPr="00B2776E">
        <w:rPr>
          <w:rFonts w:eastAsia="Calibri" w:cs="Arial"/>
          <w:b/>
          <w:snapToGrid/>
          <w:szCs w:val="22"/>
          <w:u w:val="single"/>
        </w:rPr>
        <w:t>exercice pilote</w:t>
      </w:r>
      <w:r w:rsidRPr="00B2776E">
        <w:rPr>
          <w:rFonts w:eastAsia="Calibri" w:cs="Arial"/>
          <w:snapToGrid/>
          <w:szCs w:val="22"/>
        </w:rPr>
        <w:t xml:space="preserve"> selon le calendrier suivant et en tenant compte des recommandations du Conseil exécutif :</w:t>
      </w:r>
    </w:p>
    <w:p w14:paraId="15C02181" w14:textId="3EA12F91" w:rsidR="006F52CB" w:rsidRPr="00B2776E" w:rsidRDefault="00E64625" w:rsidP="006F52CB">
      <w:pPr>
        <w:numPr>
          <w:ilvl w:val="0"/>
          <w:numId w:val="44"/>
        </w:numPr>
        <w:shd w:val="clear" w:color="auto" w:fill="FFFFFF"/>
        <w:tabs>
          <w:tab w:val="clear" w:pos="567"/>
        </w:tabs>
        <w:snapToGrid/>
        <w:spacing w:after="240"/>
        <w:ind w:left="851" w:hanging="284"/>
        <w:jc w:val="both"/>
        <w:rPr>
          <w:rFonts w:asciiTheme="minorBidi" w:eastAsiaTheme="minorHAnsi" w:hAnsiTheme="minorBidi" w:cstheme="minorBidi"/>
          <w:snapToGrid/>
          <w:color w:val="000000"/>
          <w:szCs w:val="22"/>
          <w:lang w:eastAsia="fr-FR"/>
        </w:rPr>
      </w:pPr>
      <w:r>
        <w:rPr>
          <w:rFonts w:eastAsia="Calibri" w:cs="Arial"/>
          <w:snapToGrid/>
          <w:szCs w:val="22"/>
          <w:u w:val="single"/>
        </w:rPr>
        <w:t>J</w:t>
      </w:r>
      <w:r w:rsidR="006F52CB" w:rsidRPr="00B2776E">
        <w:rPr>
          <w:rFonts w:eastAsia="Calibri" w:cs="Arial"/>
          <w:snapToGrid/>
          <w:szCs w:val="22"/>
          <w:u w:val="single"/>
        </w:rPr>
        <w:t>uillet 2022 – janvier 2023</w:t>
      </w:r>
      <w:r w:rsidR="006F52CB" w:rsidRPr="00B2776E">
        <w:rPr>
          <w:rFonts w:eastAsia="Calibri" w:cs="Arial"/>
          <w:snapToGrid/>
          <w:szCs w:val="22"/>
        </w:rPr>
        <w:t> : le Secrétariat de la COI envoie une lettre circulaire aux États membres leur expliquant la méthodologie et leur demandant d</w:t>
      </w:r>
      <w:r w:rsidR="00E75EEB">
        <w:rPr>
          <w:rFonts w:eastAsia="Calibri" w:cs="Arial"/>
          <w:snapToGrid/>
          <w:szCs w:val="22"/>
        </w:rPr>
        <w:t>’</w:t>
      </w:r>
      <w:r w:rsidR="006F52CB" w:rsidRPr="00B2776E">
        <w:rPr>
          <w:rFonts w:eastAsia="Calibri" w:cs="Arial"/>
          <w:snapToGrid/>
          <w:szCs w:val="22"/>
        </w:rPr>
        <w:t>adresser leurs déclarations officielles de contributions pour l</w:t>
      </w:r>
      <w:r w:rsidR="00E75EEB">
        <w:rPr>
          <w:rFonts w:eastAsia="Calibri" w:cs="Arial"/>
          <w:snapToGrid/>
          <w:szCs w:val="22"/>
        </w:rPr>
        <w:t>’</w:t>
      </w:r>
      <w:r w:rsidR="006F52CB" w:rsidRPr="00B2776E">
        <w:rPr>
          <w:rFonts w:eastAsia="Calibri" w:cs="Arial"/>
          <w:snapToGrid/>
          <w:szCs w:val="22"/>
        </w:rPr>
        <w:t>année civile 2022, au plus tard le 20 janvier 2023</w:t>
      </w:r>
      <w:r w:rsidR="006F52CB" w:rsidRPr="00B2776E">
        <w:rPr>
          <w:rFonts w:asciiTheme="minorBidi" w:eastAsiaTheme="minorHAnsi" w:hAnsiTheme="minorBidi" w:cstheme="minorBidi"/>
          <w:snapToGrid/>
          <w:color w:val="000000"/>
          <w:szCs w:val="22"/>
          <w:lang w:eastAsia="fr-FR"/>
        </w:rPr>
        <w:t xml:space="preserve">. </w:t>
      </w:r>
    </w:p>
    <w:p w14:paraId="4473D1A3" w14:textId="57B80FCD" w:rsidR="006F52CB" w:rsidRPr="00B2776E" w:rsidRDefault="00E64625" w:rsidP="006F52CB">
      <w:pPr>
        <w:numPr>
          <w:ilvl w:val="0"/>
          <w:numId w:val="44"/>
        </w:numPr>
        <w:shd w:val="clear" w:color="auto" w:fill="FFFFFF"/>
        <w:tabs>
          <w:tab w:val="clear" w:pos="567"/>
        </w:tabs>
        <w:snapToGrid/>
        <w:spacing w:after="240"/>
        <w:ind w:left="851" w:hanging="284"/>
        <w:jc w:val="both"/>
        <w:rPr>
          <w:rFonts w:asciiTheme="minorBidi" w:eastAsiaTheme="minorHAnsi" w:hAnsiTheme="minorBidi" w:cstheme="minorBidi"/>
          <w:snapToGrid/>
          <w:color w:val="000000"/>
          <w:szCs w:val="22"/>
          <w:lang w:eastAsia="fr-FR"/>
        </w:rPr>
      </w:pPr>
      <w:r>
        <w:rPr>
          <w:rFonts w:eastAsia="Calibri" w:cs="Arial"/>
          <w:snapToGrid/>
          <w:szCs w:val="22"/>
          <w:u w:val="single"/>
        </w:rPr>
        <w:t>F</w:t>
      </w:r>
      <w:r w:rsidR="006F52CB" w:rsidRPr="00B2776E">
        <w:rPr>
          <w:rFonts w:eastAsia="Calibri" w:cs="Arial"/>
          <w:snapToGrid/>
          <w:szCs w:val="22"/>
          <w:u w:val="single"/>
        </w:rPr>
        <w:t>évrier 2023</w:t>
      </w:r>
      <w:r>
        <w:rPr>
          <w:rFonts w:eastAsia="Calibri" w:cs="Arial"/>
          <w:snapToGrid/>
          <w:szCs w:val="22"/>
        </w:rPr>
        <w:t> </w:t>
      </w:r>
      <w:r w:rsidR="006F52CB" w:rsidRPr="00B2776E">
        <w:rPr>
          <w:rFonts w:eastAsia="Calibri" w:cs="Arial"/>
          <w:snapToGrid/>
          <w:szCs w:val="22"/>
        </w:rPr>
        <w:t>: le rapport complet sur les contributions en nature est communiqué à l</w:t>
      </w:r>
      <w:r w:rsidR="00E75EEB">
        <w:rPr>
          <w:rFonts w:eastAsia="Calibri" w:cs="Arial"/>
          <w:snapToGrid/>
          <w:szCs w:val="22"/>
        </w:rPr>
        <w:t>’</w:t>
      </w:r>
      <w:r w:rsidR="006F52CB" w:rsidRPr="00B2776E">
        <w:rPr>
          <w:rFonts w:eastAsia="Calibri" w:cs="Arial"/>
          <w:snapToGrid/>
          <w:szCs w:val="22"/>
        </w:rPr>
        <w:t>IFAG (mandat intersessions 2022-2023) pour discussion et proposition éventuelle de révision de la méthodologie à soumettre à l</w:t>
      </w:r>
      <w:r w:rsidR="00E75EEB">
        <w:rPr>
          <w:rFonts w:eastAsia="Calibri" w:cs="Arial"/>
          <w:snapToGrid/>
          <w:szCs w:val="22"/>
        </w:rPr>
        <w:t>’</w:t>
      </w:r>
      <w:r w:rsidR="006F52CB" w:rsidRPr="00B2776E">
        <w:rPr>
          <w:rFonts w:eastAsia="Calibri" w:cs="Arial"/>
          <w:snapToGrid/>
          <w:szCs w:val="22"/>
        </w:rPr>
        <w:t>Assemblée de la COI en 2023</w:t>
      </w:r>
      <w:r w:rsidR="006F52CB" w:rsidRPr="00B2776E">
        <w:rPr>
          <w:rFonts w:asciiTheme="minorBidi" w:eastAsiaTheme="minorHAnsi" w:hAnsiTheme="minorBidi" w:cstheme="minorBidi"/>
          <w:snapToGrid/>
          <w:color w:val="000000"/>
          <w:szCs w:val="22"/>
          <w:lang w:eastAsia="fr-FR"/>
        </w:rPr>
        <w:t xml:space="preserve">. </w:t>
      </w:r>
    </w:p>
    <w:p w14:paraId="2349920B" w14:textId="63BE312D" w:rsidR="003D1E95" w:rsidRPr="006F52CB" w:rsidRDefault="006F52CB" w:rsidP="006F52CB">
      <w:pPr>
        <w:numPr>
          <w:ilvl w:val="0"/>
          <w:numId w:val="44"/>
        </w:numPr>
        <w:shd w:val="clear" w:color="auto" w:fill="FFFFFF"/>
        <w:tabs>
          <w:tab w:val="clear" w:pos="567"/>
        </w:tabs>
        <w:snapToGrid/>
        <w:spacing w:after="240"/>
        <w:ind w:left="851" w:hanging="284"/>
        <w:jc w:val="both"/>
        <w:rPr>
          <w:rFonts w:asciiTheme="minorBidi" w:eastAsiaTheme="minorHAnsi" w:hAnsiTheme="minorBidi" w:cstheme="minorBidi"/>
          <w:snapToGrid/>
          <w:color w:val="000000"/>
          <w:szCs w:val="22"/>
          <w:lang w:eastAsia="fr-FR"/>
        </w:rPr>
      </w:pPr>
      <w:r w:rsidRPr="00B2776E">
        <w:rPr>
          <w:rFonts w:eastAsia="Calibri" w:cs="Arial"/>
          <w:snapToGrid/>
          <w:szCs w:val="22"/>
        </w:rPr>
        <w:t>L</w:t>
      </w:r>
      <w:r w:rsidR="00E75EEB">
        <w:rPr>
          <w:rFonts w:eastAsia="Calibri" w:cs="Arial"/>
          <w:snapToGrid/>
          <w:szCs w:val="22"/>
        </w:rPr>
        <w:t>’</w:t>
      </w:r>
      <w:r w:rsidRPr="00B2776E">
        <w:rPr>
          <w:rFonts w:eastAsia="Calibri" w:cs="Arial"/>
          <w:snapToGrid/>
          <w:szCs w:val="22"/>
        </w:rPr>
        <w:t>Assemblée examine le rapport et décide de la manière de rendre compte, à l</w:t>
      </w:r>
      <w:r w:rsidR="00E75EEB">
        <w:rPr>
          <w:rFonts w:eastAsia="Calibri" w:cs="Arial"/>
          <w:snapToGrid/>
          <w:szCs w:val="22"/>
        </w:rPr>
        <w:t>’</w:t>
      </w:r>
      <w:r w:rsidRPr="00B2776E">
        <w:rPr>
          <w:rFonts w:eastAsia="Calibri" w:cs="Arial"/>
          <w:snapToGrid/>
          <w:szCs w:val="22"/>
        </w:rPr>
        <w:t>avenir, des contributions en nature</w:t>
      </w:r>
      <w:r w:rsidRPr="00B2776E">
        <w:rPr>
          <w:rFonts w:asciiTheme="minorBidi" w:eastAsiaTheme="minorHAnsi" w:hAnsiTheme="minorBidi" w:cstheme="minorBidi"/>
          <w:snapToGrid/>
          <w:color w:val="000000"/>
          <w:szCs w:val="22"/>
          <w:lang w:eastAsia="fr-FR"/>
        </w:rPr>
        <w:t>.</w:t>
      </w:r>
    </w:p>
    <w:sectPr w:rsidR="003D1E95" w:rsidRPr="006F52CB" w:rsidSect="00376476">
      <w:headerReference w:type="even" r:id="rId17"/>
      <w:headerReference w:type="default" r:id="rId18"/>
      <w:headerReference w:type="first" r:id="rId19"/>
      <w:pgSz w:w="11920" w:h="16840"/>
      <w:pgMar w:top="1216" w:right="1210" w:bottom="1152" w:left="1267"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AE4" w14:textId="77777777" w:rsidR="00B22F43" w:rsidRDefault="00B22F43" w:rsidP="00200D03">
      <w:r>
        <w:separator/>
      </w:r>
    </w:p>
  </w:endnote>
  <w:endnote w:type="continuationSeparator" w:id="0">
    <w:p w14:paraId="6CF12D64" w14:textId="77777777" w:rsidR="00B22F43" w:rsidRDefault="00B22F4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albaum Display Light">
    <w:altName w:val="Walbaum Display Light"/>
    <w:charset w:val="00"/>
    <w:family w:val="roman"/>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DB9" w14:textId="77777777" w:rsidR="00B22F43" w:rsidRDefault="00B22F43" w:rsidP="00200D03">
      <w:r>
        <w:separator/>
      </w:r>
    </w:p>
  </w:footnote>
  <w:footnote w:type="continuationSeparator" w:id="0">
    <w:p w14:paraId="45F6DDE0" w14:textId="77777777" w:rsidR="00B22F43" w:rsidRDefault="00B22F43" w:rsidP="0020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53208917" w:rsidR="00376476" w:rsidRPr="00376476" w:rsidRDefault="00376476" w:rsidP="0077787D">
    <w:pPr>
      <w:pStyle w:val="En-tte"/>
      <w:spacing w:after="240"/>
      <w:rPr>
        <w:rFonts w:cs="Arial"/>
        <w:bCs/>
        <w:sz w:val="22"/>
        <w:szCs w:val="22"/>
      </w:rPr>
    </w:pPr>
    <w:r w:rsidRPr="00352423">
      <w:rPr>
        <w:rFonts w:cs="Arial"/>
        <w:bCs/>
        <w:sz w:val="22"/>
        <w:szCs w:val="22"/>
      </w:rPr>
      <w:t>IOC/EC-5</w:t>
    </w:r>
    <w:r>
      <w:rPr>
        <w:rFonts w:cs="Arial"/>
        <w:bCs/>
        <w:sz w:val="22"/>
        <w:szCs w:val="22"/>
      </w:rPr>
      <w:t>5/</w:t>
    </w:r>
    <w:r w:rsidR="008E33BC">
      <w:rPr>
        <w:rFonts w:cs="Arial"/>
        <w:bCs/>
        <w:sz w:val="22"/>
        <w:szCs w:val="22"/>
      </w:rPr>
      <w:t>5.</w:t>
    </w:r>
    <w:proofErr w:type="gramStart"/>
    <w:r w:rsidR="008E33BC">
      <w:rPr>
        <w:rFonts w:cs="Arial"/>
        <w:bCs/>
        <w:sz w:val="22"/>
        <w:szCs w:val="22"/>
      </w:rPr>
      <w:t>1</w:t>
    </w:r>
    <w:r>
      <w:rPr>
        <w:rFonts w:cs="Arial"/>
        <w:bCs/>
        <w:sz w:val="22"/>
        <w:szCs w:val="22"/>
      </w:rPr>
      <w:t>.</w:t>
    </w:r>
    <w:r w:rsidRPr="00352423">
      <w:rPr>
        <w:rFonts w:cs="Arial"/>
        <w:bCs/>
        <w:sz w:val="22"/>
        <w:szCs w:val="22"/>
      </w:rPr>
      <w:t>Doc</w:t>
    </w:r>
    <w:proofErr w:type="gramEnd"/>
    <w:sdt>
      <w:sdtPr>
        <w:rPr>
          <w:rFonts w:cs="Arial"/>
          <w:bCs/>
          <w:sz w:val="22"/>
          <w:szCs w:val="22"/>
        </w:rPr>
        <w:id w:val="497312836"/>
        <w:docPartObj>
          <w:docPartGallery w:val="Page Numbers (Top of Page)"/>
          <w:docPartUnique/>
        </w:docPartObj>
      </w:sdtPr>
      <w:sdtEndPr/>
      <w:sdtContent>
        <w:r>
          <w:rPr>
            <w:rFonts w:cs="Arial"/>
            <w:bCs/>
            <w:sz w:val="22"/>
            <w:szCs w:val="22"/>
          </w:rPr>
          <w:t>(</w:t>
        </w:r>
        <w:r w:rsidR="008E33BC">
          <w:rPr>
            <w:rFonts w:cs="Arial"/>
            <w:bCs/>
            <w:sz w:val="22"/>
            <w:szCs w:val="22"/>
          </w:rPr>
          <w:t>2</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425032E9" w:rsidR="00200D03" w:rsidRPr="00376476" w:rsidRDefault="00376476" w:rsidP="00DF4459">
    <w:pPr>
      <w:pStyle w:val="En-tte"/>
      <w:ind w:left="6096"/>
      <w:jc w:val="right"/>
      <w:rPr>
        <w:rFonts w:cs="Arial"/>
        <w:bCs/>
        <w:sz w:val="22"/>
        <w:szCs w:val="22"/>
      </w:rPr>
    </w:pPr>
    <w:r w:rsidRPr="00352423">
      <w:rPr>
        <w:rFonts w:cs="Arial"/>
        <w:bCs/>
        <w:sz w:val="22"/>
        <w:szCs w:val="22"/>
      </w:rPr>
      <w:t>IOC/EC-5</w:t>
    </w:r>
    <w:r>
      <w:rPr>
        <w:rFonts w:cs="Arial"/>
        <w:bCs/>
        <w:sz w:val="22"/>
        <w:szCs w:val="22"/>
      </w:rPr>
      <w:t>5/</w:t>
    </w:r>
    <w:r w:rsidR="008E33BC">
      <w:rPr>
        <w:rFonts w:cs="Arial"/>
        <w:bCs/>
        <w:sz w:val="22"/>
        <w:szCs w:val="22"/>
      </w:rPr>
      <w:t>5.</w:t>
    </w:r>
    <w:proofErr w:type="gramStart"/>
    <w:r w:rsidR="008E33BC">
      <w:rPr>
        <w:rFonts w:cs="Arial"/>
        <w:bCs/>
        <w:sz w:val="22"/>
        <w:szCs w:val="22"/>
      </w:rPr>
      <w:t>1.</w:t>
    </w:r>
    <w:r w:rsidR="008E33BC" w:rsidRPr="00352423">
      <w:rPr>
        <w:rFonts w:cs="Arial"/>
        <w:bCs/>
        <w:sz w:val="22"/>
        <w:szCs w:val="22"/>
      </w:rPr>
      <w:t>Doc</w:t>
    </w:r>
    <w:proofErr w:type="gramEnd"/>
    <w:r w:rsidR="008E33BC">
      <w:rPr>
        <w:rFonts w:cs="Arial"/>
        <w:bCs/>
        <w:sz w:val="22"/>
        <w:szCs w:val="22"/>
      </w:rPr>
      <w:t>(2)</w:t>
    </w:r>
    <w:sdt>
      <w:sdtPr>
        <w:rPr>
          <w:rFonts w:cs="Arial"/>
          <w:bCs/>
          <w:sz w:val="22"/>
          <w:szCs w:val="22"/>
        </w:rPr>
        <w:id w:val="554519101"/>
        <w:docPartObj>
          <w:docPartGallery w:val="Page Numbers (Top of Page)"/>
          <w:docPartUnique/>
        </w:docPartObj>
      </w:sdtPr>
      <w:sdtEndPr/>
      <w:sdtContent>
        <w:r>
          <w:rPr>
            <w:rFonts w:cs="Arial"/>
            <w:bCs/>
            <w:sz w:val="22"/>
            <w:szCs w:val="22"/>
          </w:rPr>
          <w:t xml:space="preserve"> – page </w:t>
        </w:r>
        <w:r w:rsidRPr="00CA6A11">
          <w:rPr>
            <w:rFonts w:cs="Arial"/>
            <w:bCs/>
            <w:sz w:val="22"/>
            <w:szCs w:val="22"/>
          </w:rPr>
          <w:fldChar w:fldCharType="begin"/>
        </w:r>
        <w:r w:rsidRPr="00CA6A11">
          <w:rPr>
            <w:rFonts w:cs="Arial"/>
            <w:bCs/>
            <w:sz w:val="22"/>
            <w:szCs w:val="22"/>
          </w:rPr>
          <w:instrText xml:space="preserve"> PAGE   \* MERGEFORMAT </w:instrText>
        </w:r>
        <w:r w:rsidRPr="00CA6A11">
          <w:rPr>
            <w:rFonts w:cs="Arial"/>
            <w:bCs/>
            <w:sz w:val="22"/>
            <w:szCs w:val="22"/>
          </w:rPr>
          <w:fldChar w:fldCharType="separate"/>
        </w:r>
        <w:r w:rsidRPr="00CA6A11">
          <w:rPr>
            <w:rFonts w:cs="Arial"/>
            <w:bCs/>
            <w:sz w:val="22"/>
            <w:szCs w:val="22"/>
          </w:rPr>
          <w:t>2</w:t>
        </w:r>
        <w:r w:rsidRPr="00CA6A11">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187B84D3" w:rsidR="00E90F6F" w:rsidRPr="00665B6A" w:rsidRDefault="00971704" w:rsidP="00E872C7">
    <w:pPr>
      <w:tabs>
        <w:tab w:val="left" w:pos="5954"/>
      </w:tabs>
      <w:spacing w:before="120"/>
      <w:ind w:right="-196"/>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Pr>
        <w:rFonts w:cs="Arial"/>
        <w:b/>
        <w:sz w:val="36"/>
        <w:szCs w:val="36"/>
      </w:rPr>
      <w:t>IOC/EC-55/</w:t>
    </w:r>
    <w:r w:rsidR="00AD4296">
      <w:rPr>
        <w:rFonts w:cs="Arial"/>
        <w:b/>
        <w:sz w:val="36"/>
        <w:szCs w:val="36"/>
      </w:rPr>
      <w:t>5.</w:t>
    </w:r>
    <w:proofErr w:type="gramStart"/>
    <w:r w:rsidR="00AD4296">
      <w:rPr>
        <w:rFonts w:cs="Arial"/>
        <w:b/>
        <w:sz w:val="36"/>
        <w:szCs w:val="36"/>
      </w:rPr>
      <w:t>1</w:t>
    </w:r>
    <w:r w:rsidR="00E872C7">
      <w:rPr>
        <w:rFonts w:cs="Arial"/>
        <w:b/>
        <w:sz w:val="36"/>
        <w:szCs w:val="36"/>
      </w:rPr>
      <w:t>.</w:t>
    </w:r>
    <w:r w:rsidR="00E90F6F">
      <w:rPr>
        <w:rFonts w:cs="Arial"/>
        <w:b/>
        <w:sz w:val="36"/>
        <w:szCs w:val="36"/>
      </w:rPr>
      <w:t>Doc</w:t>
    </w:r>
    <w:proofErr w:type="gramEnd"/>
    <w:r w:rsidR="00E90F6F">
      <w:rPr>
        <w:rFonts w:cs="Arial"/>
        <w:b/>
        <w:sz w:val="36"/>
        <w:szCs w:val="36"/>
      </w:rPr>
      <w:t>(</w:t>
    </w:r>
    <w:r w:rsidR="00AD4296">
      <w:rPr>
        <w:rFonts w:cs="Arial"/>
        <w:b/>
        <w:sz w:val="36"/>
        <w:szCs w:val="36"/>
      </w:rPr>
      <w:t>2</w:t>
    </w:r>
    <w:r w:rsidR="00E90F6F">
      <w:rPr>
        <w:rFonts w:cs="Arial"/>
        <w:b/>
        <w:sz w:val="36"/>
        <w:szCs w:val="36"/>
      </w:rPr>
      <w:t>)</w:t>
    </w:r>
  </w:p>
  <w:p w14:paraId="69EF4909" w14:textId="6A341D18" w:rsidR="00E90F6F" w:rsidRPr="00665B6A" w:rsidRDefault="00E90F6F" w:rsidP="00E872C7">
    <w:pPr>
      <w:tabs>
        <w:tab w:val="left" w:pos="2295"/>
      </w:tabs>
      <w:ind w:left="5954"/>
      <w:jc w:val="both"/>
      <w:rPr>
        <w:rFonts w:cs="Arial"/>
      </w:rPr>
    </w:pPr>
    <w:r>
      <w:rPr>
        <w:rFonts w:cs="Arial"/>
      </w:rPr>
      <w:t xml:space="preserve">Paris, le </w:t>
    </w:r>
    <w:r w:rsidR="00AD4296">
      <w:rPr>
        <w:rFonts w:cs="Arial"/>
      </w:rPr>
      <w:t>13 juin</w:t>
    </w:r>
    <w:r w:rsidRPr="00665B6A">
      <w:rPr>
        <w:rFonts w:cs="Arial"/>
      </w:rPr>
      <w:t xml:space="preserve"> 20</w:t>
    </w:r>
    <w:r>
      <w:rPr>
        <w:rFonts w:cs="Arial"/>
      </w:rPr>
      <w:t>22</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115DCEC1" w14:textId="3C399E24" w:rsidR="00577CF2" w:rsidRDefault="00577CF2" w:rsidP="00967534">
    <w:pPr>
      <w:tabs>
        <w:tab w:val="left" w:pos="-1440"/>
        <w:tab w:val="left" w:pos="-720"/>
        <w:tab w:val="left" w:pos="720"/>
        <w:tab w:val="left" w:pos="2160"/>
        <w:tab w:val="left" w:pos="3600"/>
        <w:tab w:val="left" w:pos="4320"/>
        <w:tab w:val="left" w:pos="5040"/>
        <w:tab w:val="left" w:pos="5523"/>
        <w:tab w:val="left" w:pos="6480"/>
      </w:tabs>
      <w:spacing w:before="600"/>
      <w:ind w:right="458"/>
      <w:jc w:val="right"/>
      <w:rPr>
        <w:rFonts w:cs="Arial"/>
        <w:b/>
        <w:spacing w:val="-14"/>
        <w:sz w:val="24"/>
      </w:rPr>
    </w:pPr>
  </w:p>
  <w:p w14:paraId="09748E5E" w14:textId="77777777" w:rsidR="00577CF2" w:rsidRDefault="00577CF2" w:rsidP="00577CF2">
    <w:pPr>
      <w:tabs>
        <w:tab w:val="left" w:pos="-1440"/>
        <w:tab w:val="left" w:pos="-720"/>
        <w:tab w:val="left" w:pos="720"/>
        <w:tab w:val="left" w:pos="2160"/>
        <w:tab w:val="left" w:pos="3600"/>
        <w:tab w:val="left" w:pos="4320"/>
        <w:tab w:val="left" w:pos="5040"/>
        <w:tab w:val="left" w:pos="5523"/>
        <w:tab w:val="left" w:pos="6480"/>
      </w:tabs>
      <w:spacing w:after="240"/>
      <w:ind w:right="-22"/>
      <w:rPr>
        <w:rFonts w:cs="Arial"/>
        <w:b/>
        <w:spacing w:val="-14"/>
        <w:sz w:val="24"/>
      </w:rPr>
    </w:pPr>
  </w:p>
  <w:p w14:paraId="5B902DCD" w14:textId="745C3B5A" w:rsidR="00E90F6F" w:rsidRPr="00E31511" w:rsidRDefault="00E90F6F" w:rsidP="00577CF2">
    <w:pPr>
      <w:tabs>
        <w:tab w:val="clear" w:pos="567"/>
        <w:tab w:val="left" w:pos="-1440"/>
      </w:tabs>
      <w:spacing w:before="600"/>
      <w:ind w:right="-22"/>
      <w:jc w:val="center"/>
      <w:rPr>
        <w:rFonts w:cs="Arial"/>
        <w:b/>
        <w:szCs w:val="22"/>
      </w:rPr>
    </w:pPr>
    <w:r w:rsidRPr="00E31511">
      <w:rPr>
        <w:rFonts w:cs="Arial"/>
        <w:b/>
        <w:szCs w:val="22"/>
      </w:rPr>
      <w:t>COMMISSION OCÉANOGRAPHIQUE INTERGOUVERNEMENTALE</w:t>
    </w:r>
  </w:p>
  <w:p w14:paraId="453A07EF" w14:textId="02B384E6"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w:t>
    </w:r>
    <w:r w:rsidR="009B1FBB">
      <w:rPr>
        <w:rFonts w:cs="Arial"/>
        <w:bCs/>
        <w:szCs w:val="22"/>
      </w:rPr>
      <w:t>’</w:t>
    </w:r>
    <w:r w:rsidRPr="00FC4C71">
      <w:rPr>
        <w:rFonts w:cs="Arial"/>
        <w:bCs/>
        <w:szCs w:val="22"/>
      </w:rPr>
      <w:t>UNESCO)</w:t>
    </w:r>
  </w:p>
  <w:p w14:paraId="5E4F3C55" w14:textId="77777777" w:rsidR="00E90F6F" w:rsidRPr="00FC4C71" w:rsidRDefault="00E90F6F"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sidRPr="00FC4C71">
      <w:rPr>
        <w:rFonts w:cs="Arial"/>
        <w:b/>
        <w:szCs w:val="22"/>
      </w:rPr>
      <w:t>Cinquante-cinquième session du Conseil exécutif</w:t>
    </w:r>
  </w:p>
  <w:p w14:paraId="20CA60EC" w14:textId="69C2AEDF"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UNESCO, Paris, 14-17 juin 2022</w:t>
    </w:r>
  </w:p>
  <w:p w14:paraId="0EF5019F" w14:textId="054D5574" w:rsidR="00E90F6F" w:rsidRPr="00FC4C71" w:rsidRDefault="00E90F6F" w:rsidP="00577CF2">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 xml:space="preserve">Point </w:t>
    </w:r>
    <w:r w:rsidR="006F52CB">
      <w:rPr>
        <w:rFonts w:cs="Arial"/>
        <w:b/>
        <w:bCs/>
        <w:szCs w:val="22"/>
        <w:u w:val="single"/>
      </w:rPr>
      <w:t>5.1</w:t>
    </w:r>
    <w:r w:rsidRPr="00FC4C71">
      <w:rPr>
        <w:rFonts w:cs="Arial"/>
        <w:szCs w:val="22"/>
        <w:u w:val="single"/>
      </w:rPr>
      <w:t xml:space="preserve"> de l</w:t>
    </w:r>
    <w:r w:rsidR="009B1FBB">
      <w:rPr>
        <w:rFonts w:cs="Arial"/>
        <w:szCs w:val="22"/>
        <w:u w:val="single"/>
      </w:rPr>
      <w:t>’</w:t>
    </w:r>
    <w:r w:rsidRPr="00FC4C71">
      <w:rPr>
        <w:rFonts w:cs="Arial"/>
        <w:szCs w:val="22"/>
        <w:u w:val="single"/>
      </w:rPr>
      <w:t>ordre du jour provisoire</w:t>
    </w:r>
  </w:p>
  <w:p w14:paraId="17B7736F" w14:textId="77777777" w:rsidR="006F52CB" w:rsidRPr="001A6853" w:rsidRDefault="006F52CB" w:rsidP="006F52C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
        <w:bCs/>
        <w:caps/>
      </w:rPr>
    </w:pPr>
    <w:r w:rsidRPr="001A6853">
      <w:rPr>
        <w:rFonts w:cs="Arial"/>
        <w:b/>
        <w:bCs/>
        <w:caps/>
      </w:rPr>
      <w:t xml:space="preserve">RAPPORT DU PRÉSIDENT </w:t>
    </w:r>
  </w:p>
  <w:p w14:paraId="73D42445" w14:textId="77777777" w:rsidR="006F52CB" w:rsidRPr="001A6853" w:rsidRDefault="006F52CB" w:rsidP="006F52C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
        <w:bCs/>
        <w:caps/>
      </w:rPr>
    </w:pPr>
    <w:r w:rsidRPr="001A6853">
      <w:rPr>
        <w:rFonts w:cs="Arial"/>
        <w:b/>
        <w:bCs/>
        <w:caps/>
      </w:rPr>
      <w:t>DU gROUPE CONSULTATIF FINANCIER INTERSESSIONS</w:t>
    </w:r>
  </w:p>
  <w:p w14:paraId="684BF9F7" w14:textId="2AB60E3C" w:rsidR="00E90F6F" w:rsidRPr="00FC4C71" w:rsidRDefault="006F52CB" w:rsidP="006F52CB">
    <w:pPr>
      <w:pStyle w:val="Titre1"/>
      <w:spacing w:after="480"/>
      <w:rPr>
        <w:rFonts w:cs="Arial"/>
        <w:b w:val="0"/>
        <w:bCs w:val="0"/>
        <w:szCs w:val="22"/>
      </w:rPr>
    </w:pPr>
    <w:r w:rsidRPr="001A6853">
      <w:rPr>
        <w:rFonts w:cs="Arial"/>
      </w:rPr>
      <w:t>(</w:t>
    </w:r>
    <w:proofErr w:type="gramStart"/>
    <w:r w:rsidRPr="001A6853">
      <w:rPr>
        <w:rFonts w:cs="Arial"/>
      </w:rPr>
      <w:t>période</w:t>
    </w:r>
    <w:proofErr w:type="gramEnd"/>
    <w:r w:rsidRPr="001A6853">
      <w:rPr>
        <w:rFonts w:cs="Arial"/>
      </w:rPr>
      <w:t xml:space="preserve"> intersessions de décembre 2021 à juin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1D735A"/>
    <w:multiLevelType w:val="hybridMultilevel"/>
    <w:tmpl w:val="8FE4C96A"/>
    <w:lvl w:ilvl="0" w:tplc="BFBE583C">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A01751"/>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7"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71D29E8"/>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1244B"/>
    <w:multiLevelType w:val="hybridMultilevel"/>
    <w:tmpl w:val="F5183224"/>
    <w:lvl w:ilvl="0" w:tplc="1AD0E994">
      <w:start w:val="1"/>
      <w:numFmt w:val="lowerLetter"/>
      <w:lvlText w:val="6.%1."/>
      <w:lvlJc w:val="left"/>
      <w:pPr>
        <w:ind w:left="121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132F28"/>
    <w:multiLevelType w:val="hybridMultilevel"/>
    <w:tmpl w:val="17486EE6"/>
    <w:lvl w:ilvl="0" w:tplc="D72666CE">
      <w:start w:val="1"/>
      <w:numFmt w:val="lowerLetter"/>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5"/>
  </w:num>
  <w:num w:numId="4">
    <w:abstractNumId w:val="25"/>
  </w:num>
  <w:num w:numId="5">
    <w:abstractNumId w:val="26"/>
  </w:num>
  <w:num w:numId="6">
    <w:abstractNumId w:val="21"/>
  </w:num>
  <w:num w:numId="7">
    <w:abstractNumId w:val="34"/>
  </w:num>
  <w:num w:numId="8">
    <w:abstractNumId w:val="41"/>
  </w:num>
  <w:num w:numId="9">
    <w:abstractNumId w:val="2"/>
  </w:num>
  <w:num w:numId="10">
    <w:abstractNumId w:val="6"/>
  </w:num>
  <w:num w:numId="11">
    <w:abstractNumId w:val="3"/>
  </w:num>
  <w:num w:numId="12">
    <w:abstractNumId w:val="4"/>
  </w:num>
  <w:num w:numId="13">
    <w:abstractNumId w:val="27"/>
    <w:lvlOverride w:ilvl="0">
      <w:lvl w:ilvl="0" w:tplc="040C0001">
        <w:start w:val="1"/>
        <w:numFmt w:val="bullet"/>
        <w:lvlText w:val=""/>
        <w:lvlJc w:val="left"/>
        <w:pPr>
          <w:ind w:left="720" w:hanging="360"/>
        </w:pPr>
        <w:rPr>
          <w:rFonts w:ascii="Symbol" w:hAnsi="Symbol" w:hint="default"/>
        </w:rPr>
      </w:lvl>
    </w:lvlOverride>
  </w:num>
  <w:num w:numId="14">
    <w:abstractNumId w:val="32"/>
    <w:lvlOverride w:ilvl="0">
      <w:lvl w:ilvl="0">
        <w:start w:val="1"/>
        <w:numFmt w:val="bullet"/>
        <w:lvlText w:val=""/>
        <w:lvlJc w:val="left"/>
        <w:pPr>
          <w:ind w:left="720" w:hanging="360"/>
        </w:pPr>
        <w:rPr>
          <w:rFonts w:ascii="Symbol" w:hAnsi="Symbol" w:hint="default"/>
          <w:u w:val="none"/>
        </w:rPr>
      </w:lvl>
    </w:lvlOverride>
  </w:num>
  <w:num w:numId="15">
    <w:abstractNumId w:val="20"/>
  </w:num>
  <w:num w:numId="16">
    <w:abstractNumId w:val="13"/>
  </w:num>
  <w:num w:numId="17">
    <w:abstractNumId w:val="24"/>
  </w:num>
  <w:num w:numId="18">
    <w:abstractNumId w:val="9"/>
    <w:lvlOverride w:ilvl="0">
      <w:lvl w:ilvl="0" w:tplc="04090001">
        <w:start w:val="1"/>
        <w:numFmt w:val="bullet"/>
        <w:lvlText w:val=""/>
        <w:lvlJc w:val="left"/>
        <w:pPr>
          <w:ind w:left="1800" w:hanging="360"/>
        </w:pPr>
        <w:rPr>
          <w:rFonts w:ascii="Symbol" w:hAnsi="Symbol" w:hint="default"/>
        </w:rPr>
      </w:lvl>
    </w:lvlOverride>
  </w:num>
  <w:num w:numId="19">
    <w:abstractNumId w:val="22"/>
  </w:num>
  <w:num w:numId="20">
    <w:abstractNumId w:val="43"/>
    <w:lvlOverride w:ilvl="0">
      <w:lvl w:ilvl="0" w:tplc="04090001">
        <w:start w:val="1"/>
        <w:numFmt w:val="bullet"/>
        <w:lvlText w:val=""/>
        <w:lvlJc w:val="left"/>
        <w:pPr>
          <w:ind w:left="720" w:hanging="360"/>
        </w:pPr>
        <w:rPr>
          <w:rFonts w:ascii="Symbol" w:hAnsi="Symbol" w:hint="default"/>
        </w:rPr>
      </w:lvl>
    </w:lvlOverride>
  </w:num>
  <w:num w:numId="21">
    <w:abstractNumId w:val="23"/>
    <w:lvlOverride w:ilvl="0">
      <w:lvl w:ilvl="0" w:tplc="04090001">
        <w:start w:val="1"/>
        <w:numFmt w:val="bullet"/>
        <w:lvlText w:val=""/>
        <w:lvlJc w:val="left"/>
        <w:pPr>
          <w:ind w:left="360" w:hanging="360"/>
        </w:pPr>
        <w:rPr>
          <w:rFonts w:ascii="Symbol" w:hAnsi="Symbol" w:hint="default"/>
        </w:rPr>
      </w:lvl>
    </w:lvlOverride>
  </w:num>
  <w:num w:numId="22">
    <w:abstractNumId w:val="8"/>
    <w:lvlOverride w:ilvl="0">
      <w:lvl w:ilvl="0" w:tplc="04090001">
        <w:start w:val="1"/>
        <w:numFmt w:val="bullet"/>
        <w:lvlText w:val=""/>
        <w:lvlJc w:val="left"/>
        <w:pPr>
          <w:ind w:left="360" w:hanging="360"/>
        </w:pPr>
        <w:rPr>
          <w:rFonts w:ascii="Symbol" w:hAnsi="Symbol" w:hint="default"/>
        </w:rPr>
      </w:lvl>
    </w:lvlOverride>
  </w:num>
  <w:num w:numId="23">
    <w:abstractNumId w:val="17"/>
    <w:lvlOverride w:ilvl="0">
      <w:lvl w:ilvl="0" w:tplc="04090001">
        <w:start w:val="1"/>
        <w:numFmt w:val="bullet"/>
        <w:lvlText w:val=""/>
        <w:lvlJc w:val="left"/>
        <w:pPr>
          <w:ind w:left="360" w:hanging="360"/>
        </w:pPr>
        <w:rPr>
          <w:rFonts w:ascii="Symbol" w:hAnsi="Symbol" w:hint="default"/>
        </w:rPr>
      </w:lvl>
    </w:lvlOverride>
  </w:num>
  <w:num w:numId="24">
    <w:abstractNumId w:val="1"/>
  </w:num>
  <w:num w:numId="25">
    <w:abstractNumId w:val="18"/>
  </w:num>
  <w:num w:numId="26">
    <w:abstractNumId w:val="30"/>
  </w:num>
  <w:num w:numId="27">
    <w:abstractNumId w:val="33"/>
  </w:num>
  <w:num w:numId="28">
    <w:abstractNumId w:val="37"/>
  </w:num>
  <w:num w:numId="29">
    <w:abstractNumId w:val="15"/>
  </w:num>
  <w:num w:numId="30">
    <w:abstractNumId w:val="0"/>
  </w:num>
  <w:num w:numId="31">
    <w:abstractNumId w:val="36"/>
  </w:num>
  <w:num w:numId="32">
    <w:abstractNumId w:val="7"/>
  </w:num>
  <w:num w:numId="33">
    <w:abstractNumId w:val="38"/>
  </w:num>
  <w:num w:numId="34">
    <w:abstractNumId w:val="42"/>
  </w:num>
  <w:num w:numId="35">
    <w:abstractNumId w:val="19"/>
  </w:num>
  <w:num w:numId="36">
    <w:abstractNumId w:val="28"/>
  </w:num>
  <w:num w:numId="37">
    <w:abstractNumId w:val="14"/>
  </w:num>
  <w:num w:numId="38">
    <w:abstractNumId w:val="40"/>
  </w:num>
  <w:num w:numId="39">
    <w:abstractNumId w:val="29"/>
  </w:num>
  <w:num w:numId="40">
    <w:abstractNumId w:val="39"/>
  </w:num>
  <w:num w:numId="41">
    <w:abstractNumId w:val="11"/>
  </w:num>
  <w:num w:numId="42">
    <w:abstractNumId w:val="31"/>
  </w:num>
  <w:num w:numId="43">
    <w:abstractNumId w:val="1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24CEB"/>
    <w:rsid w:val="0003150B"/>
    <w:rsid w:val="00034000"/>
    <w:rsid w:val="0004273D"/>
    <w:rsid w:val="00046C31"/>
    <w:rsid w:val="00053075"/>
    <w:rsid w:val="00074005"/>
    <w:rsid w:val="000A1ADB"/>
    <w:rsid w:val="000A25C2"/>
    <w:rsid w:val="000B1F0F"/>
    <w:rsid w:val="000C3CF8"/>
    <w:rsid w:val="000D3043"/>
    <w:rsid w:val="000D638E"/>
    <w:rsid w:val="000E79DE"/>
    <w:rsid w:val="000F2EE2"/>
    <w:rsid w:val="000F3433"/>
    <w:rsid w:val="001007FE"/>
    <w:rsid w:val="00121F48"/>
    <w:rsid w:val="00124DAB"/>
    <w:rsid w:val="00127188"/>
    <w:rsid w:val="00127F99"/>
    <w:rsid w:val="00135480"/>
    <w:rsid w:val="00141FF4"/>
    <w:rsid w:val="00145259"/>
    <w:rsid w:val="00151E79"/>
    <w:rsid w:val="00160D45"/>
    <w:rsid w:val="00172412"/>
    <w:rsid w:val="00172E47"/>
    <w:rsid w:val="00182E13"/>
    <w:rsid w:val="001862A1"/>
    <w:rsid w:val="001862A6"/>
    <w:rsid w:val="001932A9"/>
    <w:rsid w:val="00194495"/>
    <w:rsid w:val="001A489B"/>
    <w:rsid w:val="001C5DA3"/>
    <w:rsid w:val="001D2A9B"/>
    <w:rsid w:val="00200D03"/>
    <w:rsid w:val="002022E3"/>
    <w:rsid w:val="00205BAA"/>
    <w:rsid w:val="00206BC1"/>
    <w:rsid w:val="0021613E"/>
    <w:rsid w:val="00224F50"/>
    <w:rsid w:val="00255528"/>
    <w:rsid w:val="002606EC"/>
    <w:rsid w:val="00262FCE"/>
    <w:rsid w:val="00267B24"/>
    <w:rsid w:val="00271640"/>
    <w:rsid w:val="002922EC"/>
    <w:rsid w:val="00297311"/>
    <w:rsid w:val="00297D0C"/>
    <w:rsid w:val="00297D76"/>
    <w:rsid w:val="002A347F"/>
    <w:rsid w:val="002B0CD0"/>
    <w:rsid w:val="002B6B31"/>
    <w:rsid w:val="002C2D6E"/>
    <w:rsid w:val="002C4C51"/>
    <w:rsid w:val="002F13F1"/>
    <w:rsid w:val="002F5731"/>
    <w:rsid w:val="003068A2"/>
    <w:rsid w:val="003117C2"/>
    <w:rsid w:val="00312004"/>
    <w:rsid w:val="00313C37"/>
    <w:rsid w:val="00330169"/>
    <w:rsid w:val="003321BC"/>
    <w:rsid w:val="003346B4"/>
    <w:rsid w:val="003428A7"/>
    <w:rsid w:val="00344601"/>
    <w:rsid w:val="00344693"/>
    <w:rsid w:val="00345602"/>
    <w:rsid w:val="00345E6F"/>
    <w:rsid w:val="00346656"/>
    <w:rsid w:val="00376476"/>
    <w:rsid w:val="003A533E"/>
    <w:rsid w:val="003B3B93"/>
    <w:rsid w:val="003B4C80"/>
    <w:rsid w:val="003D1E95"/>
    <w:rsid w:val="003D51F2"/>
    <w:rsid w:val="0040069E"/>
    <w:rsid w:val="0040445C"/>
    <w:rsid w:val="00411A46"/>
    <w:rsid w:val="00416371"/>
    <w:rsid w:val="004235FD"/>
    <w:rsid w:val="00430207"/>
    <w:rsid w:val="00452C1F"/>
    <w:rsid w:val="00455EF8"/>
    <w:rsid w:val="00457A93"/>
    <w:rsid w:val="004710D3"/>
    <w:rsid w:val="004724A8"/>
    <w:rsid w:val="004A43DA"/>
    <w:rsid w:val="004A59F9"/>
    <w:rsid w:val="004A6984"/>
    <w:rsid w:val="004A6D7D"/>
    <w:rsid w:val="004C5CD0"/>
    <w:rsid w:val="004D7D72"/>
    <w:rsid w:val="00516103"/>
    <w:rsid w:val="0051700F"/>
    <w:rsid w:val="00526F91"/>
    <w:rsid w:val="00544B5E"/>
    <w:rsid w:val="005552C7"/>
    <w:rsid w:val="00555F22"/>
    <w:rsid w:val="005742DC"/>
    <w:rsid w:val="00577CF2"/>
    <w:rsid w:val="00586E87"/>
    <w:rsid w:val="0059001E"/>
    <w:rsid w:val="005A015D"/>
    <w:rsid w:val="005D09E2"/>
    <w:rsid w:val="005D2409"/>
    <w:rsid w:val="005D2E07"/>
    <w:rsid w:val="005D4A03"/>
    <w:rsid w:val="005E1583"/>
    <w:rsid w:val="005E1D48"/>
    <w:rsid w:val="005F1D4B"/>
    <w:rsid w:val="005F42F7"/>
    <w:rsid w:val="00605660"/>
    <w:rsid w:val="00616CA3"/>
    <w:rsid w:val="006236E0"/>
    <w:rsid w:val="00635856"/>
    <w:rsid w:val="00637DCE"/>
    <w:rsid w:val="00646E7B"/>
    <w:rsid w:val="00653F1F"/>
    <w:rsid w:val="00684810"/>
    <w:rsid w:val="00694C5C"/>
    <w:rsid w:val="006A5AED"/>
    <w:rsid w:val="006B069E"/>
    <w:rsid w:val="006C4D3B"/>
    <w:rsid w:val="006E72E6"/>
    <w:rsid w:val="006F3D07"/>
    <w:rsid w:val="006F49B2"/>
    <w:rsid w:val="006F52CB"/>
    <w:rsid w:val="006F7E83"/>
    <w:rsid w:val="00703C9F"/>
    <w:rsid w:val="007179A8"/>
    <w:rsid w:val="00720640"/>
    <w:rsid w:val="0072766A"/>
    <w:rsid w:val="00731957"/>
    <w:rsid w:val="00733BDE"/>
    <w:rsid w:val="00747EDE"/>
    <w:rsid w:val="0077787D"/>
    <w:rsid w:val="007A2064"/>
    <w:rsid w:val="007A5A44"/>
    <w:rsid w:val="007B1F5A"/>
    <w:rsid w:val="007C648D"/>
    <w:rsid w:val="007C6AD8"/>
    <w:rsid w:val="007D035F"/>
    <w:rsid w:val="007E045D"/>
    <w:rsid w:val="007E79BA"/>
    <w:rsid w:val="00800C77"/>
    <w:rsid w:val="0082714C"/>
    <w:rsid w:val="008411EE"/>
    <w:rsid w:val="00847E04"/>
    <w:rsid w:val="00862A71"/>
    <w:rsid w:val="00862D5F"/>
    <w:rsid w:val="008631C4"/>
    <w:rsid w:val="00871E3E"/>
    <w:rsid w:val="008737E9"/>
    <w:rsid w:val="00875057"/>
    <w:rsid w:val="00876264"/>
    <w:rsid w:val="00892B11"/>
    <w:rsid w:val="008A00AA"/>
    <w:rsid w:val="008A403D"/>
    <w:rsid w:val="008B7C4D"/>
    <w:rsid w:val="008D044B"/>
    <w:rsid w:val="008E187E"/>
    <w:rsid w:val="008E33BC"/>
    <w:rsid w:val="008F5A58"/>
    <w:rsid w:val="00904BC0"/>
    <w:rsid w:val="00924B2B"/>
    <w:rsid w:val="00925BD5"/>
    <w:rsid w:val="00943D18"/>
    <w:rsid w:val="009567A2"/>
    <w:rsid w:val="00957223"/>
    <w:rsid w:val="00967534"/>
    <w:rsid w:val="00971704"/>
    <w:rsid w:val="009778D5"/>
    <w:rsid w:val="00981124"/>
    <w:rsid w:val="00982DCA"/>
    <w:rsid w:val="0099117D"/>
    <w:rsid w:val="0099176B"/>
    <w:rsid w:val="009B1FBB"/>
    <w:rsid w:val="009B59CC"/>
    <w:rsid w:val="009B67A0"/>
    <w:rsid w:val="009C28C1"/>
    <w:rsid w:val="009C5565"/>
    <w:rsid w:val="009D3378"/>
    <w:rsid w:val="009F7E7E"/>
    <w:rsid w:val="00A36127"/>
    <w:rsid w:val="00A7107C"/>
    <w:rsid w:val="00A8289A"/>
    <w:rsid w:val="00AA3592"/>
    <w:rsid w:val="00AB2D24"/>
    <w:rsid w:val="00AB2DCE"/>
    <w:rsid w:val="00AC01E1"/>
    <w:rsid w:val="00AC3EB4"/>
    <w:rsid w:val="00AC68F0"/>
    <w:rsid w:val="00AC7CE6"/>
    <w:rsid w:val="00AD4296"/>
    <w:rsid w:val="00AE01F9"/>
    <w:rsid w:val="00AF4F01"/>
    <w:rsid w:val="00B021FB"/>
    <w:rsid w:val="00B04030"/>
    <w:rsid w:val="00B14A39"/>
    <w:rsid w:val="00B2175E"/>
    <w:rsid w:val="00B22F43"/>
    <w:rsid w:val="00B27611"/>
    <w:rsid w:val="00B35E65"/>
    <w:rsid w:val="00B445F5"/>
    <w:rsid w:val="00B60D5E"/>
    <w:rsid w:val="00B66691"/>
    <w:rsid w:val="00B77EF1"/>
    <w:rsid w:val="00B80E02"/>
    <w:rsid w:val="00B94DD9"/>
    <w:rsid w:val="00B957E1"/>
    <w:rsid w:val="00BA2926"/>
    <w:rsid w:val="00BB2441"/>
    <w:rsid w:val="00BB3AD3"/>
    <w:rsid w:val="00BC22F5"/>
    <w:rsid w:val="00BC4BD0"/>
    <w:rsid w:val="00BD03C4"/>
    <w:rsid w:val="00BD1247"/>
    <w:rsid w:val="00BE4327"/>
    <w:rsid w:val="00C52F4C"/>
    <w:rsid w:val="00C56EBB"/>
    <w:rsid w:val="00C63308"/>
    <w:rsid w:val="00C65795"/>
    <w:rsid w:val="00C66B3D"/>
    <w:rsid w:val="00C725B8"/>
    <w:rsid w:val="00C8059E"/>
    <w:rsid w:val="00CA1F51"/>
    <w:rsid w:val="00CA6A11"/>
    <w:rsid w:val="00CA7BA6"/>
    <w:rsid w:val="00CB6B75"/>
    <w:rsid w:val="00CC1E5D"/>
    <w:rsid w:val="00CC6934"/>
    <w:rsid w:val="00CD584E"/>
    <w:rsid w:val="00CE2F8A"/>
    <w:rsid w:val="00CE5163"/>
    <w:rsid w:val="00CE5487"/>
    <w:rsid w:val="00D222B5"/>
    <w:rsid w:val="00D23DE5"/>
    <w:rsid w:val="00D3664D"/>
    <w:rsid w:val="00D37F20"/>
    <w:rsid w:val="00D42EBE"/>
    <w:rsid w:val="00D553C0"/>
    <w:rsid w:val="00D56F25"/>
    <w:rsid w:val="00D63503"/>
    <w:rsid w:val="00D70B9E"/>
    <w:rsid w:val="00D80E0F"/>
    <w:rsid w:val="00D851B5"/>
    <w:rsid w:val="00D95A0A"/>
    <w:rsid w:val="00D963BD"/>
    <w:rsid w:val="00DA03CE"/>
    <w:rsid w:val="00DA22B1"/>
    <w:rsid w:val="00DB10F4"/>
    <w:rsid w:val="00DB4C83"/>
    <w:rsid w:val="00DC1042"/>
    <w:rsid w:val="00DC42CB"/>
    <w:rsid w:val="00DD5308"/>
    <w:rsid w:val="00DD55CE"/>
    <w:rsid w:val="00DE458F"/>
    <w:rsid w:val="00DF0F58"/>
    <w:rsid w:val="00DF4459"/>
    <w:rsid w:val="00DF798C"/>
    <w:rsid w:val="00E178EB"/>
    <w:rsid w:val="00E24332"/>
    <w:rsid w:val="00E27A19"/>
    <w:rsid w:val="00E31511"/>
    <w:rsid w:val="00E57EE8"/>
    <w:rsid w:val="00E64625"/>
    <w:rsid w:val="00E75EEB"/>
    <w:rsid w:val="00E872C7"/>
    <w:rsid w:val="00E90F6F"/>
    <w:rsid w:val="00EA63C3"/>
    <w:rsid w:val="00EA7314"/>
    <w:rsid w:val="00EC2809"/>
    <w:rsid w:val="00EC78BA"/>
    <w:rsid w:val="00ED1606"/>
    <w:rsid w:val="00ED6A6C"/>
    <w:rsid w:val="00EE3DF2"/>
    <w:rsid w:val="00F2294C"/>
    <w:rsid w:val="00F22BF7"/>
    <w:rsid w:val="00F37A90"/>
    <w:rsid w:val="00F63965"/>
    <w:rsid w:val="00F74BF3"/>
    <w:rsid w:val="00F757BD"/>
    <w:rsid w:val="00F93103"/>
    <w:rsid w:val="00F97E8F"/>
    <w:rsid w:val="00FA4C88"/>
    <w:rsid w:val="00FC097D"/>
    <w:rsid w:val="00FC3783"/>
    <w:rsid w:val="00FC4C71"/>
    <w:rsid w:val="00FD46F5"/>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Policepardfaut"/>
    <w:link w:val="Style2"/>
    <w:rsid w:val="001007FE"/>
    <w:rPr>
      <w:rFonts w:ascii="Arial" w:hAnsi="Arial"/>
      <w:iCs/>
      <w:snapToGrid w:val="0"/>
      <w:sz w:val="22"/>
      <w:szCs w:val="22"/>
      <w:shd w:val="clear" w:color="auto" w:fill="FFFFFF"/>
      <w:lang w:val="en-GB" w:eastAsia="en-US"/>
    </w:rPr>
  </w:style>
  <w:style w:type="table" w:customStyle="1" w:styleId="Grilledutableau2">
    <w:name w:val="Grille du tableau2"/>
    <w:basedOn w:val="TableauNormal"/>
    <w:next w:val="Grilledutableau"/>
    <w:uiPriority w:val="39"/>
    <w:rsid w:val="00BC4B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uiPriority w:val="99"/>
    <w:rsid w:val="00BC4BD0"/>
    <w:pPr>
      <w:tabs>
        <w:tab w:val="clear" w:pos="567"/>
      </w:tabs>
      <w:snapToGrid/>
      <w:spacing w:before="120" w:after="160" w:line="240" w:lineRule="exact"/>
    </w:pPr>
    <w:rPr>
      <w:rFonts w:ascii="Times New Roman" w:hAnsi="Times New Roman"/>
      <w:snapToGrid/>
      <w:sz w:val="20"/>
      <w:szCs w:val="20"/>
      <w:vertAlign w:val="superscript"/>
      <w:lang w:eastAsia="fr-FR"/>
    </w:rPr>
  </w:style>
  <w:style w:type="table" w:customStyle="1" w:styleId="Grilledutableau3">
    <w:name w:val="Grille du tableau3"/>
    <w:basedOn w:val="TableauNormal"/>
    <w:next w:val="Grilledutableau"/>
    <w:uiPriority w:val="39"/>
    <w:rsid w:val="00B021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444_fre" TargetMode="External"/><Relationship Id="rId13" Type="http://schemas.openxmlformats.org/officeDocument/2006/relationships/hyperlink" Target="file:///\\hqfs\OurDrive\IOC\USERS\Boned\Executive%20Councils\EC-55\Working%20documents\IFAG%20report\EC-55-5-1-Doc2_xy_v0.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hqfs\OurDrive\IOC\USERS\Boned\Executive%20Councils\EC-55\Working%20documents\IFAG%20report\EC-55-5-1-Doc2_xy_v0.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05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75" TargetMode="External"/><Relationship Id="rId5" Type="http://schemas.openxmlformats.org/officeDocument/2006/relationships/webSettings" Target="webSettings.xml"/><Relationship Id="rId15" Type="http://schemas.openxmlformats.org/officeDocument/2006/relationships/hyperlink" Target="https://oceanexpert.org/document/30436" TargetMode="External"/><Relationship Id="rId10" Type="http://schemas.openxmlformats.org/officeDocument/2006/relationships/hyperlink" Target="https://oceanexpert.org/document/303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ceanexpert.org/document/29205" TargetMode="External"/><Relationship Id="rId14" Type="http://schemas.openxmlformats.org/officeDocument/2006/relationships/hyperlink" Target="https://oceanexpert.org/document/284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60</TotalTime>
  <Pages>5</Pages>
  <Words>2019</Words>
  <Characters>11052</Characters>
  <Application>Microsoft Office Word</Application>
  <DocSecurity>0</DocSecurity>
  <Lines>164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Difficultés et solutions pour améliorer l’observation continue des océans dans les zones relevant de la juridiction nationale, et rôle de la COI, de l’OMM et de la Division des affaires maritimes et du droit de la mer</vt:lpstr>
      <vt:lpstr/>
    </vt:vector>
  </TitlesOfParts>
  <Company>Unesco</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Président du Groupe consultatif financier intersessions_x000d_
(période intersessions de décembre 2021 à juin 2022)_x000d_
</dc:title>
  <dc:subject>IOC/EC-55/5.1.Doc(2)</dc:subject>
  <dc:creator>Machu, Anne-sophie</dc:creator>
  <cp:keywords/>
  <dc:description/>
  <cp:lastModifiedBy>Masseau, Alexandra</cp:lastModifiedBy>
  <cp:revision>20</cp:revision>
  <dcterms:created xsi:type="dcterms:W3CDTF">2022-06-14T06:49:00Z</dcterms:created>
  <dcterms:modified xsi:type="dcterms:W3CDTF">2022-06-14T07:54:00Z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202201650</vt:lpwstr>
  </property>
  <property fmtid="{D5CDD505-2E9C-101B-9397-08002B2CF9AE}" pid="3" name="Language">
    <vt:lpwstr>F</vt:lpwstr>
  </property>
</Properties>
</file>