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BC03E1" w:rsidRDefault="00FA68D9">
      <w:pPr>
        <w:rPr>
          <w:rFonts w:asciiTheme="minorBidi" w:hAnsiTheme="minorBidi" w:cstheme="minorBidi"/>
          <w:sz w:val="22"/>
          <w:szCs w:val="22"/>
        </w:rPr>
      </w:pPr>
    </w:p>
    <w:tbl>
      <w:tblPr>
        <w:tblStyle w:val="TableGrid"/>
        <w:tblW w:w="6804" w:type="dxa"/>
        <w:jc w:val="center"/>
        <w:tblLook w:val="04A0" w:firstRow="1" w:lastRow="0" w:firstColumn="1" w:lastColumn="0" w:noHBand="0" w:noVBand="1"/>
      </w:tblPr>
      <w:tblGrid>
        <w:gridCol w:w="6804"/>
      </w:tblGrid>
      <w:tr w:rsidR="00FA68D9" w:rsidRPr="00BC03E1" w14:paraId="1709CCC6" w14:textId="77777777" w:rsidTr="006D43E7">
        <w:trPr>
          <w:trHeight w:val="2507"/>
          <w:jc w:val="center"/>
        </w:trPr>
        <w:tc>
          <w:tcPr>
            <w:tcW w:w="6804" w:type="dxa"/>
          </w:tcPr>
          <w:p w14:paraId="33D8523D" w14:textId="2EFF265F" w:rsidR="001B5075" w:rsidRPr="00BC03E1" w:rsidRDefault="001B5075" w:rsidP="00D73E3C">
            <w:pPr>
              <w:tabs>
                <w:tab w:val="clear" w:pos="567"/>
              </w:tabs>
              <w:snapToGrid/>
              <w:spacing w:after="240"/>
              <w:jc w:val="center"/>
              <w:rPr>
                <w:rFonts w:asciiTheme="minorBidi" w:hAnsiTheme="minorBidi" w:cstheme="minorBidi"/>
                <w:bCs/>
                <w:sz w:val="22"/>
                <w:szCs w:val="22"/>
                <w:u w:val="single"/>
              </w:rPr>
            </w:pPr>
            <w:r w:rsidRPr="00BC03E1">
              <w:rPr>
                <w:rFonts w:asciiTheme="minorBidi" w:hAnsiTheme="minorBidi" w:cstheme="minorBidi"/>
                <w:bCs/>
                <w:sz w:val="22"/>
                <w:szCs w:val="22"/>
                <w:u w:val="single"/>
              </w:rPr>
              <w:t>Summary</w:t>
            </w:r>
          </w:p>
          <w:p w14:paraId="26255667" w14:textId="716B0A54" w:rsidR="006B18B7" w:rsidRPr="00BC03E1" w:rsidRDefault="006B18B7" w:rsidP="006B18B7">
            <w:pPr>
              <w:widowControl w:val="0"/>
              <w:shd w:val="clear" w:color="auto" w:fill="FFFFFF"/>
              <w:adjustRightInd w:val="0"/>
              <w:spacing w:after="240"/>
              <w:ind w:right="284"/>
              <w:jc w:val="both"/>
              <w:textAlignment w:val="baseline"/>
              <w:rPr>
                <w:rFonts w:asciiTheme="minorBidi" w:eastAsia="Times New Roman" w:hAnsiTheme="minorBidi" w:cstheme="minorBidi"/>
                <w:sz w:val="22"/>
                <w:szCs w:val="22"/>
                <w:lang w:eastAsia="en-US"/>
              </w:rPr>
            </w:pPr>
            <w:r w:rsidRPr="00BC03E1">
              <w:rPr>
                <w:rFonts w:asciiTheme="minorBidi" w:eastAsia="Times New Roman" w:hAnsiTheme="minorBidi" w:cstheme="minorBidi"/>
                <w:sz w:val="22"/>
                <w:szCs w:val="22"/>
                <w:lang w:eastAsia="en-US"/>
              </w:rPr>
              <w:t>This document provides a brief report of the Chair of the Intersessional Financial Advisory Group (IFAG) on the work accomplished in the intersessional period December 2021 – June 2022.</w:t>
            </w:r>
          </w:p>
          <w:p w14:paraId="6C050125" w14:textId="0170713C" w:rsidR="00FA68D9" w:rsidRPr="00BC03E1" w:rsidRDefault="006B18B7" w:rsidP="006B18B7">
            <w:pPr>
              <w:tabs>
                <w:tab w:val="clear" w:pos="567"/>
              </w:tabs>
              <w:snapToGrid/>
              <w:spacing w:after="240"/>
              <w:jc w:val="both"/>
              <w:rPr>
                <w:rFonts w:asciiTheme="minorBidi" w:hAnsiTheme="minorBidi" w:cstheme="minorBidi"/>
                <w:b/>
                <w:bCs/>
                <w:sz w:val="22"/>
                <w:szCs w:val="22"/>
              </w:rPr>
            </w:pPr>
            <w:r w:rsidRPr="00BC03E1">
              <w:rPr>
                <w:rFonts w:asciiTheme="minorBidi" w:eastAsia="Times New Roman" w:hAnsiTheme="minorBidi" w:cstheme="minorBidi"/>
                <w:sz w:val="22"/>
                <w:szCs w:val="22"/>
                <w:u w:val="single"/>
                <w:lang w:eastAsia="en-US"/>
              </w:rPr>
              <w:t>Decision proposed</w:t>
            </w:r>
            <w:r w:rsidRPr="00BC03E1">
              <w:rPr>
                <w:rFonts w:asciiTheme="minorBidi" w:eastAsia="Times New Roman" w:hAnsiTheme="minorBidi" w:cstheme="minorBidi"/>
                <w:sz w:val="22"/>
                <w:szCs w:val="22"/>
                <w:lang w:eastAsia="en-US"/>
              </w:rPr>
              <w:t xml:space="preserve"> is referenced </w:t>
            </w:r>
            <w:r w:rsidRPr="00BC03E1">
              <w:rPr>
                <w:rFonts w:asciiTheme="minorBidi" w:hAnsiTheme="minorBidi" w:cstheme="minorBidi"/>
                <w:sz w:val="22"/>
                <w:szCs w:val="22"/>
              </w:rPr>
              <w:t>Dec. EC-55/5.1 in the Provisional Action Paper IOC/EC-55/AP.</w:t>
            </w:r>
          </w:p>
        </w:tc>
      </w:tr>
    </w:tbl>
    <w:p w14:paraId="51AB30D6" w14:textId="48CB04D4" w:rsidR="006B18B7" w:rsidRPr="00BC03E1" w:rsidRDefault="00FA68D9"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b/>
          <w:bCs/>
          <w:sz w:val="22"/>
          <w:szCs w:val="22"/>
        </w:rPr>
        <w:br w:type="page"/>
      </w:r>
      <w:r w:rsidR="006B18B7" w:rsidRPr="00BC03E1">
        <w:rPr>
          <w:rFonts w:asciiTheme="minorBidi" w:hAnsiTheme="minorBidi" w:cstheme="minorBidi"/>
          <w:sz w:val="22"/>
          <w:szCs w:val="22"/>
        </w:rPr>
        <w:lastRenderedPageBreak/>
        <w:t xml:space="preserve">In accordance with IOC </w:t>
      </w:r>
      <w:hyperlink r:id="rId8" w:history="1">
        <w:r w:rsidR="006B18B7" w:rsidRPr="00BC03E1">
          <w:rPr>
            <w:rStyle w:val="Hyperlink"/>
            <w:rFonts w:asciiTheme="minorBidi" w:hAnsiTheme="minorBidi" w:cstheme="minorBidi"/>
            <w:sz w:val="22"/>
            <w:szCs w:val="22"/>
          </w:rPr>
          <w:t>Resolution A-31/2</w:t>
        </w:r>
      </w:hyperlink>
      <w:r w:rsidR="006B18B7" w:rsidRPr="00BC03E1">
        <w:rPr>
          <w:rFonts w:asciiTheme="minorBidi" w:hAnsiTheme="minorBidi" w:cstheme="minorBidi"/>
          <w:sz w:val="22"/>
          <w:szCs w:val="22"/>
        </w:rPr>
        <w:t>, the open-ended Intersessional Financial Advisory Group</w:t>
      </w:r>
      <w:r w:rsidR="00C73498" w:rsidRPr="00BC03E1">
        <w:rPr>
          <w:rFonts w:asciiTheme="minorBidi" w:hAnsiTheme="minorBidi" w:cstheme="minorBidi"/>
          <w:sz w:val="22"/>
          <w:szCs w:val="22"/>
        </w:rPr>
        <w:t xml:space="preserve"> (IFAG)</w:t>
      </w:r>
      <w:r w:rsidR="006B18B7" w:rsidRPr="00BC03E1">
        <w:rPr>
          <w:rFonts w:asciiTheme="minorBidi" w:hAnsiTheme="minorBidi" w:cstheme="minorBidi"/>
          <w:sz w:val="22"/>
          <w:szCs w:val="22"/>
        </w:rPr>
        <w:t xml:space="preserve"> was reconstituted through a call for nominations addressed to Member States in the IOC Circular Letter </w:t>
      </w:r>
      <w:hyperlink r:id="rId9" w:history="1">
        <w:r w:rsidR="006B18B7" w:rsidRPr="00BC03E1">
          <w:rPr>
            <w:rStyle w:val="Hyperlink"/>
            <w:rFonts w:asciiTheme="minorBidi" w:hAnsiTheme="minorBidi" w:cstheme="minorBidi"/>
            <w:sz w:val="22"/>
            <w:szCs w:val="22"/>
          </w:rPr>
          <w:t>2862</w:t>
        </w:r>
      </w:hyperlink>
      <w:r w:rsidR="006B18B7" w:rsidRPr="00BC03E1">
        <w:rPr>
          <w:rFonts w:asciiTheme="minorBidi" w:hAnsiTheme="minorBidi" w:cstheme="minorBidi"/>
          <w:sz w:val="22"/>
          <w:szCs w:val="22"/>
        </w:rPr>
        <w:t xml:space="preserve"> of 20 October 2021. </w:t>
      </w:r>
    </w:p>
    <w:p w14:paraId="57C49D37" w14:textId="3CE12B43" w:rsidR="00C73498"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As customary, the Group started working by correspondence and finalized its conclusions at the face-to-face meeting on 13 June 2022.</w:t>
      </w:r>
      <w:r w:rsidR="00C73498" w:rsidRPr="00BC03E1">
        <w:rPr>
          <w:rFonts w:asciiTheme="minorBidi" w:hAnsiTheme="minorBidi" w:cstheme="minorBidi"/>
          <w:sz w:val="22"/>
          <w:szCs w:val="22"/>
        </w:rPr>
        <w:t xml:space="preserve"> Overall, eighteen (18) Member States – Argentina, Australia, Bangladesh, Belgium, Benin, Canada, China, Egypt, Germany, Grenada, Japan, Kuwait, Norway, Portugal, Russian Federation, </w:t>
      </w:r>
      <w:proofErr w:type="spellStart"/>
      <w:r w:rsidR="00C73498" w:rsidRPr="00BC03E1">
        <w:rPr>
          <w:rFonts w:asciiTheme="minorBidi" w:hAnsiTheme="minorBidi" w:cstheme="minorBidi"/>
          <w:sz w:val="22"/>
          <w:szCs w:val="22"/>
        </w:rPr>
        <w:t>T</w:t>
      </w:r>
      <w:r w:rsidR="00BC03E1" w:rsidRPr="00BC03E1">
        <w:rPr>
          <w:rFonts w:asciiTheme="minorBidi" w:hAnsiTheme="minorBidi" w:cstheme="minorBidi"/>
          <w:sz w:val="22"/>
          <w:szCs w:val="22"/>
        </w:rPr>
        <w:t>ü</w:t>
      </w:r>
      <w:r w:rsidR="00C73498" w:rsidRPr="00BC03E1">
        <w:rPr>
          <w:rFonts w:asciiTheme="minorBidi" w:hAnsiTheme="minorBidi" w:cstheme="minorBidi"/>
          <w:sz w:val="22"/>
          <w:szCs w:val="22"/>
        </w:rPr>
        <w:t>rk</w:t>
      </w:r>
      <w:r w:rsidR="00C74FCE" w:rsidRPr="00BC03E1">
        <w:rPr>
          <w:rFonts w:asciiTheme="minorBidi" w:hAnsiTheme="minorBidi" w:cstheme="minorBidi"/>
          <w:sz w:val="22"/>
          <w:szCs w:val="22"/>
        </w:rPr>
        <w:t>iy</w:t>
      </w:r>
      <w:r w:rsidR="00C73498" w:rsidRPr="00BC03E1">
        <w:rPr>
          <w:rFonts w:asciiTheme="minorBidi" w:hAnsiTheme="minorBidi" w:cstheme="minorBidi"/>
          <w:sz w:val="22"/>
          <w:szCs w:val="22"/>
        </w:rPr>
        <w:t>e</w:t>
      </w:r>
      <w:proofErr w:type="spellEnd"/>
      <w:r w:rsidR="00C73498" w:rsidRPr="00BC03E1">
        <w:rPr>
          <w:rFonts w:asciiTheme="minorBidi" w:hAnsiTheme="minorBidi" w:cstheme="minorBidi"/>
          <w:sz w:val="22"/>
          <w:szCs w:val="22"/>
        </w:rPr>
        <w:t xml:space="preserve">, United Kingdom and United States of America </w:t>
      </w:r>
      <w:r w:rsidR="008242A0" w:rsidRPr="00BC03E1">
        <w:rPr>
          <w:rFonts w:asciiTheme="minorBidi" w:hAnsiTheme="minorBidi" w:cstheme="minorBidi"/>
          <w:sz w:val="22"/>
          <w:szCs w:val="22"/>
        </w:rPr>
        <w:t>–</w:t>
      </w:r>
      <w:r w:rsidR="00C74FCE" w:rsidRPr="00BC03E1">
        <w:rPr>
          <w:rFonts w:asciiTheme="minorBidi" w:hAnsiTheme="minorBidi" w:cstheme="minorBidi"/>
          <w:sz w:val="22"/>
          <w:szCs w:val="22"/>
        </w:rPr>
        <w:t xml:space="preserve"> </w:t>
      </w:r>
      <w:r w:rsidR="00C73498" w:rsidRPr="00BC03E1">
        <w:rPr>
          <w:rFonts w:asciiTheme="minorBidi" w:hAnsiTheme="minorBidi" w:cstheme="minorBidi"/>
          <w:sz w:val="22"/>
          <w:szCs w:val="22"/>
        </w:rPr>
        <w:t xml:space="preserve">participated in the work of the Group, chaired by IOC Vice-Chair Karim Hilmi from Morocco. </w:t>
      </w:r>
    </w:p>
    <w:p w14:paraId="795781CD" w14:textId="44608539"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 xml:space="preserve">Focussing, as mandated by the IOC Assembly at its 31st session, on the matters covered by IOC Resolution A-31/2 and in compliance with the IFAG Terms of Reference (Annex 2 of IOC Resolution XXVIII-3), the Group structured its discussions in </w:t>
      </w:r>
      <w:r w:rsidR="008242A0">
        <w:rPr>
          <w:rFonts w:asciiTheme="minorBidi" w:hAnsiTheme="minorBidi" w:cstheme="minorBidi"/>
          <w:sz w:val="22"/>
          <w:szCs w:val="22"/>
        </w:rPr>
        <w:t>three</w:t>
      </w:r>
      <w:r w:rsidRPr="00BC03E1">
        <w:rPr>
          <w:rFonts w:asciiTheme="minorBidi" w:hAnsiTheme="minorBidi" w:cstheme="minorBidi"/>
          <w:sz w:val="22"/>
          <w:szCs w:val="22"/>
        </w:rPr>
        <w:t xml:space="preserve"> main parts as follows:</w:t>
      </w:r>
    </w:p>
    <w:p w14:paraId="1771F25A" w14:textId="1DD7FD29" w:rsidR="006B18B7" w:rsidRPr="00BC03E1" w:rsidRDefault="006B18B7" w:rsidP="006B18B7">
      <w:pPr>
        <w:pStyle w:val="ListParagraph"/>
        <w:numPr>
          <w:ilvl w:val="0"/>
          <w:numId w:val="30"/>
        </w:numPr>
        <w:tabs>
          <w:tab w:val="clear" w:pos="567"/>
          <w:tab w:val="left" w:pos="709"/>
        </w:tabs>
        <w:jc w:val="center"/>
        <w:rPr>
          <w:rFonts w:asciiTheme="minorBidi" w:hAnsiTheme="minorBidi" w:cstheme="minorBidi"/>
          <w:b/>
          <w:color w:val="231F20"/>
          <w:sz w:val="22"/>
          <w:szCs w:val="22"/>
        </w:rPr>
      </w:pPr>
      <w:r w:rsidRPr="00BC03E1">
        <w:rPr>
          <w:rFonts w:asciiTheme="minorBidi" w:hAnsiTheme="minorBidi" w:cstheme="minorBidi"/>
          <w:b/>
          <w:sz w:val="22"/>
          <w:szCs w:val="22"/>
        </w:rPr>
        <w:t>2020</w:t>
      </w:r>
      <w:r w:rsidR="008242A0">
        <w:rPr>
          <w:rFonts w:asciiTheme="minorBidi" w:hAnsiTheme="minorBidi" w:cstheme="minorBidi"/>
          <w:b/>
          <w:sz w:val="22"/>
          <w:szCs w:val="22"/>
        </w:rPr>
        <w:t>-</w:t>
      </w:r>
      <w:r w:rsidRPr="00BC03E1">
        <w:rPr>
          <w:rFonts w:asciiTheme="minorBidi" w:hAnsiTheme="minorBidi" w:cstheme="minorBidi"/>
          <w:b/>
          <w:sz w:val="22"/>
          <w:szCs w:val="22"/>
        </w:rPr>
        <w:t xml:space="preserve">2021 Budget Implementation as </w:t>
      </w:r>
      <w:proofErr w:type="gramStart"/>
      <w:r w:rsidRPr="00BC03E1">
        <w:rPr>
          <w:rFonts w:asciiTheme="minorBidi" w:hAnsiTheme="minorBidi" w:cstheme="minorBidi"/>
          <w:b/>
          <w:sz w:val="22"/>
          <w:szCs w:val="22"/>
        </w:rPr>
        <w:t>at</w:t>
      </w:r>
      <w:proofErr w:type="gramEnd"/>
      <w:r w:rsidRPr="00BC03E1">
        <w:rPr>
          <w:rFonts w:asciiTheme="minorBidi" w:hAnsiTheme="minorBidi" w:cstheme="minorBidi"/>
          <w:b/>
          <w:sz w:val="22"/>
          <w:szCs w:val="22"/>
        </w:rPr>
        <w:t xml:space="preserve"> 31 December 2021 and Outline of 2022-2023 Integrated Budgetary Framework and Financial Situation of the IOC Special Account as at year end 2021 and Forecast for 2022-2023</w:t>
      </w:r>
    </w:p>
    <w:p w14:paraId="096B2530" w14:textId="77777777" w:rsidR="006B18B7" w:rsidRPr="00BC03E1" w:rsidRDefault="006B18B7" w:rsidP="006B18B7">
      <w:pPr>
        <w:tabs>
          <w:tab w:val="clear" w:pos="567"/>
          <w:tab w:val="left" w:pos="709"/>
        </w:tabs>
        <w:jc w:val="both"/>
        <w:rPr>
          <w:rFonts w:asciiTheme="minorBidi" w:hAnsiTheme="minorBidi" w:cstheme="minorBidi"/>
          <w:color w:val="231F20"/>
          <w:sz w:val="22"/>
          <w:szCs w:val="22"/>
        </w:rPr>
      </w:pPr>
    </w:p>
    <w:p w14:paraId="0281635A" w14:textId="4E05D081"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color w:val="231F20"/>
          <w:sz w:val="22"/>
          <w:szCs w:val="22"/>
        </w:rPr>
      </w:pPr>
      <w:r w:rsidRPr="00BC03E1">
        <w:rPr>
          <w:rFonts w:asciiTheme="minorBidi" w:hAnsiTheme="minorBidi" w:cstheme="minorBidi"/>
          <w:color w:val="231F20"/>
          <w:sz w:val="22"/>
          <w:szCs w:val="22"/>
        </w:rPr>
        <w:t xml:space="preserve">In this context the Group considered documents </w:t>
      </w:r>
      <w:hyperlink r:id="rId10" w:history="1">
        <w:r w:rsidRPr="008242A0">
          <w:rPr>
            <w:rStyle w:val="Hyperlink"/>
            <w:rFonts w:asciiTheme="minorBidi" w:hAnsiTheme="minorBidi" w:cstheme="minorBidi"/>
            <w:sz w:val="22"/>
            <w:szCs w:val="22"/>
          </w:rPr>
          <w:t>IOC/EC-55/3.1.Doc(1)</w:t>
        </w:r>
      </w:hyperlink>
      <w:r w:rsidRPr="00BC03E1">
        <w:rPr>
          <w:rFonts w:asciiTheme="minorBidi" w:hAnsiTheme="minorBidi" w:cstheme="minorBidi"/>
          <w:color w:val="231F20"/>
          <w:sz w:val="22"/>
          <w:szCs w:val="22"/>
        </w:rPr>
        <w:t xml:space="preserve"> and </w:t>
      </w:r>
      <w:hyperlink r:id="rId11" w:history="1">
        <w:r w:rsidRPr="008242A0">
          <w:rPr>
            <w:rStyle w:val="Hyperlink"/>
            <w:rFonts w:asciiTheme="minorBidi" w:hAnsiTheme="minorBidi" w:cstheme="minorBidi"/>
            <w:sz w:val="22"/>
            <w:szCs w:val="22"/>
          </w:rPr>
          <w:t>IOC/EC-55/3.1.Doc(2)</w:t>
        </w:r>
      </w:hyperlink>
      <w:r w:rsidRPr="00BC03E1">
        <w:rPr>
          <w:rFonts w:asciiTheme="minorBidi" w:hAnsiTheme="minorBidi" w:cstheme="minorBidi"/>
          <w:color w:val="231F20"/>
          <w:sz w:val="22"/>
          <w:szCs w:val="22"/>
        </w:rPr>
        <w:t xml:space="preserve">. It was satisfied with the overall implementation rate for the 2020-2021 biennium, and </w:t>
      </w:r>
      <w:proofErr w:type="gramStart"/>
      <w:r w:rsidRPr="00BC03E1">
        <w:rPr>
          <w:rFonts w:asciiTheme="minorBidi" w:hAnsiTheme="minorBidi" w:cstheme="minorBidi"/>
          <w:color w:val="231F20"/>
          <w:sz w:val="22"/>
          <w:szCs w:val="22"/>
        </w:rPr>
        <w:t>in particular the</w:t>
      </w:r>
      <w:proofErr w:type="gramEnd"/>
      <w:r w:rsidRPr="00BC03E1">
        <w:rPr>
          <w:rFonts w:asciiTheme="minorBidi" w:hAnsiTheme="minorBidi" w:cstheme="minorBidi"/>
          <w:color w:val="231F20"/>
          <w:sz w:val="22"/>
          <w:szCs w:val="22"/>
        </w:rPr>
        <w:t xml:space="preserve"> 100% rate for the regular budget part. The IOC Assembly at its </w:t>
      </w:r>
      <w:r w:rsidR="008242A0">
        <w:rPr>
          <w:rFonts w:asciiTheme="minorBidi" w:hAnsiTheme="minorBidi" w:cstheme="minorBidi"/>
          <w:color w:val="231F20"/>
          <w:sz w:val="22"/>
          <w:szCs w:val="22"/>
        </w:rPr>
        <w:t>31</w:t>
      </w:r>
      <w:r w:rsidR="008242A0" w:rsidRPr="008242A0">
        <w:rPr>
          <w:rFonts w:asciiTheme="minorBidi" w:hAnsiTheme="minorBidi" w:cstheme="minorBidi"/>
          <w:color w:val="231F20"/>
          <w:sz w:val="22"/>
          <w:szCs w:val="22"/>
          <w:vertAlign w:val="superscript"/>
        </w:rPr>
        <w:t>st</w:t>
      </w:r>
      <w:r w:rsidR="008242A0">
        <w:rPr>
          <w:rFonts w:asciiTheme="minorBidi" w:hAnsiTheme="minorBidi" w:cstheme="minorBidi"/>
          <w:color w:val="231F20"/>
          <w:sz w:val="22"/>
          <w:szCs w:val="22"/>
        </w:rPr>
        <w:t xml:space="preserve"> </w:t>
      </w:r>
      <w:r w:rsidRPr="00BC03E1">
        <w:rPr>
          <w:rFonts w:asciiTheme="minorBidi" w:hAnsiTheme="minorBidi" w:cstheme="minorBidi"/>
          <w:color w:val="231F20"/>
          <w:sz w:val="22"/>
          <w:szCs w:val="22"/>
        </w:rPr>
        <w:t>session in June 2021 noted a slightly lower than usual implementation rate in the first year of the biennium due to the working conditions under the COVID-19 pandemic, but, consistent with the Executive Secretary’s commitment, the Secretariat was able to fully implement the biennial programme of work by the end of 2021.</w:t>
      </w:r>
    </w:p>
    <w:p w14:paraId="32280BDE" w14:textId="77777777"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color w:val="231F20"/>
          <w:sz w:val="22"/>
          <w:szCs w:val="22"/>
        </w:rPr>
      </w:pPr>
      <w:r w:rsidRPr="00BC03E1">
        <w:rPr>
          <w:rFonts w:asciiTheme="minorBidi" w:hAnsiTheme="minorBidi" w:cstheme="minorBidi"/>
          <w:color w:val="231F20"/>
          <w:sz w:val="22"/>
          <w:szCs w:val="22"/>
        </w:rPr>
        <w:t xml:space="preserve">The Group also noted that the extrabudgetary resource mobilisation target set for the 2020-2021 biennium was </w:t>
      </w:r>
      <w:r w:rsidRPr="00BC03E1">
        <w:rPr>
          <w:rFonts w:asciiTheme="minorBidi" w:hAnsiTheme="minorBidi" w:cstheme="minorBidi"/>
          <w:sz w:val="22"/>
          <w:szCs w:val="22"/>
        </w:rPr>
        <w:t>achieved</w:t>
      </w:r>
      <w:r w:rsidRPr="00BC03E1">
        <w:rPr>
          <w:rFonts w:asciiTheme="minorBidi" w:hAnsiTheme="minorBidi" w:cstheme="minorBidi"/>
          <w:color w:val="231F20"/>
          <w:sz w:val="22"/>
          <w:szCs w:val="22"/>
        </w:rPr>
        <w:t xml:space="preserve"> to the level of 92% overall, while noting variances between the Commission’s Functions. IFAG thanked all Member States that contributed to the Commission’s budget in the 2020-2021 biennium, noting </w:t>
      </w:r>
      <w:proofErr w:type="gramStart"/>
      <w:r w:rsidRPr="00BC03E1">
        <w:rPr>
          <w:rFonts w:asciiTheme="minorBidi" w:hAnsiTheme="minorBidi" w:cstheme="minorBidi"/>
          <w:color w:val="231F20"/>
          <w:sz w:val="22"/>
          <w:szCs w:val="22"/>
        </w:rPr>
        <w:t>a number of</w:t>
      </w:r>
      <w:proofErr w:type="gramEnd"/>
      <w:r w:rsidRPr="00BC03E1">
        <w:rPr>
          <w:rFonts w:asciiTheme="minorBidi" w:hAnsiTheme="minorBidi" w:cstheme="minorBidi"/>
          <w:color w:val="231F20"/>
          <w:sz w:val="22"/>
          <w:szCs w:val="22"/>
        </w:rPr>
        <w:t xml:space="preserve"> new promising partnerships and an increased level of investment in capacity development. </w:t>
      </w:r>
    </w:p>
    <w:p w14:paraId="75C5258B" w14:textId="2042C73E"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color w:val="231F20"/>
          <w:sz w:val="22"/>
          <w:szCs w:val="22"/>
        </w:rPr>
      </w:pPr>
      <w:r w:rsidRPr="00BC03E1">
        <w:rPr>
          <w:rFonts w:asciiTheme="minorBidi" w:hAnsiTheme="minorBidi" w:cstheme="minorBidi"/>
          <w:color w:val="231F20"/>
          <w:sz w:val="22"/>
          <w:szCs w:val="22"/>
        </w:rPr>
        <w:t xml:space="preserve">The Group was satisfied that the Integrated Budgetary Framework for 2022-2023 was adopted by the UNESCO </w:t>
      </w:r>
      <w:r w:rsidRPr="00BC03E1">
        <w:rPr>
          <w:rFonts w:asciiTheme="minorBidi" w:hAnsiTheme="minorBidi" w:cstheme="minorBidi"/>
          <w:sz w:val="22"/>
          <w:szCs w:val="22"/>
        </w:rPr>
        <w:t>General</w:t>
      </w:r>
      <w:r w:rsidRPr="00BC03E1">
        <w:rPr>
          <w:rFonts w:asciiTheme="minorBidi" w:hAnsiTheme="minorBidi" w:cstheme="minorBidi"/>
          <w:color w:val="231F20"/>
          <w:sz w:val="22"/>
          <w:szCs w:val="22"/>
        </w:rPr>
        <w:t xml:space="preserve"> Conference at its 41</w:t>
      </w:r>
      <w:r w:rsidRPr="00BC03E1">
        <w:rPr>
          <w:rFonts w:asciiTheme="minorBidi" w:hAnsiTheme="minorBidi" w:cstheme="minorBidi"/>
          <w:color w:val="231F20"/>
          <w:sz w:val="22"/>
          <w:szCs w:val="22"/>
          <w:vertAlign w:val="superscript"/>
        </w:rPr>
        <w:t>st</w:t>
      </w:r>
      <w:r w:rsidRPr="00BC03E1">
        <w:rPr>
          <w:rFonts w:asciiTheme="minorBidi" w:hAnsiTheme="minorBidi" w:cstheme="minorBidi"/>
          <w:color w:val="231F20"/>
          <w:sz w:val="22"/>
          <w:szCs w:val="22"/>
        </w:rPr>
        <w:t xml:space="preserve"> session as reviewed by the Assembly in document </w:t>
      </w:r>
      <w:hyperlink r:id="rId12" w:history="1">
        <w:r w:rsidRPr="00067004">
          <w:rPr>
            <w:rStyle w:val="Hyperlink"/>
            <w:rFonts w:asciiTheme="minorBidi" w:hAnsiTheme="minorBidi" w:cstheme="minorBidi"/>
            <w:sz w:val="22"/>
            <w:szCs w:val="22"/>
          </w:rPr>
          <w:t>IOC/A-31/4.</w:t>
        </w:r>
        <w:proofErr w:type="gramStart"/>
        <w:r w:rsidRPr="00067004">
          <w:rPr>
            <w:rStyle w:val="Hyperlink"/>
            <w:rFonts w:asciiTheme="minorBidi" w:hAnsiTheme="minorBidi" w:cstheme="minorBidi"/>
            <w:sz w:val="22"/>
            <w:szCs w:val="22"/>
          </w:rPr>
          <w:t>2.Doc</w:t>
        </w:r>
        <w:proofErr w:type="gramEnd"/>
      </w:hyperlink>
      <w:r w:rsidRPr="00BC03E1">
        <w:rPr>
          <w:rFonts w:asciiTheme="minorBidi" w:hAnsiTheme="minorBidi" w:cstheme="minorBidi"/>
          <w:color w:val="231F20"/>
          <w:sz w:val="22"/>
          <w:szCs w:val="22"/>
        </w:rPr>
        <w:t xml:space="preserve"> and approved through IOC Resolution A-31/2.  </w:t>
      </w:r>
    </w:p>
    <w:p w14:paraId="75F6AC11" w14:textId="77777777" w:rsidR="006B18B7" w:rsidRPr="00BC03E1" w:rsidRDefault="006B18B7" w:rsidP="006B18B7">
      <w:pPr>
        <w:pStyle w:val="ListParagraph"/>
        <w:numPr>
          <w:ilvl w:val="0"/>
          <w:numId w:val="30"/>
        </w:numPr>
        <w:tabs>
          <w:tab w:val="clear" w:pos="567"/>
          <w:tab w:val="left" w:pos="709"/>
        </w:tabs>
        <w:jc w:val="center"/>
        <w:rPr>
          <w:rFonts w:asciiTheme="minorBidi" w:hAnsiTheme="minorBidi" w:cstheme="minorBidi"/>
          <w:b/>
          <w:color w:val="231F20"/>
          <w:sz w:val="22"/>
          <w:szCs w:val="22"/>
        </w:rPr>
      </w:pPr>
      <w:r w:rsidRPr="00BC03E1">
        <w:rPr>
          <w:rFonts w:asciiTheme="minorBidi" w:hAnsiTheme="minorBidi" w:cstheme="minorBidi"/>
          <w:b/>
          <w:color w:val="231F20"/>
          <w:sz w:val="22"/>
          <w:szCs w:val="22"/>
        </w:rPr>
        <w:t>Review of the IOC Rules of Procedure</w:t>
      </w:r>
    </w:p>
    <w:p w14:paraId="1333F6D9" w14:textId="77777777" w:rsidR="006B18B7" w:rsidRPr="00BC03E1" w:rsidRDefault="006B18B7" w:rsidP="006B18B7">
      <w:pPr>
        <w:tabs>
          <w:tab w:val="clear" w:pos="567"/>
        </w:tabs>
        <w:snapToGrid/>
        <w:rPr>
          <w:rFonts w:asciiTheme="minorBidi" w:hAnsiTheme="minorBidi" w:cstheme="minorBidi"/>
          <w:color w:val="231F20"/>
          <w:sz w:val="22"/>
          <w:szCs w:val="22"/>
        </w:rPr>
      </w:pPr>
    </w:p>
    <w:p w14:paraId="4B91A13F" w14:textId="77777777"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 xml:space="preserve">By Resolution A-31/2, adopted during its 31st session in 2021, the Assembly requested </w:t>
      </w:r>
      <w:r w:rsidRPr="00067004">
        <w:rPr>
          <w:rFonts w:asciiTheme="minorBidi" w:hAnsiTheme="minorBidi" w:cstheme="minorBidi"/>
          <w:i/>
          <w:iCs/>
          <w:sz w:val="22"/>
          <w:szCs w:val="22"/>
        </w:rPr>
        <w:t>“the IOC Executive Secretary to prepare, in consultation with the UNESCO Legal Advisor and IFAG, a preliminary proposal for the revised separate sets of Rules of Procedure for the IOC Assembly and Rules of Procedure for the IOC Executive Council, making the necessary clarifications and aligning language versions, for review and adoption by these two bodies.”</w:t>
      </w:r>
    </w:p>
    <w:p w14:paraId="2CE3D37E" w14:textId="437782DC"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Accordingly, the Secretariat, in consultation with UNESCO Legal Office, identified a competent legal consultant to provide the initial analysis of the feasibility and potential complications of drafting separate sets of Rules of Procedure for the IOC Assembly and for the IOC Executive Council. This analysis was presented to the IOC Officers during their annual meeting, 17–21 January 2022 and shared with the Intersessional Financial Advisory Group (IFAG) by the IFAG Chair in his email communication of 14 April 2022 (</w:t>
      </w:r>
      <w:r w:rsidRPr="00067004">
        <w:rPr>
          <w:rFonts w:asciiTheme="minorBidi" w:hAnsiTheme="minorBidi" w:cstheme="minorBidi"/>
          <w:sz w:val="22"/>
          <w:szCs w:val="22"/>
        </w:rPr>
        <w:t xml:space="preserve">reference </w:t>
      </w:r>
      <w:hyperlink r:id="rId13" w:history="1">
        <w:r w:rsidRPr="00067004">
          <w:rPr>
            <w:rStyle w:val="Hyperlink"/>
            <w:rFonts w:asciiTheme="minorBidi" w:hAnsiTheme="minorBidi" w:cstheme="minorBidi"/>
            <w:sz w:val="22"/>
            <w:szCs w:val="22"/>
          </w:rPr>
          <w:t>IFAG Working Note 2</w:t>
        </w:r>
      </w:hyperlink>
      <w:r w:rsidRPr="00067004">
        <w:rPr>
          <w:rFonts w:asciiTheme="minorBidi" w:hAnsiTheme="minorBidi" w:cstheme="minorBidi"/>
          <w:sz w:val="22"/>
          <w:szCs w:val="22"/>
        </w:rPr>
        <w:t>)</w:t>
      </w:r>
      <w:r w:rsidRPr="00BC03E1">
        <w:rPr>
          <w:rFonts w:asciiTheme="minorBidi" w:hAnsiTheme="minorBidi" w:cstheme="minorBidi"/>
          <w:sz w:val="22"/>
          <w:szCs w:val="22"/>
        </w:rPr>
        <w:t xml:space="preserve">. </w:t>
      </w:r>
    </w:p>
    <w:p w14:paraId="673DFA83" w14:textId="77777777" w:rsidR="008E75D2"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 xml:space="preserve">The main conclusion is that while the preparation of such separate sets of Rules of Procedure does not seem to be barred by obstacles rendering it unfeasible, it however constitutes a more challenging exercise than would appear </w:t>
      </w:r>
      <w:r w:rsidRPr="00BC03E1">
        <w:rPr>
          <w:rFonts w:asciiTheme="minorBidi" w:hAnsiTheme="minorBidi" w:cstheme="minorBidi"/>
          <w:i/>
          <w:sz w:val="22"/>
          <w:szCs w:val="22"/>
        </w:rPr>
        <w:t>prima facie</w:t>
      </w:r>
      <w:r w:rsidRPr="00BC03E1">
        <w:rPr>
          <w:rFonts w:asciiTheme="minorBidi" w:hAnsiTheme="minorBidi" w:cstheme="minorBidi"/>
          <w:sz w:val="22"/>
          <w:szCs w:val="22"/>
        </w:rPr>
        <w:t xml:space="preserve">. </w:t>
      </w:r>
    </w:p>
    <w:p w14:paraId="2173291C" w14:textId="353F714F" w:rsidR="008E75D2"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lastRenderedPageBreak/>
        <w:t>First, the separation process must be assessed against statutory constraints.</w:t>
      </w:r>
      <w:r w:rsidR="008E75D2" w:rsidRPr="00BC03E1">
        <w:rPr>
          <w:rFonts w:asciiTheme="minorBidi" w:eastAsia="휴먼명조" w:hAnsiTheme="minorBidi" w:cstheme="minorBidi"/>
          <w:sz w:val="22"/>
          <w:szCs w:val="22"/>
        </w:rPr>
        <w:t xml:space="preserve"> Article 6.B.3 of the IOC Revised Statutes, adopted by the UNESCO General Conference on 16 November 1999 in its Resolution 30</w:t>
      </w:r>
      <w:r w:rsidR="00067004">
        <w:rPr>
          <w:rFonts w:asciiTheme="minorBidi" w:eastAsia="휴먼명조" w:hAnsiTheme="minorBidi" w:cstheme="minorBidi"/>
          <w:sz w:val="22"/>
          <w:szCs w:val="22"/>
        </w:rPr>
        <w:t> </w:t>
      </w:r>
      <w:r w:rsidR="008E75D2" w:rsidRPr="00BC03E1">
        <w:rPr>
          <w:rFonts w:asciiTheme="minorBidi" w:eastAsia="휴먼명조" w:hAnsiTheme="minorBidi" w:cstheme="minorBidi"/>
          <w:sz w:val="22"/>
          <w:szCs w:val="22"/>
        </w:rPr>
        <w:t xml:space="preserve">C/Resolution 22, </w:t>
      </w:r>
      <w:r w:rsidR="008E75D2" w:rsidRPr="00067004">
        <w:rPr>
          <w:rFonts w:asciiTheme="minorBidi" w:eastAsia="휴먼명조" w:hAnsiTheme="minorBidi" w:cstheme="minorBidi"/>
          <w:i/>
          <w:iCs/>
          <w:sz w:val="22"/>
          <w:szCs w:val="22"/>
        </w:rPr>
        <w:t>“[t]he Assembly shall determine the Commission’s Rules of Procedure.”</w:t>
      </w:r>
      <w:r w:rsidRPr="00BC03E1">
        <w:rPr>
          <w:rFonts w:asciiTheme="minorBidi" w:hAnsiTheme="minorBidi" w:cstheme="minorBidi"/>
          <w:sz w:val="22"/>
          <w:szCs w:val="22"/>
        </w:rPr>
        <w:t xml:space="preserve"> </w:t>
      </w:r>
    </w:p>
    <w:p w14:paraId="63F41AA4" w14:textId="77777777" w:rsidR="008E75D2"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 xml:space="preserve">Secondly, it entails a careful consideration of the existing provisions of the Rules of Procedure, which do not evenly apply to the Assembly and Executive Council. </w:t>
      </w:r>
    </w:p>
    <w:p w14:paraId="0204E011" w14:textId="17F31833"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BC03E1">
        <w:rPr>
          <w:rFonts w:asciiTheme="minorBidi" w:hAnsiTheme="minorBidi" w:cstheme="minorBidi"/>
          <w:sz w:val="22"/>
          <w:szCs w:val="22"/>
        </w:rPr>
        <w:t>Thirdly, the analysis concurs that the current Commission’s Rules of Procedure evidently suffer from a defective alignment of the language versions, as pointed out in the Report of the IFAG Chair to the 31st session of the Assembly (</w:t>
      </w:r>
      <w:hyperlink r:id="rId14" w:history="1">
        <w:r w:rsidRPr="00BC03E1">
          <w:rPr>
            <w:rFonts w:asciiTheme="minorBidi" w:hAnsiTheme="minorBidi" w:cstheme="minorBidi"/>
            <w:color w:val="0000FF" w:themeColor="hyperlink"/>
            <w:sz w:val="22"/>
            <w:szCs w:val="22"/>
            <w:u w:val="single"/>
          </w:rPr>
          <w:t>IOC/A-31/4.3.Doc</w:t>
        </w:r>
      </w:hyperlink>
      <w:r w:rsidRPr="00BC03E1">
        <w:rPr>
          <w:rFonts w:asciiTheme="minorBidi" w:hAnsiTheme="minorBidi" w:cstheme="minorBidi"/>
          <w:sz w:val="22"/>
          <w:szCs w:val="22"/>
        </w:rPr>
        <w:t xml:space="preserve">). There are obvious discrepancies between the English and French versions of the current Rules, which may lead to significant difficulties in interpreting and implementing the relevant provisions. </w:t>
      </w:r>
    </w:p>
    <w:p w14:paraId="10148B0D" w14:textId="77777777"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Separating the current Rules of Procedure into two sets of rules respectively applicable to the Assembly and the Executive Council is therefore only feasible </w:t>
      </w:r>
      <w:proofErr w:type="gramStart"/>
      <w:r w:rsidRPr="00BC03E1">
        <w:rPr>
          <w:rFonts w:asciiTheme="minorBidi" w:eastAsia="Times New Roman" w:hAnsiTheme="minorBidi" w:cstheme="minorBidi"/>
          <w:iCs/>
          <w:sz w:val="22"/>
          <w:szCs w:val="22"/>
          <w:lang w:eastAsia="en-US"/>
        </w:rPr>
        <w:t>on the basis of</w:t>
      </w:r>
      <w:proofErr w:type="gramEnd"/>
      <w:r w:rsidRPr="00BC03E1">
        <w:rPr>
          <w:rFonts w:asciiTheme="minorBidi" w:eastAsia="Times New Roman" w:hAnsiTheme="minorBidi" w:cstheme="minorBidi"/>
          <w:iCs/>
          <w:sz w:val="22"/>
          <w:szCs w:val="22"/>
          <w:lang w:eastAsia="en-US"/>
        </w:rPr>
        <w:t xml:space="preserve"> a clear identification of the object and purpose of existing provisions. </w:t>
      </w:r>
    </w:p>
    <w:p w14:paraId="7F271EE7" w14:textId="5B69F19D" w:rsidR="006B18B7" w:rsidRPr="00BC03E1" w:rsidRDefault="006B18B7" w:rsidP="00BC03E1">
      <w:pPr>
        <w:pStyle w:val="ListParagraph"/>
        <w:numPr>
          <w:ilvl w:val="0"/>
          <w:numId w:val="36"/>
        </w:numPr>
        <w:tabs>
          <w:tab w:val="clear" w:pos="567"/>
          <w:tab w:val="left" w:pos="714"/>
        </w:tabs>
        <w:spacing w:after="120"/>
        <w:ind w:left="0" w:firstLine="0"/>
        <w:contextualSpacing w:val="0"/>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For the reasons given above, the document (</w:t>
      </w:r>
      <w:hyperlink r:id="rId15" w:history="1">
        <w:r w:rsidRPr="005E21F0">
          <w:rPr>
            <w:rStyle w:val="Hyperlink"/>
            <w:rFonts w:asciiTheme="minorBidi" w:eastAsia="Times New Roman" w:hAnsiTheme="minorBidi" w:cstheme="minorBidi"/>
            <w:iCs/>
            <w:sz w:val="22"/>
            <w:szCs w:val="22"/>
            <w:lang w:eastAsia="en-US"/>
          </w:rPr>
          <w:t>IOC/EC-55/5.</w:t>
        </w:r>
        <w:proofErr w:type="gramStart"/>
        <w:r w:rsidRPr="005E21F0">
          <w:rPr>
            <w:rStyle w:val="Hyperlink"/>
            <w:rFonts w:asciiTheme="minorBidi" w:eastAsia="Times New Roman" w:hAnsiTheme="minorBidi" w:cstheme="minorBidi"/>
            <w:iCs/>
            <w:sz w:val="22"/>
            <w:szCs w:val="22"/>
            <w:lang w:eastAsia="en-US"/>
          </w:rPr>
          <w:t>1.Doc</w:t>
        </w:r>
        <w:proofErr w:type="gramEnd"/>
        <w:r w:rsidRPr="005E21F0">
          <w:rPr>
            <w:rStyle w:val="Hyperlink"/>
            <w:rFonts w:asciiTheme="minorBidi" w:eastAsia="Times New Roman" w:hAnsiTheme="minorBidi" w:cstheme="minorBidi"/>
            <w:iCs/>
            <w:sz w:val="22"/>
            <w:szCs w:val="22"/>
            <w:lang w:eastAsia="en-US"/>
          </w:rPr>
          <w:t>(1)</w:t>
        </w:r>
      </w:hyperlink>
      <w:r w:rsidRPr="00BC03E1">
        <w:rPr>
          <w:rFonts w:asciiTheme="minorBidi" w:eastAsia="Times New Roman" w:hAnsiTheme="minorBidi" w:cstheme="minorBidi"/>
          <w:iCs/>
          <w:color w:val="000000"/>
          <w:sz w:val="22"/>
          <w:szCs w:val="22"/>
          <w:lang w:eastAsia="en-US"/>
        </w:rPr>
        <w:t>)</w:t>
      </w:r>
      <w:r w:rsidRPr="00BC03E1">
        <w:rPr>
          <w:rFonts w:asciiTheme="minorBidi" w:eastAsia="Times New Roman" w:hAnsiTheme="minorBidi" w:cstheme="minorBidi"/>
          <w:iCs/>
          <w:sz w:val="22"/>
          <w:szCs w:val="22"/>
          <w:lang w:eastAsia="en-US"/>
        </w:rPr>
        <w:t xml:space="preserve"> presented for consideration by the Executive Council is based on the proposal to:</w:t>
      </w:r>
    </w:p>
    <w:p w14:paraId="1AD98911" w14:textId="7777777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refrain from engaging in a procedure of amendment of the IOC </w:t>
      </w:r>
      <w:proofErr w:type="gramStart"/>
      <w:r w:rsidRPr="00BC03E1">
        <w:rPr>
          <w:rFonts w:asciiTheme="minorBidi" w:eastAsia="Times New Roman" w:hAnsiTheme="minorBidi" w:cstheme="minorBidi"/>
          <w:iCs/>
          <w:sz w:val="22"/>
          <w:szCs w:val="22"/>
          <w:lang w:eastAsia="en-US"/>
        </w:rPr>
        <w:t>Statutes;</w:t>
      </w:r>
      <w:proofErr w:type="gramEnd"/>
    </w:p>
    <w:p w14:paraId="266C227A" w14:textId="7777777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in conformity with Article 6.B.3 of the Statutes, maintain a single set of the Commission’s Rules of Procedure, to be formally determined by the </w:t>
      </w:r>
      <w:proofErr w:type="gramStart"/>
      <w:r w:rsidRPr="00BC03E1">
        <w:rPr>
          <w:rFonts w:asciiTheme="minorBidi" w:eastAsia="Times New Roman" w:hAnsiTheme="minorBidi" w:cstheme="minorBidi"/>
          <w:iCs/>
          <w:sz w:val="22"/>
          <w:szCs w:val="22"/>
          <w:lang w:eastAsia="en-US"/>
        </w:rPr>
        <w:t>Assembly;</w:t>
      </w:r>
      <w:proofErr w:type="gramEnd"/>
    </w:p>
    <w:p w14:paraId="1D7358DF" w14:textId="7777777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revise the current Rules of Procedure on the basis of a distinction among general rules, rules applicable to the Assembly and the Executive Council, and rules applicable only to one of these </w:t>
      </w:r>
      <w:proofErr w:type="gramStart"/>
      <w:r w:rsidRPr="00BC03E1">
        <w:rPr>
          <w:rFonts w:asciiTheme="minorBidi" w:eastAsia="Times New Roman" w:hAnsiTheme="minorBidi" w:cstheme="minorBidi"/>
          <w:iCs/>
          <w:sz w:val="22"/>
          <w:szCs w:val="22"/>
          <w:lang w:eastAsia="en-US"/>
        </w:rPr>
        <w:t>bodies;</w:t>
      </w:r>
      <w:proofErr w:type="gramEnd"/>
      <w:r w:rsidRPr="00BC03E1">
        <w:rPr>
          <w:rFonts w:asciiTheme="minorBidi" w:eastAsia="Times New Roman" w:hAnsiTheme="minorBidi" w:cstheme="minorBidi"/>
          <w:iCs/>
          <w:sz w:val="22"/>
          <w:szCs w:val="22"/>
          <w:lang w:eastAsia="en-US"/>
        </w:rPr>
        <w:t xml:space="preserve"> </w:t>
      </w:r>
    </w:p>
    <w:p w14:paraId="6D251F7A" w14:textId="77777777" w:rsidR="006B18B7" w:rsidRPr="00BC03E1" w:rsidRDefault="006B18B7" w:rsidP="006B18B7">
      <w:pPr>
        <w:numPr>
          <w:ilvl w:val="0"/>
          <w:numId w:val="32"/>
        </w:numPr>
        <w:shd w:val="clear" w:color="auto" w:fill="FFFFFF"/>
        <w:tabs>
          <w:tab w:val="clear" w:pos="567"/>
        </w:tabs>
        <w:snapToGrid/>
        <w:spacing w:after="24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amend Rules 55 and 56 </w:t>
      </w:r>
      <w:proofErr w:type="gramStart"/>
      <w:r w:rsidRPr="00BC03E1">
        <w:rPr>
          <w:rFonts w:asciiTheme="minorBidi" w:eastAsia="Times New Roman" w:hAnsiTheme="minorBidi" w:cstheme="minorBidi"/>
          <w:iCs/>
          <w:sz w:val="22"/>
          <w:szCs w:val="22"/>
          <w:lang w:eastAsia="en-US"/>
        </w:rPr>
        <w:t>in order to</w:t>
      </w:r>
      <w:proofErr w:type="gramEnd"/>
      <w:r w:rsidRPr="00BC03E1">
        <w:rPr>
          <w:rFonts w:asciiTheme="minorBidi" w:eastAsia="Times New Roman" w:hAnsiTheme="minorBidi" w:cstheme="minorBidi"/>
          <w:iCs/>
          <w:sz w:val="22"/>
          <w:szCs w:val="22"/>
          <w:lang w:eastAsia="en-US"/>
        </w:rPr>
        <w:t xml:space="preserve"> acknowledge and specify the competence of the Executive Council to amend or suspend rules relating to its organization and functioning. </w:t>
      </w:r>
    </w:p>
    <w:p w14:paraId="44357B90" w14:textId="7AFF1904"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snapToGrid/>
          <w:color w:val="000000" w:themeColor="text1"/>
          <w:sz w:val="22"/>
          <w:szCs w:val="22"/>
          <w:lang w:val="en-US"/>
        </w:rPr>
      </w:pPr>
      <w:r w:rsidRPr="00BC03E1">
        <w:rPr>
          <w:rFonts w:asciiTheme="minorBidi" w:hAnsiTheme="minorBidi" w:cstheme="minorBidi"/>
          <w:color w:val="000000" w:themeColor="text1"/>
          <w:sz w:val="22"/>
          <w:szCs w:val="22"/>
        </w:rPr>
        <w:t>IFAG members welcomed the proposal by the Secretariat presented in IOC/EC-55/5.1</w:t>
      </w:r>
      <w:proofErr w:type="gramStart"/>
      <w:r w:rsidRPr="00BC03E1">
        <w:rPr>
          <w:rFonts w:asciiTheme="minorBidi" w:hAnsiTheme="minorBidi" w:cstheme="minorBidi"/>
          <w:color w:val="000000" w:themeColor="text1"/>
          <w:sz w:val="22"/>
          <w:szCs w:val="22"/>
        </w:rPr>
        <w:t>Doc(</w:t>
      </w:r>
      <w:proofErr w:type="gramEnd"/>
      <w:r w:rsidRPr="00BC03E1">
        <w:rPr>
          <w:rFonts w:asciiTheme="minorBidi" w:hAnsiTheme="minorBidi" w:cstheme="minorBidi"/>
          <w:color w:val="000000" w:themeColor="text1"/>
          <w:sz w:val="22"/>
          <w:szCs w:val="22"/>
        </w:rPr>
        <w:t>1) as a prudent ‘first draft’ approach. As highlighted by the IFAG Chair in his communication of 6 June 2022, t</w:t>
      </w:r>
      <w:r w:rsidRPr="00BC03E1">
        <w:rPr>
          <w:rFonts w:asciiTheme="minorBidi" w:hAnsiTheme="minorBidi" w:cstheme="minorBidi"/>
          <w:color w:val="000000" w:themeColor="text1"/>
          <w:sz w:val="22"/>
          <w:szCs w:val="22"/>
          <w:lang w:val="en-US"/>
        </w:rPr>
        <w:t xml:space="preserve">his approach only diverges from what was discussed at the </w:t>
      </w:r>
      <w:r w:rsidR="00FC68A7">
        <w:rPr>
          <w:rFonts w:asciiTheme="minorBidi" w:hAnsiTheme="minorBidi" w:cstheme="minorBidi"/>
          <w:color w:val="000000" w:themeColor="text1"/>
          <w:sz w:val="22"/>
          <w:szCs w:val="22"/>
          <w:lang w:val="en-US"/>
        </w:rPr>
        <w:t>31</w:t>
      </w:r>
      <w:r w:rsidR="00FC68A7" w:rsidRPr="00FC68A7">
        <w:rPr>
          <w:rFonts w:asciiTheme="minorBidi" w:hAnsiTheme="minorBidi" w:cstheme="minorBidi"/>
          <w:color w:val="000000" w:themeColor="text1"/>
          <w:sz w:val="22"/>
          <w:szCs w:val="22"/>
          <w:vertAlign w:val="superscript"/>
          <w:lang w:val="en-US"/>
        </w:rPr>
        <w:t>st</w:t>
      </w:r>
      <w:r w:rsidR="00FC68A7">
        <w:rPr>
          <w:rFonts w:asciiTheme="minorBidi" w:hAnsiTheme="minorBidi" w:cstheme="minorBidi"/>
          <w:color w:val="000000" w:themeColor="text1"/>
          <w:sz w:val="22"/>
          <w:szCs w:val="22"/>
          <w:lang w:val="en-US"/>
        </w:rPr>
        <w:t xml:space="preserve"> </w:t>
      </w:r>
      <w:r w:rsidRPr="00BC03E1">
        <w:rPr>
          <w:rFonts w:asciiTheme="minorBidi" w:hAnsiTheme="minorBidi" w:cstheme="minorBidi"/>
          <w:color w:val="000000" w:themeColor="text1"/>
          <w:sz w:val="22"/>
          <w:szCs w:val="22"/>
          <w:lang w:val="en-US"/>
        </w:rPr>
        <w:t xml:space="preserve">session of the Assembly in that it </w:t>
      </w:r>
      <w:proofErr w:type="gramStart"/>
      <w:r w:rsidRPr="00BC03E1">
        <w:rPr>
          <w:rFonts w:asciiTheme="minorBidi" w:hAnsiTheme="minorBidi" w:cstheme="minorBidi"/>
          <w:color w:val="000000" w:themeColor="text1"/>
          <w:sz w:val="22"/>
          <w:szCs w:val="22"/>
          <w:lang w:val="en-US"/>
        </w:rPr>
        <w:t>still keeps</w:t>
      </w:r>
      <w:proofErr w:type="gramEnd"/>
      <w:r w:rsidRPr="00BC03E1">
        <w:rPr>
          <w:rFonts w:asciiTheme="minorBidi" w:hAnsiTheme="minorBidi" w:cstheme="minorBidi"/>
          <w:color w:val="000000" w:themeColor="text1"/>
          <w:sz w:val="22"/>
          <w:szCs w:val="22"/>
          <w:lang w:val="en-US"/>
        </w:rPr>
        <w:t xml:space="preserve"> one set of Rules to be approved by the IOC Assembly in 2023 (there is no longer a need for an extraordinary session of the Executive Council in 2023).</w:t>
      </w:r>
    </w:p>
    <w:p w14:paraId="52D2210C" w14:textId="77777777"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color w:val="000000" w:themeColor="text1"/>
          <w:sz w:val="22"/>
          <w:szCs w:val="22"/>
        </w:rPr>
      </w:pPr>
      <w:r w:rsidRPr="00BC03E1">
        <w:rPr>
          <w:rFonts w:asciiTheme="minorBidi" w:hAnsiTheme="minorBidi" w:cstheme="minorBidi"/>
          <w:color w:val="000000" w:themeColor="text1"/>
          <w:sz w:val="22"/>
          <w:szCs w:val="22"/>
          <w:lang w:val="en-US"/>
        </w:rPr>
        <w:t xml:space="preserve">It is fully respectful of Member States’ wish to refrain from any substantial review of the Rules by reorganizing </w:t>
      </w:r>
      <w:r w:rsidRPr="00BC03E1">
        <w:rPr>
          <w:rFonts w:asciiTheme="minorBidi" w:hAnsiTheme="minorBidi" w:cstheme="minorBidi"/>
          <w:color w:val="000000" w:themeColor="text1"/>
          <w:sz w:val="22"/>
          <w:szCs w:val="22"/>
        </w:rPr>
        <w:t>them</w:t>
      </w:r>
      <w:r w:rsidRPr="00BC03E1">
        <w:rPr>
          <w:rFonts w:asciiTheme="minorBidi" w:hAnsiTheme="minorBidi" w:cstheme="minorBidi"/>
          <w:color w:val="000000" w:themeColor="text1"/>
          <w:sz w:val="22"/>
          <w:szCs w:val="22"/>
          <w:lang w:val="en-US"/>
        </w:rPr>
        <w:t>, rather than truly reviewing them, and only proposing minimal adjustments to rules 55 and 56 to optimize the functioning of the Executive Council.</w:t>
      </w:r>
    </w:p>
    <w:p w14:paraId="624AAC1D" w14:textId="67ABD1B0"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The Group also examined the Annex to document IOC/EC-55/5.1</w:t>
      </w:r>
      <w:proofErr w:type="gramStart"/>
      <w:r w:rsidRPr="00BC03E1">
        <w:rPr>
          <w:rFonts w:asciiTheme="minorBidi" w:eastAsia="Times New Roman" w:hAnsiTheme="minorBidi" w:cstheme="minorBidi"/>
          <w:iCs/>
          <w:sz w:val="22"/>
          <w:szCs w:val="22"/>
          <w:lang w:eastAsia="en-US"/>
        </w:rPr>
        <w:t>Doc(</w:t>
      </w:r>
      <w:proofErr w:type="gramEnd"/>
      <w:r w:rsidRPr="00BC03E1">
        <w:rPr>
          <w:rFonts w:asciiTheme="minorBidi" w:eastAsia="Times New Roman" w:hAnsiTheme="minorBidi" w:cstheme="minorBidi"/>
          <w:iCs/>
          <w:sz w:val="22"/>
          <w:szCs w:val="22"/>
          <w:lang w:eastAsia="en-US"/>
        </w:rPr>
        <w:t xml:space="preserve">1) which contains a non-exhaustive set of </w:t>
      </w:r>
      <w:r w:rsidRPr="00BC03E1">
        <w:rPr>
          <w:rFonts w:asciiTheme="minorBidi" w:hAnsiTheme="minorBidi" w:cstheme="minorBidi"/>
          <w:sz w:val="22"/>
          <w:szCs w:val="22"/>
        </w:rPr>
        <w:t>comments</w:t>
      </w:r>
      <w:r w:rsidRPr="00BC03E1">
        <w:rPr>
          <w:rFonts w:asciiTheme="minorBidi" w:eastAsia="Times New Roman" w:hAnsiTheme="minorBidi" w:cstheme="minorBidi"/>
          <w:iCs/>
          <w:sz w:val="22"/>
          <w:szCs w:val="22"/>
          <w:lang w:eastAsia="en-US"/>
        </w:rPr>
        <w:t xml:space="preserve"> by legal experts indicating where Member States may wish to consider the benefit of further clarifications, requiring a more in-depth review of the Rules. </w:t>
      </w:r>
      <w:r w:rsidR="00C73498" w:rsidRPr="00BC03E1">
        <w:rPr>
          <w:rFonts w:asciiTheme="minorBidi" w:eastAsia="Times New Roman" w:hAnsiTheme="minorBidi" w:cstheme="minorBidi"/>
          <w:iCs/>
          <w:sz w:val="22"/>
          <w:szCs w:val="22"/>
          <w:lang w:eastAsia="en-US"/>
        </w:rPr>
        <w:t xml:space="preserve">The face-to-face meeting on 13 June allowed to go through the Annex rule by rule, considering the comments and suggested </w:t>
      </w:r>
      <w:r w:rsidR="00C73498" w:rsidRPr="00BC03E1">
        <w:rPr>
          <w:rFonts w:asciiTheme="minorBidi" w:hAnsiTheme="minorBidi" w:cstheme="minorBidi"/>
          <w:sz w:val="22"/>
          <w:szCs w:val="22"/>
        </w:rPr>
        <w:t>areas</w:t>
      </w:r>
      <w:r w:rsidR="00C73498" w:rsidRPr="00BC03E1">
        <w:rPr>
          <w:rFonts w:asciiTheme="minorBidi" w:eastAsia="Times New Roman" w:hAnsiTheme="minorBidi" w:cstheme="minorBidi"/>
          <w:iCs/>
          <w:sz w:val="22"/>
          <w:szCs w:val="22"/>
          <w:lang w:eastAsia="en-US"/>
        </w:rPr>
        <w:t xml:space="preserve"> of improvement, </w:t>
      </w:r>
      <w:proofErr w:type="gramStart"/>
      <w:r w:rsidR="00C73498" w:rsidRPr="00BC03E1">
        <w:rPr>
          <w:rFonts w:asciiTheme="minorBidi" w:eastAsia="Times New Roman" w:hAnsiTheme="minorBidi" w:cstheme="minorBidi"/>
          <w:iCs/>
          <w:sz w:val="22"/>
          <w:szCs w:val="22"/>
          <w:lang w:eastAsia="en-US"/>
        </w:rPr>
        <w:t>in order to</w:t>
      </w:r>
      <w:proofErr w:type="gramEnd"/>
      <w:r w:rsidR="00C73498" w:rsidRPr="00BC03E1">
        <w:rPr>
          <w:rFonts w:asciiTheme="minorBidi" w:eastAsia="Times New Roman" w:hAnsiTheme="minorBidi" w:cstheme="minorBidi"/>
          <w:iCs/>
          <w:sz w:val="22"/>
          <w:szCs w:val="22"/>
          <w:lang w:eastAsia="en-US"/>
        </w:rPr>
        <w:t xml:space="preserve"> better prepare for the discussion during the session.</w:t>
      </w:r>
    </w:p>
    <w:p w14:paraId="65B9BDCF" w14:textId="42B425AD" w:rsidR="006B18B7" w:rsidRPr="00BC03E1" w:rsidRDefault="004D5102" w:rsidP="00BC03E1">
      <w:pPr>
        <w:pStyle w:val="ListParagraph"/>
        <w:numPr>
          <w:ilvl w:val="0"/>
          <w:numId w:val="36"/>
        </w:numPr>
        <w:tabs>
          <w:tab w:val="clear" w:pos="567"/>
          <w:tab w:val="left" w:pos="714"/>
        </w:tabs>
        <w:spacing w:after="120"/>
        <w:ind w:left="0" w:firstLine="0"/>
        <w:contextualSpacing w:val="0"/>
        <w:jc w:val="both"/>
        <w:rPr>
          <w:rFonts w:asciiTheme="minorBidi" w:hAnsiTheme="minorBidi" w:cstheme="minorBidi"/>
          <w:snapToGrid/>
          <w:sz w:val="22"/>
          <w:szCs w:val="22"/>
          <w:lang w:val="en-US"/>
        </w:rPr>
      </w:pPr>
      <w:r w:rsidRPr="00BC03E1">
        <w:rPr>
          <w:rFonts w:asciiTheme="minorBidi" w:hAnsiTheme="minorBidi" w:cstheme="minorBidi"/>
          <w:sz w:val="22"/>
          <w:szCs w:val="22"/>
          <w:lang w:val="en-US"/>
        </w:rPr>
        <w:t xml:space="preserve">The </w:t>
      </w:r>
      <w:r w:rsidR="00C73498" w:rsidRPr="00BC03E1">
        <w:rPr>
          <w:rFonts w:asciiTheme="minorBidi" w:hAnsiTheme="minorBidi" w:cstheme="minorBidi"/>
          <w:sz w:val="22"/>
          <w:szCs w:val="22"/>
        </w:rPr>
        <w:t>discussion</w:t>
      </w:r>
      <w:r w:rsidR="00C73498" w:rsidRPr="00BC03E1">
        <w:rPr>
          <w:rFonts w:asciiTheme="minorBidi" w:hAnsiTheme="minorBidi" w:cstheme="minorBidi"/>
          <w:sz w:val="22"/>
          <w:szCs w:val="22"/>
          <w:lang w:val="en-US"/>
        </w:rPr>
        <w:t xml:space="preserve"> </w:t>
      </w:r>
      <w:r w:rsidR="00A136A4" w:rsidRPr="00BC03E1">
        <w:rPr>
          <w:rFonts w:asciiTheme="minorBidi" w:hAnsiTheme="minorBidi" w:cstheme="minorBidi"/>
          <w:sz w:val="22"/>
          <w:szCs w:val="22"/>
          <w:lang w:val="en-US"/>
        </w:rPr>
        <w:t xml:space="preserve">at the Executive Council </w:t>
      </w:r>
      <w:r w:rsidR="00C73498" w:rsidRPr="00BC03E1">
        <w:rPr>
          <w:rFonts w:asciiTheme="minorBidi" w:hAnsiTheme="minorBidi" w:cstheme="minorBidi"/>
          <w:sz w:val="22"/>
          <w:szCs w:val="22"/>
          <w:lang w:val="en-US"/>
        </w:rPr>
        <w:t xml:space="preserve">should </w:t>
      </w:r>
      <w:r w:rsidR="00A136A4" w:rsidRPr="00BC03E1">
        <w:rPr>
          <w:rFonts w:asciiTheme="minorBidi" w:hAnsiTheme="minorBidi" w:cstheme="minorBidi"/>
          <w:sz w:val="22"/>
          <w:szCs w:val="22"/>
          <w:lang w:val="en-US"/>
        </w:rPr>
        <w:t xml:space="preserve">therefore </w:t>
      </w:r>
      <w:r w:rsidR="00C73498" w:rsidRPr="00BC03E1">
        <w:rPr>
          <w:rFonts w:asciiTheme="minorBidi" w:hAnsiTheme="minorBidi" w:cstheme="minorBidi"/>
          <w:sz w:val="22"/>
          <w:szCs w:val="22"/>
          <w:lang w:val="en-US"/>
        </w:rPr>
        <w:t>focus on the following</w:t>
      </w:r>
      <w:r w:rsidR="006B18B7" w:rsidRPr="00BC03E1">
        <w:rPr>
          <w:rFonts w:asciiTheme="minorBidi" w:hAnsiTheme="minorBidi" w:cstheme="minorBidi"/>
          <w:sz w:val="22"/>
          <w:szCs w:val="22"/>
          <w:lang w:val="en-US"/>
        </w:rPr>
        <w:t>:</w:t>
      </w:r>
    </w:p>
    <w:p w14:paraId="21B38FE8" w14:textId="7777777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hAnsiTheme="minorBidi" w:cstheme="minorBidi"/>
          <w:sz w:val="22"/>
          <w:szCs w:val="22"/>
          <w:lang w:val="en-US"/>
        </w:rPr>
        <w:t xml:space="preserve">consider whether the </w:t>
      </w:r>
      <w:r w:rsidRPr="00BC03E1">
        <w:rPr>
          <w:rFonts w:asciiTheme="minorBidi" w:eastAsia="Times New Roman" w:hAnsiTheme="minorBidi" w:cstheme="minorBidi"/>
          <w:iCs/>
          <w:sz w:val="22"/>
          <w:szCs w:val="22"/>
          <w:lang w:eastAsia="en-US"/>
        </w:rPr>
        <w:t xml:space="preserve">proposed approach is satisfactory to Member </w:t>
      </w:r>
      <w:proofErr w:type="gramStart"/>
      <w:r w:rsidRPr="00BC03E1">
        <w:rPr>
          <w:rFonts w:asciiTheme="minorBidi" w:eastAsia="Times New Roman" w:hAnsiTheme="minorBidi" w:cstheme="minorBidi"/>
          <w:iCs/>
          <w:sz w:val="22"/>
          <w:szCs w:val="22"/>
          <w:lang w:eastAsia="en-US"/>
        </w:rPr>
        <w:t>States;</w:t>
      </w:r>
      <w:proofErr w:type="gramEnd"/>
    </w:p>
    <w:p w14:paraId="00A48BBB" w14:textId="65B3FD32"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consider whether to invite the Secretariat to continue the review of the Rules in order to bring further clarity and consistency, as advised by the legal </w:t>
      </w:r>
      <w:proofErr w:type="gramStart"/>
      <w:r w:rsidRPr="00BC03E1">
        <w:rPr>
          <w:rFonts w:asciiTheme="minorBidi" w:eastAsia="Times New Roman" w:hAnsiTheme="minorBidi" w:cstheme="minorBidi"/>
          <w:iCs/>
          <w:sz w:val="22"/>
          <w:szCs w:val="22"/>
          <w:lang w:eastAsia="en-US"/>
        </w:rPr>
        <w:t>team</w:t>
      </w:r>
      <w:r w:rsidR="00A136A4" w:rsidRPr="00BC03E1">
        <w:rPr>
          <w:rFonts w:asciiTheme="minorBidi" w:eastAsia="Times New Roman" w:hAnsiTheme="minorBidi" w:cstheme="minorBidi"/>
          <w:iCs/>
          <w:sz w:val="22"/>
          <w:szCs w:val="22"/>
          <w:lang w:eastAsia="en-US"/>
        </w:rPr>
        <w:t>;</w:t>
      </w:r>
      <w:proofErr w:type="gramEnd"/>
      <w:r w:rsidRPr="00BC03E1">
        <w:rPr>
          <w:rFonts w:asciiTheme="minorBidi" w:eastAsia="Times New Roman" w:hAnsiTheme="minorBidi" w:cstheme="minorBidi"/>
          <w:iCs/>
          <w:sz w:val="22"/>
          <w:szCs w:val="22"/>
          <w:lang w:eastAsia="en-US"/>
        </w:rPr>
        <w:t xml:space="preserve"> </w:t>
      </w:r>
    </w:p>
    <w:p w14:paraId="43912D3F" w14:textId="276FBA0C"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possibly indicate some areas/points of priority focus and/or add some specific recommendations</w:t>
      </w:r>
      <w:r w:rsidR="00FC68A7">
        <w:rPr>
          <w:rFonts w:asciiTheme="minorBidi" w:eastAsia="Times New Roman" w:hAnsiTheme="minorBidi" w:cstheme="minorBidi"/>
          <w:iCs/>
          <w:sz w:val="22"/>
          <w:szCs w:val="22"/>
          <w:lang w:eastAsia="en-US"/>
        </w:rPr>
        <w:t>.</w:t>
      </w:r>
    </w:p>
    <w:p w14:paraId="6BCF0261" w14:textId="1DDCB2CC" w:rsidR="004D5102" w:rsidRPr="00BC03E1" w:rsidRDefault="004D5102" w:rsidP="00BC03E1">
      <w:pPr>
        <w:pStyle w:val="ListParagraph"/>
        <w:numPr>
          <w:ilvl w:val="0"/>
          <w:numId w:val="36"/>
        </w:numPr>
        <w:tabs>
          <w:tab w:val="clear" w:pos="567"/>
          <w:tab w:val="left" w:pos="714"/>
        </w:tabs>
        <w:spacing w:after="120"/>
        <w:ind w:left="0" w:firstLine="0"/>
        <w:contextualSpacing w:val="0"/>
        <w:jc w:val="both"/>
        <w:rPr>
          <w:rFonts w:asciiTheme="minorBidi" w:hAnsiTheme="minorBidi" w:cstheme="minorBidi"/>
          <w:sz w:val="22"/>
          <w:szCs w:val="22"/>
          <w:lang w:val="en-US"/>
        </w:rPr>
      </w:pPr>
      <w:proofErr w:type="gramStart"/>
      <w:r w:rsidRPr="00BC03E1">
        <w:rPr>
          <w:rFonts w:asciiTheme="minorBidi" w:hAnsiTheme="minorBidi" w:cstheme="minorBidi"/>
          <w:sz w:val="22"/>
          <w:szCs w:val="22"/>
          <w:lang w:val="en-US"/>
        </w:rPr>
        <w:lastRenderedPageBreak/>
        <w:t>With regard to</w:t>
      </w:r>
      <w:proofErr w:type="gramEnd"/>
      <w:r w:rsidRPr="00BC03E1">
        <w:rPr>
          <w:rFonts w:asciiTheme="minorBidi" w:hAnsiTheme="minorBidi" w:cstheme="minorBidi"/>
          <w:sz w:val="22"/>
          <w:szCs w:val="22"/>
          <w:lang w:val="en-US"/>
        </w:rPr>
        <w:t xml:space="preserve"> </w:t>
      </w:r>
      <w:r w:rsidRPr="00BC03E1">
        <w:rPr>
          <w:rFonts w:asciiTheme="minorBidi" w:hAnsiTheme="minorBidi" w:cstheme="minorBidi"/>
          <w:sz w:val="22"/>
          <w:szCs w:val="22"/>
        </w:rPr>
        <w:t>the</w:t>
      </w:r>
      <w:r w:rsidRPr="00BC03E1">
        <w:rPr>
          <w:rFonts w:asciiTheme="minorBidi" w:hAnsiTheme="minorBidi" w:cstheme="minorBidi"/>
          <w:sz w:val="22"/>
          <w:szCs w:val="22"/>
          <w:lang w:val="en-US"/>
        </w:rPr>
        <w:t xml:space="preserve"> last </w:t>
      </w:r>
      <w:r w:rsidR="00A136A4" w:rsidRPr="00BC03E1">
        <w:rPr>
          <w:rFonts w:asciiTheme="minorBidi" w:hAnsiTheme="minorBidi" w:cstheme="minorBidi"/>
          <w:sz w:val="22"/>
          <w:szCs w:val="22"/>
          <w:lang w:val="en-US"/>
        </w:rPr>
        <w:t xml:space="preserve">two </w:t>
      </w:r>
      <w:r w:rsidRPr="00BC03E1">
        <w:rPr>
          <w:rFonts w:asciiTheme="minorBidi" w:hAnsiTheme="minorBidi" w:cstheme="minorBidi"/>
          <w:sz w:val="22"/>
          <w:szCs w:val="22"/>
          <w:lang w:val="en-US"/>
        </w:rPr>
        <w:t xml:space="preserve">of the above items, the Group </w:t>
      </w:r>
      <w:r w:rsidR="00A136A4" w:rsidRPr="00BC03E1">
        <w:rPr>
          <w:rFonts w:asciiTheme="minorBidi" w:hAnsiTheme="minorBidi" w:cstheme="minorBidi"/>
          <w:sz w:val="22"/>
          <w:szCs w:val="22"/>
          <w:lang w:val="en-US"/>
        </w:rPr>
        <w:t xml:space="preserve">agreed on </w:t>
      </w:r>
      <w:r w:rsidRPr="00BC03E1">
        <w:rPr>
          <w:rFonts w:asciiTheme="minorBidi" w:hAnsiTheme="minorBidi" w:cstheme="minorBidi"/>
          <w:sz w:val="22"/>
          <w:szCs w:val="22"/>
          <w:lang w:val="en-US"/>
        </w:rPr>
        <w:t>a number of preliminary comments:</w:t>
      </w:r>
    </w:p>
    <w:p w14:paraId="59878457" w14:textId="04412120" w:rsidR="004D5102" w:rsidRPr="00BC03E1" w:rsidRDefault="00A136A4"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hAnsiTheme="minorBidi" w:cstheme="minorBidi"/>
          <w:sz w:val="22"/>
          <w:szCs w:val="22"/>
          <w:lang w:val="en-US"/>
        </w:rPr>
        <w:t xml:space="preserve">while improving </w:t>
      </w:r>
      <w:r w:rsidRPr="00BC03E1">
        <w:rPr>
          <w:rFonts w:asciiTheme="minorBidi" w:eastAsia="Times New Roman" w:hAnsiTheme="minorBidi" w:cstheme="minorBidi"/>
          <w:iCs/>
          <w:sz w:val="22"/>
          <w:szCs w:val="22"/>
          <w:lang w:eastAsia="en-US"/>
        </w:rPr>
        <w:t xml:space="preserve">clarity and aligning language versions, focus on fixing only what needs to be </w:t>
      </w:r>
      <w:proofErr w:type="gramStart"/>
      <w:r w:rsidRPr="00BC03E1">
        <w:rPr>
          <w:rFonts w:asciiTheme="minorBidi" w:eastAsia="Times New Roman" w:hAnsiTheme="minorBidi" w:cstheme="minorBidi"/>
          <w:iCs/>
          <w:sz w:val="22"/>
          <w:szCs w:val="22"/>
          <w:lang w:eastAsia="en-US"/>
        </w:rPr>
        <w:t>fixed</w:t>
      </w:r>
      <w:r w:rsidR="00FC68A7">
        <w:rPr>
          <w:rFonts w:asciiTheme="minorBidi" w:eastAsia="Times New Roman" w:hAnsiTheme="minorBidi" w:cstheme="minorBidi"/>
          <w:iCs/>
          <w:sz w:val="22"/>
          <w:szCs w:val="22"/>
          <w:lang w:eastAsia="en-US"/>
        </w:rPr>
        <w:t>;</w:t>
      </w:r>
      <w:proofErr w:type="gramEnd"/>
    </w:p>
    <w:p w14:paraId="66BD2E8D" w14:textId="51A07608" w:rsidR="00A136A4" w:rsidRPr="00BC03E1" w:rsidRDefault="00A136A4"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develop guidelines for consultations by correspondence, applicable both to the Assembly and the Executive Council, based on prevailing best practices and UNESCO </w:t>
      </w:r>
      <w:proofErr w:type="gramStart"/>
      <w:r w:rsidRPr="00BC03E1">
        <w:rPr>
          <w:rFonts w:asciiTheme="minorBidi" w:eastAsia="Times New Roman" w:hAnsiTheme="minorBidi" w:cstheme="minorBidi"/>
          <w:iCs/>
          <w:sz w:val="22"/>
          <w:szCs w:val="22"/>
          <w:lang w:eastAsia="en-US"/>
        </w:rPr>
        <w:t>experience</w:t>
      </w:r>
      <w:r w:rsidR="00FC68A7">
        <w:rPr>
          <w:rFonts w:asciiTheme="minorBidi" w:eastAsia="Times New Roman" w:hAnsiTheme="minorBidi" w:cstheme="minorBidi"/>
          <w:iCs/>
          <w:sz w:val="22"/>
          <w:szCs w:val="22"/>
          <w:lang w:eastAsia="en-US"/>
        </w:rPr>
        <w:t>;</w:t>
      </w:r>
      <w:proofErr w:type="gramEnd"/>
    </w:p>
    <w:p w14:paraId="1FDCFF9A" w14:textId="13DCED98" w:rsidR="00A136A4" w:rsidRPr="00BC03E1" w:rsidRDefault="00A136A4"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include in the Rules a provision for holding online meetings, but only as an exceptional </w:t>
      </w:r>
      <w:proofErr w:type="gramStart"/>
      <w:r w:rsidRPr="00BC03E1">
        <w:rPr>
          <w:rFonts w:asciiTheme="minorBidi" w:eastAsia="Times New Roman" w:hAnsiTheme="minorBidi" w:cstheme="minorBidi"/>
          <w:iCs/>
          <w:sz w:val="22"/>
          <w:szCs w:val="22"/>
          <w:lang w:eastAsia="en-US"/>
        </w:rPr>
        <w:t>measure</w:t>
      </w:r>
      <w:r w:rsidR="00FC68A7">
        <w:rPr>
          <w:rFonts w:asciiTheme="minorBidi" w:eastAsia="Times New Roman" w:hAnsiTheme="minorBidi" w:cstheme="minorBidi"/>
          <w:iCs/>
          <w:sz w:val="22"/>
          <w:szCs w:val="22"/>
          <w:lang w:eastAsia="en-US"/>
        </w:rPr>
        <w:t>;</w:t>
      </w:r>
      <w:proofErr w:type="gramEnd"/>
    </w:p>
    <w:p w14:paraId="0114FE7E" w14:textId="1D93AE26" w:rsidR="00A136A4" w:rsidRPr="00BC03E1" w:rsidRDefault="00A136A4" w:rsidP="00BC03E1">
      <w:pPr>
        <w:numPr>
          <w:ilvl w:val="0"/>
          <w:numId w:val="32"/>
        </w:numPr>
        <w:shd w:val="clear" w:color="auto" w:fill="FFFFFF"/>
        <w:tabs>
          <w:tab w:val="clear" w:pos="567"/>
        </w:tabs>
        <w:snapToGrid/>
        <w:spacing w:after="24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submit draft guidelines for online meeting to the Assembly along with the revised draft of the Rules</w:t>
      </w:r>
      <w:r w:rsidR="00FC68A7">
        <w:rPr>
          <w:rFonts w:asciiTheme="minorBidi" w:eastAsia="Times New Roman" w:hAnsiTheme="minorBidi" w:cstheme="minorBidi"/>
          <w:iCs/>
          <w:sz w:val="22"/>
          <w:szCs w:val="22"/>
          <w:lang w:eastAsia="en-US"/>
        </w:rPr>
        <w:t>.</w:t>
      </w:r>
    </w:p>
    <w:p w14:paraId="33819917" w14:textId="0B73B602"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This will guide the work of the Secretariat in preparing the pre-final version for adoption by the IOC </w:t>
      </w:r>
      <w:r w:rsidRPr="00BC03E1">
        <w:rPr>
          <w:rFonts w:asciiTheme="minorBidi" w:hAnsiTheme="minorBidi" w:cstheme="minorBidi"/>
          <w:sz w:val="22"/>
          <w:szCs w:val="22"/>
        </w:rPr>
        <w:t>Assembly</w:t>
      </w:r>
      <w:r w:rsidRPr="00BC03E1">
        <w:rPr>
          <w:rFonts w:asciiTheme="minorBidi" w:eastAsia="Times New Roman" w:hAnsiTheme="minorBidi" w:cstheme="minorBidi"/>
          <w:iCs/>
          <w:sz w:val="22"/>
          <w:szCs w:val="22"/>
          <w:lang w:eastAsia="en-US"/>
        </w:rPr>
        <w:t xml:space="preserve"> at its 32nd session</w:t>
      </w:r>
      <w:r w:rsidR="00FC68A7">
        <w:rPr>
          <w:rFonts w:asciiTheme="minorBidi" w:eastAsia="Times New Roman" w:hAnsiTheme="minorBidi" w:cstheme="minorBidi"/>
          <w:iCs/>
          <w:sz w:val="22"/>
          <w:szCs w:val="22"/>
          <w:lang w:eastAsia="en-US"/>
        </w:rPr>
        <w:t xml:space="preserve"> in 2023</w:t>
      </w:r>
      <w:r w:rsidRPr="00BC03E1">
        <w:rPr>
          <w:rFonts w:asciiTheme="minorBidi" w:eastAsia="Times New Roman" w:hAnsiTheme="minorBidi" w:cstheme="minorBidi"/>
          <w:iCs/>
          <w:sz w:val="22"/>
          <w:szCs w:val="22"/>
          <w:lang w:eastAsia="en-US"/>
        </w:rPr>
        <w:t>.</w:t>
      </w:r>
    </w:p>
    <w:p w14:paraId="65AF482C" w14:textId="77777777" w:rsidR="006B18B7" w:rsidRPr="00BC03E1" w:rsidRDefault="006B18B7" w:rsidP="006B18B7">
      <w:pPr>
        <w:numPr>
          <w:ilvl w:val="0"/>
          <w:numId w:val="30"/>
        </w:numPr>
        <w:tabs>
          <w:tab w:val="clear" w:pos="567"/>
        </w:tabs>
        <w:snapToGrid/>
        <w:contextualSpacing/>
        <w:jc w:val="center"/>
        <w:rPr>
          <w:rFonts w:asciiTheme="minorBidi" w:hAnsiTheme="minorBidi" w:cstheme="minorBidi"/>
          <w:b/>
          <w:color w:val="231F20"/>
          <w:sz w:val="22"/>
          <w:szCs w:val="22"/>
        </w:rPr>
      </w:pPr>
      <w:r w:rsidRPr="00BC03E1">
        <w:rPr>
          <w:rFonts w:asciiTheme="minorBidi" w:hAnsiTheme="minorBidi" w:cstheme="minorBidi"/>
          <w:b/>
          <w:color w:val="231F20"/>
          <w:sz w:val="22"/>
          <w:szCs w:val="22"/>
        </w:rPr>
        <w:t>Reporting on in-kind contributions</w:t>
      </w:r>
    </w:p>
    <w:p w14:paraId="1070BAF2" w14:textId="77777777" w:rsidR="006B18B7" w:rsidRPr="00BC03E1" w:rsidRDefault="006B18B7" w:rsidP="006B18B7">
      <w:pPr>
        <w:tabs>
          <w:tab w:val="clear" w:pos="567"/>
        </w:tabs>
        <w:snapToGrid/>
        <w:jc w:val="center"/>
        <w:rPr>
          <w:rFonts w:asciiTheme="minorBidi" w:hAnsiTheme="minorBidi" w:cstheme="minorBidi"/>
          <w:b/>
          <w:color w:val="231F20"/>
          <w:sz w:val="22"/>
          <w:szCs w:val="22"/>
        </w:rPr>
      </w:pPr>
    </w:p>
    <w:p w14:paraId="4FC08C29" w14:textId="77777777" w:rsidR="006B18B7" w:rsidRPr="00BC03E1" w:rsidRDefault="006B18B7" w:rsidP="00BC03E1">
      <w:pPr>
        <w:pStyle w:val="ListParagraph"/>
        <w:numPr>
          <w:ilvl w:val="0"/>
          <w:numId w:val="36"/>
        </w:numPr>
        <w:tabs>
          <w:tab w:val="clear" w:pos="567"/>
          <w:tab w:val="left" w:pos="714"/>
        </w:tabs>
        <w:spacing w:after="240"/>
        <w:ind w:left="0" w:firstLine="0"/>
        <w:contextualSpacing w:val="0"/>
        <w:jc w:val="both"/>
        <w:rPr>
          <w:rFonts w:asciiTheme="minorBidi" w:hAnsiTheme="minorBidi" w:cstheme="minorBidi"/>
          <w:color w:val="231F20"/>
          <w:sz w:val="22"/>
          <w:szCs w:val="22"/>
        </w:rPr>
      </w:pPr>
      <w:r w:rsidRPr="00BC03E1">
        <w:rPr>
          <w:rFonts w:asciiTheme="minorBidi" w:hAnsiTheme="minorBidi" w:cstheme="minorBidi"/>
          <w:color w:val="231F20"/>
          <w:sz w:val="22"/>
          <w:szCs w:val="22"/>
        </w:rPr>
        <w:t>IOC Resolution A-31/2 invited IFAG ‘to consider a proposal for a systematic approach and methodology for reporting in-kind contributions, consistent with the updated Guiding Principles for Programming and Budgeting… and Article 10 of the IOC Statutes, to be considered by the IOC Assembly at its 32</w:t>
      </w:r>
      <w:r w:rsidRPr="00BC03E1">
        <w:rPr>
          <w:rFonts w:asciiTheme="minorBidi" w:hAnsiTheme="minorBidi" w:cstheme="minorBidi"/>
          <w:color w:val="231F20"/>
          <w:sz w:val="22"/>
          <w:szCs w:val="22"/>
          <w:vertAlign w:val="superscript"/>
        </w:rPr>
        <w:t>nd</w:t>
      </w:r>
      <w:r w:rsidRPr="00BC03E1">
        <w:rPr>
          <w:rFonts w:asciiTheme="minorBidi" w:hAnsiTheme="minorBidi" w:cstheme="minorBidi"/>
          <w:color w:val="231F20"/>
          <w:sz w:val="22"/>
          <w:szCs w:val="22"/>
        </w:rPr>
        <w:t xml:space="preserve"> session.</w:t>
      </w:r>
    </w:p>
    <w:p w14:paraId="678AD610" w14:textId="339FE1EC" w:rsidR="006B18B7" w:rsidRPr="00BC03E1" w:rsidRDefault="006B18B7" w:rsidP="00BC03E1">
      <w:pPr>
        <w:pStyle w:val="ListParagraph"/>
        <w:numPr>
          <w:ilvl w:val="0"/>
          <w:numId w:val="36"/>
        </w:numPr>
        <w:tabs>
          <w:tab w:val="clear" w:pos="567"/>
          <w:tab w:val="left" w:pos="714"/>
        </w:tabs>
        <w:spacing w:after="120"/>
        <w:ind w:left="0" w:firstLine="0"/>
        <w:contextualSpacing w:val="0"/>
        <w:jc w:val="both"/>
        <w:rPr>
          <w:rFonts w:asciiTheme="minorBidi" w:hAnsiTheme="minorBidi" w:cstheme="minorBidi"/>
          <w:color w:val="231F20"/>
          <w:sz w:val="22"/>
          <w:szCs w:val="22"/>
        </w:rPr>
      </w:pPr>
      <w:r w:rsidRPr="00BC03E1">
        <w:rPr>
          <w:rFonts w:asciiTheme="minorBidi" w:hAnsiTheme="minorBidi" w:cstheme="minorBidi"/>
          <w:color w:val="231F20"/>
          <w:sz w:val="22"/>
          <w:szCs w:val="22"/>
        </w:rPr>
        <w:t xml:space="preserve">IFAG’s work in </w:t>
      </w:r>
      <w:r w:rsidRPr="00BC03E1">
        <w:rPr>
          <w:rFonts w:asciiTheme="minorBidi" w:hAnsiTheme="minorBidi" w:cstheme="minorBidi"/>
          <w:sz w:val="22"/>
          <w:szCs w:val="22"/>
        </w:rPr>
        <w:t>the</w:t>
      </w:r>
      <w:r w:rsidRPr="00BC03E1">
        <w:rPr>
          <w:rFonts w:asciiTheme="minorBidi" w:hAnsiTheme="minorBidi" w:cstheme="minorBidi"/>
          <w:color w:val="231F20"/>
          <w:sz w:val="22"/>
          <w:szCs w:val="22"/>
        </w:rPr>
        <w:t xml:space="preserve"> intersessional period on this issue was based on the </w:t>
      </w:r>
      <w:hyperlink r:id="rId16" w:history="1">
        <w:r w:rsidRPr="00FC68A7">
          <w:rPr>
            <w:rStyle w:val="Hyperlink"/>
            <w:rFonts w:asciiTheme="minorBidi" w:hAnsiTheme="minorBidi" w:cstheme="minorBidi"/>
            <w:sz w:val="22"/>
            <w:szCs w:val="22"/>
          </w:rPr>
          <w:t>IFAG Worki</w:t>
        </w:r>
        <w:r w:rsidRPr="00FC68A7">
          <w:rPr>
            <w:rStyle w:val="Hyperlink"/>
            <w:rFonts w:asciiTheme="minorBidi" w:hAnsiTheme="minorBidi" w:cstheme="minorBidi"/>
            <w:sz w:val="22"/>
            <w:szCs w:val="22"/>
          </w:rPr>
          <w:t>n</w:t>
        </w:r>
        <w:r w:rsidRPr="00FC68A7">
          <w:rPr>
            <w:rStyle w:val="Hyperlink"/>
            <w:rFonts w:asciiTheme="minorBidi" w:hAnsiTheme="minorBidi" w:cstheme="minorBidi"/>
            <w:sz w:val="22"/>
            <w:szCs w:val="22"/>
          </w:rPr>
          <w:t>g Note 1</w:t>
        </w:r>
      </w:hyperlink>
      <w:r w:rsidRPr="00BC03E1">
        <w:rPr>
          <w:rFonts w:asciiTheme="minorBidi" w:hAnsiTheme="minorBidi" w:cstheme="minorBidi"/>
          <w:color w:val="231F20"/>
          <w:sz w:val="22"/>
          <w:szCs w:val="22"/>
        </w:rPr>
        <w:t>. Group members agreed with the proposed approach, while highlighting the following:</w:t>
      </w:r>
    </w:p>
    <w:p w14:paraId="2E7BE29E" w14:textId="7777777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hAnsiTheme="minorBidi" w:cstheme="minorBidi"/>
          <w:color w:val="231F20"/>
          <w:sz w:val="22"/>
          <w:szCs w:val="22"/>
        </w:rPr>
        <w:t xml:space="preserve">the proposed more </w:t>
      </w:r>
      <w:r w:rsidRPr="00BC03E1">
        <w:rPr>
          <w:rFonts w:asciiTheme="minorBidi" w:eastAsia="Times New Roman" w:hAnsiTheme="minorBidi" w:cstheme="minorBidi"/>
          <w:iCs/>
          <w:sz w:val="22"/>
          <w:szCs w:val="22"/>
          <w:lang w:eastAsia="en-US"/>
        </w:rPr>
        <w:t xml:space="preserve">systematic approach to reporting of in-kind contributions (IKC) is welcome, as more inclusive and </w:t>
      </w:r>
      <w:proofErr w:type="gramStart"/>
      <w:r w:rsidRPr="00BC03E1">
        <w:rPr>
          <w:rFonts w:asciiTheme="minorBidi" w:eastAsia="Times New Roman" w:hAnsiTheme="minorBidi" w:cstheme="minorBidi"/>
          <w:iCs/>
          <w:sz w:val="22"/>
          <w:szCs w:val="22"/>
          <w:lang w:eastAsia="en-US"/>
        </w:rPr>
        <w:t>equitable;</w:t>
      </w:r>
      <w:proofErr w:type="gramEnd"/>
    </w:p>
    <w:p w14:paraId="61B19CF7" w14:textId="6151FAE2"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in addition to guiding principles highlighted in the note, the reported IKC must be necessary for the achievement of the objectives of the IOC and would have been paid for by IOC from its own budget were they not </w:t>
      </w:r>
      <w:proofErr w:type="gramStart"/>
      <w:r w:rsidRPr="00BC03E1">
        <w:rPr>
          <w:rFonts w:asciiTheme="minorBidi" w:eastAsia="Times New Roman" w:hAnsiTheme="minorBidi" w:cstheme="minorBidi"/>
          <w:iCs/>
          <w:sz w:val="22"/>
          <w:szCs w:val="22"/>
          <w:lang w:eastAsia="en-US"/>
        </w:rPr>
        <w:t>provided;</w:t>
      </w:r>
      <w:proofErr w:type="gramEnd"/>
    </w:p>
    <w:p w14:paraId="6C65FCB5" w14:textId="70D5DB88" w:rsidR="00B70FDF" w:rsidRPr="00BC03E1" w:rsidRDefault="00B70FDF"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all types of expenses done at national level in participation to </w:t>
      </w:r>
      <w:proofErr w:type="spellStart"/>
      <w:r w:rsidRPr="00BC03E1">
        <w:rPr>
          <w:rFonts w:asciiTheme="minorBidi" w:eastAsia="Times New Roman" w:hAnsiTheme="minorBidi" w:cstheme="minorBidi"/>
          <w:iCs/>
          <w:sz w:val="22"/>
          <w:szCs w:val="22"/>
          <w:lang w:eastAsia="en-US"/>
        </w:rPr>
        <w:t>programmes</w:t>
      </w:r>
      <w:proofErr w:type="spellEnd"/>
      <w:r w:rsidRPr="00BC03E1">
        <w:rPr>
          <w:rFonts w:asciiTheme="minorBidi" w:eastAsia="Times New Roman" w:hAnsiTheme="minorBidi" w:cstheme="minorBidi"/>
          <w:iCs/>
          <w:sz w:val="22"/>
          <w:szCs w:val="22"/>
          <w:lang w:eastAsia="en-US"/>
        </w:rPr>
        <w:t xml:space="preserve">, activities etc., where the beneficiaries of the value from that expense are also national, in principle do not fall in this category of </w:t>
      </w:r>
      <w:proofErr w:type="gramStart"/>
      <w:r w:rsidRPr="00BC03E1">
        <w:rPr>
          <w:rFonts w:asciiTheme="minorBidi" w:eastAsia="Times New Roman" w:hAnsiTheme="minorBidi" w:cstheme="minorBidi"/>
          <w:iCs/>
          <w:sz w:val="22"/>
          <w:szCs w:val="22"/>
          <w:lang w:eastAsia="en-US"/>
        </w:rPr>
        <w:t>IKC;</w:t>
      </w:r>
      <w:proofErr w:type="gramEnd"/>
    </w:p>
    <w:p w14:paraId="75DF9A33" w14:textId="3AF93109"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voluntary (extrabudgetary) contributions in cash to the IOC budgetary workflow that the IOC itself can use are clearly distinct from IKCs where the IOC benefits from the value of that contribution, as opposed to deriving the direct benefit from own cash </w:t>
      </w:r>
      <w:proofErr w:type="gramStart"/>
      <w:r w:rsidRPr="00BC03E1">
        <w:rPr>
          <w:rFonts w:asciiTheme="minorBidi" w:eastAsia="Times New Roman" w:hAnsiTheme="minorBidi" w:cstheme="minorBidi"/>
          <w:iCs/>
          <w:sz w:val="22"/>
          <w:szCs w:val="22"/>
          <w:lang w:eastAsia="en-US"/>
        </w:rPr>
        <w:t>expenditure</w:t>
      </w:r>
      <w:r w:rsidR="00B70FDF" w:rsidRPr="00BC03E1">
        <w:rPr>
          <w:rFonts w:asciiTheme="minorBidi" w:eastAsia="Times New Roman" w:hAnsiTheme="minorBidi" w:cstheme="minorBidi"/>
          <w:iCs/>
          <w:sz w:val="22"/>
          <w:szCs w:val="22"/>
          <w:lang w:eastAsia="en-US"/>
        </w:rPr>
        <w:t>;</w:t>
      </w:r>
      <w:proofErr w:type="gramEnd"/>
    </w:p>
    <w:p w14:paraId="1E2B9B01" w14:textId="5F79F61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 xml:space="preserve">IKC value needs to be straightforwardly expressed as the market price, </w:t>
      </w:r>
      <w:proofErr w:type="gramStart"/>
      <w:r w:rsidRPr="00BC03E1">
        <w:rPr>
          <w:rFonts w:asciiTheme="minorBidi" w:eastAsia="Times New Roman" w:hAnsiTheme="minorBidi" w:cstheme="minorBidi"/>
          <w:iCs/>
          <w:sz w:val="22"/>
          <w:szCs w:val="22"/>
          <w:lang w:eastAsia="en-US"/>
        </w:rPr>
        <w:t>i.e.</w:t>
      </w:r>
      <w:proofErr w:type="gramEnd"/>
      <w:r w:rsidRPr="00BC03E1">
        <w:rPr>
          <w:rFonts w:asciiTheme="minorBidi" w:eastAsia="Times New Roman" w:hAnsiTheme="minorBidi" w:cstheme="minorBidi"/>
          <w:iCs/>
          <w:sz w:val="22"/>
          <w:szCs w:val="22"/>
          <w:lang w:eastAsia="en-US"/>
        </w:rPr>
        <w:t xml:space="preserve"> the expenditure by the party making the contribution -</w:t>
      </w:r>
      <w:r w:rsidR="004118ED">
        <w:rPr>
          <w:rFonts w:asciiTheme="minorBidi" w:eastAsia="Times New Roman" w:hAnsiTheme="minorBidi" w:cstheme="minorBidi"/>
          <w:iCs/>
          <w:sz w:val="22"/>
          <w:szCs w:val="22"/>
          <w:lang w:eastAsia="en-US"/>
        </w:rPr>
        <w:t>-</w:t>
      </w:r>
      <w:r w:rsidRPr="00BC03E1">
        <w:rPr>
          <w:rFonts w:asciiTheme="minorBidi" w:eastAsia="Times New Roman" w:hAnsiTheme="minorBidi" w:cstheme="minorBidi"/>
          <w:iCs/>
          <w:sz w:val="22"/>
          <w:szCs w:val="22"/>
          <w:lang w:eastAsia="en-US"/>
        </w:rPr>
        <w:t xml:space="preserve"> this is the case where the contribution is 100% dedicated to the objectives of the receiving organization</w:t>
      </w:r>
      <w:r w:rsidR="00B70FDF" w:rsidRPr="00BC03E1">
        <w:rPr>
          <w:rFonts w:asciiTheme="minorBidi" w:eastAsia="Times New Roman" w:hAnsiTheme="minorBidi" w:cstheme="minorBidi"/>
          <w:iCs/>
          <w:sz w:val="22"/>
          <w:szCs w:val="22"/>
          <w:lang w:eastAsia="en-US"/>
        </w:rPr>
        <w:t>;</w:t>
      </w:r>
    </w:p>
    <w:p w14:paraId="09E62E3D" w14:textId="6763D911" w:rsidR="006B18B7" w:rsidRPr="00BC03E1" w:rsidRDefault="006B18B7" w:rsidP="00BC03E1">
      <w:pPr>
        <w:numPr>
          <w:ilvl w:val="0"/>
          <w:numId w:val="32"/>
        </w:numPr>
        <w:shd w:val="clear" w:color="auto" w:fill="FFFFFF"/>
        <w:tabs>
          <w:tab w:val="clear" w:pos="567"/>
        </w:tabs>
        <w:snapToGrid/>
        <w:spacing w:after="240"/>
        <w:ind w:left="1134" w:hanging="425"/>
        <w:jc w:val="both"/>
        <w:rPr>
          <w:rFonts w:asciiTheme="minorBidi" w:eastAsia="Times New Roman" w:hAnsiTheme="minorBidi" w:cstheme="minorBidi"/>
          <w:iCs/>
          <w:sz w:val="22"/>
          <w:szCs w:val="22"/>
          <w:lang w:eastAsia="en-US"/>
        </w:rPr>
      </w:pPr>
      <w:r w:rsidRPr="00BC03E1">
        <w:rPr>
          <w:rFonts w:asciiTheme="minorBidi" w:eastAsia="Times New Roman" w:hAnsiTheme="minorBidi" w:cstheme="minorBidi"/>
          <w:iCs/>
          <w:sz w:val="22"/>
          <w:szCs w:val="22"/>
          <w:lang w:eastAsia="en-US"/>
        </w:rPr>
        <w:t>the term ‘contributor’ rather than ‘donor’ may be more suitable for the reporting template (ref. Annex III to IFAG Working Note 1), to differentiate with ‘cash donors’ to the IOC budgetary workflow</w:t>
      </w:r>
      <w:r w:rsidR="00B70FDF" w:rsidRPr="00BC03E1">
        <w:rPr>
          <w:rFonts w:asciiTheme="minorBidi" w:eastAsia="Times New Roman" w:hAnsiTheme="minorBidi" w:cstheme="minorBidi"/>
          <w:iCs/>
          <w:sz w:val="22"/>
          <w:szCs w:val="22"/>
          <w:lang w:eastAsia="en-US"/>
        </w:rPr>
        <w:t>.</w:t>
      </w:r>
    </w:p>
    <w:p w14:paraId="36E820D0" w14:textId="71C0C403" w:rsidR="006B18B7" w:rsidRPr="00BC03E1" w:rsidRDefault="006B18B7" w:rsidP="00BC03E1">
      <w:pPr>
        <w:pStyle w:val="ListParagraph"/>
        <w:numPr>
          <w:ilvl w:val="0"/>
          <w:numId w:val="36"/>
        </w:numPr>
        <w:tabs>
          <w:tab w:val="clear" w:pos="567"/>
          <w:tab w:val="left" w:pos="714"/>
        </w:tabs>
        <w:spacing w:after="120"/>
        <w:ind w:left="0" w:firstLine="0"/>
        <w:contextualSpacing w:val="0"/>
        <w:jc w:val="both"/>
        <w:rPr>
          <w:rFonts w:asciiTheme="minorBidi" w:hAnsiTheme="minorBidi" w:cstheme="minorBidi"/>
          <w:bCs/>
          <w:color w:val="000000"/>
          <w:sz w:val="22"/>
          <w:szCs w:val="22"/>
        </w:rPr>
      </w:pPr>
      <w:r w:rsidRPr="00BC03E1">
        <w:rPr>
          <w:rFonts w:asciiTheme="minorBidi" w:hAnsiTheme="minorBidi" w:cstheme="minorBidi"/>
          <w:bCs/>
          <w:color w:val="000000"/>
          <w:sz w:val="22"/>
          <w:szCs w:val="22"/>
        </w:rPr>
        <w:t xml:space="preserve">In this context, IFAG members </w:t>
      </w:r>
      <w:proofErr w:type="gramStart"/>
      <w:r w:rsidRPr="00BC03E1">
        <w:rPr>
          <w:rFonts w:asciiTheme="minorBidi" w:hAnsiTheme="minorBidi" w:cstheme="minorBidi"/>
          <w:bCs/>
          <w:color w:val="000000"/>
          <w:sz w:val="22"/>
          <w:szCs w:val="22"/>
        </w:rPr>
        <w:t>were of the opinion that</w:t>
      </w:r>
      <w:proofErr w:type="gramEnd"/>
      <w:r w:rsidRPr="00BC03E1">
        <w:rPr>
          <w:rFonts w:asciiTheme="minorBidi" w:hAnsiTheme="minorBidi" w:cstheme="minorBidi"/>
          <w:bCs/>
          <w:color w:val="000000"/>
          <w:sz w:val="22"/>
          <w:szCs w:val="22"/>
        </w:rPr>
        <w:t xml:space="preserve"> the Executive Council -</w:t>
      </w:r>
      <w:r w:rsidR="004118ED">
        <w:rPr>
          <w:rFonts w:asciiTheme="minorBidi" w:hAnsiTheme="minorBidi" w:cstheme="minorBidi"/>
          <w:bCs/>
          <w:color w:val="000000"/>
          <w:sz w:val="22"/>
          <w:szCs w:val="22"/>
        </w:rPr>
        <w:t>-</w:t>
      </w:r>
      <w:r w:rsidRPr="00BC03E1">
        <w:rPr>
          <w:rFonts w:asciiTheme="minorBidi" w:hAnsiTheme="minorBidi" w:cstheme="minorBidi"/>
          <w:bCs/>
          <w:color w:val="000000"/>
          <w:sz w:val="22"/>
          <w:szCs w:val="22"/>
        </w:rPr>
        <w:t xml:space="preserve"> upon further discussion </w:t>
      </w:r>
      <w:r w:rsidRPr="00BC03E1">
        <w:rPr>
          <w:rFonts w:asciiTheme="minorBidi" w:hAnsiTheme="minorBidi" w:cstheme="minorBidi"/>
          <w:sz w:val="22"/>
          <w:szCs w:val="22"/>
        </w:rPr>
        <w:t>both</w:t>
      </w:r>
      <w:r w:rsidRPr="00BC03E1">
        <w:rPr>
          <w:rFonts w:asciiTheme="minorBidi" w:hAnsiTheme="minorBidi" w:cstheme="minorBidi"/>
          <w:bCs/>
          <w:color w:val="000000"/>
          <w:sz w:val="22"/>
          <w:szCs w:val="22"/>
        </w:rPr>
        <w:t xml:space="preserve"> in the plenary and in the sessional Financial Committee – could recommend that the Secretariat should launch the </w:t>
      </w:r>
      <w:r w:rsidRPr="00BC03E1">
        <w:rPr>
          <w:rFonts w:asciiTheme="minorBidi" w:hAnsiTheme="minorBidi" w:cstheme="minorBidi"/>
          <w:b/>
          <w:bCs/>
          <w:color w:val="000000"/>
          <w:sz w:val="22"/>
          <w:szCs w:val="22"/>
          <w:u w:val="single"/>
        </w:rPr>
        <w:t>pilot reporting exercise</w:t>
      </w:r>
      <w:r w:rsidRPr="00BC03E1">
        <w:rPr>
          <w:rFonts w:asciiTheme="minorBidi" w:hAnsiTheme="minorBidi" w:cstheme="minorBidi"/>
          <w:bCs/>
          <w:color w:val="000000"/>
          <w:sz w:val="22"/>
          <w:szCs w:val="22"/>
        </w:rPr>
        <w:t xml:space="preserve"> according to the timeline as follows and taking into account the Executive Council’s recommendations:</w:t>
      </w:r>
    </w:p>
    <w:p w14:paraId="5B46B9CB" w14:textId="7777777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heme="minorHAnsi" w:hAnsiTheme="minorBidi" w:cstheme="minorBidi"/>
          <w:snapToGrid/>
          <w:color w:val="000000"/>
          <w:sz w:val="22"/>
          <w:szCs w:val="22"/>
          <w:lang w:val="en-US" w:eastAsia="fr-FR"/>
        </w:rPr>
      </w:pPr>
      <w:r w:rsidRPr="00BC03E1">
        <w:rPr>
          <w:rFonts w:asciiTheme="minorBidi" w:eastAsiaTheme="minorHAnsi" w:hAnsiTheme="minorBidi" w:cstheme="minorBidi"/>
          <w:snapToGrid/>
          <w:color w:val="000000"/>
          <w:sz w:val="22"/>
          <w:szCs w:val="22"/>
          <w:u w:val="single"/>
          <w:lang w:val="en-US" w:eastAsia="fr-FR"/>
        </w:rPr>
        <w:t>July 2022 – January 2023</w:t>
      </w:r>
      <w:r w:rsidRPr="00BC03E1">
        <w:rPr>
          <w:rFonts w:asciiTheme="minorBidi" w:eastAsiaTheme="minorHAnsi" w:hAnsiTheme="minorBidi" w:cstheme="minorBidi"/>
          <w:snapToGrid/>
          <w:color w:val="000000"/>
          <w:sz w:val="22"/>
          <w:szCs w:val="22"/>
          <w:lang w:val="en-US" w:eastAsia="fr-FR"/>
        </w:rPr>
        <w:t xml:space="preserve">: The IOC Secretariat issues a Circular Letter to Member States conveying the methodology and requesting formal statements of contributions in calendar year 2022 by 20 January 2023 at the latest. </w:t>
      </w:r>
    </w:p>
    <w:p w14:paraId="43527950" w14:textId="77777777" w:rsidR="006B18B7" w:rsidRPr="00BC03E1" w:rsidRDefault="006B18B7" w:rsidP="006B18B7">
      <w:pPr>
        <w:tabs>
          <w:tab w:val="clear" w:pos="567"/>
        </w:tabs>
        <w:snapToGrid/>
        <w:jc w:val="both"/>
        <w:rPr>
          <w:rFonts w:asciiTheme="minorBidi" w:eastAsiaTheme="minorHAnsi" w:hAnsiTheme="minorBidi" w:cstheme="minorBidi"/>
          <w:snapToGrid/>
          <w:color w:val="000000"/>
          <w:sz w:val="22"/>
          <w:szCs w:val="22"/>
          <w:u w:val="single"/>
          <w:lang w:val="en-US" w:eastAsia="fr-FR"/>
        </w:rPr>
      </w:pPr>
    </w:p>
    <w:p w14:paraId="4E04D75D" w14:textId="77B531C5"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heme="minorHAnsi" w:hAnsiTheme="minorBidi" w:cstheme="minorBidi"/>
          <w:snapToGrid/>
          <w:color w:val="000000"/>
          <w:sz w:val="22"/>
          <w:szCs w:val="22"/>
          <w:lang w:val="en-US" w:eastAsia="fr-FR"/>
        </w:rPr>
      </w:pPr>
      <w:r w:rsidRPr="00BC03E1">
        <w:rPr>
          <w:rFonts w:asciiTheme="minorBidi" w:eastAsiaTheme="minorHAnsi" w:hAnsiTheme="minorBidi" w:cstheme="minorBidi"/>
          <w:snapToGrid/>
          <w:color w:val="000000"/>
          <w:sz w:val="22"/>
          <w:szCs w:val="22"/>
          <w:u w:val="single"/>
          <w:lang w:val="en-US" w:eastAsia="fr-FR"/>
        </w:rPr>
        <w:lastRenderedPageBreak/>
        <w:t>February 2023</w:t>
      </w:r>
      <w:r w:rsidRPr="00BC03E1">
        <w:rPr>
          <w:rFonts w:asciiTheme="minorBidi" w:eastAsiaTheme="minorHAnsi" w:hAnsiTheme="minorBidi" w:cstheme="minorBidi"/>
          <w:snapToGrid/>
          <w:color w:val="000000"/>
          <w:sz w:val="22"/>
          <w:szCs w:val="22"/>
          <w:lang w:val="en-US" w:eastAsia="fr-FR"/>
        </w:rPr>
        <w:t xml:space="preserve">: the complete report on IKCs is </w:t>
      </w:r>
      <w:r w:rsidRPr="00BC03E1">
        <w:rPr>
          <w:rFonts w:asciiTheme="minorBidi" w:eastAsia="Times New Roman" w:hAnsiTheme="minorBidi" w:cstheme="minorBidi"/>
          <w:iCs/>
          <w:sz w:val="22"/>
          <w:szCs w:val="22"/>
          <w:lang w:eastAsia="en-US"/>
        </w:rPr>
        <w:t>shared</w:t>
      </w:r>
      <w:r w:rsidRPr="00BC03E1">
        <w:rPr>
          <w:rFonts w:asciiTheme="minorBidi" w:eastAsiaTheme="minorHAnsi" w:hAnsiTheme="minorBidi" w:cstheme="minorBidi"/>
          <w:snapToGrid/>
          <w:color w:val="000000"/>
          <w:sz w:val="22"/>
          <w:szCs w:val="22"/>
          <w:lang w:val="en-US" w:eastAsia="fr-FR"/>
        </w:rPr>
        <w:t xml:space="preserve"> with IFAG (intersessional mandate 2022-2023) for discussion and potential proposal for revisions to methodology for consideration by the IOC Assembly in 2023. </w:t>
      </w:r>
    </w:p>
    <w:p w14:paraId="2E907985" w14:textId="77777777" w:rsidR="006B18B7" w:rsidRPr="00BC03E1" w:rsidRDefault="006B18B7" w:rsidP="00BC03E1">
      <w:pPr>
        <w:numPr>
          <w:ilvl w:val="0"/>
          <w:numId w:val="32"/>
        </w:numPr>
        <w:shd w:val="clear" w:color="auto" w:fill="FFFFFF"/>
        <w:tabs>
          <w:tab w:val="clear" w:pos="567"/>
        </w:tabs>
        <w:snapToGrid/>
        <w:spacing w:after="120"/>
        <w:ind w:left="1134" w:hanging="425"/>
        <w:jc w:val="both"/>
        <w:rPr>
          <w:rFonts w:asciiTheme="minorBidi" w:eastAsiaTheme="minorHAnsi" w:hAnsiTheme="minorBidi" w:cstheme="minorBidi"/>
          <w:snapToGrid/>
          <w:color w:val="000000"/>
          <w:sz w:val="22"/>
          <w:szCs w:val="22"/>
          <w:lang w:val="en-US" w:eastAsia="fr-FR"/>
        </w:rPr>
      </w:pPr>
      <w:r w:rsidRPr="00BC03E1">
        <w:rPr>
          <w:rFonts w:asciiTheme="minorBidi" w:eastAsiaTheme="minorHAnsi" w:hAnsiTheme="minorBidi" w:cstheme="minorBidi"/>
          <w:snapToGrid/>
          <w:sz w:val="22"/>
          <w:szCs w:val="22"/>
          <w:lang w:val="en-US" w:eastAsia="fr-FR"/>
        </w:rPr>
        <w:t xml:space="preserve">The </w:t>
      </w:r>
      <w:r w:rsidRPr="00BC03E1">
        <w:rPr>
          <w:rFonts w:asciiTheme="minorBidi" w:eastAsiaTheme="minorHAnsi" w:hAnsiTheme="minorBidi" w:cstheme="minorBidi"/>
          <w:snapToGrid/>
          <w:color w:val="000000"/>
          <w:sz w:val="22"/>
          <w:szCs w:val="22"/>
          <w:lang w:val="en-US" w:eastAsia="fr-FR"/>
        </w:rPr>
        <w:t xml:space="preserve">Assembly considers the report and </w:t>
      </w:r>
      <w:r w:rsidRPr="00BC03E1">
        <w:rPr>
          <w:rFonts w:asciiTheme="minorBidi" w:eastAsia="Times New Roman" w:hAnsiTheme="minorBidi" w:cstheme="minorBidi"/>
          <w:iCs/>
          <w:sz w:val="22"/>
          <w:szCs w:val="22"/>
          <w:lang w:eastAsia="en-US"/>
        </w:rPr>
        <w:t>decides</w:t>
      </w:r>
      <w:r w:rsidRPr="00BC03E1">
        <w:rPr>
          <w:rFonts w:asciiTheme="minorBidi" w:eastAsiaTheme="minorHAnsi" w:hAnsiTheme="minorBidi" w:cstheme="minorBidi"/>
          <w:snapToGrid/>
          <w:color w:val="000000"/>
          <w:sz w:val="22"/>
          <w:szCs w:val="22"/>
          <w:lang w:val="en-US" w:eastAsia="fr-FR"/>
        </w:rPr>
        <w:t xml:space="preserve"> on the future reporting.</w:t>
      </w:r>
    </w:p>
    <w:p w14:paraId="77929E22" w14:textId="77777777" w:rsidR="006B18B7" w:rsidRPr="00BC03E1" w:rsidRDefault="006B18B7" w:rsidP="006B18B7">
      <w:pPr>
        <w:tabs>
          <w:tab w:val="clear" w:pos="567"/>
        </w:tabs>
        <w:snapToGrid/>
        <w:jc w:val="both"/>
        <w:rPr>
          <w:rFonts w:asciiTheme="minorBidi" w:eastAsiaTheme="minorHAnsi" w:hAnsiTheme="minorBidi" w:cstheme="minorBidi"/>
          <w:snapToGrid/>
          <w:color w:val="000000"/>
          <w:sz w:val="22"/>
          <w:szCs w:val="22"/>
          <w:lang w:val="en-US" w:eastAsia="fr-FR"/>
        </w:rPr>
      </w:pPr>
    </w:p>
    <w:p w14:paraId="1AD70508" w14:textId="50971E89" w:rsidR="00DC2EAE" w:rsidRPr="00BC03E1" w:rsidRDefault="00DC2EAE" w:rsidP="006B18B7">
      <w:pPr>
        <w:tabs>
          <w:tab w:val="clear" w:pos="567"/>
        </w:tabs>
        <w:snapToGrid/>
        <w:jc w:val="both"/>
        <w:rPr>
          <w:rFonts w:asciiTheme="minorBidi" w:hAnsiTheme="minorBidi" w:cstheme="minorBidi"/>
          <w:b/>
          <w:sz w:val="22"/>
          <w:szCs w:val="22"/>
        </w:rPr>
      </w:pPr>
    </w:p>
    <w:sectPr w:rsidR="00DC2EAE" w:rsidRPr="00BC03E1" w:rsidSect="004B7754">
      <w:headerReference w:type="even" r:id="rId17"/>
      <w:headerReference w:type="default" r:id="rId18"/>
      <w:headerReference w:type="first" r:id="rId19"/>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AEB1" w14:textId="77777777" w:rsidR="004137C7" w:rsidRDefault="004137C7">
      <w:r>
        <w:separator/>
      </w:r>
    </w:p>
  </w:endnote>
  <w:endnote w:type="continuationSeparator" w:id="0">
    <w:p w14:paraId="1D5866FD" w14:textId="77777777" w:rsidR="004137C7" w:rsidRDefault="0041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 w:name="휴먼명조">
    <w:altName w:val="Malgun Gothic"/>
    <w:charset w:val="81"/>
    <w:family w:val="auto"/>
    <w:pitch w:val="variable"/>
    <w:sig w:usb0="00000000" w:usb1="19D77CFB"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0699" w14:textId="77777777" w:rsidR="004137C7" w:rsidRDefault="004137C7">
      <w:r>
        <w:separator/>
      </w:r>
    </w:p>
  </w:footnote>
  <w:footnote w:type="continuationSeparator" w:id="0">
    <w:p w14:paraId="72D3643F" w14:textId="77777777" w:rsidR="004137C7" w:rsidRDefault="0041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477E0A44" w:rsidR="00AE2085" w:rsidRPr="00FF54F5" w:rsidRDefault="00AE2085" w:rsidP="00FF54F5">
    <w:pPr>
      <w:pStyle w:val="Header"/>
      <w:rPr>
        <w:rFonts w:ascii="Arial" w:hAnsi="Arial" w:cs="Arial"/>
        <w:bCs/>
        <w:sz w:val="22"/>
        <w:szCs w:val="22"/>
        <w:lang w:val="fr-FR"/>
      </w:rPr>
    </w:pPr>
    <w:r w:rsidRPr="00352423">
      <w:rPr>
        <w:rFonts w:ascii="Arial" w:hAnsi="Arial" w:cs="Arial"/>
        <w:bCs/>
        <w:sz w:val="22"/>
        <w:szCs w:val="22"/>
        <w:lang w:val="fr-FR"/>
      </w:rPr>
      <w:t>IOC/EC-5</w:t>
    </w:r>
    <w:r w:rsidR="006B18B7">
      <w:rPr>
        <w:rFonts w:ascii="Arial" w:hAnsi="Arial" w:cs="Arial"/>
        <w:bCs/>
        <w:sz w:val="22"/>
        <w:szCs w:val="22"/>
        <w:lang w:val="fr-FR"/>
      </w:rPr>
      <w:t>5/5</w:t>
    </w:r>
    <w:r w:rsidRPr="00352423">
      <w:rPr>
        <w:rFonts w:ascii="Arial" w:hAnsi="Arial" w:cs="Arial"/>
        <w:bCs/>
        <w:sz w:val="22"/>
        <w:szCs w:val="22"/>
        <w:lang w:val="fr-FR"/>
      </w:rPr>
      <w:t>.1</w:t>
    </w:r>
    <w:r>
      <w:rPr>
        <w:rFonts w:ascii="Arial" w:hAnsi="Arial" w:cs="Arial"/>
        <w:bCs/>
        <w:sz w:val="22"/>
        <w:szCs w:val="22"/>
        <w:lang w:val="fr-FR"/>
      </w:rPr>
      <w:t>.</w:t>
    </w:r>
    <w:r w:rsidRPr="00352423">
      <w:rPr>
        <w:rFonts w:ascii="Arial" w:hAnsi="Arial" w:cs="Arial"/>
        <w:bCs/>
        <w:sz w:val="22"/>
        <w:szCs w:val="22"/>
        <w:lang w:val="fr-FR"/>
      </w:rPr>
      <w:t>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(2)</w:t>
        </w:r>
        <w:r w:rsidR="000E759E">
          <w:rPr>
            <w:rFonts w:ascii="Arial" w:hAnsi="Arial" w:cs="Arial"/>
            <w:bCs/>
            <w:sz w:val="22"/>
            <w:szCs w:val="22"/>
          </w:rPr>
          <w:t xml:space="preserve"> – page </w:t>
        </w:r>
        <w:r w:rsidR="000E759E" w:rsidRPr="000E759E">
          <w:rPr>
            <w:rFonts w:ascii="Arial" w:hAnsi="Arial" w:cs="Arial"/>
            <w:bCs/>
            <w:sz w:val="22"/>
            <w:szCs w:val="22"/>
          </w:rPr>
          <w:fldChar w:fldCharType="begin"/>
        </w:r>
        <w:r w:rsidR="000E759E" w:rsidRPr="000E759E">
          <w:rPr>
            <w:rFonts w:ascii="Arial" w:hAnsi="Arial" w:cs="Arial"/>
            <w:bCs/>
            <w:sz w:val="22"/>
            <w:szCs w:val="22"/>
          </w:rPr>
          <w:instrText xml:space="preserve"> PAGE   \* MERGEFORMAT </w:instrText>
        </w:r>
        <w:r w:rsidR="000E759E" w:rsidRPr="000E759E">
          <w:rPr>
            <w:rFonts w:ascii="Arial" w:hAnsi="Arial" w:cs="Arial"/>
            <w:bCs/>
            <w:sz w:val="22"/>
            <w:szCs w:val="22"/>
          </w:rPr>
          <w:fldChar w:fldCharType="separate"/>
        </w:r>
        <w:r w:rsidR="00C74FCE">
          <w:rPr>
            <w:rFonts w:ascii="Arial" w:hAnsi="Arial" w:cs="Arial"/>
            <w:bCs/>
            <w:noProof/>
            <w:sz w:val="22"/>
            <w:szCs w:val="22"/>
          </w:rPr>
          <w:t>4</w:t>
        </w:r>
        <w:r w:rsidR="000E759E" w:rsidRPr="000E759E">
          <w:rPr>
            <w:rFonts w:ascii="Arial" w:hAnsi="Arial" w:cs="Arial"/>
            <w:bCs/>
            <w:noProof/>
            <w:sz w:val="22"/>
            <w:szCs w:val="22"/>
          </w:rPr>
          <w:fldChar w:fldCharType="end"/>
        </w:r>
      </w:sdtContent>
    </w:sdt>
  </w:p>
  <w:p w14:paraId="7669745D" w14:textId="77777777" w:rsidR="00AE2085" w:rsidRPr="00D7566D" w:rsidRDefault="00AE208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0553CB27" w:rsidR="00AE2085" w:rsidRPr="00DD55DA" w:rsidRDefault="00AE2085" w:rsidP="00FF54F5">
    <w:pPr>
      <w:pStyle w:val="Header"/>
      <w:jc w:val="right"/>
      <w:rPr>
        <w:rFonts w:ascii="Arial" w:hAnsi="Arial" w:cs="Arial"/>
        <w:bCs/>
        <w:sz w:val="22"/>
        <w:szCs w:val="22"/>
        <w:lang w:val="fr-FR"/>
      </w:rPr>
    </w:pPr>
    <w:r w:rsidRPr="00352423">
      <w:rPr>
        <w:rFonts w:ascii="Arial" w:hAnsi="Arial" w:cs="Arial"/>
        <w:bCs/>
        <w:sz w:val="22"/>
        <w:szCs w:val="22"/>
        <w:lang w:val="fr-FR"/>
      </w:rPr>
      <w:t>IOC/EC-5</w:t>
    </w:r>
    <w:r>
      <w:rPr>
        <w:rFonts w:ascii="Arial" w:hAnsi="Arial" w:cs="Arial"/>
        <w:bCs/>
        <w:sz w:val="22"/>
        <w:szCs w:val="22"/>
        <w:lang w:val="fr-FR"/>
      </w:rPr>
      <w:t>5</w:t>
    </w:r>
    <w:r w:rsidRPr="00352423">
      <w:rPr>
        <w:rFonts w:ascii="Arial" w:hAnsi="Arial" w:cs="Arial"/>
        <w:bCs/>
        <w:sz w:val="22"/>
        <w:szCs w:val="22"/>
        <w:lang w:val="fr-FR"/>
      </w:rPr>
      <w:t>/</w:t>
    </w:r>
    <w:r w:rsidR="006B18B7">
      <w:rPr>
        <w:rFonts w:ascii="Arial" w:hAnsi="Arial" w:cs="Arial"/>
        <w:bCs/>
        <w:sz w:val="22"/>
        <w:szCs w:val="22"/>
        <w:lang w:val="fr-FR"/>
      </w:rPr>
      <w:t>5.1</w:t>
    </w:r>
    <w:r>
      <w:rPr>
        <w:rFonts w:ascii="Arial" w:hAnsi="Arial" w:cs="Arial"/>
        <w:bCs/>
        <w:sz w:val="22"/>
        <w:szCs w:val="22"/>
        <w:lang w:val="fr-FR"/>
      </w:rPr>
      <w:t>.</w:t>
    </w:r>
    <w:r w:rsidRPr="00352423">
      <w:rPr>
        <w:rFonts w:ascii="Arial" w:hAnsi="Arial" w:cs="Arial"/>
        <w:bCs/>
        <w:sz w:val="22"/>
        <w:szCs w:val="22"/>
        <w:lang w:val="fr-FR"/>
      </w:rPr>
      <w:t>Doc</w:t>
    </w:r>
    <w:r>
      <w:rPr>
        <w:rFonts w:ascii="Arial" w:hAnsi="Arial" w:cs="Arial"/>
        <w:bCs/>
        <w:sz w:val="22"/>
        <w:szCs w:val="22"/>
        <w:lang w:val="fr-FR"/>
      </w:rPr>
      <w:t>(2)</w:t>
    </w:r>
    <w:r w:rsidR="000E759E">
      <w:rPr>
        <w:rFonts w:ascii="Arial" w:hAnsi="Arial" w:cs="Arial"/>
        <w:bCs/>
        <w:sz w:val="22"/>
        <w:szCs w:val="22"/>
        <w:lang w:val="fr-FR"/>
      </w:rPr>
      <w:t xml:space="preserve"> – page </w:t>
    </w:r>
    <w:r w:rsidR="000E759E" w:rsidRPr="000E759E">
      <w:rPr>
        <w:rFonts w:ascii="Arial" w:hAnsi="Arial" w:cs="Arial"/>
        <w:bCs/>
        <w:sz w:val="22"/>
        <w:szCs w:val="22"/>
        <w:lang w:val="fr-FR"/>
      </w:rPr>
      <w:fldChar w:fldCharType="begin"/>
    </w:r>
    <w:r w:rsidR="000E759E" w:rsidRPr="000E759E">
      <w:rPr>
        <w:rFonts w:ascii="Arial" w:hAnsi="Arial" w:cs="Arial"/>
        <w:bCs/>
        <w:sz w:val="22"/>
        <w:szCs w:val="22"/>
        <w:lang w:val="fr-FR"/>
      </w:rPr>
      <w:instrText xml:space="preserve"> PAGE   \* MERGEFORMAT </w:instrText>
    </w:r>
    <w:r w:rsidR="000E759E" w:rsidRPr="000E759E">
      <w:rPr>
        <w:rFonts w:ascii="Arial" w:hAnsi="Arial" w:cs="Arial"/>
        <w:bCs/>
        <w:sz w:val="22"/>
        <w:szCs w:val="22"/>
        <w:lang w:val="fr-FR"/>
      </w:rPr>
      <w:fldChar w:fldCharType="separate"/>
    </w:r>
    <w:r w:rsidR="00C74FCE">
      <w:rPr>
        <w:rFonts w:ascii="Arial" w:hAnsi="Arial" w:cs="Arial"/>
        <w:bCs/>
        <w:noProof/>
        <w:sz w:val="22"/>
        <w:szCs w:val="22"/>
        <w:lang w:val="fr-FR"/>
      </w:rPr>
      <w:t>5</w:t>
    </w:r>
    <w:r w:rsidR="000E759E" w:rsidRPr="000E759E">
      <w:rPr>
        <w:rFonts w:ascii="Arial" w:hAnsi="Arial" w:cs="Arial"/>
        <w:bCs/>
        <w:noProof/>
        <w:sz w:val="22"/>
        <w:szCs w:val="22"/>
        <w:lang w:val="fr-FR"/>
      </w:rPr>
      <w:fldChar w:fldCharType="end"/>
    </w:r>
  </w:p>
  <w:p w14:paraId="115C0040" w14:textId="77777777" w:rsidR="00AE2085" w:rsidRPr="00DD55DA" w:rsidRDefault="00AE208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122C0DDE" w:rsidR="00AE2085" w:rsidRPr="0042612F" w:rsidRDefault="00AE2085" w:rsidP="00D73E3C">
    <w:pPr>
      <w:pStyle w:val="Marge"/>
      <w:tabs>
        <w:tab w:val="left" w:pos="5670"/>
        <w:tab w:val="left" w:pos="7088"/>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54263549"/>
    <w:r w:rsidRPr="0042612F">
      <w:rPr>
        <w:rFonts w:ascii="Arial" w:hAnsi="Arial" w:cs="Arial"/>
        <w:b/>
        <w:sz w:val="36"/>
        <w:szCs w:val="36"/>
      </w:rPr>
      <w:t>IOC/EC-55/</w:t>
    </w:r>
    <w:r w:rsidR="006B18B7">
      <w:rPr>
        <w:rFonts w:ascii="Arial" w:hAnsi="Arial" w:cs="Arial"/>
        <w:b/>
        <w:sz w:val="36"/>
        <w:szCs w:val="36"/>
      </w:rPr>
      <w:t>5</w:t>
    </w:r>
    <w:r>
      <w:rPr>
        <w:rFonts w:ascii="Arial" w:hAnsi="Arial" w:cs="Arial"/>
        <w:b/>
        <w:sz w:val="36"/>
        <w:szCs w:val="36"/>
      </w:rPr>
      <w:t>.</w:t>
    </w:r>
    <w:proofErr w:type="gramStart"/>
    <w:r>
      <w:rPr>
        <w:rFonts w:ascii="Arial" w:hAnsi="Arial" w:cs="Arial"/>
        <w:b/>
        <w:sz w:val="36"/>
        <w:szCs w:val="36"/>
      </w:rPr>
      <w:t>1</w:t>
    </w:r>
    <w:bookmarkEnd w:id="0"/>
    <w:r>
      <w:rPr>
        <w:rFonts w:ascii="Arial" w:hAnsi="Arial" w:cs="Arial"/>
        <w:b/>
        <w:sz w:val="36"/>
        <w:szCs w:val="36"/>
      </w:rPr>
      <w:t>.Doc</w:t>
    </w:r>
    <w:proofErr w:type="gramEnd"/>
    <w:r>
      <w:rPr>
        <w:rFonts w:ascii="Arial" w:hAnsi="Arial" w:cs="Arial"/>
        <w:b/>
        <w:sz w:val="36"/>
        <w:szCs w:val="36"/>
      </w:rPr>
      <w:t>(2)</w:t>
    </w:r>
  </w:p>
  <w:p w14:paraId="4FD70AD5" w14:textId="1BE54556" w:rsidR="00AE2085" w:rsidRDefault="00AE2085" w:rsidP="00D73E3C">
    <w:pPr>
      <w:pStyle w:val="Marge"/>
      <w:tabs>
        <w:tab w:val="left" w:pos="5670"/>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sidR="006B18B7">
      <w:rPr>
        <w:rFonts w:ascii="Arial" w:hAnsi="Arial" w:cs="Arial"/>
        <w:sz w:val="22"/>
        <w:szCs w:val="22"/>
      </w:rPr>
      <w:t>13</w:t>
    </w:r>
    <w:r>
      <w:rPr>
        <w:rFonts w:ascii="Arial" w:hAnsi="Arial" w:cs="Arial"/>
        <w:sz w:val="22"/>
        <w:szCs w:val="22"/>
      </w:rPr>
      <w:t xml:space="preserve"> </w:t>
    </w:r>
    <w:r w:rsidR="006B18B7">
      <w:rPr>
        <w:rFonts w:ascii="Arial" w:hAnsi="Arial" w:cs="Arial"/>
        <w:sz w:val="22"/>
        <w:szCs w:val="22"/>
      </w:rPr>
      <w:t>June</w:t>
    </w:r>
    <w:r>
      <w:rPr>
        <w:rFonts w:ascii="Arial" w:hAnsi="Arial" w:cs="Arial"/>
        <w:sz w:val="22"/>
        <w:szCs w:val="22"/>
      </w:rPr>
      <w:t xml:space="preserve"> 2022 </w:t>
    </w:r>
  </w:p>
  <w:p w14:paraId="07C76426" w14:textId="18A2F05C" w:rsidR="00AE2085" w:rsidRPr="00BF254D" w:rsidRDefault="00AE2085" w:rsidP="00D73E3C">
    <w:pPr>
      <w:pStyle w:val="Marge"/>
      <w:tabs>
        <w:tab w:val="left" w:pos="5670"/>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458004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B4C32B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A89EB7A"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1A52761" w14:textId="65438674"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1C5703">
      <w:rPr>
        <w:rFonts w:ascii="Arial" w:hAnsi="Arial" w:cs="Arial"/>
        <w:b/>
        <w:sz w:val="22"/>
        <w:szCs w:val="22"/>
      </w:rPr>
      <w:t>INTERGOVERNMENTAL OCEANOGRAPHIC COMMISSION</w:t>
    </w:r>
  </w:p>
  <w:p w14:paraId="67E49D49" w14:textId="77777777" w:rsidR="00AE2085" w:rsidRPr="001C5703" w:rsidRDefault="00AE208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1C5703">
      <w:rPr>
        <w:rFonts w:ascii="Arial" w:hAnsi="Arial" w:cs="Arial"/>
        <w:bCs/>
        <w:sz w:val="22"/>
        <w:szCs w:val="22"/>
      </w:rPr>
      <w:t>(</w:t>
    </w:r>
    <w:proofErr w:type="gramStart"/>
    <w:r w:rsidRPr="001C5703">
      <w:rPr>
        <w:rFonts w:ascii="Arial" w:hAnsi="Arial" w:cs="Arial"/>
        <w:bCs/>
        <w:sz w:val="22"/>
        <w:szCs w:val="22"/>
      </w:rPr>
      <w:t>of</w:t>
    </w:r>
    <w:proofErr w:type="gramEnd"/>
    <w:r w:rsidRPr="001C5703">
      <w:rPr>
        <w:rFonts w:ascii="Arial" w:hAnsi="Arial" w:cs="Arial"/>
        <w:bCs/>
        <w:sz w:val="22"/>
        <w:szCs w:val="22"/>
      </w:rPr>
      <w:t xml:space="preserve"> UNESCO)</w:t>
    </w:r>
  </w:p>
  <w:p w14:paraId="4872ECD5" w14:textId="77777777"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BF4961F" w14:textId="6379F32C" w:rsidR="00AE2085" w:rsidRPr="001C5703" w:rsidRDefault="00AE2085"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sidRPr="001C5703">
      <w:rPr>
        <w:rFonts w:ascii="Arial" w:hAnsi="Arial" w:cs="Arial"/>
        <w:b/>
        <w:sz w:val="22"/>
        <w:szCs w:val="22"/>
      </w:rPr>
      <w:t>Fifty-fifth Session of the Executive Council</w:t>
    </w:r>
  </w:p>
  <w:p w14:paraId="71300EEE" w14:textId="3170380F" w:rsidR="00AE2085" w:rsidRPr="001C5703" w:rsidRDefault="00AE2085"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n-US"/>
      </w:rPr>
    </w:pPr>
    <w:r w:rsidRPr="001C5703">
      <w:rPr>
        <w:rFonts w:ascii="Arial" w:hAnsi="Arial" w:cs="Arial"/>
        <w:bCs/>
        <w:sz w:val="22"/>
        <w:szCs w:val="22"/>
        <w:lang w:val="en-US"/>
      </w:rPr>
      <w:t>UNESCO, Paris, 14–17 June 2022</w:t>
    </w:r>
  </w:p>
  <w:p w14:paraId="5BB9C169" w14:textId="77777777" w:rsidR="00AE2085" w:rsidRPr="001C5703" w:rsidRDefault="00AE2085"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 w:val="22"/>
        <w:szCs w:val="22"/>
        <w:lang w:val="en-US"/>
      </w:rPr>
    </w:pPr>
  </w:p>
  <w:p w14:paraId="003DCA37" w14:textId="77777777" w:rsidR="00AE2085" w:rsidRPr="001C5703" w:rsidRDefault="00AE2085" w:rsidP="00B17054">
    <w:pPr>
      <w:jc w:val="center"/>
      <w:rPr>
        <w:rFonts w:cs="Arial"/>
        <w:sz w:val="22"/>
        <w:szCs w:val="22"/>
        <w:lang w:val="en-US"/>
      </w:rPr>
    </w:pPr>
  </w:p>
  <w:p w14:paraId="4AE80372" w14:textId="3E96AA22" w:rsidR="00AE2085" w:rsidRPr="001C5703" w:rsidRDefault="00AE2085" w:rsidP="00FA68D9">
    <w:pPr>
      <w:keepNext/>
      <w:widowControl w:val="0"/>
      <w:tabs>
        <w:tab w:val="right" w:pos="9540"/>
      </w:tabs>
      <w:adjustRightInd w:val="0"/>
      <w:jc w:val="both"/>
      <w:textAlignment w:val="baseline"/>
      <w:outlineLvl w:val="6"/>
      <w:rPr>
        <w:rFonts w:ascii="Arial" w:eastAsia="Times New Roman" w:hAnsi="Arial" w:cs="Arial"/>
        <w:sz w:val="22"/>
        <w:szCs w:val="22"/>
        <w:lang w:eastAsia="en-US"/>
      </w:rPr>
    </w:pPr>
    <w:r w:rsidRPr="001C5703">
      <w:rPr>
        <w:rFonts w:ascii="Arial" w:eastAsia="Times New Roman" w:hAnsi="Arial" w:cs="Arial"/>
        <w:sz w:val="22"/>
        <w:szCs w:val="22"/>
        <w:u w:val="single"/>
        <w:lang w:eastAsia="en-US"/>
      </w:rPr>
      <w:t>Item</w:t>
    </w:r>
    <w:r w:rsidR="00D73E3C">
      <w:rPr>
        <w:rFonts w:ascii="Arial" w:eastAsia="Times New Roman" w:hAnsi="Arial" w:cs="Arial"/>
        <w:sz w:val="22"/>
        <w:szCs w:val="22"/>
        <w:u w:val="single"/>
        <w:lang w:eastAsia="en-US"/>
      </w:rPr>
      <w:t>s</w:t>
    </w:r>
    <w:r w:rsidRPr="001C5703">
      <w:rPr>
        <w:rFonts w:ascii="Arial" w:eastAsia="Times New Roman" w:hAnsi="Arial" w:cs="Arial"/>
        <w:sz w:val="22"/>
        <w:szCs w:val="22"/>
        <w:u w:val="single"/>
        <w:lang w:eastAsia="en-US"/>
      </w:rPr>
      <w:t xml:space="preserve"> </w:t>
    </w:r>
    <w:r w:rsidR="006B18B7">
      <w:rPr>
        <w:rFonts w:ascii="Arial" w:eastAsia="Times New Roman" w:hAnsi="Arial" w:cs="Arial"/>
        <w:b/>
        <w:sz w:val="22"/>
        <w:szCs w:val="22"/>
        <w:u w:val="single"/>
        <w:lang w:eastAsia="en-US"/>
      </w:rPr>
      <w:t>5.</w:t>
    </w:r>
    <w:r w:rsidRPr="001C5703">
      <w:rPr>
        <w:rFonts w:ascii="Arial" w:eastAsia="Times New Roman" w:hAnsi="Arial" w:cs="Arial"/>
        <w:b/>
        <w:sz w:val="22"/>
        <w:szCs w:val="22"/>
        <w:u w:val="single"/>
        <w:lang w:eastAsia="en-US"/>
      </w:rPr>
      <w:t>1</w:t>
    </w:r>
    <w:r w:rsidRPr="001C5703">
      <w:rPr>
        <w:rFonts w:ascii="Arial" w:eastAsia="Times New Roman" w:hAnsi="Arial" w:cs="Arial"/>
        <w:sz w:val="22"/>
        <w:szCs w:val="22"/>
        <w:u w:val="single"/>
        <w:lang w:eastAsia="en-US"/>
      </w:rPr>
      <w:t xml:space="preserve"> of the Provisional Agenda</w:t>
    </w:r>
  </w:p>
  <w:p w14:paraId="5283A965" w14:textId="13B85A04"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n-US"/>
      </w:rPr>
    </w:pPr>
  </w:p>
  <w:p w14:paraId="022DE9AE"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618DB2D5"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0E0F1B9B" w14:textId="77777777"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 xml:space="preserve">REPORT OF THE CHAIR </w:t>
    </w:r>
  </w:p>
  <w:p w14:paraId="74A2B30A" w14:textId="77777777"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OF THE INTERSESSIONAL FINANCIAL ADVISORY GROUP</w:t>
    </w:r>
  </w:p>
  <w:p w14:paraId="20BB8D82" w14:textId="211A4801" w:rsidR="006B18B7" w:rsidRPr="00FA3507" w:rsidRDefault="006D43E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Pr>
        <w:rFonts w:ascii="Arial" w:hAnsi="Arial" w:cs="Arial"/>
        <w:b/>
      </w:rPr>
      <w:br/>
    </w:r>
    <w:r w:rsidR="006B18B7" w:rsidRPr="00FA3507">
      <w:rPr>
        <w:rFonts w:ascii="Arial" w:hAnsi="Arial" w:cs="Arial"/>
        <w:b/>
      </w:rPr>
      <w:t>(</w:t>
    </w:r>
    <w:r>
      <w:rPr>
        <w:rFonts w:ascii="Arial" w:hAnsi="Arial" w:cs="Arial"/>
        <w:b/>
      </w:rPr>
      <w:t>I</w:t>
    </w:r>
    <w:r w:rsidR="006B18B7" w:rsidRPr="00FA3507">
      <w:rPr>
        <w:rFonts w:ascii="Arial" w:hAnsi="Arial" w:cs="Arial"/>
        <w:b/>
      </w:rPr>
      <w:t>ntersessional period December 2021–June 2022)</w:t>
    </w:r>
  </w:p>
  <w:p w14:paraId="12B25AD8" w14:textId="77777777"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 w:val="22"/>
        <w:szCs w:val="22"/>
        <w:lang w:val="en-US"/>
      </w:rPr>
    </w:pPr>
  </w:p>
  <w:p w14:paraId="5F53C7C4" w14:textId="77777777" w:rsidR="00AE2085" w:rsidRPr="00FA68D9" w:rsidRDefault="00AE2085"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72B2"/>
    <w:multiLevelType w:val="hybridMultilevel"/>
    <w:tmpl w:val="FF888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1D735A"/>
    <w:multiLevelType w:val="hybridMultilevel"/>
    <w:tmpl w:val="8FE4C96A"/>
    <w:lvl w:ilvl="0" w:tplc="BFBE583C">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4534464"/>
    <w:multiLevelType w:val="hybridMultilevel"/>
    <w:tmpl w:val="C28C0C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5"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7"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24"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7A8C16CF"/>
    <w:multiLevelType w:val="hybridMultilevel"/>
    <w:tmpl w:val="77EE77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24"/>
  </w:num>
  <w:num w:numId="12">
    <w:abstractNumId w:val="16"/>
  </w:num>
  <w:num w:numId="13">
    <w:abstractNumId w:val="13"/>
  </w:num>
  <w:num w:numId="14">
    <w:abstractNumId w:val="17"/>
  </w:num>
  <w:num w:numId="15">
    <w:abstractNumId w:val="7"/>
  </w:num>
  <w:num w:numId="16">
    <w:abstractNumId w:val="18"/>
  </w:num>
  <w:num w:numId="17">
    <w:abstractNumId w:val="15"/>
  </w:num>
  <w:num w:numId="18">
    <w:abstractNumId w:val="6"/>
  </w:num>
  <w:num w:numId="19">
    <w:abstractNumId w:val="20"/>
  </w:num>
  <w:num w:numId="20">
    <w:abstractNumId w:val="21"/>
  </w:num>
  <w:num w:numId="21">
    <w:abstractNumId w:val="3"/>
  </w:num>
  <w:num w:numId="22">
    <w:abstractNumId w:val="1"/>
  </w:num>
  <w:num w:numId="23">
    <w:abstractNumId w:val="0"/>
  </w:num>
  <w:num w:numId="24">
    <w:abstractNumId w:val="4"/>
  </w:num>
  <w:num w:numId="25">
    <w:abstractNumId w:val="5"/>
  </w:num>
  <w:num w:numId="26">
    <w:abstractNumId w:val="2"/>
  </w:num>
  <w:num w:numId="27">
    <w:abstractNumId w:val="22"/>
  </w:num>
  <w:num w:numId="28">
    <w:abstractNumId w:val="23"/>
  </w:num>
  <w:num w:numId="29">
    <w:abstractNumId w:val="12"/>
  </w:num>
  <w:num w:numId="30">
    <w:abstractNumId w:val="9"/>
  </w:num>
  <w:num w:numId="31">
    <w:abstractNumId w:val="14"/>
  </w:num>
  <w:num w:numId="32">
    <w:abstractNumId w:val="10"/>
  </w:num>
  <w:num w:numId="33">
    <w:abstractNumId w:val="25"/>
  </w:num>
  <w:num w:numId="34">
    <w:abstractNumId w:val="11"/>
  </w:num>
  <w:num w:numId="35">
    <w:abstractNumId w:va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6C25"/>
    <w:rsid w:val="00010B89"/>
    <w:rsid w:val="000118CD"/>
    <w:rsid w:val="00013390"/>
    <w:rsid w:val="00017E4B"/>
    <w:rsid w:val="00025A88"/>
    <w:rsid w:val="00026782"/>
    <w:rsid w:val="00027122"/>
    <w:rsid w:val="000319A1"/>
    <w:rsid w:val="00032C8E"/>
    <w:rsid w:val="00033544"/>
    <w:rsid w:val="00034C53"/>
    <w:rsid w:val="00034C70"/>
    <w:rsid w:val="000431C5"/>
    <w:rsid w:val="000445B8"/>
    <w:rsid w:val="0004582F"/>
    <w:rsid w:val="00060399"/>
    <w:rsid w:val="00060718"/>
    <w:rsid w:val="000658F2"/>
    <w:rsid w:val="00065DEB"/>
    <w:rsid w:val="0006619A"/>
    <w:rsid w:val="0006675E"/>
    <w:rsid w:val="00067004"/>
    <w:rsid w:val="00067E0B"/>
    <w:rsid w:val="000719A5"/>
    <w:rsid w:val="000748A0"/>
    <w:rsid w:val="00075DC0"/>
    <w:rsid w:val="00080B76"/>
    <w:rsid w:val="00080CDD"/>
    <w:rsid w:val="00081592"/>
    <w:rsid w:val="000816BD"/>
    <w:rsid w:val="00082162"/>
    <w:rsid w:val="0008285A"/>
    <w:rsid w:val="00083369"/>
    <w:rsid w:val="0008382D"/>
    <w:rsid w:val="00085FE9"/>
    <w:rsid w:val="00086071"/>
    <w:rsid w:val="00090675"/>
    <w:rsid w:val="0009246D"/>
    <w:rsid w:val="0009256F"/>
    <w:rsid w:val="00097CDF"/>
    <w:rsid w:val="000A6D08"/>
    <w:rsid w:val="000B1B44"/>
    <w:rsid w:val="000B40F3"/>
    <w:rsid w:val="000C3738"/>
    <w:rsid w:val="000C3BB5"/>
    <w:rsid w:val="000D6EB3"/>
    <w:rsid w:val="000D719C"/>
    <w:rsid w:val="000E0533"/>
    <w:rsid w:val="000E188E"/>
    <w:rsid w:val="000E55FB"/>
    <w:rsid w:val="000E759E"/>
    <w:rsid w:val="000E7E22"/>
    <w:rsid w:val="000F4768"/>
    <w:rsid w:val="000F4DDB"/>
    <w:rsid w:val="000F7203"/>
    <w:rsid w:val="000F78B3"/>
    <w:rsid w:val="001002FF"/>
    <w:rsid w:val="001026BE"/>
    <w:rsid w:val="00104894"/>
    <w:rsid w:val="00104EE2"/>
    <w:rsid w:val="001056F8"/>
    <w:rsid w:val="00105E15"/>
    <w:rsid w:val="00105EA4"/>
    <w:rsid w:val="00110568"/>
    <w:rsid w:val="00110D3A"/>
    <w:rsid w:val="00113F97"/>
    <w:rsid w:val="0012374E"/>
    <w:rsid w:val="00123F7E"/>
    <w:rsid w:val="00127B21"/>
    <w:rsid w:val="00131529"/>
    <w:rsid w:val="0013238B"/>
    <w:rsid w:val="00134711"/>
    <w:rsid w:val="00135717"/>
    <w:rsid w:val="0013649D"/>
    <w:rsid w:val="00143B1A"/>
    <w:rsid w:val="0014529C"/>
    <w:rsid w:val="0015046B"/>
    <w:rsid w:val="001524A3"/>
    <w:rsid w:val="0015561D"/>
    <w:rsid w:val="001579AB"/>
    <w:rsid w:val="00160284"/>
    <w:rsid w:val="001646D8"/>
    <w:rsid w:val="0016592F"/>
    <w:rsid w:val="001659AA"/>
    <w:rsid w:val="00165CBD"/>
    <w:rsid w:val="0017022A"/>
    <w:rsid w:val="0017169B"/>
    <w:rsid w:val="001766F9"/>
    <w:rsid w:val="00181F98"/>
    <w:rsid w:val="00182096"/>
    <w:rsid w:val="0018253D"/>
    <w:rsid w:val="00183FEA"/>
    <w:rsid w:val="00185B54"/>
    <w:rsid w:val="00185D28"/>
    <w:rsid w:val="0019010A"/>
    <w:rsid w:val="00192400"/>
    <w:rsid w:val="001A033E"/>
    <w:rsid w:val="001A071C"/>
    <w:rsid w:val="001A2943"/>
    <w:rsid w:val="001A6261"/>
    <w:rsid w:val="001A6DDA"/>
    <w:rsid w:val="001A73F8"/>
    <w:rsid w:val="001B2807"/>
    <w:rsid w:val="001B5075"/>
    <w:rsid w:val="001B64AC"/>
    <w:rsid w:val="001C18CF"/>
    <w:rsid w:val="001C20FE"/>
    <w:rsid w:val="001C4F30"/>
    <w:rsid w:val="001C5703"/>
    <w:rsid w:val="001C6221"/>
    <w:rsid w:val="001C6842"/>
    <w:rsid w:val="001C6D83"/>
    <w:rsid w:val="001D11E8"/>
    <w:rsid w:val="001D69B3"/>
    <w:rsid w:val="001E441E"/>
    <w:rsid w:val="001E5FF2"/>
    <w:rsid w:val="001F65B3"/>
    <w:rsid w:val="001F65D5"/>
    <w:rsid w:val="001F6CF5"/>
    <w:rsid w:val="001F7EF6"/>
    <w:rsid w:val="00200519"/>
    <w:rsid w:val="0020169B"/>
    <w:rsid w:val="00203E48"/>
    <w:rsid w:val="0020573A"/>
    <w:rsid w:val="00207581"/>
    <w:rsid w:val="00215B28"/>
    <w:rsid w:val="00216228"/>
    <w:rsid w:val="00225B52"/>
    <w:rsid w:val="00231994"/>
    <w:rsid w:val="00232596"/>
    <w:rsid w:val="00232FAE"/>
    <w:rsid w:val="0023308D"/>
    <w:rsid w:val="00237FCC"/>
    <w:rsid w:val="00243536"/>
    <w:rsid w:val="00255764"/>
    <w:rsid w:val="002571D5"/>
    <w:rsid w:val="00257562"/>
    <w:rsid w:val="00257884"/>
    <w:rsid w:val="0026233A"/>
    <w:rsid w:val="00264CE4"/>
    <w:rsid w:val="00265C91"/>
    <w:rsid w:val="00265E4E"/>
    <w:rsid w:val="0027043E"/>
    <w:rsid w:val="00272866"/>
    <w:rsid w:val="00273C68"/>
    <w:rsid w:val="00274D0A"/>
    <w:rsid w:val="0028078A"/>
    <w:rsid w:val="00282456"/>
    <w:rsid w:val="00282FBC"/>
    <w:rsid w:val="00283B06"/>
    <w:rsid w:val="00286B3B"/>
    <w:rsid w:val="002A05D9"/>
    <w:rsid w:val="002A3541"/>
    <w:rsid w:val="002A3623"/>
    <w:rsid w:val="002A364B"/>
    <w:rsid w:val="002A3D8C"/>
    <w:rsid w:val="002B0438"/>
    <w:rsid w:val="002B0B65"/>
    <w:rsid w:val="002B2FB7"/>
    <w:rsid w:val="002B58F5"/>
    <w:rsid w:val="002B70D5"/>
    <w:rsid w:val="002C44BD"/>
    <w:rsid w:val="002C6A49"/>
    <w:rsid w:val="002D2062"/>
    <w:rsid w:val="002D41F6"/>
    <w:rsid w:val="002D4B35"/>
    <w:rsid w:val="002E0A07"/>
    <w:rsid w:val="002E3B10"/>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797"/>
    <w:rsid w:val="003118C0"/>
    <w:rsid w:val="00313AB1"/>
    <w:rsid w:val="00315268"/>
    <w:rsid w:val="00317A57"/>
    <w:rsid w:val="00320986"/>
    <w:rsid w:val="00321055"/>
    <w:rsid w:val="00322E7B"/>
    <w:rsid w:val="00323A23"/>
    <w:rsid w:val="00323C8D"/>
    <w:rsid w:val="00327059"/>
    <w:rsid w:val="00332421"/>
    <w:rsid w:val="00332534"/>
    <w:rsid w:val="00332785"/>
    <w:rsid w:val="0033582A"/>
    <w:rsid w:val="0033741E"/>
    <w:rsid w:val="00341FD0"/>
    <w:rsid w:val="0034392B"/>
    <w:rsid w:val="003448F2"/>
    <w:rsid w:val="00344E00"/>
    <w:rsid w:val="00352423"/>
    <w:rsid w:val="00354A10"/>
    <w:rsid w:val="00355A56"/>
    <w:rsid w:val="003563D2"/>
    <w:rsid w:val="00363AC7"/>
    <w:rsid w:val="00366C04"/>
    <w:rsid w:val="003727A0"/>
    <w:rsid w:val="003774D6"/>
    <w:rsid w:val="00382463"/>
    <w:rsid w:val="00385DCE"/>
    <w:rsid w:val="00393704"/>
    <w:rsid w:val="0039512E"/>
    <w:rsid w:val="00395A11"/>
    <w:rsid w:val="003B2CC9"/>
    <w:rsid w:val="003B3349"/>
    <w:rsid w:val="003B390E"/>
    <w:rsid w:val="003B64CB"/>
    <w:rsid w:val="003B6DA1"/>
    <w:rsid w:val="003B6ECA"/>
    <w:rsid w:val="003B6FC5"/>
    <w:rsid w:val="003C15F6"/>
    <w:rsid w:val="003C240D"/>
    <w:rsid w:val="003C27B7"/>
    <w:rsid w:val="003C309A"/>
    <w:rsid w:val="003C4A99"/>
    <w:rsid w:val="003C608A"/>
    <w:rsid w:val="003D31F1"/>
    <w:rsid w:val="003D4548"/>
    <w:rsid w:val="003D4FDB"/>
    <w:rsid w:val="003E26AB"/>
    <w:rsid w:val="003E331B"/>
    <w:rsid w:val="003E5A89"/>
    <w:rsid w:val="003E7B79"/>
    <w:rsid w:val="003F03C3"/>
    <w:rsid w:val="003F5299"/>
    <w:rsid w:val="003F74E5"/>
    <w:rsid w:val="004003E9"/>
    <w:rsid w:val="004032DB"/>
    <w:rsid w:val="00403EB2"/>
    <w:rsid w:val="004047AA"/>
    <w:rsid w:val="00404945"/>
    <w:rsid w:val="00405201"/>
    <w:rsid w:val="004118ED"/>
    <w:rsid w:val="004119A8"/>
    <w:rsid w:val="004137C7"/>
    <w:rsid w:val="00417106"/>
    <w:rsid w:val="00425E51"/>
    <w:rsid w:val="0042612F"/>
    <w:rsid w:val="00431123"/>
    <w:rsid w:val="00431696"/>
    <w:rsid w:val="00437DB1"/>
    <w:rsid w:val="00441F29"/>
    <w:rsid w:val="00441FE3"/>
    <w:rsid w:val="00450AA6"/>
    <w:rsid w:val="00452512"/>
    <w:rsid w:val="00452CFD"/>
    <w:rsid w:val="00453CE0"/>
    <w:rsid w:val="00463AB2"/>
    <w:rsid w:val="00470230"/>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389C"/>
    <w:rsid w:val="004B3D01"/>
    <w:rsid w:val="004B5787"/>
    <w:rsid w:val="004B7754"/>
    <w:rsid w:val="004C4469"/>
    <w:rsid w:val="004C586B"/>
    <w:rsid w:val="004C6065"/>
    <w:rsid w:val="004C6FFD"/>
    <w:rsid w:val="004C78C5"/>
    <w:rsid w:val="004D4484"/>
    <w:rsid w:val="004D4CCC"/>
    <w:rsid w:val="004D5102"/>
    <w:rsid w:val="004E084D"/>
    <w:rsid w:val="004E2D89"/>
    <w:rsid w:val="004E3446"/>
    <w:rsid w:val="004E4A23"/>
    <w:rsid w:val="004E6B90"/>
    <w:rsid w:val="004F0BEC"/>
    <w:rsid w:val="004F4AC5"/>
    <w:rsid w:val="004F5686"/>
    <w:rsid w:val="005066B5"/>
    <w:rsid w:val="00514AC0"/>
    <w:rsid w:val="00515020"/>
    <w:rsid w:val="00523B29"/>
    <w:rsid w:val="00523DF2"/>
    <w:rsid w:val="00524D94"/>
    <w:rsid w:val="00530113"/>
    <w:rsid w:val="00534733"/>
    <w:rsid w:val="0053720B"/>
    <w:rsid w:val="005462A1"/>
    <w:rsid w:val="00554688"/>
    <w:rsid w:val="00555D7F"/>
    <w:rsid w:val="00556410"/>
    <w:rsid w:val="00556709"/>
    <w:rsid w:val="005616DE"/>
    <w:rsid w:val="00561F97"/>
    <w:rsid w:val="00562F4C"/>
    <w:rsid w:val="0056655B"/>
    <w:rsid w:val="00570881"/>
    <w:rsid w:val="00572116"/>
    <w:rsid w:val="00574F2F"/>
    <w:rsid w:val="00575B63"/>
    <w:rsid w:val="00576EF7"/>
    <w:rsid w:val="005829FE"/>
    <w:rsid w:val="0058628A"/>
    <w:rsid w:val="00587822"/>
    <w:rsid w:val="005878F6"/>
    <w:rsid w:val="00593EC9"/>
    <w:rsid w:val="00596959"/>
    <w:rsid w:val="005A1B75"/>
    <w:rsid w:val="005A5334"/>
    <w:rsid w:val="005A7E87"/>
    <w:rsid w:val="005B0510"/>
    <w:rsid w:val="005B09E3"/>
    <w:rsid w:val="005B0F21"/>
    <w:rsid w:val="005B2606"/>
    <w:rsid w:val="005B6674"/>
    <w:rsid w:val="005B670F"/>
    <w:rsid w:val="005B6C1C"/>
    <w:rsid w:val="005C565B"/>
    <w:rsid w:val="005C5B67"/>
    <w:rsid w:val="005C6245"/>
    <w:rsid w:val="005C76B4"/>
    <w:rsid w:val="005D05AB"/>
    <w:rsid w:val="005D0CC4"/>
    <w:rsid w:val="005D36CA"/>
    <w:rsid w:val="005D5313"/>
    <w:rsid w:val="005E21F0"/>
    <w:rsid w:val="005E2BCD"/>
    <w:rsid w:val="005E325F"/>
    <w:rsid w:val="005E4600"/>
    <w:rsid w:val="005E4C90"/>
    <w:rsid w:val="005E661A"/>
    <w:rsid w:val="005F05C2"/>
    <w:rsid w:val="005F0A67"/>
    <w:rsid w:val="005F39DB"/>
    <w:rsid w:val="005F55BE"/>
    <w:rsid w:val="005F7150"/>
    <w:rsid w:val="00600999"/>
    <w:rsid w:val="00602C02"/>
    <w:rsid w:val="0060360F"/>
    <w:rsid w:val="006122F2"/>
    <w:rsid w:val="00612A3E"/>
    <w:rsid w:val="00613F3F"/>
    <w:rsid w:val="006140DB"/>
    <w:rsid w:val="00625EE0"/>
    <w:rsid w:val="00625FE6"/>
    <w:rsid w:val="006327B2"/>
    <w:rsid w:val="006331C8"/>
    <w:rsid w:val="00637621"/>
    <w:rsid w:val="00641D3D"/>
    <w:rsid w:val="00645699"/>
    <w:rsid w:val="00646F26"/>
    <w:rsid w:val="006502B2"/>
    <w:rsid w:val="00650A87"/>
    <w:rsid w:val="00654AA1"/>
    <w:rsid w:val="00657AC1"/>
    <w:rsid w:val="00657EB5"/>
    <w:rsid w:val="006644A7"/>
    <w:rsid w:val="00666085"/>
    <w:rsid w:val="0067098E"/>
    <w:rsid w:val="00671A70"/>
    <w:rsid w:val="00672A6F"/>
    <w:rsid w:val="0067544A"/>
    <w:rsid w:val="0067704F"/>
    <w:rsid w:val="00681D60"/>
    <w:rsid w:val="00682998"/>
    <w:rsid w:val="00694BEE"/>
    <w:rsid w:val="006A1ED7"/>
    <w:rsid w:val="006A2412"/>
    <w:rsid w:val="006A2C9D"/>
    <w:rsid w:val="006A3196"/>
    <w:rsid w:val="006B18B7"/>
    <w:rsid w:val="006B2331"/>
    <w:rsid w:val="006B2C23"/>
    <w:rsid w:val="006B7AA9"/>
    <w:rsid w:val="006C2500"/>
    <w:rsid w:val="006C48C7"/>
    <w:rsid w:val="006C6875"/>
    <w:rsid w:val="006C6EB1"/>
    <w:rsid w:val="006C7AE8"/>
    <w:rsid w:val="006D3C9B"/>
    <w:rsid w:val="006D43E7"/>
    <w:rsid w:val="006E0BCF"/>
    <w:rsid w:val="006E33FC"/>
    <w:rsid w:val="006E3403"/>
    <w:rsid w:val="006E3CA0"/>
    <w:rsid w:val="006E5A90"/>
    <w:rsid w:val="006F53F4"/>
    <w:rsid w:val="006F6B09"/>
    <w:rsid w:val="0070039C"/>
    <w:rsid w:val="007026E3"/>
    <w:rsid w:val="00702EB4"/>
    <w:rsid w:val="007033D9"/>
    <w:rsid w:val="00704AD8"/>
    <w:rsid w:val="00705DFD"/>
    <w:rsid w:val="007069A8"/>
    <w:rsid w:val="00713AE4"/>
    <w:rsid w:val="007156EF"/>
    <w:rsid w:val="007169AF"/>
    <w:rsid w:val="007206CD"/>
    <w:rsid w:val="00727C74"/>
    <w:rsid w:val="00727EEF"/>
    <w:rsid w:val="00731536"/>
    <w:rsid w:val="00732AF2"/>
    <w:rsid w:val="007331F8"/>
    <w:rsid w:val="00735534"/>
    <w:rsid w:val="00735E52"/>
    <w:rsid w:val="007443CA"/>
    <w:rsid w:val="00744650"/>
    <w:rsid w:val="007464AB"/>
    <w:rsid w:val="00747591"/>
    <w:rsid w:val="00750F05"/>
    <w:rsid w:val="00753668"/>
    <w:rsid w:val="00755DEA"/>
    <w:rsid w:val="00756E80"/>
    <w:rsid w:val="007577B2"/>
    <w:rsid w:val="00760C16"/>
    <w:rsid w:val="007628BE"/>
    <w:rsid w:val="00762B2E"/>
    <w:rsid w:val="00766688"/>
    <w:rsid w:val="00770033"/>
    <w:rsid w:val="00770EC7"/>
    <w:rsid w:val="00771A2C"/>
    <w:rsid w:val="00774083"/>
    <w:rsid w:val="007746A7"/>
    <w:rsid w:val="00774FDF"/>
    <w:rsid w:val="007756DF"/>
    <w:rsid w:val="00777BF8"/>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E27D0"/>
    <w:rsid w:val="007E331D"/>
    <w:rsid w:val="007E3BE2"/>
    <w:rsid w:val="007E6267"/>
    <w:rsid w:val="007E6585"/>
    <w:rsid w:val="007F0B67"/>
    <w:rsid w:val="007F0FB9"/>
    <w:rsid w:val="007F1A39"/>
    <w:rsid w:val="007F77F4"/>
    <w:rsid w:val="00800665"/>
    <w:rsid w:val="00806CD3"/>
    <w:rsid w:val="008074BE"/>
    <w:rsid w:val="00811963"/>
    <w:rsid w:val="0081272A"/>
    <w:rsid w:val="008148FD"/>
    <w:rsid w:val="00821ABA"/>
    <w:rsid w:val="0082240E"/>
    <w:rsid w:val="00823535"/>
    <w:rsid w:val="008242A0"/>
    <w:rsid w:val="00825797"/>
    <w:rsid w:val="0083349A"/>
    <w:rsid w:val="008334C8"/>
    <w:rsid w:val="00835997"/>
    <w:rsid w:val="00835F4D"/>
    <w:rsid w:val="008426CA"/>
    <w:rsid w:val="00843E81"/>
    <w:rsid w:val="00845462"/>
    <w:rsid w:val="00850082"/>
    <w:rsid w:val="00851937"/>
    <w:rsid w:val="00856ABB"/>
    <w:rsid w:val="008608E0"/>
    <w:rsid w:val="008613A7"/>
    <w:rsid w:val="00864ABF"/>
    <w:rsid w:val="00866274"/>
    <w:rsid w:val="00866366"/>
    <w:rsid w:val="00867B04"/>
    <w:rsid w:val="0087160D"/>
    <w:rsid w:val="00873AFD"/>
    <w:rsid w:val="00873C36"/>
    <w:rsid w:val="0087409D"/>
    <w:rsid w:val="00876067"/>
    <w:rsid w:val="00884332"/>
    <w:rsid w:val="00886AA5"/>
    <w:rsid w:val="008901AA"/>
    <w:rsid w:val="00890255"/>
    <w:rsid w:val="0089179C"/>
    <w:rsid w:val="00895E0F"/>
    <w:rsid w:val="00896575"/>
    <w:rsid w:val="008967F5"/>
    <w:rsid w:val="008A05D0"/>
    <w:rsid w:val="008A0C1C"/>
    <w:rsid w:val="008A4124"/>
    <w:rsid w:val="008A6D88"/>
    <w:rsid w:val="008A7D5D"/>
    <w:rsid w:val="008B19BD"/>
    <w:rsid w:val="008B4407"/>
    <w:rsid w:val="008B544A"/>
    <w:rsid w:val="008B77EB"/>
    <w:rsid w:val="008C15AF"/>
    <w:rsid w:val="008C74FA"/>
    <w:rsid w:val="008D5C30"/>
    <w:rsid w:val="008E0DC5"/>
    <w:rsid w:val="008E280C"/>
    <w:rsid w:val="008E5F82"/>
    <w:rsid w:val="008E75D2"/>
    <w:rsid w:val="008F0135"/>
    <w:rsid w:val="008F4611"/>
    <w:rsid w:val="008F67D5"/>
    <w:rsid w:val="00900C89"/>
    <w:rsid w:val="00900FD7"/>
    <w:rsid w:val="009028D9"/>
    <w:rsid w:val="00903B13"/>
    <w:rsid w:val="00904ACB"/>
    <w:rsid w:val="00906E3C"/>
    <w:rsid w:val="00910C59"/>
    <w:rsid w:val="00911834"/>
    <w:rsid w:val="00912C72"/>
    <w:rsid w:val="0091479B"/>
    <w:rsid w:val="00920270"/>
    <w:rsid w:val="00922194"/>
    <w:rsid w:val="00923FC3"/>
    <w:rsid w:val="009258F7"/>
    <w:rsid w:val="009263CA"/>
    <w:rsid w:val="00926737"/>
    <w:rsid w:val="009278CB"/>
    <w:rsid w:val="0093392C"/>
    <w:rsid w:val="009346F3"/>
    <w:rsid w:val="00935F8E"/>
    <w:rsid w:val="00940BCB"/>
    <w:rsid w:val="00941FC7"/>
    <w:rsid w:val="00942E2B"/>
    <w:rsid w:val="0094308D"/>
    <w:rsid w:val="009453E9"/>
    <w:rsid w:val="00945D12"/>
    <w:rsid w:val="00952B4D"/>
    <w:rsid w:val="009531A0"/>
    <w:rsid w:val="009533B4"/>
    <w:rsid w:val="00953F37"/>
    <w:rsid w:val="00957CB2"/>
    <w:rsid w:val="0096155D"/>
    <w:rsid w:val="0096678C"/>
    <w:rsid w:val="00967E0F"/>
    <w:rsid w:val="00970D2E"/>
    <w:rsid w:val="0097327C"/>
    <w:rsid w:val="009736C0"/>
    <w:rsid w:val="0097668F"/>
    <w:rsid w:val="0098096C"/>
    <w:rsid w:val="00980AA0"/>
    <w:rsid w:val="00981A92"/>
    <w:rsid w:val="009827C6"/>
    <w:rsid w:val="009832EB"/>
    <w:rsid w:val="0098465E"/>
    <w:rsid w:val="00985E78"/>
    <w:rsid w:val="0098794B"/>
    <w:rsid w:val="009905D6"/>
    <w:rsid w:val="0099674A"/>
    <w:rsid w:val="009A03DB"/>
    <w:rsid w:val="009A0B03"/>
    <w:rsid w:val="009A1DDC"/>
    <w:rsid w:val="009A6B84"/>
    <w:rsid w:val="009A7F76"/>
    <w:rsid w:val="009B2FB5"/>
    <w:rsid w:val="009B33B9"/>
    <w:rsid w:val="009B4B8B"/>
    <w:rsid w:val="009B7ED9"/>
    <w:rsid w:val="009C32D0"/>
    <w:rsid w:val="009C50BC"/>
    <w:rsid w:val="009C5BA0"/>
    <w:rsid w:val="009D460D"/>
    <w:rsid w:val="009E05CD"/>
    <w:rsid w:val="009E4F85"/>
    <w:rsid w:val="009E511B"/>
    <w:rsid w:val="009E51C9"/>
    <w:rsid w:val="009F1EFE"/>
    <w:rsid w:val="009F2CE4"/>
    <w:rsid w:val="009F42E1"/>
    <w:rsid w:val="009F49EA"/>
    <w:rsid w:val="009F5659"/>
    <w:rsid w:val="009F66B1"/>
    <w:rsid w:val="00A02887"/>
    <w:rsid w:val="00A02E57"/>
    <w:rsid w:val="00A057C4"/>
    <w:rsid w:val="00A05A4D"/>
    <w:rsid w:val="00A05AB4"/>
    <w:rsid w:val="00A070D7"/>
    <w:rsid w:val="00A12E09"/>
    <w:rsid w:val="00A136A4"/>
    <w:rsid w:val="00A25EB2"/>
    <w:rsid w:val="00A265E3"/>
    <w:rsid w:val="00A30AC2"/>
    <w:rsid w:val="00A403AD"/>
    <w:rsid w:val="00A40E60"/>
    <w:rsid w:val="00A45588"/>
    <w:rsid w:val="00A4607A"/>
    <w:rsid w:val="00A529FA"/>
    <w:rsid w:val="00A52B09"/>
    <w:rsid w:val="00A54730"/>
    <w:rsid w:val="00A54BD1"/>
    <w:rsid w:val="00A56096"/>
    <w:rsid w:val="00A56440"/>
    <w:rsid w:val="00A62E0B"/>
    <w:rsid w:val="00A63491"/>
    <w:rsid w:val="00A6553E"/>
    <w:rsid w:val="00A66622"/>
    <w:rsid w:val="00A7029E"/>
    <w:rsid w:val="00A72488"/>
    <w:rsid w:val="00A7294C"/>
    <w:rsid w:val="00A74B98"/>
    <w:rsid w:val="00A75239"/>
    <w:rsid w:val="00A7623D"/>
    <w:rsid w:val="00A820F1"/>
    <w:rsid w:val="00AA3077"/>
    <w:rsid w:val="00AA36BB"/>
    <w:rsid w:val="00AA6564"/>
    <w:rsid w:val="00AA6FCA"/>
    <w:rsid w:val="00AB2387"/>
    <w:rsid w:val="00AB346C"/>
    <w:rsid w:val="00AB37B5"/>
    <w:rsid w:val="00AB5A78"/>
    <w:rsid w:val="00AC333C"/>
    <w:rsid w:val="00AC65C5"/>
    <w:rsid w:val="00AC6F12"/>
    <w:rsid w:val="00AC7D27"/>
    <w:rsid w:val="00AD035C"/>
    <w:rsid w:val="00AD1EB6"/>
    <w:rsid w:val="00AD2EC9"/>
    <w:rsid w:val="00AD64A4"/>
    <w:rsid w:val="00AD6B3B"/>
    <w:rsid w:val="00AE018F"/>
    <w:rsid w:val="00AE0B67"/>
    <w:rsid w:val="00AE187B"/>
    <w:rsid w:val="00AE2085"/>
    <w:rsid w:val="00AE26F5"/>
    <w:rsid w:val="00AE3537"/>
    <w:rsid w:val="00AE3F49"/>
    <w:rsid w:val="00AF7398"/>
    <w:rsid w:val="00B00B27"/>
    <w:rsid w:val="00B012D9"/>
    <w:rsid w:val="00B0184D"/>
    <w:rsid w:val="00B02B0A"/>
    <w:rsid w:val="00B046E5"/>
    <w:rsid w:val="00B046EA"/>
    <w:rsid w:val="00B04D6D"/>
    <w:rsid w:val="00B14DDB"/>
    <w:rsid w:val="00B14E7A"/>
    <w:rsid w:val="00B154B8"/>
    <w:rsid w:val="00B17054"/>
    <w:rsid w:val="00B201CC"/>
    <w:rsid w:val="00B2296C"/>
    <w:rsid w:val="00B26B8D"/>
    <w:rsid w:val="00B302AD"/>
    <w:rsid w:val="00B308C0"/>
    <w:rsid w:val="00B344A6"/>
    <w:rsid w:val="00B35F7A"/>
    <w:rsid w:val="00B36DD4"/>
    <w:rsid w:val="00B37B81"/>
    <w:rsid w:val="00B44A64"/>
    <w:rsid w:val="00B4523C"/>
    <w:rsid w:val="00B45A77"/>
    <w:rsid w:val="00B461D5"/>
    <w:rsid w:val="00B53C2C"/>
    <w:rsid w:val="00B5440A"/>
    <w:rsid w:val="00B6146B"/>
    <w:rsid w:val="00B64733"/>
    <w:rsid w:val="00B64CA2"/>
    <w:rsid w:val="00B64DE3"/>
    <w:rsid w:val="00B70FDF"/>
    <w:rsid w:val="00B75F3E"/>
    <w:rsid w:val="00B777B1"/>
    <w:rsid w:val="00B820A7"/>
    <w:rsid w:val="00B84320"/>
    <w:rsid w:val="00B84521"/>
    <w:rsid w:val="00B848E4"/>
    <w:rsid w:val="00B87A2E"/>
    <w:rsid w:val="00B91EC7"/>
    <w:rsid w:val="00B961F7"/>
    <w:rsid w:val="00BA0180"/>
    <w:rsid w:val="00BA1457"/>
    <w:rsid w:val="00BA3009"/>
    <w:rsid w:val="00BA6559"/>
    <w:rsid w:val="00BB080A"/>
    <w:rsid w:val="00BB15F8"/>
    <w:rsid w:val="00BB37B9"/>
    <w:rsid w:val="00BB3C67"/>
    <w:rsid w:val="00BB3D08"/>
    <w:rsid w:val="00BB7EC3"/>
    <w:rsid w:val="00BC03E1"/>
    <w:rsid w:val="00BC07E0"/>
    <w:rsid w:val="00BC5A68"/>
    <w:rsid w:val="00BC7AE6"/>
    <w:rsid w:val="00BE1951"/>
    <w:rsid w:val="00BE2960"/>
    <w:rsid w:val="00BE4A26"/>
    <w:rsid w:val="00BE76AB"/>
    <w:rsid w:val="00BF0F73"/>
    <w:rsid w:val="00C01CF5"/>
    <w:rsid w:val="00C021AC"/>
    <w:rsid w:val="00C0288A"/>
    <w:rsid w:val="00C0560F"/>
    <w:rsid w:val="00C073F3"/>
    <w:rsid w:val="00C161F8"/>
    <w:rsid w:val="00C16A4A"/>
    <w:rsid w:val="00C200DD"/>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EFC"/>
    <w:rsid w:val="00C6503F"/>
    <w:rsid w:val="00C662E9"/>
    <w:rsid w:val="00C67E4A"/>
    <w:rsid w:val="00C71CFC"/>
    <w:rsid w:val="00C72A49"/>
    <w:rsid w:val="00C73498"/>
    <w:rsid w:val="00C74028"/>
    <w:rsid w:val="00C742E6"/>
    <w:rsid w:val="00C74FCE"/>
    <w:rsid w:val="00C75E37"/>
    <w:rsid w:val="00C7650A"/>
    <w:rsid w:val="00C818D1"/>
    <w:rsid w:val="00C81A70"/>
    <w:rsid w:val="00C82F7C"/>
    <w:rsid w:val="00C849C1"/>
    <w:rsid w:val="00C90C4E"/>
    <w:rsid w:val="00C96485"/>
    <w:rsid w:val="00C96BBC"/>
    <w:rsid w:val="00CA03C6"/>
    <w:rsid w:val="00CA2306"/>
    <w:rsid w:val="00CA2BE4"/>
    <w:rsid w:val="00CA3640"/>
    <w:rsid w:val="00CA5EBC"/>
    <w:rsid w:val="00CA69F1"/>
    <w:rsid w:val="00CA7799"/>
    <w:rsid w:val="00CB02C0"/>
    <w:rsid w:val="00CB0FC2"/>
    <w:rsid w:val="00CB1845"/>
    <w:rsid w:val="00CB2350"/>
    <w:rsid w:val="00CB30FB"/>
    <w:rsid w:val="00CB5F9B"/>
    <w:rsid w:val="00CB6E5F"/>
    <w:rsid w:val="00CB74DA"/>
    <w:rsid w:val="00CC7C0D"/>
    <w:rsid w:val="00CD31B6"/>
    <w:rsid w:val="00CD50AB"/>
    <w:rsid w:val="00CD7729"/>
    <w:rsid w:val="00CE11E4"/>
    <w:rsid w:val="00CE43C1"/>
    <w:rsid w:val="00CE4E66"/>
    <w:rsid w:val="00CE7502"/>
    <w:rsid w:val="00CF2D0C"/>
    <w:rsid w:val="00D02605"/>
    <w:rsid w:val="00D12711"/>
    <w:rsid w:val="00D1662F"/>
    <w:rsid w:val="00D204B7"/>
    <w:rsid w:val="00D2050E"/>
    <w:rsid w:val="00D36C3E"/>
    <w:rsid w:val="00D45B02"/>
    <w:rsid w:val="00D473EA"/>
    <w:rsid w:val="00D50B1A"/>
    <w:rsid w:val="00D512DE"/>
    <w:rsid w:val="00D56566"/>
    <w:rsid w:val="00D57367"/>
    <w:rsid w:val="00D61A37"/>
    <w:rsid w:val="00D6411D"/>
    <w:rsid w:val="00D64782"/>
    <w:rsid w:val="00D67278"/>
    <w:rsid w:val="00D67B8D"/>
    <w:rsid w:val="00D73E3C"/>
    <w:rsid w:val="00D74196"/>
    <w:rsid w:val="00D7566D"/>
    <w:rsid w:val="00D76E20"/>
    <w:rsid w:val="00D8125F"/>
    <w:rsid w:val="00D82754"/>
    <w:rsid w:val="00D86D5E"/>
    <w:rsid w:val="00D90453"/>
    <w:rsid w:val="00D91117"/>
    <w:rsid w:val="00D922B1"/>
    <w:rsid w:val="00D923CC"/>
    <w:rsid w:val="00DA5F08"/>
    <w:rsid w:val="00DB22A5"/>
    <w:rsid w:val="00DB7370"/>
    <w:rsid w:val="00DC139D"/>
    <w:rsid w:val="00DC2C8A"/>
    <w:rsid w:val="00DC2EAE"/>
    <w:rsid w:val="00DC4666"/>
    <w:rsid w:val="00DC4D2A"/>
    <w:rsid w:val="00DC571F"/>
    <w:rsid w:val="00DC71F3"/>
    <w:rsid w:val="00DD3F5E"/>
    <w:rsid w:val="00DD55DA"/>
    <w:rsid w:val="00DD5ADB"/>
    <w:rsid w:val="00DE0399"/>
    <w:rsid w:val="00DE271E"/>
    <w:rsid w:val="00DE569D"/>
    <w:rsid w:val="00DE6571"/>
    <w:rsid w:val="00DE7662"/>
    <w:rsid w:val="00DE7784"/>
    <w:rsid w:val="00DF0410"/>
    <w:rsid w:val="00DF39D8"/>
    <w:rsid w:val="00DF419A"/>
    <w:rsid w:val="00DF7F7A"/>
    <w:rsid w:val="00E01FDA"/>
    <w:rsid w:val="00E03C5A"/>
    <w:rsid w:val="00E04B7F"/>
    <w:rsid w:val="00E0531A"/>
    <w:rsid w:val="00E10342"/>
    <w:rsid w:val="00E117F3"/>
    <w:rsid w:val="00E154A0"/>
    <w:rsid w:val="00E15729"/>
    <w:rsid w:val="00E179CF"/>
    <w:rsid w:val="00E202A8"/>
    <w:rsid w:val="00E229C2"/>
    <w:rsid w:val="00E232D1"/>
    <w:rsid w:val="00E2459C"/>
    <w:rsid w:val="00E24C1A"/>
    <w:rsid w:val="00E255B3"/>
    <w:rsid w:val="00E27421"/>
    <w:rsid w:val="00E32C35"/>
    <w:rsid w:val="00E369CE"/>
    <w:rsid w:val="00E417D3"/>
    <w:rsid w:val="00E41948"/>
    <w:rsid w:val="00E45331"/>
    <w:rsid w:val="00E45A2F"/>
    <w:rsid w:val="00E46978"/>
    <w:rsid w:val="00E46DA5"/>
    <w:rsid w:val="00E50A52"/>
    <w:rsid w:val="00E50CAC"/>
    <w:rsid w:val="00E564DA"/>
    <w:rsid w:val="00E574F6"/>
    <w:rsid w:val="00E608F3"/>
    <w:rsid w:val="00E60D6A"/>
    <w:rsid w:val="00E60FEA"/>
    <w:rsid w:val="00E63E82"/>
    <w:rsid w:val="00E65FAA"/>
    <w:rsid w:val="00E673A2"/>
    <w:rsid w:val="00E67552"/>
    <w:rsid w:val="00E75460"/>
    <w:rsid w:val="00E765E2"/>
    <w:rsid w:val="00E777DA"/>
    <w:rsid w:val="00E7794D"/>
    <w:rsid w:val="00E77BC6"/>
    <w:rsid w:val="00E77DE7"/>
    <w:rsid w:val="00E81DB4"/>
    <w:rsid w:val="00E83E68"/>
    <w:rsid w:val="00E84A3B"/>
    <w:rsid w:val="00E903F8"/>
    <w:rsid w:val="00E913BA"/>
    <w:rsid w:val="00E94F30"/>
    <w:rsid w:val="00E95B86"/>
    <w:rsid w:val="00E95F76"/>
    <w:rsid w:val="00EA4749"/>
    <w:rsid w:val="00EA7FE0"/>
    <w:rsid w:val="00EB362B"/>
    <w:rsid w:val="00EB56CD"/>
    <w:rsid w:val="00EB7F8F"/>
    <w:rsid w:val="00EC22AC"/>
    <w:rsid w:val="00EC2B26"/>
    <w:rsid w:val="00EC5BB8"/>
    <w:rsid w:val="00EC5F29"/>
    <w:rsid w:val="00ED1508"/>
    <w:rsid w:val="00ED324B"/>
    <w:rsid w:val="00EE171A"/>
    <w:rsid w:val="00EE2F00"/>
    <w:rsid w:val="00EE7052"/>
    <w:rsid w:val="00EF0BFF"/>
    <w:rsid w:val="00EF225C"/>
    <w:rsid w:val="00EF2790"/>
    <w:rsid w:val="00EF5E12"/>
    <w:rsid w:val="00EF6431"/>
    <w:rsid w:val="00EF661D"/>
    <w:rsid w:val="00EF748B"/>
    <w:rsid w:val="00EF7625"/>
    <w:rsid w:val="00F01066"/>
    <w:rsid w:val="00F051B9"/>
    <w:rsid w:val="00F13454"/>
    <w:rsid w:val="00F15E89"/>
    <w:rsid w:val="00F17FBE"/>
    <w:rsid w:val="00F2236C"/>
    <w:rsid w:val="00F2704F"/>
    <w:rsid w:val="00F2742F"/>
    <w:rsid w:val="00F32E45"/>
    <w:rsid w:val="00F34A3F"/>
    <w:rsid w:val="00F3686B"/>
    <w:rsid w:val="00F36D40"/>
    <w:rsid w:val="00F37E9A"/>
    <w:rsid w:val="00F40E3D"/>
    <w:rsid w:val="00F4275D"/>
    <w:rsid w:val="00F42E03"/>
    <w:rsid w:val="00F450E2"/>
    <w:rsid w:val="00F459B3"/>
    <w:rsid w:val="00F469C0"/>
    <w:rsid w:val="00F51365"/>
    <w:rsid w:val="00F54707"/>
    <w:rsid w:val="00F57317"/>
    <w:rsid w:val="00F615EE"/>
    <w:rsid w:val="00F625D4"/>
    <w:rsid w:val="00F62C19"/>
    <w:rsid w:val="00F6596B"/>
    <w:rsid w:val="00F65E15"/>
    <w:rsid w:val="00F7261E"/>
    <w:rsid w:val="00F74E91"/>
    <w:rsid w:val="00F76CC9"/>
    <w:rsid w:val="00F77F91"/>
    <w:rsid w:val="00F80390"/>
    <w:rsid w:val="00F8262B"/>
    <w:rsid w:val="00F83DB4"/>
    <w:rsid w:val="00F90174"/>
    <w:rsid w:val="00F92D39"/>
    <w:rsid w:val="00F92EBD"/>
    <w:rsid w:val="00F94A51"/>
    <w:rsid w:val="00F95414"/>
    <w:rsid w:val="00F95F72"/>
    <w:rsid w:val="00FA1BE4"/>
    <w:rsid w:val="00FA4B55"/>
    <w:rsid w:val="00FA5456"/>
    <w:rsid w:val="00FA5B2A"/>
    <w:rsid w:val="00FA68D9"/>
    <w:rsid w:val="00FA6FB3"/>
    <w:rsid w:val="00FB4EDC"/>
    <w:rsid w:val="00FC2702"/>
    <w:rsid w:val="00FC2BEC"/>
    <w:rsid w:val="00FC58B3"/>
    <w:rsid w:val="00FC65BB"/>
    <w:rsid w:val="00FC68A7"/>
    <w:rsid w:val="00FD08CC"/>
    <w:rsid w:val="00FD12DC"/>
    <w:rsid w:val="00FD65AE"/>
    <w:rsid w:val="00FE0520"/>
    <w:rsid w:val="00FE33E1"/>
    <w:rsid w:val="00FE6ADA"/>
    <w:rsid w:val="00FF2C58"/>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link w:val="Heading3Char"/>
    <w:qFormat/>
    <w:pPr>
      <w:keepNext/>
      <w:keepLines/>
      <w:spacing w:after="240"/>
      <w:ind w:left="567" w:hanging="567"/>
      <w:outlineLvl w:val="2"/>
    </w:pPr>
    <w:rPr>
      <w:rFonts w:eastAsia="Times New Roman"/>
      <w:b/>
      <w:bCs/>
      <w:lang w:eastAsia="en-US"/>
    </w:rPr>
  </w:style>
  <w:style w:type="paragraph" w:styleId="Heading4">
    <w:name w:val="heading 4"/>
    <w:basedOn w:val="Normal"/>
    <w:next w:val="Marge"/>
    <w:link w:val="Heading4Char"/>
    <w:qFormat/>
    <w:pPr>
      <w:keepNext/>
      <w:keepLines/>
      <w:spacing w:after="240"/>
      <w:outlineLvl w:val="3"/>
    </w:pPr>
    <w:rPr>
      <w:rFonts w:eastAsia="Times New Roman"/>
      <w:b/>
      <w:bCs/>
      <w:lang w:eastAsia="en-U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DC2EAE"/>
    <w:pPr>
      <w:spacing w:before="240" w:after="60"/>
      <w:outlineLvl w:val="8"/>
    </w:pPr>
    <w:rPr>
      <w:rFonts w:ascii="Arial" w:hAnsi="Arial" w:cs="Arial"/>
      <w:b/>
      <w:bCs/>
      <w:i/>
      <w:i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link w:val="ParChar"/>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pPr>
      <w:ind w:firstLine="0"/>
    </w:pPr>
  </w:style>
  <w:style w:type="character" w:customStyle="1" w:styleId="HeaderChar">
    <w:name w:val="Header Char"/>
    <w:basedOn w:val="DefaultParagraphFont"/>
    <w:link w:val="Header"/>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997"/>
    <w:rPr>
      <w:rFonts w:ascii="Tahoma" w:hAnsi="Tahoma" w:cs="Tahoma"/>
      <w:sz w:val="16"/>
      <w:szCs w:val="16"/>
    </w:rPr>
  </w:style>
  <w:style w:type="character" w:customStyle="1" w:styleId="BalloonTextChar">
    <w:name w:val="Balloon Text Char"/>
    <w:basedOn w:val="DefaultParagraphFont"/>
    <w:link w:val="BalloonText"/>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Heading9Char">
    <w:name w:val="Heading 9 Char"/>
    <w:basedOn w:val="DefaultParagraphFont"/>
    <w:link w:val="Heading9"/>
    <w:semiHidden/>
    <w:rsid w:val="00DC2EAE"/>
    <w:rPr>
      <w:rFonts w:ascii="Arial" w:hAnsi="Arial" w:cs="Arial"/>
      <w:b/>
      <w:bCs/>
      <w:i/>
      <w:iCs/>
      <w:snapToGrid w:val="0"/>
      <w:sz w:val="18"/>
      <w:szCs w:val="18"/>
      <w:u w:val="single"/>
      <w:lang w:val="en-GB"/>
    </w:rPr>
  </w:style>
  <w:style w:type="character" w:styleId="PageNumber">
    <w:name w:val="page number"/>
    <w:basedOn w:val="DefaultParagraphFont"/>
    <w:rsid w:val="00DC2EAE"/>
  </w:style>
  <w:style w:type="paragraph" w:customStyle="1" w:styleId="Serre">
    <w:name w:val="Serre"/>
    <w:basedOn w:val="Normal"/>
    <w:rsid w:val="00DC2EAE"/>
    <w:pPr>
      <w:tabs>
        <w:tab w:val="clear" w:pos="567"/>
      </w:tabs>
      <w:suppressAutoHyphens/>
      <w:snapToGrid/>
      <w:jc w:val="both"/>
      <w:outlineLvl w:val="2"/>
    </w:pPr>
    <w:rPr>
      <w:rFonts w:ascii="Arial" w:eastAsia="PMingLiU" w:hAnsi="Arial"/>
      <w:snapToGrid/>
      <w:sz w:val="22"/>
      <w:szCs w:val="20"/>
      <w:lang w:eastAsia="fr-FR"/>
    </w:rPr>
  </w:style>
  <w:style w:type="paragraph" w:customStyle="1" w:styleId="COI">
    <w:name w:val="COI"/>
    <w:basedOn w:val="Marge"/>
    <w:link w:val="COIChar"/>
    <w:autoRedefine/>
    <w:rsid w:val="00DC2EAE"/>
    <w:pPr>
      <w:autoSpaceDE w:val="0"/>
      <w:autoSpaceDN w:val="0"/>
      <w:adjustRightInd w:val="0"/>
    </w:pPr>
    <w:rPr>
      <w:rFonts w:ascii="Arial" w:eastAsia="Arial Unicode MS" w:hAnsi="Arial" w:cs="Arial"/>
      <w:color w:val="000000"/>
      <w:sz w:val="22"/>
      <w:szCs w:val="22"/>
    </w:rPr>
  </w:style>
  <w:style w:type="paragraph" w:styleId="BlockText">
    <w:name w:val="Block Text"/>
    <w:basedOn w:val="Normal"/>
    <w:rsid w:val="00DC2EAE"/>
    <w:pPr>
      <w:tabs>
        <w:tab w:val="clear" w:pos="567"/>
      </w:tabs>
      <w:snapToGrid/>
      <w:ind w:left="360" w:right="540"/>
      <w:jc w:val="both"/>
    </w:pPr>
    <w:rPr>
      <w:rFonts w:ascii="Arial" w:eastAsia="PMingLiU" w:hAnsi="Arial"/>
      <w:i/>
      <w:iCs/>
      <w:snapToGrid/>
      <w:sz w:val="22"/>
      <w:lang w:val="en-US" w:eastAsia="en-US"/>
    </w:rPr>
  </w:style>
  <w:style w:type="paragraph" w:styleId="BodyText2">
    <w:name w:val="Body Text 2"/>
    <w:basedOn w:val="Normal"/>
    <w:link w:val="BodyText2Char"/>
    <w:rsid w:val="00DC2EAE"/>
    <w:pPr>
      <w:tabs>
        <w:tab w:val="clear" w:pos="567"/>
      </w:tabs>
      <w:snapToGrid/>
      <w:spacing w:before="100" w:beforeAutospacing="1" w:after="100" w:afterAutospacing="1" w:line="360" w:lineRule="auto"/>
    </w:pPr>
    <w:rPr>
      <w:rFonts w:ascii="Arial" w:eastAsia="MS Mincho" w:hAnsi="Arial" w:cs="Arial"/>
      <w:snapToGrid/>
      <w:color w:val="FF0000"/>
      <w:sz w:val="22"/>
      <w:lang w:val="en-US" w:eastAsia="ja-JP"/>
    </w:rPr>
  </w:style>
  <w:style w:type="character" w:customStyle="1" w:styleId="BodyText2Char">
    <w:name w:val="Body Text 2 Char"/>
    <w:basedOn w:val="DefaultParagraphFont"/>
    <w:link w:val="BodyText2"/>
    <w:rsid w:val="00DC2EAE"/>
    <w:rPr>
      <w:rFonts w:ascii="Arial" w:eastAsia="MS Mincho" w:hAnsi="Arial" w:cs="Arial"/>
      <w:color w:val="FF0000"/>
      <w:sz w:val="22"/>
      <w:szCs w:val="24"/>
      <w:lang w:val="en-US" w:eastAsia="ja-JP"/>
    </w:rPr>
  </w:style>
  <w:style w:type="paragraph" w:styleId="BodyTextIndent">
    <w:name w:val="Body Text Indent"/>
    <w:aliases w:val="Quotation"/>
    <w:basedOn w:val="Normal"/>
    <w:link w:val="BodyTextIndentChar"/>
    <w:rsid w:val="00DC2EAE"/>
    <w:pPr>
      <w:tabs>
        <w:tab w:val="clear" w:pos="567"/>
      </w:tabs>
      <w:snapToGrid/>
      <w:spacing w:before="120" w:after="100" w:afterAutospacing="1"/>
      <w:ind w:left="1134" w:right="1134"/>
      <w:jc w:val="both"/>
    </w:pPr>
    <w:rPr>
      <w:rFonts w:ascii="Arial" w:eastAsia="PMingLiU" w:hAnsi="Arial"/>
      <w:i/>
      <w:snapToGrid/>
      <w:sz w:val="22"/>
      <w:lang w:eastAsia="en-US"/>
    </w:rPr>
  </w:style>
  <w:style w:type="character" w:customStyle="1" w:styleId="BodyTextIndentChar">
    <w:name w:val="Body Text Indent Char"/>
    <w:aliases w:val="Quotation Char"/>
    <w:basedOn w:val="DefaultParagraphFont"/>
    <w:link w:val="BodyTextIndent"/>
    <w:rsid w:val="00DC2EAE"/>
    <w:rPr>
      <w:rFonts w:ascii="Arial" w:eastAsia="PMingLiU" w:hAnsi="Arial"/>
      <w:i/>
      <w:sz w:val="22"/>
      <w:szCs w:val="24"/>
      <w:lang w:val="en-GB" w:eastAsia="en-US"/>
    </w:rPr>
  </w:style>
  <w:style w:type="paragraph" w:customStyle="1" w:styleId="Docheading">
    <w:name w:val="Doc. heading"/>
    <w:basedOn w:val="Header"/>
    <w:rsid w:val="00DC2EAE"/>
    <w:pPr>
      <w:spacing w:after="480"/>
      <w:jc w:val="center"/>
    </w:pPr>
    <w:rPr>
      <w:rFonts w:ascii="Arial" w:eastAsia="PMingLiU" w:hAnsi="Arial" w:cs="Arial"/>
      <w:b/>
      <w:bCs/>
      <w:caps/>
    </w:rPr>
  </w:style>
  <w:style w:type="paragraph" w:styleId="BodyTextFirstIndent2">
    <w:name w:val="Body Text First Indent 2"/>
    <w:basedOn w:val="BodyTextIndent"/>
    <w:link w:val="BodyTextFirstIndent2Char"/>
    <w:rsid w:val="00DC2EAE"/>
    <w:pPr>
      <w:tabs>
        <w:tab w:val="left" w:pos="567"/>
      </w:tabs>
      <w:snapToGrid w:val="0"/>
      <w:spacing w:after="120"/>
      <w:ind w:left="283" w:firstLine="210"/>
      <w:jc w:val="left"/>
    </w:pPr>
    <w:rPr>
      <w:snapToGrid w:val="0"/>
    </w:rPr>
  </w:style>
  <w:style w:type="character" w:customStyle="1" w:styleId="BodyTextFirstIndent2Char">
    <w:name w:val="Body Text First Indent 2 Char"/>
    <w:basedOn w:val="BodyTextIndentChar"/>
    <w:link w:val="BodyTextFirstIndent2"/>
    <w:rsid w:val="00DC2EAE"/>
    <w:rPr>
      <w:rFonts w:ascii="Arial" w:eastAsia="PMingLiU" w:hAnsi="Arial"/>
      <w:i/>
      <w:snapToGrid w:val="0"/>
      <w:sz w:val="22"/>
      <w:szCs w:val="24"/>
      <w:lang w:val="en-GB" w:eastAsia="en-US"/>
    </w:rPr>
  </w:style>
  <w:style w:type="paragraph" w:customStyle="1" w:styleId="Listnumbered">
    <w:name w:val="List numbered"/>
    <w:basedOn w:val="ListBullet2"/>
    <w:autoRedefine/>
    <w:rsid w:val="00DC2EAE"/>
    <w:pPr>
      <w:numPr>
        <w:numId w:val="23"/>
      </w:numPr>
      <w:jc w:val="both"/>
    </w:pPr>
  </w:style>
  <w:style w:type="paragraph" w:customStyle="1" w:styleId="Style1">
    <w:name w:val="Style1"/>
    <w:basedOn w:val="Listnumbered"/>
    <w:autoRedefine/>
    <w:rsid w:val="00DC2EAE"/>
  </w:style>
  <w:style w:type="character" w:customStyle="1" w:styleId="ParChar">
    <w:name w:val="Par Char"/>
    <w:link w:val="Par"/>
    <w:rsid w:val="00DC2EAE"/>
    <w:rPr>
      <w:rFonts w:eastAsia="Times New Roman"/>
      <w:snapToGrid w:val="0"/>
      <w:sz w:val="24"/>
      <w:szCs w:val="24"/>
      <w:lang w:val="en-GB" w:eastAsia="en-US"/>
    </w:rPr>
  </w:style>
  <w:style w:type="paragraph" w:styleId="ListBullet2">
    <w:name w:val="List Bullet 2"/>
    <w:basedOn w:val="Normal"/>
    <w:rsid w:val="00DC2EAE"/>
    <w:pPr>
      <w:numPr>
        <w:numId w:val="24"/>
      </w:numPr>
      <w:spacing w:after="240"/>
    </w:pPr>
    <w:rPr>
      <w:rFonts w:ascii="Arial" w:eastAsia="PMingLiU" w:hAnsi="Arial"/>
      <w:sz w:val="22"/>
      <w:lang w:eastAsia="en-US"/>
    </w:rPr>
  </w:style>
  <w:style w:type="character" w:customStyle="1" w:styleId="MargeChar">
    <w:name w:val="Marge Char"/>
    <w:link w:val="Marge"/>
    <w:rsid w:val="00DC2EAE"/>
    <w:rPr>
      <w:rFonts w:eastAsia="Times New Roman"/>
      <w:snapToGrid w:val="0"/>
      <w:sz w:val="24"/>
      <w:szCs w:val="24"/>
      <w:lang w:val="en-GB" w:eastAsia="en-US"/>
    </w:rPr>
  </w:style>
  <w:style w:type="character" w:customStyle="1" w:styleId="COIChar">
    <w:name w:val="COI Char"/>
    <w:link w:val="COI"/>
    <w:rsid w:val="00DC2EAE"/>
    <w:rPr>
      <w:rFonts w:ascii="Arial" w:eastAsia="Arial Unicode MS" w:hAnsi="Arial" w:cs="Arial"/>
      <w:snapToGrid w:val="0"/>
      <w:color w:val="000000"/>
      <w:sz w:val="22"/>
      <w:szCs w:val="22"/>
      <w:lang w:val="en-GB" w:eastAsia="en-US"/>
    </w:rPr>
  </w:style>
  <w:style w:type="character" w:customStyle="1" w:styleId="Titre9Car1">
    <w:name w:val="Titre 9 Car1"/>
    <w:semiHidden/>
    <w:rsid w:val="00DC2EAE"/>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DC2EAE"/>
    <w:pPr>
      <w:tabs>
        <w:tab w:val="clear" w:pos="567"/>
      </w:tabs>
      <w:suppressAutoHyphens/>
      <w:snapToGrid/>
      <w:ind w:left="720"/>
      <w:contextualSpacing/>
    </w:pPr>
    <w:rPr>
      <w:rFonts w:eastAsia="Simsun (Founder Extended)"/>
      <w:snapToGrid/>
      <w:lang w:eastAsia="ar-SA"/>
    </w:rPr>
  </w:style>
  <w:style w:type="character" w:styleId="FollowedHyperlink">
    <w:name w:val="FollowedHyperlink"/>
    <w:rsid w:val="00DC2EAE"/>
    <w:rPr>
      <w:color w:val="800080"/>
      <w:u w:val="single"/>
    </w:rPr>
  </w:style>
  <w:style w:type="paragraph" w:styleId="EndnoteText">
    <w:name w:val="endnote text"/>
    <w:basedOn w:val="Normal"/>
    <w:link w:val="EndnoteTextChar"/>
    <w:rsid w:val="00DC2EAE"/>
    <w:rPr>
      <w:rFonts w:ascii="Arial" w:eastAsia="PMingLiU" w:hAnsi="Arial"/>
      <w:sz w:val="20"/>
      <w:szCs w:val="20"/>
      <w:lang w:eastAsia="en-US"/>
    </w:rPr>
  </w:style>
  <w:style w:type="character" w:customStyle="1" w:styleId="EndnoteTextChar">
    <w:name w:val="Endnote Text Char"/>
    <w:basedOn w:val="DefaultParagraphFont"/>
    <w:link w:val="EndnoteText"/>
    <w:rsid w:val="00DC2EAE"/>
    <w:rPr>
      <w:rFonts w:ascii="Arial" w:eastAsia="PMingLiU" w:hAnsi="Arial"/>
      <w:snapToGrid w:val="0"/>
      <w:lang w:val="en-GB" w:eastAsia="en-US"/>
    </w:rPr>
  </w:style>
  <w:style w:type="character" w:styleId="EndnoteReference">
    <w:name w:val="endnote reference"/>
    <w:rsid w:val="00DC2EAE"/>
    <w:rPr>
      <w:vertAlign w:val="superscript"/>
    </w:rPr>
  </w:style>
  <w:style w:type="character" w:customStyle="1" w:styleId="Heading3Char">
    <w:name w:val="Heading 3 Char"/>
    <w:link w:val="Heading3"/>
    <w:rsid w:val="00DC2EAE"/>
    <w:rPr>
      <w:rFonts w:eastAsia="Times New Roman"/>
      <w:b/>
      <w:bCs/>
      <w:snapToGrid w:val="0"/>
      <w:sz w:val="24"/>
      <w:szCs w:val="24"/>
      <w:lang w:val="en-GB" w:eastAsia="en-US"/>
    </w:rPr>
  </w:style>
  <w:style w:type="character" w:customStyle="1" w:styleId="FootnoteTextChar">
    <w:name w:val="Footnote Text Char"/>
    <w:link w:val="FootnoteText"/>
    <w:rsid w:val="00DC2EAE"/>
    <w:rPr>
      <w:rFonts w:eastAsia="Times New Roman"/>
      <w:snapToGrid w:val="0"/>
      <w:lang w:val="en-GB" w:eastAsia="en-US"/>
    </w:rPr>
  </w:style>
  <w:style w:type="character" w:customStyle="1" w:styleId="Heading1Char">
    <w:name w:val="Heading 1 Char"/>
    <w:link w:val="Heading1"/>
    <w:uiPriority w:val="9"/>
    <w:rsid w:val="00DC2EAE"/>
    <w:rPr>
      <w:rFonts w:eastAsia="Times New Roman"/>
      <w:b/>
      <w:bCs/>
      <w:snapToGrid w:val="0"/>
      <w:kern w:val="28"/>
      <w:sz w:val="24"/>
      <w:szCs w:val="24"/>
      <w:lang w:eastAsia="en-US"/>
    </w:rPr>
  </w:style>
  <w:style w:type="paragraph" w:customStyle="1" w:styleId="ParaCOI">
    <w:name w:val="Para COI"/>
    <w:basedOn w:val="COI"/>
    <w:link w:val="ParaCOICar"/>
    <w:qFormat/>
    <w:rsid w:val="00DC2EAE"/>
    <w:pPr>
      <w:numPr>
        <w:numId w:val="2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DC2EAE"/>
    <w:rPr>
      <w:rFonts w:ascii="Arial" w:eastAsia="Times New Roman" w:hAnsi="Arial"/>
      <w:snapToGrid w:val="0"/>
      <w:sz w:val="22"/>
      <w:szCs w:val="22"/>
      <w:lang w:val="en-GB"/>
    </w:rPr>
  </w:style>
  <w:style w:type="character" w:customStyle="1" w:styleId="Heading2Char">
    <w:name w:val="Heading 2 Char"/>
    <w:link w:val="Heading2"/>
    <w:rsid w:val="00DC2EAE"/>
    <w:rPr>
      <w:rFonts w:eastAsia="Times New Roman"/>
      <w:b/>
      <w:bCs/>
      <w:caps/>
      <w:snapToGrid w:val="0"/>
      <w:sz w:val="24"/>
      <w:szCs w:val="24"/>
      <w:lang w:val="en-GB" w:eastAsia="en-US"/>
    </w:rPr>
  </w:style>
  <w:style w:type="character" w:customStyle="1" w:styleId="Heading4Char">
    <w:name w:val="Heading 4 Char"/>
    <w:link w:val="Heading4"/>
    <w:rsid w:val="00DC2EAE"/>
    <w:rPr>
      <w:rFonts w:eastAsia="Times New Roman"/>
      <w:b/>
      <w:bCs/>
      <w:snapToGrid w:val="0"/>
      <w:sz w:val="24"/>
      <w:szCs w:val="24"/>
      <w:lang w:val="en-GB" w:eastAsia="en-US"/>
    </w:rPr>
  </w:style>
  <w:style w:type="character" w:customStyle="1" w:styleId="Heading5Char">
    <w:name w:val="Heading 5 Char"/>
    <w:link w:val="Heading5"/>
    <w:rsid w:val="00DC2EAE"/>
    <w:rPr>
      <w:rFonts w:eastAsia="Times New Roman"/>
      <w:b/>
      <w:bCs/>
      <w:snapToGrid w:val="0"/>
      <w:sz w:val="24"/>
      <w:szCs w:val="24"/>
      <w:lang w:val="en-GB" w:eastAsia="en-US"/>
    </w:rPr>
  </w:style>
  <w:style w:type="character" w:customStyle="1" w:styleId="Heading6Char">
    <w:name w:val="Heading 6 Char"/>
    <w:link w:val="Heading6"/>
    <w:rsid w:val="00DC2EAE"/>
    <w:rPr>
      <w:rFonts w:eastAsia="Times New Roman"/>
      <w:b/>
      <w:iCs/>
      <w:snapToGrid w:val="0"/>
      <w:sz w:val="24"/>
      <w:szCs w:val="22"/>
      <w:lang w:val="en-GB" w:eastAsia="en-US"/>
    </w:rPr>
  </w:style>
  <w:style w:type="character" w:customStyle="1" w:styleId="FooterChar">
    <w:name w:val="Footer Char"/>
    <w:link w:val="Footer"/>
    <w:rsid w:val="00DC2EAE"/>
    <w:rPr>
      <w:rFonts w:eastAsia="Times New Roman"/>
      <w:snapToGrid w:val="0"/>
      <w:sz w:val="24"/>
      <w:szCs w:val="24"/>
      <w:lang w:eastAsia="en-US"/>
    </w:rPr>
  </w:style>
  <w:style w:type="paragraph" w:customStyle="1" w:styleId="decis">
    <w:name w:val="decis"/>
    <w:basedOn w:val="BodyText"/>
    <w:rsid w:val="00DC2EAE"/>
    <w:pPr>
      <w:numPr>
        <w:numId w:val="27"/>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DC2EAE"/>
    <w:pPr>
      <w:spacing w:after="120"/>
    </w:pPr>
    <w:rPr>
      <w:rFonts w:ascii="Arial" w:eastAsia="PMingLiU" w:hAnsi="Arial"/>
      <w:sz w:val="22"/>
      <w:lang w:eastAsia="en-US"/>
    </w:rPr>
  </w:style>
  <w:style w:type="character" w:customStyle="1" w:styleId="BodyTextChar">
    <w:name w:val="Body Text Char"/>
    <w:basedOn w:val="DefaultParagraphFont"/>
    <w:link w:val="BodyText"/>
    <w:rsid w:val="00DC2EAE"/>
    <w:rPr>
      <w:rFonts w:ascii="Arial" w:eastAsia="PMingLiU" w:hAnsi="Arial"/>
      <w:snapToGrid w:val="0"/>
      <w:sz w:val="22"/>
      <w:szCs w:val="24"/>
      <w:lang w:val="en-GB" w:eastAsia="en-US"/>
    </w:rPr>
  </w:style>
  <w:style w:type="paragraph" w:styleId="Revision">
    <w:name w:val="Revision"/>
    <w:hidden/>
    <w:uiPriority w:val="99"/>
    <w:semiHidden/>
    <w:rsid w:val="00DC2EAE"/>
    <w:rPr>
      <w:rFonts w:ascii="Arial" w:eastAsia="PMingLiU" w:hAnsi="Arial"/>
      <w:snapToGrid w:val="0"/>
      <w:sz w:val="22"/>
      <w:szCs w:val="24"/>
      <w:lang w:val="en-GB" w:eastAsia="en-US"/>
    </w:rPr>
  </w:style>
  <w:style w:type="character" w:customStyle="1" w:styleId="UnresolvedMention2">
    <w:name w:val="Unresolved Mention2"/>
    <w:basedOn w:val="DefaultParagraphFont"/>
    <w:uiPriority w:val="99"/>
    <w:semiHidden/>
    <w:unhideWhenUsed/>
    <w:rsid w:val="00B84320"/>
    <w:rPr>
      <w:color w:val="605E5C"/>
      <w:shd w:val="clear" w:color="auto" w:fill="E1DFDD"/>
    </w:rPr>
  </w:style>
  <w:style w:type="paragraph" w:customStyle="1" w:styleId="Style2">
    <w:name w:val="Style2"/>
    <w:basedOn w:val="Normal"/>
    <w:link w:val="Style2Car"/>
    <w:qFormat/>
    <w:rsid w:val="006B18B7"/>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DefaultParagraphFont"/>
    <w:link w:val="Style2"/>
    <w:rsid w:val="006B18B7"/>
    <w:rPr>
      <w:rFonts w:ascii="Arial" w:eastAsia="Times New Roman" w:hAnsi="Arial"/>
      <w:iCs/>
      <w:snapToGrid w:val="0"/>
      <w:sz w:val="22"/>
      <w:szCs w:val="22"/>
      <w:shd w:val="clear" w:color="auto" w:fill="FFFFFF"/>
      <w:lang w:val="en-GB" w:eastAsia="en-US"/>
    </w:rPr>
  </w:style>
  <w:style w:type="character" w:styleId="UnresolvedMention">
    <w:name w:val="Unresolved Mention"/>
    <w:basedOn w:val="DefaultParagraphFont"/>
    <w:uiPriority w:val="99"/>
    <w:semiHidden/>
    <w:unhideWhenUsed/>
    <w:rsid w:val="00BC0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77819489">
      <w:bodyDiv w:val="1"/>
      <w:marLeft w:val="0"/>
      <w:marRight w:val="0"/>
      <w:marTop w:val="0"/>
      <w:marBottom w:val="0"/>
      <w:divBdr>
        <w:top w:val="none" w:sz="0" w:space="0" w:color="auto"/>
        <w:left w:val="none" w:sz="0" w:space="0" w:color="auto"/>
        <w:bottom w:val="none" w:sz="0" w:space="0" w:color="auto"/>
        <w:right w:val="none" w:sz="0" w:space="0" w:color="auto"/>
      </w:divBdr>
    </w:div>
    <w:div w:id="245071447">
      <w:bodyDiv w:val="1"/>
      <w:marLeft w:val="0"/>
      <w:marRight w:val="0"/>
      <w:marTop w:val="0"/>
      <w:marBottom w:val="0"/>
      <w:divBdr>
        <w:top w:val="none" w:sz="0" w:space="0" w:color="auto"/>
        <w:left w:val="none" w:sz="0" w:space="0" w:color="auto"/>
        <w:bottom w:val="none" w:sz="0" w:space="0" w:color="auto"/>
        <w:right w:val="none" w:sz="0" w:space="0" w:color="auto"/>
      </w:divBdr>
    </w:div>
    <w:div w:id="393427644">
      <w:bodyDiv w:val="1"/>
      <w:marLeft w:val="0"/>
      <w:marRight w:val="0"/>
      <w:marTop w:val="0"/>
      <w:marBottom w:val="0"/>
      <w:divBdr>
        <w:top w:val="none" w:sz="0" w:space="0" w:color="auto"/>
        <w:left w:val="none" w:sz="0" w:space="0" w:color="auto"/>
        <w:bottom w:val="none" w:sz="0" w:space="0" w:color="auto"/>
        <w:right w:val="none" w:sz="0" w:space="0" w:color="auto"/>
      </w:divBdr>
    </w:div>
    <w:div w:id="399210852">
      <w:bodyDiv w:val="1"/>
      <w:marLeft w:val="0"/>
      <w:marRight w:val="0"/>
      <w:marTop w:val="0"/>
      <w:marBottom w:val="0"/>
      <w:divBdr>
        <w:top w:val="none" w:sz="0" w:space="0" w:color="auto"/>
        <w:left w:val="none" w:sz="0" w:space="0" w:color="auto"/>
        <w:bottom w:val="none" w:sz="0" w:space="0" w:color="auto"/>
        <w:right w:val="none" w:sz="0" w:space="0" w:color="auto"/>
      </w:divBdr>
    </w:div>
    <w:div w:id="490021289">
      <w:bodyDiv w:val="1"/>
      <w:marLeft w:val="0"/>
      <w:marRight w:val="0"/>
      <w:marTop w:val="0"/>
      <w:marBottom w:val="0"/>
      <w:divBdr>
        <w:top w:val="none" w:sz="0" w:space="0" w:color="auto"/>
        <w:left w:val="none" w:sz="0" w:space="0" w:color="auto"/>
        <w:bottom w:val="none" w:sz="0" w:space="0" w:color="auto"/>
        <w:right w:val="none" w:sz="0" w:space="0" w:color="auto"/>
      </w:divBdr>
    </w:div>
    <w:div w:id="551623716">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32330723">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87793996">
      <w:bodyDiv w:val="1"/>
      <w:marLeft w:val="0"/>
      <w:marRight w:val="0"/>
      <w:marTop w:val="0"/>
      <w:marBottom w:val="0"/>
      <w:divBdr>
        <w:top w:val="none" w:sz="0" w:space="0" w:color="auto"/>
        <w:left w:val="none" w:sz="0" w:space="0" w:color="auto"/>
        <w:bottom w:val="none" w:sz="0" w:space="0" w:color="auto"/>
        <w:right w:val="none" w:sz="0" w:space="0" w:color="auto"/>
      </w:divBdr>
    </w:div>
    <w:div w:id="1380085541">
      <w:bodyDiv w:val="1"/>
      <w:marLeft w:val="0"/>
      <w:marRight w:val="0"/>
      <w:marTop w:val="0"/>
      <w:marBottom w:val="0"/>
      <w:divBdr>
        <w:top w:val="none" w:sz="0" w:space="0" w:color="auto"/>
        <w:left w:val="none" w:sz="0" w:space="0" w:color="auto"/>
        <w:bottom w:val="none" w:sz="0" w:space="0" w:color="auto"/>
        <w:right w:val="none" w:sz="0" w:space="0" w:color="auto"/>
      </w:divBdr>
    </w:div>
    <w:div w:id="1398743887">
      <w:bodyDiv w:val="1"/>
      <w:marLeft w:val="0"/>
      <w:marRight w:val="0"/>
      <w:marTop w:val="0"/>
      <w:marBottom w:val="0"/>
      <w:divBdr>
        <w:top w:val="none" w:sz="0" w:space="0" w:color="auto"/>
        <w:left w:val="none" w:sz="0" w:space="0" w:color="auto"/>
        <w:bottom w:val="none" w:sz="0" w:space="0" w:color="auto"/>
        <w:right w:val="none" w:sz="0" w:space="0" w:color="auto"/>
      </w:divBdr>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6934209">
      <w:bodyDiv w:val="1"/>
      <w:marLeft w:val="0"/>
      <w:marRight w:val="0"/>
      <w:marTop w:val="0"/>
      <w:marBottom w:val="0"/>
      <w:divBdr>
        <w:top w:val="none" w:sz="0" w:space="0" w:color="auto"/>
        <w:left w:val="none" w:sz="0" w:space="0" w:color="auto"/>
        <w:bottom w:val="none" w:sz="0" w:space="0" w:color="auto"/>
        <w:right w:val="none" w:sz="0" w:space="0" w:color="auto"/>
      </w:divBdr>
    </w:div>
    <w:div w:id="1737319481">
      <w:bodyDiv w:val="1"/>
      <w:marLeft w:val="0"/>
      <w:marRight w:val="0"/>
      <w:marTop w:val="0"/>
      <w:marBottom w:val="0"/>
      <w:divBdr>
        <w:top w:val="none" w:sz="0" w:space="0" w:color="auto"/>
        <w:left w:val="none" w:sz="0" w:space="0" w:color="auto"/>
        <w:bottom w:val="none" w:sz="0" w:space="0" w:color="auto"/>
        <w:right w:val="none" w:sz="0" w:space="0" w:color="auto"/>
      </w:divBdr>
    </w:div>
    <w:div w:id="1776905825">
      <w:bodyDiv w:val="1"/>
      <w:marLeft w:val="0"/>
      <w:marRight w:val="0"/>
      <w:marTop w:val="0"/>
      <w:marBottom w:val="0"/>
      <w:divBdr>
        <w:top w:val="none" w:sz="0" w:space="0" w:color="auto"/>
        <w:left w:val="none" w:sz="0" w:space="0" w:color="auto"/>
        <w:bottom w:val="none" w:sz="0" w:space="0" w:color="auto"/>
        <w:right w:val="none" w:sz="0" w:space="0" w:color="auto"/>
      </w:divBdr>
    </w:div>
    <w:div w:id="1791361344">
      <w:bodyDiv w:val="1"/>
      <w:marLeft w:val="0"/>
      <w:marRight w:val="0"/>
      <w:marTop w:val="0"/>
      <w:marBottom w:val="0"/>
      <w:divBdr>
        <w:top w:val="none" w:sz="0" w:space="0" w:color="auto"/>
        <w:left w:val="none" w:sz="0" w:space="0" w:color="auto"/>
        <w:bottom w:val="none" w:sz="0" w:space="0" w:color="auto"/>
        <w:right w:val="none" w:sz="0" w:space="0" w:color="auto"/>
      </w:divBdr>
    </w:div>
    <w:div w:id="1818258248">
      <w:bodyDiv w:val="1"/>
      <w:marLeft w:val="0"/>
      <w:marRight w:val="0"/>
      <w:marTop w:val="0"/>
      <w:marBottom w:val="0"/>
      <w:divBdr>
        <w:top w:val="none" w:sz="0" w:space="0" w:color="auto"/>
        <w:left w:val="none" w:sz="0" w:space="0" w:color="auto"/>
        <w:bottom w:val="none" w:sz="0" w:space="0" w:color="auto"/>
        <w:right w:val="none" w:sz="0" w:space="0" w:color="auto"/>
      </w:divBdr>
    </w:div>
    <w:div w:id="19459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444.locale=en" TargetMode="External"/><Relationship Id="rId13" Type="http://schemas.openxmlformats.org/officeDocument/2006/relationships/hyperlink" Target="file:///\\hqfs\OurDrive\IOC\USERS\Boned\Executive%20Councils\EC-55\Working%20documents\IFAG%20report\EC-55-5-1-Doc2_xy_v0.doc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hqfs\OurDrive\IOC\USERS\Boned\Executive%20Councils\EC-55\Working%20documents\IFAG%20report\EC-55-5-1-Doc2_xy_v0.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ceanexpert.org/document/305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0475" TargetMode="External"/><Relationship Id="rId5" Type="http://schemas.openxmlformats.org/officeDocument/2006/relationships/webSettings" Target="webSettings.xml"/><Relationship Id="rId15" Type="http://schemas.openxmlformats.org/officeDocument/2006/relationships/hyperlink" Target="https://oceanexpert.org/document/30436" TargetMode="External"/><Relationship Id="rId10" Type="http://schemas.openxmlformats.org/officeDocument/2006/relationships/hyperlink" Target="https://oceanexpert.org/document/303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ceanexpert.org/document/29205" TargetMode="External"/><Relationship Id="rId14" Type="http://schemas.openxmlformats.org/officeDocument/2006/relationships/hyperlink" Target="https://oceanexpert.org/document/2849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2523-44B5-490A-9AF7-C60B8992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9644</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2</cp:revision>
  <cp:lastPrinted>2022-05-23T16:06:00Z</cp:lastPrinted>
  <dcterms:created xsi:type="dcterms:W3CDTF">2022-06-13T14:12:00Z</dcterms:created>
  <dcterms:modified xsi:type="dcterms:W3CDTF">2022-06-13T14:12:00Z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