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8E2929" w14:paraId="5F12BDBA" w14:textId="77777777">
        <w:trPr>
          <w:jc w:val="center"/>
        </w:trPr>
        <w:tc>
          <w:tcPr>
            <w:tcW w:w="7654" w:type="dxa"/>
            <w:tcMar>
              <w:top w:w="170" w:type="dxa"/>
              <w:left w:w="170" w:type="dxa"/>
              <w:bottom w:w="170" w:type="dxa"/>
              <w:right w:w="170" w:type="dxa"/>
            </w:tcMar>
          </w:tcPr>
          <w:p w14:paraId="1E00472F" w14:textId="77777777" w:rsidR="00B83068" w:rsidRPr="008E2929" w:rsidRDefault="00B83068" w:rsidP="00801F39">
            <w:pPr>
              <w:pStyle w:val="Marge"/>
              <w:jc w:val="center"/>
              <w:rPr>
                <w:rFonts w:cs="Arial"/>
                <w:szCs w:val="22"/>
                <w:u w:val="single"/>
              </w:rPr>
            </w:pPr>
            <w:r w:rsidRPr="008E2929">
              <w:rPr>
                <w:rFonts w:cs="Arial"/>
                <w:szCs w:val="22"/>
                <w:u w:val="single"/>
              </w:rPr>
              <w:t>Summary</w:t>
            </w:r>
          </w:p>
          <w:p w14:paraId="5A7895AC" w14:textId="75E96517" w:rsidR="00801F39" w:rsidRPr="008E2929" w:rsidRDefault="00E25184" w:rsidP="00A11697">
            <w:pPr>
              <w:pStyle w:val="Marge"/>
              <w:spacing w:after="120"/>
              <w:rPr>
                <w:rFonts w:cs="Arial"/>
                <w:color w:val="000000"/>
                <w:szCs w:val="22"/>
              </w:rPr>
            </w:pPr>
            <w:r w:rsidRPr="008E2929">
              <w:rPr>
                <w:rFonts w:cs="Arial"/>
              </w:rPr>
              <w:t xml:space="preserve">This document </w:t>
            </w:r>
            <w:r w:rsidR="00285F41" w:rsidRPr="008E2929">
              <w:rPr>
                <w:rFonts w:cs="Arial"/>
              </w:rPr>
              <w:t xml:space="preserve">presents a set of rules of procedures developed by the Secretariat </w:t>
            </w:r>
            <w:proofErr w:type="gramStart"/>
            <w:r w:rsidR="00285F41" w:rsidRPr="008E2929">
              <w:rPr>
                <w:rFonts w:cs="Arial"/>
              </w:rPr>
              <w:t>on the basis of</w:t>
            </w:r>
            <w:proofErr w:type="gramEnd"/>
            <w:r w:rsidR="00285F41" w:rsidRPr="008E2929">
              <w:rPr>
                <w:rFonts w:cs="Arial"/>
              </w:rPr>
              <w:t xml:space="preserve"> the Decade Advisory Board Terms of Reference adopted by the 31</w:t>
            </w:r>
            <w:r w:rsidR="00285F41" w:rsidRPr="008E2929">
              <w:rPr>
                <w:rFonts w:cs="Arial"/>
                <w:vertAlign w:val="superscript"/>
              </w:rPr>
              <w:t>st</w:t>
            </w:r>
            <w:r w:rsidR="00285F41" w:rsidRPr="008E2929">
              <w:rPr>
                <w:rFonts w:cs="Arial"/>
              </w:rPr>
              <w:t xml:space="preserve"> IOC Assembly, and general practice relevant to the conduct of business of subsidiary bodies/ expert groups.</w:t>
            </w:r>
          </w:p>
        </w:tc>
      </w:tr>
    </w:tbl>
    <w:p w14:paraId="1BF207F4" w14:textId="77777777" w:rsidR="00F734D1" w:rsidRPr="008E2929" w:rsidRDefault="00F734D1" w:rsidP="00E25184">
      <w:pPr>
        <w:spacing w:after="240"/>
        <w:jc w:val="both"/>
        <w:rPr>
          <w:rFonts w:cs="Arial"/>
          <w:b/>
          <w:bCs/>
        </w:rPr>
      </w:pPr>
    </w:p>
    <w:p w14:paraId="25F0DBAF" w14:textId="77777777" w:rsidR="00F734D1" w:rsidRPr="008E2929" w:rsidRDefault="00F734D1">
      <w:pPr>
        <w:tabs>
          <w:tab w:val="clear" w:pos="567"/>
        </w:tabs>
        <w:snapToGrid/>
        <w:rPr>
          <w:rFonts w:cs="Arial"/>
          <w:b/>
          <w:bCs/>
        </w:rPr>
      </w:pPr>
      <w:r w:rsidRPr="008E2929">
        <w:rPr>
          <w:rFonts w:cs="Arial"/>
          <w:b/>
          <w:bCs/>
        </w:rPr>
        <w:br w:type="page"/>
      </w:r>
    </w:p>
    <w:p w14:paraId="0022EC34" w14:textId="2F27D3B0" w:rsidR="004474AC" w:rsidRPr="008E2929" w:rsidRDefault="00E25184" w:rsidP="00E25184">
      <w:pPr>
        <w:spacing w:after="240"/>
        <w:jc w:val="both"/>
        <w:rPr>
          <w:rFonts w:cs="Arial"/>
          <w:b/>
          <w:bCs/>
          <w:szCs w:val="22"/>
        </w:rPr>
      </w:pPr>
      <w:r w:rsidRPr="008E2929">
        <w:rPr>
          <w:rFonts w:cs="Arial"/>
          <w:b/>
          <w:bCs/>
          <w:szCs w:val="22"/>
        </w:rPr>
        <w:lastRenderedPageBreak/>
        <w:t>Introduction</w:t>
      </w:r>
    </w:p>
    <w:p w14:paraId="1A2306EE" w14:textId="0C4312CA" w:rsidR="007E72F8" w:rsidRPr="008E2929" w:rsidRDefault="007E72F8" w:rsidP="007E72F8">
      <w:pPr>
        <w:pStyle w:val="NormalWeb"/>
        <w:shd w:val="clear" w:color="auto" w:fill="FFFFFF"/>
        <w:jc w:val="both"/>
        <w:rPr>
          <w:rFonts w:ascii="Arial" w:hAnsi="Arial" w:cs="Arial"/>
          <w:sz w:val="22"/>
          <w:szCs w:val="22"/>
        </w:rPr>
      </w:pPr>
      <w:r w:rsidRPr="008E2929">
        <w:rPr>
          <w:rFonts w:ascii="Arial" w:hAnsi="Arial" w:cs="Arial"/>
          <w:sz w:val="22"/>
          <w:szCs w:val="22"/>
        </w:rPr>
        <w:t xml:space="preserve">At the 31st session of the IOC Assembly (UNESCO, 14–15 June 2021), IOC Member States, UN agencies and partners expressed strong support for the UN Decade of Ocean Science for Sustainable Development and to the IOC in its role as coordinator of the implementation phase of the Decade. The Assembly inter alia approved the Terms of Reference for the Decade Advisory Board </w:t>
      </w:r>
      <w:r w:rsidR="00274F5C" w:rsidRPr="008E2929">
        <w:rPr>
          <w:rFonts w:ascii="Arial" w:hAnsi="Arial" w:cs="Arial"/>
          <w:sz w:val="22"/>
          <w:szCs w:val="22"/>
          <w:lang w:val="en-US"/>
        </w:rPr>
        <w:t xml:space="preserve">(DAB) </w:t>
      </w:r>
      <w:proofErr w:type="gramStart"/>
      <w:r w:rsidRPr="008E2929">
        <w:rPr>
          <w:rFonts w:ascii="Arial" w:hAnsi="Arial" w:cs="Arial"/>
          <w:sz w:val="22"/>
          <w:szCs w:val="22"/>
        </w:rPr>
        <w:t>on the basis of</w:t>
      </w:r>
      <w:proofErr w:type="gramEnd"/>
      <w:r w:rsidRPr="008E2929">
        <w:rPr>
          <w:rFonts w:ascii="Arial" w:hAnsi="Arial" w:cs="Arial"/>
          <w:sz w:val="22"/>
          <w:szCs w:val="22"/>
        </w:rPr>
        <w:t xml:space="preserve"> Document </w:t>
      </w:r>
      <w:hyperlink r:id="rId8" w:history="1">
        <w:r w:rsidRPr="00EF4327">
          <w:rPr>
            <w:rStyle w:val="Hyperlink"/>
            <w:rFonts w:ascii="Arial" w:hAnsi="Arial" w:cs="Arial"/>
            <w:sz w:val="22"/>
            <w:szCs w:val="22"/>
          </w:rPr>
          <w:t>IOC-31/3.7.Doc(1)</w:t>
        </w:r>
      </w:hyperlink>
      <w:r w:rsidRPr="008E2929">
        <w:rPr>
          <w:rFonts w:ascii="Arial" w:hAnsi="Arial" w:cs="Arial"/>
          <w:sz w:val="22"/>
          <w:szCs w:val="22"/>
        </w:rPr>
        <w:t xml:space="preserve">, including the selection process of its members. </w:t>
      </w:r>
    </w:p>
    <w:p w14:paraId="0B20233D" w14:textId="46574530" w:rsidR="00274F5C" w:rsidRPr="008E2929" w:rsidRDefault="00274F5C" w:rsidP="001C0CF5">
      <w:pPr>
        <w:pStyle w:val="NormalWeb"/>
        <w:shd w:val="clear" w:color="auto" w:fill="FFFFFF"/>
        <w:jc w:val="both"/>
        <w:rPr>
          <w:rFonts w:ascii="Arial" w:hAnsi="Arial" w:cs="Arial"/>
          <w:sz w:val="22"/>
          <w:szCs w:val="22"/>
        </w:rPr>
      </w:pPr>
      <w:r w:rsidRPr="008E2929">
        <w:rPr>
          <w:rFonts w:ascii="Arial" w:hAnsi="Arial" w:cs="Arial"/>
          <w:sz w:val="22"/>
          <w:szCs w:val="22"/>
        </w:rPr>
        <w:t xml:space="preserve">The Decade Advisory Board </w:t>
      </w:r>
      <w:r w:rsidRPr="008E2929">
        <w:rPr>
          <w:rFonts w:ascii="Arial" w:hAnsi="Arial" w:cs="Arial"/>
          <w:sz w:val="22"/>
          <w:szCs w:val="22"/>
          <w:lang w:val="en-US"/>
        </w:rPr>
        <w:t>is</w:t>
      </w:r>
      <w:r w:rsidRPr="008E2929">
        <w:rPr>
          <w:rFonts w:ascii="Arial" w:hAnsi="Arial" w:cs="Arial"/>
          <w:sz w:val="22"/>
          <w:szCs w:val="22"/>
        </w:rPr>
        <w:t xml:space="preserve"> a multi-stakeholder advisory body that assist</w:t>
      </w:r>
      <w:r w:rsidRPr="008E2929">
        <w:rPr>
          <w:rFonts w:ascii="Arial" w:hAnsi="Arial" w:cs="Arial"/>
          <w:sz w:val="22"/>
          <w:szCs w:val="22"/>
          <w:lang w:val="en-US"/>
        </w:rPr>
        <w:t>s</w:t>
      </w:r>
      <w:r w:rsidRPr="008E2929">
        <w:rPr>
          <w:rFonts w:ascii="Arial" w:hAnsi="Arial" w:cs="Arial"/>
          <w:sz w:val="22"/>
          <w:szCs w:val="22"/>
        </w:rPr>
        <w:t xml:space="preserve"> the IOC Secretariat in performing its function as coordinator of the Decade. The Board report</w:t>
      </w:r>
      <w:r w:rsidRPr="008E2929">
        <w:rPr>
          <w:rFonts w:ascii="Arial" w:hAnsi="Arial" w:cs="Arial"/>
          <w:sz w:val="22"/>
          <w:szCs w:val="22"/>
          <w:lang w:val="en-US"/>
        </w:rPr>
        <w:t>s</w:t>
      </w:r>
      <w:r w:rsidRPr="008E2929">
        <w:rPr>
          <w:rFonts w:ascii="Arial" w:hAnsi="Arial" w:cs="Arial"/>
          <w:sz w:val="22"/>
          <w:szCs w:val="22"/>
        </w:rPr>
        <w:t xml:space="preserve"> both to the IOC Governing Bodies and the IOC Executive Secretary. The Board’s advice to the IOC Governing Bodies will concern strategic elements of the Decade implementation, such as reviews of the Decade progress in moving towards the Decade societal outcomes and on the research work in the domains of Decade challenges, identifying gaps and opportunities, advising on data stewardship strategies, the development of resource mobilisation strategies, and supporting the development of a monitoring and evaluation framework of the Decade.The Board also provide advice and operational support to the IOC Executive Secretary to facilitate the endorsement process of Decade Actions, specifically at the programme level. </w:t>
      </w:r>
    </w:p>
    <w:p w14:paraId="23A1F5D1" w14:textId="36F2E9D4" w:rsidR="00267093" w:rsidRPr="008E2929" w:rsidRDefault="001C0CF5" w:rsidP="00285F41">
      <w:pPr>
        <w:pStyle w:val="NormalWeb"/>
        <w:shd w:val="clear" w:color="auto" w:fill="FFFFFF"/>
        <w:jc w:val="both"/>
        <w:rPr>
          <w:rFonts w:ascii="Arial" w:hAnsi="Arial" w:cs="Arial"/>
          <w:sz w:val="22"/>
          <w:szCs w:val="22"/>
          <w:lang w:val="en-US"/>
        </w:rPr>
      </w:pPr>
      <w:r w:rsidRPr="008E2929">
        <w:rPr>
          <w:rFonts w:ascii="Arial" w:hAnsi="Arial" w:cs="Arial"/>
          <w:sz w:val="22"/>
          <w:szCs w:val="22"/>
        </w:rPr>
        <w:t xml:space="preserve">As per the Terms of Reference, the Decade Advisory Board </w:t>
      </w:r>
      <w:r w:rsidR="00FF26CE" w:rsidRPr="008E2929">
        <w:rPr>
          <w:rFonts w:ascii="Arial" w:hAnsi="Arial" w:cs="Arial"/>
          <w:sz w:val="22"/>
          <w:szCs w:val="22"/>
          <w:lang w:val="en-US"/>
        </w:rPr>
        <w:t xml:space="preserve">is </w:t>
      </w:r>
      <w:r w:rsidRPr="008E2929">
        <w:rPr>
          <w:rFonts w:ascii="Arial" w:hAnsi="Arial" w:cs="Arial"/>
          <w:sz w:val="22"/>
          <w:szCs w:val="22"/>
        </w:rPr>
        <w:t>comprise</w:t>
      </w:r>
      <w:r w:rsidR="00FF26CE" w:rsidRPr="008E2929">
        <w:rPr>
          <w:rFonts w:ascii="Arial" w:hAnsi="Arial" w:cs="Arial"/>
          <w:sz w:val="22"/>
          <w:szCs w:val="22"/>
          <w:lang w:val="en-US"/>
        </w:rPr>
        <w:t>d of</w:t>
      </w:r>
      <w:r w:rsidRPr="008E2929">
        <w:rPr>
          <w:rFonts w:ascii="Arial" w:hAnsi="Arial" w:cs="Arial"/>
          <w:sz w:val="22"/>
          <w:szCs w:val="22"/>
        </w:rPr>
        <w:t xml:space="preserve"> up to 15 expert members drawn from government, private sector, philanthropy, civil society, and the scientific community and serving in their individual capacity. In addition to the 15 expert members, UN Legal Counsel</w:t>
      </w:r>
      <w:r w:rsidR="00FF26CE" w:rsidRPr="008E2929">
        <w:rPr>
          <w:rFonts w:ascii="Arial" w:hAnsi="Arial" w:cs="Arial"/>
          <w:sz w:val="22"/>
          <w:szCs w:val="22"/>
          <w:lang w:val="en-US"/>
        </w:rPr>
        <w:t xml:space="preserve">- </w:t>
      </w:r>
      <w:r w:rsidRPr="008E2929">
        <w:rPr>
          <w:rFonts w:ascii="Arial" w:hAnsi="Arial" w:cs="Arial"/>
          <w:sz w:val="22"/>
          <w:szCs w:val="22"/>
        </w:rPr>
        <w:t>DOALOS, which is the Secretariat and focal point of UN-Oceans and the United Nations Convention on the Law of the Sea, ha</w:t>
      </w:r>
      <w:r w:rsidR="00FF26CE" w:rsidRPr="008E2929">
        <w:rPr>
          <w:rFonts w:ascii="Arial" w:hAnsi="Arial" w:cs="Arial"/>
          <w:sz w:val="22"/>
          <w:szCs w:val="22"/>
          <w:lang w:val="en-US"/>
        </w:rPr>
        <w:t>s</w:t>
      </w:r>
      <w:r w:rsidRPr="008E2929">
        <w:rPr>
          <w:rFonts w:ascii="Arial" w:hAnsi="Arial" w:cs="Arial"/>
          <w:sz w:val="22"/>
          <w:szCs w:val="22"/>
        </w:rPr>
        <w:t xml:space="preserve"> one permanent seat on the Decade Advisory Board. The IOC Secretariat as coordinator of the Decade also ha</w:t>
      </w:r>
      <w:r w:rsidR="00FF26CE" w:rsidRPr="008E2929">
        <w:rPr>
          <w:rFonts w:ascii="Arial" w:hAnsi="Arial" w:cs="Arial"/>
          <w:sz w:val="22"/>
          <w:szCs w:val="22"/>
          <w:lang w:val="en-US"/>
        </w:rPr>
        <w:t>s</w:t>
      </w:r>
      <w:r w:rsidRPr="008E2929">
        <w:rPr>
          <w:rFonts w:ascii="Arial" w:hAnsi="Arial" w:cs="Arial"/>
          <w:sz w:val="22"/>
          <w:szCs w:val="22"/>
        </w:rPr>
        <w:t xml:space="preserve"> a permanent seat on the Board. Three more seats </w:t>
      </w:r>
      <w:r w:rsidR="00FF26CE" w:rsidRPr="008E2929">
        <w:rPr>
          <w:rFonts w:ascii="Arial" w:hAnsi="Arial" w:cs="Arial"/>
          <w:sz w:val="22"/>
          <w:szCs w:val="22"/>
          <w:lang w:val="en-US"/>
        </w:rPr>
        <w:t xml:space="preserve">are </w:t>
      </w:r>
      <w:r w:rsidRPr="008E2929">
        <w:rPr>
          <w:rFonts w:ascii="Arial" w:hAnsi="Arial" w:cs="Arial"/>
          <w:sz w:val="22"/>
          <w:szCs w:val="22"/>
        </w:rPr>
        <w:t xml:space="preserve">reserved for UN Agencies and will be identified through consultations via UN-Oceans. </w:t>
      </w:r>
      <w:r w:rsidR="00FF26CE" w:rsidRPr="008E2929">
        <w:rPr>
          <w:rFonts w:ascii="Arial" w:hAnsi="Arial" w:cs="Arial"/>
          <w:sz w:val="22"/>
          <w:szCs w:val="22"/>
          <w:lang w:val="en-US"/>
        </w:rPr>
        <w:t>The process for selecting members of the Decade Advisory Board (</w:t>
      </w:r>
      <w:r w:rsidR="00B41FB2">
        <w:rPr>
          <w:rFonts w:ascii="Arial" w:hAnsi="Arial" w:cs="Arial"/>
          <w:sz w:val="22"/>
          <w:szCs w:val="22"/>
          <w:lang w:val="en-US"/>
        </w:rPr>
        <w:t>202</w:t>
      </w:r>
      <w:r w:rsidR="00401C9B">
        <w:rPr>
          <w:rFonts w:ascii="Arial" w:hAnsi="Arial" w:cs="Arial"/>
          <w:sz w:val="22"/>
          <w:szCs w:val="22"/>
          <w:lang w:val="en-US"/>
        </w:rPr>
        <w:t>2</w:t>
      </w:r>
      <w:r w:rsidR="00B41FB2">
        <w:rPr>
          <w:rFonts w:ascii="Arial" w:hAnsi="Arial" w:cs="Arial"/>
          <w:sz w:val="22"/>
          <w:szCs w:val="22"/>
          <w:lang w:val="en-US"/>
        </w:rPr>
        <w:t>-202</w:t>
      </w:r>
      <w:r w:rsidR="00401C9B">
        <w:rPr>
          <w:rFonts w:ascii="Arial" w:hAnsi="Arial" w:cs="Arial"/>
          <w:sz w:val="22"/>
          <w:szCs w:val="22"/>
          <w:lang w:val="en-US"/>
        </w:rPr>
        <w:t>3</w:t>
      </w:r>
      <w:r w:rsidR="0003405F" w:rsidRPr="008E2929">
        <w:rPr>
          <w:rFonts w:ascii="Arial" w:hAnsi="Arial" w:cs="Arial"/>
          <w:sz w:val="22"/>
          <w:szCs w:val="22"/>
          <w:lang w:val="en-US"/>
        </w:rPr>
        <w:t>) was</w:t>
      </w:r>
      <w:r w:rsidR="00FF26CE" w:rsidRPr="008E2929">
        <w:rPr>
          <w:rFonts w:ascii="Arial" w:hAnsi="Arial" w:cs="Arial"/>
          <w:sz w:val="22"/>
          <w:szCs w:val="22"/>
          <w:lang w:val="en-US"/>
        </w:rPr>
        <w:t xml:space="preserve"> reported to IOC-UNESCO Member States through </w:t>
      </w:r>
      <w:hyperlink r:id="rId9" w:history="1">
        <w:r w:rsidR="00FF26CE" w:rsidRPr="008E2929">
          <w:rPr>
            <w:rStyle w:val="Hyperlink"/>
            <w:rFonts w:ascii="Arial" w:hAnsi="Arial" w:cs="Arial"/>
            <w:sz w:val="22"/>
            <w:szCs w:val="22"/>
            <w:lang w:val="en-US"/>
          </w:rPr>
          <w:t>IOC Circular Letter 2871</w:t>
        </w:r>
      </w:hyperlink>
      <w:r w:rsidR="00FF26CE" w:rsidRPr="008E2929">
        <w:rPr>
          <w:rFonts w:ascii="Arial" w:hAnsi="Arial" w:cs="Arial"/>
          <w:sz w:val="22"/>
          <w:szCs w:val="22"/>
          <w:lang w:val="en-US"/>
        </w:rPr>
        <w:t>.</w:t>
      </w:r>
    </w:p>
    <w:p w14:paraId="3CB79ECD" w14:textId="6ED1F399" w:rsidR="00FF26CE" w:rsidRPr="008E2929" w:rsidRDefault="00FF26CE" w:rsidP="00285F41">
      <w:pPr>
        <w:pStyle w:val="ListParagraph"/>
        <w:numPr>
          <w:ilvl w:val="1"/>
          <w:numId w:val="20"/>
        </w:numPr>
        <w:rPr>
          <w:rFonts w:ascii="Arial" w:hAnsi="Arial" w:cs="Arial"/>
          <w:b/>
          <w:bCs/>
          <w:i/>
          <w:iCs/>
          <w:lang w:val="en-US"/>
        </w:rPr>
      </w:pPr>
      <w:r w:rsidRPr="008E2929">
        <w:rPr>
          <w:rFonts w:ascii="Arial" w:hAnsi="Arial" w:cs="Arial"/>
          <w:b/>
          <w:bCs/>
          <w:i/>
          <w:iCs/>
          <w:lang w:val="en-US"/>
        </w:rPr>
        <w:t>Selection of Expert Board Members</w:t>
      </w:r>
    </w:p>
    <w:p w14:paraId="0F86A572" w14:textId="0946972B" w:rsidR="00FF26CE" w:rsidRPr="008E2929" w:rsidRDefault="00FF26CE" w:rsidP="00E63302">
      <w:pPr>
        <w:tabs>
          <w:tab w:val="left" w:pos="709"/>
        </w:tabs>
        <w:rPr>
          <w:rFonts w:eastAsia="Arial" w:cs="Arial"/>
          <w:szCs w:val="22"/>
          <w:lang w:val="en-US" w:eastAsia="fr-FR"/>
        </w:rPr>
      </w:pPr>
      <w:r w:rsidRPr="008E2929">
        <w:rPr>
          <w:rFonts w:eastAsia="Arial" w:cs="Arial"/>
          <w:szCs w:val="22"/>
          <w:lang w:val="en-US" w:eastAsia="fr-FR"/>
        </w:rPr>
        <w:t>The Decade Advisory Board will comprise up to 15 expert members serving in their individual capacity drawn from government, private sector, philanthropy, civil society, and the scientific community. Expert members will be nominated through open calls for nominations. The calls will be circulated through the following means:</w:t>
      </w:r>
    </w:p>
    <w:p w14:paraId="3B85B698" w14:textId="77777777" w:rsidR="00FF26CE" w:rsidRPr="008E2929" w:rsidRDefault="00FF26CE" w:rsidP="00FF26CE">
      <w:pPr>
        <w:numPr>
          <w:ilvl w:val="0"/>
          <w:numId w:val="18"/>
        </w:numPr>
        <w:tabs>
          <w:tab w:val="clear" w:pos="567"/>
        </w:tabs>
        <w:snapToGrid/>
        <w:spacing w:after="120"/>
        <w:ind w:hanging="720"/>
        <w:jc w:val="both"/>
        <w:rPr>
          <w:rFonts w:eastAsia="Arial" w:cs="Arial"/>
          <w:szCs w:val="22"/>
          <w:lang w:val="en-US" w:eastAsia="fr-FR"/>
        </w:rPr>
      </w:pPr>
      <w:r w:rsidRPr="008E2929">
        <w:rPr>
          <w:rFonts w:eastAsia="Arial" w:cs="Arial"/>
          <w:szCs w:val="22"/>
          <w:lang w:val="en-US" w:eastAsia="fr-FR"/>
        </w:rPr>
        <w:t>IOC Member States via IOC Circular Letters;</w:t>
      </w:r>
    </w:p>
    <w:p w14:paraId="13BAB731" w14:textId="77777777" w:rsidR="00FF26CE" w:rsidRPr="008E2929" w:rsidRDefault="00FF26CE" w:rsidP="00FF26CE">
      <w:pPr>
        <w:numPr>
          <w:ilvl w:val="0"/>
          <w:numId w:val="18"/>
        </w:numPr>
        <w:tabs>
          <w:tab w:val="clear" w:pos="567"/>
        </w:tabs>
        <w:snapToGrid/>
        <w:spacing w:after="120"/>
        <w:ind w:hanging="720"/>
        <w:jc w:val="both"/>
        <w:rPr>
          <w:rFonts w:eastAsia="Arial" w:cs="Arial"/>
          <w:szCs w:val="22"/>
          <w:lang w:val="fr-FR" w:eastAsia="fr-FR"/>
        </w:rPr>
      </w:pPr>
      <w:r w:rsidRPr="008E2929">
        <w:rPr>
          <w:rFonts w:eastAsia="Arial" w:cs="Arial"/>
          <w:szCs w:val="22"/>
          <w:lang w:val="fr-FR" w:eastAsia="fr-FR"/>
        </w:rPr>
        <w:t>Relevant UN bodies via UN-Oceans;</w:t>
      </w:r>
    </w:p>
    <w:p w14:paraId="7D12A1B2" w14:textId="77777777" w:rsidR="00FF26CE" w:rsidRPr="008E2929" w:rsidRDefault="00FF26CE" w:rsidP="00FF26CE">
      <w:pPr>
        <w:numPr>
          <w:ilvl w:val="0"/>
          <w:numId w:val="18"/>
        </w:numPr>
        <w:tabs>
          <w:tab w:val="clear" w:pos="567"/>
        </w:tabs>
        <w:snapToGrid/>
        <w:spacing w:after="120"/>
        <w:ind w:hanging="720"/>
        <w:jc w:val="both"/>
        <w:rPr>
          <w:rFonts w:eastAsia="Arial" w:cs="Arial"/>
          <w:szCs w:val="22"/>
          <w:lang w:val="en-US" w:eastAsia="fr-FR"/>
        </w:rPr>
      </w:pPr>
      <w:r w:rsidRPr="008E2929">
        <w:rPr>
          <w:rFonts w:eastAsia="Arial" w:cs="Arial"/>
          <w:szCs w:val="22"/>
          <w:lang w:val="en-US" w:eastAsia="fr-FR"/>
        </w:rPr>
        <w:t>Scientific networks using formal and informal communication mechanisms;</w:t>
      </w:r>
    </w:p>
    <w:p w14:paraId="61E24991" w14:textId="77777777" w:rsidR="00E63302" w:rsidRPr="008E2929" w:rsidRDefault="00FF26CE" w:rsidP="00E63302">
      <w:pPr>
        <w:numPr>
          <w:ilvl w:val="0"/>
          <w:numId w:val="18"/>
        </w:numPr>
        <w:tabs>
          <w:tab w:val="clear" w:pos="567"/>
        </w:tabs>
        <w:snapToGrid/>
        <w:spacing w:after="120"/>
        <w:ind w:hanging="720"/>
        <w:jc w:val="both"/>
        <w:rPr>
          <w:rFonts w:eastAsia="Arial" w:cs="Arial"/>
          <w:szCs w:val="22"/>
          <w:lang w:val="en-US" w:eastAsia="fr-FR"/>
        </w:rPr>
      </w:pPr>
      <w:r w:rsidRPr="008E2929">
        <w:rPr>
          <w:rFonts w:eastAsia="Arial" w:cs="Arial"/>
          <w:szCs w:val="22"/>
          <w:lang w:val="en-US" w:eastAsia="fr-FR"/>
        </w:rPr>
        <w:t>Dedicated ocean policy, business, and sustainable development networks through announcements; and</w:t>
      </w:r>
      <w:r w:rsidR="00E63302" w:rsidRPr="008E2929">
        <w:rPr>
          <w:rFonts w:eastAsia="Arial" w:cs="Arial"/>
          <w:szCs w:val="22"/>
          <w:lang w:val="en-US" w:eastAsia="fr-FR"/>
        </w:rPr>
        <w:t>;</w:t>
      </w:r>
    </w:p>
    <w:p w14:paraId="7126C99A" w14:textId="61E323D3" w:rsidR="00FF26CE" w:rsidRPr="008E2929" w:rsidRDefault="00FF26CE" w:rsidP="00E63302">
      <w:pPr>
        <w:numPr>
          <w:ilvl w:val="0"/>
          <w:numId w:val="18"/>
        </w:numPr>
        <w:tabs>
          <w:tab w:val="clear" w:pos="567"/>
        </w:tabs>
        <w:snapToGrid/>
        <w:spacing w:after="120"/>
        <w:ind w:hanging="720"/>
        <w:jc w:val="both"/>
        <w:rPr>
          <w:rFonts w:eastAsia="Arial" w:cs="Arial"/>
          <w:szCs w:val="22"/>
          <w:lang w:val="en-US" w:eastAsia="fr-FR"/>
        </w:rPr>
      </w:pPr>
      <w:r w:rsidRPr="008E2929">
        <w:rPr>
          <w:rFonts w:eastAsia="Arial" w:cs="Arial"/>
          <w:szCs w:val="22"/>
          <w:lang w:val="en-US" w:eastAsia="fr-FR"/>
        </w:rPr>
        <w:t>The Ocean Decade and IOC website.</w:t>
      </w:r>
    </w:p>
    <w:p w14:paraId="7810FD32" w14:textId="77777777" w:rsidR="00FF26CE" w:rsidRPr="008E2929" w:rsidRDefault="00FF26CE" w:rsidP="00FF26CE">
      <w:pPr>
        <w:spacing w:after="240"/>
        <w:jc w:val="both"/>
        <w:rPr>
          <w:rFonts w:eastAsia="Arial" w:cs="Arial"/>
          <w:szCs w:val="22"/>
          <w:lang w:val="en-US" w:eastAsia="fr-FR"/>
        </w:rPr>
      </w:pPr>
      <w:r w:rsidRPr="008E2929">
        <w:rPr>
          <w:rFonts w:eastAsia="Arial" w:cs="Arial"/>
          <w:szCs w:val="22"/>
          <w:lang w:val="en-US" w:eastAsia="fr-FR"/>
        </w:rPr>
        <w:t>Proposals for nominations can be made by IOC-UNESCO and United Nations Member States or United Nations entities, as well as intergovernmental organizations. Self-nomination will also be possible to encourage nominations from non-governmental entities.</w:t>
      </w:r>
    </w:p>
    <w:p w14:paraId="1F40A904" w14:textId="412D1971" w:rsidR="00285F41" w:rsidRPr="008E2929" w:rsidRDefault="00FF26CE" w:rsidP="00FF26CE">
      <w:pPr>
        <w:spacing w:after="240"/>
        <w:jc w:val="both"/>
        <w:rPr>
          <w:rFonts w:eastAsia="Arial" w:cs="Arial"/>
          <w:szCs w:val="22"/>
          <w:lang w:val="en-US" w:eastAsia="fr-FR"/>
        </w:rPr>
      </w:pPr>
      <w:r w:rsidRPr="008E2929">
        <w:rPr>
          <w:rFonts w:eastAsia="Arial" w:cs="Arial"/>
          <w:szCs w:val="22"/>
          <w:lang w:val="en-US" w:eastAsia="fr-FR"/>
        </w:rPr>
        <w:t>Expert members will be selected with due consideration to expertise, geographic, generational, and gender balance and will serve on a voluntary basis in their personal capacities. Decade Advisory Board members do not represent their institutions or countries. They should be able to commit sufficient time to the work of the Decade Advisory Board and will take the responsibility to request the authorization of their employer to participate in this process.</w:t>
      </w:r>
    </w:p>
    <w:p w14:paraId="1AD9415D" w14:textId="14E4018F" w:rsidR="00FF26CE" w:rsidRPr="007A4A17" w:rsidRDefault="00FF26CE" w:rsidP="007A4A17">
      <w:pPr>
        <w:spacing w:after="240"/>
        <w:jc w:val="both"/>
        <w:rPr>
          <w:rFonts w:eastAsia="Arial" w:cs="Arial"/>
          <w:szCs w:val="22"/>
          <w:lang w:val="en-US" w:eastAsia="fr-FR"/>
        </w:rPr>
      </w:pPr>
      <w:r w:rsidRPr="008E2929">
        <w:rPr>
          <w:rFonts w:eastAsia="Arial" w:cs="Arial"/>
          <w:szCs w:val="22"/>
          <w:lang w:val="en-US" w:eastAsia="fr-FR"/>
        </w:rPr>
        <w:t>The selection process in the Terms of Reference will be used to select Expert Board Members.</w:t>
      </w:r>
    </w:p>
    <w:p w14:paraId="1BAD5E62" w14:textId="5EA37EF5" w:rsidR="00FF26CE" w:rsidRPr="008E2929" w:rsidRDefault="00E63302" w:rsidP="00E63302">
      <w:pPr>
        <w:rPr>
          <w:rFonts w:cs="Arial"/>
          <w:b/>
          <w:bCs/>
          <w:i/>
          <w:iCs/>
          <w:szCs w:val="22"/>
          <w:lang w:val="en-US"/>
        </w:rPr>
      </w:pPr>
      <w:r w:rsidRPr="008E2929">
        <w:rPr>
          <w:rFonts w:cs="Arial"/>
          <w:b/>
          <w:bCs/>
          <w:i/>
          <w:iCs/>
          <w:szCs w:val="22"/>
          <w:lang w:val="en-US"/>
        </w:rPr>
        <w:lastRenderedPageBreak/>
        <w:t xml:space="preserve">1.2 </w:t>
      </w:r>
      <w:r w:rsidRPr="008E2929">
        <w:rPr>
          <w:rFonts w:cs="Arial"/>
          <w:b/>
          <w:bCs/>
          <w:i/>
          <w:iCs/>
          <w:szCs w:val="22"/>
          <w:lang w:val="en-US"/>
        </w:rPr>
        <w:tab/>
        <w:t xml:space="preserve">Duration of appointment and process for </w:t>
      </w:r>
      <w:r w:rsidR="00BC5841" w:rsidRPr="008E2929">
        <w:rPr>
          <w:rFonts w:cs="Arial"/>
          <w:b/>
          <w:bCs/>
          <w:i/>
          <w:iCs/>
          <w:szCs w:val="22"/>
          <w:lang w:val="en-US"/>
        </w:rPr>
        <w:t>s</w:t>
      </w:r>
      <w:r w:rsidR="00FF26CE" w:rsidRPr="008E2929">
        <w:rPr>
          <w:rFonts w:cs="Arial"/>
          <w:b/>
          <w:bCs/>
          <w:i/>
          <w:iCs/>
          <w:szCs w:val="22"/>
          <w:lang w:val="en-US"/>
        </w:rPr>
        <w:t>taggering of Board Expert Members’</w:t>
      </w:r>
      <w:r w:rsidR="00BC5841" w:rsidRPr="008E2929">
        <w:rPr>
          <w:rFonts w:cs="Arial"/>
          <w:b/>
          <w:bCs/>
          <w:i/>
          <w:iCs/>
          <w:szCs w:val="22"/>
          <w:lang w:val="en-US"/>
        </w:rPr>
        <w:t xml:space="preserve"> </w:t>
      </w:r>
      <w:r w:rsidR="00FF26CE" w:rsidRPr="008E2929">
        <w:rPr>
          <w:rFonts w:cs="Arial"/>
          <w:b/>
          <w:bCs/>
          <w:i/>
          <w:iCs/>
          <w:szCs w:val="22"/>
          <w:lang w:val="en-US"/>
        </w:rPr>
        <w:t>Terms</w:t>
      </w:r>
    </w:p>
    <w:p w14:paraId="13154E50" w14:textId="2E76377F" w:rsidR="00285F41" w:rsidRPr="008E2929" w:rsidRDefault="00E63302" w:rsidP="00285F41">
      <w:pPr>
        <w:spacing w:after="240"/>
        <w:jc w:val="both"/>
        <w:rPr>
          <w:rFonts w:eastAsia="Arial" w:cs="Arial"/>
          <w:szCs w:val="22"/>
          <w:lang w:val="en-US" w:eastAsia="fr-FR"/>
        </w:rPr>
      </w:pPr>
      <w:r w:rsidRPr="008E2929">
        <w:rPr>
          <w:rFonts w:eastAsia="Arial" w:cs="Arial"/>
          <w:szCs w:val="22"/>
          <w:lang w:val="en-US" w:eastAsia="fr-FR"/>
        </w:rPr>
        <w:br/>
      </w:r>
      <w:r w:rsidR="00FF26CE" w:rsidRPr="008E2929">
        <w:rPr>
          <w:rFonts w:eastAsia="Arial" w:cs="Arial"/>
          <w:szCs w:val="22"/>
          <w:lang w:val="en-US" w:eastAsia="fr-FR"/>
        </w:rPr>
        <w:t xml:space="preserve">Membership of Expert Members on the Decade Advisory Board will be for a two-year term, renewable for a second mandate. </w:t>
      </w:r>
      <w:r w:rsidR="00FF26CE" w:rsidRPr="008E2929">
        <w:rPr>
          <w:rFonts w:cs="Arial"/>
          <w:color w:val="000000" w:themeColor="text1"/>
          <w:szCs w:val="22"/>
          <w:lang w:val="en-US" w:eastAsia="en-GB"/>
        </w:rPr>
        <w:t xml:space="preserve">Members' terms will be staggered to ensure there is information exchange and mentoring between current and new Board members. </w:t>
      </w:r>
    </w:p>
    <w:p w14:paraId="6A0422D8" w14:textId="5C1456D3" w:rsidR="00285F41" w:rsidRPr="008E2929" w:rsidRDefault="00FF26CE" w:rsidP="00285F41">
      <w:pPr>
        <w:spacing w:after="240"/>
        <w:jc w:val="both"/>
        <w:rPr>
          <w:rFonts w:eastAsia="Arial" w:cs="Arial"/>
          <w:szCs w:val="22"/>
          <w:lang w:val="en-US" w:eastAsia="fr-FR"/>
        </w:rPr>
      </w:pPr>
      <w:r w:rsidRPr="008E2929">
        <w:rPr>
          <w:rFonts w:eastAsia="Arial" w:cs="Arial"/>
          <w:szCs w:val="22"/>
          <w:lang w:val="en-US" w:eastAsia="fr-FR"/>
        </w:rPr>
        <w:t xml:space="preserve">Starting in July 2023 and then 6 months before the end of the term of the mandate of each group of Expert Members, a new call for nominations will be opened. </w:t>
      </w:r>
    </w:p>
    <w:p w14:paraId="3F9EBC45" w14:textId="75D475BB" w:rsidR="00E63302" w:rsidRPr="008E2929" w:rsidRDefault="00E63302" w:rsidP="00285F41">
      <w:pPr>
        <w:spacing w:after="240"/>
        <w:jc w:val="both"/>
        <w:rPr>
          <w:rFonts w:eastAsia="Arial" w:cs="Arial"/>
          <w:szCs w:val="22"/>
          <w:lang w:val="en-US" w:eastAsia="fr-FR"/>
        </w:rPr>
      </w:pPr>
      <w:r w:rsidRPr="008E2929">
        <w:rPr>
          <w:rFonts w:eastAsia="Arial" w:cs="Arial"/>
          <w:szCs w:val="22"/>
          <w:lang w:val="en-US" w:eastAsia="fr-FR"/>
        </w:rPr>
        <w:t xml:space="preserve">Calls for nomination will follow the calendar presented below and </w:t>
      </w:r>
      <w:r w:rsidR="0056540C" w:rsidRPr="008E2929">
        <w:rPr>
          <w:rFonts w:eastAsia="Arial" w:cs="Arial"/>
          <w:szCs w:val="22"/>
          <w:lang w:val="en-US" w:eastAsia="fr-FR"/>
        </w:rPr>
        <w:t>will take place in 2023, 2025, 2027, and 2029.</w:t>
      </w:r>
    </w:p>
    <w:tbl>
      <w:tblPr>
        <w:tblStyle w:val="TableGrid"/>
        <w:tblW w:w="5000" w:type="pct"/>
        <w:tblLook w:val="04A0" w:firstRow="1" w:lastRow="0" w:firstColumn="1" w:lastColumn="0" w:noHBand="0" w:noVBand="1"/>
      </w:tblPr>
      <w:tblGrid>
        <w:gridCol w:w="1439"/>
        <w:gridCol w:w="454"/>
        <w:gridCol w:w="454"/>
        <w:gridCol w:w="454"/>
        <w:gridCol w:w="454"/>
        <w:gridCol w:w="454"/>
        <w:gridCol w:w="454"/>
        <w:gridCol w:w="456"/>
        <w:gridCol w:w="456"/>
        <w:gridCol w:w="456"/>
        <w:gridCol w:w="456"/>
        <w:gridCol w:w="456"/>
        <w:gridCol w:w="456"/>
        <w:gridCol w:w="456"/>
        <w:gridCol w:w="456"/>
        <w:gridCol w:w="456"/>
        <w:gridCol w:w="456"/>
        <w:gridCol w:w="457"/>
        <w:gridCol w:w="448"/>
      </w:tblGrid>
      <w:tr w:rsidR="00285F41" w:rsidRPr="008E2929" w14:paraId="319988EA" w14:textId="77777777" w:rsidTr="00570509">
        <w:tc>
          <w:tcPr>
            <w:tcW w:w="475" w:type="pct"/>
          </w:tcPr>
          <w:p w14:paraId="3BB99A8D" w14:textId="77777777" w:rsidR="00285F41" w:rsidRPr="008E2929" w:rsidRDefault="00285F41" w:rsidP="00570509">
            <w:pPr>
              <w:jc w:val="both"/>
              <w:rPr>
                <w:rFonts w:eastAsia="Arial" w:cs="Arial"/>
                <w:szCs w:val="22"/>
                <w:lang w:val="en-US" w:eastAsia="fr-FR"/>
              </w:rPr>
            </w:pPr>
          </w:p>
        </w:tc>
        <w:tc>
          <w:tcPr>
            <w:tcW w:w="502" w:type="pct"/>
            <w:gridSpan w:val="2"/>
          </w:tcPr>
          <w:p w14:paraId="5A6AE425" w14:textId="77777777" w:rsidR="00285F41" w:rsidRPr="008E2929" w:rsidRDefault="00285F41" w:rsidP="00570509">
            <w:pPr>
              <w:jc w:val="both"/>
              <w:rPr>
                <w:rFonts w:eastAsia="Arial" w:cs="Arial"/>
                <w:szCs w:val="22"/>
                <w:lang w:val="en-US" w:eastAsia="fr-FR"/>
              </w:rPr>
            </w:pPr>
            <w:r w:rsidRPr="008E2929">
              <w:rPr>
                <w:rFonts w:eastAsia="Arial" w:cs="Arial"/>
                <w:szCs w:val="22"/>
                <w:lang w:val="en-US" w:eastAsia="fr-FR"/>
              </w:rPr>
              <w:t>2022</w:t>
            </w:r>
          </w:p>
        </w:tc>
        <w:tc>
          <w:tcPr>
            <w:tcW w:w="502" w:type="pct"/>
            <w:gridSpan w:val="2"/>
          </w:tcPr>
          <w:p w14:paraId="51BF3FE0" w14:textId="77777777" w:rsidR="00285F41" w:rsidRPr="008E2929" w:rsidRDefault="00285F41" w:rsidP="00570509">
            <w:pPr>
              <w:jc w:val="both"/>
              <w:rPr>
                <w:rFonts w:eastAsia="Arial" w:cs="Arial"/>
                <w:szCs w:val="22"/>
                <w:lang w:val="en-US" w:eastAsia="fr-FR"/>
              </w:rPr>
            </w:pPr>
            <w:r w:rsidRPr="008E2929">
              <w:rPr>
                <w:rFonts w:eastAsia="Arial" w:cs="Arial"/>
                <w:szCs w:val="22"/>
                <w:lang w:val="en-US" w:eastAsia="fr-FR"/>
              </w:rPr>
              <w:t>2023</w:t>
            </w:r>
          </w:p>
        </w:tc>
        <w:tc>
          <w:tcPr>
            <w:tcW w:w="502" w:type="pct"/>
            <w:gridSpan w:val="2"/>
          </w:tcPr>
          <w:p w14:paraId="31024573" w14:textId="77777777" w:rsidR="00285F41" w:rsidRPr="008E2929" w:rsidRDefault="00285F41" w:rsidP="00570509">
            <w:pPr>
              <w:jc w:val="both"/>
              <w:rPr>
                <w:rFonts w:eastAsia="Arial" w:cs="Arial"/>
                <w:szCs w:val="22"/>
                <w:lang w:val="en-US" w:eastAsia="fr-FR"/>
              </w:rPr>
            </w:pPr>
            <w:r w:rsidRPr="008E2929">
              <w:rPr>
                <w:rFonts w:eastAsia="Arial" w:cs="Arial"/>
                <w:szCs w:val="22"/>
                <w:lang w:val="en-US" w:eastAsia="fr-FR"/>
              </w:rPr>
              <w:t>2024</w:t>
            </w:r>
          </w:p>
        </w:tc>
        <w:tc>
          <w:tcPr>
            <w:tcW w:w="504" w:type="pct"/>
            <w:gridSpan w:val="2"/>
          </w:tcPr>
          <w:p w14:paraId="3F2F14C9" w14:textId="77777777" w:rsidR="00285F41" w:rsidRPr="008E2929" w:rsidRDefault="00285F41" w:rsidP="00570509">
            <w:pPr>
              <w:jc w:val="both"/>
              <w:rPr>
                <w:rFonts w:eastAsia="Arial" w:cs="Arial"/>
                <w:szCs w:val="22"/>
                <w:lang w:val="en-US" w:eastAsia="fr-FR"/>
              </w:rPr>
            </w:pPr>
            <w:r w:rsidRPr="008E2929">
              <w:rPr>
                <w:rFonts w:eastAsia="Arial" w:cs="Arial"/>
                <w:szCs w:val="22"/>
                <w:lang w:val="en-US" w:eastAsia="fr-FR"/>
              </w:rPr>
              <w:t>2025</w:t>
            </w:r>
          </w:p>
        </w:tc>
        <w:tc>
          <w:tcPr>
            <w:tcW w:w="504" w:type="pct"/>
            <w:gridSpan w:val="2"/>
          </w:tcPr>
          <w:p w14:paraId="0C3D2BDA" w14:textId="77777777" w:rsidR="00285F41" w:rsidRPr="008E2929" w:rsidRDefault="00285F41" w:rsidP="00570509">
            <w:pPr>
              <w:jc w:val="both"/>
              <w:rPr>
                <w:rFonts w:eastAsia="Arial" w:cs="Arial"/>
                <w:szCs w:val="22"/>
                <w:lang w:val="en-US" w:eastAsia="fr-FR"/>
              </w:rPr>
            </w:pPr>
            <w:r w:rsidRPr="008E2929">
              <w:rPr>
                <w:rFonts w:eastAsia="Arial" w:cs="Arial"/>
                <w:szCs w:val="22"/>
                <w:lang w:val="en-US" w:eastAsia="fr-FR"/>
              </w:rPr>
              <w:t>2026</w:t>
            </w:r>
          </w:p>
        </w:tc>
        <w:tc>
          <w:tcPr>
            <w:tcW w:w="504" w:type="pct"/>
            <w:gridSpan w:val="2"/>
          </w:tcPr>
          <w:p w14:paraId="21C812F4" w14:textId="77777777" w:rsidR="00285F41" w:rsidRPr="008E2929" w:rsidRDefault="00285F41" w:rsidP="00570509">
            <w:pPr>
              <w:jc w:val="both"/>
              <w:rPr>
                <w:rFonts w:eastAsia="Arial" w:cs="Arial"/>
                <w:szCs w:val="22"/>
                <w:lang w:val="en-US" w:eastAsia="fr-FR"/>
              </w:rPr>
            </w:pPr>
            <w:r w:rsidRPr="008E2929">
              <w:rPr>
                <w:rFonts w:eastAsia="Arial" w:cs="Arial"/>
                <w:szCs w:val="22"/>
                <w:lang w:val="en-US" w:eastAsia="fr-FR"/>
              </w:rPr>
              <w:t>2027</w:t>
            </w:r>
          </w:p>
        </w:tc>
        <w:tc>
          <w:tcPr>
            <w:tcW w:w="504" w:type="pct"/>
            <w:gridSpan w:val="2"/>
          </w:tcPr>
          <w:p w14:paraId="138BDC6E" w14:textId="77777777" w:rsidR="00285F41" w:rsidRPr="008E2929" w:rsidRDefault="00285F41" w:rsidP="00570509">
            <w:pPr>
              <w:jc w:val="both"/>
              <w:rPr>
                <w:rFonts w:eastAsia="Arial" w:cs="Arial"/>
                <w:szCs w:val="22"/>
                <w:lang w:val="en-US" w:eastAsia="fr-FR"/>
              </w:rPr>
            </w:pPr>
            <w:r w:rsidRPr="008E2929">
              <w:rPr>
                <w:rFonts w:eastAsia="Arial" w:cs="Arial"/>
                <w:szCs w:val="22"/>
                <w:lang w:val="en-US" w:eastAsia="fr-FR"/>
              </w:rPr>
              <w:t>2028</w:t>
            </w:r>
          </w:p>
        </w:tc>
        <w:tc>
          <w:tcPr>
            <w:tcW w:w="504" w:type="pct"/>
            <w:gridSpan w:val="2"/>
          </w:tcPr>
          <w:p w14:paraId="77942DDE" w14:textId="77777777" w:rsidR="00285F41" w:rsidRPr="008E2929" w:rsidRDefault="00285F41" w:rsidP="00570509">
            <w:pPr>
              <w:jc w:val="both"/>
              <w:rPr>
                <w:rFonts w:eastAsia="Arial" w:cs="Arial"/>
                <w:szCs w:val="22"/>
                <w:lang w:val="en-US" w:eastAsia="fr-FR"/>
              </w:rPr>
            </w:pPr>
            <w:r w:rsidRPr="008E2929">
              <w:rPr>
                <w:rFonts w:eastAsia="Arial" w:cs="Arial"/>
                <w:szCs w:val="22"/>
                <w:lang w:val="en-US" w:eastAsia="fr-FR"/>
              </w:rPr>
              <w:t>2029</w:t>
            </w:r>
          </w:p>
        </w:tc>
        <w:tc>
          <w:tcPr>
            <w:tcW w:w="499" w:type="pct"/>
            <w:gridSpan w:val="2"/>
          </w:tcPr>
          <w:p w14:paraId="0AB0898C" w14:textId="77777777" w:rsidR="00285F41" w:rsidRPr="008E2929" w:rsidRDefault="00285F41" w:rsidP="00570509">
            <w:pPr>
              <w:jc w:val="both"/>
              <w:rPr>
                <w:rFonts w:eastAsia="Arial" w:cs="Arial"/>
                <w:szCs w:val="22"/>
                <w:lang w:val="en-US" w:eastAsia="fr-FR"/>
              </w:rPr>
            </w:pPr>
            <w:r w:rsidRPr="008E2929">
              <w:rPr>
                <w:rFonts w:eastAsia="Arial" w:cs="Arial"/>
                <w:szCs w:val="22"/>
                <w:lang w:val="en-US" w:eastAsia="fr-FR"/>
              </w:rPr>
              <w:t>2030</w:t>
            </w:r>
          </w:p>
        </w:tc>
      </w:tr>
      <w:tr w:rsidR="00285F41" w:rsidRPr="008E2929" w14:paraId="23028C8C" w14:textId="77777777" w:rsidTr="00570509">
        <w:trPr>
          <w:trHeight w:val="453"/>
        </w:trPr>
        <w:tc>
          <w:tcPr>
            <w:tcW w:w="475" w:type="pct"/>
          </w:tcPr>
          <w:p w14:paraId="6A2656AA" w14:textId="77777777" w:rsidR="00285F41" w:rsidRPr="008E2929" w:rsidRDefault="00285F41" w:rsidP="00570509">
            <w:pPr>
              <w:jc w:val="both"/>
              <w:rPr>
                <w:rFonts w:eastAsia="Arial" w:cs="Arial"/>
                <w:szCs w:val="22"/>
                <w:lang w:val="en-US" w:eastAsia="fr-FR"/>
              </w:rPr>
            </w:pPr>
            <w:r w:rsidRPr="008E2929">
              <w:rPr>
                <w:rFonts w:eastAsia="Arial" w:cs="Arial"/>
                <w:szCs w:val="22"/>
                <w:lang w:val="en-US" w:eastAsia="fr-FR"/>
              </w:rPr>
              <w:t>Term Expert Members</w:t>
            </w:r>
          </w:p>
        </w:tc>
        <w:tc>
          <w:tcPr>
            <w:tcW w:w="251" w:type="pct"/>
            <w:shd w:val="clear" w:color="auto" w:fill="AEAAAA" w:themeFill="background2" w:themeFillShade="BF"/>
          </w:tcPr>
          <w:p w14:paraId="5BD7B9E8" w14:textId="77777777" w:rsidR="00285F41" w:rsidRPr="008E2929" w:rsidRDefault="00285F41" w:rsidP="00570509">
            <w:pPr>
              <w:jc w:val="both"/>
              <w:rPr>
                <w:rFonts w:eastAsia="Arial" w:cs="Arial"/>
                <w:szCs w:val="22"/>
                <w:lang w:val="en-US" w:eastAsia="fr-FR"/>
              </w:rPr>
            </w:pPr>
          </w:p>
        </w:tc>
        <w:tc>
          <w:tcPr>
            <w:tcW w:w="251" w:type="pct"/>
            <w:shd w:val="clear" w:color="auto" w:fill="AEAAAA" w:themeFill="background2" w:themeFillShade="BF"/>
          </w:tcPr>
          <w:p w14:paraId="7E03E6AC" w14:textId="77777777" w:rsidR="00285F41" w:rsidRPr="008E2929" w:rsidRDefault="00285F41" w:rsidP="00570509">
            <w:pPr>
              <w:jc w:val="both"/>
              <w:rPr>
                <w:rFonts w:eastAsia="Arial" w:cs="Arial"/>
                <w:szCs w:val="22"/>
                <w:lang w:val="en-US" w:eastAsia="fr-FR"/>
              </w:rPr>
            </w:pPr>
          </w:p>
        </w:tc>
        <w:tc>
          <w:tcPr>
            <w:tcW w:w="251" w:type="pct"/>
            <w:shd w:val="clear" w:color="auto" w:fill="AEAAAA" w:themeFill="background2" w:themeFillShade="BF"/>
          </w:tcPr>
          <w:p w14:paraId="76B55C2D" w14:textId="77777777" w:rsidR="00285F41" w:rsidRPr="008E2929" w:rsidRDefault="00285F41" w:rsidP="00570509">
            <w:pPr>
              <w:jc w:val="both"/>
              <w:rPr>
                <w:rFonts w:eastAsia="Arial" w:cs="Arial"/>
                <w:szCs w:val="22"/>
                <w:lang w:val="en-US" w:eastAsia="fr-FR"/>
              </w:rPr>
            </w:pPr>
          </w:p>
        </w:tc>
        <w:tc>
          <w:tcPr>
            <w:tcW w:w="251" w:type="pct"/>
            <w:shd w:val="clear" w:color="auto" w:fill="AEAAAA" w:themeFill="background2" w:themeFillShade="BF"/>
          </w:tcPr>
          <w:p w14:paraId="269E28C1" w14:textId="77777777" w:rsidR="00285F41" w:rsidRPr="008E2929" w:rsidRDefault="00285F41" w:rsidP="00570509">
            <w:pPr>
              <w:jc w:val="both"/>
              <w:rPr>
                <w:rFonts w:eastAsia="Arial" w:cs="Arial"/>
                <w:szCs w:val="22"/>
                <w:lang w:val="en-US" w:eastAsia="fr-FR"/>
              </w:rPr>
            </w:pPr>
          </w:p>
        </w:tc>
        <w:tc>
          <w:tcPr>
            <w:tcW w:w="251" w:type="pct"/>
          </w:tcPr>
          <w:p w14:paraId="1C8E3813" w14:textId="77777777" w:rsidR="00285F41" w:rsidRPr="008E2929" w:rsidRDefault="00285F41" w:rsidP="00570509">
            <w:pPr>
              <w:jc w:val="both"/>
              <w:rPr>
                <w:rFonts w:eastAsia="Arial" w:cs="Arial"/>
                <w:szCs w:val="22"/>
                <w:lang w:val="en-US" w:eastAsia="fr-FR"/>
              </w:rPr>
            </w:pPr>
          </w:p>
        </w:tc>
        <w:tc>
          <w:tcPr>
            <w:tcW w:w="251" w:type="pct"/>
          </w:tcPr>
          <w:p w14:paraId="170A0114" w14:textId="77777777" w:rsidR="00285F41" w:rsidRPr="008E2929" w:rsidRDefault="00285F41" w:rsidP="00570509">
            <w:pPr>
              <w:jc w:val="both"/>
              <w:rPr>
                <w:rFonts w:eastAsia="Arial" w:cs="Arial"/>
                <w:szCs w:val="22"/>
                <w:lang w:val="en-US" w:eastAsia="fr-FR"/>
              </w:rPr>
            </w:pPr>
          </w:p>
        </w:tc>
        <w:tc>
          <w:tcPr>
            <w:tcW w:w="252" w:type="pct"/>
          </w:tcPr>
          <w:p w14:paraId="75D81D60" w14:textId="77777777" w:rsidR="00285F41" w:rsidRPr="008E2929" w:rsidRDefault="00285F41" w:rsidP="00570509">
            <w:pPr>
              <w:jc w:val="both"/>
              <w:rPr>
                <w:rFonts w:eastAsia="Arial" w:cs="Arial"/>
                <w:szCs w:val="22"/>
                <w:lang w:val="en-US" w:eastAsia="fr-FR"/>
              </w:rPr>
            </w:pPr>
          </w:p>
        </w:tc>
        <w:tc>
          <w:tcPr>
            <w:tcW w:w="252" w:type="pct"/>
          </w:tcPr>
          <w:p w14:paraId="7EEBE628" w14:textId="77777777" w:rsidR="00285F41" w:rsidRPr="008E2929" w:rsidRDefault="00285F41" w:rsidP="00570509">
            <w:pPr>
              <w:jc w:val="both"/>
              <w:rPr>
                <w:rFonts w:eastAsia="Arial" w:cs="Arial"/>
                <w:szCs w:val="22"/>
                <w:lang w:val="en-US" w:eastAsia="fr-FR"/>
              </w:rPr>
            </w:pPr>
          </w:p>
        </w:tc>
        <w:tc>
          <w:tcPr>
            <w:tcW w:w="252" w:type="pct"/>
          </w:tcPr>
          <w:p w14:paraId="3AE97728" w14:textId="77777777" w:rsidR="00285F41" w:rsidRPr="008E2929" w:rsidRDefault="00285F41" w:rsidP="00570509">
            <w:pPr>
              <w:jc w:val="both"/>
              <w:rPr>
                <w:rFonts w:eastAsia="Arial" w:cs="Arial"/>
                <w:szCs w:val="22"/>
                <w:lang w:val="en-US" w:eastAsia="fr-FR"/>
              </w:rPr>
            </w:pPr>
          </w:p>
        </w:tc>
        <w:tc>
          <w:tcPr>
            <w:tcW w:w="252" w:type="pct"/>
          </w:tcPr>
          <w:p w14:paraId="298CFF4B" w14:textId="77777777" w:rsidR="00285F41" w:rsidRPr="008E2929" w:rsidRDefault="00285F41" w:rsidP="00570509">
            <w:pPr>
              <w:jc w:val="both"/>
              <w:rPr>
                <w:rFonts w:eastAsia="Arial" w:cs="Arial"/>
                <w:szCs w:val="22"/>
                <w:lang w:val="en-US" w:eastAsia="fr-FR"/>
              </w:rPr>
            </w:pPr>
          </w:p>
        </w:tc>
        <w:tc>
          <w:tcPr>
            <w:tcW w:w="252" w:type="pct"/>
          </w:tcPr>
          <w:p w14:paraId="212A97D8" w14:textId="77777777" w:rsidR="00285F41" w:rsidRPr="008E2929" w:rsidRDefault="00285F41" w:rsidP="00570509">
            <w:pPr>
              <w:jc w:val="both"/>
              <w:rPr>
                <w:rFonts w:eastAsia="Arial" w:cs="Arial"/>
                <w:szCs w:val="22"/>
                <w:lang w:val="en-US" w:eastAsia="fr-FR"/>
              </w:rPr>
            </w:pPr>
          </w:p>
        </w:tc>
        <w:tc>
          <w:tcPr>
            <w:tcW w:w="252" w:type="pct"/>
          </w:tcPr>
          <w:p w14:paraId="7A100AC3" w14:textId="77777777" w:rsidR="00285F41" w:rsidRPr="008E2929" w:rsidRDefault="00285F41" w:rsidP="00570509">
            <w:pPr>
              <w:jc w:val="both"/>
              <w:rPr>
                <w:rFonts w:eastAsia="Arial" w:cs="Arial"/>
                <w:szCs w:val="22"/>
                <w:lang w:val="en-US" w:eastAsia="fr-FR"/>
              </w:rPr>
            </w:pPr>
          </w:p>
        </w:tc>
        <w:tc>
          <w:tcPr>
            <w:tcW w:w="252" w:type="pct"/>
          </w:tcPr>
          <w:p w14:paraId="5479DE1D" w14:textId="77777777" w:rsidR="00285F41" w:rsidRPr="008E2929" w:rsidRDefault="00285F41" w:rsidP="00570509">
            <w:pPr>
              <w:jc w:val="both"/>
              <w:rPr>
                <w:rFonts w:eastAsia="Arial" w:cs="Arial"/>
                <w:szCs w:val="22"/>
                <w:lang w:val="en-US" w:eastAsia="fr-FR"/>
              </w:rPr>
            </w:pPr>
          </w:p>
        </w:tc>
        <w:tc>
          <w:tcPr>
            <w:tcW w:w="252" w:type="pct"/>
          </w:tcPr>
          <w:p w14:paraId="624AE15D" w14:textId="77777777" w:rsidR="00285F41" w:rsidRPr="008E2929" w:rsidRDefault="00285F41" w:rsidP="00570509">
            <w:pPr>
              <w:jc w:val="both"/>
              <w:rPr>
                <w:rFonts w:eastAsia="Arial" w:cs="Arial"/>
                <w:szCs w:val="22"/>
                <w:lang w:val="en-US" w:eastAsia="fr-FR"/>
              </w:rPr>
            </w:pPr>
          </w:p>
        </w:tc>
        <w:tc>
          <w:tcPr>
            <w:tcW w:w="252" w:type="pct"/>
          </w:tcPr>
          <w:p w14:paraId="6DB49D06" w14:textId="77777777" w:rsidR="00285F41" w:rsidRPr="008E2929" w:rsidRDefault="00285F41" w:rsidP="00570509">
            <w:pPr>
              <w:jc w:val="both"/>
              <w:rPr>
                <w:rFonts w:eastAsia="Arial" w:cs="Arial"/>
                <w:szCs w:val="22"/>
                <w:lang w:val="en-US" w:eastAsia="fr-FR"/>
              </w:rPr>
            </w:pPr>
          </w:p>
        </w:tc>
        <w:tc>
          <w:tcPr>
            <w:tcW w:w="252" w:type="pct"/>
          </w:tcPr>
          <w:p w14:paraId="44F8F321" w14:textId="77777777" w:rsidR="00285F41" w:rsidRPr="008E2929" w:rsidRDefault="00285F41" w:rsidP="00570509">
            <w:pPr>
              <w:jc w:val="both"/>
              <w:rPr>
                <w:rFonts w:eastAsia="Arial" w:cs="Arial"/>
                <w:szCs w:val="22"/>
                <w:lang w:val="en-US" w:eastAsia="fr-FR"/>
              </w:rPr>
            </w:pPr>
          </w:p>
        </w:tc>
        <w:tc>
          <w:tcPr>
            <w:tcW w:w="252" w:type="pct"/>
          </w:tcPr>
          <w:p w14:paraId="1D940DE2" w14:textId="77777777" w:rsidR="00285F41" w:rsidRPr="008E2929" w:rsidRDefault="00285F41" w:rsidP="00570509">
            <w:pPr>
              <w:jc w:val="both"/>
              <w:rPr>
                <w:rFonts w:eastAsia="Arial" w:cs="Arial"/>
                <w:szCs w:val="22"/>
                <w:lang w:val="en-US" w:eastAsia="fr-FR"/>
              </w:rPr>
            </w:pPr>
          </w:p>
        </w:tc>
        <w:tc>
          <w:tcPr>
            <w:tcW w:w="247" w:type="pct"/>
          </w:tcPr>
          <w:p w14:paraId="53E56939" w14:textId="77777777" w:rsidR="00285F41" w:rsidRPr="008E2929" w:rsidRDefault="00285F41" w:rsidP="00570509">
            <w:pPr>
              <w:jc w:val="both"/>
              <w:rPr>
                <w:rFonts w:eastAsia="Arial" w:cs="Arial"/>
                <w:szCs w:val="22"/>
                <w:lang w:val="en-US" w:eastAsia="fr-FR"/>
              </w:rPr>
            </w:pPr>
          </w:p>
        </w:tc>
      </w:tr>
      <w:tr w:rsidR="00285F41" w:rsidRPr="008E2929" w14:paraId="2028C090" w14:textId="77777777" w:rsidTr="00570509">
        <w:tc>
          <w:tcPr>
            <w:tcW w:w="475" w:type="pct"/>
          </w:tcPr>
          <w:p w14:paraId="33D68C5C" w14:textId="77777777" w:rsidR="00285F41" w:rsidRPr="008E2929" w:rsidRDefault="00285F41" w:rsidP="00570509">
            <w:pPr>
              <w:jc w:val="both"/>
              <w:rPr>
                <w:rFonts w:eastAsia="Arial" w:cs="Arial"/>
                <w:szCs w:val="22"/>
                <w:lang w:val="en-US" w:eastAsia="fr-FR"/>
              </w:rPr>
            </w:pPr>
            <w:r w:rsidRPr="008E2929">
              <w:rPr>
                <w:rFonts w:eastAsia="Arial" w:cs="Arial"/>
                <w:szCs w:val="22"/>
                <w:lang w:val="en-US" w:eastAsia="fr-FR"/>
              </w:rPr>
              <w:t>Call for Nominations</w:t>
            </w:r>
          </w:p>
        </w:tc>
        <w:tc>
          <w:tcPr>
            <w:tcW w:w="251" w:type="pct"/>
          </w:tcPr>
          <w:p w14:paraId="48D3736C" w14:textId="77777777" w:rsidR="00285F41" w:rsidRPr="008E2929" w:rsidRDefault="00285F41" w:rsidP="00570509">
            <w:pPr>
              <w:jc w:val="both"/>
              <w:rPr>
                <w:rFonts w:eastAsia="Arial" w:cs="Arial"/>
                <w:szCs w:val="22"/>
                <w:lang w:val="en-US" w:eastAsia="fr-FR"/>
              </w:rPr>
            </w:pPr>
          </w:p>
        </w:tc>
        <w:tc>
          <w:tcPr>
            <w:tcW w:w="251" w:type="pct"/>
          </w:tcPr>
          <w:p w14:paraId="72FFD371" w14:textId="77777777" w:rsidR="00285F41" w:rsidRPr="008E2929" w:rsidRDefault="00285F41" w:rsidP="00570509">
            <w:pPr>
              <w:jc w:val="both"/>
              <w:rPr>
                <w:rFonts w:eastAsia="Arial" w:cs="Arial"/>
                <w:szCs w:val="22"/>
                <w:lang w:val="en-US" w:eastAsia="fr-FR"/>
              </w:rPr>
            </w:pPr>
          </w:p>
        </w:tc>
        <w:tc>
          <w:tcPr>
            <w:tcW w:w="251" w:type="pct"/>
          </w:tcPr>
          <w:p w14:paraId="5B5F94C1" w14:textId="77777777" w:rsidR="00285F41" w:rsidRPr="008E2929" w:rsidRDefault="00285F41" w:rsidP="00570509">
            <w:pPr>
              <w:jc w:val="both"/>
              <w:rPr>
                <w:rFonts w:eastAsia="Arial" w:cs="Arial"/>
                <w:szCs w:val="22"/>
                <w:lang w:val="en-US" w:eastAsia="fr-FR"/>
              </w:rPr>
            </w:pPr>
          </w:p>
        </w:tc>
        <w:tc>
          <w:tcPr>
            <w:tcW w:w="251" w:type="pct"/>
            <w:shd w:val="clear" w:color="auto" w:fill="D9D9D9" w:themeFill="background1" w:themeFillShade="D9"/>
          </w:tcPr>
          <w:p w14:paraId="7CDA8FF1" w14:textId="77777777" w:rsidR="00285F41" w:rsidRPr="008E2929" w:rsidRDefault="00285F41" w:rsidP="00570509">
            <w:pPr>
              <w:jc w:val="both"/>
              <w:rPr>
                <w:rFonts w:eastAsia="Arial" w:cs="Arial"/>
                <w:szCs w:val="22"/>
                <w:lang w:val="en-US" w:eastAsia="fr-FR"/>
              </w:rPr>
            </w:pPr>
          </w:p>
        </w:tc>
        <w:tc>
          <w:tcPr>
            <w:tcW w:w="251" w:type="pct"/>
          </w:tcPr>
          <w:p w14:paraId="67D11CF7" w14:textId="77777777" w:rsidR="00285F41" w:rsidRPr="008E2929" w:rsidRDefault="00285F41" w:rsidP="00570509">
            <w:pPr>
              <w:jc w:val="both"/>
              <w:rPr>
                <w:rFonts w:eastAsia="Arial" w:cs="Arial"/>
                <w:szCs w:val="22"/>
                <w:lang w:val="en-US" w:eastAsia="fr-FR"/>
              </w:rPr>
            </w:pPr>
          </w:p>
        </w:tc>
        <w:tc>
          <w:tcPr>
            <w:tcW w:w="251" w:type="pct"/>
          </w:tcPr>
          <w:p w14:paraId="5C5118DA" w14:textId="77777777" w:rsidR="00285F41" w:rsidRPr="008E2929" w:rsidRDefault="00285F41" w:rsidP="00570509">
            <w:pPr>
              <w:jc w:val="both"/>
              <w:rPr>
                <w:rFonts w:eastAsia="Arial" w:cs="Arial"/>
                <w:szCs w:val="22"/>
                <w:lang w:val="en-US" w:eastAsia="fr-FR"/>
              </w:rPr>
            </w:pPr>
          </w:p>
        </w:tc>
        <w:tc>
          <w:tcPr>
            <w:tcW w:w="252" w:type="pct"/>
          </w:tcPr>
          <w:p w14:paraId="2E335D54" w14:textId="77777777" w:rsidR="00285F41" w:rsidRPr="008E2929" w:rsidRDefault="00285F41" w:rsidP="00570509">
            <w:pPr>
              <w:jc w:val="both"/>
              <w:rPr>
                <w:rFonts w:eastAsia="Arial" w:cs="Arial"/>
                <w:szCs w:val="22"/>
                <w:lang w:val="en-US" w:eastAsia="fr-FR"/>
              </w:rPr>
            </w:pPr>
          </w:p>
        </w:tc>
        <w:tc>
          <w:tcPr>
            <w:tcW w:w="252" w:type="pct"/>
          </w:tcPr>
          <w:p w14:paraId="03903C35" w14:textId="77777777" w:rsidR="00285F41" w:rsidRPr="008E2929" w:rsidRDefault="00285F41" w:rsidP="00570509">
            <w:pPr>
              <w:jc w:val="both"/>
              <w:rPr>
                <w:rFonts w:eastAsia="Arial" w:cs="Arial"/>
                <w:szCs w:val="22"/>
                <w:lang w:val="en-US" w:eastAsia="fr-FR"/>
              </w:rPr>
            </w:pPr>
          </w:p>
        </w:tc>
        <w:tc>
          <w:tcPr>
            <w:tcW w:w="252" w:type="pct"/>
          </w:tcPr>
          <w:p w14:paraId="4F6264D1" w14:textId="77777777" w:rsidR="00285F41" w:rsidRPr="008E2929" w:rsidRDefault="00285F41" w:rsidP="00570509">
            <w:pPr>
              <w:jc w:val="both"/>
              <w:rPr>
                <w:rFonts w:eastAsia="Arial" w:cs="Arial"/>
                <w:szCs w:val="22"/>
                <w:lang w:val="en-US" w:eastAsia="fr-FR"/>
              </w:rPr>
            </w:pPr>
          </w:p>
        </w:tc>
        <w:tc>
          <w:tcPr>
            <w:tcW w:w="252" w:type="pct"/>
          </w:tcPr>
          <w:p w14:paraId="0CC27C2C" w14:textId="77777777" w:rsidR="00285F41" w:rsidRPr="008E2929" w:rsidRDefault="00285F41" w:rsidP="00570509">
            <w:pPr>
              <w:jc w:val="both"/>
              <w:rPr>
                <w:rFonts w:eastAsia="Arial" w:cs="Arial"/>
                <w:szCs w:val="22"/>
                <w:lang w:val="en-US" w:eastAsia="fr-FR"/>
              </w:rPr>
            </w:pPr>
          </w:p>
        </w:tc>
        <w:tc>
          <w:tcPr>
            <w:tcW w:w="252" w:type="pct"/>
          </w:tcPr>
          <w:p w14:paraId="1C225A16" w14:textId="77777777" w:rsidR="00285F41" w:rsidRPr="008E2929" w:rsidRDefault="00285F41" w:rsidP="00570509">
            <w:pPr>
              <w:jc w:val="both"/>
              <w:rPr>
                <w:rFonts w:eastAsia="Arial" w:cs="Arial"/>
                <w:szCs w:val="22"/>
                <w:lang w:val="en-US" w:eastAsia="fr-FR"/>
              </w:rPr>
            </w:pPr>
          </w:p>
        </w:tc>
        <w:tc>
          <w:tcPr>
            <w:tcW w:w="252" w:type="pct"/>
          </w:tcPr>
          <w:p w14:paraId="6CE6B703" w14:textId="77777777" w:rsidR="00285F41" w:rsidRPr="008E2929" w:rsidRDefault="00285F41" w:rsidP="00570509">
            <w:pPr>
              <w:jc w:val="both"/>
              <w:rPr>
                <w:rFonts w:eastAsia="Arial" w:cs="Arial"/>
                <w:szCs w:val="22"/>
                <w:lang w:val="en-US" w:eastAsia="fr-FR"/>
              </w:rPr>
            </w:pPr>
          </w:p>
        </w:tc>
        <w:tc>
          <w:tcPr>
            <w:tcW w:w="252" w:type="pct"/>
          </w:tcPr>
          <w:p w14:paraId="6A07D0B1" w14:textId="77777777" w:rsidR="00285F41" w:rsidRPr="008E2929" w:rsidRDefault="00285F41" w:rsidP="00570509">
            <w:pPr>
              <w:jc w:val="both"/>
              <w:rPr>
                <w:rFonts w:eastAsia="Arial" w:cs="Arial"/>
                <w:szCs w:val="22"/>
                <w:lang w:val="en-US" w:eastAsia="fr-FR"/>
              </w:rPr>
            </w:pPr>
          </w:p>
        </w:tc>
        <w:tc>
          <w:tcPr>
            <w:tcW w:w="252" w:type="pct"/>
          </w:tcPr>
          <w:p w14:paraId="48DE1800" w14:textId="77777777" w:rsidR="00285F41" w:rsidRPr="008E2929" w:rsidRDefault="00285F41" w:rsidP="00570509">
            <w:pPr>
              <w:jc w:val="both"/>
              <w:rPr>
                <w:rFonts w:eastAsia="Arial" w:cs="Arial"/>
                <w:szCs w:val="22"/>
                <w:lang w:val="en-US" w:eastAsia="fr-FR"/>
              </w:rPr>
            </w:pPr>
          </w:p>
        </w:tc>
        <w:tc>
          <w:tcPr>
            <w:tcW w:w="252" w:type="pct"/>
          </w:tcPr>
          <w:p w14:paraId="0B4BA1F4" w14:textId="77777777" w:rsidR="00285F41" w:rsidRPr="008E2929" w:rsidRDefault="00285F41" w:rsidP="00570509">
            <w:pPr>
              <w:jc w:val="both"/>
              <w:rPr>
                <w:rFonts w:eastAsia="Arial" w:cs="Arial"/>
                <w:szCs w:val="22"/>
                <w:lang w:val="en-US" w:eastAsia="fr-FR"/>
              </w:rPr>
            </w:pPr>
          </w:p>
        </w:tc>
        <w:tc>
          <w:tcPr>
            <w:tcW w:w="252" w:type="pct"/>
          </w:tcPr>
          <w:p w14:paraId="6F90BAF8" w14:textId="77777777" w:rsidR="00285F41" w:rsidRPr="008E2929" w:rsidRDefault="00285F41" w:rsidP="00570509">
            <w:pPr>
              <w:jc w:val="both"/>
              <w:rPr>
                <w:rFonts w:eastAsia="Arial" w:cs="Arial"/>
                <w:szCs w:val="22"/>
                <w:lang w:val="en-US" w:eastAsia="fr-FR"/>
              </w:rPr>
            </w:pPr>
          </w:p>
        </w:tc>
        <w:tc>
          <w:tcPr>
            <w:tcW w:w="252" w:type="pct"/>
          </w:tcPr>
          <w:p w14:paraId="1E61B82D" w14:textId="77777777" w:rsidR="00285F41" w:rsidRPr="008E2929" w:rsidRDefault="00285F41" w:rsidP="00570509">
            <w:pPr>
              <w:jc w:val="both"/>
              <w:rPr>
                <w:rFonts w:eastAsia="Arial" w:cs="Arial"/>
                <w:szCs w:val="22"/>
                <w:lang w:val="en-US" w:eastAsia="fr-FR"/>
              </w:rPr>
            </w:pPr>
          </w:p>
        </w:tc>
        <w:tc>
          <w:tcPr>
            <w:tcW w:w="247" w:type="pct"/>
          </w:tcPr>
          <w:p w14:paraId="25E36865" w14:textId="77777777" w:rsidR="00285F41" w:rsidRPr="008E2929" w:rsidRDefault="00285F41" w:rsidP="00570509">
            <w:pPr>
              <w:jc w:val="both"/>
              <w:rPr>
                <w:rFonts w:eastAsia="Arial" w:cs="Arial"/>
                <w:szCs w:val="22"/>
                <w:lang w:val="en-US" w:eastAsia="fr-FR"/>
              </w:rPr>
            </w:pPr>
          </w:p>
        </w:tc>
      </w:tr>
      <w:tr w:rsidR="00285F41" w:rsidRPr="008E2929" w14:paraId="293A9BD1" w14:textId="77777777" w:rsidTr="00570509">
        <w:tc>
          <w:tcPr>
            <w:tcW w:w="475" w:type="pct"/>
          </w:tcPr>
          <w:p w14:paraId="56700DEE" w14:textId="77777777" w:rsidR="00285F41" w:rsidRPr="008E2929" w:rsidRDefault="00285F41" w:rsidP="00570509">
            <w:pPr>
              <w:jc w:val="both"/>
              <w:rPr>
                <w:rFonts w:eastAsia="Arial" w:cs="Arial"/>
                <w:szCs w:val="22"/>
                <w:lang w:val="en-US" w:eastAsia="fr-FR"/>
              </w:rPr>
            </w:pPr>
            <w:r w:rsidRPr="008E2929">
              <w:rPr>
                <w:rFonts w:eastAsia="Arial" w:cs="Arial"/>
                <w:szCs w:val="22"/>
                <w:lang w:val="en-US" w:eastAsia="fr-FR"/>
              </w:rPr>
              <w:t>Term Expert Members (inc. renewed members)</w:t>
            </w:r>
          </w:p>
        </w:tc>
        <w:tc>
          <w:tcPr>
            <w:tcW w:w="251" w:type="pct"/>
          </w:tcPr>
          <w:p w14:paraId="23D35774" w14:textId="77777777" w:rsidR="00285F41" w:rsidRPr="008E2929" w:rsidRDefault="00285F41" w:rsidP="00570509">
            <w:pPr>
              <w:jc w:val="both"/>
              <w:rPr>
                <w:rFonts w:eastAsia="Arial" w:cs="Arial"/>
                <w:szCs w:val="22"/>
                <w:lang w:val="en-US" w:eastAsia="fr-FR"/>
              </w:rPr>
            </w:pPr>
          </w:p>
        </w:tc>
        <w:tc>
          <w:tcPr>
            <w:tcW w:w="251" w:type="pct"/>
          </w:tcPr>
          <w:p w14:paraId="7DCEB782" w14:textId="77777777" w:rsidR="00285F41" w:rsidRPr="008E2929" w:rsidRDefault="00285F41" w:rsidP="00570509">
            <w:pPr>
              <w:jc w:val="both"/>
              <w:rPr>
                <w:rFonts w:eastAsia="Arial" w:cs="Arial"/>
                <w:szCs w:val="22"/>
                <w:lang w:val="en-US" w:eastAsia="fr-FR"/>
              </w:rPr>
            </w:pPr>
          </w:p>
        </w:tc>
        <w:tc>
          <w:tcPr>
            <w:tcW w:w="251" w:type="pct"/>
          </w:tcPr>
          <w:p w14:paraId="7E62E32B" w14:textId="77777777" w:rsidR="00285F41" w:rsidRPr="008E2929" w:rsidRDefault="00285F41" w:rsidP="00570509">
            <w:pPr>
              <w:jc w:val="both"/>
              <w:rPr>
                <w:rFonts w:eastAsia="Arial" w:cs="Arial"/>
                <w:szCs w:val="22"/>
                <w:lang w:val="en-US" w:eastAsia="fr-FR"/>
              </w:rPr>
            </w:pPr>
          </w:p>
        </w:tc>
        <w:tc>
          <w:tcPr>
            <w:tcW w:w="251" w:type="pct"/>
          </w:tcPr>
          <w:p w14:paraId="32B1ED05" w14:textId="77777777" w:rsidR="00285F41" w:rsidRPr="008E2929" w:rsidRDefault="00285F41" w:rsidP="00570509">
            <w:pPr>
              <w:jc w:val="both"/>
              <w:rPr>
                <w:rFonts w:eastAsia="Arial" w:cs="Arial"/>
                <w:szCs w:val="22"/>
                <w:lang w:val="en-US" w:eastAsia="fr-FR"/>
              </w:rPr>
            </w:pPr>
          </w:p>
        </w:tc>
        <w:tc>
          <w:tcPr>
            <w:tcW w:w="251" w:type="pct"/>
            <w:shd w:val="clear" w:color="auto" w:fill="A6A6A6" w:themeFill="background1" w:themeFillShade="A6"/>
          </w:tcPr>
          <w:p w14:paraId="6EDEB128" w14:textId="77777777" w:rsidR="00285F41" w:rsidRPr="008E2929" w:rsidRDefault="00285F41" w:rsidP="00570509">
            <w:pPr>
              <w:jc w:val="both"/>
              <w:rPr>
                <w:rFonts w:eastAsia="Arial" w:cs="Arial"/>
                <w:szCs w:val="22"/>
                <w:lang w:val="en-US" w:eastAsia="fr-FR"/>
              </w:rPr>
            </w:pPr>
          </w:p>
        </w:tc>
        <w:tc>
          <w:tcPr>
            <w:tcW w:w="251" w:type="pct"/>
            <w:shd w:val="clear" w:color="auto" w:fill="A6A6A6" w:themeFill="background1" w:themeFillShade="A6"/>
          </w:tcPr>
          <w:p w14:paraId="703F2B49" w14:textId="77777777" w:rsidR="00285F41" w:rsidRPr="008E2929" w:rsidRDefault="00285F41" w:rsidP="00570509">
            <w:pPr>
              <w:jc w:val="both"/>
              <w:rPr>
                <w:rFonts w:eastAsia="Arial" w:cs="Arial"/>
                <w:szCs w:val="22"/>
                <w:lang w:val="en-US" w:eastAsia="fr-FR"/>
              </w:rPr>
            </w:pPr>
          </w:p>
        </w:tc>
        <w:tc>
          <w:tcPr>
            <w:tcW w:w="252" w:type="pct"/>
            <w:shd w:val="clear" w:color="auto" w:fill="A6A6A6" w:themeFill="background1" w:themeFillShade="A6"/>
          </w:tcPr>
          <w:p w14:paraId="426C951E" w14:textId="77777777" w:rsidR="00285F41" w:rsidRPr="008E2929" w:rsidRDefault="00285F41" w:rsidP="00570509">
            <w:pPr>
              <w:jc w:val="both"/>
              <w:rPr>
                <w:rFonts w:eastAsia="Arial" w:cs="Arial"/>
                <w:szCs w:val="22"/>
                <w:lang w:val="en-US" w:eastAsia="fr-FR"/>
              </w:rPr>
            </w:pPr>
          </w:p>
        </w:tc>
        <w:tc>
          <w:tcPr>
            <w:tcW w:w="252" w:type="pct"/>
            <w:shd w:val="clear" w:color="auto" w:fill="A6A6A6" w:themeFill="background1" w:themeFillShade="A6"/>
          </w:tcPr>
          <w:p w14:paraId="5AA174A4" w14:textId="77777777" w:rsidR="00285F41" w:rsidRPr="008E2929" w:rsidRDefault="00285F41" w:rsidP="00570509">
            <w:pPr>
              <w:jc w:val="both"/>
              <w:rPr>
                <w:rFonts w:eastAsia="Arial" w:cs="Arial"/>
                <w:szCs w:val="22"/>
                <w:lang w:val="en-US" w:eastAsia="fr-FR"/>
              </w:rPr>
            </w:pPr>
          </w:p>
        </w:tc>
        <w:tc>
          <w:tcPr>
            <w:tcW w:w="252" w:type="pct"/>
          </w:tcPr>
          <w:p w14:paraId="7F04A21F" w14:textId="77777777" w:rsidR="00285F41" w:rsidRPr="008E2929" w:rsidRDefault="00285F41" w:rsidP="00570509">
            <w:pPr>
              <w:jc w:val="both"/>
              <w:rPr>
                <w:rFonts w:eastAsia="Arial" w:cs="Arial"/>
                <w:szCs w:val="22"/>
                <w:lang w:val="en-US" w:eastAsia="fr-FR"/>
              </w:rPr>
            </w:pPr>
          </w:p>
        </w:tc>
        <w:tc>
          <w:tcPr>
            <w:tcW w:w="252" w:type="pct"/>
          </w:tcPr>
          <w:p w14:paraId="6FCC8AB3" w14:textId="77777777" w:rsidR="00285F41" w:rsidRPr="008E2929" w:rsidRDefault="00285F41" w:rsidP="00570509">
            <w:pPr>
              <w:jc w:val="both"/>
              <w:rPr>
                <w:rFonts w:eastAsia="Arial" w:cs="Arial"/>
                <w:szCs w:val="22"/>
                <w:lang w:val="en-US" w:eastAsia="fr-FR"/>
              </w:rPr>
            </w:pPr>
          </w:p>
        </w:tc>
        <w:tc>
          <w:tcPr>
            <w:tcW w:w="252" w:type="pct"/>
          </w:tcPr>
          <w:p w14:paraId="14F1F695" w14:textId="77777777" w:rsidR="00285F41" w:rsidRPr="008E2929" w:rsidRDefault="00285F41" w:rsidP="00570509">
            <w:pPr>
              <w:jc w:val="both"/>
              <w:rPr>
                <w:rFonts w:eastAsia="Arial" w:cs="Arial"/>
                <w:szCs w:val="22"/>
                <w:lang w:val="en-US" w:eastAsia="fr-FR"/>
              </w:rPr>
            </w:pPr>
          </w:p>
        </w:tc>
        <w:tc>
          <w:tcPr>
            <w:tcW w:w="252" w:type="pct"/>
          </w:tcPr>
          <w:p w14:paraId="218D67DB" w14:textId="77777777" w:rsidR="00285F41" w:rsidRPr="008E2929" w:rsidRDefault="00285F41" w:rsidP="00570509">
            <w:pPr>
              <w:jc w:val="both"/>
              <w:rPr>
                <w:rFonts w:eastAsia="Arial" w:cs="Arial"/>
                <w:szCs w:val="22"/>
                <w:lang w:val="en-US" w:eastAsia="fr-FR"/>
              </w:rPr>
            </w:pPr>
          </w:p>
        </w:tc>
        <w:tc>
          <w:tcPr>
            <w:tcW w:w="252" w:type="pct"/>
          </w:tcPr>
          <w:p w14:paraId="48D5F91A" w14:textId="77777777" w:rsidR="00285F41" w:rsidRPr="008E2929" w:rsidRDefault="00285F41" w:rsidP="00570509">
            <w:pPr>
              <w:jc w:val="both"/>
              <w:rPr>
                <w:rFonts w:eastAsia="Arial" w:cs="Arial"/>
                <w:szCs w:val="22"/>
                <w:lang w:val="en-US" w:eastAsia="fr-FR"/>
              </w:rPr>
            </w:pPr>
          </w:p>
        </w:tc>
        <w:tc>
          <w:tcPr>
            <w:tcW w:w="252" w:type="pct"/>
          </w:tcPr>
          <w:p w14:paraId="53C22B4B" w14:textId="77777777" w:rsidR="00285F41" w:rsidRPr="008E2929" w:rsidRDefault="00285F41" w:rsidP="00570509">
            <w:pPr>
              <w:jc w:val="both"/>
              <w:rPr>
                <w:rFonts w:eastAsia="Arial" w:cs="Arial"/>
                <w:szCs w:val="22"/>
                <w:lang w:val="en-US" w:eastAsia="fr-FR"/>
              </w:rPr>
            </w:pPr>
          </w:p>
        </w:tc>
        <w:tc>
          <w:tcPr>
            <w:tcW w:w="252" w:type="pct"/>
          </w:tcPr>
          <w:p w14:paraId="5B03B5B6" w14:textId="77777777" w:rsidR="00285F41" w:rsidRPr="008E2929" w:rsidRDefault="00285F41" w:rsidP="00570509">
            <w:pPr>
              <w:jc w:val="both"/>
              <w:rPr>
                <w:rFonts w:eastAsia="Arial" w:cs="Arial"/>
                <w:szCs w:val="22"/>
                <w:lang w:val="en-US" w:eastAsia="fr-FR"/>
              </w:rPr>
            </w:pPr>
          </w:p>
        </w:tc>
        <w:tc>
          <w:tcPr>
            <w:tcW w:w="252" w:type="pct"/>
          </w:tcPr>
          <w:p w14:paraId="385EDC50" w14:textId="77777777" w:rsidR="00285F41" w:rsidRPr="008E2929" w:rsidRDefault="00285F41" w:rsidP="00570509">
            <w:pPr>
              <w:jc w:val="both"/>
              <w:rPr>
                <w:rFonts w:eastAsia="Arial" w:cs="Arial"/>
                <w:szCs w:val="22"/>
                <w:lang w:val="en-US" w:eastAsia="fr-FR"/>
              </w:rPr>
            </w:pPr>
          </w:p>
        </w:tc>
        <w:tc>
          <w:tcPr>
            <w:tcW w:w="252" w:type="pct"/>
          </w:tcPr>
          <w:p w14:paraId="2A36B0B2" w14:textId="77777777" w:rsidR="00285F41" w:rsidRPr="008E2929" w:rsidRDefault="00285F41" w:rsidP="00570509">
            <w:pPr>
              <w:jc w:val="both"/>
              <w:rPr>
                <w:rFonts w:eastAsia="Arial" w:cs="Arial"/>
                <w:szCs w:val="22"/>
                <w:lang w:val="en-US" w:eastAsia="fr-FR"/>
              </w:rPr>
            </w:pPr>
          </w:p>
        </w:tc>
        <w:tc>
          <w:tcPr>
            <w:tcW w:w="247" w:type="pct"/>
          </w:tcPr>
          <w:p w14:paraId="0F256905" w14:textId="77777777" w:rsidR="00285F41" w:rsidRPr="008E2929" w:rsidRDefault="00285F41" w:rsidP="00570509">
            <w:pPr>
              <w:jc w:val="both"/>
              <w:rPr>
                <w:rFonts w:eastAsia="Arial" w:cs="Arial"/>
                <w:szCs w:val="22"/>
                <w:lang w:val="en-US" w:eastAsia="fr-FR"/>
              </w:rPr>
            </w:pPr>
          </w:p>
        </w:tc>
      </w:tr>
      <w:tr w:rsidR="00285F41" w:rsidRPr="008E2929" w14:paraId="12BDA90D" w14:textId="77777777" w:rsidTr="00570509">
        <w:tc>
          <w:tcPr>
            <w:tcW w:w="475" w:type="pct"/>
          </w:tcPr>
          <w:p w14:paraId="487860D7" w14:textId="77777777" w:rsidR="00285F41" w:rsidRPr="008E2929" w:rsidRDefault="00285F41" w:rsidP="00570509">
            <w:pPr>
              <w:jc w:val="both"/>
              <w:rPr>
                <w:rFonts w:eastAsia="Arial" w:cs="Arial"/>
                <w:szCs w:val="22"/>
                <w:lang w:val="en-US" w:eastAsia="fr-FR"/>
              </w:rPr>
            </w:pPr>
            <w:r w:rsidRPr="008E2929">
              <w:rPr>
                <w:rFonts w:eastAsia="Arial" w:cs="Arial"/>
                <w:szCs w:val="22"/>
                <w:lang w:val="en-US" w:eastAsia="fr-FR"/>
              </w:rPr>
              <w:t>Call for Nominations</w:t>
            </w:r>
          </w:p>
        </w:tc>
        <w:tc>
          <w:tcPr>
            <w:tcW w:w="251" w:type="pct"/>
          </w:tcPr>
          <w:p w14:paraId="4D27EF9F" w14:textId="77777777" w:rsidR="00285F41" w:rsidRPr="008E2929" w:rsidRDefault="00285F41" w:rsidP="00570509">
            <w:pPr>
              <w:jc w:val="both"/>
              <w:rPr>
                <w:rFonts w:eastAsia="Arial" w:cs="Arial"/>
                <w:szCs w:val="22"/>
                <w:lang w:val="en-US" w:eastAsia="fr-FR"/>
              </w:rPr>
            </w:pPr>
          </w:p>
        </w:tc>
        <w:tc>
          <w:tcPr>
            <w:tcW w:w="251" w:type="pct"/>
          </w:tcPr>
          <w:p w14:paraId="10208699" w14:textId="77777777" w:rsidR="00285F41" w:rsidRPr="008E2929" w:rsidRDefault="00285F41" w:rsidP="00570509">
            <w:pPr>
              <w:jc w:val="both"/>
              <w:rPr>
                <w:rFonts w:eastAsia="Arial" w:cs="Arial"/>
                <w:szCs w:val="22"/>
                <w:lang w:val="en-US" w:eastAsia="fr-FR"/>
              </w:rPr>
            </w:pPr>
          </w:p>
        </w:tc>
        <w:tc>
          <w:tcPr>
            <w:tcW w:w="251" w:type="pct"/>
          </w:tcPr>
          <w:p w14:paraId="4AD85B45" w14:textId="77777777" w:rsidR="00285F41" w:rsidRPr="008E2929" w:rsidRDefault="00285F41" w:rsidP="00570509">
            <w:pPr>
              <w:jc w:val="both"/>
              <w:rPr>
                <w:rFonts w:eastAsia="Arial" w:cs="Arial"/>
                <w:szCs w:val="22"/>
                <w:lang w:val="en-US" w:eastAsia="fr-FR"/>
              </w:rPr>
            </w:pPr>
          </w:p>
        </w:tc>
        <w:tc>
          <w:tcPr>
            <w:tcW w:w="251" w:type="pct"/>
          </w:tcPr>
          <w:p w14:paraId="69324F0A" w14:textId="77777777" w:rsidR="00285F41" w:rsidRPr="008E2929" w:rsidRDefault="00285F41" w:rsidP="00570509">
            <w:pPr>
              <w:jc w:val="both"/>
              <w:rPr>
                <w:rFonts w:eastAsia="Arial" w:cs="Arial"/>
                <w:szCs w:val="22"/>
                <w:lang w:val="en-US" w:eastAsia="fr-FR"/>
              </w:rPr>
            </w:pPr>
          </w:p>
        </w:tc>
        <w:tc>
          <w:tcPr>
            <w:tcW w:w="251" w:type="pct"/>
          </w:tcPr>
          <w:p w14:paraId="4A0F1ED4" w14:textId="77777777" w:rsidR="00285F41" w:rsidRPr="008E2929" w:rsidRDefault="00285F41" w:rsidP="00570509">
            <w:pPr>
              <w:jc w:val="both"/>
              <w:rPr>
                <w:rFonts w:eastAsia="Arial" w:cs="Arial"/>
                <w:szCs w:val="22"/>
                <w:lang w:val="en-US" w:eastAsia="fr-FR"/>
              </w:rPr>
            </w:pPr>
          </w:p>
        </w:tc>
        <w:tc>
          <w:tcPr>
            <w:tcW w:w="251" w:type="pct"/>
          </w:tcPr>
          <w:p w14:paraId="411E8FF2" w14:textId="77777777" w:rsidR="00285F41" w:rsidRPr="008E2929" w:rsidRDefault="00285F41" w:rsidP="00570509">
            <w:pPr>
              <w:jc w:val="both"/>
              <w:rPr>
                <w:rFonts w:eastAsia="Arial" w:cs="Arial"/>
                <w:szCs w:val="22"/>
                <w:lang w:val="en-US" w:eastAsia="fr-FR"/>
              </w:rPr>
            </w:pPr>
          </w:p>
        </w:tc>
        <w:tc>
          <w:tcPr>
            <w:tcW w:w="252" w:type="pct"/>
          </w:tcPr>
          <w:p w14:paraId="4C850417" w14:textId="77777777" w:rsidR="00285F41" w:rsidRPr="008E2929" w:rsidRDefault="00285F41" w:rsidP="00570509">
            <w:pPr>
              <w:jc w:val="both"/>
              <w:rPr>
                <w:rFonts w:eastAsia="Arial" w:cs="Arial"/>
                <w:szCs w:val="22"/>
                <w:lang w:val="en-US" w:eastAsia="fr-FR"/>
              </w:rPr>
            </w:pPr>
          </w:p>
        </w:tc>
        <w:tc>
          <w:tcPr>
            <w:tcW w:w="252" w:type="pct"/>
            <w:shd w:val="clear" w:color="auto" w:fill="D9D9D9" w:themeFill="background1" w:themeFillShade="D9"/>
          </w:tcPr>
          <w:p w14:paraId="25FAC3A5" w14:textId="77777777" w:rsidR="00285F41" w:rsidRPr="008E2929" w:rsidRDefault="00285F41" w:rsidP="00570509">
            <w:pPr>
              <w:jc w:val="both"/>
              <w:rPr>
                <w:rFonts w:eastAsia="Arial" w:cs="Arial"/>
                <w:szCs w:val="22"/>
                <w:lang w:val="en-US" w:eastAsia="fr-FR"/>
              </w:rPr>
            </w:pPr>
          </w:p>
        </w:tc>
        <w:tc>
          <w:tcPr>
            <w:tcW w:w="252" w:type="pct"/>
          </w:tcPr>
          <w:p w14:paraId="203049E4" w14:textId="77777777" w:rsidR="00285F41" w:rsidRPr="008E2929" w:rsidRDefault="00285F41" w:rsidP="00570509">
            <w:pPr>
              <w:jc w:val="both"/>
              <w:rPr>
                <w:rFonts w:eastAsia="Arial" w:cs="Arial"/>
                <w:szCs w:val="22"/>
                <w:lang w:val="en-US" w:eastAsia="fr-FR"/>
              </w:rPr>
            </w:pPr>
          </w:p>
        </w:tc>
        <w:tc>
          <w:tcPr>
            <w:tcW w:w="252" w:type="pct"/>
          </w:tcPr>
          <w:p w14:paraId="778F6519" w14:textId="77777777" w:rsidR="00285F41" w:rsidRPr="008E2929" w:rsidRDefault="00285F41" w:rsidP="00570509">
            <w:pPr>
              <w:jc w:val="both"/>
              <w:rPr>
                <w:rFonts w:eastAsia="Arial" w:cs="Arial"/>
                <w:szCs w:val="22"/>
                <w:lang w:val="en-US" w:eastAsia="fr-FR"/>
              </w:rPr>
            </w:pPr>
          </w:p>
        </w:tc>
        <w:tc>
          <w:tcPr>
            <w:tcW w:w="252" w:type="pct"/>
          </w:tcPr>
          <w:p w14:paraId="532675E7" w14:textId="77777777" w:rsidR="00285F41" w:rsidRPr="008E2929" w:rsidRDefault="00285F41" w:rsidP="00570509">
            <w:pPr>
              <w:jc w:val="both"/>
              <w:rPr>
                <w:rFonts w:eastAsia="Arial" w:cs="Arial"/>
                <w:szCs w:val="22"/>
                <w:lang w:val="en-US" w:eastAsia="fr-FR"/>
              </w:rPr>
            </w:pPr>
          </w:p>
        </w:tc>
        <w:tc>
          <w:tcPr>
            <w:tcW w:w="252" w:type="pct"/>
          </w:tcPr>
          <w:p w14:paraId="058608A5" w14:textId="77777777" w:rsidR="00285F41" w:rsidRPr="008E2929" w:rsidRDefault="00285F41" w:rsidP="00570509">
            <w:pPr>
              <w:jc w:val="both"/>
              <w:rPr>
                <w:rFonts w:eastAsia="Arial" w:cs="Arial"/>
                <w:szCs w:val="22"/>
                <w:lang w:val="en-US" w:eastAsia="fr-FR"/>
              </w:rPr>
            </w:pPr>
          </w:p>
        </w:tc>
        <w:tc>
          <w:tcPr>
            <w:tcW w:w="252" w:type="pct"/>
          </w:tcPr>
          <w:p w14:paraId="020660BC" w14:textId="77777777" w:rsidR="00285F41" w:rsidRPr="008E2929" w:rsidRDefault="00285F41" w:rsidP="00570509">
            <w:pPr>
              <w:jc w:val="both"/>
              <w:rPr>
                <w:rFonts w:eastAsia="Arial" w:cs="Arial"/>
                <w:szCs w:val="22"/>
                <w:lang w:val="en-US" w:eastAsia="fr-FR"/>
              </w:rPr>
            </w:pPr>
          </w:p>
        </w:tc>
        <w:tc>
          <w:tcPr>
            <w:tcW w:w="252" w:type="pct"/>
          </w:tcPr>
          <w:p w14:paraId="49B9C804" w14:textId="77777777" w:rsidR="00285F41" w:rsidRPr="008E2929" w:rsidRDefault="00285F41" w:rsidP="00570509">
            <w:pPr>
              <w:jc w:val="both"/>
              <w:rPr>
                <w:rFonts w:eastAsia="Arial" w:cs="Arial"/>
                <w:szCs w:val="22"/>
                <w:lang w:val="en-US" w:eastAsia="fr-FR"/>
              </w:rPr>
            </w:pPr>
          </w:p>
        </w:tc>
        <w:tc>
          <w:tcPr>
            <w:tcW w:w="252" w:type="pct"/>
          </w:tcPr>
          <w:p w14:paraId="773B1260" w14:textId="77777777" w:rsidR="00285F41" w:rsidRPr="008E2929" w:rsidRDefault="00285F41" w:rsidP="00570509">
            <w:pPr>
              <w:jc w:val="both"/>
              <w:rPr>
                <w:rFonts w:eastAsia="Arial" w:cs="Arial"/>
                <w:szCs w:val="22"/>
                <w:lang w:val="en-US" w:eastAsia="fr-FR"/>
              </w:rPr>
            </w:pPr>
          </w:p>
        </w:tc>
        <w:tc>
          <w:tcPr>
            <w:tcW w:w="252" w:type="pct"/>
          </w:tcPr>
          <w:p w14:paraId="303CE450" w14:textId="77777777" w:rsidR="00285F41" w:rsidRPr="008E2929" w:rsidRDefault="00285F41" w:rsidP="00570509">
            <w:pPr>
              <w:jc w:val="both"/>
              <w:rPr>
                <w:rFonts w:eastAsia="Arial" w:cs="Arial"/>
                <w:szCs w:val="22"/>
                <w:lang w:val="en-US" w:eastAsia="fr-FR"/>
              </w:rPr>
            </w:pPr>
          </w:p>
        </w:tc>
        <w:tc>
          <w:tcPr>
            <w:tcW w:w="252" w:type="pct"/>
          </w:tcPr>
          <w:p w14:paraId="2B0F9938" w14:textId="77777777" w:rsidR="00285F41" w:rsidRPr="008E2929" w:rsidRDefault="00285F41" w:rsidP="00570509">
            <w:pPr>
              <w:jc w:val="both"/>
              <w:rPr>
                <w:rFonts w:eastAsia="Arial" w:cs="Arial"/>
                <w:szCs w:val="22"/>
                <w:lang w:val="en-US" w:eastAsia="fr-FR"/>
              </w:rPr>
            </w:pPr>
          </w:p>
        </w:tc>
        <w:tc>
          <w:tcPr>
            <w:tcW w:w="247" w:type="pct"/>
          </w:tcPr>
          <w:p w14:paraId="1075D01D" w14:textId="77777777" w:rsidR="00285F41" w:rsidRPr="008E2929" w:rsidRDefault="00285F41" w:rsidP="00570509">
            <w:pPr>
              <w:jc w:val="both"/>
              <w:rPr>
                <w:rFonts w:eastAsia="Arial" w:cs="Arial"/>
                <w:szCs w:val="22"/>
                <w:lang w:val="en-US" w:eastAsia="fr-FR"/>
              </w:rPr>
            </w:pPr>
          </w:p>
        </w:tc>
      </w:tr>
      <w:tr w:rsidR="00285F41" w:rsidRPr="008E2929" w14:paraId="63808480" w14:textId="77777777" w:rsidTr="00570509">
        <w:tc>
          <w:tcPr>
            <w:tcW w:w="475" w:type="pct"/>
          </w:tcPr>
          <w:p w14:paraId="110B1A43" w14:textId="77777777" w:rsidR="00285F41" w:rsidRPr="008E2929" w:rsidRDefault="00285F41" w:rsidP="00570509">
            <w:pPr>
              <w:jc w:val="both"/>
              <w:rPr>
                <w:rFonts w:eastAsia="Arial" w:cs="Arial"/>
                <w:szCs w:val="22"/>
                <w:lang w:val="en-US" w:eastAsia="fr-FR"/>
              </w:rPr>
            </w:pPr>
            <w:r w:rsidRPr="008E2929">
              <w:rPr>
                <w:rFonts w:eastAsia="Arial" w:cs="Arial"/>
                <w:szCs w:val="22"/>
                <w:lang w:val="en-US" w:eastAsia="fr-FR"/>
              </w:rPr>
              <w:t>Term Expert Members (inc. renewed members)</w:t>
            </w:r>
          </w:p>
        </w:tc>
        <w:tc>
          <w:tcPr>
            <w:tcW w:w="251" w:type="pct"/>
          </w:tcPr>
          <w:p w14:paraId="71FB3B34" w14:textId="77777777" w:rsidR="00285F41" w:rsidRPr="008E2929" w:rsidRDefault="00285F41" w:rsidP="00570509">
            <w:pPr>
              <w:jc w:val="both"/>
              <w:rPr>
                <w:rFonts w:eastAsia="Arial" w:cs="Arial"/>
                <w:szCs w:val="22"/>
                <w:lang w:val="en-US" w:eastAsia="fr-FR"/>
              </w:rPr>
            </w:pPr>
          </w:p>
        </w:tc>
        <w:tc>
          <w:tcPr>
            <w:tcW w:w="251" w:type="pct"/>
          </w:tcPr>
          <w:p w14:paraId="4E1B22F1" w14:textId="77777777" w:rsidR="00285F41" w:rsidRPr="008E2929" w:rsidRDefault="00285F41" w:rsidP="00570509">
            <w:pPr>
              <w:jc w:val="both"/>
              <w:rPr>
                <w:rFonts w:eastAsia="Arial" w:cs="Arial"/>
                <w:szCs w:val="22"/>
                <w:lang w:val="en-US" w:eastAsia="fr-FR"/>
              </w:rPr>
            </w:pPr>
          </w:p>
        </w:tc>
        <w:tc>
          <w:tcPr>
            <w:tcW w:w="251" w:type="pct"/>
          </w:tcPr>
          <w:p w14:paraId="02184482" w14:textId="77777777" w:rsidR="00285F41" w:rsidRPr="008E2929" w:rsidRDefault="00285F41" w:rsidP="00570509">
            <w:pPr>
              <w:jc w:val="both"/>
              <w:rPr>
                <w:rFonts w:eastAsia="Arial" w:cs="Arial"/>
                <w:szCs w:val="22"/>
                <w:lang w:val="en-US" w:eastAsia="fr-FR"/>
              </w:rPr>
            </w:pPr>
          </w:p>
        </w:tc>
        <w:tc>
          <w:tcPr>
            <w:tcW w:w="251" w:type="pct"/>
          </w:tcPr>
          <w:p w14:paraId="7808D13E" w14:textId="77777777" w:rsidR="00285F41" w:rsidRPr="008E2929" w:rsidRDefault="00285F41" w:rsidP="00570509">
            <w:pPr>
              <w:jc w:val="both"/>
              <w:rPr>
                <w:rFonts w:eastAsia="Arial" w:cs="Arial"/>
                <w:szCs w:val="22"/>
                <w:lang w:val="en-US" w:eastAsia="fr-FR"/>
              </w:rPr>
            </w:pPr>
          </w:p>
        </w:tc>
        <w:tc>
          <w:tcPr>
            <w:tcW w:w="251" w:type="pct"/>
          </w:tcPr>
          <w:p w14:paraId="05502334" w14:textId="77777777" w:rsidR="00285F41" w:rsidRPr="008E2929" w:rsidRDefault="00285F41" w:rsidP="00570509">
            <w:pPr>
              <w:jc w:val="both"/>
              <w:rPr>
                <w:rFonts w:eastAsia="Arial" w:cs="Arial"/>
                <w:szCs w:val="22"/>
                <w:lang w:val="en-US" w:eastAsia="fr-FR"/>
              </w:rPr>
            </w:pPr>
          </w:p>
        </w:tc>
        <w:tc>
          <w:tcPr>
            <w:tcW w:w="251" w:type="pct"/>
          </w:tcPr>
          <w:p w14:paraId="6E6326AE" w14:textId="77777777" w:rsidR="00285F41" w:rsidRPr="008E2929" w:rsidRDefault="00285F41" w:rsidP="00570509">
            <w:pPr>
              <w:jc w:val="both"/>
              <w:rPr>
                <w:rFonts w:eastAsia="Arial" w:cs="Arial"/>
                <w:szCs w:val="22"/>
                <w:lang w:val="en-US" w:eastAsia="fr-FR"/>
              </w:rPr>
            </w:pPr>
          </w:p>
        </w:tc>
        <w:tc>
          <w:tcPr>
            <w:tcW w:w="252" w:type="pct"/>
          </w:tcPr>
          <w:p w14:paraId="6CCFC22A" w14:textId="77777777" w:rsidR="00285F41" w:rsidRPr="008E2929" w:rsidRDefault="00285F41" w:rsidP="00570509">
            <w:pPr>
              <w:jc w:val="both"/>
              <w:rPr>
                <w:rFonts w:eastAsia="Arial" w:cs="Arial"/>
                <w:szCs w:val="22"/>
                <w:lang w:val="en-US" w:eastAsia="fr-FR"/>
              </w:rPr>
            </w:pPr>
          </w:p>
        </w:tc>
        <w:tc>
          <w:tcPr>
            <w:tcW w:w="252" w:type="pct"/>
          </w:tcPr>
          <w:p w14:paraId="7958C741" w14:textId="77777777" w:rsidR="00285F41" w:rsidRPr="008E2929" w:rsidRDefault="00285F41" w:rsidP="00570509">
            <w:pPr>
              <w:jc w:val="both"/>
              <w:rPr>
                <w:rFonts w:eastAsia="Arial" w:cs="Arial"/>
                <w:szCs w:val="22"/>
                <w:lang w:val="en-US" w:eastAsia="fr-FR"/>
              </w:rPr>
            </w:pPr>
          </w:p>
        </w:tc>
        <w:tc>
          <w:tcPr>
            <w:tcW w:w="252" w:type="pct"/>
            <w:shd w:val="clear" w:color="auto" w:fill="A6A6A6" w:themeFill="background1" w:themeFillShade="A6"/>
          </w:tcPr>
          <w:p w14:paraId="5DE10E82" w14:textId="77777777" w:rsidR="00285F41" w:rsidRPr="008E2929" w:rsidRDefault="00285F41" w:rsidP="00570509">
            <w:pPr>
              <w:jc w:val="both"/>
              <w:rPr>
                <w:rFonts w:eastAsia="Arial" w:cs="Arial"/>
                <w:szCs w:val="22"/>
                <w:lang w:val="en-US" w:eastAsia="fr-FR"/>
              </w:rPr>
            </w:pPr>
          </w:p>
        </w:tc>
        <w:tc>
          <w:tcPr>
            <w:tcW w:w="252" w:type="pct"/>
            <w:shd w:val="clear" w:color="auto" w:fill="A6A6A6" w:themeFill="background1" w:themeFillShade="A6"/>
          </w:tcPr>
          <w:p w14:paraId="1DF681D9" w14:textId="77777777" w:rsidR="00285F41" w:rsidRPr="008E2929" w:rsidRDefault="00285F41" w:rsidP="00570509">
            <w:pPr>
              <w:jc w:val="both"/>
              <w:rPr>
                <w:rFonts w:eastAsia="Arial" w:cs="Arial"/>
                <w:szCs w:val="22"/>
                <w:lang w:val="en-US" w:eastAsia="fr-FR"/>
              </w:rPr>
            </w:pPr>
          </w:p>
        </w:tc>
        <w:tc>
          <w:tcPr>
            <w:tcW w:w="252" w:type="pct"/>
            <w:shd w:val="clear" w:color="auto" w:fill="A6A6A6" w:themeFill="background1" w:themeFillShade="A6"/>
          </w:tcPr>
          <w:p w14:paraId="14E01589" w14:textId="77777777" w:rsidR="00285F41" w:rsidRPr="008E2929" w:rsidRDefault="00285F41" w:rsidP="00570509">
            <w:pPr>
              <w:jc w:val="both"/>
              <w:rPr>
                <w:rFonts w:eastAsia="Arial" w:cs="Arial"/>
                <w:szCs w:val="22"/>
                <w:lang w:val="en-US" w:eastAsia="fr-FR"/>
              </w:rPr>
            </w:pPr>
          </w:p>
        </w:tc>
        <w:tc>
          <w:tcPr>
            <w:tcW w:w="252" w:type="pct"/>
            <w:shd w:val="clear" w:color="auto" w:fill="A6A6A6" w:themeFill="background1" w:themeFillShade="A6"/>
          </w:tcPr>
          <w:p w14:paraId="73A6E8FB" w14:textId="77777777" w:rsidR="00285F41" w:rsidRPr="008E2929" w:rsidRDefault="00285F41" w:rsidP="00570509">
            <w:pPr>
              <w:jc w:val="both"/>
              <w:rPr>
                <w:rFonts w:eastAsia="Arial" w:cs="Arial"/>
                <w:szCs w:val="22"/>
                <w:lang w:val="en-US" w:eastAsia="fr-FR"/>
              </w:rPr>
            </w:pPr>
          </w:p>
        </w:tc>
        <w:tc>
          <w:tcPr>
            <w:tcW w:w="252" w:type="pct"/>
          </w:tcPr>
          <w:p w14:paraId="6544D892" w14:textId="77777777" w:rsidR="00285F41" w:rsidRPr="008E2929" w:rsidRDefault="00285F41" w:rsidP="00570509">
            <w:pPr>
              <w:jc w:val="both"/>
              <w:rPr>
                <w:rFonts w:eastAsia="Arial" w:cs="Arial"/>
                <w:szCs w:val="22"/>
                <w:lang w:val="en-US" w:eastAsia="fr-FR"/>
              </w:rPr>
            </w:pPr>
          </w:p>
        </w:tc>
        <w:tc>
          <w:tcPr>
            <w:tcW w:w="252" w:type="pct"/>
          </w:tcPr>
          <w:p w14:paraId="1D354EC1" w14:textId="77777777" w:rsidR="00285F41" w:rsidRPr="008E2929" w:rsidRDefault="00285F41" w:rsidP="00570509">
            <w:pPr>
              <w:jc w:val="both"/>
              <w:rPr>
                <w:rFonts w:eastAsia="Arial" w:cs="Arial"/>
                <w:szCs w:val="22"/>
                <w:lang w:val="en-US" w:eastAsia="fr-FR"/>
              </w:rPr>
            </w:pPr>
          </w:p>
        </w:tc>
        <w:tc>
          <w:tcPr>
            <w:tcW w:w="252" w:type="pct"/>
          </w:tcPr>
          <w:p w14:paraId="211B034E" w14:textId="77777777" w:rsidR="00285F41" w:rsidRPr="008E2929" w:rsidRDefault="00285F41" w:rsidP="00570509">
            <w:pPr>
              <w:jc w:val="both"/>
              <w:rPr>
                <w:rFonts w:eastAsia="Arial" w:cs="Arial"/>
                <w:szCs w:val="22"/>
                <w:lang w:val="en-US" w:eastAsia="fr-FR"/>
              </w:rPr>
            </w:pPr>
          </w:p>
        </w:tc>
        <w:tc>
          <w:tcPr>
            <w:tcW w:w="252" w:type="pct"/>
          </w:tcPr>
          <w:p w14:paraId="245A7BDD" w14:textId="77777777" w:rsidR="00285F41" w:rsidRPr="008E2929" w:rsidRDefault="00285F41" w:rsidP="00570509">
            <w:pPr>
              <w:jc w:val="both"/>
              <w:rPr>
                <w:rFonts w:eastAsia="Arial" w:cs="Arial"/>
                <w:szCs w:val="22"/>
                <w:lang w:val="en-US" w:eastAsia="fr-FR"/>
              </w:rPr>
            </w:pPr>
          </w:p>
        </w:tc>
        <w:tc>
          <w:tcPr>
            <w:tcW w:w="252" w:type="pct"/>
          </w:tcPr>
          <w:p w14:paraId="3E4E8D6D" w14:textId="77777777" w:rsidR="00285F41" w:rsidRPr="008E2929" w:rsidRDefault="00285F41" w:rsidP="00570509">
            <w:pPr>
              <w:jc w:val="both"/>
              <w:rPr>
                <w:rFonts w:eastAsia="Arial" w:cs="Arial"/>
                <w:szCs w:val="22"/>
                <w:lang w:val="en-US" w:eastAsia="fr-FR"/>
              </w:rPr>
            </w:pPr>
          </w:p>
        </w:tc>
        <w:tc>
          <w:tcPr>
            <w:tcW w:w="247" w:type="pct"/>
          </w:tcPr>
          <w:p w14:paraId="669454A7" w14:textId="77777777" w:rsidR="00285F41" w:rsidRPr="008E2929" w:rsidRDefault="00285F41" w:rsidP="00570509">
            <w:pPr>
              <w:jc w:val="both"/>
              <w:rPr>
                <w:rFonts w:eastAsia="Arial" w:cs="Arial"/>
                <w:szCs w:val="22"/>
                <w:lang w:val="en-US" w:eastAsia="fr-FR"/>
              </w:rPr>
            </w:pPr>
          </w:p>
        </w:tc>
      </w:tr>
      <w:tr w:rsidR="00285F41" w:rsidRPr="008E2929" w14:paraId="179F6540" w14:textId="77777777" w:rsidTr="00570509">
        <w:tc>
          <w:tcPr>
            <w:tcW w:w="475" w:type="pct"/>
          </w:tcPr>
          <w:p w14:paraId="546809AD" w14:textId="77777777" w:rsidR="00285F41" w:rsidRPr="008E2929" w:rsidRDefault="00285F41" w:rsidP="00570509">
            <w:pPr>
              <w:jc w:val="both"/>
              <w:rPr>
                <w:rFonts w:eastAsia="Arial" w:cs="Arial"/>
                <w:szCs w:val="22"/>
                <w:lang w:val="en-US" w:eastAsia="fr-FR"/>
              </w:rPr>
            </w:pPr>
            <w:r w:rsidRPr="008E2929">
              <w:rPr>
                <w:rFonts w:eastAsia="Arial" w:cs="Arial"/>
                <w:szCs w:val="22"/>
                <w:lang w:val="en-US" w:eastAsia="fr-FR"/>
              </w:rPr>
              <w:t>Call for Nominations</w:t>
            </w:r>
          </w:p>
        </w:tc>
        <w:tc>
          <w:tcPr>
            <w:tcW w:w="251" w:type="pct"/>
          </w:tcPr>
          <w:p w14:paraId="36481042" w14:textId="77777777" w:rsidR="00285F41" w:rsidRPr="008E2929" w:rsidRDefault="00285F41" w:rsidP="00570509">
            <w:pPr>
              <w:jc w:val="both"/>
              <w:rPr>
                <w:rFonts w:eastAsia="Arial" w:cs="Arial"/>
                <w:szCs w:val="22"/>
                <w:lang w:val="en-US" w:eastAsia="fr-FR"/>
              </w:rPr>
            </w:pPr>
          </w:p>
        </w:tc>
        <w:tc>
          <w:tcPr>
            <w:tcW w:w="251" w:type="pct"/>
          </w:tcPr>
          <w:p w14:paraId="05A488B9" w14:textId="77777777" w:rsidR="00285F41" w:rsidRPr="008E2929" w:rsidRDefault="00285F41" w:rsidP="00570509">
            <w:pPr>
              <w:jc w:val="both"/>
              <w:rPr>
                <w:rFonts w:eastAsia="Arial" w:cs="Arial"/>
                <w:szCs w:val="22"/>
                <w:lang w:val="en-US" w:eastAsia="fr-FR"/>
              </w:rPr>
            </w:pPr>
          </w:p>
        </w:tc>
        <w:tc>
          <w:tcPr>
            <w:tcW w:w="251" w:type="pct"/>
          </w:tcPr>
          <w:p w14:paraId="141DE565" w14:textId="77777777" w:rsidR="00285F41" w:rsidRPr="008E2929" w:rsidRDefault="00285F41" w:rsidP="00570509">
            <w:pPr>
              <w:jc w:val="both"/>
              <w:rPr>
                <w:rFonts w:eastAsia="Arial" w:cs="Arial"/>
                <w:szCs w:val="22"/>
                <w:lang w:val="en-US" w:eastAsia="fr-FR"/>
              </w:rPr>
            </w:pPr>
          </w:p>
        </w:tc>
        <w:tc>
          <w:tcPr>
            <w:tcW w:w="251" w:type="pct"/>
          </w:tcPr>
          <w:p w14:paraId="59F61268" w14:textId="77777777" w:rsidR="00285F41" w:rsidRPr="008E2929" w:rsidRDefault="00285F41" w:rsidP="00570509">
            <w:pPr>
              <w:jc w:val="both"/>
              <w:rPr>
                <w:rFonts w:eastAsia="Arial" w:cs="Arial"/>
                <w:szCs w:val="22"/>
                <w:lang w:val="en-US" w:eastAsia="fr-FR"/>
              </w:rPr>
            </w:pPr>
          </w:p>
        </w:tc>
        <w:tc>
          <w:tcPr>
            <w:tcW w:w="251" w:type="pct"/>
          </w:tcPr>
          <w:p w14:paraId="502CFAE5" w14:textId="77777777" w:rsidR="00285F41" w:rsidRPr="008E2929" w:rsidRDefault="00285F41" w:rsidP="00570509">
            <w:pPr>
              <w:jc w:val="both"/>
              <w:rPr>
                <w:rFonts w:eastAsia="Arial" w:cs="Arial"/>
                <w:szCs w:val="22"/>
                <w:lang w:val="en-US" w:eastAsia="fr-FR"/>
              </w:rPr>
            </w:pPr>
          </w:p>
        </w:tc>
        <w:tc>
          <w:tcPr>
            <w:tcW w:w="251" w:type="pct"/>
          </w:tcPr>
          <w:p w14:paraId="68A1F83C" w14:textId="77777777" w:rsidR="00285F41" w:rsidRPr="008E2929" w:rsidRDefault="00285F41" w:rsidP="00570509">
            <w:pPr>
              <w:jc w:val="both"/>
              <w:rPr>
                <w:rFonts w:eastAsia="Arial" w:cs="Arial"/>
                <w:szCs w:val="22"/>
                <w:lang w:val="en-US" w:eastAsia="fr-FR"/>
              </w:rPr>
            </w:pPr>
          </w:p>
        </w:tc>
        <w:tc>
          <w:tcPr>
            <w:tcW w:w="252" w:type="pct"/>
          </w:tcPr>
          <w:p w14:paraId="28BCF5DB" w14:textId="77777777" w:rsidR="00285F41" w:rsidRPr="008E2929" w:rsidRDefault="00285F41" w:rsidP="00570509">
            <w:pPr>
              <w:jc w:val="both"/>
              <w:rPr>
                <w:rFonts w:eastAsia="Arial" w:cs="Arial"/>
                <w:szCs w:val="22"/>
                <w:lang w:val="en-US" w:eastAsia="fr-FR"/>
              </w:rPr>
            </w:pPr>
          </w:p>
        </w:tc>
        <w:tc>
          <w:tcPr>
            <w:tcW w:w="252" w:type="pct"/>
          </w:tcPr>
          <w:p w14:paraId="7430A726" w14:textId="77777777" w:rsidR="00285F41" w:rsidRPr="008E2929" w:rsidRDefault="00285F41" w:rsidP="00570509">
            <w:pPr>
              <w:jc w:val="both"/>
              <w:rPr>
                <w:rFonts w:eastAsia="Arial" w:cs="Arial"/>
                <w:szCs w:val="22"/>
                <w:lang w:val="en-US" w:eastAsia="fr-FR"/>
              </w:rPr>
            </w:pPr>
          </w:p>
        </w:tc>
        <w:tc>
          <w:tcPr>
            <w:tcW w:w="252" w:type="pct"/>
          </w:tcPr>
          <w:p w14:paraId="09895FC8" w14:textId="77777777" w:rsidR="00285F41" w:rsidRPr="008E2929" w:rsidRDefault="00285F41" w:rsidP="00570509">
            <w:pPr>
              <w:jc w:val="both"/>
              <w:rPr>
                <w:rFonts w:eastAsia="Arial" w:cs="Arial"/>
                <w:szCs w:val="22"/>
                <w:lang w:val="en-US" w:eastAsia="fr-FR"/>
              </w:rPr>
            </w:pPr>
          </w:p>
        </w:tc>
        <w:tc>
          <w:tcPr>
            <w:tcW w:w="252" w:type="pct"/>
          </w:tcPr>
          <w:p w14:paraId="762C429C" w14:textId="77777777" w:rsidR="00285F41" w:rsidRPr="008E2929" w:rsidRDefault="00285F41" w:rsidP="00570509">
            <w:pPr>
              <w:jc w:val="both"/>
              <w:rPr>
                <w:rFonts w:eastAsia="Arial" w:cs="Arial"/>
                <w:szCs w:val="22"/>
                <w:lang w:val="en-US" w:eastAsia="fr-FR"/>
              </w:rPr>
            </w:pPr>
          </w:p>
        </w:tc>
        <w:tc>
          <w:tcPr>
            <w:tcW w:w="252" w:type="pct"/>
          </w:tcPr>
          <w:p w14:paraId="1B045B67" w14:textId="77777777" w:rsidR="00285F41" w:rsidRPr="008E2929" w:rsidRDefault="00285F41" w:rsidP="00570509">
            <w:pPr>
              <w:jc w:val="both"/>
              <w:rPr>
                <w:rFonts w:eastAsia="Arial" w:cs="Arial"/>
                <w:szCs w:val="22"/>
                <w:lang w:val="en-US" w:eastAsia="fr-FR"/>
              </w:rPr>
            </w:pPr>
          </w:p>
        </w:tc>
        <w:tc>
          <w:tcPr>
            <w:tcW w:w="252" w:type="pct"/>
            <w:shd w:val="clear" w:color="auto" w:fill="D9D9D9" w:themeFill="background1" w:themeFillShade="D9"/>
          </w:tcPr>
          <w:p w14:paraId="1133344B" w14:textId="77777777" w:rsidR="00285F41" w:rsidRPr="008E2929" w:rsidRDefault="00285F41" w:rsidP="00570509">
            <w:pPr>
              <w:jc w:val="both"/>
              <w:rPr>
                <w:rFonts w:eastAsia="Arial" w:cs="Arial"/>
                <w:szCs w:val="22"/>
                <w:lang w:val="en-US" w:eastAsia="fr-FR"/>
              </w:rPr>
            </w:pPr>
          </w:p>
        </w:tc>
        <w:tc>
          <w:tcPr>
            <w:tcW w:w="252" w:type="pct"/>
          </w:tcPr>
          <w:p w14:paraId="7469EBB9" w14:textId="77777777" w:rsidR="00285F41" w:rsidRPr="008E2929" w:rsidRDefault="00285F41" w:rsidP="00570509">
            <w:pPr>
              <w:jc w:val="both"/>
              <w:rPr>
                <w:rFonts w:eastAsia="Arial" w:cs="Arial"/>
                <w:szCs w:val="22"/>
                <w:lang w:val="en-US" w:eastAsia="fr-FR"/>
              </w:rPr>
            </w:pPr>
          </w:p>
        </w:tc>
        <w:tc>
          <w:tcPr>
            <w:tcW w:w="252" w:type="pct"/>
          </w:tcPr>
          <w:p w14:paraId="1E85072E" w14:textId="77777777" w:rsidR="00285F41" w:rsidRPr="008E2929" w:rsidRDefault="00285F41" w:rsidP="00570509">
            <w:pPr>
              <w:jc w:val="both"/>
              <w:rPr>
                <w:rFonts w:eastAsia="Arial" w:cs="Arial"/>
                <w:szCs w:val="22"/>
                <w:lang w:val="en-US" w:eastAsia="fr-FR"/>
              </w:rPr>
            </w:pPr>
          </w:p>
        </w:tc>
        <w:tc>
          <w:tcPr>
            <w:tcW w:w="252" w:type="pct"/>
          </w:tcPr>
          <w:p w14:paraId="707123A2" w14:textId="77777777" w:rsidR="00285F41" w:rsidRPr="008E2929" w:rsidRDefault="00285F41" w:rsidP="00570509">
            <w:pPr>
              <w:jc w:val="both"/>
              <w:rPr>
                <w:rFonts w:eastAsia="Arial" w:cs="Arial"/>
                <w:szCs w:val="22"/>
                <w:lang w:val="en-US" w:eastAsia="fr-FR"/>
              </w:rPr>
            </w:pPr>
          </w:p>
        </w:tc>
        <w:tc>
          <w:tcPr>
            <w:tcW w:w="252" w:type="pct"/>
          </w:tcPr>
          <w:p w14:paraId="3F70F955" w14:textId="77777777" w:rsidR="00285F41" w:rsidRPr="008E2929" w:rsidRDefault="00285F41" w:rsidP="00570509">
            <w:pPr>
              <w:jc w:val="both"/>
              <w:rPr>
                <w:rFonts w:eastAsia="Arial" w:cs="Arial"/>
                <w:szCs w:val="22"/>
                <w:lang w:val="en-US" w:eastAsia="fr-FR"/>
              </w:rPr>
            </w:pPr>
          </w:p>
        </w:tc>
        <w:tc>
          <w:tcPr>
            <w:tcW w:w="252" w:type="pct"/>
          </w:tcPr>
          <w:p w14:paraId="6C1A18E7" w14:textId="77777777" w:rsidR="00285F41" w:rsidRPr="008E2929" w:rsidRDefault="00285F41" w:rsidP="00570509">
            <w:pPr>
              <w:jc w:val="both"/>
              <w:rPr>
                <w:rFonts w:eastAsia="Arial" w:cs="Arial"/>
                <w:szCs w:val="22"/>
                <w:lang w:val="en-US" w:eastAsia="fr-FR"/>
              </w:rPr>
            </w:pPr>
          </w:p>
        </w:tc>
        <w:tc>
          <w:tcPr>
            <w:tcW w:w="247" w:type="pct"/>
          </w:tcPr>
          <w:p w14:paraId="403A4CC1" w14:textId="77777777" w:rsidR="00285F41" w:rsidRPr="008E2929" w:rsidRDefault="00285F41" w:rsidP="00570509">
            <w:pPr>
              <w:jc w:val="both"/>
              <w:rPr>
                <w:rFonts w:eastAsia="Arial" w:cs="Arial"/>
                <w:szCs w:val="22"/>
                <w:lang w:val="en-US" w:eastAsia="fr-FR"/>
              </w:rPr>
            </w:pPr>
          </w:p>
        </w:tc>
      </w:tr>
      <w:tr w:rsidR="00285F41" w:rsidRPr="008E2929" w14:paraId="7AC2B855" w14:textId="77777777" w:rsidTr="00570509">
        <w:tc>
          <w:tcPr>
            <w:tcW w:w="475" w:type="pct"/>
          </w:tcPr>
          <w:p w14:paraId="58FC199F" w14:textId="77777777" w:rsidR="00285F41" w:rsidRPr="008E2929" w:rsidRDefault="00285F41" w:rsidP="00570509">
            <w:pPr>
              <w:jc w:val="both"/>
              <w:rPr>
                <w:rFonts w:eastAsia="Arial" w:cs="Arial"/>
                <w:szCs w:val="22"/>
                <w:lang w:val="en-US" w:eastAsia="fr-FR"/>
              </w:rPr>
            </w:pPr>
            <w:r w:rsidRPr="008E2929">
              <w:rPr>
                <w:rFonts w:eastAsia="Arial" w:cs="Arial"/>
                <w:szCs w:val="22"/>
                <w:lang w:val="en-US" w:eastAsia="fr-FR"/>
              </w:rPr>
              <w:t>Term Expert Members (inc. renewed members)</w:t>
            </w:r>
          </w:p>
        </w:tc>
        <w:tc>
          <w:tcPr>
            <w:tcW w:w="251" w:type="pct"/>
          </w:tcPr>
          <w:p w14:paraId="5A6FCCA4" w14:textId="77777777" w:rsidR="00285F41" w:rsidRPr="008E2929" w:rsidRDefault="00285F41" w:rsidP="00570509">
            <w:pPr>
              <w:jc w:val="both"/>
              <w:rPr>
                <w:rFonts w:eastAsia="Arial" w:cs="Arial"/>
                <w:szCs w:val="22"/>
                <w:lang w:val="en-US" w:eastAsia="fr-FR"/>
              </w:rPr>
            </w:pPr>
          </w:p>
        </w:tc>
        <w:tc>
          <w:tcPr>
            <w:tcW w:w="251" w:type="pct"/>
          </w:tcPr>
          <w:p w14:paraId="0E0A8E4A" w14:textId="77777777" w:rsidR="00285F41" w:rsidRPr="008E2929" w:rsidRDefault="00285F41" w:rsidP="00570509">
            <w:pPr>
              <w:jc w:val="both"/>
              <w:rPr>
                <w:rFonts w:eastAsia="Arial" w:cs="Arial"/>
                <w:szCs w:val="22"/>
                <w:lang w:val="en-US" w:eastAsia="fr-FR"/>
              </w:rPr>
            </w:pPr>
          </w:p>
        </w:tc>
        <w:tc>
          <w:tcPr>
            <w:tcW w:w="251" w:type="pct"/>
          </w:tcPr>
          <w:p w14:paraId="46017723" w14:textId="77777777" w:rsidR="00285F41" w:rsidRPr="008E2929" w:rsidRDefault="00285F41" w:rsidP="00570509">
            <w:pPr>
              <w:jc w:val="both"/>
              <w:rPr>
                <w:rFonts w:eastAsia="Arial" w:cs="Arial"/>
                <w:szCs w:val="22"/>
                <w:lang w:val="en-US" w:eastAsia="fr-FR"/>
              </w:rPr>
            </w:pPr>
          </w:p>
        </w:tc>
        <w:tc>
          <w:tcPr>
            <w:tcW w:w="251" w:type="pct"/>
          </w:tcPr>
          <w:p w14:paraId="414453C7" w14:textId="77777777" w:rsidR="00285F41" w:rsidRPr="008E2929" w:rsidRDefault="00285F41" w:rsidP="00570509">
            <w:pPr>
              <w:jc w:val="both"/>
              <w:rPr>
                <w:rFonts w:eastAsia="Arial" w:cs="Arial"/>
                <w:szCs w:val="22"/>
                <w:lang w:val="en-US" w:eastAsia="fr-FR"/>
              </w:rPr>
            </w:pPr>
          </w:p>
        </w:tc>
        <w:tc>
          <w:tcPr>
            <w:tcW w:w="251" w:type="pct"/>
          </w:tcPr>
          <w:p w14:paraId="754EDFDE" w14:textId="77777777" w:rsidR="00285F41" w:rsidRPr="008E2929" w:rsidRDefault="00285F41" w:rsidP="00570509">
            <w:pPr>
              <w:jc w:val="both"/>
              <w:rPr>
                <w:rFonts w:eastAsia="Arial" w:cs="Arial"/>
                <w:szCs w:val="22"/>
                <w:lang w:val="en-US" w:eastAsia="fr-FR"/>
              </w:rPr>
            </w:pPr>
          </w:p>
        </w:tc>
        <w:tc>
          <w:tcPr>
            <w:tcW w:w="251" w:type="pct"/>
          </w:tcPr>
          <w:p w14:paraId="6DEF3B09" w14:textId="77777777" w:rsidR="00285F41" w:rsidRPr="008E2929" w:rsidRDefault="00285F41" w:rsidP="00570509">
            <w:pPr>
              <w:jc w:val="both"/>
              <w:rPr>
                <w:rFonts w:eastAsia="Arial" w:cs="Arial"/>
                <w:szCs w:val="22"/>
                <w:lang w:val="en-US" w:eastAsia="fr-FR"/>
              </w:rPr>
            </w:pPr>
          </w:p>
        </w:tc>
        <w:tc>
          <w:tcPr>
            <w:tcW w:w="252" w:type="pct"/>
          </w:tcPr>
          <w:p w14:paraId="0DB8BDFC" w14:textId="77777777" w:rsidR="00285F41" w:rsidRPr="008E2929" w:rsidRDefault="00285F41" w:rsidP="00570509">
            <w:pPr>
              <w:jc w:val="both"/>
              <w:rPr>
                <w:rFonts w:eastAsia="Arial" w:cs="Arial"/>
                <w:szCs w:val="22"/>
                <w:lang w:val="en-US" w:eastAsia="fr-FR"/>
              </w:rPr>
            </w:pPr>
          </w:p>
        </w:tc>
        <w:tc>
          <w:tcPr>
            <w:tcW w:w="252" w:type="pct"/>
          </w:tcPr>
          <w:p w14:paraId="035D2DD0" w14:textId="77777777" w:rsidR="00285F41" w:rsidRPr="008E2929" w:rsidRDefault="00285F41" w:rsidP="00570509">
            <w:pPr>
              <w:jc w:val="both"/>
              <w:rPr>
                <w:rFonts w:eastAsia="Arial" w:cs="Arial"/>
                <w:szCs w:val="22"/>
                <w:lang w:val="en-US" w:eastAsia="fr-FR"/>
              </w:rPr>
            </w:pPr>
          </w:p>
        </w:tc>
        <w:tc>
          <w:tcPr>
            <w:tcW w:w="252" w:type="pct"/>
          </w:tcPr>
          <w:p w14:paraId="28B3400F" w14:textId="77777777" w:rsidR="00285F41" w:rsidRPr="008E2929" w:rsidRDefault="00285F41" w:rsidP="00570509">
            <w:pPr>
              <w:jc w:val="both"/>
              <w:rPr>
                <w:rFonts w:eastAsia="Arial" w:cs="Arial"/>
                <w:szCs w:val="22"/>
                <w:lang w:val="en-US" w:eastAsia="fr-FR"/>
              </w:rPr>
            </w:pPr>
          </w:p>
        </w:tc>
        <w:tc>
          <w:tcPr>
            <w:tcW w:w="252" w:type="pct"/>
          </w:tcPr>
          <w:p w14:paraId="7FAD3B77" w14:textId="77777777" w:rsidR="00285F41" w:rsidRPr="008E2929" w:rsidRDefault="00285F41" w:rsidP="00570509">
            <w:pPr>
              <w:jc w:val="both"/>
              <w:rPr>
                <w:rFonts w:eastAsia="Arial" w:cs="Arial"/>
                <w:szCs w:val="22"/>
                <w:lang w:val="en-US" w:eastAsia="fr-FR"/>
              </w:rPr>
            </w:pPr>
          </w:p>
        </w:tc>
        <w:tc>
          <w:tcPr>
            <w:tcW w:w="252" w:type="pct"/>
          </w:tcPr>
          <w:p w14:paraId="33CF3107" w14:textId="77777777" w:rsidR="00285F41" w:rsidRPr="008E2929" w:rsidRDefault="00285F41" w:rsidP="00570509">
            <w:pPr>
              <w:jc w:val="both"/>
              <w:rPr>
                <w:rFonts w:eastAsia="Arial" w:cs="Arial"/>
                <w:szCs w:val="22"/>
                <w:lang w:val="en-US" w:eastAsia="fr-FR"/>
              </w:rPr>
            </w:pPr>
          </w:p>
        </w:tc>
        <w:tc>
          <w:tcPr>
            <w:tcW w:w="252" w:type="pct"/>
          </w:tcPr>
          <w:p w14:paraId="2E98A97E" w14:textId="77777777" w:rsidR="00285F41" w:rsidRPr="008E2929" w:rsidRDefault="00285F41" w:rsidP="00570509">
            <w:pPr>
              <w:jc w:val="both"/>
              <w:rPr>
                <w:rFonts w:eastAsia="Arial" w:cs="Arial"/>
                <w:szCs w:val="22"/>
                <w:lang w:val="en-US" w:eastAsia="fr-FR"/>
              </w:rPr>
            </w:pPr>
          </w:p>
        </w:tc>
        <w:tc>
          <w:tcPr>
            <w:tcW w:w="252" w:type="pct"/>
            <w:shd w:val="clear" w:color="auto" w:fill="A6A6A6" w:themeFill="background1" w:themeFillShade="A6"/>
          </w:tcPr>
          <w:p w14:paraId="31AB1958" w14:textId="77777777" w:rsidR="00285F41" w:rsidRPr="008E2929" w:rsidRDefault="00285F41" w:rsidP="00570509">
            <w:pPr>
              <w:jc w:val="both"/>
              <w:rPr>
                <w:rFonts w:eastAsia="Arial" w:cs="Arial"/>
                <w:szCs w:val="22"/>
                <w:lang w:val="en-US" w:eastAsia="fr-FR"/>
              </w:rPr>
            </w:pPr>
          </w:p>
        </w:tc>
        <w:tc>
          <w:tcPr>
            <w:tcW w:w="252" w:type="pct"/>
            <w:shd w:val="clear" w:color="auto" w:fill="A6A6A6" w:themeFill="background1" w:themeFillShade="A6"/>
          </w:tcPr>
          <w:p w14:paraId="0BF82541" w14:textId="77777777" w:rsidR="00285F41" w:rsidRPr="008E2929" w:rsidRDefault="00285F41" w:rsidP="00570509">
            <w:pPr>
              <w:jc w:val="both"/>
              <w:rPr>
                <w:rFonts w:eastAsia="Arial" w:cs="Arial"/>
                <w:szCs w:val="22"/>
                <w:lang w:val="en-US" w:eastAsia="fr-FR"/>
              </w:rPr>
            </w:pPr>
          </w:p>
        </w:tc>
        <w:tc>
          <w:tcPr>
            <w:tcW w:w="252" w:type="pct"/>
            <w:shd w:val="clear" w:color="auto" w:fill="A6A6A6" w:themeFill="background1" w:themeFillShade="A6"/>
          </w:tcPr>
          <w:p w14:paraId="49B9F1C0" w14:textId="77777777" w:rsidR="00285F41" w:rsidRPr="008E2929" w:rsidRDefault="00285F41" w:rsidP="00570509">
            <w:pPr>
              <w:jc w:val="both"/>
              <w:rPr>
                <w:rFonts w:eastAsia="Arial" w:cs="Arial"/>
                <w:szCs w:val="22"/>
                <w:lang w:val="en-US" w:eastAsia="fr-FR"/>
              </w:rPr>
            </w:pPr>
          </w:p>
        </w:tc>
        <w:tc>
          <w:tcPr>
            <w:tcW w:w="252" w:type="pct"/>
            <w:shd w:val="clear" w:color="auto" w:fill="A6A6A6" w:themeFill="background1" w:themeFillShade="A6"/>
          </w:tcPr>
          <w:p w14:paraId="7D7C22FF" w14:textId="77777777" w:rsidR="00285F41" w:rsidRPr="008E2929" w:rsidRDefault="00285F41" w:rsidP="00570509">
            <w:pPr>
              <w:jc w:val="both"/>
              <w:rPr>
                <w:rFonts w:eastAsia="Arial" w:cs="Arial"/>
                <w:szCs w:val="22"/>
                <w:lang w:val="en-US" w:eastAsia="fr-FR"/>
              </w:rPr>
            </w:pPr>
          </w:p>
        </w:tc>
        <w:tc>
          <w:tcPr>
            <w:tcW w:w="252" w:type="pct"/>
          </w:tcPr>
          <w:p w14:paraId="1E577F15" w14:textId="77777777" w:rsidR="00285F41" w:rsidRPr="008E2929" w:rsidRDefault="00285F41" w:rsidP="00570509">
            <w:pPr>
              <w:jc w:val="both"/>
              <w:rPr>
                <w:rFonts w:eastAsia="Arial" w:cs="Arial"/>
                <w:szCs w:val="22"/>
                <w:lang w:val="en-US" w:eastAsia="fr-FR"/>
              </w:rPr>
            </w:pPr>
          </w:p>
        </w:tc>
        <w:tc>
          <w:tcPr>
            <w:tcW w:w="247" w:type="pct"/>
          </w:tcPr>
          <w:p w14:paraId="1DB31894" w14:textId="77777777" w:rsidR="00285F41" w:rsidRPr="008E2929" w:rsidRDefault="00285F41" w:rsidP="00570509">
            <w:pPr>
              <w:jc w:val="both"/>
              <w:rPr>
                <w:rFonts w:eastAsia="Arial" w:cs="Arial"/>
                <w:szCs w:val="22"/>
                <w:lang w:val="en-US" w:eastAsia="fr-FR"/>
              </w:rPr>
            </w:pPr>
          </w:p>
        </w:tc>
      </w:tr>
      <w:tr w:rsidR="008E2929" w:rsidRPr="008E2929" w14:paraId="766CF151" w14:textId="77777777" w:rsidTr="00570509">
        <w:tc>
          <w:tcPr>
            <w:tcW w:w="475" w:type="pct"/>
            <w:shd w:val="clear" w:color="auto" w:fill="FFFFFF" w:themeFill="background1"/>
          </w:tcPr>
          <w:p w14:paraId="1B269B87" w14:textId="77777777" w:rsidR="00285F41" w:rsidRPr="008E2929" w:rsidRDefault="00285F41" w:rsidP="00570509">
            <w:pPr>
              <w:jc w:val="both"/>
              <w:rPr>
                <w:rFonts w:eastAsia="Arial" w:cs="Arial"/>
                <w:szCs w:val="22"/>
                <w:lang w:val="en-US" w:eastAsia="fr-FR"/>
              </w:rPr>
            </w:pPr>
            <w:r w:rsidRPr="008E2929">
              <w:rPr>
                <w:rFonts w:eastAsia="Arial" w:cs="Arial"/>
                <w:szCs w:val="22"/>
                <w:lang w:val="en-US" w:eastAsia="fr-FR"/>
              </w:rPr>
              <w:t>Call for Nominations</w:t>
            </w:r>
          </w:p>
        </w:tc>
        <w:tc>
          <w:tcPr>
            <w:tcW w:w="251" w:type="pct"/>
            <w:shd w:val="clear" w:color="auto" w:fill="FFFFFF" w:themeFill="background1"/>
          </w:tcPr>
          <w:p w14:paraId="33294D41" w14:textId="77777777" w:rsidR="00285F41" w:rsidRPr="008E2929" w:rsidRDefault="00285F41" w:rsidP="00570509">
            <w:pPr>
              <w:jc w:val="both"/>
              <w:rPr>
                <w:rFonts w:eastAsia="Arial" w:cs="Arial"/>
                <w:szCs w:val="22"/>
                <w:lang w:val="en-US" w:eastAsia="fr-FR"/>
              </w:rPr>
            </w:pPr>
          </w:p>
        </w:tc>
        <w:tc>
          <w:tcPr>
            <w:tcW w:w="251" w:type="pct"/>
            <w:shd w:val="clear" w:color="auto" w:fill="FFFFFF" w:themeFill="background1"/>
          </w:tcPr>
          <w:p w14:paraId="52858DD4" w14:textId="77777777" w:rsidR="00285F41" w:rsidRPr="008E2929" w:rsidRDefault="00285F41" w:rsidP="00570509">
            <w:pPr>
              <w:jc w:val="both"/>
              <w:rPr>
                <w:rFonts w:eastAsia="Arial" w:cs="Arial"/>
                <w:szCs w:val="22"/>
                <w:lang w:val="en-US" w:eastAsia="fr-FR"/>
              </w:rPr>
            </w:pPr>
          </w:p>
        </w:tc>
        <w:tc>
          <w:tcPr>
            <w:tcW w:w="251" w:type="pct"/>
            <w:shd w:val="clear" w:color="auto" w:fill="FFFFFF" w:themeFill="background1"/>
          </w:tcPr>
          <w:p w14:paraId="689EE856" w14:textId="77777777" w:rsidR="00285F41" w:rsidRPr="008E2929" w:rsidRDefault="00285F41" w:rsidP="00570509">
            <w:pPr>
              <w:jc w:val="both"/>
              <w:rPr>
                <w:rFonts w:eastAsia="Arial" w:cs="Arial"/>
                <w:szCs w:val="22"/>
                <w:lang w:val="en-US" w:eastAsia="fr-FR"/>
              </w:rPr>
            </w:pPr>
          </w:p>
        </w:tc>
        <w:tc>
          <w:tcPr>
            <w:tcW w:w="251" w:type="pct"/>
            <w:shd w:val="clear" w:color="auto" w:fill="FFFFFF" w:themeFill="background1"/>
          </w:tcPr>
          <w:p w14:paraId="334421C8" w14:textId="77777777" w:rsidR="00285F41" w:rsidRPr="008E2929" w:rsidRDefault="00285F41" w:rsidP="00570509">
            <w:pPr>
              <w:jc w:val="both"/>
              <w:rPr>
                <w:rFonts w:eastAsia="Arial" w:cs="Arial"/>
                <w:szCs w:val="22"/>
                <w:lang w:val="en-US" w:eastAsia="fr-FR"/>
              </w:rPr>
            </w:pPr>
          </w:p>
        </w:tc>
        <w:tc>
          <w:tcPr>
            <w:tcW w:w="251" w:type="pct"/>
            <w:shd w:val="clear" w:color="auto" w:fill="FFFFFF" w:themeFill="background1"/>
          </w:tcPr>
          <w:p w14:paraId="57D0B6C5" w14:textId="77777777" w:rsidR="00285F41" w:rsidRPr="008E2929" w:rsidRDefault="00285F41" w:rsidP="00570509">
            <w:pPr>
              <w:jc w:val="both"/>
              <w:rPr>
                <w:rFonts w:eastAsia="Arial" w:cs="Arial"/>
                <w:szCs w:val="22"/>
                <w:lang w:val="en-US" w:eastAsia="fr-FR"/>
              </w:rPr>
            </w:pPr>
          </w:p>
        </w:tc>
        <w:tc>
          <w:tcPr>
            <w:tcW w:w="251" w:type="pct"/>
            <w:shd w:val="clear" w:color="auto" w:fill="FFFFFF" w:themeFill="background1"/>
          </w:tcPr>
          <w:p w14:paraId="7D00777C" w14:textId="77777777" w:rsidR="00285F41" w:rsidRPr="008E2929" w:rsidRDefault="00285F41" w:rsidP="00570509">
            <w:pPr>
              <w:jc w:val="both"/>
              <w:rPr>
                <w:rFonts w:eastAsia="Arial" w:cs="Arial"/>
                <w:szCs w:val="22"/>
                <w:lang w:val="en-US" w:eastAsia="fr-FR"/>
              </w:rPr>
            </w:pPr>
          </w:p>
        </w:tc>
        <w:tc>
          <w:tcPr>
            <w:tcW w:w="252" w:type="pct"/>
            <w:shd w:val="clear" w:color="auto" w:fill="FFFFFF" w:themeFill="background1"/>
          </w:tcPr>
          <w:p w14:paraId="15F4BAAC" w14:textId="77777777" w:rsidR="00285F41" w:rsidRPr="008E2929" w:rsidRDefault="00285F41" w:rsidP="00570509">
            <w:pPr>
              <w:jc w:val="both"/>
              <w:rPr>
                <w:rFonts w:eastAsia="Arial" w:cs="Arial"/>
                <w:szCs w:val="22"/>
                <w:lang w:val="en-US" w:eastAsia="fr-FR"/>
              </w:rPr>
            </w:pPr>
          </w:p>
        </w:tc>
        <w:tc>
          <w:tcPr>
            <w:tcW w:w="252" w:type="pct"/>
            <w:shd w:val="clear" w:color="auto" w:fill="FFFFFF" w:themeFill="background1"/>
          </w:tcPr>
          <w:p w14:paraId="68AA1E3E" w14:textId="77777777" w:rsidR="00285F41" w:rsidRPr="008E2929" w:rsidRDefault="00285F41" w:rsidP="00570509">
            <w:pPr>
              <w:jc w:val="both"/>
              <w:rPr>
                <w:rFonts w:eastAsia="Arial" w:cs="Arial"/>
                <w:szCs w:val="22"/>
                <w:lang w:val="en-US" w:eastAsia="fr-FR"/>
              </w:rPr>
            </w:pPr>
          </w:p>
        </w:tc>
        <w:tc>
          <w:tcPr>
            <w:tcW w:w="252" w:type="pct"/>
            <w:shd w:val="clear" w:color="auto" w:fill="FFFFFF" w:themeFill="background1"/>
          </w:tcPr>
          <w:p w14:paraId="61570E7B" w14:textId="77777777" w:rsidR="00285F41" w:rsidRPr="008E2929" w:rsidRDefault="00285F41" w:rsidP="00570509">
            <w:pPr>
              <w:jc w:val="both"/>
              <w:rPr>
                <w:rFonts w:eastAsia="Arial" w:cs="Arial"/>
                <w:szCs w:val="22"/>
                <w:lang w:val="en-US" w:eastAsia="fr-FR"/>
              </w:rPr>
            </w:pPr>
          </w:p>
        </w:tc>
        <w:tc>
          <w:tcPr>
            <w:tcW w:w="252" w:type="pct"/>
            <w:shd w:val="clear" w:color="auto" w:fill="FFFFFF" w:themeFill="background1"/>
          </w:tcPr>
          <w:p w14:paraId="63D37C58" w14:textId="77777777" w:rsidR="00285F41" w:rsidRPr="008E2929" w:rsidRDefault="00285F41" w:rsidP="00570509">
            <w:pPr>
              <w:jc w:val="both"/>
              <w:rPr>
                <w:rFonts w:eastAsia="Arial" w:cs="Arial"/>
                <w:szCs w:val="22"/>
                <w:lang w:val="en-US" w:eastAsia="fr-FR"/>
              </w:rPr>
            </w:pPr>
          </w:p>
        </w:tc>
        <w:tc>
          <w:tcPr>
            <w:tcW w:w="252" w:type="pct"/>
            <w:shd w:val="clear" w:color="auto" w:fill="FFFFFF" w:themeFill="background1"/>
          </w:tcPr>
          <w:p w14:paraId="435618E1" w14:textId="77777777" w:rsidR="00285F41" w:rsidRPr="008E2929" w:rsidRDefault="00285F41" w:rsidP="00570509">
            <w:pPr>
              <w:jc w:val="both"/>
              <w:rPr>
                <w:rFonts w:eastAsia="Arial" w:cs="Arial"/>
                <w:szCs w:val="22"/>
                <w:lang w:val="en-US" w:eastAsia="fr-FR"/>
              </w:rPr>
            </w:pPr>
          </w:p>
        </w:tc>
        <w:tc>
          <w:tcPr>
            <w:tcW w:w="252" w:type="pct"/>
            <w:shd w:val="clear" w:color="auto" w:fill="FFFFFF" w:themeFill="background1"/>
          </w:tcPr>
          <w:p w14:paraId="59055291" w14:textId="77777777" w:rsidR="00285F41" w:rsidRPr="008E2929" w:rsidRDefault="00285F41" w:rsidP="00570509">
            <w:pPr>
              <w:jc w:val="both"/>
              <w:rPr>
                <w:rFonts w:eastAsia="Arial" w:cs="Arial"/>
                <w:szCs w:val="22"/>
                <w:lang w:val="en-US" w:eastAsia="fr-FR"/>
              </w:rPr>
            </w:pPr>
          </w:p>
        </w:tc>
        <w:tc>
          <w:tcPr>
            <w:tcW w:w="252" w:type="pct"/>
            <w:shd w:val="clear" w:color="auto" w:fill="FFFFFF" w:themeFill="background1"/>
          </w:tcPr>
          <w:p w14:paraId="3C3D74EB" w14:textId="77777777" w:rsidR="00285F41" w:rsidRPr="008E2929" w:rsidRDefault="00285F41" w:rsidP="00570509">
            <w:pPr>
              <w:jc w:val="both"/>
              <w:rPr>
                <w:rFonts w:eastAsia="Arial" w:cs="Arial"/>
                <w:szCs w:val="22"/>
                <w:lang w:val="en-US" w:eastAsia="fr-FR"/>
              </w:rPr>
            </w:pPr>
          </w:p>
        </w:tc>
        <w:tc>
          <w:tcPr>
            <w:tcW w:w="252" w:type="pct"/>
            <w:shd w:val="clear" w:color="auto" w:fill="FFFFFF" w:themeFill="background1"/>
          </w:tcPr>
          <w:p w14:paraId="1CBB38F6" w14:textId="77777777" w:rsidR="00285F41" w:rsidRPr="008E2929" w:rsidRDefault="00285F41" w:rsidP="00570509">
            <w:pPr>
              <w:jc w:val="both"/>
              <w:rPr>
                <w:rFonts w:eastAsia="Arial" w:cs="Arial"/>
                <w:szCs w:val="22"/>
                <w:lang w:val="en-US" w:eastAsia="fr-FR"/>
              </w:rPr>
            </w:pPr>
          </w:p>
        </w:tc>
        <w:tc>
          <w:tcPr>
            <w:tcW w:w="252" w:type="pct"/>
            <w:shd w:val="clear" w:color="auto" w:fill="FFFFFF" w:themeFill="background1"/>
          </w:tcPr>
          <w:p w14:paraId="5584E3D2" w14:textId="77777777" w:rsidR="00285F41" w:rsidRPr="008E2929" w:rsidRDefault="00285F41" w:rsidP="00570509">
            <w:pPr>
              <w:jc w:val="both"/>
              <w:rPr>
                <w:rFonts w:eastAsia="Arial" w:cs="Arial"/>
                <w:szCs w:val="22"/>
                <w:lang w:val="en-US" w:eastAsia="fr-FR"/>
              </w:rPr>
            </w:pPr>
          </w:p>
        </w:tc>
        <w:tc>
          <w:tcPr>
            <w:tcW w:w="252" w:type="pct"/>
            <w:shd w:val="clear" w:color="auto" w:fill="F2F2F2" w:themeFill="background1" w:themeFillShade="F2"/>
          </w:tcPr>
          <w:p w14:paraId="6624E0CE" w14:textId="77777777" w:rsidR="00285F41" w:rsidRPr="008E2929" w:rsidRDefault="00285F41" w:rsidP="00570509">
            <w:pPr>
              <w:jc w:val="both"/>
              <w:rPr>
                <w:rFonts w:eastAsia="Arial" w:cs="Arial"/>
                <w:szCs w:val="22"/>
                <w:lang w:val="en-US" w:eastAsia="fr-FR"/>
              </w:rPr>
            </w:pPr>
          </w:p>
        </w:tc>
        <w:tc>
          <w:tcPr>
            <w:tcW w:w="252" w:type="pct"/>
            <w:shd w:val="clear" w:color="auto" w:fill="FFFFFF" w:themeFill="background1"/>
          </w:tcPr>
          <w:p w14:paraId="2FD11FCB" w14:textId="77777777" w:rsidR="00285F41" w:rsidRPr="008E2929" w:rsidRDefault="00285F41" w:rsidP="00570509">
            <w:pPr>
              <w:jc w:val="both"/>
              <w:rPr>
                <w:rFonts w:eastAsia="Arial" w:cs="Arial"/>
                <w:szCs w:val="22"/>
                <w:lang w:val="en-US" w:eastAsia="fr-FR"/>
              </w:rPr>
            </w:pPr>
          </w:p>
        </w:tc>
        <w:tc>
          <w:tcPr>
            <w:tcW w:w="247" w:type="pct"/>
            <w:shd w:val="clear" w:color="auto" w:fill="FFFFFF" w:themeFill="background1"/>
          </w:tcPr>
          <w:p w14:paraId="04BD8A3D" w14:textId="77777777" w:rsidR="00285F41" w:rsidRPr="008E2929" w:rsidRDefault="00285F41" w:rsidP="00570509">
            <w:pPr>
              <w:jc w:val="both"/>
              <w:rPr>
                <w:rFonts w:eastAsia="Arial" w:cs="Arial"/>
                <w:szCs w:val="22"/>
                <w:lang w:val="en-US" w:eastAsia="fr-FR"/>
              </w:rPr>
            </w:pPr>
          </w:p>
        </w:tc>
      </w:tr>
      <w:tr w:rsidR="008E2929" w:rsidRPr="008E2929" w14:paraId="043C7EA9" w14:textId="77777777" w:rsidTr="00570509">
        <w:tc>
          <w:tcPr>
            <w:tcW w:w="475" w:type="pct"/>
            <w:shd w:val="clear" w:color="auto" w:fill="FFFFFF" w:themeFill="background1"/>
          </w:tcPr>
          <w:p w14:paraId="4C72A23E" w14:textId="77777777" w:rsidR="00285F41" w:rsidRPr="008E2929" w:rsidRDefault="00285F41" w:rsidP="00570509">
            <w:pPr>
              <w:jc w:val="both"/>
              <w:rPr>
                <w:rFonts w:eastAsia="Arial" w:cs="Arial"/>
                <w:szCs w:val="22"/>
                <w:lang w:val="en-US" w:eastAsia="fr-FR"/>
              </w:rPr>
            </w:pPr>
            <w:r w:rsidRPr="008E2929">
              <w:rPr>
                <w:rFonts w:eastAsia="Arial" w:cs="Arial"/>
                <w:szCs w:val="22"/>
                <w:lang w:val="en-US" w:eastAsia="fr-FR"/>
              </w:rPr>
              <w:t>Term Expert Members (inc. renewed members)</w:t>
            </w:r>
          </w:p>
        </w:tc>
        <w:tc>
          <w:tcPr>
            <w:tcW w:w="251" w:type="pct"/>
            <w:shd w:val="clear" w:color="auto" w:fill="FFFFFF" w:themeFill="background1"/>
          </w:tcPr>
          <w:p w14:paraId="64C6FB10" w14:textId="77777777" w:rsidR="00285F41" w:rsidRPr="008E2929" w:rsidRDefault="00285F41" w:rsidP="00570509">
            <w:pPr>
              <w:jc w:val="both"/>
              <w:rPr>
                <w:rFonts w:eastAsia="Arial" w:cs="Arial"/>
                <w:szCs w:val="22"/>
                <w:lang w:val="en-US" w:eastAsia="fr-FR"/>
              </w:rPr>
            </w:pPr>
          </w:p>
        </w:tc>
        <w:tc>
          <w:tcPr>
            <w:tcW w:w="251" w:type="pct"/>
            <w:shd w:val="clear" w:color="auto" w:fill="FFFFFF" w:themeFill="background1"/>
          </w:tcPr>
          <w:p w14:paraId="409A8D26" w14:textId="77777777" w:rsidR="00285F41" w:rsidRPr="008E2929" w:rsidRDefault="00285F41" w:rsidP="00570509">
            <w:pPr>
              <w:jc w:val="both"/>
              <w:rPr>
                <w:rFonts w:eastAsia="Arial" w:cs="Arial"/>
                <w:szCs w:val="22"/>
                <w:lang w:val="en-US" w:eastAsia="fr-FR"/>
              </w:rPr>
            </w:pPr>
          </w:p>
        </w:tc>
        <w:tc>
          <w:tcPr>
            <w:tcW w:w="251" w:type="pct"/>
            <w:shd w:val="clear" w:color="auto" w:fill="FFFFFF" w:themeFill="background1"/>
          </w:tcPr>
          <w:p w14:paraId="0425B9B5" w14:textId="77777777" w:rsidR="00285F41" w:rsidRPr="008E2929" w:rsidRDefault="00285F41" w:rsidP="00570509">
            <w:pPr>
              <w:jc w:val="both"/>
              <w:rPr>
                <w:rFonts w:eastAsia="Arial" w:cs="Arial"/>
                <w:szCs w:val="22"/>
                <w:lang w:val="en-US" w:eastAsia="fr-FR"/>
              </w:rPr>
            </w:pPr>
          </w:p>
        </w:tc>
        <w:tc>
          <w:tcPr>
            <w:tcW w:w="251" w:type="pct"/>
            <w:shd w:val="clear" w:color="auto" w:fill="FFFFFF" w:themeFill="background1"/>
          </w:tcPr>
          <w:p w14:paraId="3652127F" w14:textId="77777777" w:rsidR="00285F41" w:rsidRPr="008E2929" w:rsidRDefault="00285F41" w:rsidP="00570509">
            <w:pPr>
              <w:jc w:val="both"/>
              <w:rPr>
                <w:rFonts w:eastAsia="Arial" w:cs="Arial"/>
                <w:szCs w:val="22"/>
                <w:lang w:val="en-US" w:eastAsia="fr-FR"/>
              </w:rPr>
            </w:pPr>
          </w:p>
        </w:tc>
        <w:tc>
          <w:tcPr>
            <w:tcW w:w="251" w:type="pct"/>
            <w:shd w:val="clear" w:color="auto" w:fill="FFFFFF" w:themeFill="background1"/>
          </w:tcPr>
          <w:p w14:paraId="059C5F64" w14:textId="77777777" w:rsidR="00285F41" w:rsidRPr="008E2929" w:rsidRDefault="00285F41" w:rsidP="00570509">
            <w:pPr>
              <w:jc w:val="both"/>
              <w:rPr>
                <w:rFonts w:eastAsia="Arial" w:cs="Arial"/>
                <w:szCs w:val="22"/>
                <w:lang w:val="en-US" w:eastAsia="fr-FR"/>
              </w:rPr>
            </w:pPr>
          </w:p>
        </w:tc>
        <w:tc>
          <w:tcPr>
            <w:tcW w:w="251" w:type="pct"/>
            <w:shd w:val="clear" w:color="auto" w:fill="FFFFFF" w:themeFill="background1"/>
          </w:tcPr>
          <w:p w14:paraId="5B043D38" w14:textId="77777777" w:rsidR="00285F41" w:rsidRPr="008E2929" w:rsidRDefault="00285F41" w:rsidP="00570509">
            <w:pPr>
              <w:jc w:val="both"/>
              <w:rPr>
                <w:rFonts w:eastAsia="Arial" w:cs="Arial"/>
                <w:szCs w:val="22"/>
                <w:lang w:val="en-US" w:eastAsia="fr-FR"/>
              </w:rPr>
            </w:pPr>
          </w:p>
        </w:tc>
        <w:tc>
          <w:tcPr>
            <w:tcW w:w="252" w:type="pct"/>
            <w:shd w:val="clear" w:color="auto" w:fill="FFFFFF" w:themeFill="background1"/>
          </w:tcPr>
          <w:p w14:paraId="4CAD6888" w14:textId="77777777" w:rsidR="00285F41" w:rsidRPr="008E2929" w:rsidRDefault="00285F41" w:rsidP="00570509">
            <w:pPr>
              <w:jc w:val="both"/>
              <w:rPr>
                <w:rFonts w:eastAsia="Arial" w:cs="Arial"/>
                <w:szCs w:val="22"/>
                <w:lang w:val="en-US" w:eastAsia="fr-FR"/>
              </w:rPr>
            </w:pPr>
          </w:p>
        </w:tc>
        <w:tc>
          <w:tcPr>
            <w:tcW w:w="252" w:type="pct"/>
            <w:shd w:val="clear" w:color="auto" w:fill="FFFFFF" w:themeFill="background1"/>
          </w:tcPr>
          <w:p w14:paraId="3390056B" w14:textId="77777777" w:rsidR="00285F41" w:rsidRPr="008E2929" w:rsidRDefault="00285F41" w:rsidP="00570509">
            <w:pPr>
              <w:jc w:val="both"/>
              <w:rPr>
                <w:rFonts w:eastAsia="Arial" w:cs="Arial"/>
                <w:szCs w:val="22"/>
                <w:lang w:val="en-US" w:eastAsia="fr-FR"/>
              </w:rPr>
            </w:pPr>
          </w:p>
        </w:tc>
        <w:tc>
          <w:tcPr>
            <w:tcW w:w="252" w:type="pct"/>
            <w:shd w:val="clear" w:color="auto" w:fill="FFFFFF" w:themeFill="background1"/>
          </w:tcPr>
          <w:p w14:paraId="372CB5CF" w14:textId="77777777" w:rsidR="00285F41" w:rsidRPr="008E2929" w:rsidRDefault="00285F41" w:rsidP="00570509">
            <w:pPr>
              <w:jc w:val="both"/>
              <w:rPr>
                <w:rFonts w:eastAsia="Arial" w:cs="Arial"/>
                <w:szCs w:val="22"/>
                <w:lang w:val="en-US" w:eastAsia="fr-FR"/>
              </w:rPr>
            </w:pPr>
          </w:p>
        </w:tc>
        <w:tc>
          <w:tcPr>
            <w:tcW w:w="252" w:type="pct"/>
            <w:shd w:val="clear" w:color="auto" w:fill="FFFFFF" w:themeFill="background1"/>
          </w:tcPr>
          <w:p w14:paraId="49479B2B" w14:textId="77777777" w:rsidR="00285F41" w:rsidRPr="008E2929" w:rsidRDefault="00285F41" w:rsidP="00570509">
            <w:pPr>
              <w:jc w:val="both"/>
              <w:rPr>
                <w:rFonts w:eastAsia="Arial" w:cs="Arial"/>
                <w:szCs w:val="22"/>
                <w:lang w:val="en-US" w:eastAsia="fr-FR"/>
              </w:rPr>
            </w:pPr>
          </w:p>
        </w:tc>
        <w:tc>
          <w:tcPr>
            <w:tcW w:w="252" w:type="pct"/>
            <w:shd w:val="clear" w:color="auto" w:fill="FFFFFF" w:themeFill="background1"/>
          </w:tcPr>
          <w:p w14:paraId="5B1899B6" w14:textId="77777777" w:rsidR="00285F41" w:rsidRPr="008E2929" w:rsidRDefault="00285F41" w:rsidP="00570509">
            <w:pPr>
              <w:jc w:val="both"/>
              <w:rPr>
                <w:rFonts w:eastAsia="Arial" w:cs="Arial"/>
                <w:szCs w:val="22"/>
                <w:lang w:val="en-US" w:eastAsia="fr-FR"/>
              </w:rPr>
            </w:pPr>
          </w:p>
        </w:tc>
        <w:tc>
          <w:tcPr>
            <w:tcW w:w="252" w:type="pct"/>
            <w:shd w:val="clear" w:color="auto" w:fill="FFFFFF" w:themeFill="background1"/>
          </w:tcPr>
          <w:p w14:paraId="59CDB3D5" w14:textId="77777777" w:rsidR="00285F41" w:rsidRPr="008E2929" w:rsidRDefault="00285F41" w:rsidP="00570509">
            <w:pPr>
              <w:jc w:val="both"/>
              <w:rPr>
                <w:rFonts w:eastAsia="Arial" w:cs="Arial"/>
                <w:szCs w:val="22"/>
                <w:lang w:val="en-US" w:eastAsia="fr-FR"/>
              </w:rPr>
            </w:pPr>
          </w:p>
        </w:tc>
        <w:tc>
          <w:tcPr>
            <w:tcW w:w="252" w:type="pct"/>
            <w:shd w:val="clear" w:color="auto" w:fill="FFFFFF" w:themeFill="background1"/>
          </w:tcPr>
          <w:p w14:paraId="4378CE9E" w14:textId="77777777" w:rsidR="00285F41" w:rsidRPr="008E2929" w:rsidRDefault="00285F41" w:rsidP="00570509">
            <w:pPr>
              <w:jc w:val="both"/>
              <w:rPr>
                <w:rFonts w:eastAsia="Arial" w:cs="Arial"/>
                <w:szCs w:val="22"/>
                <w:lang w:val="en-US" w:eastAsia="fr-FR"/>
              </w:rPr>
            </w:pPr>
          </w:p>
        </w:tc>
        <w:tc>
          <w:tcPr>
            <w:tcW w:w="252" w:type="pct"/>
            <w:shd w:val="clear" w:color="auto" w:fill="FFFFFF" w:themeFill="background1"/>
          </w:tcPr>
          <w:p w14:paraId="0C9B4DE1" w14:textId="77777777" w:rsidR="00285F41" w:rsidRPr="008E2929" w:rsidRDefault="00285F41" w:rsidP="00570509">
            <w:pPr>
              <w:jc w:val="both"/>
              <w:rPr>
                <w:rFonts w:eastAsia="Arial" w:cs="Arial"/>
                <w:szCs w:val="22"/>
                <w:lang w:val="en-US" w:eastAsia="fr-FR"/>
              </w:rPr>
            </w:pPr>
          </w:p>
        </w:tc>
        <w:tc>
          <w:tcPr>
            <w:tcW w:w="252" w:type="pct"/>
            <w:shd w:val="clear" w:color="auto" w:fill="FFFFFF" w:themeFill="background1"/>
          </w:tcPr>
          <w:p w14:paraId="3D077958" w14:textId="77777777" w:rsidR="00285F41" w:rsidRPr="008E2929" w:rsidRDefault="00285F41" w:rsidP="00570509">
            <w:pPr>
              <w:jc w:val="both"/>
              <w:rPr>
                <w:rFonts w:eastAsia="Arial" w:cs="Arial"/>
                <w:szCs w:val="22"/>
                <w:lang w:val="en-US" w:eastAsia="fr-FR"/>
              </w:rPr>
            </w:pPr>
          </w:p>
        </w:tc>
        <w:tc>
          <w:tcPr>
            <w:tcW w:w="252" w:type="pct"/>
            <w:shd w:val="clear" w:color="auto" w:fill="auto"/>
          </w:tcPr>
          <w:p w14:paraId="62C6FF2E" w14:textId="77777777" w:rsidR="00285F41" w:rsidRPr="008E2929" w:rsidRDefault="00285F41" w:rsidP="00570509">
            <w:pPr>
              <w:jc w:val="both"/>
              <w:rPr>
                <w:rFonts w:eastAsia="Arial" w:cs="Arial"/>
                <w:szCs w:val="22"/>
                <w:lang w:val="en-US" w:eastAsia="fr-FR"/>
              </w:rPr>
            </w:pPr>
          </w:p>
        </w:tc>
        <w:tc>
          <w:tcPr>
            <w:tcW w:w="252" w:type="pct"/>
            <w:shd w:val="clear" w:color="auto" w:fill="808080" w:themeFill="background1" w:themeFillShade="80"/>
          </w:tcPr>
          <w:p w14:paraId="07387C3A" w14:textId="77777777" w:rsidR="00285F41" w:rsidRPr="008E2929" w:rsidRDefault="00285F41" w:rsidP="00570509">
            <w:pPr>
              <w:jc w:val="both"/>
              <w:rPr>
                <w:rFonts w:eastAsia="Arial" w:cs="Arial"/>
                <w:szCs w:val="22"/>
                <w:lang w:val="en-US" w:eastAsia="fr-FR"/>
              </w:rPr>
            </w:pPr>
          </w:p>
        </w:tc>
        <w:tc>
          <w:tcPr>
            <w:tcW w:w="247" w:type="pct"/>
            <w:shd w:val="clear" w:color="auto" w:fill="808080" w:themeFill="background1" w:themeFillShade="80"/>
          </w:tcPr>
          <w:p w14:paraId="1D0281DB" w14:textId="77777777" w:rsidR="00285F41" w:rsidRPr="008E2929" w:rsidRDefault="00285F41" w:rsidP="00570509">
            <w:pPr>
              <w:jc w:val="both"/>
              <w:rPr>
                <w:rFonts w:eastAsia="Arial" w:cs="Arial"/>
                <w:szCs w:val="22"/>
                <w:lang w:val="en-US" w:eastAsia="fr-FR"/>
              </w:rPr>
            </w:pPr>
          </w:p>
        </w:tc>
      </w:tr>
    </w:tbl>
    <w:p w14:paraId="3FB08E36" w14:textId="1353BE96" w:rsidR="002867FB" w:rsidRPr="008E2929" w:rsidRDefault="00BC5841" w:rsidP="00DC4551">
      <w:pPr>
        <w:spacing w:before="720"/>
        <w:rPr>
          <w:rFonts w:cs="Arial"/>
          <w:szCs w:val="22"/>
        </w:rPr>
      </w:pPr>
      <w:r w:rsidRPr="008E2929">
        <w:rPr>
          <w:rFonts w:cs="Arial"/>
          <w:b/>
          <w:i/>
          <w:iCs/>
          <w:szCs w:val="22"/>
          <w:lang w:val="en-US"/>
        </w:rPr>
        <w:t xml:space="preserve">1.3 </w:t>
      </w:r>
      <w:r w:rsidRPr="008E2929">
        <w:rPr>
          <w:rFonts w:cs="Arial"/>
          <w:b/>
          <w:i/>
          <w:iCs/>
          <w:szCs w:val="22"/>
          <w:lang w:val="en-US"/>
        </w:rPr>
        <w:tab/>
      </w:r>
      <w:r w:rsidR="0056540C" w:rsidRPr="008E2929">
        <w:rPr>
          <w:rFonts w:cs="Arial"/>
          <w:b/>
          <w:i/>
          <w:iCs/>
          <w:szCs w:val="22"/>
          <w:lang w:val="en-US"/>
        </w:rPr>
        <w:t>Re- Appointment of Expert Members</w:t>
      </w:r>
      <w:r w:rsidR="0056540C" w:rsidRPr="008E2929">
        <w:rPr>
          <w:rFonts w:cs="Arial"/>
          <w:b/>
          <w:szCs w:val="22"/>
          <w:lang w:val="en-US"/>
        </w:rPr>
        <w:br/>
      </w:r>
      <w:r w:rsidR="0056540C" w:rsidRPr="008E2929">
        <w:rPr>
          <w:rFonts w:cs="Arial"/>
          <w:b/>
          <w:szCs w:val="22"/>
          <w:lang w:val="en-US"/>
        </w:rPr>
        <w:br/>
      </w:r>
      <w:r w:rsidR="0056540C" w:rsidRPr="008E2929">
        <w:rPr>
          <w:rFonts w:cs="Arial"/>
          <w:bCs/>
          <w:szCs w:val="22"/>
          <w:lang w:val="en-US"/>
        </w:rPr>
        <w:t xml:space="preserve">Expert Members that wish to </w:t>
      </w:r>
      <w:r w:rsidRPr="008E2929">
        <w:rPr>
          <w:rFonts w:cs="Arial"/>
          <w:bCs/>
          <w:szCs w:val="22"/>
          <w:lang w:val="en-US"/>
        </w:rPr>
        <w:t xml:space="preserve">apply </w:t>
      </w:r>
      <w:r w:rsidR="0056540C" w:rsidRPr="008E2929">
        <w:rPr>
          <w:rFonts w:cs="Arial"/>
          <w:bCs/>
          <w:szCs w:val="22"/>
          <w:lang w:val="en-US"/>
        </w:rPr>
        <w:t xml:space="preserve">for a second term will submit a nomination form </w:t>
      </w:r>
      <w:r w:rsidR="00922080">
        <w:rPr>
          <w:rFonts w:cs="Arial"/>
          <w:bCs/>
          <w:szCs w:val="22"/>
          <w:lang w:val="en-US"/>
        </w:rPr>
        <w:t xml:space="preserve">during the open call for nominations </w:t>
      </w:r>
      <w:r w:rsidR="0056540C" w:rsidRPr="008E2929">
        <w:rPr>
          <w:rFonts w:cs="Arial"/>
          <w:bCs/>
          <w:szCs w:val="22"/>
          <w:lang w:val="en-US"/>
        </w:rPr>
        <w:t xml:space="preserve">and will be considered within the overall pool </w:t>
      </w:r>
      <w:r w:rsidRPr="008E2929">
        <w:rPr>
          <w:rFonts w:cs="Arial"/>
          <w:bCs/>
          <w:szCs w:val="22"/>
          <w:lang w:val="en-US"/>
        </w:rPr>
        <w:t xml:space="preserve">of new candidatures generated by the regular call for nomination.  IOC Officers leading the selection process will take these candidatures into account with due </w:t>
      </w:r>
      <w:r w:rsidRPr="008E2929">
        <w:rPr>
          <w:rFonts w:cs="Arial"/>
          <w:szCs w:val="22"/>
        </w:rPr>
        <w:t>consideration to the need for expertise, geographic, generational, and gender balance across the membership of the DAB.</w:t>
      </w:r>
      <w:r w:rsidR="00922080">
        <w:rPr>
          <w:rFonts w:cs="Arial"/>
          <w:szCs w:val="22"/>
        </w:rPr>
        <w:t xml:space="preserve"> </w:t>
      </w:r>
      <w:r w:rsidR="00922080" w:rsidRPr="008E2929">
        <w:rPr>
          <w:rFonts w:eastAsia="Arial" w:cs="Arial"/>
          <w:szCs w:val="22"/>
          <w:lang w:val="en-US" w:eastAsia="fr-FR"/>
        </w:rPr>
        <w:t xml:space="preserve">The aim will be to maintain at least 5 of the serving Members at each rotation for a second consecutive term to ensure </w:t>
      </w:r>
      <w:r w:rsidR="00922080" w:rsidRPr="008E2929">
        <w:rPr>
          <w:rFonts w:eastAsia="Arial" w:cs="Arial"/>
          <w:szCs w:val="22"/>
          <w:lang w:val="en-US" w:eastAsia="fr-FR"/>
        </w:rPr>
        <w:lastRenderedPageBreak/>
        <w:t>mentoring and continuity.</w:t>
      </w:r>
      <w:r w:rsidR="008E2929">
        <w:rPr>
          <w:rFonts w:cs="Arial"/>
          <w:szCs w:val="22"/>
        </w:rPr>
        <w:br/>
      </w:r>
    </w:p>
    <w:p w14:paraId="3563E1E2" w14:textId="3564FFA2" w:rsidR="00E63302" w:rsidRPr="008E2929" w:rsidRDefault="00BC5841" w:rsidP="00E63302">
      <w:pPr>
        <w:rPr>
          <w:rFonts w:cs="Arial"/>
          <w:b/>
          <w:bCs/>
          <w:i/>
          <w:iCs/>
          <w:szCs w:val="22"/>
          <w:lang w:val="en-US"/>
        </w:rPr>
      </w:pPr>
      <w:r w:rsidRPr="008E2929">
        <w:rPr>
          <w:rFonts w:cs="Arial"/>
          <w:b/>
          <w:szCs w:val="22"/>
        </w:rPr>
        <w:t xml:space="preserve">1.4 </w:t>
      </w:r>
      <w:r w:rsidR="008E2929">
        <w:rPr>
          <w:rFonts w:cs="Arial"/>
          <w:b/>
          <w:szCs w:val="22"/>
        </w:rPr>
        <w:tab/>
      </w:r>
      <w:r w:rsidR="00E63302" w:rsidRPr="008E2929">
        <w:rPr>
          <w:rFonts w:cs="Arial"/>
          <w:b/>
          <w:bCs/>
          <w:i/>
          <w:iCs/>
          <w:szCs w:val="22"/>
          <w:lang w:val="en-US"/>
        </w:rPr>
        <w:t xml:space="preserve">Co-Chairs of </w:t>
      </w:r>
      <w:r w:rsidRPr="008E2929">
        <w:rPr>
          <w:rFonts w:cs="Arial"/>
          <w:b/>
          <w:bCs/>
          <w:i/>
          <w:iCs/>
          <w:szCs w:val="22"/>
          <w:lang w:val="en-US"/>
        </w:rPr>
        <w:t xml:space="preserve">the </w:t>
      </w:r>
      <w:r w:rsidR="00E63302" w:rsidRPr="008E2929">
        <w:rPr>
          <w:rFonts w:cs="Arial"/>
          <w:b/>
          <w:bCs/>
          <w:i/>
          <w:iCs/>
          <w:szCs w:val="22"/>
          <w:lang w:val="en-US"/>
        </w:rPr>
        <w:t xml:space="preserve">Board </w:t>
      </w:r>
    </w:p>
    <w:p w14:paraId="6FE7E9B9" w14:textId="45F9C742" w:rsidR="00E63302" w:rsidRPr="008E2929" w:rsidRDefault="00267093" w:rsidP="00E63302">
      <w:pPr>
        <w:spacing w:after="240"/>
        <w:jc w:val="both"/>
        <w:rPr>
          <w:rFonts w:eastAsia="Arial" w:cs="Arial"/>
          <w:szCs w:val="22"/>
          <w:lang w:val="en-US" w:eastAsia="fr-FR"/>
        </w:rPr>
      </w:pPr>
      <w:r w:rsidRPr="008E2929">
        <w:rPr>
          <w:rFonts w:eastAsia="Arial" w:cs="Arial"/>
          <w:szCs w:val="22"/>
          <w:lang w:val="en-US" w:eastAsia="fr-FR"/>
        </w:rPr>
        <w:br/>
      </w:r>
      <w:r w:rsidR="00E63302" w:rsidRPr="008E2929">
        <w:rPr>
          <w:rFonts w:eastAsia="Arial" w:cs="Arial"/>
          <w:szCs w:val="22"/>
          <w:lang w:val="en-US" w:eastAsia="fr-FR"/>
        </w:rPr>
        <w:t>The Executive Secretary will appoint two Co-chairs from the Expert Members, ideally one representing the science fields and another one representing the societal end-users of the Decade. The Co-chairs will be appointed for one year with the possibility of a second one-year term</w:t>
      </w:r>
      <w:r w:rsidRPr="008E2929">
        <w:rPr>
          <w:rFonts w:eastAsia="Arial" w:cs="Arial"/>
          <w:szCs w:val="22"/>
          <w:lang w:val="en-US" w:eastAsia="fr-FR"/>
        </w:rPr>
        <w:t xml:space="preserve"> in accordance with the provision of article 1.3.</w:t>
      </w:r>
    </w:p>
    <w:p w14:paraId="2EFE521F" w14:textId="7EAFAAD0" w:rsidR="00E63302" w:rsidRPr="008E2929" w:rsidRDefault="00267093" w:rsidP="00E63302">
      <w:pPr>
        <w:rPr>
          <w:rFonts w:cs="Arial"/>
          <w:b/>
          <w:bCs/>
          <w:i/>
          <w:iCs/>
          <w:szCs w:val="22"/>
          <w:lang w:val="en-US"/>
        </w:rPr>
      </w:pPr>
      <w:r w:rsidRPr="008E2929">
        <w:rPr>
          <w:rFonts w:cs="Arial"/>
          <w:b/>
          <w:bCs/>
          <w:i/>
          <w:iCs/>
          <w:szCs w:val="22"/>
          <w:lang w:val="en-US"/>
        </w:rPr>
        <w:t xml:space="preserve">1.5 </w:t>
      </w:r>
      <w:r w:rsidR="008E2929">
        <w:rPr>
          <w:rFonts w:cs="Arial"/>
          <w:b/>
          <w:bCs/>
          <w:i/>
          <w:iCs/>
          <w:szCs w:val="22"/>
          <w:lang w:val="en-US"/>
        </w:rPr>
        <w:tab/>
      </w:r>
      <w:r w:rsidR="00E63302" w:rsidRPr="008E2929">
        <w:rPr>
          <w:rFonts w:cs="Arial"/>
          <w:b/>
          <w:bCs/>
          <w:i/>
          <w:iCs/>
          <w:szCs w:val="22"/>
          <w:lang w:val="en-US"/>
        </w:rPr>
        <w:t>Attendance at Meetings by Expert Members</w:t>
      </w:r>
    </w:p>
    <w:p w14:paraId="6DA14919" w14:textId="73E14BC5" w:rsidR="00E63302" w:rsidRPr="00425094" w:rsidRDefault="00E63302" w:rsidP="00DC4551">
      <w:pPr>
        <w:pStyle w:val="NormalWeb"/>
        <w:jc w:val="both"/>
        <w:rPr>
          <w:rFonts w:ascii="Arial" w:hAnsi="Arial" w:cs="Arial"/>
          <w:sz w:val="22"/>
          <w:szCs w:val="22"/>
          <w:lang w:val="en-US"/>
        </w:rPr>
      </w:pPr>
      <w:r w:rsidRPr="008E2929">
        <w:rPr>
          <w:rFonts w:ascii="Arial" w:hAnsi="Arial" w:cs="Arial"/>
          <w:bCs/>
          <w:sz w:val="22"/>
          <w:szCs w:val="22"/>
          <w:lang w:val="en-US"/>
        </w:rPr>
        <w:t xml:space="preserve">Expert Members of the </w:t>
      </w:r>
      <w:r w:rsidRPr="008E2929">
        <w:rPr>
          <w:rFonts w:ascii="Arial" w:eastAsia="Arial" w:hAnsi="Arial" w:cs="Arial"/>
          <w:sz w:val="22"/>
          <w:szCs w:val="22"/>
          <w:lang w:val="en-US" w:eastAsia="fr-FR"/>
        </w:rPr>
        <w:t>Decade Advisory</w:t>
      </w:r>
      <w:r w:rsidRPr="008E2929">
        <w:rPr>
          <w:rFonts w:ascii="Arial" w:hAnsi="Arial" w:cs="Arial"/>
          <w:bCs/>
          <w:sz w:val="22"/>
          <w:szCs w:val="22"/>
          <w:lang w:val="en-US"/>
        </w:rPr>
        <w:t xml:space="preserve"> Board cannot </w:t>
      </w:r>
      <w:r w:rsidR="00922080">
        <w:rPr>
          <w:rFonts w:ascii="Arial" w:hAnsi="Arial" w:cs="Arial"/>
          <w:bCs/>
          <w:sz w:val="22"/>
          <w:szCs w:val="22"/>
          <w:lang w:val="en-US"/>
        </w:rPr>
        <w:t xml:space="preserve">be represented </w:t>
      </w:r>
      <w:r w:rsidR="00D665C3">
        <w:rPr>
          <w:rFonts w:ascii="Arial" w:hAnsi="Arial" w:cs="Arial"/>
          <w:bCs/>
          <w:sz w:val="22"/>
          <w:szCs w:val="22"/>
          <w:lang w:val="en-US"/>
        </w:rPr>
        <w:t xml:space="preserve">at </w:t>
      </w:r>
      <w:r w:rsidR="00D665C3" w:rsidRPr="008E2929">
        <w:rPr>
          <w:rFonts w:ascii="Arial" w:hAnsi="Arial" w:cs="Arial"/>
          <w:bCs/>
          <w:sz w:val="22"/>
          <w:szCs w:val="22"/>
          <w:lang w:val="en-US"/>
        </w:rPr>
        <w:t>the</w:t>
      </w:r>
      <w:r w:rsidRPr="008E2929">
        <w:rPr>
          <w:rFonts w:ascii="Arial" w:hAnsi="Arial" w:cs="Arial"/>
          <w:bCs/>
          <w:sz w:val="22"/>
          <w:szCs w:val="22"/>
          <w:lang w:val="en-US"/>
        </w:rPr>
        <w:t xml:space="preserve"> Board meetings. </w:t>
      </w:r>
      <w:proofErr w:type="gramStart"/>
      <w:r w:rsidRPr="008E2929">
        <w:rPr>
          <w:rFonts w:ascii="Arial" w:hAnsi="Arial" w:cs="Arial"/>
          <w:bCs/>
          <w:sz w:val="22"/>
          <w:szCs w:val="22"/>
          <w:lang w:val="en-US"/>
        </w:rPr>
        <w:t>In the event that</w:t>
      </w:r>
      <w:proofErr w:type="gramEnd"/>
      <w:r w:rsidRPr="008E2929">
        <w:rPr>
          <w:rFonts w:ascii="Arial" w:hAnsi="Arial" w:cs="Arial"/>
          <w:bCs/>
          <w:sz w:val="22"/>
          <w:szCs w:val="22"/>
          <w:lang w:val="en-US"/>
        </w:rPr>
        <w:t xml:space="preserve"> an Expert Member cannot attend a meeting, he/she can send written comments in advance of the meeting that will be relayed during the discussions.</w:t>
      </w:r>
      <w:r w:rsidR="00267093" w:rsidRPr="008E2929">
        <w:rPr>
          <w:rFonts w:ascii="Arial" w:hAnsi="Arial" w:cs="Arial"/>
          <w:bCs/>
          <w:sz w:val="22"/>
          <w:szCs w:val="22"/>
          <w:lang w:val="en-US"/>
        </w:rPr>
        <w:t xml:space="preserve"> </w:t>
      </w:r>
      <w:r w:rsidR="00267093" w:rsidRPr="008E2929">
        <w:rPr>
          <w:rFonts w:ascii="Arial" w:hAnsi="Arial" w:cs="Arial"/>
          <w:sz w:val="22"/>
          <w:szCs w:val="22"/>
        </w:rPr>
        <w:t xml:space="preserve">Members are expected to attend every meeting of the </w:t>
      </w:r>
      <w:r w:rsidR="00267093" w:rsidRPr="008E2929">
        <w:rPr>
          <w:rFonts w:ascii="Arial" w:hAnsi="Arial" w:cs="Arial"/>
          <w:sz w:val="22"/>
          <w:szCs w:val="22"/>
          <w:lang w:val="en-US"/>
        </w:rPr>
        <w:t>Board</w:t>
      </w:r>
      <w:r w:rsidR="00267093" w:rsidRPr="008E2929">
        <w:rPr>
          <w:rFonts w:ascii="Arial" w:hAnsi="Arial" w:cs="Arial"/>
          <w:sz w:val="22"/>
          <w:szCs w:val="22"/>
        </w:rPr>
        <w:t xml:space="preserve">. </w:t>
      </w:r>
      <w:r w:rsidR="00922080">
        <w:rPr>
          <w:rFonts w:ascii="Arial" w:hAnsi="Arial" w:cs="Arial"/>
          <w:sz w:val="22"/>
          <w:szCs w:val="22"/>
          <w:lang w:val="en-US"/>
        </w:rPr>
        <w:t>Unless exceptional circumstances apply, M</w:t>
      </w:r>
      <w:r w:rsidR="00267093" w:rsidRPr="008E2929">
        <w:rPr>
          <w:rFonts w:ascii="Arial" w:hAnsi="Arial" w:cs="Arial"/>
          <w:sz w:val="22"/>
          <w:szCs w:val="22"/>
        </w:rPr>
        <w:t>embers who are absent for two consecutive meetings</w:t>
      </w:r>
      <w:r w:rsidR="00267093" w:rsidRPr="008E2929">
        <w:rPr>
          <w:rFonts w:ascii="Arial" w:hAnsi="Arial" w:cs="Arial"/>
          <w:sz w:val="22"/>
          <w:szCs w:val="22"/>
          <w:lang w:val="en-US"/>
        </w:rPr>
        <w:t xml:space="preserve"> and do not provide inputs to </w:t>
      </w:r>
      <w:r w:rsidR="005E0F5D">
        <w:rPr>
          <w:rFonts w:ascii="Arial" w:hAnsi="Arial" w:cs="Arial"/>
          <w:sz w:val="22"/>
          <w:szCs w:val="22"/>
          <w:lang w:val="en-US"/>
        </w:rPr>
        <w:t xml:space="preserve">the </w:t>
      </w:r>
      <w:r w:rsidR="00267093" w:rsidRPr="008E2929">
        <w:rPr>
          <w:rFonts w:ascii="Arial" w:hAnsi="Arial" w:cs="Arial"/>
          <w:sz w:val="22"/>
          <w:szCs w:val="22"/>
          <w:lang w:val="en-US"/>
        </w:rPr>
        <w:t xml:space="preserve">work of the </w:t>
      </w:r>
      <w:r w:rsidR="00D665C3" w:rsidRPr="008E2929">
        <w:rPr>
          <w:rFonts w:ascii="Arial" w:hAnsi="Arial" w:cs="Arial"/>
          <w:sz w:val="22"/>
          <w:szCs w:val="22"/>
          <w:lang w:val="en-US"/>
        </w:rPr>
        <w:t xml:space="preserve">Board, </w:t>
      </w:r>
      <w:r w:rsidR="00D665C3" w:rsidRPr="008E2929">
        <w:rPr>
          <w:rFonts w:ascii="Arial" w:hAnsi="Arial" w:cs="Arial"/>
          <w:sz w:val="22"/>
          <w:szCs w:val="22"/>
        </w:rPr>
        <w:t>will</w:t>
      </w:r>
      <w:r w:rsidR="00267093" w:rsidRPr="008E2929">
        <w:rPr>
          <w:rFonts w:ascii="Arial" w:hAnsi="Arial" w:cs="Arial"/>
          <w:sz w:val="22"/>
          <w:szCs w:val="22"/>
        </w:rPr>
        <w:t xml:space="preserve"> normally be considered to have resigned and new nominations </w:t>
      </w:r>
      <w:r w:rsidR="00922080">
        <w:rPr>
          <w:rFonts w:ascii="Arial" w:hAnsi="Arial" w:cs="Arial"/>
          <w:sz w:val="22"/>
          <w:szCs w:val="22"/>
          <w:lang w:val="en-US"/>
        </w:rPr>
        <w:t>will</w:t>
      </w:r>
      <w:r w:rsidR="00922080" w:rsidRPr="008E2929">
        <w:rPr>
          <w:rFonts w:ascii="Arial" w:hAnsi="Arial" w:cs="Arial"/>
          <w:sz w:val="22"/>
          <w:szCs w:val="22"/>
        </w:rPr>
        <w:t xml:space="preserve"> </w:t>
      </w:r>
      <w:r w:rsidR="00267093" w:rsidRPr="008E2929">
        <w:rPr>
          <w:rFonts w:ascii="Arial" w:hAnsi="Arial" w:cs="Arial"/>
          <w:sz w:val="22"/>
          <w:szCs w:val="22"/>
        </w:rPr>
        <w:t xml:space="preserve">be sought. </w:t>
      </w:r>
      <w:r w:rsidR="00922080">
        <w:rPr>
          <w:rFonts w:ascii="Arial" w:hAnsi="Arial" w:cs="Arial"/>
          <w:sz w:val="22"/>
          <w:szCs w:val="22"/>
          <w:lang w:val="en-US"/>
        </w:rPr>
        <w:t xml:space="preserve">This decision will be at the discretion of the IOC Executive Secretary. </w:t>
      </w:r>
    </w:p>
    <w:p w14:paraId="08D52471" w14:textId="57A90F07" w:rsidR="00E63302" w:rsidRPr="008E2929" w:rsidRDefault="00DC4551" w:rsidP="00DC4551">
      <w:pPr>
        <w:rPr>
          <w:rFonts w:cs="Arial"/>
          <w:b/>
          <w:bCs/>
          <w:i/>
          <w:iCs/>
          <w:szCs w:val="22"/>
          <w:lang w:val="en-US"/>
        </w:rPr>
      </w:pPr>
      <w:r w:rsidRPr="008E2929">
        <w:rPr>
          <w:rFonts w:cs="Arial"/>
          <w:b/>
          <w:bCs/>
          <w:i/>
          <w:iCs/>
          <w:szCs w:val="22"/>
          <w:lang w:val="en-US"/>
        </w:rPr>
        <w:t xml:space="preserve">1.6 </w:t>
      </w:r>
      <w:r w:rsidRPr="008E2929">
        <w:rPr>
          <w:rFonts w:cs="Arial"/>
          <w:b/>
          <w:bCs/>
          <w:i/>
          <w:iCs/>
          <w:szCs w:val="22"/>
          <w:lang w:val="en-US"/>
        </w:rPr>
        <w:tab/>
      </w:r>
      <w:r w:rsidR="00E63302" w:rsidRPr="008E2929">
        <w:rPr>
          <w:rFonts w:cs="Arial"/>
          <w:b/>
          <w:bCs/>
          <w:i/>
          <w:iCs/>
          <w:szCs w:val="22"/>
          <w:lang w:val="en-US"/>
        </w:rPr>
        <w:t xml:space="preserve">UN Agency Representation on the Board </w:t>
      </w:r>
      <w:r w:rsidRPr="008E2929">
        <w:rPr>
          <w:rFonts w:cs="Arial"/>
          <w:b/>
          <w:bCs/>
          <w:i/>
          <w:iCs/>
          <w:szCs w:val="22"/>
          <w:lang w:val="en-US"/>
        </w:rPr>
        <w:br/>
      </w:r>
    </w:p>
    <w:p w14:paraId="73E3B8D9" w14:textId="114F0FA9" w:rsidR="00E63302" w:rsidRPr="008E2929" w:rsidRDefault="00E63302" w:rsidP="00E63302">
      <w:pPr>
        <w:spacing w:after="240"/>
        <w:jc w:val="both"/>
        <w:rPr>
          <w:rFonts w:cs="Arial"/>
          <w:color w:val="000000"/>
          <w:szCs w:val="22"/>
          <w:lang w:val="en-US" w:eastAsia="en-GB"/>
        </w:rPr>
      </w:pPr>
      <w:bookmarkStart w:id="0" w:name="_Hlk72486024"/>
      <w:r w:rsidRPr="008E2929">
        <w:rPr>
          <w:rFonts w:eastAsia="Arial" w:cs="Arial"/>
          <w:szCs w:val="22"/>
          <w:lang w:val="en-US" w:eastAsia="fr-FR"/>
        </w:rPr>
        <w:t>UN Legal Counsel/DOALOS, which is the Secretariat and focal point of UN-Oceans and the United Nations Convention on the Laws of the Sea</w:t>
      </w:r>
      <w:bookmarkEnd w:id="0"/>
      <w:r w:rsidRPr="008E2929">
        <w:rPr>
          <w:rFonts w:eastAsia="Arial" w:cs="Arial"/>
          <w:szCs w:val="22"/>
          <w:lang w:val="en-US" w:eastAsia="fr-FR"/>
        </w:rPr>
        <w:t xml:space="preserve">, </w:t>
      </w:r>
      <w:bookmarkStart w:id="1" w:name="_Hlk72486047"/>
      <w:r w:rsidR="00DC4551" w:rsidRPr="008E2929">
        <w:rPr>
          <w:rFonts w:eastAsia="Arial" w:cs="Arial"/>
          <w:szCs w:val="22"/>
          <w:lang w:val="en-US" w:eastAsia="fr-FR"/>
        </w:rPr>
        <w:t>has</w:t>
      </w:r>
      <w:r w:rsidRPr="008E2929">
        <w:rPr>
          <w:rFonts w:eastAsia="Arial" w:cs="Arial"/>
          <w:szCs w:val="22"/>
          <w:lang w:val="en-US" w:eastAsia="fr-FR"/>
        </w:rPr>
        <w:t xml:space="preserve"> one permanent seat on the Decade Advisory Board</w:t>
      </w:r>
      <w:bookmarkEnd w:id="1"/>
      <w:r w:rsidRPr="008E2929">
        <w:rPr>
          <w:rFonts w:eastAsia="Arial" w:cs="Arial"/>
          <w:szCs w:val="22"/>
          <w:lang w:val="en-US" w:eastAsia="fr-FR"/>
        </w:rPr>
        <w:t>. The IOC Secretariat as coordinator of the Decade also ha</w:t>
      </w:r>
      <w:r w:rsidR="00DC4551" w:rsidRPr="008E2929">
        <w:rPr>
          <w:rFonts w:eastAsia="Arial" w:cs="Arial"/>
          <w:szCs w:val="22"/>
          <w:lang w:val="en-US" w:eastAsia="fr-FR"/>
        </w:rPr>
        <w:t>s</w:t>
      </w:r>
      <w:r w:rsidRPr="008E2929">
        <w:rPr>
          <w:rFonts w:eastAsia="Arial" w:cs="Arial"/>
          <w:szCs w:val="22"/>
          <w:lang w:val="en-US" w:eastAsia="fr-FR"/>
        </w:rPr>
        <w:t xml:space="preserve"> a permanent seat on the Board. Three more non-permanent seats will be reserved for UN Agencies. T</w:t>
      </w:r>
      <w:r w:rsidRPr="008E2929">
        <w:rPr>
          <w:rFonts w:cs="Arial"/>
          <w:color w:val="000000"/>
          <w:szCs w:val="22"/>
          <w:lang w:val="en-US" w:eastAsia="en-GB"/>
        </w:rPr>
        <w:t>he following modality will be used to fill the three non-permanent UN seats.</w:t>
      </w:r>
    </w:p>
    <w:p w14:paraId="023746B6" w14:textId="25DAC365" w:rsidR="00E63302" w:rsidRPr="008E2929" w:rsidRDefault="00E63302" w:rsidP="007A4A17">
      <w:pPr>
        <w:pStyle w:val="ListParagraph"/>
        <w:numPr>
          <w:ilvl w:val="0"/>
          <w:numId w:val="22"/>
        </w:numPr>
        <w:spacing w:line="235" w:lineRule="atLeast"/>
        <w:jc w:val="both"/>
        <w:rPr>
          <w:rFonts w:ascii="Arial" w:hAnsi="Arial" w:cs="Arial"/>
          <w:color w:val="000000"/>
          <w:lang w:val="en-US" w:eastAsia="en-GB"/>
        </w:rPr>
      </w:pPr>
      <w:r w:rsidRPr="008E2929">
        <w:rPr>
          <w:rFonts w:ascii="Arial" w:hAnsi="Arial" w:cs="Arial"/>
          <w:b/>
          <w:color w:val="000000"/>
          <w:lang w:val="en-US" w:eastAsia="en-GB"/>
        </w:rPr>
        <w:t>Planning of meetings inc</w:t>
      </w:r>
      <w:r w:rsidR="00DC4551" w:rsidRPr="008E2929">
        <w:rPr>
          <w:rFonts w:ascii="Arial" w:hAnsi="Arial" w:cs="Arial"/>
          <w:b/>
          <w:color w:val="000000"/>
          <w:lang w:val="en-US" w:eastAsia="en-GB"/>
        </w:rPr>
        <w:t>luding</w:t>
      </w:r>
      <w:r w:rsidRPr="008E2929">
        <w:rPr>
          <w:rFonts w:ascii="Arial" w:hAnsi="Arial" w:cs="Arial"/>
          <w:b/>
          <w:color w:val="000000"/>
          <w:lang w:val="en-US" w:eastAsia="en-GB"/>
        </w:rPr>
        <w:t xml:space="preserve"> thematic focus:</w:t>
      </w:r>
      <w:r w:rsidRPr="008E2929">
        <w:rPr>
          <w:rFonts w:ascii="Arial" w:hAnsi="Arial" w:cs="Arial"/>
          <w:color w:val="000000"/>
          <w:lang w:val="en-US" w:eastAsia="en-GB"/>
        </w:rPr>
        <w:t xml:space="preserve"> At the beginning of each year, the Decade Coordination Unit (DCU) will communicate through UN-Oceans the general planning of the meetings and as far as possible, the main themes to be addressed at each meeting for at least the upcoming period of 6 months, but ideally for the upcoming 12 months. The themes to be addressed will be linked to the scope of the 6-monthly Calls for Decade Actions (cf. the Ocean Decade Challenges) as well as strategic issues of relevance to Decade implementation. </w:t>
      </w:r>
    </w:p>
    <w:p w14:paraId="1DA05A8F" w14:textId="77777777" w:rsidR="00E63302" w:rsidRPr="008E2929" w:rsidRDefault="00E63302" w:rsidP="007A4A17">
      <w:pPr>
        <w:pStyle w:val="ListParagraph"/>
        <w:numPr>
          <w:ilvl w:val="0"/>
          <w:numId w:val="22"/>
        </w:numPr>
        <w:spacing w:line="235" w:lineRule="atLeast"/>
        <w:jc w:val="both"/>
        <w:rPr>
          <w:rFonts w:ascii="Arial" w:eastAsia="Times New Roman" w:hAnsi="Arial" w:cs="Arial"/>
          <w:color w:val="000000"/>
          <w:lang w:val="en-US" w:eastAsia="en-GB"/>
        </w:rPr>
      </w:pPr>
      <w:r w:rsidRPr="008E2929">
        <w:rPr>
          <w:rFonts w:ascii="Arial" w:eastAsia="Times New Roman" w:hAnsi="Arial" w:cs="Arial"/>
          <w:b/>
          <w:color w:val="000000"/>
          <w:lang w:val="en-US" w:eastAsia="en-GB"/>
        </w:rPr>
        <w:t>Nomination of non-permanent members</w:t>
      </w:r>
      <w:r w:rsidRPr="008E2929">
        <w:rPr>
          <w:rFonts w:ascii="Arial" w:eastAsia="Times New Roman" w:hAnsi="Arial" w:cs="Arial"/>
          <w:color w:val="000000"/>
          <w:lang w:val="en-US" w:eastAsia="en-GB"/>
        </w:rPr>
        <w:t xml:space="preserve">: On the basis of this planning, the Secretariat of UN-Oceans will request self-nomination by UN entities to be represented on the Board for the upcoming </w:t>
      </w:r>
      <w:proofErr w:type="gramStart"/>
      <w:r w:rsidRPr="008E2929">
        <w:rPr>
          <w:rFonts w:ascii="Arial" w:eastAsia="Times New Roman" w:hAnsi="Arial" w:cs="Arial"/>
          <w:color w:val="000000"/>
          <w:lang w:val="en-US" w:eastAsia="en-GB"/>
        </w:rPr>
        <w:t>12 month</w:t>
      </w:r>
      <w:proofErr w:type="gramEnd"/>
      <w:r w:rsidRPr="008E2929">
        <w:rPr>
          <w:rFonts w:ascii="Arial" w:eastAsia="Times New Roman" w:hAnsi="Arial" w:cs="Arial"/>
          <w:color w:val="000000"/>
          <w:lang w:val="en-US" w:eastAsia="en-GB"/>
        </w:rPr>
        <w:t xml:space="preserve"> period. If there are more than three requests for membership, discussions will be held amongst interested entities to reach consensus with consideration given to the alignment between the issues to be treated and the mandate of the interested entities. This may include the possibility of different members having terms of less than a year (</w:t>
      </w:r>
      <w:proofErr w:type="gramStart"/>
      <w:r w:rsidRPr="008E2929">
        <w:rPr>
          <w:rFonts w:ascii="Arial" w:eastAsia="Times New Roman" w:hAnsi="Arial" w:cs="Arial"/>
          <w:color w:val="000000"/>
          <w:lang w:val="en-US" w:eastAsia="en-GB"/>
        </w:rPr>
        <w:t>e.g.</w:t>
      </w:r>
      <w:proofErr w:type="gramEnd"/>
      <w:r w:rsidRPr="008E2929">
        <w:rPr>
          <w:rFonts w:ascii="Arial" w:eastAsia="Times New Roman" w:hAnsi="Arial" w:cs="Arial"/>
          <w:color w:val="000000"/>
          <w:lang w:val="en-US" w:eastAsia="en-GB"/>
        </w:rPr>
        <w:t xml:space="preserve"> different members for different meetings during the year). Consideration will also be given to ensuring that the seats rotate amongst all interested UN entities. </w:t>
      </w:r>
    </w:p>
    <w:p w14:paraId="2BBEDA66" w14:textId="7720E878" w:rsidR="00E63302" w:rsidRPr="008E2929" w:rsidRDefault="00E63302" w:rsidP="007A4A17">
      <w:pPr>
        <w:pStyle w:val="ListParagraph"/>
        <w:numPr>
          <w:ilvl w:val="0"/>
          <w:numId w:val="22"/>
        </w:numPr>
        <w:spacing w:line="235" w:lineRule="atLeast"/>
        <w:jc w:val="both"/>
        <w:rPr>
          <w:rFonts w:ascii="Arial" w:eastAsia="Times New Roman" w:hAnsi="Arial" w:cs="Arial"/>
          <w:color w:val="000000"/>
          <w:lang w:val="en-US" w:eastAsia="en-GB"/>
        </w:rPr>
      </w:pPr>
      <w:r w:rsidRPr="008E2929">
        <w:rPr>
          <w:rFonts w:ascii="Arial" w:eastAsia="Times New Roman" w:hAnsi="Arial" w:cs="Arial"/>
          <w:b/>
          <w:color w:val="000000"/>
          <w:lang w:val="en-US" w:eastAsia="en-GB"/>
        </w:rPr>
        <w:t>Registration of observers:</w:t>
      </w:r>
      <w:r w:rsidRPr="008E2929">
        <w:rPr>
          <w:rFonts w:ascii="Arial" w:eastAsia="Times New Roman" w:hAnsi="Arial" w:cs="Arial"/>
          <w:color w:val="000000"/>
          <w:lang w:val="en-US" w:eastAsia="en-GB"/>
        </w:rPr>
        <w:t xml:space="preserve"> Throughout the year the meeting agendas will be circulated via U</w:t>
      </w:r>
      <w:r w:rsidR="00DC4551" w:rsidRPr="008E2929">
        <w:rPr>
          <w:rFonts w:ascii="Arial" w:eastAsia="Times New Roman" w:hAnsi="Arial" w:cs="Arial"/>
          <w:color w:val="000000"/>
          <w:lang w:val="en-US" w:eastAsia="en-GB"/>
        </w:rPr>
        <w:t>N</w:t>
      </w:r>
      <w:r w:rsidRPr="008E2929">
        <w:rPr>
          <w:rFonts w:ascii="Arial" w:eastAsia="Times New Roman" w:hAnsi="Arial" w:cs="Arial"/>
          <w:color w:val="000000"/>
          <w:lang w:val="en-US" w:eastAsia="en-GB"/>
        </w:rPr>
        <w:t xml:space="preserve">-Oceans in advance of the meetings. All other UN entities that wish to attend a particular meeting (including the possibility to intervene in the discussions as an observer) will be asked to register their interest via UN-Oceans to be an observer at a particular meeting. </w:t>
      </w:r>
    </w:p>
    <w:p w14:paraId="53CD393F" w14:textId="77777777" w:rsidR="00E63302" w:rsidRPr="008E2929" w:rsidRDefault="00E63302" w:rsidP="00E63302">
      <w:pPr>
        <w:rPr>
          <w:rFonts w:cs="Arial"/>
          <w:b/>
          <w:bCs/>
          <w:i/>
          <w:iCs/>
          <w:szCs w:val="22"/>
          <w:lang w:val="en-US"/>
        </w:rPr>
      </w:pPr>
    </w:p>
    <w:p w14:paraId="0319F697" w14:textId="7563AC82" w:rsidR="00E63302" w:rsidRPr="00B41FB2" w:rsidRDefault="00E63302" w:rsidP="00B41FB2">
      <w:pPr>
        <w:pStyle w:val="ListParagraph"/>
        <w:numPr>
          <w:ilvl w:val="1"/>
          <w:numId w:val="28"/>
        </w:numPr>
        <w:rPr>
          <w:rFonts w:ascii="Arial" w:hAnsi="Arial" w:cs="Arial"/>
          <w:b/>
          <w:bCs/>
          <w:i/>
          <w:iCs/>
          <w:lang w:val="en-US"/>
        </w:rPr>
      </w:pPr>
      <w:r w:rsidRPr="00B41FB2">
        <w:rPr>
          <w:rFonts w:ascii="Arial" w:hAnsi="Arial" w:cs="Arial"/>
          <w:b/>
          <w:bCs/>
          <w:i/>
          <w:iCs/>
          <w:lang w:val="en-US"/>
        </w:rPr>
        <w:t xml:space="preserve">Observers of Board Meetings </w:t>
      </w:r>
    </w:p>
    <w:p w14:paraId="706F127A" w14:textId="293761E9" w:rsidR="008E2929" w:rsidRPr="007A4A17" w:rsidRDefault="00DC4551" w:rsidP="00E63302">
      <w:pPr>
        <w:rPr>
          <w:rFonts w:cs="Arial"/>
          <w:szCs w:val="22"/>
          <w:lang w:val="en-US"/>
        </w:rPr>
      </w:pPr>
      <w:r w:rsidRPr="008E2929">
        <w:rPr>
          <w:rFonts w:cs="Arial"/>
          <w:szCs w:val="22"/>
          <w:lang w:val="en-US"/>
        </w:rPr>
        <w:t xml:space="preserve">In accordance with Article 1.6 iii) </w:t>
      </w:r>
      <w:r w:rsidR="00E63302" w:rsidRPr="008E2929">
        <w:rPr>
          <w:rFonts w:cs="Arial"/>
          <w:szCs w:val="22"/>
          <w:lang w:val="en-US"/>
        </w:rPr>
        <w:t>Staff of UN agencies</w:t>
      </w:r>
      <w:r w:rsidRPr="008E2929">
        <w:rPr>
          <w:rFonts w:cs="Arial"/>
          <w:szCs w:val="22"/>
          <w:lang w:val="en-US"/>
        </w:rPr>
        <w:t xml:space="preserve"> may attend meetings of the Board as Observers.</w:t>
      </w:r>
      <w:r w:rsidR="00E63302" w:rsidRPr="008E2929">
        <w:rPr>
          <w:rFonts w:cs="Arial"/>
          <w:szCs w:val="22"/>
          <w:lang w:val="en-US"/>
        </w:rPr>
        <w:t xml:space="preserve"> Observers can intervene in meetings – comments will be recorded as coming from observer</w:t>
      </w:r>
      <w:r w:rsidRPr="008E2929">
        <w:rPr>
          <w:rFonts w:cs="Arial"/>
          <w:szCs w:val="22"/>
          <w:lang w:val="en-US"/>
        </w:rPr>
        <w:t>.</w:t>
      </w:r>
    </w:p>
    <w:p w14:paraId="4F11F769" w14:textId="77777777" w:rsidR="008E2929" w:rsidRDefault="008E2929" w:rsidP="00E63302">
      <w:pPr>
        <w:rPr>
          <w:rFonts w:cs="Arial"/>
          <w:b/>
          <w:bCs/>
          <w:i/>
          <w:iCs/>
          <w:szCs w:val="22"/>
          <w:lang w:val="en-US"/>
        </w:rPr>
      </w:pPr>
    </w:p>
    <w:p w14:paraId="2DAD261F" w14:textId="77777777" w:rsidR="007A4A17" w:rsidRDefault="007A4A17" w:rsidP="00E63302">
      <w:pPr>
        <w:rPr>
          <w:rFonts w:cs="Arial"/>
          <w:b/>
          <w:bCs/>
          <w:i/>
          <w:iCs/>
          <w:szCs w:val="22"/>
          <w:lang w:val="en-US"/>
        </w:rPr>
      </w:pPr>
    </w:p>
    <w:p w14:paraId="12C2CD17" w14:textId="77777777" w:rsidR="007A4A17" w:rsidRDefault="007A4A17" w:rsidP="00E63302">
      <w:pPr>
        <w:rPr>
          <w:rFonts w:cs="Arial"/>
          <w:b/>
          <w:bCs/>
          <w:i/>
          <w:iCs/>
          <w:szCs w:val="22"/>
          <w:lang w:val="en-US"/>
        </w:rPr>
      </w:pPr>
    </w:p>
    <w:p w14:paraId="551EDFB0" w14:textId="77777777" w:rsidR="007A4A17" w:rsidRDefault="007A4A17" w:rsidP="00E63302">
      <w:pPr>
        <w:rPr>
          <w:rFonts w:cs="Arial"/>
          <w:b/>
          <w:bCs/>
          <w:i/>
          <w:iCs/>
          <w:szCs w:val="22"/>
          <w:lang w:val="en-US"/>
        </w:rPr>
      </w:pPr>
    </w:p>
    <w:p w14:paraId="21686880" w14:textId="5642A0C7" w:rsidR="00E63302" w:rsidRPr="008E2929" w:rsidRDefault="008E2929" w:rsidP="00E63302">
      <w:pPr>
        <w:rPr>
          <w:rFonts w:cs="Arial"/>
          <w:b/>
          <w:bCs/>
          <w:i/>
          <w:iCs/>
          <w:szCs w:val="22"/>
          <w:lang w:val="en-US"/>
        </w:rPr>
      </w:pPr>
      <w:r w:rsidRPr="008E2929">
        <w:rPr>
          <w:rFonts w:cs="Arial"/>
          <w:b/>
          <w:bCs/>
          <w:i/>
          <w:iCs/>
          <w:szCs w:val="22"/>
          <w:lang w:val="en-US"/>
        </w:rPr>
        <w:t xml:space="preserve">1.8 </w:t>
      </w:r>
      <w:r>
        <w:rPr>
          <w:rFonts w:cs="Arial"/>
          <w:b/>
          <w:bCs/>
          <w:i/>
          <w:iCs/>
          <w:szCs w:val="22"/>
          <w:lang w:val="en-US"/>
        </w:rPr>
        <w:tab/>
      </w:r>
      <w:r w:rsidR="00E63302" w:rsidRPr="008E2929">
        <w:rPr>
          <w:rFonts w:cs="Arial"/>
          <w:b/>
          <w:bCs/>
          <w:i/>
          <w:iCs/>
          <w:szCs w:val="22"/>
          <w:lang w:val="en-US"/>
        </w:rPr>
        <w:t>Experts and Task Teams</w:t>
      </w:r>
    </w:p>
    <w:p w14:paraId="49A5DF7B" w14:textId="77777777" w:rsidR="008E2929" w:rsidRPr="008E2929" w:rsidRDefault="008E2929" w:rsidP="00E63302">
      <w:pPr>
        <w:rPr>
          <w:rFonts w:eastAsia="Arial" w:cs="Arial"/>
          <w:bCs/>
          <w:szCs w:val="22"/>
          <w:lang w:val="en-US" w:eastAsia="fr-FR"/>
        </w:rPr>
      </w:pPr>
    </w:p>
    <w:p w14:paraId="3D7DC0D4" w14:textId="31A608A1" w:rsidR="00E63302" w:rsidRPr="008E2929" w:rsidRDefault="00E63302" w:rsidP="00E63302">
      <w:pPr>
        <w:rPr>
          <w:rFonts w:cs="Arial"/>
          <w:szCs w:val="22"/>
          <w:lang w:val="en-US"/>
        </w:rPr>
      </w:pPr>
      <w:r w:rsidRPr="008E2929">
        <w:rPr>
          <w:rFonts w:eastAsia="Arial" w:cs="Arial"/>
          <w:bCs/>
          <w:szCs w:val="22"/>
          <w:lang w:val="en-US" w:eastAsia="fr-FR"/>
        </w:rPr>
        <w:t xml:space="preserve">The </w:t>
      </w:r>
      <w:r w:rsidRPr="008E2929">
        <w:rPr>
          <w:rFonts w:eastAsia="Arial" w:cs="Arial"/>
          <w:szCs w:val="22"/>
          <w:lang w:val="en-US" w:eastAsia="fr-FR"/>
        </w:rPr>
        <w:t>Decade Advisory Board may invite external experts as individuals or in groups as needed to address specific issues or tasks. The decision to invite these external experts would be a decision of the Board.</w:t>
      </w:r>
    </w:p>
    <w:p w14:paraId="1C5B660D" w14:textId="77777777" w:rsidR="00E63302" w:rsidRPr="008E2929" w:rsidRDefault="00E63302" w:rsidP="00E63302">
      <w:pPr>
        <w:rPr>
          <w:rFonts w:cs="Arial"/>
          <w:szCs w:val="22"/>
          <w:lang w:val="en-US"/>
        </w:rPr>
      </w:pPr>
    </w:p>
    <w:p w14:paraId="7966BCD0" w14:textId="5774C920" w:rsidR="00E63302" w:rsidRPr="008E2929" w:rsidRDefault="008E2929" w:rsidP="00E63302">
      <w:pPr>
        <w:rPr>
          <w:rFonts w:cs="Arial"/>
          <w:b/>
          <w:bCs/>
          <w:i/>
          <w:iCs/>
          <w:szCs w:val="22"/>
          <w:lang w:val="en-US"/>
        </w:rPr>
      </w:pPr>
      <w:r w:rsidRPr="008E2929">
        <w:rPr>
          <w:rFonts w:cs="Arial"/>
          <w:b/>
          <w:bCs/>
          <w:i/>
          <w:iCs/>
          <w:szCs w:val="22"/>
          <w:lang w:val="en-US"/>
        </w:rPr>
        <w:t xml:space="preserve">1.9 </w:t>
      </w:r>
      <w:r w:rsidR="00E63302" w:rsidRPr="008E2929">
        <w:rPr>
          <w:rFonts w:cs="Arial"/>
          <w:b/>
          <w:bCs/>
          <w:i/>
          <w:iCs/>
          <w:szCs w:val="22"/>
          <w:lang w:val="en-US"/>
        </w:rPr>
        <w:t>Agendas of Board Meetings</w:t>
      </w:r>
    </w:p>
    <w:p w14:paraId="6E269E8C" w14:textId="77777777" w:rsidR="008E2929" w:rsidRPr="008E2929" w:rsidRDefault="008E2929" w:rsidP="00E63302">
      <w:pPr>
        <w:rPr>
          <w:rFonts w:eastAsia="Arial" w:cs="Arial"/>
          <w:bCs/>
          <w:szCs w:val="22"/>
          <w:lang w:val="en-US" w:eastAsia="fr-FR"/>
        </w:rPr>
      </w:pPr>
    </w:p>
    <w:p w14:paraId="75666B53" w14:textId="4EA8A98C" w:rsidR="00E63302" w:rsidRPr="008E2929" w:rsidRDefault="00E63302" w:rsidP="00E63302">
      <w:pPr>
        <w:rPr>
          <w:rFonts w:cs="Arial"/>
          <w:szCs w:val="22"/>
          <w:lang w:val="en-US"/>
        </w:rPr>
      </w:pPr>
      <w:r w:rsidRPr="008E2929">
        <w:rPr>
          <w:rFonts w:eastAsia="Arial" w:cs="Arial"/>
          <w:bCs/>
          <w:szCs w:val="22"/>
          <w:lang w:val="en-US" w:eastAsia="fr-FR"/>
        </w:rPr>
        <w:t xml:space="preserve">The Co-chairs of the </w:t>
      </w:r>
      <w:r w:rsidRPr="008E2929">
        <w:rPr>
          <w:rFonts w:eastAsia="Arial" w:cs="Arial"/>
          <w:szCs w:val="22"/>
          <w:lang w:val="en-US" w:eastAsia="fr-FR"/>
        </w:rPr>
        <w:t>Decade Advisory</w:t>
      </w:r>
      <w:r w:rsidRPr="008E2929">
        <w:rPr>
          <w:rFonts w:eastAsia="Arial" w:cs="Arial"/>
          <w:bCs/>
          <w:szCs w:val="22"/>
          <w:lang w:val="en-US" w:eastAsia="fr-FR"/>
        </w:rPr>
        <w:t xml:space="preserve"> Board will be primarily responsible for the development of the Board Meeting Agenda with the support of the D</w:t>
      </w:r>
      <w:r w:rsidR="00922080">
        <w:rPr>
          <w:rFonts w:eastAsia="Arial" w:cs="Arial"/>
          <w:bCs/>
          <w:szCs w:val="22"/>
          <w:lang w:val="en-US" w:eastAsia="fr-FR"/>
        </w:rPr>
        <w:t xml:space="preserve">ecade Coordination </w:t>
      </w:r>
      <w:r w:rsidRPr="008E2929">
        <w:rPr>
          <w:rFonts w:eastAsia="Arial" w:cs="Arial"/>
          <w:bCs/>
          <w:szCs w:val="22"/>
          <w:lang w:val="en-US" w:eastAsia="fr-FR"/>
        </w:rPr>
        <w:t>U</w:t>
      </w:r>
      <w:r w:rsidR="00922080">
        <w:rPr>
          <w:rFonts w:eastAsia="Arial" w:cs="Arial"/>
          <w:bCs/>
          <w:szCs w:val="22"/>
          <w:lang w:val="en-US" w:eastAsia="fr-FR"/>
        </w:rPr>
        <w:t>nit (DCU)</w:t>
      </w:r>
      <w:r w:rsidRPr="008E2929">
        <w:rPr>
          <w:rFonts w:eastAsia="Arial" w:cs="Arial"/>
          <w:bCs/>
          <w:szCs w:val="22"/>
          <w:lang w:val="en-US" w:eastAsia="fr-FR"/>
        </w:rPr>
        <w:t xml:space="preserve">. All </w:t>
      </w:r>
      <w:r w:rsidRPr="008E2929">
        <w:rPr>
          <w:rFonts w:eastAsia="Arial" w:cs="Arial"/>
          <w:szCs w:val="22"/>
          <w:lang w:val="en-US" w:eastAsia="fr-FR"/>
        </w:rPr>
        <w:t>Decade Advisory</w:t>
      </w:r>
      <w:r w:rsidRPr="008E2929">
        <w:rPr>
          <w:rFonts w:eastAsia="Arial" w:cs="Arial"/>
          <w:bCs/>
          <w:szCs w:val="22"/>
          <w:lang w:val="en-US" w:eastAsia="fr-FR"/>
        </w:rPr>
        <w:t xml:space="preserve"> Board Members can recommend agenda items. </w:t>
      </w:r>
    </w:p>
    <w:p w14:paraId="7530416A" w14:textId="77777777" w:rsidR="00E63302" w:rsidRPr="008E2929" w:rsidRDefault="00E63302" w:rsidP="00E63302">
      <w:pPr>
        <w:rPr>
          <w:rFonts w:cs="Arial"/>
          <w:szCs w:val="22"/>
          <w:lang w:val="en-US"/>
        </w:rPr>
      </w:pPr>
    </w:p>
    <w:p w14:paraId="574A7FDC" w14:textId="2E7D6444" w:rsidR="00E63302" w:rsidRPr="008E2929" w:rsidRDefault="008E2929" w:rsidP="00E63302">
      <w:pPr>
        <w:rPr>
          <w:rFonts w:cs="Arial"/>
          <w:b/>
          <w:bCs/>
          <w:i/>
          <w:iCs/>
          <w:szCs w:val="22"/>
          <w:lang w:val="en-US"/>
        </w:rPr>
      </w:pPr>
      <w:r w:rsidRPr="008E2929">
        <w:rPr>
          <w:rFonts w:cs="Arial"/>
          <w:b/>
          <w:bCs/>
          <w:i/>
          <w:iCs/>
          <w:szCs w:val="22"/>
          <w:lang w:val="en-US"/>
        </w:rPr>
        <w:t xml:space="preserve">2.0 </w:t>
      </w:r>
      <w:r w:rsidR="00E63302" w:rsidRPr="008E2929">
        <w:rPr>
          <w:rFonts w:cs="Arial"/>
          <w:b/>
          <w:bCs/>
          <w:i/>
          <w:iCs/>
          <w:szCs w:val="22"/>
          <w:lang w:val="en-US"/>
        </w:rPr>
        <w:t xml:space="preserve">Decision Making </w:t>
      </w:r>
    </w:p>
    <w:p w14:paraId="12F5E46D" w14:textId="0ABD0945" w:rsidR="00E63302" w:rsidRPr="008E2929" w:rsidRDefault="008E2929" w:rsidP="008E2929">
      <w:pPr>
        <w:spacing w:after="240"/>
        <w:jc w:val="both"/>
        <w:rPr>
          <w:rFonts w:eastAsia="Arial" w:cs="Arial"/>
          <w:szCs w:val="22"/>
          <w:lang w:val="en-US" w:eastAsia="fr-FR"/>
        </w:rPr>
      </w:pPr>
      <w:r>
        <w:rPr>
          <w:rFonts w:eastAsia="Arial" w:cs="Arial"/>
          <w:szCs w:val="22"/>
          <w:lang w:val="en-US" w:eastAsia="fr-FR"/>
        </w:rPr>
        <w:br/>
      </w:r>
      <w:r w:rsidR="00E63302" w:rsidRPr="008E2929">
        <w:rPr>
          <w:rFonts w:eastAsia="Arial" w:cs="Arial"/>
          <w:szCs w:val="22"/>
          <w:lang w:val="en-US" w:eastAsia="fr-FR"/>
        </w:rPr>
        <w:t xml:space="preserve">The Decade Advisory Board will strive for consensus on all issues in providing recommendations and advice to the IOC Executive Secretary. The minutes of the meeting will record any instances when consensus was not reached. No voting procedure will be adopted. </w:t>
      </w:r>
    </w:p>
    <w:p w14:paraId="7E48F473" w14:textId="15CB032B" w:rsidR="00E63302" w:rsidRPr="008E2929" w:rsidRDefault="008E2929" w:rsidP="00E63302">
      <w:pPr>
        <w:rPr>
          <w:rFonts w:cs="Arial"/>
          <w:b/>
          <w:bCs/>
          <w:i/>
          <w:iCs/>
          <w:szCs w:val="22"/>
          <w:lang w:val="en-US"/>
        </w:rPr>
      </w:pPr>
      <w:r w:rsidRPr="008E2929">
        <w:rPr>
          <w:rFonts w:cs="Arial"/>
          <w:b/>
          <w:bCs/>
          <w:i/>
          <w:iCs/>
          <w:szCs w:val="22"/>
          <w:lang w:val="en-US"/>
        </w:rPr>
        <w:t xml:space="preserve">2.1 </w:t>
      </w:r>
      <w:r w:rsidR="00E63302" w:rsidRPr="008E2929">
        <w:rPr>
          <w:rFonts w:cs="Arial"/>
          <w:b/>
          <w:bCs/>
          <w:i/>
          <w:iCs/>
          <w:szCs w:val="22"/>
          <w:lang w:val="en-US"/>
        </w:rPr>
        <w:t xml:space="preserve">Secretariat of </w:t>
      </w:r>
      <w:r w:rsidRPr="008E2929">
        <w:rPr>
          <w:rFonts w:cs="Arial"/>
          <w:b/>
          <w:bCs/>
          <w:i/>
          <w:iCs/>
          <w:szCs w:val="22"/>
          <w:lang w:val="en-US"/>
        </w:rPr>
        <w:t xml:space="preserve">the </w:t>
      </w:r>
      <w:r w:rsidR="00E63302" w:rsidRPr="008E2929">
        <w:rPr>
          <w:rFonts w:cs="Arial"/>
          <w:b/>
          <w:bCs/>
          <w:i/>
          <w:iCs/>
          <w:szCs w:val="22"/>
          <w:lang w:val="en-US"/>
        </w:rPr>
        <w:t xml:space="preserve">Board </w:t>
      </w:r>
    </w:p>
    <w:p w14:paraId="7E3F35D3" w14:textId="19DB960B" w:rsidR="00E63302" w:rsidRPr="008E2929" w:rsidRDefault="008E2929" w:rsidP="008E2929">
      <w:pPr>
        <w:spacing w:after="240"/>
        <w:jc w:val="both"/>
        <w:rPr>
          <w:rFonts w:eastAsia="Arial" w:cs="Arial"/>
          <w:szCs w:val="22"/>
          <w:lang w:val="en-US" w:eastAsia="fr-FR"/>
        </w:rPr>
      </w:pPr>
      <w:r w:rsidRPr="008E2929">
        <w:rPr>
          <w:rFonts w:eastAsia="Arial" w:cs="Arial"/>
          <w:szCs w:val="22"/>
          <w:lang w:val="en-US" w:eastAsia="fr-FR"/>
        </w:rPr>
        <w:br/>
      </w:r>
      <w:r w:rsidR="00E63302" w:rsidRPr="008E2929">
        <w:rPr>
          <w:rFonts w:eastAsia="Arial" w:cs="Arial"/>
          <w:szCs w:val="22"/>
          <w:lang w:val="en-US" w:eastAsia="fr-FR"/>
        </w:rPr>
        <w:t>The Decade Coordination Unit (DCU) located within the IOC Secretariat will be the Secretariat for the Decade Advisory Board.</w:t>
      </w:r>
      <w:r w:rsidRPr="008E2929">
        <w:rPr>
          <w:rFonts w:eastAsia="Arial" w:cs="Arial"/>
          <w:szCs w:val="22"/>
          <w:lang w:val="en-US" w:eastAsia="fr-FR"/>
        </w:rPr>
        <w:t xml:space="preserve"> </w:t>
      </w:r>
      <w:r w:rsidR="00E63302" w:rsidRPr="008E2929">
        <w:rPr>
          <w:rFonts w:cs="Arial"/>
          <w:szCs w:val="22"/>
          <w:lang w:val="en-US"/>
        </w:rPr>
        <w:t>The DCU will provide support to the Co-Chairs for the development of the agenda, reporting from the meeting and for logistical and practical aspects of meeting organization.</w:t>
      </w:r>
    </w:p>
    <w:p w14:paraId="6F36BF44" w14:textId="3CA44056" w:rsidR="00E63302" w:rsidRPr="008E2929" w:rsidRDefault="008E2929" w:rsidP="00E63302">
      <w:pPr>
        <w:rPr>
          <w:rFonts w:cs="Arial"/>
          <w:b/>
          <w:bCs/>
          <w:i/>
          <w:iCs/>
          <w:szCs w:val="22"/>
          <w:lang w:val="en-US"/>
        </w:rPr>
      </w:pPr>
      <w:r w:rsidRPr="008E2929">
        <w:rPr>
          <w:rFonts w:cs="Arial"/>
          <w:b/>
          <w:bCs/>
          <w:i/>
          <w:iCs/>
          <w:szCs w:val="22"/>
          <w:lang w:val="en-US"/>
        </w:rPr>
        <w:t xml:space="preserve">2.2 </w:t>
      </w:r>
      <w:r w:rsidR="00E63302" w:rsidRPr="008E2929">
        <w:rPr>
          <w:rFonts w:cs="Arial"/>
          <w:b/>
          <w:bCs/>
          <w:i/>
          <w:iCs/>
          <w:szCs w:val="22"/>
          <w:lang w:val="en-US"/>
        </w:rPr>
        <w:t xml:space="preserve">Annual Schedule of Board Meetings </w:t>
      </w:r>
    </w:p>
    <w:p w14:paraId="22547E8E" w14:textId="234500AB" w:rsidR="00E63302" w:rsidRPr="007A4A17" w:rsidRDefault="00E63302" w:rsidP="007A4A17">
      <w:pPr>
        <w:pStyle w:val="NormalWeb"/>
        <w:rPr>
          <w:rFonts w:ascii="Arial" w:hAnsi="Arial" w:cs="Arial"/>
          <w:sz w:val="22"/>
          <w:szCs w:val="22"/>
        </w:rPr>
      </w:pPr>
      <w:r w:rsidRPr="008E2929">
        <w:rPr>
          <w:rFonts w:ascii="Arial" w:eastAsia="Arial" w:hAnsi="Arial" w:cs="Arial"/>
          <w:bCs/>
          <w:sz w:val="22"/>
          <w:szCs w:val="22"/>
          <w:lang w:val="en-US" w:eastAsia="fr-FR"/>
        </w:rPr>
        <w:t xml:space="preserve">The </w:t>
      </w:r>
      <w:r w:rsidRPr="008E2929">
        <w:rPr>
          <w:rFonts w:ascii="Arial" w:eastAsia="Arial" w:hAnsi="Arial" w:cs="Arial"/>
          <w:sz w:val="22"/>
          <w:szCs w:val="22"/>
          <w:lang w:val="en-US" w:eastAsia="fr-FR"/>
        </w:rPr>
        <w:t>Decade Advisory</w:t>
      </w:r>
      <w:r w:rsidRPr="008E2929">
        <w:rPr>
          <w:rFonts w:ascii="Arial" w:eastAsia="Arial" w:hAnsi="Arial" w:cs="Arial"/>
          <w:bCs/>
          <w:sz w:val="22"/>
          <w:szCs w:val="22"/>
          <w:lang w:val="en-US" w:eastAsia="fr-FR"/>
        </w:rPr>
        <w:t xml:space="preserve"> Board shall meet four (4) times per year, with at least one (1) in </w:t>
      </w:r>
      <w:proofErr w:type="spellStart"/>
      <w:r w:rsidRPr="008E2929">
        <w:rPr>
          <w:rFonts w:ascii="Arial" w:eastAsia="Arial" w:hAnsi="Arial" w:cs="Arial"/>
          <w:bCs/>
          <w:sz w:val="22"/>
          <w:szCs w:val="22"/>
          <w:lang w:val="en-US" w:eastAsia="fr-FR"/>
        </w:rPr>
        <w:t>presentia</w:t>
      </w:r>
      <w:proofErr w:type="spellEnd"/>
      <w:r w:rsidRPr="008E2929">
        <w:rPr>
          <w:rFonts w:ascii="Arial" w:eastAsia="Arial" w:hAnsi="Arial" w:cs="Arial"/>
          <w:bCs/>
          <w:sz w:val="22"/>
          <w:szCs w:val="22"/>
          <w:lang w:val="en-US" w:eastAsia="fr-FR"/>
        </w:rPr>
        <w:t xml:space="preserve"> meeting annually when possible. Additional in-person or virtual meetings will be held as inter-sessional meetings as necessary.</w:t>
      </w:r>
      <w:r w:rsidR="008E2929" w:rsidRPr="008E2929">
        <w:rPr>
          <w:rFonts w:ascii="Arial" w:hAnsi="Arial" w:cs="Arial"/>
          <w:sz w:val="22"/>
          <w:szCs w:val="22"/>
        </w:rPr>
        <w:t xml:space="preserve"> </w:t>
      </w:r>
    </w:p>
    <w:p w14:paraId="60E7E36C" w14:textId="5911C657" w:rsidR="002867FB" w:rsidRPr="008E2929" w:rsidRDefault="007A4A17" w:rsidP="00E63302">
      <w:pPr>
        <w:spacing w:before="720"/>
        <w:rPr>
          <w:b/>
          <w:szCs w:val="22"/>
          <w:lang w:val="en-US"/>
        </w:rPr>
      </w:pPr>
      <w:r w:rsidRPr="00555525">
        <w:rPr>
          <w:rFonts w:cs="Arial"/>
          <w:noProof/>
          <w:sz w:val="20"/>
          <w:szCs w:val="20"/>
        </w:rPr>
        <w:drawing>
          <wp:inline distT="0" distB="0" distL="0" distR="0" wp14:anchorId="19F2E29B" wp14:editId="15EC1679">
            <wp:extent cx="5760720" cy="2987040"/>
            <wp:effectExtent l="0" t="0" r="0" b="3810"/>
            <wp:docPr id="5" name="Picture 5"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imeline&#10;&#10;Description automatically generated"/>
                    <pic:cNvPicPr/>
                  </pic:nvPicPr>
                  <pic:blipFill>
                    <a:blip r:embed="rId10"/>
                    <a:stretch>
                      <a:fillRect/>
                    </a:stretch>
                  </pic:blipFill>
                  <pic:spPr>
                    <a:xfrm>
                      <a:off x="0" y="0"/>
                      <a:ext cx="5760720" cy="2987040"/>
                    </a:xfrm>
                    <a:prstGeom prst="rect">
                      <a:avLst/>
                    </a:prstGeom>
                  </pic:spPr>
                </pic:pic>
              </a:graphicData>
            </a:graphic>
          </wp:inline>
        </w:drawing>
      </w:r>
    </w:p>
    <w:p w14:paraId="6DBBFAFB" w14:textId="77777777" w:rsidR="002867FB" w:rsidRPr="00E25184" w:rsidRDefault="002867FB" w:rsidP="0029039B">
      <w:pPr>
        <w:spacing w:before="720"/>
        <w:jc w:val="center"/>
        <w:rPr>
          <w:b/>
          <w:sz w:val="18"/>
          <w:szCs w:val="18"/>
        </w:rPr>
      </w:pPr>
    </w:p>
    <w:p w14:paraId="395C0743" w14:textId="414E2F5F" w:rsidR="007A4A17" w:rsidRPr="00395E13" w:rsidRDefault="007A4A17" w:rsidP="007A4A17">
      <w:pPr>
        <w:rPr>
          <w:rFonts w:cs="Arial"/>
          <w:b/>
          <w:bCs/>
          <w:i/>
          <w:iCs/>
          <w:szCs w:val="22"/>
          <w:lang w:val="en-US"/>
        </w:rPr>
      </w:pPr>
      <w:r w:rsidRPr="00395E13">
        <w:rPr>
          <w:rFonts w:cs="Arial"/>
          <w:b/>
          <w:bCs/>
          <w:i/>
          <w:iCs/>
          <w:szCs w:val="22"/>
          <w:lang w:val="en-US"/>
        </w:rPr>
        <w:t xml:space="preserve">2.3 Reporting from Board Meetings </w:t>
      </w:r>
    </w:p>
    <w:p w14:paraId="0C3E82A9" w14:textId="00C9CAF3" w:rsidR="007A4A17" w:rsidRPr="00395E13" w:rsidRDefault="007A4A17" w:rsidP="00395E13">
      <w:pPr>
        <w:tabs>
          <w:tab w:val="left" w:pos="2940"/>
        </w:tabs>
        <w:spacing w:after="240"/>
        <w:jc w:val="both"/>
        <w:rPr>
          <w:rFonts w:eastAsia="Arial" w:cs="Arial"/>
          <w:bCs/>
          <w:szCs w:val="22"/>
          <w:lang w:val="en-US" w:eastAsia="fr-FR"/>
        </w:rPr>
      </w:pPr>
      <w:r w:rsidRPr="00395E13">
        <w:rPr>
          <w:rFonts w:eastAsia="Arial" w:cs="Arial"/>
          <w:bCs/>
          <w:szCs w:val="22"/>
          <w:lang w:val="en-US" w:eastAsia="fr-FR"/>
        </w:rPr>
        <w:t>A report of the Board meetings will be developed and distributed by the</w:t>
      </w:r>
      <w:r w:rsidRPr="00395E13">
        <w:rPr>
          <w:rFonts w:cs="Arial"/>
          <w:bCs/>
          <w:szCs w:val="22"/>
          <w:lang w:val="en-US"/>
        </w:rPr>
        <w:t xml:space="preserve"> Secretariat for the </w:t>
      </w:r>
      <w:r w:rsidRPr="00395E13">
        <w:rPr>
          <w:rFonts w:eastAsia="Arial" w:cs="Arial"/>
          <w:szCs w:val="22"/>
          <w:lang w:val="en-US" w:eastAsia="fr-FR"/>
        </w:rPr>
        <w:t>Decade Advisory</w:t>
      </w:r>
      <w:r w:rsidRPr="00395E13">
        <w:rPr>
          <w:rFonts w:cs="Arial"/>
          <w:bCs/>
          <w:szCs w:val="22"/>
          <w:lang w:val="en-US"/>
        </w:rPr>
        <w:t xml:space="preserve"> Board. Following review by Board members, these reports will be made public on the Ocean Decade website. </w:t>
      </w:r>
    </w:p>
    <w:p w14:paraId="5527504E" w14:textId="0964D9B6" w:rsidR="007A4A17" w:rsidRDefault="007A4A17" w:rsidP="007A4A17">
      <w:pPr>
        <w:rPr>
          <w:rFonts w:cs="Arial"/>
          <w:b/>
          <w:bCs/>
          <w:i/>
          <w:iCs/>
          <w:szCs w:val="22"/>
          <w:lang w:val="en-US"/>
        </w:rPr>
      </w:pPr>
      <w:r w:rsidRPr="00395E13">
        <w:rPr>
          <w:rFonts w:cs="Arial"/>
          <w:b/>
          <w:bCs/>
          <w:i/>
          <w:iCs/>
          <w:szCs w:val="22"/>
          <w:lang w:val="en-US"/>
        </w:rPr>
        <w:t>2.4 Working Language</w:t>
      </w:r>
    </w:p>
    <w:p w14:paraId="7D00BEDB" w14:textId="77777777" w:rsidR="00B41FB2" w:rsidRPr="00395E13" w:rsidRDefault="00B41FB2" w:rsidP="007A4A17">
      <w:pPr>
        <w:rPr>
          <w:rFonts w:cs="Arial"/>
          <w:b/>
          <w:bCs/>
          <w:i/>
          <w:iCs/>
          <w:szCs w:val="22"/>
          <w:lang w:val="en-US"/>
        </w:rPr>
      </w:pPr>
    </w:p>
    <w:p w14:paraId="16735688" w14:textId="6042E14A" w:rsidR="007A4A17" w:rsidRPr="00395E13" w:rsidRDefault="007A4A17" w:rsidP="007A4A17">
      <w:pPr>
        <w:spacing w:after="240"/>
        <w:jc w:val="both"/>
        <w:rPr>
          <w:rFonts w:eastAsia="Arial" w:cs="Arial"/>
          <w:szCs w:val="22"/>
          <w:lang w:val="en-US" w:eastAsia="fr-FR"/>
        </w:rPr>
      </w:pPr>
      <w:r w:rsidRPr="00395E13">
        <w:rPr>
          <w:rFonts w:eastAsia="Arial" w:cs="Arial"/>
          <w:szCs w:val="22"/>
          <w:lang w:val="en-US" w:eastAsia="fr-FR"/>
        </w:rPr>
        <w:t xml:space="preserve">The working language of the Board will be English. No interpretation will be provided. </w:t>
      </w:r>
    </w:p>
    <w:p w14:paraId="2A955471" w14:textId="36FD838B" w:rsidR="007A4A17" w:rsidRPr="00395E13" w:rsidRDefault="007A4A17" w:rsidP="007A4A17">
      <w:pPr>
        <w:spacing w:after="240"/>
        <w:rPr>
          <w:rFonts w:eastAsia="Arial" w:cs="Arial"/>
          <w:b/>
          <w:bCs/>
          <w:i/>
          <w:iCs/>
          <w:szCs w:val="22"/>
          <w:lang w:val="en-US" w:eastAsia="fr-FR"/>
        </w:rPr>
      </w:pPr>
      <w:r w:rsidRPr="00395E13">
        <w:rPr>
          <w:rFonts w:eastAsia="Arial" w:cs="Arial"/>
          <w:b/>
          <w:bCs/>
          <w:i/>
          <w:iCs/>
          <w:szCs w:val="22"/>
          <w:lang w:val="en-US" w:eastAsia="fr-FR"/>
        </w:rPr>
        <w:t>2.5 Amendments to Board Terms of Reference or Rules of Procedure</w:t>
      </w:r>
      <w:r w:rsidRPr="00395E13">
        <w:rPr>
          <w:rFonts w:eastAsia="Arial" w:cs="Arial"/>
          <w:b/>
          <w:bCs/>
          <w:i/>
          <w:iCs/>
          <w:szCs w:val="22"/>
          <w:lang w:val="en-US" w:eastAsia="fr-FR"/>
        </w:rPr>
        <w:br/>
      </w:r>
      <w:r w:rsidRPr="00395E13">
        <w:rPr>
          <w:rFonts w:eastAsia="Arial" w:cs="Arial"/>
          <w:b/>
          <w:bCs/>
          <w:i/>
          <w:iCs/>
          <w:szCs w:val="22"/>
          <w:lang w:val="en-US" w:eastAsia="fr-FR"/>
        </w:rPr>
        <w:br/>
      </w:r>
      <w:r w:rsidRPr="00395E13">
        <w:rPr>
          <w:rFonts w:eastAsia="Arial" w:cs="Arial"/>
          <w:szCs w:val="22"/>
          <w:lang w:val="en-US" w:eastAsia="fr-FR"/>
        </w:rPr>
        <w:t>Any amendments to the Board</w:t>
      </w:r>
      <w:r w:rsidR="00B41FB2">
        <w:rPr>
          <w:rFonts w:eastAsia="Arial" w:cs="Arial"/>
          <w:szCs w:val="22"/>
          <w:lang w:val="en-US" w:eastAsia="fr-FR"/>
        </w:rPr>
        <w:t xml:space="preserve">’s </w:t>
      </w:r>
      <w:r w:rsidRPr="00395E13">
        <w:rPr>
          <w:rFonts w:eastAsia="Arial" w:cs="Arial"/>
          <w:szCs w:val="22"/>
          <w:lang w:val="en-US" w:eastAsia="fr-FR"/>
        </w:rPr>
        <w:t xml:space="preserve">Rules of Procedure should be considered by </w:t>
      </w:r>
      <w:r w:rsidR="00ED2D44">
        <w:rPr>
          <w:rFonts w:eastAsia="Arial" w:cs="Arial"/>
          <w:szCs w:val="22"/>
          <w:lang w:val="en-US" w:eastAsia="fr-FR"/>
        </w:rPr>
        <w:t>an</w:t>
      </w:r>
      <w:r w:rsidR="00395E13" w:rsidRPr="00395E13">
        <w:rPr>
          <w:rFonts w:eastAsia="Arial" w:cs="Arial"/>
          <w:szCs w:val="22"/>
          <w:lang w:val="en-US" w:eastAsia="fr-FR"/>
        </w:rPr>
        <w:t xml:space="preserve"> </w:t>
      </w:r>
      <w:r w:rsidRPr="00ED21C0">
        <w:rPr>
          <w:rFonts w:eastAsia="Arial" w:cs="Arial"/>
          <w:szCs w:val="22"/>
          <w:lang w:val="en-US" w:eastAsia="fr-FR"/>
        </w:rPr>
        <w:t>IOC</w:t>
      </w:r>
      <w:r w:rsidR="00ED21C0" w:rsidRPr="00425094">
        <w:rPr>
          <w:rFonts w:eastAsia="Arial" w:cs="Arial"/>
          <w:szCs w:val="22"/>
          <w:lang w:val="en-US" w:eastAsia="fr-FR"/>
        </w:rPr>
        <w:t xml:space="preserve"> Major Governing Bodies (Assembly or Executive Council)</w:t>
      </w:r>
    </w:p>
    <w:p w14:paraId="69493AA7" w14:textId="77777777" w:rsidR="007A4A17" w:rsidRDefault="007A4A17" w:rsidP="0029039B">
      <w:pPr>
        <w:spacing w:before="720"/>
        <w:jc w:val="center"/>
        <w:rPr>
          <w:b/>
          <w:sz w:val="18"/>
          <w:szCs w:val="18"/>
        </w:rPr>
      </w:pPr>
    </w:p>
    <w:p w14:paraId="7536778E" w14:textId="601D90CF" w:rsidR="0029039B" w:rsidRPr="00E25184" w:rsidRDefault="0029039B" w:rsidP="0029039B">
      <w:pPr>
        <w:spacing w:before="720"/>
        <w:jc w:val="center"/>
        <w:rPr>
          <w:b/>
          <w:sz w:val="18"/>
          <w:szCs w:val="18"/>
        </w:rPr>
      </w:pPr>
      <w:r w:rsidRPr="00E25184">
        <w:rPr>
          <w:b/>
          <w:sz w:val="18"/>
          <w:szCs w:val="18"/>
        </w:rPr>
        <w:t>Intergovernmental Oceanographic Commission (IOC)</w:t>
      </w:r>
    </w:p>
    <w:p w14:paraId="4595736E" w14:textId="77777777" w:rsidR="0029039B" w:rsidRPr="00E25184" w:rsidRDefault="0029039B" w:rsidP="0029039B">
      <w:pPr>
        <w:jc w:val="center"/>
        <w:rPr>
          <w:sz w:val="18"/>
          <w:szCs w:val="18"/>
        </w:rPr>
      </w:pPr>
      <w:r w:rsidRPr="00E25184">
        <w:rPr>
          <w:sz w:val="18"/>
          <w:szCs w:val="18"/>
        </w:rPr>
        <w:t>United Nations Educational, Scientific and Cultural Organization</w:t>
      </w:r>
    </w:p>
    <w:p w14:paraId="117A0BB8" w14:textId="77777777" w:rsidR="0029039B" w:rsidRPr="007E72F8" w:rsidRDefault="00CD1CFD" w:rsidP="0029039B">
      <w:pPr>
        <w:jc w:val="center"/>
        <w:rPr>
          <w:sz w:val="18"/>
          <w:szCs w:val="18"/>
          <w:lang w:val="fr-FR"/>
        </w:rPr>
      </w:pPr>
      <w:r w:rsidRPr="007E72F8">
        <w:rPr>
          <w:sz w:val="18"/>
          <w:szCs w:val="18"/>
          <w:lang w:val="fr-FR"/>
        </w:rPr>
        <w:t>7, Place de Fontenoy</w:t>
      </w:r>
    </w:p>
    <w:p w14:paraId="122053A2" w14:textId="77777777" w:rsidR="0029039B" w:rsidRPr="007E72F8" w:rsidRDefault="0029039B" w:rsidP="0029039B">
      <w:pPr>
        <w:jc w:val="center"/>
        <w:rPr>
          <w:sz w:val="18"/>
          <w:szCs w:val="18"/>
          <w:lang w:val="fr-FR"/>
        </w:rPr>
      </w:pPr>
      <w:r w:rsidRPr="007E72F8">
        <w:rPr>
          <w:sz w:val="18"/>
          <w:szCs w:val="18"/>
          <w:lang w:val="fr-FR"/>
        </w:rPr>
        <w:t xml:space="preserve">75 732 Paris </w:t>
      </w:r>
      <w:r w:rsidR="00CD1CFD" w:rsidRPr="007E72F8">
        <w:rPr>
          <w:sz w:val="18"/>
          <w:szCs w:val="18"/>
          <w:lang w:val="fr-FR"/>
        </w:rPr>
        <w:t>07 SP</w:t>
      </w:r>
      <w:r w:rsidRPr="007E72F8">
        <w:rPr>
          <w:sz w:val="18"/>
          <w:szCs w:val="18"/>
          <w:lang w:val="fr-FR"/>
        </w:rPr>
        <w:t>, France</w:t>
      </w:r>
    </w:p>
    <w:p w14:paraId="7D3533C2" w14:textId="77777777" w:rsidR="0029039B" w:rsidRPr="00E25184" w:rsidRDefault="0029039B" w:rsidP="0029039B">
      <w:pPr>
        <w:jc w:val="center"/>
        <w:rPr>
          <w:sz w:val="18"/>
          <w:szCs w:val="18"/>
        </w:rPr>
      </w:pPr>
      <w:r w:rsidRPr="00E25184">
        <w:rPr>
          <w:sz w:val="18"/>
          <w:szCs w:val="18"/>
        </w:rPr>
        <w:t xml:space="preserve">Tel.: +33 1 45 68 </w:t>
      </w:r>
      <w:r w:rsidR="00CD1CFD" w:rsidRPr="00E25184">
        <w:rPr>
          <w:sz w:val="18"/>
          <w:szCs w:val="18"/>
        </w:rPr>
        <w:t>03 18</w:t>
      </w:r>
    </w:p>
    <w:p w14:paraId="7D0F855F" w14:textId="77777777" w:rsidR="0029039B" w:rsidRPr="00E25184" w:rsidRDefault="00CD1CFD" w:rsidP="0029039B">
      <w:pPr>
        <w:jc w:val="center"/>
        <w:rPr>
          <w:sz w:val="18"/>
          <w:szCs w:val="18"/>
        </w:rPr>
      </w:pPr>
      <w:r w:rsidRPr="00E25184">
        <w:rPr>
          <w:sz w:val="18"/>
          <w:szCs w:val="18"/>
        </w:rPr>
        <w:t>http://i</w:t>
      </w:r>
      <w:r w:rsidR="0029039B" w:rsidRPr="00E25184">
        <w:rPr>
          <w:sz w:val="18"/>
          <w:szCs w:val="18"/>
        </w:rPr>
        <w:t>oc.unesco.org</w:t>
      </w:r>
    </w:p>
    <w:sectPr w:rsidR="0029039B" w:rsidRPr="00E25184" w:rsidSect="003F7186">
      <w:headerReference w:type="even" r:id="rId11"/>
      <w:headerReference w:type="default" r:id="rId12"/>
      <w:headerReference w:type="first" r:id="rId13"/>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49678" w14:textId="77777777" w:rsidR="00FA690B" w:rsidRDefault="00FA690B">
      <w:r>
        <w:separator/>
      </w:r>
    </w:p>
  </w:endnote>
  <w:endnote w:type="continuationSeparator" w:id="0">
    <w:p w14:paraId="6EA6844A" w14:textId="77777777" w:rsidR="00FA690B" w:rsidRDefault="00FA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60220" w14:textId="77777777" w:rsidR="00FA690B" w:rsidRDefault="00FA690B">
      <w:r>
        <w:separator/>
      </w:r>
    </w:p>
  </w:footnote>
  <w:footnote w:type="continuationSeparator" w:id="0">
    <w:p w14:paraId="3A620DCD" w14:textId="77777777" w:rsidR="00FA690B" w:rsidRDefault="00FA6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0C58" w14:textId="5BD60D7C" w:rsidR="002867FB" w:rsidRPr="006842FA" w:rsidRDefault="002867FB" w:rsidP="00746B89">
    <w:pPr>
      <w:pStyle w:val="Header"/>
      <w:tabs>
        <w:tab w:val="clear" w:pos="8306"/>
      </w:tabs>
      <w:rPr>
        <w:rFonts w:cs="Arial"/>
        <w:sz w:val="20"/>
        <w:szCs w:val="20"/>
      </w:rPr>
    </w:pPr>
    <w:r w:rsidRPr="006842FA">
      <w:rPr>
        <w:rFonts w:cs="Arial"/>
        <w:sz w:val="20"/>
        <w:szCs w:val="20"/>
      </w:rPr>
      <w:t>IOC</w:t>
    </w:r>
    <w:r>
      <w:rPr>
        <w:rFonts w:cs="Arial"/>
        <w:sz w:val="20"/>
        <w:szCs w:val="20"/>
      </w:rPr>
      <w:t>INF-141</w:t>
    </w:r>
    <w:r w:rsidR="007E72F8">
      <w:rPr>
        <w:rFonts w:cs="Arial"/>
        <w:sz w:val="20"/>
        <w:szCs w:val="20"/>
      </w:rPr>
      <w:t>4</w:t>
    </w:r>
    <w:r>
      <w:rPr>
        <w:rFonts w:cs="Arial"/>
        <w:sz w:val="20"/>
        <w:szCs w:val="20"/>
      </w:rPr>
      <w:t xml:space="preserve"> – p</w:t>
    </w:r>
    <w:r w:rsidRPr="006842FA">
      <w:rPr>
        <w:rFonts w:cs="Arial"/>
        <w:sz w:val="20"/>
        <w:szCs w:val="20"/>
      </w:rPr>
      <w:t>age </w:t>
    </w:r>
    <w:r w:rsidRPr="006842FA">
      <w:rPr>
        <w:rStyle w:val="PageNumber"/>
        <w:rFonts w:cs="Arial"/>
        <w:sz w:val="20"/>
        <w:szCs w:val="20"/>
      </w:rPr>
      <w:fldChar w:fldCharType="begin"/>
    </w:r>
    <w:r w:rsidRPr="006842FA">
      <w:rPr>
        <w:rStyle w:val="PageNumber"/>
        <w:rFonts w:cs="Arial"/>
        <w:sz w:val="20"/>
        <w:szCs w:val="20"/>
      </w:rPr>
      <w:instrText xml:space="preserve"> PAGE </w:instrText>
    </w:r>
    <w:r w:rsidRPr="006842FA">
      <w:rPr>
        <w:rStyle w:val="PageNumber"/>
        <w:rFonts w:cs="Arial"/>
        <w:sz w:val="20"/>
        <w:szCs w:val="20"/>
      </w:rPr>
      <w:fldChar w:fldCharType="separate"/>
    </w:r>
    <w:r>
      <w:rPr>
        <w:rStyle w:val="PageNumber"/>
        <w:rFonts w:cs="Arial"/>
        <w:noProof/>
        <w:sz w:val="20"/>
        <w:szCs w:val="20"/>
      </w:rPr>
      <w:t>2</w:t>
    </w:r>
    <w:r w:rsidRPr="006842FA">
      <w:rPr>
        <w:rStyle w:val="PageNumber"/>
        <w:rFonts w:cs="Arial"/>
        <w:sz w:val="20"/>
        <w:szCs w:val="20"/>
      </w:rPr>
      <w:fldChar w:fldCharType="end"/>
    </w:r>
  </w:p>
  <w:p w14:paraId="67FA9DEF" w14:textId="77777777" w:rsidR="000005CD" w:rsidRDefault="000005CD"/>
  <w:p w14:paraId="1F681580" w14:textId="77777777" w:rsidR="000005CD" w:rsidRDefault="000005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FA64" w14:textId="474A8326" w:rsidR="002867FB" w:rsidRPr="002867FB" w:rsidRDefault="002867FB" w:rsidP="00F734D1">
    <w:pPr>
      <w:pStyle w:val="Header"/>
      <w:tabs>
        <w:tab w:val="clear" w:pos="8306"/>
      </w:tabs>
      <w:ind w:left="7513"/>
      <w:rPr>
        <w:rFonts w:cs="Arial"/>
        <w:sz w:val="20"/>
        <w:szCs w:val="20"/>
      </w:rPr>
    </w:pPr>
    <w:r w:rsidRPr="002867FB">
      <w:rPr>
        <w:rFonts w:cs="Arial"/>
        <w:sz w:val="20"/>
        <w:szCs w:val="20"/>
      </w:rPr>
      <w:t>IOC/INF-141</w:t>
    </w:r>
    <w:r w:rsidR="00DF7339">
      <w:rPr>
        <w:rFonts w:cs="Arial" w:hint="eastAsia"/>
        <w:sz w:val="20"/>
        <w:szCs w:val="20"/>
        <w:lang w:eastAsia="zh-CN"/>
      </w:rPr>
      <w:t>4</w:t>
    </w:r>
    <w:r w:rsidR="00F734D1">
      <w:rPr>
        <w:rFonts w:cs="Arial"/>
        <w:sz w:val="20"/>
        <w:szCs w:val="20"/>
      </w:rPr>
      <w:t xml:space="preserve"> </w:t>
    </w:r>
    <w:r w:rsidRPr="002867FB">
      <w:rPr>
        <w:rFonts w:cs="Arial"/>
        <w:sz w:val="20"/>
        <w:szCs w:val="20"/>
      </w:rPr>
      <w:t>– page </w:t>
    </w:r>
    <w:r w:rsidRPr="002867FB">
      <w:rPr>
        <w:rStyle w:val="PageNumber"/>
        <w:rFonts w:cs="Arial"/>
        <w:sz w:val="20"/>
        <w:szCs w:val="20"/>
      </w:rPr>
      <w:fldChar w:fldCharType="begin"/>
    </w:r>
    <w:r w:rsidRPr="002867FB">
      <w:rPr>
        <w:rStyle w:val="PageNumber"/>
        <w:rFonts w:cs="Arial"/>
        <w:sz w:val="20"/>
        <w:szCs w:val="20"/>
      </w:rPr>
      <w:instrText xml:space="preserve"> PAGE </w:instrText>
    </w:r>
    <w:r w:rsidRPr="002867FB">
      <w:rPr>
        <w:rStyle w:val="PageNumber"/>
        <w:rFonts w:cs="Arial"/>
        <w:sz w:val="20"/>
        <w:szCs w:val="20"/>
      </w:rPr>
      <w:fldChar w:fldCharType="separate"/>
    </w:r>
    <w:r w:rsidRPr="002867FB">
      <w:rPr>
        <w:rStyle w:val="PageNumber"/>
        <w:rFonts w:cs="Arial"/>
        <w:noProof/>
        <w:sz w:val="20"/>
        <w:szCs w:val="20"/>
      </w:rPr>
      <w:t>3</w:t>
    </w:r>
    <w:r w:rsidRPr="002867FB">
      <w:rPr>
        <w:rStyle w:val="PageNumber"/>
        <w:rFonts w:cs="Arial"/>
        <w:sz w:val="20"/>
        <w:szCs w:val="20"/>
      </w:rPr>
      <w:fldChar w:fldCharType="end"/>
    </w:r>
  </w:p>
  <w:p w14:paraId="0211BF79" w14:textId="77777777" w:rsidR="002867FB" w:rsidRPr="002867FB" w:rsidRDefault="002867FB" w:rsidP="002867FB">
    <w:pPr>
      <w:pStyle w:val="Header"/>
      <w:ind w:left="7797"/>
      <w:rPr>
        <w:rFonts w:cs="Arial"/>
        <w:sz w:val="20"/>
        <w:szCs w:val="20"/>
      </w:rPr>
    </w:pPr>
  </w:p>
  <w:p w14:paraId="732B2EF9" w14:textId="77777777" w:rsidR="000005CD" w:rsidRDefault="000005CD"/>
  <w:p w14:paraId="08395B06" w14:textId="77777777" w:rsidR="000005CD" w:rsidRDefault="000005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5709" w14:textId="7FF17A44" w:rsidR="00F734D1" w:rsidRPr="00821C1A" w:rsidRDefault="00F734D1" w:rsidP="00F734D1">
    <w:pPr>
      <w:pStyle w:val="Marge"/>
      <w:tabs>
        <w:tab w:val="clear" w:pos="567"/>
        <w:tab w:val="left" w:pos="7513"/>
      </w:tabs>
      <w:spacing w:after="0"/>
      <w:rPr>
        <w:rFonts w:cs="Arial"/>
        <w:b/>
        <w:bCs/>
        <w:szCs w:val="22"/>
      </w:rPr>
    </w:pPr>
    <w:r>
      <w:rPr>
        <w:rFonts w:cs="Arial"/>
        <w:b/>
        <w:noProof/>
        <w:snapToGrid/>
        <w:szCs w:val="22"/>
        <w:lang w:val="fr-FR" w:eastAsia="fr-FR"/>
      </w:rPr>
      <w:drawing>
        <wp:anchor distT="0" distB="0" distL="114300" distR="114300" simplePos="0" relativeHeight="251660288" behindDoc="0" locked="0" layoutInCell="1" allowOverlap="1" wp14:anchorId="54025CFE" wp14:editId="79B66B64">
          <wp:simplePos x="0" y="0"/>
          <wp:positionH relativeFrom="column">
            <wp:posOffset>-111318</wp:posOffset>
          </wp:positionH>
          <wp:positionV relativeFrom="paragraph">
            <wp:posOffset>-136083</wp:posOffset>
          </wp:positionV>
          <wp:extent cx="1578610" cy="1047115"/>
          <wp:effectExtent l="0" t="0" r="2540" b="63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5E544C">
      <w:rPr>
        <w:rFonts w:cs="Arial"/>
        <w:szCs w:val="22"/>
      </w:rPr>
      <w:tab/>
    </w:r>
    <w:r w:rsidRPr="00821C1A">
      <w:rPr>
        <w:rFonts w:cs="Arial"/>
        <w:b/>
        <w:bCs/>
        <w:szCs w:val="22"/>
      </w:rPr>
      <w:t>IOC/INF-14</w:t>
    </w:r>
    <w:r w:rsidR="007E72F8">
      <w:rPr>
        <w:rFonts w:cs="Arial"/>
        <w:b/>
        <w:bCs/>
        <w:szCs w:val="22"/>
      </w:rPr>
      <w:t>14</w:t>
    </w:r>
  </w:p>
  <w:p w14:paraId="4D6FC9E9" w14:textId="325D0373" w:rsidR="00F734D1" w:rsidRPr="005E544C" w:rsidRDefault="00F734D1" w:rsidP="00F734D1">
    <w:pPr>
      <w:tabs>
        <w:tab w:val="clear" w:pos="567"/>
        <w:tab w:val="left" w:pos="7513"/>
      </w:tabs>
      <w:jc w:val="both"/>
      <w:rPr>
        <w:rFonts w:cs="Arial"/>
        <w:szCs w:val="22"/>
      </w:rPr>
    </w:pPr>
    <w:r w:rsidRPr="005E544C">
      <w:rPr>
        <w:rFonts w:cs="Arial"/>
        <w:b/>
        <w:szCs w:val="22"/>
      </w:rPr>
      <w:tab/>
    </w:r>
    <w:r w:rsidRPr="005E544C">
      <w:rPr>
        <w:rFonts w:cs="Arial"/>
        <w:szCs w:val="22"/>
      </w:rPr>
      <w:t xml:space="preserve">Paris, </w:t>
    </w:r>
    <w:r w:rsidR="00935022" w:rsidRPr="00430518">
      <w:rPr>
        <w:rFonts w:cs="Arial" w:hint="eastAsia"/>
        <w:szCs w:val="22"/>
      </w:rPr>
      <w:t>13</w:t>
    </w:r>
    <w:r>
      <w:rPr>
        <w:rFonts w:cs="Arial"/>
        <w:szCs w:val="22"/>
      </w:rPr>
      <w:t xml:space="preserve"> June 2022</w:t>
    </w:r>
  </w:p>
  <w:p w14:paraId="54A1E116" w14:textId="77777777" w:rsidR="00F734D1" w:rsidRPr="005E544C" w:rsidRDefault="00F734D1" w:rsidP="00F734D1">
    <w:pPr>
      <w:tabs>
        <w:tab w:val="clear" w:pos="567"/>
        <w:tab w:val="left" w:pos="7513"/>
      </w:tabs>
      <w:jc w:val="both"/>
      <w:rPr>
        <w:rFonts w:cs="Arial"/>
        <w:szCs w:val="22"/>
      </w:rPr>
    </w:pPr>
    <w:r w:rsidRPr="005E544C">
      <w:rPr>
        <w:rFonts w:cs="Arial"/>
        <w:b/>
        <w:szCs w:val="22"/>
      </w:rPr>
      <w:tab/>
    </w:r>
    <w:r w:rsidRPr="00801F39">
      <w:rPr>
        <w:rFonts w:cs="Arial"/>
        <w:bCs/>
        <w:szCs w:val="22"/>
      </w:rPr>
      <w:t>E</w:t>
    </w:r>
    <w:r w:rsidRPr="005E544C">
      <w:rPr>
        <w:rFonts w:cs="Arial"/>
        <w:szCs w:val="22"/>
      </w:rPr>
      <w:t>nglish</w:t>
    </w:r>
    <w:r>
      <w:rPr>
        <w:rFonts w:cs="Arial"/>
        <w:szCs w:val="22"/>
      </w:rPr>
      <w:t xml:space="preserve"> only</w:t>
    </w:r>
  </w:p>
  <w:p w14:paraId="6144E2FB" w14:textId="77777777" w:rsidR="00F734D1" w:rsidRPr="005E544C" w:rsidRDefault="00F734D1" w:rsidP="00F734D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 w:val="left" w:pos="6660"/>
        <w:tab w:val="left" w:pos="7020"/>
      </w:tabs>
      <w:jc w:val="both"/>
      <w:rPr>
        <w:rFonts w:cs="Arial"/>
        <w:b/>
        <w:szCs w:val="22"/>
      </w:rPr>
    </w:pPr>
  </w:p>
  <w:p w14:paraId="2AC496CB" w14:textId="77777777" w:rsidR="00F734D1" w:rsidRPr="005E544C" w:rsidRDefault="00F734D1" w:rsidP="00F734D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52D9BAE5" w14:textId="77777777" w:rsidR="00F734D1" w:rsidRDefault="00F734D1" w:rsidP="00F734D1">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05E3B22B" w14:textId="77777777" w:rsidR="00F734D1" w:rsidRDefault="00F734D1" w:rsidP="00F734D1">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0B36E055" w14:textId="77777777" w:rsidR="00F734D1" w:rsidRDefault="00F734D1" w:rsidP="00F734D1">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5348E602" w14:textId="77777777" w:rsidR="00F734D1" w:rsidRPr="00010BBB" w:rsidRDefault="00F734D1" w:rsidP="00F734D1">
    <w:pPr>
      <w:tabs>
        <w:tab w:val="left" w:pos="-1440"/>
        <w:tab w:val="left" w:pos="-720"/>
        <w:tab w:val="left" w:pos="720"/>
        <w:tab w:val="left" w:pos="2160"/>
        <w:tab w:val="left" w:pos="3600"/>
        <w:tab w:val="left" w:pos="4320"/>
        <w:tab w:val="left" w:pos="5040"/>
        <w:tab w:val="left" w:pos="5523"/>
        <w:tab w:val="left" w:pos="6480"/>
      </w:tabs>
      <w:jc w:val="center"/>
      <w:rPr>
        <w:rFonts w:cs="Arial"/>
        <w:b/>
        <w:sz w:val="24"/>
      </w:rPr>
    </w:pPr>
    <w:r w:rsidRPr="00010BBB">
      <w:rPr>
        <w:rFonts w:cs="Arial"/>
        <w:b/>
        <w:sz w:val="24"/>
      </w:rPr>
      <w:t>INTERGOVERNMENTAL OCEANOGRAPHIC COMMISSION</w:t>
    </w:r>
  </w:p>
  <w:p w14:paraId="2EACBF5B" w14:textId="77777777" w:rsidR="00F734D1" w:rsidRPr="00010BBB" w:rsidRDefault="00F734D1" w:rsidP="00F734D1">
    <w:pPr>
      <w:tabs>
        <w:tab w:val="left" w:pos="-1440"/>
        <w:tab w:val="left" w:pos="-720"/>
        <w:tab w:val="left" w:pos="720"/>
        <w:tab w:val="left" w:pos="2160"/>
        <w:tab w:val="left" w:pos="3600"/>
        <w:tab w:val="left" w:pos="4320"/>
        <w:tab w:val="left" w:pos="5040"/>
        <w:tab w:val="left" w:pos="5523"/>
        <w:tab w:val="left" w:pos="6480"/>
      </w:tabs>
      <w:jc w:val="center"/>
      <w:rPr>
        <w:rFonts w:cs="Arial"/>
        <w:bCs/>
        <w:sz w:val="24"/>
      </w:rPr>
    </w:pPr>
    <w:r w:rsidRPr="00010BBB">
      <w:rPr>
        <w:rFonts w:cs="Arial"/>
        <w:bCs/>
        <w:sz w:val="24"/>
      </w:rPr>
      <w:t>(of UNESCO)</w:t>
    </w:r>
  </w:p>
  <w:p w14:paraId="3435DDBA" w14:textId="77777777" w:rsidR="00F734D1" w:rsidRPr="005E544C" w:rsidRDefault="00F734D1" w:rsidP="00F734D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jc w:val="center"/>
      <w:rPr>
        <w:rFonts w:cs="Arial"/>
        <w:b/>
        <w:szCs w:val="22"/>
      </w:rPr>
    </w:pPr>
  </w:p>
  <w:p w14:paraId="1187EFFB" w14:textId="77777777" w:rsidR="00F734D1" w:rsidRPr="005E544C" w:rsidRDefault="00F734D1" w:rsidP="00F734D1">
    <w:pPr>
      <w:jc w:val="center"/>
      <w:rPr>
        <w:rFonts w:cs="Arial"/>
        <w:szCs w:val="22"/>
      </w:rPr>
    </w:pPr>
  </w:p>
  <w:p w14:paraId="270E27A2" w14:textId="77777777" w:rsidR="00F734D1" w:rsidRDefault="00F734D1" w:rsidP="00F734D1">
    <w:pPr>
      <w:jc w:val="center"/>
      <w:rPr>
        <w:rFonts w:cs="Arial"/>
        <w:szCs w:val="22"/>
      </w:rPr>
    </w:pPr>
  </w:p>
  <w:p w14:paraId="65133536" w14:textId="77777777" w:rsidR="00F734D1" w:rsidRPr="00DC3847" w:rsidRDefault="00F734D1" w:rsidP="00F734D1">
    <w:pPr>
      <w:jc w:val="center"/>
      <w:rPr>
        <w:rFonts w:cs="Arial"/>
        <w:b/>
        <w:sz w:val="28"/>
        <w:szCs w:val="28"/>
      </w:rPr>
    </w:pPr>
    <w:r>
      <w:rPr>
        <w:noProof/>
      </w:rPr>
      <mc:AlternateContent>
        <mc:Choice Requires="wps">
          <w:drawing>
            <wp:anchor distT="0" distB="0" distL="114300" distR="114300" simplePos="0" relativeHeight="251659264" behindDoc="1" locked="0" layoutInCell="1" allowOverlap="1" wp14:anchorId="6642C37A" wp14:editId="2A520BBE">
              <wp:simplePos x="0" y="0"/>
              <wp:positionH relativeFrom="column">
                <wp:align>center</wp:align>
              </wp:positionH>
              <wp:positionV relativeFrom="paragraph">
                <wp:posOffset>10160</wp:posOffset>
              </wp:positionV>
              <wp:extent cx="2523490" cy="305435"/>
              <wp:effectExtent l="9525" t="10160" r="10160" b="13335"/>
              <wp:wrapTight wrapText="bothSides">
                <wp:wrapPolygon edited="0">
                  <wp:start x="-82" y="-674"/>
                  <wp:lineTo x="-82" y="20926"/>
                  <wp:lineTo x="21682" y="20926"/>
                  <wp:lineTo x="21682" y="-674"/>
                  <wp:lineTo x="-82" y="-674"/>
                </wp:wrapPolygon>
              </wp:wrapTight>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305435"/>
                      </a:xfrm>
                      <a:prstGeom prst="rect">
                        <a:avLst/>
                      </a:prstGeom>
                      <a:solidFill>
                        <a:srgbClr val="FFFFFF"/>
                      </a:solidFill>
                      <a:ln w="9525">
                        <a:solidFill>
                          <a:srgbClr val="000000"/>
                        </a:solidFill>
                        <a:miter lim="800000"/>
                        <a:headEnd/>
                        <a:tailEnd/>
                      </a:ln>
                    </wps:spPr>
                    <wps:txbx>
                      <w:txbxContent>
                        <w:p w14:paraId="1D53DC54" w14:textId="77777777" w:rsidR="00F734D1" w:rsidRPr="00DE7974" w:rsidRDefault="00F734D1" w:rsidP="00F734D1">
                          <w:pPr>
                            <w:jc w:val="center"/>
                            <w:rPr>
                              <w:rFonts w:cs="Arial"/>
                              <w:b/>
                              <w:sz w:val="28"/>
                              <w:szCs w:val="28"/>
                            </w:rPr>
                          </w:pPr>
                          <w:r w:rsidRPr="00DC3847">
                            <w:rPr>
                              <w:rFonts w:cs="Arial"/>
                              <w:b/>
                              <w:sz w:val="28"/>
                              <w:szCs w:val="28"/>
                            </w:rPr>
                            <w:t>INF</w:t>
                          </w:r>
                          <w:r>
                            <w:rPr>
                              <w:rFonts w:cs="Arial"/>
                              <w:b/>
                              <w:sz w:val="28"/>
                              <w:szCs w:val="28"/>
                            </w:rPr>
                            <w:t>ORMATION DOCUMENT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42C37A" id="_x0000_t202" coordsize="21600,21600" o:spt="202" path="m,l,21600r21600,l21600,xe">
              <v:stroke joinstyle="miter"/>
              <v:path gradientshapeok="t" o:connecttype="rect"/>
            </v:shapetype>
            <v:shape id="Text Box 10" o:spid="_x0000_s1026" type="#_x0000_t202" style="position:absolute;left:0;text-align:left;margin-left:0;margin-top:.8pt;width:198.7pt;height:24.05pt;z-index:-251657216;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">
              <v:textbox style="mso-fit-shape-to-text:t">
                <w:txbxContent>
                  <w:p w14:paraId="1D53DC54" w14:textId="77777777" w:rsidR="00F734D1" w:rsidRPr="00DE7974" w:rsidRDefault="00F734D1" w:rsidP="00F734D1">
                    <w:pPr>
                      <w:jc w:val="center"/>
                      <w:rPr>
                        <w:rFonts w:cs="Arial"/>
                        <w:b/>
                        <w:sz w:val="28"/>
                        <w:szCs w:val="28"/>
                      </w:rPr>
                    </w:pPr>
                    <w:r w:rsidRPr="00DC3847">
                      <w:rPr>
                        <w:rFonts w:cs="Arial"/>
                        <w:b/>
                        <w:sz w:val="28"/>
                        <w:szCs w:val="28"/>
                      </w:rPr>
                      <w:t>INF</w:t>
                    </w:r>
                    <w:r>
                      <w:rPr>
                        <w:rFonts w:cs="Arial"/>
                        <w:b/>
                        <w:sz w:val="28"/>
                        <w:szCs w:val="28"/>
                      </w:rPr>
                      <w:t>ORMATION DOCUMENT</w:t>
                    </w:r>
                  </w:p>
                </w:txbxContent>
              </v:textbox>
              <w10:wrap type="tight"/>
            </v:shape>
          </w:pict>
        </mc:Fallback>
      </mc:AlternateContent>
    </w:r>
  </w:p>
  <w:p w14:paraId="2CED3DC6" w14:textId="77777777" w:rsidR="00F734D1" w:rsidRDefault="00F734D1" w:rsidP="00F734D1">
    <w:pPr>
      <w:jc w:val="center"/>
      <w:rPr>
        <w:rFonts w:cs="Arial"/>
        <w:szCs w:val="22"/>
      </w:rPr>
    </w:pPr>
  </w:p>
  <w:p w14:paraId="246790A6" w14:textId="77777777" w:rsidR="00F734D1" w:rsidRDefault="00F734D1" w:rsidP="00F734D1">
    <w:pPr>
      <w:jc w:val="center"/>
      <w:rPr>
        <w:rFonts w:cs="Arial"/>
        <w:szCs w:val="22"/>
      </w:rPr>
    </w:pPr>
  </w:p>
  <w:p w14:paraId="3425013A" w14:textId="77777777" w:rsidR="00F734D1" w:rsidRPr="005E544C" w:rsidRDefault="00F734D1" w:rsidP="00F734D1">
    <w:pPr>
      <w:jc w:val="center"/>
      <w:rPr>
        <w:rFonts w:cs="Arial"/>
        <w:szCs w:val="22"/>
      </w:rPr>
    </w:pPr>
  </w:p>
  <w:p w14:paraId="0AACEE82" w14:textId="77777777" w:rsidR="00F734D1" w:rsidRPr="005E544C" w:rsidRDefault="00F734D1" w:rsidP="00F734D1">
    <w:pPr>
      <w:rPr>
        <w:rFonts w:cs="Arial"/>
        <w:szCs w:val="22"/>
      </w:rPr>
    </w:pPr>
  </w:p>
  <w:p w14:paraId="0FF64F77" w14:textId="199B0227" w:rsidR="007E72F8" w:rsidRPr="007E72F8" w:rsidRDefault="007E72F8" w:rsidP="007E72F8">
    <w:pPr>
      <w:jc w:val="center"/>
      <w:rPr>
        <w:rFonts w:cs="Arial"/>
        <w:b/>
        <w:bCs/>
        <w:caps/>
        <w:sz w:val="20"/>
        <w:szCs w:val="20"/>
        <w:lang w:val="en-US"/>
      </w:rPr>
    </w:pPr>
    <w:r w:rsidRPr="007E72F8">
      <w:rPr>
        <w:rFonts w:cs="Arial"/>
        <w:b/>
        <w:bCs/>
        <w:caps/>
        <w:sz w:val="20"/>
        <w:szCs w:val="20"/>
        <w:lang w:val="en-US"/>
      </w:rPr>
      <w:t xml:space="preserve">Rules of Procedure </w:t>
    </w:r>
    <w:r>
      <w:rPr>
        <w:rFonts w:cs="Arial"/>
        <w:b/>
        <w:bCs/>
        <w:caps/>
        <w:sz w:val="20"/>
        <w:szCs w:val="20"/>
        <w:lang w:val="en-US"/>
      </w:rPr>
      <w:t>OF THE DECADE ADVISORY BOARD</w:t>
    </w:r>
  </w:p>
  <w:p w14:paraId="27469BF0" w14:textId="77777777" w:rsidR="00F734D1" w:rsidRPr="005E544C" w:rsidRDefault="00F734D1" w:rsidP="007E72F8">
    <w:pPr>
      <w:jc w:val="center"/>
      <w:rPr>
        <w:rFonts w:cs="Arial"/>
        <w:szCs w:val="22"/>
      </w:rPr>
    </w:pPr>
  </w:p>
  <w:p w14:paraId="1997F568" w14:textId="316878FD" w:rsidR="002867FB" w:rsidRPr="00F734D1" w:rsidRDefault="002867FB" w:rsidP="00F73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2FE8"/>
    <w:multiLevelType w:val="hybridMultilevel"/>
    <w:tmpl w:val="1144C096"/>
    <w:lvl w:ilvl="0" w:tplc="C83E9A9E">
      <w:start w:val="1"/>
      <w:numFmt w:val="lowerRoman"/>
      <w:lvlText w:val="%1)"/>
      <w:lvlJc w:val="left"/>
      <w:pPr>
        <w:ind w:left="720" w:hanging="360"/>
      </w:pPr>
      <w:rPr>
        <w:rFonts w:ascii="Arial" w:eastAsia="Times New Roman" w:hAnsi="Arial" w:cs="Aria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B02A00"/>
    <w:multiLevelType w:val="multilevel"/>
    <w:tmpl w:val="FB3AA4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661878"/>
    <w:multiLevelType w:val="multilevel"/>
    <w:tmpl w:val="C2106B8E"/>
    <w:lvl w:ilvl="0">
      <w:start w:val="1"/>
      <w:numFmt w:val="decimal"/>
      <w:lvlText w:val="%1"/>
      <w:lvlJc w:val="left"/>
      <w:pPr>
        <w:ind w:left="360" w:hanging="360"/>
      </w:pPr>
      <w:rPr>
        <w:rFonts w:hint="default"/>
        <w:b w:val="0"/>
        <w:i w:val="0"/>
      </w:rPr>
    </w:lvl>
    <w:lvl w:ilvl="1">
      <w:start w:val="6"/>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 w15:restartNumberingAfterBreak="0">
    <w:nsid w:val="18F06799"/>
    <w:multiLevelType w:val="hybridMultilevel"/>
    <w:tmpl w:val="BB10D0DE"/>
    <w:lvl w:ilvl="0" w:tplc="5A88A9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802AB"/>
    <w:multiLevelType w:val="multilevel"/>
    <w:tmpl w:val="F3909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87420F8"/>
    <w:multiLevelType w:val="hybridMultilevel"/>
    <w:tmpl w:val="FB3A72F0"/>
    <w:lvl w:ilvl="0" w:tplc="C442930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79605A"/>
    <w:multiLevelType w:val="hybridMultilevel"/>
    <w:tmpl w:val="6454647C"/>
    <w:lvl w:ilvl="0" w:tplc="71B48240">
      <w:start w:val="1"/>
      <w:numFmt w:val="lowerRoman"/>
      <w:lvlText w:val="%1."/>
      <w:lvlJc w:val="right"/>
      <w:pPr>
        <w:ind w:left="720" w:hanging="360"/>
      </w:pPr>
    </w:lvl>
    <w:lvl w:ilvl="1" w:tplc="76AAF33E">
      <w:start w:val="1"/>
      <w:numFmt w:val="lowerLetter"/>
      <w:lvlText w:val="%2."/>
      <w:lvlJc w:val="left"/>
      <w:pPr>
        <w:ind w:left="1440" w:hanging="360"/>
      </w:pPr>
    </w:lvl>
    <w:lvl w:ilvl="2" w:tplc="1C14A254">
      <w:start w:val="1"/>
      <w:numFmt w:val="lowerRoman"/>
      <w:lvlText w:val="%3."/>
      <w:lvlJc w:val="right"/>
      <w:pPr>
        <w:ind w:left="2160" w:hanging="180"/>
      </w:pPr>
    </w:lvl>
    <w:lvl w:ilvl="3" w:tplc="D7E60A1C">
      <w:start w:val="1"/>
      <w:numFmt w:val="decimal"/>
      <w:lvlText w:val="%4."/>
      <w:lvlJc w:val="left"/>
      <w:pPr>
        <w:ind w:left="2880" w:hanging="360"/>
      </w:pPr>
    </w:lvl>
    <w:lvl w:ilvl="4" w:tplc="189ECD7E">
      <w:start w:val="1"/>
      <w:numFmt w:val="lowerLetter"/>
      <w:lvlText w:val="%5."/>
      <w:lvlJc w:val="left"/>
      <w:pPr>
        <w:ind w:left="3600" w:hanging="360"/>
      </w:pPr>
    </w:lvl>
    <w:lvl w:ilvl="5" w:tplc="CF128A76">
      <w:start w:val="1"/>
      <w:numFmt w:val="lowerRoman"/>
      <w:lvlText w:val="%6."/>
      <w:lvlJc w:val="right"/>
      <w:pPr>
        <w:ind w:left="4320" w:hanging="180"/>
      </w:pPr>
    </w:lvl>
    <w:lvl w:ilvl="6" w:tplc="77D2590E">
      <w:start w:val="1"/>
      <w:numFmt w:val="decimal"/>
      <w:lvlText w:val="%7."/>
      <w:lvlJc w:val="left"/>
      <w:pPr>
        <w:ind w:left="5040" w:hanging="360"/>
      </w:pPr>
    </w:lvl>
    <w:lvl w:ilvl="7" w:tplc="E5467430">
      <w:start w:val="1"/>
      <w:numFmt w:val="lowerLetter"/>
      <w:lvlText w:val="%8."/>
      <w:lvlJc w:val="left"/>
      <w:pPr>
        <w:ind w:left="5760" w:hanging="360"/>
      </w:pPr>
    </w:lvl>
    <w:lvl w:ilvl="8" w:tplc="BAA847B8">
      <w:start w:val="1"/>
      <w:numFmt w:val="lowerRoman"/>
      <w:lvlText w:val="%9."/>
      <w:lvlJc w:val="right"/>
      <w:pPr>
        <w:ind w:left="6480" w:hanging="180"/>
      </w:pPr>
    </w:lvl>
  </w:abstractNum>
  <w:abstractNum w:abstractNumId="7"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8" w15:restartNumberingAfterBreak="0">
    <w:nsid w:val="38083B29"/>
    <w:multiLevelType w:val="hybridMultilevel"/>
    <w:tmpl w:val="1BCCBE80"/>
    <w:lvl w:ilvl="0" w:tplc="AA9466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204C64"/>
    <w:multiLevelType w:val="hybridMultilevel"/>
    <w:tmpl w:val="5E1E2D6C"/>
    <w:lvl w:ilvl="0" w:tplc="11B2185C">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565DB0"/>
    <w:multiLevelType w:val="hybridMultilevel"/>
    <w:tmpl w:val="D7EE5B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8A1540"/>
    <w:multiLevelType w:val="hybridMultilevel"/>
    <w:tmpl w:val="D812B9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33A1891"/>
    <w:multiLevelType w:val="multilevel"/>
    <w:tmpl w:val="6056534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53DD164C"/>
    <w:multiLevelType w:val="hybridMultilevel"/>
    <w:tmpl w:val="5C189B70"/>
    <w:lvl w:ilvl="0" w:tplc="CE66939C">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B83EBB"/>
    <w:multiLevelType w:val="hybridMultilevel"/>
    <w:tmpl w:val="E88A9C1A"/>
    <w:lvl w:ilvl="0" w:tplc="1ECCC14A">
      <w:start w:val="1"/>
      <w:numFmt w:val="decimal"/>
      <w:lvlText w:val="%1."/>
      <w:lvlJc w:val="left"/>
      <w:pPr>
        <w:ind w:left="5747" w:hanging="360"/>
      </w:pPr>
      <w:rPr>
        <w:rFonts w:ascii="Arial" w:hAnsi="Arial" w:cs="Arial" w:hint="default"/>
        <w:color w:val="201F1E"/>
        <w:sz w:val="22"/>
        <w:szCs w:val="24"/>
      </w:rPr>
    </w:lvl>
    <w:lvl w:ilvl="1" w:tplc="040C0019" w:tentative="1">
      <w:start w:val="1"/>
      <w:numFmt w:val="lowerLetter"/>
      <w:lvlText w:val="%2."/>
      <w:lvlJc w:val="left"/>
      <w:pPr>
        <w:ind w:left="6467" w:hanging="360"/>
      </w:pPr>
    </w:lvl>
    <w:lvl w:ilvl="2" w:tplc="040C001B" w:tentative="1">
      <w:start w:val="1"/>
      <w:numFmt w:val="lowerRoman"/>
      <w:lvlText w:val="%3."/>
      <w:lvlJc w:val="right"/>
      <w:pPr>
        <w:ind w:left="7187" w:hanging="180"/>
      </w:pPr>
    </w:lvl>
    <w:lvl w:ilvl="3" w:tplc="040C000F" w:tentative="1">
      <w:start w:val="1"/>
      <w:numFmt w:val="decimal"/>
      <w:lvlText w:val="%4."/>
      <w:lvlJc w:val="left"/>
      <w:pPr>
        <w:ind w:left="7907" w:hanging="360"/>
      </w:pPr>
    </w:lvl>
    <w:lvl w:ilvl="4" w:tplc="040C0019" w:tentative="1">
      <w:start w:val="1"/>
      <w:numFmt w:val="lowerLetter"/>
      <w:lvlText w:val="%5."/>
      <w:lvlJc w:val="left"/>
      <w:pPr>
        <w:ind w:left="8627" w:hanging="360"/>
      </w:pPr>
    </w:lvl>
    <w:lvl w:ilvl="5" w:tplc="040C001B" w:tentative="1">
      <w:start w:val="1"/>
      <w:numFmt w:val="lowerRoman"/>
      <w:lvlText w:val="%6."/>
      <w:lvlJc w:val="right"/>
      <w:pPr>
        <w:ind w:left="9347" w:hanging="180"/>
      </w:pPr>
    </w:lvl>
    <w:lvl w:ilvl="6" w:tplc="040C000F" w:tentative="1">
      <w:start w:val="1"/>
      <w:numFmt w:val="decimal"/>
      <w:lvlText w:val="%7."/>
      <w:lvlJc w:val="left"/>
      <w:pPr>
        <w:ind w:left="10067" w:hanging="360"/>
      </w:pPr>
    </w:lvl>
    <w:lvl w:ilvl="7" w:tplc="040C0019" w:tentative="1">
      <w:start w:val="1"/>
      <w:numFmt w:val="lowerLetter"/>
      <w:lvlText w:val="%8."/>
      <w:lvlJc w:val="left"/>
      <w:pPr>
        <w:ind w:left="10787" w:hanging="360"/>
      </w:pPr>
    </w:lvl>
    <w:lvl w:ilvl="8" w:tplc="040C001B" w:tentative="1">
      <w:start w:val="1"/>
      <w:numFmt w:val="lowerRoman"/>
      <w:lvlText w:val="%9."/>
      <w:lvlJc w:val="right"/>
      <w:pPr>
        <w:ind w:left="11507" w:hanging="180"/>
      </w:pPr>
    </w:lvl>
  </w:abstractNum>
  <w:abstractNum w:abstractNumId="15" w15:restartNumberingAfterBreak="0">
    <w:nsid w:val="5B55080D"/>
    <w:multiLevelType w:val="multilevel"/>
    <w:tmpl w:val="109A58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C6D1283"/>
    <w:multiLevelType w:val="hybridMultilevel"/>
    <w:tmpl w:val="2750981A"/>
    <w:lvl w:ilvl="0" w:tplc="D64832C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5CD824F3"/>
    <w:multiLevelType w:val="hybridMultilevel"/>
    <w:tmpl w:val="6AA4867A"/>
    <w:lvl w:ilvl="0" w:tplc="7D907274">
      <w:start w:val="1"/>
      <w:numFmt w:val="decimal"/>
      <w:lvlText w:val="%1."/>
      <w:lvlJc w:val="left"/>
      <w:pPr>
        <w:ind w:left="360" w:hanging="360"/>
      </w:pPr>
    </w:lvl>
    <w:lvl w:ilvl="1" w:tplc="4F861FC6">
      <w:start w:val="1"/>
      <w:numFmt w:val="lowerLetter"/>
      <w:lvlText w:val="%2."/>
      <w:lvlJc w:val="left"/>
      <w:pPr>
        <w:ind w:left="1080" w:hanging="360"/>
      </w:pPr>
    </w:lvl>
    <w:lvl w:ilvl="2" w:tplc="75C47F18">
      <w:start w:val="1"/>
      <w:numFmt w:val="lowerRoman"/>
      <w:lvlText w:val="%3."/>
      <w:lvlJc w:val="right"/>
      <w:pPr>
        <w:ind w:left="1800" w:hanging="180"/>
      </w:pPr>
    </w:lvl>
    <w:lvl w:ilvl="3" w:tplc="571404E8">
      <w:start w:val="1"/>
      <w:numFmt w:val="decimal"/>
      <w:lvlText w:val="%4."/>
      <w:lvlJc w:val="left"/>
      <w:pPr>
        <w:ind w:left="2520" w:hanging="360"/>
      </w:pPr>
    </w:lvl>
    <w:lvl w:ilvl="4" w:tplc="72A6D2BE">
      <w:start w:val="1"/>
      <w:numFmt w:val="lowerLetter"/>
      <w:lvlText w:val="%5."/>
      <w:lvlJc w:val="left"/>
      <w:pPr>
        <w:ind w:left="3240" w:hanging="360"/>
      </w:pPr>
    </w:lvl>
    <w:lvl w:ilvl="5" w:tplc="620252CE">
      <w:start w:val="1"/>
      <w:numFmt w:val="lowerRoman"/>
      <w:lvlText w:val="%6."/>
      <w:lvlJc w:val="right"/>
      <w:pPr>
        <w:ind w:left="3960" w:hanging="180"/>
      </w:pPr>
    </w:lvl>
    <w:lvl w:ilvl="6" w:tplc="41A01944">
      <w:start w:val="1"/>
      <w:numFmt w:val="decimal"/>
      <w:lvlText w:val="%7."/>
      <w:lvlJc w:val="left"/>
      <w:pPr>
        <w:ind w:left="4680" w:hanging="360"/>
      </w:pPr>
    </w:lvl>
    <w:lvl w:ilvl="7" w:tplc="8F52D77C">
      <w:start w:val="1"/>
      <w:numFmt w:val="lowerLetter"/>
      <w:lvlText w:val="%8."/>
      <w:lvlJc w:val="left"/>
      <w:pPr>
        <w:ind w:left="5400" w:hanging="360"/>
      </w:pPr>
    </w:lvl>
    <w:lvl w:ilvl="8" w:tplc="67B03D1C">
      <w:start w:val="1"/>
      <w:numFmt w:val="lowerRoman"/>
      <w:lvlText w:val="%9."/>
      <w:lvlJc w:val="right"/>
      <w:pPr>
        <w:ind w:left="6120" w:hanging="180"/>
      </w:pPr>
    </w:lvl>
  </w:abstractNum>
  <w:abstractNum w:abstractNumId="18" w15:restartNumberingAfterBreak="0">
    <w:nsid w:val="5E855EEA"/>
    <w:multiLevelType w:val="hybridMultilevel"/>
    <w:tmpl w:val="DE363FBE"/>
    <w:lvl w:ilvl="0" w:tplc="C4429308">
      <w:start w:val="1"/>
      <w:numFmt w:val="lowerRoman"/>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4F25E69"/>
    <w:multiLevelType w:val="hybridMultilevel"/>
    <w:tmpl w:val="53B0F6DE"/>
    <w:lvl w:ilvl="0" w:tplc="A5867420">
      <w:start w:val="1"/>
      <w:numFmt w:val="upperLetter"/>
      <w:lvlText w:val="%1."/>
      <w:lvlJc w:val="left"/>
      <w:pPr>
        <w:ind w:left="720" w:hanging="360"/>
      </w:pPr>
    </w:lvl>
    <w:lvl w:ilvl="1" w:tplc="8C80ADBC">
      <w:start w:val="1"/>
      <w:numFmt w:val="lowerLetter"/>
      <w:lvlText w:val="%2."/>
      <w:lvlJc w:val="left"/>
      <w:pPr>
        <w:ind w:left="1440" w:hanging="360"/>
      </w:pPr>
    </w:lvl>
    <w:lvl w:ilvl="2" w:tplc="A03C86FA">
      <w:start w:val="1"/>
      <w:numFmt w:val="lowerRoman"/>
      <w:lvlText w:val="%3."/>
      <w:lvlJc w:val="right"/>
      <w:pPr>
        <w:ind w:left="2160" w:hanging="180"/>
      </w:pPr>
    </w:lvl>
    <w:lvl w:ilvl="3" w:tplc="C7A469D0">
      <w:start w:val="1"/>
      <w:numFmt w:val="decimal"/>
      <w:lvlText w:val="%4."/>
      <w:lvlJc w:val="left"/>
      <w:pPr>
        <w:ind w:left="2880" w:hanging="360"/>
      </w:pPr>
    </w:lvl>
    <w:lvl w:ilvl="4" w:tplc="C98C910A">
      <w:start w:val="1"/>
      <w:numFmt w:val="lowerLetter"/>
      <w:lvlText w:val="%5."/>
      <w:lvlJc w:val="left"/>
      <w:pPr>
        <w:ind w:left="3600" w:hanging="360"/>
      </w:pPr>
    </w:lvl>
    <w:lvl w:ilvl="5" w:tplc="BE42652A">
      <w:start w:val="1"/>
      <w:numFmt w:val="lowerRoman"/>
      <w:lvlText w:val="%6."/>
      <w:lvlJc w:val="right"/>
      <w:pPr>
        <w:ind w:left="4320" w:hanging="180"/>
      </w:pPr>
    </w:lvl>
    <w:lvl w:ilvl="6" w:tplc="641C1D7A">
      <w:start w:val="1"/>
      <w:numFmt w:val="decimal"/>
      <w:lvlText w:val="%7."/>
      <w:lvlJc w:val="left"/>
      <w:pPr>
        <w:ind w:left="5040" w:hanging="360"/>
      </w:pPr>
    </w:lvl>
    <w:lvl w:ilvl="7" w:tplc="3A486954">
      <w:start w:val="1"/>
      <w:numFmt w:val="lowerLetter"/>
      <w:lvlText w:val="%8."/>
      <w:lvlJc w:val="left"/>
      <w:pPr>
        <w:ind w:left="5760" w:hanging="360"/>
      </w:pPr>
    </w:lvl>
    <w:lvl w:ilvl="8" w:tplc="1BC83330">
      <w:start w:val="1"/>
      <w:numFmt w:val="lowerRoman"/>
      <w:lvlText w:val="%9."/>
      <w:lvlJc w:val="right"/>
      <w:pPr>
        <w:ind w:left="6480" w:hanging="180"/>
      </w:pPr>
    </w:lvl>
  </w:abstractNum>
  <w:abstractNum w:abstractNumId="20" w15:restartNumberingAfterBreak="0">
    <w:nsid w:val="6BD75D44"/>
    <w:multiLevelType w:val="hybridMultilevel"/>
    <w:tmpl w:val="6B2027E0"/>
    <w:lvl w:ilvl="0" w:tplc="0F720726">
      <w:start w:val="1"/>
      <w:numFmt w:val="lowerRoman"/>
      <w:lvlText w:val="%1."/>
      <w:lvlJc w:val="right"/>
      <w:pPr>
        <w:ind w:left="720" w:hanging="360"/>
      </w:pPr>
    </w:lvl>
    <w:lvl w:ilvl="1" w:tplc="AB8A5A56">
      <w:start w:val="1"/>
      <w:numFmt w:val="lowerLetter"/>
      <w:lvlText w:val="%2."/>
      <w:lvlJc w:val="left"/>
      <w:pPr>
        <w:ind w:left="1440" w:hanging="360"/>
      </w:pPr>
    </w:lvl>
    <w:lvl w:ilvl="2" w:tplc="EB0CF36E">
      <w:start w:val="1"/>
      <w:numFmt w:val="lowerRoman"/>
      <w:lvlText w:val="%3."/>
      <w:lvlJc w:val="right"/>
      <w:pPr>
        <w:ind w:left="2160" w:hanging="180"/>
      </w:pPr>
    </w:lvl>
    <w:lvl w:ilvl="3" w:tplc="6B62E4E4">
      <w:start w:val="1"/>
      <w:numFmt w:val="decimal"/>
      <w:lvlText w:val="%4."/>
      <w:lvlJc w:val="left"/>
      <w:pPr>
        <w:ind w:left="2880" w:hanging="360"/>
      </w:pPr>
    </w:lvl>
    <w:lvl w:ilvl="4" w:tplc="A04AE77E">
      <w:start w:val="1"/>
      <w:numFmt w:val="lowerLetter"/>
      <w:lvlText w:val="%5."/>
      <w:lvlJc w:val="left"/>
      <w:pPr>
        <w:ind w:left="3600" w:hanging="360"/>
      </w:pPr>
    </w:lvl>
    <w:lvl w:ilvl="5" w:tplc="6AD02BF0">
      <w:start w:val="1"/>
      <w:numFmt w:val="lowerRoman"/>
      <w:lvlText w:val="%6."/>
      <w:lvlJc w:val="right"/>
      <w:pPr>
        <w:ind w:left="4320" w:hanging="180"/>
      </w:pPr>
    </w:lvl>
    <w:lvl w:ilvl="6" w:tplc="16C6F38E">
      <w:start w:val="1"/>
      <w:numFmt w:val="decimal"/>
      <w:lvlText w:val="%7."/>
      <w:lvlJc w:val="left"/>
      <w:pPr>
        <w:ind w:left="5040" w:hanging="360"/>
      </w:pPr>
    </w:lvl>
    <w:lvl w:ilvl="7" w:tplc="43FA3C78">
      <w:start w:val="1"/>
      <w:numFmt w:val="lowerLetter"/>
      <w:lvlText w:val="%8."/>
      <w:lvlJc w:val="left"/>
      <w:pPr>
        <w:ind w:left="5760" w:hanging="360"/>
      </w:pPr>
    </w:lvl>
    <w:lvl w:ilvl="8" w:tplc="29BC89FC">
      <w:start w:val="1"/>
      <w:numFmt w:val="lowerRoman"/>
      <w:lvlText w:val="%9."/>
      <w:lvlJc w:val="right"/>
      <w:pPr>
        <w:ind w:left="6480" w:hanging="180"/>
      </w:pPr>
    </w:lvl>
  </w:abstractNum>
  <w:abstractNum w:abstractNumId="21" w15:restartNumberingAfterBreak="0">
    <w:nsid w:val="6DE820CA"/>
    <w:multiLevelType w:val="multilevel"/>
    <w:tmpl w:val="1870F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6F1E19AD"/>
    <w:multiLevelType w:val="multilevel"/>
    <w:tmpl w:val="862265E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74203DC1"/>
    <w:multiLevelType w:val="multilevel"/>
    <w:tmpl w:val="A6B0470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8C43B90"/>
    <w:multiLevelType w:val="hybridMultilevel"/>
    <w:tmpl w:val="741486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8EF373E"/>
    <w:multiLevelType w:val="multilevel"/>
    <w:tmpl w:val="229C1D7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2A5F69"/>
    <w:multiLevelType w:val="hybridMultilevel"/>
    <w:tmpl w:val="0206086C"/>
    <w:lvl w:ilvl="0" w:tplc="885CB218">
      <w:start w:val="1"/>
      <w:numFmt w:val="lowerRoman"/>
      <w:lvlText w:val="%1."/>
      <w:lvlJc w:val="right"/>
      <w:pPr>
        <w:ind w:left="720" w:hanging="360"/>
      </w:pPr>
    </w:lvl>
    <w:lvl w:ilvl="1" w:tplc="DF46383C">
      <w:start w:val="1"/>
      <w:numFmt w:val="lowerLetter"/>
      <w:lvlText w:val="%2."/>
      <w:lvlJc w:val="left"/>
      <w:pPr>
        <w:ind w:left="1440" w:hanging="360"/>
      </w:pPr>
    </w:lvl>
    <w:lvl w:ilvl="2" w:tplc="9E801E9E">
      <w:start w:val="1"/>
      <w:numFmt w:val="lowerRoman"/>
      <w:lvlText w:val="%3."/>
      <w:lvlJc w:val="right"/>
      <w:pPr>
        <w:ind w:left="2160" w:hanging="180"/>
      </w:pPr>
    </w:lvl>
    <w:lvl w:ilvl="3" w:tplc="D35059C6">
      <w:start w:val="1"/>
      <w:numFmt w:val="decimal"/>
      <w:lvlText w:val="%4."/>
      <w:lvlJc w:val="left"/>
      <w:pPr>
        <w:ind w:left="2880" w:hanging="360"/>
      </w:pPr>
    </w:lvl>
    <w:lvl w:ilvl="4" w:tplc="684A3936">
      <w:start w:val="1"/>
      <w:numFmt w:val="lowerLetter"/>
      <w:lvlText w:val="%5."/>
      <w:lvlJc w:val="left"/>
      <w:pPr>
        <w:ind w:left="3600" w:hanging="360"/>
      </w:pPr>
    </w:lvl>
    <w:lvl w:ilvl="5" w:tplc="4790CEDC">
      <w:start w:val="1"/>
      <w:numFmt w:val="lowerRoman"/>
      <w:lvlText w:val="%6."/>
      <w:lvlJc w:val="right"/>
      <w:pPr>
        <w:ind w:left="4320" w:hanging="180"/>
      </w:pPr>
    </w:lvl>
    <w:lvl w:ilvl="6" w:tplc="586691B6">
      <w:start w:val="1"/>
      <w:numFmt w:val="decimal"/>
      <w:lvlText w:val="%7."/>
      <w:lvlJc w:val="left"/>
      <w:pPr>
        <w:ind w:left="5040" w:hanging="360"/>
      </w:pPr>
    </w:lvl>
    <w:lvl w:ilvl="7" w:tplc="8A56A65C">
      <w:start w:val="1"/>
      <w:numFmt w:val="lowerLetter"/>
      <w:lvlText w:val="%8."/>
      <w:lvlJc w:val="left"/>
      <w:pPr>
        <w:ind w:left="5760" w:hanging="360"/>
      </w:pPr>
    </w:lvl>
    <w:lvl w:ilvl="8" w:tplc="A27E5CB4">
      <w:start w:val="1"/>
      <w:numFmt w:val="lowerRoman"/>
      <w:lvlText w:val="%9."/>
      <w:lvlJc w:val="right"/>
      <w:pPr>
        <w:ind w:left="6480" w:hanging="180"/>
      </w:pPr>
    </w:lvl>
  </w:abstractNum>
  <w:abstractNum w:abstractNumId="27" w15:restartNumberingAfterBreak="0">
    <w:nsid w:val="7AF60562"/>
    <w:multiLevelType w:val="hybridMultilevel"/>
    <w:tmpl w:val="8438F6A4"/>
    <w:lvl w:ilvl="0" w:tplc="8EDC02B8">
      <w:start w:val="1"/>
      <w:numFmt w:val="lowerRoman"/>
      <w:lvlText w:val="%1."/>
      <w:lvlJc w:val="right"/>
      <w:pPr>
        <w:ind w:left="720" w:hanging="360"/>
      </w:pPr>
    </w:lvl>
    <w:lvl w:ilvl="1" w:tplc="94CA809C">
      <w:start w:val="1"/>
      <w:numFmt w:val="lowerLetter"/>
      <w:lvlText w:val="%2."/>
      <w:lvlJc w:val="left"/>
      <w:pPr>
        <w:ind w:left="1440" w:hanging="360"/>
      </w:pPr>
    </w:lvl>
    <w:lvl w:ilvl="2" w:tplc="7E4CA732">
      <w:start w:val="1"/>
      <w:numFmt w:val="lowerRoman"/>
      <w:lvlText w:val="%3."/>
      <w:lvlJc w:val="right"/>
      <w:pPr>
        <w:ind w:left="2160" w:hanging="180"/>
      </w:pPr>
    </w:lvl>
    <w:lvl w:ilvl="3" w:tplc="9FC49FA0">
      <w:start w:val="1"/>
      <w:numFmt w:val="decimal"/>
      <w:lvlText w:val="%4."/>
      <w:lvlJc w:val="left"/>
      <w:pPr>
        <w:ind w:left="2880" w:hanging="360"/>
      </w:pPr>
    </w:lvl>
    <w:lvl w:ilvl="4" w:tplc="3B6C0E10">
      <w:start w:val="1"/>
      <w:numFmt w:val="lowerLetter"/>
      <w:lvlText w:val="%5."/>
      <w:lvlJc w:val="left"/>
      <w:pPr>
        <w:ind w:left="3600" w:hanging="360"/>
      </w:pPr>
    </w:lvl>
    <w:lvl w:ilvl="5" w:tplc="F64C8356">
      <w:start w:val="1"/>
      <w:numFmt w:val="lowerRoman"/>
      <w:lvlText w:val="%6."/>
      <w:lvlJc w:val="right"/>
      <w:pPr>
        <w:ind w:left="4320" w:hanging="180"/>
      </w:pPr>
    </w:lvl>
    <w:lvl w:ilvl="6" w:tplc="03925E44">
      <w:start w:val="1"/>
      <w:numFmt w:val="decimal"/>
      <w:lvlText w:val="%7."/>
      <w:lvlJc w:val="left"/>
      <w:pPr>
        <w:ind w:left="5040" w:hanging="360"/>
      </w:pPr>
    </w:lvl>
    <w:lvl w:ilvl="7" w:tplc="B352E608">
      <w:start w:val="1"/>
      <w:numFmt w:val="lowerLetter"/>
      <w:lvlText w:val="%8."/>
      <w:lvlJc w:val="left"/>
      <w:pPr>
        <w:ind w:left="5760" w:hanging="360"/>
      </w:pPr>
    </w:lvl>
    <w:lvl w:ilvl="8" w:tplc="4FA8387A">
      <w:start w:val="1"/>
      <w:numFmt w:val="lowerRoman"/>
      <w:lvlText w:val="%9."/>
      <w:lvlJc w:val="right"/>
      <w:pPr>
        <w:ind w:left="6480" w:hanging="180"/>
      </w:pPr>
    </w:lvl>
  </w:abstractNum>
  <w:num w:numId="1">
    <w:abstractNumId w:val="7"/>
  </w:num>
  <w:num w:numId="2">
    <w:abstractNumId w:val="9"/>
  </w:num>
  <w:num w:numId="3">
    <w:abstractNumId w:val="14"/>
  </w:num>
  <w:num w:numId="4">
    <w:abstractNumId w:val="5"/>
  </w:num>
  <w:num w:numId="5">
    <w:abstractNumId w:val="10"/>
  </w:num>
  <w:num w:numId="6">
    <w:abstractNumId w:val="18"/>
  </w:num>
  <w:num w:numId="7">
    <w:abstractNumId w:val="11"/>
  </w:num>
  <w:num w:numId="8">
    <w:abstractNumId w:val="24"/>
  </w:num>
  <w:num w:numId="9">
    <w:abstractNumId w:val="6"/>
  </w:num>
  <w:num w:numId="10">
    <w:abstractNumId w:val="27"/>
  </w:num>
  <w:num w:numId="11">
    <w:abstractNumId w:val="17"/>
  </w:num>
  <w:num w:numId="12">
    <w:abstractNumId w:val="19"/>
  </w:num>
  <w:num w:numId="13">
    <w:abstractNumId w:val="26"/>
  </w:num>
  <w:num w:numId="14">
    <w:abstractNumId w:val="20"/>
  </w:num>
  <w:num w:numId="15">
    <w:abstractNumId w:val="15"/>
  </w:num>
  <w:num w:numId="16">
    <w:abstractNumId w:val="1"/>
  </w:num>
  <w:num w:numId="17">
    <w:abstractNumId w:val="16"/>
  </w:num>
  <w:num w:numId="18">
    <w:abstractNumId w:val="4"/>
  </w:num>
  <w:num w:numId="19">
    <w:abstractNumId w:val="3"/>
  </w:num>
  <w:num w:numId="20">
    <w:abstractNumId w:val="21"/>
  </w:num>
  <w:num w:numId="21">
    <w:abstractNumId w:val="13"/>
  </w:num>
  <w:num w:numId="22">
    <w:abstractNumId w:val="0"/>
  </w:num>
  <w:num w:numId="23">
    <w:abstractNumId w:val="22"/>
  </w:num>
  <w:num w:numId="24">
    <w:abstractNumId w:val="8"/>
  </w:num>
  <w:num w:numId="25">
    <w:abstractNumId w:val="2"/>
  </w:num>
  <w:num w:numId="26">
    <w:abstractNumId w:val="23"/>
  </w:num>
  <w:num w:numId="27">
    <w:abstractNumId w:val="12"/>
  </w:num>
  <w:num w:numId="28">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F39"/>
    <w:rsid w:val="000005CD"/>
    <w:rsid w:val="00010BBB"/>
    <w:rsid w:val="0003405F"/>
    <w:rsid w:val="000909A4"/>
    <w:rsid w:val="000C0591"/>
    <w:rsid w:val="001241D7"/>
    <w:rsid w:val="001448C4"/>
    <w:rsid w:val="00164503"/>
    <w:rsid w:val="001C08DB"/>
    <w:rsid w:val="001C0CF5"/>
    <w:rsid w:val="001C6455"/>
    <w:rsid w:val="00203B02"/>
    <w:rsid w:val="00267093"/>
    <w:rsid w:val="00274F5C"/>
    <w:rsid w:val="002823BC"/>
    <w:rsid w:val="00285F41"/>
    <w:rsid w:val="002867FB"/>
    <w:rsid w:val="0029039B"/>
    <w:rsid w:val="002B3DAC"/>
    <w:rsid w:val="00330797"/>
    <w:rsid w:val="00373EC2"/>
    <w:rsid w:val="00395E13"/>
    <w:rsid w:val="003F7186"/>
    <w:rsid w:val="00401C9B"/>
    <w:rsid w:val="00424DE6"/>
    <w:rsid w:val="00425094"/>
    <w:rsid w:val="00430518"/>
    <w:rsid w:val="004474AC"/>
    <w:rsid w:val="004A069D"/>
    <w:rsid w:val="004A135F"/>
    <w:rsid w:val="004B6E05"/>
    <w:rsid w:val="004E050E"/>
    <w:rsid w:val="004F0A11"/>
    <w:rsid w:val="004F7D6C"/>
    <w:rsid w:val="005335B8"/>
    <w:rsid w:val="0056540C"/>
    <w:rsid w:val="005E0F5D"/>
    <w:rsid w:val="005E544C"/>
    <w:rsid w:val="0063194B"/>
    <w:rsid w:val="00633EA5"/>
    <w:rsid w:val="006516FD"/>
    <w:rsid w:val="006842FA"/>
    <w:rsid w:val="00693199"/>
    <w:rsid w:val="006B7B6B"/>
    <w:rsid w:val="00706004"/>
    <w:rsid w:val="00746B89"/>
    <w:rsid w:val="0079212B"/>
    <w:rsid w:val="007A4A17"/>
    <w:rsid w:val="007A4C17"/>
    <w:rsid w:val="007D0489"/>
    <w:rsid w:val="007E72F8"/>
    <w:rsid w:val="00801F39"/>
    <w:rsid w:val="008048D2"/>
    <w:rsid w:val="00821C1A"/>
    <w:rsid w:val="008B0C82"/>
    <w:rsid w:val="008B384B"/>
    <w:rsid w:val="008E2929"/>
    <w:rsid w:val="00916A0D"/>
    <w:rsid w:val="00922080"/>
    <w:rsid w:val="00935022"/>
    <w:rsid w:val="009B63AB"/>
    <w:rsid w:val="009C15B1"/>
    <w:rsid w:val="00A11697"/>
    <w:rsid w:val="00A25BC8"/>
    <w:rsid w:val="00AF5B19"/>
    <w:rsid w:val="00B41FB2"/>
    <w:rsid w:val="00B722DE"/>
    <w:rsid w:val="00B83068"/>
    <w:rsid w:val="00B95FB9"/>
    <w:rsid w:val="00BC5841"/>
    <w:rsid w:val="00BD34AE"/>
    <w:rsid w:val="00BF069C"/>
    <w:rsid w:val="00BF3835"/>
    <w:rsid w:val="00C1002D"/>
    <w:rsid w:val="00C962F0"/>
    <w:rsid w:val="00CD1CFD"/>
    <w:rsid w:val="00CF6F5A"/>
    <w:rsid w:val="00D665C3"/>
    <w:rsid w:val="00D8471A"/>
    <w:rsid w:val="00DC3847"/>
    <w:rsid w:val="00DC4551"/>
    <w:rsid w:val="00DF2FB9"/>
    <w:rsid w:val="00DF7339"/>
    <w:rsid w:val="00E25184"/>
    <w:rsid w:val="00E63302"/>
    <w:rsid w:val="00ED21C0"/>
    <w:rsid w:val="00ED2D44"/>
    <w:rsid w:val="00EF4327"/>
    <w:rsid w:val="00F15D99"/>
    <w:rsid w:val="00F734D1"/>
    <w:rsid w:val="00FA690B"/>
    <w:rsid w:val="00FF26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5ED4EC"/>
  <w15:chartTrackingRefBased/>
  <w15:docId w15:val="{D7325E86-EED0-4BDB-8ABA-21F6B774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qFormat/>
    <w:rsid w:val="00424DE6"/>
    <w:pPr>
      <w:keepNext/>
      <w:keepLines/>
      <w:spacing w:after="240"/>
      <w:ind w:left="567" w:hanging="567"/>
      <w:outlineLvl w:val="2"/>
    </w:pPr>
    <w:rPr>
      <w:rFonts w:ascii="Arial Unicode MS" w:eastAsia="Arial Unicode MS" w:hAnsi="Times New Roman Bold"/>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autoRedefine/>
    <w:rsid w:val="00CF6F5A"/>
    <w:pPr>
      <w:numPr>
        <w:numId w:val="2"/>
      </w:numPr>
      <w:tabs>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autoRedefine/>
    <w:rsid w:val="00373EC2"/>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Date">
    <w:name w:val="Date"/>
    <w:basedOn w:val="Normal"/>
    <w:next w:val="Normal"/>
    <w:rsid w:val="001C08DB"/>
  </w:style>
  <w:style w:type="character" w:customStyle="1" w:styleId="ParChar">
    <w:name w:val="Par Char"/>
    <w:link w:val="Par"/>
    <w:rsid w:val="0029039B"/>
    <w:rPr>
      <w:rFonts w:ascii="Arial" w:hAnsi="Arial"/>
      <w:snapToGrid w:val="0"/>
      <w:sz w:val="22"/>
      <w:szCs w:val="24"/>
      <w:lang w:val="en-GB" w:eastAsia="en-US" w:bidi="ar-SA"/>
    </w:rPr>
  </w:style>
  <w:style w:type="paragraph" w:styleId="ListParagraph">
    <w:name w:val="List Paragraph"/>
    <w:basedOn w:val="Normal"/>
    <w:uiPriority w:val="34"/>
    <w:qFormat/>
    <w:rsid w:val="004474AC"/>
    <w:pPr>
      <w:tabs>
        <w:tab w:val="clear" w:pos="567"/>
      </w:tabs>
      <w:snapToGrid/>
      <w:spacing w:after="160" w:line="259" w:lineRule="auto"/>
      <w:ind w:left="720"/>
      <w:contextualSpacing/>
    </w:pPr>
    <w:rPr>
      <w:rFonts w:asciiTheme="minorHAnsi" w:eastAsiaTheme="minorEastAsia" w:hAnsiTheme="minorHAnsi" w:cstheme="minorBidi"/>
      <w:snapToGrid/>
      <w:szCs w:val="22"/>
      <w:lang w:val="fr-FR" w:eastAsia="zh-CN"/>
    </w:rPr>
  </w:style>
  <w:style w:type="character" w:styleId="Hyperlink">
    <w:name w:val="Hyperlink"/>
    <w:basedOn w:val="DefaultParagraphFont"/>
    <w:uiPriority w:val="99"/>
    <w:unhideWhenUsed/>
    <w:rsid w:val="004474AC"/>
    <w:rPr>
      <w:color w:val="0563C1" w:themeColor="hyperlink"/>
      <w:u w:val="single"/>
    </w:rPr>
  </w:style>
  <w:style w:type="paragraph" w:customStyle="1" w:styleId="ParaCOI">
    <w:name w:val="Para COI"/>
    <w:basedOn w:val="Normal"/>
    <w:link w:val="ParaCOICar"/>
    <w:qFormat/>
    <w:rsid w:val="004474AC"/>
    <w:pPr>
      <w:tabs>
        <w:tab w:val="clear" w:pos="567"/>
        <w:tab w:val="left" w:pos="709"/>
      </w:tabs>
      <w:spacing w:after="240"/>
      <w:jc w:val="both"/>
    </w:pPr>
    <w:rPr>
      <w:szCs w:val="22"/>
      <w:lang w:eastAsia="zh-CN"/>
    </w:rPr>
  </w:style>
  <w:style w:type="character" w:customStyle="1" w:styleId="ParaCOICar">
    <w:name w:val="Para COI Car"/>
    <w:link w:val="ParaCOI"/>
    <w:rsid w:val="004474AC"/>
    <w:rPr>
      <w:rFonts w:ascii="Arial" w:hAnsi="Arial"/>
      <w:snapToGrid w:val="0"/>
      <w:sz w:val="22"/>
      <w:szCs w:val="22"/>
    </w:rPr>
  </w:style>
  <w:style w:type="table" w:styleId="TableGrid">
    <w:name w:val="Table Grid"/>
    <w:basedOn w:val="TableNormal"/>
    <w:uiPriority w:val="39"/>
    <w:rsid w:val="004474AC"/>
    <w:rPr>
      <w:rFonts w:asciiTheme="minorHAnsi" w:eastAsiaTheme="minorEastAsia"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eChar">
    <w:name w:val="Marge Char"/>
    <w:link w:val="Marge"/>
    <w:rsid w:val="004474AC"/>
    <w:rPr>
      <w:rFonts w:ascii="Arial" w:hAnsi="Arial"/>
      <w:snapToGrid w:val="0"/>
      <w:sz w:val="22"/>
      <w:szCs w:val="24"/>
      <w:lang w:eastAsia="en-US"/>
    </w:rPr>
  </w:style>
  <w:style w:type="paragraph" w:customStyle="1" w:styleId="Normal1">
    <w:name w:val="Normal1"/>
    <w:qFormat/>
    <w:rsid w:val="004474AC"/>
    <w:pPr>
      <w:spacing w:after="160" w:line="259" w:lineRule="auto"/>
    </w:pPr>
    <w:rPr>
      <w:rFonts w:ascii="Calibri" w:eastAsia="Calibri" w:hAnsi="Calibri" w:cs="Calibri"/>
      <w:sz w:val="22"/>
      <w:szCs w:val="22"/>
      <w:lang w:val="en-US"/>
    </w:rPr>
  </w:style>
  <w:style w:type="paragraph" w:customStyle="1" w:styleId="heading41">
    <w:name w:val="heading 41"/>
    <w:basedOn w:val="Normal1"/>
    <w:next w:val="Marge"/>
    <w:qFormat/>
    <w:rsid w:val="004474AC"/>
    <w:pPr>
      <w:keepNext/>
      <w:keepLines/>
      <w:tabs>
        <w:tab w:val="left" w:pos="567"/>
      </w:tabs>
      <w:snapToGrid w:val="0"/>
      <w:spacing w:after="240" w:line="240" w:lineRule="auto"/>
      <w:outlineLvl w:val="3"/>
    </w:pPr>
    <w:rPr>
      <w:rFonts w:ascii="Arial" w:eastAsia="Times New Roman" w:hAnsi="Arial" w:cs="Times New Roman"/>
      <w:b/>
      <w:bCs/>
      <w:snapToGrid w:val="0"/>
      <w:szCs w:val="24"/>
      <w:lang w:val="en-GB"/>
    </w:rPr>
  </w:style>
  <w:style w:type="character" w:styleId="FollowedHyperlink">
    <w:name w:val="FollowedHyperlink"/>
    <w:basedOn w:val="DefaultParagraphFont"/>
    <w:rsid w:val="002B3DAC"/>
    <w:rPr>
      <w:color w:val="954F72" w:themeColor="followedHyperlink"/>
      <w:u w:val="single"/>
    </w:rPr>
  </w:style>
  <w:style w:type="character" w:styleId="UnresolvedMention">
    <w:name w:val="Unresolved Mention"/>
    <w:basedOn w:val="DefaultParagraphFont"/>
    <w:uiPriority w:val="99"/>
    <w:semiHidden/>
    <w:unhideWhenUsed/>
    <w:rsid w:val="002B3DAC"/>
    <w:rPr>
      <w:color w:val="605E5C"/>
      <w:shd w:val="clear" w:color="auto" w:fill="E1DFDD"/>
    </w:rPr>
  </w:style>
  <w:style w:type="character" w:customStyle="1" w:styleId="FootnoteTextChar">
    <w:name w:val="Footnote Text Char"/>
    <w:basedOn w:val="DefaultParagraphFont"/>
    <w:link w:val="FootnoteText"/>
    <w:uiPriority w:val="99"/>
    <w:semiHidden/>
    <w:rsid w:val="00E25184"/>
    <w:rPr>
      <w:rFonts w:ascii="Arial" w:hAnsi="Arial"/>
      <w:snapToGrid w:val="0"/>
      <w:lang w:eastAsia="en-US"/>
    </w:rPr>
  </w:style>
  <w:style w:type="paragraph" w:styleId="NormalWeb">
    <w:name w:val="Normal (Web)"/>
    <w:basedOn w:val="Normal"/>
    <w:uiPriority w:val="99"/>
    <w:unhideWhenUsed/>
    <w:rsid w:val="007E72F8"/>
    <w:pPr>
      <w:tabs>
        <w:tab w:val="clear" w:pos="567"/>
      </w:tabs>
      <w:snapToGrid/>
      <w:spacing w:before="100" w:beforeAutospacing="1" w:after="100" w:afterAutospacing="1"/>
    </w:pPr>
    <w:rPr>
      <w:rFonts w:ascii="Times New Roman" w:hAnsi="Times New Roman"/>
      <w:snapToGrid/>
      <w:sz w:val="24"/>
      <w:lang w:eastAsia="en-GB"/>
    </w:rPr>
  </w:style>
  <w:style w:type="paragraph" w:styleId="Revision">
    <w:name w:val="Revision"/>
    <w:hidden/>
    <w:uiPriority w:val="99"/>
    <w:semiHidden/>
    <w:rsid w:val="008B0C82"/>
    <w:rPr>
      <w:rFonts w:ascii="Arial" w:hAnsi="Arial"/>
      <w:snapToGrid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9399">
      <w:bodyDiv w:val="1"/>
      <w:marLeft w:val="0"/>
      <w:marRight w:val="0"/>
      <w:marTop w:val="0"/>
      <w:marBottom w:val="0"/>
      <w:divBdr>
        <w:top w:val="none" w:sz="0" w:space="0" w:color="auto"/>
        <w:left w:val="none" w:sz="0" w:space="0" w:color="auto"/>
        <w:bottom w:val="none" w:sz="0" w:space="0" w:color="auto"/>
        <w:right w:val="none" w:sz="0" w:space="0" w:color="auto"/>
      </w:divBdr>
      <w:divsChild>
        <w:div w:id="1658656503">
          <w:marLeft w:val="0"/>
          <w:marRight w:val="0"/>
          <w:marTop w:val="0"/>
          <w:marBottom w:val="0"/>
          <w:divBdr>
            <w:top w:val="none" w:sz="0" w:space="0" w:color="auto"/>
            <w:left w:val="none" w:sz="0" w:space="0" w:color="auto"/>
            <w:bottom w:val="none" w:sz="0" w:space="0" w:color="auto"/>
            <w:right w:val="none" w:sz="0" w:space="0" w:color="auto"/>
          </w:divBdr>
          <w:divsChild>
            <w:div w:id="2097092649">
              <w:marLeft w:val="0"/>
              <w:marRight w:val="0"/>
              <w:marTop w:val="0"/>
              <w:marBottom w:val="0"/>
              <w:divBdr>
                <w:top w:val="none" w:sz="0" w:space="0" w:color="auto"/>
                <w:left w:val="none" w:sz="0" w:space="0" w:color="auto"/>
                <w:bottom w:val="none" w:sz="0" w:space="0" w:color="auto"/>
                <w:right w:val="none" w:sz="0" w:space="0" w:color="auto"/>
              </w:divBdr>
              <w:divsChild>
                <w:div w:id="1451244134">
                  <w:marLeft w:val="0"/>
                  <w:marRight w:val="0"/>
                  <w:marTop w:val="0"/>
                  <w:marBottom w:val="0"/>
                  <w:divBdr>
                    <w:top w:val="none" w:sz="0" w:space="0" w:color="auto"/>
                    <w:left w:val="none" w:sz="0" w:space="0" w:color="auto"/>
                    <w:bottom w:val="none" w:sz="0" w:space="0" w:color="auto"/>
                    <w:right w:val="none" w:sz="0" w:space="0" w:color="auto"/>
                  </w:divBdr>
                </w:div>
                <w:div w:id="18990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871059">
      <w:bodyDiv w:val="1"/>
      <w:marLeft w:val="0"/>
      <w:marRight w:val="0"/>
      <w:marTop w:val="0"/>
      <w:marBottom w:val="0"/>
      <w:divBdr>
        <w:top w:val="none" w:sz="0" w:space="0" w:color="auto"/>
        <w:left w:val="none" w:sz="0" w:space="0" w:color="auto"/>
        <w:bottom w:val="none" w:sz="0" w:space="0" w:color="auto"/>
        <w:right w:val="none" w:sz="0" w:space="0" w:color="auto"/>
      </w:divBdr>
      <w:divsChild>
        <w:div w:id="6907177">
          <w:marLeft w:val="0"/>
          <w:marRight w:val="0"/>
          <w:marTop w:val="0"/>
          <w:marBottom w:val="0"/>
          <w:divBdr>
            <w:top w:val="none" w:sz="0" w:space="0" w:color="auto"/>
            <w:left w:val="none" w:sz="0" w:space="0" w:color="auto"/>
            <w:bottom w:val="none" w:sz="0" w:space="0" w:color="auto"/>
            <w:right w:val="none" w:sz="0" w:space="0" w:color="auto"/>
          </w:divBdr>
          <w:divsChild>
            <w:div w:id="1865292228">
              <w:marLeft w:val="0"/>
              <w:marRight w:val="0"/>
              <w:marTop w:val="0"/>
              <w:marBottom w:val="0"/>
              <w:divBdr>
                <w:top w:val="none" w:sz="0" w:space="0" w:color="auto"/>
                <w:left w:val="none" w:sz="0" w:space="0" w:color="auto"/>
                <w:bottom w:val="none" w:sz="0" w:space="0" w:color="auto"/>
                <w:right w:val="none" w:sz="0" w:space="0" w:color="auto"/>
              </w:divBdr>
              <w:divsChild>
                <w:div w:id="752437206">
                  <w:marLeft w:val="0"/>
                  <w:marRight w:val="0"/>
                  <w:marTop w:val="0"/>
                  <w:marBottom w:val="0"/>
                  <w:divBdr>
                    <w:top w:val="none" w:sz="0" w:space="0" w:color="auto"/>
                    <w:left w:val="none" w:sz="0" w:space="0" w:color="auto"/>
                    <w:bottom w:val="none" w:sz="0" w:space="0" w:color="auto"/>
                    <w:right w:val="none" w:sz="0" w:space="0" w:color="auto"/>
                  </w:divBdr>
                  <w:divsChild>
                    <w:div w:id="7150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39370">
      <w:bodyDiv w:val="1"/>
      <w:marLeft w:val="0"/>
      <w:marRight w:val="0"/>
      <w:marTop w:val="0"/>
      <w:marBottom w:val="0"/>
      <w:divBdr>
        <w:top w:val="none" w:sz="0" w:space="0" w:color="auto"/>
        <w:left w:val="none" w:sz="0" w:space="0" w:color="auto"/>
        <w:bottom w:val="none" w:sz="0" w:space="0" w:color="auto"/>
        <w:right w:val="none" w:sz="0" w:space="0" w:color="auto"/>
      </w:divBdr>
      <w:divsChild>
        <w:div w:id="1092165469">
          <w:marLeft w:val="0"/>
          <w:marRight w:val="0"/>
          <w:marTop w:val="0"/>
          <w:marBottom w:val="0"/>
          <w:divBdr>
            <w:top w:val="none" w:sz="0" w:space="0" w:color="auto"/>
            <w:left w:val="none" w:sz="0" w:space="0" w:color="auto"/>
            <w:bottom w:val="none" w:sz="0" w:space="0" w:color="auto"/>
            <w:right w:val="none" w:sz="0" w:space="0" w:color="auto"/>
          </w:divBdr>
          <w:divsChild>
            <w:div w:id="786313598">
              <w:marLeft w:val="0"/>
              <w:marRight w:val="0"/>
              <w:marTop w:val="0"/>
              <w:marBottom w:val="0"/>
              <w:divBdr>
                <w:top w:val="none" w:sz="0" w:space="0" w:color="auto"/>
                <w:left w:val="none" w:sz="0" w:space="0" w:color="auto"/>
                <w:bottom w:val="none" w:sz="0" w:space="0" w:color="auto"/>
                <w:right w:val="none" w:sz="0" w:space="0" w:color="auto"/>
              </w:divBdr>
              <w:divsChild>
                <w:div w:id="644549684">
                  <w:marLeft w:val="0"/>
                  <w:marRight w:val="0"/>
                  <w:marTop w:val="0"/>
                  <w:marBottom w:val="0"/>
                  <w:divBdr>
                    <w:top w:val="none" w:sz="0" w:space="0" w:color="auto"/>
                    <w:left w:val="none" w:sz="0" w:space="0" w:color="auto"/>
                    <w:bottom w:val="none" w:sz="0" w:space="0" w:color="auto"/>
                    <w:right w:val="none" w:sz="0" w:space="0" w:color="auto"/>
                  </w:divBdr>
                  <w:divsChild>
                    <w:div w:id="11850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780669">
      <w:bodyDiv w:val="1"/>
      <w:marLeft w:val="0"/>
      <w:marRight w:val="0"/>
      <w:marTop w:val="0"/>
      <w:marBottom w:val="0"/>
      <w:divBdr>
        <w:top w:val="none" w:sz="0" w:space="0" w:color="auto"/>
        <w:left w:val="none" w:sz="0" w:space="0" w:color="auto"/>
        <w:bottom w:val="none" w:sz="0" w:space="0" w:color="auto"/>
        <w:right w:val="none" w:sz="0" w:space="0" w:color="auto"/>
      </w:divBdr>
      <w:divsChild>
        <w:div w:id="1045329740">
          <w:marLeft w:val="0"/>
          <w:marRight w:val="0"/>
          <w:marTop w:val="0"/>
          <w:marBottom w:val="0"/>
          <w:divBdr>
            <w:top w:val="none" w:sz="0" w:space="0" w:color="auto"/>
            <w:left w:val="none" w:sz="0" w:space="0" w:color="auto"/>
            <w:bottom w:val="none" w:sz="0" w:space="0" w:color="auto"/>
            <w:right w:val="none" w:sz="0" w:space="0" w:color="auto"/>
          </w:divBdr>
          <w:divsChild>
            <w:div w:id="1980568736">
              <w:marLeft w:val="0"/>
              <w:marRight w:val="0"/>
              <w:marTop w:val="0"/>
              <w:marBottom w:val="0"/>
              <w:divBdr>
                <w:top w:val="none" w:sz="0" w:space="0" w:color="auto"/>
                <w:left w:val="none" w:sz="0" w:space="0" w:color="auto"/>
                <w:bottom w:val="none" w:sz="0" w:space="0" w:color="auto"/>
                <w:right w:val="none" w:sz="0" w:space="0" w:color="auto"/>
              </w:divBdr>
              <w:divsChild>
                <w:div w:id="19232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548960">
      <w:bodyDiv w:val="1"/>
      <w:marLeft w:val="0"/>
      <w:marRight w:val="0"/>
      <w:marTop w:val="0"/>
      <w:marBottom w:val="0"/>
      <w:divBdr>
        <w:top w:val="none" w:sz="0" w:space="0" w:color="auto"/>
        <w:left w:val="none" w:sz="0" w:space="0" w:color="auto"/>
        <w:bottom w:val="none" w:sz="0" w:space="0" w:color="auto"/>
        <w:right w:val="none" w:sz="0" w:space="0" w:color="auto"/>
      </w:divBdr>
      <w:divsChild>
        <w:div w:id="1293095049">
          <w:marLeft w:val="0"/>
          <w:marRight w:val="0"/>
          <w:marTop w:val="0"/>
          <w:marBottom w:val="0"/>
          <w:divBdr>
            <w:top w:val="none" w:sz="0" w:space="0" w:color="auto"/>
            <w:left w:val="none" w:sz="0" w:space="0" w:color="auto"/>
            <w:bottom w:val="none" w:sz="0" w:space="0" w:color="auto"/>
            <w:right w:val="none" w:sz="0" w:space="0" w:color="auto"/>
          </w:divBdr>
          <w:divsChild>
            <w:div w:id="1599409575">
              <w:marLeft w:val="0"/>
              <w:marRight w:val="0"/>
              <w:marTop w:val="0"/>
              <w:marBottom w:val="0"/>
              <w:divBdr>
                <w:top w:val="none" w:sz="0" w:space="0" w:color="auto"/>
                <w:left w:val="none" w:sz="0" w:space="0" w:color="auto"/>
                <w:bottom w:val="none" w:sz="0" w:space="0" w:color="auto"/>
                <w:right w:val="none" w:sz="0" w:space="0" w:color="auto"/>
              </w:divBdr>
              <w:divsChild>
                <w:div w:id="18694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25652">
      <w:bodyDiv w:val="1"/>
      <w:marLeft w:val="0"/>
      <w:marRight w:val="0"/>
      <w:marTop w:val="0"/>
      <w:marBottom w:val="0"/>
      <w:divBdr>
        <w:top w:val="none" w:sz="0" w:space="0" w:color="auto"/>
        <w:left w:val="none" w:sz="0" w:space="0" w:color="auto"/>
        <w:bottom w:val="none" w:sz="0" w:space="0" w:color="auto"/>
        <w:right w:val="none" w:sz="0" w:space="0" w:color="auto"/>
      </w:divBdr>
      <w:divsChild>
        <w:div w:id="420878464">
          <w:marLeft w:val="0"/>
          <w:marRight w:val="0"/>
          <w:marTop w:val="0"/>
          <w:marBottom w:val="0"/>
          <w:divBdr>
            <w:top w:val="none" w:sz="0" w:space="0" w:color="auto"/>
            <w:left w:val="none" w:sz="0" w:space="0" w:color="auto"/>
            <w:bottom w:val="none" w:sz="0" w:space="0" w:color="auto"/>
            <w:right w:val="none" w:sz="0" w:space="0" w:color="auto"/>
          </w:divBdr>
          <w:divsChild>
            <w:div w:id="1036467542">
              <w:marLeft w:val="0"/>
              <w:marRight w:val="0"/>
              <w:marTop w:val="0"/>
              <w:marBottom w:val="0"/>
              <w:divBdr>
                <w:top w:val="none" w:sz="0" w:space="0" w:color="auto"/>
                <w:left w:val="none" w:sz="0" w:space="0" w:color="auto"/>
                <w:bottom w:val="none" w:sz="0" w:space="0" w:color="auto"/>
                <w:right w:val="none" w:sz="0" w:space="0" w:color="auto"/>
              </w:divBdr>
              <w:divsChild>
                <w:div w:id="13191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997972">
      <w:bodyDiv w:val="1"/>
      <w:marLeft w:val="0"/>
      <w:marRight w:val="0"/>
      <w:marTop w:val="0"/>
      <w:marBottom w:val="0"/>
      <w:divBdr>
        <w:top w:val="none" w:sz="0" w:space="0" w:color="auto"/>
        <w:left w:val="none" w:sz="0" w:space="0" w:color="auto"/>
        <w:bottom w:val="none" w:sz="0" w:space="0" w:color="auto"/>
        <w:right w:val="none" w:sz="0" w:space="0" w:color="auto"/>
      </w:divBdr>
      <w:divsChild>
        <w:div w:id="919409381">
          <w:marLeft w:val="0"/>
          <w:marRight w:val="0"/>
          <w:marTop w:val="0"/>
          <w:marBottom w:val="0"/>
          <w:divBdr>
            <w:top w:val="none" w:sz="0" w:space="0" w:color="auto"/>
            <w:left w:val="none" w:sz="0" w:space="0" w:color="auto"/>
            <w:bottom w:val="none" w:sz="0" w:space="0" w:color="auto"/>
            <w:right w:val="none" w:sz="0" w:space="0" w:color="auto"/>
          </w:divBdr>
          <w:divsChild>
            <w:div w:id="1327051059">
              <w:marLeft w:val="0"/>
              <w:marRight w:val="0"/>
              <w:marTop w:val="0"/>
              <w:marBottom w:val="0"/>
              <w:divBdr>
                <w:top w:val="none" w:sz="0" w:space="0" w:color="auto"/>
                <w:left w:val="none" w:sz="0" w:space="0" w:color="auto"/>
                <w:bottom w:val="none" w:sz="0" w:space="0" w:color="auto"/>
                <w:right w:val="none" w:sz="0" w:space="0" w:color="auto"/>
              </w:divBdr>
              <w:divsChild>
                <w:div w:id="1102143553">
                  <w:marLeft w:val="0"/>
                  <w:marRight w:val="0"/>
                  <w:marTop w:val="0"/>
                  <w:marBottom w:val="0"/>
                  <w:divBdr>
                    <w:top w:val="none" w:sz="0" w:space="0" w:color="auto"/>
                    <w:left w:val="none" w:sz="0" w:space="0" w:color="auto"/>
                    <w:bottom w:val="none" w:sz="0" w:space="0" w:color="auto"/>
                    <w:right w:val="none" w:sz="0" w:space="0" w:color="auto"/>
                  </w:divBdr>
                </w:div>
              </w:divsChild>
            </w:div>
            <w:div w:id="629747637">
              <w:marLeft w:val="0"/>
              <w:marRight w:val="0"/>
              <w:marTop w:val="0"/>
              <w:marBottom w:val="0"/>
              <w:divBdr>
                <w:top w:val="none" w:sz="0" w:space="0" w:color="auto"/>
                <w:left w:val="none" w:sz="0" w:space="0" w:color="auto"/>
                <w:bottom w:val="none" w:sz="0" w:space="0" w:color="auto"/>
                <w:right w:val="none" w:sz="0" w:space="0" w:color="auto"/>
              </w:divBdr>
              <w:divsChild>
                <w:div w:id="2020038756">
                  <w:marLeft w:val="0"/>
                  <w:marRight w:val="0"/>
                  <w:marTop w:val="0"/>
                  <w:marBottom w:val="0"/>
                  <w:divBdr>
                    <w:top w:val="none" w:sz="0" w:space="0" w:color="auto"/>
                    <w:left w:val="none" w:sz="0" w:space="0" w:color="auto"/>
                    <w:bottom w:val="none" w:sz="0" w:space="0" w:color="auto"/>
                    <w:right w:val="none" w:sz="0" w:space="0" w:color="auto"/>
                  </w:divBdr>
                </w:div>
              </w:divsChild>
            </w:div>
            <w:div w:id="1836915734">
              <w:marLeft w:val="0"/>
              <w:marRight w:val="0"/>
              <w:marTop w:val="0"/>
              <w:marBottom w:val="0"/>
              <w:divBdr>
                <w:top w:val="none" w:sz="0" w:space="0" w:color="auto"/>
                <w:left w:val="none" w:sz="0" w:space="0" w:color="auto"/>
                <w:bottom w:val="none" w:sz="0" w:space="0" w:color="auto"/>
                <w:right w:val="none" w:sz="0" w:space="0" w:color="auto"/>
              </w:divBdr>
              <w:divsChild>
                <w:div w:id="1152675697">
                  <w:marLeft w:val="0"/>
                  <w:marRight w:val="0"/>
                  <w:marTop w:val="0"/>
                  <w:marBottom w:val="0"/>
                  <w:divBdr>
                    <w:top w:val="none" w:sz="0" w:space="0" w:color="auto"/>
                    <w:left w:val="none" w:sz="0" w:space="0" w:color="auto"/>
                    <w:bottom w:val="none" w:sz="0" w:space="0" w:color="auto"/>
                    <w:right w:val="none" w:sz="0" w:space="0" w:color="auto"/>
                  </w:divBdr>
                </w:div>
              </w:divsChild>
            </w:div>
            <w:div w:id="1575892814">
              <w:marLeft w:val="0"/>
              <w:marRight w:val="0"/>
              <w:marTop w:val="0"/>
              <w:marBottom w:val="0"/>
              <w:divBdr>
                <w:top w:val="none" w:sz="0" w:space="0" w:color="auto"/>
                <w:left w:val="none" w:sz="0" w:space="0" w:color="auto"/>
                <w:bottom w:val="none" w:sz="0" w:space="0" w:color="auto"/>
                <w:right w:val="none" w:sz="0" w:space="0" w:color="auto"/>
              </w:divBdr>
              <w:divsChild>
                <w:div w:id="1940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44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oceanexpert.org/downloadFile/49541"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DB461-9AA2-4042-9E78-EE76599B9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1724</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The Road to the UN Year</vt:lpstr>
    </vt:vector>
  </TitlesOfParts>
  <Company>UNESCO</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subject/>
  <dc:creator>Boned, Patrice</dc:creator>
  <cp:keywords/>
  <dc:description/>
  <cp:lastModifiedBy>Sun, Yun</cp:lastModifiedBy>
  <cp:revision>10</cp:revision>
  <cp:lastPrinted>2022-06-08T08:20:00Z</cp:lastPrinted>
  <dcterms:created xsi:type="dcterms:W3CDTF">2022-06-13T08:39:00Z</dcterms:created>
  <dcterms:modified xsi:type="dcterms:W3CDTF">2022-06-13T10:21:00Z</dcterms:modified>
</cp:coreProperties>
</file>