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77E6E" w14:textId="4B60A542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55B0C166" w14:textId="1F64A00C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725CA1B5" w14:textId="66B4832E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3619613D" w14:textId="06B43FB9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4BFD5886" w14:textId="5139EEFC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36921F60" w14:textId="77777777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39342496" w14:textId="77777777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4101997B" w14:textId="7B335FF9" w:rsidR="00830E3E" w:rsidRPr="00DA49E9" w:rsidRDefault="00DA49E9" w:rsidP="009172D6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DA49E9">
        <w:rPr>
          <w:rFonts w:ascii="Arial" w:hAnsi="Arial" w:cs="Arial"/>
          <w:sz w:val="22"/>
          <w:szCs w:val="22"/>
          <w:lang w:val="ru-RU"/>
        </w:rPr>
        <w:t>Резолюция, принятая Ассамблеей МОК на ее 31-й сессии</w:t>
      </w:r>
      <w:r w:rsidR="00D242E6" w:rsidRPr="00D242E6">
        <w:rPr>
          <w:rFonts w:ascii="Arial" w:hAnsi="Arial" w:cs="Arial"/>
          <w:sz w:val="22"/>
          <w:szCs w:val="22"/>
          <w:lang w:val="ru-RU"/>
        </w:rPr>
        <w:t xml:space="preserve"> (в режиме онлайн)</w:t>
      </w:r>
      <w:r w:rsidR="00830E3E" w:rsidRPr="00E85A59">
        <w:rPr>
          <w:rFonts w:ascii="Arial" w:hAnsi="Arial" w:cs="Arial"/>
          <w:sz w:val="22"/>
          <w:szCs w:val="22"/>
        </w:rPr>
        <w:fldChar w:fldCharType="begin"/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ASK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ResNo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"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Please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enter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resolution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number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" \* </w:instrText>
      </w:r>
      <w:r w:rsidR="00830E3E" w:rsidRPr="003E2E2B">
        <w:rPr>
          <w:rFonts w:ascii="Arial" w:hAnsi="Arial" w:cs="Arial"/>
          <w:sz w:val="22"/>
          <w:szCs w:val="22"/>
          <w:lang w:val="es-ES"/>
        </w:rPr>
        <w:instrText>MERGEFORMAT</w:instrText>
      </w:r>
      <w:r w:rsidR="00830E3E" w:rsidRPr="00DA49E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E85A59">
        <w:rPr>
          <w:rFonts w:ascii="Arial" w:hAnsi="Arial" w:cs="Arial"/>
          <w:sz w:val="22"/>
          <w:szCs w:val="22"/>
        </w:rPr>
        <w:fldChar w:fldCharType="separate"/>
      </w:r>
      <w:bookmarkStart w:id="0" w:name="ResNo"/>
      <w:r w:rsidR="00375B17" w:rsidRPr="00DA49E9">
        <w:rPr>
          <w:rFonts w:ascii="Arial" w:hAnsi="Arial" w:cs="Arial"/>
          <w:sz w:val="22"/>
          <w:szCs w:val="22"/>
          <w:lang w:val="ru-RU"/>
        </w:rPr>
        <w:t>(</w:t>
      </w:r>
      <w:r w:rsidR="00375B17" w:rsidRPr="003E2E2B">
        <w:rPr>
          <w:rFonts w:ascii="Arial" w:hAnsi="Arial" w:cs="Arial"/>
          <w:sz w:val="22"/>
          <w:szCs w:val="22"/>
          <w:lang w:val="es-ES"/>
        </w:rPr>
        <w:t>A</w:t>
      </w:r>
      <w:r w:rsidR="00375B17" w:rsidRPr="00DA49E9">
        <w:rPr>
          <w:rFonts w:ascii="Arial" w:hAnsi="Arial" w:cs="Arial"/>
          <w:sz w:val="22"/>
          <w:szCs w:val="22"/>
          <w:lang w:val="ru-RU"/>
        </w:rPr>
        <w:t>)</w:t>
      </w:r>
      <w:bookmarkEnd w:id="0"/>
      <w:r w:rsidR="00830E3E" w:rsidRPr="00E85A59">
        <w:rPr>
          <w:rFonts w:ascii="Arial" w:hAnsi="Arial" w:cs="Arial"/>
          <w:sz w:val="22"/>
          <w:szCs w:val="22"/>
        </w:rPr>
        <w:fldChar w:fldCharType="end"/>
      </w:r>
    </w:p>
    <w:p w14:paraId="231FE9C5" w14:textId="26244E3C" w:rsidR="009172D6" w:rsidRPr="00DA49E9" w:rsidRDefault="009172D6" w:rsidP="00BE32D8">
      <w:pPr>
        <w:jc w:val="center"/>
        <w:rPr>
          <w:rFonts w:ascii="Arial" w:hAnsi="Arial" w:cs="Arial"/>
          <w:sz w:val="22"/>
          <w:szCs w:val="22"/>
          <w:u w:val="single"/>
          <w:lang w:val="ru-RU"/>
        </w:rPr>
      </w:pPr>
    </w:p>
    <w:p w14:paraId="5BCC6A82" w14:textId="2E7F5887" w:rsidR="009172D6" w:rsidRPr="00D242E6" w:rsidRDefault="00D242E6" w:rsidP="009172D6">
      <w:pPr>
        <w:spacing w:after="360"/>
        <w:jc w:val="center"/>
        <w:rPr>
          <w:rFonts w:ascii="Arial" w:hAnsi="Arial" w:cs="Arial"/>
          <w:sz w:val="22"/>
          <w:szCs w:val="22"/>
          <w:lang w:val="ru-RU"/>
        </w:rPr>
      </w:pPr>
      <w:r w:rsidRPr="00D242E6">
        <w:rPr>
          <w:rFonts w:ascii="Arial" w:hAnsi="Arial" w:cs="Arial"/>
          <w:sz w:val="22"/>
          <w:szCs w:val="22"/>
          <w:lang w:val="ru-RU"/>
        </w:rPr>
        <w:t>14-25 июня 2021 г.</w:t>
      </w:r>
    </w:p>
    <w:p w14:paraId="0362C622" w14:textId="77777777" w:rsidR="00D242E6" w:rsidRPr="00D242E6" w:rsidRDefault="00D242E6" w:rsidP="00D242E6">
      <w:pPr>
        <w:keepNext/>
        <w:tabs>
          <w:tab w:val="clear" w:pos="709"/>
          <w:tab w:val="left" w:pos="0"/>
          <w:tab w:val="center" w:pos="4542"/>
          <w:tab w:val="left" w:pos="5955"/>
        </w:tabs>
        <w:spacing w:after="240"/>
        <w:jc w:val="center"/>
        <w:outlineLvl w:val="0"/>
        <w:rPr>
          <w:rFonts w:ascii="Arial" w:eastAsia="SimSun" w:hAnsi="Arial" w:cs="Arial"/>
          <w:sz w:val="22"/>
          <w:szCs w:val="22"/>
          <w:u w:val="single"/>
          <w:lang w:val="ru-RU"/>
        </w:rPr>
      </w:pPr>
      <w:r w:rsidRPr="00D242E6">
        <w:rPr>
          <w:rFonts w:ascii="Arial" w:eastAsia="SimSun" w:hAnsi="Arial" w:cs="Arial"/>
          <w:sz w:val="22"/>
          <w:szCs w:val="22"/>
          <w:u w:val="single"/>
          <w:lang w:val="ru-RU"/>
        </w:rPr>
        <w:t xml:space="preserve">Резолюция </w:t>
      </w:r>
      <w:r w:rsidRPr="00D242E6">
        <w:rPr>
          <w:rFonts w:ascii="Arial" w:eastAsia="SimSun" w:hAnsi="Arial" w:cs="Arial"/>
          <w:sz w:val="22"/>
          <w:szCs w:val="22"/>
          <w:u w:val="single"/>
        </w:rPr>
        <w:t>A</w:t>
      </w:r>
      <w:r w:rsidRPr="00D242E6">
        <w:rPr>
          <w:rFonts w:ascii="Arial" w:eastAsia="SimSun" w:hAnsi="Arial" w:cs="Arial"/>
          <w:sz w:val="22"/>
          <w:szCs w:val="22"/>
          <w:u w:val="single"/>
          <w:lang w:val="ru-RU"/>
        </w:rPr>
        <w:t>-31/2</w:t>
      </w:r>
    </w:p>
    <w:p w14:paraId="7F57A8E4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center"/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Аспекты деятельности Комиссии, касающиеся управления и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br/>
        <w:t>подготовки программы и бюджета</w:t>
      </w:r>
    </w:p>
    <w:p w14:paraId="60F728EA" w14:textId="77777777" w:rsidR="00D242E6" w:rsidRPr="00D242E6" w:rsidRDefault="00D242E6" w:rsidP="00D242E6">
      <w:pPr>
        <w:keepNext/>
        <w:tabs>
          <w:tab w:val="clear" w:pos="709"/>
          <w:tab w:val="num" w:pos="1400"/>
        </w:tabs>
        <w:snapToGrid w:val="0"/>
        <w:spacing w:after="240"/>
        <w:ind w:left="720" w:hanging="720"/>
        <w:rPr>
          <w:rFonts w:ascii="Arial" w:hAnsi="Arial" w:cs="Arial"/>
          <w:iCs/>
          <w:snapToGrid w:val="0"/>
          <w:color w:val="000000"/>
          <w:sz w:val="22"/>
          <w:szCs w:val="22"/>
          <w:lang w:val="ru-RU"/>
        </w:rPr>
      </w:pPr>
      <w:bookmarkStart w:id="1" w:name="_Toc439675051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Межправительственная океанографическая комиссия</w:t>
      </w:r>
      <w:bookmarkEnd w:id="1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, </w:t>
      </w:r>
    </w:p>
    <w:p w14:paraId="04E97D0A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изучив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документы: </w:t>
      </w:r>
    </w:p>
    <w:p w14:paraId="0C6EAEEB" w14:textId="77777777" w:rsidR="00D242E6" w:rsidRPr="00D242E6" w:rsidRDefault="00EF2CD5" w:rsidP="00D242E6">
      <w:pPr>
        <w:numPr>
          <w:ilvl w:val="1"/>
          <w:numId w:val="6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hyperlink r:id="rId7" w:history="1"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/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-31/3.</w:t>
        </w:r>
        <w:proofErr w:type="gramStart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2.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Doc</w:t>
        </w:r>
        <w:proofErr w:type="gramEnd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(2)</w:t>
        </w:r>
      </w:hyperlink>
      <w:r w:rsidR="00D242E6"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– Доклад об исполнении бюджета на 2020-2021 гг. (40 С/5) по состоянию на 31 декабря 2020 г.;</w:t>
      </w:r>
    </w:p>
    <w:p w14:paraId="0D392F63" w14:textId="77777777" w:rsidR="00D242E6" w:rsidRPr="00D242E6" w:rsidRDefault="00EF2CD5" w:rsidP="00D242E6">
      <w:pPr>
        <w:numPr>
          <w:ilvl w:val="1"/>
          <w:numId w:val="6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hyperlink r:id="rId8" w:history="1"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/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-31/3.</w:t>
        </w:r>
        <w:proofErr w:type="gramStart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2.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Doc</w:t>
        </w:r>
        <w:proofErr w:type="gramEnd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(3)</w:t>
        </w:r>
      </w:hyperlink>
      <w:r w:rsidR="00D242E6"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– Финансовое положение специального счета МОК по состоянию на конец 2020 г. и прогноз на 2021 г.;</w:t>
      </w:r>
    </w:p>
    <w:p w14:paraId="65DB9D6A" w14:textId="77777777" w:rsidR="00D242E6" w:rsidRPr="00D242E6" w:rsidRDefault="00EF2CD5" w:rsidP="00D242E6">
      <w:pPr>
        <w:numPr>
          <w:ilvl w:val="1"/>
          <w:numId w:val="6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hyperlink r:id="rId9" w:history="1"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/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-31/4.</w:t>
        </w:r>
        <w:proofErr w:type="gramStart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1.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Doc</w:t>
        </w:r>
        <w:proofErr w:type="gramEnd"/>
      </w:hyperlink>
      <w:r w:rsidR="00D242E6"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 – </w:t>
      </w:r>
      <w:r w:rsidR="00D242E6"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Проект Среднесрочной стратегии МОК на 2022-2029 гг. (41 С/4);</w:t>
      </w:r>
    </w:p>
    <w:p w14:paraId="3532CB0B" w14:textId="77777777" w:rsidR="00D242E6" w:rsidRPr="00D242E6" w:rsidRDefault="00EF2CD5" w:rsidP="00D242E6">
      <w:pPr>
        <w:numPr>
          <w:ilvl w:val="1"/>
          <w:numId w:val="6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hyperlink r:id="rId10" w:history="1"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/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-31/4.</w:t>
        </w:r>
        <w:proofErr w:type="gramStart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2.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Doc</w:t>
        </w:r>
        <w:proofErr w:type="gramEnd"/>
      </w:hyperlink>
      <w:r w:rsidR="00D242E6" w:rsidRPr="00D242E6">
        <w:rPr>
          <w:snapToGrid w:val="0"/>
          <w:szCs w:val="24"/>
          <w:lang w:val="ru-RU"/>
        </w:rPr>
        <w:t xml:space="preserve"> –</w:t>
      </w:r>
      <w:r w:rsidR="00D242E6"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 </w:t>
      </w:r>
      <w:r w:rsidR="00D242E6"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Проект программы и бюджета на 2022-2025 гг. (41 С/5) – первый двухлетний период 2022-2023 гг.;</w:t>
      </w:r>
    </w:p>
    <w:p w14:paraId="78A42F2C" w14:textId="77777777" w:rsidR="00D242E6" w:rsidRPr="00D242E6" w:rsidRDefault="00EF2CD5" w:rsidP="00D242E6">
      <w:pPr>
        <w:numPr>
          <w:ilvl w:val="1"/>
          <w:numId w:val="6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hyperlink r:id="rId11" w:history="1"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/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-31/4.</w:t>
        </w:r>
        <w:proofErr w:type="gramStart"/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3.</w:t>
        </w:r>
        <w:r w:rsidR="00D242E6"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Doc</w:t>
        </w:r>
        <w:proofErr w:type="gramEnd"/>
      </w:hyperlink>
      <w:r w:rsidR="00D242E6" w:rsidRPr="00D242E6">
        <w:rPr>
          <w:snapToGrid w:val="0"/>
          <w:szCs w:val="24"/>
          <w:lang w:val="ru-RU"/>
        </w:rPr>
        <w:t xml:space="preserve"> </w:t>
      </w:r>
      <w:r w:rsidR="00D242E6"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– </w:t>
      </w:r>
      <w:r w:rsidR="00D242E6"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Доклад председателя межсессионной финансовой консультативной группы МОК (2021 г.).</w:t>
      </w:r>
    </w:p>
    <w:p w14:paraId="4DB2A471" w14:textId="50464BAF" w:rsidR="00D242E6" w:rsidRPr="00D242E6" w:rsidRDefault="00D242E6" w:rsidP="00D242E6">
      <w:pPr>
        <w:pStyle w:val="ListParagraph"/>
        <w:numPr>
          <w:ilvl w:val="3"/>
          <w:numId w:val="6"/>
        </w:numPr>
        <w:spacing w:after="240"/>
        <w:ind w:left="0" w:firstLine="0"/>
        <w:jc w:val="center"/>
        <w:rPr>
          <w:rFonts w:eastAsia="Calibri" w:cs="Arial"/>
          <w:b/>
          <w:bCs/>
          <w:szCs w:val="22"/>
          <w:lang w:val="ru-RU"/>
        </w:rPr>
      </w:pPr>
      <w:r w:rsidRPr="00D242E6">
        <w:rPr>
          <w:rFonts w:eastAsia="Calibri" w:cs="Arial"/>
          <w:b/>
          <w:bCs/>
          <w:szCs w:val="22"/>
          <w:lang w:val="ru-RU"/>
        </w:rPr>
        <w:t xml:space="preserve">Исполнение бюджета на 2020-2021 гг. по состоянию на 31 декабря 2020 г. </w:t>
      </w:r>
      <w:r w:rsidRPr="00D242E6">
        <w:rPr>
          <w:rFonts w:eastAsia="Calibri" w:cs="Arial"/>
          <w:szCs w:val="22"/>
          <w:lang w:val="ru-RU"/>
        </w:rPr>
        <w:br/>
      </w:r>
      <w:r w:rsidRPr="00D242E6">
        <w:rPr>
          <w:rFonts w:eastAsia="Calibri" w:cs="Arial"/>
          <w:b/>
          <w:bCs/>
          <w:szCs w:val="22"/>
          <w:lang w:val="ru-RU"/>
        </w:rPr>
        <w:t>и финансовое положение специального счета МОК</w:t>
      </w:r>
      <w:r w:rsidRPr="00D242E6">
        <w:rPr>
          <w:rFonts w:eastAsia="Calibri" w:cs="Arial"/>
          <w:b/>
          <w:bCs/>
          <w:szCs w:val="22"/>
          <w:lang w:val="ru-RU"/>
        </w:rPr>
        <w:br/>
        <w:t>по состоянию на конец 2020 г. и прогноз на 2021 г.</w:t>
      </w:r>
    </w:p>
    <w:p w14:paraId="595B6DD3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подтверждает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, что планы работы МОК на 2020-2021 годы, представленные в документе 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IOC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/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A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-31/3.2.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Doc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(2), были выполнены в соответствии с бюджетными ассигнованиями, утвержденными Ассамблеей МОК на ее 30-й сессии в </w:t>
      </w:r>
      <w:hyperlink r:id="rId12" w:history="1"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 xml:space="preserve">резолюции 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XXX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</w:t>
        </w:r>
      </w:hyperlink>
      <w:r w:rsidRPr="00D242E6">
        <w:rPr>
          <w:snapToGrid w:val="0"/>
          <w:szCs w:val="24"/>
          <w:lang w:val="ru-RU"/>
        </w:rPr>
        <w:t>,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 как представлено в документе </w:t>
      </w:r>
      <w:hyperlink r:id="rId13" w:history="1"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XXX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 xml:space="preserve">/2 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Annex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 xml:space="preserve"> 9</w:t>
        </w:r>
      </w:hyperlink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;</w:t>
      </w:r>
    </w:p>
    <w:p w14:paraId="23910B46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b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 xml:space="preserve">отмечает 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несколько более низкие, чем обычно, темпы исполнения бюджета в первый год двухлетнего периода 2020-2021 гг. в связи с деятельностью в условиях пандемии 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COVID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-19, а также намерение секретариата полностью выполнить двухлетнюю программу работы к концу</w:t>
      </w:r>
      <w:r w:rsidRPr="00EF2CD5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2021 г.;</w:t>
      </w:r>
    </w:p>
    <w:p w14:paraId="0E6A4B2F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отмечает также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, что по состоянию на 31 декабря 2020 г. цели по привлечению внебюджетных ресурсов, установленные на двухлетний период 2020-2021 гг., были достигнуты в целом на уровне 76%, но со значительными различиями между функциями МОК;</w:t>
      </w:r>
    </w:p>
    <w:p w14:paraId="1ED2F9E1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принимает к сведению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информацию о финансовом положении специального счета МОК по состоянию на конец 2020 г. и прогноз на 2021 г., представленные в документе 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oceanexpert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document</w:instrText>
      </w:r>
      <w:r w:rsidR="00EF2CD5" w:rsidRPr="00EF2CD5">
        <w:rPr>
          <w:lang w:val="ru-RU"/>
        </w:rPr>
        <w:instrText xml:space="preserve">/28336"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IOC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/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A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-31/3.2.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Doc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(3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fldChar w:fldCharType="end"/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);</w:t>
      </w:r>
    </w:p>
    <w:p w14:paraId="1EC9023C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lastRenderedPageBreak/>
        <w:t>утверждает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корректировки бюджетных ассигнований на 2020-2021 гг., содержащиеся в таблице 1 документа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oceanexpert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document</w:instrText>
      </w:r>
      <w:r w:rsidR="00EF2CD5" w:rsidRPr="00EF2CD5">
        <w:rPr>
          <w:lang w:val="ru-RU"/>
        </w:rPr>
        <w:instrText xml:space="preserve">/28336"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IOC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/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A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-31/3.2.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Doc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(3);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fldChar w:fldCharType="end"/>
      </w:r>
    </w:p>
    <w:p w14:paraId="206774F1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благодарит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государства-члены, которые уже предоставили или обязались внести внебюджетные средства для осуществления программы на 2020-2021 гг.; </w:t>
      </w:r>
    </w:p>
    <w:p w14:paraId="3BFDFD6B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призывает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все государства-члены вносить добровольные взносы в целях обеспечения полного достижения коллективно утвержденных целевых показателей привлечения внебюджетных ресурсов на 2020-2021 гг., желательно на специальный счет МОК;</w:t>
      </w:r>
    </w:p>
    <w:p w14:paraId="19EFD0BC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просит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Исполнительного секретаря МОК продолжать деятельность по дальнейшему привлечению добровольных взносов, в том числе от доноров из частного сектора и прочих партнеров, и достижению полного выполнения программных целевых показателей МОК на 2020-2021 гг.;</w:t>
      </w:r>
    </w:p>
    <w:p w14:paraId="20276E20" w14:textId="401A3BAC" w:rsidR="00D242E6" w:rsidRPr="00D242E6" w:rsidRDefault="00D242E6" w:rsidP="00D242E6">
      <w:pPr>
        <w:pStyle w:val="ListParagraph"/>
        <w:numPr>
          <w:ilvl w:val="3"/>
          <w:numId w:val="6"/>
        </w:numPr>
        <w:spacing w:after="240"/>
        <w:ind w:left="0" w:firstLine="0"/>
        <w:jc w:val="center"/>
        <w:rPr>
          <w:rFonts w:eastAsia="Calibri" w:cs="Arial"/>
          <w:b/>
          <w:bCs/>
          <w:szCs w:val="22"/>
          <w:lang w:val="ru-RU"/>
        </w:rPr>
      </w:pPr>
      <w:r w:rsidRPr="00EF2CD5">
        <w:rPr>
          <w:rFonts w:eastAsia="Calibri" w:cs="Arial"/>
          <w:b/>
          <w:bCs/>
          <w:szCs w:val="22"/>
          <w:lang w:val="ru-RU"/>
        </w:rPr>
        <w:tab/>
      </w:r>
      <w:r w:rsidRPr="00D242E6">
        <w:rPr>
          <w:rFonts w:eastAsia="Calibri" w:cs="Arial"/>
          <w:b/>
          <w:bCs/>
          <w:szCs w:val="22"/>
          <w:lang w:val="ru-RU"/>
        </w:rPr>
        <w:t>Проект среднесрочной стратегии на 2022-2029</w:t>
      </w:r>
      <w:r w:rsidRPr="00D242E6">
        <w:rPr>
          <w:rFonts w:eastAsia="Calibri" w:cs="Arial"/>
          <w:b/>
          <w:bCs/>
          <w:szCs w:val="22"/>
        </w:rPr>
        <w:t> </w:t>
      </w:r>
      <w:r w:rsidRPr="00D242E6">
        <w:rPr>
          <w:rFonts w:eastAsia="Calibri" w:cs="Arial"/>
          <w:b/>
          <w:bCs/>
          <w:szCs w:val="22"/>
          <w:lang w:val="ru-RU"/>
        </w:rPr>
        <w:t>гг.</w:t>
      </w:r>
    </w:p>
    <w:p w14:paraId="23B89373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 xml:space="preserve">одобряет 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поправки и усовершенствования, внесенные секретариатом в проект среднесрочной стратегии МОК на 2022-2029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 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гг., в ответ на рекомендации, представленные на 53-й сессии Исполнительного совета МОК в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unesdoc</w:instrText>
      </w:r>
      <w:r w:rsidR="00EF2CD5" w:rsidRPr="00EF2CD5">
        <w:rPr>
          <w:lang w:val="ru-RU"/>
        </w:rPr>
        <w:instrText>.</w:instrText>
      </w:r>
      <w:r w:rsidR="00EF2CD5">
        <w:instrText>unesco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ark</w:instrText>
      </w:r>
      <w:r w:rsidR="00EF2CD5" w:rsidRPr="00EF2CD5">
        <w:rPr>
          <w:lang w:val="ru-RU"/>
        </w:rPr>
        <w:instrText>:/48223/</w:instrText>
      </w:r>
      <w:r w:rsidR="00EF2CD5">
        <w:instrText>pf</w:instrText>
      </w:r>
      <w:r w:rsidR="00EF2CD5" w:rsidRPr="00EF2CD5">
        <w:rPr>
          <w:lang w:val="ru-RU"/>
        </w:rPr>
        <w:instrText>0000375848.</w:instrText>
      </w:r>
      <w:r w:rsidR="00EF2CD5">
        <w:instrText>locale</w:instrText>
      </w:r>
      <w:r w:rsidR="00EF2CD5" w:rsidRPr="00EF2CD5">
        <w:rPr>
          <w:lang w:val="ru-RU"/>
        </w:rPr>
        <w:instrText>=</w:instrText>
      </w:r>
      <w:r w:rsidR="00EF2CD5">
        <w:instrText>en</w:instrText>
      </w:r>
      <w:r w:rsidR="00EF2CD5" w:rsidRPr="00EF2CD5">
        <w:rPr>
          <w:lang w:val="ru-RU"/>
        </w:rPr>
        <w:instrText xml:space="preserve">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 xml:space="preserve">резолюции 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EC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-53/2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fldChar w:fldCharType="end"/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;</w:t>
      </w:r>
    </w:p>
    <w:p w14:paraId="7AFD63BD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iCs/>
          <w:snapToGrid w:val="0"/>
          <w:sz w:val="22"/>
          <w:szCs w:val="22"/>
          <w:lang w:val="ru-RU"/>
        </w:rPr>
        <w:t xml:space="preserve">одобряет </w:t>
      </w:r>
      <w:r w:rsidRPr="00D242E6">
        <w:rPr>
          <w:rFonts w:ascii="Arial" w:eastAsia="Calibri" w:hAnsi="Arial" w:cs="Arial"/>
          <w:iCs/>
          <w:snapToGrid w:val="0"/>
          <w:sz w:val="22"/>
          <w:szCs w:val="22"/>
          <w:lang w:val="ru-RU"/>
        </w:rPr>
        <w:t>среднесрочную стратегию МОК на 2022-</w:t>
      </w:r>
      <w:r w:rsidRPr="005678E6">
        <w:rPr>
          <w:rFonts w:ascii="Arial" w:eastAsia="Calibri" w:hAnsi="Arial" w:cs="Arial"/>
          <w:snapToGrid w:val="0"/>
          <w:sz w:val="22"/>
          <w:szCs w:val="22"/>
          <w:lang w:val="ru-RU"/>
        </w:rPr>
        <w:t>2029</w:t>
      </w:r>
      <w:r w:rsidRPr="00D242E6">
        <w:rPr>
          <w:rFonts w:ascii="Arial" w:eastAsia="Calibri" w:hAnsi="Arial" w:cs="Arial"/>
          <w:iCs/>
          <w:snapToGrid w:val="0"/>
          <w:sz w:val="22"/>
          <w:szCs w:val="22"/>
          <w:lang w:val="ru-RU"/>
        </w:rPr>
        <w:t xml:space="preserve"> гг. с поправками к документу </w:t>
      </w:r>
      <w:r w:rsidRPr="00D242E6">
        <w:rPr>
          <w:rFonts w:ascii="Arial" w:eastAsia="Calibri" w:hAnsi="Arial" w:cs="Arial"/>
          <w:iCs/>
          <w:snapToGrid w:val="0"/>
          <w:color w:val="0000FF"/>
          <w:sz w:val="22"/>
          <w:szCs w:val="22"/>
          <w:u w:val="single"/>
        </w:rPr>
        <w:t>IOC</w:t>
      </w:r>
      <w:r w:rsidRPr="00D242E6">
        <w:rPr>
          <w:rFonts w:ascii="Arial" w:eastAsia="Calibri" w:hAnsi="Arial" w:cs="Arial"/>
          <w:iCs/>
          <w:snapToGrid w:val="0"/>
          <w:color w:val="0000FF"/>
          <w:sz w:val="22"/>
          <w:szCs w:val="22"/>
          <w:u w:val="single"/>
          <w:lang w:val="ru-RU"/>
        </w:rPr>
        <w:t>/</w:t>
      </w:r>
      <w:r w:rsidRPr="00D242E6">
        <w:rPr>
          <w:rFonts w:ascii="Arial" w:eastAsia="Calibri" w:hAnsi="Arial" w:cs="Arial"/>
          <w:iCs/>
          <w:snapToGrid w:val="0"/>
          <w:color w:val="0000FF"/>
          <w:sz w:val="22"/>
          <w:szCs w:val="22"/>
          <w:u w:val="single"/>
        </w:rPr>
        <w:t>A</w:t>
      </w:r>
      <w:r w:rsidRPr="00D242E6">
        <w:rPr>
          <w:rFonts w:ascii="Arial" w:eastAsia="Calibri" w:hAnsi="Arial" w:cs="Arial"/>
          <w:iCs/>
          <w:snapToGrid w:val="0"/>
          <w:color w:val="0000FF"/>
          <w:sz w:val="22"/>
          <w:szCs w:val="22"/>
          <w:u w:val="single"/>
          <w:lang w:val="ru-RU"/>
        </w:rPr>
        <w:t>-31/4.1.</w:t>
      </w:r>
      <w:r w:rsidRPr="00D242E6">
        <w:rPr>
          <w:rFonts w:ascii="Arial" w:eastAsia="Calibri" w:hAnsi="Arial" w:cs="Arial"/>
          <w:iCs/>
          <w:snapToGrid w:val="0"/>
          <w:color w:val="0000FF"/>
          <w:sz w:val="22"/>
          <w:szCs w:val="22"/>
          <w:u w:val="single"/>
        </w:rPr>
        <w:t>Doc</w:t>
      </w:r>
      <w:r w:rsidRPr="00D242E6">
        <w:rPr>
          <w:rFonts w:ascii="Arial" w:eastAsia="Calibri" w:hAnsi="Arial" w:cs="Arial"/>
          <w:iCs/>
          <w:snapToGrid w:val="0"/>
          <w:sz w:val="22"/>
          <w:szCs w:val="22"/>
          <w:lang w:val="ru-RU"/>
        </w:rPr>
        <w:t xml:space="preserve">, содержащемуся в приложении </w:t>
      </w:r>
      <w:r w:rsidRPr="00D242E6">
        <w:rPr>
          <w:rFonts w:ascii="Arial" w:eastAsia="Calibri" w:hAnsi="Arial" w:cs="Arial"/>
          <w:iCs/>
          <w:snapToGrid w:val="0"/>
          <w:sz w:val="22"/>
          <w:szCs w:val="22"/>
        </w:rPr>
        <w:t>I</w:t>
      </w:r>
      <w:r w:rsidRPr="00D242E6">
        <w:rPr>
          <w:rFonts w:ascii="Arial" w:eastAsia="Calibri" w:hAnsi="Arial" w:cs="Arial"/>
          <w:iCs/>
          <w:snapToGrid w:val="0"/>
          <w:sz w:val="22"/>
          <w:szCs w:val="22"/>
          <w:lang w:val="ru-RU"/>
        </w:rPr>
        <w:t xml:space="preserve"> к настоящей резолюции; </w:t>
      </w:r>
    </w:p>
    <w:p w14:paraId="65E83601" w14:textId="4497B8EF" w:rsidR="00D242E6" w:rsidRPr="00D242E6" w:rsidRDefault="00D242E6" w:rsidP="00D242E6">
      <w:pPr>
        <w:pStyle w:val="ListParagraph"/>
        <w:numPr>
          <w:ilvl w:val="3"/>
          <w:numId w:val="6"/>
        </w:numPr>
        <w:spacing w:after="240"/>
        <w:ind w:left="0" w:firstLine="0"/>
        <w:jc w:val="center"/>
        <w:rPr>
          <w:rFonts w:eastAsia="Calibri" w:cs="Arial"/>
          <w:b/>
          <w:bCs/>
          <w:szCs w:val="22"/>
          <w:lang w:val="ru-RU"/>
        </w:rPr>
      </w:pPr>
      <w:r w:rsidRPr="00EF2CD5">
        <w:rPr>
          <w:rFonts w:eastAsia="Calibri" w:cs="Arial"/>
          <w:b/>
          <w:bCs/>
          <w:szCs w:val="22"/>
          <w:lang w:val="ru-RU"/>
        </w:rPr>
        <w:tab/>
      </w:r>
      <w:r w:rsidRPr="00D242E6">
        <w:rPr>
          <w:rFonts w:eastAsia="Calibri" w:cs="Arial"/>
          <w:b/>
          <w:bCs/>
          <w:szCs w:val="22"/>
          <w:lang w:val="ru-RU"/>
        </w:rPr>
        <w:t>Проект программы и бюджета на 2022</w:t>
      </w:r>
      <w:r w:rsidRPr="00D242E6">
        <w:rPr>
          <w:rFonts w:eastAsia="Calibri" w:cs="Arial"/>
          <w:szCs w:val="22"/>
          <w:lang w:val="ru-RU"/>
        </w:rPr>
        <w:t>–</w:t>
      </w:r>
      <w:r w:rsidRPr="00D242E6">
        <w:rPr>
          <w:rFonts w:eastAsia="Calibri" w:cs="Arial"/>
          <w:b/>
          <w:bCs/>
          <w:szCs w:val="22"/>
          <w:lang w:val="ru-RU"/>
        </w:rPr>
        <w:t>2025</w:t>
      </w:r>
      <w:r w:rsidRPr="00D242E6">
        <w:rPr>
          <w:rFonts w:eastAsia="Calibri" w:cs="Arial"/>
          <w:b/>
          <w:bCs/>
          <w:szCs w:val="22"/>
        </w:rPr>
        <w:t> </w:t>
      </w:r>
      <w:r w:rsidRPr="00D242E6">
        <w:rPr>
          <w:rFonts w:eastAsia="Calibri" w:cs="Arial"/>
          <w:b/>
          <w:bCs/>
          <w:szCs w:val="22"/>
          <w:lang w:val="ru-RU"/>
        </w:rPr>
        <w:t>гг.</w:t>
      </w:r>
    </w:p>
    <w:p w14:paraId="186CB762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выражает признательность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секретариату МОК за предложение, содержащееся в документе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oceanexpert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document</w:instrText>
      </w:r>
      <w:r w:rsidR="00EF2CD5" w:rsidRPr="00EF2CD5">
        <w:rPr>
          <w:lang w:val="ru-RU"/>
        </w:rPr>
        <w:instrText xml:space="preserve">/28092"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IOC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/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A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-31/4.2.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Doc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fldChar w:fldCharType="end"/>
      </w:r>
      <w:r w:rsidRPr="00D242E6">
        <w:rPr>
          <w:rFonts w:ascii="Arial" w:eastAsia="Calibri" w:hAnsi="Arial" w:cs="Arial"/>
          <w:snapToGrid w:val="0"/>
          <w:color w:val="0070C0"/>
          <w:sz w:val="22"/>
          <w:szCs w:val="22"/>
          <w:lang w:val="ru-RU"/>
        </w:rPr>
        <w:t xml:space="preserve">, 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как соответствующее руководящим принципам, установленным в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unesdoc</w:instrText>
      </w:r>
      <w:r w:rsidR="00EF2CD5" w:rsidRPr="00EF2CD5">
        <w:rPr>
          <w:lang w:val="ru-RU"/>
        </w:rPr>
        <w:instrText>.</w:instrText>
      </w:r>
      <w:r w:rsidR="00EF2CD5">
        <w:instrText>unesco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ark</w:instrText>
      </w:r>
      <w:r w:rsidR="00EF2CD5" w:rsidRPr="00EF2CD5">
        <w:rPr>
          <w:lang w:val="ru-RU"/>
        </w:rPr>
        <w:instrText>:/48223/</w:instrText>
      </w:r>
      <w:r w:rsidR="00EF2CD5">
        <w:instrText>pf</w:instrText>
      </w:r>
      <w:r w:rsidR="00EF2CD5" w:rsidRPr="00EF2CD5">
        <w:rPr>
          <w:lang w:val="ru-RU"/>
        </w:rPr>
        <w:instrText>0000375848.</w:instrText>
      </w:r>
      <w:r w:rsidR="00EF2CD5">
        <w:instrText>locale</w:instrText>
      </w:r>
      <w:r w:rsidR="00EF2CD5" w:rsidRPr="00EF2CD5">
        <w:rPr>
          <w:lang w:val="ru-RU"/>
        </w:rPr>
        <w:instrText>=</w:instrText>
      </w:r>
      <w:r w:rsidR="00EF2CD5">
        <w:instrText>en</w:instrText>
      </w:r>
      <w:r w:rsidR="00EF2CD5" w:rsidRPr="00EF2CD5">
        <w:rPr>
          <w:lang w:val="ru-RU"/>
        </w:rPr>
        <w:instrText xml:space="preserve">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 xml:space="preserve">резолюции 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EC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-53/2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fldChar w:fldCharType="end"/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, и целям высокого уровня, определенным в проекте среднесрочной стратегии МОК на 2022-2029 гг.;</w:t>
      </w:r>
    </w:p>
    <w:p w14:paraId="1DC3D71D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принимает к сведению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программные решения Исполнительного секретаря, выражая при этом озабоченность сокращением бюджета обычной программы на оперативную деятельность;</w:t>
      </w:r>
    </w:p>
    <w:p w14:paraId="7D2022F6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подчеркивает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важность наличия у МОК стратегии и необходимых ресурсов как в рамках обычного программного бюджета, так и добровольных взносов для выполнения ее роли в проведении Десятилетия ООН, посвященного науке об океане в интересах устойчивого развития (2021-2030 гг.), (далее «Десятилетие»);</w:t>
      </w:r>
    </w:p>
    <w:p w14:paraId="54EA36BF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240"/>
        <w:jc w:val="left"/>
        <w:rPr>
          <w:rFonts w:ascii="Arial" w:eastAsia="Calibri" w:hAnsi="Arial" w:cs="Arial"/>
          <w:snapToGrid w:val="0"/>
          <w:sz w:val="22"/>
          <w:szCs w:val="22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предлагает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Генеральному директору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 xml:space="preserve"> ЮНЕСКО:</w:t>
      </w:r>
    </w:p>
    <w:p w14:paraId="38430F22" w14:textId="77777777" w:rsidR="00D242E6" w:rsidRPr="00D242E6" w:rsidRDefault="00D242E6" w:rsidP="00D242E6">
      <w:pPr>
        <w:numPr>
          <w:ilvl w:val="1"/>
          <w:numId w:val="15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укрепить в рамках документа 41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 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/5 кадровые ресурсы МОК, с тем чтобы Комиссия была способна решать стоящие перед ней задачи, количество которых постоянно растет, и удовлетворять текущие и вновь возникающие приоритетные потребности, включая те из них, которые связаны с достижением целей устойчивого развития и проведением Десятилетия; </w:t>
      </w:r>
    </w:p>
    <w:p w14:paraId="7FA86BB5" w14:textId="77777777" w:rsidR="00D242E6" w:rsidRPr="00D242E6" w:rsidRDefault="00D242E6" w:rsidP="00D242E6">
      <w:pPr>
        <w:numPr>
          <w:ilvl w:val="1"/>
          <w:numId w:val="15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продолжить прикладывать все усилия для увеличения</w:t>
      </w:r>
      <w:r w:rsidRPr="00D242E6">
        <w:rPr>
          <w:snapToGrid w:val="0"/>
          <w:szCs w:val="24"/>
          <w:lang w:val="ru-RU"/>
        </w:rPr>
        <w:t xml:space="preserve"> 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в рамках документа 41 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/5 предоставляемых МОК финансовых средств; </w:t>
      </w:r>
    </w:p>
    <w:p w14:paraId="7B38EF38" w14:textId="77777777" w:rsidR="00D242E6" w:rsidRPr="00D242E6" w:rsidRDefault="00D242E6" w:rsidP="00D242E6">
      <w:pPr>
        <w:numPr>
          <w:ilvl w:val="1"/>
          <w:numId w:val="15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обеспечить бюджетные ассигнования для МОК в утвержденном документе 41 С/5 без их уменьшения путем перенаправления средств в другие части бюджета ЮНЕСКО;</w:t>
      </w:r>
    </w:p>
    <w:p w14:paraId="523E29E9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240"/>
        <w:jc w:val="left"/>
        <w:rPr>
          <w:rFonts w:ascii="Arial" w:eastAsia="Calibri" w:hAnsi="Arial" w:cs="Arial"/>
          <w:snapToGrid w:val="0"/>
          <w:sz w:val="22"/>
          <w:szCs w:val="22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предлагает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государствам – членам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 xml:space="preserve"> МОК:</w:t>
      </w:r>
    </w:p>
    <w:p w14:paraId="35DA9F25" w14:textId="77777777" w:rsidR="00D242E6" w:rsidRPr="00D242E6" w:rsidRDefault="00D242E6" w:rsidP="00D242E6">
      <w:pPr>
        <w:numPr>
          <w:ilvl w:val="1"/>
          <w:numId w:val="16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lastRenderedPageBreak/>
        <w:t>продолжать отстаивать перед Генеральным директором ЮНЕСКО и руководящими органами ЮНЕСКО важность МОК как органа с функциональной автономией в рамках ЮНЕСКО, подчеркивая, в частности, ценность вклада МОК в деятельность ЮНЕСКО и в поддержку устойчивого развития;</w:t>
      </w:r>
    </w:p>
    <w:p w14:paraId="1F181D91" w14:textId="77777777" w:rsidR="00D242E6" w:rsidRPr="00D242E6" w:rsidRDefault="00D242E6" w:rsidP="00D242E6">
      <w:pPr>
        <w:numPr>
          <w:ilvl w:val="1"/>
          <w:numId w:val="16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поддерживать укрепление МОК в процессе консультаций по проекту среднесрочной стратегии ЮНЕСКО на 2022-2029 гг. (проект документа 41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 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/4) и проекта программы и бюджета на 2022-2025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 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гг. (проект документа 41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 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/5);</w:t>
      </w:r>
    </w:p>
    <w:p w14:paraId="7B331652" w14:textId="77777777" w:rsidR="00D242E6" w:rsidRPr="00D242E6" w:rsidRDefault="00D242E6" w:rsidP="00D242E6">
      <w:pPr>
        <w:numPr>
          <w:ilvl w:val="1"/>
          <w:numId w:val="16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увеличить добровольные взносы в поддержку МОК в связи с ее возрастающими функциями, желательно на специальный счет МОК, а также, помимо прочего, вносить вклад в натуральной форме путем предоставления персонала (либо в форме личного присутствия, либо с использованием механизмов удаленной работы) для секретариата МОК;</w:t>
      </w:r>
    </w:p>
    <w:p w14:paraId="71EC2F0A" w14:textId="77777777" w:rsidR="00D242E6" w:rsidRPr="00D242E6" w:rsidRDefault="00D242E6" w:rsidP="00D242E6">
      <w:pPr>
        <w:numPr>
          <w:ilvl w:val="1"/>
          <w:numId w:val="16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увеличить также взносы без жесткой целевой привязки, с тем чтобы позволить МОК выполнять коллективно согласованные приоритетные задачи программ МОК;</w:t>
      </w:r>
    </w:p>
    <w:p w14:paraId="0CD5782A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240"/>
        <w:jc w:val="left"/>
        <w:rPr>
          <w:rFonts w:ascii="Arial" w:eastAsia="Calibri" w:hAnsi="Arial" w:cs="Arial"/>
          <w:snapToGrid w:val="0"/>
          <w:sz w:val="22"/>
          <w:szCs w:val="22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просит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Исполнительного секретаря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 xml:space="preserve"> МОК:</w:t>
      </w:r>
    </w:p>
    <w:p w14:paraId="746F9B87" w14:textId="77777777" w:rsidR="00D242E6" w:rsidRPr="00D242E6" w:rsidRDefault="00D242E6" w:rsidP="00D242E6">
      <w:pPr>
        <w:numPr>
          <w:ilvl w:val="0"/>
          <w:numId w:val="29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информировать должностных лиц МОК и государства-члены о процессе утверждения ЮНЕСКО документа 41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 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/5;</w:t>
      </w:r>
    </w:p>
    <w:p w14:paraId="78AE73B0" w14:textId="77777777" w:rsidR="00D242E6" w:rsidRPr="00D242E6" w:rsidRDefault="00D242E6" w:rsidP="00D242E6">
      <w:pPr>
        <w:numPr>
          <w:ilvl w:val="0"/>
          <w:numId w:val="29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после утверждения Генеральной конференцией ЮНЕСКО бюджета на 2022-2023 гг. разработать планы работы на основе общего подхода, установленного в документе </w:t>
      </w:r>
      <w:hyperlink r:id="rId14" w:history="1"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IOC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/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A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-31/4.</w:t>
        </w:r>
        <w:proofErr w:type="gramStart"/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  <w:lang w:val="ru-RU"/>
          </w:rPr>
          <w:t>2.</w:t>
        </w:r>
        <w:r w:rsidRPr="00D242E6">
          <w:rPr>
            <w:rFonts w:ascii="Arial" w:eastAsia="Calibri" w:hAnsi="Arial" w:cs="Arial"/>
            <w:snapToGrid w:val="0"/>
            <w:color w:val="0000FF"/>
            <w:sz w:val="22"/>
            <w:szCs w:val="22"/>
            <w:u w:val="single"/>
          </w:rPr>
          <w:t>Doc</w:t>
        </w:r>
        <w:proofErr w:type="gramEnd"/>
      </w:hyperlink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;</w:t>
      </w:r>
    </w:p>
    <w:p w14:paraId="57992BA2" w14:textId="77777777" w:rsidR="00D242E6" w:rsidRPr="00D242E6" w:rsidRDefault="00D242E6" w:rsidP="00D242E6">
      <w:pPr>
        <w:numPr>
          <w:ilvl w:val="0"/>
          <w:numId w:val="29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поддерживать работу межсессионной финансовой консультативной группы (МФКГ), своевременно предоставляя информацию о процессе составления программы и бюджета, в целях содействия принятию обоснованного решения государствами – членами Исполнительного совета МОК на его 55-й сессии в 2022 г.;</w:t>
      </w:r>
    </w:p>
    <w:p w14:paraId="2A2BDA11" w14:textId="77777777" w:rsidR="00D242E6" w:rsidRPr="00D242E6" w:rsidRDefault="00D242E6" w:rsidP="00D242E6">
      <w:pPr>
        <w:numPr>
          <w:ilvl w:val="2"/>
          <w:numId w:val="30"/>
        </w:numPr>
        <w:tabs>
          <w:tab w:val="clear" w:pos="709"/>
          <w:tab w:val="left" w:pos="567"/>
        </w:tabs>
        <w:snapToGrid w:val="0"/>
        <w:spacing w:after="240"/>
        <w:ind w:left="0" w:firstLine="0"/>
        <w:jc w:val="center"/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Управление и методы работы</w:t>
      </w:r>
    </w:p>
    <w:p w14:paraId="6F598D73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напоминая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, что Ассамблея МОК на своей 30-й сессии в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unesdoc</w:instrText>
      </w:r>
      <w:r w:rsidR="00EF2CD5" w:rsidRPr="00EF2CD5">
        <w:rPr>
          <w:lang w:val="ru-RU"/>
        </w:rPr>
        <w:instrText>.</w:instrText>
      </w:r>
      <w:r w:rsidR="00EF2CD5">
        <w:instrText>unesco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ark</w:instrText>
      </w:r>
      <w:r w:rsidR="00EF2CD5" w:rsidRPr="00EF2CD5">
        <w:rPr>
          <w:lang w:val="ru-RU"/>
        </w:rPr>
        <w:instrText>:/48223/</w:instrText>
      </w:r>
      <w:r w:rsidR="00EF2CD5">
        <w:instrText>pf</w:instrText>
      </w:r>
      <w:r w:rsidR="00EF2CD5" w:rsidRPr="00EF2CD5">
        <w:rPr>
          <w:lang w:val="ru-RU"/>
        </w:rPr>
        <w:instrText>0000372666.</w:instrText>
      </w:r>
      <w:r w:rsidR="00EF2CD5">
        <w:instrText>locale</w:instrText>
      </w:r>
      <w:r w:rsidR="00EF2CD5" w:rsidRPr="00EF2CD5">
        <w:rPr>
          <w:lang w:val="ru-RU"/>
        </w:rPr>
        <w:instrText>=</w:instrText>
      </w:r>
      <w:r w:rsidR="00EF2CD5">
        <w:instrText>en</w:instrText>
      </w:r>
      <w:r w:rsidR="00EF2CD5" w:rsidRPr="00EF2CD5">
        <w:rPr>
          <w:lang w:val="ru-RU"/>
        </w:rPr>
        <w:instrText xml:space="preserve">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 xml:space="preserve">резолюции 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XXX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-3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fldChar w:fldCharType="end"/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предложила МФКГ «продолжить изучение передового опыта с целью дальнейшего повышения эффективности совещаний руководящих органов МОК»,</w:t>
      </w:r>
    </w:p>
    <w:p w14:paraId="5994555C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признавая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, что пандемия 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COVID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-19 привлекла внимание к необходимости пересмотра и возможного обновления Правил процедуры МОК для приведения их в соответствие с преобладающей передовой практикой Организации Объединенных Наций в целях упрощения обоснованного и своевременного принятия решений государствами – членами МОК,</w:t>
      </w:r>
    </w:p>
    <w:p w14:paraId="2A9B8982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отмечая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, что Исполнительный совет МОК на своей 53-й сессии в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https</w:instrText>
      </w:r>
      <w:r w:rsidR="00EF2CD5" w:rsidRPr="00EF2CD5">
        <w:rPr>
          <w:lang w:val="ru-RU"/>
        </w:rPr>
        <w:instrText>://</w:instrText>
      </w:r>
      <w:r w:rsidR="00EF2CD5">
        <w:instrText>unesdoc</w:instrText>
      </w:r>
      <w:r w:rsidR="00EF2CD5" w:rsidRPr="00EF2CD5">
        <w:rPr>
          <w:lang w:val="ru-RU"/>
        </w:rPr>
        <w:instrText>.</w:instrText>
      </w:r>
      <w:r w:rsidR="00EF2CD5">
        <w:instrText>unesco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ark</w:instrText>
      </w:r>
      <w:r w:rsidR="00EF2CD5" w:rsidRPr="00EF2CD5">
        <w:rPr>
          <w:lang w:val="ru-RU"/>
        </w:rPr>
        <w:instrText>:/48223/</w:instrText>
      </w:r>
      <w:r w:rsidR="00EF2CD5">
        <w:instrText>pf</w:instrText>
      </w:r>
      <w:r w:rsidR="00EF2CD5" w:rsidRPr="00EF2CD5">
        <w:rPr>
          <w:lang w:val="ru-RU"/>
        </w:rPr>
        <w:instrText>0000375848.</w:instrText>
      </w:r>
      <w:r w:rsidR="00EF2CD5">
        <w:instrText>locale</w:instrText>
      </w:r>
      <w:r w:rsidR="00EF2CD5" w:rsidRPr="00EF2CD5">
        <w:rPr>
          <w:lang w:val="ru-RU"/>
        </w:rPr>
        <w:instrText>=</w:instrText>
      </w:r>
      <w:r w:rsidR="00EF2CD5">
        <w:instrText>en</w:instrText>
      </w:r>
      <w:r w:rsidR="00EF2CD5" w:rsidRPr="00EF2CD5">
        <w:rPr>
          <w:lang w:val="ru-RU"/>
        </w:rPr>
        <w:instrText xml:space="preserve">" </w:instrText>
      </w:r>
      <w:r w:rsidR="00EF2CD5">
        <w:fldChar w:fldCharType="separate"/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t>резолюции 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</w:rPr>
        <w:t>EC</w:t>
      </w:r>
      <w:r w:rsidRPr="00D242E6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noBreakHyphen/>
        <w:t>53/2</w:t>
      </w:r>
      <w:r w:rsidR="00EF2CD5">
        <w:rPr>
          <w:rFonts w:ascii="Arial" w:eastAsia="Calibri" w:hAnsi="Arial" w:cs="Arial"/>
          <w:snapToGrid w:val="0"/>
          <w:color w:val="0000FF"/>
          <w:sz w:val="22"/>
          <w:szCs w:val="22"/>
          <w:u w:val="single"/>
          <w:lang w:val="ru-RU"/>
        </w:rPr>
        <w:fldChar w:fldCharType="end"/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признал необходимость адаптации Правил процедуры МОК к совещаниям в режиме онлайн,</w:t>
      </w:r>
    </w:p>
    <w:p w14:paraId="2BF706F6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приветствует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представленную в докладе председателя МФКГ (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IOC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/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A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noBreakHyphen/>
        <w:t>31/4.</w:t>
      </w:r>
      <w:proofErr w:type="gramStart"/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>3.</w:t>
      </w:r>
      <w:r w:rsidRPr="00D242E6">
        <w:rPr>
          <w:rFonts w:ascii="Arial" w:eastAsia="Calibri" w:hAnsi="Arial" w:cs="Arial"/>
          <w:snapToGrid w:val="0"/>
          <w:sz w:val="22"/>
          <w:szCs w:val="22"/>
        </w:rPr>
        <w:t>Doc</w:t>
      </w:r>
      <w:proofErr w:type="gramEnd"/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) информацию относительно консультаций, проведенных по этому вопросу с юрисконсультом ЮНЕСКО; </w:t>
      </w:r>
    </w:p>
    <w:p w14:paraId="3ED2D0D3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lastRenderedPageBreak/>
        <w:t>просит</w:t>
      </w:r>
      <w:r w:rsidRPr="00D242E6">
        <w:rPr>
          <w:rFonts w:ascii="Arial" w:eastAsia="Calibri" w:hAnsi="Arial" w:cs="Arial"/>
          <w:snapToGrid w:val="0"/>
          <w:sz w:val="22"/>
          <w:szCs w:val="22"/>
          <w:lang w:val="ru-RU"/>
        </w:rPr>
        <w:t xml:space="preserve"> Исполнительного секретаря МОК </w:t>
      </w:r>
      <w:r w:rsidRPr="00D242E6">
        <w:rPr>
          <w:rFonts w:ascii="Arial" w:eastAsia="Calibri" w:hAnsi="Arial" w:cs="Arial"/>
          <w:sz w:val="22"/>
          <w:szCs w:val="22"/>
          <w:lang w:val="ru-RU"/>
        </w:rPr>
        <w:t xml:space="preserve">в сотрудничестве с юрисконсультом ЮНЕСКО и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</w:t>
      </w:r>
      <w:r w:rsidRPr="005678E6">
        <w:rPr>
          <w:rFonts w:ascii="Arial" w:eastAsia="Calibri" w:hAnsi="Arial" w:cs="Arial"/>
          <w:b/>
          <w:bCs/>
          <w:snapToGrid w:val="0"/>
          <w:sz w:val="22"/>
          <w:szCs w:val="22"/>
          <w:lang w:val="ru-RU"/>
        </w:rPr>
        <w:t>разъяснений</w:t>
      </w:r>
      <w:r w:rsidRPr="00D242E6">
        <w:rPr>
          <w:rFonts w:ascii="Arial" w:eastAsia="Calibri" w:hAnsi="Arial" w:cs="Arial"/>
          <w:sz w:val="22"/>
          <w:szCs w:val="22"/>
          <w:lang w:val="ru-RU"/>
        </w:rPr>
        <w:t xml:space="preserve"> и согласованием текстов на различных языках для рассмотрения и утверждения этими двумя органами в соответствии со следующим графиком:</w:t>
      </w:r>
    </w:p>
    <w:p w14:paraId="38A2171A" w14:textId="77777777" w:rsidR="00D242E6" w:rsidRPr="00D242E6" w:rsidRDefault="00D242E6" w:rsidP="00D242E6">
      <w:pPr>
        <w:numPr>
          <w:ilvl w:val="0"/>
          <w:numId w:val="31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первый проект Правил процедуры Исполнительного совета МОК будет рассмотрен Исполнительным советом МОК на его 55-й сессии в 2022 г.;</w:t>
      </w:r>
    </w:p>
    <w:p w14:paraId="3D5D223A" w14:textId="77777777" w:rsidR="00D242E6" w:rsidRPr="00D242E6" w:rsidRDefault="00D242E6" w:rsidP="00D242E6">
      <w:pPr>
        <w:numPr>
          <w:ilvl w:val="0"/>
          <w:numId w:val="31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проект Правил процедуры Ассамблеи МОК будет представлен для рассмотрения и утверждения Ассамблеей</w:t>
      </w:r>
      <w:r w:rsidRPr="00D242E6">
        <w:rPr>
          <w:snapToGrid w:val="0"/>
          <w:szCs w:val="24"/>
          <w:lang w:val="ru-RU"/>
        </w:rPr>
        <w:t xml:space="preserve">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МОК на ее 32-й сессии в 2023 г.;</w:t>
      </w:r>
    </w:p>
    <w:p w14:paraId="38F6E67C" w14:textId="77777777" w:rsidR="00D242E6" w:rsidRPr="00D242E6" w:rsidRDefault="00D242E6" w:rsidP="00D242E6">
      <w:pPr>
        <w:numPr>
          <w:ilvl w:val="0"/>
          <w:numId w:val="31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на своей 32-й сессии Ассамблея МОК рассмотрит также проект Правил процедуры Исполнительного совета</w:t>
      </w:r>
      <w:r w:rsidRPr="00D242E6">
        <w:rPr>
          <w:snapToGrid w:val="0"/>
          <w:szCs w:val="24"/>
          <w:lang w:val="ru-RU"/>
        </w:rPr>
        <w:t xml:space="preserve">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МОК; </w:t>
      </w:r>
    </w:p>
    <w:p w14:paraId="72F4ED99" w14:textId="77777777" w:rsidR="00D242E6" w:rsidRPr="00D242E6" w:rsidRDefault="00D242E6" w:rsidP="00D242E6">
      <w:pPr>
        <w:numPr>
          <w:ilvl w:val="0"/>
          <w:numId w:val="31"/>
        </w:numPr>
        <w:tabs>
          <w:tab w:val="clear" w:pos="709"/>
          <w:tab w:val="left" w:pos="-737"/>
          <w:tab w:val="left" w:pos="567"/>
        </w:tabs>
        <w:snapToGrid w:val="0"/>
        <w:spacing w:after="240"/>
        <w:ind w:left="1134" w:hanging="567"/>
        <w:jc w:val="left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Исполнительный совет МОК проведет внеочередную сессию для принятия своих Правил процедуры сразу после 32-й сессии Ассамблеи</w:t>
      </w:r>
      <w:r w:rsidRPr="00D242E6">
        <w:rPr>
          <w:snapToGrid w:val="0"/>
          <w:szCs w:val="24"/>
          <w:lang w:val="ru-RU"/>
        </w:rPr>
        <w:t xml:space="preserve">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МОК;</w:t>
      </w:r>
    </w:p>
    <w:p w14:paraId="394BFC85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i/>
          <w:snapToGrid w:val="0"/>
          <w:szCs w:val="24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соглашается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, что каждый руководящий орган МОК утвердит рекомендации по методам работы сессий в режиме онлайн одновременно с Правилами процедуры, следуя практике Исполнительного совета ЮНЕСКО;</w:t>
      </w:r>
    </w:p>
    <w:p w14:paraId="3323508F" w14:textId="77777777" w:rsidR="00D242E6" w:rsidRPr="00D242E6" w:rsidRDefault="00D242E6" w:rsidP="005678E6">
      <w:pPr>
        <w:tabs>
          <w:tab w:val="clear" w:pos="709"/>
          <w:tab w:val="left" w:pos="567"/>
        </w:tabs>
        <w:snapToGrid w:val="0"/>
        <w:spacing w:after="240"/>
        <w:rPr>
          <w:i/>
          <w:snapToGrid w:val="0"/>
          <w:szCs w:val="24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предлагает </w:t>
      </w:r>
      <w:r w:rsidRPr="00D242E6">
        <w:rPr>
          <w:rFonts w:ascii="Arial" w:hAnsi="Arial" w:cs="Arial"/>
          <w:bCs/>
          <w:snapToGrid w:val="0"/>
          <w:sz w:val="22"/>
          <w:szCs w:val="22"/>
          <w:lang w:val="ru-RU"/>
        </w:rPr>
        <w:t xml:space="preserve">МФКГ подготовить предложение по систематическому подходу к отчетности за взносы в натуральной форме и ее методологии в соответствии с обновленными Руководящими принципами программной и бюджетной деятельности (приложение </w:t>
      </w:r>
      <w:r w:rsidRPr="00D242E6">
        <w:rPr>
          <w:rFonts w:ascii="Arial" w:hAnsi="Arial" w:cs="Arial"/>
          <w:bCs/>
          <w:snapToGrid w:val="0"/>
          <w:sz w:val="22"/>
          <w:szCs w:val="22"/>
          <w:lang w:val="fr-FR"/>
        </w:rPr>
        <w:t>I</w:t>
      </w:r>
      <w:r w:rsidRPr="00D242E6">
        <w:rPr>
          <w:rFonts w:ascii="Arial" w:hAnsi="Arial" w:cs="Arial"/>
          <w:bCs/>
          <w:snapToGrid w:val="0"/>
          <w:sz w:val="22"/>
          <w:szCs w:val="22"/>
          <w:lang w:val="ru-RU"/>
        </w:rPr>
        <w:t xml:space="preserve"> к резолюции ЕС-53/2) и статьей 10 Устава МОК для рассмотрения Ассамблеей МОК на ее 32</w:t>
      </w:r>
      <w:r w:rsidRPr="00D242E6">
        <w:rPr>
          <w:rFonts w:ascii="Arial" w:hAnsi="Arial" w:cs="Arial"/>
          <w:bCs/>
          <w:snapToGrid w:val="0"/>
          <w:sz w:val="22"/>
          <w:szCs w:val="22"/>
          <w:lang w:val="ru-RU"/>
        </w:rPr>
        <w:noBreakHyphen/>
        <w:t>й сессии.</w:t>
      </w:r>
    </w:p>
    <w:p w14:paraId="6CD65A69" w14:textId="62CF52D5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before="360" w:after="240"/>
        <w:jc w:val="center"/>
        <w:rPr>
          <w:rFonts w:ascii="Arial" w:hAnsi="Arial" w:cs="Arial"/>
          <w:snapToGrid w:val="0"/>
          <w:sz w:val="22"/>
          <w:szCs w:val="22"/>
          <w:u w:val="single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u w:val="single"/>
          <w:lang w:val="ru-RU"/>
        </w:rPr>
        <w:t>Приложение к резолюции А-31/2</w:t>
      </w:r>
    </w:p>
    <w:p w14:paraId="76574D86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240"/>
        <w:jc w:val="center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eastAsia="Arial" w:hAnsi="Arial" w:cs="Arial"/>
          <w:b/>
          <w:bCs/>
          <w:color w:val="000000"/>
          <w:sz w:val="22"/>
          <w:szCs w:val="22"/>
          <w:lang w:val="ru-RU"/>
        </w:rPr>
        <w:t>Среднесрочная стратегия МОК на 2022-2029 гг. (41</w:t>
      </w:r>
      <w:r w:rsidRPr="00D242E6">
        <w:rPr>
          <w:rFonts w:ascii="Arial" w:eastAsia="Arial" w:hAnsi="Arial" w:cs="Arial"/>
          <w:b/>
          <w:bCs/>
          <w:color w:val="000000"/>
          <w:sz w:val="22"/>
          <w:szCs w:val="22"/>
        </w:rPr>
        <w:t> C</w:t>
      </w:r>
      <w:r w:rsidRPr="00D242E6">
        <w:rPr>
          <w:rFonts w:ascii="Arial" w:eastAsia="Arial" w:hAnsi="Arial" w:cs="Arial"/>
          <w:b/>
          <w:bCs/>
          <w:color w:val="000000"/>
          <w:sz w:val="22"/>
          <w:szCs w:val="22"/>
          <w:lang w:val="ru-RU"/>
        </w:rPr>
        <w:t>/4)</w:t>
      </w:r>
    </w:p>
    <w:p w14:paraId="0E4616BA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СОДЕРЖАНИЕ </w:t>
      </w:r>
    </w:p>
    <w:p w14:paraId="31E29997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426"/>
          <w:tab w:val="left" w:pos="567"/>
        </w:tabs>
        <w:snapToGrid w:val="0"/>
        <w:spacing w:after="240" w:line="259" w:lineRule="auto"/>
        <w:ind w:left="378" w:hanging="378"/>
        <w:jc w:val="lef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color w:val="000000"/>
          <w:sz w:val="22"/>
          <w:szCs w:val="22"/>
          <w:lang w:val="ru-RU"/>
        </w:rPr>
        <w:t>ПРЕДИСЛОВИЕ</w:t>
      </w:r>
    </w:p>
    <w:p w14:paraId="5D2AFC49" w14:textId="77777777" w:rsidR="00D242E6" w:rsidRPr="00D242E6" w:rsidRDefault="00D242E6" w:rsidP="00D242E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426"/>
          <w:tab w:val="left" w:pos="567"/>
        </w:tabs>
        <w:snapToGrid w:val="0"/>
        <w:spacing w:after="240" w:line="259" w:lineRule="auto"/>
        <w:ind w:left="378" w:hanging="378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color w:val="000000"/>
          <w:sz w:val="22"/>
          <w:szCs w:val="22"/>
          <w:lang w:val="ru-RU"/>
        </w:rPr>
        <w:t xml:space="preserve">ЦЕЛИ ВЫСОКОГО УРОВНЯ И ПРИОРИТЕТЫ МОК </w:t>
      </w:r>
    </w:p>
    <w:p w14:paraId="551D72D5" w14:textId="77777777" w:rsidR="00D242E6" w:rsidRPr="00D242E6" w:rsidRDefault="00D242E6" w:rsidP="00D242E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426"/>
          <w:tab w:val="left" w:pos="567"/>
        </w:tabs>
        <w:snapToGrid w:val="0"/>
        <w:spacing w:after="240" w:line="259" w:lineRule="auto"/>
        <w:ind w:left="378" w:hanging="378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</w:rPr>
      </w:pPr>
      <w:r w:rsidRPr="00D242E6">
        <w:rPr>
          <w:rFonts w:ascii="Arial" w:eastAsia="Calibri" w:hAnsi="Arial" w:cs="Arial"/>
          <w:snapToGrid w:val="0"/>
          <w:color w:val="000000"/>
          <w:sz w:val="22"/>
          <w:szCs w:val="22"/>
        </w:rPr>
        <w:t>РЕАЛИЗАЦИЯ СТРАТЕГИИ</w:t>
      </w:r>
    </w:p>
    <w:p w14:paraId="65CB27F3" w14:textId="77777777" w:rsidR="00D242E6" w:rsidRPr="00D242E6" w:rsidRDefault="00D242E6" w:rsidP="00D242E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426"/>
          <w:tab w:val="left" w:pos="567"/>
        </w:tabs>
        <w:snapToGrid w:val="0"/>
        <w:spacing w:after="240" w:line="259" w:lineRule="auto"/>
        <w:ind w:left="378" w:hanging="378"/>
        <w:jc w:val="left"/>
        <w:textAlignment w:val="baseline"/>
        <w:rPr>
          <w:rFonts w:ascii="Arial" w:eastAsia="Calibri" w:hAnsi="Arial" w:cs="Arial"/>
          <w:snapToGrid w:val="0"/>
          <w:color w:val="000000"/>
          <w:sz w:val="22"/>
          <w:szCs w:val="22"/>
        </w:rPr>
      </w:pPr>
      <w:r w:rsidRPr="00D242E6">
        <w:rPr>
          <w:rFonts w:ascii="Arial" w:eastAsia="Calibri" w:hAnsi="Arial" w:cs="Arial"/>
          <w:snapToGrid w:val="0"/>
          <w:color w:val="000000"/>
          <w:sz w:val="22"/>
          <w:szCs w:val="22"/>
        </w:rPr>
        <w:t>РАБОТА НА МЕСТАХ</w:t>
      </w:r>
    </w:p>
    <w:p w14:paraId="3DC87590" w14:textId="77777777" w:rsidR="00D242E6" w:rsidRPr="00D242E6" w:rsidRDefault="00D242E6" w:rsidP="00D242E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426"/>
          <w:tab w:val="left" w:pos="567"/>
        </w:tabs>
        <w:snapToGrid w:val="0"/>
        <w:spacing w:after="240" w:line="259" w:lineRule="auto"/>
        <w:ind w:left="378" w:hanging="378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eastAsia="Calibri" w:hAnsi="Arial" w:cs="Arial"/>
          <w:snapToGrid w:val="0"/>
          <w:color w:val="000000"/>
          <w:sz w:val="22"/>
          <w:szCs w:val="22"/>
          <w:lang w:val="ru-RU"/>
        </w:rPr>
        <w:t>ВЗАИМОДЕЙСТВИЕ С КЛЮЧЕВЫМИ ПАРТНЕРАМИ И ЗАИНТЕРЕСОВАННЫМИ СТОРОНАМИ</w:t>
      </w:r>
    </w:p>
    <w:p w14:paraId="4E52D873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line="259" w:lineRule="auto"/>
        <w:ind w:left="720"/>
        <w:jc w:val="left"/>
        <w:rPr>
          <w:snapToGrid w:val="0"/>
          <w:color w:val="000000"/>
          <w:szCs w:val="22"/>
          <w:lang w:val="ru-RU"/>
        </w:rPr>
      </w:pPr>
    </w:p>
    <w:p w14:paraId="5B468406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60" w:line="259" w:lineRule="auto"/>
        <w:ind w:left="720"/>
        <w:jc w:val="left"/>
        <w:rPr>
          <w:rFonts w:ascii="Calibri" w:eastAsia="Calibri" w:hAnsi="Calibri" w:cs="Calibri"/>
          <w:snapToGrid w:val="0"/>
          <w:color w:val="000000"/>
          <w:sz w:val="36"/>
          <w:szCs w:val="36"/>
        </w:rPr>
      </w:pPr>
      <w:r w:rsidRPr="00D242E6">
        <w:rPr>
          <w:noProof/>
          <w:snapToGrid w:val="0"/>
          <w:color w:val="000000"/>
          <w:szCs w:val="22"/>
          <w:lang w:val="ru-RU" w:eastAsia="ru-RU"/>
        </w:rPr>
        <w:lastRenderedPageBreak/>
        <w:drawing>
          <wp:inline distT="0" distB="0" distL="0" distR="0" wp14:anchorId="6B6E6B75" wp14:editId="061D5354">
            <wp:extent cx="4742473" cy="3556996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473" cy="3556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43C8A0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МИССИЯ</w:t>
      </w:r>
      <w:r w:rsidRPr="00D242E6">
        <w:rPr>
          <w:rFonts w:ascii="Arial" w:hAnsi="Arial" w:cs="Arial"/>
          <w:b/>
          <w:bCs/>
          <w:snapToGrid w:val="0"/>
          <w:sz w:val="22"/>
          <w:szCs w:val="22"/>
        </w:rPr>
        <w:t xml:space="preserve"> МОК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242E6" w:rsidRPr="00EF2CD5" w14:paraId="384355BC" w14:textId="77777777" w:rsidTr="00D242E6">
        <w:trPr>
          <w:trHeight w:val="1546"/>
        </w:trPr>
        <w:tc>
          <w:tcPr>
            <w:tcW w:w="9776" w:type="dxa"/>
            <w:shd w:val="clear" w:color="auto" w:fill="1F497D"/>
          </w:tcPr>
          <w:p w14:paraId="327471ED" w14:textId="77777777" w:rsidR="00D242E6" w:rsidRPr="00D242E6" w:rsidRDefault="00D242E6" w:rsidP="00D242E6">
            <w:pPr>
              <w:keepNext/>
              <w:tabs>
                <w:tab w:val="clear" w:pos="709"/>
                <w:tab w:val="left" w:pos="567"/>
              </w:tabs>
              <w:snapToGrid w:val="0"/>
              <w:spacing w:before="240" w:after="240" w:line="259" w:lineRule="auto"/>
              <w:rPr>
                <w:rFonts w:ascii="Arial" w:hAnsi="Arial" w:cs="Arial"/>
                <w:snapToGrid w:val="0"/>
                <w:color w:val="FFFFFF"/>
                <w:szCs w:val="24"/>
                <w:lang w:val="ru-RU"/>
              </w:rPr>
            </w:pPr>
            <w:r w:rsidRPr="00D242E6">
              <w:rPr>
                <w:rFonts w:ascii="Arial" w:hAnsi="Arial" w:cs="Arial"/>
                <w:snapToGrid w:val="0"/>
                <w:color w:val="FFFFFF"/>
                <w:sz w:val="22"/>
                <w:szCs w:val="22"/>
                <w:lang w:val="ru-RU"/>
              </w:rPr>
              <w:t>Целью Комиссии является содействие международному сотрудничеству и координация программ, касающихся исследований, служб и укрепления потенциала в интересах расширения знаний о природе и ресурсах океана и прибрежных районов, а также использования этих знаний для совершенствования управления, обеспечения устойчивого развития, охраны морской среды и облегчения процессов принятия решений ее государствами-членами.</w:t>
            </w:r>
          </w:p>
        </w:tc>
      </w:tr>
    </w:tbl>
    <w:p w14:paraId="0A3CCF76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eastAsia="Calibri" w:hAnsi="Arial" w:cs="Arial"/>
          <w:b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i/>
          <w:iCs/>
          <w:snapToGrid w:val="0"/>
          <w:sz w:val="22"/>
          <w:szCs w:val="22"/>
          <w:lang w:val="ru-RU"/>
        </w:rPr>
        <w:t xml:space="preserve">(Статья 2.1 </w:t>
      </w:r>
      <w:r w:rsidR="00EF2CD5">
        <w:fldChar w:fldCharType="begin"/>
      </w:r>
      <w:r w:rsidR="00EF2CD5" w:rsidRPr="00EF2CD5">
        <w:rPr>
          <w:lang w:val="ru-RU"/>
        </w:rPr>
        <w:instrText xml:space="preserve"> </w:instrText>
      </w:r>
      <w:r w:rsidR="00EF2CD5">
        <w:instrText>HYPERLINK</w:instrText>
      </w:r>
      <w:r w:rsidR="00EF2CD5" w:rsidRPr="00EF2CD5">
        <w:rPr>
          <w:lang w:val="ru-RU"/>
        </w:rPr>
        <w:instrText xml:space="preserve"> "</w:instrText>
      </w:r>
      <w:r w:rsidR="00EF2CD5">
        <w:instrText>http</w:instrText>
      </w:r>
      <w:r w:rsidR="00EF2CD5" w:rsidRPr="00EF2CD5">
        <w:rPr>
          <w:lang w:val="ru-RU"/>
        </w:rPr>
        <w:instrText>://</w:instrText>
      </w:r>
      <w:r w:rsidR="00EF2CD5">
        <w:instrText>www</w:instrText>
      </w:r>
      <w:r w:rsidR="00EF2CD5" w:rsidRPr="00EF2CD5">
        <w:rPr>
          <w:lang w:val="ru-RU"/>
        </w:rPr>
        <w:instrText>.</w:instrText>
      </w:r>
      <w:r w:rsidR="00EF2CD5">
        <w:instrText>ioc</w:instrText>
      </w:r>
      <w:r w:rsidR="00EF2CD5" w:rsidRPr="00EF2CD5">
        <w:rPr>
          <w:lang w:val="ru-RU"/>
        </w:rPr>
        <w:instrText>-</w:instrText>
      </w:r>
      <w:r w:rsidR="00EF2CD5">
        <w:instrText>unesco</w:instrText>
      </w:r>
      <w:r w:rsidR="00EF2CD5" w:rsidRPr="00EF2CD5">
        <w:rPr>
          <w:lang w:val="ru-RU"/>
        </w:rPr>
        <w:instrText>.</w:instrText>
      </w:r>
      <w:r w:rsidR="00EF2CD5">
        <w:instrText>org</w:instrText>
      </w:r>
      <w:r w:rsidR="00EF2CD5" w:rsidRPr="00EF2CD5">
        <w:rPr>
          <w:lang w:val="ru-RU"/>
        </w:rPr>
        <w:instrText>/</w:instrText>
      </w:r>
      <w:r w:rsidR="00EF2CD5">
        <w:instrText>index</w:instrText>
      </w:r>
      <w:r w:rsidR="00EF2CD5" w:rsidRPr="00EF2CD5">
        <w:rPr>
          <w:lang w:val="ru-RU"/>
        </w:rPr>
        <w:instrText>.</w:instrText>
      </w:r>
      <w:r w:rsidR="00EF2CD5">
        <w:instrText>php</w:instrText>
      </w:r>
      <w:r w:rsidR="00EF2CD5" w:rsidRPr="00EF2CD5">
        <w:rPr>
          <w:lang w:val="ru-RU"/>
        </w:rPr>
        <w:instrText>?</w:instrText>
      </w:r>
      <w:r w:rsidR="00EF2CD5">
        <w:instrText>option</w:instrText>
      </w:r>
      <w:r w:rsidR="00EF2CD5" w:rsidRPr="00EF2CD5">
        <w:rPr>
          <w:lang w:val="ru-RU"/>
        </w:rPr>
        <w:instrText>=</w:instrText>
      </w:r>
      <w:r w:rsidR="00EF2CD5">
        <w:instrText>com</w:instrText>
      </w:r>
      <w:r w:rsidR="00EF2CD5" w:rsidRPr="00EF2CD5">
        <w:rPr>
          <w:lang w:val="ru-RU"/>
        </w:rPr>
        <w:instrText>_</w:instrText>
      </w:r>
      <w:r w:rsidR="00EF2CD5">
        <w:instrText>oe</w:instrText>
      </w:r>
      <w:r w:rsidR="00EF2CD5" w:rsidRPr="00EF2CD5">
        <w:rPr>
          <w:lang w:val="ru-RU"/>
        </w:rPr>
        <w:instrText>&amp;</w:instrText>
      </w:r>
      <w:r w:rsidR="00EF2CD5">
        <w:instrText>task</w:instrText>
      </w:r>
      <w:r w:rsidR="00EF2CD5" w:rsidRPr="00EF2CD5">
        <w:rPr>
          <w:lang w:val="ru-RU"/>
        </w:rPr>
        <w:instrText>=</w:instrText>
      </w:r>
      <w:r w:rsidR="00EF2CD5">
        <w:instrText>viewDocumentRecord</w:instrText>
      </w:r>
      <w:r w:rsidR="00EF2CD5" w:rsidRPr="00EF2CD5">
        <w:rPr>
          <w:lang w:val="ru-RU"/>
        </w:rPr>
        <w:instrText>&amp;</w:instrText>
      </w:r>
      <w:r w:rsidR="00EF2CD5">
        <w:instrText>docID</w:instrText>
      </w:r>
      <w:r w:rsidR="00EF2CD5" w:rsidRPr="00EF2CD5">
        <w:rPr>
          <w:lang w:val="ru-RU"/>
        </w:rPr>
        <w:instrText>=1730" \</w:instrText>
      </w:r>
      <w:r w:rsidR="00EF2CD5">
        <w:instrText>h</w:instrText>
      </w:r>
      <w:r w:rsidR="00EF2CD5" w:rsidRPr="00EF2CD5">
        <w:rPr>
          <w:lang w:val="ru-RU"/>
        </w:rPr>
        <w:instrText xml:space="preserve"> </w:instrText>
      </w:r>
      <w:r w:rsidR="00EF2CD5">
        <w:fldChar w:fldCharType="separate"/>
      </w:r>
      <w:r w:rsidRPr="00D242E6">
        <w:rPr>
          <w:rFonts w:ascii="Arial" w:hAnsi="Arial" w:cs="Arial"/>
          <w:i/>
          <w:iCs/>
          <w:snapToGrid w:val="0"/>
          <w:color w:val="0000FF"/>
          <w:sz w:val="22"/>
          <w:szCs w:val="22"/>
          <w:u w:val="single"/>
          <w:lang w:val="ru-RU"/>
        </w:rPr>
        <w:t>Устава МОК</w:t>
      </w:r>
      <w:r w:rsidR="00EF2CD5">
        <w:rPr>
          <w:rFonts w:ascii="Arial" w:hAnsi="Arial" w:cs="Arial"/>
          <w:i/>
          <w:iCs/>
          <w:snapToGrid w:val="0"/>
          <w:color w:val="0000FF"/>
          <w:sz w:val="22"/>
          <w:szCs w:val="22"/>
          <w:u w:val="single"/>
          <w:lang w:val="ru-RU"/>
        </w:rPr>
        <w:fldChar w:fldCharType="end"/>
      </w:r>
      <w:r w:rsidRPr="00D242E6">
        <w:rPr>
          <w:rFonts w:ascii="Arial" w:hAnsi="Arial" w:cs="Arial"/>
          <w:i/>
          <w:iCs/>
          <w:snapToGrid w:val="0"/>
          <w:sz w:val="22"/>
          <w:szCs w:val="22"/>
          <w:u w:val="single"/>
          <w:lang w:val="ru-RU"/>
        </w:rPr>
        <w:t>)</w:t>
      </w:r>
    </w:p>
    <w:p w14:paraId="59EFA441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spacing w:after="160" w:line="259" w:lineRule="auto"/>
        <w:jc w:val="righ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ЗАЯВЛЕНИЕ МОК О ПЕРСПЕКТИВНОМ ВИДЕНИИ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242E6" w:rsidRPr="00EF2CD5" w14:paraId="31971736" w14:textId="77777777" w:rsidTr="00D242E6">
        <w:trPr>
          <w:trHeight w:val="521"/>
        </w:trPr>
        <w:tc>
          <w:tcPr>
            <w:tcW w:w="9776" w:type="dxa"/>
            <w:shd w:val="clear" w:color="auto" w:fill="DEE6EF"/>
          </w:tcPr>
          <w:p w14:paraId="597D28E7" w14:textId="77777777" w:rsidR="00D242E6" w:rsidRPr="00D242E6" w:rsidRDefault="00D242E6" w:rsidP="00D242E6">
            <w:pPr>
              <w:tabs>
                <w:tab w:val="clear" w:pos="709"/>
                <w:tab w:val="left" w:pos="567"/>
              </w:tabs>
              <w:snapToGrid w:val="0"/>
              <w:spacing w:after="160"/>
              <w:jc w:val="left"/>
              <w:rPr>
                <w:rFonts w:ascii="Arial" w:hAnsi="Arial" w:cs="Arial"/>
                <w:snapToGrid w:val="0"/>
                <w:color w:val="000000"/>
                <w:szCs w:val="24"/>
                <w:lang w:val="ru-RU"/>
              </w:rPr>
            </w:pPr>
            <w:r w:rsidRPr="00D242E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Объединить усилия правительств и научного сообщества для достижения «Океана, который нам нужен, в интересах будущего, которого мы хотим».  </w:t>
            </w:r>
          </w:p>
        </w:tc>
      </w:tr>
    </w:tbl>
    <w:p w14:paraId="0C623EAC" w14:textId="77777777" w:rsidR="00D242E6" w:rsidRPr="00D242E6" w:rsidRDefault="00D242E6" w:rsidP="00D242E6">
      <w:pPr>
        <w:pBdr>
          <w:bottom w:val="single" w:sz="4" w:space="1" w:color="000000"/>
        </w:pBdr>
        <w:tabs>
          <w:tab w:val="clear" w:pos="709"/>
          <w:tab w:val="left" w:pos="567"/>
        </w:tabs>
        <w:snapToGrid w:val="0"/>
        <w:jc w:val="left"/>
        <w:rPr>
          <w:rFonts w:ascii="Arial" w:hAnsi="Arial" w:cs="Arial"/>
          <w:b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br w:type="column"/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lastRenderedPageBreak/>
        <w:t>Предисловие</w:t>
      </w:r>
    </w:p>
    <w:p w14:paraId="300B0DF9" w14:textId="77777777" w:rsidR="00D242E6" w:rsidRPr="00D242E6" w:rsidRDefault="00D242E6" w:rsidP="00D242E6">
      <w:pPr>
        <w:tabs>
          <w:tab w:val="clear" w:pos="709"/>
          <w:tab w:val="left" w:pos="567"/>
        </w:tabs>
        <w:snapToGrid w:val="0"/>
        <w:jc w:val="lef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</w:p>
    <w:p w14:paraId="3323D9DB" w14:textId="77777777" w:rsidR="00D242E6" w:rsidRPr="00D242E6" w:rsidRDefault="00D242E6" w:rsidP="00FD4275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Океан является крупнейшей экосистемой планеты Земля. Благодаря ему наша планета именно таким образом выглядит из космоса. Люди должны жить в гармонии с океаном. Чтобы продолжать пользоваться жизнеобеспечивающей функцией океана, необходимо найти баланс между постоянно растущим использованием океанического пространства и ресурсов и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восстановлением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и поддержанием здоровья океана, которое в настоящее время стремительно ухудшается. Это понимание отражено в формулировке Цели устойчивого развития 14 Повестки дня на период до 2030 года: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«Сохранение и рациональное использование океанов, морей и морских ресурсов в интересах устойчивого развития».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</w:t>
      </w:r>
    </w:p>
    <w:p w14:paraId="01697C95" w14:textId="77777777" w:rsidR="00D242E6" w:rsidRPr="00D242E6" w:rsidRDefault="00D242E6" w:rsidP="00FD4275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Роль океана для климата, снижения риска бедствий, будущего островных государств отражена в Парижском соглашении РКИКООН, Конвенции о биологическом разнообразии,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Сендайской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рамочной программе ООН по снижению риска бедствий и Программе действий по ускоренному развитию МОСРГ («Путь САМОА») и в ряде региональных, субрегиональных и национальных рамочных программ действий или стратегий развития. В сложном мире, в котором мы живем, с продолжающимся и ускоряющимся изменением климата, успех всех этих механизмов зависит от способности науки предложить необходимые решения, а также от способности и желания заинтересованных сторон эффективно применять эти решения. </w:t>
      </w:r>
    </w:p>
    <w:p w14:paraId="46DD0152" w14:textId="77777777" w:rsidR="00D242E6" w:rsidRPr="00D242E6" w:rsidRDefault="00D242E6" w:rsidP="00FD4275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Поэтому ключевая роль Межправительственной океанографической комиссии ЮНЕСКО заключается в объединении усилий научных сообществ, правительственной системы принятия решений и более широкого круга заинтересованных сторон среди государств-членов, включая частный сектор и гражданское общество в целом, для разработки эффективного, научно обоснованного комплексного управления океаном и прибрежными районами и выработки соответствующих решений с учетом соответствующих знаний коренных народов и местных и традиционных знаний. Никогда еще в истории нашей цивилизации вопрос такого сотрудничество не стоял так остро. </w:t>
      </w:r>
    </w:p>
    <w:p w14:paraId="2788928A" w14:textId="77777777" w:rsidR="00D242E6" w:rsidRPr="00D242E6" w:rsidRDefault="00D242E6" w:rsidP="00FD4275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Для управления океаном необходимо включить науку об океане в основное русло деятельности. Появление международного юридически обязательного документа по сохранению и устойчивому использованию морского биологического разнообразия районов за пределами действия национальной юрисдикции (БПНЮ) в рамках Конвенции ООН по морскому праву (ЮНКЛОС) означает, что юридически обязательные обязательства государств начинают все больше зависеть океанологии. Успешное выполнение программы МОК в период Среднесрочной стратегии 2014–2021 гг. и возглавляемые МОК планирование и координация Десятилетия ООН, посвященного науке об океане в интересах устойчивого развития (2021–2030 гг.), вывели МОК на ведущую позицию в работе по систематическому обеспечению связанных с океаном решений глобальных проблем современности. Однако способность МОК выполнять все расширяющийся круг своих задач и реагировать как на целевые установки Десятилетия, так и на чаяния и потребности своих государств-членов потребует, в свою очередь, более сильной поддержки со стороны правительств, более авторитетного потенциала принятия решений от руководящих органов МОК, а также адекватной и надежной совместной разработки всей цепочки создания ценности современной науки об океане и инвестиций в нее.</w:t>
      </w:r>
    </w:p>
    <w:tbl>
      <w:tblPr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3"/>
        <w:gridCol w:w="4635"/>
      </w:tblGrid>
      <w:tr w:rsidR="00D242E6" w:rsidRPr="00EF2CD5" w14:paraId="4D5CB07A" w14:textId="77777777" w:rsidTr="00D242E6">
        <w:trPr>
          <w:trHeight w:val="788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A7EB7" w14:textId="77777777" w:rsidR="00D242E6" w:rsidRPr="00D242E6" w:rsidRDefault="00D242E6" w:rsidP="00D242E6">
            <w:pPr>
              <w:tabs>
                <w:tab w:val="clear" w:pos="709"/>
                <w:tab w:val="left" w:pos="567"/>
              </w:tabs>
              <w:snapToGrid w:val="0"/>
              <w:spacing w:after="240"/>
              <w:jc w:val="left"/>
              <w:rPr>
                <w:rFonts w:ascii="Arial" w:hAnsi="Arial" w:cs="Arial"/>
                <w:snapToGrid w:val="0"/>
                <w:color w:val="000000"/>
                <w:szCs w:val="24"/>
                <w:lang w:val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C105E" w14:textId="77777777" w:rsidR="00D242E6" w:rsidRPr="00D242E6" w:rsidRDefault="00D242E6" w:rsidP="00D242E6">
            <w:pPr>
              <w:tabs>
                <w:tab w:val="clear" w:pos="709"/>
                <w:tab w:val="left" w:pos="567"/>
              </w:tabs>
              <w:snapToGrid w:val="0"/>
              <w:spacing w:after="240"/>
              <w:jc w:val="left"/>
              <w:rPr>
                <w:rFonts w:ascii="Arial" w:hAnsi="Arial" w:cs="Arial"/>
                <w:snapToGrid w:val="0"/>
                <w:color w:val="000000"/>
                <w:szCs w:val="24"/>
                <w:lang w:val="ru-RU"/>
              </w:rPr>
            </w:pPr>
          </w:p>
        </w:tc>
      </w:tr>
      <w:tr w:rsidR="00D242E6" w:rsidRPr="00D242E6" w14:paraId="7463719B" w14:textId="77777777" w:rsidTr="00D242E6"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B1959" w14:textId="77777777" w:rsidR="00D242E6" w:rsidRPr="00D242E6" w:rsidRDefault="00D242E6" w:rsidP="00D242E6">
            <w:pPr>
              <w:tabs>
                <w:tab w:val="clear" w:pos="709"/>
                <w:tab w:val="left" w:pos="567"/>
              </w:tabs>
              <w:snapToGrid w:val="0"/>
              <w:ind w:left="598"/>
              <w:jc w:val="left"/>
              <w:rPr>
                <w:rFonts w:ascii="Arial" w:hAnsi="Arial" w:cs="Arial"/>
                <w:snapToGrid w:val="0"/>
                <w:color w:val="000000"/>
                <w:szCs w:val="24"/>
                <w:lang w:val="ru-RU"/>
              </w:rPr>
            </w:pPr>
            <w:r w:rsidRPr="00D242E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Ариэль Эрнан </w:t>
            </w:r>
            <w:proofErr w:type="spellStart"/>
            <w:r w:rsidRPr="00D242E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Троиси</w:t>
            </w:r>
            <w:proofErr w:type="spellEnd"/>
          </w:p>
          <w:p w14:paraId="11387427" w14:textId="77777777" w:rsidR="00D242E6" w:rsidRPr="00D242E6" w:rsidRDefault="00D242E6" w:rsidP="00D242E6">
            <w:pPr>
              <w:tabs>
                <w:tab w:val="clear" w:pos="709"/>
                <w:tab w:val="left" w:pos="567"/>
              </w:tabs>
              <w:snapToGrid w:val="0"/>
              <w:spacing w:after="240"/>
              <w:ind w:left="598"/>
              <w:jc w:val="left"/>
              <w:rPr>
                <w:rFonts w:ascii="Arial" w:hAnsi="Arial" w:cs="Arial"/>
                <w:snapToGrid w:val="0"/>
                <w:color w:val="000000"/>
                <w:szCs w:val="24"/>
                <w:lang w:val="ru-RU"/>
              </w:rPr>
            </w:pPr>
            <w:r w:rsidRPr="00D242E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C9B8" w14:textId="77777777" w:rsidR="00D242E6" w:rsidRPr="00D242E6" w:rsidRDefault="00D242E6" w:rsidP="00D242E6">
            <w:pPr>
              <w:tabs>
                <w:tab w:val="clear" w:pos="709"/>
                <w:tab w:val="left" w:pos="567"/>
              </w:tabs>
              <w:snapToGrid w:val="0"/>
              <w:ind w:left="273"/>
              <w:jc w:val="left"/>
              <w:rPr>
                <w:rFonts w:ascii="Arial" w:hAnsi="Arial" w:cs="Arial"/>
                <w:snapToGrid w:val="0"/>
                <w:color w:val="000000"/>
                <w:szCs w:val="24"/>
                <w:lang w:val="ru-RU"/>
              </w:rPr>
            </w:pPr>
            <w:r w:rsidRPr="00D242E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Владимир Рябинин </w:t>
            </w:r>
            <w:r w:rsidRPr="00D242E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br/>
              <w:t>Исполнительный секретарь</w:t>
            </w:r>
          </w:p>
        </w:tc>
      </w:tr>
    </w:tbl>
    <w:p w14:paraId="35A8E917" w14:textId="77777777" w:rsidR="00EF2CD5" w:rsidRDefault="00EF2CD5">
      <w:pPr>
        <w:tabs>
          <w:tab w:val="clear" w:pos="709"/>
        </w:tabs>
        <w:jc w:val="left"/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br w:type="page"/>
      </w:r>
    </w:p>
    <w:p w14:paraId="71219875" w14:textId="07DC9E13" w:rsidR="00D242E6" w:rsidRPr="00D242E6" w:rsidRDefault="00D242E6" w:rsidP="00D242E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hAnsi="Arial" w:cs="Arial"/>
          <w:b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ЦЕЛИ ВЫСОКОГО УРОВНЯ И ПРИОРИТЕТЫ МОК </w:t>
      </w:r>
    </w:p>
    <w:p w14:paraId="30E2BBB0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bookmarkStart w:id="2" w:name="_heading=h.gjdgxs" w:colFirst="0" w:colLast="0"/>
      <w:bookmarkEnd w:id="2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>Посредством международного сотрудничества МОК стремится создавать и применять научные знания для достижения следующих целей высокого уровня (ЦВУ), уделяя особое внимание обеспечению того, чтобы все государства-члены располагали потенциалом для их решения:</w:t>
      </w:r>
    </w:p>
    <w:p w14:paraId="05471A18" w14:textId="77777777" w:rsidR="00D242E6" w:rsidRPr="00D242E6" w:rsidRDefault="00D242E6" w:rsidP="00D242E6">
      <w:pPr>
        <w:numPr>
          <w:ilvl w:val="0"/>
          <w:numId w:val="35"/>
        </w:numPr>
        <w:tabs>
          <w:tab w:val="clear" w:pos="709"/>
          <w:tab w:val="left" w:pos="567"/>
        </w:tabs>
        <w:snapToGrid w:val="0"/>
        <w:spacing w:after="120"/>
        <w:ind w:left="1134" w:hanging="567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Здоровый океан и устойчивые океанические экосистемные услуги;</w:t>
      </w:r>
    </w:p>
    <w:p w14:paraId="13C0C551" w14:textId="77777777" w:rsidR="00D242E6" w:rsidRPr="00D242E6" w:rsidRDefault="00D242E6" w:rsidP="00D242E6">
      <w:pPr>
        <w:numPr>
          <w:ilvl w:val="0"/>
          <w:numId w:val="35"/>
        </w:numPr>
        <w:tabs>
          <w:tab w:val="clear" w:pos="709"/>
          <w:tab w:val="left" w:pos="567"/>
        </w:tabs>
        <w:snapToGrid w:val="0"/>
        <w:spacing w:after="120"/>
        <w:ind w:left="1134" w:hanging="567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Эффективные системы предупреждения и готовность к цунами и другим опасным явлениям, связанным с океаном; </w:t>
      </w:r>
    </w:p>
    <w:p w14:paraId="655E698C" w14:textId="77777777" w:rsidR="00D242E6" w:rsidRPr="00D242E6" w:rsidRDefault="00D242E6" w:rsidP="00D242E6">
      <w:pPr>
        <w:numPr>
          <w:ilvl w:val="0"/>
          <w:numId w:val="35"/>
        </w:numPr>
        <w:tabs>
          <w:tab w:val="clear" w:pos="709"/>
          <w:tab w:val="left" w:pos="567"/>
        </w:tabs>
        <w:snapToGrid w:val="0"/>
        <w:spacing w:after="120"/>
        <w:ind w:left="1134" w:hanging="567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Устойчивость к изменению климата и вклад в его смягчение; </w:t>
      </w:r>
    </w:p>
    <w:p w14:paraId="720417BE" w14:textId="77777777" w:rsidR="00D242E6" w:rsidRPr="00D242E6" w:rsidRDefault="00D242E6" w:rsidP="00D242E6">
      <w:pPr>
        <w:numPr>
          <w:ilvl w:val="0"/>
          <w:numId w:val="35"/>
        </w:numPr>
        <w:tabs>
          <w:tab w:val="clear" w:pos="709"/>
          <w:tab w:val="left" w:pos="567"/>
        </w:tabs>
        <w:snapToGrid w:val="0"/>
        <w:spacing w:after="120"/>
        <w:ind w:left="1134" w:hanging="567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Научно обоснованные услуги для устойчивой экономики океана; </w:t>
      </w:r>
    </w:p>
    <w:p w14:paraId="220FC5D7" w14:textId="77777777" w:rsidR="00D242E6" w:rsidRPr="00D242E6" w:rsidRDefault="00D242E6" w:rsidP="00D242E6">
      <w:pPr>
        <w:numPr>
          <w:ilvl w:val="0"/>
          <w:numId w:val="35"/>
        </w:numPr>
        <w:tabs>
          <w:tab w:val="clear" w:pos="709"/>
          <w:tab w:val="left" w:pos="567"/>
        </w:tabs>
        <w:snapToGrid w:val="0"/>
        <w:spacing w:after="240"/>
        <w:ind w:left="1134" w:hanging="567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Прогнозирование возникающих проблем в области наук об океане. </w:t>
      </w:r>
    </w:p>
    <w:p w14:paraId="52259FA6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napToGrid w:val="0"/>
        <w:spacing w:after="240"/>
        <w:jc w:val="lef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u w:val="single"/>
          <w:lang w:val="ru-RU"/>
        </w:rPr>
        <w:t>Цель 1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 xml:space="preserve"> – 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Здоровый океан и устойчивые океанические экосистемные услуги </w:t>
      </w:r>
    </w:p>
    <w:p w14:paraId="086A7548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Улучшение научного понимания океанических экосистем, определение надежных показателей их здоровья и понимание уязвимости экосистем, например, к воздействию различных стрессовых факторов, являются жизненно необходимыми для мониторинга и прогнозирования здоровья и устойчивости экосистем и разработки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0"/>
          <w:id w:val="1256552361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1"/>
          <w:id w:val="-214053420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экосистемного управления, лежащего в основе устойчивой экономики океана и усовершенствованного управления океаном. Текущие исследования экосистем и управление ими требуют более тесной координации и сотрудничества между основными заинтересованными сторонами.</w:t>
      </w:r>
    </w:p>
    <w:p w14:paraId="7721F3B0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napToGrid w:val="0"/>
        <w:spacing w:after="240"/>
        <w:jc w:val="lef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u w:val="single"/>
          <w:lang w:val="ru-RU"/>
        </w:rPr>
        <w:t>Цель 2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 xml:space="preserve"> –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Эффективные системы предупреждения и обеспечение готовности к цунами и другим опасным явлениям, связанным с океаном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</w:t>
      </w:r>
    </w:p>
    <w:p w14:paraId="6C8EB167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 ускорением развития прибрежных районов и изменением окружающей среды общество становится все более уязвимым к таким опасным явлениям в прибрежной зоне, как вредоносное цветение водорослей, прибрежные наводнения, цунами и тропические циклоны. Государства должны знать об опасностях и иметь доступ к необходимой информации для планирования в прибрежной зоне, смягчения последствий опасного явления, адаптации к изменению климата и безопасной работы на море. Это требует дальнейшего внедрения систем наблюдения за океаном и прибрежными районами, совершенствования океанических, метеорологических и климатических моделей, а также разработки ряда местных инструментов поддержки принятия решений, включая системы раннего предупреждения.</w:t>
      </w:r>
    </w:p>
    <w:p w14:paraId="3938B008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napToGrid w:val="0"/>
        <w:spacing w:after="240"/>
        <w:jc w:val="left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u w:val="single"/>
          <w:lang w:val="ru-RU"/>
        </w:rPr>
        <w:t>Цель 3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 xml:space="preserve"> – 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Устойчивость к изменению климата и вклад в его смягчение </w:t>
      </w:r>
    </w:p>
    <w:p w14:paraId="4EC6073C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Изменение и изменчивость климата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2"/>
          <w:id w:val="-386955749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3"/>
          <w:id w:val="178553657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4"/>
          <w:id w:val="-2062083424"/>
        </w:sdtPr>
        <w:sdtEndPr/>
        <w:sdtContent/>
      </w:sdt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 включают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изменения температуры, изменение характера и интенсивности тропических циклонов, штормов, осадков и засух, повышение уровня моря и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т.д.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Выбросы углерода также приводят к закислению океана. Совокупное воздействие проявляется в виде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5"/>
          <w:id w:val="1425999674"/>
        </w:sdtPr>
        <w:sdtEndPr/>
        <w:sdtContent/>
      </w:sdt>
      <w:proofErr w:type="spellStart"/>
      <w:r w:rsidRPr="00D242E6">
        <w:rPr>
          <w:rFonts w:ascii="Arial" w:hAnsi="Arial" w:cs="Arial"/>
          <w:snapToGrid w:val="0"/>
          <w:sz w:val="22"/>
          <w:szCs w:val="22"/>
          <w:lang w:val="ru-RU"/>
        </w:rPr>
        <w:t>деоксигенирования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океана, эрозии прибрежных районов и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т.д.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Изменение климата угрожает многим целям человеческого развития, таким как продовольственная безопасность и здоровье, доступ к водным ресурсам и готовность к стихийным бедствиям. Океан является ключевым регулятором климата. Поэтому необходимы скоординированные глобальные и региональные усилия, в том числе за счет поддержки Совместного совета по сотрудничеству ВМО-МОК, для всестороннего включения океанического аспекта в целях повышения потенциала понимания и прогнозирования изменения климата, его воздействия на океан, руководства разработкой и ускоренной реализацией эффективных стратегий адаптации и смягчения последствий.</w:t>
      </w:r>
    </w:p>
    <w:p w14:paraId="1E106AF5" w14:textId="77777777" w:rsidR="00D242E6" w:rsidRPr="00D242E6" w:rsidRDefault="00D242E6" w:rsidP="00D24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napToGrid w:val="0"/>
        <w:spacing w:after="240"/>
        <w:jc w:val="left"/>
        <w:rPr>
          <w:rFonts w:ascii="Arial" w:hAnsi="Arial" w:cs="Arial"/>
          <w:i/>
          <w:snapToGrid w:val="0"/>
          <w:color w:val="000000"/>
          <w:sz w:val="22"/>
          <w:szCs w:val="22"/>
          <w:u w:val="single"/>
          <w:lang w:val="ru-RU"/>
        </w:rPr>
      </w:pP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u w:val="single"/>
          <w:lang w:val="ru-RU"/>
        </w:rPr>
        <w:lastRenderedPageBreak/>
        <w:t xml:space="preserve">Цель 4 – 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u w:val="single"/>
          <w:lang w:val="ru-RU"/>
        </w:rPr>
        <w:t>Научно обоснованные услуги для устойчивой экономики океана</w:t>
      </w:r>
    </w:p>
    <w:p w14:paraId="76E3EA87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Устойчивость экономики океана связана с долгосрочной способностью океанических экосистем поддерживать деятельность человека. Для сохранения этого равновесия необходимы наблюдения за океаном, целевые информационные продукты и услуги, научные оценки, а также мониторинг и прогнозирование здоровья экосистем океана. Основанные на знаниях инструменты управления океаном, такие как морское пространственное планирование, управление прибрежными районами, охраняемые морские районы и управление крупными морскими экосистемами (КМЭ), способны помочь заинтересованным в океане сторонам поставить экологические и социально-экономические цели, разработать оперативные планы, определить безопасные границы и руководящие принципы для операций, а также сократить количество конфликтов между многочисленными видами использования океанического пространства.</w:t>
      </w:r>
    </w:p>
    <w:p w14:paraId="20A93FB8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napToGrid w:val="0"/>
        <w:spacing w:after="240"/>
        <w:jc w:val="left"/>
        <w:rPr>
          <w:rFonts w:ascii="Arial" w:hAnsi="Arial" w:cs="Arial"/>
          <w:i/>
          <w:snapToGrid w:val="0"/>
          <w:color w:val="000000"/>
          <w:sz w:val="22"/>
          <w:szCs w:val="22"/>
          <w:u w:val="single"/>
          <w:lang w:val="ru-RU"/>
        </w:rPr>
      </w:pP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u w:val="single"/>
          <w:lang w:val="ru-RU"/>
        </w:rPr>
        <w:t xml:space="preserve">Цель 5 – 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u w:val="single"/>
          <w:lang w:val="ru-RU"/>
        </w:rPr>
        <w:t>Прогнозирование возникающих проблем в области наук об океане</w:t>
      </w:r>
    </w:p>
    <w:p w14:paraId="17FE474B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Океан остается одной из наименее изученных областей окружающей среды в системе Земли. Океанографические открытия все еще возможны. В океане постоянно возникают новые проблемы, которые потенциально могут повлиять на здоровье океанических экосистем, а также на благополучие человека. Новые стрессовые факторы, например, загрязняющие вещества или давление со стороны новых видов деятельности или отраслей, могут сочетаться с известными стрессорами, такими как закисление океана, изменение моделей углеродного цикла океана,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деоксигенирование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и изменение климата, и оказывать комплексное воздействие на экосистемы. Передовые исследования, инновации, технологические разработки, в том числе в области наблюдений и развития глобальной «экосистемы данных и информации», должны расширить наши возможности по прогнозированию таких возникающих проблем, обеспечить информирование при разработке политики, в том числе в контексте соответствующих региональных и глобальных конвенций, и способствовать продвижению своевременных решений с участием соответствующих заинтересованных сторон.  </w:t>
      </w:r>
    </w:p>
    <w:p w14:paraId="1101CCBC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Глобальный приоритет «Африка»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: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Африка является всеобъемлющим приоритетом для ЮНЕСКО, а МОК обеспечит его учет во всех своих программах и отражение в показателях эффективности. В Комплексной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 xml:space="preserve"> Морской стратегии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 xml:space="preserve">Африки до 2050 года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(КМСА) особо признается роль МОК/ЮНЕСКО в содействии научным исследованиям и развитию потенциала (РП), а также в передаче морской технологии (ПМТ). МОК обеспечит научную базу для развития устойчивой экономики океана в Африке, как это предусмотрено в Повестке дня Африканского союза на период до 2063 г.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(«Африка, которую мы хотим: общие стратегические рамки для инклюзивного роста и устойчивого развития»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) и КМСА.</w:t>
      </w:r>
    </w:p>
    <w:p w14:paraId="0D17FC86" w14:textId="53033364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Глобальный приоритет «Гендерное равенство»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: Вклад МОК в Глобальный приоритет «Гендерное равенство» будет сосредоточен на том, чтобы международное научное сотрудничество в интересах мира и устойчивости способствовало равному представительству и праву голоса женщин и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мужчин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и чтобы были созданы условия, позволяющие как женщинам, так и мужчинам способствовать популяризации мер по смягчению последствий, адаптации, повышению стойкости и устойчивости.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Глобальный доклад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МОК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 xml:space="preserve"> о состоянии океанографии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будет и далее отслеживать прогресс и помогать государствам-членам в достижении паритета мужчин и женщин в сообществе специалистов в области морских наук.</w:t>
      </w:r>
    </w:p>
    <w:p w14:paraId="6C3F6B4E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Малые островные развивающиеся государства (МОСРГ)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: Программа действий по ускоренному развитию МОСРГ («Путь САМОА») 2014 года имеет непосредственное отношение к океану и привлекает повышенное внимание международного сообщества к экстремальным погодным явлениям, повышению уровня моря, эрозии прибрежных районов и закислению океана. Путь призывает к усилению поддержки в области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>технологий, финансирования и развития потенциала для адаптации к изменению климата, включая необходимость оказания помощи в базовом мониторинге окружающей среды островов. МОК продолжит оказывать помощь в разработке широкого спектра мероприятий МОСРГ, в том числе связанных с системами раннего предупреждения о цунами и укреплением устойчивости прибрежных сообществ с помощью программы «К цунами готов», развитием морского научно-технического потенциала МОСРГ и наращиванием сотрудничества в сфере управления всеми аспектами здоровья океана, включая воздействие закисления океана.</w:t>
      </w:r>
    </w:p>
    <w:p w14:paraId="58048C3E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Начинающие специалисты-</w:t>
      </w:r>
      <w:proofErr w:type="spellStart"/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мореведы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: Устойчивость океана и наука об океане требуют кадровых ресурсов, в равной мере представленных различными поколениями. МОК будет активно привлекать талантливых и энергичных начинающих специалистов-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мореведов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и стремиться предоставлять им возможности для профессионального развития. Для этого будут создаваться сети начинающих специалистов, которые будут привлекаться к решению проблем океана с соблюдением равноправия и гендерного баланса.</w:t>
      </w:r>
    </w:p>
    <w:p w14:paraId="4184F892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Более глубокое понимание ценности работы МОК, включая ее социально-экономическую пользу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: Работа МОК касается всех аспектов отношений человека с океаном: экономики, стратегии и политики, а также социальных, культурных, духовных и эмоциональных связей. Комиссия будет продолжать приносить обществу многочисленную материальную и нематериальную пользу. Прежде всего, работа МОК будет по-прежнему непосредственно спасать жизни людей, например, с помощью предупреждения о цунами. Международное сотрудничество в области наук об океане и океанических услуг является важным фактором поддержки многостороннего подхода и поддержания мира во всем мире. МОК будет также вносить свой вклад в информирование о международных политических решениях, определяющих будущее нашей цивилизации, например, в рамках дискуссии об изменении климата. Знания о морской среде позволяют развивать экономику океана, которая ежегодно приносит финансовую прибыль, измеряемую триллионами долларов США. Поэтому будет целесообразно увязать пользу работы МОК со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счетами национальной экономики. Благодаря оценке рисков, связанных с океаном и климатом, можно будет продемонстрировать ценность инвестиций в основанные на природе решения по адаптации к климату и включить соображения, касающиеся океана, в планы устойчивого экономического развития.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Это даст новые возможности для бизнеса и перспективы роста благосостояния и безопасности людей. Для понимания и демонстрации истинной ценности работы МОК может регулярно использоваться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оценка материальной ценности океанических экосистем и поставляемых ими товаров и услуг.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В будущем роль МОК будет только возрастать, поскольку поддержание существенно важных функций жизнеобеспечения океана становится все более и более наукоемким делом.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19"/>
          <w:id w:val="-515299194"/>
        </w:sdtPr>
        <w:sdtEndPr/>
        <w:sdtContent/>
      </w:sdt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Таким образом, для полной реализации нынешнего и будущего потенциала МОК и получения максимальной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пользы от деятельности МОК в широком ряде социально-экономических областей,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МОК придется еще больше укрепить свое сотрудничество и партнерство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со многими заинтересованными сторонами и партнерами в рамках системы ООН и за ее пределами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.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</w:t>
      </w:r>
    </w:p>
    <w:p w14:paraId="2540CEE9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left"/>
        <w:rPr>
          <w:rFonts w:ascii="Arial" w:hAnsi="Arial" w:cs="Arial"/>
          <w:b/>
          <w:snapToGrid w:val="0"/>
          <w:color w:val="0070C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70C0"/>
          <w:sz w:val="22"/>
          <w:szCs w:val="22"/>
          <w:lang w:val="ru-RU"/>
        </w:rPr>
        <w:t>ДЕСЯТИЛЕТИЕ ООН, ПОСВЯЩЕННОЕ НАУКЕ ОБ ОКЕАНЕ В ИНТЕРЕСАХ УСТОЙЧИВОГО РАЗВИТИЯ (2021-2030 ГГ.)</w:t>
      </w:r>
    </w:p>
    <w:p w14:paraId="424E7A44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Десятилетие ООН, посвященное науке об океане в интересах устойчивого развития («Десятилетие»), продлится с 2021 по 2030 год. Цель этой уникальной долгосрочной кампании высокого уровня заключается в том, чтобы вывести науку об океане на новый уровень или уровень готовности, который необходим для принятия обоснованных решений и стимулирования эффективных действий и политики в области устойчивого использования и охраны океана. </w:t>
      </w:r>
    </w:p>
    <w:p w14:paraId="57B55054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>Десятилетие предоставляет уникальную возможность отметить преимущества МОК и ее программ для общества в целом. В 2022-2029 гг. одной из основных обязанностей МОК будет поддержка и содействие проведению Десятилетия, а также регулярное информирование Генерального секретаря ООН и Генеральной Ассамблеи о достигнутом прогрессе.</w:t>
      </w:r>
    </w:p>
    <w:p w14:paraId="61D7873F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Десятилетие будет руководствоваться видением «Океана, который нам нужен, в интересах будущего, которого мы хотим», а именно: </w:t>
      </w:r>
    </w:p>
    <w:p w14:paraId="246C68D6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276" w:hanging="567"/>
        <w:jc w:val="left"/>
        <w:textAlignment w:val="baseline"/>
        <w:rPr>
          <w:rFonts w:ascii="Arial" w:hAnsi="Arial" w:cs="Arial"/>
          <w:b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чистый океан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, в котором источники загрязнения выявляются, сокращаются или устраняются; </w:t>
      </w:r>
    </w:p>
    <w:p w14:paraId="6DFE9143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276" w:hanging="567"/>
        <w:jc w:val="left"/>
        <w:textAlignment w:val="baseline"/>
        <w:rPr>
          <w:rFonts w:ascii="Arial" w:hAnsi="Arial" w:cs="Arial"/>
          <w:b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здоровый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и </w:t>
      </w: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жизнеспособный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океан, в котором морские экосистемы понятны и управляемы</w:t>
      </w: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; </w:t>
      </w:r>
    </w:p>
    <w:p w14:paraId="5A17A808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276" w:hanging="567"/>
        <w:jc w:val="left"/>
        <w:textAlignment w:val="baseline"/>
        <w:rPr>
          <w:rFonts w:ascii="Arial" w:hAnsi="Arial" w:cs="Arial"/>
          <w:b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эффективный океан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, поддерживающий устойчивое снабжение продовольствием и устойчивую экономику океана;</w:t>
      </w: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 </w:t>
      </w:r>
    </w:p>
    <w:p w14:paraId="58961BF0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276" w:hanging="567"/>
        <w:jc w:val="left"/>
        <w:textAlignment w:val="baseline"/>
        <w:rPr>
          <w:rFonts w:ascii="Arial" w:hAnsi="Arial" w:cs="Arial"/>
          <w:b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прогнозируемый океан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 в мире, где общество понимает и может реагировать на изменение условий океана; </w:t>
      </w:r>
    </w:p>
    <w:p w14:paraId="11BAA8A5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276" w:hanging="567"/>
        <w:jc w:val="left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безопасный океан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, в котором жизнь и средства к существованию защищены от опасных явлений, связанных с океаном;</w:t>
      </w:r>
    </w:p>
    <w:p w14:paraId="40E48F58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276" w:hanging="567"/>
        <w:jc w:val="left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доступный океан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с открытым и справедливым доступом к данным, информации, технологиям и инновациям;</w:t>
      </w:r>
    </w:p>
    <w:p w14:paraId="1B5BEECC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240"/>
        <w:ind w:left="1276" w:hanging="567"/>
        <w:jc w:val="left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вдохновляющий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и </w:t>
      </w:r>
      <w:r w:rsidRPr="00D242E6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 xml:space="preserve">увлекательный океан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в мире, где общество понимает и ценит океан в связи с благополучием человека и устойчивым развитием.</w:t>
      </w:r>
    </w:p>
    <w:p w14:paraId="30E4DB0E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Основная трансформация, которая должна быть достигнута в ходе Десятилетия, заключается в том, чтобы сделать науку способной не только диагностировать существующие или возникающие проблемы, но и предлагать эффективные решения, мотивировать общество и повышать его готовность к их реализации. Поэтому целью Десятилетия будет создание научного потенциала, привлечение ученых, содействие созданию благоприятной среды для вовлечения практических специалистов, лиц, принимающих решения, и частного сектора в разработку и использование научно обоснованных решений для начала устойчивого управления океаном.   </w:t>
      </w:r>
    </w:p>
    <w:p w14:paraId="56B484D9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Десятилетие также станет для МОК мощным стимулом для внесения вклада в реализацию коллективно согласованных глобальных и региональных приоритетов. Успешное проведение Десятилетия будет зависеть от подлинной ответственности многих партнеров и заинтересованных сторон, которые будут использовать рамки Десятилетия и создаваемые им возможности для выполнения своих собственных задач в области устойчивого развития.</w:t>
      </w:r>
    </w:p>
    <w:p w14:paraId="66594DB9" w14:textId="77777777" w:rsidR="00D242E6" w:rsidRPr="00EF2CD5" w:rsidRDefault="00D242E6" w:rsidP="00D242E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hAnsi="Arial" w:cs="Arial"/>
          <w:b/>
          <w:snapToGrid w:val="0"/>
          <w:color w:val="000000"/>
          <w:sz w:val="22"/>
          <w:szCs w:val="22"/>
          <w:lang w:val="ru-RU"/>
        </w:rPr>
      </w:pPr>
      <w:r w:rsidRPr="00EF2CD5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РЕАЛИЗАЦИЯ СТРАТЕГИИ</w:t>
      </w:r>
    </w:p>
    <w:p w14:paraId="0B07AAB2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Во время работы над достижением целей высокого уровня МОК сосредоточится на таких широких областях, как:</w:t>
      </w:r>
    </w:p>
    <w:p w14:paraId="402C2523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134" w:hanging="425"/>
        <w:jc w:val="left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упрочнение научных знаний об океане и воздействии на него человека;</w:t>
      </w:r>
    </w:p>
    <w:p w14:paraId="78998B93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120"/>
        <w:ind w:left="1134" w:hanging="425"/>
        <w:jc w:val="left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применение этих знаний на благо общества;</w:t>
      </w:r>
    </w:p>
    <w:p w14:paraId="358C7AC4" w14:textId="77777777" w:rsidR="00D242E6" w:rsidRPr="00D242E6" w:rsidRDefault="00D242E6" w:rsidP="00D242E6">
      <w:pPr>
        <w:numPr>
          <w:ilvl w:val="0"/>
          <w:numId w:val="36"/>
        </w:numPr>
        <w:tabs>
          <w:tab w:val="clear" w:pos="709"/>
          <w:tab w:val="left" w:pos="567"/>
        </w:tabs>
        <w:snapToGrid w:val="0"/>
        <w:spacing w:after="240"/>
        <w:ind w:left="1134" w:hanging="425"/>
        <w:jc w:val="left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sz w:val="22"/>
          <w:szCs w:val="22"/>
          <w:lang w:val="ru-RU"/>
        </w:rPr>
        <w:t>создание институционального, человеческого и технического потенциала для рационального управления и руководства океаном и деятельностью человека.</w:t>
      </w:r>
    </w:p>
    <w:p w14:paraId="694E8E7D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Эта стратегия представляет собой структуру из шести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функций —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отдельных типов относительно однородных наборов процессов, действий или задач, которые помогают Комиссии выполнять свое предназначение и достигать целей высокого уровня. Функции МОК заключаются в следующем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:</w:t>
      </w:r>
    </w:p>
    <w:p w14:paraId="05BD30B9" w14:textId="77777777" w:rsidR="00D242E6" w:rsidRPr="00D242E6" w:rsidRDefault="00D242E6" w:rsidP="00D242E6">
      <w:pPr>
        <w:numPr>
          <w:ilvl w:val="0"/>
          <w:numId w:val="32"/>
        </w:numPr>
        <w:tabs>
          <w:tab w:val="clear" w:pos="709"/>
          <w:tab w:val="left" w:pos="567"/>
        </w:tabs>
        <w:snapToGrid w:val="0"/>
        <w:spacing w:after="120"/>
        <w:ind w:left="1418" w:hanging="70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содействие океаническим исследованиям для расширения знаний об океанических и прибрежных процессах и воздействии на них человека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[океанические исследования];</w:t>
      </w:r>
    </w:p>
    <w:p w14:paraId="4602DE7B" w14:textId="77777777" w:rsidR="00D242E6" w:rsidRPr="00D242E6" w:rsidRDefault="00D242E6" w:rsidP="00D242E6">
      <w:pPr>
        <w:numPr>
          <w:ilvl w:val="0"/>
          <w:numId w:val="32"/>
        </w:numPr>
        <w:tabs>
          <w:tab w:val="clear" w:pos="709"/>
          <w:tab w:val="left" w:pos="567"/>
        </w:tabs>
        <w:snapToGrid w:val="0"/>
        <w:spacing w:after="120"/>
        <w:ind w:left="1418" w:hanging="70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поддержка, укрепление и интеграция глобальных систем наблюдения за океаном, систем данных и прогнозирования и информационных систем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[система наблюдения/управление данными]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;</w:t>
      </w:r>
    </w:p>
    <w:p w14:paraId="771DF424" w14:textId="77777777" w:rsidR="00D242E6" w:rsidRPr="00D242E6" w:rsidRDefault="00D242E6" w:rsidP="00D242E6">
      <w:pPr>
        <w:numPr>
          <w:ilvl w:val="0"/>
          <w:numId w:val="32"/>
        </w:numPr>
        <w:tabs>
          <w:tab w:val="clear" w:pos="709"/>
          <w:tab w:val="left" w:pos="567"/>
        </w:tabs>
        <w:snapToGrid w:val="0"/>
        <w:spacing w:after="120"/>
        <w:ind w:left="1418" w:hanging="70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развитие систем раннего предупреждения и услуг и готовность к рискам цунами и опасных явлений, связанных с океаном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[раннее предупреждение и услуги]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;</w:t>
      </w:r>
    </w:p>
    <w:p w14:paraId="532BF2A7" w14:textId="77777777" w:rsidR="00D242E6" w:rsidRPr="00D242E6" w:rsidRDefault="00D242E6" w:rsidP="00D242E6">
      <w:pPr>
        <w:numPr>
          <w:ilvl w:val="0"/>
          <w:numId w:val="32"/>
        </w:numPr>
        <w:tabs>
          <w:tab w:val="clear" w:pos="709"/>
          <w:tab w:val="left" w:pos="567"/>
        </w:tabs>
        <w:snapToGrid w:val="0"/>
        <w:spacing w:after="120"/>
        <w:ind w:left="1418" w:hanging="70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поддержка оценки и обеспечение информирования для улучшения взаимосвязи науки и политики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[оценка и информирование для политики]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;</w:t>
      </w:r>
    </w:p>
    <w:p w14:paraId="5808C7F5" w14:textId="77777777" w:rsidR="00D242E6" w:rsidRPr="00D242E6" w:rsidRDefault="00D242E6" w:rsidP="00D242E6">
      <w:pPr>
        <w:numPr>
          <w:ilvl w:val="0"/>
          <w:numId w:val="32"/>
        </w:numPr>
        <w:tabs>
          <w:tab w:val="clear" w:pos="709"/>
          <w:tab w:val="left" w:pos="567"/>
        </w:tabs>
        <w:snapToGrid w:val="0"/>
        <w:spacing w:after="120"/>
        <w:ind w:left="1418" w:hanging="70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усовершенствование управления океаном посредством совместной базы знаний и улучшения регионального сотрудничества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[устойчивое управление и руководство];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</w:t>
      </w:r>
    </w:p>
    <w:p w14:paraId="63EBF34B" w14:textId="77777777" w:rsidR="00D242E6" w:rsidRPr="00D242E6" w:rsidRDefault="00D242E6" w:rsidP="00D242E6">
      <w:pPr>
        <w:numPr>
          <w:ilvl w:val="0"/>
          <w:numId w:val="32"/>
        </w:numPr>
        <w:tabs>
          <w:tab w:val="clear" w:pos="709"/>
          <w:tab w:val="left" w:pos="567"/>
        </w:tabs>
        <w:snapToGrid w:val="0"/>
        <w:spacing w:after="240"/>
        <w:ind w:left="1418" w:hanging="70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развитие институционального потенциала по всем вышеперечисленным функциям в качестве сквозной функции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[развитие потенциала].</w:t>
      </w:r>
    </w:p>
    <w:p w14:paraId="6DE176A9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ind w:left="992"/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D242E6">
        <w:rPr>
          <w:rFonts w:ascii="Arial" w:hAnsi="Arial" w:cs="Arial"/>
          <w:noProof/>
          <w:snapToGrid w:val="0"/>
          <w:color w:val="000000"/>
          <w:sz w:val="22"/>
          <w:szCs w:val="22"/>
          <w:lang w:val="ru-RU" w:eastAsia="ru-RU"/>
        </w:rPr>
        <w:drawing>
          <wp:inline distT="0" distB="0" distL="0" distR="0" wp14:anchorId="2E127FAE" wp14:editId="16B8F89A">
            <wp:extent cx="3730911" cy="3706684"/>
            <wp:effectExtent l="0" t="0" r="3175" b="8255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6_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506" cy="37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193E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Эти функции реализуются через существующие программы МОК и совместно финансируемые программы, работу региональных вспомогательных органов МОК и различные механизмы сотрудничества.</w:t>
      </w:r>
    </w:p>
    <w:p w14:paraId="68DF566F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Цепочка создания ценности МОК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: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Ценность МОК создается благодаря взаимодействию всех ее функций. Для того чтобы максимально увеличить ценность, МОК должна работать как законченная система, в которой наблюдения и исследования позволяют оказывать различные услуги и проводить оценки для принятия обоснованных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решений и руководства политикой, а также для многообразного использования в обществе и экономике. Обратная связь от различных функций в системе должна вести к эволюции и, в целом,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к все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более и более высоким требованиям к наблюдениям, науке и услугам. Развитие потенциала будет действовать как катализатор всей системы, работая на передовых рубежах и не оставляя никого без внимания. </w:t>
      </w:r>
    </w:p>
    <w:p w14:paraId="5B03C45A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Функции МОК будут реализовываться посредством непрерывно развивающихся программ, действующих на глобальном, региональном, национальном и местном уровнях, посредством деятельности региональных вспомогательных органов, а также путем осуществления более краткосрочных проектных мероприятий. В действительности все программы, группы и проекты выступают в качестве механизмов совместной разработки и координации, в то время как реальная работа на местах проводится в государствах-членах и ими самими. Десятилетие даст возможность включить программы и мероприятия МОК в основное русло деятельности на международном уровне и в государствах-членах. Работа будет направлена на достижение задач высокого уровня МОК, которые описаны ниже. </w:t>
      </w:r>
    </w:p>
    <w:p w14:paraId="3A909D58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Достижение цели 1 (Здоровые экосистемы океана)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: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 xml:space="preserve">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МОК будет укреплять устойчивое управление здоровьем экосистем и услугами посредством скоординированных действий в области исследований, наблюдений, оценок, разработки и внедрения инструментов управления и РП, с использованием конкретных мероприятий по: </w:t>
      </w:r>
    </w:p>
    <w:p w14:paraId="58F0FAFB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координации и стимулированию исследований в области закисления океана,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деоксигенирования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, биогеохимии и загрязняющих веществ; определению индикаторов экосистем и критических точек, а также воздействия многочисленных стрессовых факторов на морское биоразнообразие и функционирование экосистем;</w:t>
      </w:r>
    </w:p>
    <w:p w14:paraId="2FD949FF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улучшению и расширению устойчивых глобальных наблюдений за основными биологическими, биогеохимическими и экосистемными переменными, имеющими значение и необходимыми для описания состояния экосистемы, в рамках ГСНО; </w:t>
      </w:r>
    </w:p>
    <w:p w14:paraId="3DF89B2C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укреплению центров и сетей данных и информации МООД, включая ОБИС, с обеспечением доступности ресурсов и передового опыта для популяризации стандартизированного сбора данных по видам и экосистемам и разработки продуктов и услуг, способствующих непрерывному мониторингу установленных показателей состояния экосистем, а также долгосрочному сохранению и доступности высококачественных океанических данных и информации; </w:t>
      </w:r>
    </w:p>
    <w:p w14:paraId="0565B12B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поддержке глобальных и региональных морских оценок в рамках Оценки Мирового океана ООН и других научных оценок, например, крупных морских экосистем и оценок в рамках МПБЭУ;</w:t>
      </w:r>
    </w:p>
    <w:p w14:paraId="294A6B5B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помощи государствам-членам в развитии необходимого потенциала и инструментов управления на основе экосистем, таких как морские пространственные планы, управление прибрежными районами, охраняемые морские районы;</w:t>
      </w:r>
    </w:p>
    <w:p w14:paraId="27054665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использованию организаторских полномочий МОК для укрепления сотрудничества и координации между основными заинтересованными сторонами в области управления экосистемами и для создания эффективного взаимодействия между наукой, политикой и обществом;</w:t>
      </w:r>
    </w:p>
    <w:p w14:paraId="106A5D59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Вкладу в Десятилетие ООН по восстановлению экосистем (2021-2030 гг.).</w:t>
      </w:r>
    </w:p>
    <w:p w14:paraId="5B8BCBD7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Достижение цели 2 (Раннее предупреждение об опасных океанических явлениях)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: МОК будет помогать прибрежным общинам и операторам в море управлять рисками,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связанными с опасными океаническими явлениями, и повышать готовность к ним. МОК будет работать с государствами-членами и партнерами ООН в целях углубления понимания рисков, связанных с океаном, и внедрения эффективных систем раннего предупреждения о различных опасностях. 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 xml:space="preserve">МОК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будет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:</w:t>
      </w:r>
    </w:p>
    <w:p w14:paraId="1D17CCE7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поддерживать более тесную межправительственную координацию многоуровневых региональных систем предупреждения о цунами; </w:t>
      </w:r>
    </w:p>
    <w:p w14:paraId="351C6C92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содействовать вовлечению ключевых заинтересованных сторон в работу систем предупреждения о цунами, включая органы гражданской обороны и национальные гидрометеорологические службы;</w:t>
      </w:r>
    </w:p>
    <w:p w14:paraId="1E7DEECA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ускорять осуществление программы обеспечения готовности к цунами;</w:t>
      </w:r>
    </w:p>
    <w:p w14:paraId="603E7560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содействовать исследованиям и разработке более технически совершенных систем обнаружения и предупреждения о цунами, способных бороться с цунами несейсмического происхождения;   </w:t>
      </w:r>
    </w:p>
    <w:p w14:paraId="5729D457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укреплять региональные центры информирования о цунами и расширять их возможности как информационно-координационных механизмов для разработки образовательных материалов и материалов по обеспечению готовности; </w:t>
      </w:r>
    </w:p>
    <w:p w14:paraId="7AC40018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координировать исследования, мониторинг и разработку инструментов управления вредоносным цветением водорослей;</w:t>
      </w:r>
    </w:p>
    <w:p w14:paraId="4C44878A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повышать технический и научный потенциал раннего обнаружения и предупреждения морских инвазивных видов (например, путем применения новых технологий наблюдения, таких как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метабаркодирование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ДНК);</w:t>
      </w:r>
    </w:p>
    <w:p w14:paraId="7C10857B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направлять свои силы на РП и техническую помощь для расширения возможностей государств-членов по развитию готовности и осведомленности в отношении многообразных опасных явлений и смягчения их последствий; </w:t>
      </w:r>
    </w:p>
    <w:p w14:paraId="20DDC369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обеспечивать соответствие системы наблюдения за океаном потребностям в океанографических данных, обмен которыми осуществляется в режиме реального времени, для оперативного раннего предупреждения об опасных явлениях, связанных с океаном;</w:t>
      </w:r>
    </w:p>
    <w:p w14:paraId="769E5335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поддерживать моделирование, исследования, средства обработки данных, инструментов разработки политики и планирования, способствующих совершенствованию систем предупреждения, готовности к опасным океаническим явлениям и океанических информационных служб.</w:t>
      </w:r>
    </w:p>
    <w:p w14:paraId="32EAFDB5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Достижение цели 3 (Устойчивость к изменению и изменчивости климата)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: МОК будет работать над повышением устойчивости к изменению и изменчивости климата с помощью комплексного подхода, который:</w:t>
      </w:r>
    </w:p>
    <w:p w14:paraId="7C13E07E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начинается с системы наблюдения за океаном для мониторинга глобальных и региональных стимулирующих факторов климата, его изменений и изменчивости; измерения основных переменных океана, например, физических параметров океана и климата, биогеохимии, биологии и экосистем; осуществления количественной оценки воздействия климата на океан, выражающееся, например, в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21"/>
          <w:id w:val="653568062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22"/>
          <w:id w:val="-1283880352"/>
        </w:sdtPr>
        <w:sdtEndPr/>
        <w:sdtContent/>
      </w:sdt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потеплении океана, включая океанические тепловые волны; описания параметров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закисления океана и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деоксигенирования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;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измерения воздействия климата на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морские и прибрежные экосистемы, включая утрату биоразнообразия; внесения вклада в передовую систему управления данными, построенную на основе глобальных стандартов и передовой практики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>;</w:t>
      </w:r>
    </w:p>
    <w:p w14:paraId="21983684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>координирует и направляет исследования океанического климата (в том числе через ВПИК), которые улучшают понимание океанических процессов и изменения климата, углеродного цикла в океане, повышают навыки прогнозирования изменчивости и изменения климата и создают базу знаний об изменениях в океанических экосистемах и стратегиях адаптации;</w:t>
      </w:r>
    </w:p>
    <w:p w14:paraId="6770196D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предоставляет информацию для связанных с МОК и других процессов оценки; </w:t>
      </w:r>
    </w:p>
    <w:p w14:paraId="528C62A2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также предоставляет информацию для процесса РКИКООН по всему спектру связанных с океаном аспектов климата;</w:t>
      </w:r>
    </w:p>
    <w:p w14:paraId="6EB0BA3D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вносит вклад в развитие океанических и климатических услуг следующего поколения, включая координируемую 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 xml:space="preserve">ВМО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Глобальную рамочную основу для климатического обслуживания; </w:t>
      </w:r>
    </w:p>
    <w:p w14:paraId="0CE5AAC1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применяет научные знания для информирования и укрепления системы управления океаном, управления прибрежными зонами, разработки и реализации стратегий адаптации к изменению климата и смягчения его последствий;</w:t>
      </w:r>
    </w:p>
    <w:p w14:paraId="61D45380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наращивает потенциал посредством обучения, демонстрационных проектов и совместного использования инструментов.</w:t>
      </w:r>
    </w:p>
    <w:p w14:paraId="299447D8" w14:textId="77777777" w:rsidR="00D242E6" w:rsidRPr="00D242E6" w:rsidRDefault="00EF2CD5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sdt>
        <w:sdtPr>
          <w:rPr>
            <w:rFonts w:ascii="Arial" w:hAnsi="Arial" w:cs="Arial"/>
            <w:snapToGrid w:val="0"/>
            <w:sz w:val="22"/>
            <w:szCs w:val="22"/>
          </w:rPr>
          <w:tag w:val="goog_rdk_23"/>
          <w:id w:val="-1100880996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24"/>
          <w:id w:val="975414087"/>
        </w:sdtPr>
        <w:sdtEndPr/>
        <w:sdtContent>
          <w:r w:rsidR="00D242E6" w:rsidRPr="00D242E6">
            <w:rPr>
              <w:rFonts w:ascii="Arial" w:hAnsi="Arial" w:cs="Arial"/>
              <w:b/>
              <w:bCs/>
              <w:snapToGrid w:val="0"/>
              <w:color w:val="000000"/>
              <w:sz w:val="22"/>
              <w:szCs w:val="22"/>
              <w:lang w:val="ru-RU"/>
            </w:rPr>
            <w:t>Достижение цели 4 (Научные услуги для устойчивой экономики океана)</w:t>
          </w:r>
        </w:sdtContent>
      </w:sdt>
      <w:r w:rsidR="00D242E6"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: МОК будет разрабатывать научно-техническую информацию, услуги и инструменты управления для ответственного роста устойчивой экономики океана. По прогнозам, к 2030 году экономика океана, стимулируемая, в частности</w:t>
      </w:r>
      <w:r w:rsidR="00D242E6"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,</w:t>
      </w:r>
      <w:r w:rsidR="00D242E6"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ростом возобновляемых источников энергии океана, аквакультуры и туризма, займет более значительное место в национальной экономике. Открытый доступ к информации и прочная база знаний об океане будут способствовать развитию экономических возможностей и росту занятости, а также защите морской среды и обеспечению устойчивого использования ресурсов океана. МОК будет углублять свое взаимодействие и партнерство с морским сектором путем:</w:t>
      </w:r>
    </w:p>
    <w:p w14:paraId="3894E3FD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предоставления океанических наблюдений и данных для оперативного обслуживания морских отраслей, а также для биогеохимического и биологического изучения/исследования и оценки устойчивости экосистемных услуг;</w:t>
      </w:r>
    </w:p>
    <w:p w14:paraId="42FB356E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предоставления целевых продуктов и услуг в области данных и информации через Систему океанографических данных и информации и «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Инфохаб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-Океан», включая их региональные центры;</w:t>
      </w:r>
    </w:p>
    <w:p w14:paraId="3A3D929B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координацию научных оценок, необходимых для определения экосистемных порогов безопасной деятельности и выявления путей устойчивого развития;</w:t>
      </w:r>
    </w:p>
    <w:p w14:paraId="672E0F62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содействия развитию экосистемных подходов к охране окружающей среды и трансграничных подходов к управлению, таких как «крупные морские экосистемы»;</w:t>
      </w:r>
    </w:p>
    <w:p w14:paraId="6D1122F4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продвижения управления прибрежными районами и морского пространственного планирования в глобальном масштабе как эффективных процессов, способствующих устойчивой экономической деятельности и разрешению конфликтов между конкурирующими пользователями океанического пространства; </w:t>
      </w:r>
    </w:p>
    <w:p w14:paraId="4576CA40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содействия повышению экономической ценности комплексной цепочки мероприятий МОК с оценкой отдачи от инвестиций в океанические исследования и наблюдения;</w:t>
      </w:r>
    </w:p>
    <w:p w14:paraId="7939CA65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120"/>
        <w:ind w:left="1276" w:hanging="572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>оказания помощи государствам-членам в развитии их потенциала для ответственного управления и устойчивой эксплуатации океанических ресурсов.</w:t>
      </w:r>
    </w:p>
    <w:p w14:paraId="39167A08" w14:textId="143FA859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u w:val="single"/>
          <w:lang w:val="ru-RU"/>
        </w:rPr>
        <w:t>Достижение цели 5 (Прогнозирование возникающих проблем океана)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: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целях выявления и, по возможности, предупреждения возникающих проблем МОК будет координировать научные исследования на переднем крае науки и выступать в качестве платформы для постановки таких проблем в актуальной для политики форме. Укрепление и расширение систем наблюдения за океаном и связанных с ними глобальных систем управления данными/информацией будет способствовать проведению исследований по возникающим вопросам и дальнейшему развитию потенциала для устранения пробелов в знаниях. Совместно с партнерами МОК будет содействовать необходимому международному сотрудничеству для поддержки исследований по возникающим проблемам океанической среды, включая:</w:t>
      </w:r>
    </w:p>
    <w:p w14:paraId="2E5449C4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06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скоординированные научные исследования воздействия на морскую экосистему новых загрязняющих веществ и многочисленных новых стрессовых факторов, возникающих в результате изменения климата и антропогенного воздействия;</w:t>
      </w:r>
    </w:p>
    <w:p w14:paraId="729EBB44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06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систему наблюдений за океаном с технологически продвинутыми автономными приборами и глобальными системами обработки и управления данными/информацией, которые могут быть адаптированы к новым потребностям;</w:t>
      </w:r>
    </w:p>
    <w:p w14:paraId="4E832274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064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научные обобщения и оценки, которые предоставляют практически полезную информацию о новых угрозах или возможностях; </w:t>
      </w:r>
    </w:p>
    <w:p w14:paraId="17CD94A2" w14:textId="77777777" w:rsidR="00D242E6" w:rsidRPr="00D242E6" w:rsidRDefault="00D242E6" w:rsidP="00D242E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ind w:left="1060" w:hanging="357"/>
        <w:jc w:val="left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доведение результатов до сведения лиц, принимающих решения, и предоставление государствам-членам платформы для вынесения возникающих национальных и региональных проблем на рассмотрение ООН и других межправительственных форумов. </w:t>
      </w:r>
    </w:p>
    <w:p w14:paraId="44CBD22F" w14:textId="77777777" w:rsidR="00D242E6" w:rsidRPr="00EF2CD5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left"/>
        <w:rPr>
          <w:rFonts w:ascii="Arial" w:hAnsi="Arial" w:cs="Arial"/>
          <w:b/>
          <w:snapToGrid w:val="0"/>
          <w:color w:val="0070C0"/>
          <w:sz w:val="22"/>
          <w:szCs w:val="22"/>
          <w:lang w:val="ru-RU"/>
        </w:rPr>
      </w:pPr>
      <w:r w:rsidRPr="00EF2CD5">
        <w:rPr>
          <w:rFonts w:ascii="Arial" w:hAnsi="Arial" w:cs="Arial"/>
          <w:b/>
          <w:bCs/>
          <w:snapToGrid w:val="0"/>
          <w:color w:val="0070C0"/>
          <w:sz w:val="22"/>
          <w:szCs w:val="22"/>
          <w:lang w:val="ru-RU"/>
        </w:rPr>
        <w:t>РАЗВИТИЕ ПОТЕНЦИАЛА</w:t>
      </w:r>
    </w:p>
    <w:p w14:paraId="5A4B2BEA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Конвенция ООН по морскому праву (ЮНКЛОС) признает МОК в качестве компетентной международной организации в области морских научных исследований (часть 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XIII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ЮНКЛОС) и ПМТ (часть 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XIV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). </w:t>
      </w:r>
    </w:p>
    <w:p w14:paraId="10E09DDB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Усилия МОК в области развития потенциала (РП) будут по-прежнему определяться Стратегией МОК в области развития потенциала. Эти усилия будут увеличены в ходе реализации Десятилетия.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Научный доклад о Мировом океане за 2020 год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будет служить ключевым ориентиром для работы МОК, а последующие издания доклада позволят отслеживать прогресс. МОК будет продолжать систематически укреплять потенциал всех государств-членов МОК для проведения научных исследований и использования их результатов, не оставляя никого без внимания. Этот компонент работы МОК в области РП будет включать в себя введение в действие Критериев и руководящих принципов МОК по передаче морской технологии (ПМТ) и информационно-координационному механизму ПМТ. </w:t>
      </w:r>
    </w:p>
    <w:p w14:paraId="141498FA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 частности, МОК создаст сеть региональных и тематических центров ПМТ и расширит обмен научно-техническим потенциалом между государствами-членами, помогая им предоставлять более широкий спектр продуктов и услуг в области данных и информации. Проект «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Инфохаб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-Океан» МООД станет отправной точкой для создания будущей системы океанографических данных и информации МОК, обеспечивающей взаимодействие местных, региональных и тематических данных и информации и связывающей участников и пользователей с необходимыми ресурсами. Эти разработки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будут осуществляться с учетом Стратегического плана МОК по управлению данными и информацией и в соответствии с политикой МОК по обмену океанографическими данными. Будут проводиться регулярные исследования потребностей в РП, и будет создана единая онлайновая база данных о возможностях обучения с использованием двусторонних и многосторонних отношений, включая участие </w:t>
      </w:r>
      <w:r w:rsidRPr="00D242E6">
        <w:rPr>
          <w:rFonts w:ascii="Arial" w:hAnsi="Arial" w:cs="Arial"/>
          <w:snapToGrid w:val="0"/>
          <w:sz w:val="22"/>
          <w:szCs w:val="22"/>
          <w:lang w:val="ru-RU"/>
        </w:rPr>
        <w:t xml:space="preserve">межправительственных организаций. </w:t>
      </w:r>
    </w:p>
    <w:p w14:paraId="753D6E0F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Будет продолжена и активизирована работа Группы экспертов МОК по развитию потенциала. МОК внесет существенный вклад в развитие потенциала государств-членов в отношении нового международного юридически обязательного документа по БПНЮ, одновременно работая над достижением цели 14.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Повестки дня на период до 2030 года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footnoteReference w:id="1"/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. Международная многоязычная подготовка по различным аспектам управления океаном продолжится в Глобальной академии МОК «Океан-Инструктор» нового поколения с ее сетью региональных и специализированных учебных центров, региональных учебных и исследовательских центров ВЕСТПАК и центров в области морских наук под эгидой ЮНЕСКО (категории 2). </w:t>
      </w:r>
    </w:p>
    <w:p w14:paraId="50B41AFA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МОК будет продолжать расширять свою деятельность в области повышения грамотности в связанных с океаном вопросах путем осуществления специальной стратегии.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33"/>
          <w:id w:val="875509077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34"/>
          <w:id w:val="1370571569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Эта работа будет способствовать повышению значимости океана для основных заинтересованных сторон, включая широкую общественность. Она углубит понимание роли океана для людей и воздействия человека на океан, а также ценности науки для обеспечения понимания и устранения воздействия человека, необходимого для обеспечения устойчивого использования океана для всех. Работая в рамках ЮНЕСКО и с партнерами, МОК будет стремиться к включению базовых знаний об океане в школьные учебные программы.</w:t>
      </w:r>
    </w:p>
    <w:p w14:paraId="287BC775" w14:textId="77777777" w:rsidR="00D242E6" w:rsidRPr="00EF2CD5" w:rsidRDefault="00D242E6" w:rsidP="00D242E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hAnsi="Arial" w:cs="Arial"/>
          <w:b/>
          <w:snapToGrid w:val="0"/>
          <w:color w:val="000000"/>
          <w:sz w:val="22"/>
          <w:szCs w:val="22"/>
          <w:lang w:val="ru-RU"/>
        </w:rPr>
      </w:pPr>
      <w:r w:rsidRPr="00EF2CD5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РАБОТА НА МЕСТАХ</w:t>
      </w:r>
    </w:p>
    <w:p w14:paraId="2F9F96CA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Для достижения целевых установок Повестки дня на период до 2030 года и лучшего реагирования на потребности государств-членов Организация Объединенных Наций будет преобразовываться, усиливая акцент на региональном масштабе и скоординированной работе всех агентств ООН через региональные платформы сотрудничества ООН и страновые группы. МОК также активизирует свою помощь и предоставление услуг на уровне государств-членов. </w:t>
      </w:r>
    </w:p>
    <w:p w14:paraId="1868A192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Чтобы охватить необходимый глобальный объем деятельности, МОК будет осуществлять работу через государства-члены и стремиться к партнерству и синергии с организациями, связанными с океаном, включая те, которые имеют региональную направленность. МОК будет также стремиться к заметному использованию деятельности своих государств-членов, признавая их значительный потенциал, зачастую уже задействованный во многих глобальных и региональных программах МОК. МОК будет поддерживать связь с соответствующими национальными, региональными и крупномасштабными международными инициативами этих государств-членов с целью привлечения их к выполнению своих различных функций и обеспечения внесения ими вклада в Десятилетие ООН, посвященное науке об океане в интересах устойчивого развития, и пользования его результатами. </w:t>
      </w:r>
    </w:p>
    <w:p w14:paraId="010B1DE2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Региональное и местное развитие наиболее эффективно достигается благодаря работе региональных вспомогательных органов МОК, ориентированных как на конкретные цели развития государств-членов, так и на согласованные на международном уровне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приоритеты развития. Четыре региональных вспомогательных органа МОК (ВЕСТПАК, МОКАРИБ, МОКАФРИКА и ИОСИНДИО) имеют первостепенное значение для миссии МОК, повышая ее ценность и обеспечивая надежное участие государств-членов в программах. Региональные вспомогательные органы МОК адаптируют свой подход и повестку дня с учетом конкретных потребностей и возможностей, существующих в их соответствующих регионах. Помимо осуществления глобальных программ МОК в регионах, они способствуют развитию партнерских отношений для реализации и координации региональных программ, проектов и мероприятий. Среди прочих видов деятельности они являются наиболее эффективными платформами для совместной с государствами-членами разработки и осуществления деятельности МОК в области РП, не оставляя никого без внимания. </w:t>
      </w:r>
    </w:p>
    <w:p w14:paraId="2286114A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>Население и государства – члены Подкомиссии МОК для западной части Тихого океана (</w:t>
      </w:r>
      <w:r w:rsidRPr="00D242E6">
        <w:rPr>
          <w:rFonts w:ascii="Arial" w:eastAsia="Helvetica Neue" w:hAnsi="Arial" w:cs="Arial"/>
          <w:b/>
          <w:bCs/>
          <w:snapToGrid w:val="0"/>
          <w:color w:val="000000"/>
          <w:sz w:val="22"/>
          <w:szCs w:val="22"/>
          <w:lang w:val="ru-RU"/>
        </w:rPr>
        <w:t>ВЕСТПАК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 xml:space="preserve">), густонаселенного и быстро развивающегося в технологическом отношении региона, в котором океан отличается богатейшим морским биоразнообразием, нуждаются в решениях, позволяющих сбалансировать проблемы развития с устойчивостью океана.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43"/>
          <w:id w:val="-1755129818"/>
        </w:sdtPr>
        <w:sdtEndPr/>
        <w:sdtContent>
          <w:r w:rsidRPr="00D242E6">
            <w:rPr>
              <w:rFonts w:ascii="Arial" w:eastAsia="Helvetica Neue" w:hAnsi="Arial" w:cs="Arial"/>
              <w:snapToGrid w:val="0"/>
              <w:color w:val="000000"/>
              <w:sz w:val="22"/>
              <w:szCs w:val="22"/>
              <w:lang w:val="ru-RU"/>
            </w:rPr>
            <w:t>Целью</w:t>
          </w:r>
        </w:sdtContent>
      </w:sdt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 xml:space="preserve"> ВЕСТПАК является дальнейшее укрепление взаимодействия науки и политики, содействие многодисциплинарным и ориентированным на прикладные решения океаническим исследованиям и инновациям, совершенствование служб и прикладных программ океанического прогнозирования, а также создание и мобилизация долгосрочных партнерских связей. Подкомиссия продолжит совместную разработку приоритетов своей программы с государствами-членами и будет осуществлять широкий спектр мероприятий, лежащих в основе устойчивости океана, включая, в частности, изменение океана и климата, морское биоразнообразие, безопасность и сохранность морепродуктов, здоровье экосистем океана и другие возникающие вопросы. Для ускорения РП и передачи морской технологии Подкомиссия будет продолжать расширять возможности отдельных лиц, учреждений и государств-членов, в частности, посредством интегрированных и устойчивых структур в области РП, таких как Региональная сеть учебных и исследовательских центров по морским наукам ВЕСТПАК (РТРС), путем включения РП в свои международные исследовательские программы, разработки и проведения специализированных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национальных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 xml:space="preserve"> и международных тренингов, вовлечения начинающих специалистов-океанографов в международные исследовательские программы и поощрения их исследовательской работы.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</w:rPr>
        <w:t> 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>ВЕСТПАК будет оказывать МОК помощь в координации регионального участия в Десятилетии.</w:t>
      </w:r>
    </w:p>
    <w:p w14:paraId="0C52017B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Подкомиссия МОК для Африки и прилегающих островных государств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 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(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МОКАФРИКА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) сосредоточит свою работу и энергию на обеспечении океанологической научной базы для решения социальных проблем и содействия развитию устойчивой экономики океана в этом регионе. РП, </w:t>
      </w:r>
      <w:proofErr w:type="gram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 частности,</w:t>
      </w:r>
      <w:proofErr w:type="gram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совершенствование инфраструктуры и средств для проведения исследований, обеспечение подготовки научного и технического персонала, а также трансформирование науки в политику, будет оставаться приоритетом. В соответствии с Планом проведения Десятилетия МОКАФРИКА будет разрабатывать и осуществлять программы в области мониторинга и прогнозирования океана, уязвимости прибрежных районов и снижения риска бедствий, воздействия изменения климата на прибрежные зоны, морского пространственного планирования, морского биоразнообразия и биогеографии, повышения грамотности в связанных с океаном вопросах и трансформирования результатов исследований в политику, необходимую для устойчивого управления океаном и прибрежными районами. МОКАФРИКА будет стремиться к разработке «домашних решений» путем привлечения африканских новаторов и поддержки технологий, разработанных на местном уровне. В этом отношении МОКАФРИКА будет, в частности, привлекать африканскую молодежь и начинающих специалистов. Программы МОКАФРИКА будут согласованы с инициативами Африканского союза, такими как его Повестка дня на период до 2063 года, признающая океаническую экономику одним из основных факторов преобразования и роста континента, а также Африканская комплексная морская стратегия на период до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2050 года, обеспечивающая путь к росту благосостояния за счет океанов и морей Африки путем развития устойчивой процветающей экономики океана. </w:t>
      </w:r>
    </w:p>
    <w:p w14:paraId="410F7023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>Подкомиссия МОК для Карибского бассейна и прилегающих регионов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en-US"/>
        </w:rPr>
        <w:t> 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>(</w:t>
      </w:r>
      <w:r w:rsidRPr="00D242E6">
        <w:rPr>
          <w:rFonts w:ascii="Arial" w:eastAsia="Helvetica Neue" w:hAnsi="Arial" w:cs="Arial"/>
          <w:b/>
          <w:bCs/>
          <w:snapToGrid w:val="0"/>
          <w:color w:val="000000"/>
          <w:sz w:val="22"/>
          <w:szCs w:val="22"/>
          <w:lang w:val="ru-RU"/>
        </w:rPr>
        <w:t>МОКАРИБ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 xml:space="preserve">) будет продолжать вносить весомый региональный вклад в работу всех программ МОК и согласует свою деятельность со стратегическими рамками Десятилетия. Основной целью будет оказание помощи континентальным прибрежным государствам-членам Латинской Америки и Карибского бассейна и государствам-членам МОСРГ в достижении устойчивого использования ресурсов океана и прибрежной зоны. При этом МОКАРИБ будет использовать преимущества своего региона, который характеризуется биоразнообразием, богат ресурсами и является одним из ключевых мировых туристических направлений. Наука об океане будет играть центральную роль в решении основных региональных задач МОКАРИБ, где проявления изменения климата, такие как ураганы, сильные штормы, затопление прибрежных районов, эрозия прибрежных районов и выброс на берег морской травы, происходят на фоне общей низкой устойчивости островных стран. Основным направлением станет укрепление потенциала государств-членов в области управления океаном в национальном и трансграничном контексте на основе экосистемного подхода к управлению, продолжение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46"/>
          <w:id w:val="-1673247217"/>
        </w:sdtPr>
        <w:sdtEndPr/>
        <w:sdtContent/>
      </w:sdt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>реализации Стратегической программы действий проекта «</w:t>
      </w:r>
      <w:proofErr w:type="spellStart"/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>Экоэкономика</w:t>
      </w:r>
      <w:proofErr w:type="spellEnd"/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 xml:space="preserve"> и эффективность управления прибрежной зоной в Карибском бассейне» и поддержка создания Координационного механизма и плана устойчивого финансирования управления океаном. Подкомиссия также будет оказывать помощь государствам-членам в разработке национальной и региональной политики и планов по развитию океанических наук и технологий. 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МОКАРИБ</w:t>
      </w:r>
      <w:r w:rsidRPr="00D242E6">
        <w:rPr>
          <w:rFonts w:ascii="Arial" w:eastAsia="Helvetica Neue" w:hAnsi="Arial" w:cs="Arial"/>
          <w:snapToGrid w:val="0"/>
          <w:color w:val="000000"/>
          <w:sz w:val="22"/>
          <w:szCs w:val="22"/>
          <w:lang w:val="ru-RU"/>
        </w:rPr>
        <w:t xml:space="preserve"> будет укреплять и расширять научное сотрудничество на региональном и международном уровнях посредством создания региональных сетей и институциональных механизмов между организациями системы ООН, МПО, НПО и научным сообществом. Признавая неодинаковость государств-членов в области РП и технологий, МОКАРИБ будет осуществлять проекты по усовершенствованию передачи морской технологии.</w:t>
      </w:r>
    </w:p>
    <w:p w14:paraId="084DC380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Региональный комитет МОК для центральной части Индийского океана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 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(</w:t>
      </w: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t>ИОСИНДИО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)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будет привлекать правительства стран региона и глобальные и региональные сообщества ученых к устойчивому управлению пространствами и ресурсами Индийского океана. Он будет опираться на деятельность существующих и активно действующих в регионе программ и структур, связанных с МОК, включая, в частности, вторую Международную экспедицию в Индийском океане (МЭИО-2), региональные компоненты ГСНО и работу сообществ, занимающихся устойчивым управлением морскими экосистемами Индийского океана. Такой альянс должен быть способен учитывать региональные особенности, такие как преобладание муссонов, диполь Индийского океана, осцилляции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Маддена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-Джулиана, сильные апвеллинги. Он будет популяризировать преимущества морского пространственного планирования и управления прибрежными зонами для целенаправленного решения проблем развития прибрежных районов и смягчения их уязвимости с учетом воздействия глобальных изменений на океан. ИОСИНДИО будет координировать свою программу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59"/>
          <w:id w:val="795927949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60"/>
          <w:id w:val="795927950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61"/>
          <w:id w:val="795927951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и сотрудничать с МОКАФРИКА и ВЕСТПАК, а также укреплять сотрудничество с региональными институтами в Индийском океане. Регион будет продолжать наращивать потенциал своих государств-членов с помощью глобальных структур МОК, таких как центры Глобальной академии «Океан-Инструктор» и два действующих центра под эгидой ЮНЕСКО (категории 2). Успешное укрепление и расширение деятельности ИОСИНДИО будет направлено на достижение уровня активности, позитивного влияния и роли в управлении океаном, сопоставимых с подкомиссией МОК, что должно привести к его преобразованию в подкомиссию </w:t>
      </w:r>
      <w:r w:rsidRPr="00EF2CD5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МОК. </w:t>
      </w:r>
    </w:p>
    <w:p w14:paraId="2A51B9F4" w14:textId="77777777" w:rsidR="00D242E6" w:rsidRPr="00D242E6" w:rsidRDefault="00D242E6" w:rsidP="00D242E6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lear" w:pos="709"/>
          <w:tab w:val="left" w:pos="567"/>
        </w:tabs>
        <w:snapToGrid w:val="0"/>
        <w:spacing w:after="160" w:line="259" w:lineRule="auto"/>
        <w:jc w:val="left"/>
        <w:rPr>
          <w:rFonts w:ascii="Arial" w:hAnsi="Arial" w:cs="Arial"/>
          <w:b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-RU"/>
        </w:rPr>
        <w:lastRenderedPageBreak/>
        <w:t>ВЗАИМОДЕЙСТВИЕ С КЛЮЧЕВЫМИ ПАРТНЕРАМИ И ЗАИНТЕРЕСОВАННЫМИ СТОРОНАМИ</w:t>
      </w:r>
    </w:p>
    <w:p w14:paraId="1C577ED0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МОК была создана как орган с функциональной автономией в рамках ЮНЕСКО. Комиссия определяет и осуществляет свою программу в соответствии с заявленными целями и функциями, с учетом бюджетных рамок, принятых ее Ассамблеей, и бюджетного пакета, согласованного Генеральной конференцией ЮНЕСКО. В соответствии со своим Уставом «Комиссия сотрудничает с международными организациями, заинтересованными в ее работе, и особенно с теми организациями системы Организации Объединенных Наций, которые стремятся и готовы содействовать реализации цели и функций Комиссии и/или консультироваться и сотрудничать с ней в отношении научных исследований, соответствующих служб и укрепления потенциала в том, что касается океана и прибрежных районов».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footnoteReference w:id="2"/>
      </w:r>
    </w:p>
    <w:p w14:paraId="63A8BBBD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left"/>
        <w:rPr>
          <w:rFonts w:ascii="Arial" w:hAnsi="Arial" w:cs="Arial"/>
          <w:b/>
          <w:snapToGrid w:val="0"/>
          <w:color w:val="0070C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70C0"/>
          <w:sz w:val="22"/>
          <w:szCs w:val="22"/>
          <w:lang w:val="ru-RU"/>
        </w:rPr>
        <w:t xml:space="preserve">МОК В РАМКАХ ЮНЕСКО, СИСТЕМЫ ООН И ЗА ЕЕ ПРЕДЕЛАМИ </w:t>
      </w:r>
    </w:p>
    <w:p w14:paraId="5B373B1E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В рамках ЮНЕСКО МОК будет продолжать сотрудничать со многими программами ЮНЕСКО и представительствами на местах и максимально использовать сравнительные преимущества многодисциплинарного подхода ЮНЕСКО к ключевым проблемам общества. МОК будет сотрудничать с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37"/>
          <w:id w:val="299886293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38"/>
          <w:id w:val="-572121470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39"/>
          <w:id w:val="-1317489112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несколькими программами ЮНЕСКО, внося свой весомый вклад в Десятилетие ООН, посвященное науке об океане в интересах устойчивого развития. Это касается морской программы Центра всемирного наследия, ведущей роли Сектора образования в реализации ЦУР 4 «Образование в интересах устойчивого развития», Конвенции об охране подводного культурного наследия, а также приоритетных областей Сектора науки – МОСРГ и знания коренных народов, программы «Человек и биосфера», Межправительственной гидрологической программы и программ по обеспечению готовности к стихийным бедствиям и управлению рисками. МОК продолжит действовать в рамках Целевой группы по изменению климата – консультативного форума, объединяющего более 30 программ в сферах науки, образования, культуры и коммуникации.</w:t>
      </w:r>
    </w:p>
    <w:p w14:paraId="70E3D898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МОК играет признанную роль в системе ООН в соответствии со своим Уставом. Как компетентная международная организация в области морских научных исследований и ПМТ, МОК вносит свой вклад в различные процессы ЮНКЛОС,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35"/>
          <w:id w:val="467098850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36"/>
          <w:id w:val="-1685041391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в том числе в разрабатываемый международный юридически обязательный документ по сохранению и устойчивому использованию морского биологического разнообразия в районах за пределами действия национальной юрисдикции. МОК продолжит сотрудничество на программном уровне и/или через спонсорство совместных программ со многими учреждениями ООН, включая ФАО, МАГАТЭ, ИМО, МОМД, МСЭ, ПРООН, ЭСКАТО, ЮНЕП (включая КБР), ВОЗ и ВМО. </w:t>
      </w:r>
    </w:p>
    <w:p w14:paraId="6FF9323B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МОК продолжит вносить вклад в основные глобальные соглашения и рамочные программы ООН, включая: Повестку дня ООН на период до 2030 г. и ее Цели устойчивого развития (ЦУР), в частности отдельно в цель 14, касающуюся океана, выступая также в качестве учреждения ООН, ответственного за отчетность по достижению ЦУР 14.3 и 14.</w:t>
      </w:r>
      <w:r w:rsidRPr="00D242E6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; Парижское соглашение РКИКООН, выступая за расширение роли океана; </w:t>
      </w:r>
      <w:proofErr w:type="spellStart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Сендайскую</w:t>
      </w:r>
      <w:proofErr w:type="spellEnd"/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рамочную программу по снижению риска бедствий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40"/>
          <w:id w:val="445820029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 Конвенцию о биологическом разнообразии и «Путь САМОА». </w:t>
      </w:r>
    </w:p>
    <w:p w14:paraId="4608FABE" w14:textId="77777777" w:rsidR="00D242E6" w:rsidRPr="00EF2CD5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МОК как основной орган ООН, связанный с науками об океане, продолжит вносить свой вклад в работу механизма межведомственного сотрудничества ООН по вопросам океана и прибрежных районов «ООН-океаны», сосредоточившись, в </w:t>
      </w:r>
      <w:r w:rsidRPr="00D242E6">
        <w:rPr>
          <w:rFonts w:ascii="Arial" w:hAnsi="Arial" w:cs="Arial"/>
          <w:i/>
          <w:iCs/>
          <w:snapToGrid w:val="0"/>
          <w:color w:val="000000"/>
          <w:sz w:val="22"/>
          <w:szCs w:val="22"/>
          <w:lang w:val="ru-RU"/>
        </w:rPr>
        <w:t>частности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, на разработке «мероприятий, способствующих достижению </w:t>
      </w:r>
      <w:r w:rsidRPr="00EF2CD5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ЦУР». </w:t>
      </w:r>
    </w:p>
    <w:p w14:paraId="618827DC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lastRenderedPageBreak/>
        <w:t xml:space="preserve">Будут опробованы новые формы сотрудничества и, возможно, созданы более прочные официальные связи МОК с другими организациями системы ООН на основе понимания того, что наука об океане представляет собой сквозную, основополагающую необходимость для выполнения задач, стоящих перед учреждениями ООН. Такие соглашения о сотрудничестве будут особенно перспективными для успешного проведения Десятилетия. Возросшая роль наук об океане в деле оказания помощи государствам-членам в достижении целей устойчивого развития, выполнении международных соглашений и решении национальных приоритетных задач может потребовать усиления координации между учреждениями ООН и пересмотра роли МОК и ее позиции </w:t>
      </w:r>
      <w:sdt>
        <w:sdtPr>
          <w:rPr>
            <w:rFonts w:ascii="Arial" w:hAnsi="Arial" w:cs="Arial"/>
            <w:snapToGrid w:val="0"/>
            <w:sz w:val="22"/>
            <w:szCs w:val="22"/>
          </w:rPr>
          <w:tag w:val="goog_rdk_41"/>
          <w:id w:val="-1810004211"/>
        </w:sdtPr>
        <w:sdtEndPr/>
        <w:sdtContent/>
      </w:sdt>
      <w:sdt>
        <w:sdtPr>
          <w:rPr>
            <w:rFonts w:ascii="Arial" w:hAnsi="Arial" w:cs="Arial"/>
            <w:snapToGrid w:val="0"/>
            <w:sz w:val="22"/>
            <w:szCs w:val="22"/>
          </w:rPr>
          <w:tag w:val="goog_rdk_42"/>
          <w:id w:val="1378048493"/>
        </w:sdtPr>
        <w:sdtEndPr/>
        <w:sdtContent/>
      </w:sdt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в системе ООН</w:t>
      </w:r>
      <w:r w:rsidRPr="00D242E6"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footnoteReference w:id="3"/>
      </w: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.</w:t>
      </w:r>
    </w:p>
    <w:p w14:paraId="3F6DFEC9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Помимо выполнения своей роли в системе ООН, МОК также поддерживает тесное сотрудничество с большим числом глобальных и региональных, межправительственных и неправительственных организаций, не входящих в систему ООН, таких как ГИФБ, ГЕО, МГО, МСИМ, СТОМН, МСН и его СКОР, а также МСОП. Через свои глобальные программы и региональные вспомогательные органы МОК будет также развивать партнерство с региональными организациями по управлению океанами, такими как конвенции ЮНЕП по региональным морям, региональные рыбохозяйственные организации и комиссии по КМЭ.  </w:t>
      </w:r>
    </w:p>
    <w:p w14:paraId="79D43304" w14:textId="77777777" w:rsidR="00D242E6" w:rsidRPr="00D242E6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left"/>
        <w:rPr>
          <w:rFonts w:ascii="Arial" w:hAnsi="Arial" w:cs="Arial"/>
          <w:b/>
          <w:snapToGrid w:val="0"/>
          <w:color w:val="0070C0"/>
          <w:sz w:val="22"/>
          <w:szCs w:val="22"/>
          <w:lang w:val="ru-RU"/>
        </w:rPr>
      </w:pPr>
      <w:r w:rsidRPr="00D242E6">
        <w:rPr>
          <w:rFonts w:ascii="Arial" w:hAnsi="Arial" w:cs="Arial"/>
          <w:b/>
          <w:bCs/>
          <w:snapToGrid w:val="0"/>
          <w:color w:val="0070C0"/>
          <w:sz w:val="22"/>
          <w:szCs w:val="22"/>
          <w:lang w:val="ru-RU"/>
        </w:rPr>
        <w:t>РАСШИРЕНИЕ ПАРТНЕРСКИХ ОТНОШЕНИЙ И МОБИЛИЗАЦИЯ РЕСУРСОВ</w:t>
      </w:r>
    </w:p>
    <w:p w14:paraId="5CB62407" w14:textId="77777777" w:rsidR="00D242E6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>Способность МОК осуществлять эту Среднесрочную стратегию и обеспечивать авторитетную платформу для научно обоснованного устойчивого управления океаном потребует значительных людских и финансовых ресурсов, направляемых во все основные программы МОК и региональные вспомогательные органы. Сохранение способности программ и регионов МОК выполнять приоритеты, утвержденные руководящими органами МОК, обязательно потребует повышения уровня внебюджетного финансирования, особенно в периоды финансовых трудностей. МОК будет работать над развитием новых партнерских связей с государственным и частным секторами и активизировать мобилизацию ресурсов от государств-членов, институциональных партнеров и частного сектора. Десятилетие ООН, посвященное науке об океане в интересах устойчивого развития, предоставляет беспрецедентную возможность расширить партнерскую базу МОК и увеличить сбор средств.</w:t>
      </w:r>
    </w:p>
    <w:p w14:paraId="5290F8E2" w14:textId="77777777" w:rsidR="00D242E6" w:rsidRPr="00EF2CD5" w:rsidRDefault="00D242E6" w:rsidP="00D242E6">
      <w:pPr>
        <w:keepNext/>
        <w:tabs>
          <w:tab w:val="clear" w:pos="709"/>
          <w:tab w:val="left" w:pos="567"/>
        </w:tabs>
        <w:snapToGrid w:val="0"/>
        <w:spacing w:after="240"/>
        <w:jc w:val="left"/>
        <w:rPr>
          <w:rFonts w:ascii="Arial" w:hAnsi="Arial" w:cs="Arial"/>
          <w:b/>
          <w:snapToGrid w:val="0"/>
          <w:color w:val="0070C0"/>
          <w:sz w:val="22"/>
          <w:szCs w:val="22"/>
          <w:lang w:val="ru-RU"/>
        </w:rPr>
      </w:pPr>
      <w:r w:rsidRPr="00EF2CD5">
        <w:rPr>
          <w:rFonts w:ascii="Arial" w:hAnsi="Arial" w:cs="Arial"/>
          <w:b/>
          <w:bCs/>
          <w:snapToGrid w:val="0"/>
          <w:color w:val="0070C0"/>
          <w:sz w:val="22"/>
          <w:szCs w:val="22"/>
          <w:lang w:val="ru-RU"/>
        </w:rPr>
        <w:t>ИНФОРМАЦИОННО-ПРОПАГАНДИСТСКАЯ ДЕЯТЕЛЬНОСТЬ И НАГЛЯДНОСТЬ</w:t>
      </w:r>
    </w:p>
    <w:p w14:paraId="4777E4B9" w14:textId="73A43F0A" w:rsidR="00EF7FE9" w:rsidRPr="00D242E6" w:rsidRDefault="00D242E6" w:rsidP="00D242E6">
      <w:p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567"/>
        </w:tabs>
        <w:snapToGrid w:val="0"/>
        <w:spacing w:after="240"/>
        <w:textAlignment w:val="baseline"/>
        <w:rPr>
          <w:rFonts w:ascii="Arial" w:hAnsi="Arial" w:cs="Arial"/>
          <w:snapToGrid w:val="0"/>
          <w:color w:val="000000"/>
          <w:sz w:val="22"/>
          <w:szCs w:val="22"/>
          <w:lang w:val="ru-RU"/>
        </w:rPr>
      </w:pPr>
      <w:r w:rsidRPr="00D242E6">
        <w:rPr>
          <w:rFonts w:ascii="Arial" w:hAnsi="Arial" w:cs="Arial"/>
          <w:snapToGrid w:val="0"/>
          <w:color w:val="000000"/>
          <w:sz w:val="22"/>
          <w:szCs w:val="22"/>
          <w:lang w:val="ru-RU"/>
        </w:rPr>
        <w:t xml:space="preserve">МОК обеспечивает научную основу для устойчивого использования океана и при этом приносит пользу многочисленным «конечным пользователям». Однако ценность фундаментальных услуг МОК, предоставляемых на верхнем уровне, не очевидна для бенефициаров, таких как лица, принимающие решения, спонсоры и широкая общественность. Для этого необходимо вести специальную, активную и хорошо нацеленную информационно-пропагандистскую деятельность. МОК необходимо будет реализовать эффективную и адаптированную стратегию информационно-пропагандистской деятельности, позволяющую ей в полной мере и достаточно убедительно продемонстрировать положительное воздействие своей работы на общество и привлечь новую внебюджетную поддержку. Она также будет поддерживать и совершенствовать эффективный и привлекательный сайт и активно присутствовать в сети.  </w:t>
      </w:r>
    </w:p>
    <w:sectPr w:rsidR="00EF7FE9" w:rsidRPr="00D242E6" w:rsidSect="00B736A8">
      <w:headerReference w:type="even" r:id="rId17"/>
      <w:headerReference w:type="default" r:id="rId18"/>
      <w:headerReference w:type="first" r:id="rId19"/>
      <w:pgSz w:w="11906" w:h="16838" w:code="9"/>
      <w:pgMar w:top="737" w:right="1418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ED1BB" w14:textId="77777777" w:rsidR="00D242E6" w:rsidRDefault="00D242E6">
      <w:r>
        <w:separator/>
      </w:r>
    </w:p>
  </w:endnote>
  <w:endnote w:type="continuationSeparator" w:id="0">
    <w:p w14:paraId="67E6E002" w14:textId="77777777" w:rsidR="00D242E6" w:rsidRDefault="00D2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7E2C6" w14:textId="77777777" w:rsidR="00D242E6" w:rsidRDefault="00D242E6">
      <w:r>
        <w:separator/>
      </w:r>
    </w:p>
  </w:footnote>
  <w:footnote w:type="continuationSeparator" w:id="0">
    <w:p w14:paraId="3039F7EE" w14:textId="77777777" w:rsidR="00D242E6" w:rsidRDefault="00D242E6">
      <w:r>
        <w:continuationSeparator/>
      </w:r>
    </w:p>
  </w:footnote>
  <w:footnote w:id="1">
    <w:p w14:paraId="5125DCDF" w14:textId="77777777" w:rsidR="00D242E6" w:rsidRPr="00CF05ED" w:rsidRDefault="00D242E6" w:rsidP="00D242E6">
      <w:pPr>
        <w:pStyle w:val="FootnoteText"/>
        <w:spacing w:line="240" w:lineRule="auto"/>
        <w:rPr>
          <w:rFonts w:cs="Arial"/>
          <w:sz w:val="18"/>
          <w:szCs w:val="18"/>
          <w:lang w:val="ru-RU"/>
        </w:rPr>
      </w:pPr>
      <w:r w:rsidRPr="00CF05ED">
        <w:rPr>
          <w:rStyle w:val="FootnoteReference"/>
          <w:rFonts w:cs="Arial"/>
          <w:sz w:val="18"/>
          <w:szCs w:val="18"/>
        </w:rPr>
        <w:footnoteRef/>
      </w:r>
      <w:r w:rsidRPr="00CF05ED">
        <w:rPr>
          <w:rFonts w:cs="Arial"/>
          <w:sz w:val="18"/>
          <w:szCs w:val="18"/>
          <w:lang w:val="ru-RU"/>
        </w:rPr>
        <w:t xml:space="preserve"> </w:t>
      </w:r>
      <w:r w:rsidRPr="00CF05ED">
        <w:rPr>
          <w:rFonts w:cs="Arial"/>
          <w:sz w:val="18"/>
          <w:szCs w:val="18"/>
          <w:lang w:val="ru-RU"/>
        </w:rPr>
        <w:tab/>
        <w:t>Цель 14.</w:t>
      </w:r>
      <w:r w:rsidRPr="00CF05ED">
        <w:rPr>
          <w:rFonts w:cs="Arial"/>
          <w:sz w:val="18"/>
          <w:szCs w:val="18"/>
        </w:rPr>
        <w:t>a</w:t>
      </w:r>
      <w:r w:rsidRPr="00CF05ED">
        <w:rPr>
          <w:rFonts w:cs="Arial"/>
          <w:sz w:val="18"/>
          <w:szCs w:val="18"/>
          <w:lang w:val="ru-RU"/>
        </w:rPr>
        <w:t xml:space="preserve">: </w:t>
      </w:r>
      <w:r w:rsidRPr="00CF05ED">
        <w:rPr>
          <w:rFonts w:cs="Arial"/>
          <w:color w:val="000000"/>
          <w:sz w:val="18"/>
          <w:szCs w:val="18"/>
          <w:lang w:val="ru-RU"/>
        </w:rPr>
        <w:t xml:space="preserve">«Увеличить объем научных знаний, расширить научные исследования и обеспечить передачу морских технологий, принимая во внимание </w:t>
      </w:r>
      <w:r w:rsidRPr="00CF05ED">
        <w:rPr>
          <w:rFonts w:cs="Arial"/>
          <w:i/>
          <w:iCs/>
          <w:color w:val="000000"/>
          <w:sz w:val="18"/>
          <w:szCs w:val="18"/>
          <w:lang w:val="ru-RU"/>
        </w:rPr>
        <w:t>Критерии и руководящие принципы в отношении передачи морской технологии</w:t>
      </w:r>
      <w:r w:rsidRPr="00CF05ED">
        <w:rPr>
          <w:rFonts w:cs="Arial"/>
          <w:color w:val="000000"/>
          <w:sz w:val="18"/>
          <w:szCs w:val="18"/>
          <w:lang w:val="ru-RU"/>
        </w:rPr>
        <w:t>, разработанные Межправительственной океанографической комиссией, с тем чтобы улучшить экологическое состояние океанской среды и повысить вклад морского биоразнообразия в развитие развивающихся стран, особенно малых островных развивающихся государств».</w:t>
      </w:r>
    </w:p>
  </w:footnote>
  <w:footnote w:id="2">
    <w:p w14:paraId="3497484E" w14:textId="77777777" w:rsidR="00D242E6" w:rsidRPr="00E24083" w:rsidRDefault="00D242E6" w:rsidP="00D242E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18"/>
          <w:lang w:val="ru-RU"/>
        </w:rPr>
      </w:pPr>
      <w:r w:rsidRPr="00E24083">
        <w:rPr>
          <w:rStyle w:val="FootnoteReference"/>
          <w:rFonts w:ascii="Arial" w:hAnsi="Arial" w:cs="Arial"/>
          <w:sz w:val="18"/>
          <w:szCs w:val="18"/>
        </w:rPr>
        <w:footnoteRef/>
      </w:r>
      <w:r w:rsidRPr="00E24083">
        <w:rPr>
          <w:rFonts w:ascii="Arial" w:hAnsi="Arial" w:cs="Arial"/>
          <w:color w:val="000000"/>
          <w:sz w:val="18"/>
          <w:szCs w:val="18"/>
          <w:lang w:val="ru-RU"/>
        </w:rPr>
        <w:tab/>
        <w:t>Статья 2.2 Устава МОК.</w:t>
      </w:r>
    </w:p>
  </w:footnote>
  <w:footnote w:id="3">
    <w:p w14:paraId="2ABDA464" w14:textId="77777777" w:rsidR="00D242E6" w:rsidRPr="00E24083" w:rsidRDefault="00D242E6" w:rsidP="00D242E6">
      <w:pPr>
        <w:spacing w:after="240"/>
        <w:ind w:left="567" w:hanging="567"/>
        <w:rPr>
          <w:rFonts w:ascii="Arial" w:hAnsi="Arial" w:cs="Arial"/>
          <w:sz w:val="18"/>
          <w:szCs w:val="18"/>
          <w:highlight w:val="lightGray"/>
          <w:lang w:val="ru-RU"/>
        </w:rPr>
      </w:pPr>
      <w:r w:rsidRPr="00E24083">
        <w:rPr>
          <w:rStyle w:val="FootnoteReference"/>
          <w:rFonts w:ascii="Arial" w:hAnsi="Arial" w:cs="Arial"/>
          <w:sz w:val="18"/>
          <w:szCs w:val="18"/>
        </w:rPr>
        <w:footnoteRef/>
      </w:r>
      <w:r w:rsidRPr="00E24083">
        <w:rPr>
          <w:rFonts w:ascii="Arial" w:hAnsi="Arial" w:cs="Arial"/>
          <w:sz w:val="18"/>
          <w:szCs w:val="18"/>
          <w:lang w:val="ru-RU"/>
        </w:rPr>
        <w:t xml:space="preserve"> </w:t>
      </w:r>
      <w:r w:rsidRPr="00E24083">
        <w:rPr>
          <w:rFonts w:ascii="Arial" w:hAnsi="Arial" w:cs="Arial"/>
          <w:sz w:val="18"/>
          <w:szCs w:val="18"/>
          <w:lang w:val="ru-RU"/>
        </w:rPr>
        <w:tab/>
        <w:t>Статья 11.3 Устава МОК.</w:t>
      </w:r>
    </w:p>
    <w:p w14:paraId="485851D1" w14:textId="77777777" w:rsidR="00D242E6" w:rsidRPr="00D7600F" w:rsidRDefault="00D242E6" w:rsidP="00D242E6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0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DF40" w14:textId="13E72A03" w:rsidR="00D242E6" w:rsidRPr="00796CB5" w:rsidRDefault="00171EEB">
    <w:pPr>
      <w:pStyle w:val="Header"/>
      <w:rPr>
        <w:rFonts w:ascii="Arial" w:hAnsi="Arial" w:cs="Arial"/>
        <w:sz w:val="20"/>
        <w:lang w:val="fr-FR"/>
      </w:rPr>
    </w:pPr>
    <w:r>
      <w:rPr>
        <w:rFonts w:ascii="Arial" w:hAnsi="Arial" w:cs="Arial"/>
        <w:sz w:val="20"/>
        <w:lang w:val="fr-FR"/>
      </w:rPr>
      <w:t xml:space="preserve">IOC </w:t>
    </w:r>
    <w:proofErr w:type="spellStart"/>
    <w:r w:rsidR="00D242E6" w:rsidRPr="00796CB5">
      <w:rPr>
        <w:rFonts w:ascii="Arial" w:hAnsi="Arial" w:cs="Arial"/>
        <w:sz w:val="20"/>
        <w:lang w:val="fr-FR"/>
      </w:rPr>
      <w:t>Resolution</w:t>
    </w:r>
    <w:proofErr w:type="spellEnd"/>
    <w:r w:rsidR="00D242E6" w:rsidRPr="00796CB5">
      <w:rPr>
        <w:rFonts w:ascii="Arial" w:hAnsi="Arial" w:cs="Arial"/>
        <w:sz w:val="20"/>
        <w:lang w:val="fr-FR"/>
      </w:rPr>
      <w:t xml:space="preserve"> </w:t>
    </w:r>
    <w:r w:rsidR="00D242E6">
      <w:rPr>
        <w:rFonts w:ascii="Arial" w:hAnsi="Arial" w:cs="Arial"/>
        <w:sz w:val="20"/>
        <w:lang w:val="fr-FR"/>
      </w:rPr>
      <w:t>A-31/2</w:t>
    </w:r>
    <w:r w:rsidR="00D242E6" w:rsidRPr="00796CB5">
      <w:rPr>
        <w:rFonts w:ascii="Arial" w:hAnsi="Arial" w:cs="Arial"/>
        <w:sz w:val="20"/>
        <w:lang w:val="fr-FR"/>
      </w:rPr>
      <w:t xml:space="preserve"> </w:t>
    </w:r>
  </w:p>
  <w:p w14:paraId="460549C1" w14:textId="0E937B77" w:rsidR="00D242E6" w:rsidRPr="00796CB5" w:rsidRDefault="00D242E6">
    <w:pPr>
      <w:pStyle w:val="Header"/>
      <w:rPr>
        <w:rStyle w:val="PageNumber"/>
        <w:rFonts w:ascii="Arial" w:hAnsi="Arial" w:cs="Arial"/>
        <w:sz w:val="20"/>
        <w:lang w:val="fr-FR"/>
      </w:rPr>
    </w:pPr>
    <w:proofErr w:type="gramStart"/>
    <w:r w:rsidRPr="00DB6248">
      <w:rPr>
        <w:rFonts w:ascii="Arial" w:hAnsi="Arial" w:cs="Arial"/>
        <w:sz w:val="20"/>
        <w:lang w:val="fr-FR"/>
      </w:rPr>
      <w:t>p</w:t>
    </w:r>
    <w:r>
      <w:rPr>
        <w:rFonts w:ascii="Arial" w:hAnsi="Arial" w:cs="Arial"/>
        <w:sz w:val="20"/>
        <w:lang w:val="fr-FR"/>
      </w:rPr>
      <w:t>age</w:t>
    </w:r>
    <w:proofErr w:type="gramEnd"/>
    <w:r w:rsidRPr="00796CB5">
      <w:rPr>
        <w:rFonts w:ascii="Arial" w:hAnsi="Arial" w:cs="Arial"/>
        <w:sz w:val="20"/>
        <w:lang w:val="fr-FR"/>
      </w:rPr>
      <w:t xml:space="preserve"> </w:t>
    </w:r>
    <w:r w:rsidRPr="00796CB5">
      <w:rPr>
        <w:rStyle w:val="PageNumber"/>
        <w:rFonts w:ascii="Arial" w:hAnsi="Arial" w:cs="Arial"/>
        <w:sz w:val="20"/>
      </w:rPr>
      <w:fldChar w:fldCharType="begin"/>
    </w:r>
    <w:r w:rsidRPr="00796CB5">
      <w:rPr>
        <w:rStyle w:val="PageNumber"/>
        <w:rFonts w:ascii="Arial" w:hAnsi="Arial" w:cs="Arial"/>
        <w:sz w:val="20"/>
        <w:lang w:val="fr-FR"/>
      </w:rPr>
      <w:instrText xml:space="preserve"> PAGE </w:instrText>
    </w:r>
    <w:r w:rsidRPr="00796CB5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  <w:lang w:val="fr-FR"/>
      </w:rPr>
      <w:t>18</w:t>
    </w:r>
    <w:r w:rsidRPr="00796CB5">
      <w:rPr>
        <w:rStyle w:val="PageNumber"/>
        <w:rFonts w:ascii="Arial" w:hAnsi="Arial" w:cs="Arial"/>
        <w:sz w:val="20"/>
      </w:rPr>
      <w:fldChar w:fldCharType="end"/>
    </w:r>
  </w:p>
  <w:p w14:paraId="53EB5118" w14:textId="77777777" w:rsidR="00D242E6" w:rsidRPr="00046D9D" w:rsidRDefault="00D242E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2757C" w14:textId="6592A112" w:rsidR="00D242E6" w:rsidRPr="00796CB5" w:rsidRDefault="00171EEB" w:rsidP="00171EEB">
    <w:pPr>
      <w:pStyle w:val="Header"/>
      <w:tabs>
        <w:tab w:val="clear" w:pos="4153"/>
        <w:tab w:val="clear" w:pos="8306"/>
        <w:tab w:val="center" w:pos="5954"/>
      </w:tabs>
      <w:ind w:firstLine="6946"/>
      <w:rPr>
        <w:rFonts w:ascii="Arial" w:hAnsi="Arial" w:cs="Arial"/>
        <w:sz w:val="20"/>
      </w:rPr>
    </w:pPr>
    <w:r>
      <w:rPr>
        <w:rFonts w:ascii="Arial" w:hAnsi="Arial" w:cs="Arial"/>
        <w:sz w:val="20"/>
        <w:lang w:val="fr-FR"/>
      </w:rPr>
      <w:t xml:space="preserve">IOC </w:t>
    </w:r>
    <w:proofErr w:type="spellStart"/>
    <w:r w:rsidR="00D242E6" w:rsidRPr="00796CB5">
      <w:rPr>
        <w:rFonts w:ascii="Arial" w:hAnsi="Arial" w:cs="Arial"/>
        <w:sz w:val="20"/>
        <w:lang w:val="fr-FR"/>
      </w:rPr>
      <w:t>Resolution</w:t>
    </w:r>
    <w:proofErr w:type="spellEnd"/>
    <w:r w:rsidR="00D242E6" w:rsidRPr="00796CB5">
      <w:rPr>
        <w:rFonts w:ascii="Arial" w:hAnsi="Arial" w:cs="Arial"/>
        <w:sz w:val="20"/>
        <w:lang w:val="fr-FR"/>
      </w:rPr>
      <w:t xml:space="preserve"> </w:t>
    </w:r>
    <w:r w:rsidR="00D242E6">
      <w:rPr>
        <w:rFonts w:ascii="Arial" w:hAnsi="Arial" w:cs="Arial"/>
        <w:sz w:val="20"/>
        <w:lang w:val="fr-FR"/>
      </w:rPr>
      <w:t>A-31/2</w:t>
    </w:r>
  </w:p>
  <w:p w14:paraId="11E202FF" w14:textId="0418363D" w:rsidR="00D242E6" w:rsidRPr="00796CB5" w:rsidRDefault="00D242E6" w:rsidP="00171EEB">
    <w:pPr>
      <w:pStyle w:val="Header"/>
      <w:tabs>
        <w:tab w:val="clear" w:pos="4153"/>
        <w:tab w:val="clear" w:pos="8306"/>
        <w:tab w:val="center" w:pos="5954"/>
      </w:tabs>
      <w:ind w:firstLine="6946"/>
      <w:rPr>
        <w:rStyle w:val="PageNumber"/>
        <w:rFonts w:ascii="Arial" w:hAnsi="Arial" w:cs="Arial"/>
        <w:sz w:val="20"/>
        <w:lang w:val="fr-FR"/>
      </w:rPr>
    </w:pPr>
    <w:proofErr w:type="gramStart"/>
    <w:r w:rsidRPr="00DB6248">
      <w:rPr>
        <w:rFonts w:ascii="Arial" w:hAnsi="Arial" w:cs="Arial"/>
        <w:sz w:val="20"/>
        <w:lang w:val="fr-FR"/>
      </w:rPr>
      <w:t>p</w:t>
    </w:r>
    <w:r>
      <w:rPr>
        <w:rFonts w:ascii="Arial" w:hAnsi="Arial" w:cs="Arial"/>
        <w:sz w:val="20"/>
        <w:lang w:val="fr-FR"/>
      </w:rPr>
      <w:t>age</w:t>
    </w:r>
    <w:proofErr w:type="gramEnd"/>
    <w:r>
      <w:rPr>
        <w:rFonts w:ascii="Arial" w:hAnsi="Arial" w:cs="Arial"/>
        <w:sz w:val="20"/>
        <w:lang w:val="fr-FR"/>
      </w:rPr>
      <w:t xml:space="preserve"> </w:t>
    </w:r>
    <w:r w:rsidRPr="00796CB5">
      <w:rPr>
        <w:rStyle w:val="PageNumber"/>
        <w:rFonts w:ascii="Arial" w:hAnsi="Arial" w:cs="Arial"/>
        <w:sz w:val="20"/>
      </w:rPr>
      <w:fldChar w:fldCharType="begin"/>
    </w:r>
    <w:r w:rsidRPr="00796CB5">
      <w:rPr>
        <w:rStyle w:val="PageNumber"/>
        <w:rFonts w:ascii="Arial" w:hAnsi="Arial" w:cs="Arial"/>
        <w:sz w:val="20"/>
        <w:lang w:val="fr-FR"/>
      </w:rPr>
      <w:instrText xml:space="preserve"> PAGE </w:instrText>
    </w:r>
    <w:r w:rsidRPr="00796CB5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  <w:lang w:val="fr-FR"/>
      </w:rPr>
      <w:t>19</w:t>
    </w:r>
    <w:r w:rsidRPr="00796CB5">
      <w:rPr>
        <w:rStyle w:val="PageNumber"/>
        <w:rFonts w:ascii="Arial" w:hAnsi="Arial" w:cs="Arial"/>
        <w:sz w:val="20"/>
      </w:rPr>
      <w:fldChar w:fldCharType="end"/>
    </w:r>
  </w:p>
  <w:p w14:paraId="2699A84F" w14:textId="77777777" w:rsidR="00D242E6" w:rsidRDefault="00D242E6" w:rsidP="00171EEB">
    <w:pPr>
      <w:pStyle w:val="Header"/>
      <w:tabs>
        <w:tab w:val="left" w:pos="5954"/>
      </w:tabs>
      <w:ind w:firstLine="6946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9FA86" w14:textId="62D14184" w:rsidR="00D242E6" w:rsidRPr="00DA49E9" w:rsidRDefault="00D242E6" w:rsidP="009172D6">
    <w:pPr>
      <w:pStyle w:val="Header"/>
      <w:pBdr>
        <w:bottom w:val="single" w:sz="4" w:space="1" w:color="auto"/>
      </w:pBdr>
      <w:tabs>
        <w:tab w:val="clear" w:pos="8306"/>
        <w:tab w:val="right" w:pos="9070"/>
      </w:tabs>
      <w:jc w:val="left"/>
      <w:rPr>
        <w:rFonts w:ascii="Arial" w:hAnsi="Arial" w:cs="Arial"/>
        <w:sz w:val="20"/>
        <w:lang w:val="ru-RU"/>
      </w:rPr>
    </w:pPr>
    <w:r w:rsidRPr="00DA49E9">
      <w:rPr>
        <w:rFonts w:ascii="Arial" w:hAnsi="Arial" w:cs="Arial"/>
        <w:sz w:val="20"/>
        <w:lang w:val="ru-RU"/>
      </w:rPr>
      <w:t>Межправительственная океанографическая комиссия</w:t>
    </w:r>
    <w:r w:rsidRPr="00DA49E9">
      <w:rPr>
        <w:rFonts w:ascii="Arial" w:hAnsi="Arial" w:cs="Arial"/>
        <w:sz w:val="20"/>
        <w:lang w:val="ru-RU"/>
      </w:rPr>
      <w:tab/>
    </w:r>
    <w:r w:rsidR="00171EEB">
      <w:rPr>
        <w:rFonts w:ascii="Arial" w:hAnsi="Arial" w:cs="Arial"/>
        <w:sz w:val="20"/>
        <w:lang w:val="fr-FR"/>
      </w:rPr>
      <w:t>IOC</w:t>
    </w:r>
    <w:r w:rsidR="00171EEB" w:rsidRPr="00171EEB">
      <w:rPr>
        <w:rFonts w:ascii="Arial" w:hAnsi="Arial" w:cs="Arial"/>
        <w:sz w:val="20"/>
        <w:lang w:val="ru-RU"/>
      </w:rPr>
      <w:t xml:space="preserve"> </w:t>
    </w:r>
    <w:proofErr w:type="spellStart"/>
    <w:r w:rsidRPr="00920D48">
      <w:rPr>
        <w:rFonts w:ascii="Arial" w:hAnsi="Arial" w:cs="Arial"/>
        <w:sz w:val="20"/>
        <w:lang w:val="fr-FR"/>
      </w:rPr>
      <w:t>Resolution</w:t>
    </w:r>
    <w:proofErr w:type="spellEnd"/>
    <w:r w:rsidRPr="00DA49E9">
      <w:rPr>
        <w:rFonts w:ascii="Arial" w:hAnsi="Arial" w:cs="Arial"/>
        <w:sz w:val="20"/>
        <w:lang w:val="ru-RU"/>
      </w:rPr>
      <w:t xml:space="preserve"> </w:t>
    </w:r>
    <w:r w:rsidRPr="00920D48">
      <w:rPr>
        <w:rFonts w:ascii="Arial" w:hAnsi="Arial" w:cs="Arial"/>
        <w:sz w:val="20"/>
        <w:lang w:val="fr-FR"/>
      </w:rPr>
      <w:t>A</w:t>
    </w:r>
    <w:r w:rsidRPr="00DA49E9">
      <w:rPr>
        <w:rFonts w:ascii="Arial" w:hAnsi="Arial" w:cs="Arial"/>
        <w:sz w:val="20"/>
        <w:lang w:val="ru-RU"/>
      </w:rPr>
      <w:t xml:space="preserve">-31/2 </w:t>
    </w:r>
  </w:p>
  <w:p w14:paraId="321CF1E9" w14:textId="43F9DC4B" w:rsidR="00D242E6" w:rsidRPr="00DA49E9" w:rsidRDefault="00D242E6" w:rsidP="00DA49E9">
    <w:pPr>
      <w:pStyle w:val="Header"/>
      <w:ind w:firstLine="6804"/>
      <w:rPr>
        <w:rFonts w:ascii="Arial" w:hAnsi="Arial" w:cs="Arial"/>
        <w:sz w:val="22"/>
      </w:rPr>
    </w:pPr>
    <w:r w:rsidRPr="00DA49E9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BEA8B84" wp14:editId="792B9DFF">
          <wp:simplePos x="0" y="0"/>
          <wp:positionH relativeFrom="column">
            <wp:posOffset>-109959</wp:posOffset>
          </wp:positionH>
          <wp:positionV relativeFrom="paragraph">
            <wp:posOffset>161290</wp:posOffset>
          </wp:positionV>
          <wp:extent cx="1578610" cy="1047115"/>
          <wp:effectExtent l="0" t="0" r="2540" b="635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9E9">
      <w:rPr>
        <w:rFonts w:ascii="Arial" w:hAnsi="Arial" w:cs="Arial"/>
        <w:noProof/>
        <w:sz w:val="22"/>
        <w:szCs w:val="22"/>
      </w:rPr>
      <w:t>Оригинал: английский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0D42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4252B"/>
    <w:multiLevelType w:val="multilevel"/>
    <w:tmpl w:val="8F5C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4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6617EA"/>
    <w:multiLevelType w:val="multilevel"/>
    <w:tmpl w:val="62549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0B4842"/>
    <w:multiLevelType w:val="multilevel"/>
    <w:tmpl w:val="67A2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13332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022F6"/>
    <w:multiLevelType w:val="hybridMultilevel"/>
    <w:tmpl w:val="78D644C0"/>
    <w:lvl w:ilvl="0" w:tplc="AECAF18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321C47"/>
    <w:multiLevelType w:val="multilevel"/>
    <w:tmpl w:val="1DF8FE98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71CA1"/>
    <w:multiLevelType w:val="hybridMultilevel"/>
    <w:tmpl w:val="F088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984"/>
    <w:multiLevelType w:val="hybridMultilevel"/>
    <w:tmpl w:val="106A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6FA"/>
    <w:multiLevelType w:val="multilevel"/>
    <w:tmpl w:val="C21636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FC3"/>
    <w:multiLevelType w:val="multilevel"/>
    <w:tmpl w:val="2618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F46F9"/>
    <w:multiLevelType w:val="hybridMultilevel"/>
    <w:tmpl w:val="3BA6C6E8"/>
    <w:lvl w:ilvl="0" w:tplc="580E9308">
      <w:start w:val="1"/>
      <w:numFmt w:val="lowerRoman"/>
      <w:lvlText w:val="(%1)"/>
      <w:lvlJc w:val="left"/>
      <w:pPr>
        <w:ind w:left="1260" w:hanging="9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575C"/>
    <w:multiLevelType w:val="multilevel"/>
    <w:tmpl w:val="2618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1B"/>
    <w:multiLevelType w:val="hybridMultilevel"/>
    <w:tmpl w:val="4A226C58"/>
    <w:lvl w:ilvl="0" w:tplc="B9ACB3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954"/>
    <w:multiLevelType w:val="hybridMultilevel"/>
    <w:tmpl w:val="166EE628"/>
    <w:lvl w:ilvl="0" w:tplc="486A7E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C5931"/>
    <w:multiLevelType w:val="multilevel"/>
    <w:tmpl w:val="FC584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A57C1"/>
    <w:multiLevelType w:val="hybridMultilevel"/>
    <w:tmpl w:val="C2026D46"/>
    <w:lvl w:ilvl="0" w:tplc="13FE71C0">
      <w:start w:val="1"/>
      <w:numFmt w:val="decimal"/>
      <w:pStyle w:val="num-paragraph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1C5E"/>
    <w:multiLevelType w:val="hybridMultilevel"/>
    <w:tmpl w:val="E3E69468"/>
    <w:lvl w:ilvl="0" w:tplc="03FC5C9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35D63"/>
    <w:multiLevelType w:val="hybridMultilevel"/>
    <w:tmpl w:val="4B9A9FE0"/>
    <w:lvl w:ilvl="0" w:tplc="F5B6C7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/>
        <w:color w:val="000000"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D7E7A"/>
    <w:multiLevelType w:val="hybridMultilevel"/>
    <w:tmpl w:val="6A68A52E"/>
    <w:lvl w:ilvl="0" w:tplc="30B02A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87F3C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9F4769"/>
    <w:multiLevelType w:val="multilevel"/>
    <w:tmpl w:val="77882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ED246FB"/>
    <w:multiLevelType w:val="hybridMultilevel"/>
    <w:tmpl w:val="0A0CE7DA"/>
    <w:lvl w:ilvl="0" w:tplc="0512CC66">
      <w:start w:val="1"/>
      <w:numFmt w:val="lowerRoman"/>
      <w:lvlText w:val="(%1)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3F9B5360"/>
    <w:multiLevelType w:val="multilevel"/>
    <w:tmpl w:val="1DF8FE98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A04F76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F76DB"/>
    <w:multiLevelType w:val="multilevel"/>
    <w:tmpl w:val="F65EF9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11E7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C441A"/>
    <w:multiLevelType w:val="hybridMultilevel"/>
    <w:tmpl w:val="10B0A01A"/>
    <w:lvl w:ilvl="0" w:tplc="9D94CE9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i/>
      </w:rPr>
    </w:lvl>
    <w:lvl w:ilvl="1" w:tplc="77602C2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73810"/>
    <w:multiLevelType w:val="hybridMultilevel"/>
    <w:tmpl w:val="0380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1307C"/>
    <w:multiLevelType w:val="hybridMultilevel"/>
    <w:tmpl w:val="800A9C98"/>
    <w:lvl w:ilvl="0" w:tplc="E5385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F7C0E"/>
    <w:multiLevelType w:val="singleLevel"/>
    <w:tmpl w:val="3C1C5386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b w:val="0"/>
        <w:i/>
      </w:rPr>
    </w:lvl>
  </w:abstractNum>
  <w:abstractNum w:abstractNumId="31" w15:restartNumberingAfterBreak="0">
    <w:nsid w:val="5C980B93"/>
    <w:multiLevelType w:val="multilevel"/>
    <w:tmpl w:val="922040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C0FDF"/>
    <w:multiLevelType w:val="hybridMultilevel"/>
    <w:tmpl w:val="8BEC62E8"/>
    <w:lvl w:ilvl="0" w:tplc="B44C7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4129"/>
    <w:multiLevelType w:val="multilevel"/>
    <w:tmpl w:val="973A2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4" w15:restartNumberingAfterBreak="0">
    <w:nsid w:val="682F256B"/>
    <w:multiLevelType w:val="hybridMultilevel"/>
    <w:tmpl w:val="4E86FCC2"/>
    <w:lvl w:ilvl="0" w:tplc="EEC8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93420"/>
    <w:multiLevelType w:val="hybridMultilevel"/>
    <w:tmpl w:val="287469CE"/>
    <w:lvl w:ilvl="0" w:tplc="6E9CD61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92B63"/>
    <w:multiLevelType w:val="hybridMultilevel"/>
    <w:tmpl w:val="7D78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A3A6D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0"/>
  </w:num>
  <w:num w:numId="3">
    <w:abstractNumId w:val="27"/>
  </w:num>
  <w:num w:numId="4">
    <w:abstractNumId w:val="23"/>
  </w:num>
  <w:num w:numId="5">
    <w:abstractNumId w:val="6"/>
  </w:num>
  <w:num w:numId="6">
    <w:abstractNumId w:val="3"/>
  </w:num>
  <w:num w:numId="7">
    <w:abstractNumId w:val="33"/>
  </w:num>
  <w:num w:numId="8">
    <w:abstractNumId w:val="10"/>
  </w:num>
  <w:num w:numId="9">
    <w:abstractNumId w:val="12"/>
  </w:num>
  <w:num w:numId="10">
    <w:abstractNumId w:val="35"/>
  </w:num>
  <w:num w:numId="11">
    <w:abstractNumId w:val="14"/>
  </w:num>
  <w:num w:numId="12">
    <w:abstractNumId w:val="11"/>
  </w:num>
  <w:num w:numId="13">
    <w:abstractNumId w:val="22"/>
  </w:num>
  <w:num w:numId="14">
    <w:abstractNumId w:val="13"/>
  </w:num>
  <w:num w:numId="15">
    <w:abstractNumId w:val="26"/>
  </w:num>
  <w:num w:numId="16">
    <w:abstractNumId w:val="20"/>
  </w:num>
  <w:num w:numId="17">
    <w:abstractNumId w:val="37"/>
  </w:num>
  <w:num w:numId="18">
    <w:abstractNumId w:val="0"/>
  </w:num>
  <w:num w:numId="19">
    <w:abstractNumId w:val="24"/>
  </w:num>
  <w:num w:numId="20">
    <w:abstractNumId w:val="4"/>
  </w:num>
  <w:num w:numId="21">
    <w:abstractNumId w:val="8"/>
  </w:num>
  <w:num w:numId="22">
    <w:abstractNumId w:val="34"/>
  </w:num>
  <w:num w:numId="23">
    <w:abstractNumId w:val="28"/>
  </w:num>
  <w:num w:numId="24">
    <w:abstractNumId w:val="29"/>
  </w:num>
  <w:num w:numId="25">
    <w:abstractNumId w:val="7"/>
  </w:num>
  <w:num w:numId="26">
    <w:abstractNumId w:val="16"/>
  </w:num>
  <w:num w:numId="27">
    <w:abstractNumId w:val="36"/>
  </w:num>
  <w:num w:numId="28">
    <w:abstractNumId w:val="17"/>
  </w:num>
  <w:num w:numId="29">
    <w:abstractNumId w:val="5"/>
  </w:num>
  <w:num w:numId="30">
    <w:abstractNumId w:val="1"/>
  </w:num>
  <w:num w:numId="31">
    <w:abstractNumId w:val="19"/>
  </w:num>
  <w:num w:numId="32">
    <w:abstractNumId w:val="9"/>
  </w:num>
  <w:num w:numId="33">
    <w:abstractNumId w:val="2"/>
  </w:num>
  <w:num w:numId="34">
    <w:abstractNumId w:val="15"/>
  </w:num>
  <w:num w:numId="35">
    <w:abstractNumId w:val="25"/>
  </w:num>
  <w:num w:numId="36">
    <w:abstractNumId w:val="21"/>
  </w:num>
  <w:num w:numId="37">
    <w:abstractNumId w:val="32"/>
  </w:num>
  <w:num w:numId="38">
    <w:abstractNumId w:val="3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90"/>
    <w:rsid w:val="00046D9D"/>
    <w:rsid w:val="000619EB"/>
    <w:rsid w:val="00062525"/>
    <w:rsid w:val="000708E2"/>
    <w:rsid w:val="00072477"/>
    <w:rsid w:val="00075EDD"/>
    <w:rsid w:val="000D46FF"/>
    <w:rsid w:val="00114C0C"/>
    <w:rsid w:val="0014042B"/>
    <w:rsid w:val="0014407E"/>
    <w:rsid w:val="00171EEB"/>
    <w:rsid w:val="001B7AB1"/>
    <w:rsid w:val="001F123F"/>
    <w:rsid w:val="002257ED"/>
    <w:rsid w:val="00255C7B"/>
    <w:rsid w:val="002714A5"/>
    <w:rsid w:val="00282E71"/>
    <w:rsid w:val="00291DFF"/>
    <w:rsid w:val="002C2B19"/>
    <w:rsid w:val="002D69AD"/>
    <w:rsid w:val="00336E82"/>
    <w:rsid w:val="003417D0"/>
    <w:rsid w:val="00375B17"/>
    <w:rsid w:val="003B60C2"/>
    <w:rsid w:val="003E2E2B"/>
    <w:rsid w:val="00450B29"/>
    <w:rsid w:val="00485839"/>
    <w:rsid w:val="005678E6"/>
    <w:rsid w:val="005B6417"/>
    <w:rsid w:val="005C2EEA"/>
    <w:rsid w:val="005D418D"/>
    <w:rsid w:val="005E3530"/>
    <w:rsid w:val="00600098"/>
    <w:rsid w:val="0063107B"/>
    <w:rsid w:val="00634861"/>
    <w:rsid w:val="00635C11"/>
    <w:rsid w:val="0067463A"/>
    <w:rsid w:val="006B1A94"/>
    <w:rsid w:val="006D5690"/>
    <w:rsid w:val="00736531"/>
    <w:rsid w:val="00737494"/>
    <w:rsid w:val="00790B86"/>
    <w:rsid w:val="00796CB5"/>
    <w:rsid w:val="007A195F"/>
    <w:rsid w:val="007B747B"/>
    <w:rsid w:val="007E75AB"/>
    <w:rsid w:val="00824CD4"/>
    <w:rsid w:val="00830E3E"/>
    <w:rsid w:val="008924EE"/>
    <w:rsid w:val="008A62D6"/>
    <w:rsid w:val="008C072B"/>
    <w:rsid w:val="008D29E6"/>
    <w:rsid w:val="008F6AC8"/>
    <w:rsid w:val="00912E21"/>
    <w:rsid w:val="009172D6"/>
    <w:rsid w:val="009175ED"/>
    <w:rsid w:val="00920D48"/>
    <w:rsid w:val="00932FD6"/>
    <w:rsid w:val="00961F7C"/>
    <w:rsid w:val="0099704B"/>
    <w:rsid w:val="009C3EFB"/>
    <w:rsid w:val="009D418D"/>
    <w:rsid w:val="009D7991"/>
    <w:rsid w:val="00A1468E"/>
    <w:rsid w:val="00A20A13"/>
    <w:rsid w:val="00A97E69"/>
    <w:rsid w:val="00AC0BEA"/>
    <w:rsid w:val="00AD4EB7"/>
    <w:rsid w:val="00B03124"/>
    <w:rsid w:val="00B14CB7"/>
    <w:rsid w:val="00B4765F"/>
    <w:rsid w:val="00B56A13"/>
    <w:rsid w:val="00B736A8"/>
    <w:rsid w:val="00B80A73"/>
    <w:rsid w:val="00BE32D8"/>
    <w:rsid w:val="00C560BA"/>
    <w:rsid w:val="00CA44B2"/>
    <w:rsid w:val="00CC693F"/>
    <w:rsid w:val="00CD4F4E"/>
    <w:rsid w:val="00CD643F"/>
    <w:rsid w:val="00CF7C92"/>
    <w:rsid w:val="00D242E6"/>
    <w:rsid w:val="00D3744A"/>
    <w:rsid w:val="00D94CFF"/>
    <w:rsid w:val="00D97EBF"/>
    <w:rsid w:val="00DA49E9"/>
    <w:rsid w:val="00DB5851"/>
    <w:rsid w:val="00DB6248"/>
    <w:rsid w:val="00E02542"/>
    <w:rsid w:val="00E52C18"/>
    <w:rsid w:val="00E54CF1"/>
    <w:rsid w:val="00E55538"/>
    <w:rsid w:val="00E72708"/>
    <w:rsid w:val="00E85A59"/>
    <w:rsid w:val="00EB0A3E"/>
    <w:rsid w:val="00ED5823"/>
    <w:rsid w:val="00EE5582"/>
    <w:rsid w:val="00EF2CD5"/>
    <w:rsid w:val="00EF7FE9"/>
    <w:rsid w:val="00F77E3E"/>
    <w:rsid w:val="00F81566"/>
    <w:rsid w:val="00FD4275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686E2F"/>
  <w15:chartTrackingRefBased/>
  <w15:docId w15:val="{83FC2602-EC98-425C-B655-8172AF05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09"/>
      </w:tabs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714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Marge"/>
    <w:link w:val="Heading3Char"/>
    <w:autoRedefine/>
    <w:qFormat/>
    <w:rsid w:val="00600098"/>
    <w:pPr>
      <w:keepNext/>
      <w:keepLines/>
      <w:widowControl w:val="0"/>
      <w:tabs>
        <w:tab w:val="clear" w:pos="709"/>
        <w:tab w:val="left" w:pos="567"/>
      </w:tabs>
      <w:adjustRightInd w:val="0"/>
      <w:snapToGrid w:val="0"/>
      <w:spacing w:after="240"/>
      <w:textAlignment w:val="baseline"/>
      <w:outlineLvl w:val="2"/>
    </w:pPr>
    <w:rPr>
      <w:rFonts w:ascii="Arial" w:eastAsia="Arial Unicode MS" w:hAnsi="Arial" w:cs="Arial"/>
      <w:b/>
      <w:bCs/>
      <w:noProof/>
      <w:color w:val="000000" w:themeColor="text1"/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">
    <w:name w:val="(b)"/>
    <w:basedOn w:val="Normal"/>
    <w:rsid w:val="00A20A13"/>
    <w:pPr>
      <w:tabs>
        <w:tab w:val="clear" w:pos="709"/>
        <w:tab w:val="left" w:pos="-737"/>
        <w:tab w:val="left" w:pos="1134"/>
      </w:tabs>
      <w:snapToGrid w:val="0"/>
      <w:spacing w:after="240"/>
      <w:ind w:left="1134" w:hanging="567"/>
    </w:pPr>
    <w:rPr>
      <w:snapToGrid w:val="0"/>
      <w:szCs w:val="24"/>
    </w:rPr>
  </w:style>
  <w:style w:type="paragraph" w:styleId="ListParagraph">
    <w:name w:val="List Paragraph"/>
    <w:basedOn w:val="Normal"/>
    <w:uiPriority w:val="34"/>
    <w:qFormat/>
    <w:rsid w:val="00A20A13"/>
    <w:pPr>
      <w:tabs>
        <w:tab w:val="clear" w:pos="709"/>
        <w:tab w:val="left" w:pos="567"/>
      </w:tabs>
      <w:snapToGrid w:val="0"/>
      <w:ind w:left="720"/>
      <w:contextualSpacing/>
      <w:jc w:val="left"/>
    </w:pPr>
    <w:rPr>
      <w:rFonts w:ascii="Arial" w:hAnsi="Arial"/>
      <w:snapToGrid w:val="0"/>
      <w:sz w:val="22"/>
      <w:szCs w:val="24"/>
    </w:rPr>
  </w:style>
  <w:style w:type="paragraph" w:styleId="BalloonText">
    <w:name w:val="Balloon Text"/>
    <w:basedOn w:val="Normal"/>
    <w:link w:val="BalloonTextChar"/>
    <w:rsid w:val="00AC0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0BE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rsid w:val="0063107B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63107B"/>
    <w:pPr>
      <w:tabs>
        <w:tab w:val="clear" w:pos="709"/>
      </w:tabs>
      <w:spacing w:before="100" w:beforeAutospacing="1" w:after="100" w:afterAutospacing="1"/>
      <w:jc w:val="left"/>
    </w:pPr>
    <w:rPr>
      <w:rFonts w:eastAsia="MS Mincho"/>
      <w:szCs w:val="24"/>
      <w:lang w:val="en-US" w:eastAsia="ja-JP"/>
    </w:rPr>
  </w:style>
  <w:style w:type="paragraph" w:customStyle="1" w:styleId="a">
    <w:name w:val="(a)"/>
    <w:basedOn w:val="Normal"/>
    <w:rsid w:val="009D7991"/>
    <w:pPr>
      <w:tabs>
        <w:tab w:val="clear" w:pos="709"/>
        <w:tab w:val="left" w:pos="-737"/>
        <w:tab w:val="left" w:pos="567"/>
      </w:tabs>
      <w:snapToGrid w:val="0"/>
      <w:spacing w:after="240"/>
      <w:ind w:left="567" w:hanging="567"/>
    </w:pPr>
    <w:rPr>
      <w:snapToGrid w:val="0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600098"/>
    <w:rPr>
      <w:rFonts w:ascii="Arial" w:eastAsia="Arial Unicode MS" w:hAnsi="Arial" w:cs="Arial"/>
      <w:b/>
      <w:bCs/>
      <w:noProof/>
      <w:color w:val="000000" w:themeColor="text1"/>
      <w:sz w:val="22"/>
      <w:szCs w:val="22"/>
      <w:lang w:val="en-GB" w:eastAsia="fr-FR"/>
    </w:rPr>
  </w:style>
  <w:style w:type="paragraph" w:customStyle="1" w:styleId="Marge">
    <w:name w:val="Marge"/>
    <w:basedOn w:val="Normal"/>
    <w:link w:val="MargeChar"/>
    <w:qFormat/>
    <w:rsid w:val="00600098"/>
    <w:pPr>
      <w:widowControl w:val="0"/>
      <w:tabs>
        <w:tab w:val="clear" w:pos="709"/>
        <w:tab w:val="left" w:pos="567"/>
      </w:tabs>
      <w:adjustRightInd w:val="0"/>
      <w:snapToGrid w:val="0"/>
      <w:spacing w:after="240" w:line="360" w:lineRule="atLeast"/>
      <w:textAlignment w:val="baseline"/>
    </w:pPr>
    <w:rPr>
      <w:rFonts w:ascii="Arial" w:hAnsi="Arial"/>
      <w:snapToGrid w:val="0"/>
      <w:sz w:val="22"/>
      <w:szCs w:val="24"/>
    </w:rPr>
  </w:style>
  <w:style w:type="character" w:styleId="FootnoteReference">
    <w:name w:val="footnote reference"/>
    <w:rsid w:val="006000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00098"/>
    <w:pPr>
      <w:widowControl w:val="0"/>
      <w:tabs>
        <w:tab w:val="clear" w:pos="709"/>
        <w:tab w:val="left" w:pos="567"/>
      </w:tabs>
      <w:adjustRightInd w:val="0"/>
      <w:snapToGrid w:val="0"/>
      <w:spacing w:line="360" w:lineRule="atLeast"/>
      <w:ind w:left="567" w:hanging="567"/>
      <w:textAlignment w:val="baseline"/>
    </w:pPr>
    <w:rPr>
      <w:rFonts w:ascii="Arial" w:hAnsi="Arial"/>
      <w:snapToGrid w:val="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00098"/>
    <w:rPr>
      <w:rFonts w:ascii="Arial" w:hAnsi="Arial"/>
      <w:snapToGrid w:val="0"/>
      <w:lang w:val="en-GB"/>
    </w:rPr>
  </w:style>
  <w:style w:type="character" w:customStyle="1" w:styleId="MargeChar">
    <w:name w:val="Marge Char"/>
    <w:link w:val="Marge"/>
    <w:rsid w:val="00600098"/>
    <w:rPr>
      <w:rFonts w:ascii="Arial" w:hAnsi="Arial"/>
      <w:snapToGrid w:val="0"/>
      <w:sz w:val="22"/>
      <w:szCs w:val="24"/>
      <w:lang w:val="en-GB"/>
    </w:rPr>
  </w:style>
  <w:style w:type="character" w:customStyle="1" w:styleId="HeaderChar">
    <w:name w:val="Header Char"/>
    <w:link w:val="Header"/>
    <w:uiPriority w:val="99"/>
    <w:rsid w:val="00600098"/>
    <w:rPr>
      <w:sz w:val="24"/>
      <w:lang w:val="en-GB"/>
    </w:rPr>
  </w:style>
  <w:style w:type="table" w:styleId="TableGrid">
    <w:name w:val="Table Grid"/>
    <w:basedOn w:val="TableNormal"/>
    <w:uiPriority w:val="39"/>
    <w:rsid w:val="006000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-paragraph">
    <w:name w:val="num-paragraph"/>
    <w:basedOn w:val="NormalWeb"/>
    <w:link w:val="num-paragraphChar"/>
    <w:qFormat/>
    <w:rsid w:val="00600098"/>
    <w:pPr>
      <w:numPr>
        <w:numId w:val="26"/>
      </w:numPr>
      <w:adjustRightInd w:val="0"/>
      <w:spacing w:before="0" w:beforeAutospacing="0" w:after="240" w:afterAutospacing="0"/>
      <w:ind w:left="1434" w:hanging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600098"/>
    <w:rPr>
      <w:rFonts w:eastAsia="MS Mincho"/>
      <w:sz w:val="24"/>
      <w:szCs w:val="24"/>
      <w:lang w:eastAsia="ja-JP"/>
    </w:rPr>
  </w:style>
  <w:style w:type="character" w:customStyle="1" w:styleId="num-paragraphChar">
    <w:name w:val="num-paragraph Char"/>
    <w:basedOn w:val="NormalWebChar"/>
    <w:link w:val="num-paragraph"/>
    <w:rsid w:val="00600098"/>
    <w:rPr>
      <w:rFonts w:ascii="Arial" w:eastAsia="MS Mincho" w:hAnsi="Arial" w:cs="Arial"/>
      <w:sz w:val="22"/>
      <w:szCs w:val="22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2714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36E82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28336" TargetMode="External"/><Relationship Id="rId13" Type="http://schemas.openxmlformats.org/officeDocument/2006/relationships/hyperlink" Target="https://unesdoc.unesco.org/ark:/48223/pf0000368029.locale=e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ceanexpert.org/document/28396" TargetMode="External"/><Relationship Id="rId12" Type="http://schemas.openxmlformats.org/officeDocument/2006/relationships/hyperlink" Target="https://unesdoc.unesco.org/ark:/48223/pf0000372666.locale=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eanexpert.org/document/2849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oceanexpert.org/document/2809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28297" TargetMode="External"/><Relationship Id="rId14" Type="http://schemas.openxmlformats.org/officeDocument/2006/relationships/hyperlink" Target="https://oceanexpert.org/document/28092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7021</Words>
  <Characters>50868</Characters>
  <Application>Microsoft Office Word</Application>
  <DocSecurity>0</DocSecurity>
  <Lines>423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ioc_temp</dc:creator>
  <cp:keywords/>
  <dc:description/>
  <cp:lastModifiedBy>Boned, Patrice</cp:lastModifiedBy>
  <cp:revision>6</cp:revision>
  <cp:lastPrinted>2021-10-20T12:44:00Z</cp:lastPrinted>
  <dcterms:created xsi:type="dcterms:W3CDTF">2021-10-19T15:34:00Z</dcterms:created>
  <dcterms:modified xsi:type="dcterms:W3CDTF">2021-10-20T12:45:00Z</dcterms:modified>
</cp:coreProperties>
</file>