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183CB" w14:textId="4B2A07F8" w:rsidR="00FA68D9" w:rsidRPr="0034704D" w:rsidRDefault="00FA68D9" w:rsidP="00313C6C">
      <w:pPr>
        <w:rPr>
          <w:rFonts w:ascii="Arial" w:hAnsi="Arial" w:cs="Arial"/>
          <w:sz w:val="22"/>
          <w:szCs w:val="22"/>
          <w:lang w:val="es-ES_tradnl"/>
        </w:rPr>
      </w:pPr>
    </w:p>
    <w:tbl>
      <w:tblPr>
        <w:tblStyle w:val="TableGrid"/>
        <w:tblW w:w="7650" w:type="dxa"/>
        <w:jc w:val="center"/>
        <w:tblLayout w:type="fixed"/>
        <w:tblCellMar>
          <w:left w:w="227" w:type="dxa"/>
          <w:right w:w="227" w:type="dxa"/>
        </w:tblCellMar>
        <w:tblLook w:val="04A0" w:firstRow="1" w:lastRow="0" w:firstColumn="1" w:lastColumn="0" w:noHBand="0" w:noVBand="1"/>
      </w:tblPr>
      <w:tblGrid>
        <w:gridCol w:w="7650"/>
      </w:tblGrid>
      <w:tr w:rsidR="00FA68D9" w:rsidRPr="0034704D" w14:paraId="1709CCC6" w14:textId="77777777" w:rsidTr="004E149F">
        <w:trPr>
          <w:trHeight w:val="5111"/>
          <w:jc w:val="center"/>
        </w:trPr>
        <w:tc>
          <w:tcPr>
            <w:tcW w:w="7650" w:type="dxa"/>
          </w:tcPr>
          <w:p w14:paraId="39262D90" w14:textId="77777777" w:rsidR="000F7FBD" w:rsidRPr="0034704D" w:rsidRDefault="000F7FBD" w:rsidP="004E149F">
            <w:pPr>
              <w:tabs>
                <w:tab w:val="clear" w:pos="567"/>
              </w:tabs>
              <w:snapToGrid/>
              <w:spacing w:before="120" w:after="240"/>
              <w:jc w:val="center"/>
              <w:rPr>
                <w:rFonts w:ascii="Arial" w:hAnsi="Arial" w:cs="Arial"/>
                <w:bCs/>
                <w:sz w:val="22"/>
                <w:szCs w:val="22"/>
                <w:u w:val="single"/>
                <w:lang w:val="es-ES_tradnl"/>
              </w:rPr>
            </w:pPr>
            <w:r w:rsidRPr="0034704D">
              <w:rPr>
                <w:rFonts w:ascii="Arial" w:hAnsi="Arial" w:cs="Arial"/>
                <w:sz w:val="22"/>
                <w:szCs w:val="22"/>
                <w:u w:val="single"/>
                <w:lang w:val="es-ES_tradnl"/>
              </w:rPr>
              <w:t>Resumen</w:t>
            </w:r>
          </w:p>
          <w:p w14:paraId="3390FB0C" w14:textId="78E2356E" w:rsidR="000F7FBD" w:rsidRPr="0034704D" w:rsidRDefault="000F7FBD" w:rsidP="000F7FBD">
            <w:pPr>
              <w:widowControl w:val="0"/>
              <w:shd w:val="clear" w:color="auto" w:fill="FFFFFF"/>
              <w:adjustRightInd w:val="0"/>
              <w:spacing w:after="240"/>
              <w:ind w:right="284"/>
              <w:jc w:val="both"/>
              <w:textAlignment w:val="baseline"/>
              <w:rPr>
                <w:rFonts w:ascii="Arial" w:eastAsia="Times New Roman" w:hAnsi="Arial" w:cs="Arial"/>
                <w:sz w:val="22"/>
                <w:szCs w:val="22"/>
                <w:lang w:val="es-ES_tradnl"/>
              </w:rPr>
            </w:pPr>
            <w:r w:rsidRPr="0034704D">
              <w:rPr>
                <w:rFonts w:ascii="Arial" w:hAnsi="Arial" w:cs="Arial"/>
                <w:sz w:val="22"/>
                <w:szCs w:val="22"/>
                <w:lang w:val="es-ES_tradnl"/>
              </w:rPr>
              <w:t>En e</w:t>
            </w:r>
            <w:r w:rsidR="003857DE" w:rsidRPr="0034704D">
              <w:rPr>
                <w:rFonts w:ascii="Arial" w:hAnsi="Arial" w:cs="Arial"/>
                <w:sz w:val="22"/>
                <w:szCs w:val="22"/>
                <w:lang w:val="es-ES_tradnl"/>
              </w:rPr>
              <w:t>l presen</w:t>
            </w:r>
            <w:r w:rsidRPr="0034704D">
              <w:rPr>
                <w:rFonts w:ascii="Arial" w:hAnsi="Arial" w:cs="Arial"/>
                <w:sz w:val="22"/>
                <w:szCs w:val="22"/>
                <w:lang w:val="es-ES_tradnl"/>
              </w:rPr>
              <w:t xml:space="preserve">te documento se </w:t>
            </w:r>
            <w:r w:rsidR="003857DE" w:rsidRPr="0034704D">
              <w:rPr>
                <w:rFonts w:ascii="Arial" w:hAnsi="Arial" w:cs="Arial"/>
                <w:sz w:val="22"/>
                <w:szCs w:val="22"/>
                <w:lang w:val="es-ES_tradnl"/>
              </w:rPr>
              <w:t>detall</w:t>
            </w:r>
            <w:r w:rsidRPr="0034704D">
              <w:rPr>
                <w:rFonts w:ascii="Arial" w:hAnsi="Arial" w:cs="Arial"/>
                <w:sz w:val="22"/>
                <w:szCs w:val="22"/>
                <w:lang w:val="es-ES_tradnl"/>
              </w:rPr>
              <w:t xml:space="preserve">an los trabajos que condujeron al proyecto de decisión </w:t>
            </w:r>
            <w:r w:rsidR="003857DE" w:rsidRPr="0034704D">
              <w:rPr>
                <w:rFonts w:ascii="Arial" w:hAnsi="Arial" w:cs="Arial"/>
                <w:sz w:val="22"/>
                <w:szCs w:val="22"/>
                <w:lang w:val="es-ES_tradnl"/>
              </w:rPr>
              <w:t>en el que se propone</w:t>
            </w:r>
            <w:r w:rsidRPr="0034704D">
              <w:rPr>
                <w:rFonts w:ascii="Arial" w:hAnsi="Arial" w:cs="Arial"/>
                <w:sz w:val="22"/>
                <w:szCs w:val="22"/>
                <w:lang w:val="es-ES_tradnl"/>
              </w:rPr>
              <w:t xml:space="preserve"> revisar el mandato del Órgano Consultivo de Expertos sobre el Derecho del Mar (</w:t>
            </w:r>
            <w:r w:rsidR="00B96E48" w:rsidRPr="0034704D">
              <w:rPr>
                <w:rFonts w:ascii="Arial" w:hAnsi="Arial" w:cs="Arial"/>
                <w:sz w:val="22"/>
                <w:szCs w:val="22"/>
                <w:lang w:val="es-ES_tradnl"/>
              </w:rPr>
              <w:t>COI/ABE</w:t>
            </w:r>
            <w:r w:rsidR="004E149F" w:rsidRPr="0034704D">
              <w:rPr>
                <w:rFonts w:ascii="Arial" w:hAnsi="Arial" w:cs="Arial"/>
                <w:sz w:val="22"/>
                <w:szCs w:val="22"/>
                <w:lang w:val="es-ES_tradnl"/>
              </w:rPr>
              <w:noBreakHyphen/>
            </w:r>
            <w:r w:rsidR="00B96E48" w:rsidRPr="0034704D">
              <w:rPr>
                <w:rFonts w:ascii="Arial" w:hAnsi="Arial" w:cs="Arial"/>
                <w:sz w:val="22"/>
                <w:szCs w:val="22"/>
                <w:lang w:val="es-ES_tradnl"/>
              </w:rPr>
              <w:t>LOS</w:t>
            </w:r>
            <w:r w:rsidRPr="0034704D">
              <w:rPr>
                <w:rFonts w:ascii="Arial" w:hAnsi="Arial" w:cs="Arial"/>
                <w:sz w:val="22"/>
                <w:szCs w:val="22"/>
                <w:lang w:val="es-ES_tradnl"/>
              </w:rPr>
              <w:t xml:space="preserve">) de la Comisión Oceanográfica Intergubernamental (COI) y volver a constituir este órgano para impulsar la labor de la COI </w:t>
            </w:r>
            <w:r w:rsidR="008408D0" w:rsidRPr="0034704D">
              <w:rPr>
                <w:rFonts w:ascii="Arial" w:hAnsi="Arial" w:cs="Arial"/>
                <w:sz w:val="22"/>
                <w:szCs w:val="22"/>
                <w:lang w:val="es-ES_tradnl"/>
              </w:rPr>
              <w:t>encaminada</w:t>
            </w:r>
            <w:r w:rsidRPr="0034704D">
              <w:rPr>
                <w:rFonts w:ascii="Arial" w:hAnsi="Arial" w:cs="Arial"/>
                <w:sz w:val="22"/>
                <w:szCs w:val="22"/>
                <w:lang w:val="es-ES_tradnl"/>
              </w:rPr>
              <w:t xml:space="preserve"> a crear un marco de cooperación, </w:t>
            </w:r>
            <w:r w:rsidR="003857DE" w:rsidRPr="0034704D">
              <w:rPr>
                <w:rFonts w:ascii="Arial" w:hAnsi="Arial" w:cs="Arial"/>
                <w:sz w:val="22"/>
                <w:szCs w:val="22"/>
                <w:lang w:val="es-ES_tradnl"/>
              </w:rPr>
              <w:t>en el contexto</w:t>
            </w:r>
            <w:r w:rsidRPr="0034704D">
              <w:rPr>
                <w:rFonts w:ascii="Arial" w:hAnsi="Arial" w:cs="Arial"/>
                <w:sz w:val="22"/>
                <w:szCs w:val="22"/>
                <w:lang w:val="es-ES_tradnl"/>
              </w:rPr>
              <w:t xml:space="preserve"> de la Convención de las Naciones Unidas sobre el Derecho del Mar (CNUDM), para la recopilación y el intercambio de </w:t>
            </w:r>
            <w:r w:rsidR="008408D0" w:rsidRPr="0034704D">
              <w:rPr>
                <w:rFonts w:ascii="Arial" w:hAnsi="Arial" w:cs="Arial"/>
                <w:sz w:val="22"/>
                <w:szCs w:val="22"/>
                <w:lang w:val="es-ES_tradnl"/>
              </w:rPr>
              <w:t xml:space="preserve">datos procedentes de las </w:t>
            </w:r>
            <w:r w:rsidRPr="0034704D">
              <w:rPr>
                <w:rFonts w:ascii="Arial" w:hAnsi="Arial" w:cs="Arial"/>
                <w:sz w:val="22"/>
                <w:szCs w:val="22"/>
                <w:lang w:val="es-ES_tradnl"/>
              </w:rPr>
              <w:t>observaci</w:t>
            </w:r>
            <w:r w:rsidR="008408D0" w:rsidRPr="0034704D">
              <w:rPr>
                <w:rFonts w:ascii="Arial" w:hAnsi="Arial" w:cs="Arial"/>
                <w:sz w:val="22"/>
                <w:szCs w:val="22"/>
                <w:lang w:val="es-ES_tradnl"/>
              </w:rPr>
              <w:t>ones oceánicas permanentes</w:t>
            </w:r>
            <w:r w:rsidRPr="0034704D">
              <w:rPr>
                <w:rFonts w:ascii="Arial" w:hAnsi="Arial" w:cs="Arial"/>
                <w:sz w:val="22"/>
                <w:szCs w:val="22"/>
                <w:lang w:val="es-ES_tradnl"/>
              </w:rPr>
              <w:t xml:space="preserve"> en las zonas económicas exclusivas (ZEE) de los Estados ribereños.</w:t>
            </w:r>
          </w:p>
          <w:p w14:paraId="32208CDF" w14:textId="0CC4ABC2" w:rsidR="000F7FBD" w:rsidRPr="0034704D" w:rsidRDefault="000F7FBD" w:rsidP="000F7FBD">
            <w:pPr>
              <w:widowControl w:val="0"/>
              <w:shd w:val="clear" w:color="auto" w:fill="FFFFFF"/>
              <w:adjustRightInd w:val="0"/>
              <w:spacing w:after="240"/>
              <w:ind w:right="284"/>
              <w:jc w:val="both"/>
              <w:textAlignment w:val="baseline"/>
              <w:rPr>
                <w:rFonts w:ascii="Arial" w:eastAsia="Times New Roman" w:hAnsi="Arial" w:cs="Arial"/>
                <w:sz w:val="22"/>
                <w:szCs w:val="22"/>
                <w:lang w:val="es-ES_tradnl"/>
              </w:rPr>
            </w:pPr>
            <w:r w:rsidRPr="0034704D">
              <w:rPr>
                <w:rFonts w:ascii="Arial" w:hAnsi="Arial" w:cs="Arial"/>
                <w:sz w:val="22"/>
                <w:szCs w:val="22"/>
                <w:u w:val="single"/>
                <w:lang w:val="es-ES_tradnl"/>
              </w:rPr>
              <w:t>Repercusiones financieras</w:t>
            </w:r>
            <w:r w:rsidRPr="0034704D">
              <w:rPr>
                <w:rFonts w:ascii="Arial" w:hAnsi="Arial" w:cs="Arial"/>
                <w:sz w:val="22"/>
                <w:szCs w:val="22"/>
                <w:lang w:val="es-ES_tradnl"/>
              </w:rPr>
              <w:t>: la COI deberá llevar a cabo el proceso de consulta.</w:t>
            </w:r>
          </w:p>
          <w:p w14:paraId="6C050125" w14:textId="684536B4" w:rsidR="00FA68D9" w:rsidRPr="0034704D" w:rsidRDefault="000F7FBD" w:rsidP="000F7FBD">
            <w:pPr>
              <w:tabs>
                <w:tab w:val="clear" w:pos="567"/>
              </w:tabs>
              <w:snapToGrid/>
              <w:spacing w:after="120"/>
              <w:jc w:val="both"/>
              <w:rPr>
                <w:rFonts w:ascii="Arial" w:eastAsia="Calibri" w:hAnsi="Arial" w:cs="Arial"/>
                <w:bCs/>
                <w:sz w:val="22"/>
                <w:szCs w:val="22"/>
                <w:u w:val="single"/>
                <w:lang w:val="es-ES_tradnl"/>
              </w:rPr>
            </w:pPr>
            <w:r w:rsidRPr="0034704D">
              <w:rPr>
                <w:rFonts w:ascii="Arial" w:hAnsi="Arial" w:cs="Arial"/>
                <w:sz w:val="22"/>
                <w:szCs w:val="22"/>
                <w:u w:val="single"/>
                <w:lang w:val="es-ES_tradnl"/>
              </w:rPr>
              <w:t>Decisión propuesta</w:t>
            </w:r>
            <w:r w:rsidRPr="0034704D">
              <w:rPr>
                <w:rFonts w:ascii="Arial" w:hAnsi="Arial" w:cs="Arial"/>
                <w:sz w:val="22"/>
                <w:szCs w:val="22"/>
                <w:lang w:val="es-ES_tradnl"/>
              </w:rPr>
              <w:t xml:space="preserve">: se invita al Consejo Ejecutivo a que examine el proyecto de decisión EC-55/3.4 </w:t>
            </w:r>
            <w:r w:rsidR="008408D0" w:rsidRPr="0034704D">
              <w:rPr>
                <w:rFonts w:ascii="Arial" w:hAnsi="Arial" w:cs="Arial"/>
                <w:sz w:val="22"/>
                <w:szCs w:val="22"/>
                <w:lang w:val="es-ES_tradnl"/>
              </w:rPr>
              <w:t xml:space="preserve">que figura </w:t>
            </w:r>
            <w:r w:rsidRPr="0034704D">
              <w:rPr>
                <w:rFonts w:ascii="Arial" w:hAnsi="Arial" w:cs="Arial"/>
                <w:sz w:val="22"/>
                <w:szCs w:val="22"/>
                <w:lang w:val="es-ES_tradnl"/>
              </w:rPr>
              <w:t>en el documento de decisión provisional (IOC/EC-55/AP).</w:t>
            </w:r>
          </w:p>
        </w:tc>
      </w:tr>
    </w:tbl>
    <w:p w14:paraId="69408A5B" w14:textId="0492D87A" w:rsidR="00D91E2D" w:rsidRPr="0034704D" w:rsidRDefault="00FA68D9" w:rsidP="00E86920">
      <w:pPr>
        <w:tabs>
          <w:tab w:val="clear" w:pos="567"/>
        </w:tabs>
        <w:snapToGrid/>
        <w:rPr>
          <w:rFonts w:ascii="Arial" w:eastAsia="Times New Roman" w:hAnsi="Arial" w:cs="Arial"/>
          <w:sz w:val="22"/>
          <w:szCs w:val="22"/>
          <w:lang w:val="es-ES_tradnl" w:eastAsia="en-US"/>
        </w:rPr>
      </w:pPr>
      <w:r w:rsidRPr="0034704D">
        <w:rPr>
          <w:rFonts w:ascii="Arial" w:hAnsi="Arial" w:cs="Arial"/>
          <w:b/>
          <w:bCs/>
          <w:sz w:val="22"/>
          <w:szCs w:val="22"/>
          <w:lang w:val="es-ES_tradnl"/>
        </w:rPr>
        <w:br w:type="page"/>
      </w:r>
    </w:p>
    <w:p w14:paraId="59FDD4BB" w14:textId="2AA9AC92" w:rsidR="006A1417" w:rsidRPr="0034704D" w:rsidRDefault="00124AE1" w:rsidP="004E149F">
      <w:pPr>
        <w:pStyle w:val="Style2"/>
        <w:numPr>
          <w:ilvl w:val="0"/>
          <w:numId w:val="23"/>
        </w:numPr>
        <w:tabs>
          <w:tab w:val="left" w:pos="567"/>
        </w:tabs>
        <w:snapToGrid w:val="0"/>
        <w:ind w:left="0" w:firstLine="0"/>
        <w:rPr>
          <w:rFonts w:eastAsia="Arial" w:cs="Arial"/>
          <w:lang w:val="es-ES_tradnl"/>
        </w:rPr>
      </w:pPr>
      <w:r w:rsidRPr="0034704D">
        <w:rPr>
          <w:rFonts w:cs="Arial"/>
          <w:lang w:val="es-ES_tradnl"/>
        </w:rPr>
        <w:lastRenderedPageBreak/>
        <w:t xml:space="preserve">Teniendo en cuenta la función decisiva que desempeña el océano en el clima, nuestra capacidad </w:t>
      </w:r>
      <w:r w:rsidR="00333DD2" w:rsidRPr="0034704D">
        <w:rPr>
          <w:rFonts w:cs="Arial"/>
          <w:lang w:val="es-ES_tradnl"/>
        </w:rPr>
        <w:t>para mitigar el cambio climático</w:t>
      </w:r>
      <w:r w:rsidRPr="0034704D">
        <w:rPr>
          <w:rFonts w:cs="Arial"/>
          <w:lang w:val="es-ES_tradnl"/>
        </w:rPr>
        <w:t xml:space="preserve">, </w:t>
      </w:r>
      <w:r w:rsidR="00333DD2" w:rsidRPr="0034704D">
        <w:rPr>
          <w:rFonts w:cs="Arial"/>
          <w:lang w:val="es-ES_tradnl"/>
        </w:rPr>
        <w:t>adaptarnos a él</w:t>
      </w:r>
      <w:r w:rsidRPr="0034704D">
        <w:rPr>
          <w:rFonts w:cs="Arial"/>
          <w:lang w:val="es-ES_tradnl"/>
        </w:rPr>
        <w:t xml:space="preserve"> y </w:t>
      </w:r>
      <w:r w:rsidR="00333DD2" w:rsidRPr="0034704D">
        <w:rPr>
          <w:rFonts w:cs="Arial"/>
          <w:lang w:val="es-ES_tradnl"/>
        </w:rPr>
        <w:t>construir</w:t>
      </w:r>
      <w:r w:rsidRPr="0034704D">
        <w:rPr>
          <w:rFonts w:cs="Arial"/>
          <w:lang w:val="es-ES_tradnl"/>
        </w:rPr>
        <w:t xml:space="preserve"> comunidades y economías sostenibles dependerá en parte de la información </w:t>
      </w:r>
      <w:r w:rsidR="00333DD2" w:rsidRPr="0034704D">
        <w:rPr>
          <w:rFonts w:cs="Arial"/>
          <w:lang w:val="es-ES_tradnl"/>
        </w:rPr>
        <w:t xml:space="preserve">que tengamos </w:t>
      </w:r>
      <w:r w:rsidRPr="0034704D">
        <w:rPr>
          <w:rFonts w:cs="Arial"/>
          <w:lang w:val="es-ES_tradnl"/>
        </w:rPr>
        <w:t>sobre el océano. El sexto informe del Grupo Intergubernamental de Expertos sobre el Cambio Climático (IPCC), publicado en 2021</w:t>
      </w:r>
      <w:r w:rsidR="00333DD2" w:rsidRPr="0034704D">
        <w:rPr>
          <w:rFonts w:cs="Arial"/>
          <w:lang w:val="es-ES_tradnl"/>
        </w:rPr>
        <w:t>,</w:t>
      </w:r>
      <w:r w:rsidRPr="0034704D">
        <w:rPr>
          <w:rFonts w:cs="Arial"/>
          <w:lang w:val="es-ES_tradnl"/>
        </w:rPr>
        <w:t xml:space="preserve"> </w:t>
      </w:r>
      <w:r w:rsidRPr="0034704D">
        <w:rPr>
          <w:rFonts w:cs="Arial"/>
          <w:i/>
          <w:lang w:val="es-ES_tradnl"/>
        </w:rPr>
        <w:t>Climate Change 2021: The Physical Science Basis,</w:t>
      </w:r>
      <w:r w:rsidRPr="0034704D">
        <w:rPr>
          <w:rFonts w:cs="Arial"/>
          <w:lang w:val="es-ES_tradnl"/>
        </w:rPr>
        <w:t xml:space="preserve"> se ocupa de la comprensión física más reciente del sistema climático y del cambio climático, re</w:t>
      </w:r>
      <w:r w:rsidR="00333DD2" w:rsidRPr="0034704D">
        <w:rPr>
          <w:rFonts w:cs="Arial"/>
          <w:lang w:val="es-ES_tradnl"/>
        </w:rPr>
        <w:t>copila</w:t>
      </w:r>
      <w:r w:rsidRPr="0034704D">
        <w:rPr>
          <w:rFonts w:cs="Arial"/>
          <w:lang w:val="es-ES_tradnl"/>
        </w:rPr>
        <w:t xml:space="preserve"> los últimos avances en materia de climatología y combina múltiples fuentes de datos procedentes del paleoclima, las observaciones, la comprensión de los procesos y las simulaciones climáticas mundiales y regionales. En el informe se exponen los retos a los que se enfrentan los Estados en términos contundentes. Algunos de los efectos más impactantes del cambio climático ocupan ahora un lugar central en el diálogo internacional, a medida que empezamos a experimentar fenómenos climáticos con mayor frecuencia.</w:t>
      </w:r>
    </w:p>
    <w:p w14:paraId="5B2F454C" w14:textId="79036F06" w:rsidR="006A1417" w:rsidRPr="0034704D" w:rsidRDefault="00124AE1" w:rsidP="004E149F">
      <w:pPr>
        <w:pStyle w:val="Style2"/>
        <w:numPr>
          <w:ilvl w:val="0"/>
          <w:numId w:val="23"/>
        </w:numPr>
        <w:tabs>
          <w:tab w:val="left" w:pos="567"/>
        </w:tabs>
        <w:snapToGrid w:val="0"/>
        <w:ind w:left="0" w:firstLine="0"/>
        <w:rPr>
          <w:rFonts w:eastAsia="Arial" w:cs="Arial"/>
          <w:lang w:val="es-ES_tradnl"/>
        </w:rPr>
      </w:pPr>
      <w:r w:rsidRPr="0034704D">
        <w:rPr>
          <w:rFonts w:cs="Arial"/>
          <w:lang w:val="es-ES_tradnl"/>
        </w:rPr>
        <w:t xml:space="preserve">Todavía </w:t>
      </w:r>
      <w:r w:rsidR="00E4379F" w:rsidRPr="0034704D">
        <w:rPr>
          <w:rFonts w:cs="Arial"/>
          <w:lang w:val="es-ES_tradnl"/>
        </w:rPr>
        <w:t>es posible</w:t>
      </w:r>
      <w:r w:rsidRPr="0034704D">
        <w:rPr>
          <w:rFonts w:cs="Arial"/>
          <w:lang w:val="es-ES_tradnl"/>
        </w:rPr>
        <w:t xml:space="preserve"> reducir el calentamiento futuro </w:t>
      </w:r>
      <w:r w:rsidR="00E4379F" w:rsidRPr="0034704D">
        <w:rPr>
          <w:rFonts w:cs="Arial"/>
          <w:lang w:val="es-ES_tradnl"/>
        </w:rPr>
        <w:t>y lograr</w:t>
      </w:r>
      <w:r w:rsidRPr="0034704D">
        <w:rPr>
          <w:rFonts w:cs="Arial"/>
          <w:lang w:val="es-ES_tradnl"/>
        </w:rPr>
        <w:t xml:space="preserve"> que nuestras sociedades sean menos vulnerables a los cambios cuando estos se produzcan. </w:t>
      </w:r>
      <w:r w:rsidR="00E4379F" w:rsidRPr="0034704D">
        <w:rPr>
          <w:rFonts w:cs="Arial"/>
          <w:lang w:val="es-ES_tradnl"/>
        </w:rPr>
        <w:t>Resulta fundamental contar con</w:t>
      </w:r>
      <w:r w:rsidRPr="0034704D">
        <w:rPr>
          <w:rFonts w:cs="Arial"/>
          <w:lang w:val="es-ES_tradnl"/>
        </w:rPr>
        <w:t xml:space="preserve"> información oceanográfica cuantitativa y adaptada a los objetivos para guiar las estrategias de adaptación basadas en la ciencia, a fin de minimizar los costes económicos y sociales asociados a los cambios futuros, capacitar a las comunidades para autoadaptarse y orientar el desarrollo económico sostenible a largo plazo. La mejora de la información sobre el océano </w:t>
      </w:r>
      <w:r w:rsidR="009C2563" w:rsidRPr="0034704D">
        <w:rPr>
          <w:rFonts w:cs="Arial"/>
          <w:lang w:val="es-ES_tradnl"/>
        </w:rPr>
        <w:t xml:space="preserve">no solo </w:t>
      </w:r>
      <w:r w:rsidRPr="0034704D">
        <w:rPr>
          <w:rFonts w:cs="Arial"/>
          <w:lang w:val="es-ES_tradnl"/>
        </w:rPr>
        <w:t xml:space="preserve">beneficiará a las naciones </w:t>
      </w:r>
      <w:r w:rsidR="009C2563" w:rsidRPr="0034704D">
        <w:rPr>
          <w:rFonts w:cs="Arial"/>
          <w:lang w:val="es-ES_tradnl"/>
        </w:rPr>
        <w:t>costeras, sino</w:t>
      </w:r>
      <w:r w:rsidRPr="0034704D">
        <w:rPr>
          <w:rFonts w:cs="Arial"/>
          <w:lang w:val="es-ES_tradnl"/>
        </w:rPr>
        <w:t xml:space="preserve"> también a todas las naciones, gracias a evaluaciones y predicciones más precisas.</w:t>
      </w:r>
    </w:p>
    <w:p w14:paraId="093E34F9" w14:textId="25085CE5" w:rsidR="006A1417" w:rsidRPr="0034704D" w:rsidRDefault="000C4710" w:rsidP="004E149F">
      <w:pPr>
        <w:pStyle w:val="Style2"/>
        <w:numPr>
          <w:ilvl w:val="0"/>
          <w:numId w:val="23"/>
        </w:numPr>
        <w:tabs>
          <w:tab w:val="left" w:pos="567"/>
        </w:tabs>
        <w:snapToGrid w:val="0"/>
        <w:ind w:left="0" w:firstLine="0"/>
        <w:rPr>
          <w:rFonts w:cs="Arial"/>
          <w:lang w:val="es-ES_tradnl"/>
        </w:rPr>
      </w:pPr>
      <w:r w:rsidRPr="0034704D">
        <w:rPr>
          <w:rFonts w:cs="Arial"/>
          <w:lang w:val="es-ES_tradnl"/>
        </w:rPr>
        <w:t>Desde hace</w:t>
      </w:r>
      <w:r w:rsidR="00124AE1" w:rsidRPr="0034704D">
        <w:rPr>
          <w:rFonts w:cs="Arial"/>
          <w:lang w:val="es-ES_tradnl"/>
        </w:rPr>
        <w:t xml:space="preserve"> varios años, la comunidad científica que lleva a cabo observaciones oceánicas permanentes en el marco del Sistema Mundial de Observación del Océano (GOOS) ha puesto de manifiesto una serie de problemas relacionados con la realización de investigaciones en </w:t>
      </w:r>
      <w:r w:rsidRPr="0034704D">
        <w:rPr>
          <w:rFonts w:cs="Arial"/>
          <w:lang w:val="es-ES_tradnl"/>
        </w:rPr>
        <w:t xml:space="preserve">las </w:t>
      </w:r>
      <w:r w:rsidR="00124AE1" w:rsidRPr="0034704D">
        <w:rPr>
          <w:rFonts w:cs="Arial"/>
          <w:lang w:val="es-ES_tradnl"/>
        </w:rPr>
        <w:t>zonas sujetas a</w:t>
      </w:r>
      <w:r w:rsidRPr="0034704D">
        <w:rPr>
          <w:rFonts w:cs="Arial"/>
          <w:lang w:val="es-ES_tradnl"/>
        </w:rPr>
        <w:t xml:space="preserve"> la</w:t>
      </w:r>
      <w:r w:rsidR="00124AE1" w:rsidRPr="0034704D">
        <w:rPr>
          <w:rFonts w:cs="Arial"/>
          <w:lang w:val="es-ES_tradnl"/>
        </w:rPr>
        <w:t xml:space="preserve"> jurisdicción nacional, en particular en zonas objeto de controversia, y con la </w:t>
      </w:r>
      <w:r w:rsidR="003F1381" w:rsidRPr="0034704D">
        <w:rPr>
          <w:rFonts w:cs="Arial"/>
          <w:lang w:val="es-ES_tradnl"/>
        </w:rPr>
        <w:t>obtenc</w:t>
      </w:r>
      <w:r w:rsidR="00124AE1" w:rsidRPr="0034704D">
        <w:rPr>
          <w:rFonts w:cs="Arial"/>
          <w:lang w:val="es-ES_tradnl"/>
        </w:rPr>
        <w:t xml:space="preserve">ión de </w:t>
      </w:r>
      <w:r w:rsidR="003F1381" w:rsidRPr="0034704D">
        <w:rPr>
          <w:rFonts w:cs="Arial"/>
          <w:lang w:val="es-ES_tradnl"/>
        </w:rPr>
        <w:t>consentimiento</w:t>
      </w:r>
      <w:r w:rsidR="00124AE1" w:rsidRPr="0034704D">
        <w:rPr>
          <w:rFonts w:cs="Arial"/>
          <w:lang w:val="es-ES_tradnl"/>
        </w:rPr>
        <w:t xml:space="preserve"> para la investigación científica marina. La Convención de las Naciones Unidas sobre el Derecho del Mar (CNUDM), de 1982, establece la base jurídica de espacios marítimos como los mares territoriales y las </w:t>
      </w:r>
      <w:r w:rsidR="00E34D40" w:rsidRPr="0034704D">
        <w:rPr>
          <w:rFonts w:cs="Arial"/>
          <w:lang w:val="es-ES_tradnl"/>
        </w:rPr>
        <w:t>zonas económicas exclusivas (</w:t>
      </w:r>
      <w:r w:rsidR="00124AE1" w:rsidRPr="0034704D">
        <w:rPr>
          <w:rFonts w:cs="Arial"/>
          <w:lang w:val="es-ES_tradnl"/>
        </w:rPr>
        <w:t>ZEE</w:t>
      </w:r>
      <w:r w:rsidR="00E34D40" w:rsidRPr="0034704D">
        <w:rPr>
          <w:rFonts w:cs="Arial"/>
          <w:lang w:val="es-ES_tradnl"/>
        </w:rPr>
        <w:t>)</w:t>
      </w:r>
      <w:r w:rsidR="00124AE1" w:rsidRPr="0034704D">
        <w:rPr>
          <w:rFonts w:cs="Arial"/>
          <w:lang w:val="es-ES_tradnl"/>
        </w:rPr>
        <w:t xml:space="preserve">, que son áreas sujetas a </w:t>
      </w:r>
      <w:r w:rsidRPr="0034704D">
        <w:rPr>
          <w:rFonts w:cs="Arial"/>
          <w:lang w:val="es-ES_tradnl"/>
        </w:rPr>
        <w:t xml:space="preserve">la </w:t>
      </w:r>
      <w:r w:rsidR="00124AE1" w:rsidRPr="0034704D">
        <w:rPr>
          <w:rFonts w:cs="Arial"/>
          <w:lang w:val="es-ES_tradnl"/>
        </w:rPr>
        <w:t xml:space="preserve">jurisdicción nacional con diferentes derechos y obligaciones para los Estados y las organizaciones internacionales. Las zonas sujetas a </w:t>
      </w:r>
      <w:r w:rsidRPr="0034704D">
        <w:rPr>
          <w:rFonts w:cs="Arial"/>
          <w:lang w:val="es-ES_tradnl"/>
        </w:rPr>
        <w:t xml:space="preserve">la </w:t>
      </w:r>
      <w:r w:rsidR="00124AE1" w:rsidRPr="0034704D">
        <w:rPr>
          <w:rFonts w:cs="Arial"/>
          <w:lang w:val="es-ES_tradnl"/>
        </w:rPr>
        <w:t xml:space="preserve">jurisdicción nacional abarcan más de un tercio del océano y, por lo tanto, son esenciales para el buen funcionamiento de un sistema mundial eficaz de observación del océano. Las preocupaciones expresadas por la comunidad científica plantean importantes cuestiones de claridad jurídica. Aunque la CNUDM constituye el marco jurídico internacional de las actividades llevadas a cabo en el océano, su aplicación plantea </w:t>
      </w:r>
      <w:r w:rsidRPr="0034704D">
        <w:rPr>
          <w:rFonts w:cs="Arial"/>
          <w:lang w:val="es-ES_tradnl"/>
        </w:rPr>
        <w:t>dificultades</w:t>
      </w:r>
      <w:r w:rsidR="00124AE1" w:rsidRPr="0034704D">
        <w:rPr>
          <w:rFonts w:cs="Arial"/>
          <w:lang w:val="es-ES_tradnl"/>
        </w:rPr>
        <w:t xml:space="preserve"> y </w:t>
      </w:r>
      <w:r w:rsidRPr="0034704D">
        <w:rPr>
          <w:rFonts w:cs="Arial"/>
          <w:lang w:val="es-ES_tradnl"/>
        </w:rPr>
        <w:t>requier</w:t>
      </w:r>
      <w:r w:rsidR="00124AE1" w:rsidRPr="0034704D">
        <w:rPr>
          <w:rFonts w:cs="Arial"/>
          <w:lang w:val="es-ES_tradnl"/>
        </w:rPr>
        <w:t xml:space="preserve">e que los Estados faciliten la investigación científica marina, en particular aclarando cómo regulan las observaciones oceánicas y las actividades de dicha investigación de conformidad con la CNUDM. Para lograr un sistema verdaderamente mundial e integrado, es necesario que más Estados participen en el sistema de observación y que se tomen muestras adecuadas </w:t>
      </w:r>
      <w:r w:rsidR="00E34D40" w:rsidRPr="0034704D">
        <w:rPr>
          <w:rFonts w:cs="Arial"/>
          <w:lang w:val="es-ES_tradnl"/>
        </w:rPr>
        <w:t>en</w:t>
      </w:r>
      <w:r w:rsidR="00124AE1" w:rsidRPr="0034704D">
        <w:rPr>
          <w:rFonts w:cs="Arial"/>
          <w:lang w:val="es-ES_tradnl"/>
        </w:rPr>
        <w:t xml:space="preserve"> todas las regiones </w:t>
      </w:r>
      <w:r w:rsidR="00011FED" w:rsidRPr="0034704D">
        <w:rPr>
          <w:rFonts w:cs="Arial"/>
          <w:lang w:val="es-ES_tradnl"/>
        </w:rPr>
        <w:t>oceánicas</w:t>
      </w:r>
      <w:r w:rsidR="00E34D40" w:rsidRPr="0034704D">
        <w:rPr>
          <w:rFonts w:cs="Arial"/>
          <w:lang w:val="es-ES_tradnl"/>
        </w:rPr>
        <w:t>. Ell</w:t>
      </w:r>
      <w:r w:rsidR="00124AE1" w:rsidRPr="0034704D">
        <w:rPr>
          <w:rFonts w:cs="Arial"/>
          <w:lang w:val="es-ES_tradnl"/>
        </w:rPr>
        <w:t xml:space="preserve">o será esencial para responder al desafío del Decenio de las Naciones Unidas de las Ciencias Oceánicas para el Desarrollo Sostenible (2021-2030), ya que las observaciones son uno de los componentes fundamentales que sustentan una política, una gestión y una predicción sólidas </w:t>
      </w:r>
      <w:r w:rsidR="00E34D40" w:rsidRPr="0034704D">
        <w:rPr>
          <w:rFonts w:cs="Arial"/>
          <w:lang w:val="es-ES_tradnl"/>
        </w:rPr>
        <w:t>en materia de</w:t>
      </w:r>
      <w:r w:rsidR="00124AE1" w:rsidRPr="0034704D">
        <w:rPr>
          <w:rFonts w:cs="Arial"/>
          <w:lang w:val="es-ES_tradnl"/>
        </w:rPr>
        <w:t xml:space="preserve"> océanos.</w:t>
      </w:r>
    </w:p>
    <w:p w14:paraId="6066E3AB" w14:textId="4380AEDA" w:rsidR="00124AE1" w:rsidRPr="0034704D" w:rsidRDefault="00124AE1" w:rsidP="00C544AC">
      <w:pPr>
        <w:pStyle w:val="Style2"/>
        <w:numPr>
          <w:ilvl w:val="0"/>
          <w:numId w:val="23"/>
        </w:numPr>
        <w:tabs>
          <w:tab w:val="left" w:pos="567"/>
        </w:tabs>
        <w:snapToGrid w:val="0"/>
        <w:spacing w:after="220"/>
        <w:ind w:left="0" w:firstLine="0"/>
        <w:rPr>
          <w:rFonts w:cs="Arial"/>
          <w:lang w:val="es-ES_tradnl"/>
        </w:rPr>
      </w:pPr>
      <w:r w:rsidRPr="0034704D">
        <w:rPr>
          <w:rFonts w:cs="Arial"/>
          <w:lang w:val="es-ES_tradnl"/>
        </w:rPr>
        <w:t xml:space="preserve">La COI lleva 20 años desarrollando un marco de cooperación para compartir en tiempo real los datos oceánicos recogidos en las ZEE. En particular, la COI consiguió crear un marco y un mecanismo, acordados por los Estados Miembros y conformes a la CNUDM, para el suministro de datos procedentes de </w:t>
      </w:r>
      <w:r w:rsidR="00BB50D4" w:rsidRPr="0034704D">
        <w:rPr>
          <w:rFonts w:cs="Arial"/>
          <w:lang w:val="es-ES_tradnl"/>
        </w:rPr>
        <w:t>las boyas</w:t>
      </w:r>
      <w:r w:rsidRPr="0034704D">
        <w:rPr>
          <w:rFonts w:cs="Arial"/>
          <w:lang w:val="es-ES_tradnl"/>
        </w:rPr>
        <w:t xml:space="preserve"> del programa mundial Argo que </w:t>
      </w:r>
      <w:r w:rsidR="002579F3" w:rsidRPr="0034704D">
        <w:rPr>
          <w:rFonts w:cs="Arial"/>
          <w:lang w:val="es-ES_tradnl"/>
        </w:rPr>
        <w:t>derivan hacia</w:t>
      </w:r>
      <w:r w:rsidRPr="0034704D">
        <w:rPr>
          <w:rFonts w:cs="Arial"/>
          <w:lang w:val="es-ES_tradnl"/>
        </w:rPr>
        <w:t xml:space="preserve"> ZEE. El </w:t>
      </w:r>
      <w:r w:rsidR="00626994" w:rsidRPr="0034704D">
        <w:rPr>
          <w:rFonts w:cs="Arial"/>
          <w:lang w:val="es-ES_tradnl"/>
        </w:rPr>
        <w:t>Órgano Consultivo de Expertos sobre el Derecho del Mar (</w:t>
      </w:r>
      <w:r w:rsidR="00B96E48" w:rsidRPr="0034704D">
        <w:rPr>
          <w:rFonts w:cs="Arial"/>
          <w:lang w:val="es-ES_tradnl"/>
        </w:rPr>
        <w:t>COI/ABE-LOS</w:t>
      </w:r>
      <w:r w:rsidR="00626994" w:rsidRPr="0034704D">
        <w:rPr>
          <w:rFonts w:cs="Arial"/>
          <w:lang w:val="es-ES_tradnl"/>
        </w:rPr>
        <w:t>) de la COI</w:t>
      </w:r>
      <w:r w:rsidR="00B96E48" w:rsidRPr="0034704D">
        <w:rPr>
          <w:rFonts w:cs="Arial"/>
          <w:lang w:val="es-ES_tradnl"/>
        </w:rPr>
        <w:t xml:space="preserve"> </w:t>
      </w:r>
      <w:r w:rsidRPr="0034704D">
        <w:rPr>
          <w:rFonts w:cs="Arial"/>
          <w:lang w:val="es-ES_tradnl"/>
        </w:rPr>
        <w:t xml:space="preserve">trabajó en estas cuestiones y sentó las bases para la elaboración del sistema de notificación </w:t>
      </w:r>
      <w:r w:rsidR="002579F3" w:rsidRPr="0034704D">
        <w:rPr>
          <w:rFonts w:cs="Arial"/>
          <w:lang w:val="es-ES_tradnl"/>
        </w:rPr>
        <w:t xml:space="preserve">de </w:t>
      </w:r>
      <w:r w:rsidRPr="0034704D">
        <w:rPr>
          <w:rFonts w:cs="Arial"/>
          <w:lang w:val="es-ES_tradnl"/>
        </w:rPr>
        <w:t>Argo entre 2003 y</w:t>
      </w:r>
      <w:r w:rsidR="004E149F" w:rsidRPr="0034704D">
        <w:rPr>
          <w:rFonts w:cs="Arial"/>
          <w:lang w:val="es-ES_tradnl"/>
        </w:rPr>
        <w:t> </w:t>
      </w:r>
      <w:r w:rsidRPr="0034704D">
        <w:rPr>
          <w:rFonts w:cs="Arial"/>
          <w:lang w:val="es-ES_tradnl"/>
        </w:rPr>
        <w:t xml:space="preserve">2009. Para conocer en más detalle esta evolución, </w:t>
      </w:r>
      <w:r w:rsidR="00626994" w:rsidRPr="0034704D">
        <w:rPr>
          <w:rFonts w:cs="Arial"/>
          <w:lang w:val="es-ES_tradnl"/>
        </w:rPr>
        <w:t>véanse</w:t>
      </w:r>
      <w:r w:rsidRPr="0034704D">
        <w:rPr>
          <w:rFonts w:cs="Arial"/>
          <w:lang w:val="es-ES_tradnl"/>
        </w:rPr>
        <w:t>:</w:t>
      </w:r>
    </w:p>
    <w:p w14:paraId="2E3AE1B2" w14:textId="2830C52F" w:rsidR="006A1417" w:rsidRPr="0034704D" w:rsidRDefault="006A1417" w:rsidP="00C544AC">
      <w:pPr>
        <w:pStyle w:val="NormalWeb"/>
        <w:numPr>
          <w:ilvl w:val="0"/>
          <w:numId w:val="36"/>
        </w:numPr>
        <w:shd w:val="clear" w:color="auto" w:fill="FFFFFF"/>
        <w:tabs>
          <w:tab w:val="clear" w:pos="720"/>
        </w:tabs>
        <w:spacing w:before="0" w:beforeAutospacing="0" w:after="220" w:afterAutospacing="0"/>
        <w:ind w:left="993" w:hanging="420"/>
        <w:jc w:val="both"/>
        <w:textAlignment w:val="baseline"/>
        <w:rPr>
          <w:rFonts w:ascii="Arial" w:hAnsi="Arial" w:cs="Arial"/>
          <w:color w:val="000000"/>
          <w:sz w:val="22"/>
          <w:szCs w:val="22"/>
          <w:lang w:val="es-ES_tradnl"/>
        </w:rPr>
      </w:pPr>
      <w:r w:rsidRPr="0034704D">
        <w:rPr>
          <w:rFonts w:ascii="Arial" w:hAnsi="Arial" w:cs="Arial"/>
          <w:sz w:val="22"/>
          <w:szCs w:val="22"/>
          <w:lang w:val="es-ES_tradnl"/>
        </w:rPr>
        <w:t xml:space="preserve">la resolución XX-6 de la Asamblea de la COI (1999, </w:t>
      </w:r>
      <w:r w:rsidR="00626994" w:rsidRPr="0034704D">
        <w:rPr>
          <w:rFonts w:ascii="Arial" w:hAnsi="Arial" w:cs="Arial"/>
          <w:sz w:val="22"/>
          <w:szCs w:val="22"/>
          <w:lang w:val="es-ES_tradnl"/>
        </w:rPr>
        <w:t>“</w:t>
      </w:r>
      <w:r w:rsidRPr="0034704D">
        <w:rPr>
          <w:rFonts w:ascii="Arial" w:hAnsi="Arial" w:cs="Arial"/>
          <w:sz w:val="22"/>
          <w:szCs w:val="22"/>
          <w:lang w:val="es-ES_tradnl"/>
        </w:rPr>
        <w:t>El proyecto Argo</w:t>
      </w:r>
      <w:r w:rsidR="00626994" w:rsidRPr="0034704D">
        <w:rPr>
          <w:rFonts w:ascii="Arial" w:hAnsi="Arial" w:cs="Arial"/>
          <w:sz w:val="22"/>
          <w:szCs w:val="22"/>
          <w:lang w:val="es-ES_tradnl"/>
        </w:rPr>
        <w:t>”</w:t>
      </w:r>
      <w:r w:rsidRPr="0034704D">
        <w:rPr>
          <w:rFonts w:ascii="Arial" w:hAnsi="Arial" w:cs="Arial"/>
          <w:sz w:val="22"/>
          <w:szCs w:val="22"/>
          <w:lang w:val="es-ES_tradnl"/>
        </w:rPr>
        <w:t>);</w:t>
      </w:r>
    </w:p>
    <w:p w14:paraId="23F1418F" w14:textId="6C05A2E7" w:rsidR="006A1417" w:rsidRPr="0034704D" w:rsidRDefault="006A1417" w:rsidP="00C544AC">
      <w:pPr>
        <w:pStyle w:val="NormalWeb"/>
        <w:numPr>
          <w:ilvl w:val="0"/>
          <w:numId w:val="36"/>
        </w:numPr>
        <w:shd w:val="clear" w:color="auto" w:fill="FFFFFF"/>
        <w:tabs>
          <w:tab w:val="clear" w:pos="720"/>
        </w:tabs>
        <w:spacing w:before="0" w:beforeAutospacing="0" w:after="220" w:afterAutospacing="0"/>
        <w:ind w:left="993" w:hanging="420"/>
        <w:jc w:val="both"/>
        <w:textAlignment w:val="baseline"/>
        <w:rPr>
          <w:rFonts w:ascii="Arial" w:hAnsi="Arial" w:cs="Arial"/>
          <w:color w:val="000000"/>
          <w:sz w:val="22"/>
          <w:szCs w:val="22"/>
          <w:lang w:val="es-ES_tradnl"/>
        </w:rPr>
      </w:pPr>
      <w:r w:rsidRPr="0034704D">
        <w:rPr>
          <w:rFonts w:ascii="Arial" w:hAnsi="Arial" w:cs="Arial"/>
          <w:sz w:val="22"/>
          <w:szCs w:val="22"/>
          <w:lang w:val="es-ES_tradnl"/>
        </w:rPr>
        <w:lastRenderedPageBreak/>
        <w:t xml:space="preserve">la </w:t>
      </w:r>
      <w:r w:rsidR="006426AE" w:rsidRPr="0034704D">
        <w:rPr>
          <w:rFonts w:ascii="Arial" w:hAnsi="Arial" w:cs="Arial"/>
          <w:sz w:val="22"/>
          <w:szCs w:val="22"/>
          <w:lang w:val="es-ES_tradnl"/>
        </w:rPr>
        <w:t>resoluc</w:t>
      </w:r>
      <w:r w:rsidRPr="0034704D">
        <w:rPr>
          <w:rFonts w:ascii="Arial" w:hAnsi="Arial" w:cs="Arial"/>
          <w:sz w:val="22"/>
          <w:szCs w:val="22"/>
          <w:lang w:val="es-ES_tradnl"/>
        </w:rPr>
        <w:t xml:space="preserve">ión EC-XLI.4 del Consejo Ejecutivo de la COI (2008, </w:t>
      </w:r>
      <w:r w:rsidR="00626994" w:rsidRPr="0034704D">
        <w:rPr>
          <w:rFonts w:ascii="Arial" w:hAnsi="Arial" w:cs="Arial"/>
          <w:sz w:val="22"/>
          <w:szCs w:val="22"/>
          <w:lang w:val="es-ES_tradnl"/>
        </w:rPr>
        <w:t>“</w:t>
      </w:r>
      <w:r w:rsidRPr="0034704D">
        <w:rPr>
          <w:rFonts w:ascii="Arial" w:hAnsi="Arial" w:cs="Arial"/>
          <w:sz w:val="22"/>
          <w:szCs w:val="22"/>
          <w:lang w:val="es-ES_tradnl"/>
        </w:rPr>
        <w:t>Directrices para la aplicación de la Resolución XX-6 de la Asamblea de la COI relativa</w:t>
      </w:r>
      <w:r w:rsidR="006426AE" w:rsidRPr="0034704D">
        <w:rPr>
          <w:rFonts w:ascii="Arial" w:hAnsi="Arial" w:cs="Arial"/>
          <w:sz w:val="22"/>
          <w:szCs w:val="22"/>
          <w:lang w:val="es-ES_tradnl"/>
        </w:rPr>
        <w:t>s</w:t>
      </w:r>
      <w:r w:rsidRPr="0034704D">
        <w:rPr>
          <w:rFonts w:ascii="Arial" w:hAnsi="Arial" w:cs="Arial"/>
          <w:sz w:val="22"/>
          <w:szCs w:val="22"/>
          <w:lang w:val="es-ES_tradnl"/>
        </w:rPr>
        <w:t xml:space="preserve"> a</w:t>
      </w:r>
      <w:r w:rsidR="006426AE" w:rsidRPr="0034704D">
        <w:rPr>
          <w:rFonts w:ascii="Arial" w:hAnsi="Arial" w:cs="Arial"/>
          <w:sz w:val="22"/>
          <w:szCs w:val="22"/>
          <w:lang w:val="es-ES_tradnl"/>
        </w:rPr>
        <w:t xml:space="preserve"> la instalación de boyas </w:t>
      </w:r>
      <w:r w:rsidRPr="0034704D">
        <w:rPr>
          <w:rFonts w:ascii="Arial" w:hAnsi="Arial" w:cs="Arial"/>
          <w:sz w:val="22"/>
          <w:szCs w:val="22"/>
          <w:lang w:val="es-ES_tradnl"/>
        </w:rPr>
        <w:t>en alta mar en el marco del programa Argo</w:t>
      </w:r>
      <w:r w:rsidR="00626994" w:rsidRPr="0034704D">
        <w:rPr>
          <w:rFonts w:ascii="Arial" w:hAnsi="Arial" w:cs="Arial"/>
          <w:sz w:val="22"/>
          <w:szCs w:val="22"/>
          <w:lang w:val="es-ES_tradnl"/>
        </w:rPr>
        <w:t>”</w:t>
      </w:r>
      <w:r w:rsidRPr="0034704D">
        <w:rPr>
          <w:rFonts w:ascii="Arial" w:hAnsi="Arial" w:cs="Arial"/>
          <w:sz w:val="22"/>
          <w:szCs w:val="22"/>
          <w:lang w:val="es-ES_tradnl"/>
        </w:rPr>
        <w:t>);</w:t>
      </w:r>
    </w:p>
    <w:p w14:paraId="3003D2CA" w14:textId="0E4F4580" w:rsidR="006A1417" w:rsidRPr="0034704D" w:rsidRDefault="006A1417" w:rsidP="00C544AC">
      <w:pPr>
        <w:pStyle w:val="NormalWeb"/>
        <w:numPr>
          <w:ilvl w:val="0"/>
          <w:numId w:val="36"/>
        </w:numPr>
        <w:shd w:val="clear" w:color="auto" w:fill="FFFFFF"/>
        <w:tabs>
          <w:tab w:val="clear" w:pos="720"/>
        </w:tabs>
        <w:spacing w:before="0" w:beforeAutospacing="0" w:after="240" w:afterAutospacing="0"/>
        <w:ind w:left="993" w:hanging="420"/>
        <w:jc w:val="both"/>
        <w:textAlignment w:val="baseline"/>
        <w:rPr>
          <w:rFonts w:ascii="Arial" w:hAnsi="Arial" w:cs="Arial"/>
          <w:color w:val="000000"/>
          <w:sz w:val="22"/>
          <w:szCs w:val="22"/>
          <w:lang w:val="es-ES_tradnl"/>
        </w:rPr>
      </w:pPr>
      <w:r w:rsidRPr="0034704D">
        <w:rPr>
          <w:rFonts w:ascii="Arial" w:hAnsi="Arial" w:cs="Arial"/>
          <w:sz w:val="22"/>
          <w:szCs w:val="22"/>
          <w:lang w:val="es-ES_tradnl"/>
        </w:rPr>
        <w:t xml:space="preserve">la decisión </w:t>
      </w:r>
      <w:r w:rsidR="00117F04" w:rsidRPr="0034704D">
        <w:rPr>
          <w:rFonts w:ascii="Arial" w:hAnsi="Arial" w:cs="Arial"/>
          <w:sz w:val="22"/>
          <w:szCs w:val="22"/>
          <w:lang w:val="es-ES_tradnl"/>
        </w:rPr>
        <w:t>IOC/</w:t>
      </w:r>
      <w:r w:rsidRPr="0034704D">
        <w:rPr>
          <w:rFonts w:ascii="Arial" w:hAnsi="Arial" w:cs="Arial"/>
          <w:sz w:val="22"/>
          <w:szCs w:val="22"/>
          <w:lang w:val="es-ES_tradnl"/>
        </w:rPr>
        <w:t xml:space="preserve">EC-LI/4.8 </w:t>
      </w:r>
      <w:r w:rsidR="00626994" w:rsidRPr="0034704D">
        <w:rPr>
          <w:rFonts w:ascii="Arial" w:hAnsi="Arial" w:cs="Arial"/>
          <w:sz w:val="22"/>
          <w:szCs w:val="22"/>
          <w:lang w:val="es-ES_tradnl"/>
        </w:rPr>
        <w:t xml:space="preserve">del Consejo Ejecutivo de la COI </w:t>
      </w:r>
      <w:r w:rsidRPr="0034704D">
        <w:rPr>
          <w:rFonts w:ascii="Arial" w:hAnsi="Arial" w:cs="Arial"/>
          <w:sz w:val="22"/>
          <w:szCs w:val="22"/>
          <w:lang w:val="es-ES_tradnl"/>
        </w:rPr>
        <w:t xml:space="preserve">(2018, </w:t>
      </w:r>
      <w:r w:rsidR="00626994" w:rsidRPr="0034704D">
        <w:rPr>
          <w:rFonts w:ascii="Arial" w:hAnsi="Arial" w:cs="Arial"/>
          <w:sz w:val="22"/>
          <w:szCs w:val="22"/>
          <w:lang w:val="es-ES_tradnl"/>
        </w:rPr>
        <w:t>“</w:t>
      </w:r>
      <w:r w:rsidR="00BB50D4" w:rsidRPr="0034704D">
        <w:rPr>
          <w:rFonts w:ascii="Arial" w:hAnsi="Arial" w:cs="Arial"/>
          <w:sz w:val="22"/>
          <w:szCs w:val="22"/>
          <w:lang w:val="es-ES_tradnl"/>
        </w:rPr>
        <w:t>Nuev</w:t>
      </w:r>
      <w:r w:rsidRPr="0034704D">
        <w:rPr>
          <w:rFonts w:ascii="Arial" w:hAnsi="Arial" w:cs="Arial"/>
          <w:sz w:val="22"/>
          <w:szCs w:val="22"/>
          <w:lang w:val="es-ES_tradnl"/>
        </w:rPr>
        <w:t xml:space="preserve">as capacidades de la </w:t>
      </w:r>
      <w:r w:rsidR="00BB50D4" w:rsidRPr="0034704D">
        <w:rPr>
          <w:rFonts w:ascii="Arial" w:hAnsi="Arial" w:cs="Arial"/>
          <w:sz w:val="22"/>
          <w:szCs w:val="22"/>
          <w:lang w:val="es-ES_tradnl"/>
        </w:rPr>
        <w:t>r</w:t>
      </w:r>
      <w:r w:rsidRPr="0034704D">
        <w:rPr>
          <w:rFonts w:ascii="Arial" w:hAnsi="Arial" w:cs="Arial"/>
          <w:sz w:val="22"/>
          <w:szCs w:val="22"/>
          <w:lang w:val="es-ES_tradnl"/>
        </w:rPr>
        <w:t xml:space="preserve">ed de </w:t>
      </w:r>
      <w:r w:rsidR="00BB50D4" w:rsidRPr="0034704D">
        <w:rPr>
          <w:rFonts w:ascii="Arial" w:hAnsi="Arial" w:cs="Arial"/>
          <w:sz w:val="22"/>
          <w:szCs w:val="22"/>
          <w:lang w:val="es-ES_tradnl"/>
        </w:rPr>
        <w:t>boyas</w:t>
      </w:r>
      <w:r w:rsidR="00117F04" w:rsidRPr="0034704D">
        <w:rPr>
          <w:rFonts w:ascii="Arial" w:hAnsi="Arial" w:cs="Arial"/>
          <w:sz w:val="22"/>
          <w:szCs w:val="22"/>
          <w:lang w:val="es-ES_tradnl"/>
        </w:rPr>
        <w:t xml:space="preserve"> de elaboración de perfiles Argo</w:t>
      </w:r>
      <w:r w:rsidR="00626994" w:rsidRPr="0034704D">
        <w:rPr>
          <w:rFonts w:ascii="Arial" w:hAnsi="Arial" w:cs="Arial"/>
          <w:sz w:val="22"/>
          <w:szCs w:val="22"/>
          <w:lang w:val="es-ES_tradnl"/>
        </w:rPr>
        <w:t>”</w:t>
      </w:r>
      <w:r w:rsidRPr="0034704D">
        <w:rPr>
          <w:rFonts w:ascii="Arial" w:hAnsi="Arial" w:cs="Arial"/>
          <w:sz w:val="22"/>
          <w:szCs w:val="22"/>
          <w:lang w:val="es-ES_tradnl"/>
        </w:rPr>
        <w:t>).</w:t>
      </w:r>
    </w:p>
    <w:p w14:paraId="39E1BA0A" w14:textId="48810505" w:rsidR="006A1417" w:rsidRPr="0034704D" w:rsidRDefault="00124AE1" w:rsidP="004E149F">
      <w:pPr>
        <w:pStyle w:val="Style2"/>
        <w:numPr>
          <w:ilvl w:val="0"/>
          <w:numId w:val="23"/>
        </w:numPr>
        <w:tabs>
          <w:tab w:val="left" w:pos="567"/>
        </w:tabs>
        <w:snapToGrid w:val="0"/>
        <w:spacing w:before="240"/>
        <w:ind w:left="0" w:firstLine="0"/>
        <w:rPr>
          <w:rFonts w:cs="Arial"/>
          <w:lang w:val="es-ES_tradnl"/>
        </w:rPr>
      </w:pPr>
      <w:r w:rsidRPr="0034704D">
        <w:rPr>
          <w:rFonts w:cs="Arial"/>
          <w:lang w:val="es-ES_tradnl"/>
        </w:rPr>
        <w:t>La decisión de la COI de 2018</w:t>
      </w:r>
      <w:r w:rsidR="00117F04" w:rsidRPr="0034704D">
        <w:rPr>
          <w:rFonts w:cs="Arial"/>
          <w:lang w:val="es-ES_tradnl"/>
        </w:rPr>
        <w:t>,</w:t>
      </w:r>
      <w:r w:rsidRPr="0034704D">
        <w:rPr>
          <w:rFonts w:cs="Arial"/>
          <w:lang w:val="es-ES_tradnl"/>
        </w:rPr>
        <w:t xml:space="preserve"> que apoya una ampliación del sistema de notificación de Argo para incluir seis variables biogeoquímicas —oxígeno, pH, nitrato</w:t>
      </w:r>
      <w:r w:rsidR="002579F3" w:rsidRPr="0034704D">
        <w:rPr>
          <w:rFonts w:cs="Arial"/>
          <w:lang w:val="es-ES_tradnl"/>
        </w:rPr>
        <w:t>s</w:t>
      </w:r>
      <w:r w:rsidRPr="0034704D">
        <w:rPr>
          <w:rFonts w:cs="Arial"/>
          <w:lang w:val="es-ES_tradnl"/>
        </w:rPr>
        <w:t>, clorofila, retrodispersión e irradiancia—</w:t>
      </w:r>
      <w:r w:rsidR="00117F04" w:rsidRPr="0034704D">
        <w:rPr>
          <w:rFonts w:cs="Arial"/>
          <w:lang w:val="es-ES_tradnl"/>
        </w:rPr>
        <w:t>,</w:t>
      </w:r>
      <w:r w:rsidRPr="0034704D">
        <w:rPr>
          <w:rFonts w:cs="Arial"/>
          <w:lang w:val="es-ES_tradnl"/>
        </w:rPr>
        <w:t xml:space="preserve"> ha sido un </w:t>
      </w:r>
      <w:r w:rsidR="002579F3" w:rsidRPr="0034704D">
        <w:rPr>
          <w:rFonts w:cs="Arial"/>
          <w:lang w:val="es-ES_tradnl"/>
        </w:rPr>
        <w:t>avance</w:t>
      </w:r>
      <w:r w:rsidRPr="0034704D">
        <w:rPr>
          <w:rFonts w:cs="Arial"/>
          <w:lang w:val="es-ES_tradnl"/>
        </w:rPr>
        <w:t xml:space="preserve"> reciente e importante </w:t>
      </w:r>
      <w:r w:rsidR="002579F3" w:rsidRPr="0034704D">
        <w:rPr>
          <w:rFonts w:cs="Arial"/>
          <w:lang w:val="es-ES_tradnl"/>
        </w:rPr>
        <w:t>para</w:t>
      </w:r>
      <w:r w:rsidRPr="0034704D">
        <w:rPr>
          <w:rFonts w:cs="Arial"/>
          <w:lang w:val="es-ES_tradnl"/>
        </w:rPr>
        <w:t xml:space="preserve"> reconoc</w:t>
      </w:r>
      <w:r w:rsidR="002579F3" w:rsidRPr="0034704D">
        <w:rPr>
          <w:rFonts w:cs="Arial"/>
          <w:lang w:val="es-ES_tradnl"/>
        </w:rPr>
        <w:t>er</w:t>
      </w:r>
      <w:r w:rsidRPr="0034704D">
        <w:rPr>
          <w:rFonts w:cs="Arial"/>
          <w:lang w:val="es-ES_tradnl"/>
        </w:rPr>
        <w:t xml:space="preserve"> la necesidad de contar con una gama más amplia de observaciones permanentes. También </w:t>
      </w:r>
      <w:r w:rsidR="00970426" w:rsidRPr="0034704D">
        <w:rPr>
          <w:rFonts w:cs="Arial"/>
          <w:lang w:val="es-ES_tradnl"/>
        </w:rPr>
        <w:t xml:space="preserve">reconoce la contribución </w:t>
      </w:r>
      <w:r w:rsidR="00117F04" w:rsidRPr="0034704D">
        <w:rPr>
          <w:rFonts w:cs="Arial"/>
          <w:lang w:val="es-ES_tradnl"/>
        </w:rPr>
        <w:t>d</w:t>
      </w:r>
      <w:r w:rsidRPr="0034704D">
        <w:rPr>
          <w:rFonts w:cs="Arial"/>
          <w:lang w:val="es-ES_tradnl"/>
        </w:rPr>
        <w:t xml:space="preserve">el programa Argo a la observación mundial del océano y la confianza depositada en las soluciones que ofrece la COI. Sin embargo, muchos otros responsables de la observación del océano, y el propio programa Argo en lo que se refiere </w:t>
      </w:r>
      <w:r w:rsidR="00BB50D4" w:rsidRPr="0034704D">
        <w:rPr>
          <w:rFonts w:cs="Arial"/>
          <w:lang w:val="es-ES_tradnl"/>
        </w:rPr>
        <w:t>la instalación de boyas</w:t>
      </w:r>
      <w:r w:rsidRPr="0034704D">
        <w:rPr>
          <w:rFonts w:cs="Arial"/>
          <w:lang w:val="es-ES_tradnl"/>
        </w:rPr>
        <w:t xml:space="preserve">, siguen encontrando dificultades </w:t>
      </w:r>
      <w:r w:rsidR="00970426" w:rsidRPr="0034704D">
        <w:rPr>
          <w:rFonts w:cs="Arial"/>
          <w:lang w:val="es-ES_tradnl"/>
        </w:rPr>
        <w:t>considerables a la hora de</w:t>
      </w:r>
      <w:r w:rsidRPr="0034704D">
        <w:rPr>
          <w:rFonts w:cs="Arial"/>
          <w:lang w:val="es-ES_tradnl"/>
        </w:rPr>
        <w:t xml:space="preserve"> obtener </w:t>
      </w:r>
      <w:r w:rsidR="003F1381" w:rsidRPr="0034704D">
        <w:rPr>
          <w:rFonts w:cs="Arial"/>
          <w:lang w:val="es-ES_tradnl"/>
        </w:rPr>
        <w:t>el consentimiento</w:t>
      </w:r>
      <w:r w:rsidRPr="0034704D">
        <w:rPr>
          <w:rFonts w:cs="Arial"/>
          <w:lang w:val="es-ES_tradnl"/>
        </w:rPr>
        <w:t xml:space="preserve"> para realizar observaciones oceánicas en aguas sujetas a </w:t>
      </w:r>
      <w:r w:rsidR="00970426" w:rsidRPr="0034704D">
        <w:rPr>
          <w:rFonts w:cs="Arial"/>
          <w:lang w:val="es-ES_tradnl"/>
        </w:rPr>
        <w:t xml:space="preserve">la </w:t>
      </w:r>
      <w:r w:rsidRPr="0034704D">
        <w:rPr>
          <w:rFonts w:cs="Arial"/>
          <w:lang w:val="es-ES_tradnl"/>
        </w:rPr>
        <w:t>jurisdicción nacional.</w:t>
      </w:r>
    </w:p>
    <w:p w14:paraId="7331F038" w14:textId="5876AE8C" w:rsidR="006A1417" w:rsidRPr="0034704D" w:rsidRDefault="00124AE1" w:rsidP="00C544AC">
      <w:pPr>
        <w:pStyle w:val="Style2"/>
        <w:numPr>
          <w:ilvl w:val="0"/>
          <w:numId w:val="23"/>
        </w:numPr>
        <w:tabs>
          <w:tab w:val="left" w:pos="567"/>
        </w:tabs>
        <w:snapToGrid w:val="0"/>
        <w:spacing w:after="220"/>
        <w:ind w:left="0" w:firstLine="0"/>
        <w:rPr>
          <w:rFonts w:cs="Arial"/>
          <w:lang w:val="es-ES_tradnl"/>
        </w:rPr>
      </w:pPr>
      <w:r w:rsidRPr="0034704D">
        <w:rPr>
          <w:rFonts w:cs="Arial"/>
          <w:lang w:val="es-ES_tradnl"/>
        </w:rPr>
        <w:t>Estas cuestiones se volvieron a plantear en junio de 2018 en la 70ª reunión del Consejo Ejecutivo de la Organización Meteorológica Mundial (OMM). En febrero de 2019, la OMM celebró un taller técnico sobre la mejora de las observaciones e investigaciones oceánicas y el libre intercambio de datos para fomentar los servicios destinados a proteger la vida</w:t>
      </w:r>
      <w:r w:rsidR="00B92377" w:rsidRPr="0034704D">
        <w:rPr>
          <w:rFonts w:cs="Arial"/>
          <w:lang w:val="es-ES_tradnl"/>
        </w:rPr>
        <w:t xml:space="preserve"> humana</w:t>
      </w:r>
      <w:r w:rsidRPr="0034704D">
        <w:rPr>
          <w:rFonts w:cs="Arial"/>
          <w:lang w:val="es-ES_tradnl"/>
        </w:rPr>
        <w:t xml:space="preserve"> y los bienes. En los debates se examinó la evolución de las necesidades en materia de observación e investigación oceánicas en apoyo de las áreas de aplicación de la OMM, centrándose en los servicios meteorológicos marinos. El taller dio </w:t>
      </w:r>
      <w:r w:rsidR="00552F91" w:rsidRPr="0034704D">
        <w:rPr>
          <w:rFonts w:cs="Arial"/>
          <w:lang w:val="es-ES_tradnl"/>
        </w:rPr>
        <w:t>como resultado</w:t>
      </w:r>
      <w:r w:rsidRPr="0034704D">
        <w:rPr>
          <w:rFonts w:cs="Arial"/>
          <w:lang w:val="es-ES_tradnl"/>
        </w:rPr>
        <w:t xml:space="preserve"> dos resoluciones aprobadas por el Congreso Meteorológico Mundial en su 18ª reunión:</w:t>
      </w:r>
    </w:p>
    <w:p w14:paraId="63D47A4C" w14:textId="74E969B0" w:rsidR="00D54E80" w:rsidRPr="0034704D" w:rsidRDefault="00D54E80" w:rsidP="00C544AC">
      <w:pPr>
        <w:pStyle w:val="NormalWeb"/>
        <w:numPr>
          <w:ilvl w:val="0"/>
          <w:numId w:val="36"/>
        </w:numPr>
        <w:shd w:val="clear" w:color="auto" w:fill="FFFFFF"/>
        <w:tabs>
          <w:tab w:val="clear" w:pos="720"/>
        </w:tabs>
        <w:spacing w:before="0" w:beforeAutospacing="0" w:after="220" w:afterAutospacing="0"/>
        <w:ind w:left="993" w:hanging="420"/>
        <w:jc w:val="both"/>
        <w:textAlignment w:val="baseline"/>
        <w:rPr>
          <w:rFonts w:ascii="Arial" w:hAnsi="Arial" w:cs="Arial"/>
          <w:color w:val="000000"/>
          <w:sz w:val="22"/>
          <w:szCs w:val="22"/>
          <w:lang w:val="es-ES_tradnl"/>
        </w:rPr>
      </w:pPr>
      <w:r w:rsidRPr="0034704D">
        <w:rPr>
          <w:rFonts w:ascii="Arial" w:hAnsi="Arial" w:cs="Arial"/>
          <w:sz w:val="22"/>
          <w:szCs w:val="22"/>
          <w:lang w:val="es-ES_tradnl"/>
        </w:rPr>
        <w:t>la resolución</w:t>
      </w:r>
      <w:r w:rsidR="00C544AC" w:rsidRPr="0034704D">
        <w:rPr>
          <w:rFonts w:ascii="Arial" w:hAnsi="Arial" w:cs="Arial"/>
          <w:sz w:val="22"/>
          <w:szCs w:val="22"/>
          <w:lang w:val="es-ES_tradnl"/>
        </w:rPr>
        <w:t> </w:t>
      </w:r>
      <w:r w:rsidRPr="0034704D">
        <w:rPr>
          <w:rFonts w:ascii="Arial" w:hAnsi="Arial" w:cs="Arial"/>
          <w:sz w:val="22"/>
          <w:szCs w:val="22"/>
          <w:lang w:val="es-ES_tradnl"/>
        </w:rPr>
        <w:t>45</w:t>
      </w:r>
      <w:r w:rsidR="00C544AC" w:rsidRPr="0034704D">
        <w:rPr>
          <w:rFonts w:ascii="Arial" w:hAnsi="Arial" w:cs="Arial"/>
          <w:sz w:val="22"/>
          <w:szCs w:val="22"/>
          <w:lang w:val="es-ES_tradnl"/>
        </w:rPr>
        <w:t> </w:t>
      </w:r>
      <w:r w:rsidRPr="0034704D">
        <w:rPr>
          <w:rFonts w:ascii="Arial" w:hAnsi="Arial" w:cs="Arial"/>
          <w:sz w:val="22"/>
          <w:szCs w:val="22"/>
          <w:lang w:val="es-ES_tradnl"/>
        </w:rPr>
        <w:t xml:space="preserve">(Cg-18), </w:t>
      </w:r>
      <w:r w:rsidR="00552F91" w:rsidRPr="0034704D">
        <w:rPr>
          <w:rFonts w:ascii="Arial" w:hAnsi="Arial" w:cs="Arial"/>
          <w:sz w:val="22"/>
          <w:szCs w:val="22"/>
          <w:lang w:val="es-ES_tradnl"/>
        </w:rPr>
        <w:t>“Velar por una disponibilidad suficiente de observaciones y datos de</w:t>
      </w:r>
      <w:r w:rsidRPr="0034704D">
        <w:rPr>
          <w:rFonts w:ascii="Arial" w:hAnsi="Arial" w:cs="Arial"/>
          <w:sz w:val="22"/>
          <w:szCs w:val="22"/>
          <w:lang w:val="es-ES_tradnl"/>
        </w:rPr>
        <w:t xml:space="preserve"> meteorol</w:t>
      </w:r>
      <w:r w:rsidR="00552F91" w:rsidRPr="0034704D">
        <w:rPr>
          <w:rFonts w:ascii="Arial" w:hAnsi="Arial" w:cs="Arial"/>
          <w:sz w:val="22"/>
          <w:szCs w:val="22"/>
          <w:lang w:val="es-ES_tradnl"/>
        </w:rPr>
        <w:t>ogía</w:t>
      </w:r>
      <w:r w:rsidRPr="0034704D">
        <w:rPr>
          <w:rFonts w:ascii="Arial" w:hAnsi="Arial" w:cs="Arial"/>
          <w:sz w:val="22"/>
          <w:szCs w:val="22"/>
          <w:lang w:val="es-ES_tradnl"/>
        </w:rPr>
        <w:t xml:space="preserve"> marina</w:t>
      </w:r>
      <w:r w:rsidR="00552F91" w:rsidRPr="0034704D">
        <w:rPr>
          <w:rFonts w:ascii="Arial" w:hAnsi="Arial" w:cs="Arial"/>
          <w:sz w:val="22"/>
          <w:szCs w:val="22"/>
          <w:lang w:val="es-ES_tradnl"/>
        </w:rPr>
        <w:t xml:space="preserve"> y oceanográfica</w:t>
      </w:r>
      <w:r w:rsidRPr="0034704D">
        <w:rPr>
          <w:rFonts w:ascii="Arial" w:hAnsi="Arial" w:cs="Arial"/>
          <w:sz w:val="22"/>
          <w:szCs w:val="22"/>
          <w:lang w:val="es-ES_tradnl"/>
        </w:rPr>
        <w:t xml:space="preserve"> </w:t>
      </w:r>
      <w:r w:rsidR="00552F91" w:rsidRPr="0034704D">
        <w:rPr>
          <w:rFonts w:ascii="Arial" w:hAnsi="Arial" w:cs="Arial"/>
          <w:sz w:val="22"/>
          <w:szCs w:val="22"/>
          <w:lang w:val="es-ES_tradnl"/>
        </w:rPr>
        <w:t xml:space="preserve">para </w:t>
      </w:r>
      <w:r w:rsidRPr="0034704D">
        <w:rPr>
          <w:rFonts w:ascii="Arial" w:hAnsi="Arial" w:cs="Arial"/>
          <w:sz w:val="22"/>
          <w:szCs w:val="22"/>
          <w:lang w:val="es-ES_tradnl"/>
        </w:rPr>
        <w:t>la seguridad de la navegación y la protección de la vida</w:t>
      </w:r>
      <w:r w:rsidR="00552F91" w:rsidRPr="0034704D">
        <w:rPr>
          <w:rFonts w:ascii="Arial" w:hAnsi="Arial" w:cs="Arial"/>
          <w:sz w:val="22"/>
          <w:szCs w:val="22"/>
          <w:lang w:val="es-ES_tradnl"/>
        </w:rPr>
        <w:t xml:space="preserve"> humana</w:t>
      </w:r>
      <w:r w:rsidRPr="0034704D">
        <w:rPr>
          <w:rFonts w:ascii="Arial" w:hAnsi="Arial" w:cs="Arial"/>
          <w:sz w:val="22"/>
          <w:szCs w:val="22"/>
          <w:lang w:val="es-ES_tradnl"/>
        </w:rPr>
        <w:t xml:space="preserve"> y</w:t>
      </w:r>
      <w:r w:rsidR="00552F91" w:rsidRPr="0034704D">
        <w:rPr>
          <w:rFonts w:ascii="Arial" w:hAnsi="Arial" w:cs="Arial"/>
          <w:sz w:val="22"/>
          <w:szCs w:val="22"/>
          <w:lang w:val="es-ES_tradnl"/>
        </w:rPr>
        <w:t xml:space="preserve"> de</w:t>
      </w:r>
      <w:r w:rsidRPr="0034704D">
        <w:rPr>
          <w:rFonts w:ascii="Arial" w:hAnsi="Arial" w:cs="Arial"/>
          <w:sz w:val="22"/>
          <w:szCs w:val="22"/>
          <w:lang w:val="es-ES_tradnl"/>
        </w:rPr>
        <w:t xml:space="preserve"> los bienes en zonas costeras y </w:t>
      </w:r>
      <w:r w:rsidR="00552F91" w:rsidRPr="0034704D">
        <w:rPr>
          <w:rFonts w:ascii="Arial" w:hAnsi="Arial" w:cs="Arial"/>
          <w:sz w:val="22"/>
          <w:szCs w:val="22"/>
          <w:lang w:val="es-ES_tradnl"/>
        </w:rPr>
        <w:t>frente a la costa”</w:t>
      </w:r>
      <w:r w:rsidRPr="0034704D">
        <w:rPr>
          <w:rFonts w:ascii="Arial" w:hAnsi="Arial" w:cs="Arial"/>
          <w:sz w:val="22"/>
          <w:szCs w:val="22"/>
          <w:lang w:val="es-ES_tradnl"/>
        </w:rPr>
        <w:t>;</w:t>
      </w:r>
    </w:p>
    <w:p w14:paraId="7EAD49C6" w14:textId="7099858B" w:rsidR="00D54E80" w:rsidRPr="0034704D" w:rsidRDefault="00D54E80" w:rsidP="00C544AC">
      <w:pPr>
        <w:pStyle w:val="NormalWeb"/>
        <w:numPr>
          <w:ilvl w:val="0"/>
          <w:numId w:val="36"/>
        </w:numPr>
        <w:shd w:val="clear" w:color="auto" w:fill="FFFFFF"/>
        <w:tabs>
          <w:tab w:val="clear" w:pos="720"/>
        </w:tabs>
        <w:spacing w:before="0" w:beforeAutospacing="0" w:after="240" w:afterAutospacing="0"/>
        <w:ind w:left="993" w:hanging="420"/>
        <w:jc w:val="both"/>
        <w:textAlignment w:val="baseline"/>
        <w:rPr>
          <w:rFonts w:ascii="Arial" w:hAnsi="Arial" w:cs="Arial"/>
          <w:color w:val="000000"/>
          <w:sz w:val="22"/>
          <w:szCs w:val="22"/>
          <w:lang w:val="es-ES_tradnl"/>
        </w:rPr>
      </w:pPr>
      <w:r w:rsidRPr="0034704D">
        <w:rPr>
          <w:rFonts w:ascii="Arial" w:hAnsi="Arial" w:cs="Arial"/>
          <w:sz w:val="22"/>
          <w:szCs w:val="22"/>
          <w:lang w:val="es-ES_tradnl"/>
        </w:rPr>
        <w:t>la resolución</w:t>
      </w:r>
      <w:r w:rsidR="00C544AC" w:rsidRPr="0034704D">
        <w:rPr>
          <w:rFonts w:ascii="Arial" w:hAnsi="Arial" w:cs="Arial"/>
          <w:sz w:val="22"/>
          <w:szCs w:val="22"/>
          <w:lang w:val="es-ES_tradnl"/>
        </w:rPr>
        <w:t> </w:t>
      </w:r>
      <w:r w:rsidRPr="0034704D">
        <w:rPr>
          <w:rFonts w:ascii="Arial" w:hAnsi="Arial" w:cs="Arial"/>
          <w:sz w:val="22"/>
          <w:szCs w:val="22"/>
          <w:lang w:val="es-ES_tradnl"/>
        </w:rPr>
        <w:t>46</w:t>
      </w:r>
      <w:r w:rsidR="00C544AC" w:rsidRPr="0034704D">
        <w:rPr>
          <w:rFonts w:ascii="Arial" w:hAnsi="Arial" w:cs="Arial"/>
          <w:sz w:val="22"/>
          <w:szCs w:val="22"/>
          <w:lang w:val="es-ES_tradnl"/>
        </w:rPr>
        <w:t> </w:t>
      </w:r>
      <w:r w:rsidRPr="0034704D">
        <w:rPr>
          <w:rFonts w:ascii="Arial" w:hAnsi="Arial" w:cs="Arial"/>
          <w:sz w:val="22"/>
          <w:szCs w:val="22"/>
          <w:lang w:val="es-ES_tradnl"/>
        </w:rPr>
        <w:t xml:space="preserve">(Cg-18), </w:t>
      </w:r>
      <w:r w:rsidR="00867489" w:rsidRPr="0034704D">
        <w:rPr>
          <w:rFonts w:ascii="Arial" w:hAnsi="Arial" w:cs="Arial"/>
          <w:sz w:val="22"/>
          <w:szCs w:val="22"/>
          <w:lang w:val="es-ES_tradnl"/>
        </w:rPr>
        <w:t>“F</w:t>
      </w:r>
      <w:r w:rsidRPr="0034704D">
        <w:rPr>
          <w:rFonts w:ascii="Arial" w:hAnsi="Arial" w:cs="Arial"/>
          <w:sz w:val="22"/>
          <w:szCs w:val="22"/>
          <w:lang w:val="es-ES_tradnl"/>
        </w:rPr>
        <w:t>utura colaboración entre la O</w:t>
      </w:r>
      <w:r w:rsidR="00887366" w:rsidRPr="0034704D">
        <w:rPr>
          <w:rFonts w:ascii="Arial" w:hAnsi="Arial" w:cs="Arial"/>
          <w:sz w:val="22"/>
          <w:szCs w:val="22"/>
          <w:lang w:val="es-ES_tradnl"/>
        </w:rPr>
        <w:t xml:space="preserve">rganización </w:t>
      </w:r>
      <w:r w:rsidRPr="0034704D">
        <w:rPr>
          <w:rFonts w:ascii="Arial" w:hAnsi="Arial" w:cs="Arial"/>
          <w:sz w:val="22"/>
          <w:szCs w:val="22"/>
          <w:lang w:val="es-ES_tradnl"/>
        </w:rPr>
        <w:t>M</w:t>
      </w:r>
      <w:r w:rsidR="00887366" w:rsidRPr="0034704D">
        <w:rPr>
          <w:rFonts w:ascii="Arial" w:hAnsi="Arial" w:cs="Arial"/>
          <w:sz w:val="22"/>
          <w:szCs w:val="22"/>
          <w:lang w:val="es-ES_tradnl"/>
        </w:rPr>
        <w:t xml:space="preserve">eteorológica </w:t>
      </w:r>
      <w:r w:rsidRPr="0034704D">
        <w:rPr>
          <w:rFonts w:ascii="Arial" w:hAnsi="Arial" w:cs="Arial"/>
          <w:sz w:val="22"/>
          <w:szCs w:val="22"/>
          <w:lang w:val="es-ES_tradnl"/>
        </w:rPr>
        <w:t>M</w:t>
      </w:r>
      <w:r w:rsidR="00887366" w:rsidRPr="0034704D">
        <w:rPr>
          <w:rFonts w:ascii="Arial" w:hAnsi="Arial" w:cs="Arial"/>
          <w:sz w:val="22"/>
          <w:szCs w:val="22"/>
          <w:lang w:val="es-ES_tradnl"/>
        </w:rPr>
        <w:t>undial</w:t>
      </w:r>
      <w:r w:rsidRPr="0034704D">
        <w:rPr>
          <w:rFonts w:ascii="Arial" w:hAnsi="Arial" w:cs="Arial"/>
          <w:sz w:val="22"/>
          <w:szCs w:val="22"/>
          <w:lang w:val="es-ES_tradnl"/>
        </w:rPr>
        <w:t xml:space="preserve"> y la Comisión Oceanográfica Intergubernamental para facilitar la </w:t>
      </w:r>
      <w:r w:rsidR="00887366" w:rsidRPr="0034704D">
        <w:rPr>
          <w:rFonts w:ascii="Arial" w:hAnsi="Arial" w:cs="Arial"/>
          <w:sz w:val="22"/>
          <w:szCs w:val="22"/>
          <w:lang w:val="es-ES_tradnl"/>
        </w:rPr>
        <w:t xml:space="preserve">realización de </w:t>
      </w:r>
      <w:r w:rsidRPr="0034704D">
        <w:rPr>
          <w:rFonts w:ascii="Arial" w:hAnsi="Arial" w:cs="Arial"/>
          <w:sz w:val="22"/>
          <w:szCs w:val="22"/>
          <w:lang w:val="es-ES_tradnl"/>
        </w:rPr>
        <w:t>observaci</w:t>
      </w:r>
      <w:r w:rsidR="00887366" w:rsidRPr="0034704D">
        <w:rPr>
          <w:rFonts w:ascii="Arial" w:hAnsi="Arial" w:cs="Arial"/>
          <w:sz w:val="22"/>
          <w:szCs w:val="22"/>
          <w:lang w:val="es-ES_tradnl"/>
        </w:rPr>
        <w:t>ones</w:t>
      </w:r>
      <w:r w:rsidRPr="0034704D">
        <w:rPr>
          <w:rFonts w:ascii="Arial" w:hAnsi="Arial" w:cs="Arial"/>
          <w:sz w:val="22"/>
          <w:szCs w:val="22"/>
          <w:lang w:val="es-ES_tradnl"/>
        </w:rPr>
        <w:t xml:space="preserve"> oceanográfica</w:t>
      </w:r>
      <w:r w:rsidR="00887366" w:rsidRPr="0034704D">
        <w:rPr>
          <w:rFonts w:ascii="Arial" w:hAnsi="Arial" w:cs="Arial"/>
          <w:sz w:val="22"/>
          <w:szCs w:val="22"/>
          <w:lang w:val="es-ES_tradnl"/>
        </w:rPr>
        <w:t>s</w:t>
      </w:r>
      <w:r w:rsidRPr="0034704D">
        <w:rPr>
          <w:rFonts w:ascii="Arial" w:hAnsi="Arial" w:cs="Arial"/>
          <w:sz w:val="22"/>
          <w:szCs w:val="22"/>
          <w:lang w:val="es-ES_tradnl"/>
        </w:rPr>
        <w:t xml:space="preserve"> en las regiones costeras en apoyo </w:t>
      </w:r>
      <w:r w:rsidR="00887366" w:rsidRPr="0034704D">
        <w:rPr>
          <w:rFonts w:ascii="Arial" w:hAnsi="Arial" w:cs="Arial"/>
          <w:sz w:val="22"/>
          <w:szCs w:val="22"/>
          <w:lang w:val="es-ES_tradnl"/>
        </w:rPr>
        <w:t xml:space="preserve">a la predicción del sistema Tierra y </w:t>
      </w:r>
      <w:r w:rsidRPr="0034704D">
        <w:rPr>
          <w:rFonts w:ascii="Arial" w:hAnsi="Arial" w:cs="Arial"/>
          <w:sz w:val="22"/>
          <w:szCs w:val="22"/>
          <w:lang w:val="es-ES_tradnl"/>
        </w:rPr>
        <w:t xml:space="preserve">de </w:t>
      </w:r>
      <w:r w:rsidR="00867489" w:rsidRPr="0034704D">
        <w:rPr>
          <w:rFonts w:ascii="Arial" w:hAnsi="Arial" w:cs="Arial"/>
          <w:sz w:val="22"/>
          <w:szCs w:val="22"/>
          <w:lang w:val="es-ES_tradnl"/>
        </w:rPr>
        <w:t>los servicios climáticos”</w:t>
      </w:r>
      <w:r w:rsidRPr="0034704D">
        <w:rPr>
          <w:rFonts w:ascii="Arial" w:hAnsi="Arial" w:cs="Arial"/>
          <w:sz w:val="22"/>
          <w:szCs w:val="22"/>
          <w:lang w:val="es-ES_tradnl"/>
        </w:rPr>
        <w:t>.</w:t>
      </w:r>
    </w:p>
    <w:p w14:paraId="4D642D42" w14:textId="51F96BAF" w:rsidR="00D54E80" w:rsidRPr="0034704D" w:rsidRDefault="00D54E80" w:rsidP="004E149F">
      <w:pPr>
        <w:pStyle w:val="Style2"/>
        <w:numPr>
          <w:ilvl w:val="0"/>
          <w:numId w:val="23"/>
        </w:numPr>
        <w:tabs>
          <w:tab w:val="left" w:pos="567"/>
        </w:tabs>
        <w:snapToGrid w:val="0"/>
        <w:spacing w:before="240"/>
        <w:ind w:left="0" w:firstLine="0"/>
        <w:rPr>
          <w:rFonts w:cs="Arial"/>
          <w:lang w:val="es-ES_tradnl"/>
        </w:rPr>
      </w:pPr>
      <w:r w:rsidRPr="0034704D">
        <w:rPr>
          <w:rFonts w:cs="Arial"/>
          <w:lang w:val="es-ES_tradnl"/>
        </w:rPr>
        <w:t xml:space="preserve">En la resolución 45 (Cg-18) se reafirma la importancia de las observaciones meteorológicas marinas, incluidas las </w:t>
      </w:r>
      <w:r w:rsidR="00906228" w:rsidRPr="0034704D">
        <w:rPr>
          <w:rFonts w:cs="Arial"/>
          <w:lang w:val="es-ES_tradnl"/>
        </w:rPr>
        <w:t>de</w:t>
      </w:r>
      <w:r w:rsidRPr="0034704D">
        <w:rPr>
          <w:rFonts w:cs="Arial"/>
          <w:lang w:val="es-ES_tradnl"/>
        </w:rPr>
        <w:t xml:space="preserve"> las ZEE, utilizadas </w:t>
      </w:r>
      <w:r w:rsidR="00906228" w:rsidRPr="0034704D">
        <w:rPr>
          <w:rFonts w:cs="Arial"/>
          <w:lang w:val="es-ES_tradnl"/>
        </w:rPr>
        <w:t>a nivel operativo</w:t>
      </w:r>
      <w:r w:rsidRPr="0034704D">
        <w:rPr>
          <w:rFonts w:cs="Arial"/>
          <w:lang w:val="es-ES_tradnl"/>
        </w:rPr>
        <w:t xml:space="preserve"> por los Miembros de la OMM para </w:t>
      </w:r>
      <w:r w:rsidR="00906228" w:rsidRPr="0034704D">
        <w:rPr>
          <w:rFonts w:cs="Arial"/>
          <w:lang w:val="es-ES_tradnl"/>
        </w:rPr>
        <w:t>la prestación de</w:t>
      </w:r>
      <w:r w:rsidRPr="0034704D">
        <w:rPr>
          <w:rFonts w:cs="Arial"/>
          <w:lang w:val="es-ES_tradnl"/>
        </w:rPr>
        <w:t xml:space="preserve"> servicios </w:t>
      </w:r>
      <w:r w:rsidR="00906228" w:rsidRPr="0034704D">
        <w:rPr>
          <w:rFonts w:cs="Arial"/>
          <w:lang w:val="es-ES_tradnl"/>
        </w:rPr>
        <w:t>en</w:t>
      </w:r>
      <w:r w:rsidRPr="0034704D">
        <w:rPr>
          <w:rFonts w:cs="Arial"/>
          <w:lang w:val="es-ES_tradnl"/>
        </w:rPr>
        <w:t xml:space="preserve"> apoyo </w:t>
      </w:r>
      <w:r w:rsidR="00906228" w:rsidRPr="0034704D">
        <w:rPr>
          <w:rFonts w:cs="Arial"/>
          <w:lang w:val="es-ES_tradnl"/>
        </w:rPr>
        <w:t>de</w:t>
      </w:r>
      <w:r w:rsidRPr="0034704D">
        <w:rPr>
          <w:rFonts w:cs="Arial"/>
          <w:lang w:val="es-ES_tradnl"/>
        </w:rPr>
        <w:t xml:space="preserve"> la seguridad de la navegación y la protección de la vida </w:t>
      </w:r>
      <w:r w:rsidR="00906228" w:rsidRPr="0034704D">
        <w:rPr>
          <w:rFonts w:cs="Arial"/>
          <w:lang w:val="es-ES_tradnl"/>
        </w:rPr>
        <w:t xml:space="preserve">humana </w:t>
      </w:r>
      <w:r w:rsidRPr="0034704D">
        <w:rPr>
          <w:rFonts w:cs="Arial"/>
          <w:lang w:val="es-ES_tradnl"/>
        </w:rPr>
        <w:t xml:space="preserve">y </w:t>
      </w:r>
      <w:r w:rsidR="00906228" w:rsidRPr="0034704D">
        <w:rPr>
          <w:rFonts w:cs="Arial"/>
          <w:lang w:val="es-ES_tradnl"/>
        </w:rPr>
        <w:t xml:space="preserve">de </w:t>
      </w:r>
      <w:r w:rsidRPr="0034704D">
        <w:rPr>
          <w:rFonts w:cs="Arial"/>
          <w:lang w:val="es-ES_tradnl"/>
        </w:rPr>
        <w:t xml:space="preserve">los bienes en zonas costeras y </w:t>
      </w:r>
      <w:r w:rsidR="004E24DE" w:rsidRPr="0034704D">
        <w:rPr>
          <w:rFonts w:cs="Arial"/>
          <w:lang w:val="es-ES_tradnl"/>
        </w:rPr>
        <w:t>frente a la costa</w:t>
      </w:r>
      <w:r w:rsidRPr="0034704D">
        <w:rPr>
          <w:rFonts w:cs="Arial"/>
          <w:lang w:val="es-ES_tradnl"/>
        </w:rPr>
        <w:t xml:space="preserve">. Además, se aclara el régimen jurídico en el que operan la red de buques de observación voluntaria (BOV) y las plataformas de observación </w:t>
      </w:r>
      <w:r w:rsidR="004E24DE" w:rsidRPr="0034704D">
        <w:rPr>
          <w:rFonts w:cs="Arial"/>
          <w:lang w:val="es-ES_tradnl"/>
        </w:rPr>
        <w:t>en</w:t>
      </w:r>
      <w:r w:rsidRPr="0034704D">
        <w:rPr>
          <w:rFonts w:cs="Arial"/>
          <w:lang w:val="es-ES_tradnl"/>
        </w:rPr>
        <w:t xml:space="preserve"> superficie en la toma de observaciones meteorológicas marinas, ya que </w:t>
      </w:r>
      <w:r w:rsidR="004E24DE" w:rsidRPr="0034704D">
        <w:rPr>
          <w:rFonts w:cs="Arial"/>
          <w:lang w:val="es-ES_tradnl"/>
        </w:rPr>
        <w:t>no están contemplados en</w:t>
      </w:r>
      <w:r w:rsidRPr="0034704D">
        <w:rPr>
          <w:rFonts w:cs="Arial"/>
          <w:lang w:val="es-ES_tradnl"/>
        </w:rPr>
        <w:t xml:space="preserve"> la parte XIII de la CNUDM (Investigación científica marina) y, </w:t>
      </w:r>
      <w:r w:rsidR="004E24DE" w:rsidRPr="0034704D">
        <w:rPr>
          <w:rFonts w:cs="Arial"/>
          <w:lang w:val="es-ES_tradnl"/>
        </w:rPr>
        <w:t>en consecuencia</w:t>
      </w:r>
      <w:r w:rsidRPr="0034704D">
        <w:rPr>
          <w:rFonts w:cs="Arial"/>
          <w:lang w:val="es-ES_tradnl"/>
        </w:rPr>
        <w:t>, p</w:t>
      </w:r>
      <w:r w:rsidR="004E24DE" w:rsidRPr="0034704D">
        <w:rPr>
          <w:rFonts w:cs="Arial"/>
          <w:lang w:val="es-ES_tradnl"/>
        </w:rPr>
        <w:t>ued</w:t>
      </w:r>
      <w:r w:rsidRPr="0034704D">
        <w:rPr>
          <w:rFonts w:cs="Arial"/>
          <w:lang w:val="es-ES_tradnl"/>
        </w:rPr>
        <w:t xml:space="preserve">en operar </w:t>
      </w:r>
      <w:r w:rsidR="004E24DE" w:rsidRPr="0034704D">
        <w:rPr>
          <w:rFonts w:cs="Arial"/>
          <w:lang w:val="es-ES_tradnl"/>
        </w:rPr>
        <w:t>libremente</w:t>
      </w:r>
      <w:r w:rsidRPr="0034704D">
        <w:rPr>
          <w:rFonts w:cs="Arial"/>
          <w:lang w:val="es-ES_tradnl"/>
        </w:rPr>
        <w:t xml:space="preserve"> en las ZEE; al mismo tiempo, se respetan los principios generales de la CNUDM, como </w:t>
      </w:r>
      <w:r w:rsidR="005D0AE8" w:rsidRPr="0034704D">
        <w:rPr>
          <w:rFonts w:cs="Arial"/>
          <w:lang w:val="es-ES_tradnl"/>
        </w:rPr>
        <w:t>el uso</w:t>
      </w:r>
      <w:r w:rsidRPr="0034704D">
        <w:rPr>
          <w:rFonts w:cs="Arial"/>
          <w:lang w:val="es-ES_tradnl"/>
        </w:rPr>
        <w:t xml:space="preserve"> del mar con fines pacíficos, la protección de la vida humana en el mar y la difusión de información.</w:t>
      </w:r>
    </w:p>
    <w:p w14:paraId="71E576C3" w14:textId="038709E9" w:rsidR="006A1417" w:rsidRPr="0034704D" w:rsidRDefault="00D54E80" w:rsidP="004E149F">
      <w:pPr>
        <w:pStyle w:val="Style2"/>
        <w:numPr>
          <w:ilvl w:val="0"/>
          <w:numId w:val="23"/>
        </w:numPr>
        <w:tabs>
          <w:tab w:val="left" w:pos="567"/>
        </w:tabs>
        <w:snapToGrid w:val="0"/>
        <w:ind w:left="0" w:firstLine="0"/>
        <w:rPr>
          <w:rFonts w:cs="Arial"/>
          <w:lang w:val="es-ES_tradnl"/>
        </w:rPr>
      </w:pPr>
      <w:r w:rsidRPr="0034704D">
        <w:rPr>
          <w:rFonts w:cs="Arial"/>
          <w:lang w:val="es-ES_tradnl"/>
        </w:rPr>
        <w:t xml:space="preserve">En la resolución 46 (Cg-18) se toma nota de los 20 años de trabajo de la COI </w:t>
      </w:r>
      <w:r w:rsidR="00887366" w:rsidRPr="0034704D">
        <w:rPr>
          <w:rFonts w:cs="Arial"/>
          <w:lang w:val="es-ES_tradnl"/>
        </w:rPr>
        <w:t>a fin de desarrollar</w:t>
      </w:r>
      <w:r w:rsidRPr="0034704D">
        <w:rPr>
          <w:rFonts w:cs="Arial"/>
          <w:lang w:val="es-ES_tradnl"/>
        </w:rPr>
        <w:t xml:space="preserve"> un marco de cooperación </w:t>
      </w:r>
      <w:r w:rsidR="00887366" w:rsidRPr="0034704D">
        <w:rPr>
          <w:rFonts w:cs="Arial"/>
          <w:lang w:val="es-ES_tradnl"/>
        </w:rPr>
        <w:t>para la difusión</w:t>
      </w:r>
      <w:r w:rsidRPr="0034704D">
        <w:rPr>
          <w:rFonts w:cs="Arial"/>
          <w:lang w:val="es-ES_tradnl"/>
        </w:rPr>
        <w:t xml:space="preserve"> de datos oceánicos en las ZEE, se reconoce que los modelos y servicios de </w:t>
      </w:r>
      <w:r w:rsidR="00071C64" w:rsidRPr="0034704D">
        <w:rPr>
          <w:rFonts w:cs="Arial"/>
          <w:lang w:val="es-ES_tradnl"/>
        </w:rPr>
        <w:t>predicción operativos</w:t>
      </w:r>
      <w:r w:rsidRPr="0034704D">
        <w:rPr>
          <w:rFonts w:cs="Arial"/>
          <w:lang w:val="es-ES_tradnl"/>
        </w:rPr>
        <w:t xml:space="preserve"> de la OMM dependen cada vez más de</w:t>
      </w:r>
      <w:r w:rsidR="00071C64" w:rsidRPr="0034704D">
        <w:rPr>
          <w:rFonts w:cs="Arial"/>
          <w:lang w:val="es-ES_tradnl"/>
        </w:rPr>
        <w:t xml:space="preserve"> la disponibilidad de</w:t>
      </w:r>
      <w:r w:rsidRPr="0034704D">
        <w:rPr>
          <w:rFonts w:cs="Arial"/>
          <w:lang w:val="es-ES_tradnl"/>
        </w:rPr>
        <w:t xml:space="preserve"> flujos </w:t>
      </w:r>
      <w:r w:rsidR="00071C64" w:rsidRPr="0034704D">
        <w:rPr>
          <w:rFonts w:cs="Arial"/>
          <w:lang w:val="es-ES_tradnl"/>
        </w:rPr>
        <w:t xml:space="preserve">continuados </w:t>
      </w:r>
      <w:r w:rsidRPr="0034704D">
        <w:rPr>
          <w:rFonts w:cs="Arial"/>
          <w:lang w:val="es-ES_tradnl"/>
        </w:rPr>
        <w:t>de datos mundiales de observaciones subsuperfici</w:t>
      </w:r>
      <w:r w:rsidR="00071C64" w:rsidRPr="0034704D">
        <w:rPr>
          <w:rFonts w:cs="Arial"/>
          <w:lang w:val="es-ES_tradnl"/>
        </w:rPr>
        <w:t>ales</w:t>
      </w:r>
      <w:r w:rsidRPr="0034704D">
        <w:rPr>
          <w:rFonts w:cs="Arial"/>
          <w:lang w:val="es-ES_tradnl"/>
        </w:rPr>
        <w:t xml:space="preserve"> y se decide determinar las necesidades de variables oceánicas subsuperfici</w:t>
      </w:r>
      <w:r w:rsidR="00071C64" w:rsidRPr="0034704D">
        <w:rPr>
          <w:rFonts w:cs="Arial"/>
          <w:lang w:val="es-ES_tradnl"/>
        </w:rPr>
        <w:t>ales</w:t>
      </w:r>
      <w:r w:rsidRPr="0034704D">
        <w:rPr>
          <w:rFonts w:cs="Arial"/>
          <w:lang w:val="es-ES_tradnl"/>
        </w:rPr>
        <w:t xml:space="preserve"> </w:t>
      </w:r>
      <w:r w:rsidR="00071C64" w:rsidRPr="0034704D">
        <w:rPr>
          <w:rFonts w:cs="Arial"/>
          <w:lang w:val="es-ES_tradnl"/>
        </w:rPr>
        <w:t>a fin de</w:t>
      </w:r>
      <w:r w:rsidRPr="0034704D">
        <w:rPr>
          <w:rFonts w:cs="Arial"/>
          <w:lang w:val="es-ES_tradnl"/>
        </w:rPr>
        <w:t xml:space="preserve"> mejorar la calidad de esas pre</w:t>
      </w:r>
      <w:r w:rsidR="00071C64" w:rsidRPr="0034704D">
        <w:rPr>
          <w:rFonts w:cs="Arial"/>
          <w:lang w:val="es-ES_tradnl"/>
        </w:rPr>
        <w:t>dicc</w:t>
      </w:r>
      <w:r w:rsidRPr="0034704D">
        <w:rPr>
          <w:rFonts w:cs="Arial"/>
          <w:lang w:val="es-ES_tradnl"/>
        </w:rPr>
        <w:t>iones y servicios, así como colaborar estrechamente con la COI a fin de e</w:t>
      </w:r>
      <w:r w:rsidR="00071C64" w:rsidRPr="0034704D">
        <w:rPr>
          <w:rFonts w:cs="Arial"/>
          <w:lang w:val="es-ES_tradnl"/>
        </w:rPr>
        <w:t>xamin</w:t>
      </w:r>
      <w:r w:rsidRPr="0034704D">
        <w:rPr>
          <w:rFonts w:cs="Arial"/>
          <w:lang w:val="es-ES_tradnl"/>
        </w:rPr>
        <w:t xml:space="preserve">ar mecanismos que permitan </w:t>
      </w:r>
      <w:r w:rsidR="00071C64" w:rsidRPr="0034704D">
        <w:rPr>
          <w:rFonts w:cs="Arial"/>
          <w:lang w:val="es-ES_tradnl"/>
        </w:rPr>
        <w:t>el</w:t>
      </w:r>
      <w:r w:rsidRPr="0034704D">
        <w:rPr>
          <w:rFonts w:cs="Arial"/>
          <w:lang w:val="es-ES_tradnl"/>
        </w:rPr>
        <w:t xml:space="preserve"> libre </w:t>
      </w:r>
      <w:r w:rsidR="00071C64" w:rsidRPr="0034704D">
        <w:rPr>
          <w:rFonts w:cs="Arial"/>
          <w:lang w:val="es-ES_tradnl"/>
        </w:rPr>
        <w:t>intercambio de los</w:t>
      </w:r>
      <w:r w:rsidRPr="0034704D">
        <w:rPr>
          <w:rFonts w:cs="Arial"/>
          <w:lang w:val="es-ES_tradnl"/>
        </w:rPr>
        <w:t xml:space="preserve"> datos oceánicos </w:t>
      </w:r>
      <w:r w:rsidR="00071C64" w:rsidRPr="0034704D">
        <w:rPr>
          <w:rFonts w:cs="Arial"/>
          <w:lang w:val="es-ES_tradnl"/>
        </w:rPr>
        <w:t xml:space="preserve">subsuperficiales </w:t>
      </w:r>
      <w:r w:rsidRPr="0034704D">
        <w:rPr>
          <w:rFonts w:cs="Arial"/>
          <w:lang w:val="es-ES_tradnl"/>
        </w:rPr>
        <w:t>de mayor impacto. La Asamblea del COI tomó nota de ambas resoluciones en su 30ª</w:t>
      </w:r>
      <w:r w:rsidR="004E149F" w:rsidRPr="0034704D">
        <w:rPr>
          <w:rFonts w:cs="Arial"/>
          <w:lang w:val="es-ES_tradnl"/>
        </w:rPr>
        <w:t> </w:t>
      </w:r>
      <w:r w:rsidRPr="0034704D">
        <w:rPr>
          <w:rFonts w:cs="Arial"/>
          <w:lang w:val="es-ES_tradnl"/>
        </w:rPr>
        <w:t>reunión (punto</w:t>
      </w:r>
      <w:r w:rsidR="004E149F" w:rsidRPr="0034704D">
        <w:rPr>
          <w:rFonts w:cs="Arial"/>
          <w:lang w:val="es-ES_tradnl"/>
        </w:rPr>
        <w:t> </w:t>
      </w:r>
      <w:r w:rsidRPr="0034704D">
        <w:rPr>
          <w:rFonts w:cs="Arial"/>
          <w:lang w:val="es-ES_tradnl"/>
        </w:rPr>
        <w:t>7.1.1).</w:t>
      </w:r>
    </w:p>
    <w:p w14:paraId="68A79FFF" w14:textId="0A17563C" w:rsidR="006A1417" w:rsidRPr="0034704D" w:rsidRDefault="00124AE1" w:rsidP="004E149F">
      <w:pPr>
        <w:pStyle w:val="Style2"/>
        <w:numPr>
          <w:ilvl w:val="0"/>
          <w:numId w:val="23"/>
        </w:numPr>
        <w:tabs>
          <w:tab w:val="left" w:pos="567"/>
        </w:tabs>
        <w:snapToGrid w:val="0"/>
        <w:ind w:left="0" w:firstLine="0"/>
        <w:rPr>
          <w:rFonts w:cs="Arial"/>
          <w:lang w:val="es-ES_tradnl"/>
        </w:rPr>
      </w:pPr>
      <w:r w:rsidRPr="0034704D">
        <w:rPr>
          <w:rFonts w:cs="Arial"/>
          <w:lang w:val="es-ES_tradnl"/>
        </w:rPr>
        <w:lastRenderedPageBreak/>
        <w:t>En febrero de 2020, el GOOS celebró un taller de expertos sobre las observaciones oceánicas en zonas sujetas a jurisdicción nacional (</w:t>
      </w:r>
      <w:hyperlink r:id="rId8" w:history="1">
        <w:r w:rsidRPr="0034704D">
          <w:rPr>
            <w:rStyle w:val="Hyperlink"/>
            <w:rFonts w:cs="Arial"/>
            <w:lang w:val="es-ES_tradnl"/>
          </w:rPr>
          <w:t>Informes del GOOS, 246</w:t>
        </w:r>
      </w:hyperlink>
      <w:r w:rsidRPr="0034704D">
        <w:rPr>
          <w:rFonts w:cs="Arial"/>
          <w:lang w:val="es-ES_tradnl"/>
        </w:rPr>
        <w:t>), a raíz de una serie de solicitudes de los responsables de las redes mundiales de observación de</w:t>
      </w:r>
      <w:r w:rsidR="00011FED" w:rsidRPr="0034704D">
        <w:rPr>
          <w:rFonts w:cs="Arial"/>
          <w:lang w:val="es-ES_tradnl"/>
        </w:rPr>
        <w:t>l</w:t>
      </w:r>
      <w:r w:rsidRPr="0034704D">
        <w:rPr>
          <w:rFonts w:cs="Arial"/>
          <w:lang w:val="es-ES_tradnl"/>
        </w:rPr>
        <w:t xml:space="preserve"> océano para que se examinaran l</w:t>
      </w:r>
      <w:r w:rsidR="00011FED" w:rsidRPr="0034704D">
        <w:rPr>
          <w:rFonts w:cs="Arial"/>
          <w:lang w:val="es-ES_tradnl"/>
        </w:rPr>
        <w:t>a</w:t>
      </w:r>
      <w:r w:rsidRPr="0034704D">
        <w:rPr>
          <w:rFonts w:cs="Arial"/>
          <w:lang w:val="es-ES_tradnl"/>
        </w:rPr>
        <w:t>s numeros</w:t>
      </w:r>
      <w:r w:rsidR="00011FED" w:rsidRPr="0034704D">
        <w:rPr>
          <w:rFonts w:cs="Arial"/>
          <w:lang w:val="es-ES_tradnl"/>
        </w:rPr>
        <w:t>a</w:t>
      </w:r>
      <w:r w:rsidRPr="0034704D">
        <w:rPr>
          <w:rFonts w:cs="Arial"/>
          <w:lang w:val="es-ES_tradnl"/>
        </w:rPr>
        <w:t xml:space="preserve">s </w:t>
      </w:r>
      <w:r w:rsidR="00011FED" w:rsidRPr="0034704D">
        <w:rPr>
          <w:rFonts w:cs="Arial"/>
          <w:lang w:val="es-ES_tradnl"/>
        </w:rPr>
        <w:t>dificultade</w:t>
      </w:r>
      <w:r w:rsidRPr="0034704D">
        <w:rPr>
          <w:rFonts w:cs="Arial"/>
          <w:lang w:val="es-ES_tradnl"/>
        </w:rPr>
        <w:t>s de las observaciones oceánicas en las ZEE. Los debates del taller, que duró dos días, se centraron en la realización de observaciones oceánicas permanentes o a largo plazo en aguas sujetas a</w:t>
      </w:r>
      <w:r w:rsidR="00011FED" w:rsidRPr="0034704D">
        <w:rPr>
          <w:rFonts w:cs="Arial"/>
          <w:lang w:val="es-ES_tradnl"/>
        </w:rPr>
        <w:t xml:space="preserve"> la</w:t>
      </w:r>
      <w:r w:rsidRPr="0034704D">
        <w:rPr>
          <w:rFonts w:cs="Arial"/>
          <w:lang w:val="es-ES_tradnl"/>
        </w:rPr>
        <w:t xml:space="preserve"> jurisdicción nacional. Entre los participantes, convocados a título personal en calidad de expertos, figuraban representantes de las redes mundiales de observación permanente de</w:t>
      </w:r>
      <w:r w:rsidR="00011FED" w:rsidRPr="0034704D">
        <w:rPr>
          <w:rFonts w:cs="Arial"/>
          <w:lang w:val="es-ES_tradnl"/>
        </w:rPr>
        <w:t>l</w:t>
      </w:r>
      <w:r w:rsidRPr="0034704D">
        <w:rPr>
          <w:rFonts w:cs="Arial"/>
          <w:lang w:val="es-ES_tradnl"/>
        </w:rPr>
        <w:t xml:space="preserve"> océano en el marco del Grupo de Coordinación de Observaciones (OCG), expertos en derecho internacional del mar (académicos y la División de Asuntos Oceánicos y del Derecho del Mar de la Oficina de Asuntos Jurídicos de las Naciones Unidas) y representantes de las secretarías de la COI y de la OMM.</w:t>
      </w:r>
    </w:p>
    <w:p w14:paraId="05EF48F0" w14:textId="492E2EA9" w:rsidR="006A1417" w:rsidRPr="0034704D" w:rsidRDefault="00124AE1" w:rsidP="004E149F">
      <w:pPr>
        <w:pStyle w:val="Style2"/>
        <w:numPr>
          <w:ilvl w:val="0"/>
          <w:numId w:val="23"/>
        </w:numPr>
        <w:tabs>
          <w:tab w:val="left" w:pos="567"/>
        </w:tabs>
        <w:snapToGrid w:val="0"/>
        <w:ind w:left="0" w:firstLine="0"/>
        <w:rPr>
          <w:rFonts w:cs="Arial"/>
          <w:lang w:val="es-ES_tradnl"/>
        </w:rPr>
      </w:pPr>
      <w:r w:rsidRPr="0034704D">
        <w:rPr>
          <w:rFonts w:cs="Arial"/>
          <w:lang w:val="es-ES_tradnl"/>
        </w:rPr>
        <w:t xml:space="preserve">En el taller se </w:t>
      </w:r>
      <w:r w:rsidR="00011FED" w:rsidRPr="0034704D">
        <w:rPr>
          <w:rFonts w:cs="Arial"/>
          <w:lang w:val="es-ES_tradnl"/>
        </w:rPr>
        <w:t>analiz</w:t>
      </w:r>
      <w:r w:rsidRPr="0034704D">
        <w:rPr>
          <w:rFonts w:cs="Arial"/>
          <w:lang w:val="es-ES_tradnl"/>
        </w:rPr>
        <w:t xml:space="preserve">ó una serie de problemas </w:t>
      </w:r>
      <w:r w:rsidR="00011FED" w:rsidRPr="0034704D">
        <w:rPr>
          <w:rFonts w:cs="Arial"/>
          <w:lang w:val="es-ES_tradnl"/>
        </w:rPr>
        <w:t>“</w:t>
      </w:r>
      <w:r w:rsidRPr="0034704D">
        <w:rPr>
          <w:rFonts w:cs="Arial"/>
          <w:lang w:val="es-ES_tradnl"/>
        </w:rPr>
        <w:t>de la vida real</w:t>
      </w:r>
      <w:r w:rsidR="00011FED" w:rsidRPr="0034704D">
        <w:rPr>
          <w:rFonts w:cs="Arial"/>
          <w:lang w:val="es-ES_tradnl"/>
        </w:rPr>
        <w:t>”</w:t>
      </w:r>
      <w:r w:rsidRPr="0034704D">
        <w:rPr>
          <w:rFonts w:cs="Arial"/>
          <w:lang w:val="es-ES_tradnl"/>
        </w:rPr>
        <w:t xml:space="preserve"> a los que se enfrentan las redes mundiales de observación permanente de</w:t>
      </w:r>
      <w:r w:rsidR="00011FED" w:rsidRPr="0034704D">
        <w:rPr>
          <w:rFonts w:cs="Arial"/>
          <w:lang w:val="es-ES_tradnl"/>
        </w:rPr>
        <w:t>l</w:t>
      </w:r>
      <w:r w:rsidRPr="0034704D">
        <w:rPr>
          <w:rFonts w:cs="Arial"/>
          <w:lang w:val="es-ES_tradnl"/>
        </w:rPr>
        <w:t xml:space="preserve"> océano al realizar observaciones en zonas sujetas a la jurisdicción nacional, en particular las ZEE de los Estados ribereños. También se debatió sobre el valor de las observaciones para los Estados ribereños y las posibles preocupaciones de estos </w:t>
      </w:r>
      <w:r w:rsidR="003F1381" w:rsidRPr="0034704D">
        <w:rPr>
          <w:rFonts w:cs="Arial"/>
          <w:lang w:val="es-ES_tradnl"/>
        </w:rPr>
        <w:t>con respecto a</w:t>
      </w:r>
      <w:r w:rsidRPr="0034704D">
        <w:rPr>
          <w:rFonts w:cs="Arial"/>
          <w:lang w:val="es-ES_tradnl"/>
        </w:rPr>
        <w:t xml:space="preserve"> las observaciones oceánicas permanentes en las zonas sujetas a su jurisdicción nacional. Además, se definieron marcos prácticos (espacios de solución), en el contexto de la CNUDM, para hacer frente a esos desafíos y se ofrecieron recomendaciones para la acción del GOOS, la COI, la OMM y la Oficina de Asuntos Jurídicos de las Naciones Unidas, a través de su División de Asuntos Oceánicos y del Derecho del Mar (DAODM).</w:t>
      </w:r>
    </w:p>
    <w:p w14:paraId="236EC171" w14:textId="04491342" w:rsidR="006A1417" w:rsidRPr="0034704D" w:rsidRDefault="00124AE1" w:rsidP="00C544AC">
      <w:pPr>
        <w:pStyle w:val="Style2"/>
        <w:numPr>
          <w:ilvl w:val="0"/>
          <w:numId w:val="23"/>
        </w:numPr>
        <w:tabs>
          <w:tab w:val="left" w:pos="567"/>
        </w:tabs>
        <w:snapToGrid w:val="0"/>
        <w:spacing w:after="220"/>
        <w:ind w:left="0" w:firstLine="0"/>
        <w:rPr>
          <w:rFonts w:cs="Arial"/>
          <w:lang w:val="es-ES_tradnl"/>
        </w:rPr>
      </w:pPr>
      <w:r w:rsidRPr="0034704D">
        <w:rPr>
          <w:rFonts w:cs="Arial"/>
          <w:lang w:val="es-ES_tradnl"/>
        </w:rPr>
        <w:t xml:space="preserve">Mediante el examen de estos ejemplos de la </w:t>
      </w:r>
      <w:r w:rsidR="00011FED" w:rsidRPr="0034704D">
        <w:rPr>
          <w:rFonts w:cs="Arial"/>
          <w:lang w:val="es-ES_tradnl"/>
        </w:rPr>
        <w:t>“</w:t>
      </w:r>
      <w:r w:rsidRPr="0034704D">
        <w:rPr>
          <w:rFonts w:cs="Arial"/>
          <w:lang w:val="es-ES_tradnl"/>
        </w:rPr>
        <w:t>vida real</w:t>
      </w:r>
      <w:r w:rsidR="00011FED" w:rsidRPr="0034704D">
        <w:rPr>
          <w:rFonts w:cs="Arial"/>
          <w:lang w:val="es-ES_tradnl"/>
        </w:rPr>
        <w:t>”</w:t>
      </w:r>
      <w:r w:rsidRPr="0034704D">
        <w:rPr>
          <w:rFonts w:cs="Arial"/>
          <w:lang w:val="es-ES_tradnl"/>
        </w:rPr>
        <w:t>, el equipo del taller señaló los principales desafíos para las redes de observación permanente, que se señalan a continuación:</w:t>
      </w:r>
    </w:p>
    <w:p w14:paraId="40E57F82" w14:textId="6B335A8E" w:rsidR="00C9368C" w:rsidRPr="0034704D" w:rsidRDefault="00C9368C" w:rsidP="00C544AC">
      <w:pPr>
        <w:pStyle w:val="NormalWeb"/>
        <w:numPr>
          <w:ilvl w:val="0"/>
          <w:numId w:val="36"/>
        </w:numPr>
        <w:shd w:val="clear" w:color="auto" w:fill="FFFFFF"/>
        <w:tabs>
          <w:tab w:val="clear" w:pos="720"/>
        </w:tabs>
        <w:spacing w:before="0" w:beforeAutospacing="0" w:after="220" w:afterAutospacing="0"/>
        <w:ind w:left="993" w:hanging="420"/>
        <w:jc w:val="both"/>
        <w:textAlignment w:val="baseline"/>
        <w:rPr>
          <w:rFonts w:ascii="Arial" w:hAnsi="Arial" w:cs="Arial"/>
          <w:color w:val="000000"/>
          <w:sz w:val="22"/>
          <w:szCs w:val="22"/>
          <w:lang w:val="es-ES_tradnl"/>
        </w:rPr>
      </w:pPr>
      <w:r w:rsidRPr="0034704D">
        <w:rPr>
          <w:rFonts w:ascii="Arial" w:hAnsi="Arial" w:cs="Arial"/>
          <w:sz w:val="22"/>
          <w:szCs w:val="22"/>
          <w:lang w:val="es-ES_tradnl"/>
        </w:rPr>
        <w:t xml:space="preserve">la incompatibilidad del proceso de </w:t>
      </w:r>
      <w:r w:rsidR="003F1381" w:rsidRPr="0034704D">
        <w:rPr>
          <w:rFonts w:ascii="Arial" w:hAnsi="Arial" w:cs="Arial"/>
          <w:sz w:val="22"/>
          <w:szCs w:val="22"/>
          <w:lang w:val="es-ES_tradnl"/>
        </w:rPr>
        <w:t>consentimiento</w:t>
      </w:r>
      <w:r w:rsidRPr="0034704D">
        <w:rPr>
          <w:rFonts w:ascii="Arial" w:hAnsi="Arial" w:cs="Arial"/>
          <w:sz w:val="22"/>
          <w:szCs w:val="22"/>
          <w:lang w:val="es-ES_tradnl"/>
        </w:rPr>
        <w:t xml:space="preserve"> para realizar investigaciones científicas marinas con la realidad operacional de la observación oceánica permanente, por ejemplo, lo que </w:t>
      </w:r>
      <w:r w:rsidR="003F1381" w:rsidRPr="0034704D">
        <w:rPr>
          <w:rFonts w:ascii="Arial" w:hAnsi="Arial" w:cs="Arial"/>
          <w:sz w:val="22"/>
          <w:szCs w:val="22"/>
          <w:lang w:val="es-ES_tradnl"/>
        </w:rPr>
        <w:t>hace necesario</w:t>
      </w:r>
      <w:r w:rsidRPr="0034704D">
        <w:rPr>
          <w:rFonts w:ascii="Arial" w:hAnsi="Arial" w:cs="Arial"/>
          <w:sz w:val="22"/>
          <w:szCs w:val="22"/>
          <w:lang w:val="es-ES_tradnl"/>
        </w:rPr>
        <w:t xml:space="preserve"> presentar hasta 100 solicitudes al año;</w:t>
      </w:r>
    </w:p>
    <w:p w14:paraId="3F5976DE" w14:textId="69D1F2C6" w:rsidR="00C9368C" w:rsidRPr="0034704D" w:rsidRDefault="00C9368C" w:rsidP="00C544AC">
      <w:pPr>
        <w:pStyle w:val="NormalWeb"/>
        <w:numPr>
          <w:ilvl w:val="0"/>
          <w:numId w:val="36"/>
        </w:numPr>
        <w:shd w:val="clear" w:color="auto" w:fill="FFFFFF"/>
        <w:tabs>
          <w:tab w:val="clear" w:pos="720"/>
        </w:tabs>
        <w:spacing w:before="0" w:beforeAutospacing="0" w:after="220" w:afterAutospacing="0"/>
        <w:ind w:left="993" w:hanging="420"/>
        <w:jc w:val="both"/>
        <w:textAlignment w:val="baseline"/>
        <w:rPr>
          <w:rFonts w:ascii="Arial" w:hAnsi="Arial" w:cs="Arial"/>
          <w:color w:val="000000"/>
          <w:sz w:val="22"/>
          <w:szCs w:val="22"/>
          <w:lang w:val="es-ES_tradnl"/>
        </w:rPr>
      </w:pPr>
      <w:r w:rsidRPr="0034704D">
        <w:rPr>
          <w:rFonts w:ascii="Arial" w:hAnsi="Arial" w:cs="Arial"/>
          <w:sz w:val="22"/>
          <w:szCs w:val="22"/>
          <w:lang w:val="es-ES_tradnl"/>
        </w:rPr>
        <w:t xml:space="preserve">la incompatibilidad de la notificación anticipada relacionada con el proceso de </w:t>
      </w:r>
      <w:r w:rsidR="003F1381" w:rsidRPr="0034704D">
        <w:rPr>
          <w:rFonts w:ascii="Arial" w:hAnsi="Arial" w:cs="Arial"/>
          <w:sz w:val="22"/>
          <w:szCs w:val="22"/>
          <w:lang w:val="es-ES_tradnl"/>
        </w:rPr>
        <w:t>consentimiento</w:t>
      </w:r>
      <w:r w:rsidRPr="0034704D">
        <w:rPr>
          <w:rFonts w:ascii="Arial" w:hAnsi="Arial" w:cs="Arial"/>
          <w:sz w:val="22"/>
          <w:szCs w:val="22"/>
          <w:lang w:val="es-ES_tradnl"/>
        </w:rPr>
        <w:t xml:space="preserve"> para realizar investigaciones científicas marinas con el funcionamiento de algunas plataformas de observación oceánica permanente, debido a su naturaleza (buques comerciales, sensores portados por animales, boyas de deriva), y la imposibilidad para algunas redes de proporcionar una notificación anticipada;</w:t>
      </w:r>
    </w:p>
    <w:p w14:paraId="6631F7EA" w14:textId="05F9174A" w:rsidR="00C9368C" w:rsidRPr="0034704D" w:rsidRDefault="00C9368C" w:rsidP="00C544AC">
      <w:pPr>
        <w:pStyle w:val="NormalWeb"/>
        <w:numPr>
          <w:ilvl w:val="0"/>
          <w:numId w:val="36"/>
        </w:numPr>
        <w:shd w:val="clear" w:color="auto" w:fill="FFFFFF"/>
        <w:tabs>
          <w:tab w:val="clear" w:pos="720"/>
        </w:tabs>
        <w:spacing w:before="0" w:beforeAutospacing="0" w:after="220" w:afterAutospacing="0"/>
        <w:ind w:left="993" w:hanging="420"/>
        <w:jc w:val="both"/>
        <w:textAlignment w:val="baseline"/>
        <w:rPr>
          <w:rFonts w:ascii="Arial" w:hAnsi="Arial" w:cs="Arial"/>
          <w:color w:val="000000"/>
          <w:sz w:val="22"/>
          <w:szCs w:val="22"/>
          <w:lang w:val="es-ES_tradnl"/>
        </w:rPr>
      </w:pPr>
      <w:r w:rsidRPr="0034704D">
        <w:rPr>
          <w:rFonts w:ascii="Arial" w:hAnsi="Arial" w:cs="Arial"/>
          <w:sz w:val="22"/>
          <w:szCs w:val="22"/>
          <w:lang w:val="es-ES_tradnl"/>
        </w:rPr>
        <w:t>la imposibilidad frecuente de obtener autorización para realizar investigaciones científicas marinas en las zonas en las que las ZEE son objeto de controversia;</w:t>
      </w:r>
    </w:p>
    <w:p w14:paraId="2600C0F9" w14:textId="7F03DB9B" w:rsidR="00C9368C" w:rsidRPr="0034704D" w:rsidRDefault="00074E7F" w:rsidP="00C544AC">
      <w:pPr>
        <w:pStyle w:val="NormalWeb"/>
        <w:numPr>
          <w:ilvl w:val="0"/>
          <w:numId w:val="36"/>
        </w:numPr>
        <w:shd w:val="clear" w:color="auto" w:fill="FFFFFF"/>
        <w:tabs>
          <w:tab w:val="clear" w:pos="720"/>
        </w:tabs>
        <w:spacing w:before="0" w:beforeAutospacing="0" w:after="240" w:afterAutospacing="0"/>
        <w:ind w:left="993" w:hanging="420"/>
        <w:jc w:val="both"/>
        <w:textAlignment w:val="baseline"/>
        <w:rPr>
          <w:rFonts w:ascii="Arial" w:hAnsi="Arial" w:cs="Arial"/>
          <w:color w:val="000000"/>
          <w:sz w:val="22"/>
          <w:szCs w:val="22"/>
          <w:lang w:val="es-ES_tradnl"/>
        </w:rPr>
      </w:pPr>
      <w:r w:rsidRPr="0034704D">
        <w:rPr>
          <w:rFonts w:ascii="Arial" w:hAnsi="Arial" w:cs="Arial"/>
          <w:sz w:val="22"/>
          <w:szCs w:val="22"/>
          <w:lang w:val="es-ES_tradnl"/>
        </w:rPr>
        <w:t>el hecho de que, en ocasiones, no exist</w:t>
      </w:r>
      <w:r w:rsidR="003F1381" w:rsidRPr="0034704D">
        <w:rPr>
          <w:rFonts w:ascii="Arial" w:hAnsi="Arial" w:cs="Arial"/>
          <w:sz w:val="22"/>
          <w:szCs w:val="22"/>
          <w:lang w:val="es-ES_tradnl"/>
        </w:rPr>
        <w:t>e</w:t>
      </w:r>
      <w:r w:rsidRPr="0034704D">
        <w:rPr>
          <w:rFonts w:ascii="Arial" w:hAnsi="Arial" w:cs="Arial"/>
          <w:sz w:val="22"/>
          <w:szCs w:val="22"/>
          <w:lang w:val="es-ES_tradnl"/>
        </w:rPr>
        <w:t xml:space="preserve"> un procedimiento nacional de autorización para realizar investigaciones científicas marinas, por ejemplo en el caso de una nueva tecnología.</w:t>
      </w:r>
    </w:p>
    <w:p w14:paraId="1FD770D1" w14:textId="651B32CE" w:rsidR="006A1417" w:rsidRPr="0034704D" w:rsidRDefault="00124AE1" w:rsidP="004E149F">
      <w:pPr>
        <w:pStyle w:val="Style2"/>
        <w:numPr>
          <w:ilvl w:val="0"/>
          <w:numId w:val="23"/>
        </w:numPr>
        <w:tabs>
          <w:tab w:val="left" w:pos="567"/>
        </w:tabs>
        <w:snapToGrid w:val="0"/>
        <w:spacing w:before="240"/>
        <w:ind w:left="0" w:firstLine="0"/>
        <w:rPr>
          <w:rFonts w:cs="Arial"/>
          <w:lang w:val="es-ES_tradnl"/>
        </w:rPr>
      </w:pPr>
      <w:r w:rsidRPr="0034704D">
        <w:rPr>
          <w:rFonts w:cs="Arial"/>
          <w:lang w:val="es-ES_tradnl"/>
        </w:rPr>
        <w:t xml:space="preserve">Existe una tensión entre la realización de observaciones oceánicas permanentes y las preocupaciones de los Estados ribereños, que generalmente pueden agruparse en tres ámbitos: derechos, recursos y seguridad. Parte del problema señalado por los Estados ribereños es que </w:t>
      </w:r>
      <w:r w:rsidR="00DA4F95" w:rsidRPr="0034704D">
        <w:rPr>
          <w:rFonts w:cs="Arial"/>
          <w:lang w:val="es-ES_tradnl"/>
        </w:rPr>
        <w:t xml:space="preserve">no </w:t>
      </w:r>
      <w:r w:rsidRPr="0034704D">
        <w:rPr>
          <w:rFonts w:cs="Arial"/>
          <w:lang w:val="es-ES_tradnl"/>
        </w:rPr>
        <w:t>hay conocimiento</w:t>
      </w:r>
      <w:r w:rsidR="00DA4F95" w:rsidRPr="0034704D">
        <w:rPr>
          <w:rFonts w:cs="Arial"/>
          <w:lang w:val="es-ES_tradnl"/>
        </w:rPr>
        <w:t>s</w:t>
      </w:r>
      <w:r w:rsidRPr="0034704D">
        <w:rPr>
          <w:rFonts w:cs="Arial"/>
          <w:lang w:val="es-ES_tradnl"/>
        </w:rPr>
        <w:t xml:space="preserve"> o información sobre los beneficios que les pueden reportar las observaciones que se solicitan en sus ZEE. Además, existe la posibilidad de que algunos Estados no puedan aprovechar las observaciones en sus ZEE o beneficiarse de ellas. Por lo tanto, no siempre es posible sopesar el riesgo percibido en comparación con el beneficio que pueden aportar las observaciones realizadas en su</w:t>
      </w:r>
      <w:r w:rsidR="00DA4F95" w:rsidRPr="0034704D">
        <w:rPr>
          <w:rFonts w:cs="Arial"/>
          <w:lang w:val="es-ES_tradnl"/>
        </w:rPr>
        <w:t>s</w:t>
      </w:r>
      <w:r w:rsidRPr="0034704D">
        <w:rPr>
          <w:rFonts w:cs="Arial"/>
          <w:lang w:val="es-ES_tradnl"/>
        </w:rPr>
        <w:t xml:space="preserve"> ZEE.</w:t>
      </w:r>
    </w:p>
    <w:p w14:paraId="1736C412" w14:textId="626B4DCA" w:rsidR="006A1417" w:rsidRPr="0034704D" w:rsidRDefault="00124AE1" w:rsidP="004E149F">
      <w:pPr>
        <w:pStyle w:val="Style2"/>
        <w:numPr>
          <w:ilvl w:val="0"/>
          <w:numId w:val="23"/>
        </w:numPr>
        <w:tabs>
          <w:tab w:val="left" w:pos="567"/>
        </w:tabs>
        <w:snapToGrid w:val="0"/>
        <w:ind w:left="0" w:firstLine="0"/>
        <w:rPr>
          <w:rFonts w:cs="Arial"/>
          <w:lang w:val="es-ES_tradnl"/>
        </w:rPr>
      </w:pPr>
      <w:r w:rsidRPr="0034704D">
        <w:rPr>
          <w:rFonts w:cs="Arial"/>
          <w:lang w:val="es-ES_tradnl"/>
        </w:rPr>
        <w:t xml:space="preserve">Hubo consenso en que es importante dar a conocer los beneficios de las observaciones oceánicas en las ZEE, reconociendo al mismo tiempo que algunas inquietudes pueden estar justificadas. Asimismo, es importante abordar la cuestión de la disponibilidad y el uso de los datos, a fin de que la sociedad local y mundial se pueda beneficiar de las observaciones. Se señaló que los Estados no tendrán un control total sobre el uso de la información. Sin embargo, los beneficios </w:t>
      </w:r>
      <w:r w:rsidRPr="0034704D">
        <w:rPr>
          <w:rFonts w:cs="Arial"/>
          <w:lang w:val="es-ES_tradnl"/>
        </w:rPr>
        <w:lastRenderedPageBreak/>
        <w:t>suelen ser mayores que los riesgos y los múltiples usos de las observaciones aportan beneficios económicos</w:t>
      </w:r>
      <w:r w:rsidR="00853C75" w:rsidRPr="0034704D">
        <w:rPr>
          <w:rFonts w:cs="Arial"/>
          <w:lang w:val="es-ES_tradnl"/>
        </w:rPr>
        <w:t xml:space="preserve"> considerables</w:t>
      </w:r>
      <w:r w:rsidRPr="0034704D">
        <w:rPr>
          <w:rFonts w:cs="Arial"/>
          <w:lang w:val="es-ES_tradnl"/>
        </w:rPr>
        <w:t>.</w:t>
      </w:r>
    </w:p>
    <w:p w14:paraId="2E54C017" w14:textId="77777777" w:rsidR="006A1417" w:rsidRPr="0034704D" w:rsidRDefault="00124AE1" w:rsidP="00C544AC">
      <w:pPr>
        <w:pStyle w:val="Style2"/>
        <w:keepNext/>
        <w:numPr>
          <w:ilvl w:val="0"/>
          <w:numId w:val="23"/>
        </w:numPr>
        <w:tabs>
          <w:tab w:val="left" w:pos="567"/>
        </w:tabs>
        <w:snapToGrid w:val="0"/>
        <w:spacing w:after="220"/>
        <w:ind w:left="0" w:firstLine="0"/>
        <w:rPr>
          <w:rFonts w:cs="Arial"/>
          <w:lang w:val="es-ES_tradnl"/>
        </w:rPr>
      </w:pPr>
      <w:r w:rsidRPr="0034704D">
        <w:rPr>
          <w:rFonts w:cs="Arial"/>
          <w:lang w:val="es-ES_tradnl"/>
        </w:rPr>
        <w:t>Para hacer frente a estos retos se propusieron siete espacios de soluciones potenciales y prácticas, en el marco de la CNUDM, que son los siguientes:</w:t>
      </w:r>
    </w:p>
    <w:p w14:paraId="14D553A7" w14:textId="2868735D" w:rsidR="006250D0" w:rsidRPr="0034704D" w:rsidRDefault="006250D0" w:rsidP="00C544AC">
      <w:pPr>
        <w:pStyle w:val="ListParagraph"/>
        <w:numPr>
          <w:ilvl w:val="1"/>
          <w:numId w:val="36"/>
        </w:numPr>
        <w:tabs>
          <w:tab w:val="clear" w:pos="567"/>
        </w:tabs>
        <w:spacing w:after="220"/>
        <w:ind w:left="1134" w:hanging="567"/>
        <w:contextualSpacing w:val="0"/>
        <w:jc w:val="both"/>
        <w:rPr>
          <w:rFonts w:ascii="Arial" w:eastAsia="Times New Roman" w:hAnsi="Arial" w:cs="Arial"/>
          <w:iCs/>
          <w:spacing w:val="-2"/>
          <w:sz w:val="22"/>
          <w:szCs w:val="22"/>
          <w:lang w:val="es-ES_tradnl"/>
        </w:rPr>
      </w:pPr>
      <w:r w:rsidRPr="0034704D">
        <w:rPr>
          <w:rFonts w:ascii="Arial" w:hAnsi="Arial" w:cs="Arial"/>
          <w:spacing w:val="-2"/>
          <w:sz w:val="22"/>
          <w:szCs w:val="22"/>
          <w:lang w:val="es-ES_tradnl"/>
        </w:rPr>
        <w:t xml:space="preserve">el sistema de notificación </w:t>
      </w:r>
      <w:r w:rsidR="002579F3" w:rsidRPr="0034704D">
        <w:rPr>
          <w:rFonts w:ascii="Arial" w:hAnsi="Arial" w:cs="Arial"/>
          <w:spacing w:val="-2"/>
          <w:sz w:val="22"/>
          <w:szCs w:val="22"/>
          <w:lang w:val="es-ES_tradnl"/>
        </w:rPr>
        <w:t xml:space="preserve">de </w:t>
      </w:r>
      <w:r w:rsidRPr="0034704D">
        <w:rPr>
          <w:rFonts w:ascii="Arial" w:hAnsi="Arial" w:cs="Arial"/>
          <w:spacing w:val="-2"/>
          <w:sz w:val="22"/>
          <w:szCs w:val="22"/>
          <w:lang w:val="es-ES_tradnl"/>
        </w:rPr>
        <w:t>Argo podría servir como proceso (modelo) y permitiría invocar a través de la COI el mismo proceso consultivo por el que se rige para elaborar e instaurar un nuevo acuerdo práctico;</w:t>
      </w:r>
    </w:p>
    <w:p w14:paraId="56F6E544" w14:textId="7EC157ED" w:rsidR="006250D0" w:rsidRPr="0034704D" w:rsidRDefault="006250D0" w:rsidP="00C544AC">
      <w:pPr>
        <w:pStyle w:val="ListParagraph"/>
        <w:numPr>
          <w:ilvl w:val="1"/>
          <w:numId w:val="36"/>
        </w:numPr>
        <w:tabs>
          <w:tab w:val="clear" w:pos="567"/>
        </w:tabs>
        <w:spacing w:after="220"/>
        <w:ind w:left="1134" w:hanging="567"/>
        <w:contextualSpacing w:val="0"/>
        <w:jc w:val="both"/>
        <w:rPr>
          <w:rFonts w:ascii="Arial" w:eastAsia="Times New Roman" w:hAnsi="Arial" w:cs="Arial"/>
          <w:iCs/>
          <w:color w:val="000000"/>
          <w:spacing w:val="-2"/>
          <w:sz w:val="22"/>
          <w:szCs w:val="22"/>
          <w:lang w:val="es-ES_tradnl"/>
        </w:rPr>
      </w:pPr>
      <w:r w:rsidRPr="0034704D">
        <w:rPr>
          <w:rFonts w:ascii="Arial" w:hAnsi="Arial" w:cs="Arial"/>
          <w:spacing w:val="-2"/>
          <w:sz w:val="22"/>
          <w:szCs w:val="22"/>
          <w:lang w:val="es-ES_tradnl"/>
        </w:rPr>
        <w:t>el artículo 247 de la CNUDM (</w:t>
      </w:r>
      <w:hyperlink r:id="rId9" w:history="1">
        <w:r w:rsidRPr="0034704D">
          <w:rPr>
            <w:rStyle w:val="Hyperlink"/>
            <w:rFonts w:ascii="Arial" w:hAnsi="Arial" w:cs="Arial"/>
            <w:spacing w:val="-2"/>
            <w:sz w:val="22"/>
            <w:szCs w:val="22"/>
            <w:lang w:val="es-ES_tradnl"/>
          </w:rPr>
          <w:t xml:space="preserve">Procedimiento de aplicación del artículo 247 </w:t>
        </w:r>
        <w:r w:rsidR="00853C75" w:rsidRPr="0034704D">
          <w:rPr>
            <w:rStyle w:val="Hyperlink"/>
            <w:rFonts w:ascii="Arial" w:hAnsi="Arial" w:cs="Arial"/>
            <w:spacing w:val="-2"/>
            <w:sz w:val="22"/>
            <w:szCs w:val="22"/>
            <w:lang w:val="es-ES_tradnl"/>
          </w:rPr>
          <w:t xml:space="preserve">de la Convención de las Naciones Unidas sobre el Derecho del Mar </w:t>
        </w:r>
        <w:r w:rsidRPr="0034704D">
          <w:rPr>
            <w:rStyle w:val="Hyperlink"/>
            <w:rFonts w:ascii="Arial" w:hAnsi="Arial" w:cs="Arial"/>
            <w:spacing w:val="-2"/>
            <w:sz w:val="22"/>
            <w:szCs w:val="22"/>
            <w:lang w:val="es-ES_tradnl"/>
          </w:rPr>
          <w:t>por la C</w:t>
        </w:r>
        <w:r w:rsidR="00853C75" w:rsidRPr="0034704D">
          <w:rPr>
            <w:rStyle w:val="Hyperlink"/>
            <w:rFonts w:ascii="Arial" w:hAnsi="Arial" w:cs="Arial"/>
            <w:spacing w:val="-2"/>
            <w:sz w:val="22"/>
            <w:szCs w:val="22"/>
            <w:lang w:val="es-ES_tradnl"/>
          </w:rPr>
          <w:t xml:space="preserve">omisión </w:t>
        </w:r>
        <w:r w:rsidRPr="0034704D">
          <w:rPr>
            <w:rStyle w:val="Hyperlink"/>
            <w:rFonts w:ascii="Arial" w:hAnsi="Arial" w:cs="Arial"/>
            <w:spacing w:val="-2"/>
            <w:sz w:val="22"/>
            <w:szCs w:val="22"/>
            <w:lang w:val="es-ES_tradnl"/>
          </w:rPr>
          <w:t>O</w:t>
        </w:r>
        <w:r w:rsidR="00853C75" w:rsidRPr="0034704D">
          <w:rPr>
            <w:rStyle w:val="Hyperlink"/>
            <w:rFonts w:ascii="Arial" w:hAnsi="Arial" w:cs="Arial"/>
            <w:spacing w:val="-2"/>
            <w:sz w:val="22"/>
            <w:szCs w:val="22"/>
            <w:lang w:val="es-ES_tradnl"/>
          </w:rPr>
          <w:t xml:space="preserve">ceanográfica </w:t>
        </w:r>
        <w:r w:rsidR="00E65980" w:rsidRPr="0034704D">
          <w:rPr>
            <w:rStyle w:val="Hyperlink"/>
            <w:rFonts w:ascii="Arial" w:hAnsi="Arial" w:cs="Arial"/>
            <w:spacing w:val="-2"/>
            <w:sz w:val="22"/>
            <w:szCs w:val="22"/>
            <w:lang w:val="es-ES_tradnl"/>
          </w:rPr>
          <w:t>Intergubernamental</w:t>
        </w:r>
        <w:r w:rsidRPr="0034704D">
          <w:rPr>
            <w:rStyle w:val="Hyperlink"/>
            <w:rFonts w:ascii="Arial" w:hAnsi="Arial" w:cs="Arial"/>
            <w:spacing w:val="-2"/>
            <w:sz w:val="22"/>
            <w:szCs w:val="22"/>
            <w:lang w:val="es-ES_tradnl"/>
          </w:rPr>
          <w:t xml:space="preserve"> de la UNESCO</w:t>
        </w:r>
      </w:hyperlink>
      <w:r w:rsidRPr="0034704D">
        <w:rPr>
          <w:rFonts w:ascii="Arial" w:hAnsi="Arial" w:cs="Arial"/>
          <w:spacing w:val="-2"/>
          <w:sz w:val="22"/>
          <w:szCs w:val="22"/>
          <w:lang w:val="es-ES_tradnl"/>
        </w:rPr>
        <w:t xml:space="preserve">) prevé que los Estados Miembros de un </w:t>
      </w:r>
      <w:r w:rsidR="00423457" w:rsidRPr="0034704D">
        <w:rPr>
          <w:rFonts w:ascii="Arial" w:hAnsi="Arial" w:cs="Arial"/>
          <w:spacing w:val="-2"/>
          <w:sz w:val="22"/>
          <w:szCs w:val="22"/>
          <w:lang w:val="es-ES_tradnl"/>
        </w:rPr>
        <w:t>organism</w:t>
      </w:r>
      <w:r w:rsidRPr="0034704D">
        <w:rPr>
          <w:rFonts w:ascii="Arial" w:hAnsi="Arial" w:cs="Arial"/>
          <w:spacing w:val="-2"/>
          <w:sz w:val="22"/>
          <w:szCs w:val="22"/>
          <w:lang w:val="es-ES_tradnl"/>
        </w:rPr>
        <w:t>o intergubernamental (por ejemplo, la COI) aprueben un proyecto de investigación científica marina, que podrá llevarse a cabo tras notificar la intención de realizar el proyecto en la ZEE de un Estado Miembro o participante. Si no se recibe ninguna objeción en un plazo limitado (cuatro meses), en teoría las actividades podrían llevarse a cabo. Sin embargo, el artículo</w:t>
      </w:r>
      <w:r w:rsidR="0034704D" w:rsidRPr="0034704D">
        <w:rPr>
          <w:rFonts w:ascii="Arial" w:hAnsi="Arial" w:cs="Arial"/>
          <w:spacing w:val="-2"/>
          <w:sz w:val="22"/>
          <w:szCs w:val="22"/>
          <w:lang w:val="es-ES_tradnl"/>
        </w:rPr>
        <w:t> </w:t>
      </w:r>
      <w:r w:rsidRPr="0034704D">
        <w:rPr>
          <w:rFonts w:ascii="Arial" w:hAnsi="Arial" w:cs="Arial"/>
          <w:spacing w:val="-2"/>
          <w:sz w:val="22"/>
          <w:szCs w:val="22"/>
          <w:lang w:val="es-ES_tradnl"/>
        </w:rPr>
        <w:t>247 aún no se ha aplicado, y su aplicación podría ser compleja y estar abierta a la interpretación;</w:t>
      </w:r>
    </w:p>
    <w:p w14:paraId="58C63300" w14:textId="7E797763" w:rsidR="006250D0" w:rsidRPr="0034704D" w:rsidRDefault="005639CD" w:rsidP="00C544AC">
      <w:pPr>
        <w:pStyle w:val="ListParagraph"/>
        <w:numPr>
          <w:ilvl w:val="1"/>
          <w:numId w:val="36"/>
        </w:numPr>
        <w:tabs>
          <w:tab w:val="clear" w:pos="567"/>
        </w:tabs>
        <w:spacing w:after="220"/>
        <w:ind w:left="1134" w:hanging="567"/>
        <w:contextualSpacing w:val="0"/>
        <w:jc w:val="both"/>
        <w:rPr>
          <w:rFonts w:ascii="Arial" w:hAnsi="Arial" w:cs="Arial"/>
          <w:spacing w:val="-2"/>
          <w:sz w:val="22"/>
          <w:szCs w:val="22"/>
          <w:lang w:val="es-ES_tradnl"/>
        </w:rPr>
      </w:pPr>
      <w:r w:rsidRPr="0034704D">
        <w:rPr>
          <w:rFonts w:ascii="Arial" w:hAnsi="Arial" w:cs="Arial"/>
          <w:spacing w:val="-2"/>
          <w:sz w:val="22"/>
          <w:szCs w:val="22"/>
          <w:lang w:val="es-ES_tradnl"/>
        </w:rPr>
        <w:t xml:space="preserve">se podría actualizar la </w:t>
      </w:r>
      <w:hyperlink r:id="rId10" w:history="1">
        <w:r w:rsidRPr="0034704D">
          <w:rPr>
            <w:rStyle w:val="Hyperlink"/>
            <w:rFonts w:ascii="Arial" w:hAnsi="Arial" w:cs="Arial"/>
            <w:i/>
            <w:iCs/>
            <w:spacing w:val="-2"/>
            <w:sz w:val="22"/>
            <w:szCs w:val="22"/>
            <w:lang w:val="es-ES_tradnl"/>
          </w:rPr>
          <w:t>Guía revisada para la aplicación de las disposiciones pertinentes de la Convención de las Naciones Unidas sobre el Derecho del Mar</w:t>
        </w:r>
      </w:hyperlink>
      <w:r w:rsidRPr="0034704D">
        <w:rPr>
          <w:rFonts w:ascii="Arial" w:hAnsi="Arial" w:cs="Arial"/>
          <w:spacing w:val="-2"/>
          <w:sz w:val="22"/>
          <w:szCs w:val="22"/>
          <w:lang w:val="es-ES_tradnl"/>
        </w:rPr>
        <w:t xml:space="preserve"> de la DAODM, que proporciona a los Estados ribereños orientación y formularios para la autorización de actividades de investigación científica marina. Las directrices actualizadas podrían reflejar las cuestiones planteadas en el taller, proporcionando una nueva </w:t>
      </w:r>
      <w:r w:rsidR="00E65980" w:rsidRPr="0034704D">
        <w:rPr>
          <w:rFonts w:ascii="Arial" w:hAnsi="Arial" w:cs="Arial"/>
          <w:spacing w:val="-2"/>
          <w:sz w:val="22"/>
          <w:szCs w:val="22"/>
          <w:lang w:val="es-ES_tradnl"/>
        </w:rPr>
        <w:t>“</w:t>
      </w:r>
      <w:r w:rsidRPr="0034704D">
        <w:rPr>
          <w:rFonts w:ascii="Arial" w:hAnsi="Arial" w:cs="Arial"/>
          <w:spacing w:val="-2"/>
          <w:sz w:val="22"/>
          <w:szCs w:val="22"/>
          <w:lang w:val="es-ES_tradnl"/>
        </w:rPr>
        <w:t>mejor práctica</w:t>
      </w:r>
      <w:r w:rsidR="00E65980" w:rsidRPr="0034704D">
        <w:rPr>
          <w:rFonts w:ascii="Arial" w:hAnsi="Arial" w:cs="Arial"/>
          <w:spacing w:val="-2"/>
          <w:sz w:val="22"/>
          <w:szCs w:val="22"/>
          <w:lang w:val="es-ES_tradnl"/>
        </w:rPr>
        <w:t>”</w:t>
      </w:r>
      <w:r w:rsidRPr="0034704D">
        <w:rPr>
          <w:rFonts w:ascii="Arial" w:hAnsi="Arial" w:cs="Arial"/>
          <w:spacing w:val="-2"/>
          <w:sz w:val="22"/>
          <w:szCs w:val="22"/>
          <w:lang w:val="es-ES_tradnl"/>
        </w:rPr>
        <w:t xml:space="preserve"> respecto de la </w:t>
      </w:r>
      <w:r w:rsidR="003F1381" w:rsidRPr="0034704D">
        <w:rPr>
          <w:rFonts w:ascii="Arial" w:hAnsi="Arial" w:cs="Arial"/>
          <w:spacing w:val="-2"/>
          <w:sz w:val="22"/>
          <w:szCs w:val="22"/>
          <w:lang w:val="es-ES_tradnl"/>
        </w:rPr>
        <w:t xml:space="preserve">obtención de </w:t>
      </w:r>
      <w:r w:rsidR="00E65980" w:rsidRPr="0034704D">
        <w:rPr>
          <w:rFonts w:ascii="Arial" w:hAnsi="Arial" w:cs="Arial"/>
          <w:spacing w:val="-2"/>
          <w:sz w:val="22"/>
          <w:szCs w:val="22"/>
          <w:lang w:val="es-ES_tradnl"/>
        </w:rPr>
        <w:t>autorización para realizar</w:t>
      </w:r>
      <w:r w:rsidRPr="0034704D">
        <w:rPr>
          <w:rFonts w:ascii="Arial" w:hAnsi="Arial" w:cs="Arial"/>
          <w:spacing w:val="-2"/>
          <w:sz w:val="22"/>
          <w:szCs w:val="22"/>
          <w:lang w:val="es-ES_tradnl"/>
        </w:rPr>
        <w:t xml:space="preserve"> actividades de investigación científica marina para la observación permanente, que resolvería las dificultades relacionadas con el proceso de investigación y la notificación anticipada. La DAODM necesitaría un mandato de los Estados Miembros mediante la resolución anual sobre los océanos y el derecho del mar que aprueba la Asamblea General de las Naciones Unidas. Un enfoque más </w:t>
      </w:r>
      <w:r w:rsidR="00423457" w:rsidRPr="0034704D">
        <w:rPr>
          <w:rFonts w:ascii="Arial" w:hAnsi="Arial" w:cs="Arial"/>
          <w:spacing w:val="-2"/>
          <w:sz w:val="22"/>
          <w:szCs w:val="22"/>
          <w:lang w:val="es-ES_tradnl"/>
        </w:rPr>
        <w:t>“</w:t>
      </w:r>
      <w:r w:rsidRPr="0034704D">
        <w:rPr>
          <w:rFonts w:ascii="Arial" w:hAnsi="Arial" w:cs="Arial"/>
          <w:spacing w:val="-2"/>
          <w:sz w:val="22"/>
          <w:szCs w:val="22"/>
          <w:lang w:val="es-ES_tradnl"/>
        </w:rPr>
        <w:t>ligero</w:t>
      </w:r>
      <w:r w:rsidR="00423457" w:rsidRPr="0034704D">
        <w:rPr>
          <w:rFonts w:ascii="Arial" w:hAnsi="Arial" w:cs="Arial"/>
          <w:spacing w:val="-2"/>
          <w:sz w:val="22"/>
          <w:szCs w:val="22"/>
          <w:lang w:val="es-ES_tradnl"/>
        </w:rPr>
        <w:t>”</w:t>
      </w:r>
      <w:r w:rsidRPr="0034704D">
        <w:rPr>
          <w:rFonts w:ascii="Arial" w:hAnsi="Arial" w:cs="Arial"/>
          <w:spacing w:val="-2"/>
          <w:sz w:val="22"/>
          <w:szCs w:val="22"/>
          <w:lang w:val="es-ES_tradnl"/>
        </w:rPr>
        <w:t xml:space="preserve"> podría consistir en publicar orientaciones adicionales a la Guía existente;</w:t>
      </w:r>
    </w:p>
    <w:p w14:paraId="469F63E9" w14:textId="060A4ED9" w:rsidR="006250D0" w:rsidRPr="0034704D" w:rsidRDefault="006250D0" w:rsidP="00C544AC">
      <w:pPr>
        <w:pStyle w:val="ListParagraph"/>
        <w:numPr>
          <w:ilvl w:val="1"/>
          <w:numId w:val="36"/>
        </w:numPr>
        <w:tabs>
          <w:tab w:val="clear" w:pos="567"/>
        </w:tabs>
        <w:spacing w:after="220"/>
        <w:ind w:left="1134" w:hanging="567"/>
        <w:contextualSpacing w:val="0"/>
        <w:jc w:val="both"/>
        <w:rPr>
          <w:rFonts w:ascii="Arial" w:eastAsia="Times New Roman" w:hAnsi="Arial" w:cs="Arial"/>
          <w:iCs/>
          <w:color w:val="000000"/>
          <w:spacing w:val="-2"/>
          <w:sz w:val="22"/>
          <w:szCs w:val="22"/>
          <w:lang w:val="es-ES_tradnl"/>
        </w:rPr>
      </w:pPr>
      <w:r w:rsidRPr="0034704D">
        <w:rPr>
          <w:rFonts w:ascii="Arial" w:hAnsi="Arial" w:cs="Arial"/>
          <w:spacing w:val="-2"/>
          <w:sz w:val="22"/>
          <w:szCs w:val="22"/>
          <w:lang w:val="es-ES_tradnl"/>
        </w:rPr>
        <w:t xml:space="preserve">la realización de actividades de sensibilización ayudaría a los Estados a tomar conciencia del impacto que tienen las observaciones oceánicas en cuestiones como el cambio climático, el aumento del nivel del mar y los fenómenos meteorológicos extremos que afectan a su economía y su sociedad. Los problemas ligados a la observación en las ZEE están relacionados, al menos en parte, con el hecho de que los Estados no se dan cuenta plenamente del valor y los beneficios </w:t>
      </w:r>
      <w:r w:rsidR="00423457" w:rsidRPr="0034704D">
        <w:rPr>
          <w:rFonts w:ascii="Arial" w:hAnsi="Arial" w:cs="Arial"/>
          <w:spacing w:val="-2"/>
          <w:sz w:val="22"/>
          <w:szCs w:val="22"/>
          <w:lang w:val="es-ES_tradnl"/>
        </w:rPr>
        <w:t>que aporta</w:t>
      </w:r>
      <w:r w:rsidRPr="0034704D">
        <w:rPr>
          <w:rFonts w:ascii="Arial" w:hAnsi="Arial" w:cs="Arial"/>
          <w:spacing w:val="-2"/>
          <w:sz w:val="22"/>
          <w:szCs w:val="22"/>
          <w:lang w:val="es-ES_tradnl"/>
        </w:rPr>
        <w:t xml:space="preserve"> la observación del océano y de la necesidad de contar con un GOOS integrado;</w:t>
      </w:r>
    </w:p>
    <w:p w14:paraId="6BC8C479" w14:textId="5DDE9D5E" w:rsidR="006250D0" w:rsidRPr="0034704D" w:rsidRDefault="006250D0" w:rsidP="00C544AC">
      <w:pPr>
        <w:pStyle w:val="ListParagraph"/>
        <w:numPr>
          <w:ilvl w:val="1"/>
          <w:numId w:val="36"/>
        </w:numPr>
        <w:tabs>
          <w:tab w:val="clear" w:pos="567"/>
        </w:tabs>
        <w:spacing w:after="220"/>
        <w:ind w:left="1134" w:hanging="567"/>
        <w:contextualSpacing w:val="0"/>
        <w:jc w:val="both"/>
        <w:rPr>
          <w:rFonts w:ascii="Arial" w:eastAsia="Times New Roman" w:hAnsi="Arial" w:cs="Arial"/>
          <w:iCs/>
          <w:color w:val="000000"/>
          <w:spacing w:val="-2"/>
          <w:sz w:val="22"/>
          <w:szCs w:val="22"/>
          <w:lang w:val="es-ES_tradnl"/>
        </w:rPr>
      </w:pPr>
      <w:r w:rsidRPr="0034704D">
        <w:rPr>
          <w:rFonts w:ascii="Arial" w:hAnsi="Arial" w:cs="Arial"/>
          <w:spacing w:val="-2"/>
          <w:sz w:val="22"/>
          <w:szCs w:val="22"/>
          <w:lang w:val="es-ES_tradnl"/>
        </w:rPr>
        <w:t>por lo que respecta a las recomendaciones de la OMM, se podría considerar la posibilidad de estudiar otras resoluciones relacionadas con las variables/plataformas que son importantes para la prestación de servicios de la OMM;</w:t>
      </w:r>
    </w:p>
    <w:p w14:paraId="10264634" w14:textId="60259930" w:rsidR="006250D0" w:rsidRPr="0034704D" w:rsidRDefault="006250D0" w:rsidP="00C544AC">
      <w:pPr>
        <w:pStyle w:val="ListParagraph"/>
        <w:numPr>
          <w:ilvl w:val="1"/>
          <w:numId w:val="36"/>
        </w:numPr>
        <w:tabs>
          <w:tab w:val="clear" w:pos="567"/>
        </w:tabs>
        <w:spacing w:after="220"/>
        <w:ind w:left="1134" w:hanging="567"/>
        <w:contextualSpacing w:val="0"/>
        <w:jc w:val="both"/>
        <w:rPr>
          <w:rFonts w:ascii="Arial" w:eastAsia="Times New Roman" w:hAnsi="Arial" w:cs="Arial"/>
          <w:iCs/>
          <w:color w:val="000000"/>
          <w:spacing w:val="-2"/>
          <w:sz w:val="22"/>
          <w:szCs w:val="22"/>
          <w:lang w:val="es-ES_tradnl"/>
        </w:rPr>
      </w:pPr>
      <w:r w:rsidRPr="0034704D">
        <w:rPr>
          <w:rFonts w:ascii="Arial" w:hAnsi="Arial" w:cs="Arial"/>
          <w:spacing w:val="-2"/>
          <w:sz w:val="22"/>
          <w:szCs w:val="22"/>
          <w:lang w:val="es-ES_tradnl"/>
        </w:rPr>
        <w:t xml:space="preserve">en cuanto a los acuerdos regionales/nacionales, existen varios ejemplos de redes específicas que han llegado a un acuerdo con un grupo de Estados en ámbitos concretos. Hubo acuerdo sobre la importancia de la gobernanza regional y </w:t>
      </w:r>
      <w:r w:rsidR="00423457" w:rsidRPr="0034704D">
        <w:rPr>
          <w:rFonts w:ascii="Arial" w:hAnsi="Arial" w:cs="Arial"/>
          <w:spacing w:val="-2"/>
          <w:sz w:val="22"/>
          <w:szCs w:val="22"/>
          <w:lang w:val="es-ES_tradnl"/>
        </w:rPr>
        <w:t xml:space="preserve">sobre el hecho de </w:t>
      </w:r>
      <w:r w:rsidRPr="0034704D">
        <w:rPr>
          <w:rFonts w:ascii="Arial" w:hAnsi="Arial" w:cs="Arial"/>
          <w:spacing w:val="-2"/>
          <w:sz w:val="22"/>
          <w:szCs w:val="22"/>
          <w:lang w:val="es-ES_tradnl"/>
        </w:rPr>
        <w:t>que, en algunas circunstancias, podría ser útil trabajar en la elaboración de un acuerdo regional multiestatal para facilitar las observaciones en aguas sujetas a la jurisdicción nacional;</w:t>
      </w:r>
    </w:p>
    <w:p w14:paraId="275FF044" w14:textId="736F51EE" w:rsidR="006250D0" w:rsidRPr="0034704D" w:rsidRDefault="006250D0" w:rsidP="00C544AC">
      <w:pPr>
        <w:pStyle w:val="ListParagraph"/>
        <w:numPr>
          <w:ilvl w:val="1"/>
          <w:numId w:val="36"/>
        </w:numPr>
        <w:tabs>
          <w:tab w:val="clear" w:pos="567"/>
        </w:tabs>
        <w:spacing w:after="240"/>
        <w:ind w:left="1134" w:hanging="567"/>
        <w:contextualSpacing w:val="0"/>
        <w:jc w:val="both"/>
        <w:rPr>
          <w:rFonts w:ascii="Arial" w:hAnsi="Arial" w:cs="Arial"/>
          <w:spacing w:val="-2"/>
          <w:sz w:val="22"/>
          <w:szCs w:val="22"/>
          <w:lang w:val="es-ES_tradnl"/>
        </w:rPr>
      </w:pPr>
      <w:r w:rsidRPr="0034704D">
        <w:rPr>
          <w:rFonts w:ascii="Arial" w:hAnsi="Arial" w:cs="Arial"/>
          <w:spacing w:val="-2"/>
          <w:sz w:val="22"/>
          <w:szCs w:val="22"/>
          <w:lang w:val="es-ES_tradnl"/>
        </w:rPr>
        <w:t>el artículo 258 de la CNUDM (Emplazamiento y utilización) puede servir para aclarar la condición de las nuevas plataformas de observación del océano, por ejemplo los planeadores oceánicos, y para aclarar a las autoridades nacionales que sus procedimientos de autorización de investigaciones científicas marinas también deberían incorporar el uso de las nuevas tecnologías. Sin embargo, este nuevo elemento no basta para superar los otros problemas relacionados con la autorización de</w:t>
      </w:r>
      <w:r w:rsidR="00423457" w:rsidRPr="0034704D">
        <w:rPr>
          <w:rFonts w:ascii="Arial" w:hAnsi="Arial" w:cs="Arial"/>
          <w:spacing w:val="-2"/>
          <w:sz w:val="22"/>
          <w:szCs w:val="22"/>
          <w:lang w:val="es-ES_tradnl"/>
        </w:rPr>
        <w:t xml:space="preserve"> dichas</w:t>
      </w:r>
      <w:r w:rsidRPr="0034704D">
        <w:rPr>
          <w:rFonts w:ascii="Arial" w:hAnsi="Arial" w:cs="Arial"/>
          <w:spacing w:val="-2"/>
          <w:sz w:val="22"/>
          <w:szCs w:val="22"/>
          <w:lang w:val="es-ES_tradnl"/>
        </w:rPr>
        <w:t xml:space="preserve"> investigaciones.</w:t>
      </w:r>
    </w:p>
    <w:p w14:paraId="1EAB68A9" w14:textId="3A268DA5" w:rsidR="006A1417" w:rsidRPr="0034704D" w:rsidRDefault="00124AE1" w:rsidP="004E149F">
      <w:pPr>
        <w:pStyle w:val="Style2"/>
        <w:numPr>
          <w:ilvl w:val="0"/>
          <w:numId w:val="23"/>
        </w:numPr>
        <w:tabs>
          <w:tab w:val="left" w:pos="567"/>
        </w:tabs>
        <w:snapToGrid w:val="0"/>
        <w:spacing w:before="240"/>
        <w:ind w:left="0" w:firstLine="0"/>
        <w:rPr>
          <w:rFonts w:cs="Arial"/>
          <w:lang w:val="es-ES_tradnl"/>
        </w:rPr>
      </w:pPr>
      <w:r w:rsidRPr="0034704D">
        <w:rPr>
          <w:rFonts w:cs="Arial"/>
          <w:lang w:val="es-ES_tradnl"/>
        </w:rPr>
        <w:lastRenderedPageBreak/>
        <w:t>Las solicitudes de autorización de investigaciones científicas marinas pueden estar supeditadas a cuestiones geopolíticas que van mucho más allá del ámbito de la ciencia oceánica y, por lo tanto, requieren una acción que va más allá de las atribuciones de organizaciones como el GOOS y las redes mundiales de observación permanente. Esta acción debe realizarse a un nivel más elevado, por parte de organismos intergubernamentales como la COI, la OMM, la DAODM y la Asamblea General de las Naciones Unidas, que tiene competencia para examinar la evolución de los asuntos oceánicos y del derecho del mar.</w:t>
      </w:r>
    </w:p>
    <w:p w14:paraId="531DA390" w14:textId="5EE13C3F" w:rsidR="006A1417" w:rsidRPr="0034704D" w:rsidRDefault="00124AE1" w:rsidP="004E149F">
      <w:pPr>
        <w:pStyle w:val="Style2"/>
        <w:numPr>
          <w:ilvl w:val="0"/>
          <w:numId w:val="23"/>
        </w:numPr>
        <w:tabs>
          <w:tab w:val="left" w:pos="567"/>
        </w:tabs>
        <w:snapToGrid w:val="0"/>
        <w:ind w:left="0" w:firstLine="0"/>
        <w:rPr>
          <w:rFonts w:cs="Arial"/>
          <w:lang w:val="es-ES_tradnl"/>
        </w:rPr>
      </w:pPr>
      <w:r w:rsidRPr="0034704D">
        <w:rPr>
          <w:rFonts w:cs="Arial"/>
          <w:lang w:val="es-ES_tradnl"/>
        </w:rPr>
        <w:t xml:space="preserve">La necesidad de actuar en el plano internacional ha sido reconocida, por ejemplo, en el Comunicado de Tsukuba de los Ministros de Ciencia y Tecnología del G7, en el que se señala lo siguiente: </w:t>
      </w:r>
      <w:r w:rsidR="00423457" w:rsidRPr="0034704D">
        <w:rPr>
          <w:rFonts w:cs="Arial"/>
          <w:lang w:val="es-ES_tradnl"/>
        </w:rPr>
        <w:t>“</w:t>
      </w:r>
      <w:r w:rsidRPr="0034704D">
        <w:rPr>
          <w:rFonts w:cs="Arial"/>
          <w:lang w:val="es-ES_tradnl"/>
        </w:rPr>
        <w:t xml:space="preserve">El 93 % del océano mundial tiene una profundidad superior a los 200 metros, se extiende por muchas fronteras jurisdiccionales diferentes y se rige por el derecho internacional establecido; la observación del océano es una </w:t>
      </w:r>
      <w:r w:rsidR="00423457" w:rsidRPr="0034704D">
        <w:rPr>
          <w:rFonts w:cs="Arial"/>
          <w:lang w:val="es-ES_tradnl"/>
        </w:rPr>
        <w:t>'</w:t>
      </w:r>
      <w:r w:rsidRPr="0034704D">
        <w:rPr>
          <w:rFonts w:cs="Arial"/>
          <w:lang w:val="es-ES_tradnl"/>
        </w:rPr>
        <w:t>megaciencia</w:t>
      </w:r>
      <w:r w:rsidR="00423457" w:rsidRPr="0034704D">
        <w:rPr>
          <w:rFonts w:cs="Arial"/>
          <w:lang w:val="es-ES_tradnl"/>
        </w:rPr>
        <w:t>'</w:t>
      </w:r>
      <w:r w:rsidRPr="0034704D">
        <w:rPr>
          <w:rFonts w:cs="Arial"/>
          <w:lang w:val="es-ES_tradnl"/>
        </w:rPr>
        <w:t>. Es necesaria una observación adecuada, permanente, exhaustiva y coordinada a escala mundial del océano y de los fondos marinos, a fin de disponer de las herramientas que permitan obtener los datos y la comprensión necesarios para fundamentar, con pruebas, las decisiones políticas sobre el uso del océano, especialmente en el contexto del cambio provocado por el hombre y la variabilidad natural. Un programa global de observación del océano debería funcionar dentro de un marco internacional sólido para coordinar el despliegue de los recursos mundiales en la materia a fin de optimizar su uso</w:t>
      </w:r>
      <w:r w:rsidR="00423457" w:rsidRPr="0034704D">
        <w:rPr>
          <w:rFonts w:cs="Arial"/>
          <w:lang w:val="es-ES_tradnl"/>
        </w:rPr>
        <w:t>”</w:t>
      </w:r>
      <w:r w:rsidRPr="0034704D">
        <w:rPr>
          <w:rFonts w:cs="Arial"/>
          <w:lang w:val="es-ES_tradnl"/>
        </w:rPr>
        <w:t>.</w:t>
      </w:r>
    </w:p>
    <w:p w14:paraId="73343FBC" w14:textId="7AA9365D" w:rsidR="006A1417" w:rsidRPr="0034704D" w:rsidRDefault="00124AE1" w:rsidP="004E149F">
      <w:pPr>
        <w:pStyle w:val="Style2"/>
        <w:numPr>
          <w:ilvl w:val="0"/>
          <w:numId w:val="23"/>
        </w:numPr>
        <w:tabs>
          <w:tab w:val="left" w:pos="567"/>
        </w:tabs>
        <w:snapToGrid w:val="0"/>
        <w:ind w:left="0" w:firstLine="0"/>
        <w:rPr>
          <w:rFonts w:cs="Arial"/>
          <w:lang w:val="es-ES_tradnl"/>
        </w:rPr>
      </w:pPr>
      <w:r w:rsidRPr="0034704D">
        <w:rPr>
          <w:rFonts w:cs="Arial"/>
          <w:lang w:val="es-ES_tradnl"/>
        </w:rPr>
        <w:t xml:space="preserve">Desde la publicación en 2021 de su </w:t>
      </w:r>
      <w:hyperlink r:id="rId11" w:history="1">
        <w:r w:rsidRPr="0034704D">
          <w:rPr>
            <w:rStyle w:val="Hyperlink"/>
            <w:rFonts w:cs="Arial"/>
            <w:lang w:val="es-ES_tradnl"/>
          </w:rPr>
          <w:t>Recomendación sobre la Ciencia Abierta</w:t>
        </w:r>
      </w:hyperlink>
      <w:r w:rsidRPr="0034704D">
        <w:rPr>
          <w:rFonts w:cs="Arial"/>
          <w:lang w:val="es-ES_tradnl"/>
        </w:rPr>
        <w:t>, la UNESCO ha pedido a los países que incrementen la colaboración científica y el intercambio de información, velando por que todos los datos y conocimientos científicos estén abiertamente disponibles y sean accesibles y reutilizables en beneficio de la sociedad. El enfoque de la ciencia abierta, que también cuenta con el apoyo de la nueva Política de Datos Unificada de la Organización Meteorológica Mundial (OMM), pide a los gobiernos que trabajen en la creación de un entorno político propicio para la ciencia abierta y que promuevan la cooperación internacional con miras a reducir las brechas digitales, tecnológicas y de conocimientos. Estas acciones son fundamentales para facilitar la observación del océano en</w:t>
      </w:r>
      <w:r w:rsidR="00B92377" w:rsidRPr="0034704D">
        <w:rPr>
          <w:rFonts w:cs="Arial"/>
          <w:lang w:val="es-ES_tradnl"/>
        </w:rPr>
        <w:t xml:space="preserve"> las</w:t>
      </w:r>
      <w:r w:rsidRPr="0034704D">
        <w:rPr>
          <w:rFonts w:cs="Arial"/>
          <w:lang w:val="es-ES_tradnl"/>
        </w:rPr>
        <w:t xml:space="preserve"> zonas sujetas a la jurisdicción nacional, como las ZEE.</w:t>
      </w:r>
    </w:p>
    <w:p w14:paraId="16933ADB" w14:textId="1B1921B1" w:rsidR="006A1417" w:rsidRPr="0034704D" w:rsidRDefault="00124AE1" w:rsidP="00C544AC">
      <w:pPr>
        <w:pStyle w:val="Style2"/>
        <w:numPr>
          <w:ilvl w:val="0"/>
          <w:numId w:val="23"/>
        </w:numPr>
        <w:tabs>
          <w:tab w:val="left" w:pos="567"/>
        </w:tabs>
        <w:snapToGrid w:val="0"/>
        <w:spacing w:after="220"/>
        <w:ind w:left="0" w:firstLine="0"/>
        <w:rPr>
          <w:rFonts w:cs="Arial"/>
          <w:lang w:val="es-ES_tradnl"/>
        </w:rPr>
      </w:pPr>
      <w:r w:rsidRPr="0034704D">
        <w:rPr>
          <w:rFonts w:cs="Arial"/>
          <w:lang w:val="es-ES_tradnl"/>
        </w:rPr>
        <w:t>En el taller de expertos sobre las observaciones oceánicas en zonas sujetas a jurisdicción nacional se formularon las siguientes recomendaciones, partiendo de la premisa de que deberían permitir un acceso acordado y equitativo a las observaciones en cuestión. También se formularon a la luz de los avances realizados en el ámbito de la observación permanente del océano y de las apremiantes necesidades mundiales y nacionales en la materia, con miras a hacer frente a los retos relacionados con el cambio climático y la adaptación al mismo, el desarrollo sostenible y la seguridad de la vida</w:t>
      </w:r>
      <w:r w:rsidR="00B92377" w:rsidRPr="0034704D">
        <w:rPr>
          <w:rFonts w:cs="Arial"/>
          <w:lang w:val="es-ES_tradnl"/>
        </w:rPr>
        <w:t xml:space="preserve"> humana</w:t>
      </w:r>
      <w:r w:rsidRPr="0034704D">
        <w:rPr>
          <w:rFonts w:cs="Arial"/>
          <w:lang w:val="es-ES_tradnl"/>
        </w:rPr>
        <w:t xml:space="preserve"> y los bienes en el mar y en las zonas costeras.</w:t>
      </w:r>
    </w:p>
    <w:p w14:paraId="3AB85DB4" w14:textId="305270A9" w:rsidR="00525A9B" w:rsidRPr="0034704D" w:rsidRDefault="00525A9B" w:rsidP="00C544AC">
      <w:pPr>
        <w:pStyle w:val="ListParagraph"/>
        <w:numPr>
          <w:ilvl w:val="1"/>
          <w:numId w:val="41"/>
        </w:numPr>
        <w:spacing w:after="220"/>
        <w:ind w:left="1134" w:hanging="567"/>
        <w:contextualSpacing w:val="0"/>
        <w:jc w:val="both"/>
        <w:rPr>
          <w:rFonts w:ascii="Arial" w:eastAsia="Times New Roman" w:hAnsi="Arial" w:cs="Arial"/>
          <w:iCs/>
          <w:color w:val="000000"/>
          <w:spacing w:val="-2"/>
          <w:sz w:val="22"/>
          <w:szCs w:val="22"/>
          <w:lang w:val="es-ES_tradnl"/>
        </w:rPr>
      </w:pPr>
      <w:r w:rsidRPr="0034704D">
        <w:rPr>
          <w:rFonts w:ascii="Arial" w:hAnsi="Arial" w:cs="Arial"/>
          <w:b/>
          <w:bCs/>
          <w:spacing w:val="-2"/>
          <w:sz w:val="22"/>
          <w:szCs w:val="22"/>
          <w:lang w:val="es-ES_tradnl"/>
        </w:rPr>
        <w:t>La COI</w:t>
      </w:r>
      <w:r w:rsidRPr="0034704D">
        <w:rPr>
          <w:rFonts w:ascii="Arial" w:hAnsi="Arial" w:cs="Arial"/>
          <w:spacing w:val="-2"/>
          <w:sz w:val="22"/>
          <w:szCs w:val="22"/>
          <w:lang w:val="es-ES_tradnl"/>
        </w:rPr>
        <w:t xml:space="preserve"> debería estudiar la posibilidad de </w:t>
      </w:r>
      <w:r w:rsidR="00B92377" w:rsidRPr="0034704D">
        <w:rPr>
          <w:rFonts w:ascii="Arial" w:hAnsi="Arial" w:cs="Arial"/>
          <w:spacing w:val="-2"/>
          <w:sz w:val="22"/>
          <w:szCs w:val="22"/>
          <w:lang w:val="es-ES_tradnl"/>
        </w:rPr>
        <w:t>poner en marcha</w:t>
      </w:r>
      <w:r w:rsidRPr="0034704D">
        <w:rPr>
          <w:rFonts w:ascii="Arial" w:hAnsi="Arial" w:cs="Arial"/>
          <w:spacing w:val="-2"/>
          <w:sz w:val="22"/>
          <w:szCs w:val="22"/>
          <w:lang w:val="es-ES_tradnl"/>
        </w:rPr>
        <w:t xml:space="preserve"> un proceso equivalente al sistema de notificación de Argo, aplicable a otras plataformas/variables. La iniciativa para iniciar el proceso debería ser presentada a la Asamblea de la COI como propuesta por cualquier Estado Miembro de la Comisión, por el Consejo Ejecutivo, por el Secretario Ejecutivo, por el jefe de una organización del sistema de las Naciones Unidas o por otras organizaciones invitadas a participar en los trabajos de la Comisión. Para entablar el debate en el Consejo Ejecutivo, el proceso es similar y deben explicarse los motivos por los que se requiere una decisión del Consejo.</w:t>
      </w:r>
    </w:p>
    <w:p w14:paraId="7B550018" w14:textId="28940F54" w:rsidR="00525A9B" w:rsidRPr="0034704D" w:rsidRDefault="00525A9B" w:rsidP="00C544AC">
      <w:pPr>
        <w:pStyle w:val="ListParagraph"/>
        <w:numPr>
          <w:ilvl w:val="1"/>
          <w:numId w:val="41"/>
        </w:numPr>
        <w:spacing w:after="220"/>
        <w:ind w:left="1134" w:hanging="567"/>
        <w:contextualSpacing w:val="0"/>
        <w:jc w:val="both"/>
        <w:rPr>
          <w:rFonts w:ascii="Arial" w:eastAsia="Times New Roman" w:hAnsi="Arial" w:cs="Arial"/>
          <w:iCs/>
          <w:color w:val="000000"/>
          <w:spacing w:val="-2"/>
          <w:sz w:val="22"/>
          <w:szCs w:val="22"/>
          <w:lang w:val="es-ES_tradnl"/>
        </w:rPr>
      </w:pPr>
      <w:r w:rsidRPr="0034704D">
        <w:rPr>
          <w:rFonts w:ascii="Arial" w:hAnsi="Arial" w:cs="Arial"/>
          <w:b/>
          <w:bCs/>
          <w:spacing w:val="-2"/>
          <w:sz w:val="22"/>
          <w:szCs w:val="22"/>
          <w:lang w:val="es-ES_tradnl"/>
        </w:rPr>
        <w:t>La COI, con el apoyo de la DAODM y la OMM,</w:t>
      </w:r>
      <w:r w:rsidRPr="0034704D">
        <w:rPr>
          <w:rFonts w:ascii="Arial" w:hAnsi="Arial" w:cs="Arial"/>
          <w:spacing w:val="-2"/>
          <w:sz w:val="22"/>
          <w:szCs w:val="22"/>
          <w:lang w:val="es-ES_tradnl"/>
        </w:rPr>
        <w:t xml:space="preserve"> debería organizar una reunión oficiosa, tal vez de forma paralela a una reunión de la Asamblea o del Consejo Ejecutivo de la COI, para estudiar y poner en común las diferentes prácticas de los Estados en la aplicación de los procedimientos de autorización de investigaciones científicas marinas. Podrían proporcionarse ejemplos nacionales, lo que conduciría a la publicación de una </w:t>
      </w:r>
      <w:r w:rsidR="00B92377" w:rsidRPr="0034704D">
        <w:rPr>
          <w:rFonts w:ascii="Arial" w:hAnsi="Arial" w:cs="Arial"/>
          <w:spacing w:val="-2"/>
          <w:sz w:val="22"/>
          <w:szCs w:val="22"/>
          <w:lang w:val="es-ES_tradnl"/>
        </w:rPr>
        <w:t>“</w:t>
      </w:r>
      <w:r w:rsidRPr="0034704D">
        <w:rPr>
          <w:rFonts w:ascii="Arial" w:hAnsi="Arial" w:cs="Arial"/>
          <w:spacing w:val="-2"/>
          <w:sz w:val="22"/>
          <w:szCs w:val="22"/>
          <w:lang w:val="es-ES_tradnl"/>
        </w:rPr>
        <w:t>mejor práctica de la COI</w:t>
      </w:r>
      <w:r w:rsidR="00B92377" w:rsidRPr="0034704D">
        <w:rPr>
          <w:rFonts w:ascii="Arial" w:hAnsi="Arial" w:cs="Arial"/>
          <w:spacing w:val="-2"/>
          <w:sz w:val="22"/>
          <w:szCs w:val="22"/>
          <w:lang w:val="es-ES_tradnl"/>
        </w:rPr>
        <w:t>”</w:t>
      </w:r>
      <w:r w:rsidRPr="0034704D">
        <w:rPr>
          <w:rFonts w:ascii="Arial" w:hAnsi="Arial" w:cs="Arial"/>
          <w:spacing w:val="-2"/>
          <w:sz w:val="22"/>
          <w:szCs w:val="22"/>
          <w:lang w:val="es-ES_tradnl"/>
        </w:rPr>
        <w:t xml:space="preserve"> para la aplicación nacional de los procedimientos de autorización de investigaciones científicas marinas para las observaciones oceánicas permanentes.</w:t>
      </w:r>
    </w:p>
    <w:p w14:paraId="7E33BF84" w14:textId="3DCF368E" w:rsidR="00525A9B" w:rsidRPr="0034704D" w:rsidRDefault="002069A3" w:rsidP="00C544AC">
      <w:pPr>
        <w:pStyle w:val="ListParagraph"/>
        <w:numPr>
          <w:ilvl w:val="1"/>
          <w:numId w:val="41"/>
        </w:numPr>
        <w:spacing w:after="220"/>
        <w:ind w:left="1134" w:hanging="567"/>
        <w:contextualSpacing w:val="0"/>
        <w:jc w:val="both"/>
        <w:rPr>
          <w:rFonts w:ascii="Arial" w:eastAsia="Times New Roman" w:hAnsi="Arial" w:cs="Arial"/>
          <w:iCs/>
          <w:color w:val="000000"/>
          <w:spacing w:val="-2"/>
          <w:sz w:val="22"/>
          <w:szCs w:val="22"/>
          <w:lang w:val="es-ES_tradnl"/>
        </w:rPr>
      </w:pPr>
      <w:r w:rsidRPr="0034704D">
        <w:rPr>
          <w:rFonts w:ascii="Arial" w:hAnsi="Arial" w:cs="Arial"/>
          <w:b/>
          <w:bCs/>
          <w:spacing w:val="-2"/>
          <w:sz w:val="22"/>
          <w:szCs w:val="22"/>
          <w:lang w:val="es-ES_tradnl"/>
        </w:rPr>
        <w:t>El</w:t>
      </w:r>
      <w:r w:rsidR="00525A9B" w:rsidRPr="0034704D">
        <w:rPr>
          <w:rFonts w:ascii="Arial" w:hAnsi="Arial" w:cs="Arial"/>
          <w:b/>
          <w:bCs/>
          <w:spacing w:val="-2"/>
          <w:sz w:val="22"/>
          <w:szCs w:val="22"/>
          <w:lang w:val="es-ES_tradnl"/>
        </w:rPr>
        <w:t xml:space="preserve"> COI/GOOS, la OMM y la DAODM</w:t>
      </w:r>
      <w:r w:rsidR="00525A9B" w:rsidRPr="0034704D">
        <w:rPr>
          <w:rFonts w:ascii="Arial" w:hAnsi="Arial" w:cs="Arial"/>
          <w:spacing w:val="-2"/>
          <w:sz w:val="22"/>
          <w:szCs w:val="22"/>
          <w:lang w:val="es-ES_tradnl"/>
        </w:rPr>
        <w:t xml:space="preserve"> deberían estudiar un plan de trabajo o una iniciativa conjuntos para dar a conocer los problemas y el valor de las observaciones oceánicas, en </w:t>
      </w:r>
      <w:r w:rsidR="00525A9B" w:rsidRPr="0034704D">
        <w:rPr>
          <w:rFonts w:ascii="Arial" w:hAnsi="Arial" w:cs="Arial"/>
          <w:spacing w:val="-2"/>
          <w:sz w:val="22"/>
          <w:szCs w:val="22"/>
          <w:lang w:val="es-ES_tradnl"/>
        </w:rPr>
        <w:lastRenderedPageBreak/>
        <w:t>los planos nacional y mundial, especialmente en el marco de los objetivos del Decenio de las Naciones Unidas de las Ciencias Oceánicas para el Desarrollo Sostenible. Una labor de sensibilización coordinada tendría más fuerza que una acción aislada y podría comenzar por la difusión del informe y sus conclusiones, en particular a los Estados Miembros de la COI y a los miembros de la OMM, el OCG y las redes del grupo BioEco del GOOS.</w:t>
      </w:r>
    </w:p>
    <w:p w14:paraId="1C10B4BB" w14:textId="5E9913F6" w:rsidR="00525A9B" w:rsidRPr="0034704D" w:rsidRDefault="00525A9B" w:rsidP="00C544AC">
      <w:pPr>
        <w:pStyle w:val="ListParagraph"/>
        <w:numPr>
          <w:ilvl w:val="1"/>
          <w:numId w:val="41"/>
        </w:numPr>
        <w:spacing w:after="220"/>
        <w:ind w:left="1134" w:hanging="567"/>
        <w:contextualSpacing w:val="0"/>
        <w:jc w:val="both"/>
        <w:rPr>
          <w:rFonts w:ascii="Arial" w:eastAsia="Times New Roman" w:hAnsi="Arial" w:cs="Arial"/>
          <w:iCs/>
          <w:color w:val="000000"/>
          <w:spacing w:val="-2"/>
          <w:sz w:val="22"/>
          <w:szCs w:val="22"/>
          <w:lang w:val="es-ES_tradnl"/>
        </w:rPr>
      </w:pPr>
      <w:r w:rsidRPr="0034704D">
        <w:rPr>
          <w:rFonts w:ascii="Arial" w:hAnsi="Arial" w:cs="Arial"/>
          <w:b/>
          <w:bCs/>
          <w:spacing w:val="-2"/>
          <w:sz w:val="22"/>
          <w:szCs w:val="22"/>
          <w:lang w:val="es-ES_tradnl"/>
        </w:rPr>
        <w:t>El GOOS</w:t>
      </w:r>
      <w:r w:rsidRPr="0034704D">
        <w:rPr>
          <w:rFonts w:ascii="Arial" w:hAnsi="Arial" w:cs="Arial"/>
          <w:spacing w:val="-2"/>
          <w:sz w:val="22"/>
          <w:szCs w:val="22"/>
          <w:lang w:val="es-ES_tradnl"/>
        </w:rPr>
        <w:t xml:space="preserve"> debería utilizar la información procedente de las conclusiones, recomendaciones y resultados del taller para apoyar a las redes, a sus coordinadores nacionales y a la comunidad de observación del océano en la labor relacionada con los procedimientos de autorización de investigaciones científicas marinas y para coordinarse con los Estados respecto a dichos procedimientos. También debería garantizar que las redes conozcan el potencial de los acuerdos regionales y, cuando corresponda, la utilización del artículo 258, así como las actividades de sensibilización. El GOOS también podría crear un centro de coordinación para recopilar y documentar los problemas actuales y para difundir material de sensibilización.</w:t>
      </w:r>
    </w:p>
    <w:p w14:paraId="30A69C91" w14:textId="489EE6CD" w:rsidR="00525A9B" w:rsidRPr="0034704D" w:rsidRDefault="00525A9B" w:rsidP="00C544AC">
      <w:pPr>
        <w:pStyle w:val="ListParagraph"/>
        <w:numPr>
          <w:ilvl w:val="1"/>
          <w:numId w:val="41"/>
        </w:numPr>
        <w:spacing w:after="220"/>
        <w:ind w:left="1134" w:hanging="567"/>
        <w:contextualSpacing w:val="0"/>
        <w:jc w:val="both"/>
        <w:rPr>
          <w:rFonts w:ascii="Arial" w:eastAsia="Times New Roman" w:hAnsi="Arial" w:cs="Arial"/>
          <w:iCs/>
          <w:color w:val="000000"/>
          <w:spacing w:val="-2"/>
          <w:sz w:val="22"/>
          <w:szCs w:val="22"/>
          <w:lang w:val="es-ES_tradnl"/>
        </w:rPr>
      </w:pPr>
      <w:r w:rsidRPr="0034704D">
        <w:rPr>
          <w:rFonts w:ascii="Arial" w:hAnsi="Arial" w:cs="Arial"/>
          <w:b/>
          <w:bCs/>
          <w:spacing w:val="-2"/>
          <w:sz w:val="22"/>
          <w:szCs w:val="22"/>
          <w:lang w:val="es-ES_tradnl"/>
        </w:rPr>
        <w:t>La OMM</w:t>
      </w:r>
      <w:r w:rsidRPr="0034704D">
        <w:rPr>
          <w:rFonts w:ascii="Arial" w:hAnsi="Arial" w:cs="Arial"/>
          <w:spacing w:val="-2"/>
          <w:sz w:val="22"/>
          <w:szCs w:val="22"/>
          <w:lang w:val="es-ES_tradnl"/>
        </w:rPr>
        <w:t xml:space="preserve"> debería estudiar la forma en que las resoluciones podrían contribuir a poner de relieve la necesidad de realizar observaciones oceánicas permanentes desde las ZEE y la función fundamental que desempeña el proceso nacional de autorización de investigaciones científicas marinas para </w:t>
      </w:r>
      <w:r w:rsidR="002069A3" w:rsidRPr="0034704D">
        <w:rPr>
          <w:rFonts w:ascii="Arial" w:hAnsi="Arial" w:cs="Arial"/>
          <w:spacing w:val="-2"/>
          <w:sz w:val="22"/>
          <w:szCs w:val="22"/>
          <w:lang w:val="es-ES_tradnl"/>
        </w:rPr>
        <w:t>hacerlas posibles</w:t>
      </w:r>
      <w:r w:rsidRPr="0034704D">
        <w:rPr>
          <w:rFonts w:ascii="Arial" w:hAnsi="Arial" w:cs="Arial"/>
          <w:spacing w:val="-2"/>
          <w:sz w:val="22"/>
          <w:szCs w:val="22"/>
          <w:lang w:val="es-ES_tradnl"/>
        </w:rPr>
        <w:t>. El GOOS debería proporcionar información según sea necesario para apoyar dichos instrumentos reglamentarios.</w:t>
      </w:r>
    </w:p>
    <w:p w14:paraId="2BF06FD0" w14:textId="77777777" w:rsidR="00525A9B" w:rsidRPr="0034704D" w:rsidRDefault="00525A9B" w:rsidP="00C544AC">
      <w:pPr>
        <w:pStyle w:val="ListParagraph"/>
        <w:numPr>
          <w:ilvl w:val="1"/>
          <w:numId w:val="41"/>
        </w:numPr>
        <w:spacing w:after="220"/>
        <w:ind w:left="1134" w:hanging="567"/>
        <w:contextualSpacing w:val="0"/>
        <w:jc w:val="both"/>
        <w:rPr>
          <w:rFonts w:ascii="Arial" w:eastAsia="Times New Roman" w:hAnsi="Arial" w:cs="Arial"/>
          <w:iCs/>
          <w:color w:val="000000"/>
          <w:spacing w:val="-2"/>
          <w:sz w:val="22"/>
          <w:szCs w:val="22"/>
          <w:lang w:val="es-ES_tradnl"/>
        </w:rPr>
      </w:pPr>
      <w:r w:rsidRPr="0034704D">
        <w:rPr>
          <w:rFonts w:ascii="Arial" w:hAnsi="Arial" w:cs="Arial"/>
          <w:b/>
          <w:bCs/>
          <w:spacing w:val="-2"/>
          <w:sz w:val="22"/>
          <w:szCs w:val="22"/>
          <w:lang w:val="es-ES_tradnl"/>
        </w:rPr>
        <w:t>La DAODM</w:t>
      </w:r>
      <w:r w:rsidRPr="0034704D">
        <w:rPr>
          <w:rFonts w:ascii="Arial" w:hAnsi="Arial" w:cs="Arial"/>
          <w:spacing w:val="-2"/>
          <w:sz w:val="22"/>
          <w:szCs w:val="22"/>
          <w:lang w:val="es-ES_tradnl"/>
        </w:rPr>
        <w:t xml:space="preserve"> evaluará si existe interés en obtener un mandato de los Estados Miembros para actualizar la </w:t>
      </w:r>
      <w:r w:rsidRPr="0034704D">
        <w:rPr>
          <w:rFonts w:ascii="Arial" w:hAnsi="Arial" w:cs="Arial"/>
          <w:i/>
          <w:iCs/>
          <w:spacing w:val="-2"/>
          <w:sz w:val="22"/>
          <w:szCs w:val="22"/>
          <w:lang w:val="es-ES_tradnl"/>
        </w:rPr>
        <w:t>Guía para la aplicación de las disposiciones pertinentes de la Convención de las Naciones Unidas sobre el Derecho del Mar.</w:t>
      </w:r>
    </w:p>
    <w:p w14:paraId="558F7039" w14:textId="10851B48" w:rsidR="00525A9B" w:rsidRPr="0034704D" w:rsidRDefault="00525A9B" w:rsidP="00C544AC">
      <w:pPr>
        <w:pStyle w:val="ListParagraph"/>
        <w:numPr>
          <w:ilvl w:val="1"/>
          <w:numId w:val="41"/>
        </w:numPr>
        <w:spacing w:after="240"/>
        <w:ind w:left="1134" w:hanging="567"/>
        <w:contextualSpacing w:val="0"/>
        <w:jc w:val="both"/>
        <w:rPr>
          <w:rFonts w:ascii="Arial" w:eastAsia="Times New Roman" w:hAnsi="Arial" w:cs="Arial"/>
          <w:iCs/>
          <w:color w:val="000000"/>
          <w:spacing w:val="-2"/>
          <w:sz w:val="22"/>
          <w:szCs w:val="22"/>
          <w:lang w:val="es-ES_tradnl"/>
        </w:rPr>
      </w:pPr>
      <w:r w:rsidRPr="0034704D">
        <w:rPr>
          <w:rFonts w:ascii="Arial" w:hAnsi="Arial" w:cs="Arial"/>
          <w:b/>
          <w:bCs/>
          <w:spacing w:val="-2"/>
          <w:sz w:val="22"/>
          <w:szCs w:val="22"/>
          <w:lang w:val="es-ES_tradnl"/>
        </w:rPr>
        <w:t xml:space="preserve">La COI </w:t>
      </w:r>
      <w:r w:rsidRPr="0034704D">
        <w:rPr>
          <w:rFonts w:ascii="Arial" w:hAnsi="Arial" w:cs="Arial"/>
          <w:spacing w:val="-2"/>
          <w:sz w:val="22"/>
          <w:szCs w:val="22"/>
          <w:lang w:val="es-ES_tradnl"/>
        </w:rPr>
        <w:t>debería estudiar la posibilidad de poner en marcha un proyecto piloto, utilizando su procedimiento para la aplicación del artículo 247, sobre la realización de observaciones del océano tras la aprobación del proyecto por la COI y la notificación a los Estados Miembros de la intención de realizar las actividades en sus ZEE.</w:t>
      </w:r>
    </w:p>
    <w:p w14:paraId="79059192" w14:textId="4A4178A3" w:rsidR="006A1417" w:rsidRPr="0034704D" w:rsidRDefault="000778D8" w:rsidP="004E149F">
      <w:pPr>
        <w:pStyle w:val="Style2"/>
        <w:numPr>
          <w:ilvl w:val="0"/>
          <w:numId w:val="23"/>
        </w:numPr>
        <w:tabs>
          <w:tab w:val="left" w:pos="567"/>
        </w:tabs>
        <w:snapToGrid w:val="0"/>
        <w:spacing w:before="240"/>
        <w:ind w:left="0" w:firstLine="0"/>
        <w:rPr>
          <w:rFonts w:cs="Arial"/>
          <w:lang w:val="es-ES_tradnl"/>
        </w:rPr>
      </w:pPr>
      <w:r w:rsidRPr="0034704D">
        <w:rPr>
          <w:rFonts w:cs="Arial"/>
          <w:lang w:val="es-ES_tradnl"/>
        </w:rPr>
        <w:t xml:space="preserve">En el proyecto de decisión EC-55/3.4 que figura en el documento de decisión provisional </w:t>
      </w:r>
      <w:r w:rsidR="002069A3" w:rsidRPr="0034704D">
        <w:rPr>
          <w:rFonts w:cs="Arial"/>
          <w:lang w:val="es-ES_tradnl"/>
        </w:rPr>
        <w:t>de</w:t>
      </w:r>
      <w:r w:rsidRPr="0034704D">
        <w:rPr>
          <w:rFonts w:cs="Arial"/>
          <w:lang w:val="es-ES_tradnl"/>
        </w:rPr>
        <w:t xml:space="preserve"> esta reunión del Consejo Ejecutivo se invita a los Estados Miembros de la COI a que actúen, inspir</w:t>
      </w:r>
      <w:r w:rsidR="002069A3" w:rsidRPr="0034704D">
        <w:rPr>
          <w:rFonts w:cs="Arial"/>
          <w:lang w:val="es-ES_tradnl"/>
        </w:rPr>
        <w:t>ándose</w:t>
      </w:r>
      <w:r w:rsidRPr="0034704D">
        <w:rPr>
          <w:rFonts w:cs="Arial"/>
          <w:lang w:val="es-ES_tradnl"/>
        </w:rPr>
        <w:t xml:space="preserve"> en el proceso que dio lugar al sistema de notificación de Argo, y elaboren los requisitos previos para que la COI siga trabajando en este ámbito.</w:t>
      </w:r>
    </w:p>
    <w:p w14:paraId="5A558D8D" w14:textId="656DE90E" w:rsidR="006A1417" w:rsidRPr="0034704D" w:rsidRDefault="00124AE1" w:rsidP="004E149F">
      <w:pPr>
        <w:pStyle w:val="Style2"/>
        <w:numPr>
          <w:ilvl w:val="0"/>
          <w:numId w:val="23"/>
        </w:numPr>
        <w:tabs>
          <w:tab w:val="left" w:pos="567"/>
        </w:tabs>
        <w:snapToGrid w:val="0"/>
        <w:ind w:left="0" w:firstLine="0"/>
        <w:rPr>
          <w:rFonts w:cs="Arial"/>
          <w:lang w:val="es-ES_tradnl"/>
        </w:rPr>
      </w:pPr>
      <w:r w:rsidRPr="0034704D">
        <w:rPr>
          <w:rFonts w:cs="Arial"/>
          <w:lang w:val="es-ES_tradnl"/>
        </w:rPr>
        <w:t xml:space="preserve">En el proyecto de decisión se pide que la COI ponga en marcha una consulta de los Estados Miembros en el periodo entre reuniones a fin de proponer un mandato actualizado para reconstituir el </w:t>
      </w:r>
      <w:r w:rsidR="00B96E48" w:rsidRPr="0034704D">
        <w:rPr>
          <w:rFonts w:cs="Arial"/>
          <w:lang w:val="es-ES_tradnl"/>
        </w:rPr>
        <w:t>COI/ABE-LOS</w:t>
      </w:r>
      <w:r w:rsidRPr="0034704D">
        <w:rPr>
          <w:rFonts w:cs="Arial"/>
          <w:lang w:val="es-ES_tradnl"/>
        </w:rPr>
        <w:t xml:space="preserve">, un órgano con competencia mixta científica y jurídica para dialogar con los Estados Miembros de la COI y la comunidad de observación del océano, y que prepare propuestas específicas para su aprobación por la Asamblea de la COI. Además, se pide al GOOS que trabaje con las redes permanentes para aportar un número limitado de descripciones claras y específicas de las dificultades/problemas y de las posibles soluciones para su examen por un </w:t>
      </w:r>
      <w:r w:rsidR="00B96E48" w:rsidRPr="0034704D">
        <w:rPr>
          <w:rFonts w:cs="Arial"/>
          <w:lang w:val="es-ES_tradnl"/>
        </w:rPr>
        <w:t xml:space="preserve">COI/ABE-LOS </w:t>
      </w:r>
      <w:r w:rsidRPr="0034704D">
        <w:rPr>
          <w:rFonts w:cs="Arial"/>
          <w:lang w:val="es-ES_tradnl"/>
        </w:rPr>
        <w:t>reconstituido. Este órgano también podría tratar cuestiones más amplias que el GOOS planteadas por otros programas de la COI o del Decenio del Océano.</w:t>
      </w:r>
    </w:p>
    <w:p w14:paraId="1F515B41" w14:textId="20FBD7B2" w:rsidR="00A04790" w:rsidRPr="0034704D" w:rsidRDefault="00124AE1" w:rsidP="004E149F">
      <w:pPr>
        <w:pStyle w:val="Style2"/>
        <w:numPr>
          <w:ilvl w:val="0"/>
          <w:numId w:val="23"/>
        </w:numPr>
        <w:tabs>
          <w:tab w:val="left" w:pos="567"/>
        </w:tabs>
        <w:snapToGrid w:val="0"/>
        <w:ind w:left="0" w:firstLine="0"/>
        <w:rPr>
          <w:rFonts w:cs="Arial"/>
          <w:lang w:val="es-ES_tradnl"/>
        </w:rPr>
      </w:pPr>
      <w:r w:rsidRPr="0034704D">
        <w:rPr>
          <w:rFonts w:cs="Arial"/>
          <w:lang w:val="es-ES_tradnl"/>
        </w:rPr>
        <w:t>Liberar todo el potencial de las ciencias oceánicas en el marco actual de la CNUDM será un paso importante para lograr el cambio en el contexto de la Recomendación sobre la Ciencia Abierta aprobada por la UNESCO. La COI puede desempeñar una importante función si continúa su labor de elaboración de marcos de cooperación para compartir los datos oceánicos recogidos en las ZEE, haciendo así que el océano sea más accesible y se gestione de forma sostenible y contribuyendo a la visión del Decenio del Océano de las Naciones Unidas.</w:t>
      </w:r>
    </w:p>
    <w:sectPr w:rsidR="00A04790" w:rsidRPr="0034704D" w:rsidSect="004E149F">
      <w:headerReference w:type="even" r:id="rId12"/>
      <w:headerReference w:type="default" r:id="rId13"/>
      <w:headerReference w:type="first" r:id="rId14"/>
      <w:pgSz w:w="11906" w:h="16838" w:code="9"/>
      <w:pgMar w:top="1418" w:right="1134" w:bottom="1134" w:left="113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E8A40" w14:textId="77777777" w:rsidR="00AE1FD9" w:rsidRDefault="00AE1FD9">
      <w:r>
        <w:separator/>
      </w:r>
    </w:p>
  </w:endnote>
  <w:endnote w:type="continuationSeparator" w:id="0">
    <w:p w14:paraId="0D72042D" w14:textId="77777777" w:rsidR="00AE1FD9" w:rsidRDefault="00AE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C8DBA" w14:textId="77777777" w:rsidR="00AE1FD9" w:rsidRDefault="00AE1FD9">
      <w:r>
        <w:separator/>
      </w:r>
    </w:p>
  </w:footnote>
  <w:footnote w:type="continuationSeparator" w:id="0">
    <w:p w14:paraId="4B303271" w14:textId="77777777" w:rsidR="00AE1FD9" w:rsidRDefault="00AE1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46D0" w14:textId="5D167A81" w:rsidR="00F12B65" w:rsidRPr="004E149F" w:rsidRDefault="00F12B65" w:rsidP="00F12B65">
    <w:pPr>
      <w:pStyle w:val="Header"/>
      <w:rPr>
        <w:rFonts w:asciiTheme="minorBidi" w:hAnsiTheme="minorBidi" w:cstheme="minorBidi"/>
        <w:bCs/>
        <w:sz w:val="22"/>
        <w:szCs w:val="22"/>
        <w:lang w:val="es-ES_tradnl"/>
      </w:rPr>
    </w:pPr>
    <w:r w:rsidRPr="004E149F">
      <w:rPr>
        <w:rFonts w:asciiTheme="minorBidi" w:hAnsiTheme="minorBidi" w:cstheme="minorBidi"/>
        <w:bCs/>
        <w:sz w:val="22"/>
        <w:szCs w:val="22"/>
        <w:lang w:val="es-ES_tradnl"/>
      </w:rPr>
      <w:t xml:space="preserve">IOC/EC-55/3.4.Doc(1) </w:t>
    </w:r>
    <w:r w:rsidR="007E541F" w:rsidRPr="004E149F">
      <w:rPr>
        <w:rFonts w:asciiTheme="minorBidi" w:eastAsiaTheme="minorEastAsia" w:hAnsiTheme="minorBidi" w:cstheme="minorBidi"/>
        <w:bCs/>
        <w:sz w:val="22"/>
        <w:szCs w:val="22"/>
        <w:lang w:val="es-ES_tradnl" w:eastAsia="zh-CN"/>
      </w:rPr>
      <w:t>–</w:t>
    </w:r>
    <w:r w:rsidRPr="004E149F">
      <w:rPr>
        <w:rFonts w:asciiTheme="minorBidi" w:eastAsiaTheme="minorEastAsia" w:hAnsiTheme="minorBidi" w:cstheme="minorBidi"/>
        <w:bCs/>
        <w:sz w:val="22"/>
        <w:szCs w:val="22"/>
        <w:lang w:val="es-ES_tradnl" w:eastAsia="zh-CN"/>
      </w:rPr>
      <w:t xml:space="preserve"> p</w:t>
    </w:r>
    <w:r w:rsidR="004E149F" w:rsidRPr="004E149F">
      <w:rPr>
        <w:rFonts w:asciiTheme="minorBidi" w:eastAsiaTheme="minorEastAsia" w:hAnsiTheme="minorBidi" w:cstheme="minorBidi"/>
        <w:bCs/>
        <w:sz w:val="22"/>
        <w:szCs w:val="22"/>
        <w:lang w:val="es-ES_tradnl" w:eastAsia="zh-CN"/>
      </w:rPr>
      <w:t>ág.</w:t>
    </w:r>
    <w:r w:rsidRPr="004E149F">
      <w:rPr>
        <w:rFonts w:asciiTheme="minorBidi" w:eastAsiaTheme="minorEastAsia" w:hAnsiTheme="minorBidi" w:cstheme="minorBidi"/>
        <w:bCs/>
        <w:sz w:val="22"/>
        <w:szCs w:val="22"/>
        <w:lang w:val="es-ES_tradnl" w:eastAsia="zh-CN"/>
      </w:rPr>
      <w:t xml:space="preserve"> </w:t>
    </w:r>
    <w:sdt>
      <w:sdtPr>
        <w:rPr>
          <w:rFonts w:asciiTheme="minorBidi" w:hAnsiTheme="minorBidi" w:cstheme="minorBidi"/>
          <w:sz w:val="22"/>
          <w:szCs w:val="22"/>
          <w:lang w:val="es-ES_tradnl"/>
        </w:rPr>
        <w:id w:val="508263350"/>
        <w:docPartObj>
          <w:docPartGallery w:val="Page Numbers (Top of Page)"/>
          <w:docPartUnique/>
        </w:docPartObj>
      </w:sdtPr>
      <w:sdtEndPr>
        <w:rPr>
          <w:noProof/>
        </w:rPr>
      </w:sdtEndPr>
      <w:sdtContent>
        <w:r w:rsidRPr="004E149F">
          <w:rPr>
            <w:rFonts w:asciiTheme="minorBidi" w:hAnsiTheme="minorBidi" w:cstheme="minorBidi"/>
            <w:sz w:val="22"/>
            <w:szCs w:val="22"/>
            <w:lang w:val="es-ES_tradnl"/>
          </w:rPr>
          <w:fldChar w:fldCharType="begin"/>
        </w:r>
        <w:r w:rsidRPr="004E149F">
          <w:rPr>
            <w:rFonts w:asciiTheme="minorBidi" w:hAnsiTheme="minorBidi" w:cstheme="minorBidi"/>
            <w:sz w:val="22"/>
            <w:szCs w:val="22"/>
            <w:lang w:val="es-ES_tradnl"/>
          </w:rPr>
          <w:instrText xml:space="preserve"> PAGE   \* MERGEFORMAT </w:instrText>
        </w:r>
        <w:r w:rsidRPr="004E149F">
          <w:rPr>
            <w:rFonts w:asciiTheme="minorBidi" w:hAnsiTheme="minorBidi" w:cstheme="minorBidi"/>
            <w:sz w:val="22"/>
            <w:szCs w:val="22"/>
            <w:lang w:val="es-ES_tradnl"/>
          </w:rPr>
          <w:fldChar w:fldCharType="separate"/>
        </w:r>
        <w:r w:rsidRPr="004E149F">
          <w:rPr>
            <w:rFonts w:asciiTheme="minorBidi" w:hAnsiTheme="minorBidi" w:cstheme="minorBidi"/>
            <w:noProof/>
            <w:sz w:val="22"/>
            <w:szCs w:val="22"/>
            <w:lang w:val="es-ES_tradnl"/>
          </w:rPr>
          <w:t>2</w:t>
        </w:r>
        <w:r w:rsidRPr="004E149F">
          <w:rPr>
            <w:rFonts w:asciiTheme="minorBidi" w:hAnsiTheme="minorBidi" w:cstheme="minorBidi"/>
            <w:noProof/>
            <w:sz w:val="22"/>
            <w:szCs w:val="22"/>
            <w:lang w:val="es-ES_tradnl"/>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0517" w14:textId="4EC0AB49" w:rsidR="00F12B65" w:rsidRPr="004E149F" w:rsidRDefault="00F12B65" w:rsidP="00F12B65">
    <w:pPr>
      <w:pStyle w:val="Header"/>
      <w:jc w:val="right"/>
      <w:rPr>
        <w:rFonts w:asciiTheme="minorBidi" w:hAnsiTheme="minorBidi" w:cstheme="minorBidi"/>
        <w:bCs/>
        <w:sz w:val="22"/>
        <w:szCs w:val="22"/>
        <w:lang w:val="es-ES_tradnl"/>
      </w:rPr>
    </w:pPr>
    <w:r w:rsidRPr="004E149F">
      <w:rPr>
        <w:rFonts w:asciiTheme="minorBidi" w:hAnsiTheme="minorBidi" w:cstheme="minorBidi"/>
        <w:bCs/>
        <w:sz w:val="22"/>
        <w:szCs w:val="22"/>
        <w:lang w:val="es-ES_tradnl"/>
      </w:rPr>
      <w:t xml:space="preserve">IOC/EC-55/3.4.Doc(1) </w:t>
    </w:r>
    <w:r w:rsidR="007E541F" w:rsidRPr="004E149F">
      <w:rPr>
        <w:rFonts w:asciiTheme="minorBidi" w:eastAsiaTheme="minorEastAsia" w:hAnsiTheme="minorBidi" w:cstheme="minorBidi"/>
        <w:bCs/>
        <w:sz w:val="22"/>
        <w:szCs w:val="22"/>
        <w:lang w:val="es-ES_tradnl" w:eastAsia="zh-CN"/>
      </w:rPr>
      <w:t>–</w:t>
    </w:r>
    <w:r w:rsidRPr="004E149F">
      <w:rPr>
        <w:rFonts w:asciiTheme="minorBidi" w:eastAsiaTheme="minorEastAsia" w:hAnsiTheme="minorBidi" w:cstheme="minorBidi"/>
        <w:bCs/>
        <w:sz w:val="22"/>
        <w:szCs w:val="22"/>
        <w:lang w:val="es-ES_tradnl" w:eastAsia="zh-CN"/>
      </w:rPr>
      <w:t xml:space="preserve"> p</w:t>
    </w:r>
    <w:r w:rsidR="004E149F" w:rsidRPr="004E149F">
      <w:rPr>
        <w:rFonts w:asciiTheme="minorBidi" w:eastAsiaTheme="minorEastAsia" w:hAnsiTheme="minorBidi" w:cstheme="minorBidi"/>
        <w:bCs/>
        <w:sz w:val="22"/>
        <w:szCs w:val="22"/>
        <w:lang w:val="es-ES_tradnl" w:eastAsia="zh-CN"/>
      </w:rPr>
      <w:t>ág.</w:t>
    </w:r>
    <w:r w:rsidRPr="004E149F">
      <w:rPr>
        <w:rFonts w:asciiTheme="minorBidi" w:eastAsiaTheme="minorEastAsia" w:hAnsiTheme="minorBidi" w:cstheme="minorBidi"/>
        <w:bCs/>
        <w:sz w:val="22"/>
        <w:szCs w:val="22"/>
        <w:lang w:val="es-ES_tradnl" w:eastAsia="zh-CN"/>
      </w:rPr>
      <w:t xml:space="preserve"> </w:t>
    </w:r>
    <w:sdt>
      <w:sdtPr>
        <w:rPr>
          <w:rFonts w:asciiTheme="minorBidi" w:hAnsiTheme="minorBidi" w:cstheme="minorBidi"/>
          <w:sz w:val="22"/>
          <w:szCs w:val="22"/>
          <w:lang w:val="es-ES_tradnl"/>
        </w:rPr>
        <w:id w:val="886076202"/>
        <w:docPartObj>
          <w:docPartGallery w:val="Page Numbers (Top of Page)"/>
          <w:docPartUnique/>
        </w:docPartObj>
      </w:sdtPr>
      <w:sdtEndPr>
        <w:rPr>
          <w:noProof/>
        </w:rPr>
      </w:sdtEndPr>
      <w:sdtContent>
        <w:r w:rsidRPr="004E149F">
          <w:rPr>
            <w:rFonts w:asciiTheme="minorBidi" w:hAnsiTheme="minorBidi" w:cstheme="minorBidi"/>
            <w:sz w:val="22"/>
            <w:szCs w:val="22"/>
            <w:lang w:val="es-ES_tradnl"/>
          </w:rPr>
          <w:fldChar w:fldCharType="begin"/>
        </w:r>
        <w:r w:rsidRPr="004E149F">
          <w:rPr>
            <w:rFonts w:asciiTheme="minorBidi" w:hAnsiTheme="minorBidi" w:cstheme="minorBidi"/>
            <w:sz w:val="22"/>
            <w:szCs w:val="22"/>
            <w:lang w:val="es-ES_tradnl"/>
          </w:rPr>
          <w:instrText xml:space="preserve"> PAGE   \* MERGEFORMAT </w:instrText>
        </w:r>
        <w:r w:rsidRPr="004E149F">
          <w:rPr>
            <w:rFonts w:asciiTheme="minorBidi" w:hAnsiTheme="minorBidi" w:cstheme="minorBidi"/>
            <w:sz w:val="22"/>
            <w:szCs w:val="22"/>
            <w:lang w:val="es-ES_tradnl"/>
          </w:rPr>
          <w:fldChar w:fldCharType="separate"/>
        </w:r>
        <w:r w:rsidRPr="004E149F">
          <w:rPr>
            <w:rFonts w:asciiTheme="minorBidi" w:hAnsiTheme="minorBidi" w:cstheme="minorBidi"/>
            <w:sz w:val="22"/>
            <w:szCs w:val="22"/>
            <w:lang w:val="es-ES_tradnl"/>
          </w:rPr>
          <w:t>2</w:t>
        </w:r>
        <w:r w:rsidRPr="004E149F">
          <w:rPr>
            <w:rFonts w:asciiTheme="minorBidi" w:hAnsiTheme="minorBidi" w:cstheme="minorBidi"/>
            <w:noProof/>
            <w:sz w:val="22"/>
            <w:szCs w:val="22"/>
            <w:lang w:val="es-ES_tradnl"/>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007E" w14:textId="3ABC984D" w:rsidR="00E86920" w:rsidRPr="001736A9" w:rsidRDefault="00E86920" w:rsidP="00E86920">
    <w:pPr>
      <w:pStyle w:val="Marge"/>
      <w:tabs>
        <w:tab w:val="left" w:pos="5954"/>
      </w:tabs>
      <w:spacing w:after="0"/>
      <w:rPr>
        <w:rFonts w:ascii="Arial" w:hAnsi="Arial" w:cs="Arial"/>
        <w:b/>
        <w:sz w:val="36"/>
        <w:szCs w:val="36"/>
        <w:lang w:val="es-ES_tradnl"/>
      </w:rPr>
    </w:pPr>
    <w:r w:rsidRPr="004E149F">
      <w:rPr>
        <w:rFonts w:ascii="Arial" w:hAnsi="Arial" w:cs="Arial"/>
        <w:sz w:val="22"/>
        <w:szCs w:val="22"/>
        <w:lang w:val="es-ES"/>
      </w:rPr>
      <w:t>Distribución limitada</w:t>
    </w:r>
    <w:r w:rsidRPr="001736A9">
      <w:rPr>
        <w:rFonts w:ascii="Arial" w:hAnsi="Arial" w:cs="Arial"/>
        <w:lang w:val="es-ES"/>
      </w:rPr>
      <w:tab/>
    </w:r>
    <w:r w:rsidRPr="004E149F">
      <w:rPr>
        <w:rFonts w:ascii="Arial" w:hAnsi="Arial" w:cs="Arial"/>
        <w:b/>
        <w:bCs/>
        <w:sz w:val="32"/>
        <w:szCs w:val="32"/>
        <w:lang w:val="es-ES"/>
      </w:rPr>
      <w:t>IOC/EC-55/3.4.Doc(1)</w:t>
    </w:r>
  </w:p>
  <w:p w14:paraId="49DAAB47" w14:textId="33BD3391" w:rsidR="00E86920" w:rsidRPr="004E149F" w:rsidRDefault="00E86920" w:rsidP="00E86920">
    <w:pPr>
      <w:pStyle w:val="Marge"/>
      <w:tabs>
        <w:tab w:val="left" w:pos="5954"/>
      </w:tabs>
      <w:spacing w:after="0"/>
      <w:rPr>
        <w:rFonts w:ascii="Arial" w:hAnsi="Arial" w:cs="Arial"/>
        <w:sz w:val="22"/>
        <w:szCs w:val="22"/>
        <w:lang w:val="es-ES_tradnl"/>
      </w:rPr>
    </w:pPr>
    <w:r w:rsidRPr="001736A9">
      <w:rPr>
        <w:rFonts w:ascii="Arial" w:hAnsi="Arial" w:cs="Arial"/>
        <w:b/>
        <w:noProof/>
        <w:snapToGrid/>
        <w:szCs w:val="22"/>
        <w:lang w:val="es-ES" w:eastAsia="fr-FR"/>
      </w:rPr>
      <w:drawing>
        <wp:anchor distT="0" distB="0" distL="114300" distR="114300" simplePos="0" relativeHeight="251659264" behindDoc="0" locked="0" layoutInCell="1" allowOverlap="1" wp14:anchorId="55770B56" wp14:editId="52FAC8F8">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1736A9">
      <w:rPr>
        <w:rFonts w:ascii="Arial" w:hAnsi="Arial" w:cs="Arial"/>
        <w:lang w:val="es-ES"/>
      </w:rPr>
      <w:tab/>
    </w:r>
    <w:r w:rsidRPr="004E149F">
      <w:rPr>
        <w:rFonts w:ascii="Arial" w:hAnsi="Arial" w:cs="Arial"/>
        <w:sz w:val="22"/>
        <w:szCs w:val="22"/>
        <w:lang w:val="es-ES"/>
      </w:rPr>
      <w:t>París, 25 de mayo de 2022</w:t>
    </w:r>
  </w:p>
  <w:p w14:paraId="64E9A3E6" w14:textId="77777777" w:rsidR="00E86920" w:rsidRPr="001736A9" w:rsidRDefault="00E86920" w:rsidP="00E86920">
    <w:pPr>
      <w:pStyle w:val="Marge"/>
      <w:tabs>
        <w:tab w:val="left" w:pos="5954"/>
      </w:tabs>
      <w:rPr>
        <w:rFonts w:ascii="Arial" w:hAnsi="Arial" w:cs="Arial"/>
        <w:sz w:val="22"/>
        <w:szCs w:val="22"/>
        <w:lang w:val="es-ES_tradnl"/>
      </w:rPr>
    </w:pPr>
    <w:r w:rsidRPr="004E149F">
      <w:rPr>
        <w:rFonts w:ascii="Arial" w:hAnsi="Arial" w:cs="Arial"/>
        <w:sz w:val="22"/>
        <w:szCs w:val="22"/>
        <w:lang w:val="es-ES"/>
      </w:rPr>
      <w:tab/>
      <w:t>Original: inglés</w:t>
    </w:r>
  </w:p>
  <w:p w14:paraId="724197FA" w14:textId="77777777" w:rsidR="00E86920" w:rsidRPr="001736A9"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Arial" w:hAnsi="Arial" w:cs="Arial"/>
        <w:b/>
        <w:szCs w:val="22"/>
        <w:lang w:val="es-ES_tradnl"/>
      </w:rPr>
    </w:pPr>
  </w:p>
  <w:p w14:paraId="59704176" w14:textId="77777777" w:rsidR="00E86920" w:rsidRPr="001736A9"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Arial" w:hAnsi="Arial" w:cs="Arial"/>
        <w:b/>
        <w:szCs w:val="22"/>
        <w:lang w:val="es-ES_tradnl"/>
      </w:rPr>
    </w:pPr>
  </w:p>
  <w:p w14:paraId="428C3E95" w14:textId="77777777" w:rsidR="00E86920" w:rsidRPr="001736A9"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Cs w:val="22"/>
        <w:lang w:val="es-ES_tradnl"/>
      </w:rPr>
    </w:pPr>
  </w:p>
  <w:p w14:paraId="1949B77E" w14:textId="77777777" w:rsidR="00E86920" w:rsidRPr="001736A9"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Cs w:val="22"/>
        <w:lang w:val="es-ES_tradnl"/>
      </w:rPr>
    </w:pPr>
  </w:p>
  <w:p w14:paraId="3C111CB0" w14:textId="77777777" w:rsidR="00E86920" w:rsidRPr="001736A9"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Cs w:val="22"/>
        <w:lang w:val="es-ES_tradnl"/>
      </w:rPr>
    </w:pPr>
  </w:p>
  <w:p w14:paraId="77866373" w14:textId="77777777" w:rsidR="00E86920" w:rsidRPr="004E149F" w:rsidRDefault="00E86920" w:rsidP="00C4006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_tradnl"/>
      </w:rPr>
    </w:pPr>
    <w:r w:rsidRPr="004E149F">
      <w:rPr>
        <w:rFonts w:ascii="Arial" w:hAnsi="Arial" w:cs="Arial"/>
        <w:b/>
        <w:bCs/>
        <w:sz w:val="22"/>
        <w:szCs w:val="22"/>
        <w:lang w:val="es-ES"/>
      </w:rPr>
      <w:t>COMISIÓN OCEANOGRÁFICA INTERGUBERNAMENTAL</w:t>
    </w:r>
  </w:p>
  <w:p w14:paraId="79A238F9" w14:textId="77777777" w:rsidR="00E86920" w:rsidRPr="004E149F" w:rsidRDefault="00E86920" w:rsidP="00C4006A">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 w:val="22"/>
        <w:szCs w:val="22"/>
        <w:lang w:val="es-ES_tradnl"/>
      </w:rPr>
    </w:pPr>
    <w:r w:rsidRPr="004E149F">
      <w:rPr>
        <w:rFonts w:ascii="Arial" w:hAnsi="Arial" w:cs="Arial"/>
        <w:sz w:val="22"/>
        <w:szCs w:val="22"/>
        <w:lang w:val="es-ES"/>
      </w:rPr>
      <w:t>(de la UNESCO)</w:t>
    </w:r>
  </w:p>
  <w:p w14:paraId="5F708E95" w14:textId="77777777" w:rsidR="00E86920" w:rsidRPr="004E149F" w:rsidRDefault="00E86920" w:rsidP="00C4006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_tradnl"/>
      </w:rPr>
    </w:pPr>
  </w:p>
  <w:p w14:paraId="7C1ADA25" w14:textId="77777777" w:rsidR="00E86920" w:rsidRPr="004E149F" w:rsidRDefault="00E86920" w:rsidP="00C4006A">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sz w:val="22"/>
        <w:szCs w:val="22"/>
        <w:lang w:val="es-ES_tradnl"/>
      </w:rPr>
    </w:pPr>
    <w:r w:rsidRPr="004E149F">
      <w:rPr>
        <w:rFonts w:ascii="Arial" w:hAnsi="Arial" w:cs="Arial"/>
        <w:b/>
        <w:bCs/>
        <w:sz w:val="22"/>
        <w:szCs w:val="22"/>
        <w:lang w:val="es-ES"/>
      </w:rPr>
      <w:t>55ª reunión del Consejo Ejecutivo</w:t>
    </w:r>
  </w:p>
  <w:p w14:paraId="2D2FAC7D" w14:textId="77777777" w:rsidR="00E86920" w:rsidRPr="004E149F" w:rsidRDefault="00E86920" w:rsidP="00C4006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Cs/>
        <w:sz w:val="22"/>
        <w:szCs w:val="22"/>
        <w:lang w:val="es-ES_tradnl"/>
      </w:rPr>
    </w:pPr>
    <w:r w:rsidRPr="004E149F">
      <w:rPr>
        <w:rFonts w:ascii="Arial" w:hAnsi="Arial" w:cs="Arial"/>
        <w:sz w:val="22"/>
        <w:szCs w:val="22"/>
        <w:lang w:val="es-ES"/>
      </w:rPr>
      <w:t>UNESCO, París, 14-17 de junio de 2022</w:t>
    </w:r>
  </w:p>
  <w:p w14:paraId="18F8F262" w14:textId="77777777" w:rsidR="00E86920" w:rsidRPr="004E149F" w:rsidRDefault="00E86920" w:rsidP="00E86920">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Cs/>
        <w:sz w:val="22"/>
        <w:szCs w:val="22"/>
        <w:lang w:val="es-ES_tradnl"/>
      </w:rPr>
    </w:pPr>
  </w:p>
  <w:p w14:paraId="21774B35" w14:textId="788EC984" w:rsidR="00E86920" w:rsidRPr="004E149F" w:rsidRDefault="00E86920" w:rsidP="00E86920">
    <w:pPr>
      <w:jc w:val="center"/>
      <w:rPr>
        <w:rFonts w:ascii="Arial" w:hAnsi="Arial" w:cs="Arial"/>
        <w:sz w:val="22"/>
        <w:szCs w:val="22"/>
        <w:lang w:val="es-ES_tradnl"/>
      </w:rPr>
    </w:pPr>
  </w:p>
  <w:p w14:paraId="18D5C7FD" w14:textId="77777777" w:rsidR="003C5E9E" w:rsidRPr="004E149F" w:rsidRDefault="003C5E9E" w:rsidP="00E86920">
    <w:pPr>
      <w:jc w:val="center"/>
      <w:rPr>
        <w:rFonts w:ascii="Arial" w:hAnsi="Arial" w:cs="Arial"/>
        <w:sz w:val="22"/>
        <w:szCs w:val="22"/>
        <w:lang w:val="es-ES_tradnl"/>
      </w:rPr>
    </w:pPr>
  </w:p>
  <w:p w14:paraId="788CED2B" w14:textId="1CB09713" w:rsidR="00E86920" w:rsidRPr="004E149F" w:rsidRDefault="00E86920" w:rsidP="00E86920">
    <w:pPr>
      <w:keepNext/>
      <w:widowControl w:val="0"/>
      <w:tabs>
        <w:tab w:val="right" w:pos="9540"/>
      </w:tabs>
      <w:adjustRightInd w:val="0"/>
      <w:jc w:val="both"/>
      <w:textAlignment w:val="baseline"/>
      <w:outlineLvl w:val="6"/>
      <w:rPr>
        <w:rFonts w:ascii="Arial" w:eastAsia="Times New Roman" w:hAnsi="Arial" w:cs="Arial"/>
        <w:sz w:val="22"/>
        <w:szCs w:val="22"/>
        <w:lang w:val="es-ES_tradnl"/>
      </w:rPr>
    </w:pPr>
    <w:r w:rsidRPr="004E149F">
      <w:rPr>
        <w:rFonts w:ascii="Arial" w:hAnsi="Arial" w:cs="Arial"/>
        <w:sz w:val="22"/>
        <w:szCs w:val="22"/>
        <w:u w:val="single"/>
        <w:lang w:val="es-ES"/>
      </w:rPr>
      <w:t xml:space="preserve">Punto </w:t>
    </w:r>
    <w:r w:rsidRPr="004E149F">
      <w:rPr>
        <w:rFonts w:ascii="Arial" w:hAnsi="Arial" w:cs="Arial"/>
        <w:b/>
        <w:bCs/>
        <w:sz w:val="22"/>
        <w:szCs w:val="22"/>
        <w:u w:val="single"/>
        <w:lang w:val="es-ES"/>
      </w:rPr>
      <w:t>3.4</w:t>
    </w:r>
    <w:r w:rsidRPr="004E149F">
      <w:rPr>
        <w:rFonts w:ascii="Arial" w:hAnsi="Arial" w:cs="Arial"/>
        <w:sz w:val="22"/>
        <w:szCs w:val="22"/>
        <w:u w:val="single"/>
        <w:lang w:val="es-ES"/>
      </w:rPr>
      <w:t xml:space="preserve"> del orden del día provisional</w:t>
    </w:r>
  </w:p>
  <w:p w14:paraId="51737E4F" w14:textId="5C65F246" w:rsidR="00E86920" w:rsidRPr="004E149F" w:rsidRDefault="00E86920" w:rsidP="00E86920">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caps/>
        <w:sz w:val="22"/>
        <w:szCs w:val="22"/>
        <w:lang w:val="es-ES_tradnl"/>
      </w:rPr>
    </w:pPr>
  </w:p>
  <w:p w14:paraId="4E0C5E91" w14:textId="4B94B32C" w:rsidR="003C5E9E" w:rsidRPr="004E149F" w:rsidRDefault="003C5E9E" w:rsidP="00E86920">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caps/>
        <w:sz w:val="22"/>
        <w:szCs w:val="22"/>
        <w:lang w:val="es-ES_tradnl"/>
      </w:rPr>
    </w:pPr>
  </w:p>
  <w:p w14:paraId="22AA784D" w14:textId="77777777" w:rsidR="003C5E9E" w:rsidRPr="004E149F" w:rsidRDefault="003C5E9E" w:rsidP="00E86920">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caps/>
        <w:sz w:val="22"/>
        <w:szCs w:val="22"/>
        <w:lang w:val="es-ES_tradnl"/>
      </w:rPr>
    </w:pPr>
  </w:p>
  <w:p w14:paraId="59883FCD" w14:textId="280EB3D9" w:rsidR="00E86920" w:rsidRPr="004E149F" w:rsidRDefault="00124AE1" w:rsidP="00124AE1">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olor w:val="000000"/>
        <w:sz w:val="22"/>
        <w:szCs w:val="22"/>
        <w:lang w:val="es-ES_tradnl"/>
      </w:rPr>
    </w:pPr>
    <w:r w:rsidRPr="004E149F">
      <w:rPr>
        <w:rFonts w:ascii="Arial" w:hAnsi="Arial" w:cs="Arial"/>
        <w:b/>
        <w:bCs/>
        <w:sz w:val="22"/>
        <w:szCs w:val="22"/>
        <w:lang w:val="es-ES"/>
      </w:rPr>
      <w:t xml:space="preserve">DIFICULTADES Y SOLUCIONES PARA MEJORAR LAS OBSERVACIONES OCEÁNICAS PERMANENTES EN LAS ZONAS SUJETAS A LA JURISDICCIÓN NACIONAL </w:t>
    </w:r>
    <w:r w:rsidR="004E149F">
      <w:rPr>
        <w:rFonts w:ascii="Arial" w:hAnsi="Arial" w:cs="Arial"/>
        <w:b/>
        <w:bCs/>
        <w:sz w:val="22"/>
        <w:szCs w:val="22"/>
        <w:lang w:val="es-ES"/>
      </w:rPr>
      <w:br/>
    </w:r>
    <w:r w:rsidRPr="004E149F">
      <w:rPr>
        <w:rFonts w:ascii="Arial" w:hAnsi="Arial" w:cs="Arial"/>
        <w:b/>
        <w:bCs/>
        <w:sz w:val="22"/>
        <w:szCs w:val="22"/>
        <w:lang w:val="es-ES"/>
      </w:rPr>
      <w:t>Y FUNCIÓN DE LA COI, LA OMM Y LA DAODM</w:t>
    </w:r>
  </w:p>
  <w:p w14:paraId="29614C4F" w14:textId="77777777" w:rsidR="003C5E9E" w:rsidRPr="001736A9" w:rsidRDefault="003C5E9E" w:rsidP="00124AE1">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lang w:val="es-ES_tradnl"/>
      </w:rPr>
    </w:pPr>
  </w:p>
  <w:p w14:paraId="5B0477DC" w14:textId="77777777" w:rsidR="00E86920" w:rsidRPr="001736A9" w:rsidRDefault="00E86920" w:rsidP="00E86920">
    <w:pPr>
      <w:tabs>
        <w:tab w:val="left" w:pos="-1440"/>
        <w:tab w:val="left" w:pos="-720"/>
        <w:tab w:val="left" w:pos="720"/>
        <w:tab w:val="left" w:pos="1440"/>
        <w:tab w:val="left" w:pos="2160"/>
        <w:tab w:val="left" w:pos="3600"/>
        <w:tab w:val="left" w:pos="4320"/>
        <w:tab w:val="left" w:pos="5040"/>
        <w:tab w:val="left" w:pos="5523"/>
        <w:tab w:val="left" w:pos="6480"/>
      </w:tabs>
      <w:rPr>
        <w:rFonts w:cs="Arial"/>
        <w:bCs/>
        <w:szCs w:val="22"/>
        <w:lang w:val="es-ES_tradnl"/>
      </w:rPr>
    </w:pPr>
  </w:p>
  <w:p w14:paraId="32EB95F8" w14:textId="77777777" w:rsidR="00D91E2D" w:rsidRPr="001736A9" w:rsidRDefault="00D91E2D" w:rsidP="00E86920">
    <w:pPr>
      <w:pStyle w:val="Header"/>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EA6"/>
    <w:multiLevelType w:val="hybridMultilevel"/>
    <w:tmpl w:val="98A68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0F172E"/>
    <w:multiLevelType w:val="hybridMultilevel"/>
    <w:tmpl w:val="FC84E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EC0D93"/>
    <w:multiLevelType w:val="hybridMultilevel"/>
    <w:tmpl w:val="CB10AC0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147509AD"/>
    <w:multiLevelType w:val="multilevel"/>
    <w:tmpl w:val="B5DAF1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A38DF"/>
    <w:multiLevelType w:val="multilevel"/>
    <w:tmpl w:val="FE70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01751"/>
    <w:multiLevelType w:val="multilevel"/>
    <w:tmpl w:val="98A46D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149" w:hanging="1069"/>
      </w:pPr>
      <w:rPr>
        <w:rFonts w:ascii="Arial" w:eastAsia="Times New Roman" w:hAnsi="Arial" w:cs="Arial"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D613E"/>
    <w:multiLevelType w:val="multilevel"/>
    <w:tmpl w:val="AB3A79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0B915B5"/>
    <w:multiLevelType w:val="multilevel"/>
    <w:tmpl w:val="EE98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134DF8"/>
    <w:multiLevelType w:val="multilevel"/>
    <w:tmpl w:val="BB74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B75AC7"/>
    <w:multiLevelType w:val="multilevel"/>
    <w:tmpl w:val="B6BA6C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6729FD"/>
    <w:multiLevelType w:val="multilevel"/>
    <w:tmpl w:val="0568C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636144"/>
    <w:multiLevelType w:val="multilevel"/>
    <w:tmpl w:val="87BEE5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18" w15:restartNumberingAfterBreak="0">
    <w:nsid w:val="33EB7847"/>
    <w:multiLevelType w:val="hybridMultilevel"/>
    <w:tmpl w:val="01264C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40362B2A"/>
    <w:multiLevelType w:val="multilevel"/>
    <w:tmpl w:val="6D828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766A47"/>
    <w:multiLevelType w:val="multilevel"/>
    <w:tmpl w:val="C9A67B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A411BD"/>
    <w:multiLevelType w:val="multilevel"/>
    <w:tmpl w:val="535A1A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1D29E8"/>
    <w:multiLevelType w:val="multilevel"/>
    <w:tmpl w:val="98A46D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149" w:hanging="1069"/>
      </w:pPr>
      <w:rPr>
        <w:rFonts w:ascii="Arial" w:eastAsia="Times New Roman" w:hAnsi="Arial" w:cs="Arial"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15:restartNumberingAfterBreak="0">
    <w:nsid w:val="64CC45A5"/>
    <w:multiLevelType w:val="multilevel"/>
    <w:tmpl w:val="2B90B1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4E4C50"/>
    <w:multiLevelType w:val="hybridMultilevel"/>
    <w:tmpl w:val="0D0CF51C"/>
    <w:lvl w:ilvl="0" w:tplc="F022E4D6">
      <w:start w:val="1"/>
      <w:numFmt w:val="decimal"/>
      <w:lvlText w:val="%1."/>
      <w:lvlJc w:val="left"/>
      <w:pPr>
        <w:ind w:left="3338"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1A816C9"/>
    <w:multiLevelType w:val="multilevel"/>
    <w:tmpl w:val="BF1C1F50"/>
    <w:lvl w:ilvl="0">
      <w:start w:val="1"/>
      <w:numFmt w:val="decimal"/>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num w:numId="1">
    <w:abstractNumId w:val="17"/>
  </w:num>
  <w:num w:numId="2">
    <w:abstractNumId w:val="17"/>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30"/>
  </w:num>
  <w:num w:numId="12">
    <w:abstractNumId w:val="17"/>
  </w:num>
  <w:num w:numId="13">
    <w:abstractNumId w:val="13"/>
  </w:num>
  <w:num w:numId="14">
    <w:abstractNumId w:val="19"/>
  </w:num>
  <w:num w:numId="15">
    <w:abstractNumId w:val="6"/>
  </w:num>
  <w:num w:numId="16">
    <w:abstractNumId w:val="23"/>
  </w:num>
  <w:num w:numId="17">
    <w:abstractNumId w:val="16"/>
  </w:num>
  <w:num w:numId="18">
    <w:abstractNumId w:val="5"/>
  </w:num>
  <w:num w:numId="19">
    <w:abstractNumId w:val="25"/>
  </w:num>
  <w:num w:numId="20">
    <w:abstractNumId w:val="28"/>
  </w:num>
  <w:num w:numId="21">
    <w:abstractNumId w:val="2"/>
  </w:num>
  <w:num w:numId="22">
    <w:abstractNumId w:val="1"/>
  </w:num>
  <w:num w:numId="23">
    <w:abstractNumId w:val="27"/>
  </w:num>
  <w:num w:numId="24">
    <w:abstractNumId w:val="7"/>
  </w:num>
  <w:num w:numId="25">
    <w:abstractNumId w:val="10"/>
  </w:num>
  <w:num w:numId="26">
    <w:abstractNumId w:val="11"/>
  </w:num>
  <w:num w:numId="27">
    <w:abstractNumId w:val="14"/>
  </w:num>
  <w:num w:numId="28">
    <w:abstractNumId w:val="26"/>
    <w:lvlOverride w:ilvl="0">
      <w:lvl w:ilvl="0">
        <w:numFmt w:val="decimal"/>
        <w:lvlText w:val="%1."/>
        <w:lvlJc w:val="left"/>
      </w:lvl>
    </w:lvlOverride>
  </w:num>
  <w:num w:numId="29">
    <w:abstractNumId w:val="21"/>
    <w:lvlOverride w:ilvl="0">
      <w:lvl w:ilvl="0">
        <w:numFmt w:val="decimal"/>
        <w:lvlText w:val="%1."/>
        <w:lvlJc w:val="left"/>
      </w:lvl>
    </w:lvlOverride>
  </w:num>
  <w:num w:numId="30">
    <w:abstractNumId w:val="4"/>
    <w:lvlOverride w:ilvl="0">
      <w:lvl w:ilvl="0">
        <w:numFmt w:val="decimal"/>
        <w:lvlText w:val="%1."/>
        <w:lvlJc w:val="left"/>
      </w:lvl>
    </w:lvlOverride>
  </w:num>
  <w:num w:numId="31">
    <w:abstractNumId w:val="15"/>
    <w:lvlOverride w:ilvl="0">
      <w:lvl w:ilvl="0">
        <w:numFmt w:val="decimal"/>
        <w:lvlText w:val="%1."/>
        <w:lvlJc w:val="left"/>
      </w:lvl>
    </w:lvlOverride>
  </w:num>
  <w:num w:numId="32">
    <w:abstractNumId w:val="12"/>
    <w:lvlOverride w:ilvl="0">
      <w:lvl w:ilvl="0">
        <w:numFmt w:val="decimal"/>
        <w:lvlText w:val="%1."/>
        <w:lvlJc w:val="left"/>
      </w:lvl>
    </w:lvlOverride>
  </w:num>
  <w:num w:numId="33">
    <w:abstractNumId w:val="22"/>
    <w:lvlOverride w:ilvl="0">
      <w:lvl w:ilvl="0">
        <w:numFmt w:val="decimal"/>
        <w:lvlText w:val="%1."/>
        <w:lvlJc w:val="left"/>
      </w:lvl>
    </w:lvlOverride>
  </w:num>
  <w:num w:numId="34">
    <w:abstractNumId w:val="20"/>
  </w:num>
  <w:num w:numId="35">
    <w:abstractNumId w:val="18"/>
  </w:num>
  <w:num w:numId="36">
    <w:abstractNumId w:val="8"/>
  </w:num>
  <w:num w:numId="37">
    <w:abstractNumId w:val="9"/>
  </w:num>
  <w:num w:numId="38">
    <w:abstractNumId w:val="29"/>
    <w:lvlOverride w:ilvl="0">
      <w:startOverride w:val="1"/>
    </w:lvlOverride>
    <w:lvlOverride w:ilvl="1"/>
    <w:lvlOverride w:ilvl="2"/>
    <w:lvlOverride w:ilvl="3"/>
    <w:lvlOverride w:ilvl="4"/>
    <w:lvlOverride w:ilvl="5"/>
    <w:lvlOverride w:ilvl="6"/>
    <w:lvlOverride w:ilvl="7"/>
    <w:lvlOverride w:ilvl="8"/>
  </w:num>
  <w:num w:numId="39">
    <w:abstractNumId w:val="3"/>
  </w:num>
  <w:num w:numId="40">
    <w:abstractNumId w:val="0"/>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zh-CN" w:vendorID="64" w:dllVersion="0" w:nlCheck="1" w:checkStyle="1"/>
  <w:activeWritingStyle w:appName="MSWord" w:lang="es-ES" w:vendorID="64" w:dllVersion="4096"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4725"/>
    <w:rsid w:val="000055C3"/>
    <w:rsid w:val="00005FBD"/>
    <w:rsid w:val="00006C25"/>
    <w:rsid w:val="00010B89"/>
    <w:rsid w:val="000118CD"/>
    <w:rsid w:val="00011FED"/>
    <w:rsid w:val="00013390"/>
    <w:rsid w:val="00013C34"/>
    <w:rsid w:val="00017E4B"/>
    <w:rsid w:val="00025A88"/>
    <w:rsid w:val="00026782"/>
    <w:rsid w:val="00027122"/>
    <w:rsid w:val="000319A1"/>
    <w:rsid w:val="00032C8E"/>
    <w:rsid w:val="00033544"/>
    <w:rsid w:val="00034C53"/>
    <w:rsid w:val="00034C70"/>
    <w:rsid w:val="000431C5"/>
    <w:rsid w:val="000445B8"/>
    <w:rsid w:val="0004582F"/>
    <w:rsid w:val="00054037"/>
    <w:rsid w:val="00060399"/>
    <w:rsid w:val="00060718"/>
    <w:rsid w:val="000658F2"/>
    <w:rsid w:val="00065DEB"/>
    <w:rsid w:val="0006619A"/>
    <w:rsid w:val="0006675E"/>
    <w:rsid w:val="00067E0B"/>
    <w:rsid w:val="000719A5"/>
    <w:rsid w:val="00071C64"/>
    <w:rsid w:val="000748A0"/>
    <w:rsid w:val="00074E7F"/>
    <w:rsid w:val="00075DC0"/>
    <w:rsid w:val="000778D8"/>
    <w:rsid w:val="00080B76"/>
    <w:rsid w:val="00080CDD"/>
    <w:rsid w:val="00081592"/>
    <w:rsid w:val="000816BD"/>
    <w:rsid w:val="00082162"/>
    <w:rsid w:val="0008285A"/>
    <w:rsid w:val="00083369"/>
    <w:rsid w:val="00084EC3"/>
    <w:rsid w:val="00085FE9"/>
    <w:rsid w:val="00086071"/>
    <w:rsid w:val="0009246D"/>
    <w:rsid w:val="0009256F"/>
    <w:rsid w:val="00097CDF"/>
    <w:rsid w:val="000A6D08"/>
    <w:rsid w:val="000B1B44"/>
    <w:rsid w:val="000B40F3"/>
    <w:rsid w:val="000C3BB5"/>
    <w:rsid w:val="000C4710"/>
    <w:rsid w:val="000D6EB3"/>
    <w:rsid w:val="000D719C"/>
    <w:rsid w:val="000E0533"/>
    <w:rsid w:val="000E188E"/>
    <w:rsid w:val="000E55FB"/>
    <w:rsid w:val="000E64E1"/>
    <w:rsid w:val="000E7E22"/>
    <w:rsid w:val="000F4768"/>
    <w:rsid w:val="000F4DDB"/>
    <w:rsid w:val="000F7203"/>
    <w:rsid w:val="000F78B3"/>
    <w:rsid w:val="000F79E5"/>
    <w:rsid w:val="000F7FBD"/>
    <w:rsid w:val="001002FF"/>
    <w:rsid w:val="001026BE"/>
    <w:rsid w:val="00104894"/>
    <w:rsid w:val="00104EE2"/>
    <w:rsid w:val="001056F8"/>
    <w:rsid w:val="00105E15"/>
    <w:rsid w:val="00105EA4"/>
    <w:rsid w:val="00110568"/>
    <w:rsid w:val="00110D3A"/>
    <w:rsid w:val="00113F97"/>
    <w:rsid w:val="00117F04"/>
    <w:rsid w:val="001220A2"/>
    <w:rsid w:val="00122DF1"/>
    <w:rsid w:val="0012374E"/>
    <w:rsid w:val="00123F7E"/>
    <w:rsid w:val="00124AE1"/>
    <w:rsid w:val="00131529"/>
    <w:rsid w:val="0013238B"/>
    <w:rsid w:val="00134711"/>
    <w:rsid w:val="00134935"/>
    <w:rsid w:val="0013649D"/>
    <w:rsid w:val="00143B1A"/>
    <w:rsid w:val="0014529C"/>
    <w:rsid w:val="0015046B"/>
    <w:rsid w:val="001524A3"/>
    <w:rsid w:val="0015561D"/>
    <w:rsid w:val="001579AB"/>
    <w:rsid w:val="00160284"/>
    <w:rsid w:val="00160FB4"/>
    <w:rsid w:val="00164B32"/>
    <w:rsid w:val="0016592F"/>
    <w:rsid w:val="001659AA"/>
    <w:rsid w:val="00165CBD"/>
    <w:rsid w:val="0017022A"/>
    <w:rsid w:val="001736A9"/>
    <w:rsid w:val="001766F9"/>
    <w:rsid w:val="00182096"/>
    <w:rsid w:val="0018253D"/>
    <w:rsid w:val="00183FEA"/>
    <w:rsid w:val="00185B54"/>
    <w:rsid w:val="00185D28"/>
    <w:rsid w:val="0019010A"/>
    <w:rsid w:val="00192400"/>
    <w:rsid w:val="001A033E"/>
    <w:rsid w:val="001A071C"/>
    <w:rsid w:val="001A2943"/>
    <w:rsid w:val="001A6261"/>
    <w:rsid w:val="001A6DDA"/>
    <w:rsid w:val="001A73F8"/>
    <w:rsid w:val="001B2807"/>
    <w:rsid w:val="001B5075"/>
    <w:rsid w:val="001B64AC"/>
    <w:rsid w:val="001B7DE0"/>
    <w:rsid w:val="001C18CF"/>
    <w:rsid w:val="001C20FE"/>
    <w:rsid w:val="001C4F30"/>
    <w:rsid w:val="001C6221"/>
    <w:rsid w:val="001C6842"/>
    <w:rsid w:val="001C6D83"/>
    <w:rsid w:val="001D11E8"/>
    <w:rsid w:val="001D69B3"/>
    <w:rsid w:val="001E441E"/>
    <w:rsid w:val="001E5FF2"/>
    <w:rsid w:val="001E653E"/>
    <w:rsid w:val="001F65B3"/>
    <w:rsid w:val="001F65D5"/>
    <w:rsid w:val="001F6CF5"/>
    <w:rsid w:val="001F7EF6"/>
    <w:rsid w:val="00200519"/>
    <w:rsid w:val="0020169B"/>
    <w:rsid w:val="00203E48"/>
    <w:rsid w:val="0020573A"/>
    <w:rsid w:val="002069A3"/>
    <w:rsid w:val="00207581"/>
    <w:rsid w:val="00215B28"/>
    <w:rsid w:val="00216228"/>
    <w:rsid w:val="00225B52"/>
    <w:rsid w:val="00230818"/>
    <w:rsid w:val="00231994"/>
    <w:rsid w:val="00232596"/>
    <w:rsid w:val="00232FAE"/>
    <w:rsid w:val="0023308D"/>
    <w:rsid w:val="00237FCC"/>
    <w:rsid w:val="0024167D"/>
    <w:rsid w:val="00243536"/>
    <w:rsid w:val="00247749"/>
    <w:rsid w:val="00255764"/>
    <w:rsid w:val="002569D4"/>
    <w:rsid w:val="002571D5"/>
    <w:rsid w:val="00257562"/>
    <w:rsid w:val="00257884"/>
    <w:rsid w:val="002579F3"/>
    <w:rsid w:val="0026233A"/>
    <w:rsid w:val="00265C91"/>
    <w:rsid w:val="00265E4E"/>
    <w:rsid w:val="0027043E"/>
    <w:rsid w:val="00272866"/>
    <w:rsid w:val="00273C68"/>
    <w:rsid w:val="00274D0A"/>
    <w:rsid w:val="0028078A"/>
    <w:rsid w:val="00282456"/>
    <w:rsid w:val="00282FBC"/>
    <w:rsid w:val="00283B06"/>
    <w:rsid w:val="00286B3B"/>
    <w:rsid w:val="002A05D9"/>
    <w:rsid w:val="002A33EB"/>
    <w:rsid w:val="002A3541"/>
    <w:rsid w:val="002A3623"/>
    <w:rsid w:val="002A364B"/>
    <w:rsid w:val="002A3D8C"/>
    <w:rsid w:val="002B0438"/>
    <w:rsid w:val="002B0B65"/>
    <w:rsid w:val="002B2FB7"/>
    <w:rsid w:val="002B58F5"/>
    <w:rsid w:val="002C6A49"/>
    <w:rsid w:val="002D1F18"/>
    <w:rsid w:val="002D2062"/>
    <w:rsid w:val="002D41F6"/>
    <w:rsid w:val="002D4B35"/>
    <w:rsid w:val="002E0A07"/>
    <w:rsid w:val="002E3B10"/>
    <w:rsid w:val="002E4876"/>
    <w:rsid w:val="002E524A"/>
    <w:rsid w:val="002E558B"/>
    <w:rsid w:val="002E6FCC"/>
    <w:rsid w:val="002F0EB7"/>
    <w:rsid w:val="002F11B4"/>
    <w:rsid w:val="002F2691"/>
    <w:rsid w:val="002F27AC"/>
    <w:rsid w:val="002F335A"/>
    <w:rsid w:val="002F37FA"/>
    <w:rsid w:val="002F53C8"/>
    <w:rsid w:val="002F577C"/>
    <w:rsid w:val="002F58A0"/>
    <w:rsid w:val="002F6710"/>
    <w:rsid w:val="00304613"/>
    <w:rsid w:val="0030539B"/>
    <w:rsid w:val="00306797"/>
    <w:rsid w:val="003118C0"/>
    <w:rsid w:val="00313AB1"/>
    <w:rsid w:val="00313C6C"/>
    <w:rsid w:val="00315268"/>
    <w:rsid w:val="00320986"/>
    <w:rsid w:val="00321055"/>
    <w:rsid w:val="00322E7B"/>
    <w:rsid w:val="00323A23"/>
    <w:rsid w:val="00323C8D"/>
    <w:rsid w:val="00327059"/>
    <w:rsid w:val="00332421"/>
    <w:rsid w:val="00332534"/>
    <w:rsid w:val="00332785"/>
    <w:rsid w:val="00333DD2"/>
    <w:rsid w:val="0033582A"/>
    <w:rsid w:val="0033741E"/>
    <w:rsid w:val="00341FD0"/>
    <w:rsid w:val="0034392B"/>
    <w:rsid w:val="00344E00"/>
    <w:rsid w:val="0034704D"/>
    <w:rsid w:val="00352423"/>
    <w:rsid w:val="00354A10"/>
    <w:rsid w:val="00355A56"/>
    <w:rsid w:val="003563D2"/>
    <w:rsid w:val="00366C04"/>
    <w:rsid w:val="003774D6"/>
    <w:rsid w:val="00382463"/>
    <w:rsid w:val="003857DE"/>
    <w:rsid w:val="00393704"/>
    <w:rsid w:val="0039512E"/>
    <w:rsid w:val="00395A11"/>
    <w:rsid w:val="003B2CC9"/>
    <w:rsid w:val="003B3349"/>
    <w:rsid w:val="003B390E"/>
    <w:rsid w:val="003B64CB"/>
    <w:rsid w:val="003B6DA1"/>
    <w:rsid w:val="003B6ECA"/>
    <w:rsid w:val="003B6FC5"/>
    <w:rsid w:val="003C15F6"/>
    <w:rsid w:val="003C240D"/>
    <w:rsid w:val="003C309A"/>
    <w:rsid w:val="003C4A99"/>
    <w:rsid w:val="003C5E9E"/>
    <w:rsid w:val="003D31F1"/>
    <w:rsid w:val="003D4548"/>
    <w:rsid w:val="003E26AB"/>
    <w:rsid w:val="003E331B"/>
    <w:rsid w:val="003E5A89"/>
    <w:rsid w:val="003E7B79"/>
    <w:rsid w:val="003F1381"/>
    <w:rsid w:val="003F5299"/>
    <w:rsid w:val="003F74E5"/>
    <w:rsid w:val="004032DB"/>
    <w:rsid w:val="00403EB2"/>
    <w:rsid w:val="004047AA"/>
    <w:rsid w:val="00404945"/>
    <w:rsid w:val="00405201"/>
    <w:rsid w:val="004119A8"/>
    <w:rsid w:val="00417106"/>
    <w:rsid w:val="00421F64"/>
    <w:rsid w:val="00423457"/>
    <w:rsid w:val="00425E51"/>
    <w:rsid w:val="0042612F"/>
    <w:rsid w:val="00431123"/>
    <w:rsid w:val="00437DB1"/>
    <w:rsid w:val="00441F29"/>
    <w:rsid w:val="00441FE3"/>
    <w:rsid w:val="00444A63"/>
    <w:rsid w:val="00450AA6"/>
    <w:rsid w:val="00452512"/>
    <w:rsid w:val="00452CFD"/>
    <w:rsid w:val="00453CE0"/>
    <w:rsid w:val="004568D9"/>
    <w:rsid w:val="00463AB2"/>
    <w:rsid w:val="0047364D"/>
    <w:rsid w:val="004750C1"/>
    <w:rsid w:val="004768E8"/>
    <w:rsid w:val="00476A0C"/>
    <w:rsid w:val="00477409"/>
    <w:rsid w:val="0048119B"/>
    <w:rsid w:val="00481C77"/>
    <w:rsid w:val="00485772"/>
    <w:rsid w:val="00485AA9"/>
    <w:rsid w:val="00486080"/>
    <w:rsid w:val="0049319A"/>
    <w:rsid w:val="00494DB3"/>
    <w:rsid w:val="00495A69"/>
    <w:rsid w:val="004966AD"/>
    <w:rsid w:val="004A0A6B"/>
    <w:rsid w:val="004A0F6A"/>
    <w:rsid w:val="004B1DCC"/>
    <w:rsid w:val="004B389C"/>
    <w:rsid w:val="004B3D01"/>
    <w:rsid w:val="004B5787"/>
    <w:rsid w:val="004B7754"/>
    <w:rsid w:val="004C4469"/>
    <w:rsid w:val="004C586B"/>
    <w:rsid w:val="004C6065"/>
    <w:rsid w:val="004C6FFD"/>
    <w:rsid w:val="004C78C5"/>
    <w:rsid w:val="004D4484"/>
    <w:rsid w:val="004E084D"/>
    <w:rsid w:val="004E149F"/>
    <w:rsid w:val="004E24DE"/>
    <w:rsid w:val="004E2D89"/>
    <w:rsid w:val="004E3446"/>
    <w:rsid w:val="004E4A23"/>
    <w:rsid w:val="004E6B90"/>
    <w:rsid w:val="004F0BEC"/>
    <w:rsid w:val="004F4AC5"/>
    <w:rsid w:val="004F5686"/>
    <w:rsid w:val="005066B5"/>
    <w:rsid w:val="00514AC0"/>
    <w:rsid w:val="00515020"/>
    <w:rsid w:val="00523B29"/>
    <w:rsid w:val="00523DF2"/>
    <w:rsid w:val="00524D94"/>
    <w:rsid w:val="00525A9B"/>
    <w:rsid w:val="00530113"/>
    <w:rsid w:val="00534733"/>
    <w:rsid w:val="0053720B"/>
    <w:rsid w:val="00544014"/>
    <w:rsid w:val="005462A1"/>
    <w:rsid w:val="005511B9"/>
    <w:rsid w:val="00552F91"/>
    <w:rsid w:val="00554688"/>
    <w:rsid w:val="00555D7F"/>
    <w:rsid w:val="00556410"/>
    <w:rsid w:val="005616DE"/>
    <w:rsid w:val="00561F97"/>
    <w:rsid w:val="00562F4C"/>
    <w:rsid w:val="005639CD"/>
    <w:rsid w:val="0056655B"/>
    <w:rsid w:val="00570881"/>
    <w:rsid w:val="00572116"/>
    <w:rsid w:val="00574F2F"/>
    <w:rsid w:val="00575B63"/>
    <w:rsid w:val="00576EF7"/>
    <w:rsid w:val="005829FE"/>
    <w:rsid w:val="0058628A"/>
    <w:rsid w:val="00587822"/>
    <w:rsid w:val="005878F6"/>
    <w:rsid w:val="00593EC9"/>
    <w:rsid w:val="00596959"/>
    <w:rsid w:val="00597D9A"/>
    <w:rsid w:val="005A1B75"/>
    <w:rsid w:val="005A210B"/>
    <w:rsid w:val="005A7E87"/>
    <w:rsid w:val="005B0510"/>
    <w:rsid w:val="005B0804"/>
    <w:rsid w:val="005B09E3"/>
    <w:rsid w:val="005B0F21"/>
    <w:rsid w:val="005B2606"/>
    <w:rsid w:val="005B6674"/>
    <w:rsid w:val="005B670F"/>
    <w:rsid w:val="005C565B"/>
    <w:rsid w:val="005C5B67"/>
    <w:rsid w:val="005C6245"/>
    <w:rsid w:val="005C76B4"/>
    <w:rsid w:val="005D05AB"/>
    <w:rsid w:val="005D0AE8"/>
    <w:rsid w:val="005D0CC4"/>
    <w:rsid w:val="005D36CA"/>
    <w:rsid w:val="005D5313"/>
    <w:rsid w:val="005E2BCD"/>
    <w:rsid w:val="005E325F"/>
    <w:rsid w:val="005E4C90"/>
    <w:rsid w:val="005E661A"/>
    <w:rsid w:val="005F39DB"/>
    <w:rsid w:val="005F55BE"/>
    <w:rsid w:val="006007C6"/>
    <w:rsid w:val="00600999"/>
    <w:rsid w:val="00602C02"/>
    <w:rsid w:val="0060360F"/>
    <w:rsid w:val="006122F2"/>
    <w:rsid w:val="00612A3E"/>
    <w:rsid w:val="00612C7A"/>
    <w:rsid w:val="00613F3F"/>
    <w:rsid w:val="006140DB"/>
    <w:rsid w:val="00616EA9"/>
    <w:rsid w:val="006250D0"/>
    <w:rsid w:val="00625EE0"/>
    <w:rsid w:val="00625FE6"/>
    <w:rsid w:val="00626994"/>
    <w:rsid w:val="00631D35"/>
    <w:rsid w:val="006327B2"/>
    <w:rsid w:val="006331C8"/>
    <w:rsid w:val="006362D9"/>
    <w:rsid w:val="00637621"/>
    <w:rsid w:val="006417A7"/>
    <w:rsid w:val="00641D3D"/>
    <w:rsid w:val="006426AE"/>
    <w:rsid w:val="00645699"/>
    <w:rsid w:val="00646F26"/>
    <w:rsid w:val="006502B2"/>
    <w:rsid w:val="00650A87"/>
    <w:rsid w:val="00654AA1"/>
    <w:rsid w:val="00657AC1"/>
    <w:rsid w:val="00657EB5"/>
    <w:rsid w:val="006625C0"/>
    <w:rsid w:val="006644A7"/>
    <w:rsid w:val="00666085"/>
    <w:rsid w:val="0067098E"/>
    <w:rsid w:val="00671A70"/>
    <w:rsid w:val="00672A6F"/>
    <w:rsid w:val="0067544A"/>
    <w:rsid w:val="00681D60"/>
    <w:rsid w:val="00682998"/>
    <w:rsid w:val="00687A2A"/>
    <w:rsid w:val="00694BEE"/>
    <w:rsid w:val="006A1417"/>
    <w:rsid w:val="006A1ED7"/>
    <w:rsid w:val="006A2412"/>
    <w:rsid w:val="006A2C9D"/>
    <w:rsid w:val="006A3196"/>
    <w:rsid w:val="006B2C23"/>
    <w:rsid w:val="006B7AA9"/>
    <w:rsid w:val="006C2500"/>
    <w:rsid w:val="006C48C7"/>
    <w:rsid w:val="006C6875"/>
    <w:rsid w:val="006C6EB1"/>
    <w:rsid w:val="006C7AE8"/>
    <w:rsid w:val="006D312D"/>
    <w:rsid w:val="006E0BCF"/>
    <w:rsid w:val="006E33FC"/>
    <w:rsid w:val="006E3403"/>
    <w:rsid w:val="006E3CA0"/>
    <w:rsid w:val="006E5A90"/>
    <w:rsid w:val="006F4532"/>
    <w:rsid w:val="006F53F4"/>
    <w:rsid w:val="006F6B09"/>
    <w:rsid w:val="0070039C"/>
    <w:rsid w:val="00702EB4"/>
    <w:rsid w:val="007033D9"/>
    <w:rsid w:val="00704AD8"/>
    <w:rsid w:val="00705DFD"/>
    <w:rsid w:val="007069A8"/>
    <w:rsid w:val="007077C5"/>
    <w:rsid w:val="00713AE4"/>
    <w:rsid w:val="007156EF"/>
    <w:rsid w:val="007169AF"/>
    <w:rsid w:val="007178BE"/>
    <w:rsid w:val="007206CD"/>
    <w:rsid w:val="00727C74"/>
    <w:rsid w:val="00727EEF"/>
    <w:rsid w:val="00731536"/>
    <w:rsid w:val="00732AF2"/>
    <w:rsid w:val="007331F8"/>
    <w:rsid w:val="00735534"/>
    <w:rsid w:val="00735E52"/>
    <w:rsid w:val="007443CA"/>
    <w:rsid w:val="00744650"/>
    <w:rsid w:val="007464AB"/>
    <w:rsid w:val="00747591"/>
    <w:rsid w:val="00750F05"/>
    <w:rsid w:val="00755DEA"/>
    <w:rsid w:val="00756E80"/>
    <w:rsid w:val="007577B2"/>
    <w:rsid w:val="007628BE"/>
    <w:rsid w:val="00762B2E"/>
    <w:rsid w:val="00766688"/>
    <w:rsid w:val="00770EC7"/>
    <w:rsid w:val="00771A2C"/>
    <w:rsid w:val="00774083"/>
    <w:rsid w:val="007746A7"/>
    <w:rsid w:val="00774FDF"/>
    <w:rsid w:val="007756DF"/>
    <w:rsid w:val="00782F36"/>
    <w:rsid w:val="007869BC"/>
    <w:rsid w:val="00787155"/>
    <w:rsid w:val="00787C77"/>
    <w:rsid w:val="00790644"/>
    <w:rsid w:val="0079161F"/>
    <w:rsid w:val="00795D13"/>
    <w:rsid w:val="007A264F"/>
    <w:rsid w:val="007A4866"/>
    <w:rsid w:val="007B032D"/>
    <w:rsid w:val="007B267F"/>
    <w:rsid w:val="007B4E4D"/>
    <w:rsid w:val="007B5C46"/>
    <w:rsid w:val="007B70CA"/>
    <w:rsid w:val="007B79DB"/>
    <w:rsid w:val="007C23B2"/>
    <w:rsid w:val="007C2552"/>
    <w:rsid w:val="007C4C1D"/>
    <w:rsid w:val="007C58F2"/>
    <w:rsid w:val="007C60C1"/>
    <w:rsid w:val="007C6427"/>
    <w:rsid w:val="007D02E1"/>
    <w:rsid w:val="007D14B6"/>
    <w:rsid w:val="007D3990"/>
    <w:rsid w:val="007D4781"/>
    <w:rsid w:val="007D5C6F"/>
    <w:rsid w:val="007D7737"/>
    <w:rsid w:val="007E331D"/>
    <w:rsid w:val="007E3BE2"/>
    <w:rsid w:val="007E541F"/>
    <w:rsid w:val="007E6267"/>
    <w:rsid w:val="007E6585"/>
    <w:rsid w:val="007F0B67"/>
    <w:rsid w:val="007F0FB9"/>
    <w:rsid w:val="007F1A39"/>
    <w:rsid w:val="007F77F4"/>
    <w:rsid w:val="00800665"/>
    <w:rsid w:val="00806CD3"/>
    <w:rsid w:val="008074BE"/>
    <w:rsid w:val="00811963"/>
    <w:rsid w:val="0081272A"/>
    <w:rsid w:val="008148FD"/>
    <w:rsid w:val="00821ABA"/>
    <w:rsid w:val="0082240E"/>
    <w:rsid w:val="00823535"/>
    <w:rsid w:val="00825797"/>
    <w:rsid w:val="0083349A"/>
    <w:rsid w:val="008334C8"/>
    <w:rsid w:val="00835997"/>
    <w:rsid w:val="00835F4D"/>
    <w:rsid w:val="008408D0"/>
    <w:rsid w:val="008426CA"/>
    <w:rsid w:val="00843E81"/>
    <w:rsid w:val="00845462"/>
    <w:rsid w:val="00851937"/>
    <w:rsid w:val="00853C75"/>
    <w:rsid w:val="00856ABB"/>
    <w:rsid w:val="008608E0"/>
    <w:rsid w:val="00864ABF"/>
    <w:rsid w:val="00866274"/>
    <w:rsid w:val="00866366"/>
    <w:rsid w:val="00867489"/>
    <w:rsid w:val="00867B04"/>
    <w:rsid w:val="0087160D"/>
    <w:rsid w:val="00873AFD"/>
    <w:rsid w:val="00873C36"/>
    <w:rsid w:val="0087409D"/>
    <w:rsid w:val="00876067"/>
    <w:rsid w:val="00884332"/>
    <w:rsid w:val="00887366"/>
    <w:rsid w:val="008901AA"/>
    <w:rsid w:val="00890255"/>
    <w:rsid w:val="0089179C"/>
    <w:rsid w:val="00895E0F"/>
    <w:rsid w:val="00896575"/>
    <w:rsid w:val="008967F5"/>
    <w:rsid w:val="008A05D0"/>
    <w:rsid w:val="008A0C1C"/>
    <w:rsid w:val="008A6D88"/>
    <w:rsid w:val="008A7D5D"/>
    <w:rsid w:val="008B19BD"/>
    <w:rsid w:val="008B4407"/>
    <w:rsid w:val="008B544A"/>
    <w:rsid w:val="008B77EB"/>
    <w:rsid w:val="008C15AF"/>
    <w:rsid w:val="008C74FA"/>
    <w:rsid w:val="008D5C30"/>
    <w:rsid w:val="008E0DC5"/>
    <w:rsid w:val="008E280C"/>
    <w:rsid w:val="008E5D4A"/>
    <w:rsid w:val="008E5F82"/>
    <w:rsid w:val="008F0135"/>
    <w:rsid w:val="008F4611"/>
    <w:rsid w:val="008F67D5"/>
    <w:rsid w:val="00900C89"/>
    <w:rsid w:val="00900FD7"/>
    <w:rsid w:val="009028D9"/>
    <w:rsid w:val="00903B13"/>
    <w:rsid w:val="00904ACB"/>
    <w:rsid w:val="00906228"/>
    <w:rsid w:val="00906E3C"/>
    <w:rsid w:val="00910C59"/>
    <w:rsid w:val="00911834"/>
    <w:rsid w:val="00912C72"/>
    <w:rsid w:val="0091479B"/>
    <w:rsid w:val="00920270"/>
    <w:rsid w:val="00922194"/>
    <w:rsid w:val="00923FC3"/>
    <w:rsid w:val="009258F7"/>
    <w:rsid w:val="009263CA"/>
    <w:rsid w:val="00926737"/>
    <w:rsid w:val="009278CB"/>
    <w:rsid w:val="0093114A"/>
    <w:rsid w:val="0093392C"/>
    <w:rsid w:val="00935D9C"/>
    <w:rsid w:val="00935F8E"/>
    <w:rsid w:val="00936308"/>
    <w:rsid w:val="00940BCB"/>
    <w:rsid w:val="00941FC7"/>
    <w:rsid w:val="00942E2B"/>
    <w:rsid w:val="0094308D"/>
    <w:rsid w:val="00945D12"/>
    <w:rsid w:val="00952B4D"/>
    <w:rsid w:val="009531A0"/>
    <w:rsid w:val="009533B4"/>
    <w:rsid w:val="00953F37"/>
    <w:rsid w:val="00957CB2"/>
    <w:rsid w:val="0096155D"/>
    <w:rsid w:val="0096678C"/>
    <w:rsid w:val="00970426"/>
    <w:rsid w:val="00970D2E"/>
    <w:rsid w:val="0097327C"/>
    <w:rsid w:val="009736C0"/>
    <w:rsid w:val="0097668F"/>
    <w:rsid w:val="00976954"/>
    <w:rsid w:val="00977F7E"/>
    <w:rsid w:val="0098096C"/>
    <w:rsid w:val="00980AA0"/>
    <w:rsid w:val="00981A92"/>
    <w:rsid w:val="009827C6"/>
    <w:rsid w:val="009832EB"/>
    <w:rsid w:val="00985E78"/>
    <w:rsid w:val="0098794B"/>
    <w:rsid w:val="009905D6"/>
    <w:rsid w:val="0099674A"/>
    <w:rsid w:val="009A03DB"/>
    <w:rsid w:val="009A1DDC"/>
    <w:rsid w:val="009A6B84"/>
    <w:rsid w:val="009A7F76"/>
    <w:rsid w:val="009B2FB5"/>
    <w:rsid w:val="009B33B9"/>
    <w:rsid w:val="009B4B8B"/>
    <w:rsid w:val="009B7ED9"/>
    <w:rsid w:val="009C2563"/>
    <w:rsid w:val="009C32D0"/>
    <w:rsid w:val="009C5BA0"/>
    <w:rsid w:val="009D460D"/>
    <w:rsid w:val="009D5847"/>
    <w:rsid w:val="009E05CD"/>
    <w:rsid w:val="009E4F85"/>
    <w:rsid w:val="009E511B"/>
    <w:rsid w:val="009E51C9"/>
    <w:rsid w:val="009F1EFE"/>
    <w:rsid w:val="009F2CE4"/>
    <w:rsid w:val="009F42E1"/>
    <w:rsid w:val="009F49EA"/>
    <w:rsid w:val="009F5659"/>
    <w:rsid w:val="009F66B1"/>
    <w:rsid w:val="00A02887"/>
    <w:rsid w:val="00A02E57"/>
    <w:rsid w:val="00A04790"/>
    <w:rsid w:val="00A057C4"/>
    <w:rsid w:val="00A05A4D"/>
    <w:rsid w:val="00A05AB4"/>
    <w:rsid w:val="00A070D7"/>
    <w:rsid w:val="00A12E09"/>
    <w:rsid w:val="00A25EB2"/>
    <w:rsid w:val="00A265E3"/>
    <w:rsid w:val="00A30AC2"/>
    <w:rsid w:val="00A403AD"/>
    <w:rsid w:val="00A40E60"/>
    <w:rsid w:val="00A424A0"/>
    <w:rsid w:val="00A45588"/>
    <w:rsid w:val="00A4607A"/>
    <w:rsid w:val="00A529FA"/>
    <w:rsid w:val="00A52B09"/>
    <w:rsid w:val="00A54730"/>
    <w:rsid w:val="00A54BD1"/>
    <w:rsid w:val="00A55274"/>
    <w:rsid w:val="00A56096"/>
    <w:rsid w:val="00A56440"/>
    <w:rsid w:val="00A62E0B"/>
    <w:rsid w:val="00A63491"/>
    <w:rsid w:val="00A646AA"/>
    <w:rsid w:val="00A6553E"/>
    <w:rsid w:val="00A7029E"/>
    <w:rsid w:val="00A72488"/>
    <w:rsid w:val="00A7294C"/>
    <w:rsid w:val="00A74B98"/>
    <w:rsid w:val="00A75239"/>
    <w:rsid w:val="00A7623D"/>
    <w:rsid w:val="00A820F1"/>
    <w:rsid w:val="00A82124"/>
    <w:rsid w:val="00A90D2E"/>
    <w:rsid w:val="00AA3077"/>
    <w:rsid w:val="00AA36BB"/>
    <w:rsid w:val="00AA529A"/>
    <w:rsid w:val="00AA6564"/>
    <w:rsid w:val="00AA6FCA"/>
    <w:rsid w:val="00AB2387"/>
    <w:rsid w:val="00AB3439"/>
    <w:rsid w:val="00AB346C"/>
    <w:rsid w:val="00AB37B5"/>
    <w:rsid w:val="00AB5A78"/>
    <w:rsid w:val="00AB671E"/>
    <w:rsid w:val="00AC333C"/>
    <w:rsid w:val="00AC65C5"/>
    <w:rsid w:val="00AC7D27"/>
    <w:rsid w:val="00AD035C"/>
    <w:rsid w:val="00AD1EB6"/>
    <w:rsid w:val="00AD2EC9"/>
    <w:rsid w:val="00AD33E4"/>
    <w:rsid w:val="00AD64A4"/>
    <w:rsid w:val="00AD6B3B"/>
    <w:rsid w:val="00AE018F"/>
    <w:rsid w:val="00AE0B67"/>
    <w:rsid w:val="00AE187B"/>
    <w:rsid w:val="00AE1FD9"/>
    <w:rsid w:val="00AE26F5"/>
    <w:rsid w:val="00AE3537"/>
    <w:rsid w:val="00AE3F49"/>
    <w:rsid w:val="00AE40E0"/>
    <w:rsid w:val="00AF3240"/>
    <w:rsid w:val="00AF6044"/>
    <w:rsid w:val="00B00B27"/>
    <w:rsid w:val="00B012D9"/>
    <w:rsid w:val="00B0184D"/>
    <w:rsid w:val="00B02B0A"/>
    <w:rsid w:val="00B046E5"/>
    <w:rsid w:val="00B046EA"/>
    <w:rsid w:val="00B04D6D"/>
    <w:rsid w:val="00B14DDB"/>
    <w:rsid w:val="00B14E7A"/>
    <w:rsid w:val="00B154B8"/>
    <w:rsid w:val="00B16E4B"/>
    <w:rsid w:val="00B17054"/>
    <w:rsid w:val="00B201CC"/>
    <w:rsid w:val="00B2296C"/>
    <w:rsid w:val="00B26B8D"/>
    <w:rsid w:val="00B302AD"/>
    <w:rsid w:val="00B308C0"/>
    <w:rsid w:val="00B344A6"/>
    <w:rsid w:val="00B35F7A"/>
    <w:rsid w:val="00B36DD4"/>
    <w:rsid w:val="00B44A64"/>
    <w:rsid w:val="00B45A77"/>
    <w:rsid w:val="00B461D5"/>
    <w:rsid w:val="00B53C2C"/>
    <w:rsid w:val="00B5440A"/>
    <w:rsid w:val="00B6146B"/>
    <w:rsid w:val="00B64733"/>
    <w:rsid w:val="00B64CA2"/>
    <w:rsid w:val="00B64DE3"/>
    <w:rsid w:val="00B6681F"/>
    <w:rsid w:val="00B75F3E"/>
    <w:rsid w:val="00B777B1"/>
    <w:rsid w:val="00B820A7"/>
    <w:rsid w:val="00B84521"/>
    <w:rsid w:val="00B848E4"/>
    <w:rsid w:val="00B87A2E"/>
    <w:rsid w:val="00B87E86"/>
    <w:rsid w:val="00B91EC7"/>
    <w:rsid w:val="00B92377"/>
    <w:rsid w:val="00B961F7"/>
    <w:rsid w:val="00B96E48"/>
    <w:rsid w:val="00BA0180"/>
    <w:rsid w:val="00BA1457"/>
    <w:rsid w:val="00BA3009"/>
    <w:rsid w:val="00BA6559"/>
    <w:rsid w:val="00BB080A"/>
    <w:rsid w:val="00BB37B9"/>
    <w:rsid w:val="00BB3C67"/>
    <w:rsid w:val="00BB3D08"/>
    <w:rsid w:val="00BB50D4"/>
    <w:rsid w:val="00BB7EC3"/>
    <w:rsid w:val="00BC07E0"/>
    <w:rsid w:val="00BC5A68"/>
    <w:rsid w:val="00BC7AE6"/>
    <w:rsid w:val="00BD0A9C"/>
    <w:rsid w:val="00BE1951"/>
    <w:rsid w:val="00BE2960"/>
    <w:rsid w:val="00BE4A26"/>
    <w:rsid w:val="00BE76AB"/>
    <w:rsid w:val="00BF7F06"/>
    <w:rsid w:val="00C01CF5"/>
    <w:rsid w:val="00C021AC"/>
    <w:rsid w:val="00C0288A"/>
    <w:rsid w:val="00C0560F"/>
    <w:rsid w:val="00C0712C"/>
    <w:rsid w:val="00C073F3"/>
    <w:rsid w:val="00C161F8"/>
    <w:rsid w:val="00C16A4A"/>
    <w:rsid w:val="00C200DD"/>
    <w:rsid w:val="00C23624"/>
    <w:rsid w:val="00C26F58"/>
    <w:rsid w:val="00C34EE6"/>
    <w:rsid w:val="00C373AB"/>
    <w:rsid w:val="00C37980"/>
    <w:rsid w:val="00C4006A"/>
    <w:rsid w:val="00C40B1F"/>
    <w:rsid w:val="00C4149E"/>
    <w:rsid w:val="00C44E0B"/>
    <w:rsid w:val="00C45D23"/>
    <w:rsid w:val="00C46D98"/>
    <w:rsid w:val="00C47727"/>
    <w:rsid w:val="00C50747"/>
    <w:rsid w:val="00C544AC"/>
    <w:rsid w:val="00C55047"/>
    <w:rsid w:val="00C57455"/>
    <w:rsid w:val="00C6051B"/>
    <w:rsid w:val="00C61B6B"/>
    <w:rsid w:val="00C62EFC"/>
    <w:rsid w:val="00C6503F"/>
    <w:rsid w:val="00C662E9"/>
    <w:rsid w:val="00C67E4A"/>
    <w:rsid w:val="00C71CFC"/>
    <w:rsid w:val="00C72A49"/>
    <w:rsid w:val="00C74028"/>
    <w:rsid w:val="00C742E6"/>
    <w:rsid w:val="00C75E37"/>
    <w:rsid w:val="00C818D1"/>
    <w:rsid w:val="00C81A70"/>
    <w:rsid w:val="00C849C1"/>
    <w:rsid w:val="00C90C4E"/>
    <w:rsid w:val="00C9368C"/>
    <w:rsid w:val="00C96485"/>
    <w:rsid w:val="00C96BBC"/>
    <w:rsid w:val="00CA03C6"/>
    <w:rsid w:val="00CA2306"/>
    <w:rsid w:val="00CA2BE4"/>
    <w:rsid w:val="00CA3640"/>
    <w:rsid w:val="00CA5EBC"/>
    <w:rsid w:val="00CA69F1"/>
    <w:rsid w:val="00CA7799"/>
    <w:rsid w:val="00CB0FC2"/>
    <w:rsid w:val="00CB1845"/>
    <w:rsid w:val="00CB2350"/>
    <w:rsid w:val="00CB30FB"/>
    <w:rsid w:val="00CB5F9B"/>
    <w:rsid w:val="00CB6E5F"/>
    <w:rsid w:val="00CB74DA"/>
    <w:rsid w:val="00CC48B6"/>
    <w:rsid w:val="00CC5843"/>
    <w:rsid w:val="00CC7C0D"/>
    <w:rsid w:val="00CD1ED7"/>
    <w:rsid w:val="00CD31B6"/>
    <w:rsid w:val="00CD50AB"/>
    <w:rsid w:val="00CD7729"/>
    <w:rsid w:val="00CE11E4"/>
    <w:rsid w:val="00CE43C1"/>
    <w:rsid w:val="00CE4E66"/>
    <w:rsid w:val="00CF2D0C"/>
    <w:rsid w:val="00D02605"/>
    <w:rsid w:val="00D02ACA"/>
    <w:rsid w:val="00D12711"/>
    <w:rsid w:val="00D1662F"/>
    <w:rsid w:val="00D204B7"/>
    <w:rsid w:val="00D2050E"/>
    <w:rsid w:val="00D36C3E"/>
    <w:rsid w:val="00D42688"/>
    <w:rsid w:val="00D45B02"/>
    <w:rsid w:val="00D473EA"/>
    <w:rsid w:val="00D50B1A"/>
    <w:rsid w:val="00D512DE"/>
    <w:rsid w:val="00D54E80"/>
    <w:rsid w:val="00D56566"/>
    <w:rsid w:val="00D57367"/>
    <w:rsid w:val="00D61A37"/>
    <w:rsid w:val="00D626CB"/>
    <w:rsid w:val="00D64782"/>
    <w:rsid w:val="00D668F3"/>
    <w:rsid w:val="00D67278"/>
    <w:rsid w:val="00D67B8D"/>
    <w:rsid w:val="00D74196"/>
    <w:rsid w:val="00D7566D"/>
    <w:rsid w:val="00D76E20"/>
    <w:rsid w:val="00D8125F"/>
    <w:rsid w:val="00D82235"/>
    <w:rsid w:val="00D86D5E"/>
    <w:rsid w:val="00D90453"/>
    <w:rsid w:val="00D91117"/>
    <w:rsid w:val="00D91E2D"/>
    <w:rsid w:val="00D922B1"/>
    <w:rsid w:val="00D923CC"/>
    <w:rsid w:val="00DA4F95"/>
    <w:rsid w:val="00DA5F08"/>
    <w:rsid w:val="00DB22A5"/>
    <w:rsid w:val="00DB60D6"/>
    <w:rsid w:val="00DB7370"/>
    <w:rsid w:val="00DC139D"/>
    <w:rsid w:val="00DC2C8A"/>
    <w:rsid w:val="00DC4666"/>
    <w:rsid w:val="00DC4D2A"/>
    <w:rsid w:val="00DC571F"/>
    <w:rsid w:val="00DC71F3"/>
    <w:rsid w:val="00DD3F5E"/>
    <w:rsid w:val="00DD55DA"/>
    <w:rsid w:val="00DD5ADB"/>
    <w:rsid w:val="00DE0399"/>
    <w:rsid w:val="00DE271E"/>
    <w:rsid w:val="00DE569D"/>
    <w:rsid w:val="00DE6571"/>
    <w:rsid w:val="00DE7784"/>
    <w:rsid w:val="00DE7B9E"/>
    <w:rsid w:val="00DF0410"/>
    <w:rsid w:val="00DF39D8"/>
    <w:rsid w:val="00DF419A"/>
    <w:rsid w:val="00DF7F7A"/>
    <w:rsid w:val="00E01FDA"/>
    <w:rsid w:val="00E03C5A"/>
    <w:rsid w:val="00E04B7F"/>
    <w:rsid w:val="00E0531A"/>
    <w:rsid w:val="00E10342"/>
    <w:rsid w:val="00E117F3"/>
    <w:rsid w:val="00E13F41"/>
    <w:rsid w:val="00E154A0"/>
    <w:rsid w:val="00E15729"/>
    <w:rsid w:val="00E16213"/>
    <w:rsid w:val="00E179CF"/>
    <w:rsid w:val="00E202A8"/>
    <w:rsid w:val="00E229C2"/>
    <w:rsid w:val="00E232D1"/>
    <w:rsid w:val="00E2459C"/>
    <w:rsid w:val="00E24C1A"/>
    <w:rsid w:val="00E255B3"/>
    <w:rsid w:val="00E32C35"/>
    <w:rsid w:val="00E34D40"/>
    <w:rsid w:val="00E369CE"/>
    <w:rsid w:val="00E417D3"/>
    <w:rsid w:val="00E41948"/>
    <w:rsid w:val="00E4379F"/>
    <w:rsid w:val="00E45331"/>
    <w:rsid w:val="00E45A2F"/>
    <w:rsid w:val="00E46978"/>
    <w:rsid w:val="00E46DA5"/>
    <w:rsid w:val="00E50A52"/>
    <w:rsid w:val="00E50CAC"/>
    <w:rsid w:val="00E564DA"/>
    <w:rsid w:val="00E574F6"/>
    <w:rsid w:val="00E608F3"/>
    <w:rsid w:val="00E60D6A"/>
    <w:rsid w:val="00E60FEA"/>
    <w:rsid w:val="00E63E82"/>
    <w:rsid w:val="00E65980"/>
    <w:rsid w:val="00E65FAA"/>
    <w:rsid w:val="00E673A2"/>
    <w:rsid w:val="00E75460"/>
    <w:rsid w:val="00E777DA"/>
    <w:rsid w:val="00E7794D"/>
    <w:rsid w:val="00E77BC6"/>
    <w:rsid w:val="00E77DE7"/>
    <w:rsid w:val="00E83E68"/>
    <w:rsid w:val="00E84A3B"/>
    <w:rsid w:val="00E86920"/>
    <w:rsid w:val="00E903F8"/>
    <w:rsid w:val="00E913BA"/>
    <w:rsid w:val="00E94F30"/>
    <w:rsid w:val="00E95B86"/>
    <w:rsid w:val="00E95F76"/>
    <w:rsid w:val="00EA4749"/>
    <w:rsid w:val="00EA7FE0"/>
    <w:rsid w:val="00EB362B"/>
    <w:rsid w:val="00EB56CD"/>
    <w:rsid w:val="00EC22AC"/>
    <w:rsid w:val="00EC2B26"/>
    <w:rsid w:val="00EC5BB8"/>
    <w:rsid w:val="00EC5F29"/>
    <w:rsid w:val="00ED1508"/>
    <w:rsid w:val="00ED324B"/>
    <w:rsid w:val="00EE171A"/>
    <w:rsid w:val="00EE2F00"/>
    <w:rsid w:val="00EE7052"/>
    <w:rsid w:val="00EF0BFF"/>
    <w:rsid w:val="00EF225C"/>
    <w:rsid w:val="00EF2790"/>
    <w:rsid w:val="00EF4AA2"/>
    <w:rsid w:val="00EF5E12"/>
    <w:rsid w:val="00EF6431"/>
    <w:rsid w:val="00EF661D"/>
    <w:rsid w:val="00EF748B"/>
    <w:rsid w:val="00F01066"/>
    <w:rsid w:val="00F051B9"/>
    <w:rsid w:val="00F12B65"/>
    <w:rsid w:val="00F13454"/>
    <w:rsid w:val="00F15E89"/>
    <w:rsid w:val="00F17FBE"/>
    <w:rsid w:val="00F2236C"/>
    <w:rsid w:val="00F2704F"/>
    <w:rsid w:val="00F2742F"/>
    <w:rsid w:val="00F32E45"/>
    <w:rsid w:val="00F34A3F"/>
    <w:rsid w:val="00F3686B"/>
    <w:rsid w:val="00F36D40"/>
    <w:rsid w:val="00F37E9A"/>
    <w:rsid w:val="00F40E3D"/>
    <w:rsid w:val="00F4275D"/>
    <w:rsid w:val="00F450E2"/>
    <w:rsid w:val="00F459B3"/>
    <w:rsid w:val="00F469C0"/>
    <w:rsid w:val="00F51365"/>
    <w:rsid w:val="00F54707"/>
    <w:rsid w:val="00F57317"/>
    <w:rsid w:val="00F615EE"/>
    <w:rsid w:val="00F625D4"/>
    <w:rsid w:val="00F62C19"/>
    <w:rsid w:val="00F64C0F"/>
    <w:rsid w:val="00F6596B"/>
    <w:rsid w:val="00F65E15"/>
    <w:rsid w:val="00F7261E"/>
    <w:rsid w:val="00F74E91"/>
    <w:rsid w:val="00F76CC9"/>
    <w:rsid w:val="00F77F91"/>
    <w:rsid w:val="00F80390"/>
    <w:rsid w:val="00F8262B"/>
    <w:rsid w:val="00F83DB4"/>
    <w:rsid w:val="00F90174"/>
    <w:rsid w:val="00F92D39"/>
    <w:rsid w:val="00F92EBD"/>
    <w:rsid w:val="00F94A51"/>
    <w:rsid w:val="00F95414"/>
    <w:rsid w:val="00FA1BE4"/>
    <w:rsid w:val="00FA5456"/>
    <w:rsid w:val="00FA5B2A"/>
    <w:rsid w:val="00FA68D9"/>
    <w:rsid w:val="00FA6FB3"/>
    <w:rsid w:val="00FB4EDC"/>
    <w:rsid w:val="00FC2702"/>
    <w:rsid w:val="00FC2BEC"/>
    <w:rsid w:val="00FC58B3"/>
    <w:rsid w:val="00FC65BB"/>
    <w:rsid w:val="00FD08CC"/>
    <w:rsid w:val="00FD12DC"/>
    <w:rsid w:val="00FD24EB"/>
    <w:rsid w:val="00FD65AE"/>
    <w:rsid w:val="00FE0520"/>
    <w:rsid w:val="00FE33E1"/>
    <w:rsid w:val="00FE6ADA"/>
    <w:rsid w:val="00FF2C58"/>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1212C2"/>
  <w15:docId w15:val="{197FD209-5FB1-4CB4-AABC-92522130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qFormat/>
    <w:rPr>
      <w:vertAlign w:val="superscript"/>
    </w:rPr>
  </w:style>
  <w:style w:type="paragraph" w:styleId="FootnoteText">
    <w:name w:val="footnote text"/>
    <w:basedOn w:val="Normal"/>
    <w:semiHidden/>
    <w:pPr>
      <w:ind w:left="567" w:hanging="567"/>
    </w:pPr>
    <w:rPr>
      <w:rFonts w:eastAsia="Times New Roman"/>
      <w:sz w:val="20"/>
      <w:szCs w:val="20"/>
      <w:lang w:eastAsia="en-US"/>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uiPriority w:val="99"/>
    <w:rsid w:val="008F4611"/>
    <w:rPr>
      <w:sz w:val="16"/>
      <w:szCs w:val="16"/>
    </w:rPr>
  </w:style>
  <w:style w:type="paragraph" w:styleId="CommentText">
    <w:name w:val="annotation text"/>
    <w:basedOn w:val="Normal"/>
    <w:link w:val="CommentTextChar"/>
    <w:uiPriority w:val="99"/>
    <w:qFormat/>
    <w:rsid w:val="008F4611"/>
    <w:rPr>
      <w:sz w:val="20"/>
      <w:szCs w:val="20"/>
    </w:rPr>
  </w:style>
  <w:style w:type="character" w:customStyle="1" w:styleId="CommentTextChar">
    <w:name w:val="Comment Text Char"/>
    <w:basedOn w:val="DefaultParagraphFont"/>
    <w:link w:val="CommentText"/>
    <w:uiPriority w:val="99"/>
    <w:qForma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uiPriority w:val="34"/>
    <w:qFormat/>
    <w:rsid w:val="009C5BA0"/>
    <w:pPr>
      <w:ind w:left="720"/>
      <w:contextualSpacing/>
    </w:pPr>
  </w:style>
  <w:style w:type="character" w:customStyle="1" w:styleId="UnresolvedMention2">
    <w:name w:val="Unresolved Mention2"/>
    <w:basedOn w:val="DefaultParagraphFont"/>
    <w:uiPriority w:val="99"/>
    <w:semiHidden/>
    <w:unhideWhenUsed/>
    <w:rsid w:val="001E653E"/>
    <w:rPr>
      <w:color w:val="605E5C"/>
      <w:shd w:val="clear" w:color="auto" w:fill="E1DFDD"/>
    </w:rPr>
  </w:style>
  <w:style w:type="character" w:styleId="UnresolvedMention">
    <w:name w:val="Unresolved Mention"/>
    <w:basedOn w:val="DefaultParagraphFont"/>
    <w:uiPriority w:val="99"/>
    <w:semiHidden/>
    <w:unhideWhenUsed/>
    <w:rsid w:val="00AB671E"/>
    <w:rPr>
      <w:color w:val="605E5C"/>
      <w:shd w:val="clear" w:color="auto" w:fill="E1DFDD"/>
    </w:rPr>
  </w:style>
  <w:style w:type="character" w:styleId="FollowedHyperlink">
    <w:name w:val="FollowedHyperlink"/>
    <w:basedOn w:val="DefaultParagraphFont"/>
    <w:semiHidden/>
    <w:unhideWhenUsed/>
    <w:rsid w:val="00134935"/>
    <w:rPr>
      <w:color w:val="800080" w:themeColor="followedHyperlink"/>
      <w:u w:val="single"/>
    </w:rPr>
  </w:style>
  <w:style w:type="paragraph" w:customStyle="1" w:styleId="Style2">
    <w:name w:val="Style2"/>
    <w:basedOn w:val="Normal"/>
    <w:link w:val="Style2Car"/>
    <w:qFormat/>
    <w:rsid w:val="00E86920"/>
    <w:pPr>
      <w:shd w:val="clear" w:color="auto" w:fill="FFFFFF"/>
      <w:tabs>
        <w:tab w:val="clear" w:pos="567"/>
        <w:tab w:val="num" w:pos="1400"/>
      </w:tabs>
      <w:snapToGrid/>
      <w:spacing w:after="240"/>
      <w:ind w:left="720"/>
      <w:jc w:val="both"/>
    </w:pPr>
    <w:rPr>
      <w:rFonts w:ascii="Arial" w:eastAsia="Times New Roman" w:hAnsi="Arial"/>
      <w:iCs/>
      <w:sz w:val="22"/>
      <w:szCs w:val="22"/>
      <w:lang w:eastAsia="en-US"/>
    </w:rPr>
  </w:style>
  <w:style w:type="character" w:customStyle="1" w:styleId="Style2Car">
    <w:name w:val="Style2 Car"/>
    <w:basedOn w:val="DefaultParagraphFont"/>
    <w:link w:val="Style2"/>
    <w:rsid w:val="00E86920"/>
    <w:rPr>
      <w:rFonts w:ascii="Arial" w:eastAsia="Times New Roman" w:hAnsi="Arial"/>
      <w:iCs/>
      <w:snapToGrid w:val="0"/>
      <w:sz w:val="22"/>
      <w:szCs w:val="22"/>
      <w:shd w:val="clear" w:color="auto" w:fill="FFFFFF"/>
      <w:lang w:val="en-GB" w:eastAsia="en-US"/>
    </w:rPr>
  </w:style>
  <w:style w:type="paragraph" w:styleId="NormalWeb">
    <w:name w:val="Normal (Web)"/>
    <w:basedOn w:val="Normal"/>
    <w:uiPriority w:val="99"/>
    <w:unhideWhenUsed/>
    <w:rsid w:val="00124AE1"/>
    <w:pPr>
      <w:tabs>
        <w:tab w:val="clear" w:pos="567"/>
      </w:tabs>
      <w:snapToGrid/>
      <w:spacing w:before="100" w:beforeAutospacing="1" w:after="100" w:afterAutospacing="1"/>
    </w:pPr>
    <w:rPr>
      <w:rFonts w:eastAsia="Times New Roman"/>
      <w:snapToGrid/>
      <w:lang w:val="fr-FR"/>
    </w:rPr>
  </w:style>
  <w:style w:type="paragraph" w:styleId="Revision">
    <w:name w:val="Revision"/>
    <w:hidden/>
    <w:uiPriority w:val="99"/>
    <w:semiHidden/>
    <w:rsid w:val="00EF4AA2"/>
    <w:rPr>
      <w:snapToGrid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2343">
      <w:bodyDiv w:val="1"/>
      <w:marLeft w:val="0"/>
      <w:marRight w:val="0"/>
      <w:marTop w:val="0"/>
      <w:marBottom w:val="0"/>
      <w:divBdr>
        <w:top w:val="none" w:sz="0" w:space="0" w:color="auto"/>
        <w:left w:val="none" w:sz="0" w:space="0" w:color="auto"/>
        <w:bottom w:val="none" w:sz="0" w:space="0" w:color="auto"/>
        <w:right w:val="none" w:sz="0" w:space="0" w:color="auto"/>
      </w:divBdr>
    </w:div>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388768048">
      <w:bodyDiv w:val="1"/>
      <w:marLeft w:val="0"/>
      <w:marRight w:val="0"/>
      <w:marTop w:val="0"/>
      <w:marBottom w:val="0"/>
      <w:divBdr>
        <w:top w:val="none" w:sz="0" w:space="0" w:color="auto"/>
        <w:left w:val="none" w:sz="0" w:space="0" w:color="auto"/>
        <w:bottom w:val="none" w:sz="0" w:space="0" w:color="auto"/>
        <w:right w:val="none" w:sz="0" w:space="0" w:color="auto"/>
      </w:divBdr>
    </w:div>
    <w:div w:id="437530567">
      <w:bodyDiv w:val="1"/>
      <w:marLeft w:val="0"/>
      <w:marRight w:val="0"/>
      <w:marTop w:val="0"/>
      <w:marBottom w:val="0"/>
      <w:divBdr>
        <w:top w:val="none" w:sz="0" w:space="0" w:color="auto"/>
        <w:left w:val="none" w:sz="0" w:space="0" w:color="auto"/>
        <w:bottom w:val="none" w:sz="0" w:space="0" w:color="auto"/>
        <w:right w:val="none" w:sz="0" w:space="0" w:color="auto"/>
      </w:divBdr>
    </w:div>
    <w:div w:id="498934163">
      <w:bodyDiv w:val="1"/>
      <w:marLeft w:val="0"/>
      <w:marRight w:val="0"/>
      <w:marTop w:val="0"/>
      <w:marBottom w:val="0"/>
      <w:divBdr>
        <w:top w:val="none" w:sz="0" w:space="0" w:color="auto"/>
        <w:left w:val="none" w:sz="0" w:space="0" w:color="auto"/>
        <w:bottom w:val="none" w:sz="0" w:space="0" w:color="auto"/>
        <w:right w:val="none" w:sz="0" w:space="0" w:color="auto"/>
      </w:divBdr>
    </w:div>
    <w:div w:id="668337423">
      <w:bodyDiv w:val="1"/>
      <w:marLeft w:val="0"/>
      <w:marRight w:val="0"/>
      <w:marTop w:val="0"/>
      <w:marBottom w:val="0"/>
      <w:divBdr>
        <w:top w:val="none" w:sz="0" w:space="0" w:color="auto"/>
        <w:left w:val="none" w:sz="0" w:space="0" w:color="auto"/>
        <w:bottom w:val="none" w:sz="0" w:space="0" w:color="auto"/>
        <w:right w:val="none" w:sz="0" w:space="0" w:color="auto"/>
      </w:divBdr>
    </w:div>
    <w:div w:id="687409904">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601260676">
      <w:bodyDiv w:val="1"/>
      <w:marLeft w:val="0"/>
      <w:marRight w:val="0"/>
      <w:marTop w:val="0"/>
      <w:marBottom w:val="0"/>
      <w:divBdr>
        <w:top w:val="none" w:sz="0" w:space="0" w:color="auto"/>
        <w:left w:val="none" w:sz="0" w:space="0" w:color="auto"/>
        <w:bottom w:val="none" w:sz="0" w:space="0" w:color="auto"/>
        <w:right w:val="none" w:sz="0" w:space="0" w:color="auto"/>
      </w:divBdr>
    </w:div>
    <w:div w:id="170205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socean.org/index.php?option=com_oe&amp;task=viewDocumentRecord&amp;docID=2660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79949_sp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bd.int/doc/meetings/mar/cbwsoi-wafr-01/other/cbwsoi-wafr-01-doalos-msr-es.pdf" TargetMode="External"/><Relationship Id="rId4" Type="http://schemas.openxmlformats.org/officeDocument/2006/relationships/settings" Target="settings.xml"/><Relationship Id="rId9" Type="http://schemas.openxmlformats.org/officeDocument/2006/relationships/hyperlink" Target="https://unesdoc.unesco.org/ark:/48223/pf0000157009.locale=en"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28D76-30BE-7B4B-8C87-F45BA2D0C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4049</Words>
  <Characters>21954</Characters>
  <Application>Microsoft Office Word</Application>
  <DocSecurity>4</DocSecurity>
  <Lines>182</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Comisión Oceanográfica Intergubernamental_x000d_
(de la UNESCO)_x000d_
55ª reunión del Consejo Ejecutivo_x000d_
UNESCO, París, 14-17 de junio de 2022_x000d_
</vt:lpstr>
      <vt:lpstr>Revised provisional agenda of the forty-seventh session of the Executive Council of the Intergovernmental Oceanographic Commission</vt:lpstr>
    </vt:vector>
  </TitlesOfParts>
  <Company>UNESCO</Company>
  <LinksUpToDate>false</LinksUpToDate>
  <CharactersWithSpaces>25952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Comisión Oceanográfica Intergubernamental_x000d_
(de la UNESCO)_x000d_
55ª reunión del Consejo Ejecutivo_x000d_
UNESCO, París, 14-17 de junio de 2022</dc:title>
  <dc:subject>IOC/EC-55/3.4.DOC(1)</dc:subject>
  <dc:creator>UNESCO</dc:creator>
  <cp:keywords>1210.14E</cp:keywords>
  <dc:description/>
  <cp:lastModifiedBy>Boned, Patrice</cp:lastModifiedBy>
  <cp:revision>2</cp:revision>
  <cp:lastPrinted>2022-05-02T09:16:00Z</cp:lastPrinted>
  <dcterms:created xsi:type="dcterms:W3CDTF">2022-06-10T12:56:00Z</dcterms:created>
  <dcterms:modified xsi:type="dcterms:W3CDTF">2022-06-10T12:56:00Z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S</vt:lpwstr>
  </property>
  <property fmtid="{D5CDD505-2E9C-101B-9397-08002B2CF9AE}" pid="3" name="JobDCPMS">
    <vt:lpwstr>202201587</vt:lpwstr>
  </property>
  <property fmtid="{D5CDD505-2E9C-101B-9397-08002B2CF9AE}" pid="4" name="TranslatedWith">
    <vt:lpwstr>Mercury</vt:lpwstr>
  </property>
  <property fmtid="{D5CDD505-2E9C-101B-9397-08002B2CF9AE}" pid="5" name="GeneratedBy">
    <vt:lpwstr>pilar.valledor</vt:lpwstr>
  </property>
  <property fmtid="{D5CDD505-2E9C-101B-9397-08002B2CF9AE}" pid="6" name="GeneratedDate">
    <vt:lpwstr>06/09/2022 13:39:57</vt:lpwstr>
  </property>
  <property fmtid="{D5CDD505-2E9C-101B-9397-08002B2CF9AE}" pid="7" name="OriginalDocID">
    <vt:lpwstr>0bbfa838-76b3-4229-8d21-458e18afcdcd</vt:lpwstr>
  </property>
</Properties>
</file>