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59" w:type="dxa"/>
        <w:jc w:val="center"/>
        <w:tblLook w:val="04A0" w:firstRow="1" w:lastRow="0" w:firstColumn="1" w:lastColumn="0" w:noHBand="0" w:noVBand="1"/>
      </w:tblPr>
      <w:tblGrid>
        <w:gridCol w:w="8359"/>
      </w:tblGrid>
      <w:tr w:rsidR="00FA68D9" w:rsidRPr="005E5562" w14:paraId="1709CCC6" w14:textId="77777777" w:rsidTr="00E35CD7">
        <w:trPr>
          <w:trHeight w:val="5617"/>
          <w:jc w:val="center"/>
        </w:trPr>
        <w:tc>
          <w:tcPr>
            <w:tcW w:w="8359" w:type="dxa"/>
          </w:tcPr>
          <w:p w14:paraId="0D6FC64F" w14:textId="39A38389" w:rsidR="001B5075" w:rsidRPr="005E5562" w:rsidRDefault="001B5075" w:rsidP="00E734AE">
            <w:pPr>
              <w:tabs>
                <w:tab w:val="clear" w:pos="567"/>
              </w:tabs>
              <w:snapToGrid/>
              <w:spacing w:before="120"/>
              <w:jc w:val="center"/>
              <w:rPr>
                <w:rFonts w:ascii="Arial" w:hAnsi="Arial" w:cs="Arial"/>
                <w:bCs/>
                <w:sz w:val="22"/>
                <w:szCs w:val="22"/>
                <w:u w:val="single"/>
              </w:rPr>
            </w:pPr>
            <w:r w:rsidRPr="005E5562">
              <w:rPr>
                <w:rFonts w:ascii="Arial" w:hAnsi="Arial" w:cs="Arial"/>
                <w:bCs/>
                <w:sz w:val="22"/>
                <w:szCs w:val="22"/>
                <w:u w:val="single"/>
              </w:rPr>
              <w:t>Резюме</w:t>
            </w:r>
          </w:p>
          <w:p w14:paraId="50F9F65C" w14:textId="77777777" w:rsidR="00E734AE" w:rsidRPr="005E5562" w:rsidRDefault="00E734AE" w:rsidP="00E734AE">
            <w:pPr>
              <w:tabs>
                <w:tab w:val="clear" w:pos="567"/>
              </w:tabs>
              <w:snapToGrid/>
              <w:spacing w:before="120"/>
              <w:rPr>
                <w:rFonts w:ascii="Arial" w:hAnsi="Arial" w:cs="Arial"/>
                <w:bCs/>
                <w:sz w:val="22"/>
                <w:szCs w:val="22"/>
                <w:u w:val="single"/>
              </w:rPr>
            </w:pPr>
          </w:p>
          <w:p w14:paraId="5792515A" w14:textId="70C6099D" w:rsidR="00AC389B" w:rsidRPr="005E5562" w:rsidRDefault="00AC389B" w:rsidP="00E734AE">
            <w:pPr>
              <w:spacing w:after="240"/>
              <w:jc w:val="both"/>
              <w:rPr>
                <w:rFonts w:ascii="Arial" w:hAnsi="Arial" w:cs="Arial"/>
                <w:sz w:val="22"/>
                <w:szCs w:val="22"/>
              </w:rPr>
            </w:pPr>
            <w:r w:rsidRPr="005E5562">
              <w:rPr>
                <w:rFonts w:ascii="Arial" w:hAnsi="Arial" w:cs="Arial"/>
                <w:sz w:val="22"/>
                <w:szCs w:val="22"/>
              </w:rPr>
              <w:t xml:space="preserve">В сентябре 2021 г. служба внутреннего надзора (IOS) ЮНЕСКО опубликовала документ под названием </w:t>
            </w:r>
            <w:r w:rsidRPr="005E5562">
              <w:rPr>
                <w:rFonts w:ascii="Arial" w:hAnsi="Arial" w:cs="Arial"/>
                <w:i/>
                <w:sz w:val="22"/>
                <w:szCs w:val="22"/>
              </w:rPr>
              <w:t>«Оценка стратегического позиционирования Межправительственной океанографической комиссии (МОК-ЮНЕСКО)»</w:t>
            </w:r>
            <w:r w:rsidRPr="005E5562">
              <w:rPr>
                <w:rFonts w:ascii="Arial" w:hAnsi="Arial" w:cs="Arial"/>
                <w:sz w:val="22"/>
                <w:szCs w:val="22"/>
              </w:rPr>
              <w:t xml:space="preserve"> – </w:t>
            </w:r>
            <w:hyperlink r:id="rId8" w:history="1">
              <w:r w:rsidRPr="005E5562">
                <w:rPr>
                  <w:rStyle w:val="Hyperlink"/>
                  <w:rFonts w:ascii="Arial" w:hAnsi="Arial" w:cs="Arial"/>
                  <w:sz w:val="22"/>
                  <w:szCs w:val="22"/>
                </w:rPr>
                <w:t>IOS/EVS/PI/197</w:t>
              </w:r>
            </w:hyperlink>
            <w:r w:rsidRPr="005E5562">
              <w:rPr>
                <w:rFonts w:ascii="Arial" w:hAnsi="Arial" w:cs="Arial"/>
                <w:sz w:val="22"/>
                <w:szCs w:val="22"/>
              </w:rPr>
              <w:t xml:space="preserve"> (далее «Оценка»). Документ о проведении оценки включал пакет из шести рекомендаций и мер, предложенных для их реализации. В сво</w:t>
            </w:r>
            <w:r w:rsidR="002E0DAB" w:rsidRPr="005E5562">
              <w:rPr>
                <w:rFonts w:ascii="Arial" w:hAnsi="Arial" w:cs="Arial"/>
                <w:sz w:val="22"/>
                <w:szCs w:val="22"/>
              </w:rPr>
              <w:t>их</w:t>
            </w:r>
            <w:r w:rsidR="0001156F" w:rsidRPr="005E5562">
              <w:rPr>
                <w:rFonts w:ascii="Arial" w:hAnsi="Arial" w:cs="Arial"/>
                <w:sz w:val="22"/>
                <w:szCs w:val="22"/>
              </w:rPr>
              <w:t xml:space="preserve"> ответ</w:t>
            </w:r>
            <w:r w:rsidR="002E0DAB" w:rsidRPr="005E5562">
              <w:rPr>
                <w:rFonts w:ascii="Arial" w:hAnsi="Arial" w:cs="Arial"/>
                <w:sz w:val="22"/>
                <w:szCs w:val="22"/>
              </w:rPr>
              <w:t>ных комментариях</w:t>
            </w:r>
            <w:r w:rsidRPr="005E5562">
              <w:rPr>
                <w:rFonts w:ascii="Arial" w:hAnsi="Arial" w:cs="Arial"/>
                <w:sz w:val="22"/>
                <w:szCs w:val="22"/>
              </w:rPr>
              <w:t xml:space="preserve"> руководство МОК согласилось со всеми сформулированными IOS рекомендациями. Основные итоги указанной оценки</w:t>
            </w:r>
            <w:r w:rsidR="002E0DAB" w:rsidRPr="005E5562">
              <w:rPr>
                <w:rFonts w:ascii="Arial" w:hAnsi="Arial" w:cs="Arial"/>
                <w:sz w:val="22"/>
                <w:szCs w:val="22"/>
              </w:rPr>
              <w:t xml:space="preserve"> и</w:t>
            </w:r>
            <w:r w:rsidRPr="005E5562">
              <w:rPr>
                <w:rFonts w:ascii="Arial" w:hAnsi="Arial" w:cs="Arial"/>
                <w:sz w:val="22"/>
                <w:szCs w:val="22"/>
              </w:rPr>
              <w:t xml:space="preserve"> содержащиеся в ней рекомендации</w:t>
            </w:r>
            <w:r w:rsidR="002E0DAB" w:rsidRPr="005E5562">
              <w:rPr>
                <w:rFonts w:ascii="Arial" w:hAnsi="Arial" w:cs="Arial"/>
                <w:sz w:val="22"/>
                <w:szCs w:val="22"/>
              </w:rPr>
              <w:t>, а также</w:t>
            </w:r>
            <w:r w:rsidRPr="005E5562">
              <w:rPr>
                <w:rFonts w:ascii="Arial" w:hAnsi="Arial" w:cs="Arial"/>
                <w:sz w:val="22"/>
                <w:szCs w:val="22"/>
              </w:rPr>
              <w:t xml:space="preserve"> </w:t>
            </w:r>
            <w:r w:rsidR="002E0DAB" w:rsidRPr="005E5562">
              <w:rPr>
                <w:rFonts w:ascii="Arial" w:hAnsi="Arial" w:cs="Arial"/>
                <w:sz w:val="22"/>
                <w:szCs w:val="22"/>
              </w:rPr>
              <w:t>меры реагирования, предусмотренные</w:t>
            </w:r>
            <w:r w:rsidRPr="005E5562">
              <w:rPr>
                <w:rFonts w:ascii="Arial" w:hAnsi="Arial" w:cs="Arial"/>
                <w:sz w:val="22"/>
                <w:szCs w:val="22"/>
              </w:rPr>
              <w:t xml:space="preserve"> </w:t>
            </w:r>
            <w:r w:rsidR="002E0DAB" w:rsidRPr="005E5562">
              <w:rPr>
                <w:rFonts w:ascii="Arial" w:hAnsi="Arial" w:cs="Arial"/>
                <w:sz w:val="22"/>
                <w:szCs w:val="22"/>
              </w:rPr>
              <w:t xml:space="preserve">в </w:t>
            </w:r>
            <w:r w:rsidR="002B6537">
              <w:rPr>
                <w:rFonts w:ascii="Arial" w:hAnsi="Arial" w:cs="Arial"/>
                <w:sz w:val="22"/>
                <w:szCs w:val="22"/>
              </w:rPr>
              <w:t xml:space="preserve">этой </w:t>
            </w:r>
            <w:r w:rsidR="002E0DAB" w:rsidRPr="005E5562">
              <w:rPr>
                <w:rFonts w:ascii="Arial" w:hAnsi="Arial" w:cs="Arial"/>
                <w:sz w:val="22"/>
                <w:szCs w:val="22"/>
              </w:rPr>
              <w:t xml:space="preserve">связи </w:t>
            </w:r>
            <w:r w:rsidRPr="005E5562">
              <w:rPr>
                <w:rFonts w:ascii="Arial" w:hAnsi="Arial" w:cs="Arial"/>
                <w:sz w:val="22"/>
                <w:szCs w:val="22"/>
              </w:rPr>
              <w:t>руководств</w:t>
            </w:r>
            <w:r w:rsidR="002E0DAB" w:rsidRPr="005E5562">
              <w:rPr>
                <w:rFonts w:ascii="Arial" w:hAnsi="Arial" w:cs="Arial"/>
                <w:sz w:val="22"/>
                <w:szCs w:val="22"/>
              </w:rPr>
              <w:t>ом</w:t>
            </w:r>
            <w:r w:rsidRPr="005E5562">
              <w:rPr>
                <w:rFonts w:ascii="Arial" w:hAnsi="Arial" w:cs="Arial"/>
                <w:sz w:val="22"/>
                <w:szCs w:val="22"/>
              </w:rPr>
              <w:t xml:space="preserve"> МОК</w:t>
            </w:r>
            <w:r w:rsidR="002E0DAB" w:rsidRPr="005E5562">
              <w:rPr>
                <w:rFonts w:ascii="Arial" w:hAnsi="Arial" w:cs="Arial"/>
                <w:sz w:val="22"/>
                <w:szCs w:val="22"/>
              </w:rPr>
              <w:t xml:space="preserve">, </w:t>
            </w:r>
            <w:r w:rsidRPr="005E5562">
              <w:rPr>
                <w:rFonts w:ascii="Arial" w:hAnsi="Arial" w:cs="Arial"/>
                <w:sz w:val="22"/>
                <w:szCs w:val="22"/>
              </w:rPr>
              <w:t xml:space="preserve">были представлены Исполнительному совету ЮНЕСКО на его 212-й сессии (документ </w:t>
            </w:r>
            <w:hyperlink r:id="rId9" w:history="1">
              <w:r w:rsidRPr="005E5562">
                <w:rPr>
                  <w:rStyle w:val="Hyperlink"/>
                  <w:rFonts w:ascii="Arial" w:hAnsi="Arial" w:cs="Arial"/>
                  <w:sz w:val="22"/>
                  <w:szCs w:val="22"/>
                </w:rPr>
                <w:t>212 EX/9</w:t>
              </w:r>
            </w:hyperlink>
            <w:r w:rsidRPr="005E5562">
              <w:rPr>
                <w:rFonts w:ascii="Arial" w:hAnsi="Arial" w:cs="Arial"/>
                <w:sz w:val="22"/>
                <w:szCs w:val="22"/>
              </w:rPr>
              <w:t>).</w:t>
            </w:r>
          </w:p>
          <w:p w14:paraId="10E6030E" w14:textId="3797AD3E" w:rsidR="00FA68D9" w:rsidRPr="005E5562" w:rsidRDefault="00AC389B" w:rsidP="00E734AE">
            <w:pPr>
              <w:spacing w:after="240"/>
              <w:jc w:val="both"/>
              <w:rPr>
                <w:rFonts w:ascii="Arial" w:hAnsi="Arial" w:cs="Arial"/>
                <w:sz w:val="22"/>
                <w:szCs w:val="22"/>
              </w:rPr>
            </w:pPr>
            <w:r w:rsidRPr="005E5562">
              <w:rPr>
                <w:rFonts w:ascii="Arial" w:hAnsi="Arial" w:cs="Arial"/>
                <w:sz w:val="22"/>
                <w:szCs w:val="22"/>
              </w:rPr>
              <w:t xml:space="preserve">Настоящий документ подготовлен на основе выводов по итогам оценки, предложений Секретариата и результатов дискуссий, состоявшихся в ходе совещания должностных лиц МОК, организованного 14-17 января 2022 г. В документе обобщены основные </w:t>
            </w:r>
            <w:r w:rsidR="00715C94">
              <w:rPr>
                <w:rFonts w:ascii="Arial" w:hAnsi="Arial" w:cs="Arial"/>
                <w:sz w:val="22"/>
                <w:szCs w:val="22"/>
              </w:rPr>
              <w:t>трудности</w:t>
            </w:r>
            <w:r w:rsidRPr="005E5562">
              <w:rPr>
                <w:rFonts w:ascii="Arial" w:hAnsi="Arial" w:cs="Arial"/>
                <w:sz w:val="22"/>
                <w:szCs w:val="22"/>
              </w:rPr>
              <w:t xml:space="preserve"> и потенциальные возможности </w:t>
            </w:r>
            <w:r w:rsidR="002E0DAB" w:rsidRPr="005E5562">
              <w:rPr>
                <w:rFonts w:ascii="Arial" w:hAnsi="Arial" w:cs="Arial"/>
                <w:sz w:val="22"/>
                <w:szCs w:val="22"/>
              </w:rPr>
              <w:t>Комиссии</w:t>
            </w:r>
            <w:r w:rsidRPr="005E5562">
              <w:rPr>
                <w:rFonts w:ascii="Arial" w:hAnsi="Arial" w:cs="Arial"/>
                <w:sz w:val="22"/>
                <w:szCs w:val="22"/>
              </w:rPr>
              <w:t>, выявленные в ходе оценки, а также представлен проект плана действий по выполнению сформулированных IOS рекомендаций. Ожидается, что Исполнительный совет МОК обсудит этот документ, содержащиеся в нем рекомендации, а также предложенный проект плана действий</w:t>
            </w:r>
            <w:r w:rsidR="00715C94">
              <w:rPr>
                <w:rFonts w:ascii="Arial" w:hAnsi="Arial" w:cs="Arial"/>
                <w:sz w:val="22"/>
                <w:szCs w:val="22"/>
              </w:rPr>
              <w:t>, что</w:t>
            </w:r>
            <w:r w:rsidRPr="005E5562">
              <w:rPr>
                <w:rFonts w:ascii="Arial" w:hAnsi="Arial" w:cs="Arial"/>
                <w:sz w:val="22"/>
                <w:szCs w:val="22"/>
              </w:rPr>
              <w:t xml:space="preserve"> позволит Секретариату подготовить к 32-й сессии Ассамблеи МОК, которая пройдет в 2023 г</w:t>
            </w:r>
            <w:r w:rsidR="002E0DAB" w:rsidRPr="005E5562">
              <w:rPr>
                <w:rFonts w:ascii="Arial" w:hAnsi="Arial" w:cs="Arial"/>
                <w:sz w:val="22"/>
                <w:szCs w:val="22"/>
              </w:rPr>
              <w:t>.</w:t>
            </w:r>
            <w:r w:rsidRPr="005E5562">
              <w:rPr>
                <w:rFonts w:ascii="Arial" w:hAnsi="Arial" w:cs="Arial"/>
                <w:sz w:val="22"/>
                <w:szCs w:val="22"/>
              </w:rPr>
              <w:t xml:space="preserve">, доработанный вариант плана действий, а также в </w:t>
            </w:r>
            <w:r w:rsidR="00715C94">
              <w:rPr>
                <w:rFonts w:ascii="Arial" w:hAnsi="Arial" w:cs="Arial"/>
                <w:sz w:val="22"/>
                <w:szCs w:val="22"/>
              </w:rPr>
              <w:t>ряде</w:t>
            </w:r>
            <w:r w:rsidRPr="005E5562">
              <w:rPr>
                <w:rFonts w:ascii="Arial" w:hAnsi="Arial" w:cs="Arial"/>
                <w:sz w:val="22"/>
                <w:szCs w:val="22"/>
              </w:rPr>
              <w:t xml:space="preserve"> случа</w:t>
            </w:r>
            <w:r w:rsidR="00715C94">
              <w:rPr>
                <w:rFonts w:ascii="Arial" w:hAnsi="Arial" w:cs="Arial"/>
                <w:sz w:val="22"/>
                <w:szCs w:val="22"/>
              </w:rPr>
              <w:t>ев</w:t>
            </w:r>
            <w:r w:rsidRPr="005E5562">
              <w:rPr>
                <w:rFonts w:ascii="Arial" w:hAnsi="Arial" w:cs="Arial"/>
                <w:sz w:val="22"/>
                <w:szCs w:val="22"/>
              </w:rPr>
              <w:t xml:space="preserve"> представить актуализированную информацию или промежуточны</w:t>
            </w:r>
            <w:r w:rsidR="00715C94">
              <w:rPr>
                <w:rFonts w:ascii="Arial" w:hAnsi="Arial" w:cs="Arial"/>
                <w:sz w:val="22"/>
                <w:szCs w:val="22"/>
              </w:rPr>
              <w:t>е</w:t>
            </w:r>
            <w:r w:rsidRPr="005E5562">
              <w:rPr>
                <w:rFonts w:ascii="Arial" w:hAnsi="Arial" w:cs="Arial"/>
                <w:sz w:val="22"/>
                <w:szCs w:val="22"/>
              </w:rPr>
              <w:t xml:space="preserve"> отчет</w:t>
            </w:r>
            <w:r w:rsidR="00715C94">
              <w:rPr>
                <w:rFonts w:ascii="Arial" w:hAnsi="Arial" w:cs="Arial"/>
                <w:sz w:val="22"/>
                <w:szCs w:val="22"/>
              </w:rPr>
              <w:t>ы</w:t>
            </w:r>
            <w:r w:rsidRPr="005E5562">
              <w:rPr>
                <w:rFonts w:ascii="Arial" w:hAnsi="Arial" w:cs="Arial"/>
                <w:sz w:val="22"/>
                <w:szCs w:val="22"/>
              </w:rPr>
              <w:t xml:space="preserve"> о достигнутых результатах.</w:t>
            </w:r>
          </w:p>
          <w:p w14:paraId="6C050125" w14:textId="45B374EC" w:rsidR="00FA68D9" w:rsidRPr="005E5562" w:rsidRDefault="00FA68D9" w:rsidP="002E0DAB">
            <w:pPr>
              <w:tabs>
                <w:tab w:val="clear" w:pos="567"/>
              </w:tabs>
              <w:spacing w:after="240"/>
              <w:jc w:val="both"/>
              <w:rPr>
                <w:rFonts w:ascii="Arial" w:hAnsi="Arial" w:cs="Arial"/>
                <w:b/>
                <w:bCs/>
                <w:sz w:val="22"/>
                <w:szCs w:val="22"/>
              </w:rPr>
            </w:pPr>
            <w:r w:rsidRPr="005E5562">
              <w:rPr>
                <w:rFonts w:ascii="Arial" w:hAnsi="Arial" w:cs="Arial"/>
                <w:sz w:val="22"/>
                <w:szCs w:val="22"/>
                <w:u w:val="single"/>
              </w:rPr>
              <w:t>Предлагаемое решение</w:t>
            </w:r>
            <w:r w:rsidRPr="005E5562">
              <w:rPr>
                <w:rFonts w:ascii="Arial" w:hAnsi="Arial" w:cs="Arial"/>
                <w:sz w:val="22"/>
                <w:szCs w:val="22"/>
              </w:rPr>
              <w:t>: Исполнительному совету предлагается принять настоящий документ к сведению и рассмотреть проект решения, упоминаемый в предварительном документе о принятых и предлагаемых мерах (документ IOC/EC-55/AP) как Реш. EC-55/3.1.</w:t>
            </w:r>
          </w:p>
        </w:tc>
      </w:tr>
    </w:tbl>
    <w:p w14:paraId="754AD64E" w14:textId="77777777" w:rsidR="002A2843" w:rsidRPr="005E5562" w:rsidRDefault="002A2843" w:rsidP="00B2190F">
      <w:pPr>
        <w:keepNext/>
        <w:keepLines/>
        <w:widowControl w:val="0"/>
        <w:adjustRightInd w:val="0"/>
        <w:ind w:left="567" w:hanging="567"/>
        <w:jc w:val="both"/>
        <w:textAlignment w:val="baseline"/>
        <w:outlineLvl w:val="1"/>
        <w:rPr>
          <w:rFonts w:ascii="Arial" w:hAnsi="Arial" w:cs="Arial"/>
          <w:b/>
          <w:bCs/>
          <w:sz w:val="22"/>
          <w:szCs w:val="22"/>
        </w:rPr>
      </w:pPr>
    </w:p>
    <w:p w14:paraId="1BE01993" w14:textId="77777777" w:rsidR="002A2843" w:rsidRPr="005E5562" w:rsidRDefault="002A2843">
      <w:pPr>
        <w:tabs>
          <w:tab w:val="clear" w:pos="567"/>
        </w:tabs>
        <w:snapToGrid/>
        <w:rPr>
          <w:rFonts w:ascii="Arial" w:hAnsi="Arial" w:cs="Arial"/>
          <w:b/>
          <w:bCs/>
          <w:sz w:val="22"/>
          <w:szCs w:val="22"/>
        </w:rPr>
      </w:pPr>
      <w:r w:rsidRPr="005E5562">
        <w:rPr>
          <w:rFonts w:ascii="Arial" w:hAnsi="Arial" w:cs="Arial"/>
        </w:rPr>
        <w:br w:type="page"/>
      </w:r>
    </w:p>
    <w:p w14:paraId="6E012736" w14:textId="6A1FD25C" w:rsidR="002661D7" w:rsidRPr="005E5562" w:rsidRDefault="002E0DAB" w:rsidP="00F47454">
      <w:pPr>
        <w:pStyle w:val="Heading1"/>
        <w:jc w:val="both"/>
        <w:rPr>
          <w:rFonts w:ascii="Arial" w:hAnsi="Arial" w:cs="Arial"/>
          <w:b w:val="0"/>
          <w:bCs w:val="0"/>
          <w:color w:val="002060"/>
          <w:sz w:val="22"/>
          <w:szCs w:val="22"/>
        </w:rPr>
      </w:pPr>
      <w:proofErr w:type="spellStart"/>
      <w:r w:rsidRPr="005E5562">
        <w:rPr>
          <w:rFonts w:ascii="Arial" w:hAnsi="Arial" w:cs="Arial"/>
          <w:color w:val="002060"/>
          <w:sz w:val="22"/>
          <w:szCs w:val="22"/>
        </w:rPr>
        <w:lastRenderedPageBreak/>
        <w:t>Неистощительное</w:t>
      </w:r>
      <w:proofErr w:type="spellEnd"/>
      <w:r w:rsidRPr="005E5562">
        <w:rPr>
          <w:rFonts w:ascii="Arial" w:hAnsi="Arial" w:cs="Arial"/>
          <w:color w:val="002060"/>
          <w:sz w:val="22"/>
          <w:szCs w:val="22"/>
        </w:rPr>
        <w:t xml:space="preserve"> </w:t>
      </w:r>
      <w:proofErr w:type="spellStart"/>
      <w:r w:rsidRPr="005E5562">
        <w:rPr>
          <w:rFonts w:ascii="Arial" w:hAnsi="Arial" w:cs="Arial"/>
          <w:color w:val="002060"/>
          <w:sz w:val="22"/>
          <w:szCs w:val="22"/>
        </w:rPr>
        <w:t>морепользование</w:t>
      </w:r>
      <w:proofErr w:type="spellEnd"/>
      <w:r w:rsidR="002661D7" w:rsidRPr="005E5562">
        <w:rPr>
          <w:rFonts w:ascii="Arial" w:hAnsi="Arial" w:cs="Arial"/>
          <w:color w:val="002060"/>
          <w:sz w:val="22"/>
          <w:szCs w:val="22"/>
        </w:rPr>
        <w:t xml:space="preserve">: перспективы и </w:t>
      </w:r>
      <w:r w:rsidR="00DB1775" w:rsidRPr="005E5562">
        <w:rPr>
          <w:rFonts w:ascii="Arial" w:hAnsi="Arial" w:cs="Arial"/>
          <w:color w:val="002060"/>
          <w:sz w:val="22"/>
          <w:szCs w:val="22"/>
        </w:rPr>
        <w:t>актуальные задачи</w:t>
      </w:r>
    </w:p>
    <w:p w14:paraId="43D682AD" w14:textId="79601E35" w:rsidR="002661D7"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Рассматриваемые в настоящем докладе рекомендации в отношении МОК, а также меры по их выполнению были сформулированы в контексте поиска ответа на весьма сложный вопрос о том, как наилучшим образом обеспечить выполнение </w:t>
      </w:r>
      <w:r w:rsidR="002E0DAB" w:rsidRPr="005E5562">
        <w:rPr>
          <w:rFonts w:ascii="Arial" w:hAnsi="Arial" w:cs="Arial"/>
          <w:sz w:val="22"/>
          <w:szCs w:val="22"/>
        </w:rPr>
        <w:t xml:space="preserve">Мировым </w:t>
      </w:r>
      <w:r w:rsidRPr="005E5562">
        <w:rPr>
          <w:rFonts w:ascii="Arial" w:hAnsi="Arial" w:cs="Arial"/>
          <w:sz w:val="22"/>
          <w:szCs w:val="22"/>
        </w:rPr>
        <w:t>океаном его важнейшей функции – поддержания благополучия человечества и планеты, а также минимизировать последствия изменения климата, обеспечить продовольственную безопасность, источники средств к существованию на местном уровне и поддержать устойчивый экономический рост. Для ответа на этот вопрос необходимо, в свою очередь, понять, как на основе научного подхода обеспечить максимальную эффективность стратегий и систем управления</w:t>
      </w:r>
      <w:r w:rsidR="00B30423" w:rsidRPr="005E5562">
        <w:rPr>
          <w:rFonts w:ascii="Arial" w:hAnsi="Arial" w:cs="Arial"/>
          <w:sz w:val="22"/>
          <w:szCs w:val="22"/>
        </w:rPr>
        <w:t xml:space="preserve"> морскими ресурсами</w:t>
      </w:r>
      <w:r w:rsidRPr="005E5562">
        <w:rPr>
          <w:rFonts w:ascii="Arial" w:hAnsi="Arial" w:cs="Arial"/>
          <w:sz w:val="22"/>
          <w:szCs w:val="22"/>
        </w:rPr>
        <w:t xml:space="preserve">, с тем чтобы добиться сбалансированной эксплуатации </w:t>
      </w:r>
      <w:r w:rsidR="00B30423" w:rsidRPr="005E5562">
        <w:rPr>
          <w:rFonts w:ascii="Arial" w:hAnsi="Arial" w:cs="Arial"/>
          <w:sz w:val="22"/>
          <w:szCs w:val="22"/>
        </w:rPr>
        <w:t xml:space="preserve">Мирового океана </w:t>
      </w:r>
      <w:r w:rsidRPr="005E5562">
        <w:rPr>
          <w:rFonts w:ascii="Arial" w:hAnsi="Arial" w:cs="Arial"/>
          <w:sz w:val="22"/>
          <w:szCs w:val="22"/>
        </w:rPr>
        <w:t>в качестве ценного источника ресурсов, которым он на самом деле является, и одновременно смягчить негативные последствия изменения климата, обеспечить сохранение биологического разнообразия и восстановление здорового состояния морской среды.</w:t>
      </w:r>
    </w:p>
    <w:p w14:paraId="56890E52" w14:textId="43CDD530" w:rsidR="002661D7"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Повышение устойчивости управления ресурсами Мирового океана все чаще рассматривается в качестве многокомпонентной задачи, включающей три основных направления работы: обеспечение эффективной защиты океана, его устойчивой продуктивности и справедливого распределения его благ. В Конвенции Организации Объединенных Наций по морскому праву, а позднее и в Повестке дня на период до 2030 г. нашел отражение двуединый подход сохранения и неистощительного использования ресурсов океана, а также была подчеркнута важная роль океана в обеспечении устойчивого развития. Такой подход позволяет преодолеть дихотомию, возникающую между «принципом сохранения» и «принципом использования в качестве источника </w:t>
      </w:r>
      <w:r w:rsidR="00B30423" w:rsidRPr="005E5562">
        <w:rPr>
          <w:rFonts w:ascii="Arial" w:hAnsi="Arial" w:cs="Arial"/>
          <w:sz w:val="22"/>
          <w:szCs w:val="22"/>
        </w:rPr>
        <w:t>ресурсов</w:t>
      </w:r>
      <w:r w:rsidRPr="005E5562">
        <w:rPr>
          <w:rFonts w:ascii="Arial" w:hAnsi="Arial" w:cs="Arial"/>
          <w:sz w:val="22"/>
          <w:szCs w:val="22"/>
        </w:rPr>
        <w:t>». При таком подходе экономическое развитие и защита окружающей среды более не рассматриваются как несовместимые между собой понятия; на</w:t>
      </w:r>
      <w:r w:rsidR="00B30423" w:rsidRPr="005E5562">
        <w:rPr>
          <w:rFonts w:ascii="Arial" w:hAnsi="Arial" w:cs="Arial"/>
          <w:sz w:val="22"/>
          <w:szCs w:val="22"/>
        </w:rPr>
        <w:t>против</w:t>
      </w:r>
      <w:r w:rsidRPr="005E5562">
        <w:rPr>
          <w:rFonts w:ascii="Arial" w:hAnsi="Arial" w:cs="Arial"/>
          <w:sz w:val="22"/>
          <w:szCs w:val="22"/>
        </w:rPr>
        <w:t xml:space="preserve">, </w:t>
      </w:r>
      <w:r w:rsidR="00B30423" w:rsidRPr="005E5562">
        <w:rPr>
          <w:rFonts w:ascii="Arial" w:hAnsi="Arial" w:cs="Arial"/>
          <w:sz w:val="22"/>
          <w:szCs w:val="22"/>
        </w:rPr>
        <w:t>в нем</w:t>
      </w:r>
      <w:r w:rsidRPr="005E5562">
        <w:rPr>
          <w:rFonts w:ascii="Arial" w:hAnsi="Arial" w:cs="Arial"/>
          <w:sz w:val="22"/>
          <w:szCs w:val="22"/>
        </w:rPr>
        <w:t xml:space="preserve"> подразумевает</w:t>
      </w:r>
      <w:r w:rsidR="00B30423" w:rsidRPr="005E5562">
        <w:rPr>
          <w:rFonts w:ascii="Arial" w:hAnsi="Arial" w:cs="Arial"/>
          <w:sz w:val="22"/>
          <w:szCs w:val="22"/>
        </w:rPr>
        <w:t>ся</w:t>
      </w:r>
      <w:r w:rsidRPr="005E5562">
        <w:rPr>
          <w:rFonts w:ascii="Arial" w:hAnsi="Arial" w:cs="Arial"/>
          <w:sz w:val="22"/>
          <w:szCs w:val="22"/>
        </w:rPr>
        <w:t xml:space="preserve"> </w:t>
      </w:r>
      <w:r w:rsidR="00B30423" w:rsidRPr="005E5562">
        <w:rPr>
          <w:rFonts w:ascii="Arial" w:hAnsi="Arial" w:cs="Arial"/>
          <w:sz w:val="22"/>
          <w:szCs w:val="22"/>
        </w:rPr>
        <w:t>рассчитанное на длительную перспективу</w:t>
      </w:r>
      <w:r w:rsidRPr="005E5562">
        <w:rPr>
          <w:rFonts w:ascii="Arial" w:hAnsi="Arial" w:cs="Arial"/>
          <w:sz w:val="22"/>
          <w:szCs w:val="22"/>
        </w:rPr>
        <w:t xml:space="preserve"> управление хозяйственной деятельностью человека в интересах разумного освоения ресурсов океана, а не их истощения. Благодаря усилиям, предпринятым в последнее время на международном уровне, в частности, в рамках Группы высокого уровня по вопросам устойчивой морской экономики, эта концепция получила дальнейшее развитие и оформилась в виде следующих пяти функциональных блоков, обеспечивающих более целостное и основанное на </w:t>
      </w:r>
      <w:r w:rsidR="00B30423" w:rsidRPr="005E5562">
        <w:rPr>
          <w:rFonts w:ascii="Arial" w:hAnsi="Arial" w:cs="Arial"/>
          <w:sz w:val="22"/>
          <w:szCs w:val="22"/>
        </w:rPr>
        <w:t xml:space="preserve">научных </w:t>
      </w:r>
      <w:r w:rsidRPr="005E5562">
        <w:rPr>
          <w:rFonts w:ascii="Arial" w:hAnsi="Arial" w:cs="Arial"/>
          <w:sz w:val="22"/>
          <w:szCs w:val="22"/>
        </w:rPr>
        <w:t>знаниях видение морской хозяйственной деятельности: (i) использование имеющихся данных в качестве основы для принятия решений; (ii) осуществление целевого планирования морской хозяйственной деятельности; (iii) снижение рисков недофинансирования и использование инновационных форм мобилизации финансовой поддержки; (iv) купирование наземных источников загрязнения; и (v) изменение методологии учета морских ресурсов для отражения подлинной ценности Мирового океана</w:t>
      </w:r>
      <w:r w:rsidR="00114701" w:rsidRPr="005E5562">
        <w:rPr>
          <w:rFonts w:ascii="Arial" w:hAnsi="Arial" w:cs="Arial"/>
          <w:sz w:val="22"/>
          <w:szCs w:val="22"/>
          <w:vertAlign w:val="superscript"/>
        </w:rPr>
        <w:footnoteReference w:id="1"/>
      </w:r>
      <w:r w:rsidRPr="005E5562">
        <w:rPr>
          <w:rFonts w:ascii="Arial" w:hAnsi="Arial" w:cs="Arial"/>
          <w:sz w:val="22"/>
          <w:szCs w:val="22"/>
        </w:rPr>
        <w:t>. Все эти функциональные блоки, особенно три из них, открывают широкие возможности для участия МОК.</w:t>
      </w:r>
    </w:p>
    <w:p w14:paraId="2771D0AE" w14:textId="0DE87C05" w:rsidR="007F52EE"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Во-первых, важно в полной мере использовать потенциал науки и имеющиеся наборы данных для </w:t>
      </w:r>
      <w:r w:rsidR="00B30423" w:rsidRPr="005E5562">
        <w:rPr>
          <w:rFonts w:ascii="Arial" w:hAnsi="Arial" w:cs="Arial"/>
          <w:sz w:val="22"/>
          <w:szCs w:val="22"/>
        </w:rPr>
        <w:t xml:space="preserve">обеспечения </w:t>
      </w:r>
      <w:r w:rsidRPr="005E5562">
        <w:rPr>
          <w:rFonts w:ascii="Arial" w:hAnsi="Arial" w:cs="Arial"/>
          <w:sz w:val="22"/>
          <w:szCs w:val="22"/>
        </w:rPr>
        <w:t xml:space="preserve">максимально эффективной и </w:t>
      </w:r>
      <w:r w:rsidR="00B30423" w:rsidRPr="005E5562">
        <w:rPr>
          <w:rFonts w:ascii="Arial" w:hAnsi="Arial" w:cs="Arial"/>
          <w:sz w:val="22"/>
          <w:szCs w:val="22"/>
        </w:rPr>
        <w:t xml:space="preserve">выстраивания </w:t>
      </w:r>
      <w:r w:rsidRPr="005E5562">
        <w:rPr>
          <w:rFonts w:ascii="Arial" w:hAnsi="Arial" w:cs="Arial"/>
          <w:sz w:val="22"/>
          <w:szCs w:val="22"/>
        </w:rPr>
        <w:t xml:space="preserve">учитывающей потребности будущих поколений модели управления ресурсами Мирового океана, а также в качестве информационной основы для выработки политики и принятия решений, связанных с другими аспектами устойчивого развития, в частности с обеспечением продовольственной безопасности или противодействием изменению климата. Использование в качестве основы для принятия решений полноценных и надежных данных может содействовать коренным преобразованиям в сфере морской экономики, однако для этого необходимо преодолеть ряд сдерживающих факторов. В настоящее время сбор данных нередко носит обособленный и затратный </w:t>
      </w:r>
      <w:r w:rsidRPr="005E5562">
        <w:rPr>
          <w:rFonts w:ascii="Arial" w:hAnsi="Arial" w:cs="Arial"/>
          <w:sz w:val="22"/>
          <w:szCs w:val="22"/>
        </w:rPr>
        <w:lastRenderedPageBreak/>
        <w:t xml:space="preserve">характер: такие данные, как правило, фрагментированы на уровне отдельных стран, компаний или научных областей знаний, при этом удобство их использования и их доступность ограничены. Для обеспечения адекватного использования научного потенциала, результатов наблюдений и имеющихся данных в интересах </w:t>
      </w:r>
      <w:r w:rsidR="00B30423" w:rsidRPr="005E5562">
        <w:rPr>
          <w:rFonts w:ascii="Arial" w:hAnsi="Arial" w:cs="Arial"/>
          <w:sz w:val="22"/>
          <w:szCs w:val="22"/>
        </w:rPr>
        <w:t xml:space="preserve">неистощительного </w:t>
      </w:r>
      <w:proofErr w:type="spellStart"/>
      <w:r w:rsidR="00B30423" w:rsidRPr="005E5562">
        <w:rPr>
          <w:rFonts w:ascii="Arial" w:hAnsi="Arial" w:cs="Arial"/>
          <w:sz w:val="22"/>
          <w:szCs w:val="22"/>
        </w:rPr>
        <w:t>морепользования</w:t>
      </w:r>
      <w:proofErr w:type="spellEnd"/>
      <w:r w:rsidRPr="005E5562">
        <w:rPr>
          <w:rFonts w:ascii="Arial" w:hAnsi="Arial" w:cs="Arial"/>
          <w:sz w:val="22"/>
          <w:szCs w:val="22"/>
        </w:rPr>
        <w:t xml:space="preserve"> необходимо </w:t>
      </w:r>
      <w:r w:rsidR="00B30423" w:rsidRPr="005E5562">
        <w:rPr>
          <w:rFonts w:ascii="Arial" w:hAnsi="Arial" w:cs="Arial"/>
          <w:sz w:val="22"/>
          <w:szCs w:val="22"/>
        </w:rPr>
        <w:t xml:space="preserve">продолжить </w:t>
      </w:r>
      <w:r w:rsidRPr="005E5562">
        <w:rPr>
          <w:rFonts w:ascii="Arial" w:hAnsi="Arial" w:cs="Arial"/>
          <w:sz w:val="22"/>
          <w:szCs w:val="22"/>
        </w:rPr>
        <w:t>созда</w:t>
      </w:r>
      <w:r w:rsidR="00B30423" w:rsidRPr="005E5562">
        <w:rPr>
          <w:rFonts w:ascii="Arial" w:hAnsi="Arial" w:cs="Arial"/>
          <w:sz w:val="22"/>
          <w:szCs w:val="22"/>
        </w:rPr>
        <w:t>ние</w:t>
      </w:r>
      <w:r w:rsidRPr="005E5562">
        <w:rPr>
          <w:rFonts w:ascii="Arial" w:hAnsi="Arial" w:cs="Arial"/>
          <w:sz w:val="22"/>
          <w:szCs w:val="22"/>
        </w:rPr>
        <w:t xml:space="preserve"> и усовершенствова</w:t>
      </w:r>
      <w:r w:rsidR="00B30423" w:rsidRPr="005E5562">
        <w:rPr>
          <w:rFonts w:ascii="Arial" w:hAnsi="Arial" w:cs="Arial"/>
          <w:sz w:val="22"/>
          <w:szCs w:val="22"/>
        </w:rPr>
        <w:t>ние</w:t>
      </w:r>
      <w:r w:rsidRPr="005E5562">
        <w:rPr>
          <w:rFonts w:ascii="Arial" w:hAnsi="Arial" w:cs="Arial"/>
          <w:sz w:val="22"/>
          <w:szCs w:val="22"/>
        </w:rPr>
        <w:t xml:space="preserve"> функционально совместимы</w:t>
      </w:r>
      <w:r w:rsidR="00B30423" w:rsidRPr="005E5562">
        <w:rPr>
          <w:rFonts w:ascii="Arial" w:hAnsi="Arial" w:cs="Arial"/>
          <w:sz w:val="22"/>
          <w:szCs w:val="22"/>
        </w:rPr>
        <w:t>х</w:t>
      </w:r>
      <w:r w:rsidRPr="005E5562">
        <w:rPr>
          <w:rFonts w:ascii="Arial" w:hAnsi="Arial" w:cs="Arial"/>
          <w:sz w:val="22"/>
          <w:szCs w:val="22"/>
        </w:rPr>
        <w:t xml:space="preserve"> глобальны</w:t>
      </w:r>
      <w:r w:rsidR="00B30423" w:rsidRPr="005E5562">
        <w:rPr>
          <w:rFonts w:ascii="Arial" w:hAnsi="Arial" w:cs="Arial"/>
          <w:sz w:val="22"/>
          <w:szCs w:val="22"/>
        </w:rPr>
        <w:t>х</w:t>
      </w:r>
      <w:r w:rsidRPr="005E5562">
        <w:rPr>
          <w:rFonts w:ascii="Arial" w:hAnsi="Arial" w:cs="Arial"/>
          <w:sz w:val="22"/>
          <w:szCs w:val="22"/>
        </w:rPr>
        <w:t xml:space="preserve"> сетевы</w:t>
      </w:r>
      <w:r w:rsidR="00DB1775" w:rsidRPr="005E5562">
        <w:rPr>
          <w:rFonts w:ascii="Arial" w:hAnsi="Arial" w:cs="Arial"/>
          <w:sz w:val="22"/>
          <w:szCs w:val="22"/>
        </w:rPr>
        <w:t>х</w:t>
      </w:r>
      <w:r w:rsidRPr="005E5562">
        <w:rPr>
          <w:rFonts w:ascii="Arial" w:hAnsi="Arial" w:cs="Arial"/>
          <w:sz w:val="22"/>
          <w:szCs w:val="22"/>
        </w:rPr>
        <w:t xml:space="preserve"> структур, обеспеч</w:t>
      </w:r>
      <w:r w:rsidR="00DB1775" w:rsidRPr="005E5562">
        <w:rPr>
          <w:rFonts w:ascii="Arial" w:hAnsi="Arial" w:cs="Arial"/>
          <w:sz w:val="22"/>
          <w:szCs w:val="22"/>
        </w:rPr>
        <w:t>ивающих</w:t>
      </w:r>
      <w:r w:rsidRPr="005E5562">
        <w:rPr>
          <w:rFonts w:ascii="Arial" w:hAnsi="Arial" w:cs="Arial"/>
          <w:sz w:val="22"/>
          <w:szCs w:val="22"/>
        </w:rPr>
        <w:t xml:space="preserve"> широкий и автоматизированный доступ к данным, информации и научным знаниям об океане. МОК идеально подходит для того, чтобы содействовать достижению этой цели.</w:t>
      </w:r>
    </w:p>
    <w:p w14:paraId="60AFD2B6" w14:textId="08632978" w:rsidR="002661D7"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Во-вторых, одним из ключевых условий неистощительного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 по мнению государств, является осуществление целевого планирования морской хозяйственной деятельности. Это связано с тем, что нескоординированное освоение морских ресурсов может быть причиной неэффективности хозяйств</w:t>
      </w:r>
      <w:r w:rsidR="00DB1775" w:rsidRPr="005E5562">
        <w:rPr>
          <w:rFonts w:ascii="Arial" w:hAnsi="Arial" w:cs="Arial"/>
          <w:sz w:val="22"/>
          <w:szCs w:val="22"/>
        </w:rPr>
        <w:t>ования</w:t>
      </w:r>
      <w:r w:rsidRPr="005E5562">
        <w:rPr>
          <w:rFonts w:ascii="Arial" w:hAnsi="Arial" w:cs="Arial"/>
          <w:sz w:val="22"/>
          <w:szCs w:val="22"/>
        </w:rPr>
        <w:t xml:space="preserve">, </w:t>
      </w:r>
      <w:r w:rsidR="00DB1775" w:rsidRPr="005E5562">
        <w:rPr>
          <w:rFonts w:ascii="Arial" w:hAnsi="Arial" w:cs="Arial"/>
          <w:sz w:val="22"/>
          <w:szCs w:val="22"/>
        </w:rPr>
        <w:t xml:space="preserve">возникновения </w:t>
      </w:r>
      <w:r w:rsidRPr="005E5562">
        <w:rPr>
          <w:rFonts w:ascii="Arial" w:hAnsi="Arial" w:cs="Arial"/>
          <w:sz w:val="22"/>
          <w:szCs w:val="22"/>
        </w:rPr>
        <w:t>конфликтов, связанных с эксплуатацией ресурсов, ухудшения состояния морской среды и, как следствие, снижения будущей продуктивности океана. Трудности в обеспечении широкого внедрения целевого планирования, проистекают из неспособности активно вовлечь в эти усилия всех пользователей. Эт</w:t>
      </w:r>
      <w:r w:rsidR="00DB1775" w:rsidRPr="005E5562">
        <w:rPr>
          <w:rFonts w:ascii="Arial" w:hAnsi="Arial" w:cs="Arial"/>
          <w:sz w:val="22"/>
          <w:szCs w:val="22"/>
        </w:rPr>
        <w:t>им</w:t>
      </w:r>
      <w:r w:rsidRPr="005E5562">
        <w:rPr>
          <w:rFonts w:ascii="Arial" w:hAnsi="Arial" w:cs="Arial"/>
          <w:sz w:val="22"/>
          <w:szCs w:val="22"/>
        </w:rPr>
        <w:t xml:space="preserve"> объясняет</w:t>
      </w:r>
      <w:r w:rsidR="00DB1775" w:rsidRPr="005E5562">
        <w:rPr>
          <w:rFonts w:ascii="Arial" w:hAnsi="Arial" w:cs="Arial"/>
          <w:sz w:val="22"/>
          <w:szCs w:val="22"/>
        </w:rPr>
        <w:t>ся</w:t>
      </w:r>
      <w:r w:rsidRPr="005E5562">
        <w:rPr>
          <w:rFonts w:ascii="Arial" w:hAnsi="Arial" w:cs="Arial"/>
          <w:sz w:val="22"/>
          <w:szCs w:val="22"/>
        </w:rPr>
        <w:t xml:space="preserve"> неэффективность проводимой работы, а также отсутствие заинтересованности и практических мер по внедрению данного подхода. МОК могла бы содействовать решению этих актуальных задач, поскольку располагает необходимыми возможностями для вовлечения в эту работу многочисленных заинтересованных в освоении океана сторон, а также для </w:t>
      </w:r>
      <w:r w:rsidR="00DB1775" w:rsidRPr="005E5562">
        <w:rPr>
          <w:rFonts w:ascii="Arial" w:hAnsi="Arial" w:cs="Arial"/>
          <w:sz w:val="22"/>
          <w:szCs w:val="22"/>
        </w:rPr>
        <w:t>информирования о</w:t>
      </w:r>
      <w:r w:rsidRPr="005E5562">
        <w:rPr>
          <w:rFonts w:ascii="Arial" w:hAnsi="Arial" w:cs="Arial"/>
          <w:sz w:val="22"/>
          <w:szCs w:val="22"/>
        </w:rPr>
        <w:t xml:space="preserve"> важности использования основанного на достижениях науки открытого и коллегиального подхода.</w:t>
      </w:r>
    </w:p>
    <w:p w14:paraId="556E96EA" w14:textId="49C711FC" w:rsidR="002661D7"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Наконец, необходимым условием </w:t>
      </w:r>
      <w:r w:rsidR="00DB1775" w:rsidRPr="005E5562">
        <w:rPr>
          <w:rFonts w:ascii="Arial" w:hAnsi="Arial" w:cs="Arial"/>
          <w:sz w:val="22"/>
          <w:szCs w:val="22"/>
        </w:rPr>
        <w:t xml:space="preserve">неистощительного </w:t>
      </w:r>
      <w:proofErr w:type="spellStart"/>
      <w:r w:rsidR="00DB1775" w:rsidRPr="005E5562">
        <w:rPr>
          <w:rFonts w:ascii="Arial" w:hAnsi="Arial" w:cs="Arial"/>
          <w:sz w:val="22"/>
          <w:szCs w:val="22"/>
        </w:rPr>
        <w:t>морепользования</w:t>
      </w:r>
      <w:proofErr w:type="spellEnd"/>
      <w:r w:rsidRPr="005E5562">
        <w:rPr>
          <w:rFonts w:ascii="Arial" w:hAnsi="Arial" w:cs="Arial"/>
          <w:sz w:val="22"/>
          <w:szCs w:val="22"/>
        </w:rPr>
        <w:t xml:space="preserve"> является применение методологии, позволяющей достоверно оценить ресурсный потенциал Мирового океана. Традиционные экономические показатели, такие как ВВП, не подходят ни для определения ценностных параметров природных богатств, ни для учета связанных с ними внерыночных факторов</w:t>
      </w:r>
      <w:r w:rsidR="00DB1775" w:rsidRPr="005E5562">
        <w:rPr>
          <w:rFonts w:ascii="Arial" w:hAnsi="Arial" w:cs="Arial"/>
          <w:sz w:val="22"/>
          <w:szCs w:val="22"/>
        </w:rPr>
        <w:t>, а также</w:t>
      </w:r>
      <w:r w:rsidRPr="005E5562">
        <w:rPr>
          <w:rFonts w:ascii="Arial" w:hAnsi="Arial" w:cs="Arial"/>
          <w:sz w:val="22"/>
          <w:szCs w:val="22"/>
        </w:rPr>
        <w:t xml:space="preserve"> факторов неравенства. МОК располагает широкими возможностями по предоставлению данных, информации и результатов исследований, которые могут стать основой для выработки комплексных мер, позволяющих учитывать более широкий спектр обеспечиваемых океаном благ, включая количественную оценку инфраструктурных активов, природных богатств и показател</w:t>
      </w:r>
      <w:r w:rsidR="00DB1775" w:rsidRPr="005E5562">
        <w:rPr>
          <w:rFonts w:ascii="Arial" w:hAnsi="Arial" w:cs="Arial"/>
          <w:sz w:val="22"/>
          <w:szCs w:val="22"/>
        </w:rPr>
        <w:t>ей</w:t>
      </w:r>
      <w:r w:rsidRPr="005E5562">
        <w:rPr>
          <w:rFonts w:ascii="Arial" w:hAnsi="Arial" w:cs="Arial"/>
          <w:sz w:val="22"/>
          <w:szCs w:val="22"/>
        </w:rPr>
        <w:t xml:space="preserve"> полезности для людей.</w:t>
      </w:r>
    </w:p>
    <w:p w14:paraId="697EE4BE" w14:textId="1FE1458C" w:rsidR="007F52EE" w:rsidRPr="005E5562" w:rsidRDefault="00AC389B" w:rsidP="00F47454">
      <w:pPr>
        <w:pStyle w:val="ListParagraph"/>
        <w:numPr>
          <w:ilvl w:val="0"/>
          <w:numId w:val="28"/>
        </w:numPr>
        <w:tabs>
          <w:tab w:val="clear" w:pos="567"/>
          <w:tab w:val="left" w:pos="0"/>
        </w:tabs>
        <w:spacing w:after="240"/>
        <w:ind w:left="0" w:firstLine="0"/>
        <w:contextualSpacing w:val="0"/>
        <w:jc w:val="both"/>
        <w:rPr>
          <w:rFonts w:ascii="Arial" w:eastAsiaTheme="majorEastAsia" w:hAnsi="Arial" w:cs="Arial"/>
          <w:bCs/>
          <w:sz w:val="22"/>
          <w:szCs w:val="22"/>
        </w:rPr>
      </w:pPr>
      <w:r w:rsidRPr="005E5562">
        <w:rPr>
          <w:rFonts w:ascii="Arial" w:hAnsi="Arial" w:cs="Arial"/>
          <w:sz w:val="22"/>
          <w:szCs w:val="22"/>
        </w:rPr>
        <w:t xml:space="preserve">Ниже кратко представлены основные проблемные аспекты и потенциальные возможности МОК, более подробно </w:t>
      </w:r>
      <w:r w:rsidR="00DB1775" w:rsidRPr="005E5562">
        <w:rPr>
          <w:rFonts w:ascii="Arial" w:hAnsi="Arial" w:cs="Arial"/>
          <w:sz w:val="22"/>
          <w:szCs w:val="22"/>
        </w:rPr>
        <w:t>проанализированные</w:t>
      </w:r>
      <w:r w:rsidRPr="005E5562">
        <w:rPr>
          <w:rFonts w:ascii="Arial" w:hAnsi="Arial" w:cs="Arial"/>
          <w:sz w:val="22"/>
          <w:szCs w:val="22"/>
        </w:rPr>
        <w:t xml:space="preserve"> в докладе об оценке.</w:t>
      </w:r>
    </w:p>
    <w:p w14:paraId="3B5BD913" w14:textId="545F5CFB" w:rsidR="002661D7" w:rsidRPr="005E5562" w:rsidRDefault="002661D7" w:rsidP="00F47454">
      <w:pPr>
        <w:keepNext/>
        <w:spacing w:after="240"/>
        <w:jc w:val="both"/>
        <w:rPr>
          <w:rFonts w:ascii="Arial" w:hAnsi="Arial" w:cs="Arial"/>
          <w:sz w:val="22"/>
          <w:szCs w:val="22"/>
        </w:rPr>
      </w:pPr>
      <w:r w:rsidRPr="005E5562">
        <w:rPr>
          <w:rFonts w:ascii="Arial" w:hAnsi="Arial" w:cs="Arial"/>
          <w:b/>
          <w:bCs/>
          <w:color w:val="002060"/>
          <w:sz w:val="22"/>
          <w:szCs w:val="22"/>
        </w:rPr>
        <w:t>Потенциальные возможности и основные проблемные аспекты, касающиеся деятельности МОК</w:t>
      </w:r>
    </w:p>
    <w:p w14:paraId="1298F85C" w14:textId="7AED4B7C" w:rsidR="002661D7"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На сегодняшний день Межправительственная океанографическая комиссия является краеугольным камнем глобальной системы сохранения и неистощительного использования ресурсов океана, а также принятия связанных с океаном решений</w:t>
      </w:r>
      <w:r w:rsidRPr="005E5562">
        <w:rPr>
          <w:rStyle w:val="FootnoteReference"/>
          <w:rFonts w:ascii="Arial" w:hAnsi="Arial" w:cs="Arial"/>
          <w:sz w:val="22"/>
          <w:szCs w:val="22"/>
        </w:rPr>
        <w:footnoteReference w:id="2"/>
      </w:r>
      <w:r w:rsidRPr="005E5562">
        <w:rPr>
          <w:rFonts w:ascii="Arial" w:hAnsi="Arial" w:cs="Arial"/>
          <w:sz w:val="22"/>
          <w:szCs w:val="22"/>
        </w:rPr>
        <w:t>. МОК является основной структурой по координации деятельности, связанной со сбором океанографических данных и информации в рамках глобального механизма мониторинга и оценки изменения климата, главным координатором взаимодействия систем раннего предупреждения о цунами по всему миру и одним из ключевых партнеров в вопросах морского пространственного планирования. Комиссия обеспечивает глобальную научную основу, необходимую для расширения знаний об океане и совершенствования механизмов управления ресурсами Мирового океана, прибрежными районами и морскими экосистемами. МОК служит площадкой для обсуждения го</w:t>
      </w:r>
      <w:r w:rsidR="000765D5">
        <w:rPr>
          <w:rFonts w:ascii="Arial" w:hAnsi="Arial" w:cs="Arial"/>
          <w:sz w:val="22"/>
          <w:szCs w:val="22"/>
        </w:rPr>
        <w:softHyphen/>
      </w:r>
      <w:r w:rsidRPr="005E5562">
        <w:rPr>
          <w:rFonts w:ascii="Arial" w:hAnsi="Arial" w:cs="Arial"/>
          <w:sz w:val="22"/>
          <w:szCs w:val="22"/>
        </w:rPr>
        <w:t xml:space="preserve">сударствами-членами первоочередных задач в области морских научных исследований и коллективного рассмотрения проблем, касающихся состояния, природных богатств и экологического благополучия океана. Кроме того, она обеспечивает нацеленность усилий на решение </w:t>
      </w:r>
      <w:r w:rsidRPr="005E5562">
        <w:rPr>
          <w:rFonts w:ascii="Arial" w:hAnsi="Arial" w:cs="Arial"/>
          <w:sz w:val="22"/>
          <w:szCs w:val="22"/>
        </w:rPr>
        <w:lastRenderedPageBreak/>
        <w:t xml:space="preserve">актуальных </w:t>
      </w:r>
      <w:r w:rsidR="00BD4A8D" w:rsidRPr="005E5562">
        <w:rPr>
          <w:rFonts w:ascii="Arial" w:hAnsi="Arial" w:cs="Arial"/>
          <w:sz w:val="22"/>
          <w:szCs w:val="22"/>
        </w:rPr>
        <w:t>задач</w:t>
      </w:r>
      <w:r w:rsidRPr="005E5562">
        <w:rPr>
          <w:rFonts w:ascii="Arial" w:hAnsi="Arial" w:cs="Arial"/>
          <w:sz w:val="22"/>
          <w:szCs w:val="22"/>
        </w:rPr>
        <w:t xml:space="preserve">, связанных с морской научно-исследовательской деятельностью, осуществлением наблюдений, сбором данных и укреплением потенциала других учреждений системы ООН, занимающихся проблематикой океана. С 2018 г. МОК является также структурой </w:t>
      </w:r>
      <w:r w:rsidR="00BD4A8D" w:rsidRPr="005E5562">
        <w:rPr>
          <w:rFonts w:ascii="Arial" w:hAnsi="Arial" w:cs="Arial"/>
          <w:sz w:val="22"/>
          <w:szCs w:val="22"/>
        </w:rPr>
        <w:t xml:space="preserve">в рамках </w:t>
      </w:r>
      <w:r w:rsidRPr="005E5562">
        <w:rPr>
          <w:rFonts w:ascii="Arial" w:hAnsi="Arial" w:cs="Arial"/>
          <w:sz w:val="22"/>
          <w:szCs w:val="22"/>
        </w:rPr>
        <w:t>ООН, которой была поручена задача подготовки и проведения Десятилетия Организации Объединенных Наций, посвященного науке об океане в интересах устойчивого развития. При этом, несмотря на критическую значимость порученной МОК роли, ее нынешняя структура и ресурсное обеспечение не соответствуют масштабам поставленных задач.</w:t>
      </w:r>
    </w:p>
    <w:p w14:paraId="72215BF8" w14:textId="7A4487A9" w:rsidR="002661D7" w:rsidRPr="005E5562" w:rsidRDefault="002661D7" w:rsidP="00F47454">
      <w:pPr>
        <w:keepNext/>
        <w:spacing w:after="240"/>
        <w:jc w:val="both"/>
        <w:rPr>
          <w:rFonts w:ascii="Arial" w:hAnsi="Arial" w:cs="Arial"/>
          <w:i/>
          <w:iCs/>
          <w:color w:val="002060"/>
          <w:sz w:val="22"/>
          <w:szCs w:val="22"/>
        </w:rPr>
      </w:pPr>
      <w:r w:rsidRPr="005E5562">
        <w:rPr>
          <w:rFonts w:ascii="Arial" w:hAnsi="Arial" w:cs="Arial"/>
          <w:i/>
          <w:iCs/>
          <w:color w:val="002060"/>
          <w:sz w:val="22"/>
          <w:szCs w:val="22"/>
        </w:rPr>
        <w:t>Потенциальные возможности</w:t>
      </w:r>
    </w:p>
    <w:p w14:paraId="0143F7A1" w14:textId="15CC3828" w:rsidR="007F52EE"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В условиях наметившегося консенсуса в отношении </w:t>
      </w:r>
      <w:r w:rsidR="00BD4A8D" w:rsidRPr="005E5562">
        <w:rPr>
          <w:rFonts w:ascii="Arial" w:hAnsi="Arial" w:cs="Arial"/>
          <w:sz w:val="22"/>
          <w:szCs w:val="22"/>
        </w:rPr>
        <w:t>модели</w:t>
      </w:r>
      <w:r w:rsidRPr="005E5562">
        <w:rPr>
          <w:rFonts w:ascii="Arial" w:hAnsi="Arial" w:cs="Arial"/>
          <w:sz w:val="22"/>
          <w:szCs w:val="22"/>
        </w:rPr>
        <w:t xml:space="preserve"> более сбалансированного управления ресурсами Мирового океана МОК, определенно, имеет возможность содействовать продвижению этого нового концептуального видения.</w:t>
      </w:r>
    </w:p>
    <w:p w14:paraId="6500DB5D" w14:textId="77777777" w:rsidR="007F52EE"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Во-первых, МОК успешно справилась с поручением Генеральной Ассамблеи ООН, касавшимся подготовки Плана проведения Десятилетия ООН, посвященного науке об океане в интересах устойчивого развития. Предложенная МОК концепция получила однозначную поддержку среди государств-членов, а связанные с ее обсуждением дискуссии не вызвали полемики. В связи с этим начальный этап Десятилетия науки об океане можно рассматривать как приглашение к будущим действиям и как платформу для дальнейшего взаимодействия с представителями правительств на самом высоком уровне. Это дает МОК реальную возможность донести точку зрения морского научного сообщества до учреждений системы ООН и в более широком смысле до новых групп заинтересованных сторон, включая производственные отрасли, гражданское общество и благотворительные организации. Кроме того, Десятилетие обеспечивает рамочные механизмы укрепления ресурсной базы для реализации морских научных программ как в рамках МОК, так и на уровне ее государств-членов.</w:t>
      </w:r>
    </w:p>
    <w:p w14:paraId="47A113C1" w14:textId="1CC4ECD9" w:rsidR="007F52EE" w:rsidRPr="005E5562" w:rsidRDefault="0090753E"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Вторая возможность открывается в контексте ведущихся в настоящее время переговоров в рамках межправительственной конференции по проблематике морского биологического разнообразия в районах за пределами действия национальной юрисдикции (БПНЮ). В проект соответствующего соглашения уже включена рекомендация о создании информационно-координационного механизма в качестве компонента будущего нормативного документа по БПНЮ. С учетом текущей деятельности МОК в области укрепления потенциала и обмена данными указанная рекомендация </w:t>
      </w:r>
      <w:r w:rsidR="00BD4A8D" w:rsidRPr="005E5562">
        <w:rPr>
          <w:rFonts w:ascii="Arial" w:hAnsi="Arial" w:cs="Arial"/>
          <w:sz w:val="22"/>
          <w:szCs w:val="22"/>
        </w:rPr>
        <w:t>открывает</w:t>
      </w:r>
      <w:r w:rsidRPr="005E5562">
        <w:rPr>
          <w:rFonts w:ascii="Arial" w:hAnsi="Arial" w:cs="Arial"/>
          <w:sz w:val="22"/>
          <w:szCs w:val="22"/>
        </w:rPr>
        <w:t xml:space="preserve"> для МОК еще одну важную потенциальную возможность внести стратегически значимый вклад в общесистемные усилия ООН. При наличии соответствующих ресурсов этот вклад мог бы быть еще более значимым.</w:t>
      </w:r>
    </w:p>
    <w:p w14:paraId="01406825" w14:textId="0CF44AFB" w:rsidR="007F52EE"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Третья потенциальная возможность для МОК связана с работой Группы высокого уровня по вопросам устойчивой морской экономики (Группа по вопросам океана). Инициаторами создания Группы по вопросам океана (ГВУ-О) выступили 14 государств, предложивших учредить такую группу для реализации значимых проектов, не являющихся частью плановой работы О</w:t>
      </w:r>
      <w:r w:rsidR="00F47454">
        <w:rPr>
          <w:rFonts w:ascii="Arial" w:hAnsi="Arial" w:cs="Arial"/>
          <w:sz w:val="22"/>
          <w:szCs w:val="22"/>
        </w:rPr>
        <w:t xml:space="preserve">ОН. </w:t>
      </w:r>
      <w:proofErr w:type="gramStart"/>
      <w:r w:rsidR="00F47454">
        <w:rPr>
          <w:rFonts w:ascii="Arial" w:hAnsi="Arial" w:cs="Arial"/>
          <w:sz w:val="22"/>
          <w:szCs w:val="22"/>
        </w:rPr>
        <w:t xml:space="preserve">Стратегической </w:t>
      </w:r>
      <w:r w:rsidRPr="005E5562">
        <w:rPr>
          <w:rFonts w:ascii="Arial" w:hAnsi="Arial" w:cs="Arial"/>
          <w:sz w:val="22"/>
          <w:szCs w:val="22"/>
        </w:rPr>
        <w:t>целью</w:t>
      </w:r>
      <w:proofErr w:type="gramEnd"/>
      <w:r w:rsidRPr="005E5562">
        <w:rPr>
          <w:rFonts w:ascii="Arial" w:hAnsi="Arial" w:cs="Arial"/>
          <w:sz w:val="22"/>
          <w:szCs w:val="22"/>
        </w:rPr>
        <w:t xml:space="preserve"> организованной по пяти тематическим направлениям (экологическое состояние, природные богатства, финансирование деятельности, справедливое распределение благ и углубление научных знаний об океане) работы ГВУ-О, насчитывающей на сегодня 16 членов, является повышение взаимосвязанности науки, политики и практических мер. ГВУ-О занимается продвижением подхода, предусматривающего реализацию до 2025 г. в исключительной экономической зоне (ИЭЗ) государств, входящих в состав Группы, планов неистощительного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 xml:space="preserve"> (ПНМ), и настоятельно призывает все прибрежные и островные океанические государства присоединиться к этой инициативе, с тем чтобы к 2030 г. охватить такими планами все без исключения морские акватории в пределах национальных юрисдикций. В декабре 2021 г. созданная по инициативе ГВУ-О многосторонняя партнерская коалиция действий, в деятельности которой МОК принимает самое активное участие, выпустила методическое руководство по разработке ПНМ, в котором </w:t>
      </w:r>
      <w:r w:rsidR="00BD4A8D" w:rsidRPr="005E5562">
        <w:rPr>
          <w:rFonts w:ascii="Arial" w:hAnsi="Arial" w:cs="Arial"/>
          <w:sz w:val="22"/>
          <w:szCs w:val="22"/>
        </w:rPr>
        <w:t>рассматриваются</w:t>
      </w:r>
      <w:r w:rsidRPr="005E5562">
        <w:rPr>
          <w:rFonts w:ascii="Arial" w:hAnsi="Arial" w:cs="Arial"/>
          <w:sz w:val="22"/>
          <w:szCs w:val="22"/>
        </w:rPr>
        <w:t xml:space="preserve"> вопросы взаимосвязи между научными исследованиями, планированием деятельности и привлечением финансовых средств.</w:t>
      </w:r>
    </w:p>
    <w:p w14:paraId="473E6CF5" w14:textId="0FDCEF74" w:rsidR="007F52EE"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lastRenderedPageBreak/>
        <w:t xml:space="preserve">Принимая во внимание тесную связь между осуществлением ПНМ и морским пространственным планированием (МПП), – сферой деятельности, в которой МОК накопила уникальный опыт, </w:t>
      </w:r>
      <w:r w:rsidR="00BD4A8D" w:rsidRPr="005E5562">
        <w:rPr>
          <w:rFonts w:ascii="Arial" w:hAnsi="Arial" w:cs="Arial"/>
          <w:sz w:val="22"/>
          <w:szCs w:val="22"/>
        </w:rPr>
        <w:t xml:space="preserve">– </w:t>
      </w:r>
      <w:r w:rsidRPr="005E5562">
        <w:rPr>
          <w:rFonts w:ascii="Arial" w:hAnsi="Arial" w:cs="Arial"/>
          <w:sz w:val="22"/>
          <w:szCs w:val="22"/>
        </w:rPr>
        <w:t xml:space="preserve">перед Комиссией открываются </w:t>
      </w:r>
      <w:r w:rsidR="004918B3" w:rsidRPr="005E5562">
        <w:rPr>
          <w:rFonts w:ascii="Arial" w:hAnsi="Arial" w:cs="Arial"/>
          <w:sz w:val="22"/>
          <w:szCs w:val="22"/>
        </w:rPr>
        <w:t>широкие</w:t>
      </w:r>
      <w:r w:rsidR="005E5562" w:rsidRPr="005E5562">
        <w:rPr>
          <w:rFonts w:ascii="Arial" w:hAnsi="Arial" w:cs="Arial"/>
          <w:sz w:val="22"/>
          <w:szCs w:val="22"/>
        </w:rPr>
        <w:t xml:space="preserve"> </w:t>
      </w:r>
      <w:r w:rsidRPr="005E5562">
        <w:rPr>
          <w:rFonts w:ascii="Arial" w:hAnsi="Arial" w:cs="Arial"/>
          <w:sz w:val="22"/>
          <w:szCs w:val="22"/>
        </w:rPr>
        <w:t xml:space="preserve">перспективы для партнерского взаимодействия с ГВУ-О, в частности в вопросах разработки и руководства осуществлением в рамках Десятилетия науки об океане глобальной программы по реализации цели Группы, касающейся рационального планирования в сфере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 Через налаживание партнерского взаимодействия со сторонними организациями (ввиду невозможности делать все в одиночку) МОК могла бы также выступить координатором обеспечения Группы по вопросам океана необходимыми данными и информацией и содействовать выходу деятельности ГВУ-О за пределы ИЭЗ 16 государств-участников и охвату других акваторий Мирового океана (в том числе, возможно, морских районов за пределами действия национальной юрисдикции). Помимо прочего это могло бы создать возможности для получения дохода.</w:t>
      </w:r>
    </w:p>
    <w:p w14:paraId="71FA80C4" w14:textId="4CEA14C7" w:rsidR="002661D7"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В-четвертых, МОК могла бы оказать содействие в совершенствовании методов количественной оценки и мониторинга воздействия человека на состояние морской среды. Такая помощь могла бы заключаться, например, в применении методологии оценки основных переменных параметров океана (ОППО), а также в содействии разработке к 2030 г. в рамках Глобальной системы наблюдений за океаном (ГСНО) </w:t>
      </w:r>
      <w:r w:rsidR="004918B3" w:rsidRPr="005E5562">
        <w:rPr>
          <w:rFonts w:ascii="Arial" w:hAnsi="Arial" w:cs="Arial"/>
          <w:sz w:val="22"/>
          <w:szCs w:val="22"/>
        </w:rPr>
        <w:t xml:space="preserve">ориентированного на интересы </w:t>
      </w:r>
      <w:r w:rsidRPr="005E5562">
        <w:rPr>
          <w:rFonts w:ascii="Arial" w:hAnsi="Arial" w:cs="Arial"/>
          <w:sz w:val="22"/>
          <w:szCs w:val="22"/>
        </w:rPr>
        <w:t>челове</w:t>
      </w:r>
      <w:r w:rsidR="004918B3" w:rsidRPr="005E5562">
        <w:rPr>
          <w:rFonts w:ascii="Arial" w:hAnsi="Arial" w:cs="Arial"/>
          <w:sz w:val="22"/>
          <w:szCs w:val="22"/>
        </w:rPr>
        <w:t>ка</w:t>
      </w:r>
      <w:r w:rsidRPr="005E5562">
        <w:rPr>
          <w:rFonts w:ascii="Arial" w:hAnsi="Arial" w:cs="Arial"/>
          <w:sz w:val="22"/>
          <w:szCs w:val="22"/>
        </w:rPr>
        <w:t xml:space="preserve"> набора ОППО. В данном случае, как и в приведенных выше примерах, МОК могла бы стать прекрасным партнером в осуществлении такой деятельности посредством инициативного участия, а также содействия в трансформации накопленных знаний о связанной с океаном деятельности человека в показатели, которые будут служить основой для выработки стратегий </w:t>
      </w:r>
      <w:r w:rsidR="004918B3" w:rsidRPr="005E5562">
        <w:rPr>
          <w:rFonts w:ascii="Arial" w:hAnsi="Arial" w:cs="Arial"/>
          <w:sz w:val="22"/>
          <w:szCs w:val="22"/>
        </w:rPr>
        <w:t>неистощительного</w:t>
      </w:r>
      <w:r w:rsidR="005E5562" w:rsidRPr="005E5562">
        <w:rPr>
          <w:rFonts w:ascii="Arial" w:hAnsi="Arial" w:cs="Arial"/>
          <w:sz w:val="22"/>
          <w:szCs w:val="22"/>
        </w:rPr>
        <w:t xml:space="preserve">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 xml:space="preserve">. Пилотное издание Доклада о состоянии Мирового океана (ДСМО), которое планируется подготовить в 2022 г., станет заслуживающим доверия информационным </w:t>
      </w:r>
      <w:r w:rsidR="004918B3" w:rsidRPr="005E5562">
        <w:rPr>
          <w:rFonts w:ascii="Arial" w:hAnsi="Arial" w:cs="Arial"/>
          <w:sz w:val="22"/>
          <w:szCs w:val="22"/>
        </w:rPr>
        <w:t>источником</w:t>
      </w:r>
      <w:r w:rsidRPr="005E5562">
        <w:rPr>
          <w:rFonts w:ascii="Arial" w:hAnsi="Arial" w:cs="Arial"/>
          <w:sz w:val="22"/>
          <w:szCs w:val="22"/>
        </w:rPr>
        <w:t>, благодаря которому итогами проведенной работы смогут воспользоваться как в государствах-членах,</w:t>
      </w:r>
      <w:r w:rsidR="004918B3" w:rsidRPr="005E5562">
        <w:rPr>
          <w:rFonts w:ascii="Arial" w:hAnsi="Arial" w:cs="Arial"/>
          <w:sz w:val="22"/>
          <w:szCs w:val="22"/>
        </w:rPr>
        <w:t xml:space="preserve"> </w:t>
      </w:r>
      <w:r w:rsidRPr="005E5562">
        <w:rPr>
          <w:rFonts w:ascii="Arial" w:hAnsi="Arial" w:cs="Arial"/>
          <w:sz w:val="22"/>
          <w:szCs w:val="22"/>
        </w:rPr>
        <w:t>так и в рамках соответствующих контрольно-мониторинговых механизмов ООН, в частности</w:t>
      </w:r>
      <w:r w:rsidR="004918B3" w:rsidRPr="005E5562">
        <w:rPr>
          <w:rFonts w:ascii="Arial" w:hAnsi="Arial" w:cs="Arial"/>
          <w:sz w:val="22"/>
          <w:szCs w:val="22"/>
        </w:rPr>
        <w:t>,</w:t>
      </w:r>
      <w:r w:rsidRPr="005E5562">
        <w:rPr>
          <w:rFonts w:ascii="Arial" w:hAnsi="Arial" w:cs="Arial"/>
          <w:sz w:val="22"/>
          <w:szCs w:val="22"/>
        </w:rPr>
        <w:t xml:space="preserve"> в ра</w:t>
      </w:r>
      <w:r w:rsidR="004918B3" w:rsidRPr="005E5562">
        <w:rPr>
          <w:rFonts w:ascii="Arial" w:hAnsi="Arial" w:cs="Arial"/>
          <w:sz w:val="22"/>
          <w:szCs w:val="22"/>
        </w:rPr>
        <w:t>боте по</w:t>
      </w:r>
      <w:r w:rsidRPr="005E5562">
        <w:rPr>
          <w:rFonts w:ascii="Arial" w:hAnsi="Arial" w:cs="Arial"/>
          <w:sz w:val="22"/>
          <w:szCs w:val="22"/>
        </w:rPr>
        <w:t xml:space="preserve"> оценк</w:t>
      </w:r>
      <w:r w:rsidR="004918B3" w:rsidRPr="005E5562">
        <w:rPr>
          <w:rFonts w:ascii="Arial" w:hAnsi="Arial" w:cs="Arial"/>
          <w:sz w:val="22"/>
          <w:szCs w:val="22"/>
        </w:rPr>
        <w:t>е</w:t>
      </w:r>
      <w:r w:rsidRPr="005E5562">
        <w:rPr>
          <w:rFonts w:ascii="Arial" w:hAnsi="Arial" w:cs="Arial"/>
          <w:sz w:val="22"/>
          <w:szCs w:val="22"/>
        </w:rPr>
        <w:t xml:space="preserve"> состояния Мирового океана (ОМО).</w:t>
      </w:r>
    </w:p>
    <w:p w14:paraId="312591FA" w14:textId="02120C9A" w:rsidR="002661D7"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Пятая потенциальная возможность для МОК заключается в налаживании глобального партнерского взаимодействия в сфере учета природного капитала Мирового океана. Практическая полезность деятельности МОК, связанной с пространственным планированием морской зоны сегодня получает все большее официальное признание. Примером тако</w:t>
      </w:r>
      <w:r w:rsidR="004918B3" w:rsidRPr="005E5562">
        <w:rPr>
          <w:rFonts w:ascii="Arial" w:hAnsi="Arial" w:cs="Arial"/>
          <w:sz w:val="22"/>
          <w:szCs w:val="22"/>
        </w:rPr>
        <w:t>го</w:t>
      </w:r>
      <w:r w:rsidRPr="005E5562">
        <w:rPr>
          <w:rFonts w:ascii="Arial" w:hAnsi="Arial" w:cs="Arial"/>
          <w:sz w:val="22"/>
          <w:szCs w:val="22"/>
        </w:rPr>
        <w:t xml:space="preserve"> </w:t>
      </w:r>
      <w:r w:rsidR="004918B3" w:rsidRPr="005E5562">
        <w:rPr>
          <w:rFonts w:ascii="Arial" w:hAnsi="Arial" w:cs="Arial"/>
          <w:sz w:val="22"/>
          <w:szCs w:val="22"/>
        </w:rPr>
        <w:t>признания</w:t>
      </w:r>
      <w:r w:rsidRPr="005E5562">
        <w:rPr>
          <w:rFonts w:ascii="Arial" w:hAnsi="Arial" w:cs="Arial"/>
          <w:sz w:val="22"/>
          <w:szCs w:val="22"/>
        </w:rPr>
        <w:t xml:space="preserve"> может служить подготовка по инициативе участников Глобального договора ООН, Всемирного совета по энергии ветра и МОК Дорожной карты по внедрению экологически чистых технологий возобновляемой морской энергетики в практику климатически нейтрального морского пространственного планирования, о начале реализации которой было объявлено в рамках КС-26 РКИКООН (Глазго, ноябрь 2021 г.).</w:t>
      </w:r>
    </w:p>
    <w:p w14:paraId="01BD166A" w14:textId="51E185E4" w:rsidR="002661D7" w:rsidRPr="005E5562" w:rsidRDefault="002661D7" w:rsidP="00F47454">
      <w:pPr>
        <w:keepNext/>
        <w:spacing w:after="240"/>
        <w:jc w:val="both"/>
        <w:rPr>
          <w:rFonts w:ascii="Arial" w:hAnsi="Arial" w:cs="Arial"/>
          <w:i/>
          <w:iCs/>
          <w:color w:val="002060"/>
          <w:sz w:val="22"/>
          <w:szCs w:val="22"/>
        </w:rPr>
      </w:pPr>
      <w:r w:rsidRPr="005E5562">
        <w:rPr>
          <w:rFonts w:ascii="Arial" w:hAnsi="Arial" w:cs="Arial"/>
          <w:i/>
          <w:iCs/>
          <w:color w:val="002060"/>
          <w:sz w:val="22"/>
          <w:szCs w:val="22"/>
        </w:rPr>
        <w:t>Основные проблемы</w:t>
      </w:r>
    </w:p>
    <w:p w14:paraId="141EF3F2" w14:textId="568EF8FC" w:rsidR="002661D7"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Одна из основных проблем заключается в отсутствии в большинстве стран </w:t>
      </w:r>
      <w:r w:rsidR="009E12E7" w:rsidRPr="005E5562">
        <w:rPr>
          <w:rFonts w:ascii="Arial" w:hAnsi="Arial" w:cs="Arial"/>
          <w:sz w:val="22"/>
          <w:szCs w:val="22"/>
        </w:rPr>
        <w:t xml:space="preserve">на уровне ведомств </w:t>
      </w:r>
      <w:r w:rsidR="004918B3" w:rsidRPr="005E5562">
        <w:rPr>
          <w:rFonts w:ascii="Arial" w:hAnsi="Arial" w:cs="Arial"/>
          <w:sz w:val="22"/>
          <w:szCs w:val="22"/>
        </w:rPr>
        <w:t>единого</w:t>
      </w:r>
      <w:r w:rsidRPr="005E5562">
        <w:rPr>
          <w:rFonts w:ascii="Arial" w:hAnsi="Arial" w:cs="Arial"/>
          <w:sz w:val="22"/>
          <w:szCs w:val="22"/>
        </w:rPr>
        <w:t xml:space="preserve"> и </w:t>
      </w:r>
      <w:r w:rsidR="004918B3" w:rsidRPr="005E5562">
        <w:rPr>
          <w:rFonts w:ascii="Arial" w:hAnsi="Arial" w:cs="Arial"/>
          <w:sz w:val="22"/>
          <w:szCs w:val="22"/>
        </w:rPr>
        <w:t xml:space="preserve">основного </w:t>
      </w:r>
      <w:r w:rsidR="009E12E7" w:rsidRPr="005E5562">
        <w:rPr>
          <w:rFonts w:ascii="Arial" w:hAnsi="Arial" w:cs="Arial"/>
          <w:sz w:val="22"/>
          <w:szCs w:val="22"/>
        </w:rPr>
        <w:t>«</w:t>
      </w:r>
      <w:r w:rsidR="004918B3" w:rsidRPr="005E5562">
        <w:rPr>
          <w:rFonts w:ascii="Arial" w:hAnsi="Arial" w:cs="Arial"/>
          <w:sz w:val="22"/>
          <w:szCs w:val="22"/>
        </w:rPr>
        <w:t>пропагандист</w:t>
      </w:r>
      <w:r w:rsidR="009E12E7" w:rsidRPr="005E5562">
        <w:rPr>
          <w:rFonts w:ascii="Arial" w:hAnsi="Arial" w:cs="Arial"/>
          <w:sz w:val="22"/>
          <w:szCs w:val="22"/>
        </w:rPr>
        <w:t>а</w:t>
      </w:r>
      <w:r w:rsidR="004918B3" w:rsidRPr="005E5562">
        <w:rPr>
          <w:rFonts w:ascii="Arial" w:hAnsi="Arial" w:cs="Arial"/>
          <w:sz w:val="22"/>
          <w:szCs w:val="22"/>
        </w:rPr>
        <w:t xml:space="preserve"> инициатив МОК</w:t>
      </w:r>
      <w:r w:rsidR="009E12E7" w:rsidRPr="005E5562">
        <w:rPr>
          <w:rFonts w:ascii="Arial" w:hAnsi="Arial" w:cs="Arial"/>
          <w:sz w:val="22"/>
          <w:szCs w:val="22"/>
        </w:rPr>
        <w:t>»</w:t>
      </w:r>
      <w:r w:rsidRPr="005E5562">
        <w:rPr>
          <w:rFonts w:ascii="Arial" w:hAnsi="Arial" w:cs="Arial"/>
          <w:sz w:val="22"/>
          <w:szCs w:val="22"/>
        </w:rPr>
        <w:t>, обеспечивающего «сопряжение» морской научно-исследовательской деятельности и морской политики, поскольку исторически сложилось так, что вопросами океана занималось большое число разных правительственных министерств и ведомств. В противоположность этому другие организации системы ООН, такие как ФАО, ИМО и ВМО, имеют четко прописанный круг полномочий и конкретный круг контрагентов на национальном уровне. ФАО активно взаимодействует с министерствами сельского хозяйства и рыболовства, ИМО – с министерствами транспорта, а ВМО</w:t>
      </w:r>
      <w:r w:rsidR="00206D8D">
        <w:rPr>
          <w:rFonts w:ascii="Arial" w:hAnsi="Arial" w:cs="Arial"/>
          <w:sz w:val="22"/>
          <w:szCs w:val="22"/>
          <w:lang w:val="en-GB"/>
        </w:rPr>
        <w:t> </w:t>
      </w:r>
      <w:r w:rsidRPr="005E5562">
        <w:rPr>
          <w:rFonts w:ascii="Arial" w:hAnsi="Arial" w:cs="Arial"/>
          <w:sz w:val="22"/>
          <w:szCs w:val="22"/>
        </w:rPr>
        <w:t xml:space="preserve">– с метеорологическими службами. Указанные министерства, как правило, располагают значительными бюджетными </w:t>
      </w:r>
      <w:r w:rsidR="009E12E7" w:rsidRPr="005E5562">
        <w:rPr>
          <w:rFonts w:ascii="Arial" w:hAnsi="Arial" w:cs="Arial"/>
          <w:sz w:val="22"/>
          <w:szCs w:val="22"/>
        </w:rPr>
        <w:t>ресурсами</w:t>
      </w:r>
      <w:r w:rsidRPr="005E5562">
        <w:rPr>
          <w:rFonts w:ascii="Arial" w:hAnsi="Arial" w:cs="Arial"/>
          <w:sz w:val="22"/>
          <w:szCs w:val="22"/>
        </w:rPr>
        <w:t>, что позволяет им оказывать финансовую поддержку учреждениями системы ООН.</w:t>
      </w:r>
    </w:p>
    <w:p w14:paraId="70C7A230" w14:textId="14399EA4" w:rsidR="007F52EE"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Отсутствие же конкретного контрагента на уровне органов государственного управления, определенно, снижает возможности выхода Комиссии на лиц, определяющих политику, и затрудняет доступ к соответствующим каналам финансирования. В связи с этим представители </w:t>
      </w:r>
      <w:r w:rsidRPr="005E5562">
        <w:rPr>
          <w:rFonts w:ascii="Arial" w:hAnsi="Arial" w:cs="Arial"/>
          <w:sz w:val="22"/>
          <w:szCs w:val="22"/>
        </w:rPr>
        <w:lastRenderedPageBreak/>
        <w:t>многих государств-членов акцент</w:t>
      </w:r>
      <w:r w:rsidR="009E12E7" w:rsidRPr="005E5562">
        <w:rPr>
          <w:rFonts w:ascii="Arial" w:hAnsi="Arial" w:cs="Arial"/>
          <w:sz w:val="22"/>
          <w:szCs w:val="22"/>
        </w:rPr>
        <w:t xml:space="preserve">ируют свое внимание лишь </w:t>
      </w:r>
      <w:r w:rsidRPr="005E5562">
        <w:rPr>
          <w:rFonts w:ascii="Arial" w:hAnsi="Arial" w:cs="Arial"/>
          <w:sz w:val="22"/>
          <w:szCs w:val="22"/>
        </w:rPr>
        <w:t xml:space="preserve">на определенных аспектах «цепочки приращения ценности знаний об океане», таких как сбор данных и осуществление наблюдений, морские научные исследования или информирование о связанных с океаном опасных явлениях. Подобная «специализация», с одной стороны, обеспечивает активное участие в </w:t>
      </w:r>
      <w:r w:rsidR="009E12E7" w:rsidRPr="005E5562">
        <w:rPr>
          <w:rFonts w:ascii="Arial" w:hAnsi="Arial" w:cs="Arial"/>
          <w:sz w:val="22"/>
          <w:szCs w:val="22"/>
        </w:rPr>
        <w:t xml:space="preserve">соответствующих </w:t>
      </w:r>
      <w:r w:rsidRPr="005E5562">
        <w:rPr>
          <w:rFonts w:ascii="Arial" w:hAnsi="Arial" w:cs="Arial"/>
          <w:sz w:val="22"/>
          <w:szCs w:val="22"/>
        </w:rPr>
        <w:t xml:space="preserve">программах МОК и профессиональную компетентность, но с другой, </w:t>
      </w:r>
      <w:r w:rsidR="009E12E7" w:rsidRPr="005E5562">
        <w:rPr>
          <w:rFonts w:ascii="Arial" w:hAnsi="Arial" w:cs="Arial"/>
          <w:sz w:val="22"/>
          <w:szCs w:val="22"/>
        </w:rPr>
        <w:t>нередко</w:t>
      </w:r>
      <w:r w:rsidRPr="005E5562">
        <w:rPr>
          <w:rFonts w:ascii="Arial" w:hAnsi="Arial" w:cs="Arial"/>
          <w:sz w:val="22"/>
          <w:szCs w:val="22"/>
        </w:rPr>
        <w:t xml:space="preserve"> препятствует максимальному задействованию потенциала Комиссии.</w:t>
      </w:r>
    </w:p>
    <w:p w14:paraId="3E869F69" w14:textId="77777777" w:rsidR="007F52EE"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Что касается МОК, то ей следует более наглядно демонстрировать государствам-членам практический вклад морской науки в обеспечение устойчивого развития, а также важную роль, которую морская наука может сыграть в достижении этой цели при условии стимулирования ее развития. Конкурентное преимущество Комиссии заключается в обеспечении ею функции международной координации усилий, связанных с поощрением и созданием условий для генерирования научных знаний, которые могли бы быть использованы для принятия политических решений. Тем не менее, в этой нише представлена не только МОК.</w:t>
      </w:r>
    </w:p>
    <w:p w14:paraId="4F49E766" w14:textId="2DB6DD8E" w:rsidR="007F52EE" w:rsidRPr="005E5562" w:rsidRDefault="00D25689"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С течением временем круг вопросов, которыми занимается Комиссия, существенно расширился. Особенно это касается сферы морской политики и </w:t>
      </w:r>
      <w:r w:rsidR="009E12E7" w:rsidRPr="005E5562">
        <w:rPr>
          <w:rFonts w:ascii="Arial" w:hAnsi="Arial" w:cs="Arial"/>
          <w:sz w:val="22"/>
          <w:szCs w:val="22"/>
        </w:rPr>
        <w:t>повышения</w:t>
      </w:r>
      <w:r w:rsidRPr="005E5562">
        <w:rPr>
          <w:rFonts w:ascii="Arial" w:hAnsi="Arial" w:cs="Arial"/>
          <w:sz w:val="22"/>
          <w:szCs w:val="22"/>
        </w:rPr>
        <w:t xml:space="preserve"> готовности к связанным с океаном опасным явлениям. Сегодня органам, отвечающим за формирование политики, нередко все труднее </w:t>
      </w:r>
      <w:r w:rsidR="009E12E7" w:rsidRPr="005E5562">
        <w:rPr>
          <w:rFonts w:ascii="Arial" w:hAnsi="Arial" w:cs="Arial"/>
          <w:sz w:val="22"/>
          <w:szCs w:val="22"/>
        </w:rPr>
        <w:t>понимать</w:t>
      </w:r>
      <w:r w:rsidRPr="005E5562">
        <w:rPr>
          <w:rFonts w:ascii="Arial" w:hAnsi="Arial" w:cs="Arial"/>
          <w:sz w:val="22"/>
          <w:szCs w:val="22"/>
        </w:rPr>
        <w:t>, чем именно занимается МОК. В условиях, когда темпы укрепления ресурсной базы МОК отстают от темпов расширения ее повестки дня, более четкое определение сферы ее компетенций, подкрепленное наглядной демонстрацией ее конкурентных преимуществ в этой нише, будет способствовать формированию у государств-членов более ясного представления в этом вопросе и как следствие, более активному взаимодействию с Комиссией и участию в ее программах.</w:t>
      </w:r>
    </w:p>
    <w:p w14:paraId="63F66D28" w14:textId="787D018B" w:rsidR="00D25689" w:rsidRPr="005E5562" w:rsidRDefault="002661D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ЮНЕСКО является основным источником финансирования деятельности МОК. Это финансирование, несмотря на его крайне ограниченные объемы, позволяет Комиссии осуществлять инициативы глобального характера, согласующиеся с ее стратегическим видением. В то же время в условиях существенной доли, которую в бюджете </w:t>
      </w:r>
      <w:r w:rsidR="00B63B26" w:rsidRPr="005E5562">
        <w:rPr>
          <w:rFonts w:ascii="Arial" w:hAnsi="Arial" w:cs="Arial"/>
          <w:sz w:val="22"/>
          <w:szCs w:val="22"/>
        </w:rPr>
        <w:t xml:space="preserve">МОК </w:t>
      </w:r>
      <w:r w:rsidRPr="005E5562">
        <w:rPr>
          <w:rFonts w:ascii="Arial" w:hAnsi="Arial" w:cs="Arial"/>
          <w:sz w:val="22"/>
          <w:szCs w:val="22"/>
        </w:rPr>
        <w:t xml:space="preserve">составляют целевые добровольные (внебюджетные) взносы, существует риск </w:t>
      </w:r>
      <w:r w:rsidR="00B63B26" w:rsidRPr="005E5562">
        <w:rPr>
          <w:rFonts w:ascii="Arial" w:hAnsi="Arial" w:cs="Arial"/>
          <w:sz w:val="22"/>
          <w:szCs w:val="22"/>
        </w:rPr>
        <w:t xml:space="preserve">ее </w:t>
      </w:r>
      <w:r w:rsidRPr="005E5562">
        <w:rPr>
          <w:rFonts w:ascii="Arial" w:hAnsi="Arial" w:cs="Arial"/>
          <w:sz w:val="22"/>
          <w:szCs w:val="22"/>
        </w:rPr>
        <w:t>чрезмерной ориентированности на интересы доноров, когда мероприятия и ресурсы привяз</w:t>
      </w:r>
      <w:r w:rsidR="00B63B26" w:rsidRPr="005E5562">
        <w:rPr>
          <w:rFonts w:ascii="Arial" w:hAnsi="Arial" w:cs="Arial"/>
          <w:sz w:val="22"/>
          <w:szCs w:val="22"/>
        </w:rPr>
        <w:t>ываются</w:t>
      </w:r>
      <w:r w:rsidRPr="005E5562">
        <w:rPr>
          <w:rFonts w:ascii="Arial" w:hAnsi="Arial" w:cs="Arial"/>
          <w:sz w:val="22"/>
          <w:szCs w:val="22"/>
        </w:rPr>
        <w:t xml:space="preserve"> к циклам финансирования проектов и чрезмерно сфокусированы на определенных тематических направлениях в ущерб деятельности более стратегического характера. Вопрос о том, как обеспечить более устойчивую финансовую </w:t>
      </w:r>
      <w:r w:rsidR="00B63B26" w:rsidRPr="005E5562">
        <w:rPr>
          <w:rFonts w:ascii="Arial" w:hAnsi="Arial" w:cs="Arial"/>
          <w:sz w:val="22"/>
          <w:szCs w:val="22"/>
        </w:rPr>
        <w:t>основу</w:t>
      </w:r>
      <w:r w:rsidRPr="005E5562">
        <w:rPr>
          <w:rFonts w:ascii="Arial" w:hAnsi="Arial" w:cs="Arial"/>
          <w:sz w:val="22"/>
          <w:szCs w:val="22"/>
        </w:rPr>
        <w:t xml:space="preserve"> деятельности МОК, остается, таким образом, открытым. Помимо изучения возможных вариантов, предусмотренных в статье 10.4 Устава Комиссии, неоднократно подчеркивались преимущества варианта более широкого включения морской компоненты в основную деятельность ЮНЕСКО в качестве сквозной темы или расширения междисциплинарного взаимодействия Комиссии с другими секторами ЮНЕСКО. Принятое в апреле 2022 г. Исполнительным советом ЮНЕСКО на его 214-й сессии решение под названием «ЮНЕСКО и Мировой океан» является в этом смысле важным шагом в правильном направлении, требующим дальнейших усилий.</w:t>
      </w:r>
    </w:p>
    <w:p w14:paraId="53214F26" w14:textId="75E525C0" w:rsidR="00883912" w:rsidRPr="005E5562" w:rsidRDefault="00883912" w:rsidP="00F47454">
      <w:pPr>
        <w:keepNext/>
        <w:keepLines/>
        <w:widowControl w:val="0"/>
        <w:adjustRightInd w:val="0"/>
        <w:spacing w:after="240"/>
        <w:ind w:left="567" w:hanging="567"/>
        <w:jc w:val="both"/>
        <w:textAlignment w:val="baseline"/>
        <w:outlineLvl w:val="1"/>
        <w:rPr>
          <w:rFonts w:ascii="Arial" w:eastAsia="Times New Roman" w:hAnsi="Arial" w:cs="Arial"/>
          <w:b/>
          <w:bCs/>
          <w:caps/>
          <w:sz w:val="22"/>
          <w:szCs w:val="22"/>
        </w:rPr>
      </w:pPr>
      <w:r w:rsidRPr="005E5562">
        <w:rPr>
          <w:rFonts w:ascii="Arial" w:hAnsi="Arial" w:cs="Arial"/>
          <w:b/>
          <w:bCs/>
          <w:caps/>
          <w:sz w:val="22"/>
          <w:szCs w:val="22"/>
        </w:rPr>
        <w:t>РЕКОМЕНДАЦИИ</w:t>
      </w:r>
    </w:p>
    <w:p w14:paraId="669FDAA9" w14:textId="4D4A2491" w:rsidR="00883912" w:rsidRPr="005E5562" w:rsidRDefault="00883912" w:rsidP="00F47454">
      <w:pPr>
        <w:spacing w:after="240"/>
        <w:jc w:val="both"/>
        <w:rPr>
          <w:rFonts w:ascii="Arial" w:hAnsi="Arial" w:cs="Arial"/>
          <w:b/>
          <w:bCs/>
          <w:color w:val="002060"/>
          <w:sz w:val="22"/>
          <w:szCs w:val="22"/>
        </w:rPr>
      </w:pPr>
      <w:r w:rsidRPr="005E5562">
        <w:rPr>
          <w:rFonts w:ascii="Arial" w:hAnsi="Arial" w:cs="Arial"/>
          <w:b/>
          <w:bCs/>
          <w:color w:val="002060"/>
          <w:sz w:val="22"/>
          <w:szCs w:val="22"/>
          <w:u w:val="single"/>
        </w:rPr>
        <w:t xml:space="preserve">Рекомендация 1: К сентябрю 2022 г. </w:t>
      </w:r>
      <w:r w:rsidR="00B63B26" w:rsidRPr="005E5562">
        <w:rPr>
          <w:rFonts w:ascii="Arial" w:hAnsi="Arial" w:cs="Arial"/>
          <w:b/>
          <w:bCs/>
          <w:color w:val="002060"/>
          <w:sz w:val="22"/>
          <w:szCs w:val="22"/>
          <w:u w:val="single"/>
        </w:rPr>
        <w:t>п</w:t>
      </w:r>
      <w:r w:rsidRPr="005E5562">
        <w:rPr>
          <w:rFonts w:ascii="Arial" w:hAnsi="Arial" w:cs="Arial"/>
          <w:b/>
          <w:bCs/>
          <w:color w:val="002060"/>
          <w:sz w:val="22"/>
          <w:szCs w:val="22"/>
          <w:u w:val="single"/>
        </w:rPr>
        <w:t>ринять меры по выполнению просьбы, сформулированной Ассамблеей МОК-ЮНЕСКО на ее 30-й сессии, посредством определения ориентировочного объема необходимых ресурсов и ускорения практического применения положений статьи 10.4 Устава МОК-ЮНЕСКО, с тем чтобы обеспечить действительно «оптимальное» функционирование МОК, а также определить наиболее подходящую организационную структуру в свете предусмотренного возложения на МОК глобальной роли в вопросах устойчивого управлении ресурсами Мирового океана на основе научного подхода и руководства проведением Десятилетия ООН, посвященного науке об океане</w:t>
      </w:r>
    </w:p>
    <w:p w14:paraId="4BE7F1A5" w14:textId="0AC06AA2" w:rsidR="007F52EE" w:rsidRPr="005E5562" w:rsidRDefault="00CF14D6"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Pr>
          <w:rFonts w:ascii="Arial" w:hAnsi="Arial" w:cs="Arial"/>
          <w:sz w:val="22"/>
          <w:szCs w:val="22"/>
        </w:rPr>
        <w:t xml:space="preserve">Некоторые государства – </w:t>
      </w:r>
      <w:r w:rsidR="00883912" w:rsidRPr="005E5562">
        <w:rPr>
          <w:rFonts w:ascii="Arial" w:hAnsi="Arial" w:cs="Arial"/>
          <w:sz w:val="22"/>
          <w:szCs w:val="22"/>
        </w:rPr>
        <w:t xml:space="preserve">члены МОК, не входящие в ЮНЕСКО (в частности США), выразили заинтересованность в предоставлении Комиссии дополнительных финансовых </w:t>
      </w:r>
      <w:r w:rsidR="00883912" w:rsidRPr="005E5562">
        <w:rPr>
          <w:rFonts w:ascii="Arial" w:hAnsi="Arial" w:cs="Arial"/>
          <w:sz w:val="22"/>
          <w:szCs w:val="22"/>
        </w:rPr>
        <w:lastRenderedPageBreak/>
        <w:t>средств, однако сделать это в рамках существующих механизмов финансирования ЮНЕСКО, оказалось сложно.</w:t>
      </w:r>
    </w:p>
    <w:p w14:paraId="72AEABC0" w14:textId="613F13D0" w:rsidR="00883912"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Механизмы финансового обеспечения деятельности МОК изложены в статье 10 («Финансовые и другие ресурсы») Устава МОК (см. вставку 1).</w:t>
      </w:r>
    </w:p>
    <w:p w14:paraId="31FFE04F" w14:textId="77777777" w:rsidR="00883912" w:rsidRPr="005E5562" w:rsidRDefault="00883912" w:rsidP="00F47454">
      <w:pPr>
        <w:keepNext/>
        <w:shd w:val="clear" w:color="auto" w:fill="FFFFFF"/>
        <w:spacing w:after="240"/>
        <w:jc w:val="center"/>
        <w:rPr>
          <w:rFonts w:ascii="Arial" w:hAnsi="Arial" w:cs="Arial"/>
          <w:b/>
          <w:bCs/>
          <w:sz w:val="22"/>
          <w:szCs w:val="22"/>
        </w:rPr>
      </w:pPr>
      <w:r w:rsidRPr="005E5562">
        <w:rPr>
          <w:rFonts w:ascii="Arial" w:hAnsi="Arial" w:cs="Arial"/>
          <w:b/>
          <w:bCs/>
          <w:sz w:val="22"/>
          <w:szCs w:val="22"/>
        </w:rPr>
        <w:t>Вставка 1: Положения статьи 10 Устава МОК</w:t>
      </w:r>
    </w:p>
    <w:tbl>
      <w:tblPr>
        <w:tblStyle w:val="TableGrid"/>
        <w:tblW w:w="9634" w:type="dxa"/>
        <w:tblLook w:val="04A0" w:firstRow="1" w:lastRow="0" w:firstColumn="1" w:lastColumn="0" w:noHBand="0" w:noVBand="1"/>
      </w:tblPr>
      <w:tblGrid>
        <w:gridCol w:w="9634"/>
      </w:tblGrid>
      <w:tr w:rsidR="00883912" w:rsidRPr="005E5562" w14:paraId="3A1A534B" w14:textId="77777777" w:rsidTr="009A369B">
        <w:tc>
          <w:tcPr>
            <w:tcW w:w="9634" w:type="dxa"/>
          </w:tcPr>
          <w:p w14:paraId="404CFE68" w14:textId="4C61EB5B" w:rsidR="00883912" w:rsidRPr="005E5562" w:rsidRDefault="00883912" w:rsidP="00FA3C85">
            <w:pPr>
              <w:shd w:val="clear" w:color="auto" w:fill="FFFFFF"/>
              <w:spacing w:before="240" w:after="120"/>
              <w:jc w:val="both"/>
              <w:rPr>
                <w:rFonts w:ascii="Arial" w:hAnsi="Arial" w:cs="Arial"/>
                <w:sz w:val="22"/>
                <w:szCs w:val="22"/>
              </w:rPr>
            </w:pPr>
            <w:r w:rsidRPr="005E5562">
              <w:rPr>
                <w:rFonts w:ascii="Arial" w:hAnsi="Arial" w:cs="Arial"/>
                <w:sz w:val="22"/>
                <w:szCs w:val="22"/>
              </w:rPr>
              <w:t xml:space="preserve">1. </w:t>
            </w:r>
            <w:r w:rsidR="00FA3C85">
              <w:rPr>
                <w:rFonts w:ascii="Arial" w:hAnsi="Arial" w:cs="Arial"/>
                <w:sz w:val="22"/>
                <w:szCs w:val="22"/>
              </w:rPr>
              <w:tab/>
            </w:r>
            <w:r w:rsidRPr="005E5562">
              <w:rPr>
                <w:rFonts w:ascii="Arial" w:hAnsi="Arial" w:cs="Arial"/>
                <w:sz w:val="22"/>
                <w:szCs w:val="22"/>
              </w:rPr>
              <w:t>Финансовые ресурсы Комиссии состоят из:</w:t>
            </w:r>
          </w:p>
          <w:p w14:paraId="64C8AF19" w14:textId="39F4D484" w:rsidR="00883912" w:rsidRPr="005E5562" w:rsidRDefault="00883912" w:rsidP="00FA3C85">
            <w:pPr>
              <w:shd w:val="clear" w:color="auto" w:fill="FFFFFF"/>
              <w:tabs>
                <w:tab w:val="clear" w:pos="567"/>
              </w:tabs>
              <w:spacing w:after="120"/>
              <w:ind w:left="1163" w:hanging="567"/>
              <w:jc w:val="both"/>
              <w:rPr>
                <w:rFonts w:ascii="Arial" w:hAnsi="Arial" w:cs="Arial"/>
                <w:sz w:val="22"/>
                <w:szCs w:val="22"/>
              </w:rPr>
            </w:pPr>
            <w:r w:rsidRPr="005E5562">
              <w:rPr>
                <w:rFonts w:ascii="Arial" w:hAnsi="Arial" w:cs="Arial"/>
                <w:sz w:val="22"/>
                <w:szCs w:val="22"/>
              </w:rPr>
              <w:t>(а)</w:t>
            </w:r>
            <w:r w:rsidRPr="005E5562">
              <w:rPr>
                <w:rFonts w:ascii="Arial" w:hAnsi="Arial" w:cs="Arial"/>
                <w:sz w:val="22"/>
                <w:szCs w:val="22"/>
              </w:rPr>
              <w:tab/>
              <w:t>средств, ассигнуемых для этой цели Генеральной конференцией ЮНЕСКО;</w:t>
            </w:r>
          </w:p>
          <w:p w14:paraId="01F251B0" w14:textId="44367905" w:rsidR="00883912" w:rsidRPr="005E5562" w:rsidRDefault="00883912" w:rsidP="00FA3C85">
            <w:pPr>
              <w:shd w:val="clear" w:color="auto" w:fill="FFFFFF"/>
              <w:tabs>
                <w:tab w:val="clear" w:pos="567"/>
              </w:tabs>
              <w:spacing w:after="120"/>
              <w:ind w:left="1163" w:hanging="567"/>
              <w:jc w:val="both"/>
              <w:rPr>
                <w:rFonts w:ascii="Arial" w:hAnsi="Arial" w:cs="Arial"/>
                <w:sz w:val="22"/>
                <w:szCs w:val="22"/>
              </w:rPr>
            </w:pPr>
            <w:r w:rsidRPr="005E5562">
              <w:rPr>
                <w:rFonts w:ascii="Arial" w:hAnsi="Arial" w:cs="Arial"/>
                <w:sz w:val="22"/>
                <w:szCs w:val="22"/>
              </w:rPr>
              <w:t>(b)</w:t>
            </w:r>
            <w:r w:rsidRPr="005E5562">
              <w:rPr>
                <w:rFonts w:ascii="Arial" w:hAnsi="Arial" w:cs="Arial"/>
                <w:sz w:val="22"/>
                <w:szCs w:val="22"/>
              </w:rPr>
              <w:tab/>
              <w:t>взносов</w:t>
            </w:r>
            <w:r w:rsidR="0001156F" w:rsidRPr="005E5562">
              <w:rPr>
                <w:rFonts w:ascii="Arial" w:hAnsi="Arial" w:cs="Arial"/>
                <w:sz w:val="22"/>
                <w:szCs w:val="22"/>
              </w:rPr>
              <w:t xml:space="preserve"> </w:t>
            </w:r>
            <w:r w:rsidRPr="005E5562">
              <w:rPr>
                <w:rFonts w:ascii="Arial" w:hAnsi="Arial" w:cs="Arial"/>
                <w:sz w:val="22"/>
                <w:szCs w:val="22"/>
              </w:rPr>
              <w:t>государств</w:t>
            </w:r>
            <w:r w:rsidR="009A369B">
              <w:rPr>
                <w:rFonts w:ascii="Arial" w:hAnsi="Arial" w:cs="Arial"/>
                <w:sz w:val="22"/>
                <w:szCs w:val="22"/>
              </w:rPr>
              <w:t xml:space="preserve"> – </w:t>
            </w:r>
            <w:r w:rsidRPr="005E5562">
              <w:rPr>
                <w:rFonts w:ascii="Arial" w:hAnsi="Arial" w:cs="Arial"/>
                <w:sz w:val="22"/>
                <w:szCs w:val="22"/>
              </w:rPr>
              <w:t>членов</w:t>
            </w:r>
            <w:r w:rsidR="0001156F" w:rsidRPr="005E5562">
              <w:rPr>
                <w:rFonts w:ascii="Arial" w:hAnsi="Arial" w:cs="Arial"/>
                <w:sz w:val="22"/>
                <w:szCs w:val="22"/>
              </w:rPr>
              <w:t xml:space="preserve"> </w:t>
            </w:r>
            <w:r w:rsidRPr="005E5562">
              <w:rPr>
                <w:rFonts w:ascii="Arial" w:hAnsi="Arial" w:cs="Arial"/>
                <w:sz w:val="22"/>
                <w:szCs w:val="22"/>
              </w:rPr>
              <w:t>Комиссии, не</w:t>
            </w:r>
            <w:r w:rsidR="0001156F" w:rsidRPr="005E5562">
              <w:rPr>
                <w:rFonts w:ascii="Arial" w:hAnsi="Arial" w:cs="Arial"/>
                <w:sz w:val="22"/>
                <w:szCs w:val="22"/>
              </w:rPr>
              <w:t xml:space="preserve"> </w:t>
            </w:r>
            <w:r w:rsidRPr="005E5562">
              <w:rPr>
                <w:rFonts w:ascii="Arial" w:hAnsi="Arial" w:cs="Arial"/>
                <w:sz w:val="22"/>
                <w:szCs w:val="22"/>
              </w:rPr>
              <w:t xml:space="preserve">являющихся государствами </w:t>
            </w:r>
            <w:r w:rsidR="009A369B">
              <w:rPr>
                <w:rFonts w:ascii="Arial" w:hAnsi="Arial" w:cs="Arial"/>
                <w:sz w:val="22"/>
                <w:szCs w:val="22"/>
              </w:rPr>
              <w:t>–</w:t>
            </w:r>
            <w:r w:rsidRPr="005E5562">
              <w:rPr>
                <w:rFonts w:ascii="Arial" w:hAnsi="Arial" w:cs="Arial"/>
                <w:sz w:val="22"/>
                <w:szCs w:val="22"/>
              </w:rPr>
              <w:t xml:space="preserve"> членами ЮНЕСКО;</w:t>
            </w:r>
          </w:p>
          <w:p w14:paraId="48348D3A" w14:textId="475CFEA8" w:rsidR="00883912" w:rsidRPr="005E5562" w:rsidRDefault="00883912" w:rsidP="00FA3C85">
            <w:pPr>
              <w:shd w:val="clear" w:color="auto" w:fill="FFFFFF"/>
              <w:tabs>
                <w:tab w:val="clear" w:pos="567"/>
              </w:tabs>
              <w:spacing w:after="120"/>
              <w:ind w:left="1163" w:hanging="567"/>
              <w:jc w:val="both"/>
              <w:rPr>
                <w:rFonts w:ascii="Arial" w:hAnsi="Arial" w:cs="Arial"/>
                <w:sz w:val="22"/>
                <w:szCs w:val="22"/>
              </w:rPr>
            </w:pPr>
            <w:r w:rsidRPr="005E5562">
              <w:rPr>
                <w:rFonts w:ascii="Arial" w:hAnsi="Arial" w:cs="Arial"/>
                <w:sz w:val="22"/>
                <w:szCs w:val="22"/>
              </w:rPr>
              <w:t xml:space="preserve">(c) </w:t>
            </w:r>
            <w:r w:rsidRPr="005E5562">
              <w:rPr>
                <w:rFonts w:ascii="Arial" w:hAnsi="Arial" w:cs="Arial"/>
                <w:sz w:val="22"/>
                <w:szCs w:val="22"/>
              </w:rPr>
              <w:tab/>
              <w:t>таких дополнительных ресурсов, которые могут предоставляться</w:t>
            </w:r>
            <w:r w:rsidR="0001156F" w:rsidRPr="005E5562">
              <w:rPr>
                <w:rFonts w:ascii="Arial" w:hAnsi="Arial" w:cs="Arial"/>
                <w:sz w:val="22"/>
                <w:szCs w:val="22"/>
              </w:rPr>
              <w:t xml:space="preserve"> </w:t>
            </w:r>
            <w:r w:rsidRPr="005E5562">
              <w:rPr>
                <w:rFonts w:ascii="Arial" w:hAnsi="Arial" w:cs="Arial"/>
                <w:sz w:val="22"/>
                <w:szCs w:val="22"/>
              </w:rPr>
              <w:t>государствами</w:t>
            </w:r>
            <w:r w:rsidR="00FA3C85">
              <w:rPr>
                <w:rFonts w:ascii="Arial" w:hAnsi="Arial" w:cs="Arial"/>
                <w:sz w:val="22"/>
                <w:szCs w:val="22"/>
                <w:lang w:val="en-GB"/>
              </w:rPr>
              <w:t> </w:t>
            </w:r>
            <w:r w:rsidR="009A369B">
              <w:rPr>
                <w:rFonts w:ascii="Arial" w:hAnsi="Arial" w:cs="Arial"/>
                <w:sz w:val="22"/>
                <w:szCs w:val="22"/>
              </w:rPr>
              <w:t>–</w:t>
            </w:r>
            <w:r w:rsidR="0001156F" w:rsidRPr="005E5562">
              <w:rPr>
                <w:rFonts w:ascii="Arial" w:hAnsi="Arial" w:cs="Arial"/>
                <w:sz w:val="22"/>
                <w:szCs w:val="22"/>
              </w:rPr>
              <w:t xml:space="preserve"> </w:t>
            </w:r>
            <w:r w:rsidRPr="005E5562">
              <w:rPr>
                <w:rFonts w:ascii="Arial" w:hAnsi="Arial" w:cs="Arial"/>
                <w:sz w:val="22"/>
                <w:szCs w:val="22"/>
              </w:rPr>
              <w:t>членами Комиссии, соответствующими организациями системы Организации Объединенных Наций и другими источниками.</w:t>
            </w:r>
          </w:p>
          <w:p w14:paraId="53FA7468" w14:textId="740CAD07" w:rsidR="00883912" w:rsidRPr="005E5562" w:rsidRDefault="00883912" w:rsidP="00F47454">
            <w:pPr>
              <w:shd w:val="clear" w:color="auto" w:fill="FFFFFF"/>
              <w:spacing w:after="120"/>
              <w:jc w:val="both"/>
              <w:rPr>
                <w:rFonts w:ascii="Arial" w:hAnsi="Arial" w:cs="Arial"/>
                <w:sz w:val="22"/>
                <w:szCs w:val="22"/>
              </w:rPr>
            </w:pPr>
            <w:r w:rsidRPr="005E5562">
              <w:rPr>
                <w:rFonts w:ascii="Arial" w:hAnsi="Arial" w:cs="Arial"/>
                <w:sz w:val="22"/>
                <w:szCs w:val="22"/>
              </w:rPr>
              <w:t xml:space="preserve">2. </w:t>
            </w:r>
            <w:r w:rsidR="00FA3C85">
              <w:rPr>
                <w:rFonts w:ascii="Arial" w:hAnsi="Arial" w:cs="Arial"/>
                <w:sz w:val="22"/>
                <w:szCs w:val="22"/>
              </w:rPr>
              <w:tab/>
            </w:r>
            <w:r w:rsidRPr="005E5562">
              <w:rPr>
                <w:rFonts w:ascii="Arial" w:hAnsi="Arial" w:cs="Arial"/>
                <w:sz w:val="22"/>
                <w:szCs w:val="22"/>
              </w:rPr>
              <w:t>Программы или мероприятия, поддерживаемые и координируемые Комиссией и рекомендуемые ее государствам-членам с целью проведения ими согласованной деятельности, осуществляются с помощью ресурсов государств-членов, участвующих в таких программах или мероприятиях, в соответствии с обязательствами, которые каждое государство готово взять на себя.</w:t>
            </w:r>
          </w:p>
          <w:p w14:paraId="4A5098A4" w14:textId="522F83EB" w:rsidR="00883912" w:rsidRPr="005E5562" w:rsidRDefault="00883912" w:rsidP="00F47454">
            <w:pPr>
              <w:shd w:val="clear" w:color="auto" w:fill="FFFFFF"/>
              <w:spacing w:after="120"/>
              <w:jc w:val="both"/>
              <w:rPr>
                <w:rFonts w:ascii="Arial" w:hAnsi="Arial" w:cs="Arial"/>
                <w:sz w:val="22"/>
                <w:szCs w:val="22"/>
              </w:rPr>
            </w:pPr>
            <w:r w:rsidRPr="005E5562">
              <w:rPr>
                <w:rFonts w:ascii="Arial" w:hAnsi="Arial" w:cs="Arial"/>
                <w:sz w:val="22"/>
                <w:szCs w:val="22"/>
              </w:rPr>
              <w:t xml:space="preserve">3. </w:t>
            </w:r>
            <w:r w:rsidR="00FA3C85">
              <w:rPr>
                <w:rFonts w:ascii="Arial" w:hAnsi="Arial" w:cs="Arial"/>
                <w:sz w:val="22"/>
                <w:szCs w:val="22"/>
              </w:rPr>
              <w:tab/>
            </w:r>
            <w:r w:rsidRPr="005E5562">
              <w:rPr>
                <w:rFonts w:ascii="Arial" w:hAnsi="Arial" w:cs="Arial"/>
                <w:sz w:val="22"/>
                <w:szCs w:val="22"/>
              </w:rPr>
              <w:t>В соответствии с Положением о финансах Специального счета МОК, утвержденным Ассамблеей и ЮНЕСКО, могут приниматься</w:t>
            </w:r>
            <w:r w:rsidR="0001156F" w:rsidRPr="005E5562">
              <w:rPr>
                <w:rFonts w:ascii="Arial" w:hAnsi="Arial" w:cs="Arial"/>
                <w:sz w:val="22"/>
                <w:szCs w:val="22"/>
              </w:rPr>
              <w:t xml:space="preserve"> </w:t>
            </w:r>
            <w:r w:rsidRPr="005E5562">
              <w:rPr>
                <w:rFonts w:ascii="Arial" w:hAnsi="Arial" w:cs="Arial"/>
                <w:sz w:val="22"/>
                <w:szCs w:val="22"/>
              </w:rPr>
              <w:t>добровольные взносы, из которых могут учреждаться целевые фонды. Такие взносы направляются Комиссией на осуществление ее программы деятельности.</w:t>
            </w:r>
          </w:p>
          <w:p w14:paraId="10FCA3C6" w14:textId="2C7528FA" w:rsidR="00883912" w:rsidRPr="005E5562" w:rsidRDefault="00883912" w:rsidP="00F47454">
            <w:pPr>
              <w:shd w:val="clear" w:color="auto" w:fill="FFFFFF"/>
              <w:spacing w:after="200"/>
              <w:jc w:val="both"/>
              <w:rPr>
                <w:rFonts w:ascii="Arial" w:hAnsi="Arial" w:cs="Arial"/>
                <w:sz w:val="22"/>
                <w:szCs w:val="22"/>
              </w:rPr>
            </w:pPr>
            <w:r w:rsidRPr="005E5562">
              <w:rPr>
                <w:rFonts w:ascii="Arial" w:hAnsi="Arial" w:cs="Arial"/>
                <w:sz w:val="22"/>
                <w:szCs w:val="22"/>
              </w:rPr>
              <w:t xml:space="preserve">4. </w:t>
            </w:r>
            <w:r w:rsidR="00FA3C85">
              <w:rPr>
                <w:rFonts w:ascii="Arial" w:hAnsi="Arial" w:cs="Arial"/>
                <w:sz w:val="22"/>
                <w:szCs w:val="22"/>
              </w:rPr>
              <w:tab/>
            </w:r>
            <w:r w:rsidRPr="005E5562">
              <w:rPr>
                <w:rFonts w:ascii="Arial" w:hAnsi="Arial" w:cs="Arial"/>
                <w:sz w:val="22"/>
                <w:szCs w:val="22"/>
              </w:rPr>
              <w:t>Комиссия может по мере необходимости создавать, поощрять или</w:t>
            </w:r>
            <w:r w:rsidR="0001156F" w:rsidRPr="005E5562">
              <w:rPr>
                <w:rFonts w:ascii="Arial" w:hAnsi="Arial" w:cs="Arial"/>
                <w:sz w:val="22"/>
                <w:szCs w:val="22"/>
              </w:rPr>
              <w:t xml:space="preserve"> </w:t>
            </w:r>
            <w:r w:rsidRPr="005E5562">
              <w:rPr>
                <w:rFonts w:ascii="Arial" w:hAnsi="Arial" w:cs="Arial"/>
                <w:sz w:val="22"/>
                <w:szCs w:val="22"/>
              </w:rPr>
              <w:t>координировать дополнительные финансовые механизмы для</w:t>
            </w:r>
            <w:r w:rsidR="0001156F" w:rsidRPr="005E5562">
              <w:rPr>
                <w:rFonts w:ascii="Arial" w:hAnsi="Arial" w:cs="Arial"/>
                <w:sz w:val="22"/>
                <w:szCs w:val="22"/>
              </w:rPr>
              <w:t xml:space="preserve"> </w:t>
            </w:r>
            <w:r w:rsidRPr="005E5562">
              <w:rPr>
                <w:rFonts w:ascii="Arial" w:hAnsi="Arial" w:cs="Arial"/>
                <w:sz w:val="22"/>
                <w:szCs w:val="22"/>
              </w:rPr>
              <w:t>обеспечения выполнения какой-либо эффективной и длительной</w:t>
            </w:r>
            <w:r w:rsidR="0001156F" w:rsidRPr="005E5562">
              <w:rPr>
                <w:rFonts w:ascii="Arial" w:hAnsi="Arial" w:cs="Arial"/>
                <w:sz w:val="22"/>
                <w:szCs w:val="22"/>
              </w:rPr>
              <w:t xml:space="preserve"> </w:t>
            </w:r>
            <w:r w:rsidRPr="005E5562">
              <w:rPr>
                <w:rFonts w:ascii="Arial" w:hAnsi="Arial" w:cs="Arial"/>
                <w:sz w:val="22"/>
                <w:szCs w:val="22"/>
              </w:rPr>
              <w:t>программы на глобальном и/или региональном уровнях.</w:t>
            </w:r>
          </w:p>
          <w:p w14:paraId="47238E63" w14:textId="2620B3F7" w:rsidR="00883912" w:rsidRPr="009A369B" w:rsidRDefault="00883912" w:rsidP="00FA3C85">
            <w:pPr>
              <w:shd w:val="clear" w:color="auto" w:fill="FFFFFF"/>
              <w:spacing w:after="240"/>
              <w:jc w:val="both"/>
              <w:rPr>
                <w:rFonts w:ascii="Arial" w:hAnsi="Arial" w:cs="Arial"/>
                <w:i/>
                <w:iCs/>
                <w:color w:val="0000FF" w:themeColor="hyperlink"/>
                <w:sz w:val="22"/>
                <w:szCs w:val="22"/>
                <w:lang w:val="en-GB"/>
              </w:rPr>
            </w:pPr>
            <w:r w:rsidRPr="005E5562">
              <w:rPr>
                <w:rFonts w:ascii="Arial" w:hAnsi="Arial" w:cs="Arial"/>
                <w:i/>
                <w:iCs/>
                <w:sz w:val="18"/>
                <w:szCs w:val="18"/>
              </w:rPr>
              <w:t xml:space="preserve">Источник: </w:t>
            </w:r>
            <w:hyperlink r:id="rId10" w:history="1">
              <w:r w:rsidRPr="005E5562">
                <w:rPr>
                  <w:rStyle w:val="Hyperlink"/>
                  <w:rFonts w:ascii="Arial" w:hAnsi="Arial" w:cs="Arial"/>
                  <w:i/>
                  <w:iCs/>
                  <w:sz w:val="18"/>
                  <w:szCs w:val="18"/>
                </w:rPr>
                <w:t>Устав МОК</w:t>
              </w:r>
            </w:hyperlink>
            <w:r w:rsidR="009A369B">
              <w:rPr>
                <w:rStyle w:val="Hyperlink"/>
                <w:rFonts w:ascii="Arial" w:hAnsi="Arial" w:cs="Arial"/>
                <w:i/>
                <w:iCs/>
                <w:sz w:val="18"/>
                <w:szCs w:val="18"/>
                <w:lang w:val="en-GB"/>
              </w:rPr>
              <w:t>.</w:t>
            </w:r>
          </w:p>
        </w:tc>
      </w:tr>
    </w:tbl>
    <w:p w14:paraId="338F2918" w14:textId="77777777" w:rsidR="007F52EE" w:rsidRPr="005E5562" w:rsidRDefault="00883912" w:rsidP="00F47454">
      <w:pPr>
        <w:pStyle w:val="ListParagraph"/>
        <w:numPr>
          <w:ilvl w:val="0"/>
          <w:numId w:val="28"/>
        </w:numPr>
        <w:tabs>
          <w:tab w:val="clear" w:pos="567"/>
          <w:tab w:val="left" w:pos="0"/>
        </w:tabs>
        <w:spacing w:before="240" w:after="240"/>
        <w:ind w:left="0" w:firstLine="0"/>
        <w:contextualSpacing w:val="0"/>
        <w:jc w:val="both"/>
        <w:rPr>
          <w:rFonts w:ascii="Arial" w:hAnsi="Arial" w:cs="Arial"/>
          <w:sz w:val="22"/>
          <w:szCs w:val="22"/>
        </w:rPr>
      </w:pPr>
      <w:r w:rsidRPr="005E5562">
        <w:rPr>
          <w:rFonts w:ascii="Arial" w:hAnsi="Arial" w:cs="Arial"/>
          <w:sz w:val="22"/>
          <w:szCs w:val="22"/>
        </w:rPr>
        <w:t>Помимо ряда конкретных механизмов финансирования в Статье 10 предусмотрен вариант создания, поощрения или координации Комиссией «дополнительных финансовых механизмов» для обеспечения эффективного осуществления своей программы.</w:t>
      </w:r>
    </w:p>
    <w:p w14:paraId="1ADCE7E1" w14:textId="1C2E340A" w:rsidR="00883912"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Секретариат МОК предлагает обратиться за соответствующей юридической консультацией на предмет того, как наилучшим образом реализовать положения статьи 10 для обеспечения эффективного и стабильного осуществления своих глобальных и региональных программ, в том числе в рамках Десятилетия науки об океане.</w:t>
      </w:r>
    </w:p>
    <w:p w14:paraId="09CEAE17" w14:textId="366DE645" w:rsidR="00883912"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Кроме того, придание программам МОК более комплексного «пакетного» характера, вероятно, можно было бы обеспечить благодаря подготовке методического руководства по вопросам рационального планирования и управления в сфере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 xml:space="preserve">, в котором была бы обозначена основная тематическая направленность или суть деятельности МОК, что позволило бы высокопоставленным представителям директивных органов чувствовать себя более уверенно, при принятии решений относительно оказания финансовой поддержки. МОК могла бы предпринять аналитическое исследование для составления списка основных приоритетов своих государств-членов, и учета аспектов в сфере устойчивой эксплуатации морских ресурсов, представляющих для них наибольший интерес. Эта информация могла бы быть использована Комиссией для привлечения дополнительных финансовых средств при помощи демонстрации того, что МОК уже делает в рамках приоритетных тематических направлений, а также посредством представления сообществу доноров подробной информации о потребностях в дополнительных ресурсах. Эта работа могла бы проводиться в масштабах региона </w:t>
      </w:r>
      <w:r w:rsidRPr="005E5562">
        <w:rPr>
          <w:rFonts w:ascii="Arial" w:hAnsi="Arial" w:cs="Arial"/>
          <w:sz w:val="22"/>
          <w:szCs w:val="22"/>
        </w:rPr>
        <w:lastRenderedPageBreak/>
        <w:t xml:space="preserve">с акцентом на потребностях приоритетных групп бенефициаров. Тем самым можно было бы «структурировать» задачу МОК, обеспечив привлечение средств под конкретные результаты и цели. Этот процесс мог бы дополнить практикуемое ЮНЕСКО организованное обсуждение вопросов финансирования. Для иллюстрации примеров успешного опыта и подчеркивания значимости финансовой поддержки со стороны доноров необходимо будет также повысить качество представляемой отчетности и эффективность информационного сопровождения деятельности. Кроме того, МОК могла бы привлечь специалистов в области стратегических коммуникаций для оказания помощи в формулировании убедительных тезисов и эффектных пропагандистских лозунгов для различных целевых групп под общей темой рационального планирования и управления в сфере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w:t>
      </w:r>
    </w:p>
    <w:p w14:paraId="2124A39F" w14:textId="3069B986"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По большому счету необходимо также предложить варианты решений, которые позволят минимизировать проблему отсутствия на уровне национальных ведомств активных пропагандистов инициатив МОК. Как отмечалось выше, в большинстве стран нет профильных департаментов, отвечающих за морскую научно-исследовательскую деятельность. Поскольку основной круг полномочий МОК касается морской науки, Комиссии, в отличие от других учреждений системы ООН, не хватает на национальном уровне стратегически значимых и хорошо финансируемых организаций-партнеров. При этом МОК все чаще позиционирует себя как ведущая глобальная структура, занимающаяся формированием базы научных знаний и созданием потенциала в области рационального планирования и управления в сфере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 Этому способствует и наличие у Комиссии богатого опыта в сфере морского пространственного планирования, а также исчерпывающего и ориентированного на достижение результата описания ее глобального вклада, в частности, в таких областях, как борьба с изменением климата, повышение готовности к природным катаклизмам, содействие повышению экономического благосостояния. В этом контексте следовало бы проработать вопрос о способах, с помощью которых МОК сможет привлечь национальные органы управления к сотрудничеству на новом, более стратегическом уровне.</w:t>
      </w:r>
    </w:p>
    <w:p w14:paraId="12BC591F" w14:textId="77777777"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Одним из вариантов мог бы стать регулярный созыв форума высокопоставленных представителей директивных органов, наделенных правом участвовать в обсуждении стратегий планирования и управления на принципах рационального хозяйствования, а также вопросов финансирования Комиссии. Такой форум мог бы созываться один раз в четыре года, что согласуется с четырехгодичным бюджетным циклом. Его проведение дало бы возможность скорректировать видение лиц, определяющих политику, в отношении сфер компетенции МОК (переход от восприятия морской науки как сугубо технической дисциплины к ее пониманию как науки, служащей определенной цели, например, рациональному планированию и управлению в сфере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 а также способствовало бы повышению авторитета Комиссии. Это могло бы положить начало процессу усовершенствования мандата и организационной структуры с учетом связанных с океаном вызовов XXI века.</w:t>
      </w:r>
    </w:p>
    <w:p w14:paraId="2C932F0D" w14:textId="77777777" w:rsidR="007F52EE" w:rsidRPr="005E5562" w:rsidRDefault="00666235"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Десятилетие, посвященное науке об океане, открывает возможности для проведения переговоров с новыми партнерами-донорами, в том числе с предприятиями производственного сектора и благотворительными организациями. До сих пор значительная часть усилий была связана с налаживанием отношений с такими партнерами, однако теперь общие разговоры превращаются в предметные дискуссии относительно финансовой и нефинансовой поддержки, которую партнеры могут оказать в контексте реализации приоритетных инициатив в рамках Десятилетия науки об океане. Несмотря на необходимость определенного разграничения задач МОК в качестве учреждения-координатора проведения Десятилетия науки об океане и ее роли в деле самостоятельного или совместного осуществления мероприятий, включенных в программу Десятилетия, следует досконально изучить потенциальные возможности использования новых партнерских соглашений для реализации инициатив, осуществляемых по инициативе и под руководством МОК. В этом отношении продвижение в контексте Десятилетия методического руководства МОК по вопросам рационального планирования и управления в сфере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 xml:space="preserve">, например, путем реализации программы Десятилетия, </w:t>
      </w:r>
      <w:r w:rsidRPr="005E5562">
        <w:rPr>
          <w:rFonts w:ascii="Arial" w:hAnsi="Arial" w:cs="Arial"/>
          <w:sz w:val="22"/>
          <w:szCs w:val="22"/>
        </w:rPr>
        <w:lastRenderedPageBreak/>
        <w:t>касающейся планирования на принципах неистощительного освоения морей и океанов, способствовало бы укреплению информационно-пропагандистской компоненты и взаимодействия с партнерами.</w:t>
      </w:r>
    </w:p>
    <w:p w14:paraId="5A5B5C83" w14:textId="77777777" w:rsidR="007F52EE" w:rsidRPr="005E5562" w:rsidRDefault="00883912" w:rsidP="00FA3C85">
      <w:pPr>
        <w:keepNext/>
        <w:spacing w:after="240"/>
        <w:jc w:val="both"/>
        <w:rPr>
          <w:rFonts w:ascii="Arial" w:hAnsi="Arial" w:cs="Arial"/>
          <w:b/>
          <w:bCs/>
          <w:sz w:val="22"/>
          <w:szCs w:val="22"/>
        </w:rPr>
      </w:pPr>
      <w:r w:rsidRPr="005E5562">
        <w:rPr>
          <w:rFonts w:ascii="Arial" w:hAnsi="Arial" w:cs="Arial"/>
          <w:b/>
          <w:bCs/>
          <w:sz w:val="22"/>
          <w:szCs w:val="22"/>
        </w:rPr>
        <w:t>Основные предлагаемые к реализации меры:</w:t>
      </w:r>
    </w:p>
    <w:p w14:paraId="47396596" w14:textId="2580D440" w:rsidR="00883912" w:rsidRPr="005E5562" w:rsidRDefault="005C02F2" w:rsidP="00FA3C85">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rPr>
      </w:pPr>
      <w:r w:rsidRPr="005E5562">
        <w:rPr>
          <w:rFonts w:ascii="Arial" w:hAnsi="Arial" w:cs="Arial"/>
          <w:sz w:val="22"/>
          <w:szCs w:val="22"/>
        </w:rPr>
        <w:t>Получить профессиональную юридическую консультацию в отношении возможных последствий использования положения статьи 10.4 Устава МОК для привлечения Комиссией дополнительного финансирования на цели обеспечения эффективного и стабильного осуществления своих глобальных и региональных программ, в том числе в рамках Десятилетия науки об океане;</w:t>
      </w:r>
    </w:p>
    <w:p w14:paraId="10991948" w14:textId="77777777" w:rsidR="007F52EE" w:rsidRPr="005E5562" w:rsidRDefault="00883912" w:rsidP="00FA3C85">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rPr>
      </w:pPr>
      <w:r w:rsidRPr="005E5562">
        <w:rPr>
          <w:rFonts w:ascii="Arial" w:hAnsi="Arial" w:cs="Arial"/>
          <w:sz w:val="22"/>
          <w:szCs w:val="22"/>
        </w:rPr>
        <w:t>Провести в сотрудничестве с бюро стратегического планирования ЮНЕСКО (BSP) организованное обсуждение вопросов финансирования с целью привлечения новых доноров. Для содействия этой работе отобрать, возможно из числа нынешних основных доноров, небольшую группу государств-членов, которые могли бы выступать в качестве доноров-активистов и обсуждать с другими государствами-членами вопросы мобилизации ресурсов и активного участия в деятельности МОК;</w:t>
      </w:r>
    </w:p>
    <w:p w14:paraId="340A226F" w14:textId="6DB9EBD4" w:rsidR="00EA1173" w:rsidRPr="005E5562" w:rsidRDefault="00EA1173" w:rsidP="00FA3C85">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rPr>
      </w:pPr>
      <w:r w:rsidRPr="005E5562">
        <w:rPr>
          <w:rFonts w:ascii="Arial" w:hAnsi="Arial" w:cs="Arial"/>
          <w:sz w:val="22"/>
          <w:szCs w:val="22"/>
        </w:rPr>
        <w:t>Изучить возможности созыва один раз в четыре года, возможно в период проведения Ассамблеи МОК, форума высокопоставленных представителей директивных органов;</w:t>
      </w:r>
    </w:p>
    <w:p w14:paraId="5206CACB" w14:textId="77777777" w:rsidR="007F52EE" w:rsidRPr="005E5562" w:rsidRDefault="00AB0D25" w:rsidP="00FA3C85">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rPr>
      </w:pPr>
      <w:r w:rsidRPr="005E5562">
        <w:rPr>
          <w:rFonts w:ascii="Arial" w:hAnsi="Arial" w:cs="Arial"/>
          <w:sz w:val="22"/>
          <w:szCs w:val="22"/>
        </w:rPr>
        <w:t xml:space="preserve">Провести в рамках МОК продуманную кампанию информирования в отношении методического руководства по вопросам рационального планирования и управления в сфере </w:t>
      </w:r>
      <w:proofErr w:type="spellStart"/>
      <w:r w:rsidRPr="005E5562">
        <w:rPr>
          <w:rFonts w:ascii="Arial" w:hAnsi="Arial" w:cs="Arial"/>
          <w:sz w:val="22"/>
          <w:szCs w:val="22"/>
        </w:rPr>
        <w:t>морепользования</w:t>
      </w:r>
      <w:proofErr w:type="spellEnd"/>
      <w:r w:rsidRPr="005E5562">
        <w:rPr>
          <w:rFonts w:ascii="Arial" w:hAnsi="Arial" w:cs="Arial"/>
          <w:sz w:val="22"/>
          <w:szCs w:val="22"/>
        </w:rPr>
        <w:t xml:space="preserve"> и активно продвигать этот рамочный документ в контексте проведения Десятилетия науки об океане.</w:t>
      </w:r>
    </w:p>
    <w:p w14:paraId="3E581C9F" w14:textId="3C82F74D" w:rsidR="00883912" w:rsidRPr="005E5562" w:rsidRDefault="00883912" w:rsidP="00F47454">
      <w:pPr>
        <w:spacing w:after="240"/>
        <w:jc w:val="both"/>
        <w:rPr>
          <w:rFonts w:ascii="Arial" w:hAnsi="Arial" w:cs="Arial"/>
          <w:b/>
          <w:bCs/>
          <w:color w:val="002060"/>
          <w:sz w:val="22"/>
          <w:szCs w:val="22"/>
        </w:rPr>
      </w:pPr>
      <w:r w:rsidRPr="005E5562">
        <w:rPr>
          <w:rFonts w:ascii="Arial" w:hAnsi="Arial" w:cs="Arial"/>
          <w:b/>
          <w:bCs/>
          <w:color w:val="002060"/>
          <w:sz w:val="22"/>
          <w:szCs w:val="22"/>
          <w:u w:val="single"/>
        </w:rPr>
        <w:t>Рекомендация 2</w:t>
      </w:r>
      <w:r w:rsidRPr="00AD7717">
        <w:rPr>
          <w:rFonts w:ascii="Arial" w:hAnsi="Arial" w:cs="Arial"/>
          <w:b/>
          <w:bCs/>
          <w:color w:val="002060"/>
          <w:sz w:val="22"/>
          <w:szCs w:val="22"/>
          <w:u w:val="single"/>
        </w:rPr>
        <w:t>:</w:t>
      </w:r>
      <w:r w:rsidRPr="005E5562">
        <w:rPr>
          <w:rFonts w:ascii="Arial" w:hAnsi="Arial" w:cs="Arial"/>
          <w:b/>
          <w:bCs/>
          <w:color w:val="002060"/>
          <w:sz w:val="22"/>
          <w:szCs w:val="22"/>
          <w:u w:val="single"/>
        </w:rPr>
        <w:t xml:space="preserve"> К июню 2022 г. </w:t>
      </w:r>
      <w:r w:rsidR="00B63B26" w:rsidRPr="005E5562">
        <w:rPr>
          <w:rFonts w:ascii="Arial" w:hAnsi="Arial" w:cs="Arial"/>
          <w:b/>
          <w:bCs/>
          <w:color w:val="002060"/>
          <w:sz w:val="22"/>
          <w:szCs w:val="22"/>
          <w:u w:val="single"/>
        </w:rPr>
        <w:t>р</w:t>
      </w:r>
      <w:r w:rsidRPr="005E5562">
        <w:rPr>
          <w:rFonts w:ascii="Arial" w:hAnsi="Arial" w:cs="Arial"/>
          <w:b/>
          <w:bCs/>
          <w:color w:val="002060"/>
          <w:sz w:val="22"/>
          <w:szCs w:val="22"/>
          <w:u w:val="single"/>
        </w:rPr>
        <w:t>азработать в партнерстве с другими учреждениями логико-структурную матрицу достижения запланированных результатов Десятилетия Организации Объединенных Наций, посвященного науке об океане в интересах устойчивого развития, в которой были бы четко обозначены конечные и промежуточные цели, целевые показатели и предполагаемые ответственные исполнители из числа учреждений системы ООН и которая могла бы также использоваться для мониторинга и оценки прогресса в достижении целей Десятилетия</w:t>
      </w:r>
    </w:p>
    <w:p w14:paraId="6BA0DF79" w14:textId="15D08697" w:rsidR="00C76BED"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Десятилетие ООН, посвященное науке об океане в интересах устойчивого развития, способно существенно расширить возможности МОК с точки зрения масштабов ее деятельности и налаживания взаимодействия в рамках цепочки приращения знаний в области морских наук и тем самым ускорить достижение ожидаемых результатов и оказать влияние на представителей директивных органов. Тем не менее, это станет возможным лишь в том случае, если Десятилетие послужит объединяющей основой, которая позволит задействовать усилия других организаций и принять во внимание их интересы и основные приоритеты. На первоначальном этапе основная часть связанной с Десятилетием работы намеренно проводилась на основе децентрализованного подхода с целью стимулирования и поощрения участия заинтересованных сторон, однако сегодня возникла вполне логичная потребность, а также просьба со стороны партнеров дополнить указанный подход посредством более детальной структуризации основных ожидаемых результатов Десятилетия науки об океане, например, в разбивке по приоритетным задачам. Формулирование основных ожидаемых результатов и целевых показателей по каждой из приоритетных задач Десятилетия повысит его консолидирующий потенциал, а также позволит МОК продемонстрировать значимость своих усилий с точки зрения вклада в достижение основных целей Десятилетия.</w:t>
      </w:r>
    </w:p>
    <w:p w14:paraId="096A1652" w14:textId="0129085E"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Это, в свою очередь, потребует составления комплексной</w:t>
      </w:r>
      <w:r w:rsidR="0001156F" w:rsidRPr="005E5562">
        <w:rPr>
          <w:rFonts w:ascii="Arial" w:hAnsi="Arial" w:cs="Arial"/>
          <w:sz w:val="22"/>
          <w:szCs w:val="22"/>
        </w:rPr>
        <w:t xml:space="preserve"> </w:t>
      </w:r>
      <w:r w:rsidRPr="005E5562">
        <w:rPr>
          <w:rFonts w:ascii="Arial" w:hAnsi="Arial" w:cs="Arial"/>
          <w:sz w:val="22"/>
          <w:szCs w:val="22"/>
        </w:rPr>
        <w:t xml:space="preserve">логико-структурной матрицы достижения запланированных результатов, в которой одновременно найдут отражение усилия различных участников, связанные с оказанием поддержки и мониторингом, и в отношении </w:t>
      </w:r>
      <w:r w:rsidRPr="005E5562">
        <w:rPr>
          <w:rFonts w:ascii="Arial" w:hAnsi="Arial" w:cs="Arial"/>
          <w:sz w:val="22"/>
          <w:szCs w:val="22"/>
        </w:rPr>
        <w:lastRenderedPageBreak/>
        <w:t>которых МОК обеспечит координацию осуществления мониторинга и подготовки отчетности. Указанная логико-структурная матрица с течением времени обязательно будет корректироваться по мере формулирования новых и уточнения уже существующих основных ожидаемых результатов с опорой на итоги основных этапов и на механизмы обзора Десятилетия науки об океане, краткая информация о которых была представлена в рабочем резюме Плана проведения Десятилетия (</w:t>
      </w:r>
      <w:hyperlink r:id="rId11" w:history="1">
        <w:r w:rsidRPr="005E5562">
          <w:rPr>
            <w:rStyle w:val="Hyperlink"/>
            <w:rFonts w:ascii="Arial" w:hAnsi="Arial" w:cs="Arial"/>
            <w:sz w:val="22"/>
            <w:szCs w:val="22"/>
          </w:rPr>
          <w:t>IOC/2021/ODS/19</w:t>
        </w:r>
      </w:hyperlink>
      <w:r w:rsidRPr="005E5562">
        <w:rPr>
          <w:rFonts w:ascii="Arial" w:hAnsi="Arial" w:cs="Arial"/>
          <w:sz w:val="22"/>
          <w:szCs w:val="22"/>
        </w:rPr>
        <w:t>).</w:t>
      </w:r>
    </w:p>
    <w:p w14:paraId="478D4508" w14:textId="77777777"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Для целей мониторинга и оценки (</w:t>
      </w:r>
      <w:proofErr w:type="spellStart"/>
      <w:r w:rsidRPr="005E5562">
        <w:rPr>
          <w:rFonts w:ascii="Arial" w:hAnsi="Arial" w:cs="Arial"/>
          <w:sz w:val="22"/>
          <w:szCs w:val="22"/>
        </w:rPr>
        <w:t>МиО</w:t>
      </w:r>
      <w:proofErr w:type="spellEnd"/>
      <w:r w:rsidRPr="005E5562">
        <w:rPr>
          <w:rFonts w:ascii="Arial" w:hAnsi="Arial" w:cs="Arial"/>
          <w:sz w:val="22"/>
          <w:szCs w:val="22"/>
        </w:rPr>
        <w:t xml:space="preserve">) в рамках МОК имеется возможность использовать уже опубликованные материалы в качестве информационно-методологической основы при сборе данных. В числе таких материалов можно упомянуть, в частности, </w:t>
      </w:r>
      <w:r w:rsidRPr="005E5562">
        <w:rPr>
          <w:rFonts w:ascii="Arial" w:hAnsi="Arial" w:cs="Arial"/>
          <w:i/>
          <w:sz w:val="22"/>
          <w:szCs w:val="22"/>
        </w:rPr>
        <w:t>Глобальный доклад о состоянии океанографии</w:t>
      </w:r>
      <w:r w:rsidRPr="005E5562">
        <w:rPr>
          <w:rFonts w:ascii="Arial" w:hAnsi="Arial" w:cs="Arial"/>
          <w:sz w:val="22"/>
          <w:szCs w:val="22"/>
        </w:rPr>
        <w:t>, представляемый новый Доклад о состоянии Мирового океана, а также материалы, подготовленные в рамках Глобальной системы наблюдений за океаном (ГСНО) и других программ Десятилетия, осуществляемых по инициативе и под руководством МОК. Важнейшую роль при составлении матрицы достижения результатов призваны сыграть разрабатываемые в настоящее время руководящие принципы и критерии мониторинга и оценки хода проведения Десятилетия. Запланированный на 2025 г. среднесрочный обзор деятельности в связи с Десятилетием позволит оценить перспективы достижения поставленных в рамках Десятилетия целей.</w:t>
      </w:r>
    </w:p>
    <w:p w14:paraId="7BB9A51B" w14:textId="77777777" w:rsidR="007F52EE" w:rsidRPr="005E5562" w:rsidRDefault="00883912" w:rsidP="00FA3C85">
      <w:pPr>
        <w:keepNext/>
        <w:spacing w:after="240"/>
        <w:jc w:val="both"/>
        <w:rPr>
          <w:rFonts w:ascii="Arial" w:hAnsi="Arial" w:cs="Arial"/>
          <w:b/>
          <w:bCs/>
          <w:sz w:val="22"/>
          <w:szCs w:val="22"/>
        </w:rPr>
      </w:pPr>
      <w:r w:rsidRPr="005E5562">
        <w:rPr>
          <w:rFonts w:ascii="Arial" w:hAnsi="Arial" w:cs="Arial"/>
          <w:b/>
          <w:bCs/>
          <w:sz w:val="22"/>
          <w:szCs w:val="22"/>
        </w:rPr>
        <w:t>Основные предлагаемые к реализации меры:</w:t>
      </w:r>
    </w:p>
    <w:p w14:paraId="0C43B1BA" w14:textId="119E29E3" w:rsidR="00A06658" w:rsidRPr="005E5562" w:rsidRDefault="00A4066C" w:rsidP="00FA3C85">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rPr>
      </w:pPr>
      <w:r w:rsidRPr="005E5562">
        <w:rPr>
          <w:rFonts w:ascii="Arial" w:hAnsi="Arial" w:cs="Arial"/>
          <w:sz w:val="22"/>
          <w:szCs w:val="22"/>
        </w:rPr>
        <w:t>Начать применение первой версии матрицы достижения запланированных результатов Десятилетия науки об океане не позднее середины 2022 г. В первой версии матрицы должны быть отражены, как минимум, конечные и промежуточные результаты, показатели эффективности, контрольные показатели и предполагаемые ответственные исполнители;</w:t>
      </w:r>
    </w:p>
    <w:p w14:paraId="73A3079E" w14:textId="440B3D2C" w:rsidR="00A4066C" w:rsidRPr="005E5562" w:rsidRDefault="00A4066C" w:rsidP="00FA3C85">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rPr>
      </w:pPr>
      <w:r w:rsidRPr="005E5562">
        <w:rPr>
          <w:rFonts w:ascii="Arial" w:hAnsi="Arial" w:cs="Arial"/>
          <w:sz w:val="22"/>
          <w:szCs w:val="22"/>
        </w:rPr>
        <w:t>Организовать работу по коллективному формулированию совместно с партнерами по сети «ООН-океаны» и всеми соответствующими заинтересованными сторонами основных ожидаемых результатов и целевых показателей для десяти приоритетных задач Десятилетия, посвященного науке об океане, и их последовательную интеграцию в матрицу достижения запланированных результатов Десятилетия;</w:t>
      </w:r>
    </w:p>
    <w:p w14:paraId="7300411B" w14:textId="0D3800D9" w:rsidR="00883912" w:rsidRPr="005E5562" w:rsidRDefault="00A4066C" w:rsidP="00FA3C85">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rPr>
      </w:pPr>
      <w:r w:rsidRPr="005E5562">
        <w:rPr>
          <w:rFonts w:ascii="Arial" w:hAnsi="Arial" w:cs="Arial"/>
          <w:sz w:val="22"/>
          <w:szCs w:val="22"/>
        </w:rPr>
        <w:t xml:space="preserve">Обеспечить практическое применение механизмов обзора, предусмотренных в </w:t>
      </w:r>
      <w:r w:rsidRPr="005E5562">
        <w:rPr>
          <w:rFonts w:ascii="Arial" w:hAnsi="Arial" w:cs="Arial"/>
          <w:i/>
          <w:sz w:val="22"/>
          <w:szCs w:val="22"/>
        </w:rPr>
        <w:t>Плане проведения Десятилетия, посвященного науке об океане</w:t>
      </w:r>
      <w:r w:rsidRPr="005E5562">
        <w:rPr>
          <w:rFonts w:ascii="Arial" w:hAnsi="Arial" w:cs="Arial"/>
          <w:sz w:val="22"/>
          <w:szCs w:val="22"/>
        </w:rPr>
        <w:t>, включая проведение каждые три года серии международных и региональных конференций, посвященных Десятилетию науки об океане, которые обеспечат площадку для критической оценки проделанной работы и гибкую систему управления реализацией приоритетов Десятилетия.</w:t>
      </w:r>
    </w:p>
    <w:p w14:paraId="6E28F898" w14:textId="0B4EAFBD" w:rsidR="00883912" w:rsidRPr="005E5562" w:rsidRDefault="00883912" w:rsidP="00F47454">
      <w:pPr>
        <w:keepNext/>
        <w:spacing w:after="240"/>
        <w:rPr>
          <w:rFonts w:ascii="Arial" w:hAnsi="Arial" w:cs="Arial"/>
          <w:b/>
          <w:bCs/>
          <w:color w:val="002060"/>
          <w:sz w:val="22"/>
          <w:szCs w:val="22"/>
          <w:u w:val="single"/>
        </w:rPr>
      </w:pPr>
      <w:r w:rsidRPr="005E5562">
        <w:rPr>
          <w:rFonts w:ascii="Arial" w:hAnsi="Arial" w:cs="Arial"/>
          <w:b/>
          <w:bCs/>
          <w:color w:val="002060"/>
          <w:sz w:val="22"/>
          <w:szCs w:val="22"/>
          <w:u w:val="single"/>
        </w:rPr>
        <w:t xml:space="preserve">Рекомендация 3: К июню 2022 г. </w:t>
      </w:r>
      <w:r w:rsidR="00B63B26" w:rsidRPr="005E5562">
        <w:rPr>
          <w:rFonts w:ascii="Arial" w:hAnsi="Arial" w:cs="Arial"/>
          <w:b/>
          <w:bCs/>
          <w:color w:val="002060"/>
          <w:sz w:val="22"/>
          <w:szCs w:val="22"/>
          <w:u w:val="single"/>
        </w:rPr>
        <w:t>о</w:t>
      </w:r>
      <w:r w:rsidRPr="005E5562">
        <w:rPr>
          <w:rFonts w:ascii="Arial" w:hAnsi="Arial" w:cs="Arial"/>
          <w:b/>
          <w:bCs/>
          <w:color w:val="002060"/>
          <w:sz w:val="22"/>
          <w:szCs w:val="22"/>
          <w:u w:val="single"/>
        </w:rPr>
        <w:t>пределить способы поддержки Десятилетия со стороны ЮНЕСКО</w:t>
      </w:r>
    </w:p>
    <w:p w14:paraId="4438C941" w14:textId="77777777" w:rsidR="007F52EE" w:rsidRPr="005E5562" w:rsidRDefault="00EA1173"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В дополнение к базовому финансированию по линии обычной программы, утвержденному в Программе и бюджете на 2022-2025 гг. (41 С/5), основную часть финансовых средств предстоит обеспечить за счет привлечения внебюджетных ресурсов. Комиссии необходимо решить вопрос об адекватном ресурсном и кадровом обеспечении Группы по координации проведения Десятилетия и одновременно содействовать налаживанию связей между партнерами Десятилетия, занимающимися морской научно-исследовательской деятельностью, и структурами, готовыми предоставить свои ресурсы.</w:t>
      </w:r>
    </w:p>
    <w:p w14:paraId="40648390" w14:textId="77777777" w:rsidR="007F52EE" w:rsidRPr="005E5562" w:rsidRDefault="00B50AC3"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Сохранение низкого уровня финансирования может поставить под угрозу успех проведения Десятилетия и негативно сказаться на имидже МОК-ЮНЕСКО. Крайне важно, чтобы МОК активизировала диалог с (i) партнерами по сети «ООН-океаны» и (ii) организациями, не входящими в систему ООН, в том числе с благотворительными организациями и частными структурами. Положительным примером в этом отношении является поддержка, оказанная </w:t>
      </w:r>
      <w:r w:rsidRPr="005E5562">
        <w:rPr>
          <w:rFonts w:ascii="Arial" w:hAnsi="Arial" w:cs="Arial"/>
          <w:sz w:val="22"/>
          <w:szCs w:val="22"/>
        </w:rPr>
        <w:lastRenderedPageBreak/>
        <w:t xml:space="preserve">компанией </w:t>
      </w:r>
      <w:proofErr w:type="spellStart"/>
      <w:r w:rsidRPr="005E5562">
        <w:rPr>
          <w:rFonts w:ascii="Arial" w:hAnsi="Arial" w:cs="Arial"/>
          <w:i/>
          <w:sz w:val="22"/>
          <w:szCs w:val="22"/>
        </w:rPr>
        <w:t>Fugro</w:t>
      </w:r>
      <w:proofErr w:type="spellEnd"/>
      <w:r w:rsidRPr="005E5562">
        <w:rPr>
          <w:rFonts w:ascii="Arial" w:hAnsi="Arial" w:cs="Arial"/>
          <w:sz w:val="22"/>
          <w:szCs w:val="22"/>
        </w:rPr>
        <w:t>, которая временно предоставила в распоряжение Группы по координации проведения Десятилетия специалиста по работе с данными, а также расширение контактов с благотворительными организациями в рамках серии совещаний «Диалог благотворительных фондов». Продолжает расширяться состав участников Альянса в поддержку Десятилетия науки об океане, который имеет все шансы стать авторитетной платформой и сетевой структурой для привлечения (как непосредственного, так и опосредованного) ресурсов на цели проведения Десятилетия. Необходимо продолжить работу по переводу в практическую плоскость обязательств членов Альянса, касающихся оказания поддержки конкретным мероприятиям, включенным в программу Десятилетия, а также финансовой помощи на цели координации деятельности.</w:t>
      </w:r>
    </w:p>
    <w:p w14:paraId="1422D3FD" w14:textId="51B22BF4"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На момент подготовки настоящего документа национальные комитеты по проведению Десятилетия</w:t>
      </w:r>
      <w:r w:rsidR="00AD7717">
        <w:rPr>
          <w:rFonts w:ascii="Arial" w:hAnsi="Arial" w:cs="Arial"/>
          <w:sz w:val="22"/>
          <w:szCs w:val="22"/>
        </w:rPr>
        <w:t xml:space="preserve"> были созданы в 27 государствах – </w:t>
      </w:r>
      <w:r w:rsidRPr="005E5562">
        <w:rPr>
          <w:rFonts w:ascii="Arial" w:hAnsi="Arial" w:cs="Arial"/>
          <w:sz w:val="22"/>
          <w:szCs w:val="22"/>
        </w:rPr>
        <w:t>членах МОК. Это обнадеживающие результаты, хотя гораздо больше еще предстоит сделать. Для достижения этой цели МОК необходимо будет:</w:t>
      </w:r>
      <w:r w:rsidR="0001156F" w:rsidRPr="005E5562">
        <w:rPr>
          <w:rFonts w:ascii="Arial" w:hAnsi="Arial" w:cs="Arial"/>
          <w:sz w:val="22"/>
          <w:szCs w:val="22"/>
        </w:rPr>
        <w:t xml:space="preserve"> </w:t>
      </w:r>
      <w:r w:rsidRPr="005E5562">
        <w:rPr>
          <w:rFonts w:ascii="Arial" w:hAnsi="Arial" w:cs="Arial"/>
          <w:sz w:val="22"/>
          <w:szCs w:val="22"/>
        </w:rPr>
        <w:t>(i) активизировать информационно-разъяснительную работу с государствами-членами для повышения их информированности о целях Десятилетия и преимуществах участия в его проведении; (ii) объяснить государствам-членам, как Десятилетие сможет помочь им достичь поставленных на национальном уровне целей; (iii) четко обозначить потенциальные возможности оказания государствами-членами поддержки на цели осуществления связанной с Десятилетием деятельности и покрытия расходов по ее координации, включая поддержку в нефинансовой форме; и (iv) наладить стратегическое взаимодействие с государствами-донорами, в том числе с нынешними основными партнерами, в качестве доноров-активистов по работе с другими государствами. Мониторинг уровня участия и финансовой поддержки государств, а также обеспечение наглядного представления эффективности и долгосрочного воздействия при помощи матрицы достижения запланированных результатов может стимулировать дополнительную финансовую поддержку на цели проведения Десятилетия.</w:t>
      </w:r>
    </w:p>
    <w:p w14:paraId="73A047FA" w14:textId="517C679F"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У Комиссии имеются также возможности использовать свои региональные подкомиссии для привлечения дополнительных ресурсов. Так, например, Подкомиссия МОК для западной части Тихого океана (ВЕСТПАК) смогла получить в контексте Десятилетия поддержку в форме укрепления кадрового потенциала Секретариата для целей координации на региональном уровне связанной с Десятилетием деятельности. Проведение Всеафриканской конференции по определению приоритетов и развитию партнерского взаимодействия в поддержку Десятилетия ООН, посвященного науке об океане в интересах устойчивого развития (Каир, 10</w:t>
      </w:r>
      <w:r w:rsidR="00FA3C85">
        <w:rPr>
          <w:rFonts w:ascii="Arial" w:hAnsi="Arial" w:cs="Arial"/>
          <w:sz w:val="22"/>
          <w:szCs w:val="22"/>
        </w:rPr>
        <w:noBreakHyphen/>
      </w:r>
      <w:r w:rsidRPr="005E5562">
        <w:rPr>
          <w:rFonts w:ascii="Arial" w:hAnsi="Arial" w:cs="Arial"/>
          <w:sz w:val="22"/>
          <w:szCs w:val="22"/>
        </w:rPr>
        <w:t>12</w:t>
      </w:r>
      <w:r w:rsidR="00FA3C85">
        <w:rPr>
          <w:rFonts w:ascii="Arial" w:hAnsi="Arial" w:cs="Arial"/>
          <w:sz w:val="22"/>
          <w:szCs w:val="22"/>
          <w:lang w:val="en-GB"/>
        </w:rPr>
        <w:t> </w:t>
      </w:r>
      <w:r w:rsidRPr="005E5562">
        <w:rPr>
          <w:rFonts w:ascii="Arial" w:hAnsi="Arial" w:cs="Arial"/>
          <w:sz w:val="22"/>
          <w:szCs w:val="22"/>
        </w:rPr>
        <w:t xml:space="preserve">мая 2022 г.), и подготовка </w:t>
      </w:r>
      <w:r w:rsidRPr="005E5562">
        <w:rPr>
          <w:rFonts w:ascii="Arial" w:hAnsi="Arial" w:cs="Arial"/>
          <w:i/>
          <w:sz w:val="22"/>
          <w:szCs w:val="22"/>
        </w:rPr>
        <w:t>Дорожной карты проведения Десятилетия науки об океане в странах Африки</w:t>
      </w:r>
      <w:r w:rsidRPr="005E5562">
        <w:rPr>
          <w:rFonts w:ascii="Arial" w:hAnsi="Arial" w:cs="Arial"/>
          <w:sz w:val="22"/>
          <w:szCs w:val="22"/>
        </w:rPr>
        <w:t xml:space="preserve"> (</w:t>
      </w:r>
      <w:hyperlink r:id="rId12" w:history="1">
        <w:r w:rsidRPr="005E5562">
          <w:rPr>
            <w:rStyle w:val="Hyperlink"/>
            <w:rFonts w:ascii="Arial" w:hAnsi="Arial" w:cs="Arial"/>
            <w:sz w:val="22"/>
            <w:szCs w:val="22"/>
          </w:rPr>
          <w:t>IOC/2022/ODS/36</w:t>
        </w:r>
      </w:hyperlink>
      <w:r w:rsidRPr="005E5562">
        <w:rPr>
          <w:rFonts w:ascii="Arial" w:hAnsi="Arial" w:cs="Arial"/>
          <w:sz w:val="22"/>
          <w:szCs w:val="22"/>
        </w:rPr>
        <w:t>) также являются весьма обнадеживающим подтверждением движения вперед и должны быть использованы в качестве инструментов мобилизации дополнительных ресурсов с целью позиционирования Подкомиссии МОКАФРИКА как полностью обеспеченного с ресурсной точки зрения регионального координационного центра Десятилетия. Решающее значение могло бы иметь задействование потенциала многосторонних банков развития, международных финансовых механизмов, включая Зеленый климатический фонд (ЗКФ), и региональных доноров, таких как Африканский союз или Африканский банк развития. Вышеупомянутые учреждения в основном оказывают поддержку в ответ на соответствующие заявки государств, в связи с чем важно будет организовать работу через посредство государств-членов, с тем чтобы подчеркнуть важность финансирования морской научно-исследовательской деятельности. Еще одним вариантом, требующим внимания, является обсуждение с BSP перспектив возобновления дискуссий относительно возможной формальной роли ЮНЕСКО в качестве учреждения</w:t>
      </w:r>
      <w:r w:rsidR="005463CE" w:rsidRPr="005463CE">
        <w:rPr>
          <w:rFonts w:ascii="Arial" w:hAnsi="Arial" w:cs="Arial"/>
          <w:sz w:val="22"/>
          <w:szCs w:val="22"/>
        </w:rPr>
        <w:t xml:space="preserve"> </w:t>
      </w:r>
      <w:r w:rsidR="005463CE">
        <w:rPr>
          <w:rFonts w:ascii="Arial" w:hAnsi="Arial" w:cs="Arial"/>
          <w:sz w:val="22"/>
          <w:szCs w:val="22"/>
        </w:rPr>
        <w:t>–</w:t>
      </w:r>
      <w:r w:rsidR="005463CE" w:rsidRPr="005463CE">
        <w:rPr>
          <w:rFonts w:ascii="Arial" w:hAnsi="Arial" w:cs="Arial"/>
          <w:sz w:val="22"/>
          <w:szCs w:val="22"/>
        </w:rPr>
        <w:t xml:space="preserve"> </w:t>
      </w:r>
      <w:r w:rsidRPr="005E5562">
        <w:rPr>
          <w:rFonts w:ascii="Arial" w:hAnsi="Arial" w:cs="Arial"/>
          <w:sz w:val="22"/>
          <w:szCs w:val="22"/>
        </w:rPr>
        <w:t>исполнителя проектов, финансируемых по линии ЗКФ и Адаптационного фонда. В целом создание в развивающихся странах национальных комитетов по проведению Десятилетия могло бы помочь в получении финансовой поддержки от учреждений, занимающихся оказанием официальной помощи в целях развития (ОПР), посредством формулирования такими комитетами национальных приоритетов в рамках проводимого Десятилетия. В то же время это потребует активного взаимодействия и коммуникации с самими комитетами, дабы обеспечить непротиворечивость поступающей информации.</w:t>
      </w:r>
    </w:p>
    <w:p w14:paraId="1CB7BC19" w14:textId="172B4FC7" w:rsidR="0003710A" w:rsidRPr="005E5562" w:rsidRDefault="0003710A"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lastRenderedPageBreak/>
        <w:t xml:space="preserve">Поддержанное многими государствами-членами предложение Египта о внесении в повестку дня 214-й сессии Исполнительного совета ЮНЕСКО пункта под названием «ЮНЕСКО и Мировой океан» и принятое по этому вопросу решение </w:t>
      </w:r>
      <w:hyperlink r:id="rId13" w:history="1">
        <w:r w:rsidRPr="005E5562">
          <w:rPr>
            <w:rStyle w:val="Hyperlink"/>
            <w:rFonts w:ascii="Arial" w:hAnsi="Arial" w:cs="Arial"/>
            <w:sz w:val="22"/>
            <w:szCs w:val="22"/>
          </w:rPr>
          <w:t>214 EX/29</w:t>
        </w:r>
      </w:hyperlink>
      <w:r w:rsidRPr="005E5562">
        <w:rPr>
          <w:rFonts w:ascii="Arial" w:hAnsi="Arial" w:cs="Arial"/>
          <w:sz w:val="22"/>
          <w:szCs w:val="22"/>
        </w:rPr>
        <w:t xml:space="preserve"> является в этом смысле чрезвычайно важным шагом в правильном направлении.</w:t>
      </w:r>
    </w:p>
    <w:p w14:paraId="0E5B886F" w14:textId="77777777" w:rsidR="007F52EE" w:rsidRPr="005E5562" w:rsidRDefault="00883912" w:rsidP="00EB5291">
      <w:pPr>
        <w:keepNext/>
        <w:spacing w:after="240"/>
        <w:jc w:val="both"/>
        <w:rPr>
          <w:rFonts w:ascii="Arial" w:hAnsi="Arial" w:cs="Arial"/>
          <w:b/>
          <w:bCs/>
          <w:sz w:val="22"/>
          <w:szCs w:val="22"/>
        </w:rPr>
      </w:pPr>
      <w:r w:rsidRPr="005E5562">
        <w:rPr>
          <w:rFonts w:ascii="Arial" w:hAnsi="Arial" w:cs="Arial"/>
          <w:b/>
          <w:bCs/>
          <w:sz w:val="22"/>
          <w:szCs w:val="22"/>
        </w:rPr>
        <w:t>Основные предлагаемые к реализации меры:</w:t>
      </w:r>
    </w:p>
    <w:p w14:paraId="155D1C77" w14:textId="66F634FC" w:rsidR="00AB0D25" w:rsidRPr="005E5562" w:rsidRDefault="00AB0D25" w:rsidP="00EB529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Сформулировать легкие для восприятия, адресные обращения к различным группам доноров относительно пользы и возможных способов оказания финансовой поддержки на цели проведения Десятилетия науки об океане;</w:t>
      </w:r>
    </w:p>
    <w:p w14:paraId="23EC3C19" w14:textId="07AD660F" w:rsidR="00147C45" w:rsidRPr="005E5562" w:rsidRDefault="00147C45" w:rsidP="00EB529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Провести дополнительную оценку ресурсных потребностей программ и структур МОК (не связанных с выполнением ГКД возложенных на нее координационных функций) в целях реального содействия проведению Десятилетия;</w:t>
      </w:r>
    </w:p>
    <w:p w14:paraId="53234997" w14:textId="792C3B9B" w:rsidR="00883912" w:rsidRPr="00286D70" w:rsidRDefault="007702A9" w:rsidP="00EB529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rPr>
      </w:pPr>
      <w:r w:rsidRPr="00286D70">
        <w:rPr>
          <w:rFonts w:ascii="Arial" w:hAnsi="Arial" w:cs="Arial"/>
          <w:sz w:val="22"/>
          <w:szCs w:val="22"/>
        </w:rPr>
        <w:t xml:space="preserve">Руководствуясь решением </w:t>
      </w:r>
      <w:hyperlink r:id="rId14" w:history="1">
        <w:r w:rsidRPr="00286D70">
          <w:rPr>
            <w:rFonts w:ascii="Arial" w:hAnsi="Arial" w:cs="Arial"/>
            <w:sz w:val="22"/>
            <w:szCs w:val="22"/>
          </w:rPr>
          <w:t>214 ЕХ/29</w:t>
        </w:r>
      </w:hyperlink>
      <w:r w:rsidRPr="00286D70">
        <w:rPr>
          <w:rFonts w:ascii="Arial" w:hAnsi="Arial" w:cs="Arial"/>
          <w:sz w:val="22"/>
          <w:szCs w:val="22"/>
        </w:rPr>
        <w:t xml:space="preserve"> Исполнительного совета ЮНЕСКО, осуществлять взаимодействие с другими секторами ЮНЕСКО с целью придания океанской проблематике характера сквозной приоритетной темы и продвижения Десятилетия, посвященного науке об океане, в качестве основного инструмента оказания государствами-членами содействия в этой области.</w:t>
      </w:r>
    </w:p>
    <w:p w14:paraId="0BCB107B" w14:textId="77777777" w:rsidR="00883912" w:rsidRPr="005E5562" w:rsidRDefault="00883912" w:rsidP="00EB5291">
      <w:pPr>
        <w:keepNext/>
        <w:spacing w:after="240"/>
        <w:jc w:val="both"/>
        <w:rPr>
          <w:rFonts w:ascii="Arial" w:hAnsi="Arial" w:cs="Arial"/>
          <w:i/>
          <w:iCs/>
          <w:sz w:val="22"/>
          <w:szCs w:val="22"/>
        </w:rPr>
      </w:pPr>
      <w:r w:rsidRPr="005E5562">
        <w:rPr>
          <w:rFonts w:ascii="Arial" w:hAnsi="Arial" w:cs="Arial"/>
          <w:i/>
          <w:iCs/>
          <w:sz w:val="22"/>
          <w:szCs w:val="22"/>
        </w:rPr>
        <w:t>Меры содействия в масштабах системы ООН:</w:t>
      </w:r>
    </w:p>
    <w:p w14:paraId="19AFFFF1" w14:textId="6CA409C2" w:rsidR="00090A38" w:rsidRPr="005E5562" w:rsidRDefault="00090A38" w:rsidP="00EB529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Разработать четкую стандартную форму «запроса» партнеров об оказании финансовой или нефинансовой поддержки Группе по координации проведения Десятилетия;</w:t>
      </w:r>
    </w:p>
    <w:p w14:paraId="1C75A018" w14:textId="6C175BF3" w:rsidR="00416B39" w:rsidRPr="005E5562" w:rsidRDefault="00416B39" w:rsidP="00EB529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Провести подробное картирование и анализ деятельности и интересов партнеров по сети «ООН-океаны» с целью определения списка имеющихся или потенциально возможных инициатив, касающихся Десятилетия, а также выявить слабые места и дать рекомендации в отношении укрепления взаимодействия и ресурсного обеспечения;</w:t>
      </w:r>
    </w:p>
    <w:p w14:paraId="0A03D901" w14:textId="572F5883" w:rsidR="00F5218A" w:rsidRPr="005E5562" w:rsidRDefault="00F5218A" w:rsidP="00EB529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Поощрять партнеров по системе ООН к созданию и ресурсному обеспечению бюро по координации проведения Десятилетия в целях обеспечения скоординированной работы по региональным или тематическим приоритетам;</w:t>
      </w:r>
    </w:p>
    <w:p w14:paraId="2408C33B" w14:textId="2800DA68" w:rsidR="00883912" w:rsidRPr="005E5562" w:rsidRDefault="00416B39" w:rsidP="00EB529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Ввести в качестве необходимого условия членства в Альянсе в поддержку Десятилетия науки требование о предоставлении ГКД финансовой или нефинансовой поддержки.</w:t>
      </w:r>
    </w:p>
    <w:p w14:paraId="649ED615" w14:textId="40448035" w:rsidR="00883912" w:rsidRPr="005E5562" w:rsidRDefault="00883912" w:rsidP="00EB5291">
      <w:pPr>
        <w:keepNext/>
        <w:spacing w:after="240"/>
        <w:jc w:val="both"/>
        <w:rPr>
          <w:rFonts w:ascii="Arial" w:hAnsi="Arial" w:cs="Arial"/>
          <w:b/>
          <w:bCs/>
          <w:color w:val="002060"/>
          <w:sz w:val="22"/>
          <w:szCs w:val="22"/>
          <w:u w:val="single"/>
        </w:rPr>
      </w:pPr>
      <w:r w:rsidRPr="005E5562">
        <w:rPr>
          <w:rFonts w:ascii="Arial" w:hAnsi="Arial" w:cs="Arial"/>
          <w:b/>
          <w:bCs/>
          <w:color w:val="002060"/>
          <w:sz w:val="22"/>
          <w:szCs w:val="22"/>
          <w:u w:val="single"/>
        </w:rPr>
        <w:t xml:space="preserve">Рекомендация 4: К июню 2024 г. </w:t>
      </w:r>
      <w:r w:rsidR="00B63B26" w:rsidRPr="005E5562">
        <w:rPr>
          <w:rFonts w:ascii="Arial" w:hAnsi="Arial" w:cs="Arial"/>
          <w:b/>
          <w:bCs/>
          <w:color w:val="002060"/>
          <w:sz w:val="22"/>
          <w:szCs w:val="22"/>
          <w:u w:val="single"/>
        </w:rPr>
        <w:t>и</w:t>
      </w:r>
      <w:r w:rsidRPr="005E5562">
        <w:rPr>
          <w:rFonts w:ascii="Arial" w:hAnsi="Arial" w:cs="Arial"/>
          <w:b/>
          <w:bCs/>
          <w:color w:val="002060"/>
          <w:sz w:val="22"/>
          <w:szCs w:val="22"/>
          <w:u w:val="single"/>
        </w:rPr>
        <w:t>зучить возможные варианты расширения использования базы данных и научных знаний МОК-ЮНЕСКО</w:t>
      </w:r>
    </w:p>
    <w:p w14:paraId="59A3E11A" w14:textId="12D841F3" w:rsidR="00247A04" w:rsidRPr="005E5562" w:rsidRDefault="00247A04"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Одним из основных достоинств Комиссии является ее способность координировать научные исследования и выступать в качестве глобального механизма координации обмена океанографическими данными и информацией. Тем не менее, некоторым конечным потребителям таких услуг до сих пор сложно ориентироваться в многочисленных онлайновых ресурсах и базах данных (число которых превышает 3000); в связи с их большим разнообразием степень удобства их использования существенно варьируется. Конечной целью Системы океанографических данных и информации (ОДИС) является создание глобальной цифровой платформы хранения океанографических данных, работающей на принципах функциональной совместимости и позволяющей любой заинтересованной стороне на равноправной основе распространять или использовать данные благодаря этой платформе. Ускорение процесса совершенствования Системы океанографических данных и информации (ОДИС) и по</w:t>
      </w:r>
      <w:r w:rsidRPr="005E5562">
        <w:rPr>
          <w:rFonts w:ascii="Arial" w:hAnsi="Arial" w:cs="Arial"/>
          <w:sz w:val="22"/>
          <w:szCs w:val="22"/>
        </w:rPr>
        <w:lastRenderedPageBreak/>
        <w:t>вышение ее вклада в проведение Десятилетия, посвященного науке об океане, стало бы серьезным достижением на этом направлении и должно рассматриваться в качестве приоритетной задачи в рамках усилий по мобилизации ресурсов.</w:t>
      </w:r>
    </w:p>
    <w:p w14:paraId="1FEB1C54" w14:textId="77777777" w:rsidR="007F52EE" w:rsidRPr="005E5562" w:rsidRDefault="00A9363C"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Еще одним практическим вариантом могла бы стать разработка набора связанных с океаном показателей, доступных для представителей ненаучного мира. Это в определенной степени повысило бы способность понимания конечными пользователями всего разнообразия данных, которые может предоставить Комиссия в отношении состояния морской среды, а также нашу способность в плане оценки/осознания положения дел и формулирования практических путей решения связанных с океаном актуальных проблем.</w:t>
      </w:r>
    </w:p>
    <w:p w14:paraId="740B4280" w14:textId="688DB87A" w:rsidR="00883912"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ГСНО в свое время уже разработала основные переменные параметры океана (ОППО), однако и у других секций МОК имеется возможность более широко использовать этот подход. Внести вклад в эту работу могут также другие участники сети «ООН-океаны». Любой новый показатель должен быть «хорошо подогнанным» и иметь отношение к четырем тематическим направлениям, обозначенным в подходах в отношении информационного обеспечения деятельности (см. рекомендацию 5 ниже). Разработка таких показателей способствовала бы принятию правительствами мер по рациональному использованию ресурсов Мирового океана и повышению объема инвестиций в морскую науку и инфраструктуру.</w:t>
      </w:r>
    </w:p>
    <w:p w14:paraId="66182054" w14:textId="67391548" w:rsidR="00883912"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Еще одним важным направлением использования накопленных МОК данных и информации, а также предоставления полезных услуг, как это предусмотрено в планах Десятилетия науки об океане, может стать моделирование прогнозов в отношении основных переменных показателей состояния морской среды. При этом для разработки, поддержания актуальности и эффективного применения такой прогнозной модели потребуются существенные усилия. Это потребует также применения подхода, используемого для моделирования прогнозов системы Земли и соответственно участия других партнеров. Кроме того, для этого необходимо будет задействовать экспертный потенциал всех секций МОК.</w:t>
      </w:r>
    </w:p>
    <w:p w14:paraId="3F06DA35" w14:textId="77777777"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В настоящее время существует несколько основных исследований, посвященных состоянию морской среды, в частности оценка состояния Мирового океана (ОМО) и доклады о состоянии океана, которые готовятся службой мониторинга состояния морской среды, функционирующей в рамках программы «Коперник». Сама МОК готовит и публикует </w:t>
      </w:r>
      <w:r w:rsidRPr="005E5562">
        <w:rPr>
          <w:rFonts w:ascii="Arial" w:hAnsi="Arial" w:cs="Arial"/>
          <w:i/>
          <w:sz w:val="22"/>
          <w:szCs w:val="22"/>
        </w:rPr>
        <w:t>Глобальный доклад о состоянии океанографии</w:t>
      </w:r>
      <w:r w:rsidRPr="005E5562">
        <w:rPr>
          <w:rFonts w:ascii="Arial" w:hAnsi="Arial" w:cs="Arial"/>
          <w:sz w:val="22"/>
          <w:szCs w:val="22"/>
        </w:rPr>
        <w:t>. При этом на сегодняшний день не существует ежегодного доклада о состоянии Мирового океана (ДСМО), который представлял бы собой легкий для восприятия и одновременно заслуживающий доверия краткий обзор состояния морской среды, подготовленный, например, на основе данных об основных переменных параметрах океана и результатов других исследований МОК. Это открыло бы также возможности для участия других заинтересованных сторон и способствовало бы дальнейшему расширению партнерства, в том числе каналов финансирования этой деятельности. Подготовка ДСМО могла бы вестись с привлечением широкого круга участников, при этом Комиссия выступала бы в качестве куратора и координатора работы, а сам доклад являлся бы дополнением к стандартной отчетности по Десятилетию науки об океане. Доклад мог бы также содержать анализ аспектов, не известных широкому научному сообществу, а также определять и рекомендовать проведение под руководством МОК дополнительных исследований и мобилизацию необходимых для этого ресурсов.</w:t>
      </w:r>
    </w:p>
    <w:p w14:paraId="39F0A96F" w14:textId="77777777" w:rsidR="007F52EE" w:rsidRPr="005E5562" w:rsidRDefault="00883912" w:rsidP="00757DDC">
      <w:pPr>
        <w:keepNext/>
        <w:spacing w:after="240"/>
        <w:jc w:val="both"/>
        <w:rPr>
          <w:rFonts w:ascii="Arial" w:hAnsi="Arial" w:cs="Arial"/>
          <w:b/>
          <w:bCs/>
          <w:sz w:val="22"/>
          <w:szCs w:val="22"/>
        </w:rPr>
      </w:pPr>
      <w:r w:rsidRPr="005E5562">
        <w:rPr>
          <w:rFonts w:ascii="Arial" w:hAnsi="Arial" w:cs="Arial"/>
          <w:b/>
          <w:bCs/>
          <w:sz w:val="22"/>
          <w:szCs w:val="22"/>
        </w:rPr>
        <w:t>Основные предлагаемые к реализации меры:</w:t>
      </w:r>
    </w:p>
    <w:p w14:paraId="6D141B53" w14:textId="04EE02DE" w:rsidR="00883912" w:rsidRPr="005E5562" w:rsidRDefault="00883912" w:rsidP="00757DDC">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rPr>
      </w:pPr>
      <w:r w:rsidRPr="005E5562">
        <w:rPr>
          <w:rFonts w:ascii="Arial" w:hAnsi="Arial" w:cs="Arial"/>
          <w:sz w:val="22"/>
          <w:szCs w:val="22"/>
        </w:rPr>
        <w:t xml:space="preserve">Учредить </w:t>
      </w:r>
      <w:proofErr w:type="spellStart"/>
      <w:r w:rsidRPr="005E5562">
        <w:rPr>
          <w:rFonts w:ascii="Arial" w:hAnsi="Arial" w:cs="Arial"/>
          <w:sz w:val="22"/>
          <w:szCs w:val="22"/>
        </w:rPr>
        <w:t>межсекционную</w:t>
      </w:r>
      <w:proofErr w:type="spellEnd"/>
      <w:r w:rsidRPr="005E5562">
        <w:rPr>
          <w:rFonts w:ascii="Arial" w:hAnsi="Arial" w:cs="Arial"/>
          <w:sz w:val="22"/>
          <w:szCs w:val="22"/>
        </w:rPr>
        <w:t xml:space="preserve"> рабочую группу Комиссии с целью разработки набора социально-экономических показателей, которые будут использоваться, в частности, при подготовке </w:t>
      </w:r>
      <w:r w:rsidRPr="005E5562">
        <w:rPr>
          <w:rFonts w:ascii="Arial" w:hAnsi="Arial" w:cs="Arial"/>
          <w:i/>
          <w:sz w:val="22"/>
          <w:szCs w:val="22"/>
        </w:rPr>
        <w:t>доклада о состоянии Мирового океана</w:t>
      </w:r>
      <w:r w:rsidRPr="005E5562">
        <w:rPr>
          <w:rFonts w:ascii="Arial" w:hAnsi="Arial" w:cs="Arial"/>
          <w:sz w:val="22"/>
          <w:szCs w:val="22"/>
        </w:rPr>
        <w:t>. При необходимости расширить состав указанной рабочей группы с целью включения в нее представителей других структур, например участников сети «ООН-океаны»;</w:t>
      </w:r>
    </w:p>
    <w:p w14:paraId="37692EDF" w14:textId="7411AB71" w:rsidR="00883912" w:rsidRPr="005E5562" w:rsidRDefault="00883912" w:rsidP="00757DDC">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rPr>
      </w:pPr>
      <w:r w:rsidRPr="005E5562">
        <w:rPr>
          <w:rFonts w:ascii="Arial" w:hAnsi="Arial" w:cs="Arial"/>
          <w:sz w:val="22"/>
          <w:szCs w:val="22"/>
        </w:rPr>
        <w:lastRenderedPageBreak/>
        <w:t xml:space="preserve">Разработать процедуры, оптимизирующие и упрощающие </w:t>
      </w:r>
      <w:proofErr w:type="spellStart"/>
      <w:r w:rsidRPr="005E5562">
        <w:rPr>
          <w:rFonts w:ascii="Arial" w:hAnsi="Arial" w:cs="Arial"/>
          <w:sz w:val="22"/>
          <w:szCs w:val="22"/>
        </w:rPr>
        <w:t>конвеерную</w:t>
      </w:r>
      <w:proofErr w:type="spellEnd"/>
      <w:r w:rsidRPr="005E5562">
        <w:rPr>
          <w:rFonts w:ascii="Arial" w:hAnsi="Arial" w:cs="Arial"/>
          <w:sz w:val="22"/>
          <w:szCs w:val="22"/>
        </w:rPr>
        <w:t xml:space="preserve"> обработку данных Комиссии, с тем чтобы их можно было использовать для расчета вышеупомянутых показателей;</w:t>
      </w:r>
    </w:p>
    <w:p w14:paraId="643B87F0" w14:textId="66D254A4" w:rsidR="007C3EC5" w:rsidRPr="005E5562" w:rsidRDefault="007C3EC5" w:rsidP="00757DDC">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rPr>
      </w:pPr>
      <w:r w:rsidRPr="005E5562">
        <w:rPr>
          <w:rFonts w:ascii="Arial" w:hAnsi="Arial" w:cs="Arial"/>
          <w:sz w:val="22"/>
          <w:szCs w:val="22"/>
        </w:rPr>
        <w:t>Ускорить процесс совершенствования Системы океанографических данных и информации (ОДИС) и повысить ее вклад в проведение Десятилетия, посвященного науке об океане;</w:t>
      </w:r>
    </w:p>
    <w:p w14:paraId="52A25A3F" w14:textId="614C9178" w:rsidR="00883912" w:rsidRPr="005E5562" w:rsidRDefault="00883912" w:rsidP="00757DDC">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rPr>
      </w:pPr>
      <w:r w:rsidRPr="005E5562">
        <w:rPr>
          <w:rFonts w:ascii="Arial" w:hAnsi="Arial" w:cs="Arial"/>
          <w:sz w:val="22"/>
          <w:szCs w:val="22"/>
        </w:rPr>
        <w:t xml:space="preserve">Изыскать финансовые ресурсы для подготовки </w:t>
      </w:r>
      <w:r w:rsidRPr="005E5562">
        <w:rPr>
          <w:rFonts w:ascii="Arial" w:hAnsi="Arial" w:cs="Arial"/>
          <w:i/>
          <w:sz w:val="22"/>
          <w:szCs w:val="22"/>
        </w:rPr>
        <w:t>первого доклада о состоянии Мирового океана</w:t>
      </w:r>
      <w:r w:rsidRPr="005E5562">
        <w:rPr>
          <w:rFonts w:ascii="Arial" w:hAnsi="Arial" w:cs="Arial"/>
          <w:sz w:val="22"/>
          <w:szCs w:val="22"/>
        </w:rPr>
        <w:t xml:space="preserve"> к 32-й сессии Ассамблеи, которая пройдет в 2023 г.</w:t>
      </w:r>
    </w:p>
    <w:p w14:paraId="27B1E004" w14:textId="699F468D" w:rsidR="00883912" w:rsidRPr="005E5562" w:rsidRDefault="00883912" w:rsidP="00F47454">
      <w:pPr>
        <w:keepNext/>
        <w:spacing w:after="240"/>
        <w:jc w:val="both"/>
        <w:rPr>
          <w:rFonts w:ascii="Arial" w:hAnsi="Arial" w:cs="Arial"/>
          <w:b/>
          <w:bCs/>
          <w:color w:val="002060"/>
          <w:sz w:val="22"/>
          <w:szCs w:val="22"/>
          <w:u w:val="single"/>
        </w:rPr>
      </w:pPr>
      <w:r w:rsidRPr="005E5562">
        <w:rPr>
          <w:rFonts w:ascii="Arial" w:hAnsi="Arial" w:cs="Arial"/>
          <w:b/>
          <w:bCs/>
          <w:color w:val="002060"/>
          <w:sz w:val="22"/>
          <w:szCs w:val="22"/>
          <w:u w:val="single"/>
        </w:rPr>
        <w:t xml:space="preserve">Рекомендация 5: К июню 2022 г. </w:t>
      </w:r>
      <w:r w:rsidR="00B63B26" w:rsidRPr="005E5562">
        <w:rPr>
          <w:rFonts w:ascii="Arial" w:hAnsi="Arial" w:cs="Arial"/>
          <w:b/>
          <w:bCs/>
          <w:color w:val="002060"/>
          <w:sz w:val="22"/>
          <w:szCs w:val="22"/>
          <w:u w:val="single"/>
        </w:rPr>
        <w:t>п</w:t>
      </w:r>
      <w:r w:rsidRPr="005E5562">
        <w:rPr>
          <w:rFonts w:ascii="Arial" w:hAnsi="Arial" w:cs="Arial"/>
          <w:b/>
          <w:bCs/>
          <w:color w:val="002060"/>
          <w:sz w:val="22"/>
          <w:szCs w:val="22"/>
          <w:u w:val="single"/>
        </w:rPr>
        <w:t>роанализировать возможности более широкого вовлечения во взаимодействие с МОК-ЮНЕСКО старших должностных лиц директивных органов</w:t>
      </w:r>
    </w:p>
    <w:p w14:paraId="154A0CAF" w14:textId="77777777"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Несмотря на то, что главное направление деятельности МОК, а именно вопросы, связанные с Мировым океаном, обладает в общественном сознании беспрецедентно притягательной силой, МОК сталкивается с серьезными сложностями с точки зрения информационного взаимодействия с лицами, определяющими политику, и в плане возможности оказания на них влияния. Помимо перечисленных выше причин структурного характера, в частности отсутствия на уровне национальных ведомств активных пропагандистов инициатив МОК, к числу таких сложностей относятся: (i) отсутствие у МОК легко узнаваемого «фирменного» бренда; (ii) наличие конкурентной среды, т.е. большого числа организаций системы ООН, занимающихся океанской проблематикой; и (iii) нематериальный характер заявленного МОК на текущий период мандата – «наука об океане».</w:t>
      </w:r>
    </w:p>
    <w:p w14:paraId="7B9355CB" w14:textId="60A0D64C" w:rsidR="00883912"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color w:val="000000" w:themeColor="text1"/>
          <w:sz w:val="22"/>
          <w:szCs w:val="22"/>
        </w:rPr>
      </w:pPr>
      <w:r w:rsidRPr="005E5562">
        <w:rPr>
          <w:rFonts w:ascii="Arial" w:hAnsi="Arial" w:cs="Arial"/>
          <w:sz w:val="22"/>
          <w:szCs w:val="22"/>
        </w:rPr>
        <w:t xml:space="preserve">Задача Комиссии состоит в том, чтобы, с одной стороны, обозначить перечень предлагаемых ею информационных продуктов и услуг, а с другой – обеспечить, чтобы ее информационная продукция предоставлялась органам государственного управления в виде пакетов эффективных </w:t>
      </w:r>
      <w:proofErr w:type="gramStart"/>
      <w:r w:rsidRPr="005E5562">
        <w:rPr>
          <w:rFonts w:ascii="Arial" w:hAnsi="Arial" w:cs="Arial"/>
          <w:sz w:val="22"/>
          <w:szCs w:val="22"/>
        </w:rPr>
        <w:t>мер</w:t>
      </w:r>
      <w:proofErr w:type="gramEnd"/>
      <w:r w:rsidRPr="005E5562">
        <w:rPr>
          <w:rFonts w:ascii="Arial" w:hAnsi="Arial" w:cs="Arial"/>
          <w:sz w:val="22"/>
          <w:szCs w:val="22"/>
        </w:rPr>
        <w:t xml:space="preserve"> и чтобы при этом было отчетливо понятно, что источником информации и услуг является именно МОК.</w:t>
      </w:r>
    </w:p>
    <w:p w14:paraId="234D97C4" w14:textId="038D66F3" w:rsidR="00883912"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МОК могла бы изучить опыт других учреждений системы ООН, столкнувшихся с аналогичными проблемами (например, опыт УСРБ ООН), в том, что касается пересмотра ими стратегий информационного обеспечения своей деятельности. В числе компонентов подобной стратегии можно выделить следующие: активизация усилий по наращиванию взаимодействия с ООН и другими организациями для превращения их в активных пропагандистов инициатив МОК; расширение форм представления информационно-пропагандистских материалов в средствах информации (блоги, видеоблоги, тексты выступлений и т.п.) и существенное наращивание численности своей аудитории в социальных сетях, значительно отстающей количественно от аудиторий других организаций системы ООН, с целью привлечения повышенного внимания к деятельности МОК в целом; больший упор на представление примеров успешного опыта регионов вместо концентрации на освещении усилий Штаб-квартиры.</w:t>
      </w:r>
    </w:p>
    <w:p w14:paraId="189F0406" w14:textId="77777777" w:rsidR="007F52EE" w:rsidRPr="005E5562" w:rsidRDefault="000A3177"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Конкретные меры, которые могла бы рассмотреть МОК, включают, в частности: определение целевых аудиторий и основных тезисов обращенных к таким аудиториям посланий, с тем чтобы помочь научному сообществу «рассказать историю» таким образом, чтобы превратить узкоспециализированные знания в форму легко передаваемых идей и рассказов; сужение охвата информационной работы МОК до двух-трех тем и обеспечение их освещения по всем возможным каналам; концентрация на информационно-пропагандистских усилиях, которые обеспечат МОК наибольшую отдачу; разработка во взаимодействии с региональными подкомиссиями более эффективных региональных стратегий информационной работы, способных оказывать влияние в числе прочего на лиц, определяющих политику; обеспечение более упорядоченного использования эмблемы МОК в регионах с целью сведения к минимуму риска путаницы; использование информационных кампаний, проводимых другими орга</w:t>
      </w:r>
      <w:r w:rsidRPr="005E5562">
        <w:rPr>
          <w:rFonts w:ascii="Arial" w:hAnsi="Arial" w:cs="Arial"/>
          <w:sz w:val="22"/>
          <w:szCs w:val="22"/>
        </w:rPr>
        <w:lastRenderedPageBreak/>
        <w:t>низациями; уделение повышенного внимания социальным сетям и электронным СМИ как инструментам, позволяющим оценивать оказываемое воздействие и отслеживать тональность высказываемых мнений.</w:t>
      </w:r>
    </w:p>
    <w:p w14:paraId="2A475B75" w14:textId="77777777" w:rsidR="007F52EE" w:rsidRPr="005E5562" w:rsidRDefault="00883912" w:rsidP="00C023E0">
      <w:pPr>
        <w:keepNext/>
        <w:spacing w:after="240"/>
        <w:jc w:val="both"/>
        <w:rPr>
          <w:rFonts w:ascii="Arial" w:hAnsi="Arial" w:cs="Arial"/>
          <w:b/>
          <w:bCs/>
          <w:sz w:val="22"/>
          <w:szCs w:val="22"/>
        </w:rPr>
      </w:pPr>
      <w:r w:rsidRPr="005E5562">
        <w:rPr>
          <w:rFonts w:ascii="Arial" w:hAnsi="Arial" w:cs="Arial"/>
          <w:b/>
          <w:bCs/>
          <w:sz w:val="22"/>
          <w:szCs w:val="22"/>
        </w:rPr>
        <w:t>Основные предлагаемые к реализации меры:</w:t>
      </w:r>
    </w:p>
    <w:p w14:paraId="569E3952" w14:textId="276A0B7C" w:rsidR="00114701" w:rsidRPr="005E5562" w:rsidRDefault="00114701" w:rsidP="00C023E0">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Провести совместно с основными национальными и региональными организациями, представляющими различные отрасли и участвующими в формировании политики, анализ фактического положения дел с целью определения перечня первоочередных мер, необходимых для расширения активного взаимодействия в рамках Десятилетия науки об океане и участия в программной деятельности МОК;</w:t>
      </w:r>
    </w:p>
    <w:p w14:paraId="1B2C293C" w14:textId="74A60A8C" w:rsidR="00883912" w:rsidRPr="005E5562" w:rsidRDefault="00883912" w:rsidP="00C023E0">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Обеспечить с привлечением специалиста в области коммуникаций существенное повышение результативности информационной работы, в первую очередь совершенствование стратегии информационного обеспечения деятельности МОК. Этот процесс должен предусматривать вовлечение широкого круга участников, в том числе руководителей старшего звена, для согласования целей и задач на предстоящий период, а также приоритетных для Комиссии тем информационной работы, целевых аудиторий и каналов информирования с учетом того, что структурно МОК является составной частью ЮНЕСКО;</w:t>
      </w:r>
    </w:p>
    <w:p w14:paraId="0836A44A" w14:textId="7C819590" w:rsidR="00883912" w:rsidRPr="005E5562" w:rsidRDefault="00883912" w:rsidP="00C023E0">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Издавать на ежегодной основе или два раза в год информационный бюллетень «Об основных итогах деятельности Комиссии», с представлением наиболее значимых из достигнутых результатов и демонстрацией сохраняющейся актуальности МОК;</w:t>
      </w:r>
    </w:p>
    <w:p w14:paraId="277D50ED" w14:textId="1809E71B" w:rsidR="00A9363C" w:rsidRPr="005E5562" w:rsidRDefault="00883912" w:rsidP="00C023E0">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Уточнить правила использования логотипа МОК для обеспечения последовательности и единообразия в этом вопросе.</w:t>
      </w:r>
    </w:p>
    <w:p w14:paraId="58DA90F9" w14:textId="21404C58" w:rsidR="00883912" w:rsidRPr="005E5562" w:rsidRDefault="00883912" w:rsidP="00F47454">
      <w:pPr>
        <w:keepNext/>
        <w:tabs>
          <w:tab w:val="clear" w:pos="567"/>
        </w:tabs>
        <w:snapToGrid/>
        <w:spacing w:after="240"/>
        <w:jc w:val="both"/>
        <w:rPr>
          <w:rFonts w:ascii="Arial" w:hAnsi="Arial" w:cs="Arial"/>
          <w:b/>
          <w:bCs/>
          <w:color w:val="4F81BD" w:themeColor="accent1"/>
          <w:sz w:val="22"/>
          <w:szCs w:val="22"/>
          <w:u w:val="single"/>
        </w:rPr>
      </w:pPr>
      <w:r w:rsidRPr="002B6537">
        <w:rPr>
          <w:rFonts w:ascii="Arial" w:hAnsi="Arial" w:cs="Arial"/>
          <w:b/>
          <w:bCs/>
          <w:color w:val="002060"/>
          <w:sz w:val="22"/>
          <w:szCs w:val="22"/>
          <w:u w:val="single"/>
        </w:rPr>
        <w:t xml:space="preserve">Рекомендация 6: К июню 2022 г. </w:t>
      </w:r>
      <w:r w:rsidR="00B63B26" w:rsidRPr="002B6537">
        <w:rPr>
          <w:rFonts w:ascii="Arial" w:hAnsi="Arial" w:cs="Arial"/>
          <w:b/>
          <w:bCs/>
          <w:color w:val="002060"/>
          <w:sz w:val="22"/>
          <w:szCs w:val="22"/>
          <w:u w:val="single"/>
        </w:rPr>
        <w:t>в</w:t>
      </w:r>
      <w:r w:rsidRPr="002B6537">
        <w:rPr>
          <w:rFonts w:ascii="Arial" w:hAnsi="Arial" w:cs="Arial"/>
          <w:b/>
          <w:bCs/>
          <w:color w:val="002060"/>
          <w:sz w:val="22"/>
          <w:szCs w:val="22"/>
          <w:u w:val="single"/>
        </w:rPr>
        <w:t>зять на себя ведущую роль в области обеспечения гендерного равенства и расширения прав и возможностей женщин в сфере морских наук посредством продолжения усилий, касающихся сбора данных, в том числе подготовки Глобального доклада о состоянии океанографии и принятия целевых мер</w:t>
      </w:r>
    </w:p>
    <w:p w14:paraId="7F16A02A" w14:textId="6686A376" w:rsidR="00883912"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Гендерное равенство является одним из глобальных приоритетов в деятельности ЮНЕСКО. Вместе с тем практические усилия МОК-ЮНЕСКО в сфере обеспечения гендерного равенства и расширения прав и возможностей женщин (ГР-РПВЖ) по-прежнему не подкреплены соответствующей стратегией, в связи с чем существует настоятельная необходимость изменить в рамках Комиссии культуру восприятия проблематики ГР-РПВЖ. Это потребует участия </w:t>
      </w:r>
      <w:r w:rsidR="005E5562" w:rsidRPr="005E5562">
        <w:rPr>
          <w:rFonts w:ascii="Arial" w:hAnsi="Arial" w:cs="Arial"/>
          <w:sz w:val="22"/>
          <w:szCs w:val="22"/>
        </w:rPr>
        <w:t xml:space="preserve">в работе </w:t>
      </w:r>
      <w:r w:rsidRPr="005E5562">
        <w:rPr>
          <w:rFonts w:ascii="Arial" w:hAnsi="Arial" w:cs="Arial"/>
          <w:sz w:val="22"/>
          <w:szCs w:val="22"/>
        </w:rPr>
        <w:t>не только координатора МОК по гендерным вопросам, но и вовлечения в эти усилия организации в целом.</w:t>
      </w:r>
    </w:p>
    <w:p w14:paraId="37BDAA01" w14:textId="1BD22F1D"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Практически все выборные должност</w:t>
      </w:r>
      <w:r w:rsidR="005E5562" w:rsidRPr="005E5562">
        <w:rPr>
          <w:rFonts w:ascii="Arial" w:hAnsi="Arial" w:cs="Arial"/>
          <w:sz w:val="22"/>
          <w:szCs w:val="22"/>
        </w:rPr>
        <w:t>и</w:t>
      </w:r>
      <w:r w:rsidRPr="005E5562">
        <w:rPr>
          <w:rFonts w:ascii="Arial" w:hAnsi="Arial" w:cs="Arial"/>
          <w:sz w:val="22"/>
          <w:szCs w:val="22"/>
        </w:rPr>
        <w:t xml:space="preserve"> и высшее руководство МОК представлены мужчинами. Эффективным способом привлечения внимания к этому вопросу и повышения авторитета женщин, занимающих руководящие должности, могло бы стать объединение усилий по обеспечению более сбалансированного соотношения женщин и мужчин среди кандидатов на выборные должности в каждом из регионов МОК. Наряду с этим МОК могла бы разработать методическое руководство по гендерным вопросам для комитетов экспертов МОК и в применимых случаях для других органов, и представить соответствующий проект на 32-й сессии Ассамблеи МОК.</w:t>
      </w:r>
    </w:p>
    <w:p w14:paraId="0DD55D39" w14:textId="0E8C4EF4" w:rsidR="00883912"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 xml:space="preserve">В целом Комиссии необходимо прилагать больше усилий для поощрения женщин к выдвижению своих кандидатур на занятие должностей в структуре МОК, в особенности руководящих должностей. Данная проблема относится не только к обеспечению гендерного равенства, но и к устранению любых диспропорций, касающихся географической представленности. </w:t>
      </w:r>
      <w:r w:rsidRPr="005E5562">
        <w:rPr>
          <w:rFonts w:ascii="Arial" w:hAnsi="Arial" w:cs="Arial"/>
          <w:i/>
          <w:sz w:val="22"/>
          <w:szCs w:val="22"/>
        </w:rPr>
        <w:lastRenderedPageBreak/>
        <w:t>Глобальный доклад о состоянии океанографии</w:t>
      </w:r>
      <w:r w:rsidRPr="005E5562">
        <w:rPr>
          <w:rFonts w:ascii="Arial" w:hAnsi="Arial" w:cs="Arial"/>
          <w:sz w:val="22"/>
          <w:szCs w:val="22"/>
        </w:rPr>
        <w:t xml:space="preserve"> является в этом смысле ценным инструментом оценки прогресса, достигнутого в данном вопросе.</w:t>
      </w:r>
    </w:p>
    <w:p w14:paraId="792C653F" w14:textId="77777777"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Что касается Десятилетия науки об океане, то, возможно, имело бы смысл создать рабочую группу для более эффективного и всестороннего учета гендерной проблематики при осуществлении связанной с Десятилетием деятельности, в том числе проектов, осуществляемых МОК-ЮНЕСКО. Деятельность Комиссии должна вестись в увязке с утвержденной к осуществлению в рамках Десятилетия программой, касающейся обеспечения гендерного равенства (</w:t>
      </w:r>
      <w:hyperlink r:id="rId15" w:history="1">
        <w:r w:rsidRPr="005E5562">
          <w:rPr>
            <w:rFonts w:ascii="Arial" w:hAnsi="Arial" w:cs="Arial"/>
            <w:sz w:val="22"/>
            <w:szCs w:val="22"/>
          </w:rPr>
          <w:t>https://empoweringwomen.wmu.se</w:t>
        </w:r>
      </w:hyperlink>
      <w:r w:rsidRPr="005E5562">
        <w:rPr>
          <w:rFonts w:ascii="Arial" w:hAnsi="Arial" w:cs="Arial"/>
          <w:sz w:val="22"/>
          <w:szCs w:val="22"/>
        </w:rPr>
        <w:t>).</w:t>
      </w:r>
    </w:p>
    <w:p w14:paraId="0B13A480" w14:textId="77777777" w:rsidR="007F52EE" w:rsidRPr="005E5562" w:rsidRDefault="00883912" w:rsidP="00F47454">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5E5562">
        <w:rPr>
          <w:rFonts w:ascii="Arial" w:hAnsi="Arial" w:cs="Arial"/>
          <w:sz w:val="22"/>
          <w:szCs w:val="22"/>
        </w:rPr>
        <w:t>Наряду с этим МОК могла бы стать учредителем и координатором присуждения награды, стипендии или премии в знак признания успехов, достигнутых женщинами в области морских наук.</w:t>
      </w:r>
    </w:p>
    <w:p w14:paraId="50459CC9" w14:textId="3735192D" w:rsidR="00883912" w:rsidRPr="005E5562" w:rsidRDefault="00883912" w:rsidP="00C023E0">
      <w:pPr>
        <w:spacing w:after="240"/>
        <w:jc w:val="both"/>
        <w:rPr>
          <w:rFonts w:ascii="Arial" w:hAnsi="Arial" w:cs="Arial"/>
          <w:b/>
          <w:bCs/>
          <w:sz w:val="22"/>
          <w:szCs w:val="22"/>
        </w:rPr>
      </w:pPr>
      <w:r w:rsidRPr="005E5562">
        <w:rPr>
          <w:rFonts w:ascii="Arial" w:hAnsi="Arial" w:cs="Arial"/>
          <w:b/>
          <w:bCs/>
          <w:sz w:val="22"/>
          <w:szCs w:val="22"/>
        </w:rPr>
        <w:t>Основные предлагаемые к реализации меры:</w:t>
      </w:r>
    </w:p>
    <w:p w14:paraId="199CA17D" w14:textId="6BBBA745" w:rsidR="00883912" w:rsidRPr="005E5562" w:rsidRDefault="00883912" w:rsidP="00C023E0">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Проконсультироваться с отделом ЮНЕСКО по вопросам гендерного равенства на предмет разработки методического руководства по гендерным вопросам для комитетов экспертов МОК и в применимых случаях для других органов. Представить соответствующий проект на 32-й сессии Ассамблеи МОК;</w:t>
      </w:r>
    </w:p>
    <w:p w14:paraId="7CEDDB5A" w14:textId="51D050C4" w:rsidR="0037381F" w:rsidRPr="005E5562" w:rsidRDefault="00B31978" w:rsidP="00C023E0">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Продолжить поощрять государства</w:t>
      </w:r>
      <w:r w:rsidR="00286D70" w:rsidRPr="00286D70">
        <w:rPr>
          <w:rFonts w:ascii="Arial" w:hAnsi="Arial" w:cs="Arial"/>
          <w:sz w:val="22"/>
          <w:szCs w:val="22"/>
        </w:rPr>
        <w:t xml:space="preserve"> </w:t>
      </w:r>
      <w:r w:rsidR="00286D70">
        <w:rPr>
          <w:rFonts w:ascii="Arial" w:hAnsi="Arial" w:cs="Arial"/>
          <w:sz w:val="22"/>
          <w:szCs w:val="22"/>
        </w:rPr>
        <w:t>–</w:t>
      </w:r>
      <w:r w:rsidR="00286D70" w:rsidRPr="00286D70">
        <w:rPr>
          <w:rFonts w:ascii="Arial" w:hAnsi="Arial" w:cs="Arial"/>
          <w:sz w:val="22"/>
          <w:szCs w:val="22"/>
        </w:rPr>
        <w:t xml:space="preserve"> </w:t>
      </w:r>
      <w:r w:rsidRPr="005E5562">
        <w:rPr>
          <w:rFonts w:ascii="Arial" w:hAnsi="Arial" w:cs="Arial"/>
          <w:sz w:val="22"/>
          <w:szCs w:val="22"/>
        </w:rPr>
        <w:t>члены МОК к обеспечению гендерного равенства среди их представителей в руководящих органах МОК. Для отслеживания достигнутого прогресса представлять после каждой сессии соответствующую статистику;</w:t>
      </w:r>
    </w:p>
    <w:p w14:paraId="28EC036A" w14:textId="220F4554" w:rsidR="00883912" w:rsidRPr="005E5562" w:rsidRDefault="00883912" w:rsidP="00C023E0">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Учредить рабочую группу (с включением в нее специалистов по гендерным вопросам, представляющих партнеров Комиссии по сети «ООН-океаны», а также представителей ЮНЕСКО) для разработки дорожной карты, которая будет способствовать более эффективному учету аспектов гендерного равенства в рамках проведения Десятилетия, посвященного науке об океане;</w:t>
      </w:r>
    </w:p>
    <w:p w14:paraId="2365244D" w14:textId="5FA8864E" w:rsidR="00246D3B" w:rsidRPr="005E5562" w:rsidRDefault="00833C87" w:rsidP="00C023E0">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rPr>
      </w:pPr>
      <w:r w:rsidRPr="005E5562">
        <w:rPr>
          <w:rFonts w:ascii="Arial" w:hAnsi="Arial" w:cs="Arial"/>
          <w:sz w:val="22"/>
          <w:szCs w:val="22"/>
        </w:rPr>
        <w:t>Определить партнеров, в том числе в рамках Глобального договора ООН, которые могли бы быть заинтересованы в оказании поддержки премии «Женщины в сфере науки об океане»;</w:t>
      </w:r>
    </w:p>
    <w:p w14:paraId="74CD0438" w14:textId="547341AF" w:rsidR="007B7726" w:rsidRPr="005E5562" w:rsidRDefault="00246D3B" w:rsidP="00C023E0">
      <w:pPr>
        <w:pStyle w:val="ListParagraph"/>
        <w:numPr>
          <w:ilvl w:val="0"/>
          <w:numId w:val="34"/>
        </w:numPr>
        <w:tabs>
          <w:tab w:val="clear" w:pos="567"/>
          <w:tab w:val="left" w:pos="0"/>
        </w:tabs>
        <w:snapToGrid/>
        <w:spacing w:after="240"/>
        <w:ind w:left="1134" w:hanging="567"/>
        <w:contextualSpacing w:val="0"/>
        <w:jc w:val="both"/>
        <w:rPr>
          <w:rFonts w:ascii="Arial" w:eastAsia="Times New Roman" w:hAnsi="Arial" w:cs="Arial"/>
          <w:b/>
          <w:bCs/>
          <w:caps/>
          <w:sz w:val="22"/>
          <w:szCs w:val="22"/>
        </w:rPr>
      </w:pPr>
      <w:r w:rsidRPr="005E5562">
        <w:rPr>
          <w:rFonts w:ascii="Arial" w:hAnsi="Arial" w:cs="Arial"/>
          <w:sz w:val="22"/>
          <w:szCs w:val="22"/>
        </w:rPr>
        <w:t>Сотрудничать со специалистами кадровых служб в целях подбора квалифицированных кандидатов-женщин на старшие руководящие должности в Комиссии и улучшения географической представленности.</w:t>
      </w:r>
      <w:r w:rsidRPr="005E5562">
        <w:rPr>
          <w:rFonts w:ascii="Arial" w:hAnsi="Arial" w:cs="Arial"/>
          <w:sz w:val="22"/>
          <w:szCs w:val="22"/>
        </w:rPr>
        <w:br w:type="page"/>
      </w:r>
    </w:p>
    <w:p w14:paraId="41A522BA" w14:textId="7B332986" w:rsidR="00EF2790" w:rsidRPr="005E5562" w:rsidRDefault="00F45E28" w:rsidP="00F47454">
      <w:pPr>
        <w:keepNext/>
        <w:keepLines/>
        <w:widowControl w:val="0"/>
        <w:adjustRightInd w:val="0"/>
        <w:ind w:left="567" w:hanging="567"/>
        <w:jc w:val="both"/>
        <w:textAlignment w:val="baseline"/>
        <w:outlineLvl w:val="1"/>
        <w:rPr>
          <w:rFonts w:ascii="Arial" w:eastAsia="Times New Roman" w:hAnsi="Arial" w:cs="Arial"/>
          <w:b/>
          <w:bCs/>
          <w:caps/>
          <w:sz w:val="22"/>
          <w:szCs w:val="22"/>
        </w:rPr>
      </w:pPr>
      <w:r w:rsidRPr="005E5562">
        <w:rPr>
          <w:rFonts w:ascii="Arial" w:hAnsi="Arial" w:cs="Arial"/>
          <w:b/>
          <w:bCs/>
          <w:caps/>
          <w:sz w:val="22"/>
          <w:szCs w:val="22"/>
        </w:rPr>
        <w:lastRenderedPageBreak/>
        <w:t>КРАТКИЙ ОБЗОР ПРЕДЛАГАЕМЫХ К РЕАЛИЗАЦИИ МЕР</w:t>
      </w:r>
    </w:p>
    <w:p w14:paraId="773214AE" w14:textId="77777777" w:rsidR="00EF2790" w:rsidRPr="005E5562" w:rsidRDefault="00EF2790" w:rsidP="00F47454">
      <w:pPr>
        <w:widowControl w:val="0"/>
        <w:adjustRightInd w:val="0"/>
        <w:jc w:val="both"/>
        <w:textAlignment w:val="baseline"/>
        <w:rPr>
          <w:rFonts w:ascii="Arial" w:eastAsia="Times New Roman" w:hAnsi="Arial" w:cs="Arial"/>
          <w:sz w:val="22"/>
        </w:rPr>
      </w:pPr>
      <w:r w:rsidRPr="005E5562">
        <w:rPr>
          <w:rFonts w:ascii="Arial" w:eastAsia="Times New Roman" w:hAnsi="Arial" w:cs="Arial"/>
          <w:noProof/>
          <w:snapToGrid/>
          <w:sz w:val="22"/>
          <w:lang w:val="en-GB" w:eastAsia="en-GB"/>
        </w:rPr>
        <mc:AlternateContent>
          <mc:Choice Requires="wps">
            <w:drawing>
              <wp:anchor distT="0" distB="0" distL="114300" distR="114300" simplePos="0" relativeHeight="251663360" behindDoc="0" locked="0" layoutInCell="1" allowOverlap="1" wp14:anchorId="3F7E5788" wp14:editId="6CF0D7F7">
                <wp:simplePos x="0" y="0"/>
                <wp:positionH relativeFrom="column">
                  <wp:posOffset>12700</wp:posOffset>
                </wp:positionH>
                <wp:positionV relativeFrom="paragraph">
                  <wp:posOffset>6889</wp:posOffset>
                </wp:positionV>
                <wp:extent cx="61817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w:pict>
              <v:line w14:anchorId="5E4666EE"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" strokecolor="#4a7ebb"/>
            </w:pict>
          </mc:Fallback>
        </mc:AlternateContent>
      </w:r>
    </w:p>
    <w:tbl>
      <w:tblPr>
        <w:tblStyle w:val="TableGrid"/>
        <w:tblW w:w="9776" w:type="dxa"/>
        <w:tblLook w:val="04A0" w:firstRow="1" w:lastRow="0" w:firstColumn="1" w:lastColumn="0" w:noHBand="0" w:noVBand="1"/>
      </w:tblPr>
      <w:tblGrid>
        <w:gridCol w:w="517"/>
        <w:gridCol w:w="6058"/>
        <w:gridCol w:w="1217"/>
        <w:gridCol w:w="1984"/>
      </w:tblGrid>
      <w:tr w:rsidR="005709A7" w:rsidRPr="005E5562" w14:paraId="2E25C530" w14:textId="77777777" w:rsidTr="00BC69EF">
        <w:trPr>
          <w:tblHeader/>
        </w:trPr>
        <w:tc>
          <w:tcPr>
            <w:tcW w:w="517" w:type="dxa"/>
          </w:tcPr>
          <w:p w14:paraId="4461ED1E" w14:textId="77777777" w:rsidR="005709A7" w:rsidRPr="005E5562" w:rsidRDefault="005709A7" w:rsidP="00F47454">
            <w:pPr>
              <w:pStyle w:val="Marge"/>
              <w:jc w:val="center"/>
              <w:rPr>
                <w:rFonts w:ascii="Arial" w:hAnsi="Arial" w:cs="Arial"/>
                <w:b/>
                <w:bCs/>
                <w:sz w:val="20"/>
                <w:szCs w:val="20"/>
              </w:rPr>
            </w:pPr>
          </w:p>
        </w:tc>
        <w:tc>
          <w:tcPr>
            <w:tcW w:w="6058" w:type="dxa"/>
          </w:tcPr>
          <w:p w14:paraId="5A3C73D3" w14:textId="3C848EAA" w:rsidR="005709A7" w:rsidRPr="005E5562" w:rsidRDefault="005709A7" w:rsidP="00F47454">
            <w:pPr>
              <w:pStyle w:val="Marge"/>
              <w:jc w:val="center"/>
              <w:rPr>
                <w:rFonts w:ascii="Arial" w:hAnsi="Arial" w:cs="Arial"/>
                <w:b/>
                <w:bCs/>
                <w:sz w:val="20"/>
                <w:szCs w:val="20"/>
              </w:rPr>
            </w:pPr>
            <w:r w:rsidRPr="005E5562">
              <w:rPr>
                <w:rFonts w:ascii="Arial" w:hAnsi="Arial" w:cs="Arial"/>
                <w:b/>
                <w:bCs/>
                <w:sz w:val="20"/>
                <w:szCs w:val="20"/>
              </w:rPr>
              <w:t>Предлагаемая мера</w:t>
            </w:r>
          </w:p>
        </w:tc>
        <w:tc>
          <w:tcPr>
            <w:tcW w:w="1217" w:type="dxa"/>
          </w:tcPr>
          <w:p w14:paraId="5C344FAD" w14:textId="4CEB8D46" w:rsidR="005709A7" w:rsidRPr="005E5562" w:rsidRDefault="005709A7" w:rsidP="00F47454">
            <w:pPr>
              <w:pStyle w:val="Marge"/>
              <w:jc w:val="center"/>
              <w:rPr>
                <w:rFonts w:ascii="Arial" w:hAnsi="Arial" w:cs="Arial"/>
                <w:b/>
                <w:bCs/>
                <w:sz w:val="20"/>
                <w:szCs w:val="20"/>
              </w:rPr>
            </w:pPr>
            <w:r w:rsidRPr="005E5562">
              <w:rPr>
                <w:rFonts w:ascii="Arial" w:hAnsi="Arial" w:cs="Arial"/>
                <w:b/>
                <w:bCs/>
                <w:sz w:val="20"/>
                <w:szCs w:val="20"/>
              </w:rPr>
              <w:t>Сроки</w:t>
            </w:r>
          </w:p>
        </w:tc>
        <w:tc>
          <w:tcPr>
            <w:tcW w:w="1984" w:type="dxa"/>
          </w:tcPr>
          <w:p w14:paraId="5DE17A82" w14:textId="44806A9B" w:rsidR="005709A7" w:rsidRPr="005E5562" w:rsidRDefault="005709A7" w:rsidP="00F47454">
            <w:pPr>
              <w:pStyle w:val="Marge"/>
              <w:jc w:val="center"/>
              <w:rPr>
                <w:rFonts w:ascii="Arial" w:hAnsi="Arial" w:cs="Arial"/>
                <w:b/>
                <w:bCs/>
                <w:sz w:val="20"/>
                <w:szCs w:val="20"/>
              </w:rPr>
            </w:pPr>
            <w:r w:rsidRPr="005E5562">
              <w:rPr>
                <w:rFonts w:ascii="Arial" w:hAnsi="Arial" w:cs="Arial"/>
                <w:b/>
                <w:bCs/>
                <w:sz w:val="20"/>
                <w:szCs w:val="20"/>
              </w:rPr>
              <w:t>Ответственные подразделения</w:t>
            </w:r>
          </w:p>
        </w:tc>
      </w:tr>
      <w:tr w:rsidR="005709A7" w:rsidRPr="005E5562" w14:paraId="5E7E9CC9" w14:textId="77777777" w:rsidTr="00BC69EF">
        <w:tc>
          <w:tcPr>
            <w:tcW w:w="517" w:type="dxa"/>
          </w:tcPr>
          <w:p w14:paraId="553F5BDD" w14:textId="77777777" w:rsidR="005709A7" w:rsidRPr="005E5562" w:rsidRDefault="005709A7" w:rsidP="00F47454">
            <w:pPr>
              <w:jc w:val="both"/>
              <w:rPr>
                <w:rFonts w:ascii="Arial" w:hAnsi="Arial" w:cs="Arial"/>
                <w:color w:val="002060"/>
                <w:sz w:val="18"/>
                <w:szCs w:val="18"/>
              </w:rPr>
            </w:pPr>
          </w:p>
        </w:tc>
        <w:tc>
          <w:tcPr>
            <w:tcW w:w="9259" w:type="dxa"/>
            <w:gridSpan w:val="3"/>
          </w:tcPr>
          <w:p w14:paraId="5447B885" w14:textId="51943093" w:rsidR="005709A7" w:rsidRPr="005E5562" w:rsidRDefault="005709A7" w:rsidP="008B61D7">
            <w:pPr>
              <w:spacing w:before="120" w:after="120"/>
              <w:jc w:val="both"/>
              <w:rPr>
                <w:rFonts w:ascii="Arial" w:hAnsi="Arial" w:cs="Arial"/>
                <w:b/>
                <w:bCs/>
                <w:sz w:val="18"/>
                <w:szCs w:val="18"/>
              </w:rPr>
            </w:pPr>
            <w:r w:rsidRPr="005E5562">
              <w:rPr>
                <w:rFonts w:ascii="Arial" w:hAnsi="Arial" w:cs="Arial"/>
                <w:b/>
                <w:bCs/>
                <w:color w:val="002060"/>
                <w:sz w:val="18"/>
                <w:szCs w:val="18"/>
              </w:rPr>
              <w:t xml:space="preserve">Рекомендация 1: К сентябрю 2022 г. </w:t>
            </w:r>
            <w:r w:rsidR="005E5562">
              <w:rPr>
                <w:rFonts w:ascii="Arial" w:hAnsi="Arial" w:cs="Arial"/>
                <w:b/>
                <w:bCs/>
                <w:color w:val="002060"/>
                <w:sz w:val="18"/>
                <w:szCs w:val="18"/>
              </w:rPr>
              <w:t>п</w:t>
            </w:r>
            <w:r w:rsidRPr="005E5562">
              <w:rPr>
                <w:rFonts w:ascii="Arial" w:hAnsi="Arial" w:cs="Arial"/>
                <w:b/>
                <w:bCs/>
                <w:color w:val="002060"/>
                <w:sz w:val="18"/>
                <w:szCs w:val="18"/>
              </w:rPr>
              <w:t>ринять меры по выполнению просьбы, сформулированной Ассамблеей МОК-ЮНЕСКО на ее 30-й сессии, посредством определения ориентировочного объема необходимых ресурсов и ускорения практического применения положений статьи 10.4 Устава МОК-ЮНЕСКО, с тем чтобы обеспечить действительно «оптимальное» функционирование МОК, а также определить наиболее подходящую организационную структуру в свете предусмотренного возложения на МОК глобальной роли в вопросах устойчивого управлении ресурсами Мирового океана на основе научного подхода и руководства проведением Десятилетия ООН, посвященного науке об океане</w:t>
            </w:r>
          </w:p>
        </w:tc>
      </w:tr>
      <w:tr w:rsidR="005709A7" w:rsidRPr="005E5562" w14:paraId="5B6379FF" w14:textId="77777777" w:rsidTr="00BC69EF">
        <w:tc>
          <w:tcPr>
            <w:tcW w:w="517" w:type="dxa"/>
          </w:tcPr>
          <w:p w14:paraId="68681DF3" w14:textId="43919755" w:rsidR="005709A7" w:rsidRPr="005E5562" w:rsidRDefault="005709A7" w:rsidP="00F47454">
            <w:pPr>
              <w:pStyle w:val="Marge"/>
              <w:rPr>
                <w:rFonts w:ascii="Arial" w:hAnsi="Arial" w:cs="Arial"/>
                <w:sz w:val="18"/>
                <w:szCs w:val="18"/>
              </w:rPr>
            </w:pPr>
            <w:r w:rsidRPr="005E5562">
              <w:rPr>
                <w:rFonts w:ascii="Arial" w:hAnsi="Arial" w:cs="Arial"/>
                <w:sz w:val="18"/>
                <w:szCs w:val="18"/>
              </w:rPr>
              <w:t>1.a.</w:t>
            </w:r>
          </w:p>
        </w:tc>
        <w:tc>
          <w:tcPr>
            <w:tcW w:w="6058" w:type="dxa"/>
          </w:tcPr>
          <w:p w14:paraId="3A51AD07" w14:textId="7AB40D1D"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Получить профессиональную юридическую консультацию в отношении возможных последствий использования положения статьи 10.4 Устава МОК для привлечения Комиссией дополнительного финансирования на цели обеспечения эффективного и стабильного осуществления своих глобальных и региональных программ, в том числе в рамках Десятилетия науки об океане</w:t>
            </w:r>
          </w:p>
        </w:tc>
        <w:tc>
          <w:tcPr>
            <w:tcW w:w="1217" w:type="dxa"/>
          </w:tcPr>
          <w:p w14:paraId="0CE908E6" w14:textId="77777777"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Начало 2023 г.</w:t>
            </w:r>
          </w:p>
          <w:p w14:paraId="6A67AF7F" w14:textId="45FCC39C" w:rsidR="005709A7" w:rsidRPr="005E5562" w:rsidRDefault="005709A7" w:rsidP="00F47454">
            <w:pPr>
              <w:pStyle w:val="Marge"/>
              <w:jc w:val="center"/>
              <w:rPr>
                <w:rFonts w:ascii="Arial" w:hAnsi="Arial" w:cs="Arial"/>
                <w:bCs/>
                <w:sz w:val="18"/>
                <w:szCs w:val="18"/>
              </w:rPr>
            </w:pPr>
          </w:p>
        </w:tc>
        <w:tc>
          <w:tcPr>
            <w:tcW w:w="1984" w:type="dxa"/>
          </w:tcPr>
          <w:p w14:paraId="26C47FB1" w14:textId="09B429F9"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МОК в консультации с BSP и LA</w:t>
            </w:r>
          </w:p>
        </w:tc>
      </w:tr>
      <w:tr w:rsidR="005709A7" w:rsidRPr="005E5562" w14:paraId="652F42D3" w14:textId="77777777" w:rsidTr="00BC69EF">
        <w:tc>
          <w:tcPr>
            <w:tcW w:w="517" w:type="dxa"/>
          </w:tcPr>
          <w:p w14:paraId="48812F30" w14:textId="3419EE55" w:rsidR="005709A7" w:rsidRPr="005E5562" w:rsidRDefault="005709A7" w:rsidP="00F47454">
            <w:pPr>
              <w:pStyle w:val="Marge"/>
              <w:rPr>
                <w:rFonts w:ascii="Arial" w:hAnsi="Arial" w:cs="Arial"/>
                <w:sz w:val="18"/>
                <w:szCs w:val="18"/>
              </w:rPr>
            </w:pPr>
            <w:r w:rsidRPr="005E5562">
              <w:rPr>
                <w:rFonts w:ascii="Arial" w:hAnsi="Arial" w:cs="Arial"/>
                <w:sz w:val="18"/>
                <w:szCs w:val="18"/>
              </w:rPr>
              <w:t>1.b.</w:t>
            </w:r>
          </w:p>
        </w:tc>
        <w:tc>
          <w:tcPr>
            <w:tcW w:w="6058" w:type="dxa"/>
          </w:tcPr>
          <w:p w14:paraId="4E5F4B41" w14:textId="520EAD7A"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Провести в сотрудничестве с бюро стратегического планирования</w:t>
            </w:r>
            <w:r w:rsidR="0001156F" w:rsidRPr="005E5562">
              <w:rPr>
                <w:rFonts w:ascii="Arial" w:hAnsi="Arial" w:cs="Arial"/>
                <w:bCs/>
                <w:sz w:val="18"/>
                <w:szCs w:val="18"/>
              </w:rPr>
              <w:t xml:space="preserve"> </w:t>
            </w:r>
            <w:r w:rsidRPr="005E5562">
              <w:rPr>
                <w:rFonts w:ascii="Arial" w:hAnsi="Arial" w:cs="Arial"/>
                <w:bCs/>
                <w:sz w:val="18"/>
                <w:szCs w:val="18"/>
              </w:rPr>
              <w:t>организованное обсуждение вопросов финансирования с целью привлечения новых доноров. Для содействия этой работе отобрать, возможно из числа нынешних основных доноров, небольшую группу государств-членов, которые могли бы выступать в качестве доноров-активистов и обсуждать с другими государствами-членами вопросы мобилизации ресурсов и активного участия в деятельности МОК</w:t>
            </w:r>
          </w:p>
        </w:tc>
        <w:tc>
          <w:tcPr>
            <w:tcW w:w="1217" w:type="dxa"/>
          </w:tcPr>
          <w:p w14:paraId="38D6D5DB" w14:textId="4BC3FE1E"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2022 г.</w:t>
            </w:r>
          </w:p>
        </w:tc>
        <w:tc>
          <w:tcPr>
            <w:tcW w:w="1984" w:type="dxa"/>
          </w:tcPr>
          <w:p w14:paraId="24D6F2D9" w14:textId="51D3EA89"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МОК в консультации с BSP и должностными лицами МОК</w:t>
            </w:r>
          </w:p>
        </w:tc>
      </w:tr>
      <w:tr w:rsidR="005709A7" w:rsidRPr="005E5562" w14:paraId="1C64EA8A" w14:textId="77777777" w:rsidTr="00BC69EF">
        <w:tc>
          <w:tcPr>
            <w:tcW w:w="517" w:type="dxa"/>
          </w:tcPr>
          <w:p w14:paraId="4995564B" w14:textId="6A815B8F" w:rsidR="005709A7" w:rsidRPr="005E5562" w:rsidRDefault="005709A7" w:rsidP="00F47454">
            <w:pPr>
              <w:pStyle w:val="Marge"/>
              <w:rPr>
                <w:rFonts w:ascii="Arial" w:hAnsi="Arial" w:cs="Arial"/>
                <w:sz w:val="18"/>
                <w:szCs w:val="18"/>
              </w:rPr>
            </w:pPr>
            <w:r w:rsidRPr="005E5562">
              <w:rPr>
                <w:rFonts w:ascii="Arial" w:hAnsi="Arial" w:cs="Arial"/>
                <w:sz w:val="18"/>
                <w:szCs w:val="18"/>
              </w:rPr>
              <w:t>1.c.</w:t>
            </w:r>
          </w:p>
        </w:tc>
        <w:tc>
          <w:tcPr>
            <w:tcW w:w="6058" w:type="dxa"/>
          </w:tcPr>
          <w:p w14:paraId="2E08AAF2" w14:textId="261E0802"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Изучить варианты созыва один раз в четыре года, возможно в период проведения Ассамблеи МОК, форума высокопоставленных представителей директивных органов</w:t>
            </w:r>
          </w:p>
        </w:tc>
        <w:tc>
          <w:tcPr>
            <w:tcW w:w="1217" w:type="dxa"/>
          </w:tcPr>
          <w:p w14:paraId="1D92C442" w14:textId="3C6792DD" w:rsidR="005709A7" w:rsidRPr="005E5562" w:rsidRDefault="005709A7" w:rsidP="008B61D7">
            <w:pPr>
              <w:pStyle w:val="Marge"/>
              <w:jc w:val="center"/>
              <w:rPr>
                <w:rFonts w:ascii="Arial" w:hAnsi="Arial" w:cs="Arial"/>
                <w:bCs/>
                <w:sz w:val="18"/>
                <w:szCs w:val="18"/>
              </w:rPr>
            </w:pPr>
            <w:r w:rsidRPr="005E5562">
              <w:rPr>
                <w:rFonts w:ascii="Arial" w:hAnsi="Arial" w:cs="Arial"/>
                <w:bCs/>
                <w:sz w:val="18"/>
                <w:szCs w:val="18"/>
              </w:rPr>
              <w:t>Лето 2023</w:t>
            </w:r>
            <w:r w:rsidR="008B61D7">
              <w:rPr>
                <w:rFonts w:ascii="Arial" w:hAnsi="Arial" w:cs="Arial"/>
                <w:bCs/>
                <w:sz w:val="18"/>
                <w:szCs w:val="18"/>
                <w:lang w:val="en-GB"/>
              </w:rPr>
              <w:t> </w:t>
            </w:r>
            <w:r w:rsidRPr="005E5562">
              <w:rPr>
                <w:rFonts w:ascii="Arial" w:hAnsi="Arial" w:cs="Arial"/>
                <w:bCs/>
                <w:sz w:val="18"/>
                <w:szCs w:val="18"/>
              </w:rPr>
              <w:t>г.</w:t>
            </w:r>
          </w:p>
        </w:tc>
        <w:tc>
          <w:tcPr>
            <w:tcW w:w="1984" w:type="dxa"/>
          </w:tcPr>
          <w:p w14:paraId="227FD040" w14:textId="500B783C" w:rsidR="005709A7" w:rsidRPr="00047554" w:rsidRDefault="005709A7" w:rsidP="00F47454">
            <w:pPr>
              <w:pStyle w:val="Marge"/>
              <w:jc w:val="center"/>
              <w:rPr>
                <w:rFonts w:ascii="Arial" w:hAnsi="Arial" w:cs="Arial"/>
                <w:bCs/>
                <w:sz w:val="18"/>
                <w:szCs w:val="18"/>
              </w:rPr>
            </w:pPr>
            <w:r w:rsidRPr="005E5562">
              <w:rPr>
                <w:rFonts w:ascii="Arial" w:hAnsi="Arial" w:cs="Arial"/>
                <w:bCs/>
                <w:sz w:val="18"/>
                <w:szCs w:val="18"/>
              </w:rPr>
              <w:t xml:space="preserve">ИС МОК и </w:t>
            </w:r>
            <w:proofErr w:type="spellStart"/>
            <w:r w:rsidR="009D5A67">
              <w:rPr>
                <w:rFonts w:ascii="Arial" w:hAnsi="Arial" w:cs="Arial"/>
                <w:bCs/>
                <w:sz w:val="18"/>
                <w:szCs w:val="18"/>
              </w:rPr>
              <w:t>и.о</w:t>
            </w:r>
            <w:proofErr w:type="spellEnd"/>
            <w:r w:rsidR="009D5A67">
              <w:rPr>
                <w:rFonts w:ascii="Arial" w:hAnsi="Arial" w:cs="Arial"/>
                <w:bCs/>
                <w:sz w:val="18"/>
                <w:szCs w:val="18"/>
              </w:rPr>
              <w:t>. руководителя ГКД</w:t>
            </w:r>
          </w:p>
        </w:tc>
      </w:tr>
      <w:tr w:rsidR="005709A7" w:rsidRPr="009D5A67" w14:paraId="54EF47A2" w14:textId="77777777" w:rsidTr="00BC69EF">
        <w:tc>
          <w:tcPr>
            <w:tcW w:w="517" w:type="dxa"/>
          </w:tcPr>
          <w:p w14:paraId="3532D319" w14:textId="7223603C" w:rsidR="005709A7" w:rsidRPr="005E5562" w:rsidRDefault="005709A7" w:rsidP="00F47454">
            <w:pPr>
              <w:pStyle w:val="Marge"/>
              <w:rPr>
                <w:rFonts w:ascii="Arial" w:hAnsi="Arial" w:cs="Arial"/>
                <w:sz w:val="18"/>
                <w:szCs w:val="18"/>
              </w:rPr>
            </w:pPr>
            <w:r w:rsidRPr="005E5562">
              <w:rPr>
                <w:rFonts w:ascii="Arial" w:hAnsi="Arial" w:cs="Arial"/>
                <w:sz w:val="18"/>
                <w:szCs w:val="18"/>
              </w:rPr>
              <w:t>1.d.</w:t>
            </w:r>
          </w:p>
        </w:tc>
        <w:tc>
          <w:tcPr>
            <w:tcW w:w="6058" w:type="dxa"/>
          </w:tcPr>
          <w:p w14:paraId="7AE59664" w14:textId="011C4940"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 xml:space="preserve">Провести в рамках МОК продуманную кампанию информирования в отношении методического руководства по вопросам рационального планирования и управления в сфере </w:t>
            </w:r>
            <w:proofErr w:type="spellStart"/>
            <w:r w:rsidRPr="005E5562">
              <w:rPr>
                <w:rFonts w:ascii="Arial" w:hAnsi="Arial" w:cs="Arial"/>
                <w:bCs/>
                <w:sz w:val="18"/>
                <w:szCs w:val="18"/>
              </w:rPr>
              <w:t>морепользования</w:t>
            </w:r>
            <w:proofErr w:type="spellEnd"/>
            <w:r w:rsidRPr="005E5562">
              <w:rPr>
                <w:rFonts w:ascii="Arial" w:hAnsi="Arial" w:cs="Arial"/>
                <w:bCs/>
                <w:sz w:val="18"/>
                <w:szCs w:val="18"/>
              </w:rPr>
              <w:t xml:space="preserve"> и активно продвигать этот рамочный документ в контексте проведения Десятилетия науки об океане</w:t>
            </w:r>
          </w:p>
        </w:tc>
        <w:tc>
          <w:tcPr>
            <w:tcW w:w="1217" w:type="dxa"/>
          </w:tcPr>
          <w:p w14:paraId="54C77FD9" w14:textId="34115520"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2022 г.</w:t>
            </w:r>
          </w:p>
        </w:tc>
        <w:tc>
          <w:tcPr>
            <w:tcW w:w="1984" w:type="dxa"/>
          </w:tcPr>
          <w:p w14:paraId="04809C0D" w14:textId="084155C5"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 xml:space="preserve">ИС МОК и </w:t>
            </w:r>
            <w:proofErr w:type="spellStart"/>
            <w:r w:rsidR="009D5A67">
              <w:rPr>
                <w:rFonts w:ascii="Arial" w:hAnsi="Arial" w:cs="Arial"/>
                <w:bCs/>
                <w:sz w:val="18"/>
                <w:szCs w:val="18"/>
              </w:rPr>
              <w:t>и.о</w:t>
            </w:r>
            <w:proofErr w:type="spellEnd"/>
            <w:r w:rsidR="009D5A67">
              <w:rPr>
                <w:rFonts w:ascii="Arial" w:hAnsi="Arial" w:cs="Arial"/>
                <w:bCs/>
                <w:sz w:val="18"/>
                <w:szCs w:val="18"/>
              </w:rPr>
              <w:t>. руководителя ГКД</w:t>
            </w:r>
          </w:p>
        </w:tc>
      </w:tr>
      <w:tr w:rsidR="005709A7" w:rsidRPr="005E5562" w14:paraId="1E1E661D" w14:textId="77777777" w:rsidTr="00BC69EF">
        <w:tc>
          <w:tcPr>
            <w:tcW w:w="517" w:type="dxa"/>
          </w:tcPr>
          <w:p w14:paraId="1E3CA07F" w14:textId="77777777" w:rsidR="005709A7" w:rsidRPr="005E5562" w:rsidRDefault="005709A7" w:rsidP="00F47454">
            <w:pPr>
              <w:jc w:val="both"/>
              <w:rPr>
                <w:rFonts w:ascii="Arial" w:hAnsi="Arial" w:cs="Arial"/>
                <w:color w:val="002060"/>
                <w:sz w:val="18"/>
                <w:szCs w:val="18"/>
              </w:rPr>
            </w:pPr>
          </w:p>
        </w:tc>
        <w:tc>
          <w:tcPr>
            <w:tcW w:w="9259" w:type="dxa"/>
            <w:gridSpan w:val="3"/>
          </w:tcPr>
          <w:p w14:paraId="4A00DCAB" w14:textId="0AEC5C86" w:rsidR="005709A7" w:rsidRPr="005E5562" w:rsidRDefault="005709A7" w:rsidP="008B61D7">
            <w:pPr>
              <w:spacing w:before="120" w:after="120"/>
              <w:jc w:val="both"/>
              <w:rPr>
                <w:rFonts w:ascii="Arial" w:hAnsi="Arial" w:cs="Arial"/>
                <w:b/>
                <w:bCs/>
                <w:sz w:val="22"/>
                <w:szCs w:val="22"/>
              </w:rPr>
            </w:pPr>
            <w:r w:rsidRPr="005E5562">
              <w:rPr>
                <w:rFonts w:ascii="Arial" w:hAnsi="Arial" w:cs="Arial"/>
                <w:b/>
                <w:bCs/>
                <w:color w:val="002060"/>
                <w:sz w:val="18"/>
                <w:szCs w:val="18"/>
              </w:rPr>
              <w:t xml:space="preserve">Рекомендация 2: </w:t>
            </w:r>
            <w:r w:rsidRPr="00286D70">
              <w:rPr>
                <w:rFonts w:ascii="Arial" w:hAnsi="Arial" w:cs="Arial"/>
                <w:b/>
                <w:bCs/>
                <w:color w:val="002060"/>
                <w:sz w:val="18"/>
                <w:szCs w:val="18"/>
              </w:rPr>
              <w:t xml:space="preserve">К июню 2022 г. </w:t>
            </w:r>
            <w:r w:rsidR="005E5562" w:rsidRPr="00286D70">
              <w:rPr>
                <w:rFonts w:ascii="Arial" w:hAnsi="Arial" w:cs="Arial"/>
                <w:b/>
                <w:bCs/>
                <w:color w:val="002060"/>
                <w:sz w:val="18"/>
                <w:szCs w:val="18"/>
              </w:rPr>
              <w:t>р</w:t>
            </w:r>
            <w:r w:rsidRPr="00286D70">
              <w:rPr>
                <w:rFonts w:ascii="Arial" w:hAnsi="Arial" w:cs="Arial"/>
                <w:b/>
                <w:bCs/>
                <w:color w:val="002060"/>
                <w:sz w:val="18"/>
                <w:szCs w:val="18"/>
              </w:rPr>
              <w:t>азработать в партнерстве с другими учреждениями логико-структурную матрицу достижения запланированных результатов Десятилетия Организации Объединенных Наций, посвященного науке об океане в интересах устойчивого развития, в которой были бы четко обозначены конечные и промежуточные цели, целевые показатели и предполагаемые ответственные исполнители из числа учреждений системы ООН и которая могла бы также использоваться для мониторинга и оценки прогресса в достижении целей Десятилетия</w:t>
            </w:r>
          </w:p>
        </w:tc>
      </w:tr>
      <w:tr w:rsidR="005709A7" w:rsidRPr="005E5562" w14:paraId="381E907A" w14:textId="77777777" w:rsidTr="00BC69EF">
        <w:tc>
          <w:tcPr>
            <w:tcW w:w="517" w:type="dxa"/>
          </w:tcPr>
          <w:p w14:paraId="0E23854F" w14:textId="3EFE3428" w:rsidR="005709A7" w:rsidRPr="005E5562" w:rsidRDefault="005709A7" w:rsidP="00F47454">
            <w:pPr>
              <w:pStyle w:val="Marge"/>
              <w:rPr>
                <w:rFonts w:ascii="Arial" w:hAnsi="Arial" w:cs="Arial"/>
                <w:sz w:val="18"/>
                <w:szCs w:val="18"/>
              </w:rPr>
            </w:pPr>
            <w:r w:rsidRPr="005E5562">
              <w:rPr>
                <w:rFonts w:ascii="Arial" w:hAnsi="Arial" w:cs="Arial"/>
                <w:sz w:val="18"/>
                <w:szCs w:val="18"/>
              </w:rPr>
              <w:t>2.a.</w:t>
            </w:r>
          </w:p>
        </w:tc>
        <w:tc>
          <w:tcPr>
            <w:tcW w:w="6058" w:type="dxa"/>
          </w:tcPr>
          <w:p w14:paraId="6D5D5AD0" w14:textId="16E5EF8C"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Начать применение первой версии матрицы достижения запланированных результатов Десятилетия науки об океане не позднее середины 2022 г.</w:t>
            </w:r>
          </w:p>
        </w:tc>
        <w:tc>
          <w:tcPr>
            <w:tcW w:w="1217" w:type="dxa"/>
          </w:tcPr>
          <w:p w14:paraId="3171C052" w14:textId="29E72348" w:rsidR="005709A7" w:rsidRPr="005E5562" w:rsidRDefault="005709A7" w:rsidP="00BC69EF">
            <w:pPr>
              <w:pStyle w:val="Marge"/>
              <w:jc w:val="center"/>
              <w:rPr>
                <w:rFonts w:ascii="Arial" w:hAnsi="Arial" w:cs="Arial"/>
                <w:bCs/>
                <w:sz w:val="18"/>
                <w:szCs w:val="18"/>
              </w:rPr>
            </w:pPr>
            <w:r w:rsidRPr="005E5562">
              <w:rPr>
                <w:rFonts w:ascii="Arial" w:hAnsi="Arial" w:cs="Arial"/>
                <w:bCs/>
                <w:sz w:val="18"/>
                <w:szCs w:val="18"/>
              </w:rPr>
              <w:t>Лето 2022</w:t>
            </w:r>
            <w:r w:rsidR="00BC69EF">
              <w:rPr>
                <w:rFonts w:ascii="Arial" w:hAnsi="Arial" w:cs="Arial"/>
                <w:bCs/>
                <w:sz w:val="18"/>
                <w:szCs w:val="18"/>
                <w:lang w:val="en-GB"/>
              </w:rPr>
              <w:t> </w:t>
            </w:r>
            <w:r w:rsidRPr="005E5562">
              <w:rPr>
                <w:rFonts w:ascii="Arial" w:hAnsi="Arial" w:cs="Arial"/>
                <w:bCs/>
                <w:sz w:val="18"/>
                <w:szCs w:val="18"/>
              </w:rPr>
              <w:t>г.</w:t>
            </w:r>
          </w:p>
        </w:tc>
        <w:tc>
          <w:tcPr>
            <w:tcW w:w="1984" w:type="dxa"/>
          </w:tcPr>
          <w:p w14:paraId="73EBCCD9" w14:textId="3156D727"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МОК и ГКД</w:t>
            </w:r>
          </w:p>
        </w:tc>
      </w:tr>
      <w:tr w:rsidR="005709A7" w:rsidRPr="005E5562" w14:paraId="292D738D" w14:textId="77777777" w:rsidTr="00BC69EF">
        <w:tc>
          <w:tcPr>
            <w:tcW w:w="517" w:type="dxa"/>
          </w:tcPr>
          <w:p w14:paraId="27EF839B" w14:textId="7693187A" w:rsidR="005709A7" w:rsidRPr="005E5562" w:rsidRDefault="005709A7" w:rsidP="00F47454">
            <w:pPr>
              <w:pStyle w:val="Marge"/>
              <w:rPr>
                <w:rFonts w:ascii="Arial" w:hAnsi="Arial" w:cs="Arial"/>
                <w:sz w:val="18"/>
                <w:szCs w:val="18"/>
              </w:rPr>
            </w:pPr>
            <w:r w:rsidRPr="005E5562">
              <w:rPr>
                <w:rFonts w:ascii="Arial" w:hAnsi="Arial" w:cs="Arial"/>
                <w:sz w:val="18"/>
                <w:szCs w:val="18"/>
              </w:rPr>
              <w:t>2.b.</w:t>
            </w:r>
          </w:p>
        </w:tc>
        <w:tc>
          <w:tcPr>
            <w:tcW w:w="6058" w:type="dxa"/>
          </w:tcPr>
          <w:p w14:paraId="323B9B9D" w14:textId="73B36639"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Организовать работу по коллективному формулированию совместно с партнерами по сети «ООН-океаны» и всеми соответствующими заинтересованными сторонами основных ожидаемых результатов и целевых показателей для десяти приоритетных задач Десятилетия, посвященного науке об океане, и их последовательную интеграцию в матрицу достижения запланированных результатов Десятилетия</w:t>
            </w:r>
          </w:p>
        </w:tc>
        <w:tc>
          <w:tcPr>
            <w:tcW w:w="1217" w:type="dxa"/>
          </w:tcPr>
          <w:p w14:paraId="33CD949A" w14:textId="27EF2E91"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2023 г.</w:t>
            </w:r>
          </w:p>
        </w:tc>
        <w:tc>
          <w:tcPr>
            <w:tcW w:w="1984" w:type="dxa"/>
          </w:tcPr>
          <w:p w14:paraId="70CAA51E" w14:textId="26884B73"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МОК и ГКД</w:t>
            </w:r>
          </w:p>
        </w:tc>
      </w:tr>
      <w:tr w:rsidR="005709A7" w:rsidRPr="005E5562" w14:paraId="120964C0" w14:textId="77777777" w:rsidTr="00BC69EF">
        <w:tc>
          <w:tcPr>
            <w:tcW w:w="517" w:type="dxa"/>
          </w:tcPr>
          <w:p w14:paraId="39671677" w14:textId="04DDDCE7" w:rsidR="005709A7" w:rsidRPr="005E5562" w:rsidRDefault="005709A7" w:rsidP="00F47454">
            <w:pPr>
              <w:pStyle w:val="Marge"/>
              <w:rPr>
                <w:rFonts w:ascii="Arial" w:hAnsi="Arial" w:cs="Arial"/>
                <w:sz w:val="18"/>
                <w:szCs w:val="18"/>
              </w:rPr>
            </w:pPr>
            <w:r w:rsidRPr="005E5562">
              <w:rPr>
                <w:rFonts w:ascii="Arial" w:hAnsi="Arial" w:cs="Arial"/>
                <w:sz w:val="18"/>
                <w:szCs w:val="18"/>
              </w:rPr>
              <w:t>2.c.</w:t>
            </w:r>
          </w:p>
        </w:tc>
        <w:tc>
          <w:tcPr>
            <w:tcW w:w="6058" w:type="dxa"/>
          </w:tcPr>
          <w:p w14:paraId="74FF2C79" w14:textId="2A988D07"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 xml:space="preserve">Обеспечить практическое применение механизмов обзора, предусмотренных в </w:t>
            </w:r>
            <w:r w:rsidRPr="005E5562">
              <w:rPr>
                <w:rFonts w:ascii="Arial" w:hAnsi="Arial" w:cs="Arial"/>
                <w:bCs/>
                <w:i/>
                <w:sz w:val="18"/>
                <w:szCs w:val="18"/>
              </w:rPr>
              <w:t>Плане проведения Десятилетия, посвященного науке об океане</w:t>
            </w:r>
            <w:r w:rsidRPr="005E5562">
              <w:rPr>
                <w:rFonts w:ascii="Arial" w:hAnsi="Arial" w:cs="Arial"/>
                <w:bCs/>
                <w:sz w:val="18"/>
                <w:szCs w:val="18"/>
              </w:rPr>
              <w:t xml:space="preserve">, включая проведение каждые три года серии международных и региональных конференций, посвященных Десятилетию науки об океане, которые обеспечат площадку для критической оценки проделанной работы и гибкую систему управления реализацией приоритетов Десятилетия </w:t>
            </w:r>
          </w:p>
        </w:tc>
        <w:tc>
          <w:tcPr>
            <w:tcW w:w="1217" w:type="dxa"/>
          </w:tcPr>
          <w:p w14:paraId="7C5A04FB" w14:textId="28F48994"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2022 г.</w:t>
            </w:r>
          </w:p>
        </w:tc>
        <w:tc>
          <w:tcPr>
            <w:tcW w:w="1984" w:type="dxa"/>
          </w:tcPr>
          <w:p w14:paraId="247E0819" w14:textId="3AAC7951"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МОК и ГКД</w:t>
            </w:r>
          </w:p>
        </w:tc>
      </w:tr>
      <w:tr w:rsidR="005709A7" w:rsidRPr="005E5562" w14:paraId="3653F6A1" w14:textId="77777777" w:rsidTr="00BC69EF">
        <w:tc>
          <w:tcPr>
            <w:tcW w:w="517" w:type="dxa"/>
          </w:tcPr>
          <w:p w14:paraId="1B5A51D5" w14:textId="77777777" w:rsidR="005709A7" w:rsidRPr="005E5562" w:rsidRDefault="005709A7" w:rsidP="00F47454">
            <w:pPr>
              <w:rPr>
                <w:rFonts w:ascii="Arial" w:hAnsi="Arial" w:cs="Arial"/>
                <w:color w:val="002060"/>
                <w:sz w:val="18"/>
                <w:szCs w:val="18"/>
              </w:rPr>
            </w:pPr>
          </w:p>
        </w:tc>
        <w:tc>
          <w:tcPr>
            <w:tcW w:w="9259" w:type="dxa"/>
            <w:gridSpan w:val="3"/>
          </w:tcPr>
          <w:p w14:paraId="2A1658A8" w14:textId="21930C91" w:rsidR="005709A7" w:rsidRPr="005E5562" w:rsidRDefault="005709A7" w:rsidP="008B61D7">
            <w:pPr>
              <w:spacing w:before="120" w:after="120"/>
              <w:rPr>
                <w:rFonts w:ascii="Arial" w:hAnsi="Arial" w:cs="Arial"/>
                <w:b/>
                <w:bCs/>
                <w:sz w:val="22"/>
                <w:szCs w:val="22"/>
              </w:rPr>
            </w:pPr>
            <w:r w:rsidRPr="005E5562">
              <w:rPr>
                <w:rFonts w:ascii="Arial" w:hAnsi="Arial" w:cs="Arial"/>
                <w:b/>
                <w:bCs/>
                <w:color w:val="002060"/>
                <w:sz w:val="18"/>
                <w:szCs w:val="18"/>
              </w:rPr>
              <w:t xml:space="preserve">Рекомендация 3: К июню 2022 г. </w:t>
            </w:r>
            <w:r w:rsidR="005E5562">
              <w:rPr>
                <w:rFonts w:ascii="Arial" w:hAnsi="Arial" w:cs="Arial"/>
                <w:b/>
                <w:bCs/>
                <w:color w:val="002060"/>
                <w:sz w:val="18"/>
                <w:szCs w:val="18"/>
              </w:rPr>
              <w:t>о</w:t>
            </w:r>
            <w:r w:rsidRPr="005E5562">
              <w:rPr>
                <w:rFonts w:ascii="Arial" w:hAnsi="Arial" w:cs="Arial"/>
                <w:b/>
                <w:bCs/>
                <w:color w:val="002060"/>
                <w:sz w:val="18"/>
                <w:szCs w:val="18"/>
              </w:rPr>
              <w:t>пределить способы поддержки Десятилетия со стороны ЮНЕСКО</w:t>
            </w:r>
          </w:p>
        </w:tc>
      </w:tr>
      <w:tr w:rsidR="005709A7" w:rsidRPr="005E5562" w14:paraId="4178580A" w14:textId="77777777" w:rsidTr="00BC69EF">
        <w:tc>
          <w:tcPr>
            <w:tcW w:w="517" w:type="dxa"/>
          </w:tcPr>
          <w:p w14:paraId="33A13ECC" w14:textId="57D81501" w:rsidR="005709A7" w:rsidRPr="005E5562" w:rsidRDefault="005709A7" w:rsidP="00F47454">
            <w:pPr>
              <w:pStyle w:val="Marge"/>
              <w:rPr>
                <w:rFonts w:ascii="Arial" w:hAnsi="Arial" w:cs="Arial"/>
                <w:sz w:val="18"/>
                <w:szCs w:val="18"/>
              </w:rPr>
            </w:pPr>
            <w:r w:rsidRPr="005E5562">
              <w:rPr>
                <w:rFonts w:ascii="Arial" w:hAnsi="Arial" w:cs="Arial"/>
                <w:sz w:val="18"/>
                <w:szCs w:val="18"/>
              </w:rPr>
              <w:t>3.a.</w:t>
            </w:r>
          </w:p>
        </w:tc>
        <w:tc>
          <w:tcPr>
            <w:tcW w:w="6058" w:type="dxa"/>
          </w:tcPr>
          <w:p w14:paraId="697F43EA" w14:textId="73022062"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Сформулировать легкие для восприятия, адресные обращения к различным группам доноров относительно пользы и возможных способов оказания финансовой поддержки на цели проведения Десятилетия науки об океане</w:t>
            </w:r>
          </w:p>
        </w:tc>
        <w:tc>
          <w:tcPr>
            <w:tcW w:w="1217" w:type="dxa"/>
          </w:tcPr>
          <w:p w14:paraId="525D67AF" w14:textId="6AE351F7"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2022 г.</w:t>
            </w:r>
          </w:p>
        </w:tc>
        <w:tc>
          <w:tcPr>
            <w:tcW w:w="1984" w:type="dxa"/>
          </w:tcPr>
          <w:p w14:paraId="645F9231" w14:textId="1DB08ACC"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ГКД в консультации с руководством МОК</w:t>
            </w:r>
          </w:p>
        </w:tc>
      </w:tr>
      <w:tr w:rsidR="005709A7" w:rsidRPr="005E5562" w14:paraId="75AC2E38" w14:textId="77777777" w:rsidTr="00BC69EF">
        <w:tc>
          <w:tcPr>
            <w:tcW w:w="517" w:type="dxa"/>
          </w:tcPr>
          <w:p w14:paraId="3FA96670" w14:textId="7E96A2D4" w:rsidR="005709A7" w:rsidRPr="005E5562" w:rsidRDefault="005709A7" w:rsidP="00F47454">
            <w:pPr>
              <w:pStyle w:val="Marge"/>
              <w:rPr>
                <w:rFonts w:ascii="Arial" w:hAnsi="Arial" w:cs="Arial"/>
                <w:sz w:val="18"/>
                <w:szCs w:val="18"/>
              </w:rPr>
            </w:pPr>
            <w:r w:rsidRPr="005E5562">
              <w:rPr>
                <w:rFonts w:ascii="Arial" w:hAnsi="Arial" w:cs="Arial"/>
                <w:sz w:val="18"/>
                <w:szCs w:val="18"/>
              </w:rPr>
              <w:t>3.b.</w:t>
            </w:r>
          </w:p>
        </w:tc>
        <w:tc>
          <w:tcPr>
            <w:tcW w:w="6058" w:type="dxa"/>
          </w:tcPr>
          <w:p w14:paraId="3D27B350" w14:textId="09DE666E"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Провести дополнительную оценку ресурсных потребностей программ и структур МОК (не связанных с выполнением ГКД возложенных на нее координационных функций) в целях реального содействия проведению Десятилетия</w:t>
            </w:r>
          </w:p>
        </w:tc>
        <w:tc>
          <w:tcPr>
            <w:tcW w:w="1217" w:type="dxa"/>
          </w:tcPr>
          <w:p w14:paraId="3716CED8" w14:textId="62028F8A"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2022 г.</w:t>
            </w:r>
          </w:p>
        </w:tc>
        <w:tc>
          <w:tcPr>
            <w:tcW w:w="1984" w:type="dxa"/>
          </w:tcPr>
          <w:p w14:paraId="0109F297" w14:textId="56E1B722"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МОК в консультации с группой руководящих сотрудников МОК</w:t>
            </w:r>
          </w:p>
        </w:tc>
      </w:tr>
      <w:tr w:rsidR="005709A7" w:rsidRPr="005E5562" w14:paraId="221E19B1" w14:textId="77777777" w:rsidTr="00BC69EF">
        <w:tc>
          <w:tcPr>
            <w:tcW w:w="517" w:type="dxa"/>
          </w:tcPr>
          <w:p w14:paraId="7E435F1D" w14:textId="18FFD2D7" w:rsidR="005709A7" w:rsidRPr="005E5562" w:rsidRDefault="005709A7" w:rsidP="00F47454">
            <w:pPr>
              <w:pStyle w:val="Marge"/>
              <w:rPr>
                <w:rFonts w:ascii="Arial" w:hAnsi="Arial" w:cs="Arial"/>
                <w:sz w:val="18"/>
                <w:szCs w:val="18"/>
              </w:rPr>
            </w:pPr>
            <w:r w:rsidRPr="005E5562">
              <w:rPr>
                <w:rFonts w:ascii="Arial" w:hAnsi="Arial" w:cs="Arial"/>
                <w:sz w:val="18"/>
                <w:szCs w:val="18"/>
              </w:rPr>
              <w:t>3.c.</w:t>
            </w:r>
          </w:p>
        </w:tc>
        <w:tc>
          <w:tcPr>
            <w:tcW w:w="6058" w:type="dxa"/>
          </w:tcPr>
          <w:p w14:paraId="7BB48D71" w14:textId="60CB9C98"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Руководствуясь решением 214 ЕХ/29 Исполнительного совета ЮНЕСКО, осуществлять взаимодействие с другими секторами ЮНЕСКО с целью придания океанской проблематике характера сквозной приоритетной темы и продвижения Десятилетия, посвященного науке об океане, в качестве основного инструмента оказания государствами-членами содействия в этой области</w:t>
            </w:r>
          </w:p>
        </w:tc>
        <w:tc>
          <w:tcPr>
            <w:tcW w:w="1217" w:type="dxa"/>
          </w:tcPr>
          <w:p w14:paraId="58A33298" w14:textId="6A628695" w:rsidR="005709A7" w:rsidRPr="005E5562" w:rsidRDefault="005709A7" w:rsidP="008B61D7">
            <w:pPr>
              <w:pStyle w:val="Marge"/>
              <w:jc w:val="center"/>
              <w:rPr>
                <w:rFonts w:ascii="Arial" w:hAnsi="Arial" w:cs="Arial"/>
                <w:bCs/>
                <w:sz w:val="18"/>
                <w:szCs w:val="18"/>
              </w:rPr>
            </w:pPr>
            <w:r w:rsidRPr="005E5562">
              <w:rPr>
                <w:rFonts w:ascii="Arial" w:hAnsi="Arial" w:cs="Arial"/>
                <w:bCs/>
                <w:sz w:val="18"/>
                <w:szCs w:val="18"/>
              </w:rPr>
              <w:t>Лето 2023</w:t>
            </w:r>
            <w:r w:rsidR="008B61D7">
              <w:rPr>
                <w:rFonts w:ascii="Arial" w:hAnsi="Arial" w:cs="Arial"/>
                <w:bCs/>
                <w:sz w:val="18"/>
                <w:szCs w:val="18"/>
                <w:lang w:val="en-GB"/>
              </w:rPr>
              <w:t> </w:t>
            </w:r>
            <w:r w:rsidRPr="005E5562">
              <w:rPr>
                <w:rFonts w:ascii="Arial" w:hAnsi="Arial" w:cs="Arial"/>
                <w:bCs/>
                <w:sz w:val="18"/>
                <w:szCs w:val="18"/>
              </w:rPr>
              <w:t>г.</w:t>
            </w:r>
          </w:p>
        </w:tc>
        <w:tc>
          <w:tcPr>
            <w:tcW w:w="1984" w:type="dxa"/>
          </w:tcPr>
          <w:p w14:paraId="07D8C584" w14:textId="56A34032"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МОК и ГКД</w:t>
            </w:r>
          </w:p>
        </w:tc>
      </w:tr>
      <w:tr w:rsidR="005709A7" w:rsidRPr="005E5562" w14:paraId="0DAD7D27" w14:textId="77777777" w:rsidTr="00BC69EF">
        <w:tc>
          <w:tcPr>
            <w:tcW w:w="517" w:type="dxa"/>
          </w:tcPr>
          <w:p w14:paraId="420AD060" w14:textId="53A69681" w:rsidR="005709A7" w:rsidRPr="005E5562" w:rsidRDefault="005709A7" w:rsidP="00F47454">
            <w:pPr>
              <w:pStyle w:val="Marge"/>
              <w:rPr>
                <w:rFonts w:ascii="Arial" w:hAnsi="Arial" w:cs="Arial"/>
                <w:sz w:val="18"/>
                <w:szCs w:val="18"/>
              </w:rPr>
            </w:pPr>
            <w:r w:rsidRPr="005E5562">
              <w:rPr>
                <w:rFonts w:ascii="Arial" w:hAnsi="Arial" w:cs="Arial"/>
                <w:sz w:val="18"/>
                <w:szCs w:val="18"/>
              </w:rPr>
              <w:t>3.d.</w:t>
            </w:r>
          </w:p>
        </w:tc>
        <w:tc>
          <w:tcPr>
            <w:tcW w:w="6058" w:type="dxa"/>
          </w:tcPr>
          <w:p w14:paraId="57498D04" w14:textId="340C2CE1"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Разработать четкую стандартную форму «запроса» партнеров об оказании финансовой или нефинансовой поддержки Группе по координации проведения Десятилетия</w:t>
            </w:r>
          </w:p>
        </w:tc>
        <w:tc>
          <w:tcPr>
            <w:tcW w:w="1217" w:type="dxa"/>
          </w:tcPr>
          <w:p w14:paraId="3BB3C611" w14:textId="1645D08D"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2022 г.</w:t>
            </w:r>
          </w:p>
        </w:tc>
        <w:tc>
          <w:tcPr>
            <w:tcW w:w="1984" w:type="dxa"/>
          </w:tcPr>
          <w:p w14:paraId="7AC25E6D" w14:textId="6D477008"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ГКД</w:t>
            </w:r>
          </w:p>
        </w:tc>
      </w:tr>
      <w:tr w:rsidR="005709A7" w:rsidRPr="005E5562" w14:paraId="68070D01" w14:textId="77777777" w:rsidTr="00BC69EF">
        <w:tc>
          <w:tcPr>
            <w:tcW w:w="517" w:type="dxa"/>
          </w:tcPr>
          <w:p w14:paraId="065B4AA3" w14:textId="53D1290F" w:rsidR="005709A7" w:rsidRPr="005E5562" w:rsidRDefault="005709A7" w:rsidP="00F47454">
            <w:pPr>
              <w:pStyle w:val="Marge"/>
              <w:rPr>
                <w:rFonts w:ascii="Arial" w:hAnsi="Arial" w:cs="Arial"/>
                <w:sz w:val="18"/>
                <w:szCs w:val="18"/>
              </w:rPr>
            </w:pPr>
            <w:r w:rsidRPr="005E5562">
              <w:rPr>
                <w:rFonts w:ascii="Arial" w:hAnsi="Arial" w:cs="Arial"/>
                <w:sz w:val="18"/>
                <w:szCs w:val="18"/>
              </w:rPr>
              <w:t>3.e.</w:t>
            </w:r>
          </w:p>
        </w:tc>
        <w:tc>
          <w:tcPr>
            <w:tcW w:w="6058" w:type="dxa"/>
          </w:tcPr>
          <w:p w14:paraId="58445A3E" w14:textId="33E8D5B5"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Провести подробное картирование и анализ деятельности и интересов партнеров по сети «ООН-океаны» с целью определения списка имеющихся или потенциально возможных инициатив, касающихся Десятилетия, а также выявить слабые места и дать рекомендации в отношении укрепления взаимодействия и ресурсного обеспечения</w:t>
            </w:r>
          </w:p>
        </w:tc>
        <w:tc>
          <w:tcPr>
            <w:tcW w:w="1217" w:type="dxa"/>
          </w:tcPr>
          <w:p w14:paraId="5146DFE1" w14:textId="1E1937BC" w:rsidR="005709A7" w:rsidRPr="005E5562" w:rsidRDefault="005709A7" w:rsidP="008B61D7">
            <w:pPr>
              <w:pStyle w:val="Marge"/>
              <w:jc w:val="center"/>
              <w:rPr>
                <w:rFonts w:ascii="Arial" w:hAnsi="Arial" w:cs="Arial"/>
                <w:bCs/>
                <w:sz w:val="18"/>
                <w:szCs w:val="18"/>
              </w:rPr>
            </w:pPr>
            <w:r w:rsidRPr="005E5562">
              <w:rPr>
                <w:rFonts w:ascii="Arial" w:hAnsi="Arial" w:cs="Arial"/>
                <w:bCs/>
                <w:sz w:val="18"/>
                <w:szCs w:val="18"/>
              </w:rPr>
              <w:t>Лето 2023</w:t>
            </w:r>
            <w:r w:rsidR="008B61D7">
              <w:rPr>
                <w:rFonts w:ascii="Arial" w:hAnsi="Arial" w:cs="Arial"/>
                <w:bCs/>
                <w:sz w:val="18"/>
                <w:szCs w:val="18"/>
                <w:lang w:val="en-GB"/>
              </w:rPr>
              <w:t> </w:t>
            </w:r>
            <w:r w:rsidRPr="005E5562">
              <w:rPr>
                <w:rFonts w:ascii="Arial" w:hAnsi="Arial" w:cs="Arial"/>
                <w:bCs/>
                <w:sz w:val="18"/>
                <w:szCs w:val="18"/>
              </w:rPr>
              <w:t>г.</w:t>
            </w:r>
          </w:p>
        </w:tc>
        <w:tc>
          <w:tcPr>
            <w:tcW w:w="1984" w:type="dxa"/>
          </w:tcPr>
          <w:p w14:paraId="27078F09" w14:textId="647BB2C3"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ГКД</w:t>
            </w:r>
          </w:p>
        </w:tc>
      </w:tr>
      <w:tr w:rsidR="005709A7" w:rsidRPr="005E5562" w14:paraId="5BBC1EEB" w14:textId="77777777" w:rsidTr="00BC69EF">
        <w:tc>
          <w:tcPr>
            <w:tcW w:w="517" w:type="dxa"/>
          </w:tcPr>
          <w:p w14:paraId="1442CB82" w14:textId="7F29EA27" w:rsidR="005709A7" w:rsidRPr="005E5562" w:rsidRDefault="005709A7" w:rsidP="00F47454">
            <w:pPr>
              <w:pStyle w:val="Marge"/>
              <w:rPr>
                <w:rFonts w:ascii="Arial" w:hAnsi="Arial" w:cs="Arial"/>
                <w:sz w:val="18"/>
                <w:szCs w:val="18"/>
              </w:rPr>
            </w:pPr>
            <w:r w:rsidRPr="005E5562">
              <w:rPr>
                <w:rFonts w:ascii="Arial" w:hAnsi="Arial" w:cs="Arial"/>
                <w:sz w:val="18"/>
                <w:szCs w:val="18"/>
              </w:rPr>
              <w:t>3.f.</w:t>
            </w:r>
          </w:p>
        </w:tc>
        <w:tc>
          <w:tcPr>
            <w:tcW w:w="6058" w:type="dxa"/>
          </w:tcPr>
          <w:p w14:paraId="4B30AB32" w14:textId="774B066F"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Поощрять партнеров по системе ООН к созданию и ресурсному обеспечению бюро по координации проведения Десятилетия в целях обеспечения скоординированной работы по региональным или тематическим приоритетам</w:t>
            </w:r>
          </w:p>
        </w:tc>
        <w:tc>
          <w:tcPr>
            <w:tcW w:w="1217" w:type="dxa"/>
          </w:tcPr>
          <w:p w14:paraId="25246F4A" w14:textId="5EF02FEE"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 xml:space="preserve">Как можно раньше и регулярно в течение всего Десятилетия </w:t>
            </w:r>
          </w:p>
        </w:tc>
        <w:tc>
          <w:tcPr>
            <w:tcW w:w="1984" w:type="dxa"/>
          </w:tcPr>
          <w:p w14:paraId="01CE205C" w14:textId="2A7B6D93"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БКД</w:t>
            </w:r>
          </w:p>
        </w:tc>
      </w:tr>
      <w:tr w:rsidR="005709A7" w:rsidRPr="005E5562" w14:paraId="72F834C1" w14:textId="77777777" w:rsidTr="00BC69EF">
        <w:tc>
          <w:tcPr>
            <w:tcW w:w="517" w:type="dxa"/>
          </w:tcPr>
          <w:p w14:paraId="6D893B31" w14:textId="1E9CAA04" w:rsidR="005709A7" w:rsidRPr="005E5562" w:rsidRDefault="005709A7" w:rsidP="00F47454">
            <w:pPr>
              <w:pStyle w:val="Marge"/>
              <w:rPr>
                <w:rFonts w:ascii="Arial" w:hAnsi="Arial" w:cs="Arial"/>
                <w:sz w:val="18"/>
                <w:szCs w:val="18"/>
              </w:rPr>
            </w:pPr>
            <w:r w:rsidRPr="005E5562">
              <w:rPr>
                <w:rFonts w:ascii="Arial" w:hAnsi="Arial" w:cs="Arial"/>
                <w:sz w:val="18"/>
                <w:szCs w:val="18"/>
              </w:rPr>
              <w:t>3.g.</w:t>
            </w:r>
          </w:p>
        </w:tc>
        <w:tc>
          <w:tcPr>
            <w:tcW w:w="6058" w:type="dxa"/>
          </w:tcPr>
          <w:p w14:paraId="692D228A" w14:textId="52227FF1"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Ввести в качестве обязательного условия членства в Альянсе в поддержку Десятилетия науки требование о предоставлении Группе по координации проведения Десятилетия финансовой или нефинансовой поддержки</w:t>
            </w:r>
          </w:p>
        </w:tc>
        <w:tc>
          <w:tcPr>
            <w:tcW w:w="1217" w:type="dxa"/>
          </w:tcPr>
          <w:p w14:paraId="0392E892" w14:textId="3E0FAF6B" w:rsidR="005709A7" w:rsidRPr="005E5562" w:rsidRDefault="005709A7" w:rsidP="008B61D7">
            <w:pPr>
              <w:pStyle w:val="Marge"/>
              <w:jc w:val="center"/>
              <w:rPr>
                <w:rFonts w:ascii="Arial" w:hAnsi="Arial" w:cs="Arial"/>
                <w:bCs/>
                <w:sz w:val="18"/>
                <w:szCs w:val="18"/>
              </w:rPr>
            </w:pPr>
            <w:r w:rsidRPr="005E5562">
              <w:rPr>
                <w:rFonts w:ascii="Arial" w:hAnsi="Arial" w:cs="Arial"/>
                <w:bCs/>
                <w:sz w:val="18"/>
                <w:szCs w:val="18"/>
              </w:rPr>
              <w:t>Как можно раньше и в течение всего периода представления заявок</w:t>
            </w:r>
          </w:p>
        </w:tc>
        <w:tc>
          <w:tcPr>
            <w:tcW w:w="1984" w:type="dxa"/>
          </w:tcPr>
          <w:p w14:paraId="35F0D3C0" w14:textId="76C38970"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ГКД</w:t>
            </w:r>
          </w:p>
        </w:tc>
      </w:tr>
      <w:tr w:rsidR="005709A7" w:rsidRPr="005E5562" w14:paraId="482C59BA" w14:textId="77777777" w:rsidTr="00BC69EF">
        <w:tc>
          <w:tcPr>
            <w:tcW w:w="517" w:type="dxa"/>
          </w:tcPr>
          <w:p w14:paraId="4D0E8044" w14:textId="77777777" w:rsidR="005709A7" w:rsidRPr="005E5562" w:rsidRDefault="005709A7" w:rsidP="00F47454">
            <w:pPr>
              <w:pStyle w:val="Marge"/>
              <w:rPr>
                <w:rFonts w:ascii="Arial" w:hAnsi="Arial" w:cs="Arial"/>
                <w:color w:val="002060"/>
                <w:sz w:val="18"/>
                <w:szCs w:val="18"/>
              </w:rPr>
            </w:pPr>
          </w:p>
        </w:tc>
        <w:tc>
          <w:tcPr>
            <w:tcW w:w="9259" w:type="dxa"/>
            <w:gridSpan w:val="3"/>
          </w:tcPr>
          <w:p w14:paraId="1AE7C2E4" w14:textId="372DB100" w:rsidR="005709A7" w:rsidRPr="005E5562" w:rsidRDefault="005709A7" w:rsidP="008B61D7">
            <w:pPr>
              <w:pStyle w:val="Marge"/>
              <w:spacing w:before="120" w:after="120"/>
              <w:rPr>
                <w:rFonts w:ascii="Arial" w:hAnsi="Arial" w:cs="Arial"/>
                <w:b/>
                <w:bCs/>
                <w:sz w:val="18"/>
                <w:szCs w:val="18"/>
              </w:rPr>
            </w:pPr>
            <w:r w:rsidRPr="005E5562">
              <w:rPr>
                <w:rFonts w:ascii="Arial" w:hAnsi="Arial" w:cs="Arial"/>
                <w:b/>
                <w:bCs/>
                <w:color w:val="002060"/>
                <w:sz w:val="18"/>
                <w:szCs w:val="18"/>
              </w:rPr>
              <w:t xml:space="preserve">Рекомендация 4: К июню 2024 г. </w:t>
            </w:r>
            <w:r w:rsidR="005E5562">
              <w:rPr>
                <w:rFonts w:ascii="Arial" w:hAnsi="Arial" w:cs="Arial"/>
                <w:b/>
                <w:bCs/>
                <w:color w:val="002060"/>
                <w:sz w:val="18"/>
                <w:szCs w:val="18"/>
              </w:rPr>
              <w:t>и</w:t>
            </w:r>
            <w:r w:rsidRPr="005E5562">
              <w:rPr>
                <w:rFonts w:ascii="Arial" w:hAnsi="Arial" w:cs="Arial"/>
                <w:b/>
                <w:bCs/>
                <w:color w:val="002060"/>
                <w:sz w:val="18"/>
                <w:szCs w:val="18"/>
              </w:rPr>
              <w:t>зучить возможные варианты расширения использования базы данных и научных знаний МОК-ЮНЕСКО</w:t>
            </w:r>
          </w:p>
        </w:tc>
      </w:tr>
      <w:tr w:rsidR="005709A7" w:rsidRPr="005E5562" w14:paraId="3C8AE6E0" w14:textId="77777777" w:rsidTr="00BC69EF">
        <w:tc>
          <w:tcPr>
            <w:tcW w:w="517" w:type="dxa"/>
          </w:tcPr>
          <w:p w14:paraId="11C234F9" w14:textId="29FC77F1" w:rsidR="005709A7" w:rsidRPr="005E5562" w:rsidRDefault="00790A29" w:rsidP="00F47454">
            <w:pPr>
              <w:pStyle w:val="Marge"/>
              <w:rPr>
                <w:rFonts w:ascii="Arial" w:hAnsi="Arial" w:cs="Arial"/>
                <w:sz w:val="18"/>
                <w:szCs w:val="18"/>
              </w:rPr>
            </w:pPr>
            <w:r w:rsidRPr="005E5562">
              <w:rPr>
                <w:rFonts w:ascii="Arial" w:hAnsi="Arial" w:cs="Arial"/>
                <w:sz w:val="18"/>
                <w:szCs w:val="18"/>
              </w:rPr>
              <w:t>4.a.</w:t>
            </w:r>
          </w:p>
        </w:tc>
        <w:tc>
          <w:tcPr>
            <w:tcW w:w="6058" w:type="dxa"/>
          </w:tcPr>
          <w:p w14:paraId="1D5B401A" w14:textId="38309A97" w:rsidR="005709A7" w:rsidRPr="005E5562" w:rsidRDefault="005709A7" w:rsidP="00F47454">
            <w:pPr>
              <w:pStyle w:val="Marge"/>
              <w:rPr>
                <w:rFonts w:ascii="Arial" w:hAnsi="Arial" w:cs="Arial"/>
                <w:bCs/>
                <w:sz w:val="18"/>
                <w:szCs w:val="18"/>
                <w:highlight w:val="lightGray"/>
              </w:rPr>
            </w:pPr>
            <w:r w:rsidRPr="005E5562">
              <w:rPr>
                <w:rFonts w:ascii="Arial" w:hAnsi="Arial" w:cs="Arial"/>
                <w:bCs/>
                <w:sz w:val="18"/>
                <w:szCs w:val="18"/>
              </w:rPr>
              <w:t xml:space="preserve">Учредить </w:t>
            </w:r>
            <w:proofErr w:type="spellStart"/>
            <w:r w:rsidRPr="005E5562">
              <w:rPr>
                <w:rFonts w:ascii="Arial" w:hAnsi="Arial" w:cs="Arial"/>
                <w:bCs/>
                <w:sz w:val="18"/>
                <w:szCs w:val="18"/>
              </w:rPr>
              <w:t>межсекционную</w:t>
            </w:r>
            <w:proofErr w:type="spellEnd"/>
            <w:r w:rsidRPr="005E5562">
              <w:rPr>
                <w:rFonts w:ascii="Arial" w:hAnsi="Arial" w:cs="Arial"/>
                <w:bCs/>
                <w:sz w:val="18"/>
                <w:szCs w:val="18"/>
              </w:rPr>
              <w:t xml:space="preserve"> рабочую группу (РГ) Комиссии с целью разработки набора социально-экономических показателей, которые будут использоваться, в частности, при подготовке доклада о состоянии Мирового океана. При необходимости расширить состав указанной рабочей группы с целью включения в нее представителей других структур, например участников сети «ООН-океаны»</w:t>
            </w:r>
          </w:p>
        </w:tc>
        <w:tc>
          <w:tcPr>
            <w:tcW w:w="1217" w:type="dxa"/>
          </w:tcPr>
          <w:p w14:paraId="50B6F698" w14:textId="3AF53123"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2022 г.</w:t>
            </w:r>
          </w:p>
        </w:tc>
        <w:tc>
          <w:tcPr>
            <w:tcW w:w="1984" w:type="dxa"/>
          </w:tcPr>
          <w:p w14:paraId="161EF432" w14:textId="5B82C8A4"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и группа руководящих сотрудников МОК</w:t>
            </w:r>
          </w:p>
        </w:tc>
      </w:tr>
      <w:tr w:rsidR="005709A7" w:rsidRPr="005E5562" w14:paraId="517EEB14" w14:textId="77777777" w:rsidTr="00BC69EF">
        <w:tc>
          <w:tcPr>
            <w:tcW w:w="517" w:type="dxa"/>
          </w:tcPr>
          <w:p w14:paraId="0A41843F" w14:textId="5EFF1F92" w:rsidR="005709A7" w:rsidRPr="005E5562" w:rsidRDefault="00790A29" w:rsidP="00F47454">
            <w:pPr>
              <w:pStyle w:val="Marge"/>
              <w:rPr>
                <w:rFonts w:ascii="Arial" w:hAnsi="Arial" w:cs="Arial"/>
                <w:sz w:val="18"/>
                <w:szCs w:val="18"/>
              </w:rPr>
            </w:pPr>
            <w:r w:rsidRPr="005E5562">
              <w:rPr>
                <w:rFonts w:ascii="Arial" w:hAnsi="Arial" w:cs="Arial"/>
                <w:sz w:val="18"/>
                <w:szCs w:val="18"/>
              </w:rPr>
              <w:t>4.b.</w:t>
            </w:r>
          </w:p>
        </w:tc>
        <w:tc>
          <w:tcPr>
            <w:tcW w:w="6058" w:type="dxa"/>
          </w:tcPr>
          <w:p w14:paraId="4DEFA72C" w14:textId="6276FFD5" w:rsidR="005709A7" w:rsidRPr="005E5562" w:rsidRDefault="005709A7" w:rsidP="00F47454">
            <w:pPr>
              <w:pStyle w:val="Marge"/>
              <w:rPr>
                <w:rFonts w:ascii="Arial" w:hAnsi="Arial" w:cs="Arial"/>
                <w:bCs/>
                <w:sz w:val="18"/>
                <w:szCs w:val="18"/>
                <w:highlight w:val="lightGray"/>
              </w:rPr>
            </w:pPr>
            <w:r w:rsidRPr="005E5562">
              <w:rPr>
                <w:rFonts w:ascii="Arial" w:hAnsi="Arial" w:cs="Arial"/>
                <w:bCs/>
                <w:sz w:val="18"/>
                <w:szCs w:val="18"/>
              </w:rPr>
              <w:t xml:space="preserve">Разработать процедуры, оптимизирующие и упрощающие </w:t>
            </w:r>
            <w:proofErr w:type="spellStart"/>
            <w:r w:rsidRPr="005E5562">
              <w:rPr>
                <w:rFonts w:ascii="Arial" w:hAnsi="Arial" w:cs="Arial"/>
                <w:bCs/>
                <w:sz w:val="18"/>
                <w:szCs w:val="18"/>
              </w:rPr>
              <w:t>конвеерную</w:t>
            </w:r>
            <w:proofErr w:type="spellEnd"/>
            <w:r w:rsidRPr="005E5562">
              <w:rPr>
                <w:rFonts w:ascii="Arial" w:hAnsi="Arial" w:cs="Arial"/>
                <w:bCs/>
                <w:sz w:val="18"/>
                <w:szCs w:val="18"/>
              </w:rPr>
              <w:t xml:space="preserve"> обработку данных МОК, с тем чтобы их можно было использовать для расчета вышеупомянутых показателей</w:t>
            </w:r>
          </w:p>
        </w:tc>
        <w:tc>
          <w:tcPr>
            <w:tcW w:w="1217" w:type="dxa"/>
          </w:tcPr>
          <w:p w14:paraId="7DED3060" w14:textId="4C8CA1E7" w:rsidR="005709A7" w:rsidRPr="005E5562" w:rsidRDefault="005709A7" w:rsidP="008B61D7">
            <w:pPr>
              <w:pStyle w:val="Marge"/>
              <w:jc w:val="center"/>
              <w:rPr>
                <w:rFonts w:ascii="Arial" w:hAnsi="Arial" w:cs="Arial"/>
                <w:bCs/>
                <w:sz w:val="18"/>
                <w:szCs w:val="18"/>
              </w:rPr>
            </w:pPr>
            <w:r w:rsidRPr="005E5562">
              <w:rPr>
                <w:rFonts w:ascii="Arial" w:hAnsi="Arial" w:cs="Arial"/>
                <w:bCs/>
                <w:sz w:val="18"/>
                <w:szCs w:val="18"/>
              </w:rPr>
              <w:t>Лето 2023</w:t>
            </w:r>
            <w:r w:rsidR="008B61D7">
              <w:rPr>
                <w:rFonts w:ascii="Arial" w:hAnsi="Arial" w:cs="Arial"/>
                <w:bCs/>
                <w:sz w:val="18"/>
                <w:szCs w:val="18"/>
                <w:lang w:val="en-GB"/>
              </w:rPr>
              <w:t> </w:t>
            </w:r>
            <w:r w:rsidRPr="005E5562">
              <w:rPr>
                <w:rFonts w:ascii="Arial" w:hAnsi="Arial" w:cs="Arial"/>
                <w:bCs/>
                <w:sz w:val="18"/>
                <w:szCs w:val="18"/>
              </w:rPr>
              <w:t>г.</w:t>
            </w:r>
          </w:p>
        </w:tc>
        <w:tc>
          <w:tcPr>
            <w:tcW w:w="1984" w:type="dxa"/>
          </w:tcPr>
          <w:p w14:paraId="0F65DA93" w14:textId="1B424ABD"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и группа руководящих сотрудников МОК</w:t>
            </w:r>
          </w:p>
        </w:tc>
      </w:tr>
      <w:tr w:rsidR="005709A7" w:rsidRPr="005E5562" w14:paraId="20D3B595" w14:textId="77777777" w:rsidTr="00BC69EF">
        <w:tc>
          <w:tcPr>
            <w:tcW w:w="517" w:type="dxa"/>
          </w:tcPr>
          <w:p w14:paraId="21C76BF4" w14:textId="1BC13FC8" w:rsidR="005709A7" w:rsidRPr="005E5562" w:rsidRDefault="00790A29" w:rsidP="00F47454">
            <w:pPr>
              <w:tabs>
                <w:tab w:val="clear" w:pos="567"/>
              </w:tabs>
              <w:snapToGrid/>
              <w:jc w:val="both"/>
              <w:rPr>
                <w:rFonts w:ascii="Arial" w:hAnsi="Arial" w:cs="Arial"/>
                <w:sz w:val="18"/>
                <w:szCs w:val="18"/>
              </w:rPr>
            </w:pPr>
            <w:r w:rsidRPr="005E5562">
              <w:rPr>
                <w:rFonts w:ascii="Arial" w:hAnsi="Arial" w:cs="Arial"/>
                <w:sz w:val="18"/>
                <w:szCs w:val="18"/>
              </w:rPr>
              <w:t>4.c.</w:t>
            </w:r>
          </w:p>
        </w:tc>
        <w:tc>
          <w:tcPr>
            <w:tcW w:w="6058" w:type="dxa"/>
          </w:tcPr>
          <w:p w14:paraId="1E7DC890" w14:textId="0E7B0DA7" w:rsidR="005709A7" w:rsidRPr="005E5562" w:rsidRDefault="005709A7" w:rsidP="00F47454">
            <w:pPr>
              <w:tabs>
                <w:tab w:val="clear" w:pos="567"/>
              </w:tabs>
              <w:snapToGrid/>
              <w:jc w:val="both"/>
              <w:rPr>
                <w:rFonts w:ascii="Arial" w:hAnsi="Arial" w:cs="Arial"/>
                <w:bCs/>
                <w:sz w:val="18"/>
                <w:szCs w:val="18"/>
              </w:rPr>
            </w:pPr>
            <w:r w:rsidRPr="005E5562">
              <w:rPr>
                <w:rFonts w:ascii="Arial" w:hAnsi="Arial" w:cs="Arial"/>
                <w:sz w:val="18"/>
                <w:szCs w:val="18"/>
              </w:rPr>
              <w:t xml:space="preserve">Ускорить процесс совершенствования Системы океанографических данных и информации (ОДИС) и повысить ее вклад в проведение Десятилетия, посвященного науке об океане </w:t>
            </w:r>
          </w:p>
        </w:tc>
        <w:tc>
          <w:tcPr>
            <w:tcW w:w="1217" w:type="dxa"/>
          </w:tcPr>
          <w:p w14:paraId="5A840238" w14:textId="4C92DF0A" w:rsidR="005709A7" w:rsidRPr="005E5562" w:rsidRDefault="005709A7" w:rsidP="008B61D7">
            <w:pPr>
              <w:pStyle w:val="Marge"/>
              <w:jc w:val="center"/>
              <w:rPr>
                <w:rFonts w:ascii="Arial" w:hAnsi="Arial" w:cs="Arial"/>
                <w:bCs/>
                <w:sz w:val="18"/>
                <w:szCs w:val="18"/>
              </w:rPr>
            </w:pPr>
            <w:r w:rsidRPr="005E5562">
              <w:rPr>
                <w:rFonts w:ascii="Arial" w:hAnsi="Arial" w:cs="Arial"/>
                <w:bCs/>
                <w:sz w:val="18"/>
                <w:szCs w:val="18"/>
              </w:rPr>
              <w:t>Лето 2023</w:t>
            </w:r>
            <w:r w:rsidR="008B61D7">
              <w:rPr>
                <w:rFonts w:ascii="Arial" w:hAnsi="Arial" w:cs="Arial"/>
                <w:bCs/>
                <w:sz w:val="18"/>
                <w:szCs w:val="18"/>
                <w:lang w:val="en-GB"/>
              </w:rPr>
              <w:t> </w:t>
            </w:r>
            <w:r w:rsidRPr="005E5562">
              <w:rPr>
                <w:rFonts w:ascii="Arial" w:hAnsi="Arial" w:cs="Arial"/>
                <w:bCs/>
                <w:sz w:val="18"/>
                <w:szCs w:val="18"/>
              </w:rPr>
              <w:t>г.</w:t>
            </w:r>
          </w:p>
        </w:tc>
        <w:tc>
          <w:tcPr>
            <w:tcW w:w="1984" w:type="dxa"/>
          </w:tcPr>
          <w:p w14:paraId="15560A3E" w14:textId="6362F8E2"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 xml:space="preserve">МОК и группа </w:t>
            </w:r>
            <w:r w:rsidR="001232AA">
              <w:rPr>
                <w:rFonts w:ascii="Arial" w:hAnsi="Arial" w:cs="Arial"/>
                <w:bCs/>
                <w:sz w:val="18"/>
                <w:szCs w:val="18"/>
              </w:rPr>
              <w:t>руководящих сотрудников</w:t>
            </w:r>
            <w:r w:rsidRPr="005E5562">
              <w:rPr>
                <w:rFonts w:ascii="Arial" w:hAnsi="Arial" w:cs="Arial"/>
                <w:bCs/>
                <w:sz w:val="18"/>
                <w:szCs w:val="18"/>
              </w:rPr>
              <w:t xml:space="preserve"> МОК</w:t>
            </w:r>
          </w:p>
        </w:tc>
      </w:tr>
      <w:tr w:rsidR="005709A7" w:rsidRPr="005E5562" w14:paraId="69B43930" w14:textId="77777777" w:rsidTr="00BC69EF">
        <w:tc>
          <w:tcPr>
            <w:tcW w:w="517" w:type="dxa"/>
          </w:tcPr>
          <w:p w14:paraId="62A3906B" w14:textId="2BB07217" w:rsidR="005709A7" w:rsidRPr="005E5562" w:rsidRDefault="00790A29" w:rsidP="00F47454">
            <w:pPr>
              <w:pStyle w:val="Marge"/>
              <w:rPr>
                <w:rFonts w:ascii="Arial" w:hAnsi="Arial" w:cs="Arial"/>
                <w:sz w:val="18"/>
                <w:szCs w:val="18"/>
              </w:rPr>
            </w:pPr>
            <w:r w:rsidRPr="005E5562">
              <w:rPr>
                <w:rFonts w:ascii="Arial" w:hAnsi="Arial" w:cs="Arial"/>
                <w:sz w:val="18"/>
                <w:szCs w:val="18"/>
              </w:rPr>
              <w:lastRenderedPageBreak/>
              <w:t>4.d.</w:t>
            </w:r>
          </w:p>
        </w:tc>
        <w:tc>
          <w:tcPr>
            <w:tcW w:w="6058" w:type="dxa"/>
          </w:tcPr>
          <w:p w14:paraId="4C3F4648" w14:textId="7A853086"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Изыскать финансовые ресурсы для подготовки первого доклада о состоянии Мирового океана к 32-й сессии Ассамблеи, которая пройдет в 2023 г.</w:t>
            </w:r>
          </w:p>
        </w:tc>
        <w:tc>
          <w:tcPr>
            <w:tcW w:w="1217" w:type="dxa"/>
          </w:tcPr>
          <w:p w14:paraId="32781FA2" w14:textId="1466458F" w:rsidR="005709A7" w:rsidRPr="005E5562" w:rsidRDefault="005709A7" w:rsidP="008B61D7">
            <w:pPr>
              <w:pStyle w:val="Marge"/>
              <w:jc w:val="center"/>
              <w:rPr>
                <w:rFonts w:ascii="Arial" w:hAnsi="Arial" w:cs="Arial"/>
                <w:bCs/>
                <w:sz w:val="18"/>
                <w:szCs w:val="18"/>
              </w:rPr>
            </w:pPr>
            <w:r w:rsidRPr="005E5562">
              <w:rPr>
                <w:rFonts w:ascii="Arial" w:hAnsi="Arial" w:cs="Arial"/>
                <w:bCs/>
                <w:sz w:val="18"/>
                <w:szCs w:val="18"/>
              </w:rPr>
              <w:t>Лето 2023</w:t>
            </w:r>
            <w:r w:rsidR="008B61D7">
              <w:rPr>
                <w:rFonts w:ascii="Arial" w:hAnsi="Arial" w:cs="Arial"/>
                <w:bCs/>
                <w:sz w:val="18"/>
                <w:szCs w:val="18"/>
                <w:lang w:val="en-GB"/>
              </w:rPr>
              <w:t> </w:t>
            </w:r>
            <w:r w:rsidRPr="005E5562">
              <w:rPr>
                <w:rFonts w:ascii="Arial" w:hAnsi="Arial" w:cs="Arial"/>
                <w:bCs/>
                <w:sz w:val="18"/>
                <w:szCs w:val="18"/>
              </w:rPr>
              <w:t>г.</w:t>
            </w:r>
          </w:p>
        </w:tc>
        <w:tc>
          <w:tcPr>
            <w:tcW w:w="1984" w:type="dxa"/>
          </w:tcPr>
          <w:p w14:paraId="45625DC5" w14:textId="28691CB3"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и группа руководящих сотрудников МОК</w:t>
            </w:r>
          </w:p>
        </w:tc>
      </w:tr>
      <w:tr w:rsidR="005709A7" w:rsidRPr="005E5562" w14:paraId="5A4D05AF" w14:textId="77777777" w:rsidTr="00BC69EF">
        <w:tc>
          <w:tcPr>
            <w:tcW w:w="517" w:type="dxa"/>
          </w:tcPr>
          <w:p w14:paraId="664F4F5A" w14:textId="77777777" w:rsidR="005709A7" w:rsidRPr="005E5562" w:rsidRDefault="005709A7" w:rsidP="00F47454">
            <w:pPr>
              <w:pStyle w:val="Marge"/>
              <w:rPr>
                <w:rFonts w:ascii="Arial" w:hAnsi="Arial" w:cs="Arial"/>
                <w:color w:val="002060"/>
                <w:sz w:val="18"/>
                <w:szCs w:val="18"/>
              </w:rPr>
            </w:pPr>
          </w:p>
        </w:tc>
        <w:tc>
          <w:tcPr>
            <w:tcW w:w="9259" w:type="dxa"/>
            <w:gridSpan w:val="3"/>
          </w:tcPr>
          <w:p w14:paraId="1824E40A" w14:textId="758CCC40" w:rsidR="005709A7" w:rsidRPr="005E5562" w:rsidRDefault="005709A7" w:rsidP="008B61D7">
            <w:pPr>
              <w:pStyle w:val="Marge"/>
              <w:spacing w:before="120" w:after="120"/>
              <w:rPr>
                <w:rFonts w:ascii="Arial" w:hAnsi="Arial" w:cs="Arial"/>
                <w:b/>
                <w:bCs/>
                <w:sz w:val="18"/>
                <w:szCs w:val="18"/>
              </w:rPr>
            </w:pPr>
            <w:r w:rsidRPr="005E5562">
              <w:rPr>
                <w:rFonts w:ascii="Arial" w:hAnsi="Arial" w:cs="Arial"/>
                <w:b/>
                <w:bCs/>
                <w:color w:val="002060"/>
                <w:sz w:val="18"/>
                <w:szCs w:val="18"/>
              </w:rPr>
              <w:t xml:space="preserve">Рекомендация 5: К июню 2022 г. </w:t>
            </w:r>
            <w:r w:rsidR="005E5562">
              <w:rPr>
                <w:rFonts w:ascii="Arial" w:hAnsi="Arial" w:cs="Arial"/>
                <w:b/>
                <w:bCs/>
                <w:color w:val="002060"/>
                <w:sz w:val="18"/>
                <w:szCs w:val="18"/>
              </w:rPr>
              <w:t>п</w:t>
            </w:r>
            <w:r w:rsidRPr="005E5562">
              <w:rPr>
                <w:rFonts w:ascii="Arial" w:hAnsi="Arial" w:cs="Arial"/>
                <w:b/>
                <w:bCs/>
                <w:color w:val="002060"/>
                <w:sz w:val="18"/>
                <w:szCs w:val="18"/>
              </w:rPr>
              <w:t>роанализировать возможности более широкого вовлечения во взаимодействие с МОК-ЮНЕСКО старших должностных лиц директивных органов</w:t>
            </w:r>
          </w:p>
        </w:tc>
      </w:tr>
      <w:tr w:rsidR="005709A7" w:rsidRPr="005E5562" w14:paraId="7CCFE661" w14:textId="77777777" w:rsidTr="00BC69EF">
        <w:tc>
          <w:tcPr>
            <w:tcW w:w="517" w:type="dxa"/>
          </w:tcPr>
          <w:p w14:paraId="2F98983C" w14:textId="3319786F" w:rsidR="005709A7" w:rsidRPr="005E5562" w:rsidRDefault="00790A29" w:rsidP="00F47454">
            <w:pPr>
              <w:pStyle w:val="Marge"/>
              <w:rPr>
                <w:rFonts w:ascii="Arial" w:hAnsi="Arial" w:cs="Arial"/>
                <w:sz w:val="18"/>
                <w:szCs w:val="18"/>
              </w:rPr>
            </w:pPr>
            <w:r w:rsidRPr="005E5562">
              <w:rPr>
                <w:rFonts w:ascii="Arial" w:hAnsi="Arial" w:cs="Arial"/>
                <w:sz w:val="18"/>
                <w:szCs w:val="18"/>
              </w:rPr>
              <w:t>5.a.</w:t>
            </w:r>
          </w:p>
        </w:tc>
        <w:tc>
          <w:tcPr>
            <w:tcW w:w="6058" w:type="dxa"/>
          </w:tcPr>
          <w:p w14:paraId="4F223F1C" w14:textId="0BA40D22"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Провести совместно с основными национальными и региональными организациями, представляющими различные отрасли и участвующими в формировании политики, анализ фактического положения дел с целью определения перечня первоочередных мер, необходимых для расширения активного взаимодействия в рамках Десятилетия науки об океане и участия в программной деятельности МОК</w:t>
            </w:r>
          </w:p>
        </w:tc>
        <w:tc>
          <w:tcPr>
            <w:tcW w:w="1217" w:type="dxa"/>
          </w:tcPr>
          <w:p w14:paraId="6FDBF3CE" w14:textId="57050B34" w:rsidR="005709A7" w:rsidRPr="005E5562" w:rsidRDefault="005709A7" w:rsidP="008B61D7">
            <w:pPr>
              <w:pStyle w:val="Marge"/>
              <w:jc w:val="center"/>
              <w:rPr>
                <w:rFonts w:ascii="Arial" w:hAnsi="Arial" w:cs="Arial"/>
                <w:bCs/>
                <w:sz w:val="18"/>
                <w:szCs w:val="18"/>
              </w:rPr>
            </w:pPr>
            <w:r w:rsidRPr="005E5562">
              <w:rPr>
                <w:rFonts w:ascii="Arial" w:hAnsi="Arial" w:cs="Arial"/>
                <w:bCs/>
                <w:sz w:val="18"/>
                <w:szCs w:val="18"/>
              </w:rPr>
              <w:t>Лето 2023</w:t>
            </w:r>
            <w:r w:rsidR="008B61D7">
              <w:rPr>
                <w:rFonts w:ascii="Arial" w:hAnsi="Arial" w:cs="Arial"/>
                <w:bCs/>
                <w:sz w:val="18"/>
                <w:szCs w:val="18"/>
                <w:lang w:val="en-GB"/>
              </w:rPr>
              <w:t> </w:t>
            </w:r>
            <w:r w:rsidRPr="005E5562">
              <w:rPr>
                <w:rFonts w:ascii="Arial" w:hAnsi="Arial" w:cs="Arial"/>
                <w:bCs/>
                <w:sz w:val="18"/>
                <w:szCs w:val="18"/>
              </w:rPr>
              <w:t>г.</w:t>
            </w:r>
          </w:p>
        </w:tc>
        <w:tc>
          <w:tcPr>
            <w:tcW w:w="1984" w:type="dxa"/>
          </w:tcPr>
          <w:p w14:paraId="64250F7C" w14:textId="2CD4D4C9"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и группа руководящих сотрудников МОК</w:t>
            </w:r>
          </w:p>
        </w:tc>
      </w:tr>
      <w:tr w:rsidR="005709A7" w:rsidRPr="005E5562" w14:paraId="6BF1622A" w14:textId="77777777" w:rsidTr="00BC69EF">
        <w:tc>
          <w:tcPr>
            <w:tcW w:w="517" w:type="dxa"/>
          </w:tcPr>
          <w:p w14:paraId="1E0E7D03" w14:textId="6D2844A8" w:rsidR="005709A7" w:rsidRPr="005E5562" w:rsidRDefault="00790A29" w:rsidP="00F47454">
            <w:pPr>
              <w:pStyle w:val="Marge"/>
              <w:rPr>
                <w:rFonts w:ascii="Arial" w:hAnsi="Arial" w:cs="Arial"/>
                <w:sz w:val="18"/>
                <w:szCs w:val="18"/>
              </w:rPr>
            </w:pPr>
            <w:r w:rsidRPr="005E5562">
              <w:rPr>
                <w:rFonts w:ascii="Arial" w:hAnsi="Arial" w:cs="Arial"/>
                <w:sz w:val="18"/>
                <w:szCs w:val="18"/>
              </w:rPr>
              <w:t>5.b.</w:t>
            </w:r>
          </w:p>
        </w:tc>
        <w:tc>
          <w:tcPr>
            <w:tcW w:w="6058" w:type="dxa"/>
          </w:tcPr>
          <w:p w14:paraId="4F1F0426" w14:textId="0C150932"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Обеспечить с привлечением специалиста в области коммуникаций существенное повышение результативности информационной работы, в первую очередь совершенствование стратегии информационного обеспечения деятельности МОК</w:t>
            </w:r>
          </w:p>
        </w:tc>
        <w:tc>
          <w:tcPr>
            <w:tcW w:w="1217" w:type="dxa"/>
          </w:tcPr>
          <w:p w14:paraId="73EEF646" w14:textId="5556C0C7" w:rsidR="005709A7" w:rsidRPr="005E5562" w:rsidRDefault="005709A7" w:rsidP="008B61D7">
            <w:pPr>
              <w:pStyle w:val="Marge"/>
              <w:jc w:val="center"/>
              <w:rPr>
                <w:rFonts w:ascii="Arial" w:hAnsi="Arial" w:cs="Arial"/>
                <w:bCs/>
                <w:sz w:val="18"/>
                <w:szCs w:val="18"/>
              </w:rPr>
            </w:pPr>
            <w:r w:rsidRPr="005E5562">
              <w:rPr>
                <w:rFonts w:ascii="Arial" w:hAnsi="Arial" w:cs="Arial"/>
                <w:bCs/>
                <w:sz w:val="18"/>
                <w:szCs w:val="18"/>
              </w:rPr>
              <w:t>Лето 2023</w:t>
            </w:r>
            <w:r w:rsidR="008B61D7">
              <w:rPr>
                <w:rFonts w:ascii="Arial" w:hAnsi="Arial" w:cs="Arial"/>
                <w:bCs/>
                <w:sz w:val="18"/>
                <w:szCs w:val="18"/>
                <w:lang w:val="en-GB"/>
              </w:rPr>
              <w:t> </w:t>
            </w:r>
            <w:r w:rsidRPr="005E5562">
              <w:rPr>
                <w:rFonts w:ascii="Arial" w:hAnsi="Arial" w:cs="Arial"/>
                <w:bCs/>
                <w:sz w:val="18"/>
                <w:szCs w:val="18"/>
              </w:rPr>
              <w:t>г.</w:t>
            </w:r>
          </w:p>
        </w:tc>
        <w:tc>
          <w:tcPr>
            <w:tcW w:w="1984" w:type="dxa"/>
          </w:tcPr>
          <w:p w14:paraId="316ADEC8" w14:textId="16E2CB2F"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и группа руководящих сотрудников МОК</w:t>
            </w:r>
          </w:p>
        </w:tc>
      </w:tr>
      <w:tr w:rsidR="005709A7" w:rsidRPr="005E5562" w14:paraId="166C48D6" w14:textId="77777777" w:rsidTr="00BC69EF">
        <w:tc>
          <w:tcPr>
            <w:tcW w:w="517" w:type="dxa"/>
          </w:tcPr>
          <w:p w14:paraId="7283F058" w14:textId="40AA0734" w:rsidR="005709A7" w:rsidRPr="005E5562" w:rsidRDefault="00790A29" w:rsidP="00F47454">
            <w:pPr>
              <w:pStyle w:val="Marge"/>
              <w:rPr>
                <w:rFonts w:ascii="Arial" w:hAnsi="Arial" w:cs="Arial"/>
                <w:sz w:val="18"/>
                <w:szCs w:val="18"/>
              </w:rPr>
            </w:pPr>
            <w:r w:rsidRPr="005E5562">
              <w:rPr>
                <w:rFonts w:ascii="Arial" w:hAnsi="Arial" w:cs="Arial"/>
                <w:sz w:val="18"/>
                <w:szCs w:val="18"/>
              </w:rPr>
              <w:t>5.c.</w:t>
            </w:r>
          </w:p>
        </w:tc>
        <w:tc>
          <w:tcPr>
            <w:tcW w:w="6058" w:type="dxa"/>
          </w:tcPr>
          <w:p w14:paraId="7F3207B9" w14:textId="2CDE9842"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Издавать на ежегодной основе или два раза в год информационный бюллетень «Об основных итогах деятельности Комиссии», с представлением наиболее значимых из достигнутых результатов и демонстрацией сохраняющейся актуальности МОК</w:t>
            </w:r>
          </w:p>
        </w:tc>
        <w:tc>
          <w:tcPr>
            <w:tcW w:w="1217" w:type="dxa"/>
          </w:tcPr>
          <w:p w14:paraId="3D5F30C7" w14:textId="4EC29A47"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Январь 2023 г.</w:t>
            </w:r>
          </w:p>
        </w:tc>
        <w:tc>
          <w:tcPr>
            <w:tcW w:w="1984" w:type="dxa"/>
          </w:tcPr>
          <w:p w14:paraId="07DF23C7" w14:textId="126982DB"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и группа руководящих сотрудников МОК</w:t>
            </w:r>
          </w:p>
        </w:tc>
      </w:tr>
      <w:tr w:rsidR="005709A7" w:rsidRPr="005E5562" w14:paraId="3694D0C3" w14:textId="77777777" w:rsidTr="00BC69EF">
        <w:tc>
          <w:tcPr>
            <w:tcW w:w="517" w:type="dxa"/>
          </w:tcPr>
          <w:p w14:paraId="35C6A907" w14:textId="64C25F60" w:rsidR="005709A7" w:rsidRPr="005E5562" w:rsidRDefault="00790A29" w:rsidP="00F47454">
            <w:pPr>
              <w:pStyle w:val="Marge"/>
              <w:rPr>
                <w:rFonts w:ascii="Arial" w:hAnsi="Arial" w:cs="Arial"/>
                <w:sz w:val="18"/>
                <w:szCs w:val="18"/>
              </w:rPr>
            </w:pPr>
            <w:r w:rsidRPr="005E5562">
              <w:rPr>
                <w:rFonts w:ascii="Arial" w:hAnsi="Arial" w:cs="Arial"/>
                <w:sz w:val="18"/>
                <w:szCs w:val="18"/>
              </w:rPr>
              <w:t>5.d.</w:t>
            </w:r>
          </w:p>
        </w:tc>
        <w:tc>
          <w:tcPr>
            <w:tcW w:w="6058" w:type="dxa"/>
          </w:tcPr>
          <w:p w14:paraId="4B81CF27" w14:textId="4AA84E0A"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 xml:space="preserve">Уточнить правила использования </w:t>
            </w:r>
            <w:r w:rsidRPr="005E5562">
              <w:rPr>
                <w:rFonts w:ascii="Arial" w:hAnsi="Arial" w:cs="Arial"/>
                <w:bCs/>
                <w:i/>
                <w:sz w:val="18"/>
                <w:szCs w:val="18"/>
              </w:rPr>
              <w:t>логотипа МОК</w:t>
            </w:r>
            <w:r w:rsidRPr="005E5562">
              <w:rPr>
                <w:rFonts w:ascii="Arial" w:hAnsi="Arial" w:cs="Arial"/>
                <w:bCs/>
                <w:sz w:val="18"/>
                <w:szCs w:val="18"/>
              </w:rPr>
              <w:t xml:space="preserve"> для обеспечения последовательности и единообразия в этом вопросе</w:t>
            </w:r>
          </w:p>
        </w:tc>
        <w:tc>
          <w:tcPr>
            <w:tcW w:w="1217" w:type="dxa"/>
          </w:tcPr>
          <w:p w14:paraId="4DF4EDB3" w14:textId="656BABC4"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2022 г.</w:t>
            </w:r>
          </w:p>
        </w:tc>
        <w:tc>
          <w:tcPr>
            <w:tcW w:w="1984" w:type="dxa"/>
          </w:tcPr>
          <w:p w14:paraId="484FC065" w14:textId="68E2835C"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ИС и группа руководящих сотрудников МОК</w:t>
            </w:r>
          </w:p>
        </w:tc>
      </w:tr>
      <w:tr w:rsidR="005709A7" w:rsidRPr="005E5562" w14:paraId="5CF9F468" w14:textId="77777777" w:rsidTr="00BC69EF">
        <w:tc>
          <w:tcPr>
            <w:tcW w:w="517" w:type="dxa"/>
          </w:tcPr>
          <w:p w14:paraId="7B001547" w14:textId="77777777" w:rsidR="005709A7" w:rsidRPr="005E5562" w:rsidRDefault="005709A7" w:rsidP="00F47454">
            <w:pPr>
              <w:jc w:val="both"/>
              <w:rPr>
                <w:rFonts w:ascii="Arial" w:hAnsi="Arial" w:cs="Arial"/>
                <w:color w:val="002060"/>
                <w:sz w:val="18"/>
                <w:szCs w:val="18"/>
              </w:rPr>
            </w:pPr>
          </w:p>
        </w:tc>
        <w:tc>
          <w:tcPr>
            <w:tcW w:w="9259" w:type="dxa"/>
            <w:gridSpan w:val="3"/>
          </w:tcPr>
          <w:p w14:paraId="41AB2011" w14:textId="4548CB69" w:rsidR="005709A7" w:rsidRPr="005E5562" w:rsidRDefault="005709A7" w:rsidP="00060C92">
            <w:pPr>
              <w:spacing w:before="120" w:after="120"/>
              <w:jc w:val="both"/>
              <w:rPr>
                <w:rFonts w:ascii="Arial" w:hAnsi="Arial" w:cs="Arial"/>
                <w:b/>
                <w:bCs/>
                <w:sz w:val="22"/>
                <w:szCs w:val="22"/>
              </w:rPr>
            </w:pPr>
            <w:r w:rsidRPr="002B6537">
              <w:rPr>
                <w:rFonts w:ascii="Arial" w:hAnsi="Arial" w:cs="Arial"/>
                <w:b/>
                <w:bCs/>
                <w:color w:val="002060"/>
                <w:sz w:val="18"/>
                <w:szCs w:val="18"/>
              </w:rPr>
              <w:t xml:space="preserve">Рекомендация 6: К июню 2022 г. </w:t>
            </w:r>
            <w:r w:rsidR="005E5562" w:rsidRPr="002B6537">
              <w:rPr>
                <w:rFonts w:ascii="Arial" w:hAnsi="Arial" w:cs="Arial"/>
                <w:b/>
                <w:bCs/>
                <w:color w:val="002060"/>
                <w:sz w:val="18"/>
                <w:szCs w:val="18"/>
              </w:rPr>
              <w:t>в</w:t>
            </w:r>
            <w:r w:rsidRPr="002B6537">
              <w:rPr>
                <w:rFonts w:ascii="Arial" w:hAnsi="Arial" w:cs="Arial"/>
                <w:b/>
                <w:bCs/>
                <w:color w:val="002060"/>
                <w:sz w:val="18"/>
                <w:szCs w:val="18"/>
              </w:rPr>
              <w:t>зять на себя ведущую роль в области обеспечения гендерного равенства и расширения прав и возможностей женщин в сфере морских наук посредством продолжения усилий, касающихся сбора данных, в том числе подготовки Глобального доклада о состоянии океанографии и принятия целевых мер</w:t>
            </w:r>
          </w:p>
        </w:tc>
      </w:tr>
      <w:tr w:rsidR="005709A7" w:rsidRPr="005E5562" w14:paraId="7EBD5EC5" w14:textId="77777777" w:rsidTr="00BC69EF">
        <w:tc>
          <w:tcPr>
            <w:tcW w:w="517" w:type="dxa"/>
          </w:tcPr>
          <w:p w14:paraId="41BAE5E6" w14:textId="63459E0C" w:rsidR="005709A7" w:rsidRPr="005E5562" w:rsidRDefault="00790A29" w:rsidP="00F47454">
            <w:pPr>
              <w:pStyle w:val="Marge"/>
              <w:rPr>
                <w:rFonts w:ascii="Arial" w:hAnsi="Arial" w:cs="Arial"/>
                <w:sz w:val="18"/>
                <w:szCs w:val="18"/>
              </w:rPr>
            </w:pPr>
            <w:r w:rsidRPr="005E5562">
              <w:rPr>
                <w:rFonts w:ascii="Arial" w:hAnsi="Arial" w:cs="Arial"/>
                <w:sz w:val="18"/>
                <w:szCs w:val="18"/>
              </w:rPr>
              <w:t>6.a.</w:t>
            </w:r>
          </w:p>
        </w:tc>
        <w:tc>
          <w:tcPr>
            <w:tcW w:w="6058" w:type="dxa"/>
          </w:tcPr>
          <w:p w14:paraId="5AFF2444" w14:textId="4D3D3F86"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Проконсультироваться с отделом ЮНЕСКО по вопросам гендерного равенства на предмет разработки методического руководства по гендерным вопросам для комитетов экспертов МОК и в применимых случаях для других органов. Представить соответствующий проект на 32-й сессии Ассамблеи МОК</w:t>
            </w:r>
          </w:p>
        </w:tc>
        <w:tc>
          <w:tcPr>
            <w:tcW w:w="1217" w:type="dxa"/>
          </w:tcPr>
          <w:p w14:paraId="091F3A1F" w14:textId="5D5D62B0" w:rsidR="005709A7" w:rsidRPr="005E5562" w:rsidRDefault="005709A7" w:rsidP="00060C92">
            <w:pPr>
              <w:pStyle w:val="Marge"/>
              <w:jc w:val="center"/>
              <w:rPr>
                <w:rFonts w:ascii="Arial" w:hAnsi="Arial" w:cs="Arial"/>
                <w:bCs/>
                <w:sz w:val="18"/>
                <w:szCs w:val="18"/>
              </w:rPr>
            </w:pPr>
            <w:r w:rsidRPr="005E5562">
              <w:rPr>
                <w:rFonts w:ascii="Arial" w:hAnsi="Arial" w:cs="Arial"/>
                <w:bCs/>
                <w:sz w:val="18"/>
                <w:szCs w:val="18"/>
              </w:rPr>
              <w:t>Весна 2023</w:t>
            </w:r>
            <w:r w:rsidR="00060C92">
              <w:rPr>
                <w:rFonts w:ascii="Arial" w:hAnsi="Arial" w:cs="Arial"/>
                <w:bCs/>
                <w:sz w:val="18"/>
                <w:szCs w:val="18"/>
                <w:lang w:val="en-GB"/>
              </w:rPr>
              <w:t> </w:t>
            </w:r>
            <w:r w:rsidRPr="005E5562">
              <w:rPr>
                <w:rFonts w:ascii="Arial" w:hAnsi="Arial" w:cs="Arial"/>
                <w:bCs/>
                <w:sz w:val="18"/>
                <w:szCs w:val="18"/>
              </w:rPr>
              <w:t>г.</w:t>
            </w:r>
          </w:p>
        </w:tc>
        <w:tc>
          <w:tcPr>
            <w:tcW w:w="1984" w:type="dxa"/>
          </w:tcPr>
          <w:p w14:paraId="0E055C94" w14:textId="39447941"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Координатор МОК по вопросам гендерного равенства и</w:t>
            </w:r>
            <w:r w:rsidR="00C728D4">
              <w:rPr>
                <w:rFonts w:ascii="Arial" w:hAnsi="Arial" w:cs="Arial"/>
                <w:bCs/>
                <w:sz w:val="18"/>
                <w:szCs w:val="18"/>
              </w:rPr>
              <w:br/>
            </w:r>
            <w:r w:rsidR="009D5A67">
              <w:rPr>
                <w:rFonts w:ascii="Arial" w:hAnsi="Arial" w:cs="Arial"/>
                <w:bCs/>
                <w:sz w:val="18"/>
                <w:szCs w:val="18"/>
              </w:rPr>
              <w:t>Руководитель</w:t>
            </w:r>
            <w:r w:rsidR="00C728D4">
              <w:rPr>
                <w:rFonts w:ascii="Arial" w:hAnsi="Arial" w:cs="Arial"/>
                <w:bCs/>
                <w:sz w:val="18"/>
                <w:szCs w:val="18"/>
              </w:rPr>
              <w:br/>
            </w:r>
            <w:r w:rsidR="009D5A67">
              <w:rPr>
                <w:rFonts w:ascii="Arial" w:hAnsi="Arial" w:cs="Arial"/>
                <w:bCs/>
                <w:sz w:val="18"/>
                <w:szCs w:val="18"/>
              </w:rPr>
              <w:t>отдела оперативной поддержки</w:t>
            </w:r>
          </w:p>
        </w:tc>
      </w:tr>
      <w:tr w:rsidR="005709A7" w:rsidRPr="005E5562" w14:paraId="667764E8" w14:textId="77777777" w:rsidTr="00BC69EF">
        <w:tc>
          <w:tcPr>
            <w:tcW w:w="517" w:type="dxa"/>
          </w:tcPr>
          <w:p w14:paraId="743DC18F" w14:textId="66A92AA4" w:rsidR="005709A7" w:rsidRPr="005E5562" w:rsidRDefault="00790A29" w:rsidP="00F47454">
            <w:pPr>
              <w:pStyle w:val="Marge"/>
              <w:rPr>
                <w:rFonts w:ascii="Arial" w:hAnsi="Arial" w:cs="Arial"/>
                <w:sz w:val="18"/>
                <w:szCs w:val="18"/>
              </w:rPr>
            </w:pPr>
            <w:r w:rsidRPr="005E5562">
              <w:rPr>
                <w:rFonts w:ascii="Arial" w:hAnsi="Arial" w:cs="Arial"/>
                <w:sz w:val="18"/>
                <w:szCs w:val="18"/>
              </w:rPr>
              <w:t>6.b.</w:t>
            </w:r>
          </w:p>
        </w:tc>
        <w:tc>
          <w:tcPr>
            <w:tcW w:w="6058" w:type="dxa"/>
          </w:tcPr>
          <w:p w14:paraId="423BA0E7" w14:textId="0D509A01"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Продолжить поощрять государства</w:t>
            </w:r>
            <w:r w:rsidR="001232AA" w:rsidRPr="001232AA">
              <w:rPr>
                <w:rFonts w:ascii="Arial" w:hAnsi="Arial" w:cs="Arial"/>
                <w:bCs/>
                <w:sz w:val="18"/>
                <w:szCs w:val="18"/>
              </w:rPr>
              <w:t xml:space="preserve"> </w:t>
            </w:r>
            <w:r w:rsidR="001232AA">
              <w:rPr>
                <w:rFonts w:ascii="Arial" w:hAnsi="Arial" w:cs="Arial"/>
                <w:bCs/>
                <w:sz w:val="18"/>
                <w:szCs w:val="18"/>
              </w:rPr>
              <w:t>–</w:t>
            </w:r>
            <w:r w:rsidR="001232AA" w:rsidRPr="001232AA">
              <w:rPr>
                <w:rFonts w:ascii="Arial" w:hAnsi="Arial" w:cs="Arial"/>
                <w:bCs/>
                <w:sz w:val="18"/>
                <w:szCs w:val="18"/>
              </w:rPr>
              <w:t xml:space="preserve"> </w:t>
            </w:r>
            <w:r w:rsidRPr="005E5562">
              <w:rPr>
                <w:rFonts w:ascii="Arial" w:hAnsi="Arial" w:cs="Arial"/>
                <w:bCs/>
                <w:sz w:val="18"/>
                <w:szCs w:val="18"/>
              </w:rPr>
              <w:t>члены МОК к обеспечению гендерного равенства среди их представителей в руководящих органах МОК Для отслеживания достигнутого прогресса представлять после каждой сессии соответствующую статистику</w:t>
            </w:r>
          </w:p>
        </w:tc>
        <w:tc>
          <w:tcPr>
            <w:tcW w:w="1217" w:type="dxa"/>
          </w:tcPr>
          <w:p w14:paraId="0498906B" w14:textId="34D2AAD2" w:rsidR="005709A7" w:rsidRPr="005E5562" w:rsidRDefault="005709A7" w:rsidP="00060C92">
            <w:pPr>
              <w:pStyle w:val="Marge"/>
              <w:jc w:val="center"/>
              <w:rPr>
                <w:rFonts w:ascii="Arial" w:hAnsi="Arial" w:cs="Arial"/>
                <w:bCs/>
                <w:sz w:val="18"/>
                <w:szCs w:val="18"/>
              </w:rPr>
            </w:pPr>
            <w:r w:rsidRPr="005E5562">
              <w:rPr>
                <w:rFonts w:ascii="Arial" w:hAnsi="Arial" w:cs="Arial"/>
                <w:bCs/>
                <w:sz w:val="18"/>
                <w:szCs w:val="18"/>
              </w:rPr>
              <w:t>Июнь 2022</w:t>
            </w:r>
            <w:r w:rsidR="00060C92">
              <w:rPr>
                <w:rFonts w:ascii="Arial" w:hAnsi="Arial" w:cs="Arial"/>
                <w:bCs/>
                <w:sz w:val="18"/>
                <w:szCs w:val="18"/>
                <w:lang w:val="en-GB"/>
              </w:rPr>
              <w:t> </w:t>
            </w:r>
            <w:r w:rsidRPr="005E5562">
              <w:rPr>
                <w:rFonts w:ascii="Arial" w:hAnsi="Arial" w:cs="Arial"/>
                <w:bCs/>
                <w:sz w:val="18"/>
                <w:szCs w:val="18"/>
              </w:rPr>
              <w:t>г.</w:t>
            </w:r>
          </w:p>
        </w:tc>
        <w:tc>
          <w:tcPr>
            <w:tcW w:w="1984" w:type="dxa"/>
          </w:tcPr>
          <w:p w14:paraId="6BE90BD2" w14:textId="0A7B8385"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 xml:space="preserve">ИС, Координатор МОК по вопросам гендерного равенства и </w:t>
            </w:r>
            <w:r w:rsidR="009D5A67">
              <w:rPr>
                <w:rFonts w:ascii="Arial" w:hAnsi="Arial" w:cs="Arial"/>
                <w:bCs/>
                <w:sz w:val="18"/>
                <w:szCs w:val="18"/>
              </w:rPr>
              <w:t>Руководитель отдела оперативной поддержки</w:t>
            </w:r>
          </w:p>
        </w:tc>
      </w:tr>
      <w:tr w:rsidR="005709A7" w:rsidRPr="005E5562" w14:paraId="7AB0E6B7" w14:textId="77777777" w:rsidTr="00BC69EF">
        <w:tc>
          <w:tcPr>
            <w:tcW w:w="517" w:type="dxa"/>
          </w:tcPr>
          <w:p w14:paraId="6A2AB3A5" w14:textId="65519EFE" w:rsidR="005709A7" w:rsidRPr="005E5562" w:rsidRDefault="00790A29" w:rsidP="00F47454">
            <w:pPr>
              <w:pStyle w:val="Marge"/>
              <w:rPr>
                <w:rFonts w:ascii="Arial" w:hAnsi="Arial" w:cs="Arial"/>
                <w:sz w:val="18"/>
                <w:szCs w:val="18"/>
              </w:rPr>
            </w:pPr>
            <w:r w:rsidRPr="005E5562">
              <w:rPr>
                <w:rFonts w:ascii="Arial" w:hAnsi="Arial" w:cs="Arial"/>
                <w:sz w:val="18"/>
                <w:szCs w:val="18"/>
              </w:rPr>
              <w:t>6.c.</w:t>
            </w:r>
          </w:p>
        </w:tc>
        <w:tc>
          <w:tcPr>
            <w:tcW w:w="6058" w:type="dxa"/>
          </w:tcPr>
          <w:p w14:paraId="0D8A4910" w14:textId="0037725B"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Учредить рабочую группу для разработки дорожной карты, которая будет способствовать более эффективному учету аспектов гендерного равенства в рамках проведения Десятилетия, посвященного науке об океане</w:t>
            </w:r>
          </w:p>
        </w:tc>
        <w:tc>
          <w:tcPr>
            <w:tcW w:w="1217" w:type="dxa"/>
          </w:tcPr>
          <w:p w14:paraId="0D219381" w14:textId="2A001142"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Конец 2022 г.</w:t>
            </w:r>
          </w:p>
        </w:tc>
        <w:tc>
          <w:tcPr>
            <w:tcW w:w="1984" w:type="dxa"/>
          </w:tcPr>
          <w:p w14:paraId="5C24612D" w14:textId="62FAAFAA"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ГКД и Координатор МОК по вопросам гендерного</w:t>
            </w:r>
            <w:r w:rsidR="00C728D4">
              <w:rPr>
                <w:rFonts w:ascii="Arial" w:hAnsi="Arial" w:cs="Arial"/>
                <w:bCs/>
                <w:sz w:val="18"/>
                <w:szCs w:val="18"/>
              </w:rPr>
              <w:br/>
            </w:r>
            <w:r w:rsidRPr="005E5562">
              <w:rPr>
                <w:rFonts w:ascii="Arial" w:hAnsi="Arial" w:cs="Arial"/>
                <w:bCs/>
                <w:sz w:val="18"/>
                <w:szCs w:val="18"/>
              </w:rPr>
              <w:t>равенства</w:t>
            </w:r>
          </w:p>
        </w:tc>
      </w:tr>
      <w:tr w:rsidR="005709A7" w:rsidRPr="005E5562" w14:paraId="7633A713" w14:textId="77777777" w:rsidTr="00BC69EF">
        <w:tc>
          <w:tcPr>
            <w:tcW w:w="517" w:type="dxa"/>
          </w:tcPr>
          <w:p w14:paraId="7D72C6A1" w14:textId="60302DB2" w:rsidR="005709A7" w:rsidRPr="005E5562" w:rsidRDefault="00790A29" w:rsidP="00F47454">
            <w:pPr>
              <w:pStyle w:val="Marge"/>
              <w:rPr>
                <w:rFonts w:ascii="Arial" w:hAnsi="Arial" w:cs="Arial"/>
                <w:sz w:val="18"/>
                <w:szCs w:val="18"/>
              </w:rPr>
            </w:pPr>
            <w:r w:rsidRPr="005E5562">
              <w:rPr>
                <w:rFonts w:ascii="Arial" w:hAnsi="Arial" w:cs="Arial"/>
                <w:sz w:val="18"/>
                <w:szCs w:val="18"/>
              </w:rPr>
              <w:t>6.d.</w:t>
            </w:r>
          </w:p>
        </w:tc>
        <w:tc>
          <w:tcPr>
            <w:tcW w:w="6058" w:type="dxa"/>
          </w:tcPr>
          <w:p w14:paraId="2EAD873E" w14:textId="033AAFB1"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Определить партнеров, в том числе в рамках Глобального договора ООН, которые могли бы быть заинтересованы в оказании поддержки премии «Женщины в сфере науки об океане»</w:t>
            </w:r>
          </w:p>
        </w:tc>
        <w:tc>
          <w:tcPr>
            <w:tcW w:w="1217" w:type="dxa"/>
          </w:tcPr>
          <w:p w14:paraId="522A2911" w14:textId="211908AF" w:rsidR="005709A7" w:rsidRPr="005E5562" w:rsidRDefault="005709A7" w:rsidP="00060C92">
            <w:pPr>
              <w:pStyle w:val="Marge"/>
              <w:jc w:val="center"/>
              <w:rPr>
                <w:rFonts w:ascii="Arial" w:hAnsi="Arial" w:cs="Arial"/>
                <w:bCs/>
                <w:sz w:val="18"/>
                <w:szCs w:val="18"/>
              </w:rPr>
            </w:pPr>
            <w:r w:rsidRPr="005E5562">
              <w:rPr>
                <w:rFonts w:ascii="Arial" w:hAnsi="Arial" w:cs="Arial"/>
                <w:bCs/>
                <w:sz w:val="18"/>
                <w:szCs w:val="18"/>
              </w:rPr>
              <w:t>Лето 2023</w:t>
            </w:r>
            <w:r w:rsidR="00060C92">
              <w:rPr>
                <w:rFonts w:ascii="Arial" w:hAnsi="Arial" w:cs="Arial"/>
                <w:bCs/>
                <w:sz w:val="18"/>
                <w:szCs w:val="18"/>
                <w:lang w:val="en-GB"/>
              </w:rPr>
              <w:t> </w:t>
            </w:r>
            <w:r w:rsidRPr="005E5562">
              <w:rPr>
                <w:rFonts w:ascii="Arial" w:hAnsi="Arial" w:cs="Arial"/>
                <w:bCs/>
                <w:sz w:val="18"/>
                <w:szCs w:val="18"/>
              </w:rPr>
              <w:t>г.</w:t>
            </w:r>
          </w:p>
        </w:tc>
        <w:tc>
          <w:tcPr>
            <w:tcW w:w="1984" w:type="dxa"/>
          </w:tcPr>
          <w:p w14:paraId="36765F52" w14:textId="62D505AF"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ГКД и Координатор МОК по вопросам гендерного</w:t>
            </w:r>
            <w:r w:rsidR="00C728D4">
              <w:rPr>
                <w:rFonts w:ascii="Arial" w:hAnsi="Arial" w:cs="Arial"/>
                <w:bCs/>
                <w:sz w:val="18"/>
                <w:szCs w:val="18"/>
              </w:rPr>
              <w:br/>
            </w:r>
            <w:r w:rsidRPr="005E5562">
              <w:rPr>
                <w:rFonts w:ascii="Arial" w:hAnsi="Arial" w:cs="Arial"/>
                <w:bCs/>
                <w:sz w:val="18"/>
                <w:szCs w:val="18"/>
              </w:rPr>
              <w:t>равенства</w:t>
            </w:r>
          </w:p>
        </w:tc>
      </w:tr>
      <w:tr w:rsidR="005709A7" w:rsidRPr="005E5562" w14:paraId="2DAB637B" w14:textId="77777777" w:rsidTr="00BC69EF">
        <w:tc>
          <w:tcPr>
            <w:tcW w:w="517" w:type="dxa"/>
          </w:tcPr>
          <w:p w14:paraId="6F116C29" w14:textId="4A61722C" w:rsidR="005709A7" w:rsidRPr="005E5562" w:rsidRDefault="00790A29" w:rsidP="00F47454">
            <w:pPr>
              <w:pStyle w:val="Marge"/>
              <w:rPr>
                <w:rFonts w:ascii="Arial" w:hAnsi="Arial" w:cs="Arial"/>
                <w:sz w:val="18"/>
                <w:szCs w:val="18"/>
              </w:rPr>
            </w:pPr>
            <w:r w:rsidRPr="005E5562">
              <w:rPr>
                <w:rFonts w:ascii="Arial" w:hAnsi="Arial" w:cs="Arial"/>
                <w:sz w:val="18"/>
                <w:szCs w:val="18"/>
              </w:rPr>
              <w:t>6.e.</w:t>
            </w:r>
          </w:p>
        </w:tc>
        <w:tc>
          <w:tcPr>
            <w:tcW w:w="6058" w:type="dxa"/>
          </w:tcPr>
          <w:p w14:paraId="152E34E0" w14:textId="373B0A93" w:rsidR="005709A7" w:rsidRPr="005E5562" w:rsidRDefault="005709A7" w:rsidP="00F47454">
            <w:pPr>
              <w:pStyle w:val="Marge"/>
              <w:rPr>
                <w:rFonts w:ascii="Arial" w:hAnsi="Arial" w:cs="Arial"/>
                <w:bCs/>
                <w:sz w:val="18"/>
                <w:szCs w:val="18"/>
              </w:rPr>
            </w:pPr>
            <w:r w:rsidRPr="005E5562">
              <w:rPr>
                <w:rFonts w:ascii="Arial" w:hAnsi="Arial" w:cs="Arial"/>
                <w:bCs/>
                <w:sz w:val="18"/>
                <w:szCs w:val="18"/>
              </w:rPr>
              <w:t>Сотрудничать со специалистами кадровых служб для подбора квалифицированных кандидатов-женщин на старшие руководящие должности в Комиссии и улучшения географической представленности</w:t>
            </w:r>
          </w:p>
        </w:tc>
        <w:tc>
          <w:tcPr>
            <w:tcW w:w="1217" w:type="dxa"/>
          </w:tcPr>
          <w:p w14:paraId="28AF2D59" w14:textId="5CCAADA8" w:rsidR="005709A7" w:rsidRPr="005E5562" w:rsidRDefault="005709A7" w:rsidP="00F47454">
            <w:pPr>
              <w:pStyle w:val="Marge"/>
              <w:jc w:val="center"/>
              <w:rPr>
                <w:rFonts w:ascii="Arial" w:hAnsi="Arial" w:cs="Arial"/>
                <w:bCs/>
                <w:sz w:val="18"/>
                <w:szCs w:val="18"/>
              </w:rPr>
            </w:pPr>
            <w:r w:rsidRPr="005E5562">
              <w:rPr>
                <w:rFonts w:ascii="Arial" w:hAnsi="Arial" w:cs="Arial"/>
                <w:bCs/>
                <w:sz w:val="18"/>
                <w:szCs w:val="18"/>
              </w:rPr>
              <w:t xml:space="preserve">Как можно раньше и на регулярной основе </w:t>
            </w:r>
          </w:p>
        </w:tc>
        <w:tc>
          <w:tcPr>
            <w:tcW w:w="1984" w:type="dxa"/>
          </w:tcPr>
          <w:p w14:paraId="636B7D1B" w14:textId="355FD502" w:rsidR="005709A7" w:rsidRPr="005E5562" w:rsidRDefault="005709A7" w:rsidP="00F47454">
            <w:pPr>
              <w:pStyle w:val="Marge"/>
              <w:jc w:val="center"/>
              <w:rPr>
                <w:rFonts w:ascii="Arial" w:hAnsi="Arial" w:cs="Arial"/>
                <w:bCs/>
                <w:sz w:val="18"/>
                <w:szCs w:val="18"/>
              </w:rPr>
            </w:pPr>
            <w:r w:rsidRPr="00047554">
              <w:rPr>
                <w:rFonts w:ascii="Arial" w:hAnsi="Arial" w:cs="Arial"/>
                <w:bCs/>
                <w:sz w:val="18"/>
                <w:szCs w:val="18"/>
              </w:rPr>
              <w:t xml:space="preserve">ИС и </w:t>
            </w:r>
            <w:r w:rsidR="009D5A67">
              <w:rPr>
                <w:rFonts w:ascii="Arial" w:hAnsi="Arial" w:cs="Arial"/>
                <w:bCs/>
                <w:sz w:val="18"/>
                <w:szCs w:val="18"/>
              </w:rPr>
              <w:t>Руководитель отдела оперативной поддержки</w:t>
            </w:r>
          </w:p>
        </w:tc>
      </w:tr>
    </w:tbl>
    <w:p w14:paraId="706BD6CF" w14:textId="48C40130" w:rsidR="00E04B7F" w:rsidRPr="00BC69EF" w:rsidRDefault="00E04B7F" w:rsidP="00F47454">
      <w:pPr>
        <w:pStyle w:val="Marge"/>
        <w:jc w:val="center"/>
        <w:rPr>
          <w:rFonts w:ascii="Arial" w:hAnsi="Arial" w:cs="Arial"/>
          <w:b/>
          <w:bCs/>
          <w:sz w:val="6"/>
          <w:szCs w:val="6"/>
        </w:rPr>
      </w:pPr>
    </w:p>
    <w:sectPr w:rsidR="00E04B7F" w:rsidRPr="00BC69EF" w:rsidSect="004B7754">
      <w:headerReference w:type="even" r:id="rId16"/>
      <w:headerReference w:type="default" r:id="rId17"/>
      <w:headerReference w:type="first" r:id="rId18"/>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254B" w14:textId="77777777" w:rsidR="00A44968" w:rsidRDefault="00A44968">
      <w:r>
        <w:separator/>
      </w:r>
    </w:p>
  </w:endnote>
  <w:endnote w:type="continuationSeparator" w:id="0">
    <w:p w14:paraId="783FD027" w14:textId="77777777" w:rsidR="00A44968" w:rsidRDefault="00A4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2297" w14:textId="77777777" w:rsidR="00A44968" w:rsidRDefault="00A44968">
      <w:r>
        <w:separator/>
      </w:r>
    </w:p>
  </w:footnote>
  <w:footnote w:type="continuationSeparator" w:id="0">
    <w:p w14:paraId="0F230B22" w14:textId="77777777" w:rsidR="00A44968" w:rsidRDefault="00A44968">
      <w:r>
        <w:continuationSeparator/>
      </w:r>
    </w:p>
  </w:footnote>
  <w:footnote w:id="1">
    <w:p w14:paraId="27342E68" w14:textId="77777777" w:rsidR="0001156F" w:rsidRPr="0001156F" w:rsidRDefault="00F201D9" w:rsidP="00F2630C">
      <w:pPr>
        <w:pStyle w:val="FootnoteText"/>
        <w:tabs>
          <w:tab w:val="clear" w:pos="567"/>
        </w:tabs>
        <w:jc w:val="both"/>
        <w:rPr>
          <w:rFonts w:asciiTheme="minorBidi" w:hAnsiTheme="minorBidi"/>
          <w:sz w:val="18"/>
          <w:szCs w:val="18"/>
          <w:lang w:val="en-US"/>
        </w:rPr>
      </w:pPr>
      <w:r w:rsidRPr="0001156F">
        <w:rPr>
          <w:rStyle w:val="FootnoteReference"/>
          <w:sz w:val="18"/>
          <w:szCs w:val="18"/>
        </w:rPr>
        <w:footnoteRef/>
      </w:r>
      <w:r w:rsidRPr="0001156F">
        <w:rPr>
          <w:sz w:val="18"/>
          <w:szCs w:val="18"/>
        </w:rPr>
        <w:tab/>
      </w:r>
      <w:r w:rsidRPr="0001156F">
        <w:rPr>
          <w:rFonts w:asciiTheme="minorBidi" w:hAnsiTheme="minorBidi"/>
          <w:sz w:val="18"/>
          <w:szCs w:val="18"/>
        </w:rPr>
        <w:t xml:space="preserve">Группа высокого уровня по вопросам устойчивой морской экономки объединяет в своем составе 14 глав государств и ставит своей задачей «содействовать устойчивому морскому хозяйствованию, в котором аспекты эффективной защиты океана, обеспечения его устойчивой продуктивности и справедливого распределения его благ неразрывно связаны между собой». Этот подход Группы был изложен в публикации </w:t>
      </w:r>
      <w:proofErr w:type="spellStart"/>
      <w:r w:rsidRPr="0001156F">
        <w:rPr>
          <w:rFonts w:asciiTheme="minorBidi" w:hAnsiTheme="minorBidi"/>
          <w:sz w:val="18"/>
          <w:szCs w:val="18"/>
        </w:rPr>
        <w:t>Stuchtey</w:t>
      </w:r>
      <w:proofErr w:type="spellEnd"/>
      <w:r w:rsidRPr="0001156F">
        <w:rPr>
          <w:rFonts w:asciiTheme="minorBidi" w:hAnsiTheme="minorBidi"/>
          <w:sz w:val="18"/>
          <w:szCs w:val="18"/>
        </w:rPr>
        <w:t xml:space="preserve"> </w:t>
      </w:r>
      <w:proofErr w:type="spellStart"/>
      <w:r w:rsidRPr="0001156F">
        <w:rPr>
          <w:rFonts w:asciiTheme="minorBidi" w:hAnsiTheme="minorBidi"/>
          <w:sz w:val="18"/>
          <w:szCs w:val="18"/>
        </w:rPr>
        <w:t>et</w:t>
      </w:r>
      <w:proofErr w:type="spellEnd"/>
      <w:r w:rsidRPr="0001156F">
        <w:rPr>
          <w:rFonts w:asciiTheme="minorBidi" w:hAnsiTheme="minorBidi"/>
          <w:sz w:val="18"/>
          <w:szCs w:val="18"/>
        </w:rPr>
        <w:t xml:space="preserve"> </w:t>
      </w:r>
      <w:proofErr w:type="spellStart"/>
      <w:r w:rsidRPr="0001156F">
        <w:rPr>
          <w:rFonts w:asciiTheme="minorBidi" w:hAnsiTheme="minorBidi"/>
          <w:sz w:val="18"/>
          <w:szCs w:val="18"/>
        </w:rPr>
        <w:t>al</w:t>
      </w:r>
      <w:proofErr w:type="spellEnd"/>
      <w:r w:rsidRPr="0001156F">
        <w:rPr>
          <w:rFonts w:asciiTheme="minorBidi" w:hAnsiTheme="minorBidi"/>
          <w:sz w:val="18"/>
          <w:szCs w:val="18"/>
        </w:rPr>
        <w:t xml:space="preserve">. </w:t>
      </w:r>
      <w:r w:rsidRPr="0001156F">
        <w:rPr>
          <w:rFonts w:asciiTheme="minorBidi" w:hAnsiTheme="minorBidi"/>
          <w:sz w:val="18"/>
          <w:szCs w:val="18"/>
          <w:lang w:val="en-US"/>
        </w:rPr>
        <w:t xml:space="preserve">(2020) "Ocean Solutions That Benefit People, Nature and the Economy", </w:t>
      </w:r>
      <w:r w:rsidRPr="0001156F">
        <w:rPr>
          <w:rFonts w:asciiTheme="minorBidi" w:hAnsiTheme="minorBidi"/>
          <w:sz w:val="18"/>
          <w:szCs w:val="18"/>
        </w:rPr>
        <w:t>доступной</w:t>
      </w:r>
      <w:r w:rsidRPr="0001156F">
        <w:rPr>
          <w:rFonts w:asciiTheme="minorBidi" w:hAnsiTheme="minorBidi"/>
          <w:sz w:val="18"/>
          <w:szCs w:val="18"/>
          <w:lang w:val="en-US"/>
        </w:rPr>
        <w:t xml:space="preserve"> </w:t>
      </w:r>
      <w:r w:rsidRPr="0001156F">
        <w:rPr>
          <w:rFonts w:asciiTheme="minorBidi" w:hAnsiTheme="minorBidi"/>
          <w:sz w:val="18"/>
          <w:szCs w:val="18"/>
        </w:rPr>
        <w:t>по</w:t>
      </w:r>
      <w:r w:rsidRPr="0001156F">
        <w:rPr>
          <w:rFonts w:asciiTheme="minorBidi" w:hAnsiTheme="minorBidi"/>
          <w:sz w:val="18"/>
          <w:szCs w:val="18"/>
          <w:lang w:val="en-US"/>
        </w:rPr>
        <w:t xml:space="preserve"> </w:t>
      </w:r>
      <w:r w:rsidRPr="0001156F">
        <w:rPr>
          <w:rFonts w:asciiTheme="minorBidi" w:hAnsiTheme="minorBidi"/>
          <w:sz w:val="18"/>
          <w:szCs w:val="18"/>
        </w:rPr>
        <w:t>следующей</w:t>
      </w:r>
      <w:r w:rsidRPr="0001156F">
        <w:rPr>
          <w:rFonts w:asciiTheme="minorBidi" w:hAnsiTheme="minorBidi"/>
          <w:sz w:val="18"/>
          <w:szCs w:val="18"/>
          <w:lang w:val="en-US"/>
        </w:rPr>
        <w:t xml:space="preserve"> </w:t>
      </w:r>
      <w:r w:rsidRPr="0001156F">
        <w:rPr>
          <w:rFonts w:asciiTheme="minorBidi" w:hAnsiTheme="minorBidi"/>
          <w:sz w:val="18"/>
          <w:szCs w:val="18"/>
        </w:rPr>
        <w:t>ссылке</w:t>
      </w:r>
      <w:r w:rsidRPr="0001156F">
        <w:rPr>
          <w:rFonts w:asciiTheme="minorBidi" w:hAnsiTheme="minorBidi"/>
          <w:sz w:val="18"/>
          <w:szCs w:val="18"/>
          <w:lang w:val="en-US"/>
        </w:rPr>
        <w:t>:</w:t>
      </w:r>
      <w:r w:rsidR="0001156F" w:rsidRPr="0001156F">
        <w:rPr>
          <w:rFonts w:asciiTheme="minorBidi" w:hAnsiTheme="minorBidi"/>
          <w:sz w:val="18"/>
          <w:szCs w:val="18"/>
          <w:lang w:val="en-US"/>
        </w:rPr>
        <w:t xml:space="preserve"> </w:t>
      </w:r>
      <w:hyperlink r:id="rId1" w:history="1">
        <w:r w:rsidRPr="0001156F">
          <w:rPr>
            <w:rStyle w:val="Hyperlink"/>
            <w:rFonts w:asciiTheme="minorBidi" w:hAnsiTheme="minorBidi"/>
            <w:sz w:val="18"/>
            <w:szCs w:val="18"/>
            <w:lang w:val="en-US"/>
          </w:rPr>
          <w:t>Ocean Solutions Report | High Level Panel for a Sustainable Ocean Economy (oceanpanel.org)</w:t>
        </w:r>
      </w:hyperlink>
      <w:r w:rsidRPr="0001156F">
        <w:rPr>
          <w:rFonts w:asciiTheme="minorBidi" w:hAnsiTheme="minorBidi"/>
          <w:sz w:val="18"/>
          <w:szCs w:val="18"/>
          <w:lang w:val="en-US"/>
        </w:rPr>
        <w:t>.</w:t>
      </w:r>
    </w:p>
    <w:p w14:paraId="47D851D4" w14:textId="134F2166" w:rsidR="00F201D9" w:rsidRPr="0001156F" w:rsidRDefault="00F201D9" w:rsidP="00412106">
      <w:pPr>
        <w:pStyle w:val="FootnoteText"/>
        <w:tabs>
          <w:tab w:val="clear" w:pos="567"/>
          <w:tab w:val="left" w:pos="284"/>
        </w:tabs>
        <w:ind w:left="284" w:hanging="284"/>
        <w:jc w:val="both"/>
        <w:rPr>
          <w:sz w:val="18"/>
          <w:szCs w:val="18"/>
          <w:lang w:val="en-US"/>
        </w:rPr>
      </w:pPr>
      <w:r w:rsidRPr="0001156F">
        <w:rPr>
          <w:rFonts w:asciiTheme="minorBidi" w:hAnsiTheme="minorBidi"/>
          <w:sz w:val="18"/>
          <w:szCs w:val="18"/>
          <w:lang w:val="en-US"/>
        </w:rPr>
        <w:t xml:space="preserve"> </w:t>
      </w:r>
    </w:p>
  </w:footnote>
  <w:footnote w:id="2">
    <w:p w14:paraId="05C60A92" w14:textId="1863CFEA" w:rsidR="00F201D9" w:rsidRPr="0001156F" w:rsidRDefault="00F201D9" w:rsidP="000765D5">
      <w:pPr>
        <w:pStyle w:val="FootnoteText"/>
        <w:adjustRightInd w:val="0"/>
        <w:jc w:val="both"/>
        <w:rPr>
          <w:rFonts w:asciiTheme="minorBidi" w:hAnsiTheme="minorBidi" w:cstheme="minorBidi"/>
          <w:sz w:val="18"/>
          <w:szCs w:val="18"/>
        </w:rPr>
      </w:pPr>
      <w:r w:rsidRPr="0001156F">
        <w:rPr>
          <w:rStyle w:val="FootnoteReference"/>
          <w:sz w:val="18"/>
          <w:szCs w:val="18"/>
        </w:rPr>
        <w:footnoteRef/>
      </w:r>
      <w:r w:rsidRPr="0001156F">
        <w:rPr>
          <w:sz w:val="18"/>
          <w:szCs w:val="18"/>
        </w:rPr>
        <w:t xml:space="preserve"> </w:t>
      </w:r>
      <w:r w:rsidRPr="0001156F">
        <w:rPr>
          <w:sz w:val="18"/>
          <w:szCs w:val="18"/>
        </w:rPr>
        <w:tab/>
      </w:r>
      <w:r w:rsidRPr="0001156F">
        <w:rPr>
          <w:rFonts w:asciiTheme="minorBidi" w:hAnsiTheme="minorBidi"/>
          <w:sz w:val="18"/>
          <w:szCs w:val="18"/>
        </w:rPr>
        <w:t>Особые полномочия МОК в сфере морских научных исследований и передачи морских технологий нашли отражение в Конвенции Организации Объединенных Наций по морскому праву (ЮНКЛОС), а также</w:t>
      </w:r>
      <w:r w:rsidR="0001156F" w:rsidRPr="0001156F">
        <w:rPr>
          <w:rFonts w:asciiTheme="minorBidi" w:hAnsiTheme="minorBidi"/>
          <w:sz w:val="18"/>
          <w:szCs w:val="18"/>
        </w:rPr>
        <w:t xml:space="preserve"> </w:t>
      </w:r>
      <w:r w:rsidRPr="0001156F">
        <w:rPr>
          <w:rFonts w:asciiTheme="minorBidi" w:hAnsiTheme="minorBidi"/>
          <w:sz w:val="18"/>
          <w:szCs w:val="18"/>
        </w:rPr>
        <w:t xml:space="preserve">упоминаются в ряде итоговых документов конференций ООН по устойчивому развитию и в </w:t>
      </w:r>
      <w:r w:rsidR="00BD4A8D">
        <w:rPr>
          <w:rFonts w:asciiTheme="minorBidi" w:hAnsiTheme="minorBidi"/>
          <w:sz w:val="18"/>
          <w:szCs w:val="18"/>
        </w:rPr>
        <w:t>целях Повестки дня</w:t>
      </w:r>
      <w:r w:rsidRPr="0001156F">
        <w:rPr>
          <w:rFonts w:asciiTheme="minorBidi" w:hAnsiTheme="minorBidi"/>
          <w:sz w:val="18"/>
          <w:szCs w:val="18"/>
        </w:rPr>
        <w:t xml:space="preserve"> в области устойчивого развития.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5F41" w14:textId="2E55DF73" w:rsidR="00F201D9" w:rsidRPr="00BC69EF" w:rsidRDefault="00F201D9" w:rsidP="00A5727D">
    <w:pPr>
      <w:pStyle w:val="Header"/>
      <w:spacing w:after="120"/>
      <w:rPr>
        <w:rFonts w:ascii="Arial" w:hAnsi="Arial" w:cs="Arial"/>
        <w:bCs/>
        <w:sz w:val="22"/>
        <w:szCs w:val="22"/>
      </w:rPr>
    </w:pPr>
    <w:r w:rsidRPr="0001156F">
      <w:rPr>
        <w:rFonts w:ascii="Arial" w:hAnsi="Arial"/>
        <w:bCs/>
        <w:sz w:val="22"/>
        <w:szCs w:val="22"/>
      </w:rPr>
      <w:t>IOC/EC-55/3.2.Doc</w:t>
    </w:r>
    <w:sdt>
      <w:sdtPr>
        <w:rPr>
          <w:rFonts w:ascii="Arial" w:hAnsi="Arial" w:cs="Arial"/>
          <w:bCs/>
          <w:sz w:val="22"/>
          <w:szCs w:val="22"/>
        </w:rPr>
        <w:id w:val="554519101"/>
        <w:docPartObj>
          <w:docPartGallery w:val="Page Numbers (Top of Page)"/>
          <w:docPartUnique/>
        </w:docPartObj>
      </w:sdtPr>
      <w:sdtEndPr/>
      <w:sdtContent>
        <w:r w:rsidRPr="0001156F">
          <w:rPr>
            <w:rFonts w:ascii="Arial" w:hAnsi="Arial"/>
            <w:bCs/>
            <w:sz w:val="22"/>
            <w:szCs w:val="22"/>
          </w:rPr>
          <w:t xml:space="preserve">(1) – page </w:t>
        </w:r>
        <w:r w:rsidRPr="0001156F">
          <w:rPr>
            <w:rFonts w:ascii="Arial" w:hAnsi="Arial" w:cs="Arial"/>
            <w:bCs/>
            <w:sz w:val="22"/>
            <w:szCs w:val="22"/>
          </w:rPr>
          <w:fldChar w:fldCharType="begin"/>
        </w:r>
        <w:r w:rsidRPr="0001156F">
          <w:rPr>
            <w:rFonts w:ascii="Arial" w:hAnsi="Arial" w:cs="Arial"/>
            <w:bCs/>
            <w:sz w:val="22"/>
            <w:szCs w:val="22"/>
          </w:rPr>
          <w:instrText xml:space="preserve"> PAGE   \* MERGEFORMAT </w:instrText>
        </w:r>
        <w:r w:rsidRPr="0001156F">
          <w:rPr>
            <w:rFonts w:ascii="Arial" w:hAnsi="Arial" w:cs="Arial"/>
            <w:bCs/>
            <w:sz w:val="22"/>
            <w:szCs w:val="22"/>
          </w:rPr>
          <w:fldChar w:fldCharType="separate"/>
        </w:r>
        <w:r w:rsidR="00A5727D">
          <w:rPr>
            <w:rFonts w:ascii="Arial" w:hAnsi="Arial" w:cs="Arial"/>
            <w:bCs/>
            <w:noProof/>
            <w:sz w:val="22"/>
            <w:szCs w:val="22"/>
          </w:rPr>
          <w:t>18</w:t>
        </w:r>
        <w:r w:rsidRPr="0001156F">
          <w:rPr>
            <w:rFonts w:ascii="Arial" w:hAnsi="Arial" w:cs="Arial"/>
            <w:bCs/>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3DD7" w14:textId="0F850D85" w:rsidR="00F201D9" w:rsidRPr="00A5727D" w:rsidRDefault="00F201D9" w:rsidP="00A5727D">
    <w:pPr>
      <w:pStyle w:val="Header"/>
      <w:spacing w:after="120"/>
      <w:jc w:val="right"/>
      <w:rPr>
        <w:rFonts w:ascii="Arial" w:hAnsi="Arial" w:cs="Arial"/>
        <w:bCs/>
        <w:sz w:val="22"/>
        <w:szCs w:val="22"/>
      </w:rPr>
    </w:pPr>
    <w:r>
      <w:rPr>
        <w:rFonts w:ascii="Arial" w:hAnsi="Arial"/>
        <w:bCs/>
        <w:sz w:val="22"/>
        <w:szCs w:val="22"/>
      </w:rPr>
      <w:t xml:space="preserve">IOC/EC-55/3.2.Doc(1) – page </w:t>
    </w:r>
    <w:r w:rsidRPr="00A14C22">
      <w:rPr>
        <w:rFonts w:ascii="Arial" w:hAnsi="Arial" w:cs="Arial"/>
        <w:bCs/>
        <w:sz w:val="22"/>
        <w:szCs w:val="22"/>
      </w:rPr>
      <w:fldChar w:fldCharType="begin"/>
    </w:r>
    <w:r w:rsidRPr="00A14C22">
      <w:rPr>
        <w:rFonts w:ascii="Arial" w:hAnsi="Arial" w:cs="Arial"/>
        <w:bCs/>
        <w:sz w:val="22"/>
        <w:szCs w:val="22"/>
      </w:rPr>
      <w:instrText xml:space="preserve"> PAGE   \* MERGEFORMAT </w:instrText>
    </w:r>
    <w:r w:rsidRPr="00A14C22">
      <w:rPr>
        <w:rFonts w:ascii="Arial" w:hAnsi="Arial" w:cs="Arial"/>
        <w:bCs/>
        <w:sz w:val="22"/>
        <w:szCs w:val="22"/>
      </w:rPr>
      <w:fldChar w:fldCharType="separate"/>
    </w:r>
    <w:r w:rsidR="00A5727D">
      <w:rPr>
        <w:rFonts w:ascii="Arial" w:hAnsi="Arial" w:cs="Arial"/>
        <w:bCs/>
        <w:noProof/>
        <w:sz w:val="22"/>
        <w:szCs w:val="22"/>
      </w:rPr>
      <w:t>19</w:t>
    </w:r>
    <w:r w:rsidRPr="00A14C22">
      <w:rPr>
        <w:rFonts w:ascii="Arial" w:hAnsi="Arial" w:cs="Arial"/>
        <w:bCs/>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4BE07804" w:rsidR="00F201D9" w:rsidRPr="0042612F" w:rsidRDefault="00F201D9" w:rsidP="00705F29">
    <w:pPr>
      <w:pStyle w:val="Marge"/>
      <w:tabs>
        <w:tab w:val="left" w:pos="5921"/>
        <w:tab w:val="left" w:pos="7088"/>
      </w:tabs>
      <w:spacing w:after="0"/>
      <w:rPr>
        <w:rFonts w:ascii="Arial" w:hAnsi="Arial" w:cs="Arial"/>
        <w:b/>
        <w:sz w:val="36"/>
        <w:szCs w:val="36"/>
      </w:rPr>
    </w:pPr>
    <w:r>
      <w:rPr>
        <w:rFonts w:ascii="Arial" w:hAnsi="Arial"/>
        <w:sz w:val="22"/>
        <w:szCs w:val="22"/>
      </w:rPr>
      <w:t>Рассылается по списку</w:t>
    </w:r>
    <w:r>
      <w:tab/>
    </w:r>
    <w:bookmarkStart w:id="0" w:name="_Hlk54263549"/>
    <w:r>
      <w:rPr>
        <w:rFonts w:ascii="Arial" w:hAnsi="Arial"/>
        <w:b/>
        <w:sz w:val="36"/>
        <w:szCs w:val="36"/>
      </w:rPr>
      <w:t>IOC/EC-55/3.2.Doc(1)</w:t>
    </w:r>
    <w:bookmarkEnd w:id="0"/>
  </w:p>
  <w:p w14:paraId="74251853" w14:textId="77777777" w:rsidR="007F52EE" w:rsidRDefault="00F201D9" w:rsidP="00705F29">
    <w:pPr>
      <w:pStyle w:val="Marge"/>
      <w:tabs>
        <w:tab w:val="left" w:pos="5921"/>
      </w:tabs>
      <w:spacing w:after="0"/>
      <w:rPr>
        <w:rFonts w:ascii="Arial" w:hAnsi="Arial" w:cs="Arial"/>
        <w:sz w:val="22"/>
        <w:szCs w:val="22"/>
      </w:rPr>
    </w:pPr>
    <w:r>
      <w:rPr>
        <w:rFonts w:cs="Arial"/>
        <w:b/>
        <w:noProof/>
        <w:snapToGrid/>
        <w:szCs w:val="22"/>
        <w:lang w:val="en-GB" w:eastAsia="en-GB"/>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b/>
        <w:szCs w:val="22"/>
      </w:rPr>
      <w:tab/>
    </w:r>
    <w:r>
      <w:rPr>
        <w:rFonts w:ascii="Arial" w:hAnsi="Arial"/>
        <w:sz w:val="22"/>
        <w:szCs w:val="22"/>
      </w:rPr>
      <w:t>Париж, 19 мая 2022 г.</w:t>
    </w:r>
  </w:p>
  <w:p w14:paraId="07C76426" w14:textId="7698C0E6" w:rsidR="00F201D9" w:rsidRPr="00BF254D" w:rsidRDefault="00AB47DE" w:rsidP="00705F29">
    <w:pPr>
      <w:pStyle w:val="Marge"/>
      <w:tabs>
        <w:tab w:val="left" w:pos="5921"/>
      </w:tabs>
      <w:rPr>
        <w:rFonts w:ascii="Arial" w:hAnsi="Arial" w:cs="Arial"/>
        <w:sz w:val="22"/>
        <w:szCs w:val="22"/>
      </w:rPr>
    </w:pPr>
    <w:r>
      <w:rPr>
        <w:rFonts w:ascii="Arial" w:hAnsi="Arial"/>
        <w:sz w:val="22"/>
        <w:szCs w:val="22"/>
      </w:rPr>
      <w:tab/>
    </w:r>
    <w:r w:rsidR="00F201D9">
      <w:rPr>
        <w:rFonts w:ascii="Arial" w:hAnsi="Arial"/>
        <w:sz w:val="22"/>
        <w:szCs w:val="22"/>
      </w:rPr>
      <w:t>Оригинал: английский</w:t>
    </w:r>
  </w:p>
  <w:p w14:paraId="0759C652" w14:textId="6ACD3015"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F201D9" w:rsidRPr="005E544C"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F201D9" w:rsidRPr="00F47454"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F47454">
      <w:rPr>
        <w:rFonts w:ascii="Arial" w:hAnsi="Arial"/>
        <w:b/>
        <w:sz w:val="22"/>
        <w:szCs w:val="22"/>
      </w:rPr>
      <w:t>МЕЖПРАВИТЕЛЬСТВЕННАЯ ОКЕАНОГРАФИЧЕСКАЯ КОМИССИЯ</w:t>
    </w:r>
  </w:p>
  <w:p w14:paraId="67E49D49" w14:textId="77777777" w:rsidR="00F201D9" w:rsidRPr="00F47454" w:rsidRDefault="00F201D9"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F47454">
      <w:rPr>
        <w:rFonts w:ascii="Arial" w:hAnsi="Arial"/>
        <w:bCs/>
        <w:sz w:val="22"/>
        <w:szCs w:val="22"/>
      </w:rPr>
      <w:t>(ЮНЕСКО)</w:t>
    </w:r>
  </w:p>
  <w:p w14:paraId="4872ECD5" w14:textId="77777777" w:rsidR="00F201D9" w:rsidRPr="00F47454"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BF4961F" w14:textId="6379F32C" w:rsidR="00F201D9" w:rsidRPr="00F47454" w:rsidRDefault="00F201D9"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rPr>
    </w:pPr>
    <w:r w:rsidRPr="00F47454">
      <w:rPr>
        <w:rFonts w:ascii="Arial" w:hAnsi="Arial"/>
        <w:b/>
        <w:sz w:val="22"/>
        <w:szCs w:val="22"/>
      </w:rPr>
      <w:t>Пятьдесят пятая сессия Исполнительного совета</w:t>
    </w:r>
  </w:p>
  <w:p w14:paraId="71300EEE" w14:textId="4DAD8BED" w:rsidR="00F201D9" w:rsidRPr="00F47454" w:rsidRDefault="00F201D9"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F47454">
      <w:rPr>
        <w:rFonts w:ascii="Arial" w:hAnsi="Arial"/>
        <w:bCs/>
        <w:sz w:val="22"/>
        <w:szCs w:val="22"/>
      </w:rPr>
      <w:t>ЮНЕСКО, Париж, 14-17 июня 2022 г.</w:t>
    </w:r>
  </w:p>
  <w:p w14:paraId="5BB9C169" w14:textId="77777777" w:rsidR="00F201D9" w:rsidRPr="0001156F" w:rsidRDefault="00F201D9"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003DCA37" w14:textId="77777777" w:rsidR="00F201D9" w:rsidRPr="0001156F" w:rsidRDefault="00F201D9" w:rsidP="00B17054">
    <w:pPr>
      <w:jc w:val="center"/>
      <w:rPr>
        <w:rFonts w:cs="Arial"/>
        <w:szCs w:val="22"/>
      </w:rPr>
    </w:pPr>
  </w:p>
  <w:p w14:paraId="4AE80372" w14:textId="0E9CE309" w:rsidR="00F201D9" w:rsidRPr="00F47454" w:rsidRDefault="00F201D9" w:rsidP="00FA68D9">
    <w:pPr>
      <w:keepNext/>
      <w:widowControl w:val="0"/>
      <w:tabs>
        <w:tab w:val="right" w:pos="9540"/>
      </w:tabs>
      <w:adjustRightInd w:val="0"/>
      <w:jc w:val="both"/>
      <w:textAlignment w:val="baseline"/>
      <w:outlineLvl w:val="6"/>
      <w:rPr>
        <w:rFonts w:ascii="Arial" w:eastAsia="Times New Roman" w:hAnsi="Arial" w:cs="Arial"/>
        <w:sz w:val="22"/>
        <w:szCs w:val="22"/>
      </w:rPr>
    </w:pPr>
    <w:r w:rsidRPr="00F47454">
      <w:rPr>
        <w:rFonts w:ascii="Arial" w:hAnsi="Arial"/>
        <w:sz w:val="22"/>
        <w:szCs w:val="22"/>
        <w:u w:val="single"/>
      </w:rPr>
      <w:t xml:space="preserve">Пункт </w:t>
    </w:r>
    <w:r w:rsidRPr="00F47454">
      <w:rPr>
        <w:rFonts w:ascii="Arial" w:hAnsi="Arial"/>
        <w:b/>
        <w:sz w:val="22"/>
        <w:szCs w:val="22"/>
        <w:u w:val="single"/>
      </w:rPr>
      <w:t>3.2</w:t>
    </w:r>
    <w:r w:rsidRPr="00F47454">
      <w:rPr>
        <w:rFonts w:ascii="Arial" w:hAnsi="Arial"/>
        <w:sz w:val="22"/>
        <w:szCs w:val="22"/>
        <w:u w:val="single"/>
      </w:rPr>
      <w:t xml:space="preserve"> предварительной повестки дня</w:t>
    </w:r>
  </w:p>
  <w:p w14:paraId="5283A965" w14:textId="77777777" w:rsidR="00F201D9" w:rsidRPr="0001156F" w:rsidRDefault="00F201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rPr>
    </w:pPr>
  </w:p>
  <w:p w14:paraId="78CE1720" w14:textId="77777777" w:rsidR="00F201D9" w:rsidRPr="0001156F" w:rsidRDefault="00F201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rPr>
    </w:pPr>
  </w:p>
  <w:p w14:paraId="28D5C1EB" w14:textId="08071DDB" w:rsidR="00F201D9" w:rsidRPr="00427753" w:rsidRDefault="002B6537" w:rsidP="000D2681">
    <w:pPr>
      <w:pStyle w:val="b"/>
      <w:spacing w:after="0"/>
      <w:ind w:left="567" w:firstLine="0"/>
      <w:jc w:val="center"/>
      <w:rPr>
        <w:rFonts w:ascii="Arial" w:hAnsi="Arial" w:cs="Arial"/>
        <w:b/>
        <w:bCs/>
        <w:caps/>
        <w:sz w:val="28"/>
        <w:szCs w:val="28"/>
      </w:rPr>
    </w:pPr>
    <w:r w:rsidRPr="00427753">
      <w:rPr>
        <w:rFonts w:ascii="Arial" w:hAnsi="Arial"/>
        <w:b/>
        <w:sz w:val="28"/>
        <w:szCs w:val="28"/>
      </w:rPr>
      <w:t>Проект плана действий в связи с проведенной IOS оценкой стратегического позиционирования МОК</w:t>
    </w:r>
    <w:r w:rsidR="00F201D9" w:rsidRPr="00427753">
      <w:rPr>
        <w:rFonts w:ascii="Arial" w:hAnsi="Arial"/>
        <w:b/>
        <w:sz w:val="28"/>
        <w:szCs w:val="28"/>
      </w:rPr>
      <w:t xml:space="preserve"> </w:t>
    </w:r>
    <w:r w:rsidR="00F201D9" w:rsidRPr="00427753">
      <w:rPr>
        <w:rFonts w:ascii="Arial" w:hAnsi="Arial"/>
        <w:sz w:val="28"/>
        <w:szCs w:val="28"/>
      </w:rPr>
      <w:br/>
    </w:r>
  </w:p>
  <w:p w14:paraId="39CF1186" w14:textId="1BEA3A52" w:rsidR="00A5727D" w:rsidRPr="0001156F" w:rsidRDefault="00A5727D" w:rsidP="00B170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B1244B"/>
    <w:multiLevelType w:val="hybridMultilevel"/>
    <w:tmpl w:val="CF5C74A8"/>
    <w:lvl w:ilvl="0" w:tplc="C6564BAC">
      <w:start w:val="1"/>
      <w:numFmt w:val="lowerLetter"/>
      <w:lvlText w:val="6.%1."/>
      <w:lvlJc w:val="left"/>
      <w:pPr>
        <w:ind w:left="720" w:hanging="360"/>
      </w:pPr>
      <w:rPr>
        <w:rFonts w:hint="default"/>
        <w:b w:val="0"/>
        <w:bCs w:val="0"/>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3"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2"/>
  </w:num>
  <w:num w:numId="12">
    <w:abstractNumId w:val="7"/>
  </w:num>
  <w:num w:numId="13">
    <w:abstractNumId w:val="3"/>
  </w:num>
  <w:num w:numId="14">
    <w:abstractNumId w:val="9"/>
  </w:num>
  <w:num w:numId="15">
    <w:abstractNumId w:val="2"/>
  </w:num>
  <w:num w:numId="16">
    <w:abstractNumId w:val="14"/>
  </w:num>
  <w:num w:numId="17">
    <w:abstractNumId w:val="6"/>
  </w:num>
  <w:num w:numId="18">
    <w:abstractNumId w:val="1"/>
  </w:num>
  <w:num w:numId="19">
    <w:abstractNumId w:val="15"/>
  </w:num>
  <w:num w:numId="20">
    <w:abstractNumId w:val="17"/>
  </w:num>
  <w:num w:numId="21">
    <w:abstractNumId w:val="0"/>
  </w:num>
  <w:num w:numId="22">
    <w:abstractNumId w:val="16"/>
  </w:num>
  <w:num w:numId="23">
    <w:abstractNumId w:val="20"/>
  </w:num>
  <w:num w:numId="24">
    <w:abstractNumId w:val="19"/>
  </w:num>
  <w:num w:numId="25">
    <w:abstractNumId w:val="8"/>
  </w:num>
  <w:num w:numId="26">
    <w:abstractNumId w:val="11"/>
  </w:num>
  <w:num w:numId="27">
    <w:abstractNumId w:val="4"/>
  </w:num>
  <w:num w:numId="28">
    <w:abstractNumId w:val="23"/>
  </w:num>
  <w:num w:numId="29">
    <w:abstractNumId w:val="10"/>
  </w:num>
  <w:num w:numId="30">
    <w:abstractNumId w:val="12"/>
  </w:num>
  <w:num w:numId="31">
    <w:abstractNumId w:val="5"/>
  </w:num>
  <w:num w:numId="32">
    <w:abstractNumId w:val="21"/>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ru-RU" w:vendorID="64" w:dllVersion="0"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evenAndOddHeaders/>
  <w:drawingGridHorizontalSpacing w:val="12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99A"/>
    <w:rsid w:val="00006C25"/>
    <w:rsid w:val="00010B89"/>
    <w:rsid w:val="0001156F"/>
    <w:rsid w:val="000118CD"/>
    <w:rsid w:val="00013390"/>
    <w:rsid w:val="00017E4B"/>
    <w:rsid w:val="00025A88"/>
    <w:rsid w:val="00026782"/>
    <w:rsid w:val="00027122"/>
    <w:rsid w:val="000319A1"/>
    <w:rsid w:val="00032C8E"/>
    <w:rsid w:val="00033544"/>
    <w:rsid w:val="00034C53"/>
    <w:rsid w:val="00034C70"/>
    <w:rsid w:val="0003710A"/>
    <w:rsid w:val="000431C5"/>
    <w:rsid w:val="000445B8"/>
    <w:rsid w:val="0004582F"/>
    <w:rsid w:val="00047554"/>
    <w:rsid w:val="00060399"/>
    <w:rsid w:val="00060718"/>
    <w:rsid w:val="00060C92"/>
    <w:rsid w:val="000658F2"/>
    <w:rsid w:val="00065DEB"/>
    <w:rsid w:val="0006619A"/>
    <w:rsid w:val="0006675E"/>
    <w:rsid w:val="00067E0B"/>
    <w:rsid w:val="000719A5"/>
    <w:rsid w:val="000737CC"/>
    <w:rsid w:val="000748A0"/>
    <w:rsid w:val="00075DC0"/>
    <w:rsid w:val="000765D5"/>
    <w:rsid w:val="00080B76"/>
    <w:rsid w:val="00080CDD"/>
    <w:rsid w:val="00081592"/>
    <w:rsid w:val="000816BD"/>
    <w:rsid w:val="00082162"/>
    <w:rsid w:val="00082DF7"/>
    <w:rsid w:val="00083369"/>
    <w:rsid w:val="00084EDD"/>
    <w:rsid w:val="00085FE9"/>
    <w:rsid w:val="00086071"/>
    <w:rsid w:val="00090A38"/>
    <w:rsid w:val="0009246D"/>
    <w:rsid w:val="0009256F"/>
    <w:rsid w:val="00097CDF"/>
    <w:rsid w:val="000A0044"/>
    <w:rsid w:val="000A08EF"/>
    <w:rsid w:val="000A3177"/>
    <w:rsid w:val="000A6D08"/>
    <w:rsid w:val="000A75C1"/>
    <w:rsid w:val="000B1B44"/>
    <w:rsid w:val="000B40F3"/>
    <w:rsid w:val="000B5964"/>
    <w:rsid w:val="000C3BB5"/>
    <w:rsid w:val="000D25D4"/>
    <w:rsid w:val="000D2681"/>
    <w:rsid w:val="000D6EB3"/>
    <w:rsid w:val="000D719C"/>
    <w:rsid w:val="000E0533"/>
    <w:rsid w:val="000E05C8"/>
    <w:rsid w:val="000E188E"/>
    <w:rsid w:val="000E55FB"/>
    <w:rsid w:val="000E7E22"/>
    <w:rsid w:val="000F4352"/>
    <w:rsid w:val="000F4768"/>
    <w:rsid w:val="000F4DDB"/>
    <w:rsid w:val="000F7203"/>
    <w:rsid w:val="000F78B3"/>
    <w:rsid w:val="001002FF"/>
    <w:rsid w:val="001026BE"/>
    <w:rsid w:val="00104894"/>
    <w:rsid w:val="00104EE2"/>
    <w:rsid w:val="001056F8"/>
    <w:rsid w:val="00105E15"/>
    <w:rsid w:val="00105EA4"/>
    <w:rsid w:val="001073D7"/>
    <w:rsid w:val="00110568"/>
    <w:rsid w:val="00110D3A"/>
    <w:rsid w:val="00113090"/>
    <w:rsid w:val="00113F97"/>
    <w:rsid w:val="00114701"/>
    <w:rsid w:val="001163C3"/>
    <w:rsid w:val="001232AA"/>
    <w:rsid w:val="0012374E"/>
    <w:rsid w:val="00123F7E"/>
    <w:rsid w:val="00125857"/>
    <w:rsid w:val="00131529"/>
    <w:rsid w:val="0013238B"/>
    <w:rsid w:val="00134711"/>
    <w:rsid w:val="0013649D"/>
    <w:rsid w:val="00143B1A"/>
    <w:rsid w:val="0014529C"/>
    <w:rsid w:val="00147C45"/>
    <w:rsid w:val="0015046B"/>
    <w:rsid w:val="001524A3"/>
    <w:rsid w:val="0015561D"/>
    <w:rsid w:val="001579AB"/>
    <w:rsid w:val="00160284"/>
    <w:rsid w:val="001636F7"/>
    <w:rsid w:val="0016592F"/>
    <w:rsid w:val="001659AA"/>
    <w:rsid w:val="00165CBD"/>
    <w:rsid w:val="0017022A"/>
    <w:rsid w:val="0017097B"/>
    <w:rsid w:val="001766F9"/>
    <w:rsid w:val="00182096"/>
    <w:rsid w:val="0018253D"/>
    <w:rsid w:val="00183FEA"/>
    <w:rsid w:val="00185134"/>
    <w:rsid w:val="00185B54"/>
    <w:rsid w:val="00185D28"/>
    <w:rsid w:val="0019010A"/>
    <w:rsid w:val="00192400"/>
    <w:rsid w:val="001977DE"/>
    <w:rsid w:val="001A033E"/>
    <w:rsid w:val="001A071C"/>
    <w:rsid w:val="001A2943"/>
    <w:rsid w:val="001A6261"/>
    <w:rsid w:val="001A6DDA"/>
    <w:rsid w:val="001A73F8"/>
    <w:rsid w:val="001B2807"/>
    <w:rsid w:val="001B5075"/>
    <w:rsid w:val="001B64AC"/>
    <w:rsid w:val="001C18CF"/>
    <w:rsid w:val="001C20FE"/>
    <w:rsid w:val="001C4F30"/>
    <w:rsid w:val="001C6221"/>
    <w:rsid w:val="001C6842"/>
    <w:rsid w:val="001C6D83"/>
    <w:rsid w:val="001D11E8"/>
    <w:rsid w:val="001D4DBD"/>
    <w:rsid w:val="001D69B3"/>
    <w:rsid w:val="001E2FDE"/>
    <w:rsid w:val="001E441E"/>
    <w:rsid w:val="001E56FB"/>
    <w:rsid w:val="001E5FF2"/>
    <w:rsid w:val="001F65B3"/>
    <w:rsid w:val="001F65D5"/>
    <w:rsid w:val="001F68F2"/>
    <w:rsid w:val="001F6CF5"/>
    <w:rsid w:val="001F7EF6"/>
    <w:rsid w:val="00200519"/>
    <w:rsid w:val="0020169B"/>
    <w:rsid w:val="00203E48"/>
    <w:rsid w:val="0020573A"/>
    <w:rsid w:val="00206D8D"/>
    <w:rsid w:val="00207581"/>
    <w:rsid w:val="00214984"/>
    <w:rsid w:val="00215B28"/>
    <w:rsid w:val="00216228"/>
    <w:rsid w:val="0022135A"/>
    <w:rsid w:val="00225B52"/>
    <w:rsid w:val="00231994"/>
    <w:rsid w:val="002320BA"/>
    <w:rsid w:val="00232596"/>
    <w:rsid w:val="00232FAE"/>
    <w:rsid w:val="0023308D"/>
    <w:rsid w:val="002356D4"/>
    <w:rsid w:val="00237FCC"/>
    <w:rsid w:val="00243536"/>
    <w:rsid w:val="00246D3B"/>
    <w:rsid w:val="00247A04"/>
    <w:rsid w:val="00255764"/>
    <w:rsid w:val="002571D5"/>
    <w:rsid w:val="00257562"/>
    <w:rsid w:val="00257884"/>
    <w:rsid w:val="0026226D"/>
    <w:rsid w:val="0026233A"/>
    <w:rsid w:val="00265C91"/>
    <w:rsid w:val="00265E4E"/>
    <w:rsid w:val="002661D7"/>
    <w:rsid w:val="0027043E"/>
    <w:rsid w:val="00272866"/>
    <w:rsid w:val="00273C58"/>
    <w:rsid w:val="00273C68"/>
    <w:rsid w:val="00274D0A"/>
    <w:rsid w:val="0028078A"/>
    <w:rsid w:val="002816C5"/>
    <w:rsid w:val="00282456"/>
    <w:rsid w:val="00282FBC"/>
    <w:rsid w:val="00283B06"/>
    <w:rsid w:val="00286B3B"/>
    <w:rsid w:val="00286D70"/>
    <w:rsid w:val="002A05D9"/>
    <w:rsid w:val="002A2843"/>
    <w:rsid w:val="002A3623"/>
    <w:rsid w:val="002A364B"/>
    <w:rsid w:val="002A3D8C"/>
    <w:rsid w:val="002B0438"/>
    <w:rsid w:val="002B0B65"/>
    <w:rsid w:val="002B2FB7"/>
    <w:rsid w:val="002B4A27"/>
    <w:rsid w:val="002B58F5"/>
    <w:rsid w:val="002B6537"/>
    <w:rsid w:val="002C65DF"/>
    <w:rsid w:val="002C6A49"/>
    <w:rsid w:val="002D11DF"/>
    <w:rsid w:val="002D2062"/>
    <w:rsid w:val="002D41F6"/>
    <w:rsid w:val="002D4B35"/>
    <w:rsid w:val="002D5563"/>
    <w:rsid w:val="002E0A07"/>
    <w:rsid w:val="002E0DAB"/>
    <w:rsid w:val="002E3B10"/>
    <w:rsid w:val="002E524A"/>
    <w:rsid w:val="002E558B"/>
    <w:rsid w:val="002E5A7D"/>
    <w:rsid w:val="002E6FCC"/>
    <w:rsid w:val="002F088C"/>
    <w:rsid w:val="002F0EB7"/>
    <w:rsid w:val="002F11B4"/>
    <w:rsid w:val="002F27AC"/>
    <w:rsid w:val="002F32A9"/>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27891"/>
    <w:rsid w:val="00327CF7"/>
    <w:rsid w:val="00332421"/>
    <w:rsid w:val="00332534"/>
    <w:rsid w:val="00332785"/>
    <w:rsid w:val="0033582A"/>
    <w:rsid w:val="0033741E"/>
    <w:rsid w:val="00341FD0"/>
    <w:rsid w:val="0034392B"/>
    <w:rsid w:val="00344E00"/>
    <w:rsid w:val="00352423"/>
    <w:rsid w:val="00354A10"/>
    <w:rsid w:val="00355A56"/>
    <w:rsid w:val="003563D2"/>
    <w:rsid w:val="00360F32"/>
    <w:rsid w:val="00366C04"/>
    <w:rsid w:val="0037381F"/>
    <w:rsid w:val="0037616F"/>
    <w:rsid w:val="003774D6"/>
    <w:rsid w:val="00382463"/>
    <w:rsid w:val="003905C6"/>
    <w:rsid w:val="00393704"/>
    <w:rsid w:val="0039512E"/>
    <w:rsid w:val="00395A11"/>
    <w:rsid w:val="003A6C26"/>
    <w:rsid w:val="003A7DE6"/>
    <w:rsid w:val="003B2197"/>
    <w:rsid w:val="003B2CC9"/>
    <w:rsid w:val="003B3349"/>
    <w:rsid w:val="003B390E"/>
    <w:rsid w:val="003B51A6"/>
    <w:rsid w:val="003B560E"/>
    <w:rsid w:val="003B64CB"/>
    <w:rsid w:val="003B6DA1"/>
    <w:rsid w:val="003B6ECA"/>
    <w:rsid w:val="003B6FC5"/>
    <w:rsid w:val="003C15F6"/>
    <w:rsid w:val="003C240D"/>
    <w:rsid w:val="003C309A"/>
    <w:rsid w:val="003C4A99"/>
    <w:rsid w:val="003D31F1"/>
    <w:rsid w:val="003D4548"/>
    <w:rsid w:val="003E26AB"/>
    <w:rsid w:val="003E2A74"/>
    <w:rsid w:val="003E331B"/>
    <w:rsid w:val="003E5A89"/>
    <w:rsid w:val="003E74BC"/>
    <w:rsid w:val="003E7B79"/>
    <w:rsid w:val="003F5299"/>
    <w:rsid w:val="003F74E5"/>
    <w:rsid w:val="00401B0B"/>
    <w:rsid w:val="004032DB"/>
    <w:rsid w:val="00403EB2"/>
    <w:rsid w:val="004047AA"/>
    <w:rsid w:val="00404945"/>
    <w:rsid w:val="00405201"/>
    <w:rsid w:val="004119A8"/>
    <w:rsid w:val="00412106"/>
    <w:rsid w:val="00416B39"/>
    <w:rsid w:val="00417106"/>
    <w:rsid w:val="00425E51"/>
    <w:rsid w:val="0042612F"/>
    <w:rsid w:val="00427753"/>
    <w:rsid w:val="00431123"/>
    <w:rsid w:val="00437C23"/>
    <w:rsid w:val="00437DB1"/>
    <w:rsid w:val="00441F29"/>
    <w:rsid w:val="00441FE3"/>
    <w:rsid w:val="00445A39"/>
    <w:rsid w:val="00450AA6"/>
    <w:rsid w:val="00452512"/>
    <w:rsid w:val="00452CFD"/>
    <w:rsid w:val="00453CE0"/>
    <w:rsid w:val="00463AB2"/>
    <w:rsid w:val="00474AB6"/>
    <w:rsid w:val="004750C1"/>
    <w:rsid w:val="004768E8"/>
    <w:rsid w:val="00476A0C"/>
    <w:rsid w:val="00477409"/>
    <w:rsid w:val="0048119B"/>
    <w:rsid w:val="00481C77"/>
    <w:rsid w:val="00485772"/>
    <w:rsid w:val="00485AA9"/>
    <w:rsid w:val="00486080"/>
    <w:rsid w:val="004918B3"/>
    <w:rsid w:val="0049319A"/>
    <w:rsid w:val="00494DB3"/>
    <w:rsid w:val="00495A69"/>
    <w:rsid w:val="004966AD"/>
    <w:rsid w:val="00497E2D"/>
    <w:rsid w:val="004A0A6B"/>
    <w:rsid w:val="004A0F6A"/>
    <w:rsid w:val="004A202F"/>
    <w:rsid w:val="004B389C"/>
    <w:rsid w:val="004B3D01"/>
    <w:rsid w:val="004B5787"/>
    <w:rsid w:val="004B7754"/>
    <w:rsid w:val="004C4469"/>
    <w:rsid w:val="004C586B"/>
    <w:rsid w:val="004C6065"/>
    <w:rsid w:val="004C611E"/>
    <w:rsid w:val="004C6FFD"/>
    <w:rsid w:val="004C78C5"/>
    <w:rsid w:val="004D4484"/>
    <w:rsid w:val="004E084D"/>
    <w:rsid w:val="004E2D89"/>
    <w:rsid w:val="004E3446"/>
    <w:rsid w:val="004E4A23"/>
    <w:rsid w:val="004E6B90"/>
    <w:rsid w:val="004F0BEC"/>
    <w:rsid w:val="004F4AC5"/>
    <w:rsid w:val="004F5686"/>
    <w:rsid w:val="0050566B"/>
    <w:rsid w:val="005066B5"/>
    <w:rsid w:val="00514AC0"/>
    <w:rsid w:val="00515020"/>
    <w:rsid w:val="00520193"/>
    <w:rsid w:val="005231A8"/>
    <w:rsid w:val="00523B29"/>
    <w:rsid w:val="00523DF2"/>
    <w:rsid w:val="00524D94"/>
    <w:rsid w:val="00530113"/>
    <w:rsid w:val="00534733"/>
    <w:rsid w:val="00535E30"/>
    <w:rsid w:val="0053720B"/>
    <w:rsid w:val="00541682"/>
    <w:rsid w:val="005462A1"/>
    <w:rsid w:val="005463CE"/>
    <w:rsid w:val="00550F3D"/>
    <w:rsid w:val="00554688"/>
    <w:rsid w:val="00555D7F"/>
    <w:rsid w:val="00556410"/>
    <w:rsid w:val="005616DE"/>
    <w:rsid w:val="00561F53"/>
    <w:rsid w:val="00561F97"/>
    <w:rsid w:val="0056236E"/>
    <w:rsid w:val="00562F4C"/>
    <w:rsid w:val="0056655B"/>
    <w:rsid w:val="00570881"/>
    <w:rsid w:val="005709A7"/>
    <w:rsid w:val="00572116"/>
    <w:rsid w:val="00574F2F"/>
    <w:rsid w:val="0057500A"/>
    <w:rsid w:val="00575B63"/>
    <w:rsid w:val="00576EF7"/>
    <w:rsid w:val="005829FE"/>
    <w:rsid w:val="0058628A"/>
    <w:rsid w:val="00587822"/>
    <w:rsid w:val="005878F6"/>
    <w:rsid w:val="00590E74"/>
    <w:rsid w:val="00593EC9"/>
    <w:rsid w:val="00595854"/>
    <w:rsid w:val="00595FBB"/>
    <w:rsid w:val="00596959"/>
    <w:rsid w:val="005A01EE"/>
    <w:rsid w:val="005A1B75"/>
    <w:rsid w:val="005A7E87"/>
    <w:rsid w:val="005B0510"/>
    <w:rsid w:val="005B09E3"/>
    <w:rsid w:val="005B0F21"/>
    <w:rsid w:val="005B2606"/>
    <w:rsid w:val="005B6674"/>
    <w:rsid w:val="005B670F"/>
    <w:rsid w:val="005C02F2"/>
    <w:rsid w:val="005C565B"/>
    <w:rsid w:val="005C5B67"/>
    <w:rsid w:val="005C6245"/>
    <w:rsid w:val="005C76B4"/>
    <w:rsid w:val="005D05AB"/>
    <w:rsid w:val="005D0CC4"/>
    <w:rsid w:val="005D36CA"/>
    <w:rsid w:val="005D5313"/>
    <w:rsid w:val="005E1380"/>
    <w:rsid w:val="005E2BCD"/>
    <w:rsid w:val="005E325F"/>
    <w:rsid w:val="005E4C90"/>
    <w:rsid w:val="005E5562"/>
    <w:rsid w:val="005E661A"/>
    <w:rsid w:val="005F2B83"/>
    <w:rsid w:val="005F39DB"/>
    <w:rsid w:val="005F55BE"/>
    <w:rsid w:val="00600999"/>
    <w:rsid w:val="006009D6"/>
    <w:rsid w:val="00602C02"/>
    <w:rsid w:val="0060360F"/>
    <w:rsid w:val="00603C79"/>
    <w:rsid w:val="006122F2"/>
    <w:rsid w:val="00612A3E"/>
    <w:rsid w:val="00613F3F"/>
    <w:rsid w:val="006140DB"/>
    <w:rsid w:val="00615D71"/>
    <w:rsid w:val="00615F33"/>
    <w:rsid w:val="00620F33"/>
    <w:rsid w:val="00625EE0"/>
    <w:rsid w:val="00625FE6"/>
    <w:rsid w:val="0063002C"/>
    <w:rsid w:val="006327B2"/>
    <w:rsid w:val="006331C8"/>
    <w:rsid w:val="0063649B"/>
    <w:rsid w:val="00637621"/>
    <w:rsid w:val="006408BF"/>
    <w:rsid w:val="00645699"/>
    <w:rsid w:val="00646F26"/>
    <w:rsid w:val="0064710C"/>
    <w:rsid w:val="006502B2"/>
    <w:rsid w:val="00650A87"/>
    <w:rsid w:val="0065104E"/>
    <w:rsid w:val="00654AA1"/>
    <w:rsid w:val="00657444"/>
    <w:rsid w:val="00657AC1"/>
    <w:rsid w:val="00657EB5"/>
    <w:rsid w:val="006644A7"/>
    <w:rsid w:val="00666085"/>
    <w:rsid w:val="00666235"/>
    <w:rsid w:val="0067098E"/>
    <w:rsid w:val="00671A70"/>
    <w:rsid w:val="006724E6"/>
    <w:rsid w:val="00672A6F"/>
    <w:rsid w:val="00674AE1"/>
    <w:rsid w:val="0067544A"/>
    <w:rsid w:val="00680E19"/>
    <w:rsid w:val="00681D60"/>
    <w:rsid w:val="00682998"/>
    <w:rsid w:val="006849D6"/>
    <w:rsid w:val="00694BEE"/>
    <w:rsid w:val="00697CE4"/>
    <w:rsid w:val="006A1ED7"/>
    <w:rsid w:val="006A2412"/>
    <w:rsid w:val="006A2C9D"/>
    <w:rsid w:val="006A3196"/>
    <w:rsid w:val="006B2C23"/>
    <w:rsid w:val="006B66C3"/>
    <w:rsid w:val="006B7AA9"/>
    <w:rsid w:val="006C2500"/>
    <w:rsid w:val="006C48C7"/>
    <w:rsid w:val="006C6875"/>
    <w:rsid w:val="006C6EB1"/>
    <w:rsid w:val="006C7AE8"/>
    <w:rsid w:val="006E0BCF"/>
    <w:rsid w:val="006E33FC"/>
    <w:rsid w:val="006E3403"/>
    <w:rsid w:val="006E3CA0"/>
    <w:rsid w:val="006E5A90"/>
    <w:rsid w:val="006F10EA"/>
    <w:rsid w:val="006F3BC7"/>
    <w:rsid w:val="006F53F4"/>
    <w:rsid w:val="006F5A22"/>
    <w:rsid w:val="006F6B09"/>
    <w:rsid w:val="0070039C"/>
    <w:rsid w:val="007020B4"/>
    <w:rsid w:val="00702EB4"/>
    <w:rsid w:val="007033D9"/>
    <w:rsid w:val="00704AD8"/>
    <w:rsid w:val="00705DFD"/>
    <w:rsid w:val="00705F29"/>
    <w:rsid w:val="007069A8"/>
    <w:rsid w:val="00713AE4"/>
    <w:rsid w:val="007156EF"/>
    <w:rsid w:val="00715C94"/>
    <w:rsid w:val="007169AF"/>
    <w:rsid w:val="007206CD"/>
    <w:rsid w:val="00722B7B"/>
    <w:rsid w:val="00727C74"/>
    <w:rsid w:val="00727EEF"/>
    <w:rsid w:val="00731536"/>
    <w:rsid w:val="00732AF2"/>
    <w:rsid w:val="007331F8"/>
    <w:rsid w:val="00735534"/>
    <w:rsid w:val="00735E52"/>
    <w:rsid w:val="00742CF0"/>
    <w:rsid w:val="007443CA"/>
    <w:rsid w:val="007464AB"/>
    <w:rsid w:val="00747591"/>
    <w:rsid w:val="00750688"/>
    <w:rsid w:val="00750F05"/>
    <w:rsid w:val="0075258A"/>
    <w:rsid w:val="00755DEA"/>
    <w:rsid w:val="00756E80"/>
    <w:rsid w:val="007577B2"/>
    <w:rsid w:val="007578C6"/>
    <w:rsid w:val="00757DDC"/>
    <w:rsid w:val="007628BE"/>
    <w:rsid w:val="00762B2E"/>
    <w:rsid w:val="00766688"/>
    <w:rsid w:val="007702A9"/>
    <w:rsid w:val="00770EC7"/>
    <w:rsid w:val="00771A2C"/>
    <w:rsid w:val="00774083"/>
    <w:rsid w:val="007746A7"/>
    <w:rsid w:val="00774FDF"/>
    <w:rsid w:val="007756DF"/>
    <w:rsid w:val="00777D80"/>
    <w:rsid w:val="007807C6"/>
    <w:rsid w:val="00782F36"/>
    <w:rsid w:val="007869BC"/>
    <w:rsid w:val="00787155"/>
    <w:rsid w:val="00787C77"/>
    <w:rsid w:val="007901B0"/>
    <w:rsid w:val="00790644"/>
    <w:rsid w:val="00790A29"/>
    <w:rsid w:val="0079161F"/>
    <w:rsid w:val="00795D13"/>
    <w:rsid w:val="007A264F"/>
    <w:rsid w:val="007A2976"/>
    <w:rsid w:val="007A4866"/>
    <w:rsid w:val="007B032D"/>
    <w:rsid w:val="007B267F"/>
    <w:rsid w:val="007B4E4D"/>
    <w:rsid w:val="007B5C46"/>
    <w:rsid w:val="007B70CA"/>
    <w:rsid w:val="007B71B7"/>
    <w:rsid w:val="007B7726"/>
    <w:rsid w:val="007B79DB"/>
    <w:rsid w:val="007C0B59"/>
    <w:rsid w:val="007C23B2"/>
    <w:rsid w:val="007C2552"/>
    <w:rsid w:val="007C3EC5"/>
    <w:rsid w:val="007C4C1D"/>
    <w:rsid w:val="007C5399"/>
    <w:rsid w:val="007C58F2"/>
    <w:rsid w:val="007C60C1"/>
    <w:rsid w:val="007C6427"/>
    <w:rsid w:val="007C6D7C"/>
    <w:rsid w:val="007D02E1"/>
    <w:rsid w:val="007D14B6"/>
    <w:rsid w:val="007D3990"/>
    <w:rsid w:val="007D4781"/>
    <w:rsid w:val="007D5C6F"/>
    <w:rsid w:val="007D7270"/>
    <w:rsid w:val="007E331D"/>
    <w:rsid w:val="007E3BE2"/>
    <w:rsid w:val="007E505D"/>
    <w:rsid w:val="007E6267"/>
    <w:rsid w:val="007E6585"/>
    <w:rsid w:val="007F0FB9"/>
    <w:rsid w:val="007F1A39"/>
    <w:rsid w:val="007F1D9D"/>
    <w:rsid w:val="007F3E87"/>
    <w:rsid w:val="007F52EE"/>
    <w:rsid w:val="007F77F4"/>
    <w:rsid w:val="00800665"/>
    <w:rsid w:val="008061E0"/>
    <w:rsid w:val="00806CD3"/>
    <w:rsid w:val="008074BE"/>
    <w:rsid w:val="00811963"/>
    <w:rsid w:val="0081272A"/>
    <w:rsid w:val="008148FD"/>
    <w:rsid w:val="00821ABA"/>
    <w:rsid w:val="0082240E"/>
    <w:rsid w:val="00823535"/>
    <w:rsid w:val="00825797"/>
    <w:rsid w:val="0083349A"/>
    <w:rsid w:val="008334C8"/>
    <w:rsid w:val="00833C87"/>
    <w:rsid w:val="00835997"/>
    <w:rsid w:val="00835F4D"/>
    <w:rsid w:val="008426CA"/>
    <w:rsid w:val="00843E81"/>
    <w:rsid w:val="00845462"/>
    <w:rsid w:val="00851937"/>
    <w:rsid w:val="00854A0E"/>
    <w:rsid w:val="00856ABB"/>
    <w:rsid w:val="008608E0"/>
    <w:rsid w:val="0086422A"/>
    <w:rsid w:val="00864ABF"/>
    <w:rsid w:val="00866274"/>
    <w:rsid w:val="00866366"/>
    <w:rsid w:val="00867B04"/>
    <w:rsid w:val="0087160D"/>
    <w:rsid w:val="00873166"/>
    <w:rsid w:val="00873AFD"/>
    <w:rsid w:val="00873C36"/>
    <w:rsid w:val="0087409D"/>
    <w:rsid w:val="00876067"/>
    <w:rsid w:val="00883912"/>
    <w:rsid w:val="008840C0"/>
    <w:rsid w:val="00884332"/>
    <w:rsid w:val="008901AA"/>
    <w:rsid w:val="00890255"/>
    <w:rsid w:val="0089179C"/>
    <w:rsid w:val="00895E0F"/>
    <w:rsid w:val="00896575"/>
    <w:rsid w:val="008967F5"/>
    <w:rsid w:val="008A05D0"/>
    <w:rsid w:val="008A0C1C"/>
    <w:rsid w:val="008A4B13"/>
    <w:rsid w:val="008A6D88"/>
    <w:rsid w:val="008A7D5D"/>
    <w:rsid w:val="008B19BD"/>
    <w:rsid w:val="008B4407"/>
    <w:rsid w:val="008B544A"/>
    <w:rsid w:val="008B61D7"/>
    <w:rsid w:val="008B6608"/>
    <w:rsid w:val="008B7385"/>
    <w:rsid w:val="008B77EB"/>
    <w:rsid w:val="008C15AF"/>
    <w:rsid w:val="008C74FA"/>
    <w:rsid w:val="008D5C30"/>
    <w:rsid w:val="008E02B7"/>
    <w:rsid w:val="008E0DC5"/>
    <w:rsid w:val="008E280C"/>
    <w:rsid w:val="008E2B3D"/>
    <w:rsid w:val="008E5F82"/>
    <w:rsid w:val="008F0135"/>
    <w:rsid w:val="008F4611"/>
    <w:rsid w:val="008F67D5"/>
    <w:rsid w:val="00900C89"/>
    <w:rsid w:val="00900FD7"/>
    <w:rsid w:val="009028D9"/>
    <w:rsid w:val="00903B13"/>
    <w:rsid w:val="00904ACB"/>
    <w:rsid w:val="00905C77"/>
    <w:rsid w:val="00906E3C"/>
    <w:rsid w:val="0090753E"/>
    <w:rsid w:val="00910C59"/>
    <w:rsid w:val="00911834"/>
    <w:rsid w:val="00912C72"/>
    <w:rsid w:val="0091479B"/>
    <w:rsid w:val="00920270"/>
    <w:rsid w:val="009205FF"/>
    <w:rsid w:val="00922194"/>
    <w:rsid w:val="00923FC3"/>
    <w:rsid w:val="009263CA"/>
    <w:rsid w:val="00926737"/>
    <w:rsid w:val="009278CB"/>
    <w:rsid w:val="0093392C"/>
    <w:rsid w:val="00935C63"/>
    <w:rsid w:val="00935F8E"/>
    <w:rsid w:val="00940992"/>
    <w:rsid w:val="00940BCB"/>
    <w:rsid w:val="00940BCF"/>
    <w:rsid w:val="00941FC7"/>
    <w:rsid w:val="00942E2B"/>
    <w:rsid w:val="0094308D"/>
    <w:rsid w:val="00945D12"/>
    <w:rsid w:val="00947C2D"/>
    <w:rsid w:val="00952B4D"/>
    <w:rsid w:val="009531A0"/>
    <w:rsid w:val="009533B4"/>
    <w:rsid w:val="00953F37"/>
    <w:rsid w:val="00957CB2"/>
    <w:rsid w:val="0096155D"/>
    <w:rsid w:val="0096678C"/>
    <w:rsid w:val="00970D2E"/>
    <w:rsid w:val="0097327C"/>
    <w:rsid w:val="009736C0"/>
    <w:rsid w:val="0097462C"/>
    <w:rsid w:val="0097668F"/>
    <w:rsid w:val="00976F69"/>
    <w:rsid w:val="0098096C"/>
    <w:rsid w:val="00980AA0"/>
    <w:rsid w:val="00981A92"/>
    <w:rsid w:val="009827C6"/>
    <w:rsid w:val="009832EB"/>
    <w:rsid w:val="0098386B"/>
    <w:rsid w:val="00985E78"/>
    <w:rsid w:val="0098794B"/>
    <w:rsid w:val="009905D6"/>
    <w:rsid w:val="009911AA"/>
    <w:rsid w:val="0099674A"/>
    <w:rsid w:val="009A03DB"/>
    <w:rsid w:val="009A1DDC"/>
    <w:rsid w:val="009A369B"/>
    <w:rsid w:val="009A6B84"/>
    <w:rsid w:val="009A7F76"/>
    <w:rsid w:val="009B2FB5"/>
    <w:rsid w:val="009B33B9"/>
    <w:rsid w:val="009B4B8B"/>
    <w:rsid w:val="009B6163"/>
    <w:rsid w:val="009B7ED9"/>
    <w:rsid w:val="009C32D0"/>
    <w:rsid w:val="009C4102"/>
    <w:rsid w:val="009C5BA0"/>
    <w:rsid w:val="009D460D"/>
    <w:rsid w:val="009D5A67"/>
    <w:rsid w:val="009E05CD"/>
    <w:rsid w:val="009E12E7"/>
    <w:rsid w:val="009E4F85"/>
    <w:rsid w:val="009E511B"/>
    <w:rsid w:val="009E51C9"/>
    <w:rsid w:val="009F1EFE"/>
    <w:rsid w:val="009F2CE4"/>
    <w:rsid w:val="009F42E1"/>
    <w:rsid w:val="009F49EA"/>
    <w:rsid w:val="009F5659"/>
    <w:rsid w:val="00A02887"/>
    <w:rsid w:val="00A02E57"/>
    <w:rsid w:val="00A03BA7"/>
    <w:rsid w:val="00A057C4"/>
    <w:rsid w:val="00A05A4D"/>
    <w:rsid w:val="00A05AB4"/>
    <w:rsid w:val="00A06658"/>
    <w:rsid w:val="00A070D7"/>
    <w:rsid w:val="00A12E09"/>
    <w:rsid w:val="00A13907"/>
    <w:rsid w:val="00A14C22"/>
    <w:rsid w:val="00A25EB2"/>
    <w:rsid w:val="00A265E3"/>
    <w:rsid w:val="00A30AC2"/>
    <w:rsid w:val="00A403AD"/>
    <w:rsid w:val="00A4066C"/>
    <w:rsid w:val="00A40E60"/>
    <w:rsid w:val="00A4113A"/>
    <w:rsid w:val="00A44968"/>
    <w:rsid w:val="00A45588"/>
    <w:rsid w:val="00A4607A"/>
    <w:rsid w:val="00A529FA"/>
    <w:rsid w:val="00A52B09"/>
    <w:rsid w:val="00A54730"/>
    <w:rsid w:val="00A54BD1"/>
    <w:rsid w:val="00A56096"/>
    <w:rsid w:val="00A56440"/>
    <w:rsid w:val="00A5727D"/>
    <w:rsid w:val="00A62E0B"/>
    <w:rsid w:val="00A63491"/>
    <w:rsid w:val="00A6553E"/>
    <w:rsid w:val="00A7029E"/>
    <w:rsid w:val="00A72488"/>
    <w:rsid w:val="00A7294C"/>
    <w:rsid w:val="00A741B7"/>
    <w:rsid w:val="00A74B98"/>
    <w:rsid w:val="00A75239"/>
    <w:rsid w:val="00A7599F"/>
    <w:rsid w:val="00A7623D"/>
    <w:rsid w:val="00A820F1"/>
    <w:rsid w:val="00A83DEF"/>
    <w:rsid w:val="00A9363C"/>
    <w:rsid w:val="00AA3077"/>
    <w:rsid w:val="00AA32C8"/>
    <w:rsid w:val="00AA36BB"/>
    <w:rsid w:val="00AA5676"/>
    <w:rsid w:val="00AA6564"/>
    <w:rsid w:val="00AA6FCA"/>
    <w:rsid w:val="00AB0D25"/>
    <w:rsid w:val="00AB2387"/>
    <w:rsid w:val="00AB346C"/>
    <w:rsid w:val="00AB37B5"/>
    <w:rsid w:val="00AB47DE"/>
    <w:rsid w:val="00AB5A78"/>
    <w:rsid w:val="00AC2AF8"/>
    <w:rsid w:val="00AC333C"/>
    <w:rsid w:val="00AC389B"/>
    <w:rsid w:val="00AC3BE9"/>
    <w:rsid w:val="00AC523E"/>
    <w:rsid w:val="00AC65C5"/>
    <w:rsid w:val="00AC7D27"/>
    <w:rsid w:val="00AD035C"/>
    <w:rsid w:val="00AD1EB6"/>
    <w:rsid w:val="00AD2EC9"/>
    <w:rsid w:val="00AD35A8"/>
    <w:rsid w:val="00AD44D6"/>
    <w:rsid w:val="00AD5E20"/>
    <w:rsid w:val="00AD64A4"/>
    <w:rsid w:val="00AD6B3B"/>
    <w:rsid w:val="00AD7717"/>
    <w:rsid w:val="00AE018F"/>
    <w:rsid w:val="00AE0B67"/>
    <w:rsid w:val="00AE187B"/>
    <w:rsid w:val="00AE26F5"/>
    <w:rsid w:val="00AE3537"/>
    <w:rsid w:val="00AE3F49"/>
    <w:rsid w:val="00B00B27"/>
    <w:rsid w:val="00B00C8C"/>
    <w:rsid w:val="00B012D9"/>
    <w:rsid w:val="00B0184D"/>
    <w:rsid w:val="00B02B0A"/>
    <w:rsid w:val="00B046E5"/>
    <w:rsid w:val="00B046EA"/>
    <w:rsid w:val="00B04D6D"/>
    <w:rsid w:val="00B14DDB"/>
    <w:rsid w:val="00B14E7A"/>
    <w:rsid w:val="00B154B8"/>
    <w:rsid w:val="00B17054"/>
    <w:rsid w:val="00B201CC"/>
    <w:rsid w:val="00B2190F"/>
    <w:rsid w:val="00B2296C"/>
    <w:rsid w:val="00B23A70"/>
    <w:rsid w:val="00B26B8D"/>
    <w:rsid w:val="00B302AD"/>
    <w:rsid w:val="00B30423"/>
    <w:rsid w:val="00B308C0"/>
    <w:rsid w:val="00B31978"/>
    <w:rsid w:val="00B344A6"/>
    <w:rsid w:val="00B35F7A"/>
    <w:rsid w:val="00B36DD4"/>
    <w:rsid w:val="00B44A64"/>
    <w:rsid w:val="00B45A77"/>
    <w:rsid w:val="00B461D5"/>
    <w:rsid w:val="00B50AC3"/>
    <w:rsid w:val="00B53C2C"/>
    <w:rsid w:val="00B5440A"/>
    <w:rsid w:val="00B55B6D"/>
    <w:rsid w:val="00B6146B"/>
    <w:rsid w:val="00B63B26"/>
    <w:rsid w:val="00B64733"/>
    <w:rsid w:val="00B64CA2"/>
    <w:rsid w:val="00B64DE3"/>
    <w:rsid w:val="00B75F3E"/>
    <w:rsid w:val="00B76DB0"/>
    <w:rsid w:val="00B777B1"/>
    <w:rsid w:val="00B820A7"/>
    <w:rsid w:val="00B84521"/>
    <w:rsid w:val="00B848E4"/>
    <w:rsid w:val="00B87A2E"/>
    <w:rsid w:val="00B905CA"/>
    <w:rsid w:val="00B91EC7"/>
    <w:rsid w:val="00B961F7"/>
    <w:rsid w:val="00B963A1"/>
    <w:rsid w:val="00BA0180"/>
    <w:rsid w:val="00BA1457"/>
    <w:rsid w:val="00BA3009"/>
    <w:rsid w:val="00BA6559"/>
    <w:rsid w:val="00BA7D49"/>
    <w:rsid w:val="00BB080A"/>
    <w:rsid w:val="00BB37B9"/>
    <w:rsid w:val="00BB3C67"/>
    <w:rsid w:val="00BB3D08"/>
    <w:rsid w:val="00BB66E8"/>
    <w:rsid w:val="00BB7EC3"/>
    <w:rsid w:val="00BC07E0"/>
    <w:rsid w:val="00BC135C"/>
    <w:rsid w:val="00BC1E2E"/>
    <w:rsid w:val="00BC5A68"/>
    <w:rsid w:val="00BC69EF"/>
    <w:rsid w:val="00BC7AE6"/>
    <w:rsid w:val="00BD4A8D"/>
    <w:rsid w:val="00BE1951"/>
    <w:rsid w:val="00BE267D"/>
    <w:rsid w:val="00BE2960"/>
    <w:rsid w:val="00BE4A26"/>
    <w:rsid w:val="00BE76AB"/>
    <w:rsid w:val="00C01CF5"/>
    <w:rsid w:val="00C01FFD"/>
    <w:rsid w:val="00C021AC"/>
    <w:rsid w:val="00C023E0"/>
    <w:rsid w:val="00C0516E"/>
    <w:rsid w:val="00C0560F"/>
    <w:rsid w:val="00C073F3"/>
    <w:rsid w:val="00C10D94"/>
    <w:rsid w:val="00C161F8"/>
    <w:rsid w:val="00C16A4A"/>
    <w:rsid w:val="00C200DD"/>
    <w:rsid w:val="00C23624"/>
    <w:rsid w:val="00C25E55"/>
    <w:rsid w:val="00C26F58"/>
    <w:rsid w:val="00C3375F"/>
    <w:rsid w:val="00C34EE6"/>
    <w:rsid w:val="00C373AB"/>
    <w:rsid w:val="00C37980"/>
    <w:rsid w:val="00C40B1F"/>
    <w:rsid w:val="00C4149E"/>
    <w:rsid w:val="00C41939"/>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71CFC"/>
    <w:rsid w:val="00C728D4"/>
    <w:rsid w:val="00C72A49"/>
    <w:rsid w:val="00C73A5A"/>
    <w:rsid w:val="00C74028"/>
    <w:rsid w:val="00C742E6"/>
    <w:rsid w:val="00C75E37"/>
    <w:rsid w:val="00C76BED"/>
    <w:rsid w:val="00C818D1"/>
    <w:rsid w:val="00C81A70"/>
    <w:rsid w:val="00C849C1"/>
    <w:rsid w:val="00C90C4E"/>
    <w:rsid w:val="00C96485"/>
    <w:rsid w:val="00C96BBC"/>
    <w:rsid w:val="00CA03C6"/>
    <w:rsid w:val="00CA2306"/>
    <w:rsid w:val="00CA2BE4"/>
    <w:rsid w:val="00CA3640"/>
    <w:rsid w:val="00CA5EBC"/>
    <w:rsid w:val="00CA69F1"/>
    <w:rsid w:val="00CA7799"/>
    <w:rsid w:val="00CB0FC2"/>
    <w:rsid w:val="00CB1845"/>
    <w:rsid w:val="00CB2350"/>
    <w:rsid w:val="00CB30FB"/>
    <w:rsid w:val="00CB5F9B"/>
    <w:rsid w:val="00CB6E5F"/>
    <w:rsid w:val="00CB74DA"/>
    <w:rsid w:val="00CC7C0D"/>
    <w:rsid w:val="00CD31B6"/>
    <w:rsid w:val="00CD50AB"/>
    <w:rsid w:val="00CD5D8F"/>
    <w:rsid w:val="00CD7729"/>
    <w:rsid w:val="00CE11E4"/>
    <w:rsid w:val="00CE43C1"/>
    <w:rsid w:val="00CE4E66"/>
    <w:rsid w:val="00CE5CD7"/>
    <w:rsid w:val="00CF14D6"/>
    <w:rsid w:val="00CF1AAC"/>
    <w:rsid w:val="00CF2D0C"/>
    <w:rsid w:val="00D02605"/>
    <w:rsid w:val="00D110FE"/>
    <w:rsid w:val="00D12711"/>
    <w:rsid w:val="00D1662F"/>
    <w:rsid w:val="00D204B7"/>
    <w:rsid w:val="00D2050E"/>
    <w:rsid w:val="00D24831"/>
    <w:rsid w:val="00D25689"/>
    <w:rsid w:val="00D325EF"/>
    <w:rsid w:val="00D36C3E"/>
    <w:rsid w:val="00D4259D"/>
    <w:rsid w:val="00D45B02"/>
    <w:rsid w:val="00D473EA"/>
    <w:rsid w:val="00D50B1A"/>
    <w:rsid w:val="00D512DE"/>
    <w:rsid w:val="00D51A03"/>
    <w:rsid w:val="00D5213C"/>
    <w:rsid w:val="00D56566"/>
    <w:rsid w:val="00D57367"/>
    <w:rsid w:val="00D61A37"/>
    <w:rsid w:val="00D64782"/>
    <w:rsid w:val="00D67278"/>
    <w:rsid w:val="00D67B8D"/>
    <w:rsid w:val="00D7289B"/>
    <w:rsid w:val="00D74196"/>
    <w:rsid w:val="00D7566D"/>
    <w:rsid w:val="00D76E20"/>
    <w:rsid w:val="00D8125F"/>
    <w:rsid w:val="00D86D5E"/>
    <w:rsid w:val="00D90453"/>
    <w:rsid w:val="00D922B1"/>
    <w:rsid w:val="00D923CC"/>
    <w:rsid w:val="00DA5F08"/>
    <w:rsid w:val="00DA76FF"/>
    <w:rsid w:val="00DB1775"/>
    <w:rsid w:val="00DB22A5"/>
    <w:rsid w:val="00DB7370"/>
    <w:rsid w:val="00DC139D"/>
    <w:rsid w:val="00DC2C8A"/>
    <w:rsid w:val="00DC4666"/>
    <w:rsid w:val="00DC4968"/>
    <w:rsid w:val="00DC4D2A"/>
    <w:rsid w:val="00DC571F"/>
    <w:rsid w:val="00DC71F3"/>
    <w:rsid w:val="00DD3F5E"/>
    <w:rsid w:val="00DD425A"/>
    <w:rsid w:val="00DD55DA"/>
    <w:rsid w:val="00DD5ADB"/>
    <w:rsid w:val="00DE0399"/>
    <w:rsid w:val="00DE271E"/>
    <w:rsid w:val="00DE569D"/>
    <w:rsid w:val="00DE6571"/>
    <w:rsid w:val="00DE7784"/>
    <w:rsid w:val="00DF0410"/>
    <w:rsid w:val="00DF39D8"/>
    <w:rsid w:val="00DF419A"/>
    <w:rsid w:val="00DF7F7A"/>
    <w:rsid w:val="00E01FDA"/>
    <w:rsid w:val="00E02857"/>
    <w:rsid w:val="00E03C5A"/>
    <w:rsid w:val="00E04B7F"/>
    <w:rsid w:val="00E0531A"/>
    <w:rsid w:val="00E10342"/>
    <w:rsid w:val="00E11133"/>
    <w:rsid w:val="00E117F3"/>
    <w:rsid w:val="00E154A0"/>
    <w:rsid w:val="00E15729"/>
    <w:rsid w:val="00E179CF"/>
    <w:rsid w:val="00E202A8"/>
    <w:rsid w:val="00E229C2"/>
    <w:rsid w:val="00E232D1"/>
    <w:rsid w:val="00E2459C"/>
    <w:rsid w:val="00E24C1A"/>
    <w:rsid w:val="00E255B3"/>
    <w:rsid w:val="00E26643"/>
    <w:rsid w:val="00E32C35"/>
    <w:rsid w:val="00E35CD7"/>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0D6"/>
    <w:rsid w:val="00E63E82"/>
    <w:rsid w:val="00E65FAA"/>
    <w:rsid w:val="00E673A2"/>
    <w:rsid w:val="00E734AE"/>
    <w:rsid w:val="00E73CC2"/>
    <w:rsid w:val="00E75460"/>
    <w:rsid w:val="00E7550A"/>
    <w:rsid w:val="00E777DA"/>
    <w:rsid w:val="00E7794D"/>
    <w:rsid w:val="00E77BC6"/>
    <w:rsid w:val="00E77DE7"/>
    <w:rsid w:val="00E83E68"/>
    <w:rsid w:val="00E84A3B"/>
    <w:rsid w:val="00E903F8"/>
    <w:rsid w:val="00E913BA"/>
    <w:rsid w:val="00E94F30"/>
    <w:rsid w:val="00E95B86"/>
    <w:rsid w:val="00E95F76"/>
    <w:rsid w:val="00E97813"/>
    <w:rsid w:val="00EA1173"/>
    <w:rsid w:val="00EA4749"/>
    <w:rsid w:val="00EA7FE0"/>
    <w:rsid w:val="00EB362B"/>
    <w:rsid w:val="00EB5291"/>
    <w:rsid w:val="00EB56CD"/>
    <w:rsid w:val="00EC1732"/>
    <w:rsid w:val="00EC22AC"/>
    <w:rsid w:val="00EC2B26"/>
    <w:rsid w:val="00EC5BB8"/>
    <w:rsid w:val="00EC5F29"/>
    <w:rsid w:val="00EC68E7"/>
    <w:rsid w:val="00ED1214"/>
    <w:rsid w:val="00ED1508"/>
    <w:rsid w:val="00ED324B"/>
    <w:rsid w:val="00ED3311"/>
    <w:rsid w:val="00ED39AD"/>
    <w:rsid w:val="00EE171A"/>
    <w:rsid w:val="00EE2F00"/>
    <w:rsid w:val="00EE7052"/>
    <w:rsid w:val="00EF0BFF"/>
    <w:rsid w:val="00EF225C"/>
    <w:rsid w:val="00EF2790"/>
    <w:rsid w:val="00EF5E12"/>
    <w:rsid w:val="00EF6431"/>
    <w:rsid w:val="00EF661D"/>
    <w:rsid w:val="00EF748B"/>
    <w:rsid w:val="00F01066"/>
    <w:rsid w:val="00F019E8"/>
    <w:rsid w:val="00F051B9"/>
    <w:rsid w:val="00F13454"/>
    <w:rsid w:val="00F15E89"/>
    <w:rsid w:val="00F17FBE"/>
    <w:rsid w:val="00F201D9"/>
    <w:rsid w:val="00F2236C"/>
    <w:rsid w:val="00F2630C"/>
    <w:rsid w:val="00F2704F"/>
    <w:rsid w:val="00F2742F"/>
    <w:rsid w:val="00F32E45"/>
    <w:rsid w:val="00F34A3F"/>
    <w:rsid w:val="00F3686B"/>
    <w:rsid w:val="00F36D40"/>
    <w:rsid w:val="00F37E9A"/>
    <w:rsid w:val="00F40E3D"/>
    <w:rsid w:val="00F4275D"/>
    <w:rsid w:val="00F450E2"/>
    <w:rsid w:val="00F459B3"/>
    <w:rsid w:val="00F45E28"/>
    <w:rsid w:val="00F469C0"/>
    <w:rsid w:val="00F47454"/>
    <w:rsid w:val="00F51365"/>
    <w:rsid w:val="00F5218A"/>
    <w:rsid w:val="00F54707"/>
    <w:rsid w:val="00F57317"/>
    <w:rsid w:val="00F615EE"/>
    <w:rsid w:val="00F625D4"/>
    <w:rsid w:val="00F62C19"/>
    <w:rsid w:val="00F6596B"/>
    <w:rsid w:val="00F65E15"/>
    <w:rsid w:val="00F7261E"/>
    <w:rsid w:val="00F74E91"/>
    <w:rsid w:val="00F76CC9"/>
    <w:rsid w:val="00F77F91"/>
    <w:rsid w:val="00F80390"/>
    <w:rsid w:val="00F8262B"/>
    <w:rsid w:val="00F83DB4"/>
    <w:rsid w:val="00F8784E"/>
    <w:rsid w:val="00F87D07"/>
    <w:rsid w:val="00F90174"/>
    <w:rsid w:val="00F9085A"/>
    <w:rsid w:val="00F91FD6"/>
    <w:rsid w:val="00F92D39"/>
    <w:rsid w:val="00F92EBD"/>
    <w:rsid w:val="00F94A51"/>
    <w:rsid w:val="00F95414"/>
    <w:rsid w:val="00F973DE"/>
    <w:rsid w:val="00FA1BE4"/>
    <w:rsid w:val="00FA3C85"/>
    <w:rsid w:val="00FA5456"/>
    <w:rsid w:val="00FA5B2A"/>
    <w:rsid w:val="00FA68D9"/>
    <w:rsid w:val="00FA6FB3"/>
    <w:rsid w:val="00FB44DD"/>
    <w:rsid w:val="00FB4EDC"/>
    <w:rsid w:val="00FC2702"/>
    <w:rsid w:val="00FC2BEC"/>
    <w:rsid w:val="00FC4B6B"/>
    <w:rsid w:val="00FC58B3"/>
    <w:rsid w:val="00FC65BB"/>
    <w:rsid w:val="00FD08CC"/>
    <w:rsid w:val="00FD12DC"/>
    <w:rsid w:val="00FD65AE"/>
    <w:rsid w:val="00FD78C0"/>
    <w:rsid w:val="00FE0520"/>
    <w:rsid w:val="00FE2A7D"/>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ru-RU" w:eastAsia="en-US"/>
    </w:rPr>
  </w:style>
  <w:style w:type="table" w:styleId="TableGrid">
    <w:name w:val="Table Grid"/>
    <w:basedOn w:val="Table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ru-RU"/>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ru-RU"/>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ru-RU"/>
    </w:rPr>
  </w:style>
  <w:style w:type="paragraph" w:customStyle="1" w:styleId="Default">
    <w:name w:val="Default"/>
    <w:rsid w:val="00D76E2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ru-RU"/>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character" w:customStyle="1" w:styleId="FootnoteTextChar">
    <w:name w:val="Footnote Text Char"/>
    <w:basedOn w:val="DefaultParagraphFont"/>
    <w:link w:val="FootnoteText"/>
    <w:uiPriority w:val="99"/>
    <w:semiHidden/>
    <w:rsid w:val="002661D7"/>
    <w:rPr>
      <w:rFonts w:eastAsia="Times New Roman"/>
      <w:snapToGrid w:val="0"/>
      <w:lang w:val="ru-RU" w:eastAsia="en-US"/>
    </w:rPr>
  </w:style>
  <w:style w:type="paragraph" w:styleId="Revision">
    <w:name w:val="Revision"/>
    <w:hidden/>
    <w:uiPriority w:val="99"/>
    <w:semiHidden/>
    <w:rsid w:val="00C25E55"/>
    <w:rPr>
      <w:snapToGrid w:val="0"/>
      <w:sz w:val="24"/>
      <w:szCs w:val="24"/>
    </w:rPr>
  </w:style>
  <w:style w:type="character" w:customStyle="1" w:styleId="UnresolvedMention3">
    <w:name w:val="Unresolved Mention3"/>
    <w:basedOn w:val="DefaultParagraphFont"/>
    <w:uiPriority w:val="99"/>
    <w:semiHidden/>
    <w:unhideWhenUsed/>
    <w:rsid w:val="00940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81300.locale=e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81488.locale=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6780.locale=en" TargetMode="External"/><Relationship Id="rId5" Type="http://schemas.openxmlformats.org/officeDocument/2006/relationships/webSettings" Target="webSettings.xml"/><Relationship Id="rId15" Type="http://schemas.openxmlformats.org/officeDocument/2006/relationships/hyperlink" Target="https://empoweringwomen.wmu.se/" TargetMode="External"/><Relationship Id="rId10" Type="http://schemas.openxmlformats.org/officeDocument/2006/relationships/hyperlink" Target="https://unesdoc.unesco.org/ark:/48223/pf0000124367.locale=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378557.locale=fr" TargetMode="External"/><Relationship Id="rId14" Type="http://schemas.openxmlformats.org/officeDocument/2006/relationships/hyperlink" Target="https://unesdoc.unesco.org/ark:/48223/pf0000381300.locale=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141CB-C269-415F-97B7-A1E47B3A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19</Pages>
  <Words>8090</Words>
  <Characters>57605</Characters>
  <Application>Microsoft Office Word</Application>
  <DocSecurity>0</DocSecurity>
  <Lines>1051</Lines>
  <Paragraphs>225</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Manager/>
  <Company>UNESCO</Company>
  <LinksUpToDate>false</LinksUpToDate>
  <CharactersWithSpaces>65493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плана действий в связи с проведенной IOS оценкой стратегического позиционирования МОК _x000d_
_x000d_
</dc:title>
  <dc:subject>IOC/EC-55/3.2.Doc(1)</dc:subject>
  <dc:creator>UNESCO</dc:creator>
  <cp:keywords>0</cp:keywords>
  <dc:description/>
  <cp:lastModifiedBy>Chakhvorostova, Valentina</cp:lastModifiedBy>
  <cp:revision>26</cp:revision>
  <cp:lastPrinted>2022-05-20T07:35:00Z</cp:lastPrinted>
  <dcterms:created xsi:type="dcterms:W3CDTF">2022-06-07T08:49:00Z</dcterms:created>
  <dcterms:modified xsi:type="dcterms:W3CDTF">2022-06-07T10:31:00Z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vt:lpwstr>
  </property>
  <property fmtid="{D5CDD505-2E9C-101B-9397-08002B2CF9AE}" pid="3" name="JobDCPMS">
    <vt:lpwstr>2201506</vt:lpwstr>
  </property>
</Properties>
</file>