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8217"/>
      </w:tblGrid>
      <w:tr w:rsidR="006A5AED" w14:paraId="1A4612E9" w14:textId="77777777" w:rsidTr="00441968">
        <w:trPr>
          <w:trHeight w:val="5307"/>
          <w:jc w:val="center"/>
        </w:trPr>
        <w:tc>
          <w:tcPr>
            <w:tcW w:w="8217" w:type="dxa"/>
          </w:tcPr>
          <w:p w14:paraId="1B888B8D" w14:textId="77777777" w:rsidR="006A5AED" w:rsidRPr="001B5075" w:rsidRDefault="006A5AED" w:rsidP="00206BC1">
            <w:pPr>
              <w:tabs>
                <w:tab w:val="clear" w:pos="567"/>
              </w:tabs>
              <w:snapToGrid/>
              <w:spacing w:before="120" w:after="240"/>
              <w:jc w:val="center"/>
              <w:rPr>
                <w:rFonts w:cs="Arial"/>
                <w:bCs/>
                <w:szCs w:val="22"/>
                <w:u w:val="single"/>
              </w:rPr>
            </w:pPr>
            <w:r>
              <w:rPr>
                <w:u w:val="single"/>
              </w:rPr>
              <w:t>Résumé</w:t>
            </w:r>
          </w:p>
          <w:p w14:paraId="19E0657A" w14:textId="1B94A40C" w:rsidR="008B7A9D" w:rsidRPr="008B7A9D" w:rsidRDefault="008B7A9D" w:rsidP="008B7A9D">
            <w:pPr>
              <w:tabs>
                <w:tab w:val="clear" w:pos="567"/>
              </w:tabs>
              <w:snapToGrid/>
              <w:spacing w:after="240"/>
              <w:ind w:left="283" w:right="283"/>
              <w:jc w:val="both"/>
              <w:rPr>
                <w:rFonts w:cs="Arial"/>
                <w:bCs/>
                <w:szCs w:val="22"/>
              </w:rPr>
            </w:pPr>
            <w:r w:rsidRPr="008B7A9D">
              <w:rPr>
                <w:rFonts w:cs="Arial"/>
                <w:bCs/>
                <w:szCs w:val="22"/>
              </w:rPr>
              <w:t xml:space="preserve">Pour donner suite à </w:t>
            </w:r>
            <w:r w:rsidR="00F26AF2">
              <w:rPr>
                <w:rFonts w:cs="Arial"/>
                <w:bCs/>
                <w:szCs w:val="22"/>
              </w:rPr>
              <w:t>l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="00F26AF2">
              <w:rPr>
                <w:rFonts w:cs="Arial"/>
                <w:bCs/>
                <w:szCs w:val="22"/>
              </w:rPr>
              <w:t>approbation</w:t>
            </w:r>
            <w:r w:rsidRPr="008B7A9D">
              <w:rPr>
                <w:rFonts w:cs="Arial"/>
                <w:bCs/>
                <w:szCs w:val="22"/>
              </w:rPr>
              <w:t xml:space="preserve"> de l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Pr="008B7A9D">
              <w:rPr>
                <w:rFonts w:cs="Arial"/>
                <w:bCs/>
                <w:szCs w:val="22"/>
              </w:rPr>
              <w:t>Assemblée, à sa 31</w:t>
            </w:r>
            <w:r w:rsidRPr="008B7A9D">
              <w:rPr>
                <w:rFonts w:cs="Arial"/>
                <w:bCs/>
                <w:szCs w:val="22"/>
                <w:vertAlign w:val="superscript"/>
              </w:rPr>
              <w:t>e</w:t>
            </w:r>
            <w:r w:rsidRPr="008B7A9D">
              <w:rPr>
                <w:rFonts w:cs="Arial"/>
                <w:bCs/>
                <w:szCs w:val="22"/>
              </w:rPr>
              <w:t xml:space="preserve"> session, </w:t>
            </w:r>
            <w:r w:rsidR="00F26AF2">
              <w:rPr>
                <w:rFonts w:cs="Arial"/>
                <w:bCs/>
                <w:szCs w:val="22"/>
              </w:rPr>
              <w:t>concernant</w:t>
            </w:r>
            <w:r w:rsidRPr="008B7A9D">
              <w:rPr>
                <w:rFonts w:cs="Arial"/>
                <w:bCs/>
                <w:szCs w:val="22"/>
              </w:rPr>
              <w:t xml:space="preserve"> la production d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Pr="008B7A9D">
              <w:rPr>
                <w:rFonts w:cs="Arial"/>
                <w:bCs/>
                <w:szCs w:val="22"/>
              </w:rPr>
              <w:t>une édition pilote du Rapport de la COI sur l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Pr="008B7A9D">
              <w:rPr>
                <w:rFonts w:cs="Arial"/>
                <w:bCs/>
                <w:szCs w:val="22"/>
              </w:rPr>
              <w:t>état de l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Pr="008B7A9D">
              <w:rPr>
                <w:rFonts w:cs="Arial"/>
                <w:bCs/>
                <w:szCs w:val="22"/>
              </w:rPr>
              <w:t>océan</w:t>
            </w:r>
            <w:r w:rsidR="008C2931">
              <w:rPr>
                <w:rFonts w:cs="Arial"/>
                <w:bCs/>
                <w:szCs w:val="22"/>
              </w:rPr>
              <w:t xml:space="preserve"> (</w:t>
            </w:r>
            <w:proofErr w:type="spellStart"/>
            <w:r w:rsidR="008C2931">
              <w:rPr>
                <w:rFonts w:cs="Arial"/>
                <w:bCs/>
                <w:szCs w:val="22"/>
              </w:rPr>
              <w:t>StOR</w:t>
            </w:r>
            <w:proofErr w:type="spellEnd"/>
            <w:r w:rsidR="008C2931">
              <w:rPr>
                <w:rFonts w:cs="Arial"/>
                <w:bCs/>
                <w:szCs w:val="22"/>
              </w:rPr>
              <w:t>, « </w:t>
            </w:r>
            <w:r w:rsidR="008C2931" w:rsidRPr="00B16528">
              <w:rPr>
                <w:rFonts w:cs="Arial"/>
                <w:bCs/>
                <w:i/>
                <w:szCs w:val="22"/>
              </w:rPr>
              <w:t xml:space="preserve">State of the </w:t>
            </w:r>
            <w:proofErr w:type="spellStart"/>
            <w:r w:rsidR="008C2931" w:rsidRPr="00B16528">
              <w:rPr>
                <w:rFonts w:cs="Arial"/>
                <w:bCs/>
                <w:i/>
                <w:szCs w:val="22"/>
              </w:rPr>
              <w:t>Ocean</w:t>
            </w:r>
            <w:proofErr w:type="spellEnd"/>
            <w:r w:rsidR="008C2931" w:rsidRPr="00B16528">
              <w:rPr>
                <w:rFonts w:cs="Arial"/>
                <w:bCs/>
                <w:i/>
                <w:szCs w:val="22"/>
              </w:rPr>
              <w:t xml:space="preserve"> Report</w:t>
            </w:r>
            <w:r w:rsidR="008C2931">
              <w:rPr>
                <w:rFonts w:cs="Arial"/>
                <w:bCs/>
                <w:szCs w:val="22"/>
              </w:rPr>
              <w:t> »)</w:t>
            </w:r>
            <w:r w:rsidRPr="008B7A9D">
              <w:rPr>
                <w:rFonts w:cs="Arial"/>
                <w:bCs/>
                <w:szCs w:val="22"/>
              </w:rPr>
              <w:t xml:space="preserve">, le présent document </w:t>
            </w:r>
            <w:r w:rsidR="008C2931">
              <w:rPr>
                <w:rFonts w:cs="Arial"/>
                <w:bCs/>
                <w:szCs w:val="22"/>
              </w:rPr>
              <w:t>précise</w:t>
            </w:r>
            <w:r w:rsidRPr="008B7A9D">
              <w:rPr>
                <w:rFonts w:cs="Arial"/>
                <w:bCs/>
                <w:szCs w:val="22"/>
              </w:rPr>
              <w:t xml:space="preserve"> le contexte, les objectifs et la portée du rapport </w:t>
            </w:r>
            <w:r w:rsidR="008C2931">
              <w:rPr>
                <w:rFonts w:cs="Arial"/>
                <w:bCs/>
                <w:szCs w:val="22"/>
              </w:rPr>
              <w:t>envisagé,</w:t>
            </w:r>
            <w:r w:rsidRPr="008B7A9D">
              <w:rPr>
                <w:rFonts w:cs="Arial"/>
                <w:bCs/>
                <w:szCs w:val="22"/>
              </w:rPr>
              <w:t xml:space="preserve"> ainsi que le calendrier </w:t>
            </w:r>
            <w:r w:rsidR="008C2931">
              <w:rPr>
                <w:rFonts w:cs="Arial"/>
                <w:bCs/>
                <w:szCs w:val="22"/>
              </w:rPr>
              <w:t>d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="008C2931">
              <w:rPr>
                <w:rFonts w:cs="Arial"/>
                <w:bCs/>
                <w:szCs w:val="22"/>
              </w:rPr>
              <w:t>élaboration</w:t>
            </w:r>
            <w:r w:rsidRPr="008B7A9D">
              <w:rPr>
                <w:rFonts w:cs="Arial"/>
                <w:bCs/>
                <w:szCs w:val="22"/>
              </w:rPr>
              <w:t xml:space="preserve"> de cette publication. </w:t>
            </w:r>
            <w:r w:rsidR="008C2931">
              <w:rPr>
                <w:rFonts w:cs="Arial"/>
                <w:bCs/>
                <w:szCs w:val="22"/>
              </w:rPr>
              <w:t>Une version</w:t>
            </w:r>
            <w:r w:rsidRPr="008B7A9D">
              <w:rPr>
                <w:rFonts w:cs="Arial"/>
                <w:bCs/>
                <w:szCs w:val="22"/>
              </w:rPr>
              <w:t xml:space="preserve"> </w:t>
            </w:r>
            <w:r w:rsidR="008C2931">
              <w:rPr>
                <w:rFonts w:cs="Arial"/>
                <w:bCs/>
                <w:szCs w:val="22"/>
              </w:rPr>
              <w:t>pleinement</w:t>
            </w:r>
            <w:r w:rsidRPr="008B7A9D">
              <w:rPr>
                <w:rFonts w:cs="Arial"/>
                <w:bCs/>
                <w:szCs w:val="22"/>
              </w:rPr>
              <w:t xml:space="preserve"> </w:t>
            </w:r>
            <w:r w:rsidR="008C2931">
              <w:rPr>
                <w:rFonts w:cs="Arial"/>
                <w:bCs/>
                <w:szCs w:val="22"/>
              </w:rPr>
              <w:t>aboutie</w:t>
            </w:r>
            <w:r w:rsidRPr="008B7A9D">
              <w:rPr>
                <w:rFonts w:cs="Arial"/>
                <w:bCs/>
                <w:szCs w:val="22"/>
              </w:rPr>
              <w:t xml:space="preserve"> et formatée du Rapport pilote figure à l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Pr="008B7A9D">
              <w:rPr>
                <w:rFonts w:cs="Arial"/>
                <w:bCs/>
                <w:szCs w:val="22"/>
              </w:rPr>
              <w:t>annexe du présent document, en anglais uniquement.</w:t>
            </w:r>
          </w:p>
          <w:p w14:paraId="50A1C23A" w14:textId="2372E59B" w:rsidR="008B7A9D" w:rsidRPr="008B7A9D" w:rsidRDefault="008B7A9D" w:rsidP="00B16528">
            <w:pPr>
              <w:tabs>
                <w:tab w:val="clear" w:pos="567"/>
              </w:tabs>
              <w:snapToGrid/>
              <w:spacing w:after="240"/>
              <w:ind w:left="283" w:right="283"/>
              <w:jc w:val="both"/>
              <w:rPr>
                <w:rFonts w:cs="Arial"/>
                <w:bCs/>
                <w:szCs w:val="22"/>
              </w:rPr>
            </w:pPr>
            <w:r w:rsidRPr="008C2931">
              <w:rPr>
                <w:rFonts w:cs="Arial"/>
                <w:bCs/>
                <w:szCs w:val="22"/>
                <w:u w:val="single"/>
              </w:rPr>
              <w:t>Incidences financières</w:t>
            </w:r>
            <w:r w:rsidR="00FE1062">
              <w:rPr>
                <w:rFonts w:cs="Arial"/>
                <w:bCs/>
                <w:szCs w:val="22"/>
              </w:rPr>
              <w:t> </w:t>
            </w:r>
            <w:r w:rsidRPr="008B7A9D">
              <w:rPr>
                <w:rFonts w:cs="Arial"/>
                <w:bCs/>
                <w:szCs w:val="22"/>
              </w:rPr>
              <w:t>: L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Pr="008B7A9D">
              <w:rPr>
                <w:rFonts w:cs="Arial"/>
                <w:bCs/>
                <w:szCs w:val="22"/>
              </w:rPr>
              <w:t xml:space="preserve">élaboration du </w:t>
            </w:r>
            <w:proofErr w:type="spellStart"/>
            <w:r w:rsidRPr="008B7A9D">
              <w:rPr>
                <w:rFonts w:cs="Arial"/>
                <w:bCs/>
                <w:szCs w:val="22"/>
              </w:rPr>
              <w:t>StOR</w:t>
            </w:r>
            <w:proofErr w:type="spellEnd"/>
            <w:r w:rsidRPr="008B7A9D">
              <w:rPr>
                <w:rFonts w:cs="Arial"/>
                <w:bCs/>
                <w:szCs w:val="22"/>
              </w:rPr>
              <w:t xml:space="preserve"> aura des incidences à la fois sur le plan financier et sur celui du personnel. </w:t>
            </w:r>
            <w:r w:rsidR="00B16528">
              <w:rPr>
                <w:rFonts w:cs="Arial"/>
                <w:bCs/>
                <w:szCs w:val="22"/>
              </w:rPr>
              <w:t>Ainsi</w:t>
            </w:r>
            <w:r w:rsidRPr="008B7A9D">
              <w:rPr>
                <w:rFonts w:cs="Arial"/>
                <w:bCs/>
                <w:szCs w:val="22"/>
              </w:rPr>
              <w:t>, pour l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Pr="008B7A9D">
              <w:rPr>
                <w:rFonts w:cs="Arial"/>
                <w:bCs/>
                <w:szCs w:val="22"/>
              </w:rPr>
              <w:t>exercice biennal en cours, les fonds alloués au titre du Programme ordinaire ne sont pas suffisants pour financer la production de l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Pr="008B7A9D">
              <w:rPr>
                <w:rFonts w:cs="Arial"/>
                <w:bCs/>
                <w:szCs w:val="22"/>
              </w:rPr>
              <w:t xml:space="preserve">intégralité du </w:t>
            </w:r>
            <w:proofErr w:type="spellStart"/>
            <w:r w:rsidRPr="008B7A9D">
              <w:rPr>
                <w:rFonts w:cs="Arial"/>
                <w:bCs/>
                <w:szCs w:val="22"/>
              </w:rPr>
              <w:t>StOR</w:t>
            </w:r>
            <w:proofErr w:type="spellEnd"/>
            <w:r w:rsidRPr="008B7A9D">
              <w:rPr>
                <w:rFonts w:cs="Arial"/>
                <w:bCs/>
                <w:szCs w:val="22"/>
              </w:rPr>
              <w:t xml:space="preserve"> d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Pr="008B7A9D">
              <w:rPr>
                <w:rFonts w:cs="Arial"/>
                <w:bCs/>
                <w:szCs w:val="22"/>
              </w:rPr>
              <w:t>ici à la mi</w:t>
            </w:r>
            <w:r w:rsidR="00FE1062">
              <w:rPr>
                <w:rFonts w:cs="Arial"/>
                <w:bCs/>
                <w:szCs w:val="22"/>
              </w:rPr>
              <w:noBreakHyphen/>
            </w:r>
            <w:r w:rsidRPr="008B7A9D">
              <w:rPr>
                <w:rFonts w:cs="Arial"/>
                <w:bCs/>
                <w:szCs w:val="22"/>
              </w:rPr>
              <w:t xml:space="preserve">2023. Des ressources extrabudgétaires, </w:t>
            </w:r>
            <w:r w:rsidR="00B16528">
              <w:rPr>
                <w:rFonts w:cs="Arial"/>
                <w:bCs/>
                <w:szCs w:val="22"/>
              </w:rPr>
              <w:t>de l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="00B16528">
              <w:rPr>
                <w:rFonts w:cs="Arial"/>
                <w:bCs/>
                <w:szCs w:val="22"/>
              </w:rPr>
              <w:t>ordre de</w:t>
            </w:r>
            <w:r w:rsidRPr="008B7A9D">
              <w:rPr>
                <w:rFonts w:cs="Arial"/>
                <w:bCs/>
                <w:szCs w:val="22"/>
              </w:rPr>
              <w:t xml:space="preserve"> 15</w:t>
            </w:r>
            <w:r w:rsidR="00B16528">
              <w:rPr>
                <w:rFonts w:cs="Arial"/>
                <w:bCs/>
                <w:szCs w:val="22"/>
              </w:rPr>
              <w:t> </w:t>
            </w:r>
            <w:r w:rsidRPr="008B7A9D">
              <w:rPr>
                <w:rFonts w:cs="Arial"/>
                <w:bCs/>
                <w:szCs w:val="22"/>
              </w:rPr>
              <w:t>000 à 25</w:t>
            </w:r>
            <w:r w:rsidR="00B16528">
              <w:rPr>
                <w:rFonts w:cs="Arial"/>
                <w:bCs/>
                <w:szCs w:val="22"/>
              </w:rPr>
              <w:t> </w:t>
            </w:r>
            <w:r w:rsidRPr="008B7A9D">
              <w:rPr>
                <w:rFonts w:cs="Arial"/>
                <w:bCs/>
                <w:szCs w:val="22"/>
              </w:rPr>
              <w:t>000</w:t>
            </w:r>
            <w:r w:rsidR="00B16528">
              <w:rPr>
                <w:rFonts w:cs="Arial"/>
                <w:bCs/>
                <w:szCs w:val="22"/>
              </w:rPr>
              <w:t> </w:t>
            </w:r>
            <w:r w:rsidRPr="008B7A9D">
              <w:rPr>
                <w:rFonts w:cs="Arial"/>
                <w:bCs/>
                <w:szCs w:val="22"/>
              </w:rPr>
              <w:t>dollars des États-Unis, seront nécessaires, de même qu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Pr="008B7A9D">
              <w:rPr>
                <w:rFonts w:cs="Arial"/>
                <w:bCs/>
                <w:szCs w:val="22"/>
              </w:rPr>
              <w:t>un détachement/prêt de personnel prolongé.</w:t>
            </w:r>
          </w:p>
          <w:p w14:paraId="40410ABF" w14:textId="2BA34ABF" w:rsidR="006A5AED" w:rsidRDefault="008B7A9D" w:rsidP="008B7A9D">
            <w:pPr>
              <w:tabs>
                <w:tab w:val="clear" w:pos="567"/>
              </w:tabs>
              <w:snapToGrid/>
              <w:spacing w:after="240"/>
              <w:ind w:left="283" w:right="283"/>
              <w:jc w:val="both"/>
              <w:rPr>
                <w:rFonts w:cs="Arial"/>
                <w:b/>
                <w:bCs/>
                <w:szCs w:val="22"/>
              </w:rPr>
            </w:pPr>
            <w:r w:rsidRPr="00B16528">
              <w:rPr>
                <w:rFonts w:cs="Arial"/>
                <w:bCs/>
                <w:szCs w:val="22"/>
                <w:u w:val="single"/>
              </w:rPr>
              <w:t>Décision proposée</w:t>
            </w:r>
            <w:r w:rsidR="00FE1062">
              <w:rPr>
                <w:rFonts w:cs="Arial"/>
                <w:bCs/>
                <w:szCs w:val="22"/>
              </w:rPr>
              <w:t> </w:t>
            </w:r>
            <w:r w:rsidRPr="008B7A9D">
              <w:rPr>
                <w:rFonts w:cs="Arial"/>
                <w:bCs/>
                <w:szCs w:val="22"/>
              </w:rPr>
              <w:t>: Le Conseil exécutif de la COI est invité à examiner le projet de décision portant la référence Déc.,</w:t>
            </w:r>
            <w:r w:rsidR="00B16528">
              <w:rPr>
                <w:rFonts w:cs="Arial"/>
                <w:bCs/>
                <w:szCs w:val="22"/>
              </w:rPr>
              <w:t> </w:t>
            </w:r>
            <w:r w:rsidRPr="008B7A9D">
              <w:rPr>
                <w:rFonts w:cs="Arial"/>
                <w:bCs/>
                <w:szCs w:val="22"/>
              </w:rPr>
              <w:t>EC-55/3.3 dans le Document provisoire relatif aux décisions à adopter (document IOC/EC-55/AP).</w:t>
            </w:r>
          </w:p>
        </w:tc>
      </w:tr>
    </w:tbl>
    <w:p w14:paraId="0D50401A" w14:textId="77777777" w:rsidR="006A5AED" w:rsidRDefault="006A5AED" w:rsidP="006A5AED">
      <w:pPr>
        <w:tabs>
          <w:tab w:val="clear" w:pos="567"/>
        </w:tabs>
        <w:snapToGrid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0D1FD818" w14:textId="77777777" w:rsidR="008B7A9D" w:rsidRPr="00954B49" w:rsidRDefault="008B7A9D" w:rsidP="00954B49">
      <w:pPr>
        <w:tabs>
          <w:tab w:val="clear" w:pos="567"/>
        </w:tabs>
        <w:snapToGrid/>
        <w:spacing w:after="240"/>
        <w:jc w:val="both"/>
        <w:rPr>
          <w:rFonts w:cs="Arial"/>
          <w:b/>
          <w:bCs/>
          <w:szCs w:val="22"/>
        </w:rPr>
      </w:pPr>
      <w:r w:rsidRPr="00954B49">
        <w:rPr>
          <w:rFonts w:cs="Arial"/>
          <w:b/>
          <w:bCs/>
          <w:szCs w:val="22"/>
        </w:rPr>
        <w:lastRenderedPageBreak/>
        <w:t>Contexte</w:t>
      </w:r>
    </w:p>
    <w:p w14:paraId="19B1D4AE" w14:textId="131BE23C" w:rsidR="008B7A9D" w:rsidRPr="008B7A9D" w:rsidRDefault="008B7A9D" w:rsidP="00FE1062">
      <w:pPr>
        <w:snapToGrid/>
        <w:spacing w:after="240"/>
        <w:jc w:val="both"/>
        <w:rPr>
          <w:rFonts w:cs="Arial"/>
          <w:bCs/>
          <w:szCs w:val="22"/>
        </w:rPr>
      </w:pPr>
      <w:r w:rsidRPr="008B7A9D">
        <w:rPr>
          <w:rFonts w:cs="Arial"/>
          <w:bCs/>
          <w:szCs w:val="22"/>
        </w:rPr>
        <w:t>1.</w:t>
      </w:r>
      <w:r w:rsidR="00954B49">
        <w:rPr>
          <w:rFonts w:cs="Arial"/>
          <w:bCs/>
          <w:szCs w:val="22"/>
        </w:rPr>
        <w:tab/>
      </w:r>
      <w:r w:rsidRPr="008B7A9D">
        <w:rPr>
          <w:rFonts w:cs="Arial"/>
          <w:bCs/>
          <w:szCs w:val="22"/>
        </w:rPr>
        <w:t>Ces dernières années, le regain 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attention portée à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océan mondial </w:t>
      </w:r>
      <w:r w:rsidR="00CA2A4A">
        <w:rPr>
          <w:rFonts w:cs="Arial"/>
          <w:bCs/>
          <w:szCs w:val="22"/>
        </w:rPr>
        <w:t>et</w:t>
      </w:r>
      <w:r w:rsidRPr="008B7A9D">
        <w:rPr>
          <w:rFonts w:cs="Arial"/>
          <w:bCs/>
          <w:szCs w:val="22"/>
        </w:rPr>
        <w:t xml:space="preserve"> la reconnaissance de son rôle crucial pour la vie sur Terre, le climat planétaire, la sécurité alimentaire et la santé et le bien-être humains, </w:t>
      </w:r>
      <w:r w:rsidR="00CA2A4A">
        <w:rPr>
          <w:rFonts w:cs="Arial"/>
          <w:bCs/>
          <w:szCs w:val="22"/>
        </w:rPr>
        <w:t>ainsi que</w:t>
      </w:r>
      <w:r w:rsidRPr="008B7A9D">
        <w:rPr>
          <w:rFonts w:cs="Arial"/>
          <w:bCs/>
          <w:szCs w:val="22"/>
        </w:rPr>
        <w:t xml:space="preserve"> de son rôle dans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économie mondiale, ont suscité une demande accrue 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informations pertinentes, stratégiques, actuelles et facilement accessibles sur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état de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océan de la part des décideurs et de la société en général.</w:t>
      </w:r>
    </w:p>
    <w:p w14:paraId="5638E762" w14:textId="0FFC4A52" w:rsidR="008B7A9D" w:rsidRPr="008B7A9D" w:rsidRDefault="008B7A9D" w:rsidP="00FE1062">
      <w:pPr>
        <w:snapToGrid/>
        <w:spacing w:after="240"/>
        <w:jc w:val="both"/>
        <w:rPr>
          <w:rFonts w:cs="Arial"/>
          <w:bCs/>
          <w:szCs w:val="22"/>
        </w:rPr>
      </w:pPr>
      <w:r w:rsidRPr="008B7A9D">
        <w:rPr>
          <w:rFonts w:cs="Arial"/>
          <w:bCs/>
          <w:szCs w:val="22"/>
        </w:rPr>
        <w:t>2.</w:t>
      </w:r>
      <w:r w:rsidRPr="008B7A9D">
        <w:rPr>
          <w:rFonts w:cs="Arial"/>
          <w:bCs/>
          <w:szCs w:val="22"/>
        </w:rPr>
        <w:tab/>
      </w:r>
      <w:r w:rsidR="00954B49">
        <w:rPr>
          <w:rFonts w:cs="Arial"/>
          <w:bCs/>
          <w:szCs w:val="22"/>
        </w:rPr>
        <w:t>À</w:t>
      </w:r>
      <w:r w:rsidRPr="008B7A9D">
        <w:rPr>
          <w:rFonts w:cs="Arial"/>
          <w:bCs/>
          <w:szCs w:val="22"/>
        </w:rPr>
        <w:t xml:space="preserve"> sa 53</w:t>
      </w:r>
      <w:r w:rsidRPr="00954B49">
        <w:rPr>
          <w:rFonts w:cs="Arial"/>
          <w:bCs/>
          <w:szCs w:val="22"/>
          <w:vertAlign w:val="superscript"/>
        </w:rPr>
        <w:t>e</w:t>
      </w:r>
      <w:r w:rsidRPr="008B7A9D">
        <w:rPr>
          <w:rFonts w:cs="Arial"/>
          <w:bCs/>
          <w:szCs w:val="22"/>
        </w:rPr>
        <w:t xml:space="preserve"> session (février 2021), le Conseil exécutif de la COI a examiné la proposition 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établissement 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un rapport périodique de la COI sur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état de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océan (</w:t>
      </w:r>
      <w:proofErr w:type="spellStart"/>
      <w:r w:rsidRPr="008B7A9D">
        <w:rPr>
          <w:rFonts w:cs="Arial"/>
          <w:bCs/>
          <w:szCs w:val="22"/>
        </w:rPr>
        <w:t>StOR</w:t>
      </w:r>
      <w:proofErr w:type="spellEnd"/>
      <w:r w:rsidRPr="008B7A9D">
        <w:rPr>
          <w:rFonts w:cs="Arial"/>
          <w:bCs/>
          <w:szCs w:val="22"/>
        </w:rPr>
        <w:t>) afin de répondre à la demande accrue 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informations essentielles sur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état de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océan évoquée plus haut (cf.</w:t>
      </w:r>
      <w:r w:rsidR="00677AD0">
        <w:rPr>
          <w:rFonts w:cs="Arial"/>
          <w:bCs/>
          <w:szCs w:val="22"/>
        </w:rPr>
        <w:t> </w:t>
      </w:r>
      <w:hyperlink r:id="rId8" w:history="1">
        <w:r w:rsidRPr="00954B49">
          <w:rPr>
            <w:rStyle w:val="Lienhypertexte"/>
            <w:rFonts w:cs="Arial"/>
            <w:bCs/>
            <w:szCs w:val="22"/>
          </w:rPr>
          <w:t>IOC/INF</w:t>
        </w:r>
        <w:r w:rsidR="00677AD0">
          <w:rPr>
            <w:rStyle w:val="Lienhypertexte"/>
            <w:rFonts w:cs="Arial"/>
            <w:bCs/>
            <w:szCs w:val="22"/>
          </w:rPr>
          <w:noBreakHyphen/>
        </w:r>
        <w:r w:rsidRPr="00954B49">
          <w:rPr>
            <w:rStyle w:val="Lienhypertexte"/>
            <w:rFonts w:cs="Arial"/>
            <w:bCs/>
            <w:szCs w:val="22"/>
          </w:rPr>
          <w:t>1393</w:t>
        </w:r>
      </w:hyperlink>
      <w:r w:rsidRPr="008B7A9D">
        <w:rPr>
          <w:rFonts w:cs="Arial"/>
          <w:bCs/>
          <w:szCs w:val="22"/>
        </w:rPr>
        <w:t xml:space="preserve">). </w:t>
      </w:r>
      <w:r w:rsidR="00954B49">
        <w:rPr>
          <w:rFonts w:cs="Arial"/>
          <w:bCs/>
          <w:szCs w:val="22"/>
        </w:rPr>
        <w:t>À</w:t>
      </w:r>
      <w:r w:rsidRPr="008B7A9D">
        <w:rPr>
          <w:rFonts w:cs="Arial"/>
          <w:bCs/>
          <w:szCs w:val="22"/>
        </w:rPr>
        <w:t xml:space="preserve">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issue du Conseil exécutif, le Secrétariat de la COI a invité les États membres, par la </w:t>
      </w:r>
      <w:hyperlink r:id="rId9" w:history="1">
        <w:r w:rsidRPr="00954B49">
          <w:rPr>
            <w:rStyle w:val="Lienhypertexte"/>
            <w:rFonts w:cs="Arial"/>
            <w:bCs/>
            <w:szCs w:val="22"/>
          </w:rPr>
          <w:t>Lettre circulaire de la COI n°</w:t>
        </w:r>
        <w:r w:rsidR="000D073E">
          <w:rPr>
            <w:rStyle w:val="Lienhypertexte"/>
            <w:rFonts w:cs="Arial"/>
            <w:bCs/>
            <w:szCs w:val="22"/>
          </w:rPr>
          <w:t> </w:t>
        </w:r>
        <w:r w:rsidRPr="00954B49">
          <w:rPr>
            <w:rStyle w:val="Lienhypertexte"/>
            <w:rFonts w:cs="Arial"/>
            <w:bCs/>
            <w:szCs w:val="22"/>
          </w:rPr>
          <w:t>2843</w:t>
        </w:r>
      </w:hyperlink>
      <w:r w:rsidRPr="008B7A9D">
        <w:rPr>
          <w:rFonts w:cs="Arial"/>
          <w:bCs/>
          <w:szCs w:val="22"/>
        </w:rPr>
        <w:t xml:space="preserve">, à exprimer leurs points de vue sur la fréquence et la portée géographique du Rapport, les thématiques </w:t>
      </w:r>
      <w:r w:rsidR="00E91C73">
        <w:rPr>
          <w:rFonts w:cs="Arial"/>
          <w:bCs/>
          <w:szCs w:val="22"/>
        </w:rPr>
        <w:t>abordées</w:t>
      </w:r>
      <w:r w:rsidRPr="008B7A9D">
        <w:rPr>
          <w:rFonts w:cs="Arial"/>
          <w:bCs/>
          <w:szCs w:val="22"/>
        </w:rPr>
        <w:t xml:space="preserve"> et le style de présentation. En parallèle, le Secrétariat de la COI a organisé une consultation informelle 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experts afin 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examiner plus en détail les caractéristiques </w:t>
      </w:r>
      <w:r w:rsidR="00E91C73" w:rsidRPr="008B7A9D">
        <w:rPr>
          <w:rFonts w:cs="Arial"/>
          <w:bCs/>
          <w:szCs w:val="22"/>
        </w:rPr>
        <w:t xml:space="preserve">principales </w:t>
      </w:r>
      <w:r w:rsidRPr="008B7A9D">
        <w:rPr>
          <w:rFonts w:cs="Arial"/>
          <w:bCs/>
          <w:szCs w:val="22"/>
        </w:rPr>
        <w:t>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un éventuel </w:t>
      </w:r>
      <w:proofErr w:type="spellStart"/>
      <w:r w:rsidRPr="008B7A9D">
        <w:rPr>
          <w:rFonts w:cs="Arial"/>
          <w:bCs/>
          <w:szCs w:val="22"/>
        </w:rPr>
        <w:t>StOR</w:t>
      </w:r>
      <w:proofErr w:type="spellEnd"/>
      <w:r w:rsidRPr="008B7A9D">
        <w:rPr>
          <w:rFonts w:cs="Arial"/>
          <w:bCs/>
          <w:szCs w:val="22"/>
        </w:rPr>
        <w:t xml:space="preserve">. Les résultats de la consultation des États membres et des experts sont </w:t>
      </w:r>
      <w:r w:rsidR="00E91C73">
        <w:rPr>
          <w:rFonts w:cs="Arial"/>
          <w:bCs/>
          <w:szCs w:val="22"/>
        </w:rPr>
        <w:t>présentés de manière synthétique</w:t>
      </w:r>
      <w:r w:rsidRPr="008B7A9D">
        <w:rPr>
          <w:rFonts w:cs="Arial"/>
          <w:bCs/>
          <w:szCs w:val="22"/>
        </w:rPr>
        <w:t xml:space="preserve"> dans le document </w:t>
      </w:r>
      <w:hyperlink r:id="rId10" w:history="1">
        <w:r w:rsidRPr="00E91C73">
          <w:rPr>
            <w:rStyle w:val="Lienhypertexte"/>
            <w:rFonts w:cs="Arial"/>
            <w:bCs/>
            <w:szCs w:val="22"/>
          </w:rPr>
          <w:t xml:space="preserve">IOC/INF-1393 </w:t>
        </w:r>
        <w:proofErr w:type="spellStart"/>
        <w:r w:rsidRPr="00E91C73">
          <w:rPr>
            <w:rStyle w:val="Lienhypertexte"/>
            <w:rFonts w:cs="Arial"/>
            <w:bCs/>
            <w:szCs w:val="22"/>
          </w:rPr>
          <w:t>Rev</w:t>
        </w:r>
        <w:proofErr w:type="spellEnd"/>
      </w:hyperlink>
      <w:r w:rsidRPr="008B7A9D">
        <w:rPr>
          <w:rFonts w:cs="Arial"/>
          <w:bCs/>
          <w:szCs w:val="22"/>
        </w:rPr>
        <w:t xml:space="preserve">. Ce document a été </w:t>
      </w:r>
      <w:r w:rsidR="00E91C73">
        <w:rPr>
          <w:rFonts w:cs="Arial"/>
          <w:bCs/>
          <w:szCs w:val="22"/>
        </w:rPr>
        <w:t>soumis à</w:t>
      </w:r>
      <w:r w:rsidRPr="008B7A9D">
        <w:rPr>
          <w:rFonts w:cs="Arial"/>
          <w:bCs/>
          <w:szCs w:val="22"/>
        </w:rPr>
        <w:t xml:space="preserve">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Assemblée de la COI à sa 31</w:t>
      </w:r>
      <w:r w:rsidRPr="00E91C73">
        <w:rPr>
          <w:rFonts w:cs="Arial"/>
          <w:bCs/>
          <w:szCs w:val="22"/>
          <w:vertAlign w:val="superscript"/>
        </w:rPr>
        <w:t>e</w:t>
      </w:r>
      <w:r w:rsidRPr="008B7A9D">
        <w:rPr>
          <w:rFonts w:cs="Arial"/>
          <w:bCs/>
          <w:szCs w:val="22"/>
        </w:rPr>
        <w:t xml:space="preserve"> session, en juin</w:t>
      </w:r>
      <w:r w:rsidR="00677AD0">
        <w:rPr>
          <w:rFonts w:cs="Arial"/>
          <w:bCs/>
          <w:szCs w:val="22"/>
        </w:rPr>
        <w:t> </w:t>
      </w:r>
      <w:r w:rsidRPr="008B7A9D">
        <w:rPr>
          <w:rFonts w:cs="Arial"/>
          <w:bCs/>
          <w:szCs w:val="22"/>
        </w:rPr>
        <w:t>2021, et les États membres ont approuvé la production 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un rapport pilote qui sera présenté au Conseil exécutif à sa 55</w:t>
      </w:r>
      <w:r w:rsidRPr="00E91C73">
        <w:rPr>
          <w:rFonts w:cs="Arial"/>
          <w:bCs/>
          <w:szCs w:val="22"/>
          <w:vertAlign w:val="superscript"/>
        </w:rPr>
        <w:t>e</w:t>
      </w:r>
      <w:r w:rsidRPr="008B7A9D">
        <w:rPr>
          <w:rFonts w:cs="Arial"/>
          <w:bCs/>
          <w:szCs w:val="22"/>
        </w:rPr>
        <w:t xml:space="preserve"> session (2022).</w:t>
      </w:r>
    </w:p>
    <w:p w14:paraId="60118213" w14:textId="77777777" w:rsidR="008B7A9D" w:rsidRPr="00954B49" w:rsidRDefault="008B7A9D" w:rsidP="00954B49">
      <w:pPr>
        <w:tabs>
          <w:tab w:val="clear" w:pos="567"/>
        </w:tabs>
        <w:snapToGrid/>
        <w:spacing w:after="240"/>
        <w:jc w:val="both"/>
        <w:rPr>
          <w:rFonts w:cs="Arial"/>
          <w:b/>
          <w:bCs/>
          <w:szCs w:val="22"/>
        </w:rPr>
      </w:pPr>
      <w:r w:rsidRPr="00954B49">
        <w:rPr>
          <w:rFonts w:cs="Arial"/>
          <w:b/>
          <w:bCs/>
          <w:szCs w:val="22"/>
        </w:rPr>
        <w:t>Objectifs et impacts</w:t>
      </w:r>
    </w:p>
    <w:p w14:paraId="1AB80D30" w14:textId="242344DC" w:rsidR="008B7A9D" w:rsidRPr="008B7A9D" w:rsidRDefault="008B7A9D" w:rsidP="00FE1062">
      <w:pPr>
        <w:snapToGrid/>
        <w:spacing w:after="240"/>
        <w:jc w:val="both"/>
        <w:rPr>
          <w:rFonts w:cs="Arial"/>
          <w:bCs/>
          <w:szCs w:val="22"/>
        </w:rPr>
      </w:pPr>
      <w:r w:rsidRPr="008B7A9D">
        <w:rPr>
          <w:rFonts w:cs="Arial"/>
          <w:bCs/>
          <w:szCs w:val="22"/>
        </w:rPr>
        <w:t>3.</w:t>
      </w:r>
      <w:r w:rsidRPr="008B7A9D">
        <w:rPr>
          <w:rFonts w:cs="Arial"/>
          <w:bCs/>
          <w:szCs w:val="22"/>
        </w:rPr>
        <w:tab/>
        <w:t xml:space="preserve">Le </w:t>
      </w:r>
      <w:proofErr w:type="spellStart"/>
      <w:r w:rsidRPr="008B7A9D">
        <w:rPr>
          <w:rFonts w:cs="Arial"/>
          <w:bCs/>
          <w:szCs w:val="22"/>
        </w:rPr>
        <w:t>StOR</w:t>
      </w:r>
      <w:proofErr w:type="spellEnd"/>
      <w:r w:rsidRPr="008B7A9D">
        <w:rPr>
          <w:rFonts w:cs="Arial"/>
          <w:bCs/>
          <w:szCs w:val="22"/>
        </w:rPr>
        <w:t xml:space="preserve"> </w:t>
      </w:r>
      <w:r w:rsidR="00E91C73">
        <w:rPr>
          <w:rFonts w:cs="Arial"/>
          <w:bCs/>
          <w:szCs w:val="22"/>
        </w:rPr>
        <w:t>a pour objet de</w:t>
      </w:r>
      <w:r w:rsidRPr="008B7A9D">
        <w:rPr>
          <w:rFonts w:cs="Arial"/>
          <w:bCs/>
          <w:szCs w:val="22"/>
        </w:rPr>
        <w:t xml:space="preserve"> présenter des </w:t>
      </w:r>
      <w:r w:rsidR="00E91C73">
        <w:rPr>
          <w:rFonts w:cs="Arial"/>
          <w:bCs/>
          <w:szCs w:val="22"/>
        </w:rPr>
        <w:t>synthèses</w:t>
      </w:r>
      <w:r w:rsidRPr="008B7A9D">
        <w:rPr>
          <w:rFonts w:cs="Arial"/>
          <w:bCs/>
          <w:szCs w:val="22"/>
        </w:rPr>
        <w:t xml:space="preserve"> </w:t>
      </w:r>
      <w:r w:rsidR="00E91C73">
        <w:rPr>
          <w:rFonts w:cs="Arial"/>
          <w:bCs/>
          <w:szCs w:val="22"/>
        </w:rPr>
        <w:t>concernant les</w:t>
      </w:r>
      <w:r w:rsidRPr="008B7A9D">
        <w:rPr>
          <w:rFonts w:cs="Arial"/>
          <w:bCs/>
          <w:szCs w:val="22"/>
        </w:rPr>
        <w:t xml:space="preserve"> principaux changements de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état </w:t>
      </w:r>
      <w:r w:rsidR="00E91C73">
        <w:rPr>
          <w:rFonts w:cs="Arial"/>
          <w:bCs/>
          <w:szCs w:val="22"/>
        </w:rPr>
        <w:t>de l</w:t>
      </w:r>
      <w:r w:rsidR="00FE1062">
        <w:rPr>
          <w:rFonts w:cs="Arial"/>
          <w:bCs/>
          <w:szCs w:val="22"/>
        </w:rPr>
        <w:t>’</w:t>
      </w:r>
      <w:r w:rsidR="00E91C73">
        <w:rPr>
          <w:rFonts w:cs="Arial"/>
          <w:bCs/>
          <w:szCs w:val="22"/>
        </w:rPr>
        <w:t>océan</w:t>
      </w:r>
      <w:r w:rsidRPr="008B7A9D">
        <w:rPr>
          <w:rFonts w:cs="Arial"/>
          <w:bCs/>
          <w:szCs w:val="22"/>
        </w:rPr>
        <w:t xml:space="preserve"> en fonction de ses variables physiques, biogéochimiques, biologiques et écologiques, </w:t>
      </w:r>
      <w:r w:rsidR="00CA2A4A">
        <w:rPr>
          <w:rFonts w:cs="Arial"/>
          <w:bCs/>
          <w:szCs w:val="22"/>
        </w:rPr>
        <w:t>en les complétant</w:t>
      </w:r>
      <w:r w:rsidRPr="008B7A9D">
        <w:rPr>
          <w:rFonts w:cs="Arial"/>
          <w:bCs/>
          <w:szCs w:val="22"/>
        </w:rPr>
        <w:t xml:space="preserve"> </w:t>
      </w:r>
      <w:r w:rsidR="00CA2A4A">
        <w:rPr>
          <w:rFonts w:cs="Arial"/>
          <w:bCs/>
          <w:szCs w:val="22"/>
        </w:rPr>
        <w:t xml:space="preserve">par </w:t>
      </w:r>
      <w:r w:rsidRPr="008B7A9D">
        <w:rPr>
          <w:rFonts w:cs="Arial"/>
          <w:bCs/>
          <w:szCs w:val="22"/>
        </w:rPr>
        <w:t xml:space="preserve">une évaluation stratégique des évolutions en matière de gestion intégrée des océans, comme le pourcentage de la zone couverte par les observations, les outils de gestion par zone, etc. </w:t>
      </w:r>
    </w:p>
    <w:p w14:paraId="21DEAEB3" w14:textId="7AA9BA8B" w:rsidR="008B7A9D" w:rsidRPr="008B7A9D" w:rsidRDefault="008B7A9D" w:rsidP="00FE1062">
      <w:pPr>
        <w:snapToGrid/>
        <w:spacing w:after="240"/>
        <w:jc w:val="both"/>
        <w:rPr>
          <w:rFonts w:cs="Arial"/>
          <w:bCs/>
          <w:szCs w:val="22"/>
        </w:rPr>
      </w:pPr>
      <w:r w:rsidRPr="008B7A9D">
        <w:rPr>
          <w:rFonts w:cs="Arial"/>
          <w:bCs/>
          <w:szCs w:val="22"/>
        </w:rPr>
        <w:t>4.</w:t>
      </w:r>
      <w:r w:rsidRPr="008B7A9D">
        <w:rPr>
          <w:rFonts w:cs="Arial"/>
          <w:bCs/>
          <w:szCs w:val="22"/>
        </w:rPr>
        <w:tab/>
      </w:r>
      <w:r w:rsidR="00B20BED">
        <w:rPr>
          <w:rFonts w:cs="Arial"/>
          <w:bCs/>
          <w:szCs w:val="22"/>
        </w:rPr>
        <w:t>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édition pilote du </w:t>
      </w:r>
      <w:proofErr w:type="spellStart"/>
      <w:r w:rsidRPr="008B7A9D">
        <w:rPr>
          <w:rFonts w:cs="Arial"/>
          <w:bCs/>
          <w:szCs w:val="22"/>
        </w:rPr>
        <w:t>StOR</w:t>
      </w:r>
      <w:proofErr w:type="spellEnd"/>
      <w:r w:rsidRPr="008B7A9D">
        <w:rPr>
          <w:rFonts w:cs="Arial"/>
          <w:bCs/>
          <w:szCs w:val="22"/>
        </w:rPr>
        <w:t xml:space="preserve"> </w:t>
      </w:r>
      <w:r w:rsidR="00CA2A4A">
        <w:rPr>
          <w:rFonts w:cs="Arial"/>
          <w:bCs/>
          <w:szCs w:val="22"/>
        </w:rPr>
        <w:t>expose</w:t>
      </w:r>
      <w:r w:rsidRPr="008B7A9D">
        <w:rPr>
          <w:rFonts w:cs="Arial"/>
          <w:bCs/>
          <w:szCs w:val="22"/>
        </w:rPr>
        <w:t xml:space="preserve"> les résultats </w:t>
      </w:r>
      <w:r w:rsidR="00CA2A4A">
        <w:rPr>
          <w:rFonts w:cs="Arial"/>
          <w:bCs/>
          <w:szCs w:val="22"/>
        </w:rPr>
        <w:t>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analyse fournis par les projets de la COI et les programmes associés. Les futures éditions</w:t>
      </w:r>
      <w:r w:rsidR="00CA2A4A">
        <w:rPr>
          <w:rFonts w:cs="Arial"/>
          <w:bCs/>
          <w:szCs w:val="22"/>
        </w:rPr>
        <w:t>, qui paraitront</w:t>
      </w:r>
      <w:r w:rsidRPr="008B7A9D">
        <w:rPr>
          <w:rFonts w:cs="Arial"/>
          <w:bCs/>
          <w:szCs w:val="22"/>
        </w:rPr>
        <w:t xml:space="preserve"> </w:t>
      </w:r>
      <w:r w:rsidR="00CA2A4A">
        <w:rPr>
          <w:rFonts w:cs="Arial"/>
          <w:bCs/>
          <w:szCs w:val="22"/>
        </w:rPr>
        <w:t>à un rythme annuel,</w:t>
      </w:r>
      <w:r w:rsidRPr="008B7A9D">
        <w:rPr>
          <w:rFonts w:cs="Arial"/>
          <w:bCs/>
          <w:szCs w:val="22"/>
        </w:rPr>
        <w:t xml:space="preserve"> </w:t>
      </w:r>
      <w:r w:rsidR="00CA2A4A">
        <w:rPr>
          <w:rFonts w:cs="Arial"/>
          <w:bCs/>
          <w:szCs w:val="22"/>
        </w:rPr>
        <w:t>décriront</w:t>
      </w:r>
      <w:r w:rsidR="00CA2A4A" w:rsidRPr="008B7A9D">
        <w:rPr>
          <w:rFonts w:cs="Arial"/>
          <w:bCs/>
          <w:szCs w:val="22"/>
        </w:rPr>
        <w:t xml:space="preserve"> </w:t>
      </w:r>
      <w:r w:rsidRPr="008B7A9D">
        <w:rPr>
          <w:rFonts w:cs="Arial"/>
          <w:bCs/>
          <w:szCs w:val="22"/>
        </w:rPr>
        <w:t>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état actuel de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océan </w:t>
      </w:r>
      <w:r w:rsidR="00B20BED">
        <w:rPr>
          <w:rFonts w:cs="Arial"/>
          <w:bCs/>
          <w:szCs w:val="22"/>
        </w:rPr>
        <w:t>en se fondant sur</w:t>
      </w:r>
      <w:r w:rsidRPr="008B7A9D">
        <w:rPr>
          <w:rFonts w:cs="Arial"/>
          <w:bCs/>
          <w:szCs w:val="22"/>
        </w:rPr>
        <w:t xml:space="preserve">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analyse de données scientifiques</w:t>
      </w:r>
      <w:r w:rsidR="00B20BED">
        <w:rPr>
          <w:rFonts w:cs="Arial"/>
          <w:bCs/>
          <w:szCs w:val="22"/>
        </w:rPr>
        <w:t>,</w:t>
      </w:r>
      <w:r w:rsidRPr="008B7A9D">
        <w:rPr>
          <w:rFonts w:cs="Arial"/>
          <w:bCs/>
          <w:szCs w:val="22"/>
        </w:rPr>
        <w:t xml:space="preserve"> recueillies dans le cadre des activités de la COI, par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intermédiaire 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autres groupes pertinents, ainsi que les progrès de la mise en place 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une gestion des océans fondée sur la science.</w:t>
      </w:r>
    </w:p>
    <w:p w14:paraId="76E0CEB5" w14:textId="7551060F" w:rsidR="008B7A9D" w:rsidRPr="008B7A9D" w:rsidRDefault="008B7A9D" w:rsidP="00FE1062">
      <w:pPr>
        <w:snapToGrid/>
        <w:spacing w:after="240"/>
        <w:jc w:val="both"/>
        <w:rPr>
          <w:rFonts w:cs="Arial"/>
          <w:bCs/>
          <w:szCs w:val="22"/>
        </w:rPr>
      </w:pPr>
      <w:r w:rsidRPr="008B7A9D">
        <w:rPr>
          <w:rFonts w:cs="Arial"/>
          <w:bCs/>
          <w:szCs w:val="22"/>
        </w:rPr>
        <w:t>5.</w:t>
      </w:r>
      <w:r w:rsidRPr="008B7A9D">
        <w:rPr>
          <w:rFonts w:cs="Arial"/>
          <w:bCs/>
          <w:szCs w:val="22"/>
        </w:rPr>
        <w:tab/>
        <w:t xml:space="preserve">Le </w:t>
      </w:r>
      <w:proofErr w:type="spellStart"/>
      <w:r w:rsidRPr="008B7A9D">
        <w:rPr>
          <w:rFonts w:cs="Arial"/>
          <w:bCs/>
          <w:szCs w:val="22"/>
        </w:rPr>
        <w:t>StOR</w:t>
      </w:r>
      <w:proofErr w:type="spellEnd"/>
      <w:r w:rsidRPr="008B7A9D">
        <w:rPr>
          <w:rFonts w:cs="Arial"/>
          <w:bCs/>
          <w:szCs w:val="22"/>
        </w:rPr>
        <w:t xml:space="preserve"> </w:t>
      </w:r>
      <w:r w:rsidR="00B20BED">
        <w:rPr>
          <w:rFonts w:cs="Arial"/>
          <w:bCs/>
          <w:szCs w:val="22"/>
        </w:rPr>
        <w:t>envisagé</w:t>
      </w:r>
      <w:r w:rsidRPr="008B7A9D">
        <w:rPr>
          <w:rFonts w:cs="Arial"/>
          <w:bCs/>
          <w:szCs w:val="22"/>
        </w:rPr>
        <w:t xml:space="preserve"> informera les parties prenantes et le grand public des changements et des défis auxquels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océan est confronté. </w:t>
      </w:r>
      <w:r w:rsidR="00B20BED">
        <w:rPr>
          <w:rFonts w:cs="Arial"/>
          <w:bCs/>
          <w:szCs w:val="22"/>
        </w:rPr>
        <w:t>Il</w:t>
      </w:r>
      <w:r w:rsidRPr="008B7A9D">
        <w:rPr>
          <w:rFonts w:cs="Arial"/>
          <w:bCs/>
          <w:szCs w:val="22"/>
        </w:rPr>
        <w:t xml:space="preserve"> permettra 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étayer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action des pouvoirs publics</w:t>
      </w:r>
      <w:r w:rsidR="00B20BED">
        <w:rPr>
          <w:rFonts w:cs="Arial"/>
          <w:bCs/>
          <w:szCs w:val="22"/>
        </w:rPr>
        <w:t xml:space="preserve"> et</w:t>
      </w:r>
      <w:r w:rsidRPr="008B7A9D">
        <w:rPr>
          <w:rFonts w:cs="Arial"/>
          <w:bCs/>
          <w:szCs w:val="22"/>
        </w:rPr>
        <w:t xml:space="preserve"> </w:t>
      </w:r>
      <w:r w:rsidR="00B20BED">
        <w:rPr>
          <w:rFonts w:cs="Arial"/>
          <w:bCs/>
          <w:szCs w:val="22"/>
        </w:rPr>
        <w:t>d</w:t>
      </w:r>
      <w:r w:rsidR="00FE1062">
        <w:rPr>
          <w:rFonts w:cs="Arial"/>
          <w:bCs/>
          <w:szCs w:val="22"/>
        </w:rPr>
        <w:t>’</w:t>
      </w:r>
      <w:r w:rsidR="00B20BED">
        <w:rPr>
          <w:rFonts w:cs="Arial"/>
          <w:bCs/>
          <w:szCs w:val="22"/>
        </w:rPr>
        <w:t>appuyer</w:t>
      </w:r>
      <w:r w:rsidRPr="008B7A9D">
        <w:rPr>
          <w:rFonts w:cs="Arial"/>
          <w:bCs/>
          <w:szCs w:val="22"/>
        </w:rPr>
        <w:t xml:space="preserve"> les décisions concernant les axes de recherche q</w:t>
      </w:r>
      <w:r w:rsidR="00B20BED">
        <w:rPr>
          <w:rFonts w:cs="Arial"/>
          <w:bCs/>
          <w:szCs w:val="22"/>
        </w:rPr>
        <w:t>u</w:t>
      </w:r>
      <w:r w:rsidR="00FE1062">
        <w:rPr>
          <w:rFonts w:cs="Arial"/>
          <w:bCs/>
          <w:szCs w:val="22"/>
        </w:rPr>
        <w:t>’</w:t>
      </w:r>
      <w:r w:rsidR="00B20BED">
        <w:rPr>
          <w:rFonts w:cs="Arial"/>
          <w:bCs/>
          <w:szCs w:val="22"/>
        </w:rPr>
        <w:t>il conviendrait de renforcer ou de développer</w:t>
      </w:r>
      <w:r w:rsidRPr="008B7A9D">
        <w:rPr>
          <w:rFonts w:cs="Arial"/>
          <w:bCs/>
          <w:szCs w:val="22"/>
        </w:rPr>
        <w:t>, et contribuera à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établissement de cadres de gouvernance plus solides et fondés sur l</w:t>
      </w:r>
      <w:r w:rsidR="00B20BED">
        <w:rPr>
          <w:rFonts w:cs="Arial"/>
          <w:bCs/>
          <w:szCs w:val="22"/>
        </w:rPr>
        <w:t>a</w:t>
      </w:r>
      <w:r w:rsidRPr="008B7A9D">
        <w:rPr>
          <w:rFonts w:cs="Arial"/>
          <w:bCs/>
          <w:szCs w:val="22"/>
        </w:rPr>
        <w:t xml:space="preserve"> science aux niveaux national et mondial en renforçant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interface entre sciences et politiques.</w:t>
      </w:r>
    </w:p>
    <w:p w14:paraId="2966F31C" w14:textId="5B0C6A28" w:rsidR="008B7A9D" w:rsidRPr="008B7A9D" w:rsidRDefault="008B7A9D" w:rsidP="00FE1062">
      <w:pPr>
        <w:snapToGrid/>
        <w:spacing w:after="240"/>
        <w:jc w:val="both"/>
        <w:rPr>
          <w:rFonts w:cs="Arial"/>
          <w:bCs/>
          <w:szCs w:val="22"/>
        </w:rPr>
      </w:pPr>
      <w:r w:rsidRPr="008B7A9D">
        <w:rPr>
          <w:rFonts w:cs="Arial"/>
          <w:bCs/>
          <w:szCs w:val="22"/>
        </w:rPr>
        <w:t>6.</w:t>
      </w:r>
      <w:r w:rsidRPr="008B7A9D">
        <w:rPr>
          <w:rFonts w:cs="Arial"/>
          <w:bCs/>
          <w:szCs w:val="22"/>
        </w:rPr>
        <w:tab/>
      </w:r>
      <w:r w:rsidR="000105B6">
        <w:rPr>
          <w:rFonts w:cs="Arial"/>
          <w:bCs/>
          <w:szCs w:val="22"/>
        </w:rPr>
        <w:t>Les</w:t>
      </w:r>
      <w:r w:rsidRPr="008B7A9D">
        <w:rPr>
          <w:rFonts w:cs="Arial"/>
          <w:bCs/>
          <w:szCs w:val="22"/>
        </w:rPr>
        <w:t xml:space="preserve"> informations présentées dans le </w:t>
      </w:r>
      <w:proofErr w:type="spellStart"/>
      <w:r w:rsidRPr="008B7A9D">
        <w:rPr>
          <w:rFonts w:cs="Arial"/>
          <w:bCs/>
          <w:szCs w:val="22"/>
        </w:rPr>
        <w:t>StOR</w:t>
      </w:r>
      <w:proofErr w:type="spellEnd"/>
      <w:r w:rsidRPr="008B7A9D">
        <w:rPr>
          <w:rFonts w:cs="Arial"/>
          <w:bCs/>
          <w:szCs w:val="22"/>
        </w:rPr>
        <w:t xml:space="preserve"> périodique </w:t>
      </w:r>
      <w:r w:rsidR="000105B6">
        <w:rPr>
          <w:rFonts w:cs="Arial"/>
          <w:bCs/>
          <w:szCs w:val="22"/>
        </w:rPr>
        <w:t>devraient soutenir</w:t>
      </w:r>
      <w:r w:rsidRPr="008B7A9D">
        <w:rPr>
          <w:rFonts w:cs="Arial"/>
          <w:bCs/>
          <w:szCs w:val="22"/>
        </w:rPr>
        <w:t xml:space="preserve"> les actions menées par les différentes parties prenantes dans le contexte de la Décennie des Nations Unies pour les sciences océaniques au service du développement durable (2021-2030).</w:t>
      </w:r>
    </w:p>
    <w:p w14:paraId="6D894EAA" w14:textId="77777777" w:rsidR="008B7A9D" w:rsidRPr="000105B6" w:rsidRDefault="008B7A9D" w:rsidP="00954B49">
      <w:pPr>
        <w:tabs>
          <w:tab w:val="clear" w:pos="567"/>
        </w:tabs>
        <w:snapToGrid/>
        <w:spacing w:after="240"/>
        <w:jc w:val="both"/>
        <w:rPr>
          <w:rFonts w:cs="Arial"/>
          <w:b/>
          <w:bCs/>
          <w:szCs w:val="22"/>
        </w:rPr>
      </w:pPr>
      <w:r w:rsidRPr="000105B6">
        <w:rPr>
          <w:rFonts w:cs="Arial"/>
          <w:b/>
          <w:bCs/>
          <w:szCs w:val="22"/>
        </w:rPr>
        <w:t>Portée</w:t>
      </w:r>
    </w:p>
    <w:p w14:paraId="479BB343" w14:textId="2483F660" w:rsidR="008B7A9D" w:rsidRPr="008B7A9D" w:rsidRDefault="008B7A9D" w:rsidP="00FE1062">
      <w:pPr>
        <w:snapToGrid/>
        <w:spacing w:after="240"/>
        <w:jc w:val="both"/>
        <w:rPr>
          <w:rFonts w:cs="Arial"/>
          <w:bCs/>
          <w:szCs w:val="22"/>
        </w:rPr>
      </w:pPr>
      <w:r w:rsidRPr="008B7A9D">
        <w:rPr>
          <w:rFonts w:cs="Arial"/>
          <w:bCs/>
          <w:szCs w:val="22"/>
        </w:rPr>
        <w:t>7.</w:t>
      </w:r>
      <w:r w:rsidRPr="008B7A9D">
        <w:rPr>
          <w:rFonts w:cs="Arial"/>
          <w:bCs/>
          <w:szCs w:val="22"/>
        </w:rPr>
        <w:tab/>
      </w:r>
      <w:r w:rsidR="000105B6">
        <w:rPr>
          <w:rFonts w:cs="Arial"/>
          <w:bCs/>
          <w:szCs w:val="22"/>
        </w:rPr>
        <w:t>S</w:t>
      </w:r>
      <w:r w:rsidR="00FE1062">
        <w:rPr>
          <w:rFonts w:cs="Arial"/>
          <w:bCs/>
          <w:szCs w:val="22"/>
        </w:rPr>
        <w:t>’</w:t>
      </w:r>
      <w:r w:rsidR="000105B6">
        <w:rPr>
          <w:rFonts w:cs="Arial"/>
          <w:bCs/>
          <w:szCs w:val="22"/>
        </w:rPr>
        <w:t>agissant de</w:t>
      </w:r>
      <w:r w:rsidRPr="008B7A9D">
        <w:rPr>
          <w:rFonts w:cs="Arial"/>
          <w:bCs/>
          <w:szCs w:val="22"/>
        </w:rPr>
        <w:t xml:space="preserve"> son édition pilote préliminaire, le </w:t>
      </w:r>
      <w:proofErr w:type="spellStart"/>
      <w:r w:rsidRPr="008B7A9D">
        <w:rPr>
          <w:rFonts w:cs="Arial"/>
          <w:bCs/>
          <w:szCs w:val="22"/>
        </w:rPr>
        <w:t>StOR</w:t>
      </w:r>
      <w:proofErr w:type="spellEnd"/>
      <w:r w:rsidRPr="008B7A9D">
        <w:rPr>
          <w:rFonts w:cs="Arial"/>
          <w:bCs/>
          <w:szCs w:val="22"/>
        </w:rPr>
        <w:t xml:space="preserve"> </w:t>
      </w:r>
      <w:r w:rsidR="000105B6">
        <w:rPr>
          <w:rFonts w:cs="Arial"/>
          <w:bCs/>
          <w:szCs w:val="22"/>
        </w:rPr>
        <w:t>met l</w:t>
      </w:r>
      <w:r w:rsidR="00FE1062">
        <w:rPr>
          <w:rFonts w:cs="Arial"/>
          <w:bCs/>
          <w:szCs w:val="22"/>
        </w:rPr>
        <w:t>’</w:t>
      </w:r>
      <w:r w:rsidR="000105B6">
        <w:rPr>
          <w:rFonts w:cs="Arial"/>
          <w:bCs/>
          <w:szCs w:val="22"/>
        </w:rPr>
        <w:t>accent</w:t>
      </w:r>
      <w:r w:rsidRPr="008B7A9D">
        <w:rPr>
          <w:rFonts w:cs="Arial"/>
          <w:bCs/>
          <w:szCs w:val="22"/>
        </w:rPr>
        <w:t xml:space="preserve">, </w:t>
      </w:r>
      <w:r w:rsidR="000105B6">
        <w:rPr>
          <w:rFonts w:cs="Arial"/>
          <w:bCs/>
          <w:szCs w:val="22"/>
        </w:rPr>
        <w:t>conformément au</w:t>
      </w:r>
      <w:r w:rsidRPr="008B7A9D">
        <w:rPr>
          <w:rFonts w:cs="Arial"/>
          <w:bCs/>
          <w:szCs w:val="22"/>
        </w:rPr>
        <w:t xml:space="preserve"> document </w:t>
      </w:r>
      <w:hyperlink r:id="rId11" w:history="1">
        <w:r w:rsidRPr="000105B6">
          <w:rPr>
            <w:rStyle w:val="Lienhypertexte"/>
            <w:rFonts w:cs="Arial"/>
            <w:bCs/>
            <w:szCs w:val="22"/>
          </w:rPr>
          <w:t xml:space="preserve">IOC/INF-1393 </w:t>
        </w:r>
        <w:proofErr w:type="spellStart"/>
        <w:r w:rsidRPr="000105B6">
          <w:rPr>
            <w:rStyle w:val="Lienhypertexte"/>
            <w:rFonts w:cs="Arial"/>
            <w:bCs/>
            <w:szCs w:val="22"/>
          </w:rPr>
          <w:t>Rev</w:t>
        </w:r>
        <w:proofErr w:type="spellEnd"/>
        <w:r w:rsidRPr="000105B6">
          <w:rPr>
            <w:rStyle w:val="Lienhypertexte"/>
            <w:rFonts w:cs="Arial"/>
            <w:bCs/>
            <w:szCs w:val="22"/>
          </w:rPr>
          <w:t>.</w:t>
        </w:r>
      </w:hyperlink>
      <w:r w:rsidR="000105B6">
        <w:rPr>
          <w:rFonts w:cs="Arial"/>
          <w:bCs/>
          <w:szCs w:val="22"/>
        </w:rPr>
        <w:t>,</w:t>
      </w:r>
      <w:r w:rsidRPr="008B7A9D">
        <w:rPr>
          <w:rFonts w:cs="Arial"/>
          <w:bCs/>
          <w:szCs w:val="22"/>
        </w:rPr>
        <w:t xml:space="preserve"> sur les défis de la Décennie </w:t>
      </w:r>
      <w:r w:rsidR="000920B2">
        <w:rPr>
          <w:rFonts w:cs="Arial"/>
          <w:bCs/>
          <w:szCs w:val="22"/>
        </w:rPr>
        <w:t>de l</w:t>
      </w:r>
      <w:r w:rsidR="00FE1062">
        <w:rPr>
          <w:rFonts w:cs="Arial"/>
          <w:bCs/>
          <w:szCs w:val="22"/>
        </w:rPr>
        <w:t>’</w:t>
      </w:r>
      <w:r w:rsidR="000920B2">
        <w:rPr>
          <w:rFonts w:cs="Arial"/>
          <w:bCs/>
          <w:szCs w:val="22"/>
        </w:rPr>
        <w:t>Océan</w:t>
      </w:r>
      <w:r w:rsidRPr="008B7A9D">
        <w:rPr>
          <w:rFonts w:cs="Arial"/>
          <w:bCs/>
          <w:szCs w:val="22"/>
        </w:rPr>
        <w:t xml:space="preserve"> et sur un nombre </w:t>
      </w:r>
      <w:r w:rsidR="000920B2">
        <w:rPr>
          <w:rFonts w:cs="Arial"/>
          <w:bCs/>
          <w:szCs w:val="22"/>
        </w:rPr>
        <w:t>restreint</w:t>
      </w:r>
      <w:r w:rsidRPr="008B7A9D">
        <w:rPr>
          <w:rFonts w:cs="Arial"/>
          <w:bCs/>
          <w:szCs w:val="22"/>
        </w:rPr>
        <w:t xml:space="preserve"> </w:t>
      </w:r>
      <w:r w:rsidR="000920B2">
        <w:rPr>
          <w:rFonts w:cs="Arial"/>
          <w:bCs/>
          <w:szCs w:val="22"/>
        </w:rPr>
        <w:t>d</w:t>
      </w:r>
      <w:r w:rsidR="00FE1062">
        <w:rPr>
          <w:rFonts w:cs="Arial"/>
          <w:bCs/>
          <w:szCs w:val="22"/>
        </w:rPr>
        <w:t>’</w:t>
      </w:r>
      <w:r w:rsidR="000920B2">
        <w:rPr>
          <w:rFonts w:cs="Arial"/>
          <w:bCs/>
          <w:szCs w:val="22"/>
        </w:rPr>
        <w:t>intermédiaires</w:t>
      </w:r>
      <w:r w:rsidRPr="008B7A9D">
        <w:rPr>
          <w:rFonts w:cs="Arial"/>
          <w:bCs/>
          <w:szCs w:val="22"/>
        </w:rPr>
        <w:t xml:space="preserve"> correspondants, </w:t>
      </w:r>
      <w:r w:rsidR="000920B2">
        <w:rPr>
          <w:rFonts w:cs="Arial"/>
          <w:bCs/>
          <w:szCs w:val="22"/>
        </w:rPr>
        <w:t>pour</w:t>
      </w:r>
      <w:r w:rsidRPr="008B7A9D">
        <w:rPr>
          <w:rFonts w:cs="Arial"/>
          <w:bCs/>
          <w:szCs w:val="22"/>
        </w:rPr>
        <w:t xml:space="preserve"> lesquels la COI et les programmes associés collectent et développent des informations et des données.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édition pilote du </w:t>
      </w:r>
      <w:proofErr w:type="spellStart"/>
      <w:r w:rsidRPr="008B7A9D">
        <w:rPr>
          <w:rFonts w:cs="Arial"/>
          <w:bCs/>
          <w:szCs w:val="22"/>
        </w:rPr>
        <w:t>StOR</w:t>
      </w:r>
      <w:proofErr w:type="spellEnd"/>
      <w:r w:rsidRPr="008B7A9D">
        <w:rPr>
          <w:rFonts w:cs="Arial"/>
          <w:bCs/>
          <w:szCs w:val="22"/>
        </w:rPr>
        <w:t xml:space="preserve"> servira de base à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édition complète du </w:t>
      </w:r>
      <w:r w:rsidR="000920B2">
        <w:rPr>
          <w:rFonts w:cs="Arial"/>
          <w:bCs/>
          <w:szCs w:val="22"/>
        </w:rPr>
        <w:t>Rapport</w:t>
      </w:r>
      <w:r w:rsidRPr="008B7A9D">
        <w:rPr>
          <w:rFonts w:cs="Arial"/>
          <w:bCs/>
          <w:szCs w:val="22"/>
        </w:rPr>
        <w:t>, qui bénéficiera des contributions d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autres organisations des Nations Unies et réseaux scientifiques.</w:t>
      </w:r>
    </w:p>
    <w:p w14:paraId="3B38F392" w14:textId="6DA49CB7" w:rsidR="008B7A9D" w:rsidRPr="008B7A9D" w:rsidRDefault="008B7A9D" w:rsidP="002D48D0">
      <w:pPr>
        <w:keepNext/>
        <w:keepLines/>
        <w:snapToGrid/>
        <w:spacing w:after="240"/>
        <w:jc w:val="both"/>
        <w:rPr>
          <w:rFonts w:cs="Arial"/>
          <w:bCs/>
          <w:szCs w:val="22"/>
        </w:rPr>
      </w:pPr>
      <w:r w:rsidRPr="008B7A9D">
        <w:rPr>
          <w:rFonts w:cs="Arial"/>
          <w:bCs/>
          <w:szCs w:val="22"/>
        </w:rPr>
        <w:lastRenderedPageBreak/>
        <w:t>8.</w:t>
      </w:r>
      <w:r w:rsidRPr="008B7A9D">
        <w:rPr>
          <w:rFonts w:cs="Arial"/>
          <w:bCs/>
          <w:szCs w:val="22"/>
        </w:rPr>
        <w:tab/>
        <w:t>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édition pilote du </w:t>
      </w:r>
      <w:proofErr w:type="spellStart"/>
      <w:r w:rsidRPr="008B7A9D">
        <w:rPr>
          <w:rFonts w:cs="Arial"/>
          <w:bCs/>
          <w:szCs w:val="22"/>
        </w:rPr>
        <w:t>StOR</w:t>
      </w:r>
      <w:proofErr w:type="spellEnd"/>
      <w:r w:rsidRPr="008B7A9D">
        <w:rPr>
          <w:rFonts w:cs="Arial"/>
          <w:bCs/>
          <w:szCs w:val="22"/>
        </w:rPr>
        <w:t xml:space="preserve"> jointe </w:t>
      </w:r>
      <w:r w:rsidR="000105B6" w:rsidRPr="008B7A9D">
        <w:rPr>
          <w:rFonts w:cs="Arial"/>
          <w:bCs/>
          <w:szCs w:val="22"/>
        </w:rPr>
        <w:t xml:space="preserve">ci-après </w:t>
      </w:r>
      <w:r w:rsidRPr="008B7A9D">
        <w:rPr>
          <w:rFonts w:cs="Arial"/>
          <w:bCs/>
          <w:szCs w:val="22"/>
        </w:rPr>
        <w:t>en annexe est un rapport à la fois complet et concis présentant les caractéristiques suivantes</w:t>
      </w:r>
      <w:r w:rsidR="000105B6">
        <w:rPr>
          <w:rFonts w:cs="Arial"/>
          <w:bCs/>
          <w:szCs w:val="22"/>
        </w:rPr>
        <w:t> :</w:t>
      </w:r>
    </w:p>
    <w:p w14:paraId="5C7A8BFF" w14:textId="0D058D6A" w:rsidR="000105B6" w:rsidRDefault="008B7A9D" w:rsidP="002D48D0">
      <w:pPr>
        <w:tabs>
          <w:tab w:val="clear" w:pos="567"/>
        </w:tabs>
        <w:snapToGrid/>
        <w:spacing w:after="240"/>
        <w:ind w:left="851" w:hanging="284"/>
        <w:jc w:val="both"/>
        <w:rPr>
          <w:rFonts w:cs="Arial"/>
          <w:bCs/>
          <w:szCs w:val="22"/>
        </w:rPr>
      </w:pPr>
      <w:r w:rsidRPr="008B7A9D">
        <w:rPr>
          <w:rFonts w:cs="Arial"/>
          <w:bCs/>
          <w:szCs w:val="22"/>
        </w:rPr>
        <w:t>-</w:t>
      </w:r>
      <w:r w:rsidR="002D48D0">
        <w:rPr>
          <w:rFonts w:cs="Arial"/>
          <w:bCs/>
          <w:szCs w:val="22"/>
        </w:rPr>
        <w:tab/>
      </w:r>
      <w:r w:rsidRPr="008B7A9D">
        <w:rPr>
          <w:rFonts w:cs="Arial"/>
          <w:bCs/>
          <w:szCs w:val="22"/>
        </w:rPr>
        <w:t>son contenu s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articule autour de </w:t>
      </w:r>
      <w:r w:rsidR="0029757B">
        <w:rPr>
          <w:rFonts w:cs="Arial"/>
          <w:bCs/>
          <w:szCs w:val="22"/>
        </w:rPr>
        <w:t>neuf</w:t>
      </w:r>
      <w:r w:rsidRPr="008B7A9D">
        <w:rPr>
          <w:rFonts w:cs="Arial"/>
          <w:bCs/>
          <w:szCs w:val="22"/>
        </w:rPr>
        <w:t xml:space="preserve"> des 10 défis de la Décennie de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 xml:space="preserve">Océan </w:t>
      </w:r>
      <w:r w:rsidR="0029757B">
        <w:rPr>
          <w:rFonts w:cs="Arial"/>
          <w:bCs/>
          <w:szCs w:val="22"/>
        </w:rPr>
        <w:t>–</w:t>
      </w:r>
      <w:r w:rsidRPr="008B7A9D">
        <w:rPr>
          <w:rFonts w:cs="Arial"/>
          <w:bCs/>
          <w:szCs w:val="22"/>
        </w:rPr>
        <w:t xml:space="preserve"> le défi</w:t>
      </w:r>
      <w:r w:rsidR="00787126">
        <w:rPr>
          <w:rFonts w:cs="Arial"/>
          <w:bCs/>
          <w:szCs w:val="22"/>
        </w:rPr>
        <w:t> </w:t>
      </w:r>
      <w:r w:rsidRPr="008B7A9D">
        <w:rPr>
          <w:rFonts w:cs="Arial"/>
          <w:bCs/>
          <w:szCs w:val="22"/>
        </w:rPr>
        <w:t>n°</w:t>
      </w:r>
      <w:r w:rsidR="0029757B">
        <w:rPr>
          <w:rFonts w:cs="Arial"/>
          <w:bCs/>
          <w:szCs w:val="22"/>
        </w:rPr>
        <w:t> </w:t>
      </w:r>
      <w:r w:rsidRPr="008B7A9D">
        <w:rPr>
          <w:rFonts w:cs="Arial"/>
          <w:bCs/>
          <w:szCs w:val="22"/>
        </w:rPr>
        <w:t>3 sur l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alimentation issue des océans n</w:t>
      </w:r>
      <w:r w:rsidR="00FE1062">
        <w:rPr>
          <w:rFonts w:cs="Arial"/>
          <w:bCs/>
          <w:szCs w:val="22"/>
        </w:rPr>
        <w:t>’</w:t>
      </w:r>
      <w:r w:rsidRPr="008B7A9D">
        <w:rPr>
          <w:rFonts w:cs="Arial"/>
          <w:bCs/>
          <w:szCs w:val="22"/>
        </w:rPr>
        <w:t>est pas abordé</w:t>
      </w:r>
      <w:r w:rsidR="00E62DE3">
        <w:rPr>
          <w:rFonts w:cs="Arial"/>
          <w:bCs/>
          <w:szCs w:val="22"/>
        </w:rPr>
        <w:t> </w:t>
      </w:r>
      <w:r w:rsidRPr="008B7A9D">
        <w:rPr>
          <w:rFonts w:cs="Arial"/>
          <w:bCs/>
          <w:szCs w:val="22"/>
        </w:rPr>
        <w:t>;</w:t>
      </w:r>
    </w:p>
    <w:p w14:paraId="2480B559" w14:textId="45957A00" w:rsidR="000105B6" w:rsidRDefault="000105B6" w:rsidP="002D48D0">
      <w:pPr>
        <w:tabs>
          <w:tab w:val="clear" w:pos="567"/>
        </w:tabs>
        <w:snapToGrid/>
        <w:spacing w:after="240"/>
        <w:ind w:left="851" w:hanging="28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</w:t>
      </w:r>
      <w:r w:rsidR="002D48D0">
        <w:rPr>
          <w:rFonts w:cs="Arial"/>
          <w:bCs/>
          <w:szCs w:val="22"/>
        </w:rPr>
        <w:tab/>
      </w:r>
      <w:r w:rsidR="008B7A9D" w:rsidRPr="008B7A9D">
        <w:rPr>
          <w:rFonts w:cs="Arial"/>
          <w:bCs/>
          <w:szCs w:val="22"/>
        </w:rPr>
        <w:t>chaque thème du rapport est présenté de façon à introduire brièvement le sujet, à appeler l</w:t>
      </w:r>
      <w:r w:rsidR="00FE1062">
        <w:rPr>
          <w:rFonts w:cs="Arial"/>
          <w:bCs/>
          <w:szCs w:val="22"/>
        </w:rPr>
        <w:t>’</w:t>
      </w:r>
      <w:r w:rsidR="008B7A9D" w:rsidRPr="008B7A9D">
        <w:rPr>
          <w:rFonts w:cs="Arial"/>
          <w:bCs/>
          <w:szCs w:val="22"/>
        </w:rPr>
        <w:t>attention sur son importance et à exposer l</w:t>
      </w:r>
      <w:r w:rsidR="00FE1062">
        <w:rPr>
          <w:rFonts w:cs="Arial"/>
          <w:bCs/>
          <w:szCs w:val="22"/>
        </w:rPr>
        <w:t>’</w:t>
      </w:r>
      <w:r w:rsidR="008B7A9D" w:rsidRPr="008B7A9D">
        <w:rPr>
          <w:rFonts w:cs="Arial"/>
          <w:bCs/>
          <w:szCs w:val="22"/>
        </w:rPr>
        <w:t xml:space="preserve">état actuel des connaissances </w:t>
      </w:r>
      <w:r>
        <w:rPr>
          <w:rFonts w:cs="Arial"/>
          <w:bCs/>
          <w:szCs w:val="22"/>
        </w:rPr>
        <w:t>en la matière</w:t>
      </w:r>
      <w:r w:rsidR="008B7A9D" w:rsidRPr="008B7A9D">
        <w:rPr>
          <w:rFonts w:cs="Arial"/>
          <w:bCs/>
          <w:szCs w:val="22"/>
        </w:rPr>
        <w:t>, en s</w:t>
      </w:r>
      <w:r w:rsidR="00FE1062">
        <w:rPr>
          <w:rFonts w:cs="Arial"/>
          <w:bCs/>
          <w:szCs w:val="22"/>
        </w:rPr>
        <w:t>’</w:t>
      </w:r>
      <w:r w:rsidR="008B7A9D" w:rsidRPr="008B7A9D">
        <w:rPr>
          <w:rFonts w:cs="Arial"/>
          <w:bCs/>
          <w:szCs w:val="22"/>
        </w:rPr>
        <w:t>appuyant sur des figures et des graphiques pertinents</w:t>
      </w:r>
      <w:r w:rsidR="00E62DE3">
        <w:rPr>
          <w:rFonts w:cs="Arial"/>
          <w:bCs/>
          <w:szCs w:val="22"/>
        </w:rPr>
        <w:t> </w:t>
      </w:r>
      <w:r w:rsidR="008B7A9D" w:rsidRPr="008B7A9D">
        <w:rPr>
          <w:rFonts w:cs="Arial"/>
          <w:bCs/>
          <w:szCs w:val="22"/>
        </w:rPr>
        <w:t>;</w:t>
      </w:r>
    </w:p>
    <w:p w14:paraId="6652DA35" w14:textId="52460D4C" w:rsidR="008B7A9D" w:rsidRPr="008B7A9D" w:rsidRDefault="000105B6" w:rsidP="002D48D0">
      <w:pPr>
        <w:tabs>
          <w:tab w:val="clear" w:pos="567"/>
        </w:tabs>
        <w:snapToGrid/>
        <w:spacing w:after="240"/>
        <w:ind w:left="851" w:hanging="28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-</w:t>
      </w:r>
      <w:r w:rsidR="002D48D0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>elle s</w:t>
      </w:r>
      <w:r w:rsidR="00FE1062">
        <w:rPr>
          <w:rFonts w:cs="Arial"/>
          <w:bCs/>
          <w:szCs w:val="22"/>
        </w:rPr>
        <w:t>’</w:t>
      </w:r>
      <w:r>
        <w:rPr>
          <w:rFonts w:cs="Arial"/>
          <w:bCs/>
          <w:szCs w:val="22"/>
        </w:rPr>
        <w:t>accompagne d</w:t>
      </w:r>
      <w:r w:rsidR="00FE1062">
        <w:rPr>
          <w:rFonts w:cs="Arial"/>
          <w:bCs/>
          <w:szCs w:val="22"/>
        </w:rPr>
        <w:t>’</w:t>
      </w:r>
      <w:r w:rsidR="008B7A9D" w:rsidRPr="008B7A9D">
        <w:rPr>
          <w:rFonts w:cs="Arial"/>
          <w:bCs/>
          <w:szCs w:val="22"/>
        </w:rPr>
        <w:t>un résumé.</w:t>
      </w:r>
    </w:p>
    <w:p w14:paraId="61A4DFC1" w14:textId="110430BA" w:rsidR="0047625D" w:rsidRPr="000105B6" w:rsidRDefault="008B7A9D" w:rsidP="00954B49">
      <w:pPr>
        <w:tabs>
          <w:tab w:val="clear" w:pos="567"/>
        </w:tabs>
        <w:snapToGrid/>
        <w:spacing w:after="240"/>
        <w:jc w:val="both"/>
        <w:rPr>
          <w:rFonts w:cs="Arial"/>
          <w:b/>
          <w:bCs/>
          <w:szCs w:val="22"/>
        </w:rPr>
      </w:pPr>
      <w:r w:rsidRPr="000105B6">
        <w:rPr>
          <w:rFonts w:cs="Arial"/>
          <w:b/>
          <w:bCs/>
          <w:szCs w:val="22"/>
        </w:rPr>
        <w:t>Calendrier de l</w:t>
      </w:r>
      <w:r w:rsidR="00FE1062">
        <w:rPr>
          <w:rFonts w:cs="Arial"/>
          <w:b/>
          <w:bCs/>
          <w:szCs w:val="22"/>
        </w:rPr>
        <w:t>’</w:t>
      </w:r>
      <w:r w:rsidRPr="000105B6">
        <w:rPr>
          <w:rFonts w:cs="Arial"/>
          <w:b/>
          <w:bCs/>
          <w:szCs w:val="22"/>
        </w:rPr>
        <w:t>élaboration de l</w:t>
      </w:r>
      <w:r w:rsidR="00FE1062">
        <w:rPr>
          <w:rFonts w:cs="Arial"/>
          <w:b/>
          <w:bCs/>
          <w:szCs w:val="22"/>
        </w:rPr>
        <w:t>’</w:t>
      </w:r>
      <w:r w:rsidRPr="000105B6">
        <w:rPr>
          <w:rFonts w:cs="Arial"/>
          <w:b/>
          <w:bCs/>
          <w:szCs w:val="22"/>
        </w:rPr>
        <w:t xml:space="preserve">édition pilote du </w:t>
      </w:r>
      <w:proofErr w:type="spellStart"/>
      <w:r w:rsidRPr="000105B6">
        <w:rPr>
          <w:rFonts w:cs="Arial"/>
          <w:b/>
          <w:bCs/>
          <w:szCs w:val="22"/>
        </w:rPr>
        <w:t>StOR</w:t>
      </w:r>
      <w:proofErr w:type="spellEnd"/>
    </w:p>
    <w:tbl>
      <w:tblPr>
        <w:tblW w:w="8930" w:type="dxa"/>
        <w:tblInd w:w="699" w:type="dxa"/>
        <w:tblLayout w:type="fixed"/>
        <w:tblLook w:val="0400" w:firstRow="0" w:lastRow="0" w:firstColumn="0" w:lastColumn="0" w:noHBand="0" w:noVBand="1"/>
      </w:tblPr>
      <w:tblGrid>
        <w:gridCol w:w="2696"/>
        <w:gridCol w:w="6234"/>
      </w:tblGrid>
      <w:tr w:rsidR="008B7A9D" w:rsidRPr="008B7A9D" w14:paraId="028F5C4F" w14:textId="77777777" w:rsidTr="00FD00BC"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26FD9" w14:textId="77777777" w:rsidR="008B7A9D" w:rsidRPr="008B7A9D" w:rsidRDefault="008B7A9D" w:rsidP="008B7A9D">
            <w:pPr>
              <w:tabs>
                <w:tab w:val="clear" w:pos="567"/>
              </w:tabs>
              <w:snapToGrid/>
              <w:spacing w:after="240"/>
              <w:rPr>
                <w:rFonts w:cs="Arial"/>
                <w:bCs/>
                <w:szCs w:val="22"/>
                <w:lang w:val="en-GB"/>
              </w:rPr>
            </w:pPr>
            <w:r w:rsidRPr="008B7A9D">
              <w:rPr>
                <w:rFonts w:cs="Arial"/>
                <w:bCs/>
                <w:szCs w:val="22"/>
              </w:rPr>
              <w:t>Calendrier (2022)</w:t>
            </w:r>
          </w:p>
        </w:tc>
        <w:tc>
          <w:tcPr>
            <w:tcW w:w="6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A443" w14:textId="77777777" w:rsidR="008B7A9D" w:rsidRPr="008B7A9D" w:rsidRDefault="008B7A9D" w:rsidP="008B7A9D">
            <w:pPr>
              <w:tabs>
                <w:tab w:val="clear" w:pos="567"/>
              </w:tabs>
              <w:snapToGrid/>
              <w:spacing w:after="240"/>
              <w:rPr>
                <w:rFonts w:cs="Arial"/>
                <w:bCs/>
                <w:szCs w:val="22"/>
                <w:lang w:val="en-GB"/>
              </w:rPr>
            </w:pPr>
            <w:r w:rsidRPr="008B7A9D">
              <w:rPr>
                <w:rFonts w:cs="Arial"/>
                <w:bCs/>
                <w:szCs w:val="22"/>
              </w:rPr>
              <w:t>Actions</w:t>
            </w:r>
          </w:p>
        </w:tc>
      </w:tr>
      <w:tr w:rsidR="008B7A9D" w:rsidRPr="008B7A9D" w14:paraId="3F497149" w14:textId="77777777" w:rsidTr="00FD00BC">
        <w:trPr>
          <w:trHeight w:val="144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4FE7E" w14:textId="476BE32E" w:rsidR="008B7A9D" w:rsidRPr="008B7A9D" w:rsidRDefault="000105B6" w:rsidP="008B7A9D">
            <w:pPr>
              <w:tabs>
                <w:tab w:val="clear" w:pos="567"/>
              </w:tabs>
              <w:snapToGrid/>
              <w:spacing w:after="240"/>
              <w:rPr>
                <w:rFonts w:cs="Arial"/>
                <w:bCs/>
                <w:szCs w:val="22"/>
                <w:lang w:val="en-GB"/>
              </w:rPr>
            </w:pPr>
            <w:r w:rsidRPr="008B7A9D">
              <w:rPr>
                <w:rFonts w:cs="Arial"/>
                <w:bCs/>
                <w:szCs w:val="22"/>
              </w:rPr>
              <w:t>J</w:t>
            </w:r>
            <w:r w:rsidR="008B7A9D" w:rsidRPr="008B7A9D">
              <w:rPr>
                <w:rFonts w:cs="Arial"/>
                <w:bCs/>
                <w:szCs w:val="22"/>
              </w:rPr>
              <w:t xml:space="preserve">anvier </w:t>
            </w:r>
          </w:p>
        </w:tc>
        <w:tc>
          <w:tcPr>
            <w:tcW w:w="6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3FFAB" w14:textId="4E4EFE54" w:rsidR="008B7A9D" w:rsidRPr="008B7A9D" w:rsidRDefault="008B7A9D" w:rsidP="008B7A9D">
            <w:pPr>
              <w:tabs>
                <w:tab w:val="clear" w:pos="567"/>
              </w:tabs>
              <w:snapToGrid/>
              <w:spacing w:after="240"/>
              <w:rPr>
                <w:rFonts w:cs="Arial"/>
                <w:bCs/>
                <w:szCs w:val="22"/>
              </w:rPr>
            </w:pPr>
            <w:r w:rsidRPr="008B7A9D">
              <w:rPr>
                <w:rFonts w:cs="Arial"/>
                <w:bCs/>
                <w:szCs w:val="22"/>
              </w:rPr>
              <w:t>● Définition de la portée générale par le Secrétariat de la COI</w:t>
            </w:r>
          </w:p>
          <w:p w14:paraId="63E41012" w14:textId="77777777" w:rsidR="008B7A9D" w:rsidRPr="008B7A9D" w:rsidRDefault="008B7A9D" w:rsidP="008B7A9D">
            <w:pPr>
              <w:tabs>
                <w:tab w:val="clear" w:pos="567"/>
              </w:tabs>
              <w:snapToGrid/>
              <w:spacing w:after="240"/>
              <w:rPr>
                <w:rFonts w:cs="Arial"/>
                <w:bCs/>
                <w:szCs w:val="22"/>
              </w:rPr>
            </w:pPr>
            <w:r w:rsidRPr="008B7A9D">
              <w:rPr>
                <w:rFonts w:cs="Arial"/>
                <w:bCs/>
                <w:szCs w:val="22"/>
              </w:rPr>
              <w:t>● Désignation des auteurs et des relecteurs</w:t>
            </w:r>
          </w:p>
        </w:tc>
      </w:tr>
      <w:tr w:rsidR="008B7A9D" w:rsidRPr="008B7A9D" w14:paraId="2AE63A11" w14:textId="77777777" w:rsidTr="00FD00BC">
        <w:trPr>
          <w:trHeight w:val="432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C2D3" w14:textId="12763CDA" w:rsidR="008B7A9D" w:rsidRPr="008B7A9D" w:rsidRDefault="008B7A9D" w:rsidP="008B7A9D">
            <w:pPr>
              <w:tabs>
                <w:tab w:val="clear" w:pos="567"/>
              </w:tabs>
              <w:snapToGrid/>
              <w:spacing w:after="240"/>
              <w:rPr>
                <w:rFonts w:cs="Arial"/>
                <w:bCs/>
                <w:szCs w:val="22"/>
                <w:lang w:val="en-GB"/>
              </w:rPr>
            </w:pPr>
            <w:r w:rsidRPr="008B7A9D">
              <w:rPr>
                <w:rFonts w:cs="Arial"/>
                <w:bCs/>
                <w:szCs w:val="22"/>
              </w:rPr>
              <w:t>Février-mars</w:t>
            </w:r>
          </w:p>
        </w:tc>
        <w:tc>
          <w:tcPr>
            <w:tcW w:w="6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1988" w14:textId="0CAFC616" w:rsidR="008B7A9D" w:rsidRPr="008B7A9D" w:rsidRDefault="008B7A9D" w:rsidP="008B7A9D">
            <w:pPr>
              <w:tabs>
                <w:tab w:val="clear" w:pos="567"/>
              </w:tabs>
              <w:snapToGrid/>
              <w:spacing w:after="240"/>
              <w:rPr>
                <w:rFonts w:cs="Arial"/>
                <w:bCs/>
                <w:szCs w:val="22"/>
              </w:rPr>
            </w:pPr>
            <w:r w:rsidRPr="008B7A9D">
              <w:rPr>
                <w:rFonts w:cs="Arial"/>
                <w:bCs/>
                <w:szCs w:val="22"/>
              </w:rPr>
              <w:t>● Recueil des contributions des experts</w:t>
            </w:r>
          </w:p>
        </w:tc>
      </w:tr>
      <w:tr w:rsidR="008B7A9D" w:rsidRPr="008B7A9D" w14:paraId="630E48CF" w14:textId="77777777" w:rsidTr="00FD00BC">
        <w:trPr>
          <w:trHeight w:val="432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E78D6" w14:textId="65FCB832" w:rsidR="008B7A9D" w:rsidRPr="008B7A9D" w:rsidRDefault="000105B6" w:rsidP="008B7A9D">
            <w:pPr>
              <w:tabs>
                <w:tab w:val="clear" w:pos="567"/>
              </w:tabs>
              <w:snapToGrid/>
              <w:spacing w:after="240"/>
              <w:rPr>
                <w:rFonts w:cs="Arial"/>
                <w:bCs/>
                <w:szCs w:val="22"/>
                <w:lang w:val="en-GB"/>
              </w:rPr>
            </w:pPr>
            <w:r w:rsidRPr="008B7A9D">
              <w:rPr>
                <w:rFonts w:cs="Arial"/>
                <w:bCs/>
                <w:szCs w:val="22"/>
              </w:rPr>
              <w:t>A</w:t>
            </w:r>
            <w:r w:rsidR="008B7A9D" w:rsidRPr="008B7A9D">
              <w:rPr>
                <w:rFonts w:cs="Arial"/>
                <w:bCs/>
                <w:szCs w:val="22"/>
              </w:rPr>
              <w:t>vril</w:t>
            </w:r>
            <w:r>
              <w:rPr>
                <w:rFonts w:cs="Arial"/>
                <w:bCs/>
                <w:szCs w:val="22"/>
              </w:rPr>
              <w:t xml:space="preserve"> </w:t>
            </w:r>
          </w:p>
        </w:tc>
        <w:tc>
          <w:tcPr>
            <w:tcW w:w="6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A1B4" w14:textId="12693620" w:rsidR="008B7A9D" w:rsidRPr="008B7A9D" w:rsidRDefault="008B7A9D" w:rsidP="00E62DE3">
            <w:pPr>
              <w:tabs>
                <w:tab w:val="clear" w:pos="567"/>
              </w:tabs>
              <w:snapToGrid/>
              <w:spacing w:after="240"/>
              <w:ind w:left="181" w:hanging="181"/>
              <w:rPr>
                <w:rFonts w:cs="Arial"/>
                <w:bCs/>
                <w:szCs w:val="22"/>
              </w:rPr>
            </w:pPr>
            <w:r w:rsidRPr="008B7A9D">
              <w:rPr>
                <w:rFonts w:cs="Arial"/>
                <w:bCs/>
                <w:szCs w:val="22"/>
              </w:rPr>
              <w:t>● Achèvement de la première version de l</w:t>
            </w:r>
            <w:r w:rsidR="00FE1062">
              <w:rPr>
                <w:rFonts w:cs="Arial"/>
                <w:bCs/>
                <w:szCs w:val="22"/>
              </w:rPr>
              <w:t>’</w:t>
            </w:r>
            <w:r w:rsidRPr="008B7A9D">
              <w:rPr>
                <w:rFonts w:cs="Arial"/>
                <w:bCs/>
                <w:szCs w:val="22"/>
              </w:rPr>
              <w:t>édition pilote du</w:t>
            </w:r>
            <w:r w:rsidR="00E62DE3">
              <w:rPr>
                <w:rFonts w:cs="Arial"/>
                <w:bCs/>
                <w:szCs w:val="22"/>
              </w:rPr>
              <w:t> </w:t>
            </w:r>
            <w:proofErr w:type="spellStart"/>
            <w:r w:rsidRPr="008B7A9D">
              <w:rPr>
                <w:rFonts w:cs="Arial"/>
                <w:bCs/>
                <w:szCs w:val="22"/>
              </w:rPr>
              <w:t>StOR</w:t>
            </w:r>
            <w:proofErr w:type="spellEnd"/>
          </w:p>
        </w:tc>
      </w:tr>
      <w:tr w:rsidR="008B7A9D" w:rsidRPr="008B7A9D" w14:paraId="1240E0AF" w14:textId="77777777" w:rsidTr="00FD00BC">
        <w:trPr>
          <w:trHeight w:val="576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C25E9" w14:textId="5C6E49AD" w:rsidR="008B7A9D" w:rsidRPr="008B7A9D" w:rsidRDefault="000105B6" w:rsidP="008B7A9D">
            <w:pPr>
              <w:tabs>
                <w:tab w:val="clear" w:pos="567"/>
              </w:tabs>
              <w:snapToGrid/>
              <w:spacing w:after="240"/>
              <w:rPr>
                <w:rFonts w:cs="Arial"/>
                <w:bCs/>
                <w:szCs w:val="22"/>
                <w:lang w:val="en-GB"/>
              </w:rPr>
            </w:pPr>
            <w:r w:rsidRPr="008B7A9D">
              <w:rPr>
                <w:rFonts w:cs="Arial"/>
                <w:bCs/>
                <w:szCs w:val="22"/>
              </w:rPr>
              <w:t>M</w:t>
            </w:r>
            <w:r w:rsidR="008B7A9D" w:rsidRPr="008B7A9D">
              <w:rPr>
                <w:rFonts w:cs="Arial"/>
                <w:bCs/>
                <w:szCs w:val="22"/>
              </w:rPr>
              <w:t>ai</w:t>
            </w:r>
            <w:r>
              <w:rPr>
                <w:rFonts w:cs="Arial"/>
                <w:bCs/>
                <w:szCs w:val="22"/>
              </w:rPr>
              <w:t xml:space="preserve"> </w:t>
            </w:r>
          </w:p>
        </w:tc>
        <w:tc>
          <w:tcPr>
            <w:tcW w:w="6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2707" w14:textId="3C82E18F" w:rsidR="008B7A9D" w:rsidRPr="008B7A9D" w:rsidRDefault="008B7A9D" w:rsidP="008B7A9D">
            <w:pPr>
              <w:tabs>
                <w:tab w:val="clear" w:pos="567"/>
              </w:tabs>
              <w:snapToGrid/>
              <w:spacing w:after="240"/>
              <w:rPr>
                <w:rFonts w:cs="Arial"/>
                <w:bCs/>
                <w:szCs w:val="22"/>
              </w:rPr>
            </w:pPr>
            <w:r w:rsidRPr="008B7A9D">
              <w:rPr>
                <w:rFonts w:cs="Arial"/>
                <w:bCs/>
                <w:szCs w:val="22"/>
              </w:rPr>
              <w:t>● Mise au point définitive du rapport et contrôle de la qualité</w:t>
            </w:r>
          </w:p>
        </w:tc>
      </w:tr>
      <w:tr w:rsidR="008B7A9D" w:rsidRPr="008B7A9D" w14:paraId="13097EB8" w14:textId="77777777" w:rsidTr="00FD00BC">
        <w:trPr>
          <w:trHeight w:val="576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4255" w14:textId="75E9A1E7" w:rsidR="008B7A9D" w:rsidRPr="008B7A9D" w:rsidRDefault="000105B6" w:rsidP="008B7A9D">
            <w:pPr>
              <w:tabs>
                <w:tab w:val="clear" w:pos="567"/>
              </w:tabs>
              <w:snapToGrid/>
              <w:spacing w:after="240"/>
              <w:rPr>
                <w:rFonts w:cs="Arial"/>
                <w:bCs/>
                <w:szCs w:val="22"/>
                <w:lang w:val="en-GB"/>
              </w:rPr>
            </w:pPr>
            <w:r w:rsidRPr="008B7A9D">
              <w:rPr>
                <w:rFonts w:cs="Arial"/>
                <w:bCs/>
                <w:szCs w:val="22"/>
              </w:rPr>
              <w:t>J</w:t>
            </w:r>
            <w:r w:rsidR="008B7A9D" w:rsidRPr="008B7A9D">
              <w:rPr>
                <w:rFonts w:cs="Arial"/>
                <w:bCs/>
                <w:szCs w:val="22"/>
              </w:rPr>
              <w:t>uin</w:t>
            </w:r>
            <w:r>
              <w:rPr>
                <w:rFonts w:cs="Arial"/>
                <w:bCs/>
                <w:szCs w:val="22"/>
              </w:rPr>
              <w:t xml:space="preserve"> </w:t>
            </w:r>
          </w:p>
        </w:tc>
        <w:tc>
          <w:tcPr>
            <w:tcW w:w="6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5AFE4" w14:textId="0789A97F" w:rsidR="008B7A9D" w:rsidRPr="008B7A9D" w:rsidRDefault="008B7A9D" w:rsidP="008B7A9D">
            <w:pPr>
              <w:tabs>
                <w:tab w:val="clear" w:pos="567"/>
              </w:tabs>
              <w:snapToGrid/>
              <w:spacing w:after="240"/>
              <w:rPr>
                <w:rFonts w:cs="Arial"/>
                <w:bCs/>
                <w:szCs w:val="22"/>
              </w:rPr>
            </w:pPr>
            <w:r w:rsidRPr="008B7A9D">
              <w:rPr>
                <w:rFonts w:cs="Arial"/>
                <w:bCs/>
                <w:szCs w:val="22"/>
              </w:rPr>
              <w:t>● Présentation à la 55</w:t>
            </w:r>
            <w:r w:rsidRPr="000105B6">
              <w:rPr>
                <w:rFonts w:cs="Arial"/>
                <w:bCs/>
                <w:szCs w:val="22"/>
                <w:vertAlign w:val="superscript"/>
              </w:rPr>
              <w:t>e</w:t>
            </w:r>
            <w:r w:rsidRPr="008B7A9D">
              <w:rPr>
                <w:rFonts w:cs="Arial"/>
                <w:bCs/>
                <w:szCs w:val="22"/>
              </w:rPr>
              <w:t xml:space="preserve"> session du Conseil exécutif</w:t>
            </w:r>
          </w:p>
        </w:tc>
      </w:tr>
    </w:tbl>
    <w:p w14:paraId="573B6396" w14:textId="48698DB7" w:rsidR="00A82923" w:rsidRPr="008B7A9D" w:rsidRDefault="00A82923" w:rsidP="008B7A9D">
      <w:pPr>
        <w:tabs>
          <w:tab w:val="clear" w:pos="567"/>
        </w:tabs>
        <w:snapToGrid/>
        <w:rPr>
          <w:rFonts w:cs="Arial"/>
          <w:szCs w:val="22"/>
        </w:rPr>
      </w:pPr>
    </w:p>
    <w:sectPr w:rsidR="00A82923" w:rsidRPr="008B7A9D" w:rsidSect="002637CA">
      <w:headerReference w:type="even" r:id="rId12"/>
      <w:headerReference w:type="default" r:id="rId13"/>
      <w:headerReference w:type="first" r:id="rId14"/>
      <w:type w:val="oddPage"/>
      <w:pgSz w:w="11920" w:h="16840"/>
      <w:pgMar w:top="1216" w:right="1210" w:bottom="1152" w:left="1267" w:header="63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F0BD" w14:textId="77777777" w:rsidR="00126868" w:rsidRDefault="00126868" w:rsidP="00200D03">
      <w:r>
        <w:separator/>
      </w:r>
    </w:p>
  </w:endnote>
  <w:endnote w:type="continuationSeparator" w:id="0">
    <w:p w14:paraId="5DEC7684" w14:textId="77777777" w:rsidR="00126868" w:rsidRDefault="00126868" w:rsidP="002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58C0" w14:textId="77777777" w:rsidR="00126868" w:rsidRDefault="00126868" w:rsidP="00200D03">
      <w:r>
        <w:separator/>
      </w:r>
    </w:p>
  </w:footnote>
  <w:footnote w:type="continuationSeparator" w:id="0">
    <w:p w14:paraId="3CD9462C" w14:textId="77777777" w:rsidR="00126868" w:rsidRDefault="00126868" w:rsidP="002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FB17" w14:textId="67D33DFB" w:rsidR="002637CA" w:rsidRPr="002637CA" w:rsidRDefault="002637CA" w:rsidP="002637CA">
    <w:pPr>
      <w:pStyle w:val="Marge"/>
    </w:pPr>
    <w:r w:rsidRPr="00352423">
      <w:t>IOC/EC-5</w:t>
    </w:r>
    <w:r>
      <w:t>5/3</w:t>
    </w:r>
    <w:r w:rsidRPr="00352423">
      <w:t>.</w:t>
    </w:r>
    <w:r w:rsidR="002D48D0">
      <w:t>3</w:t>
    </w:r>
    <w:r>
      <w:t>.</w:t>
    </w:r>
    <w:r w:rsidRPr="00352423">
      <w:t>Doc</w:t>
    </w:r>
    <w:sdt>
      <w:sdtPr>
        <w:id w:val="1424308211"/>
        <w:docPartObj>
          <w:docPartGallery w:val="Page Numbers (Top of Page)"/>
          <w:docPartUnique/>
        </w:docPartObj>
      </w:sdtPr>
      <w:sdtEndPr/>
      <w:sdtContent>
        <w:r>
          <w:t>(</w:t>
        </w:r>
        <w:r w:rsidR="002D48D0">
          <w:t>1</w:t>
        </w:r>
        <w:r>
          <w:t xml:space="preserve">) – page </w:t>
        </w:r>
        <w:r w:rsidRPr="00BC135C">
          <w:fldChar w:fldCharType="begin"/>
        </w:r>
        <w:r w:rsidRPr="00BC135C">
          <w:instrText xml:space="preserve"> PAGE   \* MERGEFORMAT </w:instrText>
        </w:r>
        <w:r w:rsidRPr="00BC135C">
          <w:fldChar w:fldCharType="separate"/>
        </w:r>
        <w:r>
          <w:t>7</w:t>
        </w:r>
        <w:r w:rsidRPr="00BC135C"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7C10" w14:textId="60053775" w:rsidR="002637CA" w:rsidRPr="002637CA" w:rsidRDefault="002D48D0" w:rsidP="002D48D0">
    <w:pPr>
      <w:pStyle w:val="Marge"/>
      <w:ind w:left="6237"/>
    </w:pPr>
    <w:r w:rsidRPr="00352423">
      <w:t>IOC/EC-5</w:t>
    </w:r>
    <w:r>
      <w:t>5/3</w:t>
    </w:r>
    <w:r w:rsidRPr="00352423">
      <w:t>.</w:t>
    </w:r>
    <w:r>
      <w:t>3.</w:t>
    </w:r>
    <w:r w:rsidRPr="00352423">
      <w:t>Doc</w:t>
    </w:r>
    <w:r>
      <w:t>(1)</w:t>
    </w:r>
    <w:sdt>
      <w:sdtPr>
        <w:id w:val="87131249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="002637CA">
          <w:t xml:space="preserve">– page </w:t>
        </w:r>
        <w:r w:rsidR="002637CA" w:rsidRPr="00BC135C">
          <w:fldChar w:fldCharType="begin"/>
        </w:r>
        <w:r w:rsidR="002637CA" w:rsidRPr="00BC135C">
          <w:instrText xml:space="preserve"> PAGE   \* MERGEFORMAT </w:instrText>
        </w:r>
        <w:r w:rsidR="002637CA" w:rsidRPr="00BC135C">
          <w:fldChar w:fldCharType="separate"/>
        </w:r>
        <w:r w:rsidR="002637CA">
          <w:t>7</w:t>
        </w:r>
        <w:r w:rsidR="002637CA" w:rsidRPr="00BC135C"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BF3A" w14:textId="77777777" w:rsidR="002D48D0" w:rsidRPr="00665B6A" w:rsidRDefault="002D48D0" w:rsidP="002D48D0">
    <w:pPr>
      <w:tabs>
        <w:tab w:val="left" w:pos="5954"/>
      </w:tabs>
      <w:spacing w:before="120"/>
      <w:ind w:right="-196"/>
      <w:jc w:val="both"/>
      <w:rPr>
        <w:rFonts w:cs="Arial"/>
        <w:b/>
      </w:rPr>
    </w:pPr>
    <w:r w:rsidRPr="00665B6A">
      <w:rPr>
        <w:rFonts w:cs="Arial"/>
      </w:rPr>
      <w:t xml:space="preserve">Distribution </w:t>
    </w:r>
    <w:r w:rsidRPr="00B32D34">
      <w:rPr>
        <w:rFonts w:cs="Arial"/>
      </w:rPr>
      <w:t>limitée</w:t>
    </w:r>
    <w:r w:rsidRPr="00665B6A">
      <w:rPr>
        <w:rFonts w:cs="Arial"/>
      </w:rPr>
      <w:tab/>
    </w:r>
    <w:r>
      <w:rPr>
        <w:rFonts w:cs="Arial"/>
        <w:b/>
        <w:sz w:val="36"/>
        <w:szCs w:val="36"/>
      </w:rPr>
      <w:t>IOC/EC-55/3.3.Doc(1)</w:t>
    </w:r>
  </w:p>
  <w:p w14:paraId="33240A15" w14:textId="77777777" w:rsidR="002D48D0" w:rsidRPr="00665B6A" w:rsidRDefault="002D48D0" w:rsidP="002D48D0">
    <w:pPr>
      <w:tabs>
        <w:tab w:val="left" w:pos="2295"/>
      </w:tabs>
      <w:ind w:left="5954"/>
      <w:jc w:val="both"/>
      <w:rPr>
        <w:rFonts w:cs="Arial"/>
      </w:rPr>
    </w:pPr>
    <w:r>
      <w:rPr>
        <w:rFonts w:cs="Arial"/>
        <w:b/>
        <w:noProof/>
        <w:snapToGrid/>
        <w:szCs w:val="22"/>
        <w:lang w:eastAsia="fr-FR"/>
      </w:rPr>
      <w:drawing>
        <wp:anchor distT="0" distB="0" distL="114300" distR="114300" simplePos="0" relativeHeight="251659264" behindDoc="0" locked="0" layoutInCell="1" allowOverlap="1" wp14:anchorId="79D2912F" wp14:editId="1E18B954">
          <wp:simplePos x="0" y="0"/>
          <wp:positionH relativeFrom="margin">
            <wp:posOffset>-88201</wp:posOffset>
          </wp:positionH>
          <wp:positionV relativeFrom="paragraph">
            <wp:posOffset>27940</wp:posOffset>
          </wp:positionV>
          <wp:extent cx="1578610" cy="1047115"/>
          <wp:effectExtent l="0" t="0" r="2540" b="635"/>
          <wp:wrapSquare wrapText="bothSides"/>
          <wp:docPr id="4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</w:rPr>
      <w:t>Paris, le 24 mai</w:t>
    </w:r>
    <w:r w:rsidRPr="00665B6A">
      <w:rPr>
        <w:rFonts w:cs="Arial"/>
      </w:rPr>
      <w:t xml:space="preserve"> 20</w:t>
    </w:r>
    <w:r>
      <w:rPr>
        <w:rFonts w:cs="Arial"/>
      </w:rPr>
      <w:t>22</w:t>
    </w:r>
  </w:p>
  <w:p w14:paraId="08A3A4C5" w14:textId="77777777" w:rsidR="002D48D0" w:rsidRPr="00665B6A" w:rsidRDefault="002D48D0" w:rsidP="002D48D0">
    <w:pPr>
      <w:tabs>
        <w:tab w:val="left" w:pos="2295"/>
      </w:tabs>
      <w:spacing w:after="600"/>
      <w:ind w:left="5954"/>
      <w:jc w:val="both"/>
      <w:rPr>
        <w:rFonts w:cs="Arial"/>
      </w:rPr>
    </w:pPr>
    <w:r w:rsidRPr="00665B6A">
      <w:rPr>
        <w:rFonts w:cs="Arial"/>
      </w:rPr>
      <w:t>Original anglais</w:t>
    </w:r>
  </w:p>
  <w:p w14:paraId="08F4C494" w14:textId="77777777" w:rsidR="002D48D0" w:rsidRDefault="002D48D0" w:rsidP="002D48D0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before="600"/>
      <w:ind w:right="458"/>
      <w:jc w:val="right"/>
      <w:rPr>
        <w:rFonts w:cs="Arial"/>
        <w:b/>
        <w:spacing w:val="-14"/>
        <w:sz w:val="24"/>
      </w:rPr>
    </w:pPr>
  </w:p>
  <w:p w14:paraId="31261F48" w14:textId="77777777" w:rsidR="002D48D0" w:rsidRDefault="002D48D0" w:rsidP="002D48D0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240"/>
      <w:ind w:right="-22"/>
      <w:rPr>
        <w:rFonts w:cs="Arial"/>
        <w:b/>
        <w:spacing w:val="-14"/>
        <w:sz w:val="24"/>
      </w:rPr>
    </w:pPr>
  </w:p>
  <w:p w14:paraId="1E8AEBDE" w14:textId="77777777" w:rsidR="002D48D0" w:rsidRPr="00E31511" w:rsidRDefault="002D48D0" w:rsidP="002D48D0">
    <w:pPr>
      <w:tabs>
        <w:tab w:val="clear" w:pos="567"/>
        <w:tab w:val="left" w:pos="-1440"/>
      </w:tabs>
      <w:spacing w:before="600"/>
      <w:ind w:right="-22"/>
      <w:jc w:val="center"/>
      <w:rPr>
        <w:rFonts w:cs="Arial"/>
        <w:b/>
        <w:szCs w:val="22"/>
      </w:rPr>
    </w:pPr>
    <w:r w:rsidRPr="00E31511">
      <w:rPr>
        <w:rFonts w:cs="Arial"/>
        <w:b/>
        <w:szCs w:val="22"/>
      </w:rPr>
      <w:t>COMMISSION OCÉANOGRAPHIQUE INTERGOUVERNEMENTALE</w:t>
    </w:r>
  </w:p>
  <w:p w14:paraId="52876DE7" w14:textId="77777777" w:rsidR="002D48D0" w:rsidRPr="00FC4C71" w:rsidRDefault="002D48D0" w:rsidP="002D48D0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240"/>
      <w:jc w:val="center"/>
      <w:rPr>
        <w:rFonts w:cs="Arial"/>
        <w:bCs/>
        <w:szCs w:val="22"/>
      </w:rPr>
    </w:pPr>
    <w:r w:rsidRPr="00FC4C71">
      <w:rPr>
        <w:rFonts w:cs="Arial"/>
        <w:bCs/>
        <w:szCs w:val="22"/>
      </w:rPr>
      <w:t>(de l’UNESCO)</w:t>
    </w:r>
  </w:p>
  <w:p w14:paraId="309010FC" w14:textId="77777777" w:rsidR="002D48D0" w:rsidRPr="00FC4C71" w:rsidRDefault="002D48D0" w:rsidP="002D48D0">
    <w:pPr>
      <w:tabs>
        <w:tab w:val="clear" w:pos="567"/>
        <w:tab w:val="left" w:pos="-1440"/>
        <w:tab w:val="left" w:pos="-72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</w:rPr>
    </w:pPr>
    <w:r w:rsidRPr="00FC4C71">
      <w:rPr>
        <w:rFonts w:cs="Arial"/>
        <w:b/>
        <w:szCs w:val="22"/>
      </w:rPr>
      <w:t>Cinquante-cinquième session du Conseil exécutif</w:t>
    </w:r>
  </w:p>
  <w:p w14:paraId="21E853C3" w14:textId="77777777" w:rsidR="002D48D0" w:rsidRPr="00FC4C71" w:rsidRDefault="002D48D0" w:rsidP="002D48D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600"/>
      <w:jc w:val="center"/>
      <w:rPr>
        <w:rFonts w:cs="Arial"/>
        <w:szCs w:val="22"/>
      </w:rPr>
    </w:pPr>
    <w:r w:rsidRPr="00FC4C71">
      <w:rPr>
        <w:rFonts w:cs="Arial"/>
        <w:szCs w:val="22"/>
      </w:rPr>
      <w:t>UNESCO, Paris, 14-17 juin 2022</w:t>
    </w:r>
  </w:p>
  <w:p w14:paraId="68E22CDD" w14:textId="77777777" w:rsidR="002D48D0" w:rsidRPr="00FC4C71" w:rsidRDefault="002D48D0" w:rsidP="002D48D0">
    <w:pPr>
      <w:tabs>
        <w:tab w:val="clear" w:pos="567"/>
        <w:tab w:val="left" w:pos="-1440"/>
        <w:tab w:val="left" w:pos="-72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600"/>
      <w:jc w:val="both"/>
      <w:rPr>
        <w:rFonts w:cs="Arial"/>
        <w:szCs w:val="22"/>
        <w:u w:val="single"/>
      </w:rPr>
    </w:pPr>
    <w:r w:rsidRPr="00FC4C71">
      <w:rPr>
        <w:rFonts w:cs="Arial"/>
        <w:szCs w:val="22"/>
        <w:u w:val="single"/>
      </w:rPr>
      <w:t xml:space="preserve">Point </w:t>
    </w:r>
    <w:r w:rsidRPr="00FC4C71">
      <w:rPr>
        <w:rFonts w:cs="Arial"/>
        <w:b/>
        <w:bCs/>
        <w:szCs w:val="22"/>
        <w:u w:val="single"/>
      </w:rPr>
      <w:t>3.</w:t>
    </w:r>
    <w:r>
      <w:rPr>
        <w:rFonts w:cs="Arial"/>
        <w:b/>
        <w:bCs/>
        <w:szCs w:val="22"/>
        <w:u w:val="single"/>
      </w:rPr>
      <w:t>3</w:t>
    </w:r>
    <w:r w:rsidRPr="00FC4C71">
      <w:rPr>
        <w:rFonts w:cs="Arial"/>
        <w:szCs w:val="22"/>
        <w:u w:val="single"/>
      </w:rPr>
      <w:t xml:space="preserve"> de l’ordre du jour provisoire</w:t>
    </w:r>
  </w:p>
  <w:p w14:paraId="2064AD7A" w14:textId="358A8BBB" w:rsidR="0047625D" w:rsidRPr="002D48D0" w:rsidRDefault="002D48D0" w:rsidP="002D48D0">
    <w:pPr>
      <w:tabs>
        <w:tab w:val="clear" w:pos="567"/>
        <w:tab w:val="left" w:pos="-1440"/>
        <w:tab w:val="left" w:pos="-72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600"/>
      <w:jc w:val="center"/>
      <w:rPr>
        <w:rFonts w:cs="Arial"/>
        <w:b/>
        <w:bCs/>
        <w:szCs w:val="22"/>
      </w:rPr>
    </w:pPr>
    <w:r>
      <w:rPr>
        <w:rFonts w:cs="Arial"/>
        <w:b/>
        <w:bCs/>
      </w:rPr>
      <w:t>É</w:t>
    </w:r>
    <w:r w:rsidRPr="008B7A9D">
      <w:rPr>
        <w:rFonts w:cs="Arial"/>
        <w:b/>
        <w:bCs/>
      </w:rPr>
      <w:t>DITION PILOTE DU RAPPORT SUR L'</w:t>
    </w:r>
    <w:r>
      <w:rPr>
        <w:rFonts w:cs="Arial"/>
        <w:b/>
        <w:bCs/>
      </w:rPr>
      <w:t>É</w:t>
    </w:r>
    <w:r w:rsidRPr="008B7A9D">
      <w:rPr>
        <w:rFonts w:cs="Arial"/>
        <w:b/>
        <w:bCs/>
      </w:rPr>
      <w:t>TAT DE L'OC</w:t>
    </w:r>
    <w:r>
      <w:rPr>
        <w:rFonts w:cs="Arial"/>
        <w:b/>
        <w:bCs/>
      </w:rPr>
      <w:t>É</w:t>
    </w:r>
    <w:r w:rsidRPr="008B7A9D">
      <w:rPr>
        <w:rFonts w:cs="Arial"/>
        <w:b/>
        <w:bCs/>
      </w:rPr>
      <w:t xml:space="preserve">AN (2022) </w:t>
    </w:r>
    <w:r>
      <w:rPr>
        <w:rFonts w:cs="Arial"/>
        <w:b/>
        <w:bCs/>
      </w:rPr>
      <w:br/>
      <w:t>É</w:t>
    </w:r>
    <w:r w:rsidRPr="008B7A9D">
      <w:rPr>
        <w:rFonts w:cs="Arial"/>
        <w:b/>
        <w:bCs/>
      </w:rPr>
      <w:t>TABLIE ET COORDONN</w:t>
    </w:r>
    <w:r>
      <w:rPr>
        <w:rFonts w:cs="Arial"/>
        <w:b/>
        <w:bCs/>
      </w:rPr>
      <w:t>É</w:t>
    </w:r>
    <w:r w:rsidRPr="008B7A9D">
      <w:rPr>
        <w:rFonts w:cs="Arial"/>
        <w:b/>
        <w:bCs/>
      </w:rPr>
      <w:t>E PAR LA COI-UNESCO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4FB"/>
    <w:multiLevelType w:val="multilevel"/>
    <w:tmpl w:val="9660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F172E"/>
    <w:multiLevelType w:val="hybridMultilevel"/>
    <w:tmpl w:val="FC84E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F00"/>
    <w:multiLevelType w:val="hybridMultilevel"/>
    <w:tmpl w:val="DEE6B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63ACE"/>
    <w:multiLevelType w:val="hybridMultilevel"/>
    <w:tmpl w:val="58DECD4E"/>
    <w:lvl w:ilvl="0" w:tplc="977A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9887B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002B1"/>
    <w:multiLevelType w:val="hybridMultilevel"/>
    <w:tmpl w:val="75B63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14BF5"/>
    <w:multiLevelType w:val="multilevel"/>
    <w:tmpl w:val="5AC46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CE966CB"/>
    <w:multiLevelType w:val="hybridMultilevel"/>
    <w:tmpl w:val="AAC8336E"/>
    <w:lvl w:ilvl="0" w:tplc="CC7E8070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C44B0"/>
    <w:multiLevelType w:val="hybridMultilevel"/>
    <w:tmpl w:val="BCB4E4FE"/>
    <w:lvl w:ilvl="0" w:tplc="977A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9887B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00789"/>
    <w:multiLevelType w:val="hybridMultilevel"/>
    <w:tmpl w:val="0704798C"/>
    <w:lvl w:ilvl="0" w:tplc="6A1871F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3804E1"/>
    <w:multiLevelType w:val="hybridMultilevel"/>
    <w:tmpl w:val="98440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1F0F15"/>
    <w:multiLevelType w:val="hybridMultilevel"/>
    <w:tmpl w:val="6714E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DE87F39"/>
    <w:multiLevelType w:val="hybridMultilevel"/>
    <w:tmpl w:val="1E6C6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B2319"/>
    <w:multiLevelType w:val="multilevel"/>
    <w:tmpl w:val="684A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14D83"/>
    <w:multiLevelType w:val="singleLevel"/>
    <w:tmpl w:val="CD9EBCE6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4" w15:restartNumberingAfterBreak="0">
    <w:nsid w:val="34251CFF"/>
    <w:multiLevelType w:val="hybridMultilevel"/>
    <w:tmpl w:val="36688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4C3D98"/>
    <w:multiLevelType w:val="hybridMultilevel"/>
    <w:tmpl w:val="27E61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948A7"/>
    <w:multiLevelType w:val="hybridMultilevel"/>
    <w:tmpl w:val="E822F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3234B"/>
    <w:multiLevelType w:val="hybridMultilevel"/>
    <w:tmpl w:val="A9A80BD6"/>
    <w:lvl w:ilvl="0" w:tplc="624EB1E4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562E"/>
    <w:multiLevelType w:val="hybridMultilevel"/>
    <w:tmpl w:val="E854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B65CB"/>
    <w:multiLevelType w:val="hybridMultilevel"/>
    <w:tmpl w:val="E2A0A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A26082"/>
    <w:multiLevelType w:val="hybridMultilevel"/>
    <w:tmpl w:val="41327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7281"/>
    <w:multiLevelType w:val="hybridMultilevel"/>
    <w:tmpl w:val="F4447522"/>
    <w:lvl w:ilvl="0" w:tplc="8EFCE1BC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 w:tplc="1504BD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D6079"/>
    <w:multiLevelType w:val="hybridMultilevel"/>
    <w:tmpl w:val="312826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5A38FD"/>
    <w:multiLevelType w:val="hybridMultilevel"/>
    <w:tmpl w:val="F5625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058B1"/>
    <w:multiLevelType w:val="hybridMultilevel"/>
    <w:tmpl w:val="A7109C38"/>
    <w:lvl w:ilvl="0" w:tplc="B72EF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0E9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A6A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7CE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444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CD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382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648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841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7DB300E"/>
    <w:multiLevelType w:val="multilevel"/>
    <w:tmpl w:val="A64EA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0468F2"/>
    <w:multiLevelType w:val="hybridMultilevel"/>
    <w:tmpl w:val="8E00335C"/>
    <w:lvl w:ilvl="0" w:tplc="AEFA5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01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A1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EC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AD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02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87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43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48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B3F540F"/>
    <w:multiLevelType w:val="hybridMultilevel"/>
    <w:tmpl w:val="2850E8C0"/>
    <w:lvl w:ilvl="0" w:tplc="35AEE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77EAE"/>
    <w:multiLevelType w:val="hybridMultilevel"/>
    <w:tmpl w:val="9FC82602"/>
    <w:lvl w:ilvl="0" w:tplc="E45095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91722"/>
    <w:multiLevelType w:val="hybridMultilevel"/>
    <w:tmpl w:val="4B7C51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82130"/>
    <w:multiLevelType w:val="hybridMultilevel"/>
    <w:tmpl w:val="EF122A08"/>
    <w:lvl w:ilvl="0" w:tplc="C59A5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026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8D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A1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EC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E4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4E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ED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0C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56C750E"/>
    <w:multiLevelType w:val="hybridMultilevel"/>
    <w:tmpl w:val="F85455C2"/>
    <w:lvl w:ilvl="0" w:tplc="35AEE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61FA7"/>
    <w:multiLevelType w:val="hybridMultilevel"/>
    <w:tmpl w:val="0FA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6"/>
  </w:num>
  <w:num w:numId="4">
    <w:abstractNumId w:val="21"/>
  </w:num>
  <w:num w:numId="5">
    <w:abstractNumId w:val="22"/>
  </w:num>
  <w:num w:numId="6">
    <w:abstractNumId w:val="17"/>
  </w:num>
  <w:num w:numId="7">
    <w:abstractNumId w:val="27"/>
  </w:num>
  <w:num w:numId="8">
    <w:abstractNumId w:val="31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23"/>
    <w:lvlOverride w:ilvl="0">
      <w:lvl w:ilvl="0" w:tplc="040C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25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u w:val="none"/>
        </w:rPr>
      </w:lvl>
    </w:lvlOverride>
  </w:num>
  <w:num w:numId="15">
    <w:abstractNumId w:val="16"/>
  </w:num>
  <w:num w:numId="16">
    <w:abstractNumId w:val="11"/>
  </w:num>
  <w:num w:numId="17">
    <w:abstractNumId w:val="20"/>
  </w:num>
  <w:num w:numId="18">
    <w:abstractNumId w:val="10"/>
    <w:lvlOverride w:ilvl="0">
      <w:lvl w:ilvl="0" w:tplc="04090001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19">
    <w:abstractNumId w:val="18"/>
  </w:num>
  <w:num w:numId="20">
    <w:abstractNumId w:val="32"/>
    <w:lvlOverride w:ilvl="0">
      <w:lvl w:ilvl="0" w:tplc="04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1">
    <w:abstractNumId w:val="19"/>
    <w:lvlOverride w:ilvl="0">
      <w:lvl w:ilvl="0" w:tplc="04090001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9"/>
    <w:lvlOverride w:ilvl="0">
      <w:lvl w:ilvl="0" w:tplc="04090001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>
    <w:abstractNumId w:val="14"/>
    <w:lvlOverride w:ilvl="0">
      <w:lvl w:ilvl="0" w:tplc="04090001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2"/>
  </w:num>
  <w:num w:numId="25">
    <w:abstractNumId w:val="15"/>
  </w:num>
  <w:num w:numId="26">
    <w:abstractNumId w:val="24"/>
  </w:num>
  <w:num w:numId="27">
    <w:abstractNumId w:val="26"/>
  </w:num>
  <w:num w:numId="28">
    <w:abstractNumId w:val="30"/>
  </w:num>
  <w:num w:numId="29">
    <w:abstractNumId w:val="12"/>
  </w:num>
  <w:num w:numId="30">
    <w:abstractNumId w:val="0"/>
  </w:num>
  <w:num w:numId="31">
    <w:abstractNumId w:val="29"/>
  </w:num>
  <w:num w:numId="32">
    <w:abstractNumId w:val="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C2"/>
    <w:rsid w:val="000105B6"/>
    <w:rsid w:val="000207B0"/>
    <w:rsid w:val="000229E0"/>
    <w:rsid w:val="00023480"/>
    <w:rsid w:val="00034000"/>
    <w:rsid w:val="00046C31"/>
    <w:rsid w:val="00053075"/>
    <w:rsid w:val="00074005"/>
    <w:rsid w:val="000920B2"/>
    <w:rsid w:val="000B1F0F"/>
    <w:rsid w:val="000D073E"/>
    <w:rsid w:val="000D3043"/>
    <w:rsid w:val="000E79DE"/>
    <w:rsid w:val="000F3433"/>
    <w:rsid w:val="00121F48"/>
    <w:rsid w:val="00126868"/>
    <w:rsid w:val="00127F99"/>
    <w:rsid w:val="00135480"/>
    <w:rsid w:val="001862A1"/>
    <w:rsid w:val="001A489B"/>
    <w:rsid w:val="001D2A9B"/>
    <w:rsid w:val="001F3D00"/>
    <w:rsid w:val="00200D03"/>
    <w:rsid w:val="00205BAA"/>
    <w:rsid w:val="00206BC1"/>
    <w:rsid w:val="0021613E"/>
    <w:rsid w:val="00224F50"/>
    <w:rsid w:val="002606EC"/>
    <w:rsid w:val="00262FCE"/>
    <w:rsid w:val="002637CA"/>
    <w:rsid w:val="00267B24"/>
    <w:rsid w:val="00271640"/>
    <w:rsid w:val="0029757B"/>
    <w:rsid w:val="002A347F"/>
    <w:rsid w:val="002B0CD0"/>
    <w:rsid w:val="002C2D6E"/>
    <w:rsid w:val="002C6133"/>
    <w:rsid w:val="002D48D0"/>
    <w:rsid w:val="002F13F1"/>
    <w:rsid w:val="003117C2"/>
    <w:rsid w:val="00312004"/>
    <w:rsid w:val="00313C37"/>
    <w:rsid w:val="00330169"/>
    <w:rsid w:val="003321BC"/>
    <w:rsid w:val="00344601"/>
    <w:rsid w:val="00344693"/>
    <w:rsid w:val="00345602"/>
    <w:rsid w:val="00376476"/>
    <w:rsid w:val="00377A14"/>
    <w:rsid w:val="003A533E"/>
    <w:rsid w:val="003B4C80"/>
    <w:rsid w:val="003D15AC"/>
    <w:rsid w:val="0040445C"/>
    <w:rsid w:val="00430207"/>
    <w:rsid w:val="00441968"/>
    <w:rsid w:val="00457A93"/>
    <w:rsid w:val="004710D3"/>
    <w:rsid w:val="004724A8"/>
    <w:rsid w:val="0047625D"/>
    <w:rsid w:val="004A59F9"/>
    <w:rsid w:val="004A6984"/>
    <w:rsid w:val="004A6D7D"/>
    <w:rsid w:val="004C5CD0"/>
    <w:rsid w:val="00516103"/>
    <w:rsid w:val="00555F22"/>
    <w:rsid w:val="005742DC"/>
    <w:rsid w:val="00577CF2"/>
    <w:rsid w:val="0059001E"/>
    <w:rsid w:val="005A015D"/>
    <w:rsid w:val="005D09E2"/>
    <w:rsid w:val="005D1B2B"/>
    <w:rsid w:val="005D2E07"/>
    <w:rsid w:val="005E1D48"/>
    <w:rsid w:val="00605660"/>
    <w:rsid w:val="006236E0"/>
    <w:rsid w:val="00653F1F"/>
    <w:rsid w:val="00677AD0"/>
    <w:rsid w:val="00684810"/>
    <w:rsid w:val="006A5012"/>
    <w:rsid w:val="006A5AED"/>
    <w:rsid w:val="006C4D3B"/>
    <w:rsid w:val="006F3D07"/>
    <w:rsid w:val="006F49B2"/>
    <w:rsid w:val="007179A8"/>
    <w:rsid w:val="00720640"/>
    <w:rsid w:val="00720D5C"/>
    <w:rsid w:val="00747EDE"/>
    <w:rsid w:val="00787126"/>
    <w:rsid w:val="007A5A44"/>
    <w:rsid w:val="007B1F5A"/>
    <w:rsid w:val="007C6AD8"/>
    <w:rsid w:val="007E045D"/>
    <w:rsid w:val="007E79BA"/>
    <w:rsid w:val="00800C77"/>
    <w:rsid w:val="00813036"/>
    <w:rsid w:val="0082714C"/>
    <w:rsid w:val="008411EE"/>
    <w:rsid w:val="00847E04"/>
    <w:rsid w:val="00862A71"/>
    <w:rsid w:val="00862D5F"/>
    <w:rsid w:val="008737E9"/>
    <w:rsid w:val="00875057"/>
    <w:rsid w:val="008A403D"/>
    <w:rsid w:val="008B7A9D"/>
    <w:rsid w:val="008C2931"/>
    <w:rsid w:val="008F5A58"/>
    <w:rsid w:val="00924B2B"/>
    <w:rsid w:val="00925BD5"/>
    <w:rsid w:val="00954B49"/>
    <w:rsid w:val="009567A2"/>
    <w:rsid w:val="00967534"/>
    <w:rsid w:val="00981124"/>
    <w:rsid w:val="00982DCA"/>
    <w:rsid w:val="0099117D"/>
    <w:rsid w:val="009B59CC"/>
    <w:rsid w:val="009F0D1E"/>
    <w:rsid w:val="009F7E7E"/>
    <w:rsid w:val="00A36127"/>
    <w:rsid w:val="00A82923"/>
    <w:rsid w:val="00AA3592"/>
    <w:rsid w:val="00AB2D24"/>
    <w:rsid w:val="00AC01E1"/>
    <w:rsid w:val="00AC7CE6"/>
    <w:rsid w:val="00AE01F9"/>
    <w:rsid w:val="00B14A39"/>
    <w:rsid w:val="00B16528"/>
    <w:rsid w:val="00B20BED"/>
    <w:rsid w:val="00B2175E"/>
    <w:rsid w:val="00B3215C"/>
    <w:rsid w:val="00B60D5E"/>
    <w:rsid w:val="00B77EF1"/>
    <w:rsid w:val="00B80E02"/>
    <w:rsid w:val="00B94DD9"/>
    <w:rsid w:val="00B957E1"/>
    <w:rsid w:val="00BB2441"/>
    <w:rsid w:val="00BC22F5"/>
    <w:rsid w:val="00BE4327"/>
    <w:rsid w:val="00C52F4C"/>
    <w:rsid w:val="00C56EBB"/>
    <w:rsid w:val="00C63308"/>
    <w:rsid w:val="00C66B3D"/>
    <w:rsid w:val="00CA2A4A"/>
    <w:rsid w:val="00CB6B75"/>
    <w:rsid w:val="00CC6934"/>
    <w:rsid w:val="00CE2F8A"/>
    <w:rsid w:val="00CE5163"/>
    <w:rsid w:val="00CE5487"/>
    <w:rsid w:val="00D23DE5"/>
    <w:rsid w:val="00D42EBE"/>
    <w:rsid w:val="00D553C0"/>
    <w:rsid w:val="00D56F25"/>
    <w:rsid w:val="00D80E0F"/>
    <w:rsid w:val="00D95A0A"/>
    <w:rsid w:val="00DA03CE"/>
    <w:rsid w:val="00DB10F4"/>
    <w:rsid w:val="00DB423D"/>
    <w:rsid w:val="00DB4C83"/>
    <w:rsid w:val="00DC1042"/>
    <w:rsid w:val="00DC42CB"/>
    <w:rsid w:val="00DD5308"/>
    <w:rsid w:val="00DE458F"/>
    <w:rsid w:val="00DF0F58"/>
    <w:rsid w:val="00DF798C"/>
    <w:rsid w:val="00E27A19"/>
    <w:rsid w:val="00E31511"/>
    <w:rsid w:val="00E62DE3"/>
    <w:rsid w:val="00E872C7"/>
    <w:rsid w:val="00E90F6F"/>
    <w:rsid w:val="00E91C73"/>
    <w:rsid w:val="00EA63C3"/>
    <w:rsid w:val="00EA7314"/>
    <w:rsid w:val="00EB763D"/>
    <w:rsid w:val="00EC78BA"/>
    <w:rsid w:val="00EE3DF2"/>
    <w:rsid w:val="00F10028"/>
    <w:rsid w:val="00F2294C"/>
    <w:rsid w:val="00F22BF7"/>
    <w:rsid w:val="00F26AF2"/>
    <w:rsid w:val="00F74BF3"/>
    <w:rsid w:val="00F757BD"/>
    <w:rsid w:val="00FC097D"/>
    <w:rsid w:val="00FC3783"/>
    <w:rsid w:val="00FC4C71"/>
    <w:rsid w:val="00FD46F5"/>
    <w:rsid w:val="00FE1062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A1A2D8"/>
  <w15:chartTrackingRefBased/>
  <w15:docId w15:val="{21A969E3-DCCD-407A-A60E-00A139D4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D48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eastAsia="en-US"/>
    </w:rPr>
  </w:style>
  <w:style w:type="paragraph" w:styleId="Titre1">
    <w:name w:val="heading 1"/>
    <w:basedOn w:val="Normal"/>
    <w:next w:val="Marge"/>
    <w:link w:val="Titre1Car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Titre2">
    <w:name w:val="heading 2"/>
    <w:basedOn w:val="Normal"/>
    <w:next w:val="Marge"/>
    <w:link w:val="Titre2Car"/>
    <w:uiPriority w:val="9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Titre3">
    <w:name w:val="heading 3"/>
    <w:basedOn w:val="Normal"/>
    <w:next w:val="Marge"/>
    <w:link w:val="Titre3Car"/>
    <w:qFormat/>
    <w:pPr>
      <w:keepNext/>
      <w:keepLines/>
      <w:spacing w:after="240"/>
      <w:ind w:left="567" w:hanging="567"/>
      <w:outlineLvl w:val="2"/>
    </w:pPr>
    <w:rPr>
      <w:b/>
      <w:bCs/>
    </w:rPr>
  </w:style>
  <w:style w:type="paragraph" w:styleId="Titre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Titre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Titre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(a)"/>
    <w:basedOn w:val="Normal"/>
    <w:pPr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Appelnotedebasdep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link w:val="CarattereCharCarattereCarattereCharCarattereCharCarattereCharCharCharCharChar"/>
    <w:qFormat/>
    <w:rPr>
      <w:vertAlign w:val="superscript"/>
    </w:rPr>
  </w:style>
  <w:style w:type="paragraph" w:styleId="En-tte">
    <w:name w:val="header"/>
    <w:basedOn w:val="Normal"/>
    <w:link w:val="En-tteCar"/>
    <w:uiPriority w:val="99"/>
    <w:pPr>
      <w:tabs>
        <w:tab w:val="clear" w:pos="567"/>
        <w:tab w:val="right" w:pos="9600"/>
      </w:tabs>
    </w:pPr>
    <w:rPr>
      <w:sz w:val="20"/>
      <w:szCs w:val="20"/>
    </w:rPr>
  </w:style>
  <w:style w:type="paragraph" w:customStyle="1" w:styleId="Marge">
    <w:name w:val="Marge"/>
    <w:basedOn w:val="Normal"/>
    <w:link w:val="MargeChar"/>
    <w:uiPriority w:val="99"/>
    <w:qFormat/>
    <w:pPr>
      <w:spacing w:after="240"/>
      <w:jc w:val="both"/>
    </w:pPr>
  </w:style>
  <w:style w:type="paragraph" w:styleId="Notedebasdepage">
    <w:name w:val="footnote text"/>
    <w:basedOn w:val="Normal"/>
    <w:semiHidden/>
    <w:pPr>
      <w:ind w:left="567" w:hanging="567"/>
      <w:jc w:val="both"/>
    </w:pPr>
    <w:rPr>
      <w:sz w:val="20"/>
      <w:szCs w:val="20"/>
    </w:rPr>
  </w:style>
  <w:style w:type="character" w:styleId="Numrodepage">
    <w:name w:val="page number"/>
    <w:basedOn w:val="Policepardfaut"/>
  </w:style>
  <w:style w:type="paragraph" w:customStyle="1" w:styleId="Par">
    <w:name w:val="Par"/>
    <w:basedOn w:val="Normal"/>
    <w:pPr>
      <w:spacing w:after="240"/>
      <w:ind w:firstLine="567"/>
      <w:jc w:val="both"/>
    </w:pPr>
  </w:style>
  <w:style w:type="paragraph" w:styleId="Pieddepage">
    <w:name w:val="footer"/>
    <w:basedOn w:val="Normal"/>
    <w:link w:val="PieddepageCar"/>
    <w:uiPriority w:val="99"/>
    <w:pPr>
      <w:tabs>
        <w:tab w:val="clear" w:pos="567"/>
      </w:tabs>
    </w:p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left" w:pos="840"/>
      </w:tabs>
      <w:adjustRightInd w:val="0"/>
      <w:spacing w:after="240"/>
      <w:ind w:left="840" w:hanging="273"/>
      <w:jc w:val="both"/>
    </w:pPr>
  </w:style>
  <w:style w:type="character" w:customStyle="1" w:styleId="Stylepersonneldecomposition">
    <w:name w:val="Style personnel de composition"/>
    <w:rPr>
      <w:rFonts w:ascii="Arial" w:hAnsi="Arial" w:cs="Arial"/>
      <w:color w:val="auto"/>
      <w:sz w:val="20"/>
    </w:rPr>
  </w:style>
  <w:style w:type="character" w:customStyle="1" w:styleId="Stylepersonnelderponse">
    <w:name w:val="Style personnel de réponse"/>
    <w:rPr>
      <w:rFonts w:ascii="Arial" w:hAnsi="Arial" w:cs="Arial"/>
      <w:color w:val="auto"/>
      <w:sz w:val="20"/>
    </w:rPr>
  </w:style>
  <w:style w:type="numbering" w:customStyle="1" w:styleId="Aucuneliste1">
    <w:name w:val="Aucune liste1"/>
    <w:next w:val="Aucuneliste"/>
    <w:uiPriority w:val="99"/>
    <w:semiHidden/>
    <w:unhideWhenUsed/>
    <w:rsid w:val="00200D03"/>
  </w:style>
  <w:style w:type="character" w:customStyle="1" w:styleId="Titre1Car">
    <w:name w:val="Titre 1 Car"/>
    <w:basedOn w:val="Policepardfaut"/>
    <w:link w:val="Titre1"/>
    <w:uiPriority w:val="9"/>
    <w:rsid w:val="00200D03"/>
    <w:rPr>
      <w:rFonts w:ascii="Arial" w:hAnsi="Arial"/>
      <w:b/>
      <w:bCs/>
      <w:snapToGrid w:val="0"/>
      <w:kern w:val="28"/>
      <w:sz w:val="22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200D03"/>
    <w:rPr>
      <w:rFonts w:ascii="Arial" w:hAnsi="Arial"/>
      <w:b/>
      <w:bCs/>
      <w:caps/>
      <w:snapToGrid w:val="0"/>
      <w:sz w:val="22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200D03"/>
    <w:rPr>
      <w:rFonts w:ascii="Arial" w:hAnsi="Arial"/>
      <w:b/>
      <w:bCs/>
      <w:snapToGrid w:val="0"/>
      <w:sz w:val="22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200D03"/>
    <w:pPr>
      <w:widowControl w:val="0"/>
    </w:pPr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debulles1">
    <w:name w:val="Texte de bulles1"/>
    <w:basedOn w:val="Normal"/>
    <w:next w:val="Textedebulles"/>
    <w:link w:val="TextedebullesCar"/>
    <w:uiPriority w:val="99"/>
    <w:semiHidden/>
    <w:unhideWhenUsed/>
    <w:rsid w:val="00200D03"/>
    <w:pPr>
      <w:widowControl w:val="0"/>
      <w:tabs>
        <w:tab w:val="clear" w:pos="567"/>
      </w:tabs>
      <w:snapToGrid/>
    </w:pPr>
    <w:rPr>
      <w:rFonts w:ascii="Segoe UI" w:hAnsi="Segoe UI" w:cs="Segoe UI"/>
      <w:snapToGrid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1"/>
    <w:uiPriority w:val="99"/>
    <w:semiHidden/>
    <w:rsid w:val="00200D03"/>
    <w:rPr>
      <w:rFonts w:ascii="Segoe UI" w:hAnsi="Segoe UI" w:cs="Segoe UI"/>
      <w:sz w:val="18"/>
      <w:szCs w:val="18"/>
    </w:rPr>
  </w:style>
  <w:style w:type="paragraph" w:customStyle="1" w:styleId="Sansinterligne1">
    <w:name w:val="Sans interligne1"/>
    <w:next w:val="Sansinterligne"/>
    <w:link w:val="SansinterligneCar"/>
    <w:uiPriority w:val="1"/>
    <w:qFormat/>
    <w:rsid w:val="00200D03"/>
    <w:pPr>
      <w:widowControl w:val="0"/>
    </w:pPr>
    <w:rPr>
      <w:rFonts w:ascii="Calibri" w:eastAsia="Calibri" w:hAnsi="Calibri" w:cs="Arial"/>
      <w:sz w:val="22"/>
      <w:szCs w:val="22"/>
      <w:lang w:val="en-US" w:eastAsia="en-US"/>
    </w:rPr>
  </w:style>
  <w:style w:type="paragraph" w:customStyle="1" w:styleId="En-ttedetabledesmatires1">
    <w:name w:val="En-tête de table des matières1"/>
    <w:basedOn w:val="Titre1"/>
    <w:next w:val="Normal"/>
    <w:uiPriority w:val="39"/>
    <w:unhideWhenUsed/>
    <w:qFormat/>
    <w:rsid w:val="00200D03"/>
    <w:pPr>
      <w:tabs>
        <w:tab w:val="clear" w:pos="567"/>
      </w:tabs>
      <w:snapToGrid/>
      <w:spacing w:after="0" w:line="259" w:lineRule="auto"/>
      <w:jc w:val="left"/>
      <w:outlineLvl w:val="9"/>
    </w:pPr>
    <w:rPr>
      <w:rFonts w:ascii="Cambria" w:eastAsia="SimSun" w:hAnsi="Cambria"/>
      <w:b w:val="0"/>
      <w:bCs w:val="0"/>
      <w:snapToGrid/>
      <w:color w:val="1E655B"/>
      <w:kern w:val="0"/>
      <w:sz w:val="32"/>
      <w:szCs w:val="32"/>
      <w:lang w:val="en-US"/>
    </w:rPr>
  </w:style>
  <w:style w:type="paragraph" w:customStyle="1" w:styleId="TM11">
    <w:name w:val="TM 11"/>
    <w:basedOn w:val="Titre1"/>
    <w:next w:val="Normal"/>
    <w:autoRedefine/>
    <w:uiPriority w:val="39"/>
    <w:unhideWhenUsed/>
    <w:rsid w:val="00200D03"/>
    <w:pPr>
      <w:widowControl w:val="0"/>
      <w:tabs>
        <w:tab w:val="clear" w:pos="567"/>
      </w:tabs>
      <w:snapToGrid/>
      <w:spacing w:before="120" w:after="100" w:line="276" w:lineRule="auto"/>
      <w:jc w:val="left"/>
    </w:pPr>
    <w:rPr>
      <w:rFonts w:ascii="Fira Sans Light" w:eastAsia="SimSun" w:hAnsi="Fira Sans Light"/>
      <w:b w:val="0"/>
      <w:bCs w:val="0"/>
      <w:snapToGrid/>
      <w:color w:val="29887B"/>
      <w:kern w:val="0"/>
      <w:sz w:val="24"/>
      <w:szCs w:val="32"/>
      <w:lang w:val="en-US"/>
    </w:rPr>
  </w:style>
  <w:style w:type="paragraph" w:customStyle="1" w:styleId="TM21">
    <w:name w:val="TM 21"/>
    <w:basedOn w:val="Titre2"/>
    <w:next w:val="Normal"/>
    <w:autoRedefine/>
    <w:uiPriority w:val="39"/>
    <w:unhideWhenUsed/>
    <w:rsid w:val="00200D03"/>
    <w:pPr>
      <w:widowControl w:val="0"/>
      <w:tabs>
        <w:tab w:val="clear" w:pos="567"/>
      </w:tabs>
      <w:snapToGrid/>
      <w:spacing w:before="40" w:after="100" w:line="276" w:lineRule="auto"/>
      <w:ind w:left="200" w:firstLine="0"/>
    </w:pPr>
    <w:rPr>
      <w:rFonts w:ascii="Fira Sans Light" w:eastAsia="SimSun" w:hAnsi="Fira Sans Light"/>
      <w:b w:val="0"/>
      <w:bCs w:val="0"/>
      <w:caps w:val="0"/>
      <w:snapToGrid/>
      <w:color w:val="0B5A56"/>
      <w:szCs w:val="26"/>
      <w:lang w:val="en-US"/>
    </w:rPr>
  </w:style>
  <w:style w:type="character" w:customStyle="1" w:styleId="Lienhypertexte1">
    <w:name w:val="Lien hypertexte1"/>
    <w:basedOn w:val="Policepardfaut"/>
    <w:uiPriority w:val="99"/>
    <w:unhideWhenUsed/>
    <w:rsid w:val="00200D03"/>
    <w:rPr>
      <w:color w:val="0000FF"/>
      <w:u w:val="single"/>
    </w:rPr>
  </w:style>
  <w:style w:type="paragraph" w:customStyle="1" w:styleId="TM31">
    <w:name w:val="TM 31"/>
    <w:basedOn w:val="Titre3"/>
    <w:next w:val="Normal"/>
    <w:autoRedefine/>
    <w:uiPriority w:val="39"/>
    <w:unhideWhenUsed/>
    <w:rsid w:val="00200D03"/>
    <w:pPr>
      <w:widowControl w:val="0"/>
      <w:tabs>
        <w:tab w:val="clear" w:pos="567"/>
      </w:tabs>
      <w:snapToGrid/>
      <w:spacing w:before="40" w:after="100" w:line="276" w:lineRule="auto"/>
      <w:ind w:left="400" w:firstLine="0"/>
    </w:pPr>
    <w:rPr>
      <w:rFonts w:ascii="Fira Sans Light" w:eastAsia="SimSun" w:hAnsi="Fira Sans Light"/>
      <w:b w:val="0"/>
      <w:bCs w:val="0"/>
      <w:snapToGrid/>
      <w:color w:val="4FA68C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200D03"/>
    <w:rPr>
      <w:rFonts w:ascii="Arial" w:hAnsi="Arial"/>
      <w:snapToGrid w:val="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00D03"/>
    <w:rPr>
      <w:rFonts w:ascii="Arial" w:hAnsi="Arial"/>
      <w:snapToGrid w:val="0"/>
      <w:sz w:val="22"/>
      <w:szCs w:val="24"/>
      <w:lang w:eastAsia="en-US"/>
    </w:rPr>
  </w:style>
  <w:style w:type="paragraph" w:customStyle="1" w:styleId="Paragraphedeliste1">
    <w:name w:val="Paragraphe de liste1"/>
    <w:basedOn w:val="Normal"/>
    <w:next w:val="Paragraphedeliste"/>
    <w:link w:val="ParagraphedelisteCar"/>
    <w:uiPriority w:val="34"/>
    <w:qFormat/>
    <w:rsid w:val="00200D03"/>
    <w:pPr>
      <w:widowControl w:val="0"/>
      <w:tabs>
        <w:tab w:val="clear" w:pos="567"/>
      </w:tabs>
      <w:snapToGrid/>
      <w:spacing w:after="200" w:line="276" w:lineRule="auto"/>
      <w:ind w:left="720"/>
      <w:contextualSpacing/>
    </w:pPr>
    <w:rPr>
      <w:rFonts w:ascii="Fira Sans Light" w:eastAsia="Calibri" w:hAnsi="Fira Sans Light" w:cs="Arial"/>
      <w:snapToGrid/>
      <w:sz w:val="20"/>
      <w:szCs w:val="22"/>
      <w:lang w:val="en-US"/>
    </w:rPr>
  </w:style>
  <w:style w:type="paragraph" w:customStyle="1" w:styleId="Default">
    <w:name w:val="Default"/>
    <w:rsid w:val="00200D0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unhideWhenUsed/>
    <w:rsid w:val="00200D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0D03"/>
    <w:pPr>
      <w:tabs>
        <w:tab w:val="clear" w:pos="567"/>
      </w:tabs>
      <w:snapToGrid/>
    </w:pPr>
    <w:rPr>
      <w:rFonts w:eastAsia="Arial" w:cs="Arial"/>
      <w:snapToGrid/>
      <w:sz w:val="20"/>
      <w:szCs w:val="20"/>
      <w:lang w:val="en-US" w:eastAsia="en-GB"/>
    </w:rPr>
  </w:style>
  <w:style w:type="character" w:customStyle="1" w:styleId="CommentaireCar">
    <w:name w:val="Commentaire Car"/>
    <w:basedOn w:val="Policepardfaut"/>
    <w:link w:val="Commentaire"/>
    <w:uiPriority w:val="99"/>
    <w:rsid w:val="00200D03"/>
    <w:rPr>
      <w:rFonts w:ascii="Arial" w:eastAsia="Arial" w:hAnsi="Arial" w:cs="Arial"/>
      <w:lang w:val="en-US" w:eastAsia="en-GB"/>
    </w:rPr>
  </w:style>
  <w:style w:type="character" w:customStyle="1" w:styleId="ParagraphedelisteCar">
    <w:name w:val="Paragraphe de liste Car"/>
    <w:link w:val="Paragraphedeliste1"/>
    <w:uiPriority w:val="34"/>
    <w:rsid w:val="00200D03"/>
    <w:rPr>
      <w:rFonts w:ascii="Fira Sans Light" w:hAnsi="Fira Sans Light"/>
      <w:sz w:val="20"/>
    </w:rPr>
  </w:style>
  <w:style w:type="character" w:styleId="Accentuation">
    <w:name w:val="Emphasis"/>
    <w:basedOn w:val="Policepardfaut"/>
    <w:uiPriority w:val="20"/>
    <w:qFormat/>
    <w:rsid w:val="00200D03"/>
    <w:rPr>
      <w:i/>
      <w:iCs/>
    </w:rPr>
  </w:style>
  <w:style w:type="paragraph" w:customStyle="1" w:styleId="paragraph">
    <w:name w:val="paragraph"/>
    <w:basedOn w:val="Normal"/>
    <w:rsid w:val="00200D03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eastAsia="fr-FR"/>
    </w:rPr>
  </w:style>
  <w:style w:type="character" w:customStyle="1" w:styleId="eop">
    <w:name w:val="eop"/>
    <w:basedOn w:val="Policepardfaut"/>
    <w:rsid w:val="00200D03"/>
  </w:style>
  <w:style w:type="character" w:customStyle="1" w:styleId="SansinterligneCar">
    <w:name w:val="Sans interligne Car"/>
    <w:basedOn w:val="Policepardfaut"/>
    <w:link w:val="Sansinterligne1"/>
    <w:uiPriority w:val="1"/>
    <w:rsid w:val="00200D03"/>
  </w:style>
  <w:style w:type="character" w:styleId="lev">
    <w:name w:val="Strong"/>
    <w:basedOn w:val="Policepardfaut"/>
    <w:uiPriority w:val="22"/>
    <w:qFormat/>
    <w:rsid w:val="00200D03"/>
    <w:rPr>
      <w:b/>
      <w:bCs/>
    </w:rPr>
  </w:style>
  <w:style w:type="character" w:customStyle="1" w:styleId="ffa">
    <w:name w:val="ffa"/>
    <w:basedOn w:val="Policepardfaut"/>
    <w:rsid w:val="00200D03"/>
  </w:style>
  <w:style w:type="character" w:customStyle="1" w:styleId="ws2a">
    <w:name w:val="ws2a"/>
    <w:basedOn w:val="Policepardfaut"/>
    <w:rsid w:val="00200D03"/>
  </w:style>
  <w:style w:type="character" w:styleId="Appeldenotedefin">
    <w:name w:val="endnote reference"/>
    <w:basedOn w:val="Policepardfaut"/>
    <w:uiPriority w:val="99"/>
    <w:unhideWhenUsed/>
    <w:rsid w:val="00200D03"/>
    <w:rPr>
      <w:vertAlign w:val="superscript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200D03"/>
    <w:pPr>
      <w:tabs>
        <w:tab w:val="clear" w:pos="567"/>
      </w:tabs>
      <w:snapToGrid/>
      <w:spacing w:after="200"/>
    </w:pPr>
    <w:rPr>
      <w:rFonts w:eastAsia="Arial" w:cs="Arial"/>
      <w:i/>
      <w:iCs/>
      <w:snapToGrid/>
      <w:color w:val="4FA68C"/>
      <w:sz w:val="18"/>
      <w:szCs w:val="18"/>
      <w:lang w:val="en-US" w:eastAsia="en-GB"/>
    </w:rPr>
  </w:style>
  <w:style w:type="character" w:customStyle="1" w:styleId="st">
    <w:name w:val="st"/>
    <w:basedOn w:val="Policepardfaut"/>
    <w:rsid w:val="00200D03"/>
  </w:style>
  <w:style w:type="character" w:customStyle="1" w:styleId="normaltextrun">
    <w:name w:val="normaltextrun"/>
    <w:basedOn w:val="Policepardfaut"/>
    <w:rsid w:val="00200D03"/>
  </w:style>
  <w:style w:type="paragraph" w:styleId="Notedefin">
    <w:name w:val="endnote text"/>
    <w:basedOn w:val="Normal"/>
    <w:link w:val="NotedefinCar"/>
    <w:uiPriority w:val="99"/>
    <w:unhideWhenUsed/>
    <w:rsid w:val="00200D03"/>
    <w:pPr>
      <w:tabs>
        <w:tab w:val="clear" w:pos="567"/>
      </w:tabs>
      <w:snapToGrid/>
    </w:pPr>
    <w:rPr>
      <w:rFonts w:eastAsia="Arial" w:cs="Arial"/>
      <w:snapToGrid/>
      <w:sz w:val="20"/>
      <w:szCs w:val="20"/>
      <w:lang w:val="en-US" w:eastAsia="en-GB"/>
    </w:rPr>
  </w:style>
  <w:style w:type="character" w:customStyle="1" w:styleId="NotedefinCar">
    <w:name w:val="Note de fin Car"/>
    <w:basedOn w:val="Policepardfaut"/>
    <w:link w:val="Notedefin"/>
    <w:uiPriority w:val="99"/>
    <w:rsid w:val="00200D03"/>
    <w:rPr>
      <w:rFonts w:ascii="Arial" w:eastAsia="Arial" w:hAnsi="Arial" w:cs="Arial"/>
      <w:lang w:val="en-US" w:eastAsia="en-GB"/>
    </w:rPr>
  </w:style>
  <w:style w:type="paragraph" w:customStyle="1" w:styleId="Tabledesillustrations1">
    <w:name w:val="Table des illustrations1"/>
    <w:basedOn w:val="Normal"/>
    <w:next w:val="Normal"/>
    <w:uiPriority w:val="99"/>
    <w:unhideWhenUsed/>
    <w:rsid w:val="00200D03"/>
    <w:pPr>
      <w:widowControl w:val="0"/>
      <w:tabs>
        <w:tab w:val="clear" w:pos="567"/>
      </w:tabs>
      <w:snapToGrid/>
      <w:spacing w:line="276" w:lineRule="auto"/>
    </w:pPr>
    <w:rPr>
      <w:rFonts w:ascii="Fira Sans Light" w:eastAsia="Calibri" w:hAnsi="Fira Sans Light" w:cs="Arial"/>
      <w:snapToGrid/>
      <w:sz w:val="20"/>
      <w:szCs w:val="22"/>
      <w:lang w:val="en-US"/>
    </w:rPr>
  </w:style>
  <w:style w:type="paragraph" w:customStyle="1" w:styleId="Objetducommentaire1">
    <w:name w:val="Objet du commentaire1"/>
    <w:basedOn w:val="Commentaire"/>
    <w:next w:val="Commentaire"/>
    <w:uiPriority w:val="99"/>
    <w:semiHidden/>
    <w:unhideWhenUsed/>
    <w:rsid w:val="00200D03"/>
    <w:pPr>
      <w:widowControl w:val="0"/>
      <w:spacing w:after="200"/>
    </w:pPr>
    <w:rPr>
      <w:rFonts w:ascii="Fira Sans Light" w:eastAsia="Calibri" w:hAnsi="Fira Sans Light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0D03"/>
    <w:rPr>
      <w:rFonts w:ascii="Fira Sans Light" w:eastAsia="Arial" w:hAnsi="Fira Sans Light" w:cs="Arial"/>
      <w:b/>
      <w:bCs/>
      <w:snapToGrid w:val="0"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unhideWhenUsed/>
    <w:rsid w:val="00200D03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eastAsia="fr-FR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200D03"/>
    <w:rPr>
      <w:color w:val="800080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00D03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20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1"/>
    <w:semiHidden/>
    <w:unhideWhenUsed/>
    <w:rsid w:val="00200D03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semiHidden/>
    <w:rsid w:val="00200D03"/>
    <w:rPr>
      <w:rFonts w:ascii="Segoe UI" w:hAnsi="Segoe UI" w:cs="Segoe UI"/>
      <w:snapToGrid w:val="0"/>
      <w:sz w:val="18"/>
      <w:szCs w:val="18"/>
      <w:lang w:eastAsia="en-US"/>
    </w:rPr>
  </w:style>
  <w:style w:type="paragraph" w:styleId="Sansinterligne">
    <w:name w:val="No Spacing"/>
    <w:uiPriority w:val="1"/>
    <w:qFormat/>
    <w:rsid w:val="00200D03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eastAsia="en-US"/>
    </w:rPr>
  </w:style>
  <w:style w:type="character" w:styleId="Lienhypertexte">
    <w:name w:val="Hyperlink"/>
    <w:basedOn w:val="Policepardfaut"/>
    <w:rsid w:val="00200D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00D03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0D03"/>
    <w:pPr>
      <w:tabs>
        <w:tab w:val="left" w:pos="567"/>
      </w:tabs>
      <w:snapToGrid w:val="0"/>
    </w:pPr>
    <w:rPr>
      <w:rFonts w:ascii="Fira Sans Light" w:hAnsi="Fira Sans Light"/>
      <w:b/>
      <w:bCs/>
      <w:snapToGrid w:val="0"/>
    </w:rPr>
  </w:style>
  <w:style w:type="character" w:customStyle="1" w:styleId="ObjetducommentaireCar1">
    <w:name w:val="Objet du commentaire Car1"/>
    <w:basedOn w:val="CommentaireCar"/>
    <w:semiHidden/>
    <w:rsid w:val="00200D03"/>
    <w:rPr>
      <w:rFonts w:ascii="Arial" w:eastAsia="Arial" w:hAnsi="Arial" w:cs="Arial"/>
      <w:b/>
      <w:bCs/>
      <w:lang w:val="en-US" w:eastAsia="en-GB"/>
    </w:rPr>
  </w:style>
  <w:style w:type="character" w:styleId="Lienhypertextesuivivisit">
    <w:name w:val="FollowedHyperlink"/>
    <w:basedOn w:val="Policepardfaut"/>
    <w:rsid w:val="00200D03"/>
    <w:rPr>
      <w:color w:val="954F72" w:themeColor="followedHyperlink"/>
      <w:u w:val="single"/>
    </w:rPr>
  </w:style>
  <w:style w:type="character" w:customStyle="1" w:styleId="MargeChar">
    <w:name w:val="Marge Char"/>
    <w:link w:val="Marge"/>
    <w:rsid w:val="00344693"/>
    <w:rPr>
      <w:rFonts w:ascii="Arial" w:hAnsi="Arial"/>
      <w:snapToGrid w:val="0"/>
      <w:sz w:val="22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E79DE"/>
    <w:rPr>
      <w:color w:val="605E5C"/>
      <w:shd w:val="clear" w:color="auto" w:fill="E1DFDD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Appelnotedebasdep"/>
    <w:rsid w:val="0047625D"/>
    <w:pPr>
      <w:tabs>
        <w:tab w:val="clear" w:pos="567"/>
      </w:tabs>
      <w:snapToGrid/>
      <w:spacing w:before="120" w:after="160" w:line="240" w:lineRule="exact"/>
    </w:pPr>
    <w:rPr>
      <w:rFonts w:ascii="Times New Roman" w:hAnsi="Times New Roman"/>
      <w:snapToGrid/>
      <w:sz w:val="20"/>
      <w:szCs w:val="20"/>
      <w:vertAlign w:val="superscript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375266.locale=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284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ceanexpert.org/document/284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28087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_masseau\AppData\Roaming\Microsoft\Templates\Norma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CA4F-673F-594E-827F-A169D9C7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124</TotalTime>
  <Pages>3</Pages>
  <Words>918</Words>
  <Characters>5186</Characters>
  <Application>Microsoft Office Word</Application>
  <DocSecurity>0</DocSecurity>
  <Lines>90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Situation financière du Compte spécial de la COI à la fin de 2021 et prévisions pour 2022-2023‎</vt:lpstr>
      <vt:lpstr/>
    </vt:vector>
  </TitlesOfParts>
  <Company>Unesco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Édition pilote du Rapport sur l'état de l'océan (2022) établie et coordonnée par la COI-UNESCO_x000d_
</dc:title>
  <dc:subject>IOC/EC-55/3.3.Doc(1)</dc:subject>
  <dc:creator>Obradovic, Aleksandra</dc:creator>
  <cp:keywords/>
  <dc:description/>
  <cp:lastModifiedBy>Masseau, Alexandra</cp:lastModifiedBy>
  <cp:revision>10</cp:revision>
  <cp:lastPrinted>2022-05-04T08:19:00Z</cp:lastPrinted>
  <dcterms:created xsi:type="dcterms:W3CDTF">2022-06-01T10:17:00Z</dcterms:created>
  <dcterms:modified xsi:type="dcterms:W3CDTF">2022-06-01T13:03:00Z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202201538</vt:lpwstr>
  </property>
  <property fmtid="{D5CDD505-2E9C-101B-9397-08002B2CF9AE}" pid="3" name="Language">
    <vt:lpwstr>F</vt:lpwstr>
  </property>
</Properties>
</file>