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03EA8" w14:textId="0DF98D67" w:rsidR="00874F6E" w:rsidRPr="006F2A2B" w:rsidRDefault="00874F6E" w:rsidP="00C045AA">
      <w:pPr>
        <w:tabs>
          <w:tab w:val="left" w:pos="1545"/>
        </w:tabs>
        <w:spacing w:after="240"/>
        <w:jc w:val="both"/>
        <w:rPr>
          <w:b/>
          <w:lang w:val="ru-RU"/>
        </w:rPr>
      </w:pPr>
      <w:r>
        <w:rPr>
          <w:b/>
          <w:bCs/>
          <w:lang w:val="ru-RU"/>
        </w:rPr>
        <w:t>Рабочее резюме</w:t>
      </w:r>
    </w:p>
    <w:p w14:paraId="488CEA77" w14:textId="779E86D7" w:rsidR="00874F6E" w:rsidRPr="003D5B6F" w:rsidRDefault="00874F6E" w:rsidP="00C045AA">
      <w:pPr>
        <w:spacing w:after="240"/>
        <w:jc w:val="both"/>
        <w:rPr>
          <w:lang w:val="ru-RU"/>
        </w:rPr>
      </w:pPr>
      <w:r>
        <w:rPr>
          <w:lang w:val="ru-RU"/>
        </w:rPr>
        <w:t>Межправительственная координационная группа по системе раннего предупреждения о цунами и смягчения их последствий в Северо-Восточной Атлантике, Средиземном и прилегающих морях (МКГ/СПЦСВАСМ) провела свою 17-ю сессию 24-26 ноября 2021 г. в режиме онлайн. В ней приняли участие представители 16 государств-членов. МКГ утвердила следующие решения и рекомендации:</w:t>
      </w:r>
    </w:p>
    <w:p w14:paraId="610BBE68" w14:textId="77777777" w:rsidR="00874F6E" w:rsidRPr="003D5B6F" w:rsidRDefault="00874F6E" w:rsidP="00C045AA">
      <w:pPr>
        <w:spacing w:after="240"/>
        <w:jc w:val="both"/>
        <w:rPr>
          <w:b/>
          <w:lang w:val="ru-RU"/>
        </w:rPr>
      </w:pPr>
      <w:r>
        <w:rPr>
          <w:lang w:val="ru-RU"/>
        </w:rPr>
        <w:t>МКГ/СПЦСВАСМ</w:t>
      </w:r>
    </w:p>
    <w:p w14:paraId="1A949132" w14:textId="288DA7C3" w:rsidR="00874F6E" w:rsidRPr="003D5B6F" w:rsidRDefault="00874F6E" w:rsidP="00C045AA">
      <w:pPr>
        <w:spacing w:after="240"/>
        <w:jc w:val="both"/>
        <w:rPr>
          <w:lang w:val="ru-RU"/>
        </w:rPr>
      </w:pPr>
      <w:r>
        <w:rPr>
          <w:b/>
          <w:bCs/>
          <w:lang w:val="ru-RU"/>
        </w:rPr>
        <w:t xml:space="preserve">приняла к сведению </w:t>
      </w:r>
      <w:r>
        <w:rPr>
          <w:lang w:val="ru-RU"/>
        </w:rPr>
        <w:t xml:space="preserve">положительные результаты четвертых учений по предупреждению о цунами в регионе СВАСМ (Волна-21), проведенных 8-10 марта </w:t>
      </w:r>
      <w:r w:rsidR="003D5B6F">
        <w:rPr>
          <w:lang w:val="ru-RU"/>
        </w:rPr>
        <w:t>2021 </w:t>
      </w:r>
      <w:r>
        <w:rPr>
          <w:lang w:val="ru-RU"/>
        </w:rPr>
        <w:t>г., и значительное увеличение интереса к ним со стороны средств информации;</w:t>
      </w:r>
    </w:p>
    <w:p w14:paraId="5092F6D7" w14:textId="071FBD4A" w:rsidR="00874F6E" w:rsidRPr="003D5B6F" w:rsidRDefault="00874F6E" w:rsidP="00C045AA">
      <w:pPr>
        <w:spacing w:after="240"/>
        <w:jc w:val="both"/>
        <w:rPr>
          <w:lang w:val="ru-RU"/>
        </w:rPr>
      </w:pPr>
      <w:r>
        <w:rPr>
          <w:b/>
          <w:bCs/>
          <w:lang w:val="ru-RU"/>
        </w:rPr>
        <w:t>выразила признательность</w:t>
      </w:r>
      <w:r>
        <w:rPr>
          <w:lang w:val="ru-RU"/>
        </w:rPr>
        <w:t xml:space="preserve"> сопредседателям и членам целевой группы по учениям за подготовку доклада об оценке учений Волна-21 в регионе СВАСМ и </w:t>
      </w:r>
      <w:r>
        <w:rPr>
          <w:b/>
          <w:bCs/>
          <w:lang w:val="ru-RU"/>
        </w:rPr>
        <w:t xml:space="preserve">просила </w:t>
      </w:r>
      <w:r>
        <w:rPr>
          <w:lang w:val="ru-RU"/>
        </w:rPr>
        <w:t>их завершить работу над докладом в первом квартале 2022 г.;</w:t>
      </w:r>
    </w:p>
    <w:p w14:paraId="3114817B" w14:textId="77777777" w:rsidR="00874F6E" w:rsidRPr="003D5B6F" w:rsidRDefault="00874F6E" w:rsidP="00C045AA">
      <w:pPr>
        <w:spacing w:after="240"/>
        <w:jc w:val="both"/>
        <w:rPr>
          <w:lang w:val="ru-RU"/>
        </w:rPr>
      </w:pPr>
      <w:r>
        <w:rPr>
          <w:b/>
          <w:bCs/>
          <w:lang w:val="ru-RU"/>
        </w:rPr>
        <w:t xml:space="preserve">отметила </w:t>
      </w:r>
      <w:r>
        <w:rPr>
          <w:lang w:val="ru-RU"/>
        </w:rPr>
        <w:t>продолжающуюся работу по повышению осведомленности государств-членов об опасности цунами и обеспечению готовности к ним в межсессионный период, которая внесла вклад в проведение Всемирного дня распространения информации о проблеме цунами 5 ноября 2021 г. и соответствовала его принципам;</w:t>
      </w:r>
    </w:p>
    <w:p w14:paraId="7AB80A52" w14:textId="77777777" w:rsidR="00874F6E" w:rsidRPr="003D5B6F" w:rsidRDefault="00874F6E" w:rsidP="00C045AA">
      <w:pPr>
        <w:spacing w:after="240"/>
        <w:jc w:val="both"/>
        <w:rPr>
          <w:lang w:val="ru-RU"/>
        </w:rPr>
      </w:pPr>
      <w:r>
        <w:rPr>
          <w:b/>
          <w:bCs/>
          <w:lang w:val="ru-RU"/>
        </w:rPr>
        <w:t>высоко оценила</w:t>
      </w:r>
      <w:r>
        <w:rPr>
          <w:lang w:val="ru-RU"/>
        </w:rPr>
        <w:t xml:space="preserve"> учения по цунами во Франции и на Мальте, приуроченные ко Всемирному дню распространения информации о проблеме цунами;</w:t>
      </w:r>
    </w:p>
    <w:p w14:paraId="0170E64D" w14:textId="77777777" w:rsidR="00874F6E" w:rsidRPr="003D5B6F" w:rsidRDefault="00874F6E" w:rsidP="00C045AA">
      <w:pPr>
        <w:spacing w:after="240"/>
        <w:jc w:val="both"/>
        <w:rPr>
          <w:lang w:val="ru-RU"/>
        </w:rPr>
      </w:pPr>
      <w:r>
        <w:rPr>
          <w:b/>
          <w:bCs/>
          <w:lang w:val="ru-RU"/>
        </w:rPr>
        <w:t>приняла к сведению также</w:t>
      </w:r>
      <w:r>
        <w:rPr>
          <w:lang w:val="ru-RU"/>
        </w:rPr>
        <w:t xml:space="preserve"> работу, проведенную в межсессионный период группой по сертификации готовности к цунами в рамках рабочей группы 4 по информированию общественности, обеспечению готовности и смягчению последствий;</w:t>
      </w:r>
    </w:p>
    <w:p w14:paraId="633FCAD9" w14:textId="6D3AEEE6" w:rsidR="00874F6E" w:rsidRPr="003D5B6F" w:rsidRDefault="00874F6E" w:rsidP="00C045AA">
      <w:pPr>
        <w:spacing w:after="240"/>
        <w:jc w:val="both"/>
        <w:rPr>
          <w:lang w:val="ru-RU"/>
        </w:rPr>
      </w:pPr>
      <w:r>
        <w:rPr>
          <w:b/>
          <w:bCs/>
          <w:lang w:val="ru-RU"/>
        </w:rPr>
        <w:t>высоко оценила также</w:t>
      </w:r>
      <w:r>
        <w:rPr>
          <w:lang w:val="ru-RU"/>
        </w:rPr>
        <w:t xml:space="preserve"> прогресс, достигнутый населенными пунктами в департаменте Буш-дю-Рон и городом Канны (Франция), населенными пунктами острова Кос (Греция), населенными пунктами Израиля, коммунами Минтурно, Пачино, Пальми (Италия), деревней Марсашлокк (Мальта), коммунами Азорских островов, Кашкайш, Лагуш, Лиссабон, острова Мадейра, Портиман, Сетубал (Португалия), коммунами Чипионы (Испания), Бодрумом и Стамбулом (Турция) в обеспечении готовности к цунами и подготовке к получению соответствующего сертификата;</w:t>
      </w:r>
    </w:p>
    <w:p w14:paraId="2155CD7D" w14:textId="49C9F8DE" w:rsidR="00874F6E" w:rsidRPr="003D5B6F" w:rsidRDefault="00874F6E" w:rsidP="00C045AA">
      <w:pPr>
        <w:spacing w:after="240"/>
        <w:jc w:val="both"/>
        <w:rPr>
          <w:lang w:val="ru-RU"/>
        </w:rPr>
      </w:pPr>
      <w:r>
        <w:rPr>
          <w:b/>
          <w:bCs/>
          <w:lang w:val="ru-RU"/>
        </w:rPr>
        <w:t xml:space="preserve">приветствовала </w:t>
      </w:r>
      <w:r>
        <w:rPr>
          <w:lang w:val="ru-RU"/>
        </w:rPr>
        <w:t>завершение работы над стратегическим документом МКГ/СПЦСВАСМ на 2021-2030 гг.;</w:t>
      </w:r>
    </w:p>
    <w:p w14:paraId="73B8ED81" w14:textId="52C5AD28" w:rsidR="00874F6E" w:rsidRPr="003D5B6F" w:rsidRDefault="00874F6E" w:rsidP="00C045AA">
      <w:pPr>
        <w:spacing w:after="240"/>
        <w:jc w:val="both"/>
        <w:rPr>
          <w:lang w:val="ru-RU"/>
        </w:rPr>
      </w:pPr>
      <w:r>
        <w:rPr>
          <w:b/>
          <w:bCs/>
          <w:lang w:val="ru-RU"/>
        </w:rPr>
        <w:t>выразила признательность</w:t>
      </w:r>
      <w:r>
        <w:rPr>
          <w:lang w:val="ru-RU"/>
        </w:rPr>
        <w:t xml:space="preserve"> сопредседателям целевой группы по документации за подготовку стратегии МКГ/СПЦСВАСМ на 2021-2030 гг. и </w:t>
      </w:r>
      <w:r>
        <w:rPr>
          <w:b/>
          <w:bCs/>
          <w:lang w:val="ru-RU"/>
        </w:rPr>
        <w:t xml:space="preserve">призвала </w:t>
      </w:r>
      <w:r>
        <w:rPr>
          <w:lang w:val="ru-RU"/>
        </w:rPr>
        <w:t>государства-члены и партнеров внести свой вклад в ее реализацию;</w:t>
      </w:r>
    </w:p>
    <w:p w14:paraId="187C5771" w14:textId="3BDA970C" w:rsidR="00874F6E" w:rsidRPr="003D5B6F" w:rsidRDefault="00874F6E" w:rsidP="00C045AA">
      <w:pPr>
        <w:spacing w:after="240"/>
        <w:jc w:val="both"/>
        <w:rPr>
          <w:lang w:val="ru-RU"/>
        </w:rPr>
      </w:pPr>
      <w:r>
        <w:rPr>
          <w:b/>
          <w:bCs/>
          <w:lang w:val="ru-RU"/>
        </w:rPr>
        <w:t xml:space="preserve">приветствовала также </w:t>
      </w:r>
      <w:r>
        <w:rPr>
          <w:lang w:val="ru-RU"/>
        </w:rPr>
        <w:t>назначение контактного лица по цунами на национальном уровне и координатора по предупреждению о цунами в Ливии;</w:t>
      </w:r>
    </w:p>
    <w:p w14:paraId="75333AFA" w14:textId="3B7B2EE7" w:rsidR="00874F6E" w:rsidRPr="003D5B6F" w:rsidRDefault="00874F6E" w:rsidP="00C045AA">
      <w:pPr>
        <w:spacing w:after="240"/>
        <w:jc w:val="both"/>
        <w:rPr>
          <w:lang w:val="ru-RU"/>
        </w:rPr>
      </w:pPr>
      <w:r>
        <w:rPr>
          <w:b/>
          <w:bCs/>
          <w:lang w:val="ru-RU"/>
        </w:rPr>
        <w:t>приветствовала далее</w:t>
      </w:r>
      <w:r>
        <w:rPr>
          <w:lang w:val="ru-RU"/>
        </w:rPr>
        <w:t xml:space="preserve"> новый проект генерального директората Европейского Союза по гражданской обороне и европейским операциям гуманитарной помощи под названием </w:t>
      </w:r>
      <w:r w:rsidR="006F2A2B">
        <w:rPr>
          <w:lang w:val="ru-RU"/>
        </w:rPr>
        <w:t>«</w:t>
      </w:r>
      <w:r>
        <w:rPr>
          <w:lang w:val="ru-RU"/>
        </w:rPr>
        <w:t>Укрепление потенциала прибрежных сообществ в регионе Северо-Восточной Атлантики и Средиземноморья в области противодействия цунами и другим опасным явлениям, связанным с изменением уровня моря</w:t>
      </w:r>
      <w:r w:rsidR="006F2A2B">
        <w:rPr>
          <w:lang w:val="ru-RU"/>
        </w:rPr>
        <w:t>»</w:t>
      </w:r>
      <w:r>
        <w:rPr>
          <w:lang w:val="ru-RU"/>
        </w:rPr>
        <w:t>;</w:t>
      </w:r>
    </w:p>
    <w:p w14:paraId="496A7A1D" w14:textId="4E680583" w:rsidR="00874F6E" w:rsidRPr="003D5B6F" w:rsidRDefault="00F94A3E" w:rsidP="00C045AA">
      <w:pPr>
        <w:spacing w:after="240"/>
        <w:jc w:val="both"/>
        <w:rPr>
          <w:color w:val="001E2E"/>
          <w:lang w:val="ru-RU"/>
        </w:rPr>
      </w:pPr>
      <w:r>
        <w:rPr>
          <w:b/>
          <w:bCs/>
          <w:lang w:val="ru-RU"/>
        </w:rPr>
        <w:lastRenderedPageBreak/>
        <w:t>приняла к сведению далее</w:t>
      </w:r>
      <w:r>
        <w:rPr>
          <w:lang w:val="ru-RU"/>
        </w:rPr>
        <w:t xml:space="preserve"> подготовленное Секретариатом исследование, посвященное восприятию множественных рисков в прибрежных районах и устойчивости к ним, а также составлению вопросников по этой тематике, в качестве вклада в реализацию нового проекта генерального директората Европейского Союза по гражданской обороне и европейским операциям гуманитарной помощи под названием </w:t>
      </w:r>
      <w:r w:rsidR="005D7767">
        <w:rPr>
          <w:lang w:val="ru-RU"/>
        </w:rPr>
        <w:t>«</w:t>
      </w:r>
      <w:r>
        <w:rPr>
          <w:lang w:val="ru-RU"/>
        </w:rPr>
        <w:t>Понимание риска цунами и других рисков, связанных с уровнем моря, а также информирование о них</w:t>
      </w:r>
      <w:r w:rsidR="005D7767">
        <w:rPr>
          <w:lang w:val="ru-RU"/>
        </w:rPr>
        <w:t>»</w:t>
      </w:r>
      <w:r>
        <w:rPr>
          <w:lang w:val="ru-RU"/>
        </w:rPr>
        <w:t>;</w:t>
      </w:r>
    </w:p>
    <w:p w14:paraId="14DB7697" w14:textId="0EE2EABD" w:rsidR="00874F6E" w:rsidRPr="003D5B6F" w:rsidRDefault="00874F6E" w:rsidP="00C045AA">
      <w:pPr>
        <w:spacing w:after="240"/>
        <w:jc w:val="both"/>
        <w:rPr>
          <w:color w:val="001E2E"/>
          <w:lang w:val="ru-RU"/>
        </w:rPr>
      </w:pPr>
      <w:r>
        <w:rPr>
          <w:b/>
          <w:bCs/>
          <w:lang w:val="ru-RU"/>
        </w:rPr>
        <w:t xml:space="preserve">отметила также </w:t>
      </w:r>
      <w:r>
        <w:rPr>
          <w:lang w:val="ru-RU"/>
        </w:rPr>
        <w:t xml:space="preserve">поддержку со стороны Европейской комиссии (ЕК) и Объединенного исследовательского центра (ОИЦ) в области укрепления потенциала, включая развитие материально-технической базы и оснащение новым оборудованием для проведения исследований и измерения уровня моря, а также предоставление данных о проведенных замерах, в частности, в рамках второго этапа проекта «Последняя миля», осуществляемого на Мальте, и поддержку, оказанную в организации первых учений полного цикла по цунами в деревне Марсашлокк (Мальта); </w:t>
      </w:r>
    </w:p>
    <w:p w14:paraId="42614058" w14:textId="73910AA3" w:rsidR="00874F6E" w:rsidRPr="003D5B6F" w:rsidRDefault="00874F6E" w:rsidP="00C045AA">
      <w:pPr>
        <w:spacing w:after="240"/>
        <w:jc w:val="both"/>
        <w:rPr>
          <w:lang w:val="ru-RU"/>
        </w:rPr>
      </w:pPr>
      <w:r>
        <w:rPr>
          <w:b/>
          <w:bCs/>
          <w:lang w:val="ru-RU"/>
        </w:rPr>
        <w:t xml:space="preserve">одобрила </w:t>
      </w:r>
      <w:r>
        <w:rPr>
          <w:lang w:val="ru-RU"/>
        </w:rPr>
        <w:t xml:space="preserve">дополнительные рекомендации рабочих и целевых групп, изложенные в приложении; </w:t>
      </w:r>
    </w:p>
    <w:p w14:paraId="27EE405E" w14:textId="77777777" w:rsidR="00874F6E" w:rsidRPr="003D5B6F" w:rsidRDefault="00874F6E" w:rsidP="00C045AA">
      <w:pPr>
        <w:spacing w:after="240"/>
        <w:jc w:val="both"/>
        <w:rPr>
          <w:lang w:val="ru-RU"/>
        </w:rPr>
      </w:pPr>
      <w:r>
        <w:rPr>
          <w:b/>
          <w:bCs/>
          <w:lang w:val="ru-RU"/>
        </w:rPr>
        <w:t xml:space="preserve">постановила </w:t>
      </w:r>
      <w:r>
        <w:rPr>
          <w:lang w:val="ru-RU"/>
        </w:rPr>
        <w:t>в ближайшие два года подготовить к получению сертификата по готовности к цунами не менее десяти общин в Средиземноморском регионе, с тем чтобы внести свой вклад в обеспечение к 2030 г. готовности и устойчивости к цунами 100% подверженных риску цунами общин посредством реализации программы МОК ЮНЕСКО по сертификации готовности к цунами и других инициатив;</w:t>
      </w:r>
    </w:p>
    <w:p w14:paraId="7A282C2A" w14:textId="2087DDA9" w:rsidR="00874F6E" w:rsidRPr="00D51B2D" w:rsidRDefault="00874F6E" w:rsidP="00C045AA">
      <w:pPr>
        <w:spacing w:after="240"/>
        <w:jc w:val="both"/>
      </w:pPr>
      <w:r>
        <w:rPr>
          <w:b/>
          <w:bCs/>
          <w:lang w:val="ru-RU"/>
        </w:rPr>
        <w:t>постановила также</w:t>
      </w:r>
      <w:r>
        <w:rPr>
          <w:lang w:val="ru-RU"/>
        </w:rPr>
        <w:t>:</w:t>
      </w:r>
    </w:p>
    <w:p w14:paraId="7233352D" w14:textId="5C3930F0" w:rsidR="00874F6E" w:rsidRPr="00D51B2D" w:rsidRDefault="00874F6E" w:rsidP="00821BF5">
      <w:pPr>
        <w:numPr>
          <w:ilvl w:val="0"/>
          <w:numId w:val="2"/>
        </w:numPr>
        <w:pBdr>
          <w:top w:val="nil"/>
          <w:left w:val="nil"/>
          <w:bottom w:val="nil"/>
          <w:right w:val="nil"/>
          <w:between w:val="nil"/>
        </w:pBdr>
        <w:spacing w:after="240"/>
        <w:ind w:left="567" w:hanging="567"/>
        <w:jc w:val="both"/>
        <w:rPr>
          <w:color w:val="000000"/>
        </w:rPr>
      </w:pPr>
      <w:r>
        <w:rPr>
          <w:lang w:val="ru-RU"/>
        </w:rPr>
        <w:t xml:space="preserve">продолжить совместную работу рабочих групп 2 и 3 в соответствии с пересмотренным кругом ведения (приложение 1 к решению ICG/NEAMTWS-XVII.1); </w:t>
      </w:r>
    </w:p>
    <w:p w14:paraId="318BEB2C" w14:textId="30A4477C" w:rsidR="00874F6E" w:rsidRPr="00D51B2D" w:rsidRDefault="00874F6E" w:rsidP="00821BF5">
      <w:pPr>
        <w:numPr>
          <w:ilvl w:val="0"/>
          <w:numId w:val="2"/>
        </w:numPr>
        <w:pBdr>
          <w:top w:val="nil"/>
          <w:left w:val="nil"/>
          <w:bottom w:val="nil"/>
          <w:right w:val="nil"/>
          <w:between w:val="nil"/>
        </w:pBdr>
        <w:spacing w:after="240"/>
        <w:ind w:left="567" w:hanging="567"/>
        <w:jc w:val="both"/>
        <w:rPr>
          <w:color w:val="000000"/>
        </w:rPr>
      </w:pPr>
      <w:r>
        <w:rPr>
          <w:lang w:val="ru-RU"/>
        </w:rPr>
        <w:t>продолжить работу целевой группы по документации в соответствии с пересмотренным кругом ведения (приложение 2 к решению ICG/NEAMTWS-XVII.1);</w:t>
      </w:r>
    </w:p>
    <w:p w14:paraId="5FC9B925" w14:textId="452ED710" w:rsidR="00874F6E" w:rsidRPr="00D51B2D" w:rsidRDefault="00874F6E" w:rsidP="00821BF5">
      <w:pPr>
        <w:numPr>
          <w:ilvl w:val="0"/>
          <w:numId w:val="2"/>
        </w:numPr>
        <w:pBdr>
          <w:top w:val="nil"/>
          <w:left w:val="nil"/>
          <w:bottom w:val="nil"/>
          <w:right w:val="nil"/>
          <w:between w:val="nil"/>
        </w:pBdr>
        <w:spacing w:after="240"/>
        <w:ind w:left="567" w:hanging="567"/>
        <w:jc w:val="both"/>
        <w:rPr>
          <w:color w:val="000000"/>
        </w:rPr>
      </w:pPr>
      <w:r>
        <w:rPr>
          <w:lang w:val="ru-RU"/>
        </w:rPr>
        <w:t>продолжить работу целевой группы по учениям, связанным с цунами, в соответствии с пересмотренным кругом ведения (приложение 3 к решению ICG/NEAMTWS-XVII.1);</w:t>
      </w:r>
    </w:p>
    <w:p w14:paraId="58D0A931" w14:textId="5A1EA0F5" w:rsidR="00874F6E" w:rsidRPr="00D51B2D" w:rsidRDefault="00874F6E" w:rsidP="00821BF5">
      <w:pPr>
        <w:numPr>
          <w:ilvl w:val="0"/>
          <w:numId w:val="2"/>
        </w:numPr>
        <w:pBdr>
          <w:top w:val="nil"/>
          <w:left w:val="nil"/>
          <w:bottom w:val="nil"/>
          <w:right w:val="nil"/>
          <w:between w:val="nil"/>
        </w:pBdr>
        <w:spacing w:after="240"/>
        <w:ind w:left="567" w:hanging="567"/>
        <w:jc w:val="both"/>
        <w:rPr>
          <w:color w:val="000000"/>
        </w:rPr>
      </w:pPr>
      <w:r>
        <w:rPr>
          <w:lang w:val="ru-RU"/>
        </w:rPr>
        <w:t>продолжить работу целевой группы по операциям в соответствии с пересмотренным кругом ведения (приложение 4 к решению ICG/NEAMTWS-XVII.1);</w:t>
      </w:r>
    </w:p>
    <w:p w14:paraId="57F79417" w14:textId="0263297D" w:rsidR="00874F6E" w:rsidRPr="00D51B2D" w:rsidRDefault="00874F6E" w:rsidP="00821BF5">
      <w:pPr>
        <w:numPr>
          <w:ilvl w:val="0"/>
          <w:numId w:val="2"/>
        </w:numPr>
        <w:pBdr>
          <w:top w:val="nil"/>
          <w:left w:val="nil"/>
          <w:bottom w:val="nil"/>
          <w:right w:val="nil"/>
          <w:between w:val="nil"/>
        </w:pBdr>
        <w:spacing w:after="240"/>
        <w:ind w:left="567" w:hanging="567"/>
        <w:jc w:val="both"/>
        <w:rPr>
          <w:color w:val="000000"/>
        </w:rPr>
      </w:pPr>
      <w:r>
        <w:rPr>
          <w:lang w:val="ru-RU"/>
        </w:rPr>
        <w:t xml:space="preserve">официально создать целевую группу по сертификации готовности к цунами с соответствующим кругом ведения (приложение 5 к решению ICG/NEAMTWS-XVII.1);  </w:t>
      </w:r>
    </w:p>
    <w:p w14:paraId="4FF927A5" w14:textId="50126F6D" w:rsidR="00874F6E" w:rsidRPr="00D51B2D" w:rsidRDefault="00874F6E" w:rsidP="00821BF5">
      <w:pPr>
        <w:numPr>
          <w:ilvl w:val="0"/>
          <w:numId w:val="2"/>
        </w:numPr>
        <w:pBdr>
          <w:top w:val="nil"/>
          <w:left w:val="nil"/>
          <w:bottom w:val="nil"/>
          <w:right w:val="nil"/>
          <w:between w:val="nil"/>
        </w:pBdr>
        <w:spacing w:after="240"/>
        <w:ind w:left="567" w:hanging="567"/>
        <w:jc w:val="both"/>
        <w:rPr>
          <w:color w:val="000000"/>
        </w:rPr>
      </w:pPr>
      <w:r>
        <w:rPr>
          <w:lang w:val="ru-RU"/>
        </w:rPr>
        <w:t xml:space="preserve">продолжить работу руководящего комитета в межсессионный период в соответствии с пересмотренным кругом ведения (приложение 6 к решению ICG/NEAMTWS-XVII.1); </w:t>
      </w:r>
    </w:p>
    <w:p w14:paraId="2472D75C" w14:textId="6E4997CA" w:rsidR="00874F6E" w:rsidRPr="003D5B6F" w:rsidRDefault="00874F6E" w:rsidP="00821BF5">
      <w:pPr>
        <w:numPr>
          <w:ilvl w:val="0"/>
          <w:numId w:val="2"/>
        </w:numPr>
        <w:pBdr>
          <w:top w:val="nil"/>
          <w:left w:val="nil"/>
          <w:bottom w:val="nil"/>
          <w:right w:val="nil"/>
          <w:between w:val="nil"/>
        </w:pBdr>
        <w:spacing w:after="240"/>
        <w:ind w:left="567" w:hanging="567"/>
        <w:jc w:val="both"/>
        <w:rPr>
          <w:color w:val="000000"/>
          <w:lang w:val="ru-RU"/>
        </w:rPr>
      </w:pPr>
      <w:r>
        <w:rPr>
          <w:lang w:val="ru-RU"/>
        </w:rPr>
        <w:t>провести учения Волна-23 в регионе СВАСМ в течение первой недели ноября 2023 г.;</w:t>
      </w:r>
    </w:p>
    <w:p w14:paraId="3435AC0B" w14:textId="59CC7172" w:rsidR="00874F6E" w:rsidRPr="003D5B6F" w:rsidRDefault="00874F6E" w:rsidP="00C045AA">
      <w:pPr>
        <w:spacing w:after="240"/>
        <w:jc w:val="both"/>
        <w:rPr>
          <w:color w:val="000000"/>
          <w:lang w:val="ru-RU"/>
        </w:rPr>
      </w:pPr>
      <w:r>
        <w:rPr>
          <w:b/>
          <w:bCs/>
          <w:lang w:val="ru-RU"/>
        </w:rPr>
        <w:t xml:space="preserve">рекомендовала </w:t>
      </w:r>
      <w:r>
        <w:rPr>
          <w:lang w:val="ru-RU"/>
        </w:rPr>
        <w:t xml:space="preserve">расширить участие государств-членов в деятельности МКГ, уделяя особое внимание образованию в области цунами, повышению осведомленности и обеспечению готовности к цунами, а также продолжить исследования и обмен опытом в ходе реализации программы сертификации готовности к цунами для региона СВАСМ; </w:t>
      </w:r>
    </w:p>
    <w:p w14:paraId="0A15F804" w14:textId="00E698F5" w:rsidR="00874F6E" w:rsidRPr="00D51B2D" w:rsidRDefault="00874F6E" w:rsidP="00C045AA">
      <w:pPr>
        <w:spacing w:after="240"/>
        <w:jc w:val="both"/>
        <w:rPr>
          <w:b/>
        </w:rPr>
      </w:pPr>
      <w:r>
        <w:rPr>
          <w:b/>
          <w:bCs/>
          <w:lang w:val="ru-RU"/>
        </w:rPr>
        <w:t>рекомендовала также:</w:t>
      </w:r>
    </w:p>
    <w:p w14:paraId="07D87903" w14:textId="1E5463C6" w:rsidR="00874F6E" w:rsidRPr="003D5B6F" w:rsidRDefault="00874F6E" w:rsidP="007B0057">
      <w:pPr>
        <w:numPr>
          <w:ilvl w:val="0"/>
          <w:numId w:val="1"/>
        </w:numPr>
        <w:pBdr>
          <w:top w:val="nil"/>
          <w:left w:val="nil"/>
          <w:bottom w:val="nil"/>
          <w:right w:val="nil"/>
          <w:between w:val="nil"/>
        </w:pBdr>
        <w:spacing w:after="240"/>
        <w:ind w:left="567" w:hanging="567"/>
        <w:jc w:val="both"/>
        <w:rPr>
          <w:color w:val="000000"/>
          <w:lang w:val="ru-RU"/>
        </w:rPr>
      </w:pPr>
      <w:r>
        <w:rPr>
          <w:lang w:val="ru-RU"/>
        </w:rPr>
        <w:t xml:space="preserve">всем поставщикам услуг в области цунами продолжить представление информации об уровне готовности с использованием успешно зарекомендовавших себя методологий, </w:t>
      </w:r>
      <w:r>
        <w:rPr>
          <w:lang w:val="ru-RU"/>
        </w:rPr>
        <w:lastRenderedPageBreak/>
        <w:t xml:space="preserve">включая (по возможности различные) матрицы принятия решений, базы данных по возможным сценариям и другие методики, которые необходимо отразить в </w:t>
      </w:r>
      <w:hyperlink r:id="rId7" w:history="1">
        <w:r w:rsidRPr="003D5B6F">
          <w:rPr>
            <w:rStyle w:val="Hyperlink"/>
            <w:lang w:val="ru-RU"/>
          </w:rPr>
          <w:t>Оперативном руководстве для пользователей СПЦСВАСМ</w:t>
        </w:r>
      </w:hyperlink>
      <w:r>
        <w:rPr>
          <w:lang w:val="ru-RU"/>
        </w:rPr>
        <w:t xml:space="preserve">; </w:t>
      </w:r>
    </w:p>
    <w:p w14:paraId="16A72D7A" w14:textId="3D44C364" w:rsidR="00874F6E" w:rsidRPr="003D5B6F" w:rsidRDefault="003B50AD" w:rsidP="007B0057">
      <w:pPr>
        <w:numPr>
          <w:ilvl w:val="0"/>
          <w:numId w:val="1"/>
        </w:numPr>
        <w:pBdr>
          <w:top w:val="nil"/>
          <w:left w:val="nil"/>
          <w:bottom w:val="nil"/>
          <w:right w:val="nil"/>
          <w:between w:val="nil"/>
        </w:pBdr>
        <w:spacing w:after="240"/>
        <w:ind w:left="567" w:hanging="567"/>
        <w:jc w:val="both"/>
        <w:rPr>
          <w:color w:val="000000"/>
          <w:lang w:val="ru-RU"/>
        </w:rPr>
      </w:pPr>
      <w:r>
        <w:rPr>
          <w:lang w:val="ru-RU"/>
        </w:rPr>
        <w:t>координаторам по предупреждению о цунами (КПЦ) в тесном взаимодействии со своими национальными центрами предупреждения о цунами разработать в необходимых случаях стандартные оперативные процедуры реагирования в случае поступления от поставщиков услуг в области цунами (ПУЦ) противоречивых предупреждений, руководствуясь подготовленными рабочей группой 1 в 2017 г. методическими указаниями «Руководящие принципы в отношении неясных сообщений ПУЦ»;</w:t>
      </w:r>
    </w:p>
    <w:p w14:paraId="26885C71" w14:textId="1208B75C" w:rsidR="00874F6E" w:rsidRPr="003D5B6F" w:rsidRDefault="003B50AD" w:rsidP="007B0057">
      <w:pPr>
        <w:numPr>
          <w:ilvl w:val="0"/>
          <w:numId w:val="1"/>
        </w:numPr>
        <w:pBdr>
          <w:top w:val="nil"/>
          <w:left w:val="nil"/>
          <w:bottom w:val="nil"/>
          <w:right w:val="nil"/>
          <w:between w:val="nil"/>
        </w:pBdr>
        <w:spacing w:after="240"/>
        <w:ind w:left="567" w:hanging="567"/>
        <w:jc w:val="both"/>
        <w:rPr>
          <w:color w:val="000000"/>
          <w:lang w:val="ru-RU"/>
        </w:rPr>
      </w:pPr>
      <w:r>
        <w:rPr>
          <w:lang w:val="ru-RU"/>
        </w:rPr>
        <w:t>предоставить, по возможности, ПУЦ и НЦПЦ доступ ко всем данным об уровне моря на основании двусторонних соглашений между ПУЦ и НЦПЦ;</w:t>
      </w:r>
    </w:p>
    <w:p w14:paraId="584F1A97" w14:textId="736F0AB4" w:rsidR="00874F6E" w:rsidRPr="003D5B6F" w:rsidRDefault="003B50AD" w:rsidP="007B0057">
      <w:pPr>
        <w:numPr>
          <w:ilvl w:val="0"/>
          <w:numId w:val="1"/>
        </w:numPr>
        <w:pBdr>
          <w:top w:val="nil"/>
          <w:left w:val="nil"/>
          <w:bottom w:val="nil"/>
          <w:right w:val="nil"/>
          <w:between w:val="nil"/>
        </w:pBdr>
        <w:spacing w:after="240"/>
        <w:ind w:left="567" w:hanging="567"/>
        <w:jc w:val="both"/>
        <w:rPr>
          <w:color w:val="000000"/>
          <w:lang w:val="ru-RU"/>
        </w:rPr>
      </w:pPr>
      <w:r>
        <w:rPr>
          <w:lang w:val="ru-RU"/>
        </w:rPr>
        <w:t>увеличить число сейсмических станций и станций измерения уровня моря на севере Африки, при этом при измерении уровня моря, особенно с учетом цунами, возникающих в районах, не относящихся к зоне субдукции, а также имеющих несейсмическое происхождение, увеличить частоту выборки (до 1 образца в секунду) и сократить задержку до 1 минуты или менее, насколько это возможно;</w:t>
      </w:r>
    </w:p>
    <w:p w14:paraId="6DBBEDE4" w14:textId="403DDC85" w:rsidR="00874F6E" w:rsidRPr="00C045AA" w:rsidRDefault="00874F6E" w:rsidP="00C045AA">
      <w:pPr>
        <w:spacing w:after="240"/>
        <w:jc w:val="both"/>
        <w:rPr>
          <w:lang w:val="ru-RU"/>
        </w:rPr>
      </w:pPr>
      <w:r>
        <w:rPr>
          <w:b/>
          <w:bCs/>
          <w:lang w:val="ru-RU"/>
        </w:rPr>
        <w:t>призвала</w:t>
      </w:r>
      <w:r w:rsidR="003D5B6F">
        <w:rPr>
          <w:b/>
          <w:bCs/>
          <w:lang w:val="ru-RU"/>
        </w:rPr>
        <w:t xml:space="preserve"> также</w:t>
      </w:r>
      <w:r>
        <w:rPr>
          <w:b/>
          <w:bCs/>
          <w:lang w:val="ru-RU"/>
        </w:rPr>
        <w:t xml:space="preserve"> </w:t>
      </w:r>
      <w:r>
        <w:rPr>
          <w:lang w:val="ru-RU"/>
        </w:rPr>
        <w:t>государства-члены принять у себя 18-ю сессию МКГ/СПЦСВАСМ;</w:t>
      </w:r>
    </w:p>
    <w:p w14:paraId="5DA23844" w14:textId="77777777" w:rsidR="00874F6E" w:rsidRPr="003D5B6F" w:rsidRDefault="00874F6E" w:rsidP="00C045AA">
      <w:pPr>
        <w:spacing w:after="240"/>
        <w:jc w:val="both"/>
        <w:rPr>
          <w:lang w:val="ru-RU"/>
        </w:rPr>
      </w:pPr>
      <w:r w:rsidRPr="000A67D5">
        <w:rPr>
          <w:b/>
          <w:lang w:val="ru-RU"/>
        </w:rPr>
        <w:t>поблагодарила</w:t>
      </w:r>
      <w:r>
        <w:rPr>
          <w:lang w:val="ru-RU"/>
        </w:rPr>
        <w:t xml:space="preserve"> Секретариат за проведение 17-й сессии МКГ/СПЦСВАСМ в режиме онлайн.</w:t>
      </w:r>
    </w:p>
    <w:p w14:paraId="26836740" w14:textId="284F84B4" w:rsidR="00411EBD" w:rsidRPr="003D5B6F" w:rsidRDefault="00411EBD" w:rsidP="00C045AA">
      <w:pPr>
        <w:rPr>
          <w:lang w:val="ru-RU"/>
        </w:rPr>
      </w:pPr>
    </w:p>
    <w:sectPr w:rsidR="00411EBD" w:rsidRPr="003D5B6F" w:rsidSect="00C045AA">
      <w:headerReference w:type="default" r:id="rId8"/>
      <w:footerReference w:type="default" r:id="rId9"/>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7A9CB" w14:textId="77777777" w:rsidR="007D428B" w:rsidRDefault="007D428B" w:rsidP="00874F6E">
      <w:r>
        <w:separator/>
      </w:r>
    </w:p>
  </w:endnote>
  <w:endnote w:type="continuationSeparator" w:id="0">
    <w:p w14:paraId="37BB97E1" w14:textId="77777777" w:rsidR="007D428B" w:rsidRDefault="007D428B" w:rsidP="00874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808674"/>
      <w:docPartObj>
        <w:docPartGallery w:val="Page Numbers (Bottom of Page)"/>
        <w:docPartUnique/>
      </w:docPartObj>
    </w:sdtPr>
    <w:sdtEndPr>
      <w:rPr>
        <w:noProof/>
      </w:rPr>
    </w:sdtEndPr>
    <w:sdtContent>
      <w:p w14:paraId="22350187" w14:textId="579B4CC3" w:rsidR="00874F6E" w:rsidRDefault="00874F6E">
        <w:pPr>
          <w:pStyle w:val="Footer"/>
          <w:jc w:val="center"/>
        </w:pPr>
        <w:r>
          <w:fldChar w:fldCharType="begin"/>
        </w:r>
        <w:r>
          <w:instrText xml:space="preserve"> PAGE   \* MERGEFORMAT </w:instrText>
        </w:r>
        <w:r>
          <w:fldChar w:fldCharType="separate"/>
        </w:r>
        <w:r w:rsidR="00206C41">
          <w:rPr>
            <w:noProof/>
          </w:rPr>
          <w:t>2</w:t>
        </w:r>
        <w:r>
          <w:rPr>
            <w:noProof/>
          </w:rPr>
          <w:fldChar w:fldCharType="end"/>
        </w:r>
      </w:p>
    </w:sdtContent>
  </w:sdt>
  <w:p w14:paraId="2318796E" w14:textId="77777777" w:rsidR="00874F6E" w:rsidRDefault="00874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C090B" w14:textId="77777777" w:rsidR="007D428B" w:rsidRDefault="007D428B" w:rsidP="00874F6E">
      <w:r>
        <w:separator/>
      </w:r>
    </w:p>
  </w:footnote>
  <w:footnote w:type="continuationSeparator" w:id="0">
    <w:p w14:paraId="138CFC67" w14:textId="77777777" w:rsidR="007D428B" w:rsidRDefault="007D428B" w:rsidP="00874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8B21" w14:textId="4AF4D3D5" w:rsidR="00874F6E" w:rsidRDefault="00874F6E">
    <w:pPr>
      <w:pStyle w:val="Header"/>
    </w:pPr>
    <w:r>
      <w:rPr>
        <w:lang w:val="ru-RU"/>
      </w:rPr>
      <w:t>ICG/NEAMTWS-XVII/3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04BA1"/>
    <w:multiLevelType w:val="multilevel"/>
    <w:tmpl w:val="D63EA684"/>
    <w:lvl w:ilvl="0">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451E8E"/>
    <w:multiLevelType w:val="multilevel"/>
    <w:tmpl w:val="DA9ADA32"/>
    <w:lvl w:ilvl="0">
      <w:start w:val="1"/>
      <w:numFmt w:val="lowerRoman"/>
      <w:lvlText w:val="(%1)"/>
      <w:lvlJc w:val="left"/>
      <w:pPr>
        <w:ind w:left="720" w:hanging="360"/>
      </w:pPr>
      <w:rPr>
        <w:rFonts w:ascii="Arial" w:eastAsia="Times New Roman" w:hAnsi="Arial" w:cs="Arial" w:hint="default"/>
        <w:b w:val="0"/>
        <w:i w:val="0"/>
        <w:caps w:val="0"/>
        <w:strike w:val="0"/>
        <w:dstrike w:val="0"/>
        <w:vanish w:val="0"/>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10509E"/>
    <w:multiLevelType w:val="multilevel"/>
    <w:tmpl w:val="9E1C24DE"/>
    <w:lvl w:ilvl="0">
      <w:start w:val="1"/>
      <w:numFmt w:val="lowerRoman"/>
      <w:lvlText w:val="(%1)"/>
      <w:lvlJc w:val="left"/>
      <w:pPr>
        <w:ind w:left="720" w:hanging="360"/>
      </w:pPr>
      <w:rPr>
        <w:rFonts w:ascii="Arial" w:eastAsia="Times New Roman" w:hAnsi="Arial" w:cs="Arial" w:hint="default"/>
        <w:b w:val="0"/>
        <w:i w:val="0"/>
        <w:caps w:val="0"/>
        <w:strike w:val="0"/>
        <w:dstrike w:val="0"/>
        <w:vanish w:val="0"/>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24E1D2F"/>
    <w:multiLevelType w:val="multilevel"/>
    <w:tmpl w:val="ED22C386"/>
    <w:lvl w:ilvl="0">
      <w:start w:val="1"/>
      <w:numFmt w:val="lowerRoman"/>
      <w:lvlText w:val="%1)"/>
      <w:lvlJc w:val="left"/>
      <w:pPr>
        <w:ind w:left="1080" w:hanging="360"/>
      </w:pPr>
      <w:rPr>
        <w:rFonts w:ascii="Arial" w:hAnsi="Arial" w:hint="default"/>
        <w:b w:val="0"/>
        <w:i w:val="0"/>
        <w:caps w:val="0"/>
        <w:strike w:val="0"/>
        <w:dstrike w:val="0"/>
        <w:vanish w:val="0"/>
        <w:sz w:val="22"/>
        <w:vertAlign w:val="baseli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ctiveWritingStyle w:appName="MSWord" w:lang="ru-RU" w:vendorID="64" w:dllVersion="6" w:nlCheck="1" w:checkStyle="0"/>
  <w:proofState w:spelling="clean" w:grammar="clean"/>
  <w:defaultTabStop w:val="720"/>
  <w:autoHyphenation/>
  <w:hyphenationZone w:val="425"/>
  <w:doNotHyphenateCap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F30"/>
    <w:rsid w:val="000715B6"/>
    <w:rsid w:val="000A67D5"/>
    <w:rsid w:val="00106094"/>
    <w:rsid w:val="0015339A"/>
    <w:rsid w:val="001F00AD"/>
    <w:rsid w:val="00206C41"/>
    <w:rsid w:val="00316F30"/>
    <w:rsid w:val="003B50AD"/>
    <w:rsid w:val="003D5B6F"/>
    <w:rsid w:val="003F427D"/>
    <w:rsid w:val="00411EBD"/>
    <w:rsid w:val="0045634C"/>
    <w:rsid w:val="0048199E"/>
    <w:rsid w:val="005D7767"/>
    <w:rsid w:val="006300D4"/>
    <w:rsid w:val="006F2A2B"/>
    <w:rsid w:val="007235D0"/>
    <w:rsid w:val="00773D40"/>
    <w:rsid w:val="007B0057"/>
    <w:rsid w:val="007D428B"/>
    <w:rsid w:val="00815688"/>
    <w:rsid w:val="00821BF5"/>
    <w:rsid w:val="00874F6E"/>
    <w:rsid w:val="008A0B5E"/>
    <w:rsid w:val="008C3291"/>
    <w:rsid w:val="00A46DC5"/>
    <w:rsid w:val="00C045AA"/>
    <w:rsid w:val="00D71657"/>
    <w:rsid w:val="00DE5FD2"/>
    <w:rsid w:val="00DF7757"/>
    <w:rsid w:val="00F94A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48A624"/>
  <w15:chartTrackingRefBased/>
  <w15:docId w15:val="{2C5767FB-ADF3-4C40-874E-18FDAF7E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74F6E"/>
    <w:pPr>
      <w:spacing w:after="0" w:line="240" w:lineRule="auto"/>
    </w:pPr>
    <w:rPr>
      <w:rFonts w:ascii="Arial" w:eastAsia="Arial" w:hAnsi="Arial" w:cs="Arial"/>
      <w:lang w:val="en-CA"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F6E"/>
    <w:pPr>
      <w:tabs>
        <w:tab w:val="center" w:pos="4513"/>
        <w:tab w:val="right" w:pos="9026"/>
      </w:tabs>
    </w:pPr>
  </w:style>
  <w:style w:type="character" w:customStyle="1" w:styleId="HeaderChar">
    <w:name w:val="Header Char"/>
    <w:basedOn w:val="DefaultParagraphFont"/>
    <w:link w:val="Header"/>
    <w:uiPriority w:val="99"/>
    <w:rsid w:val="00874F6E"/>
    <w:rPr>
      <w:rFonts w:ascii="Arial" w:eastAsia="Arial" w:hAnsi="Arial" w:cs="Arial"/>
      <w:lang w:val="en-CA" w:eastAsia="es-ES"/>
    </w:rPr>
  </w:style>
  <w:style w:type="paragraph" w:styleId="Footer">
    <w:name w:val="footer"/>
    <w:basedOn w:val="Normal"/>
    <w:link w:val="FooterChar"/>
    <w:uiPriority w:val="99"/>
    <w:unhideWhenUsed/>
    <w:rsid w:val="00874F6E"/>
    <w:pPr>
      <w:tabs>
        <w:tab w:val="center" w:pos="4513"/>
        <w:tab w:val="right" w:pos="9026"/>
      </w:tabs>
    </w:pPr>
  </w:style>
  <w:style w:type="character" w:customStyle="1" w:styleId="FooterChar">
    <w:name w:val="Footer Char"/>
    <w:basedOn w:val="DefaultParagraphFont"/>
    <w:link w:val="Footer"/>
    <w:uiPriority w:val="99"/>
    <w:rsid w:val="00874F6E"/>
    <w:rPr>
      <w:rFonts w:ascii="Arial" w:eastAsia="Arial" w:hAnsi="Arial" w:cs="Arial"/>
      <w:lang w:val="en-CA" w:eastAsia="es-ES"/>
    </w:rPr>
  </w:style>
  <w:style w:type="character" w:styleId="CommentReference">
    <w:name w:val="annotation reference"/>
    <w:basedOn w:val="DefaultParagraphFont"/>
    <w:uiPriority w:val="99"/>
    <w:semiHidden/>
    <w:unhideWhenUsed/>
    <w:rsid w:val="00874F6E"/>
    <w:rPr>
      <w:sz w:val="16"/>
      <w:szCs w:val="16"/>
    </w:rPr>
  </w:style>
  <w:style w:type="paragraph" w:styleId="CommentText">
    <w:name w:val="annotation text"/>
    <w:basedOn w:val="Normal"/>
    <w:link w:val="CommentTextChar"/>
    <w:uiPriority w:val="99"/>
    <w:semiHidden/>
    <w:unhideWhenUsed/>
    <w:rsid w:val="00874F6E"/>
    <w:rPr>
      <w:sz w:val="20"/>
      <w:szCs w:val="20"/>
    </w:rPr>
  </w:style>
  <w:style w:type="character" w:customStyle="1" w:styleId="CommentTextChar">
    <w:name w:val="Comment Text Char"/>
    <w:basedOn w:val="DefaultParagraphFont"/>
    <w:link w:val="CommentText"/>
    <w:uiPriority w:val="99"/>
    <w:semiHidden/>
    <w:rsid w:val="00874F6E"/>
    <w:rPr>
      <w:rFonts w:ascii="Arial" w:eastAsia="Arial" w:hAnsi="Arial" w:cs="Arial"/>
      <w:sz w:val="20"/>
      <w:szCs w:val="20"/>
      <w:lang w:val="en-CA" w:eastAsia="es-ES"/>
    </w:rPr>
  </w:style>
  <w:style w:type="paragraph" w:styleId="CommentSubject">
    <w:name w:val="annotation subject"/>
    <w:basedOn w:val="CommentText"/>
    <w:next w:val="CommentText"/>
    <w:link w:val="CommentSubjectChar"/>
    <w:uiPriority w:val="99"/>
    <w:semiHidden/>
    <w:unhideWhenUsed/>
    <w:rsid w:val="00874F6E"/>
    <w:rPr>
      <w:b/>
      <w:bCs/>
    </w:rPr>
  </w:style>
  <w:style w:type="character" w:customStyle="1" w:styleId="CommentSubjectChar">
    <w:name w:val="Comment Subject Char"/>
    <w:basedOn w:val="CommentTextChar"/>
    <w:link w:val="CommentSubject"/>
    <w:uiPriority w:val="99"/>
    <w:semiHidden/>
    <w:rsid w:val="00874F6E"/>
    <w:rPr>
      <w:rFonts w:ascii="Arial" w:eastAsia="Arial" w:hAnsi="Arial" w:cs="Arial"/>
      <w:b/>
      <w:bCs/>
      <w:sz w:val="20"/>
      <w:szCs w:val="20"/>
      <w:lang w:val="en-CA" w:eastAsia="es-ES"/>
    </w:rPr>
  </w:style>
  <w:style w:type="paragraph" w:styleId="Revision">
    <w:name w:val="Revision"/>
    <w:hidden/>
    <w:uiPriority w:val="99"/>
    <w:semiHidden/>
    <w:rsid w:val="008C3291"/>
    <w:pPr>
      <w:spacing w:after="0" w:line="240" w:lineRule="auto"/>
    </w:pPr>
    <w:rPr>
      <w:rFonts w:ascii="Arial" w:eastAsia="Arial" w:hAnsi="Arial" w:cs="Arial"/>
      <w:lang w:val="en-CA" w:eastAsia="es-ES"/>
    </w:rPr>
  </w:style>
  <w:style w:type="character" w:styleId="Hyperlink">
    <w:name w:val="Hyperlink"/>
    <w:basedOn w:val="DefaultParagraphFont"/>
    <w:uiPriority w:val="99"/>
    <w:unhideWhenUsed/>
    <w:rsid w:val="008C3291"/>
    <w:rPr>
      <w:color w:val="0563C1" w:themeColor="hyperlink"/>
      <w:u w:val="single"/>
    </w:rPr>
  </w:style>
  <w:style w:type="character" w:customStyle="1" w:styleId="UnresolvedMention1">
    <w:name w:val="Unresolved Mention1"/>
    <w:basedOn w:val="DefaultParagraphFont"/>
    <w:uiPriority w:val="99"/>
    <w:semiHidden/>
    <w:unhideWhenUsed/>
    <w:rsid w:val="008C3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ngv.it/cat/images/images/documenti/NEAMTWS-OpUG-version_2_0_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Рабочее резюме</dc:title>
  <dc:subject>ICG/NEAMTWS-XVII/3</dc:subject>
  <dc:creator>Boned, Patrice</dc:creator>
  <cp:keywords/>
  <dc:description/>
  <cp:lastModifiedBy>Boned, Patrice</cp:lastModifiedBy>
  <cp:revision>2</cp:revision>
  <dcterms:created xsi:type="dcterms:W3CDTF">2022-05-20T12:41:00Z</dcterms:created>
  <dcterms:modified xsi:type="dcterms:W3CDTF">2022-05-20T12:41:00Z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With">
    <vt:lpwstr>Mercury</vt:lpwstr>
  </property>
  <property fmtid="{D5CDD505-2E9C-101B-9397-08002B2CF9AE}" pid="3" name="GeneratedBy">
    <vt:lpwstr>natali.bogdanova</vt:lpwstr>
  </property>
  <property fmtid="{D5CDD505-2E9C-101B-9397-08002B2CF9AE}" pid="4" name="GeneratedDate">
    <vt:lpwstr>05/16/2022 07:54:27</vt:lpwstr>
  </property>
  <property fmtid="{D5CDD505-2E9C-101B-9397-08002B2CF9AE}" pid="5" name="OriginalDocID">
    <vt:lpwstr>eb418f18-f99a-494a-a2b1-4a3c3b95d7df</vt:lpwstr>
  </property>
  <property fmtid="{D5CDD505-2E9C-101B-9397-08002B2CF9AE}" pid="6" name="JobDCPMS">
    <vt:lpwstr>2201434</vt:lpwstr>
  </property>
  <property fmtid="{D5CDD505-2E9C-101B-9397-08002B2CF9AE}" pid="7" name="Language">
    <vt:lpwstr>R</vt:lpwstr>
  </property>
</Properties>
</file>