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83CB" w14:textId="4B2A07F8" w:rsidR="00FA68D9" w:rsidRPr="00425C66" w:rsidRDefault="00FA68D9">
      <w:pPr>
        <w:rPr>
          <w:rFonts w:ascii="Arial" w:hAnsi="Arial" w:cs="Arial"/>
          <w:sz w:val="22"/>
          <w:szCs w:val="22"/>
          <w:lang w:val="es-ES_tradnl"/>
        </w:rPr>
      </w:pPr>
    </w:p>
    <w:tbl>
      <w:tblPr>
        <w:tblStyle w:val="TableGrid"/>
        <w:tblW w:w="8005" w:type="dxa"/>
        <w:jc w:val="center"/>
        <w:tblLayout w:type="fixed"/>
        <w:tblCellMar>
          <w:left w:w="170" w:type="dxa"/>
          <w:right w:w="170" w:type="dxa"/>
        </w:tblCellMar>
        <w:tblLook w:val="04A0" w:firstRow="1" w:lastRow="0" w:firstColumn="1" w:lastColumn="0" w:noHBand="0" w:noVBand="1"/>
      </w:tblPr>
      <w:tblGrid>
        <w:gridCol w:w="8005"/>
      </w:tblGrid>
      <w:tr w:rsidR="00FA68D9" w:rsidRPr="00425C66" w14:paraId="1709CCC6" w14:textId="77777777" w:rsidTr="00365D92">
        <w:trPr>
          <w:trHeight w:val="5805"/>
          <w:jc w:val="center"/>
        </w:trPr>
        <w:tc>
          <w:tcPr>
            <w:tcW w:w="8005" w:type="dxa"/>
          </w:tcPr>
          <w:p w14:paraId="33D8523D" w14:textId="2EFF265F" w:rsidR="001B5075" w:rsidRPr="00425C66" w:rsidRDefault="001B5075" w:rsidP="00365D92">
            <w:pPr>
              <w:tabs>
                <w:tab w:val="clear" w:pos="567"/>
              </w:tabs>
              <w:snapToGrid/>
              <w:spacing w:before="240" w:after="240"/>
              <w:jc w:val="center"/>
              <w:rPr>
                <w:rFonts w:ascii="Arial" w:hAnsi="Arial" w:cs="Arial"/>
                <w:bCs/>
                <w:sz w:val="22"/>
                <w:szCs w:val="22"/>
                <w:u w:val="single"/>
                <w:lang w:val="es-ES_tradnl"/>
              </w:rPr>
            </w:pPr>
            <w:r w:rsidRPr="00425C66">
              <w:rPr>
                <w:rFonts w:ascii="Arial" w:hAnsi="Arial" w:cs="Arial"/>
                <w:sz w:val="22"/>
                <w:szCs w:val="22"/>
                <w:u w:val="single"/>
                <w:lang w:val="es-ES_tradnl"/>
              </w:rPr>
              <w:t>Resumen</w:t>
            </w:r>
          </w:p>
          <w:p w14:paraId="26382FE7" w14:textId="57C4BB9C" w:rsidR="002F2691" w:rsidRPr="00425C66" w:rsidRDefault="008E5D4A" w:rsidP="00365D92">
            <w:pPr>
              <w:widowControl w:val="0"/>
              <w:shd w:val="clear" w:color="auto" w:fill="FFFFFF"/>
              <w:adjustRightInd w:val="0"/>
              <w:spacing w:after="240"/>
              <w:jc w:val="both"/>
              <w:textAlignment w:val="baseline"/>
              <w:rPr>
                <w:rFonts w:ascii="Arial" w:eastAsia="Times New Roman" w:hAnsi="Arial" w:cs="Arial"/>
                <w:sz w:val="22"/>
                <w:szCs w:val="22"/>
                <w:lang w:val="es-ES_tradnl"/>
              </w:rPr>
            </w:pPr>
            <w:r w:rsidRPr="00425C66">
              <w:rPr>
                <w:rFonts w:ascii="Arial" w:hAnsi="Arial" w:cs="Arial"/>
                <w:sz w:val="22"/>
                <w:szCs w:val="22"/>
                <w:lang w:val="es-ES_tradnl"/>
              </w:rPr>
              <w:t>En este documento se proporciona información sobre los principales resultados de la ejecución del Decenio del Océano en los cuatro pilares principales de actividad, a saber</w:t>
            </w:r>
            <w:r w:rsidR="00222DF9" w:rsidRPr="00425C66">
              <w:rPr>
                <w:rFonts w:ascii="Arial" w:hAnsi="Arial" w:cs="Arial"/>
                <w:sz w:val="22"/>
                <w:szCs w:val="22"/>
                <w:lang w:val="es-ES_tradnl"/>
              </w:rPr>
              <w:t>,</w:t>
            </w:r>
            <w:r w:rsidRPr="00425C66">
              <w:rPr>
                <w:rFonts w:ascii="Arial" w:hAnsi="Arial" w:cs="Arial"/>
                <w:sz w:val="22"/>
                <w:szCs w:val="22"/>
                <w:lang w:val="es-ES_tradnl"/>
              </w:rPr>
              <w:t xml:space="preserve"> i) las </w:t>
            </w:r>
            <w:r w:rsidR="0047656A" w:rsidRPr="00425C66">
              <w:rPr>
                <w:rFonts w:ascii="Arial" w:hAnsi="Arial" w:cs="Arial"/>
                <w:sz w:val="22"/>
                <w:szCs w:val="22"/>
                <w:lang w:val="es-ES_tradnl"/>
              </w:rPr>
              <w:t>a</w:t>
            </w:r>
            <w:r w:rsidRPr="00425C66">
              <w:rPr>
                <w:rFonts w:ascii="Arial" w:hAnsi="Arial" w:cs="Arial"/>
                <w:sz w:val="22"/>
                <w:szCs w:val="22"/>
                <w:lang w:val="es-ES_tradnl"/>
              </w:rPr>
              <w:t>cciones del Decenio; ii) las estructuras de gobernanza y coordinación; iii) la movilización de recursos; y iv) la participación de las partes interesadas y el alcance durante el período comprendido entre junio de 2021 y mayo de 2022. Se definen los desafíos restantes y las oportunidades en los distintos pilares y, por último, se presenta una visión y una perspectiva para 2022-2023 y los años posteriores.</w:t>
            </w:r>
          </w:p>
          <w:p w14:paraId="4E0F1C68" w14:textId="0948185E" w:rsidR="000F79E5" w:rsidRPr="00425C66" w:rsidRDefault="00222DF9" w:rsidP="00365D92">
            <w:pPr>
              <w:widowControl w:val="0"/>
              <w:shd w:val="clear" w:color="auto" w:fill="FFFFFF"/>
              <w:adjustRightInd w:val="0"/>
              <w:spacing w:after="240"/>
              <w:jc w:val="both"/>
              <w:textAlignment w:val="baseline"/>
              <w:rPr>
                <w:rFonts w:ascii="Arial" w:eastAsia="Times New Roman" w:hAnsi="Arial" w:cs="Arial"/>
                <w:sz w:val="22"/>
                <w:szCs w:val="22"/>
                <w:lang w:val="es-ES_tradnl"/>
              </w:rPr>
            </w:pPr>
            <w:r w:rsidRPr="00425C66">
              <w:rPr>
                <w:rFonts w:ascii="Arial" w:hAnsi="Arial" w:cs="Arial"/>
                <w:sz w:val="22"/>
                <w:szCs w:val="22"/>
                <w:lang w:val="es-ES_tradnl"/>
              </w:rPr>
              <w:t>Un</w:t>
            </w:r>
            <w:r w:rsidR="000F79E5" w:rsidRPr="00425C66">
              <w:rPr>
                <w:rFonts w:ascii="Arial" w:hAnsi="Arial" w:cs="Arial"/>
                <w:sz w:val="22"/>
                <w:szCs w:val="22"/>
                <w:lang w:val="es-ES_tradnl"/>
              </w:rPr>
              <w:t xml:space="preserve"> addendum de este documento </w:t>
            </w:r>
            <w:r w:rsidRPr="00425C66">
              <w:rPr>
                <w:rFonts w:ascii="Arial" w:hAnsi="Arial" w:cs="Arial"/>
                <w:sz w:val="22"/>
                <w:szCs w:val="22"/>
                <w:lang w:val="es-ES_tradnl"/>
              </w:rPr>
              <w:t>contiene</w:t>
            </w:r>
            <w:r w:rsidR="000F79E5" w:rsidRPr="00425C66">
              <w:rPr>
                <w:rFonts w:ascii="Arial" w:hAnsi="Arial" w:cs="Arial"/>
                <w:sz w:val="22"/>
                <w:szCs w:val="22"/>
                <w:lang w:val="es-ES_tradnl"/>
              </w:rPr>
              <w:t xml:space="preserve"> los resultados de</w:t>
            </w:r>
            <w:r w:rsidRPr="00425C66">
              <w:rPr>
                <w:rFonts w:ascii="Arial" w:hAnsi="Arial" w:cs="Arial"/>
                <w:sz w:val="22"/>
                <w:szCs w:val="22"/>
                <w:lang w:val="es-ES_tradnl"/>
              </w:rPr>
              <w:t xml:space="preserve"> la</w:t>
            </w:r>
            <w:r w:rsidR="000F79E5" w:rsidRPr="00425C66">
              <w:rPr>
                <w:rFonts w:ascii="Arial" w:hAnsi="Arial" w:cs="Arial"/>
                <w:sz w:val="22"/>
                <w:szCs w:val="22"/>
                <w:lang w:val="es-ES_tradnl"/>
              </w:rPr>
              <w:t xml:space="preserve"> segund</w:t>
            </w:r>
            <w:r w:rsidRPr="00425C66">
              <w:rPr>
                <w:rFonts w:ascii="Arial" w:hAnsi="Arial" w:cs="Arial"/>
                <w:sz w:val="22"/>
                <w:szCs w:val="22"/>
                <w:lang w:val="es-ES_tradnl"/>
              </w:rPr>
              <w:t>a</w:t>
            </w:r>
            <w:r w:rsidR="000F79E5" w:rsidRPr="00425C66">
              <w:rPr>
                <w:rFonts w:ascii="Arial" w:hAnsi="Arial" w:cs="Arial"/>
                <w:sz w:val="22"/>
                <w:szCs w:val="22"/>
                <w:lang w:val="es-ES_tradnl"/>
              </w:rPr>
              <w:t xml:space="preserve"> </w:t>
            </w:r>
            <w:r w:rsidRPr="00425C66">
              <w:rPr>
                <w:rFonts w:ascii="Arial" w:hAnsi="Arial" w:cs="Arial"/>
                <w:sz w:val="22"/>
                <w:szCs w:val="22"/>
                <w:lang w:val="es-ES_tradnl"/>
              </w:rPr>
              <w:t>Convocatoria de Acciones</w:t>
            </w:r>
            <w:r w:rsidR="000F79E5" w:rsidRPr="00425C66">
              <w:rPr>
                <w:rFonts w:ascii="Arial" w:hAnsi="Arial" w:cs="Arial"/>
                <w:sz w:val="22"/>
                <w:szCs w:val="22"/>
                <w:lang w:val="es-ES_tradnl"/>
              </w:rPr>
              <w:t xml:space="preserve"> del Decenio y el alcance de la tercera, actualmente abierta hasta agosto de 2022.</w:t>
            </w:r>
          </w:p>
          <w:p w14:paraId="4F1F8864" w14:textId="015BD275" w:rsidR="000F79E5" w:rsidRPr="00425C66" w:rsidRDefault="000F79E5" w:rsidP="00365D92">
            <w:pPr>
              <w:widowControl w:val="0"/>
              <w:shd w:val="clear" w:color="auto" w:fill="FFFFFF"/>
              <w:adjustRightInd w:val="0"/>
              <w:spacing w:after="240"/>
              <w:jc w:val="both"/>
              <w:textAlignment w:val="baseline"/>
              <w:rPr>
                <w:rFonts w:ascii="Arial" w:eastAsia="Times New Roman" w:hAnsi="Arial" w:cs="Arial"/>
                <w:sz w:val="22"/>
                <w:szCs w:val="22"/>
                <w:lang w:val="es-ES_tradnl"/>
              </w:rPr>
            </w:pPr>
            <w:r w:rsidRPr="00425C66">
              <w:rPr>
                <w:rFonts w:ascii="Arial" w:hAnsi="Arial" w:cs="Arial"/>
                <w:sz w:val="22"/>
                <w:szCs w:val="22"/>
                <w:u w:val="single"/>
                <w:lang w:val="es-ES_tradnl"/>
              </w:rPr>
              <w:t>Repercusiones financieras</w:t>
            </w:r>
            <w:r w:rsidRPr="00425C66">
              <w:rPr>
                <w:rFonts w:ascii="Arial" w:hAnsi="Arial" w:cs="Arial"/>
                <w:sz w:val="22"/>
                <w:szCs w:val="22"/>
                <w:lang w:val="es-ES_tradnl"/>
              </w:rPr>
              <w:t>: las cuestiones relacionadas con la movilización de recursos y las repercusiones financieras se abordan en los párrafos</w:t>
            </w:r>
            <w:r w:rsidR="003377CA" w:rsidRPr="00425C66">
              <w:rPr>
                <w:rFonts w:ascii="Arial" w:hAnsi="Arial" w:cs="Arial"/>
                <w:sz w:val="22"/>
                <w:szCs w:val="22"/>
                <w:lang w:val="es-ES_tradnl"/>
              </w:rPr>
              <w:t> </w:t>
            </w:r>
            <w:r w:rsidRPr="00425C66">
              <w:rPr>
                <w:rFonts w:ascii="Arial" w:hAnsi="Arial" w:cs="Arial"/>
                <w:sz w:val="22"/>
                <w:szCs w:val="22"/>
                <w:lang w:val="es-ES_tradnl"/>
              </w:rPr>
              <w:t>21 a</w:t>
            </w:r>
            <w:r w:rsidR="003377CA" w:rsidRPr="00425C66">
              <w:rPr>
                <w:rFonts w:ascii="Arial" w:hAnsi="Arial" w:cs="Arial"/>
                <w:sz w:val="22"/>
                <w:szCs w:val="22"/>
                <w:lang w:val="es-ES_tradnl"/>
              </w:rPr>
              <w:t> </w:t>
            </w:r>
            <w:r w:rsidRPr="00425C66">
              <w:rPr>
                <w:rFonts w:ascii="Arial" w:hAnsi="Arial" w:cs="Arial"/>
                <w:sz w:val="22"/>
                <w:szCs w:val="22"/>
                <w:lang w:val="es-ES_tradnl"/>
              </w:rPr>
              <w:t>2</w:t>
            </w:r>
            <w:r w:rsidR="00DC0E83" w:rsidRPr="00425C66">
              <w:rPr>
                <w:rFonts w:ascii="Arial" w:hAnsi="Arial" w:cs="Arial"/>
                <w:sz w:val="22"/>
                <w:szCs w:val="22"/>
                <w:lang w:val="es-ES_tradnl"/>
              </w:rPr>
              <w:t>7</w:t>
            </w:r>
            <w:r w:rsidRPr="00425C66">
              <w:rPr>
                <w:rFonts w:ascii="Arial" w:hAnsi="Arial" w:cs="Arial"/>
                <w:sz w:val="22"/>
                <w:szCs w:val="22"/>
                <w:lang w:val="es-ES_tradnl"/>
              </w:rPr>
              <w:t>.</w:t>
            </w:r>
          </w:p>
          <w:p w14:paraId="6C050125" w14:textId="5676CC48" w:rsidR="00FA68D9" w:rsidRPr="00425C66" w:rsidRDefault="002F2691" w:rsidP="00365D92">
            <w:pPr>
              <w:tabs>
                <w:tab w:val="clear" w:pos="567"/>
              </w:tabs>
              <w:snapToGrid/>
              <w:spacing w:after="240"/>
              <w:jc w:val="both"/>
              <w:rPr>
                <w:rFonts w:ascii="Arial" w:eastAsia="Calibri" w:hAnsi="Arial" w:cs="Arial"/>
                <w:bCs/>
                <w:sz w:val="22"/>
                <w:szCs w:val="22"/>
                <w:u w:val="single"/>
                <w:lang w:val="es-ES_tradnl"/>
              </w:rPr>
            </w:pPr>
            <w:r w:rsidRPr="00425C66">
              <w:rPr>
                <w:rFonts w:ascii="Arial" w:hAnsi="Arial" w:cs="Arial"/>
                <w:sz w:val="22"/>
                <w:szCs w:val="22"/>
                <w:u w:val="single"/>
                <w:lang w:val="es-ES_tradnl"/>
              </w:rPr>
              <w:t>Decisión propuesta</w:t>
            </w:r>
            <w:r w:rsidRPr="00425C66">
              <w:rPr>
                <w:rFonts w:ascii="Arial" w:hAnsi="Arial" w:cs="Arial"/>
                <w:sz w:val="22"/>
                <w:szCs w:val="22"/>
                <w:lang w:val="es-ES_tradnl"/>
              </w:rPr>
              <w:t xml:space="preserve">: se invita al Consejo Ejecutivo a examinar el proyecto de decisión que lleva la referencia Dec. EC-55/4.1 en el documento de decisión provisional (documento IOC/EC-55/AP). </w:t>
            </w:r>
          </w:p>
        </w:tc>
      </w:tr>
    </w:tbl>
    <w:p w14:paraId="69408A5B" w14:textId="0492D87A" w:rsidR="00D91E2D" w:rsidRPr="00425C66" w:rsidRDefault="00FA68D9" w:rsidP="00E86920">
      <w:pPr>
        <w:tabs>
          <w:tab w:val="clear" w:pos="567"/>
        </w:tabs>
        <w:snapToGrid/>
        <w:rPr>
          <w:rFonts w:ascii="Arial" w:eastAsia="Times New Roman" w:hAnsi="Arial" w:cs="Arial"/>
          <w:sz w:val="22"/>
          <w:szCs w:val="22"/>
          <w:lang w:val="es-ES_tradnl" w:eastAsia="en-US"/>
        </w:rPr>
      </w:pPr>
      <w:r w:rsidRPr="00425C66">
        <w:rPr>
          <w:rFonts w:ascii="Arial" w:hAnsi="Arial" w:cs="Arial"/>
          <w:b/>
          <w:bCs/>
          <w:sz w:val="22"/>
          <w:szCs w:val="22"/>
          <w:lang w:val="es-ES_tradnl"/>
        </w:rPr>
        <w:br w:type="page"/>
      </w:r>
    </w:p>
    <w:p w14:paraId="463C8C31" w14:textId="7C19A35A"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lang w:val="es-ES_tradnl"/>
        </w:rPr>
      </w:pPr>
      <w:r w:rsidRPr="00425C66">
        <w:rPr>
          <w:rFonts w:asciiTheme="minorBidi" w:hAnsiTheme="minorBidi" w:cstheme="minorBidi"/>
          <w:lang w:val="es-ES_tradnl"/>
        </w:rPr>
        <w:lastRenderedPageBreak/>
        <w:t xml:space="preserve">En diciembre de 2017, sobre la base de las iniciativas de los Estados Miembros de la COI y la Secretaría de la COI, la Asamblea General de las Naciones Unidas proclamó el Decenio de las Naciones Unidas de las Ciencias Oceánicas para el Desarrollo Sostenible de 2021 a 2030, en adelante el Decenio. El Decenio es una oportunidad única para lograr un cambio radical en la generación y el uso de las ciencias oceánicas. Influirá en la forma en que los países invierten y participan en la ciencia y la innovación </w:t>
      </w:r>
      <w:r w:rsidR="00222DF9" w:rsidRPr="00425C66">
        <w:rPr>
          <w:rFonts w:asciiTheme="minorBidi" w:hAnsiTheme="minorBidi" w:cstheme="minorBidi"/>
          <w:lang w:val="es-ES_tradnl"/>
        </w:rPr>
        <w:t>para</w:t>
      </w:r>
      <w:r w:rsidRPr="00425C66">
        <w:rPr>
          <w:rFonts w:asciiTheme="minorBidi" w:hAnsiTheme="minorBidi" w:cstheme="minorBidi"/>
          <w:lang w:val="es-ES_tradnl"/>
        </w:rPr>
        <w:t xml:space="preserve"> adoptar </w:t>
      </w:r>
      <w:r w:rsidR="00222DF9" w:rsidRPr="00425C66">
        <w:rPr>
          <w:rFonts w:asciiTheme="minorBidi" w:hAnsiTheme="minorBidi" w:cstheme="minorBidi"/>
          <w:lang w:val="es-ES_tradnl"/>
        </w:rPr>
        <w:t>metas</w:t>
      </w:r>
      <w:r w:rsidRPr="00425C66">
        <w:rPr>
          <w:rFonts w:asciiTheme="minorBidi" w:hAnsiTheme="minorBidi" w:cstheme="minorBidi"/>
          <w:lang w:val="es-ES_tradnl"/>
        </w:rPr>
        <w:t xml:space="preserve"> sociales y alinear la inversión en investigación, y así contribuir a la consecución de objetivos comunes, incluida la Agenda 2030. </w:t>
      </w:r>
    </w:p>
    <w:p w14:paraId="1BDB0015" w14:textId="691150DC" w:rsidR="00E86920" w:rsidRPr="00425C66" w:rsidRDefault="002A33EB" w:rsidP="00434ACD">
      <w:pPr>
        <w:pStyle w:val="Style2"/>
        <w:numPr>
          <w:ilvl w:val="0"/>
          <w:numId w:val="23"/>
        </w:numPr>
        <w:tabs>
          <w:tab w:val="left" w:pos="0"/>
        </w:tabs>
        <w:snapToGrid w:val="0"/>
        <w:ind w:left="0" w:firstLine="0"/>
        <w:rPr>
          <w:rFonts w:asciiTheme="minorBidi" w:hAnsiTheme="minorBidi" w:cstheme="minorBidi"/>
          <w:lang w:val="es-ES_tradnl"/>
        </w:rPr>
      </w:pPr>
      <w:r w:rsidRPr="00425C66">
        <w:rPr>
          <w:rFonts w:asciiTheme="minorBidi" w:hAnsiTheme="minorBidi" w:cstheme="minorBidi"/>
          <w:spacing w:val="-2"/>
          <w:lang w:val="es-ES_tradnl"/>
        </w:rPr>
        <w:t>De conformidad con la resolución A/RES/72/73 de la Asamblea General de las Naciones Unidas y la resolución EC-LI.1 de la COI, tras la fase preparatoria del Decenio de las Naciones Unidas de las Ciencias Oceánicas para el Desarrollo Sostenible (2021-2030)</w:t>
      </w:r>
      <w:r w:rsidR="007D1E23" w:rsidRPr="00425C66">
        <w:rPr>
          <w:rFonts w:asciiTheme="minorBidi" w:hAnsiTheme="minorBidi" w:cstheme="minorBidi"/>
          <w:spacing w:val="-2"/>
          <w:lang w:val="es-ES_tradnl"/>
        </w:rPr>
        <w:t>,</w:t>
      </w:r>
      <w:r w:rsidRPr="00425C66">
        <w:rPr>
          <w:rFonts w:asciiTheme="minorBidi" w:hAnsiTheme="minorBidi" w:cstheme="minorBidi"/>
          <w:spacing w:val="-2"/>
          <w:lang w:val="es-ES_tradnl"/>
        </w:rPr>
        <w:t xml:space="preserve"> de la que se informa en los documentos </w:t>
      </w:r>
      <w:hyperlink r:id="rId8" w:history="1">
        <w:r w:rsidRPr="00425C66">
          <w:rPr>
            <w:rStyle w:val="Hyperlink"/>
            <w:rFonts w:asciiTheme="minorBidi" w:hAnsiTheme="minorBidi" w:cstheme="minorBidi"/>
            <w:spacing w:val="-2"/>
            <w:lang w:val="es-ES_tradnl"/>
          </w:rPr>
          <w:t>IOC-XXX/2 Anexo 3</w:t>
        </w:r>
      </w:hyperlink>
      <w:r w:rsidRPr="00425C66">
        <w:rPr>
          <w:rFonts w:asciiTheme="minorBidi" w:hAnsiTheme="minorBidi" w:cstheme="minorBidi"/>
          <w:spacing w:val="-2"/>
          <w:lang w:val="es-ES_tradnl"/>
        </w:rPr>
        <w:t xml:space="preserve"> (2019), </w:t>
      </w:r>
      <w:hyperlink r:id="rId9" w:history="1">
        <w:r w:rsidRPr="00425C66">
          <w:rPr>
            <w:rStyle w:val="Hyperlink"/>
            <w:rFonts w:asciiTheme="minorBidi" w:hAnsiTheme="minorBidi" w:cstheme="minorBidi"/>
            <w:spacing w:val="-2"/>
            <w:lang w:val="es-ES_tradnl"/>
          </w:rPr>
          <w:t>IOC/EC-53/4.1.Doc(1)Rev.</w:t>
        </w:r>
      </w:hyperlink>
      <w:r w:rsidRPr="00425C66">
        <w:rPr>
          <w:rFonts w:asciiTheme="minorBidi" w:hAnsiTheme="minorBidi" w:cstheme="minorBidi"/>
          <w:spacing w:val="-2"/>
          <w:lang w:val="es-ES_tradnl"/>
        </w:rPr>
        <w:t xml:space="preserve"> (2020) e </w:t>
      </w:r>
      <w:hyperlink r:id="rId10" w:history="1">
        <w:r w:rsidRPr="00425C66">
          <w:rPr>
            <w:rStyle w:val="Hyperlink"/>
            <w:rFonts w:asciiTheme="minorBidi" w:hAnsiTheme="minorBidi" w:cstheme="minorBidi"/>
            <w:spacing w:val="-2"/>
            <w:lang w:val="es-ES_tradnl"/>
          </w:rPr>
          <w:t>IOC/A</w:t>
        </w:r>
        <w:r w:rsidR="003377CA" w:rsidRPr="00425C66">
          <w:rPr>
            <w:rStyle w:val="Hyperlink"/>
            <w:rFonts w:asciiTheme="minorBidi" w:hAnsiTheme="minorBidi" w:cstheme="minorBidi"/>
            <w:spacing w:val="-2"/>
            <w:lang w:val="es-ES_tradnl"/>
          </w:rPr>
          <w:noBreakHyphen/>
        </w:r>
        <w:r w:rsidRPr="00425C66">
          <w:rPr>
            <w:rStyle w:val="Hyperlink"/>
            <w:rFonts w:asciiTheme="minorBidi" w:hAnsiTheme="minorBidi" w:cstheme="minorBidi"/>
            <w:spacing w:val="-2"/>
            <w:lang w:val="es-ES_tradnl"/>
          </w:rPr>
          <w:t>31/3.7.Doc(2)</w:t>
        </w:r>
      </w:hyperlink>
      <w:r w:rsidRPr="00425C66">
        <w:rPr>
          <w:rFonts w:asciiTheme="minorBidi" w:hAnsiTheme="minorBidi" w:cstheme="minorBidi"/>
          <w:spacing w:val="-2"/>
          <w:lang w:val="es-ES_tradnl"/>
        </w:rPr>
        <w:t xml:space="preserve"> (2021), el período comprendido entre junio de 2021 y mayo de 2022 fue testigo de una intensa actividad continua en la ejecución del Decenio del Océano</w:t>
      </w:r>
      <w:r w:rsidRPr="00425C66">
        <w:rPr>
          <w:rFonts w:asciiTheme="minorBidi" w:hAnsiTheme="minorBidi" w:cstheme="minorBidi"/>
          <w:lang w:val="es-ES_tradnl"/>
        </w:rPr>
        <w:t xml:space="preserve">.  </w:t>
      </w:r>
    </w:p>
    <w:p w14:paraId="3B9ED5A9" w14:textId="0E5D5D78" w:rsidR="00E86920" w:rsidRPr="00425C66" w:rsidRDefault="00E86920" w:rsidP="00434ACD">
      <w:pPr>
        <w:pStyle w:val="Style2"/>
        <w:tabs>
          <w:tab w:val="clear" w:pos="1400"/>
          <w:tab w:val="left" w:pos="0"/>
        </w:tabs>
        <w:snapToGrid w:val="0"/>
        <w:ind w:left="0"/>
        <w:rPr>
          <w:rFonts w:asciiTheme="minorBidi" w:hAnsiTheme="minorBidi" w:cstheme="minorBidi"/>
          <w:b/>
          <w:bCs/>
          <w:lang w:val="es-ES_tradnl"/>
        </w:rPr>
      </w:pPr>
      <w:r w:rsidRPr="00425C66">
        <w:rPr>
          <w:rFonts w:asciiTheme="minorBidi" w:hAnsiTheme="minorBidi" w:cstheme="minorBidi"/>
          <w:b/>
          <w:bCs/>
          <w:lang w:val="es-ES_tradnl"/>
        </w:rPr>
        <w:t>A</w:t>
      </w:r>
      <w:r w:rsidR="00222DF9" w:rsidRPr="00425C66">
        <w:rPr>
          <w:rFonts w:asciiTheme="minorBidi" w:hAnsiTheme="minorBidi" w:cstheme="minorBidi"/>
          <w:b/>
          <w:bCs/>
          <w:lang w:val="es-ES_tradnl"/>
        </w:rPr>
        <w:t>cciones del Decenio</w:t>
      </w:r>
    </w:p>
    <w:p w14:paraId="5777786E" w14:textId="2B510847" w:rsidR="00E86920" w:rsidRPr="00425C66" w:rsidRDefault="00E86920" w:rsidP="00434ACD">
      <w:pPr>
        <w:pStyle w:val="Style2"/>
        <w:numPr>
          <w:ilvl w:val="0"/>
          <w:numId w:val="23"/>
        </w:numPr>
        <w:tabs>
          <w:tab w:val="left" w:pos="0"/>
        </w:tabs>
        <w:snapToGrid w:val="0"/>
        <w:ind w:left="0" w:firstLine="0"/>
        <w:rPr>
          <w:rFonts w:asciiTheme="minorBidi" w:hAnsiTheme="minorBidi" w:cstheme="minorBidi"/>
          <w:lang w:val="es-ES_tradnl"/>
        </w:rPr>
      </w:pPr>
      <w:r w:rsidRPr="00425C66">
        <w:rPr>
          <w:rFonts w:asciiTheme="minorBidi" w:hAnsiTheme="minorBidi" w:cstheme="minorBidi"/>
          <w:lang w:val="es-ES_tradnl"/>
        </w:rPr>
        <w:t xml:space="preserve">En junio de 2021 se anunciaron los resultados provisionales de la primera Convocatoria de Acciones del Decenio (n.º 01/2020) </w:t>
      </w:r>
      <w:r w:rsidR="00E24CB2" w:rsidRPr="00425C66">
        <w:rPr>
          <w:rFonts w:asciiTheme="minorBidi" w:hAnsiTheme="minorBidi" w:cstheme="minorBidi"/>
          <w:lang w:val="es-ES_tradnl"/>
        </w:rPr>
        <w:t>que solicitaba</w:t>
      </w:r>
      <w:r w:rsidRPr="00425C66">
        <w:rPr>
          <w:rFonts w:asciiTheme="minorBidi" w:hAnsiTheme="minorBidi" w:cstheme="minorBidi"/>
          <w:lang w:val="es-ES_tradnl"/>
        </w:rPr>
        <w:t xml:space="preserve"> unas 250 posibles </w:t>
      </w:r>
      <w:r w:rsidR="0047656A" w:rsidRPr="00425C66">
        <w:rPr>
          <w:rFonts w:asciiTheme="minorBidi" w:hAnsiTheme="minorBidi" w:cstheme="minorBidi"/>
          <w:lang w:val="es-ES_tradnl"/>
        </w:rPr>
        <w:t>a</w:t>
      </w:r>
      <w:r w:rsidR="00E24CB2" w:rsidRPr="00425C66">
        <w:rPr>
          <w:rFonts w:asciiTheme="minorBidi" w:hAnsiTheme="minorBidi" w:cstheme="minorBidi"/>
          <w:lang w:val="es-ES_tradnl"/>
        </w:rPr>
        <w:t>cciones</w:t>
      </w:r>
      <w:r w:rsidRPr="00425C66">
        <w:rPr>
          <w:rFonts w:asciiTheme="minorBidi" w:hAnsiTheme="minorBidi" w:cstheme="minorBidi"/>
          <w:lang w:val="es-ES_tradnl"/>
        </w:rPr>
        <w:t>. Durante el per</w:t>
      </w:r>
      <w:r w:rsidR="00E24CB2" w:rsidRPr="00425C66">
        <w:rPr>
          <w:rFonts w:asciiTheme="minorBidi" w:hAnsiTheme="minorBidi" w:cstheme="minorBidi"/>
          <w:lang w:val="es-ES_tradnl"/>
        </w:rPr>
        <w:t>í</w:t>
      </w:r>
      <w:r w:rsidRPr="00425C66">
        <w:rPr>
          <w:rFonts w:asciiTheme="minorBidi" w:hAnsiTheme="minorBidi" w:cstheme="minorBidi"/>
          <w:lang w:val="es-ES_tradnl"/>
        </w:rPr>
        <w:t xml:space="preserve">odo correspondiente se hicieron más anuncios a medida que se examinaban las propuestas y se tomaban decisiones sobre su aprobación. Hasta la fecha se han aprobado más de 170 </w:t>
      </w:r>
      <w:r w:rsidR="0047656A"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Esto incluye 31 </w:t>
      </w:r>
      <w:r w:rsidR="0047656A" w:rsidRPr="00425C66">
        <w:rPr>
          <w:rFonts w:asciiTheme="minorBidi" w:hAnsiTheme="minorBidi" w:cstheme="minorBidi"/>
          <w:lang w:val="es-ES_tradnl"/>
        </w:rPr>
        <w:t>p</w:t>
      </w:r>
      <w:r w:rsidRPr="00425C66">
        <w:rPr>
          <w:rFonts w:asciiTheme="minorBidi" w:hAnsiTheme="minorBidi" w:cstheme="minorBidi"/>
          <w:lang w:val="es-ES_tradnl"/>
        </w:rPr>
        <w:t xml:space="preserve">rogramas mundiales del Decenio, 98 </w:t>
      </w:r>
      <w:r w:rsidR="0047656A" w:rsidRPr="00425C66">
        <w:rPr>
          <w:rFonts w:asciiTheme="minorBidi" w:hAnsiTheme="minorBidi" w:cstheme="minorBidi"/>
          <w:lang w:val="es-ES_tradnl"/>
        </w:rPr>
        <w:t>p</w:t>
      </w:r>
      <w:r w:rsidRPr="00425C66">
        <w:rPr>
          <w:rFonts w:asciiTheme="minorBidi" w:hAnsiTheme="minorBidi" w:cstheme="minorBidi"/>
          <w:lang w:val="es-ES_tradnl"/>
        </w:rPr>
        <w:t xml:space="preserve">royectos del Decenio y 42 contribuciones. Además, </w:t>
      </w:r>
      <w:r w:rsidR="0047656A" w:rsidRPr="00425C66">
        <w:rPr>
          <w:rFonts w:asciiTheme="minorBidi" w:hAnsiTheme="minorBidi" w:cstheme="minorBidi"/>
          <w:lang w:val="es-ES_tradnl"/>
        </w:rPr>
        <w:t>se han registrado</w:t>
      </w:r>
      <w:r w:rsidR="00E24CB2" w:rsidRPr="00425C66">
        <w:rPr>
          <w:rFonts w:asciiTheme="minorBidi" w:hAnsiTheme="minorBidi" w:cstheme="minorBidi"/>
          <w:lang w:val="es-ES_tradnl"/>
        </w:rPr>
        <w:t xml:space="preserve"> 15</w:t>
      </w:r>
      <w:r w:rsidRPr="00425C66">
        <w:rPr>
          <w:rFonts w:asciiTheme="minorBidi" w:hAnsiTheme="minorBidi" w:cstheme="minorBidi"/>
          <w:lang w:val="es-ES_tradnl"/>
        </w:rPr>
        <w:t xml:space="preserve"> </w:t>
      </w:r>
      <w:r w:rsidR="0047656A"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dirigidas por asociados de las Naciones Unidas. Las </w:t>
      </w:r>
      <w:r w:rsidR="0047656A" w:rsidRPr="00425C66">
        <w:rPr>
          <w:rFonts w:asciiTheme="minorBidi" w:hAnsiTheme="minorBidi" w:cstheme="minorBidi"/>
          <w:lang w:val="es-ES_tradnl"/>
        </w:rPr>
        <w:t>a</w:t>
      </w:r>
      <w:r w:rsidRPr="00425C66">
        <w:rPr>
          <w:rFonts w:asciiTheme="minorBidi" w:hAnsiTheme="minorBidi" w:cstheme="minorBidi"/>
          <w:lang w:val="es-ES_tradnl"/>
        </w:rPr>
        <w:t>cciones del Decenio dirigidas por la COI se presentan en el documento IOC/INF-1418.</w:t>
      </w:r>
      <w:bookmarkStart w:id="0" w:name="x__Hlk103103452"/>
      <w:bookmarkEnd w:id="0"/>
    </w:p>
    <w:p w14:paraId="1D53EB1B" w14:textId="024D279C" w:rsidR="00E86920" w:rsidRPr="00425C66" w:rsidRDefault="00E86920" w:rsidP="00434ACD">
      <w:pPr>
        <w:pStyle w:val="Style2"/>
        <w:numPr>
          <w:ilvl w:val="0"/>
          <w:numId w:val="23"/>
        </w:numPr>
        <w:tabs>
          <w:tab w:val="left" w:pos="0"/>
        </w:tabs>
        <w:snapToGrid w:val="0"/>
        <w:ind w:left="0" w:firstLine="0"/>
        <w:rPr>
          <w:rFonts w:asciiTheme="minorBidi" w:hAnsiTheme="minorBidi" w:cstheme="minorBidi"/>
          <w:lang w:val="es-ES_tradnl"/>
        </w:rPr>
      </w:pPr>
      <w:r w:rsidRPr="00425C66">
        <w:rPr>
          <w:rFonts w:asciiTheme="minorBidi" w:hAnsiTheme="minorBidi" w:cstheme="minorBidi"/>
          <w:lang w:val="es-ES_tradnl"/>
        </w:rPr>
        <w:t xml:space="preserve">Las </w:t>
      </w:r>
      <w:r w:rsidR="0047656A" w:rsidRPr="00425C66">
        <w:rPr>
          <w:rFonts w:asciiTheme="minorBidi" w:hAnsiTheme="minorBidi" w:cstheme="minorBidi"/>
          <w:lang w:val="es-ES_tradnl"/>
        </w:rPr>
        <w:t>a</w:t>
      </w:r>
      <w:r w:rsidRPr="00425C66">
        <w:rPr>
          <w:rFonts w:asciiTheme="minorBidi" w:hAnsiTheme="minorBidi" w:cstheme="minorBidi"/>
          <w:lang w:val="es-ES_tradnl"/>
        </w:rPr>
        <w:t xml:space="preserve">cciones </w:t>
      </w:r>
      <w:r w:rsidR="0047656A" w:rsidRPr="00425C66">
        <w:rPr>
          <w:rFonts w:asciiTheme="minorBidi" w:hAnsiTheme="minorBidi" w:cstheme="minorBidi"/>
          <w:lang w:val="es-ES_tradnl"/>
        </w:rPr>
        <w:t>a</w:t>
      </w:r>
      <w:r w:rsidRPr="00425C66">
        <w:rPr>
          <w:rFonts w:asciiTheme="minorBidi" w:hAnsiTheme="minorBidi" w:cstheme="minorBidi"/>
          <w:lang w:val="es-ES_tradnl"/>
        </w:rPr>
        <w:t xml:space="preserve">probadas abarcan los diez desafíos del Decenio del Océano y </w:t>
      </w:r>
      <w:r w:rsidR="0047656A" w:rsidRPr="00425C66">
        <w:rPr>
          <w:rFonts w:asciiTheme="minorBidi" w:hAnsiTheme="minorBidi" w:cstheme="minorBidi"/>
          <w:lang w:val="es-ES_tradnl"/>
        </w:rPr>
        <w:t>son ejecutadas</w:t>
      </w:r>
      <w:r w:rsidRPr="00425C66">
        <w:rPr>
          <w:rFonts w:asciiTheme="minorBidi" w:hAnsiTheme="minorBidi" w:cstheme="minorBidi"/>
          <w:lang w:val="es-ES_tradnl"/>
        </w:rPr>
        <w:t xml:space="preserve"> </w:t>
      </w:r>
      <w:r w:rsidR="0047656A" w:rsidRPr="00425C66">
        <w:rPr>
          <w:rFonts w:asciiTheme="minorBidi" w:hAnsiTheme="minorBidi" w:cstheme="minorBidi"/>
          <w:lang w:val="es-ES_tradnl"/>
        </w:rPr>
        <w:t>por</w:t>
      </w:r>
      <w:r w:rsidRPr="00425C66">
        <w:rPr>
          <w:rFonts w:asciiTheme="minorBidi" w:hAnsiTheme="minorBidi" w:cstheme="minorBidi"/>
          <w:lang w:val="es-ES_tradnl"/>
        </w:rPr>
        <w:t xml:space="preserve"> asociados principales de más de 40 países. Aunque la</w:t>
      </w:r>
      <w:r w:rsidR="0047656A" w:rsidRPr="00425C66">
        <w:rPr>
          <w:rFonts w:asciiTheme="minorBidi" w:hAnsiTheme="minorBidi" w:cstheme="minorBidi"/>
          <w:lang w:val="es-ES_tradnl"/>
        </w:rPr>
        <w:t>s acciones del Decenio tienen una amplia</w:t>
      </w:r>
      <w:r w:rsidRPr="00425C66">
        <w:rPr>
          <w:rFonts w:asciiTheme="minorBidi" w:hAnsiTheme="minorBidi" w:cstheme="minorBidi"/>
          <w:lang w:val="es-ES_tradnl"/>
        </w:rPr>
        <w:t xml:space="preserve"> </w:t>
      </w:r>
      <w:r w:rsidR="0047656A" w:rsidRPr="00425C66">
        <w:rPr>
          <w:rFonts w:asciiTheme="minorBidi" w:hAnsiTheme="minorBidi" w:cstheme="minorBidi"/>
          <w:lang w:val="es-ES_tradnl"/>
        </w:rPr>
        <w:t>cobertura geográfica</w:t>
      </w:r>
      <w:r w:rsidRPr="00425C66">
        <w:rPr>
          <w:rFonts w:asciiTheme="minorBidi" w:hAnsiTheme="minorBidi" w:cstheme="minorBidi"/>
          <w:lang w:val="es-ES_tradnl"/>
        </w:rPr>
        <w:t xml:space="preserve">, siguen existiendo lagunas en cuanto al liderazgo de asociados de los países menos adelantados, especialmente de África, y de los pequeños Estados insulares en desarrollo. </w:t>
      </w:r>
    </w:p>
    <w:p w14:paraId="376F27CD" w14:textId="2D111D03"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La segunda Convocatoria de Acciones del Decenio (n.º 02/2021) comenzó en octubre de 2021 y se cerró el 31 de enero de 2022. </w:t>
      </w:r>
      <w:r w:rsidR="0047656A" w:rsidRPr="00425C66">
        <w:rPr>
          <w:rFonts w:asciiTheme="minorBidi" w:hAnsiTheme="minorBidi" w:cstheme="minorBidi"/>
          <w:lang w:val="es-ES_tradnl"/>
        </w:rPr>
        <w:t>Su alcance</w:t>
      </w:r>
      <w:r w:rsidRPr="00425C66">
        <w:rPr>
          <w:rFonts w:asciiTheme="minorBidi" w:hAnsiTheme="minorBidi" w:cstheme="minorBidi"/>
          <w:lang w:val="es-ES_tradnl"/>
        </w:rPr>
        <w:t xml:space="preserve"> fue definid</w:t>
      </w:r>
      <w:r w:rsidR="0047656A" w:rsidRPr="00425C66">
        <w:rPr>
          <w:rFonts w:asciiTheme="minorBidi" w:hAnsiTheme="minorBidi" w:cstheme="minorBidi"/>
          <w:lang w:val="es-ES_tradnl"/>
        </w:rPr>
        <w:t>o</w:t>
      </w:r>
      <w:r w:rsidRPr="00425C66">
        <w:rPr>
          <w:rFonts w:asciiTheme="minorBidi" w:hAnsiTheme="minorBidi" w:cstheme="minorBidi"/>
          <w:lang w:val="es-ES_tradnl"/>
        </w:rPr>
        <w:t xml:space="preserve"> con el asesoramiento de la Junta Asesora </w:t>
      </w:r>
      <w:r w:rsidR="0047656A" w:rsidRPr="00425C66">
        <w:rPr>
          <w:rFonts w:asciiTheme="minorBidi" w:hAnsiTheme="minorBidi" w:cstheme="minorBidi"/>
          <w:lang w:val="es-ES_tradnl"/>
        </w:rPr>
        <w:t xml:space="preserve">Provisional </w:t>
      </w:r>
      <w:r w:rsidRPr="00425C66">
        <w:rPr>
          <w:rFonts w:asciiTheme="minorBidi" w:hAnsiTheme="minorBidi" w:cstheme="minorBidi"/>
          <w:lang w:val="es-ES_tradnl"/>
        </w:rPr>
        <w:t xml:space="preserve">del Decenio. Sus objetivos eran los siguientes: i) colmar las lagunas en los </w:t>
      </w:r>
      <w:r w:rsidR="0047656A" w:rsidRPr="00425C66">
        <w:rPr>
          <w:rFonts w:asciiTheme="minorBidi" w:hAnsiTheme="minorBidi" w:cstheme="minorBidi"/>
          <w:lang w:val="es-ES_tradnl"/>
        </w:rPr>
        <w:t>d</w:t>
      </w:r>
      <w:r w:rsidRPr="00425C66">
        <w:rPr>
          <w:rFonts w:asciiTheme="minorBidi" w:hAnsiTheme="minorBidi" w:cstheme="minorBidi"/>
          <w:lang w:val="es-ES_tradnl"/>
        </w:rPr>
        <w:t xml:space="preserve">esafíos del Decenio del Océano en los que se habían aprobado menos </w:t>
      </w:r>
      <w:r w:rsidR="0047656A" w:rsidRPr="00425C66">
        <w:rPr>
          <w:rFonts w:asciiTheme="minorBidi" w:hAnsiTheme="minorBidi" w:cstheme="minorBidi"/>
          <w:lang w:val="es-ES_tradnl"/>
        </w:rPr>
        <w:t>a</w:t>
      </w:r>
      <w:r w:rsidRPr="00425C66">
        <w:rPr>
          <w:rFonts w:asciiTheme="minorBidi" w:hAnsiTheme="minorBidi" w:cstheme="minorBidi"/>
          <w:lang w:val="es-ES_tradnl"/>
        </w:rPr>
        <w:t>cciones del Decenio; ii) aportar conocimientos a los procesos políticos mundiales pertinentes</w:t>
      </w:r>
      <w:r w:rsidR="0047656A" w:rsidRPr="00425C66">
        <w:rPr>
          <w:rFonts w:asciiTheme="minorBidi" w:hAnsiTheme="minorBidi" w:cstheme="minorBidi"/>
          <w:lang w:val="es-ES_tradnl"/>
        </w:rPr>
        <w:t>;</w:t>
      </w:r>
      <w:r w:rsidRPr="00425C66">
        <w:rPr>
          <w:rFonts w:asciiTheme="minorBidi" w:hAnsiTheme="minorBidi" w:cstheme="minorBidi"/>
          <w:lang w:val="es-ES_tradnl"/>
        </w:rPr>
        <w:t xml:space="preserve"> y iii) solicitar nuevos proyectos y asociados para los programas existentes aprobados del Decenio. En la Convocatoria de Acciones del Decenio n.º 02/2021 se solicitaban programas que contribuyeran a los </w:t>
      </w:r>
      <w:r w:rsidR="0047656A" w:rsidRPr="00425C66">
        <w:rPr>
          <w:rFonts w:asciiTheme="minorBidi" w:hAnsiTheme="minorBidi" w:cstheme="minorBidi"/>
          <w:lang w:val="es-ES_tradnl"/>
        </w:rPr>
        <w:t>d</w:t>
      </w:r>
      <w:r w:rsidRPr="00425C66">
        <w:rPr>
          <w:rFonts w:asciiTheme="minorBidi" w:hAnsiTheme="minorBidi" w:cstheme="minorBidi"/>
          <w:lang w:val="es-ES_tradnl"/>
        </w:rPr>
        <w:t xml:space="preserve">esafíos del Decenio del Océano relacionados con la contaminación del mar, la gestión y restauración de los ecosistemas y el nexo entre el océano y el clima, </w:t>
      </w:r>
      <w:r w:rsidR="0047656A" w:rsidRPr="00425C66">
        <w:rPr>
          <w:rFonts w:asciiTheme="minorBidi" w:hAnsiTheme="minorBidi" w:cstheme="minorBidi"/>
          <w:lang w:val="es-ES_tradnl"/>
        </w:rPr>
        <w:t>así como</w:t>
      </w:r>
      <w:r w:rsidRPr="00425C66">
        <w:rPr>
          <w:rFonts w:asciiTheme="minorBidi" w:hAnsiTheme="minorBidi" w:cstheme="minorBidi"/>
          <w:lang w:val="es-ES_tradnl"/>
        </w:rPr>
        <w:t xml:space="preserve"> proyectos para 25 </w:t>
      </w:r>
      <w:r w:rsidR="0047656A" w:rsidRPr="00425C66">
        <w:rPr>
          <w:rFonts w:asciiTheme="minorBidi" w:hAnsiTheme="minorBidi" w:cstheme="minorBidi"/>
          <w:lang w:val="es-ES_tradnl"/>
        </w:rPr>
        <w:t>p</w:t>
      </w:r>
      <w:r w:rsidRPr="00425C66">
        <w:rPr>
          <w:rFonts w:asciiTheme="minorBidi" w:hAnsiTheme="minorBidi" w:cstheme="minorBidi"/>
          <w:lang w:val="es-ES_tradnl"/>
        </w:rPr>
        <w:t xml:space="preserve">rogramas aprobados. </w:t>
      </w:r>
    </w:p>
    <w:p w14:paraId="3E56B7C4" w14:textId="0E5101E6"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Por otra parte, </w:t>
      </w:r>
      <w:r w:rsidR="00902D7E" w:rsidRPr="00425C66">
        <w:rPr>
          <w:rFonts w:asciiTheme="minorBidi" w:hAnsiTheme="minorBidi" w:cstheme="minorBidi"/>
          <w:lang w:val="es-ES_tradnl"/>
        </w:rPr>
        <w:t xml:space="preserve">en </w:t>
      </w:r>
      <w:r w:rsidRPr="00425C66">
        <w:rPr>
          <w:rFonts w:asciiTheme="minorBidi" w:hAnsiTheme="minorBidi" w:cstheme="minorBidi"/>
          <w:lang w:val="es-ES_tradnl"/>
        </w:rPr>
        <w:t>la Convocatoria de Acciones del Decenio n.º 02/2021</w:t>
      </w:r>
      <w:r w:rsidR="00902D7E" w:rsidRPr="00425C66">
        <w:rPr>
          <w:rFonts w:asciiTheme="minorBidi" w:hAnsiTheme="minorBidi" w:cstheme="minorBidi"/>
          <w:lang w:val="es-ES_tradnl"/>
        </w:rPr>
        <w:t xml:space="preserve"> se pusieron</w:t>
      </w:r>
      <w:r w:rsidRPr="00425C66">
        <w:rPr>
          <w:rFonts w:asciiTheme="minorBidi" w:hAnsiTheme="minorBidi" w:cstheme="minorBidi"/>
          <w:lang w:val="es-ES_tradnl"/>
        </w:rPr>
        <w:t xml:space="preserve"> a prueba dos </w:t>
      </w:r>
      <w:r w:rsidR="001D2FAD" w:rsidRPr="00425C66">
        <w:rPr>
          <w:rFonts w:asciiTheme="minorBidi" w:hAnsiTheme="minorBidi" w:cstheme="minorBidi"/>
          <w:lang w:val="es-ES_tradnl"/>
        </w:rPr>
        <w:t>c</w:t>
      </w:r>
      <w:r w:rsidRPr="00425C66">
        <w:rPr>
          <w:rFonts w:asciiTheme="minorBidi" w:hAnsiTheme="minorBidi" w:cstheme="minorBidi"/>
          <w:lang w:val="es-ES_tradnl"/>
        </w:rPr>
        <w:t xml:space="preserve">onvocatorias de </w:t>
      </w:r>
      <w:r w:rsidR="001D2FAD"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patrocinadas como nuevo mecanismo de movilización de recursos para el Decenio. Esto supuso la integración de flujos de financiación del Fondo de Investigación AXA, centrado en la resiliencia costera, y de la </w:t>
      </w:r>
      <w:r w:rsidR="00902D7E" w:rsidRPr="00425C66">
        <w:rPr>
          <w:rFonts w:asciiTheme="minorBidi" w:hAnsiTheme="minorBidi" w:cstheme="minorBidi"/>
          <w:lang w:val="es-ES_tradnl"/>
        </w:rPr>
        <w:t>i</w:t>
      </w:r>
      <w:r w:rsidRPr="00425C66">
        <w:rPr>
          <w:rFonts w:asciiTheme="minorBidi" w:hAnsiTheme="minorBidi" w:cstheme="minorBidi"/>
          <w:lang w:val="es-ES_tradnl"/>
        </w:rPr>
        <w:t xml:space="preserve">niciativa MeerWissen </w:t>
      </w:r>
      <w:r w:rsidR="00594295" w:rsidRPr="00425C66">
        <w:rPr>
          <w:rFonts w:asciiTheme="minorBidi" w:hAnsiTheme="minorBidi" w:cstheme="minorBidi"/>
          <w:lang w:val="es-ES_tradnl"/>
        </w:rPr>
        <w:t>de</w:t>
      </w:r>
      <w:r w:rsidRPr="00425C66">
        <w:rPr>
          <w:rFonts w:asciiTheme="minorBidi" w:hAnsiTheme="minorBidi" w:cstheme="minorBidi"/>
          <w:lang w:val="es-ES_tradnl"/>
        </w:rPr>
        <w:t xml:space="preserve"> alianzas entre África y Alemania en favor del conocimiento de los mares, financiada por Alemania y orientada a la búsqueda de soluciones basadas en la naturaleza en África. </w:t>
      </w:r>
    </w:p>
    <w:p w14:paraId="1FD4C14F" w14:textId="1DCAACF9" w:rsidR="00E86920" w:rsidRPr="00425C66" w:rsidRDefault="007077C5"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En respuesta a esta </w:t>
      </w:r>
      <w:r w:rsidR="00902D7E" w:rsidRPr="00425C66">
        <w:rPr>
          <w:rFonts w:asciiTheme="minorBidi" w:hAnsiTheme="minorBidi" w:cstheme="minorBidi"/>
          <w:lang w:val="es-ES_tradnl"/>
        </w:rPr>
        <w:t>c</w:t>
      </w:r>
      <w:r w:rsidRPr="00425C66">
        <w:rPr>
          <w:rFonts w:asciiTheme="minorBidi" w:hAnsiTheme="minorBidi" w:cstheme="minorBidi"/>
          <w:lang w:val="es-ES_tradnl"/>
        </w:rPr>
        <w:t xml:space="preserve">onvocatoria se recibieron 38 propuestas de programas y 134 propuestas de proyectos de asociados principales de 33 países. Se recibieron aproximadamente 70 propuestas adicionales </w:t>
      </w:r>
      <w:r w:rsidR="00902D7E" w:rsidRPr="00425C66">
        <w:rPr>
          <w:rFonts w:asciiTheme="minorBidi" w:hAnsiTheme="minorBidi" w:cstheme="minorBidi"/>
          <w:lang w:val="es-ES_tradnl"/>
        </w:rPr>
        <w:t>gracias a</w:t>
      </w:r>
      <w:r w:rsidRPr="00425C66">
        <w:rPr>
          <w:rFonts w:asciiTheme="minorBidi" w:hAnsiTheme="minorBidi" w:cstheme="minorBidi"/>
          <w:lang w:val="es-ES_tradnl"/>
        </w:rPr>
        <w:t xml:space="preserve"> los elementos patrocinados de la </w:t>
      </w:r>
      <w:r w:rsidR="00902D7E" w:rsidRPr="00425C66">
        <w:rPr>
          <w:rFonts w:asciiTheme="minorBidi" w:hAnsiTheme="minorBidi" w:cstheme="minorBidi"/>
          <w:lang w:val="es-ES_tradnl"/>
        </w:rPr>
        <w:t>c</w:t>
      </w:r>
      <w:r w:rsidRPr="00425C66">
        <w:rPr>
          <w:rFonts w:asciiTheme="minorBidi" w:hAnsiTheme="minorBidi" w:cstheme="minorBidi"/>
          <w:lang w:val="es-ES_tradnl"/>
        </w:rPr>
        <w:t xml:space="preserve">onvocatoria. Actualmente se están </w:t>
      </w:r>
      <w:r w:rsidR="00902D7E" w:rsidRPr="00425C66">
        <w:rPr>
          <w:rFonts w:asciiTheme="minorBidi" w:hAnsiTheme="minorBidi" w:cstheme="minorBidi"/>
          <w:lang w:val="es-ES_tradnl"/>
        </w:rPr>
        <w:t>estudiando</w:t>
      </w:r>
      <w:r w:rsidRPr="00425C66">
        <w:rPr>
          <w:rFonts w:asciiTheme="minorBidi" w:hAnsiTheme="minorBidi" w:cstheme="minorBidi"/>
          <w:lang w:val="es-ES_tradnl"/>
        </w:rPr>
        <w:t xml:space="preserve"> las propuestas, incluido </w:t>
      </w:r>
      <w:r w:rsidR="00902D7E" w:rsidRPr="00425C66">
        <w:rPr>
          <w:rFonts w:asciiTheme="minorBidi" w:hAnsiTheme="minorBidi" w:cstheme="minorBidi"/>
          <w:lang w:val="es-ES_tradnl"/>
        </w:rPr>
        <w:t>el</w:t>
      </w:r>
      <w:r w:rsidRPr="00425C66">
        <w:rPr>
          <w:rFonts w:asciiTheme="minorBidi" w:hAnsiTheme="minorBidi" w:cstheme="minorBidi"/>
          <w:lang w:val="es-ES_tradnl"/>
        </w:rPr>
        <w:t xml:space="preserve"> examen de un primer conjunto de propuestas de programas por parte de la Junta Asesora del Decenio, y se anunciará una primera ronda de decisiones de aprobación el Día Mundial de los Océanos (8 de junio de 2022). </w:t>
      </w:r>
    </w:p>
    <w:p w14:paraId="4008A4C7" w14:textId="50227414"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lastRenderedPageBreak/>
        <w:t xml:space="preserve">La Junta Asesora del Decenio </w:t>
      </w:r>
      <w:r w:rsidR="006A158A" w:rsidRPr="00425C66">
        <w:rPr>
          <w:rFonts w:asciiTheme="minorBidi" w:hAnsiTheme="minorBidi" w:cstheme="minorBidi"/>
          <w:lang w:val="es-ES_tradnl"/>
        </w:rPr>
        <w:t>definió</w:t>
      </w:r>
      <w:r w:rsidRPr="00425C66">
        <w:rPr>
          <w:rFonts w:asciiTheme="minorBidi" w:hAnsiTheme="minorBidi" w:cstheme="minorBidi"/>
          <w:lang w:val="es-ES_tradnl"/>
        </w:rPr>
        <w:t xml:space="preserve"> el alcance de la tercera Convocatoria de Acciones del Decenio (n.º 03/2022)</w:t>
      </w:r>
      <w:r w:rsidR="00CB5794" w:rsidRPr="00425C66">
        <w:rPr>
          <w:rFonts w:asciiTheme="minorBidi" w:hAnsiTheme="minorBidi" w:cstheme="minorBidi"/>
          <w:lang w:val="es-ES_tradnl"/>
        </w:rPr>
        <w:t>,</w:t>
      </w:r>
      <w:r w:rsidRPr="00425C66">
        <w:rPr>
          <w:rFonts w:asciiTheme="minorBidi" w:hAnsiTheme="minorBidi" w:cstheme="minorBidi"/>
          <w:lang w:val="es-ES_tradnl"/>
        </w:rPr>
        <w:t xml:space="preserve"> </w:t>
      </w:r>
      <w:r w:rsidR="00902D7E" w:rsidRPr="00425C66">
        <w:rPr>
          <w:rFonts w:asciiTheme="minorBidi" w:hAnsiTheme="minorBidi" w:cstheme="minorBidi"/>
          <w:lang w:val="es-ES_tradnl"/>
        </w:rPr>
        <w:t>y esta</w:t>
      </w:r>
      <w:r w:rsidRPr="00425C66">
        <w:rPr>
          <w:rFonts w:asciiTheme="minorBidi" w:hAnsiTheme="minorBidi" w:cstheme="minorBidi"/>
          <w:lang w:val="es-ES_tradnl"/>
        </w:rPr>
        <w:t xml:space="preserve"> se puso en marcha el 15 de abril de 2022. En esta </w:t>
      </w:r>
      <w:r w:rsidR="00902D7E" w:rsidRPr="00425C66">
        <w:rPr>
          <w:rFonts w:asciiTheme="minorBidi" w:hAnsiTheme="minorBidi" w:cstheme="minorBidi"/>
          <w:lang w:val="es-ES_tradnl"/>
        </w:rPr>
        <w:t>c</w:t>
      </w:r>
      <w:r w:rsidRPr="00425C66">
        <w:rPr>
          <w:rFonts w:asciiTheme="minorBidi" w:hAnsiTheme="minorBidi" w:cstheme="minorBidi"/>
          <w:lang w:val="es-ES_tradnl"/>
        </w:rPr>
        <w:t xml:space="preserve">onvocatoria se solicitan programas que contribuyan a los </w:t>
      </w:r>
      <w:r w:rsidR="00902D7E" w:rsidRPr="00425C66">
        <w:rPr>
          <w:rFonts w:asciiTheme="minorBidi" w:hAnsiTheme="minorBidi" w:cstheme="minorBidi"/>
          <w:lang w:val="es-ES_tradnl"/>
        </w:rPr>
        <w:t>d</w:t>
      </w:r>
      <w:r w:rsidRPr="00425C66">
        <w:rPr>
          <w:rFonts w:asciiTheme="minorBidi" w:hAnsiTheme="minorBidi" w:cstheme="minorBidi"/>
          <w:lang w:val="es-ES_tradnl"/>
        </w:rPr>
        <w:t xml:space="preserve">esafíos del Decenio del Océano relacionados con la alimentación azul sostenible y la economía oceánica sostenible, así como proyectos para 16 programas aprobados del Decenio. Esta </w:t>
      </w:r>
      <w:r w:rsidR="00902D7E" w:rsidRPr="00425C66">
        <w:rPr>
          <w:rFonts w:asciiTheme="minorBidi" w:hAnsiTheme="minorBidi" w:cstheme="minorBidi"/>
          <w:lang w:val="es-ES_tradnl"/>
        </w:rPr>
        <w:t>c</w:t>
      </w:r>
      <w:r w:rsidRPr="00425C66">
        <w:rPr>
          <w:rFonts w:asciiTheme="minorBidi" w:hAnsiTheme="minorBidi" w:cstheme="minorBidi"/>
          <w:lang w:val="es-ES_tradnl"/>
        </w:rPr>
        <w:t xml:space="preserve">onvocatoria también solicita contribuciones en especie o financieras para apoyar las </w:t>
      </w:r>
      <w:r w:rsidR="00902D7E" w:rsidRPr="00425C66">
        <w:rPr>
          <w:rFonts w:asciiTheme="minorBidi" w:hAnsiTheme="minorBidi" w:cstheme="minorBidi"/>
          <w:lang w:val="es-ES_tradnl"/>
        </w:rPr>
        <w:t>a</w:t>
      </w:r>
      <w:r w:rsidRPr="00425C66">
        <w:rPr>
          <w:rFonts w:asciiTheme="minorBidi" w:hAnsiTheme="minorBidi" w:cstheme="minorBidi"/>
          <w:lang w:val="es-ES_tradnl"/>
        </w:rPr>
        <w:t>cciones del Decenio en los PEID de África y el Pacífico. Las presentaciones a la Convocatoria n.º 03/2022 se cierran a finales de agosto de 2022 y las decisiones de aprobación se anunciarán a finales de 2022 o principios de 2023.</w:t>
      </w:r>
    </w:p>
    <w:p w14:paraId="26A63F29" w14:textId="1228D214"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Las </w:t>
      </w:r>
      <w:r w:rsidR="00365D92" w:rsidRPr="00425C66">
        <w:rPr>
          <w:rFonts w:asciiTheme="minorBidi" w:hAnsiTheme="minorBidi" w:cstheme="minorBidi"/>
          <w:lang w:val="es-ES_tradnl"/>
        </w:rPr>
        <w:t>“</w:t>
      </w:r>
      <w:r w:rsidR="00CB5794" w:rsidRPr="00425C66">
        <w:rPr>
          <w:rFonts w:asciiTheme="minorBidi" w:hAnsiTheme="minorBidi" w:cstheme="minorBidi"/>
          <w:lang w:val="es-ES_tradnl"/>
        </w:rPr>
        <w:t>c</w:t>
      </w:r>
      <w:r w:rsidRPr="00425C66">
        <w:rPr>
          <w:rFonts w:asciiTheme="minorBidi" w:hAnsiTheme="minorBidi" w:cstheme="minorBidi"/>
          <w:lang w:val="es-ES_tradnl"/>
        </w:rPr>
        <w:t xml:space="preserve">omunidades de </w:t>
      </w:r>
      <w:r w:rsidR="00CB5794" w:rsidRPr="00425C66">
        <w:rPr>
          <w:rFonts w:asciiTheme="minorBidi" w:hAnsiTheme="minorBidi" w:cstheme="minorBidi"/>
          <w:lang w:val="es-ES_tradnl"/>
        </w:rPr>
        <w:t>p</w:t>
      </w:r>
      <w:r w:rsidRPr="00425C66">
        <w:rPr>
          <w:rFonts w:asciiTheme="minorBidi" w:hAnsiTheme="minorBidi" w:cstheme="minorBidi"/>
          <w:lang w:val="es-ES_tradnl"/>
        </w:rPr>
        <w:t>ráctica</w:t>
      </w:r>
      <w:r w:rsidR="00365D92" w:rsidRPr="00425C66">
        <w:rPr>
          <w:rFonts w:asciiTheme="minorBidi" w:hAnsiTheme="minorBidi" w:cstheme="minorBidi"/>
          <w:lang w:val="es-ES_tradnl"/>
        </w:rPr>
        <w:t>”</w:t>
      </w:r>
      <w:r w:rsidRPr="00425C66">
        <w:rPr>
          <w:rFonts w:asciiTheme="minorBidi" w:hAnsiTheme="minorBidi" w:cstheme="minorBidi"/>
          <w:lang w:val="es-ES_tradnl"/>
        </w:rPr>
        <w:t xml:space="preserve"> son grupos de </w:t>
      </w:r>
      <w:r w:rsidR="00CB5794"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aprobadas </w:t>
      </w:r>
      <w:r w:rsidR="00CB5794" w:rsidRPr="00425C66">
        <w:rPr>
          <w:rFonts w:asciiTheme="minorBidi" w:hAnsiTheme="minorBidi" w:cstheme="minorBidi"/>
          <w:lang w:val="es-ES_tradnl"/>
        </w:rPr>
        <w:t>que se centran</w:t>
      </w:r>
      <w:r w:rsidRPr="00425C66">
        <w:rPr>
          <w:rFonts w:asciiTheme="minorBidi" w:hAnsiTheme="minorBidi" w:cstheme="minorBidi"/>
          <w:lang w:val="es-ES_tradnl"/>
        </w:rPr>
        <w:t xml:space="preserve"> en un tema o zona geográfica común. Su finalidad consiste en facilitar la colaboración y la </w:t>
      </w:r>
      <w:r w:rsidR="00CB5794" w:rsidRPr="00425C66">
        <w:rPr>
          <w:rFonts w:asciiTheme="minorBidi" w:hAnsiTheme="minorBidi" w:cstheme="minorBidi"/>
          <w:lang w:val="es-ES_tradnl"/>
        </w:rPr>
        <w:t>concepción</w:t>
      </w:r>
      <w:r w:rsidRPr="00425C66">
        <w:rPr>
          <w:rFonts w:asciiTheme="minorBidi" w:hAnsiTheme="minorBidi" w:cstheme="minorBidi"/>
          <w:lang w:val="es-ES_tradnl"/>
        </w:rPr>
        <w:t xml:space="preserve"> conjunta</w:t>
      </w:r>
      <w:r w:rsidR="00CB5794" w:rsidRPr="00425C66">
        <w:rPr>
          <w:rFonts w:asciiTheme="minorBidi" w:hAnsiTheme="minorBidi" w:cstheme="minorBidi"/>
          <w:lang w:val="es-ES_tradnl"/>
        </w:rPr>
        <w:t xml:space="preserve"> y </w:t>
      </w:r>
      <w:r w:rsidRPr="00425C66">
        <w:rPr>
          <w:rFonts w:asciiTheme="minorBidi" w:hAnsiTheme="minorBidi" w:cstheme="minorBidi"/>
          <w:lang w:val="es-ES_tradnl"/>
        </w:rPr>
        <w:t xml:space="preserve">encontrar sinergias para lograr objetivos comunes. Cada </w:t>
      </w:r>
      <w:r w:rsidR="00CB5794" w:rsidRPr="00425C66">
        <w:rPr>
          <w:rFonts w:asciiTheme="minorBidi" w:hAnsiTheme="minorBidi" w:cstheme="minorBidi"/>
          <w:lang w:val="es-ES_tradnl"/>
        </w:rPr>
        <w:t>c</w:t>
      </w:r>
      <w:r w:rsidRPr="00425C66">
        <w:rPr>
          <w:rFonts w:asciiTheme="minorBidi" w:hAnsiTheme="minorBidi" w:cstheme="minorBidi"/>
          <w:lang w:val="es-ES_tradnl"/>
        </w:rPr>
        <w:t xml:space="preserve">omunidad de </w:t>
      </w:r>
      <w:r w:rsidR="00CB5794" w:rsidRPr="00425C66">
        <w:rPr>
          <w:rFonts w:asciiTheme="minorBidi" w:hAnsiTheme="minorBidi" w:cstheme="minorBidi"/>
          <w:lang w:val="es-ES_tradnl"/>
        </w:rPr>
        <w:t>p</w:t>
      </w:r>
      <w:r w:rsidRPr="00425C66">
        <w:rPr>
          <w:rFonts w:asciiTheme="minorBidi" w:hAnsiTheme="minorBidi" w:cstheme="minorBidi"/>
          <w:lang w:val="es-ES_tradnl"/>
        </w:rPr>
        <w:t xml:space="preserve">ráctica tiene un espacio digital específico en el Foro Mundial de Partes Interesadas. Los diálogos con la Junta Asesora </w:t>
      </w:r>
      <w:r w:rsidR="00CB5794" w:rsidRPr="00425C66">
        <w:rPr>
          <w:rFonts w:asciiTheme="minorBidi" w:hAnsiTheme="minorBidi" w:cstheme="minorBidi"/>
          <w:lang w:val="es-ES_tradnl"/>
        </w:rPr>
        <w:t xml:space="preserve">Provisional </w:t>
      </w:r>
      <w:r w:rsidRPr="00425C66">
        <w:rPr>
          <w:rFonts w:asciiTheme="minorBidi" w:hAnsiTheme="minorBidi" w:cstheme="minorBidi"/>
          <w:lang w:val="es-ES_tradnl"/>
        </w:rPr>
        <w:t xml:space="preserve">del Decenio permitieron </w:t>
      </w:r>
      <w:r w:rsidR="00CB5794" w:rsidRPr="00425C66">
        <w:rPr>
          <w:rFonts w:asciiTheme="minorBidi" w:hAnsiTheme="minorBidi" w:cstheme="minorBidi"/>
          <w:lang w:val="es-ES_tradnl"/>
        </w:rPr>
        <w:t>confeccionar</w:t>
      </w:r>
      <w:r w:rsidRPr="00425C66">
        <w:rPr>
          <w:rFonts w:asciiTheme="minorBidi" w:hAnsiTheme="minorBidi" w:cstheme="minorBidi"/>
          <w:lang w:val="es-ES_tradnl"/>
        </w:rPr>
        <w:t xml:space="preserve"> una lista inicial de aproximadamente 20 </w:t>
      </w:r>
      <w:r w:rsidR="00CB5794" w:rsidRPr="00425C66">
        <w:rPr>
          <w:rFonts w:asciiTheme="minorBidi" w:hAnsiTheme="minorBidi" w:cstheme="minorBidi"/>
          <w:lang w:val="es-ES_tradnl"/>
        </w:rPr>
        <w:t>c</w:t>
      </w:r>
      <w:r w:rsidRPr="00425C66">
        <w:rPr>
          <w:rFonts w:asciiTheme="minorBidi" w:hAnsiTheme="minorBidi" w:cstheme="minorBidi"/>
          <w:lang w:val="es-ES_tradnl"/>
        </w:rPr>
        <w:t xml:space="preserve">omunidades de </w:t>
      </w:r>
      <w:r w:rsidR="00CB5794" w:rsidRPr="00425C66">
        <w:rPr>
          <w:rFonts w:asciiTheme="minorBidi" w:hAnsiTheme="minorBidi" w:cstheme="minorBidi"/>
          <w:lang w:val="es-ES_tradnl"/>
        </w:rPr>
        <w:t>p</w:t>
      </w:r>
      <w:r w:rsidRPr="00425C66">
        <w:rPr>
          <w:rFonts w:asciiTheme="minorBidi" w:hAnsiTheme="minorBidi" w:cstheme="minorBidi"/>
          <w:lang w:val="es-ES_tradnl"/>
        </w:rPr>
        <w:t>ráctica temáticas y regionales</w:t>
      </w:r>
      <w:r w:rsidR="00CB5794" w:rsidRPr="00425C66">
        <w:rPr>
          <w:rFonts w:asciiTheme="minorBidi" w:hAnsiTheme="minorBidi" w:cstheme="minorBidi"/>
          <w:lang w:val="es-ES_tradnl"/>
        </w:rPr>
        <w:t xml:space="preserve"> para</w:t>
      </w:r>
      <w:r w:rsidRPr="00425C66">
        <w:rPr>
          <w:rFonts w:asciiTheme="minorBidi" w:hAnsiTheme="minorBidi" w:cstheme="minorBidi"/>
          <w:lang w:val="es-ES_tradnl"/>
        </w:rPr>
        <w:t xml:space="preserve"> ofrece</w:t>
      </w:r>
      <w:r w:rsidR="00CB5794" w:rsidRPr="00425C66">
        <w:rPr>
          <w:rFonts w:asciiTheme="minorBidi" w:hAnsiTheme="minorBidi" w:cstheme="minorBidi"/>
          <w:lang w:val="es-ES_tradnl"/>
        </w:rPr>
        <w:t>r</w:t>
      </w:r>
      <w:r w:rsidRPr="00425C66">
        <w:rPr>
          <w:rFonts w:asciiTheme="minorBidi" w:hAnsiTheme="minorBidi" w:cstheme="minorBidi"/>
          <w:lang w:val="es-ES_tradnl"/>
        </w:rPr>
        <w:t xml:space="preserve"> una plataforma de intercambio y colaboración entre las </w:t>
      </w:r>
      <w:r w:rsidR="00CB5794"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aprobadas. En 2021 comenzó a funcionar oficialmente la primera </w:t>
      </w:r>
      <w:r w:rsidR="00CB5794" w:rsidRPr="00425C66">
        <w:rPr>
          <w:rFonts w:asciiTheme="minorBidi" w:hAnsiTheme="minorBidi" w:cstheme="minorBidi"/>
          <w:lang w:val="es-ES_tradnl"/>
        </w:rPr>
        <w:t>c</w:t>
      </w:r>
      <w:r w:rsidRPr="00425C66">
        <w:rPr>
          <w:rFonts w:asciiTheme="minorBidi" w:hAnsiTheme="minorBidi" w:cstheme="minorBidi"/>
          <w:lang w:val="es-ES_tradnl"/>
        </w:rPr>
        <w:t xml:space="preserve">omunidad de </w:t>
      </w:r>
      <w:r w:rsidR="00CB5794" w:rsidRPr="00425C66">
        <w:rPr>
          <w:rFonts w:asciiTheme="minorBidi" w:hAnsiTheme="minorBidi" w:cstheme="minorBidi"/>
          <w:lang w:val="es-ES_tradnl"/>
        </w:rPr>
        <w:t>p</w:t>
      </w:r>
      <w:r w:rsidRPr="00425C66">
        <w:rPr>
          <w:rFonts w:asciiTheme="minorBidi" w:hAnsiTheme="minorBidi" w:cstheme="minorBidi"/>
          <w:lang w:val="es-ES_tradnl"/>
        </w:rPr>
        <w:t xml:space="preserve">ráctica </w:t>
      </w:r>
      <w:r w:rsidR="00CB5794" w:rsidRPr="00425C66">
        <w:rPr>
          <w:rFonts w:asciiTheme="minorBidi" w:hAnsiTheme="minorBidi" w:cstheme="minorBidi"/>
          <w:lang w:val="es-ES_tradnl"/>
        </w:rPr>
        <w:t>—e</w:t>
      </w:r>
      <w:r w:rsidRPr="00425C66">
        <w:rPr>
          <w:rFonts w:asciiTheme="minorBidi" w:hAnsiTheme="minorBidi" w:cstheme="minorBidi"/>
          <w:lang w:val="es-ES_tradnl"/>
        </w:rPr>
        <w:t xml:space="preserve">cosistema </w:t>
      </w:r>
      <w:r w:rsidR="00CB5794" w:rsidRPr="00425C66">
        <w:rPr>
          <w:rFonts w:asciiTheme="minorBidi" w:hAnsiTheme="minorBidi" w:cstheme="minorBidi"/>
          <w:lang w:val="es-ES_tradnl"/>
        </w:rPr>
        <w:t>c</w:t>
      </w:r>
      <w:r w:rsidRPr="00425C66">
        <w:rPr>
          <w:rFonts w:asciiTheme="minorBidi" w:hAnsiTheme="minorBidi" w:cstheme="minorBidi"/>
          <w:lang w:val="es-ES_tradnl"/>
        </w:rPr>
        <w:t xml:space="preserve">ostero y </w:t>
      </w:r>
      <w:r w:rsidR="00CB5794" w:rsidRPr="00425C66">
        <w:rPr>
          <w:rFonts w:asciiTheme="minorBidi" w:hAnsiTheme="minorBidi" w:cstheme="minorBidi"/>
          <w:lang w:val="es-ES_tradnl"/>
        </w:rPr>
        <w:t>r</w:t>
      </w:r>
      <w:r w:rsidRPr="00425C66">
        <w:rPr>
          <w:rFonts w:asciiTheme="minorBidi" w:hAnsiTheme="minorBidi" w:cstheme="minorBidi"/>
          <w:lang w:val="es-ES_tradnl"/>
        </w:rPr>
        <w:t xml:space="preserve">esiliencia </w:t>
      </w:r>
      <w:r w:rsidR="00CB5794" w:rsidRPr="00425C66">
        <w:rPr>
          <w:rFonts w:asciiTheme="minorBidi" w:hAnsiTheme="minorBidi" w:cstheme="minorBidi"/>
          <w:lang w:val="es-ES_tradnl"/>
        </w:rPr>
        <w:t>c</w:t>
      </w:r>
      <w:r w:rsidRPr="00425C66">
        <w:rPr>
          <w:rFonts w:asciiTheme="minorBidi" w:hAnsiTheme="minorBidi" w:cstheme="minorBidi"/>
          <w:lang w:val="es-ES_tradnl"/>
        </w:rPr>
        <w:t>omunitaria</w:t>
      </w:r>
      <w:r w:rsidR="00CB5794" w:rsidRPr="00425C66">
        <w:rPr>
          <w:rFonts w:asciiTheme="minorBidi" w:hAnsiTheme="minorBidi" w:cstheme="minorBidi"/>
          <w:lang w:val="es-ES_tradnl"/>
        </w:rPr>
        <w:t>—</w:t>
      </w:r>
      <w:r w:rsidRPr="00425C66">
        <w:rPr>
          <w:rFonts w:asciiTheme="minorBidi" w:hAnsiTheme="minorBidi" w:cstheme="minorBidi"/>
          <w:lang w:val="es-ES_tradnl"/>
        </w:rPr>
        <w:t xml:space="preserve">, y actualmente están activas otras cuatro </w:t>
      </w:r>
      <w:r w:rsidR="00CB5794" w:rsidRPr="00425C66">
        <w:rPr>
          <w:rFonts w:asciiTheme="minorBidi" w:hAnsiTheme="minorBidi" w:cstheme="minorBidi"/>
          <w:lang w:val="es-ES_tradnl"/>
        </w:rPr>
        <w:t>c</w:t>
      </w:r>
      <w:r w:rsidRPr="00425C66">
        <w:rPr>
          <w:rFonts w:asciiTheme="minorBidi" w:hAnsiTheme="minorBidi" w:cstheme="minorBidi"/>
          <w:lang w:val="es-ES_tradnl"/>
        </w:rPr>
        <w:t xml:space="preserve">omunidades de </w:t>
      </w:r>
      <w:r w:rsidR="00CB5794" w:rsidRPr="00425C66">
        <w:rPr>
          <w:rFonts w:asciiTheme="minorBidi" w:hAnsiTheme="minorBidi" w:cstheme="minorBidi"/>
          <w:lang w:val="es-ES_tradnl"/>
        </w:rPr>
        <w:t>p</w:t>
      </w:r>
      <w:r w:rsidRPr="00425C66">
        <w:rPr>
          <w:rFonts w:asciiTheme="minorBidi" w:hAnsiTheme="minorBidi" w:cstheme="minorBidi"/>
          <w:lang w:val="es-ES_tradnl"/>
        </w:rPr>
        <w:t xml:space="preserve">ráctica relacionadas con la investigación y la gestión de las aguas profundas, el desarrollo de capacidades y los factores de perturbación oceánicos. A medida que se aprueben más </w:t>
      </w:r>
      <w:r w:rsidR="00CB5794"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y se ofrezca apoyo de coordinación adicional en forma de </w:t>
      </w:r>
      <w:r w:rsidR="00CB5794" w:rsidRPr="00425C66">
        <w:rPr>
          <w:rFonts w:asciiTheme="minorBidi" w:hAnsiTheme="minorBidi" w:cstheme="minorBidi"/>
          <w:lang w:val="es-ES_tradnl"/>
        </w:rPr>
        <w:t>a</w:t>
      </w:r>
      <w:r w:rsidRPr="00425C66">
        <w:rPr>
          <w:rFonts w:asciiTheme="minorBidi" w:hAnsiTheme="minorBidi" w:cstheme="minorBidi"/>
          <w:lang w:val="es-ES_tradnl"/>
        </w:rPr>
        <w:t xml:space="preserve">sociados de </w:t>
      </w:r>
      <w:r w:rsidR="00CB5794" w:rsidRPr="00425C66">
        <w:rPr>
          <w:rFonts w:asciiTheme="minorBidi" w:hAnsiTheme="minorBidi" w:cstheme="minorBidi"/>
          <w:lang w:val="es-ES_tradnl"/>
        </w:rPr>
        <w:t>e</w:t>
      </w:r>
      <w:r w:rsidRPr="00425C66">
        <w:rPr>
          <w:rFonts w:asciiTheme="minorBidi" w:hAnsiTheme="minorBidi" w:cstheme="minorBidi"/>
          <w:lang w:val="es-ES_tradnl"/>
        </w:rPr>
        <w:t xml:space="preserve">jecución del Decenio y </w:t>
      </w:r>
      <w:r w:rsidR="00CB5794" w:rsidRPr="00425C66">
        <w:rPr>
          <w:rFonts w:asciiTheme="minorBidi" w:hAnsiTheme="minorBidi" w:cstheme="minorBidi"/>
          <w:lang w:val="es-ES_tradnl"/>
        </w:rPr>
        <w:t>c</w:t>
      </w:r>
      <w:r w:rsidRPr="00425C66">
        <w:rPr>
          <w:rFonts w:asciiTheme="minorBidi" w:hAnsiTheme="minorBidi" w:cstheme="minorBidi"/>
          <w:lang w:val="es-ES_tradnl"/>
        </w:rPr>
        <w:t xml:space="preserve">entros de </w:t>
      </w:r>
      <w:r w:rsidR="00CB5794" w:rsidRPr="00425C66">
        <w:rPr>
          <w:rFonts w:asciiTheme="minorBidi" w:hAnsiTheme="minorBidi" w:cstheme="minorBidi"/>
          <w:lang w:val="es-ES_tradnl"/>
        </w:rPr>
        <w:t>c</w:t>
      </w:r>
      <w:r w:rsidRPr="00425C66">
        <w:rPr>
          <w:rFonts w:asciiTheme="minorBidi" w:hAnsiTheme="minorBidi" w:cstheme="minorBidi"/>
          <w:lang w:val="es-ES_tradnl"/>
        </w:rPr>
        <w:t xml:space="preserve">olaboración del Decenio, se pondrán en marcha </w:t>
      </w:r>
      <w:r w:rsidR="00857975" w:rsidRPr="00425C66">
        <w:rPr>
          <w:rFonts w:asciiTheme="minorBidi" w:hAnsiTheme="minorBidi" w:cstheme="minorBidi"/>
          <w:lang w:val="es-ES_tradnl"/>
        </w:rPr>
        <w:t>o</w:t>
      </w:r>
      <w:r w:rsidR="00CB5794" w:rsidRPr="00425C66">
        <w:rPr>
          <w:rFonts w:asciiTheme="minorBidi" w:hAnsiTheme="minorBidi" w:cstheme="minorBidi"/>
          <w:lang w:val="es-ES_tradnl"/>
        </w:rPr>
        <w:t>tras</w:t>
      </w:r>
      <w:r w:rsidRPr="00425C66">
        <w:rPr>
          <w:rFonts w:asciiTheme="minorBidi" w:hAnsiTheme="minorBidi" w:cstheme="minorBidi"/>
          <w:lang w:val="es-ES_tradnl"/>
        </w:rPr>
        <w:t xml:space="preserve"> </w:t>
      </w:r>
      <w:r w:rsidR="00CB5794" w:rsidRPr="00425C66">
        <w:rPr>
          <w:rFonts w:asciiTheme="minorBidi" w:hAnsiTheme="minorBidi" w:cstheme="minorBidi"/>
          <w:lang w:val="es-ES_tradnl"/>
        </w:rPr>
        <w:t>c</w:t>
      </w:r>
      <w:r w:rsidRPr="00425C66">
        <w:rPr>
          <w:rFonts w:asciiTheme="minorBidi" w:hAnsiTheme="minorBidi" w:cstheme="minorBidi"/>
          <w:lang w:val="es-ES_tradnl"/>
        </w:rPr>
        <w:t xml:space="preserve">omunidades de </w:t>
      </w:r>
      <w:r w:rsidR="00CB5794" w:rsidRPr="00425C66">
        <w:rPr>
          <w:rFonts w:asciiTheme="minorBidi" w:hAnsiTheme="minorBidi" w:cstheme="minorBidi"/>
          <w:lang w:val="es-ES_tradnl"/>
        </w:rPr>
        <w:t>p</w:t>
      </w:r>
      <w:r w:rsidRPr="00425C66">
        <w:rPr>
          <w:rFonts w:asciiTheme="minorBidi" w:hAnsiTheme="minorBidi" w:cstheme="minorBidi"/>
          <w:lang w:val="es-ES_tradnl"/>
        </w:rPr>
        <w:t xml:space="preserve">ráctica. </w:t>
      </w:r>
    </w:p>
    <w:p w14:paraId="52D1CBB4" w14:textId="77777777" w:rsidR="00E86920" w:rsidRPr="00425C66" w:rsidRDefault="00E86920" w:rsidP="00434ACD">
      <w:pPr>
        <w:pStyle w:val="Style2"/>
        <w:tabs>
          <w:tab w:val="clear" w:pos="1400"/>
          <w:tab w:val="left" w:pos="0"/>
        </w:tabs>
        <w:snapToGrid w:val="0"/>
        <w:ind w:left="0"/>
        <w:rPr>
          <w:rFonts w:asciiTheme="minorBidi" w:eastAsia="Arial" w:hAnsiTheme="minorBidi" w:cstheme="minorBidi"/>
          <w:b/>
          <w:bCs/>
          <w:color w:val="000000" w:themeColor="text1"/>
          <w:lang w:val="es-ES_tradnl"/>
        </w:rPr>
      </w:pPr>
      <w:r w:rsidRPr="00425C66">
        <w:rPr>
          <w:rFonts w:asciiTheme="minorBidi" w:hAnsiTheme="minorBidi" w:cstheme="minorBidi"/>
          <w:b/>
          <w:bCs/>
          <w:lang w:val="es-ES_tradnl"/>
        </w:rPr>
        <w:t>Estructuras de gobernanza y coordinación</w:t>
      </w:r>
    </w:p>
    <w:p w14:paraId="5580A0FD" w14:textId="0C22E933"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Durante este período se celebraron dos reuniones de la Junta Asesora</w:t>
      </w:r>
      <w:r w:rsidR="000547E0" w:rsidRPr="00425C66">
        <w:rPr>
          <w:rFonts w:asciiTheme="minorBidi" w:hAnsiTheme="minorBidi" w:cstheme="minorBidi"/>
          <w:lang w:val="es-ES_tradnl"/>
        </w:rPr>
        <w:t xml:space="preserve"> Provisional</w:t>
      </w:r>
      <w:r w:rsidRPr="00425C66">
        <w:rPr>
          <w:rFonts w:asciiTheme="minorBidi" w:hAnsiTheme="minorBidi" w:cstheme="minorBidi"/>
          <w:lang w:val="es-ES_tradnl"/>
        </w:rPr>
        <w:t xml:space="preserve"> del Decenio</w:t>
      </w:r>
      <w:r w:rsidR="000547E0" w:rsidRPr="00425C66">
        <w:rPr>
          <w:rFonts w:asciiTheme="minorBidi" w:hAnsiTheme="minorBidi" w:cstheme="minorBidi"/>
          <w:lang w:val="es-ES_tradnl"/>
        </w:rPr>
        <w:t xml:space="preserve"> (</w:t>
      </w:r>
      <w:r w:rsidRPr="00425C66">
        <w:rPr>
          <w:rFonts w:asciiTheme="minorBidi" w:hAnsiTheme="minorBidi" w:cstheme="minorBidi"/>
          <w:lang w:val="es-ES_tradnl"/>
        </w:rPr>
        <w:t>septiembre y diciembre de 2021</w:t>
      </w:r>
      <w:r w:rsidR="000547E0" w:rsidRPr="00425C66">
        <w:rPr>
          <w:rFonts w:asciiTheme="minorBidi" w:hAnsiTheme="minorBidi" w:cstheme="minorBidi"/>
          <w:lang w:val="es-ES_tradnl"/>
        </w:rPr>
        <w:t>)</w:t>
      </w:r>
      <w:r w:rsidRPr="00425C66">
        <w:rPr>
          <w:rFonts w:asciiTheme="minorBidi" w:hAnsiTheme="minorBidi" w:cstheme="minorBidi"/>
          <w:lang w:val="es-ES_tradnl"/>
        </w:rPr>
        <w:t xml:space="preserve">. En estas reuniones se evaluaron programas del Decenio </w:t>
      </w:r>
      <w:r w:rsidR="00DD41D7" w:rsidRPr="00425C66">
        <w:rPr>
          <w:rFonts w:asciiTheme="minorBidi" w:hAnsiTheme="minorBidi" w:cstheme="minorBidi"/>
          <w:lang w:val="es-ES_tradnl"/>
        </w:rPr>
        <w:t>con miras a</w:t>
      </w:r>
      <w:r w:rsidRPr="00425C66">
        <w:rPr>
          <w:rFonts w:asciiTheme="minorBidi" w:hAnsiTheme="minorBidi" w:cstheme="minorBidi"/>
          <w:lang w:val="es-ES_tradnl"/>
        </w:rPr>
        <w:t xml:space="preserve"> su aprobación y se formularon recomendaciones al respecto</w:t>
      </w:r>
      <w:r w:rsidR="000547E0" w:rsidRPr="00425C66">
        <w:rPr>
          <w:rFonts w:asciiTheme="minorBidi" w:hAnsiTheme="minorBidi" w:cstheme="minorBidi"/>
          <w:lang w:val="es-ES_tradnl"/>
        </w:rPr>
        <w:t>.</w:t>
      </w:r>
      <w:r w:rsidRPr="00425C66">
        <w:rPr>
          <w:rFonts w:asciiTheme="minorBidi" w:hAnsiTheme="minorBidi" w:cstheme="minorBidi"/>
          <w:lang w:val="es-ES_tradnl"/>
        </w:rPr>
        <w:t xml:space="preserve"> </w:t>
      </w:r>
      <w:r w:rsidR="000547E0" w:rsidRPr="00425C66">
        <w:rPr>
          <w:rFonts w:asciiTheme="minorBidi" w:hAnsiTheme="minorBidi" w:cstheme="minorBidi"/>
          <w:lang w:val="es-ES_tradnl"/>
        </w:rPr>
        <w:t>A</w:t>
      </w:r>
      <w:r w:rsidRPr="00425C66">
        <w:rPr>
          <w:rFonts w:asciiTheme="minorBidi" w:hAnsiTheme="minorBidi" w:cstheme="minorBidi"/>
          <w:lang w:val="es-ES_tradnl"/>
        </w:rPr>
        <w:t xml:space="preserve">simismo, se ofreció asesoramiento sobre el marco conceptual de seguimiento y evaluación del Decenio y se comenzó a preparar la segunda Convocatoria de Acciones del Decenio n.º 02/2021. </w:t>
      </w:r>
      <w:r w:rsidR="000547E0" w:rsidRPr="00425C66">
        <w:rPr>
          <w:rFonts w:asciiTheme="minorBidi" w:hAnsiTheme="minorBidi" w:cstheme="minorBidi"/>
          <w:lang w:val="es-ES_tradnl"/>
        </w:rPr>
        <w:t xml:space="preserve"> </w:t>
      </w:r>
    </w:p>
    <w:p w14:paraId="42ACF9A1" w14:textId="1AE8062D"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La Asamblea de la COI, en su 31</w:t>
      </w:r>
      <w:r w:rsidRPr="00425C66">
        <w:rPr>
          <w:rFonts w:asciiTheme="minorBidi" w:hAnsiTheme="minorBidi" w:cstheme="minorBidi"/>
          <w:vertAlign w:val="superscript"/>
          <w:lang w:val="es-ES_tradnl"/>
        </w:rPr>
        <w:t>a</w:t>
      </w:r>
      <w:r w:rsidRPr="00425C66">
        <w:rPr>
          <w:rFonts w:asciiTheme="minorBidi" w:hAnsiTheme="minorBidi" w:cstheme="minorBidi"/>
          <w:lang w:val="es-ES_tradnl"/>
        </w:rPr>
        <w:t xml:space="preserve"> reunión, aprobó el mandato de la Junta Asesora del Decenio sobre la base del documento </w:t>
      </w:r>
      <w:hyperlink r:id="rId11" w:history="1">
        <w:r w:rsidRPr="00425C66">
          <w:rPr>
            <w:rStyle w:val="Hyperlink"/>
            <w:rFonts w:asciiTheme="minorBidi" w:hAnsiTheme="minorBidi" w:cstheme="minorBidi"/>
            <w:lang w:val="es-ES_tradnl"/>
          </w:rPr>
          <w:t>IOC/A-31/3.7.Doc(1)</w:t>
        </w:r>
      </w:hyperlink>
      <w:r w:rsidRPr="00425C66">
        <w:rPr>
          <w:rFonts w:asciiTheme="minorBidi" w:hAnsiTheme="minorBidi" w:cstheme="minorBidi"/>
          <w:lang w:val="es-ES_tradnl"/>
        </w:rPr>
        <w:t xml:space="preserve">, incluido el proceso de selección de sus miembros. Entre el 5 de julio y el 22 de septiembre de 2021 </w:t>
      </w:r>
      <w:r w:rsidR="00407111" w:rsidRPr="00425C66">
        <w:rPr>
          <w:rFonts w:asciiTheme="minorBidi" w:hAnsiTheme="minorBidi" w:cstheme="minorBidi"/>
          <w:lang w:val="es-ES_tradnl"/>
        </w:rPr>
        <w:t>estuvo abierta</w:t>
      </w:r>
      <w:r w:rsidRPr="00425C66">
        <w:rPr>
          <w:rFonts w:asciiTheme="minorBidi" w:hAnsiTheme="minorBidi" w:cstheme="minorBidi"/>
          <w:lang w:val="es-ES_tradnl"/>
        </w:rPr>
        <w:t xml:space="preserve"> una convocatoria de presentación de candidaturas para seleccionar a 15 miembros expertos de la Junta. Al término de este proceso, se recibieron 243 candidaturas de Estados Miembros de la COI</w:t>
      </w:r>
      <w:r w:rsidR="00407111" w:rsidRPr="00425C66">
        <w:rPr>
          <w:rFonts w:asciiTheme="minorBidi" w:hAnsiTheme="minorBidi" w:cstheme="minorBidi"/>
          <w:lang w:val="es-ES_tradnl"/>
        </w:rPr>
        <w:t xml:space="preserve"> de la </w:t>
      </w:r>
      <w:r w:rsidRPr="00425C66">
        <w:rPr>
          <w:rFonts w:asciiTheme="minorBidi" w:hAnsiTheme="minorBidi" w:cstheme="minorBidi"/>
          <w:lang w:val="es-ES_tradnl"/>
        </w:rPr>
        <w:t xml:space="preserve">UNESCO, de las Naciones Unidas, de </w:t>
      </w:r>
      <w:r w:rsidR="00407111" w:rsidRPr="00425C66">
        <w:rPr>
          <w:rFonts w:asciiTheme="minorBidi" w:hAnsiTheme="minorBidi" w:cstheme="minorBidi"/>
          <w:lang w:val="es-ES_tradnl"/>
        </w:rPr>
        <w:t>entidades</w:t>
      </w:r>
      <w:r w:rsidRPr="00425C66">
        <w:rPr>
          <w:rFonts w:asciiTheme="minorBidi" w:hAnsiTheme="minorBidi" w:cstheme="minorBidi"/>
          <w:lang w:val="es-ES_tradnl"/>
        </w:rPr>
        <w:t xml:space="preserve"> de las Naciones Unidas y de organizaciones intergubernamentales, así como candidaturas presentadas por los propios interesados. El Secretario Ejecutivo de la COI convocó un Comité de Selección integrado por el Presidente de la COI y los miembros de la Mesa de la COI que representan a los cinco grupos electorales de la Comisión. Con el apoyo técnico de la Unidad de Coordinación del Decenio, este Comité seleccionó a 15 miembros expertos de 13 países para que integraran la Junta Asesora del Decenio. </w:t>
      </w:r>
    </w:p>
    <w:p w14:paraId="00F168AA" w14:textId="77777777"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En su evaluación, el Comité de Selección se comprometió a asegurar que los miembros expertos tuvieran aptitudes, conocimientos, influencia e imparcialidad suficientes en relación con la visión y los objetivos del Decenio y estuvieran en condiciones de realizar los trabajos definidos en el mandato. La diversidad de los sectores representados constituyó un criterio esencial, en particular para contar con una serie de miembros procedentes de la comunidad científica, el sector privado, las entidades filantrópicas y los gobiernos. Los miembros expertos también se seleccionaron teniendo debidamente en cuenta los conocimientos especializados y el equilibrio geográfico, entre generaciones y de género.</w:t>
      </w:r>
    </w:p>
    <w:p w14:paraId="4848E6B3" w14:textId="72EAD2A2"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Además de los 15 miembros expertos, el Asesor Jurídico de las Naciones Unidas/DAODM, en su condición de secretaría y coordinador de ONU-Océanos y de la Convención de las Naciones Unidas sobre el Derecho del Mar, tendrá un puesto permanente en la Junta Asesora del Decenio. La Secretaría de la COI, como coordinadora del Decenio, también tendrá un puesto permanente en </w:t>
      </w:r>
      <w:r w:rsidRPr="00425C66">
        <w:rPr>
          <w:rFonts w:asciiTheme="minorBidi" w:hAnsiTheme="minorBidi" w:cstheme="minorBidi"/>
          <w:lang w:val="es-ES_tradnl"/>
        </w:rPr>
        <w:lastRenderedPageBreak/>
        <w:t>la Junta. Se reservaron tres puestos más para organismos de las Naciones Unidas. En enero de</w:t>
      </w:r>
      <w:r w:rsidR="00365D92" w:rsidRPr="00425C66">
        <w:rPr>
          <w:rFonts w:asciiTheme="minorBidi" w:hAnsiTheme="minorBidi" w:cstheme="minorBidi"/>
          <w:lang w:val="es-ES_tradnl"/>
        </w:rPr>
        <w:t> </w:t>
      </w:r>
      <w:r w:rsidRPr="00425C66">
        <w:rPr>
          <w:rFonts w:asciiTheme="minorBidi" w:hAnsiTheme="minorBidi" w:cstheme="minorBidi"/>
          <w:lang w:val="es-ES_tradnl"/>
        </w:rPr>
        <w:t>2022, tras un proce</w:t>
      </w:r>
      <w:r w:rsidR="00407111" w:rsidRPr="00425C66">
        <w:rPr>
          <w:rFonts w:asciiTheme="minorBidi" w:hAnsiTheme="minorBidi" w:cstheme="minorBidi"/>
          <w:lang w:val="es-ES_tradnl"/>
        </w:rPr>
        <w:t>dimiento</w:t>
      </w:r>
      <w:r w:rsidRPr="00425C66">
        <w:rPr>
          <w:rFonts w:asciiTheme="minorBidi" w:hAnsiTheme="minorBidi" w:cstheme="minorBidi"/>
          <w:lang w:val="es-ES_tradnl"/>
        </w:rPr>
        <w:t xml:space="preserve"> acordado con ONU-Océanos en el que se solicitaron expresiones de interés de los organismos de las Naciones Unidas para un puesto rotatorio en la Junta, el Programa de las Naciones Unidas para el Medio Ambiente, la Organización Meteorológica Mundial y la Autoridad Internacional de los Fondos Marinos fueron designados representantes de los organismos de las Naciones Unidas para ese año. </w:t>
      </w:r>
    </w:p>
    <w:p w14:paraId="2FC7298F" w14:textId="45D984E2"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En enero de 2022</w:t>
      </w:r>
      <w:r w:rsidR="00982C43" w:rsidRPr="00425C66">
        <w:rPr>
          <w:rFonts w:asciiTheme="minorBidi" w:hAnsiTheme="minorBidi" w:cstheme="minorBidi"/>
          <w:lang w:val="es-ES_tradnl"/>
        </w:rPr>
        <w:t xml:space="preserve"> la Junta Asesora del Decenio</w:t>
      </w:r>
      <w:r w:rsidRPr="00425C66">
        <w:rPr>
          <w:rFonts w:asciiTheme="minorBidi" w:hAnsiTheme="minorBidi" w:cstheme="minorBidi"/>
          <w:lang w:val="es-ES_tradnl"/>
        </w:rPr>
        <w:t xml:space="preserve"> celebró una sesión informativa inicial y más adelante</w:t>
      </w:r>
      <w:r w:rsidR="00982C43" w:rsidRPr="00425C66">
        <w:rPr>
          <w:rFonts w:asciiTheme="minorBidi" w:hAnsiTheme="minorBidi" w:cstheme="minorBidi"/>
          <w:lang w:val="es-ES_tradnl"/>
        </w:rPr>
        <w:t xml:space="preserve"> —marzo de 2022— </w:t>
      </w:r>
      <w:r w:rsidRPr="00425C66">
        <w:rPr>
          <w:rFonts w:asciiTheme="minorBidi" w:hAnsiTheme="minorBidi" w:cstheme="minorBidi"/>
          <w:lang w:val="es-ES_tradnl"/>
        </w:rPr>
        <w:t xml:space="preserve"> su primera reunión operativa presencial (</w:t>
      </w:r>
      <w:hyperlink r:id="rId12" w:history="1">
        <w:r w:rsidRPr="00425C66">
          <w:rPr>
            <w:rStyle w:val="Hyperlink"/>
            <w:rFonts w:asciiTheme="minorBidi" w:hAnsiTheme="minorBidi" w:cstheme="minorBidi"/>
            <w:lang w:val="es-ES_tradnl"/>
          </w:rPr>
          <w:t>IOC/2022/ODS/35</w:t>
        </w:r>
      </w:hyperlink>
      <w:r w:rsidRPr="00425C66">
        <w:rPr>
          <w:rFonts w:asciiTheme="minorBidi" w:hAnsiTheme="minorBidi" w:cstheme="minorBidi"/>
          <w:lang w:val="es-ES_tradnl"/>
        </w:rPr>
        <w:t>). En esta reunión, la Junta examinó recomendaciones relacionadas con la aprobación de programas del Decenio de la Convocatoria de Acciones del Decenio n.º 02/2021 y debatió una serie de cuestiones estratégicas referentes a la evaluación de los progresos del Decenio, la movilización de recursos, la importancia de los conocimientos indígenas y locales para el Decenio y los medios para aumentar la participación de los pequeños Estados insulares en desarrollo y los países menos adelantados. En el documento IOC/INF-1414 se presenta un conjunto de normas y procedimientos para la Junta.</w:t>
      </w:r>
    </w:p>
    <w:p w14:paraId="069231AA" w14:textId="3E6E66F9"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La Unidad de Coordinación del Decenio, ubicada en la Secretaría de la COI de la UNESCO, sigue creciendo con una nueva adscripción de Francia y un préstamo de personal de Fugro. Sin embargo, siguen existiendo importantes lagunas de capacidad y gran parte del trabajo lo realiza</w:t>
      </w:r>
      <w:r w:rsidR="00982C43" w:rsidRPr="00425C66">
        <w:rPr>
          <w:rFonts w:asciiTheme="minorBidi" w:hAnsiTheme="minorBidi" w:cstheme="minorBidi"/>
          <w:lang w:val="es-ES_tradnl"/>
        </w:rPr>
        <w:t>n</w:t>
      </w:r>
      <w:r w:rsidRPr="00425C66">
        <w:rPr>
          <w:rFonts w:asciiTheme="minorBidi" w:hAnsiTheme="minorBidi" w:cstheme="minorBidi"/>
          <w:lang w:val="es-ES_tradnl"/>
        </w:rPr>
        <w:t xml:space="preserve"> consultores financiados con contribuciones extrapresupuestarias. Se necesita apoyo adicional para </w:t>
      </w:r>
      <w:r w:rsidR="00982C43" w:rsidRPr="00425C66">
        <w:rPr>
          <w:rFonts w:asciiTheme="minorBidi" w:hAnsiTheme="minorBidi" w:cstheme="minorBidi"/>
          <w:lang w:val="es-ES_tradnl"/>
        </w:rPr>
        <w:t>velar por</w:t>
      </w:r>
      <w:r w:rsidRPr="00425C66">
        <w:rPr>
          <w:rFonts w:asciiTheme="minorBidi" w:hAnsiTheme="minorBidi" w:cstheme="minorBidi"/>
          <w:lang w:val="es-ES_tradnl"/>
        </w:rPr>
        <w:t xml:space="preserve"> que la Unidad cuente con todo el personal necesario, se mantenga </w:t>
      </w:r>
      <w:r w:rsidR="00541D52" w:rsidRPr="00425C66">
        <w:rPr>
          <w:rFonts w:asciiTheme="minorBidi" w:hAnsiTheme="minorBidi" w:cstheme="minorBidi"/>
          <w:lang w:val="es-ES_tradnl"/>
        </w:rPr>
        <w:t>a lo largo</w:t>
      </w:r>
      <w:r w:rsidRPr="00425C66">
        <w:rPr>
          <w:rFonts w:asciiTheme="minorBidi" w:hAnsiTheme="minorBidi" w:cstheme="minorBidi"/>
          <w:lang w:val="es-ES_tradnl"/>
        </w:rPr>
        <w:t xml:space="preserve"> del Decenio y pueda garantizar plenamente</w:t>
      </w:r>
      <w:r w:rsidR="00982C43" w:rsidRPr="00425C66">
        <w:rPr>
          <w:rFonts w:asciiTheme="minorBidi" w:hAnsiTheme="minorBidi" w:cstheme="minorBidi"/>
          <w:lang w:val="es-ES_tradnl"/>
        </w:rPr>
        <w:t xml:space="preserve"> el cumplimiento de</w:t>
      </w:r>
      <w:r w:rsidRPr="00425C66">
        <w:rPr>
          <w:rFonts w:asciiTheme="minorBidi" w:hAnsiTheme="minorBidi" w:cstheme="minorBidi"/>
          <w:lang w:val="es-ES_tradnl"/>
        </w:rPr>
        <w:t xml:space="preserve"> sus responsabilidades. </w:t>
      </w:r>
    </w:p>
    <w:p w14:paraId="3187EAA6" w14:textId="1DA165B1"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Durante este período se recibieron expresiones de interés para siete </w:t>
      </w:r>
      <w:r w:rsidR="00317D84" w:rsidRPr="00425C66">
        <w:rPr>
          <w:rFonts w:asciiTheme="minorBidi" w:hAnsiTheme="minorBidi" w:cstheme="minorBidi"/>
          <w:lang w:val="es-ES_tradnl"/>
        </w:rPr>
        <w:t>c</w:t>
      </w:r>
      <w:r w:rsidRPr="00425C66">
        <w:rPr>
          <w:rFonts w:asciiTheme="minorBidi" w:hAnsiTheme="minorBidi" w:cstheme="minorBidi"/>
          <w:lang w:val="es-ES_tradnl"/>
        </w:rPr>
        <w:t xml:space="preserve">entros de </w:t>
      </w:r>
      <w:r w:rsidR="00317D84" w:rsidRPr="00425C66">
        <w:rPr>
          <w:rFonts w:asciiTheme="minorBidi" w:hAnsiTheme="minorBidi" w:cstheme="minorBidi"/>
          <w:lang w:val="es-ES_tradnl"/>
        </w:rPr>
        <w:t>c</w:t>
      </w:r>
      <w:r w:rsidRPr="00425C66">
        <w:rPr>
          <w:rFonts w:asciiTheme="minorBidi" w:hAnsiTheme="minorBidi" w:cstheme="minorBidi"/>
          <w:lang w:val="es-ES_tradnl"/>
        </w:rPr>
        <w:t xml:space="preserve">olaboración del Decenio y cuatro </w:t>
      </w:r>
      <w:r w:rsidR="00317D84" w:rsidRPr="00425C66">
        <w:rPr>
          <w:rFonts w:asciiTheme="minorBidi" w:hAnsiTheme="minorBidi" w:cstheme="minorBidi"/>
          <w:lang w:val="es-ES_tradnl"/>
        </w:rPr>
        <w:t>a</w:t>
      </w:r>
      <w:r w:rsidRPr="00425C66">
        <w:rPr>
          <w:rFonts w:asciiTheme="minorBidi" w:hAnsiTheme="minorBidi" w:cstheme="minorBidi"/>
          <w:lang w:val="es-ES_tradnl"/>
        </w:rPr>
        <w:t xml:space="preserve">sociados </w:t>
      </w:r>
      <w:r w:rsidR="00317D84" w:rsidRPr="00425C66">
        <w:rPr>
          <w:rFonts w:asciiTheme="minorBidi" w:hAnsiTheme="minorBidi" w:cstheme="minorBidi"/>
          <w:lang w:val="es-ES_tradnl"/>
        </w:rPr>
        <w:t>de</w:t>
      </w:r>
      <w:r w:rsidRPr="00425C66">
        <w:rPr>
          <w:rFonts w:asciiTheme="minorBidi" w:hAnsiTheme="minorBidi" w:cstheme="minorBidi"/>
          <w:lang w:val="es-ES_tradnl"/>
        </w:rPr>
        <w:t xml:space="preserve"> </w:t>
      </w:r>
      <w:r w:rsidR="00317D84" w:rsidRPr="00425C66">
        <w:rPr>
          <w:rFonts w:asciiTheme="minorBidi" w:hAnsiTheme="minorBidi" w:cstheme="minorBidi"/>
          <w:lang w:val="es-ES_tradnl"/>
        </w:rPr>
        <w:t>e</w:t>
      </w:r>
      <w:r w:rsidRPr="00425C66">
        <w:rPr>
          <w:rFonts w:asciiTheme="minorBidi" w:hAnsiTheme="minorBidi" w:cstheme="minorBidi"/>
          <w:lang w:val="es-ES_tradnl"/>
        </w:rPr>
        <w:t xml:space="preserve">jecución del Decenio (IOC/INF-1413). Las candidaturas relativas a los </w:t>
      </w:r>
      <w:r w:rsidR="00317D84" w:rsidRPr="00425C66">
        <w:rPr>
          <w:rFonts w:asciiTheme="minorBidi" w:hAnsiTheme="minorBidi" w:cstheme="minorBidi"/>
          <w:lang w:val="es-ES_tradnl"/>
        </w:rPr>
        <w:t>c</w:t>
      </w:r>
      <w:r w:rsidRPr="00425C66">
        <w:rPr>
          <w:rFonts w:asciiTheme="minorBidi" w:hAnsiTheme="minorBidi" w:cstheme="minorBidi"/>
          <w:lang w:val="es-ES_tradnl"/>
        </w:rPr>
        <w:t xml:space="preserve">entros de </w:t>
      </w:r>
      <w:r w:rsidR="00317D84" w:rsidRPr="00425C66">
        <w:rPr>
          <w:rFonts w:asciiTheme="minorBidi" w:hAnsiTheme="minorBidi" w:cstheme="minorBidi"/>
          <w:lang w:val="es-ES_tradnl"/>
        </w:rPr>
        <w:t>c</w:t>
      </w:r>
      <w:r w:rsidRPr="00425C66">
        <w:rPr>
          <w:rFonts w:asciiTheme="minorBidi" w:hAnsiTheme="minorBidi" w:cstheme="minorBidi"/>
          <w:lang w:val="es-ES_tradnl"/>
        </w:rPr>
        <w:t xml:space="preserve">olaboración del Decenio son tanto para centros temáticos como geográficos. Estas candidaturas están siendo examinadas actualmente, incluido un estudio de viabilidad independiente, según el procedimiento establecido en el documento </w:t>
      </w:r>
      <w:hyperlink r:id="rId13" w:history="1">
        <w:r w:rsidRPr="00425C66">
          <w:rPr>
            <w:rStyle w:val="Hyperlink"/>
            <w:rFonts w:asciiTheme="minorBidi" w:hAnsiTheme="minorBidi" w:cstheme="minorBidi"/>
            <w:lang w:val="es-ES_tradnl"/>
          </w:rPr>
          <w:t>IOC/2021/ODS/23Rev.</w:t>
        </w:r>
      </w:hyperlink>
      <w:r w:rsidR="00317D84" w:rsidRPr="00425C66">
        <w:rPr>
          <w:rFonts w:asciiTheme="minorBidi" w:hAnsiTheme="minorBidi" w:cstheme="minorBidi"/>
          <w:lang w:val="es-ES_tradnl"/>
        </w:rPr>
        <w:t>.</w:t>
      </w:r>
      <w:r w:rsidRPr="00425C66">
        <w:rPr>
          <w:rFonts w:asciiTheme="minorBidi" w:hAnsiTheme="minorBidi" w:cstheme="minorBidi"/>
          <w:lang w:val="es-ES_tradnl"/>
        </w:rPr>
        <w:t xml:space="preserve"> Dos de los cuatro </w:t>
      </w:r>
      <w:r w:rsidR="00317D84" w:rsidRPr="00425C66">
        <w:rPr>
          <w:rFonts w:asciiTheme="minorBidi" w:hAnsiTheme="minorBidi" w:cstheme="minorBidi"/>
          <w:lang w:val="es-ES_tradnl"/>
        </w:rPr>
        <w:t>a</w:t>
      </w:r>
      <w:r w:rsidRPr="00425C66">
        <w:rPr>
          <w:rFonts w:asciiTheme="minorBidi" w:hAnsiTheme="minorBidi" w:cstheme="minorBidi"/>
          <w:lang w:val="es-ES_tradnl"/>
        </w:rPr>
        <w:t xml:space="preserve">sociados </w:t>
      </w:r>
      <w:r w:rsidR="00317D84" w:rsidRPr="00425C66">
        <w:rPr>
          <w:rFonts w:asciiTheme="minorBidi" w:hAnsiTheme="minorBidi" w:cstheme="minorBidi"/>
          <w:lang w:val="es-ES_tradnl"/>
        </w:rPr>
        <w:t>de</w:t>
      </w:r>
      <w:r w:rsidRPr="00425C66">
        <w:rPr>
          <w:rFonts w:asciiTheme="minorBidi" w:hAnsiTheme="minorBidi" w:cstheme="minorBidi"/>
          <w:lang w:val="es-ES_tradnl"/>
        </w:rPr>
        <w:t xml:space="preserve"> </w:t>
      </w:r>
      <w:r w:rsidR="00317D84" w:rsidRPr="00425C66">
        <w:rPr>
          <w:rFonts w:asciiTheme="minorBidi" w:hAnsiTheme="minorBidi" w:cstheme="minorBidi"/>
          <w:lang w:val="es-ES_tradnl"/>
        </w:rPr>
        <w:t>e</w:t>
      </w:r>
      <w:r w:rsidRPr="00425C66">
        <w:rPr>
          <w:rFonts w:asciiTheme="minorBidi" w:hAnsiTheme="minorBidi" w:cstheme="minorBidi"/>
          <w:lang w:val="es-ES_tradnl"/>
        </w:rPr>
        <w:t xml:space="preserve">jecución del Decenio fueron aprobados y las dos candidaturas restantes se están estudiando. La COI propone albergar tres </w:t>
      </w:r>
      <w:r w:rsidR="00317D84" w:rsidRPr="00425C66">
        <w:rPr>
          <w:rFonts w:asciiTheme="minorBidi" w:hAnsiTheme="minorBidi" w:cstheme="minorBidi"/>
          <w:lang w:val="es-ES_tradnl"/>
        </w:rPr>
        <w:t>o</w:t>
      </w:r>
      <w:r w:rsidRPr="00425C66">
        <w:rPr>
          <w:rFonts w:asciiTheme="minorBidi" w:hAnsiTheme="minorBidi" w:cstheme="minorBidi"/>
          <w:lang w:val="es-ES_tradnl"/>
        </w:rPr>
        <w:t xml:space="preserve">ficinas de </w:t>
      </w:r>
      <w:r w:rsidR="00317D84" w:rsidRPr="00425C66">
        <w:rPr>
          <w:rFonts w:asciiTheme="minorBidi" w:hAnsiTheme="minorBidi" w:cstheme="minorBidi"/>
          <w:lang w:val="es-ES_tradnl"/>
        </w:rPr>
        <w:t>c</w:t>
      </w:r>
      <w:r w:rsidRPr="00425C66">
        <w:rPr>
          <w:rFonts w:asciiTheme="minorBidi" w:hAnsiTheme="minorBidi" w:cstheme="minorBidi"/>
          <w:lang w:val="es-ES_tradnl"/>
        </w:rPr>
        <w:t xml:space="preserve">oordinación del Decenio, a saber, una centrada en observaciones vinculadas al GOOS, otra </w:t>
      </w:r>
      <w:r w:rsidR="00317D84" w:rsidRPr="00425C66">
        <w:rPr>
          <w:rFonts w:asciiTheme="minorBidi" w:hAnsiTheme="minorBidi" w:cstheme="minorBidi"/>
          <w:lang w:val="es-ES_tradnl"/>
        </w:rPr>
        <w:t>que se ocupe de</w:t>
      </w:r>
      <w:r w:rsidRPr="00425C66">
        <w:rPr>
          <w:rFonts w:asciiTheme="minorBidi" w:hAnsiTheme="minorBidi" w:cstheme="minorBidi"/>
          <w:lang w:val="es-ES_tradnl"/>
        </w:rPr>
        <w:t xml:space="preserve"> los datos </w:t>
      </w:r>
      <w:r w:rsidR="00317D84" w:rsidRPr="00425C66">
        <w:rPr>
          <w:rFonts w:asciiTheme="minorBidi" w:hAnsiTheme="minorBidi" w:cstheme="minorBidi"/>
          <w:lang w:val="es-ES_tradnl"/>
        </w:rPr>
        <w:t>relativos</w:t>
      </w:r>
      <w:r w:rsidRPr="00425C66">
        <w:rPr>
          <w:rFonts w:asciiTheme="minorBidi" w:hAnsiTheme="minorBidi" w:cstheme="minorBidi"/>
          <w:lang w:val="es-ES_tradnl"/>
        </w:rPr>
        <w:t xml:space="preserve"> al IODE y una oficina de coordinación regional en la WESTPAC. Estas estructuras se describen en el documento IOC/INF-1413, junto con información sobre los recursos necesarios para su puesta en marcha.</w:t>
      </w:r>
      <w:bookmarkStart w:id="1" w:name="_Hlk103076795"/>
      <w:bookmarkEnd w:id="1"/>
    </w:p>
    <w:p w14:paraId="4641BC5E" w14:textId="379CDDA9"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Seis iniciativas regionales están reuniendo asociados para </w:t>
      </w:r>
      <w:r w:rsidR="00317D84" w:rsidRPr="00425C66">
        <w:rPr>
          <w:rFonts w:asciiTheme="minorBidi" w:hAnsiTheme="minorBidi" w:cstheme="minorBidi"/>
          <w:lang w:val="es-ES_tradnl"/>
        </w:rPr>
        <w:t>elaborar y poner en práctica</w:t>
      </w:r>
      <w:r w:rsidRPr="00425C66">
        <w:rPr>
          <w:rFonts w:asciiTheme="minorBidi" w:hAnsiTheme="minorBidi" w:cstheme="minorBidi"/>
          <w:lang w:val="es-ES_tradnl"/>
        </w:rPr>
        <w:t xml:space="preserve"> </w:t>
      </w:r>
      <w:r w:rsidR="00317D84" w:rsidRPr="00425C66">
        <w:rPr>
          <w:rFonts w:asciiTheme="minorBidi" w:hAnsiTheme="minorBidi" w:cstheme="minorBidi"/>
          <w:lang w:val="es-ES_tradnl"/>
        </w:rPr>
        <w:t>p</w:t>
      </w:r>
      <w:r w:rsidRPr="00425C66">
        <w:rPr>
          <w:rFonts w:asciiTheme="minorBidi" w:hAnsiTheme="minorBidi" w:cstheme="minorBidi"/>
          <w:lang w:val="es-ES_tradnl"/>
        </w:rPr>
        <w:t xml:space="preserve">lanes de </w:t>
      </w:r>
      <w:r w:rsidR="00317D84" w:rsidRPr="00425C66">
        <w:rPr>
          <w:rFonts w:asciiTheme="minorBidi" w:hAnsiTheme="minorBidi" w:cstheme="minorBidi"/>
          <w:lang w:val="es-ES_tradnl"/>
        </w:rPr>
        <w:t>a</w:t>
      </w:r>
      <w:r w:rsidRPr="00425C66">
        <w:rPr>
          <w:rFonts w:asciiTheme="minorBidi" w:hAnsiTheme="minorBidi" w:cstheme="minorBidi"/>
          <w:lang w:val="es-ES_tradnl"/>
        </w:rPr>
        <w:t xml:space="preserve">cción y programas regionales. </w:t>
      </w:r>
      <w:r w:rsidR="00317D84" w:rsidRPr="00425C66">
        <w:rPr>
          <w:rFonts w:asciiTheme="minorBidi" w:hAnsiTheme="minorBidi" w:cstheme="minorBidi"/>
          <w:lang w:val="es-ES_tradnl"/>
        </w:rPr>
        <w:t>En</w:t>
      </w:r>
      <w:r w:rsidRPr="00425C66">
        <w:rPr>
          <w:rFonts w:asciiTheme="minorBidi" w:hAnsiTheme="minorBidi" w:cstheme="minorBidi"/>
          <w:lang w:val="es-ES_tradnl"/>
        </w:rPr>
        <w:t xml:space="preserve"> el Ártico, el Pacífico, el Mediterráneo, el océano Austral, el Atlántico Tropical Occidental y el Pacífico Occidental</w:t>
      </w:r>
      <w:r w:rsidR="00317D84" w:rsidRPr="00425C66">
        <w:rPr>
          <w:rFonts w:asciiTheme="minorBidi" w:hAnsiTheme="minorBidi" w:cstheme="minorBidi"/>
          <w:lang w:val="es-ES_tradnl"/>
        </w:rPr>
        <w:t xml:space="preserve"> trabajan grupos de trabajo regionales</w:t>
      </w:r>
      <w:r w:rsidRPr="00425C66">
        <w:rPr>
          <w:rFonts w:asciiTheme="minorBidi" w:hAnsiTheme="minorBidi" w:cstheme="minorBidi"/>
          <w:lang w:val="es-ES_tradnl"/>
        </w:rPr>
        <w:t>. Se está creando un grupo de trabajo regional africano para supervisar la aplicación de</w:t>
      </w:r>
      <w:r w:rsidR="00317D84" w:rsidRPr="00425C66">
        <w:rPr>
          <w:rFonts w:asciiTheme="minorBidi" w:hAnsiTheme="minorBidi" w:cstheme="minorBidi"/>
          <w:lang w:val="es-ES_tradnl"/>
        </w:rPr>
        <w:t xml:space="preserve"> la</w:t>
      </w:r>
      <w:r w:rsidRPr="00425C66">
        <w:rPr>
          <w:rFonts w:asciiTheme="minorBidi" w:hAnsiTheme="minorBidi" w:cstheme="minorBidi"/>
          <w:lang w:val="es-ES_tradnl"/>
        </w:rPr>
        <w:t xml:space="preserve"> </w:t>
      </w:r>
      <w:hyperlink r:id="rId14" w:history="1">
        <w:r w:rsidRPr="00425C66">
          <w:rPr>
            <w:rStyle w:val="Hyperlink"/>
            <w:rFonts w:asciiTheme="minorBidi" w:hAnsiTheme="minorBidi" w:cstheme="minorBidi"/>
            <w:lang w:val="es-ES_tradnl"/>
          </w:rPr>
          <w:t>hoja de ruta de África</w:t>
        </w:r>
      </w:hyperlink>
      <w:r w:rsidRPr="00425C66">
        <w:rPr>
          <w:rFonts w:asciiTheme="minorBidi" w:hAnsiTheme="minorBidi" w:cstheme="minorBidi"/>
          <w:lang w:val="es-ES_tradnl"/>
        </w:rPr>
        <w:t xml:space="preserve"> del Decenio del Océano, que se presentó en mayo de 2022 en la Conferencia Africana sobre el Establecimiento de Prioridades y el Desarrollo de Alianzas de cara al Decenio de las Naciones Unidas de las Ciencias Oceánicas para el Desarrollo Sostenible, organizada por el Gobierno de Egipto. </w:t>
      </w:r>
      <w:r w:rsidR="00317D84" w:rsidRPr="00425C66">
        <w:rPr>
          <w:rFonts w:asciiTheme="minorBidi" w:hAnsiTheme="minorBidi" w:cstheme="minorBidi"/>
          <w:lang w:val="es-ES_tradnl"/>
        </w:rPr>
        <w:t xml:space="preserve"> </w:t>
      </w:r>
    </w:p>
    <w:p w14:paraId="62E448B9" w14:textId="0A28A6CF" w:rsidR="00E86920" w:rsidRPr="00425C66" w:rsidRDefault="00687A2A"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Se crearon 27 </w:t>
      </w:r>
      <w:r w:rsidR="00AF777B" w:rsidRPr="00425C66">
        <w:rPr>
          <w:rFonts w:asciiTheme="minorBidi" w:hAnsiTheme="minorBidi" w:cstheme="minorBidi"/>
          <w:lang w:val="es-ES_tradnl"/>
        </w:rPr>
        <w:t>c</w:t>
      </w:r>
      <w:r w:rsidRPr="00425C66">
        <w:rPr>
          <w:rFonts w:asciiTheme="minorBidi" w:hAnsiTheme="minorBidi" w:cstheme="minorBidi"/>
          <w:lang w:val="es-ES_tradnl"/>
        </w:rPr>
        <w:t xml:space="preserve">omités </w:t>
      </w:r>
      <w:r w:rsidR="00AF777B" w:rsidRPr="00425C66">
        <w:rPr>
          <w:rFonts w:asciiTheme="minorBidi" w:hAnsiTheme="minorBidi" w:cstheme="minorBidi"/>
          <w:lang w:val="es-ES_tradnl"/>
        </w:rPr>
        <w:t>n</w:t>
      </w:r>
      <w:r w:rsidRPr="00425C66">
        <w:rPr>
          <w:rFonts w:asciiTheme="minorBidi" w:hAnsiTheme="minorBidi" w:cstheme="minorBidi"/>
          <w:lang w:val="es-ES_tradnl"/>
        </w:rPr>
        <w:t>acionales del Decenio</w:t>
      </w:r>
      <w:r w:rsidR="00567328" w:rsidRPr="00425C66">
        <w:rPr>
          <w:rFonts w:asciiTheme="minorBidi" w:hAnsiTheme="minorBidi" w:cstheme="minorBidi"/>
          <w:lang w:val="es-ES_tradnl"/>
        </w:rPr>
        <w:t>. Se trata de</w:t>
      </w:r>
      <w:r w:rsidRPr="00425C66">
        <w:rPr>
          <w:rFonts w:asciiTheme="minorBidi" w:hAnsiTheme="minorBidi" w:cstheme="minorBidi"/>
          <w:lang w:val="es-ES_tradnl"/>
        </w:rPr>
        <w:t xml:space="preserve"> estructuras voluntarias esenciales que reúnen a partes interesadas nacionales, determinan las prioridades nacionales, catalizan las futuras </w:t>
      </w:r>
      <w:r w:rsidR="00AF777B"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y movilizan recursos nacionales para el Decenio. Dado que hay menos </w:t>
      </w:r>
      <w:r w:rsidR="00AF777B" w:rsidRPr="00425C66">
        <w:rPr>
          <w:rFonts w:asciiTheme="minorBidi" w:hAnsiTheme="minorBidi" w:cstheme="minorBidi"/>
          <w:lang w:val="es-ES_tradnl"/>
        </w:rPr>
        <w:t>c</w:t>
      </w:r>
      <w:r w:rsidRPr="00425C66">
        <w:rPr>
          <w:rFonts w:asciiTheme="minorBidi" w:hAnsiTheme="minorBidi" w:cstheme="minorBidi"/>
          <w:lang w:val="es-ES_tradnl"/>
        </w:rPr>
        <w:t xml:space="preserve">omités </w:t>
      </w:r>
      <w:r w:rsidR="00AF777B" w:rsidRPr="00425C66">
        <w:rPr>
          <w:rFonts w:asciiTheme="minorBidi" w:hAnsiTheme="minorBidi" w:cstheme="minorBidi"/>
          <w:lang w:val="es-ES_tradnl"/>
        </w:rPr>
        <w:t>n</w:t>
      </w:r>
      <w:r w:rsidRPr="00425C66">
        <w:rPr>
          <w:rFonts w:asciiTheme="minorBidi" w:hAnsiTheme="minorBidi" w:cstheme="minorBidi"/>
          <w:lang w:val="es-ES_tradnl"/>
        </w:rPr>
        <w:t xml:space="preserve">acionales del Decenio en los PMA y los PEID, se está debatiendo con los </w:t>
      </w:r>
      <w:r w:rsidR="00AF777B" w:rsidRPr="00425C66">
        <w:rPr>
          <w:rFonts w:asciiTheme="minorBidi" w:hAnsiTheme="minorBidi" w:cstheme="minorBidi"/>
          <w:lang w:val="es-ES_tradnl"/>
        </w:rPr>
        <w:t>c</w:t>
      </w:r>
      <w:r w:rsidRPr="00425C66">
        <w:rPr>
          <w:rFonts w:asciiTheme="minorBidi" w:hAnsiTheme="minorBidi" w:cstheme="minorBidi"/>
          <w:lang w:val="es-ES_tradnl"/>
        </w:rPr>
        <w:t xml:space="preserve">omités más establecidos la posibilidad de que desempeñen un papel de mentoría o de apoyo para fomentar la creación de nuevos </w:t>
      </w:r>
      <w:r w:rsidR="00AF777B" w:rsidRPr="00425C66">
        <w:rPr>
          <w:rFonts w:asciiTheme="minorBidi" w:hAnsiTheme="minorBidi" w:cstheme="minorBidi"/>
          <w:lang w:val="es-ES_tradnl"/>
        </w:rPr>
        <w:t>c</w:t>
      </w:r>
      <w:r w:rsidRPr="00425C66">
        <w:rPr>
          <w:rFonts w:asciiTheme="minorBidi" w:hAnsiTheme="minorBidi" w:cstheme="minorBidi"/>
          <w:lang w:val="es-ES_tradnl"/>
        </w:rPr>
        <w:t xml:space="preserve">omités en estas regiones. Un total de 41 Estados Miembros respondieron a una encuesta que recogía información sobre sus acciones relacionadas con el Decenio del Océano. De los Estados Miembros que respondieron, 23 ya tienen un </w:t>
      </w:r>
      <w:r w:rsidR="00AF777B" w:rsidRPr="00425C66">
        <w:rPr>
          <w:rFonts w:asciiTheme="minorBidi" w:hAnsiTheme="minorBidi" w:cstheme="minorBidi"/>
          <w:lang w:val="es-ES_tradnl"/>
        </w:rPr>
        <w:t>c</w:t>
      </w:r>
      <w:r w:rsidRPr="00425C66">
        <w:rPr>
          <w:rFonts w:asciiTheme="minorBidi" w:hAnsiTheme="minorBidi" w:cstheme="minorBidi"/>
          <w:lang w:val="es-ES_tradnl"/>
        </w:rPr>
        <w:t xml:space="preserve">omité </w:t>
      </w:r>
      <w:r w:rsidR="00AF777B" w:rsidRPr="00425C66">
        <w:rPr>
          <w:rFonts w:asciiTheme="minorBidi" w:hAnsiTheme="minorBidi" w:cstheme="minorBidi"/>
          <w:lang w:val="es-ES_tradnl"/>
        </w:rPr>
        <w:t>n</w:t>
      </w:r>
      <w:r w:rsidRPr="00425C66">
        <w:rPr>
          <w:rFonts w:asciiTheme="minorBidi" w:hAnsiTheme="minorBidi" w:cstheme="minorBidi"/>
          <w:lang w:val="es-ES_tradnl"/>
        </w:rPr>
        <w:t xml:space="preserve">acional del Decenio y ocho indicaron que aún no habían creado uno, pero tenían la intención de hacerlo. El 88% declaró </w:t>
      </w:r>
      <w:r w:rsidR="00E608A7" w:rsidRPr="00425C66">
        <w:rPr>
          <w:rFonts w:asciiTheme="minorBidi" w:hAnsiTheme="minorBidi" w:cstheme="minorBidi"/>
          <w:lang w:val="es-ES_tradnl"/>
        </w:rPr>
        <w:t>informar</w:t>
      </w:r>
      <w:r w:rsidRPr="00425C66">
        <w:rPr>
          <w:rFonts w:asciiTheme="minorBidi" w:hAnsiTheme="minorBidi" w:cstheme="minorBidi"/>
          <w:lang w:val="es-ES_tradnl"/>
        </w:rPr>
        <w:t xml:space="preserve"> activamente sobre el Decenio, el 68% ha </w:t>
      </w:r>
      <w:r w:rsidR="00AF777B" w:rsidRPr="00425C66">
        <w:rPr>
          <w:rFonts w:asciiTheme="minorBidi" w:hAnsiTheme="minorBidi" w:cstheme="minorBidi"/>
          <w:lang w:val="es-ES_tradnl"/>
        </w:rPr>
        <w:t>llevado adelante</w:t>
      </w:r>
      <w:r w:rsidRPr="00425C66">
        <w:rPr>
          <w:rFonts w:asciiTheme="minorBidi" w:hAnsiTheme="minorBidi" w:cstheme="minorBidi"/>
          <w:lang w:val="es-ES_tradnl"/>
        </w:rPr>
        <w:t xml:space="preserve"> iniciativas relacionadas con el Decenio del Océano y el 88% ha catalizado nuevas </w:t>
      </w:r>
      <w:r w:rsidR="00AF777B"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mientras que el 40% ha ayudado </w:t>
      </w:r>
      <w:r w:rsidR="00E608A7" w:rsidRPr="00425C66">
        <w:rPr>
          <w:rFonts w:asciiTheme="minorBidi" w:hAnsiTheme="minorBidi" w:cstheme="minorBidi"/>
          <w:lang w:val="es-ES_tradnl"/>
        </w:rPr>
        <w:t xml:space="preserve">a </w:t>
      </w:r>
      <w:r w:rsidRPr="00425C66">
        <w:rPr>
          <w:rFonts w:asciiTheme="minorBidi" w:hAnsiTheme="minorBidi" w:cstheme="minorBidi"/>
          <w:lang w:val="es-ES_tradnl"/>
        </w:rPr>
        <w:t>vincul</w:t>
      </w:r>
      <w:r w:rsidR="00AF777B" w:rsidRPr="00425C66">
        <w:rPr>
          <w:rFonts w:asciiTheme="minorBidi" w:hAnsiTheme="minorBidi" w:cstheme="minorBidi"/>
          <w:lang w:val="es-ES_tradnl"/>
        </w:rPr>
        <w:t>ar</w:t>
      </w:r>
      <w:r w:rsidR="00E608A7" w:rsidRPr="00425C66">
        <w:rPr>
          <w:rFonts w:asciiTheme="minorBidi" w:hAnsiTheme="minorBidi" w:cstheme="minorBidi"/>
          <w:lang w:val="es-ES_tradnl"/>
        </w:rPr>
        <w:t xml:space="preserve"> acciones</w:t>
      </w:r>
      <w:r w:rsidRPr="00425C66">
        <w:rPr>
          <w:rFonts w:asciiTheme="minorBidi" w:hAnsiTheme="minorBidi" w:cstheme="minorBidi"/>
          <w:lang w:val="es-ES_tradnl"/>
        </w:rPr>
        <w:t xml:space="preserve"> con otras. Aproximadamente la mitad de los encuestados ha apoyado </w:t>
      </w:r>
      <w:r w:rsidRPr="00425C66">
        <w:rPr>
          <w:rFonts w:asciiTheme="minorBidi" w:hAnsiTheme="minorBidi" w:cstheme="minorBidi"/>
          <w:lang w:val="es-ES_tradnl"/>
        </w:rPr>
        <w:lastRenderedPageBreak/>
        <w:t xml:space="preserve">la movilización de recursos para el Decenio y el 45% afirmó haber mantenido diálogos con los </w:t>
      </w:r>
      <w:r w:rsidR="00AF777B" w:rsidRPr="00425C66">
        <w:rPr>
          <w:rFonts w:asciiTheme="minorBidi" w:hAnsiTheme="minorBidi" w:cstheme="minorBidi"/>
          <w:lang w:val="es-ES_tradnl"/>
        </w:rPr>
        <w:t>c</w:t>
      </w:r>
      <w:r w:rsidRPr="00425C66">
        <w:rPr>
          <w:rFonts w:asciiTheme="minorBidi" w:hAnsiTheme="minorBidi" w:cstheme="minorBidi"/>
          <w:lang w:val="es-ES_tradnl"/>
        </w:rPr>
        <w:t xml:space="preserve">omités </w:t>
      </w:r>
      <w:r w:rsidR="00AF777B" w:rsidRPr="00425C66">
        <w:rPr>
          <w:rFonts w:asciiTheme="minorBidi" w:hAnsiTheme="minorBidi" w:cstheme="minorBidi"/>
          <w:lang w:val="es-ES_tradnl"/>
        </w:rPr>
        <w:t>n</w:t>
      </w:r>
      <w:r w:rsidRPr="00425C66">
        <w:rPr>
          <w:rFonts w:asciiTheme="minorBidi" w:hAnsiTheme="minorBidi" w:cstheme="minorBidi"/>
          <w:lang w:val="es-ES_tradnl"/>
        </w:rPr>
        <w:t>acionales del Decenio y los grupos de trabajo regionales. A pesar de estos esfuerzos, más de la mitad de los encuestados indicó que el Decenio era poco conocido en el plano nacional.</w:t>
      </w:r>
    </w:p>
    <w:p w14:paraId="68D6C0EE" w14:textId="1F2A37CC"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Las reuniones de los grupos de trabajo informales sobre comunicaciones, tecnología e innovación, y sobre seguimiento y evaluación proporcionaron valiosas aportaciones durante este período. En diciembre de 2021 se creó un </w:t>
      </w:r>
      <w:r w:rsidR="00324CEA" w:rsidRPr="00425C66">
        <w:rPr>
          <w:rFonts w:asciiTheme="minorBidi" w:hAnsiTheme="minorBidi" w:cstheme="minorBidi"/>
          <w:lang w:val="es-ES_tradnl"/>
        </w:rPr>
        <w:t>g</w:t>
      </w:r>
      <w:r w:rsidRPr="00425C66">
        <w:rPr>
          <w:rFonts w:asciiTheme="minorBidi" w:hAnsiTheme="minorBidi" w:cstheme="minorBidi"/>
          <w:lang w:val="es-ES_tradnl"/>
        </w:rPr>
        <w:t xml:space="preserve">rupo de </w:t>
      </w:r>
      <w:r w:rsidR="00324CEA" w:rsidRPr="00425C66">
        <w:rPr>
          <w:rFonts w:asciiTheme="minorBidi" w:hAnsiTheme="minorBidi" w:cstheme="minorBidi"/>
          <w:lang w:val="es-ES_tradnl"/>
        </w:rPr>
        <w:t>c</w:t>
      </w:r>
      <w:r w:rsidRPr="00425C66">
        <w:rPr>
          <w:rFonts w:asciiTheme="minorBidi" w:hAnsiTheme="minorBidi" w:cstheme="minorBidi"/>
          <w:lang w:val="es-ES_tradnl"/>
        </w:rPr>
        <w:t xml:space="preserve">oordinación de </w:t>
      </w:r>
      <w:r w:rsidR="00324CEA" w:rsidRPr="00425C66">
        <w:rPr>
          <w:rFonts w:asciiTheme="minorBidi" w:hAnsiTheme="minorBidi" w:cstheme="minorBidi"/>
          <w:lang w:val="es-ES_tradnl"/>
        </w:rPr>
        <w:t>d</w:t>
      </w:r>
      <w:r w:rsidRPr="00425C66">
        <w:rPr>
          <w:rFonts w:asciiTheme="minorBidi" w:hAnsiTheme="minorBidi" w:cstheme="minorBidi"/>
          <w:lang w:val="es-ES_tradnl"/>
        </w:rPr>
        <w:t xml:space="preserve">atos como parte de la Plataforma de Coordinación de Datos para respaldar la formulación y la puesta en </w:t>
      </w:r>
      <w:r w:rsidR="00324CEA" w:rsidRPr="00425C66">
        <w:rPr>
          <w:rFonts w:asciiTheme="minorBidi" w:hAnsiTheme="minorBidi" w:cstheme="minorBidi"/>
          <w:lang w:val="es-ES_tradnl"/>
        </w:rPr>
        <w:t>práctica</w:t>
      </w:r>
      <w:r w:rsidRPr="00425C66">
        <w:rPr>
          <w:rFonts w:asciiTheme="minorBidi" w:hAnsiTheme="minorBidi" w:cstheme="minorBidi"/>
          <w:lang w:val="es-ES_tradnl"/>
        </w:rPr>
        <w:t xml:space="preserve"> de la estrategia de datos, información y conocimientos para el Decenio. Se está creando un </w:t>
      </w:r>
      <w:r w:rsidR="00324CEA" w:rsidRPr="00425C66">
        <w:rPr>
          <w:rFonts w:asciiTheme="minorBidi" w:hAnsiTheme="minorBidi" w:cstheme="minorBidi"/>
          <w:lang w:val="es-ES_tradnl"/>
        </w:rPr>
        <w:t>g</w:t>
      </w:r>
      <w:r w:rsidRPr="00425C66">
        <w:rPr>
          <w:rFonts w:asciiTheme="minorBidi" w:hAnsiTheme="minorBidi" w:cstheme="minorBidi"/>
          <w:lang w:val="es-ES_tradnl"/>
        </w:rPr>
        <w:t xml:space="preserve">rupo de </w:t>
      </w:r>
      <w:r w:rsidR="00324CEA" w:rsidRPr="00425C66">
        <w:rPr>
          <w:rFonts w:asciiTheme="minorBidi" w:hAnsiTheme="minorBidi" w:cstheme="minorBidi"/>
          <w:lang w:val="es-ES_tradnl"/>
        </w:rPr>
        <w:t>d</w:t>
      </w:r>
      <w:r w:rsidRPr="00425C66">
        <w:rPr>
          <w:rFonts w:asciiTheme="minorBidi" w:hAnsiTheme="minorBidi" w:cstheme="minorBidi"/>
          <w:lang w:val="es-ES_tradnl"/>
        </w:rPr>
        <w:t xml:space="preserve">atos </w:t>
      </w:r>
      <w:r w:rsidR="00324CEA" w:rsidRPr="00425C66">
        <w:rPr>
          <w:rFonts w:asciiTheme="minorBidi" w:hAnsiTheme="minorBidi" w:cstheme="minorBidi"/>
          <w:lang w:val="es-ES_tradnl"/>
        </w:rPr>
        <w:t>o</w:t>
      </w:r>
      <w:r w:rsidRPr="00425C66">
        <w:rPr>
          <w:rFonts w:asciiTheme="minorBidi" w:hAnsiTheme="minorBidi" w:cstheme="minorBidi"/>
          <w:lang w:val="es-ES_tradnl"/>
        </w:rPr>
        <w:t xml:space="preserve">ceánicos </w:t>
      </w:r>
      <w:r w:rsidR="00324CEA" w:rsidRPr="00425C66">
        <w:rPr>
          <w:rFonts w:asciiTheme="minorBidi" w:hAnsiTheme="minorBidi" w:cstheme="minorBidi"/>
          <w:lang w:val="es-ES_tradnl"/>
        </w:rPr>
        <w:t>i</w:t>
      </w:r>
      <w:r w:rsidRPr="00425C66">
        <w:rPr>
          <w:rFonts w:asciiTheme="minorBidi" w:hAnsiTheme="minorBidi" w:cstheme="minorBidi"/>
          <w:lang w:val="es-ES_tradnl"/>
        </w:rPr>
        <w:t xml:space="preserve">ndustriales </w:t>
      </w:r>
      <w:r w:rsidR="00324CEA" w:rsidRPr="00425C66">
        <w:rPr>
          <w:rFonts w:asciiTheme="minorBidi" w:hAnsiTheme="minorBidi" w:cstheme="minorBidi"/>
          <w:lang w:val="es-ES_tradnl"/>
        </w:rPr>
        <w:t>en</w:t>
      </w:r>
      <w:r w:rsidRPr="00425C66">
        <w:rPr>
          <w:rFonts w:asciiTheme="minorBidi" w:hAnsiTheme="minorBidi" w:cstheme="minorBidi"/>
          <w:lang w:val="es-ES_tradnl"/>
        </w:rPr>
        <w:t xml:space="preserve"> la Plataforma </w:t>
      </w:r>
      <w:r w:rsidR="00324CEA" w:rsidRPr="00425C66">
        <w:rPr>
          <w:rFonts w:asciiTheme="minorBidi" w:hAnsiTheme="minorBidi" w:cstheme="minorBidi"/>
          <w:lang w:val="es-ES_tradnl"/>
        </w:rPr>
        <w:t>que debería comenzar a funcionar</w:t>
      </w:r>
      <w:r w:rsidRPr="00425C66">
        <w:rPr>
          <w:rFonts w:asciiTheme="minorBidi" w:hAnsiTheme="minorBidi" w:cstheme="minorBidi"/>
          <w:lang w:val="es-ES_tradnl"/>
        </w:rPr>
        <w:t xml:space="preserve"> en la segunda mitad de 2022. Se estableció un grupo de trabajo del sector privado para apoyar la elaboración de un enfoque estratégico </w:t>
      </w:r>
      <w:r w:rsidR="00324CEA" w:rsidRPr="00425C66">
        <w:rPr>
          <w:rFonts w:asciiTheme="minorBidi" w:hAnsiTheme="minorBidi" w:cstheme="minorBidi"/>
          <w:lang w:val="es-ES_tradnl"/>
        </w:rPr>
        <w:t>de</w:t>
      </w:r>
      <w:r w:rsidRPr="00425C66">
        <w:rPr>
          <w:rFonts w:asciiTheme="minorBidi" w:hAnsiTheme="minorBidi" w:cstheme="minorBidi"/>
          <w:lang w:val="es-ES_tradnl"/>
        </w:rPr>
        <w:t xml:space="preserve"> participación de los asociados de la industria y para encontrar nuevas oportunidades de respaldo en especie y financiero, así como para </w:t>
      </w:r>
      <w:r w:rsidR="00324CEA" w:rsidRPr="00425C66">
        <w:rPr>
          <w:rFonts w:asciiTheme="minorBidi" w:hAnsiTheme="minorBidi" w:cstheme="minorBidi"/>
          <w:lang w:val="es-ES_tradnl"/>
        </w:rPr>
        <w:t>asegurar</w:t>
      </w:r>
      <w:r w:rsidRPr="00425C66">
        <w:rPr>
          <w:rFonts w:asciiTheme="minorBidi" w:hAnsiTheme="minorBidi" w:cstheme="minorBidi"/>
          <w:lang w:val="es-ES_tradnl"/>
        </w:rPr>
        <w:t xml:space="preserve"> la participación activa de la industria en la concepción conjunta de </w:t>
      </w:r>
      <w:r w:rsidR="00324CEA"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w:t>
      </w:r>
    </w:p>
    <w:p w14:paraId="11B45217" w14:textId="08DF9602"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Se estableció una lista de expertos del Decenio del Océano a fin de crear un grupo de expertos que ayude a la Secretaría de la COI a determinar los objetivos estratégicos de los </w:t>
      </w:r>
      <w:r w:rsidR="00D75B6C" w:rsidRPr="00425C66">
        <w:rPr>
          <w:rFonts w:asciiTheme="minorBidi" w:hAnsiTheme="minorBidi" w:cstheme="minorBidi"/>
          <w:lang w:val="es-ES_tradnl"/>
        </w:rPr>
        <w:t>d</w:t>
      </w:r>
      <w:r w:rsidRPr="00425C66">
        <w:rPr>
          <w:rFonts w:asciiTheme="minorBidi" w:hAnsiTheme="minorBidi" w:cstheme="minorBidi"/>
          <w:lang w:val="es-ES_tradnl"/>
        </w:rPr>
        <w:t>esafíos del Decenio del Océano, examinar las propuestas de programas del Decenio y llevar a cabo los procesos periódicos de examen del Decenio, como la segunda Conferencia Internacional del Decenio del Océano, prevista para 2023/2024.</w:t>
      </w:r>
    </w:p>
    <w:p w14:paraId="4DBDF7D9" w14:textId="10B77221" w:rsidR="00E86920" w:rsidRPr="00425C66" w:rsidRDefault="00E86920" w:rsidP="00434ACD">
      <w:pPr>
        <w:pStyle w:val="Style2"/>
        <w:tabs>
          <w:tab w:val="clear" w:pos="1400"/>
          <w:tab w:val="left" w:pos="0"/>
        </w:tabs>
        <w:snapToGrid w:val="0"/>
        <w:ind w:left="0"/>
        <w:rPr>
          <w:rFonts w:asciiTheme="minorBidi" w:eastAsia="Arial" w:hAnsiTheme="minorBidi" w:cstheme="minorBidi"/>
          <w:b/>
          <w:bCs/>
          <w:color w:val="000000" w:themeColor="text1"/>
          <w:lang w:val="es-ES_tradnl"/>
        </w:rPr>
      </w:pPr>
      <w:r w:rsidRPr="00425C66">
        <w:rPr>
          <w:rFonts w:asciiTheme="minorBidi" w:hAnsiTheme="minorBidi" w:cstheme="minorBidi"/>
          <w:b/>
          <w:bCs/>
          <w:lang w:val="es-ES_tradnl"/>
        </w:rPr>
        <w:t>Movilización de recursos y repercusiones financieras</w:t>
      </w:r>
    </w:p>
    <w:p w14:paraId="0BDA2237" w14:textId="7E13D2C5"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Los siguientes Estados Miembros u organizaciones han </w:t>
      </w:r>
      <w:r w:rsidR="006158DB" w:rsidRPr="00425C66">
        <w:rPr>
          <w:rFonts w:asciiTheme="minorBidi" w:hAnsiTheme="minorBidi" w:cstheme="minorBidi"/>
          <w:lang w:val="es-ES_tradnl"/>
        </w:rPr>
        <w:t>aportado</w:t>
      </w:r>
      <w:r w:rsidRPr="00425C66">
        <w:rPr>
          <w:rFonts w:asciiTheme="minorBidi" w:hAnsiTheme="minorBidi" w:cstheme="minorBidi"/>
          <w:lang w:val="es-ES_tradnl"/>
        </w:rPr>
        <w:t xml:space="preserve"> contribuciones financieras específicas para respaldar las actividades de coordinación del Decenio durante este período: Bélgica, Canadá, Consejo de Investigación de Noruega, Francia, </w:t>
      </w:r>
      <w:r w:rsidR="00D75B6C" w:rsidRPr="00425C66">
        <w:rPr>
          <w:rFonts w:asciiTheme="minorBidi" w:hAnsiTheme="minorBidi" w:cstheme="minorBidi"/>
          <w:lang w:val="es-ES_tradnl"/>
        </w:rPr>
        <w:t xml:space="preserve">India, </w:t>
      </w:r>
      <w:r w:rsidRPr="00425C66">
        <w:rPr>
          <w:rFonts w:asciiTheme="minorBidi" w:hAnsiTheme="minorBidi" w:cstheme="minorBidi"/>
          <w:lang w:val="es-ES_tradnl"/>
        </w:rPr>
        <w:t>Japón, Noruega, Portugal, República de Corea, REV-Ocean y Suecia.</w:t>
      </w:r>
    </w:p>
    <w:p w14:paraId="4A5F5E6A" w14:textId="3466E43A" w:rsidR="00E86920" w:rsidRPr="00425C66" w:rsidRDefault="00BD0A9C"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La movilización de recursos en especie y financieros sigue siendo un desafío clave para la ejecución exitosa del Decenio. Se necesitan recursos para </w:t>
      </w:r>
      <w:r w:rsidR="00D75B6C" w:rsidRPr="00425C66">
        <w:rPr>
          <w:rFonts w:asciiTheme="minorBidi" w:hAnsiTheme="minorBidi" w:cstheme="minorBidi"/>
          <w:lang w:val="es-ES_tradnl"/>
        </w:rPr>
        <w:t>sufragar</w:t>
      </w:r>
      <w:r w:rsidRPr="00425C66">
        <w:rPr>
          <w:rFonts w:asciiTheme="minorBidi" w:hAnsiTheme="minorBidi" w:cstheme="minorBidi"/>
          <w:lang w:val="es-ES_tradnl"/>
        </w:rPr>
        <w:t xml:space="preserve"> los costos de coordinación tanto a nivel central (es decir, la Unidad de Coordinación del Decenio) como a nivel descentralizado (es decir, las </w:t>
      </w:r>
      <w:r w:rsidR="00D75B6C" w:rsidRPr="00425C66">
        <w:rPr>
          <w:rFonts w:asciiTheme="minorBidi" w:hAnsiTheme="minorBidi" w:cstheme="minorBidi"/>
          <w:lang w:val="es-ES_tradnl"/>
        </w:rPr>
        <w:t>o</w:t>
      </w:r>
      <w:r w:rsidRPr="00425C66">
        <w:rPr>
          <w:rFonts w:asciiTheme="minorBidi" w:hAnsiTheme="minorBidi" w:cstheme="minorBidi"/>
          <w:lang w:val="es-ES_tradnl"/>
        </w:rPr>
        <w:t xml:space="preserve">ficinas de </w:t>
      </w:r>
      <w:r w:rsidR="00D75B6C" w:rsidRPr="00425C66">
        <w:rPr>
          <w:rFonts w:asciiTheme="minorBidi" w:hAnsiTheme="minorBidi" w:cstheme="minorBidi"/>
          <w:lang w:val="es-ES_tradnl"/>
        </w:rPr>
        <w:t>c</w:t>
      </w:r>
      <w:r w:rsidRPr="00425C66">
        <w:rPr>
          <w:rFonts w:asciiTheme="minorBidi" w:hAnsiTheme="minorBidi" w:cstheme="minorBidi"/>
          <w:lang w:val="es-ES_tradnl"/>
        </w:rPr>
        <w:t xml:space="preserve">oordinación del Decenio y los </w:t>
      </w:r>
      <w:r w:rsidR="00D75B6C" w:rsidRPr="00425C66">
        <w:rPr>
          <w:rFonts w:asciiTheme="minorBidi" w:hAnsiTheme="minorBidi" w:cstheme="minorBidi"/>
          <w:lang w:val="es-ES_tradnl"/>
        </w:rPr>
        <w:t>c</w:t>
      </w:r>
      <w:r w:rsidRPr="00425C66">
        <w:rPr>
          <w:rFonts w:asciiTheme="minorBidi" w:hAnsiTheme="minorBidi" w:cstheme="minorBidi"/>
          <w:lang w:val="es-ES_tradnl"/>
        </w:rPr>
        <w:t xml:space="preserve">entros de </w:t>
      </w:r>
      <w:r w:rsidR="00D75B6C" w:rsidRPr="00425C66">
        <w:rPr>
          <w:rFonts w:asciiTheme="minorBidi" w:hAnsiTheme="minorBidi" w:cstheme="minorBidi"/>
          <w:lang w:val="es-ES_tradnl"/>
        </w:rPr>
        <w:t>c</w:t>
      </w:r>
      <w:r w:rsidRPr="00425C66">
        <w:rPr>
          <w:rFonts w:asciiTheme="minorBidi" w:hAnsiTheme="minorBidi" w:cstheme="minorBidi"/>
          <w:lang w:val="es-ES_tradnl"/>
        </w:rPr>
        <w:t xml:space="preserve">olaboración del Decenio), así como para las </w:t>
      </w:r>
      <w:r w:rsidR="00D75B6C"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tanto aprobadas como futuras. En el documento IOC/INF-1419 se describen las necesidades actuales de recursos de las </w:t>
      </w:r>
      <w:r w:rsidR="00D75B6C"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w:t>
      </w:r>
    </w:p>
    <w:p w14:paraId="47B5D875" w14:textId="37AB3927"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La </w:t>
      </w:r>
      <w:hyperlink r:id="rId15" w:history="1">
        <w:r w:rsidRPr="00425C66">
          <w:rPr>
            <w:rStyle w:val="Hyperlink"/>
            <w:rFonts w:asciiTheme="minorBidi" w:hAnsiTheme="minorBidi" w:cstheme="minorBidi"/>
            <w:lang w:val="es-ES_tradnl"/>
          </w:rPr>
          <w:t>Alianza para el Decenio del Océano</w:t>
        </w:r>
      </w:hyperlink>
      <w:r w:rsidRPr="00425C66">
        <w:rPr>
          <w:rFonts w:asciiTheme="minorBidi" w:hAnsiTheme="minorBidi" w:cstheme="minorBidi"/>
          <w:lang w:val="es-ES_tradnl"/>
        </w:rPr>
        <w:t xml:space="preserve"> ha crecido durante este período y ahora cuenta con nueve defensores y 15 miembros institucionales. </w:t>
      </w:r>
      <w:r w:rsidR="00E648D8" w:rsidRPr="00425C66">
        <w:rPr>
          <w:rFonts w:asciiTheme="minorBidi" w:hAnsiTheme="minorBidi" w:cstheme="minorBidi"/>
          <w:lang w:val="es-ES_tradnl"/>
        </w:rPr>
        <w:t>Los</w:t>
      </w:r>
      <w:r w:rsidRPr="00425C66">
        <w:rPr>
          <w:rFonts w:asciiTheme="minorBidi" w:hAnsiTheme="minorBidi" w:cstheme="minorBidi"/>
          <w:lang w:val="es-ES_tradnl"/>
        </w:rPr>
        <w:t xml:space="preserve"> </w:t>
      </w:r>
      <w:r w:rsidR="00E648D8" w:rsidRPr="00425C66">
        <w:rPr>
          <w:rFonts w:asciiTheme="minorBidi" w:hAnsiTheme="minorBidi" w:cstheme="minorBidi"/>
          <w:lang w:val="es-ES_tradnl"/>
        </w:rPr>
        <w:t>s</w:t>
      </w:r>
      <w:r w:rsidRPr="00425C66">
        <w:rPr>
          <w:rFonts w:asciiTheme="minorBidi" w:hAnsiTheme="minorBidi" w:cstheme="minorBidi"/>
          <w:lang w:val="es-ES_tradnl"/>
        </w:rPr>
        <w:t xml:space="preserve">herpas </w:t>
      </w:r>
      <w:r w:rsidR="00E648D8" w:rsidRPr="00425C66">
        <w:rPr>
          <w:rFonts w:asciiTheme="minorBidi" w:hAnsiTheme="minorBidi" w:cstheme="minorBidi"/>
          <w:lang w:val="es-ES_tradnl"/>
        </w:rPr>
        <w:t xml:space="preserve">de la Alianza </w:t>
      </w:r>
      <w:r w:rsidRPr="00425C66">
        <w:rPr>
          <w:rFonts w:asciiTheme="minorBidi" w:hAnsiTheme="minorBidi" w:cstheme="minorBidi"/>
          <w:lang w:val="es-ES_tradnl"/>
        </w:rPr>
        <w:t>se reúne</w:t>
      </w:r>
      <w:r w:rsidR="00E648D8" w:rsidRPr="00425C66">
        <w:rPr>
          <w:rFonts w:asciiTheme="minorBidi" w:hAnsiTheme="minorBidi" w:cstheme="minorBidi"/>
          <w:lang w:val="es-ES_tradnl"/>
        </w:rPr>
        <w:t>n</w:t>
      </w:r>
      <w:r w:rsidRPr="00425C66">
        <w:rPr>
          <w:rFonts w:asciiTheme="minorBidi" w:hAnsiTheme="minorBidi" w:cstheme="minorBidi"/>
          <w:lang w:val="es-ES_tradnl"/>
        </w:rPr>
        <w:t xml:space="preserve"> periódicamente para elaborar un plan de trabajo para la Alianza y asegurar que este grupo tenga una gran notoriedad en la Conferencia sobre los Océanos de las Naciones Unidas en Lisboa (junio de 2022). </w:t>
      </w:r>
    </w:p>
    <w:p w14:paraId="263DD314" w14:textId="230D644B"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Además de los elementos patrocinados incluidos en la Convocatoria de Acciones del Decenio n.º 02/2021, se </w:t>
      </w:r>
      <w:r w:rsidR="000D5782" w:rsidRPr="00425C66">
        <w:rPr>
          <w:rFonts w:asciiTheme="minorBidi" w:hAnsiTheme="minorBidi" w:cstheme="minorBidi"/>
          <w:lang w:val="es-ES_tradnl"/>
        </w:rPr>
        <w:t>hicieron</w:t>
      </w:r>
      <w:r w:rsidRPr="00425C66">
        <w:rPr>
          <w:rFonts w:asciiTheme="minorBidi" w:hAnsiTheme="minorBidi" w:cstheme="minorBidi"/>
          <w:lang w:val="es-ES_tradnl"/>
        </w:rPr>
        <w:t xml:space="preserve"> cuatro </w:t>
      </w:r>
      <w:r w:rsidR="000D5782" w:rsidRPr="00425C66">
        <w:rPr>
          <w:rFonts w:asciiTheme="minorBidi" w:hAnsiTheme="minorBidi" w:cstheme="minorBidi"/>
          <w:lang w:val="es-ES_tradnl"/>
        </w:rPr>
        <w:t>c</w:t>
      </w:r>
      <w:r w:rsidRPr="00425C66">
        <w:rPr>
          <w:rFonts w:asciiTheme="minorBidi" w:hAnsiTheme="minorBidi" w:cstheme="minorBidi"/>
          <w:lang w:val="es-ES_tradnl"/>
        </w:rPr>
        <w:t>onvocatorias patrocinadas con ArcticNet, Fisheries and Oceans Canada, JPI Oceans y el Gobierno del Estado de Australia Occidental. En conjunto, se moviliza</w:t>
      </w:r>
      <w:r w:rsidR="000D5782" w:rsidRPr="00425C66">
        <w:rPr>
          <w:rFonts w:asciiTheme="minorBidi" w:hAnsiTheme="minorBidi" w:cstheme="minorBidi"/>
          <w:lang w:val="es-ES_tradnl"/>
        </w:rPr>
        <w:t>r</w:t>
      </w:r>
      <w:r w:rsidRPr="00425C66">
        <w:rPr>
          <w:rFonts w:asciiTheme="minorBidi" w:hAnsiTheme="minorBidi" w:cstheme="minorBidi"/>
          <w:lang w:val="es-ES_tradnl"/>
        </w:rPr>
        <w:t>o</w:t>
      </w:r>
      <w:r w:rsidR="000D5782" w:rsidRPr="00425C66">
        <w:rPr>
          <w:rFonts w:asciiTheme="minorBidi" w:hAnsiTheme="minorBidi" w:cstheme="minorBidi"/>
          <w:lang w:val="es-ES_tradnl"/>
        </w:rPr>
        <w:t>n</w:t>
      </w:r>
      <w:r w:rsidRPr="00425C66">
        <w:rPr>
          <w:rFonts w:asciiTheme="minorBidi" w:hAnsiTheme="minorBidi" w:cstheme="minorBidi"/>
          <w:lang w:val="es-ES_tradnl"/>
        </w:rPr>
        <w:t xml:space="preserve"> cerca de 15 millones de dólares estadounidenses para </w:t>
      </w:r>
      <w:r w:rsidR="000D5782"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por conducto de este mecanismo, que ha demostrado ser eficaz tanto </w:t>
      </w:r>
      <w:r w:rsidR="000D5782" w:rsidRPr="00425C66">
        <w:rPr>
          <w:rFonts w:asciiTheme="minorBidi" w:hAnsiTheme="minorBidi" w:cstheme="minorBidi"/>
          <w:lang w:val="es-ES_tradnl"/>
        </w:rPr>
        <w:t>para</w:t>
      </w:r>
      <w:r w:rsidRPr="00425C66">
        <w:rPr>
          <w:rFonts w:asciiTheme="minorBidi" w:hAnsiTheme="minorBidi" w:cstheme="minorBidi"/>
          <w:lang w:val="es-ES_tradnl"/>
        </w:rPr>
        <w:t xml:space="preserve"> los que financian como </w:t>
      </w:r>
      <w:r w:rsidR="000D5782" w:rsidRPr="00425C66">
        <w:rPr>
          <w:rFonts w:asciiTheme="minorBidi" w:hAnsiTheme="minorBidi" w:cstheme="minorBidi"/>
          <w:lang w:val="es-ES_tradnl"/>
        </w:rPr>
        <w:t>para</w:t>
      </w:r>
      <w:r w:rsidRPr="00425C66">
        <w:rPr>
          <w:rFonts w:asciiTheme="minorBidi" w:hAnsiTheme="minorBidi" w:cstheme="minorBidi"/>
          <w:lang w:val="es-ES_tradnl"/>
        </w:rPr>
        <w:t xml:space="preserve"> los que proponen </w:t>
      </w:r>
      <w:r w:rsidR="000D5782"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Las futuras </w:t>
      </w:r>
      <w:r w:rsidR="000D5782" w:rsidRPr="00425C66">
        <w:rPr>
          <w:rFonts w:asciiTheme="minorBidi" w:hAnsiTheme="minorBidi" w:cstheme="minorBidi"/>
          <w:lang w:val="es-ES_tradnl"/>
        </w:rPr>
        <w:t>c</w:t>
      </w:r>
      <w:r w:rsidRPr="00425C66">
        <w:rPr>
          <w:rFonts w:asciiTheme="minorBidi" w:hAnsiTheme="minorBidi" w:cstheme="minorBidi"/>
          <w:lang w:val="es-ES_tradnl"/>
        </w:rPr>
        <w:t xml:space="preserve">onvocatorias de </w:t>
      </w:r>
      <w:r w:rsidR="000D5782"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patrocinadas están en las primeras fases de examen, incluidas </w:t>
      </w:r>
      <w:r w:rsidR="000D5782" w:rsidRPr="00425C66">
        <w:rPr>
          <w:rFonts w:asciiTheme="minorBidi" w:hAnsiTheme="minorBidi" w:cstheme="minorBidi"/>
          <w:lang w:val="es-ES_tradnl"/>
        </w:rPr>
        <w:t>c</w:t>
      </w:r>
      <w:r w:rsidRPr="00425C66">
        <w:rPr>
          <w:rFonts w:asciiTheme="minorBidi" w:hAnsiTheme="minorBidi" w:cstheme="minorBidi"/>
          <w:lang w:val="es-ES_tradnl"/>
        </w:rPr>
        <w:t xml:space="preserve">onvocatorias que podrían ofrecer una oportunidad de financiación conjunta y combinada para varios asociados </w:t>
      </w:r>
      <w:r w:rsidR="000D5782" w:rsidRPr="00425C66">
        <w:rPr>
          <w:rFonts w:asciiTheme="minorBidi" w:hAnsiTheme="minorBidi" w:cstheme="minorBidi"/>
          <w:lang w:val="es-ES_tradnl"/>
        </w:rPr>
        <w:t>que se ocupan de</w:t>
      </w:r>
      <w:r w:rsidRPr="00425C66">
        <w:rPr>
          <w:rFonts w:asciiTheme="minorBidi" w:hAnsiTheme="minorBidi" w:cstheme="minorBidi"/>
          <w:lang w:val="es-ES_tradnl"/>
        </w:rPr>
        <w:t xml:space="preserve"> un tema o zona geográfica específicos. </w:t>
      </w:r>
    </w:p>
    <w:p w14:paraId="2CD76030" w14:textId="72B9C99E"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Durante este período se realiza</w:t>
      </w:r>
      <w:r w:rsidR="00317D57" w:rsidRPr="00425C66">
        <w:rPr>
          <w:rFonts w:asciiTheme="minorBidi" w:hAnsiTheme="minorBidi" w:cstheme="minorBidi"/>
          <w:lang w:val="es-ES_tradnl"/>
        </w:rPr>
        <w:t>r</w:t>
      </w:r>
      <w:r w:rsidRPr="00425C66">
        <w:rPr>
          <w:rFonts w:asciiTheme="minorBidi" w:hAnsiTheme="minorBidi" w:cstheme="minorBidi"/>
          <w:lang w:val="es-ES_tradnl"/>
        </w:rPr>
        <w:t>o</w:t>
      </w:r>
      <w:r w:rsidR="00317D57" w:rsidRPr="00425C66">
        <w:rPr>
          <w:rFonts w:asciiTheme="minorBidi" w:hAnsiTheme="minorBidi" w:cstheme="minorBidi"/>
          <w:lang w:val="es-ES_tradnl"/>
        </w:rPr>
        <w:t>n</w:t>
      </w:r>
      <w:r w:rsidRPr="00425C66">
        <w:rPr>
          <w:rFonts w:asciiTheme="minorBidi" w:hAnsiTheme="minorBidi" w:cstheme="minorBidi"/>
          <w:lang w:val="es-ES_tradnl"/>
        </w:rPr>
        <w:t xml:space="preserve"> importantes esfuerzos para involucrar a las fundaciones filantrópicas, y está prevista una reunión presencial del Diálogo de Fundaciones del 1 al 3 de junio de 2022 en Rabat (Marruecos), organizada por la Fundación Mohamed VI para la Protección del Medio Ambiente. Este acto movilizará a unas 20 fundaciones que conceden subvenciones y </w:t>
      </w:r>
      <w:r w:rsidRPr="00425C66">
        <w:rPr>
          <w:rFonts w:asciiTheme="minorBidi" w:hAnsiTheme="minorBidi" w:cstheme="minorBidi"/>
          <w:lang w:val="es-ES_tradnl"/>
        </w:rPr>
        <w:lastRenderedPageBreak/>
        <w:t xml:space="preserve">facilitará los debates acerca de nuevas oportunidades de financiación, así como el papel de la filantropía en la concepción conjunta y la interfaz entre la ciencia y la política. </w:t>
      </w:r>
    </w:p>
    <w:p w14:paraId="5D91D492" w14:textId="31FD9FC5"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Tras los debates de la Junta Asesora del Decenio se formularon recomendaciones para incrementar la interacción con los bancos multilaterales de desarrollo y los instrumentos de financiación internacionales, así como para elaborar y aplicar una estrategia más sistemática de movilización de recursos con los Estados Miembros. </w:t>
      </w:r>
    </w:p>
    <w:p w14:paraId="3E94DBA7" w14:textId="1B93C48A"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Para mantener el impulso y el nivel de actividad actuales se necesitan urgentemente recursos financieros o en especie adicionales que permitan garantizar la plena dotación de recursos de la Unidad de Coordinación del Decenio y su funcionamiento (IOC/INF-1418). También será indispensable una movilización de recursos significativa para apoyar las </w:t>
      </w:r>
      <w:r w:rsidR="00317D57"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El documento IOC/INF-1419 contiene una evaluación actualizada de las necesidades de recursos para las </w:t>
      </w:r>
      <w:r w:rsidR="00317D57" w:rsidRPr="00425C66">
        <w:rPr>
          <w:rFonts w:asciiTheme="minorBidi" w:hAnsiTheme="minorBidi" w:cstheme="minorBidi"/>
          <w:lang w:val="es-ES_tradnl"/>
        </w:rPr>
        <w:t>a</w:t>
      </w:r>
      <w:r w:rsidRPr="00425C66">
        <w:rPr>
          <w:rFonts w:asciiTheme="minorBidi" w:hAnsiTheme="minorBidi" w:cstheme="minorBidi"/>
          <w:lang w:val="es-ES_tradnl"/>
        </w:rPr>
        <w:t>cciones del Decenio.</w:t>
      </w:r>
    </w:p>
    <w:p w14:paraId="6FBB5DBF" w14:textId="77777777" w:rsidR="00E86920" w:rsidRPr="00425C66" w:rsidRDefault="00E86920" w:rsidP="00434ACD">
      <w:pPr>
        <w:pStyle w:val="Style2"/>
        <w:tabs>
          <w:tab w:val="clear" w:pos="1400"/>
          <w:tab w:val="left" w:pos="0"/>
        </w:tabs>
        <w:snapToGrid w:val="0"/>
        <w:ind w:left="0"/>
        <w:rPr>
          <w:rFonts w:asciiTheme="minorBidi" w:eastAsia="Arial" w:hAnsiTheme="minorBidi" w:cstheme="minorBidi"/>
          <w:b/>
          <w:bCs/>
          <w:color w:val="000000" w:themeColor="text1"/>
          <w:lang w:val="es-ES_tradnl"/>
        </w:rPr>
      </w:pPr>
      <w:r w:rsidRPr="00425C66">
        <w:rPr>
          <w:rFonts w:asciiTheme="minorBidi" w:hAnsiTheme="minorBidi" w:cstheme="minorBidi"/>
          <w:b/>
          <w:bCs/>
          <w:lang w:val="es-ES_tradnl"/>
        </w:rPr>
        <w:t>Participación de las partes interesadas, comunicaciones y alcance</w:t>
      </w:r>
    </w:p>
    <w:p w14:paraId="02085E8E" w14:textId="52B0E3D8" w:rsidR="00E86920" w:rsidRPr="00425C66" w:rsidRDefault="00E86920" w:rsidP="00434ACD">
      <w:pPr>
        <w:pStyle w:val="Style2"/>
        <w:numPr>
          <w:ilvl w:val="0"/>
          <w:numId w:val="23"/>
        </w:numPr>
        <w:tabs>
          <w:tab w:val="left" w:pos="0"/>
        </w:tabs>
        <w:snapToGrid w:val="0"/>
        <w:ind w:left="0" w:firstLine="0"/>
        <w:rPr>
          <w:rFonts w:asciiTheme="minorBidi" w:hAnsiTheme="minorBidi" w:cstheme="minorBidi"/>
          <w:color w:val="000000" w:themeColor="text1"/>
          <w:lang w:val="es-ES_tradnl"/>
        </w:rPr>
      </w:pPr>
      <w:r w:rsidRPr="00425C66">
        <w:rPr>
          <w:rFonts w:asciiTheme="minorBidi" w:hAnsiTheme="minorBidi" w:cstheme="minorBidi"/>
          <w:lang w:val="es-ES_tradnl"/>
        </w:rPr>
        <w:t>A lo largo de este período se mantuvo la interacción con los asociados de las Naciones Unidas mediante la participación en reuniones periódicas de ONU-Océanos y en un evento paralelo de ONU-Océanos en la COP</w:t>
      </w:r>
      <w:r w:rsidR="00BD36B6" w:rsidRPr="00425C66">
        <w:rPr>
          <w:rFonts w:asciiTheme="minorBidi" w:hAnsiTheme="minorBidi" w:cstheme="minorBidi"/>
          <w:lang w:val="es-ES_tradnl"/>
        </w:rPr>
        <w:t> </w:t>
      </w:r>
      <w:r w:rsidRPr="00425C66">
        <w:rPr>
          <w:rFonts w:asciiTheme="minorBidi" w:hAnsiTheme="minorBidi" w:cstheme="minorBidi"/>
          <w:lang w:val="es-ES_tradnl"/>
        </w:rPr>
        <w:t xml:space="preserve">26 de la CMNUCC (Glasgow, noviembre de 2021). Como se indicó, tres entidades de las Naciones Unidas (el PNUMA, la ISA y la OMM) </w:t>
      </w:r>
      <w:r w:rsidR="00BD36B6" w:rsidRPr="00425C66">
        <w:rPr>
          <w:rFonts w:asciiTheme="minorBidi" w:hAnsiTheme="minorBidi" w:cstheme="minorBidi"/>
          <w:lang w:val="es-ES_tradnl"/>
        </w:rPr>
        <w:t>forman parte</w:t>
      </w:r>
      <w:r w:rsidRPr="00425C66">
        <w:rPr>
          <w:rFonts w:asciiTheme="minorBidi" w:hAnsiTheme="minorBidi" w:cstheme="minorBidi"/>
          <w:lang w:val="es-ES_tradnl"/>
        </w:rPr>
        <w:t xml:space="preserve"> de la Junta en 2022. En el próximo período, los esfuerzos se centrarán en un</w:t>
      </w:r>
      <w:r w:rsidR="00BD36B6" w:rsidRPr="00425C66">
        <w:rPr>
          <w:rFonts w:asciiTheme="minorBidi" w:hAnsiTheme="minorBidi" w:cstheme="minorBidi"/>
          <w:lang w:val="es-ES_tradnl"/>
        </w:rPr>
        <w:t>a</w:t>
      </w:r>
      <w:r w:rsidRPr="00425C66">
        <w:rPr>
          <w:rFonts w:asciiTheme="minorBidi" w:hAnsiTheme="minorBidi" w:cstheme="minorBidi"/>
          <w:lang w:val="es-ES_tradnl"/>
        </w:rPr>
        <w:t xml:space="preserve"> mayor </w:t>
      </w:r>
      <w:r w:rsidR="00BD36B6" w:rsidRPr="00425C66">
        <w:rPr>
          <w:rFonts w:asciiTheme="minorBidi" w:hAnsiTheme="minorBidi" w:cstheme="minorBidi"/>
          <w:lang w:val="es-ES_tradnl"/>
        </w:rPr>
        <w:t>interacción</w:t>
      </w:r>
      <w:r w:rsidRPr="00425C66">
        <w:rPr>
          <w:rFonts w:asciiTheme="minorBidi" w:hAnsiTheme="minorBidi" w:cstheme="minorBidi"/>
          <w:lang w:val="es-ES_tradnl"/>
        </w:rPr>
        <w:t xml:space="preserve"> con las entidades de las Naciones Unidas.   </w:t>
      </w:r>
    </w:p>
    <w:p w14:paraId="16200BEF" w14:textId="08ED87ED" w:rsidR="00E86920" w:rsidRPr="00425C66" w:rsidRDefault="00E86920" w:rsidP="00434ACD">
      <w:pPr>
        <w:pStyle w:val="Style2"/>
        <w:numPr>
          <w:ilvl w:val="0"/>
          <w:numId w:val="23"/>
        </w:numPr>
        <w:tabs>
          <w:tab w:val="left" w:pos="0"/>
        </w:tabs>
        <w:snapToGrid w:val="0"/>
        <w:ind w:left="0" w:firstLine="0"/>
        <w:rPr>
          <w:rFonts w:asciiTheme="minorBidi" w:hAnsiTheme="minorBidi" w:cstheme="minorBidi"/>
          <w:color w:val="000000" w:themeColor="text1"/>
          <w:lang w:val="es-ES_tradnl"/>
        </w:rPr>
      </w:pPr>
      <w:r w:rsidRPr="00425C66">
        <w:rPr>
          <w:rFonts w:asciiTheme="minorBidi" w:hAnsiTheme="minorBidi" w:cstheme="minorBidi"/>
          <w:lang w:val="es-ES_tradnl"/>
        </w:rPr>
        <w:t xml:space="preserve">Actualmente se está debatiendo con los asociados interesados, las partes interesadas y los titulares de derechos una propuesta de marco para favorecer la interacción con los depositarios de conocimientos indígenas y locales. Este marco comprende la </w:t>
      </w:r>
      <w:r w:rsidR="00770243" w:rsidRPr="00425C66">
        <w:rPr>
          <w:rFonts w:asciiTheme="minorBidi" w:hAnsiTheme="minorBidi" w:cstheme="minorBidi"/>
          <w:lang w:val="es-ES_tradnl"/>
        </w:rPr>
        <w:t>creación</w:t>
      </w:r>
      <w:r w:rsidRPr="00425C66">
        <w:rPr>
          <w:rFonts w:asciiTheme="minorBidi" w:hAnsiTheme="minorBidi" w:cstheme="minorBidi"/>
          <w:lang w:val="es-ES_tradnl"/>
        </w:rPr>
        <w:t xml:space="preserve"> de un enfoque de red de redes y una comunidad de práctica específica. También propone principios rectores clave para una colaboración ética con los pueblos indígenas y las comunidades locales a lo largo del Decenio del Océano. Los </w:t>
      </w:r>
      <w:r w:rsidR="00770243" w:rsidRPr="00425C66">
        <w:rPr>
          <w:rFonts w:asciiTheme="minorBidi" w:hAnsiTheme="minorBidi" w:cstheme="minorBidi"/>
          <w:lang w:val="es-ES_tradnl"/>
        </w:rPr>
        <w:t>c</w:t>
      </w:r>
      <w:r w:rsidRPr="00425C66">
        <w:rPr>
          <w:rFonts w:asciiTheme="minorBidi" w:hAnsiTheme="minorBidi" w:cstheme="minorBidi"/>
          <w:lang w:val="es-ES_tradnl"/>
        </w:rPr>
        <w:t xml:space="preserve">omités </w:t>
      </w:r>
      <w:r w:rsidR="00770243" w:rsidRPr="00425C66">
        <w:rPr>
          <w:rFonts w:asciiTheme="minorBidi" w:hAnsiTheme="minorBidi" w:cstheme="minorBidi"/>
          <w:lang w:val="es-ES_tradnl"/>
        </w:rPr>
        <w:t>n</w:t>
      </w:r>
      <w:r w:rsidRPr="00425C66">
        <w:rPr>
          <w:rFonts w:asciiTheme="minorBidi" w:hAnsiTheme="minorBidi" w:cstheme="minorBidi"/>
          <w:lang w:val="es-ES_tradnl"/>
        </w:rPr>
        <w:t xml:space="preserve">acionales del Decenio han participado en estos diálogos y desempeñarán un papel importante para respaldar </w:t>
      </w:r>
      <w:r w:rsidR="00AC3399" w:rsidRPr="00425C66">
        <w:rPr>
          <w:rFonts w:asciiTheme="minorBidi" w:hAnsiTheme="minorBidi" w:cstheme="minorBidi"/>
          <w:lang w:val="es-ES_tradnl"/>
        </w:rPr>
        <w:t>la</w:t>
      </w:r>
      <w:r w:rsidRPr="00425C66">
        <w:rPr>
          <w:rFonts w:asciiTheme="minorBidi" w:hAnsiTheme="minorBidi" w:cstheme="minorBidi"/>
          <w:lang w:val="es-ES_tradnl"/>
        </w:rPr>
        <w:t xml:space="preserve"> iniciativa. La red promoverá oportunidades de escuchar las voces de los pueblos indígenas y cuestiones relacionadas con el océano en diversos eventos mundiales y regionales y fomentará sinergias con otros decenios de las Naciones Unidas, como el Decenio Internacional de las Lenguas Indígenas (2022-2032).</w:t>
      </w:r>
    </w:p>
    <w:p w14:paraId="667698F4" w14:textId="6A57A77E" w:rsidR="00E86920" w:rsidRPr="00425C66" w:rsidRDefault="00E86920" w:rsidP="00434ACD">
      <w:pPr>
        <w:pStyle w:val="Style2"/>
        <w:numPr>
          <w:ilvl w:val="0"/>
          <w:numId w:val="23"/>
        </w:numPr>
        <w:tabs>
          <w:tab w:val="left" w:pos="0"/>
        </w:tabs>
        <w:snapToGrid w:val="0"/>
        <w:ind w:left="0" w:firstLine="0"/>
        <w:rPr>
          <w:rFonts w:asciiTheme="minorBidi" w:hAnsiTheme="minorBidi" w:cstheme="minorBidi"/>
          <w:color w:val="000000" w:themeColor="text1"/>
          <w:lang w:val="es-ES_tradnl"/>
        </w:rPr>
      </w:pPr>
      <w:r w:rsidRPr="00425C66">
        <w:rPr>
          <w:rFonts w:asciiTheme="minorBidi" w:hAnsiTheme="minorBidi" w:cstheme="minorBidi"/>
          <w:lang w:val="es-ES_tradnl"/>
        </w:rPr>
        <w:t xml:space="preserve">A lo largo del Decenio se mantiene la </w:t>
      </w:r>
      <w:r w:rsidR="00D77625" w:rsidRPr="00425C66">
        <w:rPr>
          <w:rFonts w:asciiTheme="minorBidi" w:hAnsiTheme="minorBidi" w:cstheme="minorBidi"/>
          <w:lang w:val="es-ES_tradnl"/>
        </w:rPr>
        <w:t>decidida</w:t>
      </w:r>
      <w:r w:rsidRPr="00425C66">
        <w:rPr>
          <w:rFonts w:asciiTheme="minorBidi" w:hAnsiTheme="minorBidi" w:cstheme="minorBidi"/>
          <w:lang w:val="es-ES_tradnl"/>
        </w:rPr>
        <w:t xml:space="preserve"> participación de profesionales de la oceanografía en la fase inicial de su carrera. La COI de la UNESCO apoya a un coordinador a tiempo completo del </w:t>
      </w:r>
      <w:r w:rsidR="00D77625" w:rsidRPr="00425C66">
        <w:rPr>
          <w:rFonts w:asciiTheme="minorBidi" w:hAnsiTheme="minorBidi" w:cstheme="minorBidi"/>
          <w:lang w:val="es-ES_tradnl"/>
        </w:rPr>
        <w:t>p</w:t>
      </w:r>
      <w:r w:rsidRPr="00425C66">
        <w:rPr>
          <w:rFonts w:asciiTheme="minorBidi" w:hAnsiTheme="minorBidi" w:cstheme="minorBidi"/>
          <w:lang w:val="es-ES_tradnl"/>
        </w:rPr>
        <w:t xml:space="preserve">rograma del Decenio de profesionales oceánicos en el inicio de sus carreras. Se han creado nodos regionales en África y Asia y se han impartido cursos de formación específicos para profesionales oceánicos en el inicio de sus carreras en respuesta a las necesidades prioritarias definidas en una encuesta mundial sobre esa categoría de profesionales realizada en 2019. </w:t>
      </w:r>
    </w:p>
    <w:p w14:paraId="6ED6C445" w14:textId="4C5010A2" w:rsidR="00E86920" w:rsidRPr="00425C66" w:rsidRDefault="00E86920" w:rsidP="00434ACD">
      <w:pPr>
        <w:pStyle w:val="Style2"/>
        <w:numPr>
          <w:ilvl w:val="0"/>
          <w:numId w:val="23"/>
        </w:numPr>
        <w:tabs>
          <w:tab w:val="left" w:pos="0"/>
        </w:tabs>
        <w:snapToGrid w:val="0"/>
        <w:ind w:left="0" w:firstLine="0"/>
        <w:rPr>
          <w:rFonts w:asciiTheme="minorBidi" w:eastAsia="Arial" w:hAnsiTheme="minorBidi" w:cstheme="minorBidi"/>
          <w:color w:val="000000" w:themeColor="text1"/>
          <w:lang w:val="es-ES_tradnl"/>
        </w:rPr>
      </w:pPr>
      <w:r w:rsidRPr="00425C66">
        <w:rPr>
          <w:rFonts w:asciiTheme="minorBidi" w:hAnsiTheme="minorBidi" w:cstheme="minorBidi"/>
          <w:lang w:val="es-ES_tradnl"/>
        </w:rPr>
        <w:t xml:space="preserve">Durante este período </w:t>
      </w:r>
      <w:r w:rsidR="00D77625" w:rsidRPr="00425C66">
        <w:rPr>
          <w:rFonts w:asciiTheme="minorBidi" w:hAnsiTheme="minorBidi" w:cstheme="minorBidi"/>
          <w:lang w:val="es-ES_tradnl"/>
        </w:rPr>
        <w:t>las partes interesadas hicieron</w:t>
      </w:r>
      <w:r w:rsidRPr="00425C66">
        <w:rPr>
          <w:rFonts w:asciiTheme="minorBidi" w:hAnsiTheme="minorBidi" w:cstheme="minorBidi"/>
          <w:lang w:val="es-ES_tradnl"/>
        </w:rPr>
        <w:t xml:space="preserve"> intensos esfuerzos de </w:t>
      </w:r>
      <w:r w:rsidR="00D77625" w:rsidRPr="00425C66">
        <w:rPr>
          <w:rFonts w:asciiTheme="minorBidi" w:hAnsiTheme="minorBidi" w:cstheme="minorBidi"/>
          <w:lang w:val="es-ES_tradnl"/>
        </w:rPr>
        <w:t>participación</w:t>
      </w:r>
      <w:r w:rsidRPr="00425C66">
        <w:rPr>
          <w:rFonts w:asciiTheme="minorBidi" w:hAnsiTheme="minorBidi" w:cstheme="minorBidi"/>
          <w:lang w:val="es-ES_tradnl"/>
        </w:rPr>
        <w:t xml:space="preserve"> y divulgación. Se celebraron eventos presenciales o híbridos </w:t>
      </w:r>
      <w:r w:rsidR="00D77625" w:rsidRPr="00425C66">
        <w:rPr>
          <w:rFonts w:asciiTheme="minorBidi" w:hAnsiTheme="minorBidi" w:cstheme="minorBidi"/>
          <w:lang w:val="es-ES_tradnl"/>
        </w:rPr>
        <w:t>sobre</w:t>
      </w:r>
      <w:r w:rsidRPr="00425C66">
        <w:rPr>
          <w:rFonts w:asciiTheme="minorBidi" w:hAnsiTheme="minorBidi" w:cstheme="minorBidi"/>
          <w:lang w:val="es-ES_tradnl"/>
        </w:rPr>
        <w:t xml:space="preserve"> diferentes aspectos del Decenio del Océano en el Congreso Mundial de la Naturaleza de la UICN (Marsella, septiembre de 2021), la COP</w:t>
      </w:r>
      <w:r w:rsidR="00D77625" w:rsidRPr="00425C66">
        <w:rPr>
          <w:rFonts w:asciiTheme="minorBidi" w:hAnsiTheme="minorBidi" w:cstheme="minorBidi"/>
          <w:lang w:val="es-ES_tradnl"/>
        </w:rPr>
        <w:t> </w:t>
      </w:r>
      <w:r w:rsidRPr="00425C66">
        <w:rPr>
          <w:rFonts w:asciiTheme="minorBidi" w:hAnsiTheme="minorBidi" w:cstheme="minorBidi"/>
          <w:lang w:val="es-ES_tradnl"/>
        </w:rPr>
        <w:t xml:space="preserve">26 de la CMNUCC (Glasgow, noviembre de 2021) y la Semana de los Océanos de Mónaco (Mónaco, marzo de 2022). El Decenio del Océano desempeñó un papel central en la Cumbre </w:t>
      </w:r>
      <w:r w:rsidR="00365D92" w:rsidRPr="00425C66">
        <w:rPr>
          <w:rFonts w:asciiTheme="minorBidi" w:hAnsiTheme="minorBidi" w:cstheme="minorBidi"/>
          <w:lang w:val="es-ES_tradnl"/>
        </w:rPr>
        <w:t>“</w:t>
      </w:r>
      <w:r w:rsidRPr="00425C66">
        <w:rPr>
          <w:rFonts w:asciiTheme="minorBidi" w:hAnsiTheme="minorBidi" w:cstheme="minorBidi"/>
          <w:lang w:val="es-ES_tradnl"/>
        </w:rPr>
        <w:t>Un Océano</w:t>
      </w:r>
      <w:r w:rsidR="00365D92" w:rsidRPr="00425C66">
        <w:rPr>
          <w:rFonts w:asciiTheme="minorBidi" w:hAnsiTheme="minorBidi" w:cstheme="minorBidi"/>
          <w:lang w:val="es-ES_tradnl"/>
        </w:rPr>
        <w:t>”</w:t>
      </w:r>
      <w:r w:rsidRPr="00425C66">
        <w:rPr>
          <w:rFonts w:asciiTheme="minorBidi" w:hAnsiTheme="minorBidi" w:cstheme="minorBidi"/>
          <w:lang w:val="es-ES_tradnl"/>
        </w:rPr>
        <w:t xml:space="preserve"> </w:t>
      </w:r>
      <w:r w:rsidR="00D77625" w:rsidRPr="00425C66">
        <w:rPr>
          <w:rFonts w:asciiTheme="minorBidi" w:hAnsiTheme="minorBidi" w:cstheme="minorBidi"/>
          <w:lang w:val="es-ES_tradnl"/>
        </w:rPr>
        <w:t>organizada</w:t>
      </w:r>
      <w:r w:rsidRPr="00425C66">
        <w:rPr>
          <w:rFonts w:asciiTheme="minorBidi" w:hAnsiTheme="minorBidi" w:cstheme="minorBidi"/>
          <w:lang w:val="es-ES_tradnl"/>
        </w:rPr>
        <w:t xml:space="preserve"> en Brest en febrero de 2022. La COI de la UNESCO asumió un compromiso en el marco de la Conferencia </w:t>
      </w:r>
      <w:r w:rsidR="00365D92" w:rsidRPr="00425C66">
        <w:rPr>
          <w:rFonts w:asciiTheme="minorBidi" w:hAnsiTheme="minorBidi" w:cstheme="minorBidi"/>
          <w:lang w:val="es-ES_tradnl"/>
        </w:rPr>
        <w:t>“</w:t>
      </w:r>
      <w:r w:rsidRPr="00425C66">
        <w:rPr>
          <w:rFonts w:asciiTheme="minorBidi" w:hAnsiTheme="minorBidi" w:cstheme="minorBidi"/>
          <w:lang w:val="es-ES_tradnl"/>
        </w:rPr>
        <w:t>Nuestro Océano</w:t>
      </w:r>
      <w:r w:rsidR="00365D92" w:rsidRPr="00425C66">
        <w:rPr>
          <w:rFonts w:asciiTheme="minorBidi" w:hAnsiTheme="minorBidi" w:cstheme="minorBidi"/>
          <w:lang w:val="es-ES_tradnl"/>
        </w:rPr>
        <w:t>”</w:t>
      </w:r>
      <w:r w:rsidRPr="00425C66">
        <w:rPr>
          <w:rFonts w:asciiTheme="minorBidi" w:hAnsiTheme="minorBidi" w:cstheme="minorBidi"/>
          <w:lang w:val="es-ES_tradnl"/>
        </w:rPr>
        <w:t xml:space="preserve"> (Palau, abril de 2022) de conseguir nuevas alianzas y recursos para apoyar la ejecución del Decenio del Océano en la región de los PEID del Pacífico. La serie de laboratorios virtuales del Decenio del Océano, </w:t>
      </w:r>
      <w:r w:rsidR="00D77625" w:rsidRPr="00425C66">
        <w:rPr>
          <w:rFonts w:asciiTheme="minorBidi" w:hAnsiTheme="minorBidi" w:cstheme="minorBidi"/>
          <w:lang w:val="es-ES_tradnl"/>
        </w:rPr>
        <w:t>respaldada</w:t>
      </w:r>
      <w:r w:rsidRPr="00425C66">
        <w:rPr>
          <w:rFonts w:asciiTheme="minorBidi" w:hAnsiTheme="minorBidi" w:cstheme="minorBidi"/>
          <w:lang w:val="es-ES_tradnl"/>
        </w:rPr>
        <w:t xml:space="preserve"> por Alemania en el contexto de la primera Conferencia Internacional del Decenio del Océano, se completará a principios de junio, y se informará al respecto en la Conferencia sobre los Océanos de las Naciones Unidas de 2022 (Lisboa, junio de 2022).</w:t>
      </w:r>
    </w:p>
    <w:p w14:paraId="40348008" w14:textId="76EB6B20" w:rsidR="00E86920" w:rsidRPr="00425C66" w:rsidRDefault="00E86920" w:rsidP="00434ACD">
      <w:pPr>
        <w:pStyle w:val="Style2"/>
        <w:numPr>
          <w:ilvl w:val="0"/>
          <w:numId w:val="23"/>
        </w:numPr>
        <w:tabs>
          <w:tab w:val="left" w:pos="0"/>
        </w:tabs>
        <w:snapToGrid w:val="0"/>
        <w:ind w:left="0" w:firstLine="0"/>
        <w:rPr>
          <w:rFonts w:asciiTheme="minorBidi" w:hAnsiTheme="minorBidi" w:cstheme="minorBidi"/>
          <w:color w:val="000000" w:themeColor="text1"/>
          <w:lang w:val="es-ES_tradnl"/>
        </w:rPr>
      </w:pPr>
      <w:r w:rsidRPr="00425C66">
        <w:rPr>
          <w:rFonts w:asciiTheme="minorBidi" w:hAnsiTheme="minorBidi" w:cstheme="minorBidi"/>
          <w:lang w:val="es-ES_tradnl"/>
        </w:rPr>
        <w:lastRenderedPageBreak/>
        <w:t>En octubre de 2021, la COI de la UNESCO inauguró un nuevo sitio web (</w:t>
      </w:r>
      <w:hyperlink r:id="rId16" w:history="1">
        <w:r w:rsidR="00D77625" w:rsidRPr="00425C66">
          <w:rPr>
            <w:rStyle w:val="Hyperlink"/>
            <w:rFonts w:asciiTheme="minorBidi" w:hAnsiTheme="minorBidi" w:cstheme="minorBidi"/>
            <w:lang w:val="es-ES_tradnl"/>
          </w:rPr>
          <w:t>www.oceandecade.org</w:t>
        </w:r>
      </w:hyperlink>
      <w:r w:rsidRPr="00425C66">
        <w:rPr>
          <w:rFonts w:asciiTheme="minorBidi" w:hAnsiTheme="minorBidi" w:cstheme="minorBidi"/>
          <w:lang w:val="es-ES_tradnl"/>
        </w:rPr>
        <w:t>). Un editor web actualiza periódicamente secciones dedicadas a noticias, eventos y recursos para garantizar que todas las actividades se promuevan ampliamente. El cuadro</w:t>
      </w:r>
      <w:r w:rsidR="00D77625" w:rsidRPr="00425C66">
        <w:rPr>
          <w:rFonts w:asciiTheme="minorBidi" w:hAnsiTheme="minorBidi" w:cstheme="minorBidi"/>
          <w:lang w:val="es-ES_tradnl"/>
        </w:rPr>
        <w:t> </w:t>
      </w:r>
      <w:r w:rsidRPr="00425C66">
        <w:rPr>
          <w:rFonts w:asciiTheme="minorBidi" w:hAnsiTheme="minorBidi" w:cstheme="minorBidi"/>
          <w:lang w:val="es-ES_tradnl"/>
        </w:rPr>
        <w:t>1 contiene información sobre el uso del sitio web.</w:t>
      </w:r>
    </w:p>
    <w:p w14:paraId="39207B36" w14:textId="0A50AAEE" w:rsidR="00E86920" w:rsidRPr="00425C66" w:rsidRDefault="00E86920" w:rsidP="00425C66">
      <w:pPr>
        <w:spacing w:after="120"/>
        <w:jc w:val="center"/>
        <w:rPr>
          <w:rFonts w:asciiTheme="minorBidi" w:hAnsiTheme="minorBidi" w:cstheme="minorBidi"/>
          <w:b/>
          <w:bCs/>
          <w:sz w:val="22"/>
          <w:szCs w:val="22"/>
          <w:lang w:val="es-ES_tradnl"/>
        </w:rPr>
      </w:pPr>
      <w:r w:rsidRPr="00425C66">
        <w:rPr>
          <w:rFonts w:asciiTheme="minorBidi" w:hAnsiTheme="minorBidi" w:cstheme="minorBidi"/>
          <w:b/>
          <w:bCs/>
          <w:sz w:val="22"/>
          <w:szCs w:val="22"/>
          <w:lang w:val="es-ES_tradnl"/>
        </w:rPr>
        <w:t>Cuadro 1.</w:t>
      </w:r>
      <w:r w:rsidRPr="00425C66">
        <w:rPr>
          <w:rFonts w:asciiTheme="minorBidi" w:hAnsiTheme="minorBidi" w:cstheme="minorBidi"/>
          <w:sz w:val="22"/>
          <w:szCs w:val="22"/>
          <w:lang w:val="es-ES_tradnl"/>
        </w:rPr>
        <w:t xml:space="preserve"> </w:t>
      </w:r>
      <w:r w:rsidRPr="00425C66">
        <w:rPr>
          <w:rFonts w:asciiTheme="minorBidi" w:hAnsiTheme="minorBidi" w:cstheme="minorBidi"/>
          <w:b/>
          <w:bCs/>
          <w:sz w:val="22"/>
          <w:szCs w:val="22"/>
          <w:lang w:val="es-ES_tradnl"/>
        </w:rPr>
        <w:t>Análisis del sitio web del período del 1 de enero de 2021 al 22 de abril de 2022</w:t>
      </w:r>
    </w:p>
    <w:tbl>
      <w:tblPr>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256"/>
        <w:gridCol w:w="2256"/>
        <w:gridCol w:w="2257"/>
        <w:gridCol w:w="2257"/>
      </w:tblGrid>
      <w:tr w:rsidR="00E86920" w:rsidRPr="00425C66" w14:paraId="23335DB9" w14:textId="77777777" w:rsidTr="00434ACD">
        <w:trPr>
          <w:trHeight w:val="465"/>
          <w:jc w:val="center"/>
        </w:trPr>
        <w:tc>
          <w:tcPr>
            <w:tcW w:w="2256" w:type="dxa"/>
            <w:shd w:val="clear" w:color="auto" w:fill="auto"/>
            <w:tcMar>
              <w:top w:w="100" w:type="dxa"/>
              <w:left w:w="100" w:type="dxa"/>
              <w:bottom w:w="100" w:type="dxa"/>
              <w:right w:w="100" w:type="dxa"/>
            </w:tcMar>
          </w:tcPr>
          <w:p w14:paraId="2E23AB52" w14:textId="77777777" w:rsidR="00E86920" w:rsidRPr="00425C66" w:rsidRDefault="00E86920" w:rsidP="003002B4">
            <w:pPr>
              <w:widowControl w:val="0"/>
              <w:pBdr>
                <w:top w:val="nil"/>
                <w:left w:val="nil"/>
                <w:bottom w:val="nil"/>
                <w:right w:val="nil"/>
                <w:between w:val="nil"/>
              </w:pBdr>
              <w:jc w:val="center"/>
              <w:rPr>
                <w:rFonts w:asciiTheme="minorBidi" w:hAnsiTheme="minorBidi" w:cstheme="minorBidi"/>
                <w:b/>
                <w:sz w:val="20"/>
                <w:szCs w:val="20"/>
                <w:lang w:val="es-ES_tradnl"/>
              </w:rPr>
            </w:pPr>
            <w:r w:rsidRPr="00425C66">
              <w:rPr>
                <w:rFonts w:asciiTheme="minorBidi" w:hAnsiTheme="minorBidi" w:cstheme="minorBidi"/>
                <w:b/>
                <w:bCs/>
                <w:sz w:val="20"/>
                <w:szCs w:val="20"/>
                <w:lang w:val="es-ES_tradnl"/>
              </w:rPr>
              <w:t>Visitantes únicos</w:t>
            </w:r>
          </w:p>
        </w:tc>
        <w:tc>
          <w:tcPr>
            <w:tcW w:w="2256" w:type="dxa"/>
            <w:shd w:val="clear" w:color="auto" w:fill="auto"/>
            <w:tcMar>
              <w:top w:w="100" w:type="dxa"/>
              <w:left w:w="100" w:type="dxa"/>
              <w:bottom w:w="100" w:type="dxa"/>
              <w:right w:w="100" w:type="dxa"/>
            </w:tcMar>
          </w:tcPr>
          <w:p w14:paraId="2970476D" w14:textId="77777777" w:rsidR="00E86920" w:rsidRPr="00425C66" w:rsidRDefault="00E86920" w:rsidP="003002B4">
            <w:pPr>
              <w:widowControl w:val="0"/>
              <w:pBdr>
                <w:top w:val="nil"/>
                <w:left w:val="nil"/>
                <w:bottom w:val="nil"/>
                <w:right w:val="nil"/>
                <w:between w:val="nil"/>
              </w:pBdr>
              <w:jc w:val="center"/>
              <w:rPr>
                <w:rFonts w:asciiTheme="minorBidi" w:hAnsiTheme="minorBidi" w:cstheme="minorBidi"/>
                <w:b/>
                <w:sz w:val="20"/>
                <w:szCs w:val="20"/>
                <w:lang w:val="es-ES_tradnl"/>
              </w:rPr>
            </w:pPr>
            <w:r w:rsidRPr="00425C66">
              <w:rPr>
                <w:rFonts w:asciiTheme="minorBidi" w:hAnsiTheme="minorBidi" w:cstheme="minorBidi"/>
                <w:b/>
                <w:bCs/>
                <w:sz w:val="20"/>
                <w:szCs w:val="20"/>
                <w:lang w:val="es-ES_tradnl"/>
              </w:rPr>
              <w:t>Visualizaciones de la página</w:t>
            </w:r>
          </w:p>
        </w:tc>
        <w:tc>
          <w:tcPr>
            <w:tcW w:w="2256" w:type="dxa"/>
            <w:shd w:val="clear" w:color="auto" w:fill="auto"/>
            <w:tcMar>
              <w:top w:w="100" w:type="dxa"/>
              <w:left w:w="100" w:type="dxa"/>
              <w:bottom w:w="100" w:type="dxa"/>
              <w:right w:w="100" w:type="dxa"/>
            </w:tcMar>
          </w:tcPr>
          <w:p w14:paraId="5370E3E2" w14:textId="77777777" w:rsidR="00E86920" w:rsidRPr="00425C66" w:rsidRDefault="00E86920" w:rsidP="003002B4">
            <w:pPr>
              <w:widowControl w:val="0"/>
              <w:pBdr>
                <w:top w:val="nil"/>
                <w:left w:val="nil"/>
                <w:bottom w:val="nil"/>
                <w:right w:val="nil"/>
                <w:between w:val="nil"/>
              </w:pBdr>
              <w:jc w:val="center"/>
              <w:rPr>
                <w:rFonts w:asciiTheme="minorBidi" w:hAnsiTheme="minorBidi" w:cstheme="minorBidi"/>
                <w:b/>
                <w:sz w:val="20"/>
                <w:szCs w:val="20"/>
                <w:lang w:val="es-ES_tradnl"/>
              </w:rPr>
            </w:pPr>
            <w:r w:rsidRPr="00425C66">
              <w:rPr>
                <w:rFonts w:asciiTheme="minorBidi" w:hAnsiTheme="minorBidi" w:cstheme="minorBidi"/>
                <w:b/>
                <w:bCs/>
                <w:sz w:val="20"/>
                <w:szCs w:val="20"/>
                <w:lang w:val="es-ES_tradnl"/>
              </w:rPr>
              <w:t>Duración media de la sesión</w:t>
            </w:r>
          </w:p>
        </w:tc>
        <w:tc>
          <w:tcPr>
            <w:tcW w:w="2256" w:type="dxa"/>
            <w:shd w:val="clear" w:color="auto" w:fill="auto"/>
            <w:tcMar>
              <w:top w:w="100" w:type="dxa"/>
              <w:left w:w="100" w:type="dxa"/>
              <w:bottom w:w="100" w:type="dxa"/>
              <w:right w:w="100" w:type="dxa"/>
            </w:tcMar>
          </w:tcPr>
          <w:p w14:paraId="2CE3334A" w14:textId="77777777" w:rsidR="00E86920" w:rsidRPr="00425C66" w:rsidRDefault="00E86920" w:rsidP="003002B4">
            <w:pPr>
              <w:widowControl w:val="0"/>
              <w:pBdr>
                <w:top w:val="nil"/>
                <w:left w:val="nil"/>
                <w:bottom w:val="nil"/>
                <w:right w:val="nil"/>
                <w:between w:val="nil"/>
              </w:pBdr>
              <w:jc w:val="center"/>
              <w:rPr>
                <w:rFonts w:asciiTheme="minorBidi" w:hAnsiTheme="minorBidi" w:cstheme="minorBidi"/>
                <w:b/>
                <w:sz w:val="20"/>
                <w:szCs w:val="20"/>
                <w:lang w:val="es-ES_tradnl"/>
              </w:rPr>
            </w:pPr>
            <w:r w:rsidRPr="00425C66">
              <w:rPr>
                <w:rFonts w:asciiTheme="minorBidi" w:hAnsiTheme="minorBidi" w:cstheme="minorBidi"/>
                <w:b/>
                <w:bCs/>
                <w:sz w:val="20"/>
                <w:szCs w:val="20"/>
                <w:lang w:val="es-ES_tradnl"/>
              </w:rPr>
              <w:t>Países y territorios</w:t>
            </w:r>
          </w:p>
        </w:tc>
      </w:tr>
      <w:tr w:rsidR="00E86920" w:rsidRPr="00425C66" w14:paraId="7611D69B" w14:textId="77777777" w:rsidTr="00434ACD">
        <w:trPr>
          <w:jc w:val="center"/>
        </w:trPr>
        <w:tc>
          <w:tcPr>
            <w:tcW w:w="2256" w:type="dxa"/>
            <w:shd w:val="clear" w:color="auto" w:fill="auto"/>
            <w:tcMar>
              <w:top w:w="100" w:type="dxa"/>
              <w:left w:w="100" w:type="dxa"/>
              <w:bottom w:w="100" w:type="dxa"/>
              <w:right w:w="100" w:type="dxa"/>
            </w:tcMar>
          </w:tcPr>
          <w:p w14:paraId="049F52C2" w14:textId="77777777" w:rsidR="00E86920" w:rsidRPr="00425C66" w:rsidRDefault="00E86920" w:rsidP="003002B4">
            <w:pPr>
              <w:widowControl w:val="0"/>
              <w:pBdr>
                <w:top w:val="nil"/>
                <w:left w:val="nil"/>
                <w:bottom w:val="nil"/>
                <w:right w:val="nil"/>
                <w:between w:val="nil"/>
              </w:pBdr>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159 000</w:t>
            </w:r>
          </w:p>
        </w:tc>
        <w:tc>
          <w:tcPr>
            <w:tcW w:w="2256" w:type="dxa"/>
            <w:shd w:val="clear" w:color="auto" w:fill="auto"/>
            <w:tcMar>
              <w:top w:w="100" w:type="dxa"/>
              <w:left w:w="100" w:type="dxa"/>
              <w:bottom w:w="100" w:type="dxa"/>
              <w:right w:w="100" w:type="dxa"/>
            </w:tcMar>
          </w:tcPr>
          <w:p w14:paraId="6F369A11" w14:textId="77777777" w:rsidR="00E86920" w:rsidRPr="00425C66" w:rsidRDefault="00E86920" w:rsidP="003002B4">
            <w:pPr>
              <w:widowControl w:val="0"/>
              <w:pBdr>
                <w:top w:val="nil"/>
                <w:left w:val="nil"/>
                <w:bottom w:val="nil"/>
                <w:right w:val="nil"/>
                <w:between w:val="nil"/>
              </w:pBdr>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539 506</w:t>
            </w:r>
          </w:p>
        </w:tc>
        <w:tc>
          <w:tcPr>
            <w:tcW w:w="2256" w:type="dxa"/>
            <w:shd w:val="clear" w:color="auto" w:fill="auto"/>
            <w:tcMar>
              <w:top w:w="100" w:type="dxa"/>
              <w:left w:w="100" w:type="dxa"/>
              <w:bottom w:w="100" w:type="dxa"/>
              <w:right w:w="100" w:type="dxa"/>
            </w:tcMar>
          </w:tcPr>
          <w:p w14:paraId="1CC163DB" w14:textId="77777777" w:rsidR="00E86920" w:rsidRPr="00425C66" w:rsidRDefault="00E86920" w:rsidP="003002B4">
            <w:pPr>
              <w:widowControl w:val="0"/>
              <w:pBdr>
                <w:top w:val="nil"/>
                <w:left w:val="nil"/>
                <w:bottom w:val="nil"/>
                <w:right w:val="nil"/>
                <w:between w:val="nil"/>
              </w:pBdr>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±1 min 52 s</w:t>
            </w:r>
          </w:p>
        </w:tc>
        <w:tc>
          <w:tcPr>
            <w:tcW w:w="2256" w:type="dxa"/>
            <w:shd w:val="clear" w:color="auto" w:fill="auto"/>
            <w:tcMar>
              <w:top w:w="100" w:type="dxa"/>
              <w:left w:w="100" w:type="dxa"/>
              <w:bottom w:w="100" w:type="dxa"/>
              <w:right w:w="100" w:type="dxa"/>
            </w:tcMar>
          </w:tcPr>
          <w:p w14:paraId="42208EC4" w14:textId="77777777" w:rsidR="00E86920" w:rsidRPr="00425C66" w:rsidRDefault="00E86920" w:rsidP="003002B4">
            <w:pPr>
              <w:widowControl w:val="0"/>
              <w:pBdr>
                <w:top w:val="nil"/>
                <w:left w:val="nil"/>
                <w:bottom w:val="nil"/>
                <w:right w:val="nil"/>
                <w:between w:val="nil"/>
              </w:pBdr>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233</w:t>
            </w:r>
          </w:p>
        </w:tc>
      </w:tr>
    </w:tbl>
    <w:p w14:paraId="2562FD9C" w14:textId="7FD4A6DD" w:rsidR="00E86920" w:rsidRPr="00425C66" w:rsidRDefault="00E86920" w:rsidP="00434ACD">
      <w:pPr>
        <w:pBdr>
          <w:top w:val="nil"/>
          <w:left w:val="nil"/>
          <w:bottom w:val="nil"/>
          <w:right w:val="nil"/>
          <w:between w:val="nil"/>
        </w:pBdr>
        <w:ind w:left="284"/>
        <w:rPr>
          <w:rFonts w:asciiTheme="minorBidi" w:hAnsiTheme="minorBidi" w:cstheme="minorBidi"/>
          <w:sz w:val="20"/>
          <w:szCs w:val="20"/>
          <w:lang w:val="es-ES_tradnl"/>
        </w:rPr>
      </w:pPr>
      <w:r w:rsidRPr="00425C66">
        <w:rPr>
          <w:rFonts w:asciiTheme="minorBidi" w:hAnsiTheme="minorBidi" w:cstheme="minorBidi"/>
          <w:i/>
          <w:sz w:val="20"/>
          <w:szCs w:val="20"/>
          <w:lang w:val="es-ES_tradnl"/>
        </w:rPr>
        <w:t>Fuente</w:t>
      </w:r>
      <w:r w:rsidRPr="00425C66">
        <w:rPr>
          <w:rFonts w:asciiTheme="minorBidi" w:hAnsiTheme="minorBidi" w:cstheme="minorBidi"/>
          <w:sz w:val="20"/>
          <w:szCs w:val="20"/>
          <w:lang w:val="es-ES_tradnl"/>
        </w:rPr>
        <w:t>: COI de la UNESCO</w:t>
      </w:r>
    </w:p>
    <w:p w14:paraId="1C1271CF" w14:textId="77777777" w:rsidR="001B7DE0" w:rsidRPr="00425C66" w:rsidRDefault="001B7DE0" w:rsidP="00E86920">
      <w:pPr>
        <w:pBdr>
          <w:top w:val="nil"/>
          <w:left w:val="nil"/>
          <w:bottom w:val="nil"/>
          <w:right w:val="nil"/>
          <w:between w:val="nil"/>
        </w:pBdr>
        <w:rPr>
          <w:rFonts w:asciiTheme="minorBidi" w:hAnsiTheme="minorBidi" w:cstheme="minorBidi"/>
          <w:sz w:val="22"/>
          <w:szCs w:val="22"/>
          <w:lang w:val="es-ES_tradnl"/>
        </w:rPr>
      </w:pPr>
    </w:p>
    <w:p w14:paraId="61A8028A" w14:textId="04AC4BFD" w:rsidR="00E86920" w:rsidRPr="00425C66" w:rsidRDefault="00E86920" w:rsidP="00E86920">
      <w:pPr>
        <w:pStyle w:val="Style2"/>
        <w:numPr>
          <w:ilvl w:val="0"/>
          <w:numId w:val="23"/>
        </w:numPr>
        <w:tabs>
          <w:tab w:val="left" w:pos="0"/>
        </w:tabs>
        <w:snapToGrid w:val="0"/>
        <w:ind w:left="0" w:firstLine="0"/>
        <w:rPr>
          <w:rFonts w:asciiTheme="minorBidi" w:hAnsiTheme="minorBidi" w:cstheme="minorBidi"/>
          <w:color w:val="000000" w:themeColor="text1"/>
          <w:lang w:val="es-ES_tradnl"/>
        </w:rPr>
      </w:pPr>
      <w:r w:rsidRPr="00425C66">
        <w:rPr>
          <w:rFonts w:asciiTheme="minorBidi" w:hAnsiTheme="minorBidi" w:cstheme="minorBidi"/>
          <w:lang w:val="es-ES_tradnl"/>
        </w:rPr>
        <w:t>Al mismo tiempo se puso en marcha una plataforma interactiva en línea denominada Foro Mundial de Partes Interesadas (</w:t>
      </w:r>
      <w:hyperlink r:id="rId17" w:history="1">
        <w:r w:rsidRPr="00425C66">
          <w:rPr>
            <w:rStyle w:val="Hyperlink"/>
            <w:rFonts w:asciiTheme="minorBidi" w:hAnsiTheme="minorBidi" w:cstheme="minorBidi"/>
            <w:lang w:val="es-ES_tradnl"/>
          </w:rPr>
          <w:t>forum.oceandecade.org</w:t>
        </w:r>
      </w:hyperlink>
      <w:r w:rsidRPr="00425C66">
        <w:rPr>
          <w:rFonts w:asciiTheme="minorBidi" w:hAnsiTheme="minorBidi" w:cstheme="minorBidi"/>
          <w:lang w:val="es-ES_tradnl"/>
        </w:rPr>
        <w:t>), con la ayuda de un responsable de comunidad a tiempo completo. El Foro Mundial de Partes Interesadas permite a personas de todo el mundo, de múltiples contextos demográficos, participar activamente en el Decenio del Océano</w:t>
      </w:r>
      <w:r w:rsidR="00D77625" w:rsidRPr="00425C66">
        <w:rPr>
          <w:rFonts w:asciiTheme="minorBidi" w:hAnsiTheme="minorBidi" w:cstheme="minorBidi"/>
          <w:lang w:val="es-ES_tradnl"/>
        </w:rPr>
        <w:t>.</w:t>
      </w:r>
      <w:r w:rsidRPr="00425C66">
        <w:rPr>
          <w:rFonts w:asciiTheme="minorBidi" w:hAnsiTheme="minorBidi" w:cstheme="minorBidi"/>
          <w:lang w:val="es-ES_tradnl"/>
        </w:rPr>
        <w:t xml:space="preserve"> </w:t>
      </w:r>
      <w:r w:rsidR="00D77625" w:rsidRPr="00425C66">
        <w:rPr>
          <w:rFonts w:asciiTheme="minorBidi" w:hAnsiTheme="minorBidi" w:cstheme="minorBidi"/>
          <w:lang w:val="es-ES_tradnl"/>
        </w:rPr>
        <w:t>E</w:t>
      </w:r>
      <w:r w:rsidRPr="00425C66">
        <w:rPr>
          <w:rFonts w:asciiTheme="minorBidi" w:hAnsiTheme="minorBidi" w:cstheme="minorBidi"/>
          <w:lang w:val="es-ES_tradnl"/>
        </w:rPr>
        <w:t xml:space="preserve">n abril de 2022 </w:t>
      </w:r>
      <w:r w:rsidR="00307B77" w:rsidRPr="00425C66">
        <w:rPr>
          <w:rFonts w:asciiTheme="minorBidi" w:hAnsiTheme="minorBidi" w:cstheme="minorBidi"/>
          <w:lang w:val="es-ES_tradnl"/>
        </w:rPr>
        <w:t>tenía</w:t>
      </w:r>
      <w:r w:rsidRPr="00425C66">
        <w:rPr>
          <w:rFonts w:asciiTheme="minorBidi" w:hAnsiTheme="minorBidi" w:cstheme="minorBidi"/>
          <w:lang w:val="es-ES_tradnl"/>
        </w:rPr>
        <w:t xml:space="preserve"> 4 060 usuarios de 139 países. </w:t>
      </w:r>
      <w:r w:rsidR="00D77625" w:rsidRPr="00425C66">
        <w:rPr>
          <w:rFonts w:asciiTheme="minorBidi" w:hAnsiTheme="minorBidi" w:cstheme="minorBidi"/>
          <w:lang w:val="es-ES_tradnl"/>
        </w:rPr>
        <w:t>El Foro es el</w:t>
      </w:r>
      <w:r w:rsidRPr="00425C66">
        <w:rPr>
          <w:rFonts w:asciiTheme="minorBidi" w:hAnsiTheme="minorBidi" w:cstheme="minorBidi"/>
          <w:lang w:val="es-ES_tradnl"/>
        </w:rPr>
        <w:t xml:space="preserve"> portal para presentar propuestas a las </w:t>
      </w:r>
      <w:r w:rsidR="00D77625" w:rsidRPr="00425C66">
        <w:rPr>
          <w:rFonts w:asciiTheme="minorBidi" w:hAnsiTheme="minorBidi" w:cstheme="minorBidi"/>
          <w:lang w:val="es-ES_tradnl"/>
        </w:rPr>
        <w:t>c</w:t>
      </w:r>
      <w:r w:rsidRPr="00425C66">
        <w:rPr>
          <w:rFonts w:asciiTheme="minorBidi" w:hAnsiTheme="minorBidi" w:cstheme="minorBidi"/>
          <w:lang w:val="es-ES_tradnl"/>
        </w:rPr>
        <w:t xml:space="preserve">onvocatorias de </w:t>
      </w:r>
      <w:r w:rsidR="00D77625"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y solicitudes de apoyo para </w:t>
      </w:r>
      <w:r w:rsidR="00D77625" w:rsidRPr="00425C66">
        <w:rPr>
          <w:rFonts w:asciiTheme="minorBidi" w:hAnsiTheme="minorBidi" w:cstheme="minorBidi"/>
          <w:lang w:val="es-ES_tradnl"/>
        </w:rPr>
        <w:t>c</w:t>
      </w:r>
      <w:r w:rsidRPr="00425C66">
        <w:rPr>
          <w:rFonts w:asciiTheme="minorBidi" w:hAnsiTheme="minorBidi" w:cstheme="minorBidi"/>
          <w:lang w:val="es-ES_tradnl"/>
        </w:rPr>
        <w:t xml:space="preserve">ontribuciones y </w:t>
      </w:r>
      <w:r w:rsidR="00D77625" w:rsidRPr="00425C66">
        <w:rPr>
          <w:rFonts w:asciiTheme="minorBidi" w:hAnsiTheme="minorBidi" w:cstheme="minorBidi"/>
          <w:lang w:val="es-ES_tradnl"/>
        </w:rPr>
        <w:t>a</w:t>
      </w:r>
      <w:r w:rsidRPr="00425C66">
        <w:rPr>
          <w:rFonts w:asciiTheme="minorBidi" w:hAnsiTheme="minorBidi" w:cstheme="minorBidi"/>
          <w:lang w:val="es-ES_tradnl"/>
        </w:rPr>
        <w:t>ctividades d</w:t>
      </w:r>
      <w:r w:rsidR="00D77625" w:rsidRPr="00425C66">
        <w:rPr>
          <w:rFonts w:asciiTheme="minorBidi" w:hAnsiTheme="minorBidi" w:cstheme="minorBidi"/>
          <w:lang w:val="es-ES_tradnl"/>
        </w:rPr>
        <w:t>e este último</w:t>
      </w:r>
      <w:r w:rsidRPr="00425C66">
        <w:rPr>
          <w:rFonts w:asciiTheme="minorBidi" w:hAnsiTheme="minorBidi" w:cstheme="minorBidi"/>
          <w:lang w:val="es-ES_tradnl"/>
        </w:rPr>
        <w:t xml:space="preserve">. También proporciona un espacio digital para las </w:t>
      </w:r>
      <w:r w:rsidR="00D77625" w:rsidRPr="00425C66">
        <w:rPr>
          <w:rFonts w:asciiTheme="minorBidi" w:hAnsiTheme="minorBidi" w:cstheme="minorBidi"/>
          <w:lang w:val="es-ES_tradnl"/>
        </w:rPr>
        <w:t>c</w:t>
      </w:r>
      <w:r w:rsidRPr="00425C66">
        <w:rPr>
          <w:rFonts w:asciiTheme="minorBidi" w:hAnsiTheme="minorBidi" w:cstheme="minorBidi"/>
          <w:lang w:val="es-ES_tradnl"/>
        </w:rPr>
        <w:t xml:space="preserve">omunidades de </w:t>
      </w:r>
      <w:r w:rsidR="00D77625" w:rsidRPr="00425C66">
        <w:rPr>
          <w:rFonts w:asciiTheme="minorBidi" w:hAnsiTheme="minorBidi" w:cstheme="minorBidi"/>
          <w:lang w:val="es-ES_tradnl"/>
        </w:rPr>
        <w:t>p</w:t>
      </w:r>
      <w:r w:rsidRPr="00425C66">
        <w:rPr>
          <w:rFonts w:asciiTheme="minorBidi" w:hAnsiTheme="minorBidi" w:cstheme="minorBidi"/>
          <w:lang w:val="es-ES_tradnl"/>
        </w:rPr>
        <w:t xml:space="preserve">ráctica, los </w:t>
      </w:r>
      <w:r w:rsidR="00D77625" w:rsidRPr="00425C66">
        <w:rPr>
          <w:rFonts w:asciiTheme="minorBidi" w:hAnsiTheme="minorBidi" w:cstheme="minorBidi"/>
          <w:lang w:val="es-ES_tradnl"/>
        </w:rPr>
        <w:t>c</w:t>
      </w:r>
      <w:r w:rsidRPr="00425C66">
        <w:rPr>
          <w:rFonts w:asciiTheme="minorBidi" w:hAnsiTheme="minorBidi" w:cstheme="minorBidi"/>
          <w:lang w:val="es-ES_tradnl"/>
        </w:rPr>
        <w:t xml:space="preserve">omités </w:t>
      </w:r>
      <w:r w:rsidR="00D77625" w:rsidRPr="00425C66">
        <w:rPr>
          <w:rFonts w:asciiTheme="minorBidi" w:hAnsiTheme="minorBidi" w:cstheme="minorBidi"/>
          <w:lang w:val="es-ES_tradnl"/>
        </w:rPr>
        <w:t>n</w:t>
      </w:r>
      <w:r w:rsidRPr="00425C66">
        <w:rPr>
          <w:rFonts w:asciiTheme="minorBidi" w:hAnsiTheme="minorBidi" w:cstheme="minorBidi"/>
          <w:lang w:val="es-ES_tradnl"/>
        </w:rPr>
        <w:t xml:space="preserve">acionales del Decenio, los grupos de trabajo informales y otros grupos de interesados del Decenio. </w:t>
      </w:r>
    </w:p>
    <w:p w14:paraId="0576632B" w14:textId="16360228" w:rsidR="00E86920" w:rsidRPr="00425C66" w:rsidRDefault="00E86920" w:rsidP="00E86920">
      <w:pPr>
        <w:pStyle w:val="Style2"/>
        <w:numPr>
          <w:ilvl w:val="0"/>
          <w:numId w:val="23"/>
        </w:numPr>
        <w:tabs>
          <w:tab w:val="left" w:pos="0"/>
        </w:tabs>
        <w:snapToGrid w:val="0"/>
        <w:ind w:left="0" w:firstLine="0"/>
        <w:rPr>
          <w:rFonts w:asciiTheme="minorBidi" w:hAnsiTheme="minorBidi" w:cstheme="minorBidi"/>
          <w:color w:val="000000" w:themeColor="text1"/>
          <w:lang w:val="es-ES_tradnl"/>
        </w:rPr>
      </w:pPr>
      <w:r w:rsidRPr="00425C66">
        <w:rPr>
          <w:rFonts w:asciiTheme="minorBidi" w:hAnsiTheme="minorBidi" w:cstheme="minorBidi"/>
          <w:lang w:val="es-ES_tradnl"/>
        </w:rPr>
        <w:t xml:space="preserve">Durante los primeros 18 meses de ejecución, el Decenio </w:t>
      </w:r>
      <w:r w:rsidR="00956F76" w:rsidRPr="00425C66">
        <w:rPr>
          <w:rFonts w:asciiTheme="minorBidi" w:hAnsiTheme="minorBidi" w:cstheme="minorBidi"/>
          <w:lang w:val="es-ES_tradnl"/>
        </w:rPr>
        <w:t>atrajo a</w:t>
      </w:r>
      <w:r w:rsidRPr="00425C66">
        <w:rPr>
          <w:rFonts w:asciiTheme="minorBidi" w:hAnsiTheme="minorBidi" w:cstheme="minorBidi"/>
          <w:lang w:val="es-ES_tradnl"/>
        </w:rPr>
        <w:t xml:space="preserve"> más de 22 500 seguidores en las redes sociales, desde científicos, gobiernos y el sector privado hasta filántropos y ciudadanos, como se muestra en el cuadro 2. También se concertaron cinco alianzas con medios de comunicación, que </w:t>
      </w:r>
      <w:r w:rsidR="00956F76" w:rsidRPr="00425C66">
        <w:rPr>
          <w:rFonts w:asciiTheme="minorBidi" w:hAnsiTheme="minorBidi" w:cstheme="minorBidi"/>
          <w:lang w:val="es-ES_tradnl"/>
        </w:rPr>
        <w:t>dan</w:t>
      </w:r>
      <w:r w:rsidRPr="00425C66">
        <w:rPr>
          <w:rFonts w:asciiTheme="minorBidi" w:hAnsiTheme="minorBidi" w:cstheme="minorBidi"/>
          <w:lang w:val="es-ES_tradnl"/>
        </w:rPr>
        <w:t xml:space="preserve"> una cobertura mundial </w:t>
      </w:r>
      <w:r w:rsidR="00956F76" w:rsidRPr="00425C66">
        <w:rPr>
          <w:rFonts w:asciiTheme="minorBidi" w:hAnsiTheme="minorBidi" w:cstheme="minorBidi"/>
          <w:lang w:val="es-ES_tradnl"/>
        </w:rPr>
        <w:t>a</w:t>
      </w:r>
      <w:r w:rsidRPr="00425C66">
        <w:rPr>
          <w:rFonts w:asciiTheme="minorBidi" w:hAnsiTheme="minorBidi" w:cstheme="minorBidi"/>
          <w:lang w:val="es-ES_tradnl"/>
        </w:rPr>
        <w:t>l Decenio del Océano en la prensa escrita y en línea.</w:t>
      </w:r>
      <w:bookmarkStart w:id="2" w:name="_heading=h.x262lmypw2mc" w:colFirst="0" w:colLast="0"/>
      <w:bookmarkEnd w:id="2"/>
    </w:p>
    <w:p w14:paraId="29C725D7" w14:textId="3382983B" w:rsidR="00E86920" w:rsidRPr="00425C66" w:rsidRDefault="00E86920" w:rsidP="00425C66">
      <w:pPr>
        <w:pStyle w:val="Style2"/>
        <w:tabs>
          <w:tab w:val="clear" w:pos="1400"/>
          <w:tab w:val="left" w:pos="0"/>
        </w:tabs>
        <w:snapToGrid w:val="0"/>
        <w:spacing w:after="120"/>
        <w:ind w:left="0"/>
        <w:jc w:val="center"/>
        <w:rPr>
          <w:rFonts w:asciiTheme="minorBidi" w:hAnsiTheme="minorBidi" w:cstheme="minorBidi"/>
          <w:color w:val="000000" w:themeColor="text1"/>
          <w:lang w:val="es-ES_tradnl"/>
        </w:rPr>
      </w:pPr>
      <w:r w:rsidRPr="00425C66">
        <w:rPr>
          <w:rFonts w:asciiTheme="minorBidi" w:hAnsiTheme="minorBidi" w:cstheme="minorBidi"/>
          <w:b/>
          <w:bCs/>
          <w:lang w:val="es-ES_tradnl"/>
        </w:rPr>
        <w:t>Cuadro 2</w:t>
      </w:r>
      <w:r w:rsidR="00894959" w:rsidRPr="00425C66">
        <w:rPr>
          <w:rFonts w:asciiTheme="minorBidi" w:hAnsiTheme="minorBidi" w:cstheme="minorBidi"/>
          <w:b/>
          <w:bCs/>
          <w:lang w:val="es-ES_tradnl"/>
        </w:rPr>
        <w:t>.</w:t>
      </w:r>
      <w:r w:rsidRPr="00425C66">
        <w:rPr>
          <w:rFonts w:asciiTheme="minorBidi" w:hAnsiTheme="minorBidi" w:cstheme="minorBidi"/>
          <w:b/>
          <w:bCs/>
          <w:lang w:val="es-ES_tradnl"/>
        </w:rPr>
        <w:t xml:space="preserve"> Análisis de las redes sociales al 22 de abril de 2022</w:t>
      </w:r>
    </w:p>
    <w:tbl>
      <w:tblPr>
        <w:tblW w:w="8850" w:type="dxa"/>
        <w:jc w:val="center"/>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830"/>
        <w:gridCol w:w="1800"/>
        <w:gridCol w:w="1680"/>
        <w:gridCol w:w="1815"/>
        <w:gridCol w:w="1725"/>
      </w:tblGrid>
      <w:tr w:rsidR="00E86920" w:rsidRPr="00425C66" w14:paraId="0C9FAAC5" w14:textId="77777777" w:rsidTr="00434ACD">
        <w:trPr>
          <w:trHeight w:val="325"/>
          <w:jc w:val="center"/>
        </w:trPr>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8036BF1" w14:textId="77777777" w:rsidR="00E86920" w:rsidRPr="00425C66" w:rsidRDefault="00E86920" w:rsidP="003002B4">
            <w:pPr>
              <w:spacing w:line="268" w:lineRule="auto"/>
              <w:rPr>
                <w:rFonts w:asciiTheme="minorBidi" w:hAnsiTheme="minorBidi" w:cstheme="minorBidi"/>
                <w:sz w:val="20"/>
                <w:szCs w:val="20"/>
                <w:lang w:val="es-ES_tradnl"/>
              </w:rPr>
            </w:pPr>
          </w:p>
        </w:tc>
        <w:tc>
          <w:tcPr>
            <w:tcW w:w="180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650D74B" w14:textId="77777777" w:rsidR="00E86920" w:rsidRPr="00425C66" w:rsidRDefault="00E86920" w:rsidP="003002B4">
            <w:pPr>
              <w:spacing w:line="268" w:lineRule="auto"/>
              <w:jc w:val="center"/>
              <w:rPr>
                <w:rFonts w:asciiTheme="minorBidi" w:hAnsiTheme="minorBidi" w:cstheme="minorBidi"/>
                <w:b/>
                <w:sz w:val="20"/>
                <w:szCs w:val="20"/>
                <w:lang w:val="es-ES_tradnl"/>
              </w:rPr>
            </w:pPr>
            <w:r w:rsidRPr="00425C66">
              <w:rPr>
                <w:rFonts w:asciiTheme="minorBidi" w:hAnsiTheme="minorBidi" w:cstheme="minorBidi"/>
                <w:b/>
                <w:bCs/>
                <w:sz w:val="20"/>
                <w:szCs w:val="20"/>
                <w:lang w:val="es-ES_tradnl"/>
              </w:rPr>
              <w:t>Twitter</w:t>
            </w:r>
          </w:p>
        </w:tc>
        <w:tc>
          <w:tcPr>
            <w:tcW w:w="168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6600A73" w14:textId="77777777" w:rsidR="00E86920" w:rsidRPr="00425C66" w:rsidRDefault="00E86920" w:rsidP="003002B4">
            <w:pPr>
              <w:spacing w:line="268" w:lineRule="auto"/>
              <w:jc w:val="center"/>
              <w:rPr>
                <w:rFonts w:asciiTheme="minorBidi" w:hAnsiTheme="minorBidi" w:cstheme="minorBidi"/>
                <w:b/>
                <w:sz w:val="20"/>
                <w:szCs w:val="20"/>
                <w:lang w:val="es-ES_tradnl"/>
              </w:rPr>
            </w:pPr>
            <w:r w:rsidRPr="00425C66">
              <w:rPr>
                <w:rFonts w:asciiTheme="minorBidi" w:hAnsiTheme="minorBidi" w:cstheme="minorBidi"/>
                <w:b/>
                <w:bCs/>
                <w:sz w:val="20"/>
                <w:szCs w:val="20"/>
                <w:lang w:val="es-ES_tradnl"/>
              </w:rPr>
              <w:t>Facebook</w:t>
            </w:r>
          </w:p>
        </w:tc>
        <w:tc>
          <w:tcPr>
            <w:tcW w:w="1815"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D7DAC14" w14:textId="77777777" w:rsidR="00E86920" w:rsidRPr="00425C66" w:rsidRDefault="00E86920" w:rsidP="003002B4">
            <w:pPr>
              <w:spacing w:line="268" w:lineRule="auto"/>
              <w:jc w:val="center"/>
              <w:rPr>
                <w:rFonts w:asciiTheme="minorBidi" w:hAnsiTheme="minorBidi" w:cstheme="minorBidi"/>
                <w:b/>
                <w:sz w:val="20"/>
                <w:szCs w:val="20"/>
                <w:lang w:val="es-ES_tradnl"/>
              </w:rPr>
            </w:pPr>
            <w:r w:rsidRPr="00425C66">
              <w:rPr>
                <w:rFonts w:asciiTheme="minorBidi" w:hAnsiTheme="minorBidi" w:cstheme="minorBidi"/>
                <w:b/>
                <w:bCs/>
                <w:sz w:val="20"/>
                <w:szCs w:val="20"/>
                <w:lang w:val="es-ES_tradnl"/>
              </w:rPr>
              <w:t>LinkedIn</w:t>
            </w:r>
          </w:p>
        </w:tc>
        <w:tc>
          <w:tcPr>
            <w:tcW w:w="1725"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93F4DFC" w14:textId="77777777" w:rsidR="00E86920" w:rsidRPr="00425C66" w:rsidRDefault="00E86920" w:rsidP="003002B4">
            <w:pPr>
              <w:spacing w:line="268" w:lineRule="auto"/>
              <w:jc w:val="center"/>
              <w:rPr>
                <w:rFonts w:asciiTheme="minorBidi" w:hAnsiTheme="minorBidi" w:cstheme="minorBidi"/>
                <w:b/>
                <w:sz w:val="20"/>
                <w:szCs w:val="20"/>
                <w:lang w:val="es-ES_tradnl"/>
              </w:rPr>
            </w:pPr>
            <w:r w:rsidRPr="00425C66">
              <w:rPr>
                <w:rFonts w:asciiTheme="minorBidi" w:hAnsiTheme="minorBidi" w:cstheme="minorBidi"/>
                <w:b/>
                <w:bCs/>
                <w:sz w:val="20"/>
                <w:szCs w:val="20"/>
                <w:lang w:val="es-ES_tradnl"/>
              </w:rPr>
              <w:t>Instagram</w:t>
            </w:r>
          </w:p>
        </w:tc>
      </w:tr>
      <w:tr w:rsidR="00E86920" w:rsidRPr="00425C66" w14:paraId="6AAF6BA2" w14:textId="77777777" w:rsidTr="00434ACD">
        <w:trPr>
          <w:trHeight w:val="165"/>
          <w:jc w:val="center"/>
        </w:trPr>
        <w:tc>
          <w:tcPr>
            <w:tcW w:w="183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4670288" w14:textId="77777777" w:rsidR="00E86920" w:rsidRPr="00425C66" w:rsidRDefault="00E86920" w:rsidP="003002B4">
            <w:pPr>
              <w:spacing w:line="268" w:lineRule="auto"/>
              <w:rPr>
                <w:rFonts w:asciiTheme="minorBidi" w:hAnsiTheme="minorBidi" w:cstheme="minorBidi"/>
                <w:b/>
                <w:sz w:val="20"/>
                <w:szCs w:val="20"/>
                <w:lang w:val="es-ES_tradnl"/>
              </w:rPr>
            </w:pPr>
            <w:r w:rsidRPr="00425C66">
              <w:rPr>
                <w:rFonts w:asciiTheme="minorBidi" w:hAnsiTheme="minorBidi" w:cstheme="minorBidi"/>
                <w:b/>
                <w:bCs/>
                <w:sz w:val="20"/>
                <w:szCs w:val="20"/>
                <w:lang w:val="es-ES_tradnl"/>
              </w:rPr>
              <w:t>Seguidores</w:t>
            </w:r>
          </w:p>
        </w:tc>
        <w:tc>
          <w:tcPr>
            <w:tcW w:w="1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ED919BC" w14:textId="77777777" w:rsidR="00E86920" w:rsidRPr="00425C66" w:rsidRDefault="00E86920" w:rsidP="003002B4">
            <w:pPr>
              <w:spacing w:line="268" w:lineRule="auto"/>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8 842</w:t>
            </w:r>
          </w:p>
        </w:tc>
        <w:tc>
          <w:tcPr>
            <w:tcW w:w="168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BD2494" w14:textId="77777777" w:rsidR="00E86920" w:rsidRPr="00425C66" w:rsidRDefault="00E86920" w:rsidP="003002B4">
            <w:pPr>
              <w:spacing w:line="268" w:lineRule="auto"/>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2 565</w:t>
            </w:r>
          </w:p>
          <w:p w14:paraId="78310F17" w14:textId="77777777" w:rsidR="00E86920" w:rsidRPr="00425C66" w:rsidRDefault="00E86920" w:rsidP="003002B4">
            <w:pPr>
              <w:spacing w:line="268" w:lineRule="auto"/>
              <w:jc w:val="center"/>
              <w:rPr>
                <w:rFonts w:asciiTheme="minorBidi" w:hAnsiTheme="minorBidi" w:cstheme="minorBidi"/>
                <w:sz w:val="20"/>
                <w:szCs w:val="20"/>
                <w:lang w:val="es-ES_tradnl"/>
              </w:rPr>
            </w:pPr>
          </w:p>
        </w:tc>
        <w:tc>
          <w:tcPr>
            <w:tcW w:w="18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D1CD095" w14:textId="77777777" w:rsidR="00E86920" w:rsidRPr="00425C66" w:rsidRDefault="00E86920" w:rsidP="003002B4">
            <w:pPr>
              <w:spacing w:line="268" w:lineRule="auto"/>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7 633</w:t>
            </w:r>
          </w:p>
        </w:tc>
        <w:tc>
          <w:tcPr>
            <w:tcW w:w="172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57A94E9" w14:textId="77777777" w:rsidR="00E86920" w:rsidRPr="00425C66" w:rsidRDefault="00E86920" w:rsidP="003002B4">
            <w:pPr>
              <w:spacing w:line="268" w:lineRule="auto"/>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3 914</w:t>
            </w:r>
          </w:p>
        </w:tc>
      </w:tr>
      <w:tr w:rsidR="00E86920" w:rsidRPr="00425C66" w14:paraId="7CE1942E" w14:textId="77777777" w:rsidTr="00434ACD">
        <w:trPr>
          <w:jc w:val="center"/>
        </w:trPr>
        <w:tc>
          <w:tcPr>
            <w:tcW w:w="183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6C12082" w14:textId="77777777" w:rsidR="00E86920" w:rsidRPr="00425C66" w:rsidRDefault="00E86920" w:rsidP="003002B4">
            <w:pPr>
              <w:spacing w:line="268" w:lineRule="auto"/>
              <w:rPr>
                <w:rFonts w:asciiTheme="minorBidi" w:hAnsiTheme="minorBidi" w:cstheme="minorBidi"/>
                <w:b/>
                <w:bCs/>
                <w:sz w:val="20"/>
                <w:szCs w:val="20"/>
                <w:lang w:val="es-ES_tradnl"/>
              </w:rPr>
            </w:pPr>
            <w:r w:rsidRPr="00425C66">
              <w:rPr>
                <w:rFonts w:asciiTheme="minorBidi" w:hAnsiTheme="minorBidi" w:cstheme="minorBidi"/>
                <w:b/>
                <w:bCs/>
                <w:sz w:val="20"/>
                <w:szCs w:val="20"/>
                <w:lang w:val="es-ES_tradnl"/>
              </w:rPr>
              <w:t>Implicación</w:t>
            </w:r>
          </w:p>
          <w:p w14:paraId="1A090255" w14:textId="77777777" w:rsidR="00E86920" w:rsidRPr="00425C66" w:rsidRDefault="00E86920" w:rsidP="003002B4">
            <w:pPr>
              <w:spacing w:line="268" w:lineRule="auto"/>
              <w:rPr>
                <w:rFonts w:asciiTheme="minorBidi" w:hAnsiTheme="minorBidi" w:cstheme="minorBidi"/>
                <w:b/>
                <w:sz w:val="20"/>
                <w:szCs w:val="20"/>
                <w:lang w:val="es-ES_tradnl"/>
              </w:rPr>
            </w:pPr>
            <w:r w:rsidRPr="00425C66">
              <w:rPr>
                <w:rFonts w:asciiTheme="minorBidi" w:hAnsiTheme="minorBidi" w:cstheme="minorBidi"/>
                <w:b/>
                <w:bCs/>
                <w:sz w:val="20"/>
                <w:szCs w:val="20"/>
                <w:lang w:val="es-ES_tradnl"/>
              </w:rPr>
              <w:t>(interacción + clics)</w:t>
            </w:r>
          </w:p>
        </w:tc>
        <w:tc>
          <w:tcPr>
            <w:tcW w:w="1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6AB27F4" w14:textId="77777777" w:rsidR="00E86920" w:rsidRPr="00425C66" w:rsidRDefault="00E86920" w:rsidP="003002B4">
            <w:pPr>
              <w:spacing w:line="268" w:lineRule="auto"/>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44 110</w:t>
            </w:r>
          </w:p>
        </w:tc>
        <w:tc>
          <w:tcPr>
            <w:tcW w:w="168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F28BADE" w14:textId="77777777" w:rsidR="00E86920" w:rsidRPr="00425C66" w:rsidRDefault="00E86920" w:rsidP="003002B4">
            <w:pPr>
              <w:spacing w:line="268" w:lineRule="auto"/>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26 510</w:t>
            </w:r>
          </w:p>
        </w:tc>
        <w:tc>
          <w:tcPr>
            <w:tcW w:w="18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95C0D2" w14:textId="77777777" w:rsidR="00E86920" w:rsidRPr="00425C66" w:rsidRDefault="00E86920" w:rsidP="003002B4">
            <w:pPr>
              <w:spacing w:line="268" w:lineRule="auto"/>
              <w:jc w:val="center"/>
              <w:rPr>
                <w:rFonts w:asciiTheme="minorBidi" w:hAnsiTheme="minorBidi" w:cstheme="minorBidi"/>
                <w:sz w:val="20"/>
                <w:szCs w:val="20"/>
                <w:lang w:val="es-ES_tradnl"/>
              </w:rPr>
            </w:pPr>
            <w:r w:rsidRPr="00425C66">
              <w:rPr>
                <w:rFonts w:asciiTheme="minorBidi" w:hAnsiTheme="minorBidi" w:cstheme="minorBidi"/>
                <w:sz w:val="20"/>
                <w:szCs w:val="20"/>
                <w:lang w:val="es-ES_tradnl"/>
              </w:rPr>
              <w:t>68 022</w:t>
            </w:r>
          </w:p>
        </w:tc>
        <w:tc>
          <w:tcPr>
            <w:tcW w:w="172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41320E3" w14:textId="77777777" w:rsidR="00E86920" w:rsidRPr="00425C66" w:rsidRDefault="00E86920" w:rsidP="003002B4">
            <w:pPr>
              <w:spacing w:line="268" w:lineRule="auto"/>
              <w:jc w:val="center"/>
              <w:rPr>
                <w:rFonts w:asciiTheme="minorBidi" w:hAnsiTheme="minorBidi" w:cstheme="minorBidi"/>
                <w:sz w:val="20"/>
                <w:szCs w:val="20"/>
                <w:lang w:val="es-ES_tradnl"/>
              </w:rPr>
            </w:pPr>
            <w:bookmarkStart w:id="3" w:name="_heading=h.kyqjg4d0ewb3"/>
            <w:bookmarkEnd w:id="3"/>
            <w:r w:rsidRPr="00425C66">
              <w:rPr>
                <w:rFonts w:asciiTheme="minorBidi" w:hAnsiTheme="minorBidi" w:cstheme="minorBidi"/>
                <w:sz w:val="20"/>
                <w:szCs w:val="20"/>
                <w:lang w:val="es-ES_tradnl"/>
              </w:rPr>
              <w:t>No procede</w:t>
            </w:r>
          </w:p>
        </w:tc>
      </w:tr>
    </w:tbl>
    <w:p w14:paraId="74FEA23E" w14:textId="50677CC5" w:rsidR="00E86920" w:rsidRPr="00425C66" w:rsidRDefault="00E86920" w:rsidP="00425C66">
      <w:pPr>
        <w:pBdr>
          <w:top w:val="nil"/>
          <w:left w:val="nil"/>
          <w:bottom w:val="nil"/>
          <w:right w:val="nil"/>
          <w:between w:val="nil"/>
        </w:pBdr>
        <w:ind w:left="426"/>
        <w:rPr>
          <w:rFonts w:asciiTheme="minorBidi" w:hAnsiTheme="minorBidi" w:cstheme="minorBidi"/>
          <w:sz w:val="20"/>
          <w:szCs w:val="20"/>
          <w:lang w:val="es-ES_tradnl"/>
        </w:rPr>
      </w:pPr>
      <w:r w:rsidRPr="00425C66">
        <w:rPr>
          <w:rFonts w:asciiTheme="minorBidi" w:hAnsiTheme="minorBidi" w:cstheme="minorBidi"/>
          <w:i/>
          <w:sz w:val="20"/>
          <w:szCs w:val="20"/>
          <w:lang w:val="es-ES_tradnl"/>
        </w:rPr>
        <w:t>Fuente</w:t>
      </w:r>
      <w:r w:rsidRPr="00425C66">
        <w:rPr>
          <w:rFonts w:asciiTheme="minorBidi" w:hAnsiTheme="minorBidi" w:cstheme="minorBidi"/>
          <w:sz w:val="20"/>
          <w:szCs w:val="20"/>
          <w:lang w:val="es-ES_tradnl"/>
        </w:rPr>
        <w:t>: COI de la UNESCO</w:t>
      </w:r>
    </w:p>
    <w:p w14:paraId="2D2A74EC" w14:textId="77777777" w:rsidR="001B7DE0" w:rsidRPr="00425C66" w:rsidRDefault="001B7DE0" w:rsidP="00E86920">
      <w:pPr>
        <w:rPr>
          <w:rFonts w:asciiTheme="minorBidi" w:hAnsiTheme="minorBidi" w:cstheme="minorBidi"/>
          <w:sz w:val="22"/>
          <w:szCs w:val="22"/>
          <w:lang w:val="es-ES_tradnl"/>
        </w:rPr>
      </w:pPr>
    </w:p>
    <w:p w14:paraId="67A31656" w14:textId="6D500CEA" w:rsidR="00E86920" w:rsidRPr="00425C66" w:rsidRDefault="00E86920" w:rsidP="00E86920">
      <w:pPr>
        <w:pStyle w:val="Style2"/>
        <w:numPr>
          <w:ilvl w:val="0"/>
          <w:numId w:val="23"/>
        </w:numPr>
        <w:tabs>
          <w:tab w:val="left" w:pos="0"/>
        </w:tabs>
        <w:snapToGrid w:val="0"/>
        <w:ind w:left="0" w:firstLine="0"/>
        <w:rPr>
          <w:rFonts w:asciiTheme="minorBidi" w:hAnsiTheme="minorBidi" w:cstheme="minorBidi"/>
          <w:color w:val="000000" w:themeColor="text1"/>
          <w:lang w:val="es-ES_tradnl"/>
        </w:rPr>
      </w:pPr>
      <w:bookmarkStart w:id="4" w:name="_heading=h.4v18ems62ufm" w:colFirst="0" w:colLast="0"/>
      <w:bookmarkEnd w:id="4"/>
      <w:r w:rsidRPr="00425C66">
        <w:rPr>
          <w:rFonts w:asciiTheme="minorBidi" w:hAnsiTheme="minorBidi" w:cstheme="minorBidi"/>
          <w:lang w:val="es-ES_tradnl"/>
        </w:rPr>
        <w:t xml:space="preserve">GenOcean </w:t>
      </w:r>
      <w:r w:rsidR="00512496" w:rsidRPr="00425C66">
        <w:rPr>
          <w:rFonts w:asciiTheme="minorBidi" w:hAnsiTheme="minorBidi" w:cstheme="minorBidi"/>
          <w:lang w:val="es-ES_tradnl"/>
        </w:rPr>
        <w:t>—l</w:t>
      </w:r>
      <w:r w:rsidRPr="00425C66">
        <w:rPr>
          <w:rFonts w:asciiTheme="minorBidi" w:hAnsiTheme="minorBidi" w:cstheme="minorBidi"/>
          <w:lang w:val="es-ES_tradnl"/>
        </w:rPr>
        <w:t>a campaña de comunicación de cara al público del Decenio</w:t>
      </w:r>
      <w:r w:rsidR="00512496" w:rsidRPr="00425C66">
        <w:rPr>
          <w:rFonts w:asciiTheme="minorBidi" w:hAnsiTheme="minorBidi" w:cstheme="minorBidi"/>
          <w:lang w:val="es-ES_tradnl"/>
        </w:rPr>
        <w:t>—</w:t>
      </w:r>
      <w:r w:rsidRPr="00425C66">
        <w:rPr>
          <w:rFonts w:asciiTheme="minorBidi" w:hAnsiTheme="minorBidi" w:cstheme="minorBidi"/>
          <w:lang w:val="es-ES_tradnl"/>
        </w:rPr>
        <w:t xml:space="preserve"> se puso en marcha el 4 de abril de 2022. </w:t>
      </w:r>
      <w:r w:rsidR="0032407B" w:rsidRPr="00425C66">
        <w:rPr>
          <w:rFonts w:asciiTheme="minorBidi" w:hAnsiTheme="minorBidi" w:cstheme="minorBidi"/>
          <w:lang w:val="es-ES_tradnl"/>
        </w:rPr>
        <w:t>Esta r</w:t>
      </w:r>
      <w:r w:rsidRPr="00425C66">
        <w:rPr>
          <w:rFonts w:asciiTheme="minorBidi" w:hAnsiTheme="minorBidi" w:cstheme="minorBidi"/>
          <w:lang w:val="es-ES_tradnl"/>
        </w:rPr>
        <w:t xml:space="preserve">eposa en los tres pilares siguientes: </w:t>
      </w:r>
      <w:r w:rsidR="00512496" w:rsidRPr="00425C66">
        <w:rPr>
          <w:rFonts w:asciiTheme="minorBidi" w:hAnsiTheme="minorBidi" w:cstheme="minorBidi"/>
          <w:lang w:val="es-ES_tradnl"/>
        </w:rPr>
        <w:t>a</w:t>
      </w:r>
      <w:r w:rsidRPr="00425C66">
        <w:rPr>
          <w:rFonts w:asciiTheme="minorBidi" w:hAnsiTheme="minorBidi" w:cstheme="minorBidi"/>
          <w:lang w:val="es-ES_tradnl"/>
        </w:rPr>
        <w:t xml:space="preserve">cción, </w:t>
      </w:r>
      <w:r w:rsidR="00512496" w:rsidRPr="00425C66">
        <w:rPr>
          <w:rFonts w:asciiTheme="minorBidi" w:hAnsiTheme="minorBidi" w:cstheme="minorBidi"/>
          <w:lang w:val="es-ES_tradnl"/>
        </w:rPr>
        <w:t>p</w:t>
      </w:r>
      <w:r w:rsidRPr="00425C66">
        <w:rPr>
          <w:rFonts w:asciiTheme="minorBidi" w:hAnsiTheme="minorBidi" w:cstheme="minorBidi"/>
          <w:lang w:val="es-ES_tradnl"/>
        </w:rPr>
        <w:t>ersonas</w:t>
      </w:r>
      <w:r w:rsidR="00512496" w:rsidRPr="00425C66">
        <w:rPr>
          <w:rFonts w:asciiTheme="minorBidi" w:hAnsiTheme="minorBidi" w:cstheme="minorBidi"/>
          <w:lang w:val="es-ES_tradnl"/>
        </w:rPr>
        <w:t xml:space="preserve"> y c</w:t>
      </w:r>
      <w:r w:rsidRPr="00425C66">
        <w:rPr>
          <w:rFonts w:asciiTheme="minorBidi" w:hAnsiTheme="minorBidi" w:cstheme="minorBidi"/>
          <w:lang w:val="es-ES_tradnl"/>
        </w:rPr>
        <w:t xml:space="preserve">iencia. </w:t>
      </w:r>
      <w:r w:rsidR="0032407B" w:rsidRPr="00425C66">
        <w:rPr>
          <w:rFonts w:asciiTheme="minorBidi" w:hAnsiTheme="minorBidi" w:cstheme="minorBidi"/>
          <w:lang w:val="es-ES_tradnl"/>
        </w:rPr>
        <w:t>Basándose en</w:t>
      </w:r>
      <w:r w:rsidRPr="00425C66">
        <w:rPr>
          <w:rFonts w:asciiTheme="minorBidi" w:hAnsiTheme="minorBidi" w:cstheme="minorBidi"/>
          <w:lang w:val="es-ES_tradnl"/>
        </w:rPr>
        <w:t xml:space="preserve"> reportajes </w:t>
      </w:r>
      <w:r w:rsidR="0032407B" w:rsidRPr="00425C66">
        <w:rPr>
          <w:rFonts w:asciiTheme="minorBidi" w:hAnsiTheme="minorBidi" w:cstheme="minorBidi"/>
          <w:lang w:val="es-ES_tradnl"/>
        </w:rPr>
        <w:t>de</w:t>
      </w:r>
      <w:r w:rsidRPr="00425C66">
        <w:rPr>
          <w:rFonts w:asciiTheme="minorBidi" w:hAnsiTheme="minorBidi" w:cstheme="minorBidi"/>
          <w:lang w:val="es-ES_tradnl"/>
        </w:rPr>
        <w:t xml:space="preserve"> personas de diferentes orígenes y la forma en que actúan en favor de los océanos, GenOcean utilizará </w:t>
      </w:r>
      <w:r w:rsidR="0032407B" w:rsidRPr="00425C66">
        <w:rPr>
          <w:rFonts w:asciiTheme="minorBidi" w:hAnsiTheme="minorBidi" w:cstheme="minorBidi"/>
          <w:lang w:val="es-ES_tradnl"/>
        </w:rPr>
        <w:t xml:space="preserve">relatos </w:t>
      </w:r>
      <w:r w:rsidRPr="00425C66">
        <w:rPr>
          <w:rFonts w:asciiTheme="minorBidi" w:hAnsiTheme="minorBidi" w:cstheme="minorBidi"/>
          <w:lang w:val="es-ES_tradnl"/>
        </w:rPr>
        <w:t>para concienciar al público en general sobre los problemas del océano e inspirar un cambio de comportamiento basado en el conocimiento científico y la investigación. Desde su inicio en abril de 2022, la campaña ha conseguido casi 7 000 seguidores en diferentes plataformas de medios sociales.</w:t>
      </w:r>
    </w:p>
    <w:p w14:paraId="769CDE25" w14:textId="77777777" w:rsidR="00E86920" w:rsidRPr="00425C66" w:rsidRDefault="00E86920" w:rsidP="00E86920">
      <w:pPr>
        <w:pStyle w:val="Style2"/>
        <w:tabs>
          <w:tab w:val="clear" w:pos="1400"/>
          <w:tab w:val="left" w:pos="0"/>
        </w:tabs>
        <w:snapToGrid w:val="0"/>
        <w:ind w:left="0"/>
        <w:rPr>
          <w:rFonts w:asciiTheme="minorBidi" w:eastAsia="Arial" w:hAnsiTheme="minorBidi" w:cstheme="minorBidi"/>
          <w:b/>
          <w:bCs/>
          <w:color w:val="000000" w:themeColor="text1"/>
          <w:lang w:val="es-ES_tradnl"/>
        </w:rPr>
      </w:pPr>
      <w:r w:rsidRPr="00425C66">
        <w:rPr>
          <w:rFonts w:asciiTheme="minorBidi" w:hAnsiTheme="minorBidi" w:cstheme="minorBidi"/>
          <w:b/>
          <w:bCs/>
          <w:lang w:val="es-ES_tradnl"/>
        </w:rPr>
        <w:t>Visión futura, desafíos y perspectivas</w:t>
      </w:r>
    </w:p>
    <w:p w14:paraId="7B0329C6" w14:textId="20A871A7" w:rsidR="00E86920" w:rsidRPr="00425C66" w:rsidRDefault="00E86920" w:rsidP="00E86920">
      <w:pPr>
        <w:pStyle w:val="Style2"/>
        <w:numPr>
          <w:ilvl w:val="0"/>
          <w:numId w:val="23"/>
        </w:numPr>
        <w:tabs>
          <w:tab w:val="left" w:pos="0"/>
        </w:tabs>
        <w:snapToGrid w:val="0"/>
        <w:ind w:left="0" w:firstLine="0"/>
        <w:rPr>
          <w:rFonts w:asciiTheme="minorBidi" w:hAnsiTheme="minorBidi" w:cstheme="minorBidi"/>
          <w:color w:val="000000" w:themeColor="text1"/>
          <w:lang w:val="es-ES_tradnl"/>
        </w:rPr>
      </w:pPr>
      <w:r w:rsidRPr="00425C66">
        <w:rPr>
          <w:rFonts w:asciiTheme="minorBidi" w:hAnsiTheme="minorBidi" w:cstheme="minorBidi"/>
          <w:lang w:val="es-ES_tradnl"/>
        </w:rPr>
        <w:t>La Conferencia sobre los Océanos de las Naciones Unidas de 2022 (Lisboa, 27 de junio al 1</w:t>
      </w:r>
      <w:r w:rsidR="00425C66" w:rsidRPr="00425C66">
        <w:rPr>
          <w:rFonts w:asciiTheme="minorBidi" w:hAnsiTheme="minorBidi" w:cstheme="minorBidi"/>
          <w:lang w:val="es-ES_tradnl"/>
        </w:rPr>
        <w:t> </w:t>
      </w:r>
      <w:r w:rsidRPr="00425C66">
        <w:rPr>
          <w:rFonts w:asciiTheme="minorBidi" w:hAnsiTheme="minorBidi" w:cstheme="minorBidi"/>
          <w:lang w:val="es-ES_tradnl"/>
        </w:rPr>
        <w:t xml:space="preserve">de julio de 2022) será una plataforma importante para afianzar la participación de los asociados en el Decenio del Océano, mostrar las </w:t>
      </w:r>
      <w:r w:rsidR="001C5C38"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hacer nuevos anuncios y contraer compromisos adicionales. A lo largo de la semana están previstos varios actos, entre ellos una reunión de alto nivel de la Alianza para el Decenio del Océano que organizarán conjuntamente los </w:t>
      </w:r>
      <w:r w:rsidRPr="00425C66">
        <w:rPr>
          <w:rFonts w:asciiTheme="minorBidi" w:hAnsiTheme="minorBidi" w:cstheme="minorBidi"/>
          <w:lang w:val="es-ES_tradnl"/>
        </w:rPr>
        <w:lastRenderedPageBreak/>
        <w:t>Presidentes de Portugal y Kenya. La COP</w:t>
      </w:r>
      <w:r w:rsidR="001C5C38" w:rsidRPr="00425C66">
        <w:rPr>
          <w:rFonts w:asciiTheme="minorBidi" w:hAnsiTheme="minorBidi" w:cstheme="minorBidi"/>
          <w:lang w:val="es-ES_tradnl"/>
        </w:rPr>
        <w:t> </w:t>
      </w:r>
      <w:r w:rsidRPr="00425C66">
        <w:rPr>
          <w:rFonts w:asciiTheme="minorBidi" w:hAnsiTheme="minorBidi" w:cstheme="minorBidi"/>
          <w:lang w:val="es-ES_tradnl"/>
        </w:rPr>
        <w:t xml:space="preserve">27 de la CMNUCC (Sharm el Sheikh, noviembre de 2022) será otro evento clave en el que </w:t>
      </w:r>
      <w:r w:rsidR="001C5C38" w:rsidRPr="00425C66">
        <w:rPr>
          <w:rFonts w:asciiTheme="minorBidi" w:hAnsiTheme="minorBidi" w:cstheme="minorBidi"/>
          <w:lang w:val="es-ES_tradnl"/>
        </w:rPr>
        <w:t>estará presente</w:t>
      </w:r>
      <w:r w:rsidRPr="00425C66">
        <w:rPr>
          <w:rFonts w:asciiTheme="minorBidi" w:hAnsiTheme="minorBidi" w:cstheme="minorBidi"/>
          <w:lang w:val="es-ES_tradnl"/>
        </w:rPr>
        <w:t xml:space="preserve"> el Decenio del Océano para poner de relieve los desafíos y soluciones referentes al clima oceánico en África y crear un vínculo con los debates de la Conferencia Regional de Establecimiento de Prioridades para África (El Cairo, mayo de 2022) sobre las necesidades prioritarias </w:t>
      </w:r>
      <w:r w:rsidR="001C5C38" w:rsidRPr="00425C66">
        <w:rPr>
          <w:rFonts w:asciiTheme="minorBidi" w:hAnsiTheme="minorBidi" w:cstheme="minorBidi"/>
          <w:lang w:val="es-ES_tradnl"/>
        </w:rPr>
        <w:t>de</w:t>
      </w:r>
      <w:r w:rsidRPr="00425C66">
        <w:rPr>
          <w:rFonts w:asciiTheme="minorBidi" w:hAnsiTheme="minorBidi" w:cstheme="minorBidi"/>
          <w:lang w:val="es-ES_tradnl"/>
        </w:rPr>
        <w:t xml:space="preserve"> África en el contexto del Decenio del Océano. La planificación de la segunda Conferencia Internacional del Decenio del Océano, que está prevista para 2023 o 2024, comenzará en el próximo período. Actualmente se están solicitando expresiones de interés a los Estados Miembros para acoger este evento. </w:t>
      </w:r>
    </w:p>
    <w:p w14:paraId="43668658" w14:textId="16924702" w:rsidR="00E86920" w:rsidRPr="00425C66" w:rsidRDefault="00E86920" w:rsidP="00E86920">
      <w:pPr>
        <w:pStyle w:val="Style2"/>
        <w:numPr>
          <w:ilvl w:val="0"/>
          <w:numId w:val="23"/>
        </w:numPr>
        <w:tabs>
          <w:tab w:val="left" w:pos="0"/>
        </w:tabs>
        <w:snapToGrid w:val="0"/>
        <w:ind w:left="0" w:firstLine="0"/>
        <w:rPr>
          <w:rFonts w:asciiTheme="minorBidi" w:hAnsiTheme="minorBidi" w:cstheme="minorBidi"/>
          <w:color w:val="000000" w:themeColor="text1"/>
          <w:lang w:val="es-ES_tradnl"/>
        </w:rPr>
      </w:pPr>
      <w:r w:rsidRPr="00425C66">
        <w:rPr>
          <w:rFonts w:asciiTheme="minorBidi" w:hAnsiTheme="minorBidi" w:cstheme="minorBidi"/>
          <w:lang w:val="es-ES_tradnl"/>
        </w:rPr>
        <w:t xml:space="preserve">En los próximos meses, la Unidad de Coordinación del Decenio empezará a trabajar con los miembros de la lista de expertos del Decenio del Océano para establecer progresivamente ambiciones y objetivos estratégicos para cada uno de los </w:t>
      </w:r>
      <w:r w:rsidR="001C5C38" w:rsidRPr="00425C66">
        <w:rPr>
          <w:rFonts w:asciiTheme="minorBidi" w:hAnsiTheme="minorBidi" w:cstheme="minorBidi"/>
          <w:lang w:val="es-ES_tradnl"/>
        </w:rPr>
        <w:t>d</w:t>
      </w:r>
      <w:r w:rsidRPr="00425C66">
        <w:rPr>
          <w:rFonts w:asciiTheme="minorBidi" w:hAnsiTheme="minorBidi" w:cstheme="minorBidi"/>
          <w:lang w:val="es-ES_tradnl"/>
        </w:rPr>
        <w:t>esafíos del Decenio del Océano. Se está finalizando el marco de seguimiento y evaluación del Decenio tras los debates de la Junta Asesora del Decenio</w:t>
      </w:r>
      <w:r w:rsidR="001C5C38" w:rsidRPr="00425C66">
        <w:rPr>
          <w:rFonts w:asciiTheme="minorBidi" w:hAnsiTheme="minorBidi" w:cstheme="minorBidi"/>
          <w:lang w:val="es-ES_tradnl"/>
        </w:rPr>
        <w:t>,</w:t>
      </w:r>
      <w:r w:rsidRPr="00425C66">
        <w:rPr>
          <w:rFonts w:asciiTheme="minorBidi" w:hAnsiTheme="minorBidi" w:cstheme="minorBidi"/>
          <w:lang w:val="es-ES_tradnl"/>
        </w:rPr>
        <w:t xml:space="preserve"> </w:t>
      </w:r>
      <w:r w:rsidR="001C5C38" w:rsidRPr="00425C66">
        <w:rPr>
          <w:rFonts w:asciiTheme="minorBidi" w:hAnsiTheme="minorBidi" w:cstheme="minorBidi"/>
          <w:lang w:val="es-ES_tradnl"/>
        </w:rPr>
        <w:t xml:space="preserve">el cual </w:t>
      </w:r>
      <w:r w:rsidRPr="00425C66">
        <w:rPr>
          <w:rFonts w:asciiTheme="minorBidi" w:hAnsiTheme="minorBidi" w:cstheme="minorBidi"/>
          <w:lang w:val="es-ES_tradnl"/>
        </w:rPr>
        <w:t xml:space="preserve">se pondrá a prueba con las </w:t>
      </w:r>
      <w:r w:rsidR="001C5C38"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a partir de julio. </w:t>
      </w:r>
    </w:p>
    <w:p w14:paraId="6C76EB24" w14:textId="5B58BB79" w:rsidR="00D91E2D" w:rsidRPr="00425C66" w:rsidRDefault="00E86920" w:rsidP="001C5C38">
      <w:pPr>
        <w:pStyle w:val="Style2"/>
        <w:numPr>
          <w:ilvl w:val="0"/>
          <w:numId w:val="23"/>
        </w:numPr>
        <w:tabs>
          <w:tab w:val="left" w:pos="0"/>
        </w:tabs>
        <w:snapToGrid w:val="0"/>
        <w:ind w:left="0" w:firstLine="0"/>
        <w:rPr>
          <w:rFonts w:asciiTheme="minorBidi" w:hAnsiTheme="minorBidi" w:cstheme="minorBidi"/>
          <w:lang w:val="es-ES_tradnl"/>
        </w:rPr>
      </w:pPr>
      <w:r w:rsidRPr="00425C66">
        <w:rPr>
          <w:rFonts w:asciiTheme="minorBidi" w:hAnsiTheme="minorBidi" w:cstheme="minorBidi"/>
          <w:lang w:val="es-ES_tradnl"/>
        </w:rPr>
        <w:t xml:space="preserve">El próximo año también se seguirá prestando atención a la movilización de recursos, teniendo en cuenta los debates de la Junta Asesora del Decenio </w:t>
      </w:r>
      <w:r w:rsidR="00914357" w:rsidRPr="00425C66">
        <w:rPr>
          <w:rFonts w:asciiTheme="minorBidi" w:hAnsiTheme="minorBidi" w:cstheme="minorBidi"/>
          <w:lang w:val="es-ES_tradnl"/>
        </w:rPr>
        <w:t>acerca de</w:t>
      </w:r>
      <w:r w:rsidRPr="00425C66">
        <w:rPr>
          <w:rFonts w:asciiTheme="minorBidi" w:hAnsiTheme="minorBidi" w:cstheme="minorBidi"/>
          <w:lang w:val="es-ES_tradnl"/>
        </w:rPr>
        <w:t xml:space="preserve"> la necesidad de una interacción estratégica con </w:t>
      </w:r>
      <w:r w:rsidR="00914357" w:rsidRPr="00425C66">
        <w:rPr>
          <w:rFonts w:asciiTheme="minorBidi" w:hAnsiTheme="minorBidi" w:cstheme="minorBidi"/>
          <w:lang w:val="es-ES_tradnl"/>
        </w:rPr>
        <w:t xml:space="preserve">los </w:t>
      </w:r>
      <w:r w:rsidRPr="00425C66">
        <w:rPr>
          <w:rFonts w:asciiTheme="minorBidi" w:hAnsiTheme="minorBidi" w:cstheme="minorBidi"/>
          <w:lang w:val="es-ES_tradnl"/>
        </w:rPr>
        <w:t xml:space="preserve">bancos multilaterales de desarrollo y los Estados Miembros. Se seguirá trabajando en la </w:t>
      </w:r>
      <w:r w:rsidR="00914357" w:rsidRPr="00425C66">
        <w:rPr>
          <w:rFonts w:asciiTheme="minorBidi" w:hAnsiTheme="minorBidi" w:cstheme="minorBidi"/>
          <w:lang w:val="es-ES_tradnl"/>
        </w:rPr>
        <w:t>ampliación</w:t>
      </w:r>
      <w:r w:rsidRPr="00425C66">
        <w:rPr>
          <w:rFonts w:asciiTheme="minorBidi" w:hAnsiTheme="minorBidi" w:cstheme="minorBidi"/>
          <w:lang w:val="es-ES_tradnl"/>
        </w:rPr>
        <w:t xml:space="preserve"> de la Alianza para el Decenio del Océano, el Diálogo de Fundaciones y el grupo de trabajo del sector privado. La movilización de recursos se centrará en respaldar la participación de la COI en el Decenio, incluidas las </w:t>
      </w:r>
      <w:r w:rsidR="00914357" w:rsidRPr="00425C66">
        <w:rPr>
          <w:rFonts w:asciiTheme="minorBidi" w:hAnsiTheme="minorBidi" w:cstheme="minorBidi"/>
          <w:lang w:val="es-ES_tradnl"/>
        </w:rPr>
        <w:t>o</w:t>
      </w:r>
      <w:r w:rsidRPr="00425C66">
        <w:rPr>
          <w:rFonts w:asciiTheme="minorBidi" w:hAnsiTheme="minorBidi" w:cstheme="minorBidi"/>
          <w:lang w:val="es-ES_tradnl"/>
        </w:rPr>
        <w:t>ficina</w:t>
      </w:r>
      <w:r w:rsidR="00914357" w:rsidRPr="00425C66">
        <w:rPr>
          <w:rFonts w:asciiTheme="minorBidi" w:hAnsiTheme="minorBidi" w:cstheme="minorBidi"/>
          <w:lang w:val="es-ES_tradnl"/>
        </w:rPr>
        <w:t>s</w:t>
      </w:r>
      <w:r w:rsidRPr="00425C66">
        <w:rPr>
          <w:rFonts w:asciiTheme="minorBidi" w:hAnsiTheme="minorBidi" w:cstheme="minorBidi"/>
          <w:lang w:val="es-ES_tradnl"/>
        </w:rPr>
        <w:t xml:space="preserve"> de </w:t>
      </w:r>
      <w:r w:rsidR="00914357" w:rsidRPr="00425C66">
        <w:rPr>
          <w:rFonts w:asciiTheme="minorBidi" w:hAnsiTheme="minorBidi" w:cstheme="minorBidi"/>
          <w:lang w:val="es-ES_tradnl"/>
        </w:rPr>
        <w:t>c</w:t>
      </w:r>
      <w:r w:rsidRPr="00425C66">
        <w:rPr>
          <w:rFonts w:asciiTheme="minorBidi" w:hAnsiTheme="minorBidi" w:cstheme="minorBidi"/>
          <w:lang w:val="es-ES_tradnl"/>
        </w:rPr>
        <w:t xml:space="preserve">oordinación del Decenio y las </w:t>
      </w:r>
      <w:r w:rsidR="00914357" w:rsidRPr="00425C66">
        <w:rPr>
          <w:rFonts w:asciiTheme="minorBidi" w:hAnsiTheme="minorBidi" w:cstheme="minorBidi"/>
          <w:lang w:val="es-ES_tradnl"/>
        </w:rPr>
        <w:t>a</w:t>
      </w:r>
      <w:r w:rsidRPr="00425C66">
        <w:rPr>
          <w:rFonts w:asciiTheme="minorBidi" w:hAnsiTheme="minorBidi" w:cstheme="minorBidi"/>
          <w:lang w:val="es-ES_tradnl"/>
        </w:rPr>
        <w:t xml:space="preserve">cciones del Decenio dirigidas por la COI, y tendrá como objetivo facilitar un apoyo renovado para </w:t>
      </w:r>
      <w:r w:rsidR="00914357" w:rsidRPr="00425C66">
        <w:rPr>
          <w:rFonts w:asciiTheme="minorBidi" w:hAnsiTheme="minorBidi" w:cstheme="minorBidi"/>
          <w:lang w:val="es-ES_tradnl"/>
        </w:rPr>
        <w:t xml:space="preserve">atender </w:t>
      </w:r>
      <w:r w:rsidRPr="00425C66">
        <w:rPr>
          <w:rFonts w:asciiTheme="minorBidi" w:hAnsiTheme="minorBidi" w:cstheme="minorBidi"/>
          <w:lang w:val="es-ES_tradnl"/>
        </w:rPr>
        <w:t xml:space="preserve">las necesidades de coordinación y </w:t>
      </w:r>
      <w:r w:rsidR="00914357" w:rsidRPr="00425C66">
        <w:rPr>
          <w:rFonts w:asciiTheme="minorBidi" w:hAnsiTheme="minorBidi" w:cstheme="minorBidi"/>
          <w:lang w:val="es-ES_tradnl"/>
        </w:rPr>
        <w:t xml:space="preserve">para </w:t>
      </w:r>
      <w:r w:rsidRPr="00425C66">
        <w:rPr>
          <w:rFonts w:asciiTheme="minorBidi" w:hAnsiTheme="minorBidi" w:cstheme="minorBidi"/>
          <w:lang w:val="es-ES_tradnl"/>
        </w:rPr>
        <w:t xml:space="preserve">las </w:t>
      </w:r>
      <w:r w:rsidR="00914357" w:rsidRPr="00425C66">
        <w:rPr>
          <w:rFonts w:asciiTheme="minorBidi" w:hAnsiTheme="minorBidi" w:cstheme="minorBidi"/>
          <w:lang w:val="es-ES_tradnl"/>
        </w:rPr>
        <w:t>a</w:t>
      </w:r>
      <w:r w:rsidRPr="00425C66">
        <w:rPr>
          <w:rFonts w:asciiTheme="minorBidi" w:hAnsiTheme="minorBidi" w:cstheme="minorBidi"/>
          <w:lang w:val="es-ES_tradnl"/>
        </w:rPr>
        <w:t>cciones del Decenio en los PEID de África y el Pacífico.</w:t>
      </w:r>
    </w:p>
    <w:sectPr w:rsidR="00D91E2D" w:rsidRPr="00425C66" w:rsidSect="00E86920">
      <w:headerReference w:type="even" r:id="rId18"/>
      <w:headerReference w:type="default" r:id="rId19"/>
      <w:headerReference w:type="first" r:id="rId20"/>
      <w:pgSz w:w="11906" w:h="16838" w:code="9"/>
      <w:pgMar w:top="1418" w:right="1134" w:bottom="1134" w:left="1134"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8535" w14:textId="77777777" w:rsidR="005F5EA6" w:rsidRDefault="005F5EA6">
      <w:r>
        <w:separator/>
      </w:r>
    </w:p>
  </w:endnote>
  <w:endnote w:type="continuationSeparator" w:id="0">
    <w:p w14:paraId="10741BF9" w14:textId="77777777" w:rsidR="005F5EA6" w:rsidRDefault="005F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45BF" w14:textId="77777777" w:rsidR="005F5EA6" w:rsidRDefault="005F5EA6">
      <w:r>
        <w:separator/>
      </w:r>
    </w:p>
  </w:footnote>
  <w:footnote w:type="continuationSeparator" w:id="0">
    <w:p w14:paraId="0B198AD3" w14:textId="77777777" w:rsidR="005F5EA6" w:rsidRDefault="005F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0489" w14:textId="23F7A672" w:rsidR="00D91E2D" w:rsidRPr="003377CA" w:rsidRDefault="00D91E2D" w:rsidP="00FF54F5">
    <w:pPr>
      <w:pStyle w:val="Header"/>
      <w:rPr>
        <w:rFonts w:asciiTheme="minorBidi" w:hAnsiTheme="minorBidi" w:cstheme="minorBidi"/>
        <w:bCs/>
        <w:sz w:val="22"/>
        <w:szCs w:val="22"/>
      </w:rPr>
    </w:pPr>
    <w:r w:rsidRPr="003377CA">
      <w:rPr>
        <w:rFonts w:asciiTheme="minorBidi" w:hAnsiTheme="minorBidi" w:cstheme="minorBidi"/>
        <w:sz w:val="22"/>
        <w:szCs w:val="22"/>
        <w:lang w:val="es-ES"/>
      </w:rPr>
      <w:t>IOC/EC-55/4.1.Doc</w:t>
    </w:r>
    <w:sdt>
      <w:sdtPr>
        <w:rPr>
          <w:rFonts w:asciiTheme="minorBidi" w:hAnsiTheme="minorBidi" w:cstheme="minorBidi"/>
          <w:bCs/>
          <w:sz w:val="22"/>
          <w:szCs w:val="22"/>
        </w:rPr>
        <w:id w:val="-338006277"/>
        <w:docPartObj>
          <w:docPartGallery w:val="Page Numbers (Top of Page)"/>
          <w:docPartUnique/>
        </w:docPartObj>
      </w:sdtPr>
      <w:sdtEndPr/>
      <w:sdtContent>
        <w:r w:rsidRPr="003377CA">
          <w:rPr>
            <w:rFonts w:asciiTheme="minorBidi" w:hAnsiTheme="minorBidi" w:cstheme="minorBidi"/>
            <w:bCs/>
            <w:sz w:val="22"/>
            <w:szCs w:val="22"/>
          </w:rPr>
          <w:t>(</w:t>
        </w:r>
        <w:r w:rsidR="003377CA" w:rsidRPr="003377CA">
          <w:rPr>
            <w:rFonts w:asciiTheme="minorBidi" w:hAnsiTheme="minorBidi" w:cstheme="minorBidi"/>
            <w:bCs/>
            <w:sz w:val="22"/>
            <w:szCs w:val="22"/>
          </w:rPr>
          <w:t>1</w:t>
        </w:r>
        <w:r w:rsidRPr="003377CA">
          <w:rPr>
            <w:rFonts w:asciiTheme="minorBidi" w:hAnsiTheme="minorBidi" w:cstheme="minorBidi"/>
            <w:bCs/>
            <w:sz w:val="22"/>
            <w:szCs w:val="22"/>
          </w:rPr>
          <w:t>)</w:t>
        </w:r>
        <w:r w:rsidR="003377CA" w:rsidRPr="003377CA">
          <w:rPr>
            <w:rFonts w:asciiTheme="minorBidi" w:hAnsiTheme="minorBidi" w:cstheme="minorBidi"/>
            <w:bCs/>
            <w:sz w:val="22"/>
            <w:szCs w:val="22"/>
          </w:rPr>
          <w:t xml:space="preserve"> – pág. </w:t>
        </w:r>
      </w:sdtContent>
    </w:sdt>
    <w:r w:rsidR="003377CA" w:rsidRPr="003377CA">
      <w:rPr>
        <w:rFonts w:asciiTheme="minorBidi" w:hAnsiTheme="minorBidi" w:cstheme="minorBidi"/>
        <w:sz w:val="22"/>
        <w:szCs w:val="22"/>
      </w:rPr>
      <w:fldChar w:fldCharType="begin"/>
    </w:r>
    <w:r w:rsidR="003377CA" w:rsidRPr="003377CA">
      <w:rPr>
        <w:rFonts w:asciiTheme="minorBidi" w:hAnsiTheme="minorBidi" w:cstheme="minorBidi"/>
        <w:sz w:val="22"/>
        <w:szCs w:val="22"/>
      </w:rPr>
      <w:instrText xml:space="preserve"> PAGE   \* MERGEFORMAT </w:instrText>
    </w:r>
    <w:r w:rsidR="003377CA" w:rsidRPr="003377CA">
      <w:rPr>
        <w:rFonts w:asciiTheme="minorBidi" w:hAnsiTheme="minorBidi" w:cstheme="minorBidi"/>
        <w:sz w:val="22"/>
        <w:szCs w:val="22"/>
      </w:rPr>
      <w:fldChar w:fldCharType="separate"/>
    </w:r>
    <w:r w:rsidR="003377CA" w:rsidRPr="003377CA">
      <w:rPr>
        <w:rFonts w:asciiTheme="minorBidi" w:hAnsiTheme="minorBidi"/>
        <w:sz w:val="22"/>
        <w:szCs w:val="22"/>
      </w:rPr>
      <w:t>2</w:t>
    </w:r>
    <w:r w:rsidR="003377CA" w:rsidRPr="003377CA">
      <w:rPr>
        <w:rFonts w:asciiTheme="minorBidi" w:hAnsiTheme="minorBidi" w:cstheme="minorBidi"/>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DAA3" w14:textId="77777777" w:rsidR="003377CA" w:rsidRPr="003377CA" w:rsidRDefault="003377CA" w:rsidP="003377CA">
    <w:pPr>
      <w:pStyle w:val="Header"/>
      <w:jc w:val="right"/>
      <w:rPr>
        <w:rFonts w:asciiTheme="minorBidi" w:hAnsiTheme="minorBidi" w:cstheme="minorBidi"/>
        <w:bCs/>
        <w:sz w:val="22"/>
        <w:szCs w:val="22"/>
      </w:rPr>
    </w:pPr>
    <w:r w:rsidRPr="003377CA">
      <w:rPr>
        <w:rFonts w:asciiTheme="minorBidi" w:hAnsiTheme="minorBidi" w:cstheme="minorBidi"/>
        <w:sz w:val="22"/>
        <w:szCs w:val="22"/>
        <w:lang w:val="es-ES"/>
      </w:rPr>
      <w:t>IOC/EC-55/4.1.Doc</w:t>
    </w:r>
    <w:sdt>
      <w:sdtPr>
        <w:rPr>
          <w:rFonts w:asciiTheme="minorBidi" w:hAnsiTheme="minorBidi" w:cstheme="minorBidi"/>
          <w:bCs/>
          <w:sz w:val="22"/>
          <w:szCs w:val="22"/>
        </w:rPr>
        <w:id w:val="-20629021"/>
        <w:docPartObj>
          <w:docPartGallery w:val="Page Numbers (Top of Page)"/>
          <w:docPartUnique/>
        </w:docPartObj>
      </w:sdtPr>
      <w:sdtEndPr/>
      <w:sdtContent>
        <w:r w:rsidRPr="003377CA">
          <w:rPr>
            <w:rFonts w:asciiTheme="minorBidi" w:hAnsiTheme="minorBidi" w:cstheme="minorBidi"/>
            <w:bCs/>
            <w:sz w:val="22"/>
            <w:szCs w:val="22"/>
          </w:rPr>
          <w:t xml:space="preserve">(1) – pág. </w:t>
        </w:r>
      </w:sdtContent>
    </w:sdt>
    <w:r w:rsidRPr="003377CA">
      <w:rPr>
        <w:rFonts w:asciiTheme="minorBidi" w:hAnsiTheme="minorBidi" w:cstheme="minorBidi"/>
        <w:sz w:val="22"/>
        <w:szCs w:val="22"/>
      </w:rPr>
      <w:fldChar w:fldCharType="begin"/>
    </w:r>
    <w:r w:rsidRPr="003377CA">
      <w:rPr>
        <w:rFonts w:asciiTheme="minorBidi" w:hAnsiTheme="minorBidi" w:cstheme="minorBidi"/>
        <w:sz w:val="22"/>
        <w:szCs w:val="22"/>
      </w:rPr>
      <w:instrText xml:space="preserve"> PAGE   \* MERGEFORMAT </w:instrText>
    </w:r>
    <w:r w:rsidRPr="003377CA">
      <w:rPr>
        <w:rFonts w:asciiTheme="minorBidi" w:hAnsiTheme="minorBidi" w:cstheme="minorBidi"/>
        <w:sz w:val="22"/>
        <w:szCs w:val="22"/>
      </w:rPr>
      <w:fldChar w:fldCharType="separate"/>
    </w:r>
    <w:r>
      <w:rPr>
        <w:rFonts w:asciiTheme="minorBidi" w:hAnsiTheme="minorBidi" w:cstheme="minorBidi"/>
        <w:sz w:val="22"/>
        <w:szCs w:val="22"/>
      </w:rPr>
      <w:t>2</w:t>
    </w:r>
    <w:r w:rsidRPr="003377CA">
      <w:rPr>
        <w:rFonts w:asciiTheme="minorBidi" w:hAnsiTheme="minorBidi" w:cstheme="minorBidi"/>
        <w:noProof/>
        <w:sz w:val="22"/>
        <w:szCs w:val="22"/>
      </w:rPr>
      <w:fldChar w:fldCharType="end"/>
    </w:r>
  </w:p>
  <w:p w14:paraId="048AC59F" w14:textId="77777777" w:rsidR="001E653E" w:rsidRPr="001E653E" w:rsidRDefault="001E653E" w:rsidP="00FF54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007E" w14:textId="5D059A5F" w:rsidR="00E86920" w:rsidRPr="00210333" w:rsidRDefault="00E86920" w:rsidP="00E86920">
    <w:pPr>
      <w:pStyle w:val="Marge"/>
      <w:tabs>
        <w:tab w:val="left" w:pos="5954"/>
      </w:tabs>
      <w:spacing w:after="0"/>
      <w:rPr>
        <w:rFonts w:ascii="Arial" w:hAnsi="Arial" w:cs="Arial"/>
        <w:b/>
        <w:sz w:val="36"/>
        <w:szCs w:val="36"/>
        <w:lang w:val="es-ES"/>
      </w:rPr>
    </w:pPr>
    <w:r w:rsidRPr="003377CA">
      <w:rPr>
        <w:rFonts w:ascii="Arial" w:hAnsi="Arial" w:cs="Arial"/>
        <w:sz w:val="22"/>
        <w:szCs w:val="22"/>
        <w:lang w:val="es-ES"/>
      </w:rPr>
      <w:t>Distribución limitada</w:t>
    </w:r>
    <w:r w:rsidRPr="00210333">
      <w:rPr>
        <w:rFonts w:ascii="Arial" w:hAnsi="Arial" w:cs="Arial"/>
        <w:lang w:val="es-ES"/>
      </w:rPr>
      <w:tab/>
    </w:r>
    <w:r w:rsidRPr="003377CA">
      <w:rPr>
        <w:rFonts w:ascii="Arial" w:hAnsi="Arial" w:cs="Arial"/>
        <w:b/>
        <w:bCs/>
        <w:sz w:val="36"/>
        <w:szCs w:val="36"/>
        <w:lang w:val="es-ES"/>
      </w:rPr>
      <w:t>IOC/EC-55/4.1.Doc(1)</w:t>
    </w:r>
  </w:p>
  <w:p w14:paraId="49DAAB47" w14:textId="109832F7" w:rsidR="00E86920" w:rsidRPr="003377CA" w:rsidRDefault="00E86920" w:rsidP="00E86920">
    <w:pPr>
      <w:pStyle w:val="Marge"/>
      <w:tabs>
        <w:tab w:val="left" w:pos="5954"/>
      </w:tabs>
      <w:spacing w:after="0"/>
      <w:rPr>
        <w:rFonts w:ascii="Arial" w:hAnsi="Arial" w:cs="Arial"/>
        <w:sz w:val="22"/>
        <w:szCs w:val="22"/>
        <w:lang w:val="es-ES"/>
      </w:rPr>
    </w:pPr>
    <w:r w:rsidRPr="00210333">
      <w:rPr>
        <w:rFonts w:ascii="Arial" w:hAnsi="Arial" w:cs="Arial"/>
        <w:b/>
        <w:noProof/>
        <w:snapToGrid/>
        <w:szCs w:val="22"/>
        <w:lang w:val="fr-FR" w:eastAsia="fr-FR"/>
      </w:rPr>
      <w:drawing>
        <wp:anchor distT="0" distB="0" distL="114300" distR="114300" simplePos="0" relativeHeight="251659264" behindDoc="0" locked="0" layoutInCell="1" allowOverlap="1" wp14:anchorId="55770B56" wp14:editId="52FAC8F8">
          <wp:simplePos x="0" y="0"/>
          <wp:positionH relativeFrom="column">
            <wp:posOffset>-88265</wp:posOffset>
          </wp:positionH>
          <wp:positionV relativeFrom="paragraph">
            <wp:posOffset>93345</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210333">
      <w:rPr>
        <w:rFonts w:ascii="Arial" w:hAnsi="Arial" w:cs="Arial"/>
        <w:lang w:val="es-ES"/>
      </w:rPr>
      <w:tab/>
    </w:r>
    <w:r w:rsidRPr="003377CA">
      <w:rPr>
        <w:rFonts w:ascii="Arial" w:hAnsi="Arial" w:cs="Arial"/>
        <w:sz w:val="22"/>
        <w:szCs w:val="22"/>
        <w:lang w:val="es-ES"/>
      </w:rPr>
      <w:t xml:space="preserve">París, 10 de mayo de 2022 </w:t>
    </w:r>
  </w:p>
  <w:p w14:paraId="64E9A3E6" w14:textId="77777777" w:rsidR="00E86920" w:rsidRPr="00210333" w:rsidRDefault="00E86920" w:rsidP="00E86920">
    <w:pPr>
      <w:pStyle w:val="Marge"/>
      <w:tabs>
        <w:tab w:val="left" w:pos="5954"/>
      </w:tabs>
      <w:rPr>
        <w:rFonts w:ascii="Arial" w:hAnsi="Arial" w:cs="Arial"/>
        <w:sz w:val="22"/>
        <w:szCs w:val="22"/>
        <w:lang w:val="es-ES"/>
      </w:rPr>
    </w:pPr>
    <w:r w:rsidRPr="003377CA">
      <w:rPr>
        <w:rFonts w:ascii="Arial" w:hAnsi="Arial" w:cs="Arial"/>
        <w:sz w:val="22"/>
        <w:szCs w:val="22"/>
        <w:lang w:val="es-ES"/>
      </w:rPr>
      <w:tab/>
      <w:t>Original: inglés</w:t>
    </w:r>
  </w:p>
  <w:p w14:paraId="724197FA" w14:textId="77777777" w:rsidR="00E86920" w:rsidRPr="00210333"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Cs w:val="22"/>
        <w:lang w:val="es-ES"/>
      </w:rPr>
    </w:pPr>
  </w:p>
  <w:p w14:paraId="59704176" w14:textId="77777777" w:rsidR="00E86920" w:rsidRPr="00210333"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Cs w:val="22"/>
        <w:lang w:val="es-ES"/>
      </w:rPr>
    </w:pPr>
  </w:p>
  <w:p w14:paraId="428C3E95" w14:textId="77777777" w:rsidR="00E86920" w:rsidRPr="00210333"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lang w:val="es-ES"/>
      </w:rPr>
    </w:pPr>
  </w:p>
  <w:p w14:paraId="1949B77E" w14:textId="77777777" w:rsidR="00E86920" w:rsidRPr="00210333"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lang w:val="es-ES"/>
      </w:rPr>
    </w:pPr>
  </w:p>
  <w:p w14:paraId="3C111CB0" w14:textId="77777777" w:rsidR="00E86920" w:rsidRPr="00210333"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lang w:val="es-ES"/>
      </w:rPr>
    </w:pPr>
  </w:p>
  <w:p w14:paraId="77866373" w14:textId="77777777" w:rsidR="00E86920" w:rsidRPr="003377CA" w:rsidRDefault="00E86920" w:rsidP="003377CA">
    <w:pPr>
      <w:tabs>
        <w:tab w:val="clear" w:pos="567"/>
        <w:tab w:val="left" w:pos="-1440"/>
        <w:tab w:val="left" w:pos="-720"/>
      </w:tabs>
      <w:jc w:val="center"/>
      <w:rPr>
        <w:rFonts w:ascii="Arial" w:hAnsi="Arial" w:cs="Arial"/>
        <w:b/>
        <w:sz w:val="22"/>
        <w:szCs w:val="22"/>
        <w:lang w:val="es-ES"/>
      </w:rPr>
    </w:pPr>
    <w:r w:rsidRPr="003377CA">
      <w:rPr>
        <w:rFonts w:ascii="Arial" w:hAnsi="Arial" w:cs="Arial"/>
        <w:b/>
        <w:bCs/>
        <w:sz w:val="22"/>
        <w:szCs w:val="22"/>
        <w:lang w:val="es-ES"/>
      </w:rPr>
      <w:t>COMISIÓN OCEANOGRÁFICA INTERGUBERNAMENTAL</w:t>
    </w:r>
  </w:p>
  <w:p w14:paraId="79A238F9" w14:textId="77777777" w:rsidR="00E86920" w:rsidRPr="003377CA" w:rsidRDefault="00E86920" w:rsidP="003377CA">
    <w:pPr>
      <w:tabs>
        <w:tab w:val="clear" w:pos="567"/>
        <w:tab w:val="left" w:pos="-1440"/>
        <w:tab w:val="left" w:pos="-720"/>
      </w:tabs>
      <w:jc w:val="center"/>
      <w:rPr>
        <w:rFonts w:ascii="Arial" w:hAnsi="Arial" w:cs="Arial"/>
        <w:bCs/>
        <w:sz w:val="22"/>
        <w:szCs w:val="22"/>
        <w:lang w:val="es-ES"/>
      </w:rPr>
    </w:pPr>
    <w:r w:rsidRPr="003377CA">
      <w:rPr>
        <w:rFonts w:ascii="Arial" w:hAnsi="Arial" w:cs="Arial"/>
        <w:sz w:val="22"/>
        <w:szCs w:val="22"/>
        <w:lang w:val="es-ES"/>
      </w:rPr>
      <w:t>(de la UNESCO)</w:t>
    </w:r>
  </w:p>
  <w:p w14:paraId="5F708E95" w14:textId="77777777" w:rsidR="00E86920" w:rsidRPr="003377CA" w:rsidRDefault="00E86920" w:rsidP="003377CA">
    <w:pPr>
      <w:tabs>
        <w:tab w:val="clear" w:pos="567"/>
        <w:tab w:val="left" w:pos="-1440"/>
        <w:tab w:val="left" w:pos="-720"/>
      </w:tabs>
      <w:jc w:val="center"/>
      <w:rPr>
        <w:rFonts w:ascii="Arial" w:hAnsi="Arial" w:cs="Arial"/>
        <w:b/>
        <w:sz w:val="22"/>
        <w:szCs w:val="22"/>
        <w:lang w:val="es-ES"/>
      </w:rPr>
    </w:pPr>
  </w:p>
  <w:p w14:paraId="7C1ADA25" w14:textId="77777777" w:rsidR="00E86920" w:rsidRPr="003377CA" w:rsidRDefault="00E86920" w:rsidP="003377CA">
    <w:pPr>
      <w:tabs>
        <w:tab w:val="clear" w:pos="567"/>
        <w:tab w:val="left" w:pos="-1440"/>
        <w:tab w:val="left" w:pos="-720"/>
        <w:tab w:val="center" w:pos="4677"/>
      </w:tabs>
      <w:jc w:val="center"/>
      <w:rPr>
        <w:rFonts w:ascii="Arial" w:hAnsi="Arial" w:cs="Arial"/>
        <w:b/>
        <w:sz w:val="22"/>
        <w:szCs w:val="22"/>
        <w:lang w:val="es-ES"/>
      </w:rPr>
    </w:pPr>
    <w:r w:rsidRPr="003377CA">
      <w:rPr>
        <w:rFonts w:ascii="Arial" w:hAnsi="Arial" w:cs="Arial"/>
        <w:b/>
        <w:bCs/>
        <w:sz w:val="22"/>
        <w:szCs w:val="22"/>
        <w:lang w:val="es-ES"/>
      </w:rPr>
      <w:t>55ª reunión del Consejo Ejecutivo</w:t>
    </w:r>
  </w:p>
  <w:p w14:paraId="2D2FAC7D" w14:textId="77777777" w:rsidR="00E86920" w:rsidRPr="003377CA" w:rsidRDefault="00E86920" w:rsidP="003377CA">
    <w:pPr>
      <w:tabs>
        <w:tab w:val="clear" w:pos="567"/>
        <w:tab w:val="left" w:pos="-1440"/>
        <w:tab w:val="left" w:pos="-720"/>
      </w:tabs>
      <w:jc w:val="center"/>
      <w:rPr>
        <w:rFonts w:ascii="Arial" w:hAnsi="Arial" w:cs="Arial"/>
        <w:b/>
        <w:sz w:val="22"/>
        <w:szCs w:val="22"/>
        <w:lang w:val="es-ES"/>
      </w:rPr>
    </w:pPr>
    <w:r w:rsidRPr="003377CA">
      <w:rPr>
        <w:rFonts w:ascii="Arial" w:hAnsi="Arial" w:cs="Arial"/>
        <w:sz w:val="22"/>
        <w:szCs w:val="22"/>
        <w:lang w:val="es-ES"/>
      </w:rPr>
      <w:t>UNESCO, París, 14-17 de junio de 2022</w:t>
    </w:r>
  </w:p>
  <w:p w14:paraId="18F8F262" w14:textId="77777777" w:rsidR="00E86920" w:rsidRPr="003377CA" w:rsidRDefault="00E86920" w:rsidP="003377CA">
    <w:pPr>
      <w:tabs>
        <w:tab w:val="clear" w:pos="567"/>
        <w:tab w:val="left" w:pos="-1440"/>
        <w:tab w:val="left" w:pos="-720"/>
      </w:tabs>
      <w:jc w:val="center"/>
      <w:rPr>
        <w:rFonts w:ascii="Arial" w:hAnsi="Arial" w:cs="Arial"/>
        <w:bCs/>
        <w:sz w:val="22"/>
        <w:szCs w:val="22"/>
        <w:lang w:val="es-ES"/>
      </w:rPr>
    </w:pPr>
  </w:p>
  <w:p w14:paraId="21774B35" w14:textId="77777777" w:rsidR="00E86920" w:rsidRPr="003377CA" w:rsidRDefault="00E86920" w:rsidP="003377CA">
    <w:pPr>
      <w:tabs>
        <w:tab w:val="clear" w:pos="567"/>
      </w:tabs>
      <w:jc w:val="center"/>
      <w:rPr>
        <w:rFonts w:ascii="Arial" w:hAnsi="Arial" w:cs="Arial"/>
        <w:sz w:val="22"/>
        <w:szCs w:val="22"/>
        <w:lang w:val="es-ES"/>
      </w:rPr>
    </w:pPr>
  </w:p>
  <w:p w14:paraId="788CED2B" w14:textId="77777777" w:rsidR="00E86920" w:rsidRPr="003377CA" w:rsidRDefault="00E86920" w:rsidP="00365D92">
    <w:pPr>
      <w:keepNext/>
      <w:widowControl w:val="0"/>
      <w:tabs>
        <w:tab w:val="clear" w:pos="567"/>
        <w:tab w:val="right" w:pos="9540"/>
      </w:tabs>
      <w:adjustRightInd w:val="0"/>
      <w:jc w:val="both"/>
      <w:textAlignment w:val="baseline"/>
      <w:outlineLvl w:val="6"/>
      <w:rPr>
        <w:rFonts w:ascii="Arial" w:eastAsia="Times New Roman" w:hAnsi="Arial" w:cs="Arial"/>
        <w:sz w:val="22"/>
        <w:szCs w:val="22"/>
        <w:lang w:val="es-ES"/>
      </w:rPr>
    </w:pPr>
    <w:r w:rsidRPr="003377CA">
      <w:rPr>
        <w:rFonts w:ascii="Arial" w:hAnsi="Arial" w:cs="Arial"/>
        <w:sz w:val="22"/>
        <w:szCs w:val="22"/>
        <w:u w:val="single"/>
        <w:lang w:val="es-ES"/>
      </w:rPr>
      <w:t xml:space="preserve">Punto </w:t>
    </w:r>
    <w:r w:rsidRPr="003377CA">
      <w:rPr>
        <w:rFonts w:ascii="Arial" w:hAnsi="Arial" w:cs="Arial"/>
        <w:b/>
        <w:bCs/>
        <w:sz w:val="22"/>
        <w:szCs w:val="22"/>
        <w:u w:val="single"/>
        <w:lang w:val="es-ES"/>
      </w:rPr>
      <w:t>4.1</w:t>
    </w:r>
    <w:r w:rsidRPr="003377CA">
      <w:rPr>
        <w:rFonts w:ascii="Arial" w:hAnsi="Arial" w:cs="Arial"/>
        <w:sz w:val="22"/>
        <w:szCs w:val="22"/>
        <w:u w:val="single"/>
        <w:lang w:val="es-ES"/>
      </w:rPr>
      <w:t xml:space="preserve"> del orden del día provisional</w:t>
    </w:r>
  </w:p>
  <w:p w14:paraId="51737E4F" w14:textId="77777777" w:rsidR="00E86920" w:rsidRPr="003377CA" w:rsidRDefault="00E86920" w:rsidP="003377CA">
    <w:pPr>
      <w:tabs>
        <w:tab w:val="clear" w:pos="567"/>
        <w:tab w:val="left" w:pos="-1440"/>
        <w:tab w:val="left" w:pos="-720"/>
      </w:tabs>
      <w:jc w:val="center"/>
      <w:rPr>
        <w:rFonts w:ascii="Arial" w:hAnsi="Arial" w:cs="Arial"/>
        <w:b/>
        <w:bCs/>
        <w:caps/>
        <w:sz w:val="22"/>
        <w:szCs w:val="22"/>
        <w:lang w:val="es-ES"/>
      </w:rPr>
    </w:pPr>
  </w:p>
  <w:p w14:paraId="56C187EC" w14:textId="0DD76D53" w:rsidR="00E86920" w:rsidRPr="003377CA" w:rsidRDefault="00E86920" w:rsidP="003377CA">
    <w:pPr>
      <w:tabs>
        <w:tab w:val="clear" w:pos="567"/>
        <w:tab w:val="left" w:pos="-1440"/>
        <w:tab w:val="left" w:pos="-720"/>
      </w:tabs>
      <w:jc w:val="center"/>
      <w:rPr>
        <w:rFonts w:ascii="Arial" w:hAnsi="Arial" w:cs="Arial"/>
        <w:b/>
        <w:bCs/>
        <w:caps/>
        <w:sz w:val="22"/>
        <w:szCs w:val="22"/>
        <w:lang w:val="es-ES"/>
      </w:rPr>
    </w:pPr>
    <w:r w:rsidRPr="003377CA">
      <w:rPr>
        <w:rFonts w:ascii="Arial" w:hAnsi="Arial" w:cs="Arial"/>
        <w:b/>
        <w:bCs/>
        <w:caps/>
        <w:sz w:val="22"/>
        <w:szCs w:val="22"/>
        <w:lang w:val="es-ES"/>
      </w:rPr>
      <w:t>Situación de la ejecución del Decenio de las Naciones Unidas de las Ciencias Oceánicas para el Desarrollo Sostenible (2021-2030)</w:t>
    </w:r>
  </w:p>
  <w:p w14:paraId="59883FCD" w14:textId="77777777" w:rsidR="00E86920" w:rsidRPr="00210333"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s-ES"/>
      </w:rPr>
    </w:pPr>
  </w:p>
  <w:p w14:paraId="5B0477DC" w14:textId="77777777" w:rsidR="00E86920" w:rsidRPr="00210333"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Cs/>
        <w:szCs w:val="22"/>
        <w:lang w:val="es-ES"/>
      </w:rPr>
    </w:pPr>
  </w:p>
  <w:p w14:paraId="32EB95F8" w14:textId="77777777" w:rsidR="00D91E2D" w:rsidRPr="00210333" w:rsidRDefault="00D91E2D" w:rsidP="00E86920">
    <w:pPr>
      <w:pStyle w:val="Header"/>
      <w:rPr>
        <w:rFonts w:ascii="Arial" w:hAnsi="Arial" w:cs="Arial"/>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7"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12"/>
  </w:num>
  <w:num w:numId="12">
    <w:abstractNumId w:val="6"/>
  </w:num>
  <w:num w:numId="13">
    <w:abstractNumId w:val="4"/>
  </w:num>
  <w:num w:numId="14">
    <w:abstractNumId w:val="7"/>
  </w:num>
  <w:num w:numId="15">
    <w:abstractNumId w:val="3"/>
  </w:num>
  <w:num w:numId="16">
    <w:abstractNumId w:val="8"/>
  </w:num>
  <w:num w:numId="17">
    <w:abstractNumId w:val="5"/>
  </w:num>
  <w:num w:numId="18">
    <w:abstractNumId w:val="2"/>
  </w:num>
  <w:num w:numId="19">
    <w:abstractNumId w:val="9"/>
  </w:num>
  <w:num w:numId="20">
    <w:abstractNumId w:val="11"/>
  </w:num>
  <w:num w:numId="21">
    <w:abstractNumId w:val="1"/>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5A88"/>
    <w:rsid w:val="00026782"/>
    <w:rsid w:val="00027122"/>
    <w:rsid w:val="000319A1"/>
    <w:rsid w:val="00032C8E"/>
    <w:rsid w:val="00033544"/>
    <w:rsid w:val="00034C53"/>
    <w:rsid w:val="00034C70"/>
    <w:rsid w:val="000431C5"/>
    <w:rsid w:val="000445B8"/>
    <w:rsid w:val="0004582F"/>
    <w:rsid w:val="00054037"/>
    <w:rsid w:val="000547E0"/>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2162"/>
    <w:rsid w:val="0008285A"/>
    <w:rsid w:val="00083369"/>
    <w:rsid w:val="00084EC3"/>
    <w:rsid w:val="00085FE9"/>
    <w:rsid w:val="00086071"/>
    <w:rsid w:val="0009246D"/>
    <w:rsid w:val="0009256F"/>
    <w:rsid w:val="00097CDF"/>
    <w:rsid w:val="000A6D08"/>
    <w:rsid w:val="000B1B44"/>
    <w:rsid w:val="000B40F3"/>
    <w:rsid w:val="000C3BB5"/>
    <w:rsid w:val="000D5782"/>
    <w:rsid w:val="000D6EB3"/>
    <w:rsid w:val="000D719C"/>
    <w:rsid w:val="000E0533"/>
    <w:rsid w:val="000E188E"/>
    <w:rsid w:val="000E55FB"/>
    <w:rsid w:val="000E7E22"/>
    <w:rsid w:val="000F4768"/>
    <w:rsid w:val="000F4DDB"/>
    <w:rsid w:val="000F7203"/>
    <w:rsid w:val="000F78B3"/>
    <w:rsid w:val="000F79E5"/>
    <w:rsid w:val="001002FF"/>
    <w:rsid w:val="001026BE"/>
    <w:rsid w:val="00103E6C"/>
    <w:rsid w:val="00104894"/>
    <w:rsid w:val="00104EE2"/>
    <w:rsid w:val="001056F8"/>
    <w:rsid w:val="00105E15"/>
    <w:rsid w:val="00105EA4"/>
    <w:rsid w:val="00110568"/>
    <w:rsid w:val="00110D3A"/>
    <w:rsid w:val="00113F97"/>
    <w:rsid w:val="001220A2"/>
    <w:rsid w:val="0012374E"/>
    <w:rsid w:val="00123F7E"/>
    <w:rsid w:val="00131529"/>
    <w:rsid w:val="0013238B"/>
    <w:rsid w:val="00134711"/>
    <w:rsid w:val="00134935"/>
    <w:rsid w:val="0013649D"/>
    <w:rsid w:val="00143B1A"/>
    <w:rsid w:val="0014529C"/>
    <w:rsid w:val="0015046B"/>
    <w:rsid w:val="001524A3"/>
    <w:rsid w:val="0015561D"/>
    <w:rsid w:val="001579AB"/>
    <w:rsid w:val="00160284"/>
    <w:rsid w:val="0016592F"/>
    <w:rsid w:val="001659AA"/>
    <w:rsid w:val="00165CBD"/>
    <w:rsid w:val="0017022A"/>
    <w:rsid w:val="001766F9"/>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5075"/>
    <w:rsid w:val="001B64AC"/>
    <w:rsid w:val="001B7DE0"/>
    <w:rsid w:val="001C18CF"/>
    <w:rsid w:val="001C20FE"/>
    <w:rsid w:val="001C4F30"/>
    <w:rsid w:val="001C5C38"/>
    <w:rsid w:val="001C6221"/>
    <w:rsid w:val="001C6842"/>
    <w:rsid w:val="001C6D83"/>
    <w:rsid w:val="001D11E8"/>
    <w:rsid w:val="001D2FAD"/>
    <w:rsid w:val="001D69B3"/>
    <w:rsid w:val="001E23C1"/>
    <w:rsid w:val="001E441E"/>
    <w:rsid w:val="001E5FF2"/>
    <w:rsid w:val="001E653E"/>
    <w:rsid w:val="001F65B3"/>
    <w:rsid w:val="001F65D5"/>
    <w:rsid w:val="001F6CF5"/>
    <w:rsid w:val="001F7EF6"/>
    <w:rsid w:val="00200519"/>
    <w:rsid w:val="0020169B"/>
    <w:rsid w:val="00203E48"/>
    <w:rsid w:val="0020573A"/>
    <w:rsid w:val="00207581"/>
    <w:rsid w:val="00210333"/>
    <w:rsid w:val="00215B28"/>
    <w:rsid w:val="00216228"/>
    <w:rsid w:val="00222DF9"/>
    <w:rsid w:val="00225B52"/>
    <w:rsid w:val="00230818"/>
    <w:rsid w:val="00231994"/>
    <w:rsid w:val="00232596"/>
    <w:rsid w:val="00232FAE"/>
    <w:rsid w:val="0023308D"/>
    <w:rsid w:val="00237FCC"/>
    <w:rsid w:val="0024167D"/>
    <w:rsid w:val="00243536"/>
    <w:rsid w:val="00255764"/>
    <w:rsid w:val="002571D5"/>
    <w:rsid w:val="00257562"/>
    <w:rsid w:val="00257884"/>
    <w:rsid w:val="0026233A"/>
    <w:rsid w:val="00265C91"/>
    <w:rsid w:val="00265E4E"/>
    <w:rsid w:val="0027043E"/>
    <w:rsid w:val="00272866"/>
    <w:rsid w:val="00273C68"/>
    <w:rsid w:val="00274D0A"/>
    <w:rsid w:val="0028078A"/>
    <w:rsid w:val="00282456"/>
    <w:rsid w:val="00282FBC"/>
    <w:rsid w:val="00283B06"/>
    <w:rsid w:val="00286B3B"/>
    <w:rsid w:val="002A05D9"/>
    <w:rsid w:val="002A33EB"/>
    <w:rsid w:val="002A3541"/>
    <w:rsid w:val="002A3623"/>
    <w:rsid w:val="002A364B"/>
    <w:rsid w:val="002A3D8C"/>
    <w:rsid w:val="002B0438"/>
    <w:rsid w:val="002B0B65"/>
    <w:rsid w:val="002B2FB7"/>
    <w:rsid w:val="002B58F5"/>
    <w:rsid w:val="002C6A49"/>
    <w:rsid w:val="002D1F18"/>
    <w:rsid w:val="002D2062"/>
    <w:rsid w:val="002D41F6"/>
    <w:rsid w:val="002D4B35"/>
    <w:rsid w:val="002E0A07"/>
    <w:rsid w:val="002E3B10"/>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6797"/>
    <w:rsid w:val="00307B77"/>
    <w:rsid w:val="003118C0"/>
    <w:rsid w:val="00313AB1"/>
    <w:rsid w:val="00315268"/>
    <w:rsid w:val="00317D57"/>
    <w:rsid w:val="00317D84"/>
    <w:rsid w:val="00320986"/>
    <w:rsid w:val="00321055"/>
    <w:rsid w:val="00322E7B"/>
    <w:rsid w:val="00323A23"/>
    <w:rsid w:val="00323C8D"/>
    <w:rsid w:val="0032407B"/>
    <w:rsid w:val="00324CEA"/>
    <w:rsid w:val="00327059"/>
    <w:rsid w:val="00332421"/>
    <w:rsid w:val="00332534"/>
    <w:rsid w:val="00332785"/>
    <w:rsid w:val="0033582A"/>
    <w:rsid w:val="0033741E"/>
    <w:rsid w:val="003377CA"/>
    <w:rsid w:val="00341FD0"/>
    <w:rsid w:val="0034392B"/>
    <w:rsid w:val="00344E00"/>
    <w:rsid w:val="00352423"/>
    <w:rsid w:val="00354A10"/>
    <w:rsid w:val="00355A56"/>
    <w:rsid w:val="003563D2"/>
    <w:rsid w:val="00365D92"/>
    <w:rsid w:val="00366C04"/>
    <w:rsid w:val="003774D6"/>
    <w:rsid w:val="00382463"/>
    <w:rsid w:val="00393704"/>
    <w:rsid w:val="0039512E"/>
    <w:rsid w:val="00395A11"/>
    <w:rsid w:val="003B2CC9"/>
    <w:rsid w:val="003B3349"/>
    <w:rsid w:val="003B390E"/>
    <w:rsid w:val="003B64CB"/>
    <w:rsid w:val="003B6DA1"/>
    <w:rsid w:val="003B6ECA"/>
    <w:rsid w:val="003B6FC5"/>
    <w:rsid w:val="003C15F6"/>
    <w:rsid w:val="003C240D"/>
    <w:rsid w:val="003C309A"/>
    <w:rsid w:val="003C4A99"/>
    <w:rsid w:val="003D31F1"/>
    <w:rsid w:val="003D4548"/>
    <w:rsid w:val="003E26AB"/>
    <w:rsid w:val="003E331B"/>
    <w:rsid w:val="003E5A89"/>
    <w:rsid w:val="003E7B79"/>
    <w:rsid w:val="003F5299"/>
    <w:rsid w:val="003F74E5"/>
    <w:rsid w:val="004032DB"/>
    <w:rsid w:val="00403EB2"/>
    <w:rsid w:val="004047AA"/>
    <w:rsid w:val="00404945"/>
    <w:rsid w:val="00405201"/>
    <w:rsid w:val="00407111"/>
    <w:rsid w:val="004119A8"/>
    <w:rsid w:val="00417106"/>
    <w:rsid w:val="00421F64"/>
    <w:rsid w:val="00425C66"/>
    <w:rsid w:val="00425E51"/>
    <w:rsid w:val="0042612F"/>
    <w:rsid w:val="00431123"/>
    <w:rsid w:val="00434ACD"/>
    <w:rsid w:val="00437DB1"/>
    <w:rsid w:val="00441F29"/>
    <w:rsid w:val="00441FE3"/>
    <w:rsid w:val="00444A63"/>
    <w:rsid w:val="00450AA6"/>
    <w:rsid w:val="00452512"/>
    <w:rsid w:val="00452CFD"/>
    <w:rsid w:val="00453CE0"/>
    <w:rsid w:val="00463AB2"/>
    <w:rsid w:val="0047364D"/>
    <w:rsid w:val="004750C1"/>
    <w:rsid w:val="0047656A"/>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1DCC"/>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4AC5"/>
    <w:rsid w:val="004F5686"/>
    <w:rsid w:val="005066B5"/>
    <w:rsid w:val="00512496"/>
    <w:rsid w:val="00514AC0"/>
    <w:rsid w:val="00515020"/>
    <w:rsid w:val="00523B29"/>
    <w:rsid w:val="00523DF2"/>
    <w:rsid w:val="00524D94"/>
    <w:rsid w:val="00530113"/>
    <w:rsid w:val="00534733"/>
    <w:rsid w:val="0053720B"/>
    <w:rsid w:val="00541D52"/>
    <w:rsid w:val="005462A1"/>
    <w:rsid w:val="00554688"/>
    <w:rsid w:val="00555D7F"/>
    <w:rsid w:val="00556410"/>
    <w:rsid w:val="005616DE"/>
    <w:rsid w:val="00561F97"/>
    <w:rsid w:val="00562F4C"/>
    <w:rsid w:val="0056655B"/>
    <w:rsid w:val="00567328"/>
    <w:rsid w:val="00570881"/>
    <w:rsid w:val="00572116"/>
    <w:rsid w:val="00574F2F"/>
    <w:rsid w:val="00575B63"/>
    <w:rsid w:val="00576EF7"/>
    <w:rsid w:val="005829FE"/>
    <w:rsid w:val="0058628A"/>
    <w:rsid w:val="00587822"/>
    <w:rsid w:val="005878F6"/>
    <w:rsid w:val="00593EC9"/>
    <w:rsid w:val="00594295"/>
    <w:rsid w:val="00596959"/>
    <w:rsid w:val="00597D9A"/>
    <w:rsid w:val="005A1B75"/>
    <w:rsid w:val="005A210B"/>
    <w:rsid w:val="005A7E87"/>
    <w:rsid w:val="005B0510"/>
    <w:rsid w:val="005B0804"/>
    <w:rsid w:val="005B09E3"/>
    <w:rsid w:val="005B0F21"/>
    <w:rsid w:val="005B2606"/>
    <w:rsid w:val="005B6674"/>
    <w:rsid w:val="005B670F"/>
    <w:rsid w:val="005C565B"/>
    <w:rsid w:val="005C5B67"/>
    <w:rsid w:val="005C6245"/>
    <w:rsid w:val="005C76B4"/>
    <w:rsid w:val="005D05AB"/>
    <w:rsid w:val="005D0CC4"/>
    <w:rsid w:val="005D36CA"/>
    <w:rsid w:val="005D5313"/>
    <w:rsid w:val="005E2BCD"/>
    <w:rsid w:val="005E325F"/>
    <w:rsid w:val="005E4C90"/>
    <w:rsid w:val="005E661A"/>
    <w:rsid w:val="005F39DB"/>
    <w:rsid w:val="005F55BE"/>
    <w:rsid w:val="005F5EA6"/>
    <w:rsid w:val="00600999"/>
    <w:rsid w:val="00602C02"/>
    <w:rsid w:val="0060360F"/>
    <w:rsid w:val="006122F2"/>
    <w:rsid w:val="00612A3E"/>
    <w:rsid w:val="00612C7A"/>
    <w:rsid w:val="00613F3F"/>
    <w:rsid w:val="006140DB"/>
    <w:rsid w:val="006158DB"/>
    <w:rsid w:val="00625EE0"/>
    <w:rsid w:val="00625FE6"/>
    <w:rsid w:val="00631D35"/>
    <w:rsid w:val="006327B2"/>
    <w:rsid w:val="006331C8"/>
    <w:rsid w:val="00637621"/>
    <w:rsid w:val="006417A7"/>
    <w:rsid w:val="00641D3D"/>
    <w:rsid w:val="00645699"/>
    <w:rsid w:val="00646F26"/>
    <w:rsid w:val="006502B2"/>
    <w:rsid w:val="00650A87"/>
    <w:rsid w:val="00654AA1"/>
    <w:rsid w:val="00657AC1"/>
    <w:rsid w:val="00657EB5"/>
    <w:rsid w:val="006625C0"/>
    <w:rsid w:val="006644A7"/>
    <w:rsid w:val="00666085"/>
    <w:rsid w:val="0067098E"/>
    <w:rsid w:val="00671A70"/>
    <w:rsid w:val="00672A6F"/>
    <w:rsid w:val="0067544A"/>
    <w:rsid w:val="00681D60"/>
    <w:rsid w:val="00682998"/>
    <w:rsid w:val="00687A2A"/>
    <w:rsid w:val="00694BEE"/>
    <w:rsid w:val="006A158A"/>
    <w:rsid w:val="006A1ED7"/>
    <w:rsid w:val="006A2412"/>
    <w:rsid w:val="006A2C9D"/>
    <w:rsid w:val="006A3196"/>
    <w:rsid w:val="006B2C23"/>
    <w:rsid w:val="006B7AA9"/>
    <w:rsid w:val="006C2500"/>
    <w:rsid w:val="006C48C7"/>
    <w:rsid w:val="006C6875"/>
    <w:rsid w:val="006C6EB1"/>
    <w:rsid w:val="006C7AE8"/>
    <w:rsid w:val="006D312D"/>
    <w:rsid w:val="006E0BCF"/>
    <w:rsid w:val="006E33FC"/>
    <w:rsid w:val="006E3403"/>
    <w:rsid w:val="006E3CA0"/>
    <w:rsid w:val="006E5A90"/>
    <w:rsid w:val="006F53F4"/>
    <w:rsid w:val="006F6B09"/>
    <w:rsid w:val="0070039C"/>
    <w:rsid w:val="00702EB4"/>
    <w:rsid w:val="007033D9"/>
    <w:rsid w:val="00704AD8"/>
    <w:rsid w:val="00705DFD"/>
    <w:rsid w:val="007069A8"/>
    <w:rsid w:val="007077C5"/>
    <w:rsid w:val="00713AE4"/>
    <w:rsid w:val="007156EF"/>
    <w:rsid w:val="007169AF"/>
    <w:rsid w:val="007206CD"/>
    <w:rsid w:val="00727C74"/>
    <w:rsid w:val="00727EEF"/>
    <w:rsid w:val="00731536"/>
    <w:rsid w:val="00732AF2"/>
    <w:rsid w:val="007331F8"/>
    <w:rsid w:val="00735534"/>
    <w:rsid w:val="00735E52"/>
    <w:rsid w:val="007443CA"/>
    <w:rsid w:val="00744650"/>
    <w:rsid w:val="007464AB"/>
    <w:rsid w:val="00747591"/>
    <w:rsid w:val="00750F05"/>
    <w:rsid w:val="00755DEA"/>
    <w:rsid w:val="00756E80"/>
    <w:rsid w:val="007577B2"/>
    <w:rsid w:val="007628BE"/>
    <w:rsid w:val="00762B2E"/>
    <w:rsid w:val="00766688"/>
    <w:rsid w:val="00770243"/>
    <w:rsid w:val="00770EC7"/>
    <w:rsid w:val="00771A2C"/>
    <w:rsid w:val="00774083"/>
    <w:rsid w:val="007746A7"/>
    <w:rsid w:val="00774FDF"/>
    <w:rsid w:val="007756DF"/>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4C1D"/>
    <w:rsid w:val="007C58F2"/>
    <w:rsid w:val="007C60C1"/>
    <w:rsid w:val="007C6427"/>
    <w:rsid w:val="007D02E1"/>
    <w:rsid w:val="007D14B6"/>
    <w:rsid w:val="007D1E23"/>
    <w:rsid w:val="007D3990"/>
    <w:rsid w:val="007D4781"/>
    <w:rsid w:val="007D5C6F"/>
    <w:rsid w:val="007E331D"/>
    <w:rsid w:val="007E3BE2"/>
    <w:rsid w:val="007E6267"/>
    <w:rsid w:val="007E6585"/>
    <w:rsid w:val="007F0B67"/>
    <w:rsid w:val="007F0FB9"/>
    <w:rsid w:val="007F1A39"/>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426CA"/>
    <w:rsid w:val="00843E81"/>
    <w:rsid w:val="00845462"/>
    <w:rsid w:val="00851937"/>
    <w:rsid w:val="00856ABB"/>
    <w:rsid w:val="00857975"/>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4959"/>
    <w:rsid w:val="00895E0F"/>
    <w:rsid w:val="00896575"/>
    <w:rsid w:val="008967F5"/>
    <w:rsid w:val="008A05D0"/>
    <w:rsid w:val="008A0C1C"/>
    <w:rsid w:val="008A6D88"/>
    <w:rsid w:val="008A7D5D"/>
    <w:rsid w:val="008B19BD"/>
    <w:rsid w:val="008B4407"/>
    <w:rsid w:val="008B544A"/>
    <w:rsid w:val="008B77EB"/>
    <w:rsid w:val="008C15AF"/>
    <w:rsid w:val="008C74FA"/>
    <w:rsid w:val="008D5C30"/>
    <w:rsid w:val="008E0DC5"/>
    <w:rsid w:val="008E280C"/>
    <w:rsid w:val="008E5D4A"/>
    <w:rsid w:val="008E5F82"/>
    <w:rsid w:val="008F0135"/>
    <w:rsid w:val="008F4611"/>
    <w:rsid w:val="008F67D5"/>
    <w:rsid w:val="00900C89"/>
    <w:rsid w:val="00900FD7"/>
    <w:rsid w:val="009028D9"/>
    <w:rsid w:val="00902D7E"/>
    <w:rsid w:val="00903B13"/>
    <w:rsid w:val="00904ACB"/>
    <w:rsid w:val="00906E3C"/>
    <w:rsid w:val="00910C59"/>
    <w:rsid w:val="00911834"/>
    <w:rsid w:val="00912C72"/>
    <w:rsid w:val="00914357"/>
    <w:rsid w:val="0091479B"/>
    <w:rsid w:val="00920270"/>
    <w:rsid w:val="00922194"/>
    <w:rsid w:val="00923FC3"/>
    <w:rsid w:val="009258F7"/>
    <w:rsid w:val="009263CA"/>
    <w:rsid w:val="00926737"/>
    <w:rsid w:val="009278CB"/>
    <w:rsid w:val="0093392C"/>
    <w:rsid w:val="00935F8E"/>
    <w:rsid w:val="00936308"/>
    <w:rsid w:val="00940BCB"/>
    <w:rsid w:val="00941FC7"/>
    <w:rsid w:val="00942E2B"/>
    <w:rsid w:val="0094308D"/>
    <w:rsid w:val="00945D12"/>
    <w:rsid w:val="00952B4D"/>
    <w:rsid w:val="009531A0"/>
    <w:rsid w:val="009533B4"/>
    <w:rsid w:val="00953F37"/>
    <w:rsid w:val="00956F76"/>
    <w:rsid w:val="00957CB2"/>
    <w:rsid w:val="0096155D"/>
    <w:rsid w:val="0096678C"/>
    <w:rsid w:val="00970D2E"/>
    <w:rsid w:val="0097327C"/>
    <w:rsid w:val="009736C0"/>
    <w:rsid w:val="0097668F"/>
    <w:rsid w:val="00976954"/>
    <w:rsid w:val="0098096C"/>
    <w:rsid w:val="00980AA0"/>
    <w:rsid w:val="00981A92"/>
    <w:rsid w:val="009827C6"/>
    <w:rsid w:val="00982C43"/>
    <w:rsid w:val="009832EB"/>
    <w:rsid w:val="00985E78"/>
    <w:rsid w:val="0098794B"/>
    <w:rsid w:val="009905D6"/>
    <w:rsid w:val="0099674A"/>
    <w:rsid w:val="009A03DB"/>
    <w:rsid w:val="009A1DDC"/>
    <w:rsid w:val="009A6B84"/>
    <w:rsid w:val="009A7F76"/>
    <w:rsid w:val="009B2FB5"/>
    <w:rsid w:val="009B33B9"/>
    <w:rsid w:val="009B4B8B"/>
    <w:rsid w:val="009B7ED9"/>
    <w:rsid w:val="009C32D0"/>
    <w:rsid w:val="009C5BA0"/>
    <w:rsid w:val="009D460D"/>
    <w:rsid w:val="009D5847"/>
    <w:rsid w:val="009E05CD"/>
    <w:rsid w:val="009E4F85"/>
    <w:rsid w:val="009E511B"/>
    <w:rsid w:val="009E51C9"/>
    <w:rsid w:val="009F1EFE"/>
    <w:rsid w:val="009F2CE4"/>
    <w:rsid w:val="009F42E1"/>
    <w:rsid w:val="009F49EA"/>
    <w:rsid w:val="009F5659"/>
    <w:rsid w:val="009F66B1"/>
    <w:rsid w:val="00A02887"/>
    <w:rsid w:val="00A02E57"/>
    <w:rsid w:val="00A057C4"/>
    <w:rsid w:val="00A05A4D"/>
    <w:rsid w:val="00A05AB4"/>
    <w:rsid w:val="00A070D7"/>
    <w:rsid w:val="00A12E09"/>
    <w:rsid w:val="00A23345"/>
    <w:rsid w:val="00A25EB2"/>
    <w:rsid w:val="00A265E3"/>
    <w:rsid w:val="00A30AC2"/>
    <w:rsid w:val="00A403AD"/>
    <w:rsid w:val="00A40E60"/>
    <w:rsid w:val="00A45588"/>
    <w:rsid w:val="00A4607A"/>
    <w:rsid w:val="00A529FA"/>
    <w:rsid w:val="00A52B09"/>
    <w:rsid w:val="00A54730"/>
    <w:rsid w:val="00A54BD1"/>
    <w:rsid w:val="00A56096"/>
    <w:rsid w:val="00A56440"/>
    <w:rsid w:val="00A62E0B"/>
    <w:rsid w:val="00A63491"/>
    <w:rsid w:val="00A6553E"/>
    <w:rsid w:val="00A7029E"/>
    <w:rsid w:val="00A72488"/>
    <w:rsid w:val="00A7294C"/>
    <w:rsid w:val="00A74B98"/>
    <w:rsid w:val="00A75239"/>
    <w:rsid w:val="00A7623D"/>
    <w:rsid w:val="00A820F1"/>
    <w:rsid w:val="00AA3077"/>
    <w:rsid w:val="00AA36BB"/>
    <w:rsid w:val="00AA6564"/>
    <w:rsid w:val="00AA6FCA"/>
    <w:rsid w:val="00AB2387"/>
    <w:rsid w:val="00AB3439"/>
    <w:rsid w:val="00AB346C"/>
    <w:rsid w:val="00AB37B5"/>
    <w:rsid w:val="00AB5A78"/>
    <w:rsid w:val="00AB671E"/>
    <w:rsid w:val="00AC333C"/>
    <w:rsid w:val="00AC3399"/>
    <w:rsid w:val="00AC65C5"/>
    <w:rsid w:val="00AC7D27"/>
    <w:rsid w:val="00AD035C"/>
    <w:rsid w:val="00AD1EB6"/>
    <w:rsid w:val="00AD2EC9"/>
    <w:rsid w:val="00AD33E4"/>
    <w:rsid w:val="00AD64A4"/>
    <w:rsid w:val="00AD6B3B"/>
    <w:rsid w:val="00AE018F"/>
    <w:rsid w:val="00AE0B67"/>
    <w:rsid w:val="00AE187B"/>
    <w:rsid w:val="00AE26F5"/>
    <w:rsid w:val="00AE3537"/>
    <w:rsid w:val="00AE3F49"/>
    <w:rsid w:val="00AF6044"/>
    <w:rsid w:val="00AF777B"/>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44A6"/>
    <w:rsid w:val="00B35F7A"/>
    <w:rsid w:val="00B36DD4"/>
    <w:rsid w:val="00B44A64"/>
    <w:rsid w:val="00B45A77"/>
    <w:rsid w:val="00B461D5"/>
    <w:rsid w:val="00B53C2C"/>
    <w:rsid w:val="00B5440A"/>
    <w:rsid w:val="00B6146B"/>
    <w:rsid w:val="00B64733"/>
    <w:rsid w:val="00B64CA2"/>
    <w:rsid w:val="00B64DE3"/>
    <w:rsid w:val="00B6681F"/>
    <w:rsid w:val="00B75F3E"/>
    <w:rsid w:val="00B777B1"/>
    <w:rsid w:val="00B820A7"/>
    <w:rsid w:val="00B84521"/>
    <w:rsid w:val="00B848E4"/>
    <w:rsid w:val="00B87A2E"/>
    <w:rsid w:val="00B91EC7"/>
    <w:rsid w:val="00B961F7"/>
    <w:rsid w:val="00BA0180"/>
    <w:rsid w:val="00BA1457"/>
    <w:rsid w:val="00BA3009"/>
    <w:rsid w:val="00BA6559"/>
    <w:rsid w:val="00BB080A"/>
    <w:rsid w:val="00BB37B9"/>
    <w:rsid w:val="00BB3C67"/>
    <w:rsid w:val="00BB3D08"/>
    <w:rsid w:val="00BB7EC3"/>
    <w:rsid w:val="00BC07E0"/>
    <w:rsid w:val="00BC5A68"/>
    <w:rsid w:val="00BC7AE6"/>
    <w:rsid w:val="00BD0A9C"/>
    <w:rsid w:val="00BD36B6"/>
    <w:rsid w:val="00BE1951"/>
    <w:rsid w:val="00BE2960"/>
    <w:rsid w:val="00BE4A26"/>
    <w:rsid w:val="00BE76AB"/>
    <w:rsid w:val="00C01CF5"/>
    <w:rsid w:val="00C021AC"/>
    <w:rsid w:val="00C0288A"/>
    <w:rsid w:val="00C04191"/>
    <w:rsid w:val="00C0560F"/>
    <w:rsid w:val="00C073F3"/>
    <w:rsid w:val="00C161F8"/>
    <w:rsid w:val="00C16A4A"/>
    <w:rsid w:val="00C200DD"/>
    <w:rsid w:val="00C23624"/>
    <w:rsid w:val="00C26F58"/>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4028"/>
    <w:rsid w:val="00C742E6"/>
    <w:rsid w:val="00C75E37"/>
    <w:rsid w:val="00C818D1"/>
    <w:rsid w:val="00C81A70"/>
    <w:rsid w:val="00C849C1"/>
    <w:rsid w:val="00C90C4E"/>
    <w:rsid w:val="00C96485"/>
    <w:rsid w:val="00C96BBC"/>
    <w:rsid w:val="00CA03C6"/>
    <w:rsid w:val="00CA2306"/>
    <w:rsid w:val="00CA2BE4"/>
    <w:rsid w:val="00CA3640"/>
    <w:rsid w:val="00CA5EBC"/>
    <w:rsid w:val="00CA69F1"/>
    <w:rsid w:val="00CA7799"/>
    <w:rsid w:val="00CB0FC2"/>
    <w:rsid w:val="00CB1845"/>
    <w:rsid w:val="00CB2350"/>
    <w:rsid w:val="00CB30FB"/>
    <w:rsid w:val="00CB5794"/>
    <w:rsid w:val="00CB5F9B"/>
    <w:rsid w:val="00CB6E5F"/>
    <w:rsid w:val="00CB74DA"/>
    <w:rsid w:val="00CC7C0D"/>
    <w:rsid w:val="00CD1ED7"/>
    <w:rsid w:val="00CD31B6"/>
    <w:rsid w:val="00CD50AB"/>
    <w:rsid w:val="00CD7729"/>
    <w:rsid w:val="00CE11E4"/>
    <w:rsid w:val="00CE43C1"/>
    <w:rsid w:val="00CE4E66"/>
    <w:rsid w:val="00CF2D0C"/>
    <w:rsid w:val="00D02605"/>
    <w:rsid w:val="00D12711"/>
    <w:rsid w:val="00D1662F"/>
    <w:rsid w:val="00D204B7"/>
    <w:rsid w:val="00D2050E"/>
    <w:rsid w:val="00D36C3E"/>
    <w:rsid w:val="00D42688"/>
    <w:rsid w:val="00D45B02"/>
    <w:rsid w:val="00D473EA"/>
    <w:rsid w:val="00D50B1A"/>
    <w:rsid w:val="00D512DE"/>
    <w:rsid w:val="00D56566"/>
    <w:rsid w:val="00D57367"/>
    <w:rsid w:val="00D61A37"/>
    <w:rsid w:val="00D626CB"/>
    <w:rsid w:val="00D64782"/>
    <w:rsid w:val="00D67278"/>
    <w:rsid w:val="00D67B8D"/>
    <w:rsid w:val="00D74196"/>
    <w:rsid w:val="00D7566D"/>
    <w:rsid w:val="00D75B6C"/>
    <w:rsid w:val="00D76E20"/>
    <w:rsid w:val="00D77625"/>
    <w:rsid w:val="00D8125F"/>
    <w:rsid w:val="00D82235"/>
    <w:rsid w:val="00D86D5E"/>
    <w:rsid w:val="00D90453"/>
    <w:rsid w:val="00D91117"/>
    <w:rsid w:val="00D91E2D"/>
    <w:rsid w:val="00D922B1"/>
    <w:rsid w:val="00D923CC"/>
    <w:rsid w:val="00DA5F08"/>
    <w:rsid w:val="00DB22A5"/>
    <w:rsid w:val="00DB60D6"/>
    <w:rsid w:val="00DB7370"/>
    <w:rsid w:val="00DC0E83"/>
    <w:rsid w:val="00DC139D"/>
    <w:rsid w:val="00DC2C8A"/>
    <w:rsid w:val="00DC4666"/>
    <w:rsid w:val="00DC4D2A"/>
    <w:rsid w:val="00DC571F"/>
    <w:rsid w:val="00DC71F3"/>
    <w:rsid w:val="00DD3F5E"/>
    <w:rsid w:val="00DD41D7"/>
    <w:rsid w:val="00DD55DA"/>
    <w:rsid w:val="00DD5ADB"/>
    <w:rsid w:val="00DE0399"/>
    <w:rsid w:val="00DE271E"/>
    <w:rsid w:val="00DE569D"/>
    <w:rsid w:val="00DE6571"/>
    <w:rsid w:val="00DE7784"/>
    <w:rsid w:val="00DF0410"/>
    <w:rsid w:val="00DF39D8"/>
    <w:rsid w:val="00DF419A"/>
    <w:rsid w:val="00DF7F7A"/>
    <w:rsid w:val="00E01FDA"/>
    <w:rsid w:val="00E03C5A"/>
    <w:rsid w:val="00E04B7F"/>
    <w:rsid w:val="00E0531A"/>
    <w:rsid w:val="00E10342"/>
    <w:rsid w:val="00E117F3"/>
    <w:rsid w:val="00E13F41"/>
    <w:rsid w:val="00E154A0"/>
    <w:rsid w:val="00E15729"/>
    <w:rsid w:val="00E179CF"/>
    <w:rsid w:val="00E202A8"/>
    <w:rsid w:val="00E229C2"/>
    <w:rsid w:val="00E232D1"/>
    <w:rsid w:val="00E2459C"/>
    <w:rsid w:val="00E24C1A"/>
    <w:rsid w:val="00E24CB2"/>
    <w:rsid w:val="00E255B3"/>
    <w:rsid w:val="00E32C35"/>
    <w:rsid w:val="00E369CE"/>
    <w:rsid w:val="00E417D3"/>
    <w:rsid w:val="00E41948"/>
    <w:rsid w:val="00E45331"/>
    <w:rsid w:val="00E45A2F"/>
    <w:rsid w:val="00E46978"/>
    <w:rsid w:val="00E46DA5"/>
    <w:rsid w:val="00E50A52"/>
    <w:rsid w:val="00E50CAC"/>
    <w:rsid w:val="00E564DA"/>
    <w:rsid w:val="00E574F6"/>
    <w:rsid w:val="00E608A7"/>
    <w:rsid w:val="00E608F3"/>
    <w:rsid w:val="00E60D6A"/>
    <w:rsid w:val="00E60FEA"/>
    <w:rsid w:val="00E63E82"/>
    <w:rsid w:val="00E648D8"/>
    <w:rsid w:val="00E65FAA"/>
    <w:rsid w:val="00E673A2"/>
    <w:rsid w:val="00E75460"/>
    <w:rsid w:val="00E777DA"/>
    <w:rsid w:val="00E7794D"/>
    <w:rsid w:val="00E77BC6"/>
    <w:rsid w:val="00E77DE7"/>
    <w:rsid w:val="00E83E68"/>
    <w:rsid w:val="00E84A3B"/>
    <w:rsid w:val="00E86920"/>
    <w:rsid w:val="00E903F8"/>
    <w:rsid w:val="00E913BA"/>
    <w:rsid w:val="00E94F30"/>
    <w:rsid w:val="00E95B86"/>
    <w:rsid w:val="00E95F76"/>
    <w:rsid w:val="00EA4749"/>
    <w:rsid w:val="00EA7FE0"/>
    <w:rsid w:val="00EB362B"/>
    <w:rsid w:val="00EB56CD"/>
    <w:rsid w:val="00EC22AC"/>
    <w:rsid w:val="00EC2B26"/>
    <w:rsid w:val="00EC5BB8"/>
    <w:rsid w:val="00EC5F29"/>
    <w:rsid w:val="00ED1508"/>
    <w:rsid w:val="00ED324B"/>
    <w:rsid w:val="00EE171A"/>
    <w:rsid w:val="00EE2F00"/>
    <w:rsid w:val="00EE7052"/>
    <w:rsid w:val="00EF0BFF"/>
    <w:rsid w:val="00EF225C"/>
    <w:rsid w:val="00EF2790"/>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275D"/>
    <w:rsid w:val="00F450E2"/>
    <w:rsid w:val="00F459B3"/>
    <w:rsid w:val="00F469C0"/>
    <w:rsid w:val="00F51365"/>
    <w:rsid w:val="00F54707"/>
    <w:rsid w:val="00F57317"/>
    <w:rsid w:val="00F615EE"/>
    <w:rsid w:val="00F625D4"/>
    <w:rsid w:val="00F62C19"/>
    <w:rsid w:val="00F64C0F"/>
    <w:rsid w:val="00F6596B"/>
    <w:rsid w:val="00F65E15"/>
    <w:rsid w:val="00F7261E"/>
    <w:rsid w:val="00F74E91"/>
    <w:rsid w:val="00F76CC9"/>
    <w:rsid w:val="00F77F91"/>
    <w:rsid w:val="00F80390"/>
    <w:rsid w:val="00F8262B"/>
    <w:rsid w:val="00F83DB4"/>
    <w:rsid w:val="00F90174"/>
    <w:rsid w:val="00F92D39"/>
    <w:rsid w:val="00F92EBD"/>
    <w:rsid w:val="00F94A51"/>
    <w:rsid w:val="00F95414"/>
    <w:rsid w:val="00FA1BE4"/>
    <w:rsid w:val="00FA5456"/>
    <w:rsid w:val="00FA5B2A"/>
    <w:rsid w:val="00FA68D9"/>
    <w:rsid w:val="00FA6FB3"/>
    <w:rsid w:val="00FB4EDC"/>
    <w:rsid w:val="00FC2702"/>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customStyle="1" w:styleId="UnresolvedMention3">
    <w:name w:val="Unresolved Mention3"/>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0144_spa" TargetMode="External"/><Relationship Id="rId13" Type="http://schemas.openxmlformats.org/officeDocument/2006/relationships/hyperlink" Target="https://oceanexpert.org/document/2849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esdoc.unesco.org/ark:/48223/pf0000381227.locale=en" TargetMode="External"/><Relationship Id="rId17" Type="http://schemas.openxmlformats.org/officeDocument/2006/relationships/hyperlink" Target="https://forum.oceandecade.org/?lang=es" TargetMode="External"/><Relationship Id="rId2" Type="http://schemas.openxmlformats.org/officeDocument/2006/relationships/numbering" Target="numbering.xml"/><Relationship Id="rId16" Type="http://schemas.openxmlformats.org/officeDocument/2006/relationships/hyperlink" Target="http://www.oceandecade.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442" TargetMode="External"/><Relationship Id="rId5" Type="http://schemas.openxmlformats.org/officeDocument/2006/relationships/webSettings" Target="webSettings.xml"/><Relationship Id="rId15" Type="http://schemas.openxmlformats.org/officeDocument/2006/relationships/hyperlink" Target="https://www.oceandecade.org/es/ocean-decade-alliance/" TargetMode="External"/><Relationship Id="rId10" Type="http://schemas.openxmlformats.org/officeDocument/2006/relationships/hyperlink" Target="https://unesdoc.unesco.org/ark:/48223/pf0000379465_sp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nesdoc.unesco.org/ark:/48223/pf0000375002.locale=en" TargetMode="External"/><Relationship Id="rId14" Type="http://schemas.openxmlformats.org/officeDocument/2006/relationships/hyperlink" Target="https://unesdoc.unesco.org/ark:/48223/pf0000381488.locale=e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B68FB-2B08-48F2-8B06-80D6AF81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4354</Words>
  <Characters>23848</Characters>
  <Application>Microsoft Office Word</Application>
  <DocSecurity>0</DocSecurity>
  <Lines>198</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2</cp:revision>
  <cp:lastPrinted>2022-05-02T09:16:00Z</cp:lastPrinted>
  <dcterms:created xsi:type="dcterms:W3CDTF">2022-05-20T12:46:00Z</dcterms:created>
  <dcterms:modified xsi:type="dcterms:W3CDTF">2022-05-20T12:46:00Z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y fmtid="{D5CDD505-2E9C-101B-9397-08002B2CF9AE}" pid="5" name="TranslatedWith">
    <vt:lpwstr>Mercury</vt:lpwstr>
  </property>
  <property fmtid="{D5CDD505-2E9C-101B-9397-08002B2CF9AE}" pid="6" name="GeneratedBy">
    <vt:lpwstr>k_bou-habib</vt:lpwstr>
  </property>
  <property fmtid="{D5CDD505-2E9C-101B-9397-08002B2CF9AE}" pid="7" name="GeneratedDate">
    <vt:lpwstr>05/18/2022 12:30:13</vt:lpwstr>
  </property>
  <property fmtid="{D5CDD505-2E9C-101B-9397-08002B2CF9AE}" pid="8" name="OriginalDocID">
    <vt:lpwstr>e8be7134-0ab7-445e-a20d-1bb474f65672</vt:lpwstr>
  </property>
</Properties>
</file>