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359" w:type="dxa"/>
        <w:jc w:val="center"/>
        <w:tblLook w:val="04A0" w:firstRow="1" w:lastRow="0" w:firstColumn="1" w:lastColumn="0" w:noHBand="0" w:noVBand="1"/>
      </w:tblPr>
      <w:tblGrid>
        <w:gridCol w:w="8359"/>
      </w:tblGrid>
      <w:tr w:rsidR="00FA68D9" w14:paraId="1709CCC6" w14:textId="77777777" w:rsidTr="00E35CD7">
        <w:trPr>
          <w:trHeight w:val="5617"/>
          <w:jc w:val="center"/>
        </w:trPr>
        <w:tc>
          <w:tcPr>
            <w:tcW w:w="8359" w:type="dxa"/>
          </w:tcPr>
          <w:p w14:paraId="33D8523D" w14:textId="2EFF265F" w:rsidR="001B5075" w:rsidRPr="001B5075" w:rsidRDefault="001B5075" w:rsidP="00E35CD7">
            <w:pPr>
              <w:tabs>
                <w:tab w:val="clear" w:pos="567"/>
              </w:tabs>
              <w:snapToGrid/>
              <w:spacing w:before="120"/>
              <w:jc w:val="center"/>
              <w:rPr>
                <w:rFonts w:ascii="Arial" w:hAnsi="Arial" w:cs="Arial"/>
                <w:bCs/>
                <w:sz w:val="22"/>
                <w:szCs w:val="22"/>
                <w:u w:val="single"/>
              </w:rPr>
            </w:pPr>
            <w:r w:rsidRPr="001B5075">
              <w:rPr>
                <w:rFonts w:ascii="Arial" w:hAnsi="Arial" w:cs="Arial"/>
                <w:bCs/>
                <w:sz w:val="22"/>
                <w:szCs w:val="22"/>
                <w:u w:val="single"/>
              </w:rPr>
              <w:t>Summary</w:t>
            </w:r>
          </w:p>
          <w:p w14:paraId="0D6FC64F" w14:textId="77777777" w:rsidR="001B5075" w:rsidRPr="001B5075" w:rsidRDefault="001B5075">
            <w:pPr>
              <w:tabs>
                <w:tab w:val="clear" w:pos="567"/>
              </w:tabs>
              <w:snapToGrid/>
              <w:rPr>
                <w:rFonts w:ascii="Arial" w:hAnsi="Arial" w:cs="Arial"/>
                <w:bCs/>
                <w:sz w:val="22"/>
                <w:szCs w:val="22"/>
              </w:rPr>
            </w:pPr>
          </w:p>
          <w:p w14:paraId="562E8283" w14:textId="77777777" w:rsidR="00FA68D9" w:rsidRPr="00FA68D9" w:rsidRDefault="00FA68D9" w:rsidP="00FA68D9">
            <w:pPr>
              <w:tabs>
                <w:tab w:val="clear" w:pos="567"/>
              </w:tabs>
              <w:snapToGrid/>
              <w:spacing w:after="200"/>
              <w:jc w:val="both"/>
              <w:rPr>
                <w:rFonts w:ascii="Arial" w:eastAsia="Times New Roman" w:hAnsi="Arial" w:cs="Arial"/>
                <w:sz w:val="22"/>
                <w:szCs w:val="22"/>
                <w:lang w:eastAsia="en-US"/>
              </w:rPr>
            </w:pPr>
            <w:r w:rsidRPr="00FA68D9">
              <w:rPr>
                <w:rFonts w:ascii="Arial" w:eastAsia="Times New Roman" w:hAnsi="Arial" w:cs="Arial"/>
                <w:sz w:val="22"/>
                <w:szCs w:val="22"/>
                <w:lang w:eastAsia="en-US"/>
              </w:rPr>
              <w:t xml:space="preserve">The report starts with the strategic analysis by the Executive Secretary of the IOC’s situation and of work highlights. </w:t>
            </w:r>
          </w:p>
          <w:p w14:paraId="0CB7C22B" w14:textId="2874000B" w:rsidR="001B5075" w:rsidRDefault="007C4C1D" w:rsidP="00FA68D9">
            <w:pPr>
              <w:tabs>
                <w:tab w:val="clear" w:pos="567"/>
              </w:tabs>
              <w:snapToGrid/>
              <w:spacing w:after="200"/>
              <w:jc w:val="both"/>
            </w:pPr>
            <w:r>
              <w:rPr>
                <w:rFonts w:ascii="Arial" w:eastAsia="Times New Roman" w:hAnsi="Arial" w:cs="Arial"/>
                <w:sz w:val="22"/>
                <w:szCs w:val="22"/>
                <w:lang w:eastAsia="en-US"/>
              </w:rPr>
              <w:t xml:space="preserve">It is followed by </w:t>
            </w:r>
            <w:r w:rsidR="004768E8">
              <w:rPr>
                <w:rFonts w:ascii="Arial" w:eastAsia="Times New Roman" w:hAnsi="Arial" w:cs="Arial"/>
                <w:sz w:val="22"/>
                <w:szCs w:val="22"/>
                <w:lang w:eastAsia="en-US"/>
              </w:rPr>
              <w:t xml:space="preserve">the Analytical Programme Implementation Report (APIR) 2022, covering the full programme quadrennium (1 January 2018–31 </w:t>
            </w:r>
            <w:r w:rsidR="00E232D1">
              <w:rPr>
                <w:rFonts w:ascii="Arial" w:eastAsia="Times New Roman" w:hAnsi="Arial" w:cs="Arial"/>
                <w:sz w:val="22"/>
                <w:szCs w:val="22"/>
                <w:lang w:eastAsia="en-US"/>
              </w:rPr>
              <w:t>December 2021) and the assessment of the results framework against approved performance indicators and targets</w:t>
            </w:r>
            <w:r w:rsidR="00E232D1">
              <w:t>.</w:t>
            </w:r>
          </w:p>
          <w:p w14:paraId="39C2A891" w14:textId="05327F8A" w:rsidR="007C4C1D" w:rsidRPr="007C4C1D" w:rsidRDefault="007C4C1D" w:rsidP="007C4C1D">
            <w:pPr>
              <w:tabs>
                <w:tab w:val="clear" w:pos="567"/>
              </w:tabs>
              <w:snapToGrid/>
              <w:spacing w:after="200"/>
              <w:jc w:val="both"/>
              <w:rPr>
                <w:rFonts w:ascii="Arial" w:eastAsia="Times New Roman" w:hAnsi="Arial" w:cs="Arial"/>
                <w:sz w:val="22"/>
                <w:szCs w:val="22"/>
                <w:lang w:eastAsia="en-US"/>
              </w:rPr>
            </w:pPr>
            <w:r w:rsidRPr="007C4C1D">
              <w:rPr>
                <w:rFonts w:ascii="Arial" w:eastAsia="Times New Roman" w:hAnsi="Arial" w:cs="Arial"/>
                <w:sz w:val="22"/>
                <w:szCs w:val="22"/>
                <w:lang w:eastAsia="en-US"/>
              </w:rPr>
              <w:t>The Addendum to this document</w:t>
            </w:r>
            <w:r w:rsidR="00E97813">
              <w:rPr>
                <w:rFonts w:ascii="Arial" w:eastAsia="Times New Roman" w:hAnsi="Arial" w:cs="Arial"/>
                <w:sz w:val="22"/>
                <w:szCs w:val="22"/>
                <w:lang w:eastAsia="en-US"/>
              </w:rPr>
              <w:t xml:space="preserve">, </w:t>
            </w:r>
            <w:r w:rsidR="00E97813" w:rsidRPr="007C4C1D">
              <w:rPr>
                <w:rFonts w:ascii="Arial" w:eastAsia="Times New Roman" w:hAnsi="Arial" w:cs="Arial"/>
                <w:sz w:val="22"/>
                <w:szCs w:val="22"/>
                <w:lang w:eastAsia="en-US"/>
              </w:rPr>
              <w:t>in English only</w:t>
            </w:r>
            <w:r w:rsidR="00E97813">
              <w:rPr>
                <w:rFonts w:ascii="Arial" w:eastAsia="Times New Roman" w:hAnsi="Arial" w:cs="Arial"/>
                <w:sz w:val="22"/>
                <w:szCs w:val="22"/>
                <w:lang w:eastAsia="en-US"/>
              </w:rPr>
              <w:t>,</w:t>
            </w:r>
            <w:r w:rsidRPr="007C4C1D">
              <w:rPr>
                <w:rFonts w:ascii="Arial" w:eastAsia="Times New Roman" w:hAnsi="Arial" w:cs="Arial"/>
                <w:sz w:val="22"/>
                <w:szCs w:val="22"/>
                <w:lang w:eastAsia="en-US"/>
              </w:rPr>
              <w:t xml:space="preserve"> provides a detailed update of the work accomplished over the period </w:t>
            </w:r>
            <w:r w:rsidR="00705F29">
              <w:rPr>
                <w:rFonts w:ascii="Arial" w:eastAsia="Times New Roman" w:hAnsi="Arial" w:cs="Arial"/>
                <w:sz w:val="22"/>
                <w:szCs w:val="22"/>
                <w:lang w:eastAsia="en-US"/>
              </w:rPr>
              <w:t xml:space="preserve">from </w:t>
            </w:r>
            <w:r w:rsidRPr="007C4C1D">
              <w:rPr>
                <w:rFonts w:ascii="Arial" w:eastAsia="Times New Roman" w:hAnsi="Arial" w:cs="Arial"/>
                <w:sz w:val="22"/>
                <w:szCs w:val="22"/>
                <w:lang w:eastAsia="en-US"/>
              </w:rPr>
              <w:t>June 202</w:t>
            </w:r>
            <w:r>
              <w:rPr>
                <w:rFonts w:ascii="Arial" w:eastAsia="Times New Roman" w:hAnsi="Arial" w:cs="Arial"/>
                <w:sz w:val="22"/>
                <w:szCs w:val="22"/>
                <w:lang w:eastAsia="en-US"/>
              </w:rPr>
              <w:t>1</w:t>
            </w:r>
            <w:r w:rsidRPr="007C4C1D">
              <w:rPr>
                <w:rFonts w:ascii="Arial" w:eastAsia="Times New Roman" w:hAnsi="Arial" w:cs="Arial"/>
                <w:sz w:val="22"/>
                <w:szCs w:val="22"/>
                <w:lang w:eastAsia="en-US"/>
              </w:rPr>
              <w:t xml:space="preserve"> to May 202</w:t>
            </w:r>
            <w:r>
              <w:rPr>
                <w:rFonts w:ascii="Arial" w:eastAsia="Times New Roman" w:hAnsi="Arial" w:cs="Arial"/>
                <w:sz w:val="22"/>
                <w:szCs w:val="22"/>
                <w:lang w:eastAsia="en-US"/>
              </w:rPr>
              <w:t>2</w:t>
            </w:r>
            <w:r w:rsidRPr="007C4C1D">
              <w:rPr>
                <w:rFonts w:ascii="Arial" w:eastAsia="Times New Roman" w:hAnsi="Arial" w:cs="Arial"/>
                <w:sz w:val="22"/>
                <w:szCs w:val="22"/>
                <w:lang w:eastAsia="en-US"/>
              </w:rPr>
              <w:t xml:space="preserve"> by IOC functions. </w:t>
            </w:r>
          </w:p>
          <w:p w14:paraId="10E6030E" w14:textId="7D5386EE" w:rsidR="00FA68D9" w:rsidRPr="00FA68D9" w:rsidRDefault="00FA68D9" w:rsidP="00FA68D9">
            <w:pPr>
              <w:tabs>
                <w:tab w:val="clear" w:pos="567"/>
              </w:tabs>
              <w:snapToGrid/>
              <w:spacing w:after="200"/>
              <w:jc w:val="both"/>
              <w:rPr>
                <w:rFonts w:ascii="Arial" w:eastAsia="Times New Roman" w:hAnsi="Arial" w:cs="Arial"/>
                <w:sz w:val="22"/>
                <w:szCs w:val="22"/>
                <w:lang w:eastAsia="en-US"/>
              </w:rPr>
            </w:pPr>
            <w:r w:rsidRPr="00FA68D9">
              <w:rPr>
                <w:rFonts w:ascii="Arial" w:eastAsia="Times New Roman" w:hAnsi="Arial" w:cs="Arial"/>
                <w:sz w:val="22"/>
                <w:szCs w:val="22"/>
                <w:lang w:eastAsia="en-US"/>
              </w:rPr>
              <w:t>In addition, the ‘Report on 2020–2021 (40</w:t>
            </w:r>
            <w:r w:rsidR="00705F29">
              <w:rPr>
                <w:rFonts w:ascii="Arial" w:eastAsia="Times New Roman" w:hAnsi="Arial" w:cs="Arial"/>
                <w:sz w:val="22"/>
                <w:szCs w:val="22"/>
                <w:lang w:eastAsia="en-US"/>
              </w:rPr>
              <w:t> </w:t>
            </w:r>
            <w:r w:rsidRPr="00FA68D9">
              <w:rPr>
                <w:rFonts w:ascii="Arial" w:eastAsia="Times New Roman" w:hAnsi="Arial" w:cs="Arial"/>
                <w:sz w:val="22"/>
                <w:szCs w:val="22"/>
                <w:lang w:eastAsia="en-US"/>
              </w:rPr>
              <w:t>C/5) Budget Implementation as at 31 December 202</w:t>
            </w:r>
            <w:r w:rsidR="00E232D1">
              <w:rPr>
                <w:rFonts w:ascii="Arial" w:eastAsia="Times New Roman" w:hAnsi="Arial" w:cs="Arial"/>
                <w:sz w:val="22"/>
                <w:szCs w:val="22"/>
                <w:lang w:eastAsia="en-US"/>
              </w:rPr>
              <w:t>1</w:t>
            </w:r>
            <w:r w:rsidRPr="00FA68D9">
              <w:rPr>
                <w:rFonts w:ascii="Arial" w:eastAsia="Times New Roman" w:hAnsi="Arial" w:cs="Arial"/>
                <w:sz w:val="22"/>
                <w:szCs w:val="22"/>
                <w:lang w:eastAsia="en-US"/>
              </w:rPr>
              <w:t>’ (IOC/</w:t>
            </w:r>
            <w:r w:rsidR="00E232D1">
              <w:rPr>
                <w:rFonts w:ascii="Arial" w:eastAsia="Times New Roman" w:hAnsi="Arial" w:cs="Arial"/>
                <w:sz w:val="22"/>
                <w:szCs w:val="22"/>
                <w:lang w:eastAsia="en-US"/>
              </w:rPr>
              <w:t>EC-55/</w:t>
            </w:r>
            <w:r w:rsidRPr="00FA68D9">
              <w:rPr>
                <w:rFonts w:ascii="Arial" w:eastAsia="Times New Roman" w:hAnsi="Arial" w:cs="Arial"/>
                <w:sz w:val="22"/>
                <w:szCs w:val="22"/>
                <w:lang w:eastAsia="en-US"/>
              </w:rPr>
              <w:t>3.</w:t>
            </w:r>
            <w:r w:rsidR="00E232D1">
              <w:rPr>
                <w:rFonts w:ascii="Arial" w:eastAsia="Times New Roman" w:hAnsi="Arial" w:cs="Arial"/>
                <w:sz w:val="22"/>
                <w:szCs w:val="22"/>
                <w:lang w:eastAsia="en-US"/>
              </w:rPr>
              <w:t>1</w:t>
            </w:r>
            <w:r w:rsidRPr="00FA68D9">
              <w:rPr>
                <w:rFonts w:ascii="Arial" w:eastAsia="Times New Roman" w:hAnsi="Arial" w:cs="Arial"/>
                <w:sz w:val="22"/>
                <w:szCs w:val="22"/>
                <w:lang w:eastAsia="en-US"/>
              </w:rPr>
              <w:t>.Doc(2)) and the ‘Report on the Financial Situation of the IOC Special Account at year end 202</w:t>
            </w:r>
            <w:r w:rsidR="00E232D1">
              <w:rPr>
                <w:rFonts w:ascii="Arial" w:eastAsia="Times New Roman" w:hAnsi="Arial" w:cs="Arial"/>
                <w:sz w:val="22"/>
                <w:szCs w:val="22"/>
                <w:lang w:eastAsia="en-US"/>
              </w:rPr>
              <w:t>1</w:t>
            </w:r>
            <w:r w:rsidRPr="00FA68D9">
              <w:rPr>
                <w:rFonts w:ascii="Arial" w:eastAsia="Times New Roman" w:hAnsi="Arial" w:cs="Arial"/>
                <w:sz w:val="22"/>
                <w:szCs w:val="22"/>
                <w:lang w:eastAsia="en-US"/>
              </w:rPr>
              <w:t xml:space="preserve"> and forecast for 202</w:t>
            </w:r>
            <w:r w:rsidR="00E232D1">
              <w:rPr>
                <w:rFonts w:ascii="Arial" w:eastAsia="Times New Roman" w:hAnsi="Arial" w:cs="Arial"/>
                <w:sz w:val="22"/>
                <w:szCs w:val="22"/>
                <w:lang w:eastAsia="en-US"/>
              </w:rPr>
              <w:t>2</w:t>
            </w:r>
            <w:r w:rsidRPr="00FA68D9">
              <w:rPr>
                <w:rFonts w:ascii="Arial" w:eastAsia="Times New Roman" w:hAnsi="Arial" w:cs="Arial"/>
                <w:sz w:val="22"/>
                <w:szCs w:val="22"/>
                <w:lang w:eastAsia="en-US"/>
              </w:rPr>
              <w:t>’ (IOC/</w:t>
            </w:r>
            <w:r w:rsidR="00E232D1">
              <w:rPr>
                <w:rFonts w:ascii="Arial" w:eastAsia="Times New Roman" w:hAnsi="Arial" w:cs="Arial"/>
                <w:sz w:val="22"/>
                <w:szCs w:val="22"/>
                <w:lang w:eastAsia="en-US"/>
              </w:rPr>
              <w:t>EC-55</w:t>
            </w:r>
            <w:r w:rsidRPr="00FA68D9">
              <w:rPr>
                <w:rFonts w:ascii="Arial" w:eastAsia="Times New Roman" w:hAnsi="Arial" w:cs="Arial"/>
                <w:sz w:val="22"/>
                <w:szCs w:val="22"/>
                <w:lang w:eastAsia="en-US"/>
              </w:rPr>
              <w:t>/3.</w:t>
            </w:r>
            <w:r w:rsidR="00E232D1">
              <w:rPr>
                <w:rFonts w:ascii="Arial" w:eastAsia="Times New Roman" w:hAnsi="Arial" w:cs="Arial"/>
                <w:sz w:val="22"/>
                <w:szCs w:val="22"/>
                <w:lang w:eastAsia="en-US"/>
              </w:rPr>
              <w:t>1</w:t>
            </w:r>
            <w:r w:rsidRPr="00FA68D9">
              <w:rPr>
                <w:rFonts w:ascii="Arial" w:eastAsia="Times New Roman" w:hAnsi="Arial" w:cs="Arial"/>
                <w:sz w:val="22"/>
                <w:szCs w:val="22"/>
                <w:lang w:eastAsia="en-US"/>
              </w:rPr>
              <w:t xml:space="preserve">.Doc(3)) complete the documentation in support of the oral presentation of the Executive Secretary to the plenary session of the </w:t>
            </w:r>
            <w:r w:rsidR="00E232D1">
              <w:rPr>
                <w:rFonts w:ascii="Arial" w:eastAsia="Times New Roman" w:hAnsi="Arial" w:cs="Arial"/>
                <w:sz w:val="22"/>
                <w:szCs w:val="22"/>
                <w:lang w:eastAsia="en-US"/>
              </w:rPr>
              <w:t>Executive Council</w:t>
            </w:r>
            <w:r w:rsidRPr="00FA68D9">
              <w:rPr>
                <w:rFonts w:ascii="Arial" w:eastAsia="Times New Roman" w:hAnsi="Arial" w:cs="Arial"/>
                <w:sz w:val="22"/>
                <w:szCs w:val="22"/>
                <w:lang w:eastAsia="en-US"/>
              </w:rPr>
              <w:t xml:space="preserve">. </w:t>
            </w:r>
          </w:p>
          <w:p w14:paraId="6C050125" w14:textId="3C39AA0B" w:rsidR="00FA68D9" w:rsidRDefault="00FA68D9" w:rsidP="00E35CD7">
            <w:pPr>
              <w:tabs>
                <w:tab w:val="clear" w:pos="567"/>
              </w:tabs>
              <w:snapToGrid/>
              <w:spacing w:after="120"/>
              <w:rPr>
                <w:rFonts w:ascii="Arial" w:hAnsi="Arial" w:cs="Arial"/>
                <w:b/>
                <w:bCs/>
                <w:sz w:val="22"/>
                <w:szCs w:val="22"/>
              </w:rPr>
            </w:pPr>
            <w:r w:rsidRPr="00FA68D9">
              <w:rPr>
                <w:rFonts w:ascii="Arial" w:eastAsia="Times New Roman" w:hAnsi="Arial" w:cs="Arial"/>
                <w:sz w:val="22"/>
                <w:szCs w:val="22"/>
                <w:u w:val="single"/>
                <w:lang w:eastAsia="en-US"/>
              </w:rPr>
              <w:t>Decision proposed</w:t>
            </w:r>
            <w:r w:rsidRPr="00FA68D9">
              <w:rPr>
                <w:rFonts w:ascii="Arial" w:eastAsia="Times New Roman" w:hAnsi="Arial" w:cs="Arial"/>
                <w:sz w:val="22"/>
                <w:szCs w:val="22"/>
                <w:lang w:eastAsia="en-US"/>
              </w:rPr>
              <w:t>: The</w:t>
            </w:r>
            <w:r w:rsidR="00E232D1">
              <w:rPr>
                <w:rFonts w:ascii="Arial" w:eastAsia="Times New Roman" w:hAnsi="Arial" w:cs="Arial"/>
                <w:sz w:val="22"/>
                <w:szCs w:val="22"/>
                <w:lang w:eastAsia="en-US"/>
              </w:rPr>
              <w:t xml:space="preserve"> Executive Council</w:t>
            </w:r>
            <w:r w:rsidRPr="00FA68D9">
              <w:rPr>
                <w:rFonts w:ascii="Arial" w:eastAsia="Times New Roman" w:hAnsi="Arial" w:cs="Arial"/>
                <w:sz w:val="22"/>
                <w:szCs w:val="22"/>
                <w:lang w:eastAsia="en-US"/>
              </w:rPr>
              <w:t xml:space="preserve"> is invited to take note of this report and consider the draft decision referenced as Dec. </w:t>
            </w:r>
            <w:r w:rsidR="00E232D1">
              <w:rPr>
                <w:rFonts w:ascii="Arial" w:eastAsia="Times New Roman" w:hAnsi="Arial" w:cs="Arial"/>
                <w:sz w:val="22"/>
                <w:szCs w:val="22"/>
                <w:lang w:eastAsia="en-US"/>
              </w:rPr>
              <w:t>EC</w:t>
            </w:r>
            <w:r w:rsidRPr="00FA68D9">
              <w:rPr>
                <w:rFonts w:ascii="Arial" w:eastAsia="Times New Roman" w:hAnsi="Arial" w:cs="Arial"/>
                <w:sz w:val="22"/>
                <w:szCs w:val="22"/>
                <w:lang w:eastAsia="en-US"/>
              </w:rPr>
              <w:t>-</w:t>
            </w:r>
            <w:r w:rsidR="00E232D1">
              <w:rPr>
                <w:rFonts w:ascii="Arial" w:eastAsia="Times New Roman" w:hAnsi="Arial" w:cs="Arial"/>
                <w:sz w:val="22"/>
                <w:szCs w:val="22"/>
                <w:lang w:eastAsia="en-US"/>
              </w:rPr>
              <w:t>55</w:t>
            </w:r>
            <w:r w:rsidRPr="00FA68D9">
              <w:rPr>
                <w:rFonts w:ascii="Arial" w:eastAsia="Times New Roman" w:hAnsi="Arial" w:cs="Arial"/>
                <w:sz w:val="22"/>
                <w:szCs w:val="22"/>
                <w:lang w:eastAsia="en-US"/>
              </w:rPr>
              <w:t>/3.</w:t>
            </w:r>
            <w:r w:rsidR="00E232D1">
              <w:rPr>
                <w:rFonts w:ascii="Arial" w:eastAsia="Times New Roman" w:hAnsi="Arial" w:cs="Arial"/>
                <w:sz w:val="22"/>
                <w:szCs w:val="22"/>
                <w:lang w:eastAsia="en-US"/>
              </w:rPr>
              <w:t>1</w:t>
            </w:r>
            <w:r w:rsidRPr="00FA68D9">
              <w:rPr>
                <w:rFonts w:ascii="Arial" w:eastAsia="Times New Roman" w:hAnsi="Arial" w:cs="Arial"/>
                <w:sz w:val="22"/>
                <w:szCs w:val="22"/>
                <w:lang w:eastAsia="en-US"/>
              </w:rPr>
              <w:t xml:space="preserve"> in the Provisional Action Paper (document IOC/</w:t>
            </w:r>
            <w:r w:rsidR="00E232D1">
              <w:rPr>
                <w:rFonts w:ascii="Arial" w:eastAsia="Times New Roman" w:hAnsi="Arial" w:cs="Arial"/>
                <w:sz w:val="22"/>
                <w:szCs w:val="22"/>
                <w:lang w:eastAsia="en-US"/>
              </w:rPr>
              <w:t>EC-55/</w:t>
            </w:r>
            <w:r w:rsidRPr="00FA68D9">
              <w:rPr>
                <w:rFonts w:ascii="Arial" w:eastAsia="Times New Roman" w:hAnsi="Arial" w:cs="Arial"/>
                <w:sz w:val="22"/>
                <w:szCs w:val="22"/>
                <w:lang w:eastAsia="en-US"/>
              </w:rPr>
              <w:t>AP).</w:t>
            </w:r>
          </w:p>
        </w:tc>
      </w:tr>
    </w:tbl>
    <w:p w14:paraId="1E543DEA" w14:textId="4D9DF3BA" w:rsidR="00FA68D9" w:rsidRDefault="00FA68D9">
      <w:pPr>
        <w:tabs>
          <w:tab w:val="clear" w:pos="567"/>
        </w:tabs>
        <w:snapToGrid/>
        <w:rPr>
          <w:rFonts w:ascii="Arial" w:hAnsi="Arial" w:cs="Arial"/>
          <w:b/>
          <w:bCs/>
          <w:sz w:val="22"/>
          <w:szCs w:val="22"/>
        </w:rPr>
      </w:pPr>
      <w:r>
        <w:rPr>
          <w:rFonts w:ascii="Arial" w:hAnsi="Arial" w:cs="Arial"/>
          <w:b/>
          <w:bCs/>
          <w:sz w:val="22"/>
          <w:szCs w:val="22"/>
        </w:rPr>
        <w:br w:type="page"/>
      </w:r>
    </w:p>
    <w:p w14:paraId="7E71C7D7" w14:textId="77777777" w:rsidR="00025A88" w:rsidRPr="00025A88" w:rsidRDefault="00025A88" w:rsidP="00025A88">
      <w:pPr>
        <w:keepNext/>
        <w:keepLines/>
        <w:widowControl w:val="0"/>
        <w:adjustRightInd w:val="0"/>
        <w:ind w:left="567" w:hanging="567"/>
        <w:jc w:val="both"/>
        <w:textAlignment w:val="baseline"/>
        <w:outlineLvl w:val="1"/>
        <w:rPr>
          <w:rFonts w:ascii="Arial" w:eastAsia="Times New Roman" w:hAnsi="Arial" w:cs="Arial"/>
          <w:b/>
          <w:bCs/>
          <w:caps/>
          <w:sz w:val="22"/>
          <w:szCs w:val="22"/>
          <w:lang w:eastAsia="en-US"/>
        </w:rPr>
      </w:pPr>
      <w:r w:rsidRPr="00025A88">
        <w:rPr>
          <w:rFonts w:ascii="Arial" w:eastAsia="Times New Roman" w:hAnsi="Arial" w:cs="Arial"/>
          <w:b/>
          <w:bCs/>
          <w:caps/>
          <w:sz w:val="22"/>
          <w:szCs w:val="22"/>
          <w:lang w:eastAsia="en-US"/>
        </w:rPr>
        <w:lastRenderedPageBreak/>
        <w:t>introduction – strategic analysis BY THE IOC EXECUTIVE SECRETARY</w:t>
      </w:r>
    </w:p>
    <w:p w14:paraId="6E0C8A6C" w14:textId="77777777" w:rsidR="00025A88" w:rsidRPr="00025A88" w:rsidRDefault="00025A88" w:rsidP="00025A88">
      <w:pPr>
        <w:widowControl w:val="0"/>
        <w:adjustRightInd w:val="0"/>
        <w:jc w:val="both"/>
        <w:textAlignment w:val="baseline"/>
        <w:rPr>
          <w:rFonts w:ascii="Arial" w:eastAsia="Times New Roman" w:hAnsi="Arial"/>
          <w:sz w:val="22"/>
          <w:lang w:eastAsia="en-US"/>
        </w:rPr>
      </w:pPr>
      <w:r w:rsidRPr="00025A88">
        <w:rPr>
          <w:rFonts w:ascii="Arial" w:eastAsia="Times New Roman" w:hAnsi="Arial"/>
          <w:noProof/>
          <w:snapToGrid/>
          <w:sz w:val="22"/>
          <w:lang w:val="fr-FR" w:eastAsia="fr-FR"/>
        </w:rPr>
        <mc:AlternateContent>
          <mc:Choice Requires="wps">
            <w:drawing>
              <wp:anchor distT="0" distB="0" distL="114300" distR="114300" simplePos="0" relativeHeight="251659264" behindDoc="0" locked="0" layoutInCell="1" allowOverlap="1" wp14:anchorId="7227533B" wp14:editId="69B10454">
                <wp:simplePos x="0" y="0"/>
                <wp:positionH relativeFrom="column">
                  <wp:posOffset>12700</wp:posOffset>
                </wp:positionH>
                <wp:positionV relativeFrom="paragraph">
                  <wp:posOffset>6889</wp:posOffset>
                </wp:positionV>
                <wp:extent cx="618172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D7419A8" id="Straight Connector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pt,.55pt" to="48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Cj4AEAAKQDAAAOAAAAZHJzL2Uyb0RvYy54bWysU8uu0zAQ3SPxD5b3NElFSxs1vRKtyoZH&#10;pQvsp34klvySbZr27xk7obrADrGx7JnxmTnHx7unm9HkKkJUzna0WdSUCMscV7bv6LevpzcbSmIC&#10;y0E7Kzp6F5E+7V+/2o2+FUs3OM1FIAhiYzv6jg4p+baqIhuEgbhwXlhMShcMJDyGvuIBRkQ3ulrW&#10;9boaXeA+OCZixOhxStJ9wZdSsPRFyigS0R3F2VJZQ1kvea32O2j7AH5QbB4D/mEKA8pi0wfUERKQ&#10;H0H9BWUUCy46mRbMmcpJqZgoHJBNU//B5nkALwoXFCf6h0zx/8Gyz9dzIIp3dE2JBYNP9JwCqH5I&#10;5OCsRQFdIOus0+hji+UHew7zKfpzyKRvMhgitfLf0QJFBiRGbkXl+0NlcUuEYXDdbJp3yxUlDHPN&#10;tl6VV6gmmAznQ0wfhDMkbzqqlc0iQAvXjzFhayz9VZLD1p2U1uUhtSVjR7ergg5oJ6khYSPjkWC0&#10;PSWge/QpS6EgRqcVz7czTgz95aADuQJ65e1p07w/TkUDcDFFt6u6nj0TIX1yfAo3yGGK42gzTBnz&#10;N/w88xHiMN0pqSwrXtE29xfFrjPFLPYkb95dHL8X1at8QiuUa7Nts9dennH/8nPtfwIAAP//AwBQ&#10;SwMEFAAGAAgAAAAhABLSJ4LcAAAABQEAAA8AAABkcnMvZG93bnJldi54bWxMj8FOwzAQRO9I/IO1&#10;SNyok4oCTeNUEVIugIQauPTmxEscGq+j2G3Tv2c5wXFnRjNv8+3sBnHCKfSeFKSLBARS601PnYLP&#10;j+ruCUSImowePKGCCwbYFtdXuc6MP9MOT3XsBJdQyLQCG+OYSRlai06HhR+R2Pvyk9ORz6mTZtJn&#10;LneDXCbJg3S6J16wesRni+2hPjoFVdPb19JX3dvFfWN9KPfl+8teqdubudyAiDjHvzD84jM6FMzU&#10;+COZIAYFS/4kspyCYHf9uFqBaBTcpyCLXP6nL34AAAD//wMAUEsBAi0AFAAGAAgAAAAhALaDOJL+&#10;AAAA4QEAABMAAAAAAAAAAAAAAAAAAAAAAFtDb250ZW50X1R5cGVzXS54bWxQSwECLQAUAAYACAAA&#10;ACEAOP0h/9YAAACUAQAACwAAAAAAAAAAAAAAAAAvAQAAX3JlbHMvLnJlbHNQSwECLQAUAAYACAAA&#10;ACEAuE3Ao+ABAACkAwAADgAAAAAAAAAAAAAAAAAuAgAAZHJzL2Uyb0RvYy54bWxQSwECLQAUAAYA&#10;CAAAACEAEtIngtwAAAAFAQAADwAAAAAAAAAAAAAAAAA6BAAAZHJzL2Rvd25yZXYueG1sUEsFBgAA&#10;AAAEAAQA8wAAAEMFAAAAAA==&#10;" strokecolor="#4a7ebb"/>
            </w:pict>
          </mc:Fallback>
        </mc:AlternateContent>
      </w:r>
    </w:p>
    <w:p w14:paraId="372EE3B4" w14:textId="77777777" w:rsidR="00C51DE8" w:rsidRPr="004864D9" w:rsidRDefault="00C51DE8" w:rsidP="00C51DE8">
      <w:pPr>
        <w:keepNext/>
        <w:widowControl w:val="0"/>
        <w:adjustRightInd w:val="0"/>
        <w:spacing w:after="240" w:line="360" w:lineRule="atLeast"/>
        <w:jc w:val="both"/>
        <w:textAlignment w:val="baseline"/>
        <w:rPr>
          <w:rFonts w:ascii="Arial" w:eastAsia="Times New Roman" w:hAnsi="Arial" w:cs="Arial"/>
          <w:b/>
          <w:bCs/>
          <w:i/>
          <w:iCs/>
          <w:sz w:val="22"/>
          <w:lang w:eastAsia="en-US"/>
        </w:rPr>
      </w:pPr>
      <w:r w:rsidRPr="004864D9">
        <w:rPr>
          <w:rFonts w:ascii="Arial" w:eastAsia="Times New Roman" w:hAnsi="Arial" w:cs="Arial"/>
          <w:b/>
          <w:bCs/>
          <w:i/>
          <w:iCs/>
          <w:sz w:val="22"/>
          <w:lang w:eastAsia="en-US"/>
        </w:rPr>
        <w:t>Staying the course after IOC-31</w:t>
      </w:r>
    </w:p>
    <w:p w14:paraId="1CE234BA" w14:textId="0B3D48CF" w:rsidR="00C51DE8" w:rsidRPr="00E35CD7" w:rsidRDefault="00C51DE8" w:rsidP="00E35CD7">
      <w:pPr>
        <w:widowControl w:val="0"/>
        <w:numPr>
          <w:ilvl w:val="0"/>
          <w:numId w:val="18"/>
        </w:numPr>
        <w:shd w:val="clear" w:color="auto" w:fill="FFFFFF"/>
        <w:tabs>
          <w:tab w:val="clear" w:pos="567"/>
          <w:tab w:val="left" w:pos="709"/>
        </w:tabs>
        <w:adjustRightInd w:val="0"/>
        <w:spacing w:after="240"/>
        <w:ind w:left="0" w:firstLine="0"/>
        <w:jc w:val="both"/>
        <w:textAlignment w:val="baseline"/>
        <w:rPr>
          <w:rFonts w:asciiTheme="minorBidi" w:eastAsia="Times New Roman" w:hAnsiTheme="minorBidi" w:cstheme="minorBidi"/>
          <w:sz w:val="22"/>
          <w:szCs w:val="22"/>
        </w:rPr>
      </w:pPr>
      <w:r w:rsidRPr="00E35CD7">
        <w:rPr>
          <w:rFonts w:asciiTheme="minorBidi" w:eastAsia="Times New Roman" w:hAnsiTheme="minorBidi" w:cstheme="minorBidi"/>
          <w:sz w:val="22"/>
          <w:szCs w:val="22"/>
        </w:rPr>
        <w:t xml:space="preserve">The strategic analysis presented in the </w:t>
      </w:r>
      <w:r w:rsidR="00615F33" w:rsidRPr="00E35CD7">
        <w:rPr>
          <w:rFonts w:asciiTheme="minorBidi" w:hAnsiTheme="minorBidi" w:cstheme="minorBidi"/>
        </w:rPr>
        <w:t>Report</w:t>
      </w:r>
      <w:r w:rsidRPr="00E35CD7">
        <w:rPr>
          <w:rFonts w:asciiTheme="minorBidi" w:eastAsia="Times New Roman" w:hAnsiTheme="minorBidi" w:cstheme="minorBidi"/>
          <w:sz w:val="22"/>
          <w:szCs w:val="22"/>
        </w:rPr>
        <w:t xml:space="preserve"> of the IOC Executive Secretary to the 31</w:t>
      </w:r>
      <w:r w:rsidRPr="00E35CD7">
        <w:rPr>
          <w:rFonts w:asciiTheme="minorBidi" w:eastAsia="Times New Roman" w:hAnsiTheme="minorBidi" w:cstheme="minorBidi"/>
          <w:sz w:val="22"/>
          <w:szCs w:val="22"/>
          <w:vertAlign w:val="superscript"/>
        </w:rPr>
        <w:t>st</w:t>
      </w:r>
      <w:r w:rsidRPr="00E35CD7">
        <w:rPr>
          <w:rFonts w:asciiTheme="minorBidi" w:eastAsia="Times New Roman" w:hAnsiTheme="minorBidi" w:cstheme="minorBidi"/>
          <w:sz w:val="22"/>
          <w:szCs w:val="22"/>
        </w:rPr>
        <w:t xml:space="preserve"> IOC Assembly in June 2021 </w:t>
      </w:r>
      <w:r w:rsidR="00615F33">
        <w:rPr>
          <w:rFonts w:asciiTheme="minorBidi" w:eastAsia="Times New Roman" w:hAnsiTheme="minorBidi" w:cstheme="minorBidi"/>
          <w:sz w:val="22"/>
          <w:szCs w:val="22"/>
        </w:rPr>
        <w:t>(</w:t>
      </w:r>
      <w:hyperlink r:id="rId7" w:history="1">
        <w:r w:rsidR="00615F33" w:rsidRPr="00615F33">
          <w:rPr>
            <w:rStyle w:val="Hyperlink"/>
            <w:rFonts w:asciiTheme="minorBidi" w:eastAsia="Times New Roman" w:hAnsiTheme="minorBidi" w:cstheme="minorBidi"/>
            <w:sz w:val="22"/>
            <w:szCs w:val="22"/>
          </w:rPr>
          <w:t>IOC/A-31/3.2.Doc(1)</w:t>
        </w:r>
      </w:hyperlink>
      <w:r w:rsidR="00615F33">
        <w:rPr>
          <w:rFonts w:asciiTheme="minorBidi" w:eastAsia="Times New Roman" w:hAnsiTheme="minorBidi" w:cstheme="minorBidi"/>
          <w:sz w:val="22"/>
          <w:szCs w:val="22"/>
        </w:rPr>
        <w:t xml:space="preserve">) </w:t>
      </w:r>
      <w:r w:rsidRPr="00E35CD7">
        <w:rPr>
          <w:rFonts w:asciiTheme="minorBidi" w:eastAsia="Times New Roman" w:hAnsiTheme="minorBidi" w:cstheme="minorBidi"/>
          <w:sz w:val="22"/>
          <w:szCs w:val="22"/>
        </w:rPr>
        <w:t xml:space="preserve">remains valid, and the short 4-page segment below simply complements and updates it. </w:t>
      </w:r>
    </w:p>
    <w:p w14:paraId="2D0D9039" w14:textId="1C8FF291" w:rsidR="00C51DE8" w:rsidRPr="00903644" w:rsidRDefault="00C51DE8" w:rsidP="00E35CD7">
      <w:pPr>
        <w:widowControl w:val="0"/>
        <w:numPr>
          <w:ilvl w:val="0"/>
          <w:numId w:val="18"/>
        </w:numPr>
        <w:shd w:val="clear" w:color="auto" w:fill="FFFFFF"/>
        <w:tabs>
          <w:tab w:val="clear" w:pos="567"/>
          <w:tab w:val="left" w:pos="709"/>
        </w:tabs>
        <w:adjustRightInd w:val="0"/>
        <w:spacing w:after="240"/>
        <w:ind w:left="0" w:firstLine="0"/>
        <w:jc w:val="both"/>
        <w:textAlignment w:val="baseline"/>
        <w:rPr>
          <w:rFonts w:ascii="Arial" w:eastAsia="Times New Roman" w:hAnsi="Arial"/>
          <w:sz w:val="22"/>
          <w:szCs w:val="22"/>
        </w:rPr>
      </w:pPr>
      <w:r w:rsidRPr="00A41499">
        <w:rPr>
          <w:rFonts w:ascii="Arial" w:eastAsia="Times New Roman" w:hAnsi="Arial"/>
          <w:sz w:val="22"/>
          <w:szCs w:val="22"/>
        </w:rPr>
        <w:t xml:space="preserve">Despite the complex international situation in the wake of the </w:t>
      </w:r>
      <w:r w:rsidRPr="00903644">
        <w:rPr>
          <w:rFonts w:ascii="Arial" w:eastAsia="Times New Roman" w:hAnsi="Arial"/>
          <w:sz w:val="22"/>
          <w:szCs w:val="22"/>
        </w:rPr>
        <w:t xml:space="preserve">COVID-19 pandemic and the </w:t>
      </w:r>
      <w:r w:rsidRPr="00E35CD7">
        <w:rPr>
          <w:rFonts w:asciiTheme="minorBidi" w:eastAsia="Times New Roman" w:hAnsiTheme="minorBidi" w:cstheme="minorBidi"/>
          <w:sz w:val="22"/>
          <w:szCs w:val="22"/>
        </w:rPr>
        <w:t>geopolitical</w:t>
      </w:r>
      <w:r w:rsidRPr="00903644">
        <w:rPr>
          <w:rFonts w:ascii="Arial" w:eastAsia="Times New Roman" w:hAnsi="Arial"/>
          <w:sz w:val="22"/>
          <w:szCs w:val="22"/>
        </w:rPr>
        <w:t xml:space="preserve"> tensions due to, </w:t>
      </w:r>
      <w:r w:rsidRPr="0087386A">
        <w:rPr>
          <w:rFonts w:ascii="Arial" w:eastAsia="Times New Roman" w:hAnsi="Arial"/>
          <w:i/>
          <w:iCs/>
          <w:sz w:val="22"/>
          <w:szCs w:val="22"/>
        </w:rPr>
        <w:t>inter alia</w:t>
      </w:r>
      <w:r w:rsidRPr="00903644">
        <w:rPr>
          <w:rFonts w:ascii="Arial" w:eastAsia="Times New Roman" w:hAnsi="Arial"/>
          <w:sz w:val="22"/>
          <w:szCs w:val="22"/>
        </w:rPr>
        <w:t xml:space="preserve">, the military conflict in Ukraine, the year 2022 is supposed to be the “year of the ocean”. Its start was marked by the </w:t>
      </w:r>
      <w:r w:rsidR="00615D71">
        <w:rPr>
          <w:rFonts w:ascii="Arial" w:eastAsia="Times New Roman" w:hAnsi="Arial"/>
          <w:sz w:val="22"/>
          <w:szCs w:val="22"/>
        </w:rPr>
        <w:t>‘</w:t>
      </w:r>
      <w:r w:rsidR="00615D71" w:rsidRPr="00903644">
        <w:rPr>
          <w:rFonts w:ascii="Arial" w:eastAsia="Times New Roman" w:hAnsi="Arial"/>
          <w:sz w:val="22"/>
          <w:szCs w:val="22"/>
        </w:rPr>
        <w:t>One Ocean Summit</w:t>
      </w:r>
      <w:r w:rsidR="00615D71">
        <w:rPr>
          <w:rFonts w:ascii="Arial" w:eastAsia="Times New Roman" w:hAnsi="Arial"/>
          <w:sz w:val="22"/>
          <w:szCs w:val="22"/>
        </w:rPr>
        <w:t>’, the first One Planet Summit entirely dedicated to the Ocean</w:t>
      </w:r>
      <w:r w:rsidR="00E97813">
        <w:rPr>
          <w:rFonts w:ascii="Arial" w:eastAsia="Times New Roman" w:hAnsi="Arial"/>
          <w:sz w:val="22"/>
          <w:szCs w:val="22"/>
        </w:rPr>
        <w:t>,</w:t>
      </w:r>
      <w:r w:rsidR="00615D71">
        <w:rPr>
          <w:rFonts w:ascii="Arial" w:eastAsia="Times New Roman" w:hAnsi="Arial"/>
          <w:sz w:val="22"/>
          <w:szCs w:val="22"/>
        </w:rPr>
        <w:t xml:space="preserve"> which was </w:t>
      </w:r>
      <w:r w:rsidRPr="00903644">
        <w:rPr>
          <w:rFonts w:ascii="Arial" w:eastAsia="Times New Roman" w:hAnsi="Arial"/>
          <w:sz w:val="22"/>
          <w:szCs w:val="22"/>
        </w:rPr>
        <w:t xml:space="preserve">organized </w:t>
      </w:r>
      <w:r w:rsidR="00E97813">
        <w:rPr>
          <w:rFonts w:ascii="Arial" w:eastAsia="Times New Roman" w:hAnsi="Arial"/>
          <w:sz w:val="22"/>
          <w:szCs w:val="22"/>
        </w:rPr>
        <w:t xml:space="preserve">in Brest (France) on </w:t>
      </w:r>
      <w:r w:rsidR="00E97813" w:rsidRPr="00903644">
        <w:rPr>
          <w:rFonts w:ascii="Arial" w:eastAsia="Times New Roman" w:hAnsi="Arial"/>
          <w:sz w:val="22"/>
          <w:szCs w:val="22"/>
        </w:rPr>
        <w:t>9</w:t>
      </w:r>
      <w:r w:rsidR="00E97813">
        <w:rPr>
          <w:rFonts w:ascii="Arial" w:eastAsia="Times New Roman" w:hAnsi="Arial"/>
          <w:sz w:val="22"/>
          <w:szCs w:val="22"/>
        </w:rPr>
        <w:t>, 10 &amp; 11</w:t>
      </w:r>
      <w:r w:rsidR="00E97813" w:rsidRPr="00903644">
        <w:rPr>
          <w:rFonts w:ascii="Arial" w:eastAsia="Times New Roman" w:hAnsi="Arial"/>
          <w:sz w:val="22"/>
          <w:szCs w:val="22"/>
        </w:rPr>
        <w:t xml:space="preserve"> February 2022</w:t>
      </w:r>
      <w:r w:rsidR="00E97813">
        <w:rPr>
          <w:rFonts w:ascii="Arial" w:eastAsia="Times New Roman" w:hAnsi="Arial"/>
          <w:sz w:val="22"/>
          <w:szCs w:val="22"/>
        </w:rPr>
        <w:t xml:space="preserve"> </w:t>
      </w:r>
      <w:r w:rsidR="00615D71" w:rsidRPr="00615D71">
        <w:rPr>
          <w:rFonts w:ascii="Arial" w:eastAsia="Times New Roman" w:hAnsi="Arial"/>
          <w:sz w:val="22"/>
          <w:szCs w:val="22"/>
        </w:rPr>
        <w:t>in the context of the French Presidency of the Council of the European Union and with the support of the United</w:t>
      </w:r>
      <w:r w:rsidR="00E97813">
        <w:rPr>
          <w:rFonts w:ascii="Arial" w:eastAsia="Times New Roman" w:hAnsi="Arial"/>
          <w:sz w:val="22"/>
          <w:szCs w:val="22"/>
        </w:rPr>
        <w:t xml:space="preserve"> </w:t>
      </w:r>
      <w:r w:rsidR="00E97813" w:rsidRPr="00615D71">
        <w:rPr>
          <w:rFonts w:ascii="Arial" w:eastAsia="Times New Roman" w:hAnsi="Arial"/>
          <w:sz w:val="22"/>
          <w:szCs w:val="22"/>
        </w:rPr>
        <w:t>Nations</w:t>
      </w:r>
      <w:r w:rsidRPr="00903644">
        <w:rPr>
          <w:rFonts w:ascii="Arial" w:eastAsia="Times New Roman" w:hAnsi="Arial"/>
          <w:sz w:val="22"/>
          <w:szCs w:val="22"/>
        </w:rPr>
        <w:t xml:space="preserve">. UNESCO Director-General spoke at the high-level segment of the Summit in presence of many </w:t>
      </w:r>
      <w:r w:rsidR="00615D71" w:rsidRPr="00903644">
        <w:rPr>
          <w:rFonts w:ascii="Arial" w:eastAsia="Times New Roman" w:hAnsi="Arial"/>
          <w:sz w:val="22"/>
          <w:szCs w:val="22"/>
        </w:rPr>
        <w:t xml:space="preserve">Heads </w:t>
      </w:r>
      <w:r w:rsidRPr="00903644">
        <w:rPr>
          <w:rFonts w:ascii="Arial" w:eastAsia="Times New Roman" w:hAnsi="Arial"/>
          <w:sz w:val="22"/>
          <w:szCs w:val="22"/>
        </w:rPr>
        <w:t xml:space="preserve">of </w:t>
      </w:r>
      <w:r w:rsidR="00615D71" w:rsidRPr="00903644">
        <w:rPr>
          <w:rFonts w:ascii="Arial" w:eastAsia="Times New Roman" w:hAnsi="Arial"/>
          <w:sz w:val="22"/>
          <w:szCs w:val="22"/>
        </w:rPr>
        <w:t xml:space="preserve">State </w:t>
      </w:r>
      <w:r w:rsidRPr="00903644">
        <w:rPr>
          <w:rFonts w:ascii="Arial" w:eastAsia="Times New Roman" w:hAnsi="Arial"/>
          <w:sz w:val="22"/>
          <w:szCs w:val="22"/>
        </w:rPr>
        <w:t>and government</w:t>
      </w:r>
      <w:r w:rsidR="00615D71">
        <w:rPr>
          <w:rFonts w:ascii="Arial" w:eastAsia="Times New Roman" w:hAnsi="Arial"/>
          <w:sz w:val="22"/>
          <w:szCs w:val="22"/>
        </w:rPr>
        <w:t>. T</w:t>
      </w:r>
      <w:r w:rsidRPr="00903644">
        <w:rPr>
          <w:rFonts w:ascii="Arial" w:eastAsia="Times New Roman" w:hAnsi="Arial"/>
          <w:sz w:val="22"/>
          <w:szCs w:val="22"/>
        </w:rPr>
        <w:t xml:space="preserve">he IOC mobilized UNESCO’s contribution to the Summit, organized and/or participated in key Summit events. </w:t>
      </w:r>
    </w:p>
    <w:p w14:paraId="7C62AD93" w14:textId="60274FBE" w:rsidR="00C51DE8" w:rsidRPr="004864D9" w:rsidRDefault="00C51DE8" w:rsidP="00E35CD7">
      <w:pPr>
        <w:widowControl w:val="0"/>
        <w:numPr>
          <w:ilvl w:val="0"/>
          <w:numId w:val="18"/>
        </w:numPr>
        <w:shd w:val="clear" w:color="auto" w:fill="FFFFFF"/>
        <w:tabs>
          <w:tab w:val="clear" w:pos="567"/>
          <w:tab w:val="left" w:pos="709"/>
        </w:tabs>
        <w:adjustRightInd w:val="0"/>
        <w:spacing w:after="240"/>
        <w:ind w:left="0" w:firstLine="0"/>
        <w:jc w:val="both"/>
        <w:textAlignment w:val="baseline"/>
        <w:rPr>
          <w:rFonts w:ascii="Arial" w:eastAsia="Times New Roman" w:hAnsi="Arial"/>
          <w:sz w:val="22"/>
          <w:szCs w:val="22"/>
        </w:rPr>
      </w:pPr>
      <w:r>
        <w:rPr>
          <w:rFonts w:ascii="Arial" w:eastAsia="Times New Roman" w:hAnsi="Arial"/>
          <w:sz w:val="22"/>
          <w:szCs w:val="22"/>
        </w:rPr>
        <w:t xml:space="preserve">The </w:t>
      </w:r>
      <w:r w:rsidR="00B905CA">
        <w:rPr>
          <w:rFonts w:ascii="Arial" w:eastAsia="Times New Roman" w:hAnsi="Arial"/>
          <w:sz w:val="22"/>
          <w:szCs w:val="22"/>
        </w:rPr>
        <w:t>Seventh ‘</w:t>
      </w:r>
      <w:r w:rsidRPr="009A497D">
        <w:rPr>
          <w:rFonts w:ascii="Arial" w:eastAsia="Times New Roman" w:hAnsi="Arial"/>
          <w:sz w:val="22"/>
          <w:szCs w:val="22"/>
        </w:rPr>
        <w:t xml:space="preserve">Our Ocean </w:t>
      </w:r>
      <w:r w:rsidR="00B905CA">
        <w:rPr>
          <w:rFonts w:ascii="Arial" w:eastAsia="Times New Roman" w:hAnsi="Arial"/>
          <w:sz w:val="22"/>
          <w:szCs w:val="22"/>
        </w:rPr>
        <w:t>Conference’</w:t>
      </w:r>
      <w:r w:rsidR="00B905CA" w:rsidRPr="009A497D">
        <w:rPr>
          <w:rFonts w:ascii="Arial" w:eastAsia="Times New Roman" w:hAnsi="Arial"/>
          <w:sz w:val="22"/>
          <w:szCs w:val="22"/>
        </w:rPr>
        <w:t xml:space="preserve"> </w:t>
      </w:r>
      <w:r w:rsidR="00B905CA">
        <w:rPr>
          <w:rFonts w:ascii="Arial" w:eastAsia="Times New Roman" w:hAnsi="Arial"/>
          <w:sz w:val="22"/>
          <w:szCs w:val="22"/>
        </w:rPr>
        <w:t xml:space="preserve">in </w:t>
      </w:r>
      <w:r w:rsidRPr="009A497D">
        <w:rPr>
          <w:rFonts w:ascii="Arial" w:eastAsia="Times New Roman" w:hAnsi="Arial"/>
          <w:sz w:val="22"/>
          <w:szCs w:val="22"/>
        </w:rPr>
        <w:t>Palau</w:t>
      </w:r>
      <w:r w:rsidRPr="00F5559A">
        <w:rPr>
          <w:rFonts w:ascii="Arial" w:eastAsia="Times New Roman" w:hAnsi="Arial"/>
          <w:sz w:val="22"/>
          <w:szCs w:val="22"/>
        </w:rPr>
        <w:t xml:space="preserve"> </w:t>
      </w:r>
      <w:r w:rsidR="00B905CA">
        <w:rPr>
          <w:rFonts w:ascii="Arial" w:eastAsia="Times New Roman" w:hAnsi="Arial"/>
          <w:sz w:val="22"/>
          <w:szCs w:val="22"/>
        </w:rPr>
        <w:t>(</w:t>
      </w:r>
      <w:r w:rsidRPr="004864D9">
        <w:rPr>
          <w:rFonts w:ascii="Arial" w:eastAsia="Times New Roman" w:hAnsi="Arial"/>
          <w:sz w:val="22"/>
          <w:szCs w:val="22"/>
        </w:rPr>
        <w:t>13</w:t>
      </w:r>
      <w:r w:rsidR="000E05C8">
        <w:rPr>
          <w:rFonts w:ascii="Arial" w:eastAsia="Times New Roman" w:hAnsi="Arial"/>
          <w:sz w:val="22"/>
          <w:szCs w:val="22"/>
        </w:rPr>
        <w:t>–</w:t>
      </w:r>
      <w:r w:rsidRPr="004864D9">
        <w:rPr>
          <w:rFonts w:ascii="Arial" w:eastAsia="Times New Roman" w:hAnsi="Arial"/>
          <w:sz w:val="22"/>
          <w:szCs w:val="22"/>
        </w:rPr>
        <w:t>14 April 2022</w:t>
      </w:r>
      <w:r w:rsidR="00B905CA">
        <w:rPr>
          <w:rFonts w:ascii="Arial" w:eastAsia="Times New Roman" w:hAnsi="Arial"/>
          <w:sz w:val="22"/>
          <w:szCs w:val="22"/>
        </w:rPr>
        <w:t>)</w:t>
      </w:r>
      <w:r>
        <w:rPr>
          <w:rFonts w:ascii="Arial" w:eastAsia="Times New Roman" w:hAnsi="Arial"/>
          <w:sz w:val="22"/>
          <w:szCs w:val="22"/>
        </w:rPr>
        <w:t xml:space="preserve"> provided additional momentum for ocean stakeholders, particularly in generating ocean commitments for and from SIDS and the </w:t>
      </w:r>
      <w:r w:rsidRPr="004864D9">
        <w:rPr>
          <w:rFonts w:ascii="Arial" w:eastAsia="Times New Roman" w:hAnsi="Arial"/>
          <w:sz w:val="22"/>
          <w:szCs w:val="22"/>
        </w:rPr>
        <w:t xml:space="preserve">Pacific. </w:t>
      </w:r>
      <w:r w:rsidRPr="00E35CD7">
        <w:rPr>
          <w:rFonts w:asciiTheme="minorBidi" w:eastAsia="Times New Roman" w:hAnsiTheme="minorBidi" w:cstheme="minorBidi"/>
          <w:sz w:val="22"/>
          <w:szCs w:val="22"/>
        </w:rPr>
        <w:t>The</w:t>
      </w:r>
      <w:r w:rsidRPr="004864D9">
        <w:rPr>
          <w:rFonts w:ascii="Arial" w:eastAsia="Times New Roman" w:hAnsi="Arial"/>
          <w:sz w:val="22"/>
          <w:szCs w:val="22"/>
        </w:rPr>
        <w:t xml:space="preserve"> “ocean route” of 2022 will continue through</w:t>
      </w:r>
      <w:r w:rsidR="00B905CA">
        <w:rPr>
          <w:rFonts w:ascii="Arial" w:eastAsia="Times New Roman" w:hAnsi="Arial"/>
          <w:sz w:val="22"/>
          <w:szCs w:val="22"/>
        </w:rPr>
        <w:t>:</w:t>
      </w:r>
      <w:r w:rsidRPr="004864D9">
        <w:rPr>
          <w:rFonts w:ascii="Arial" w:eastAsia="Times New Roman" w:hAnsi="Arial"/>
          <w:sz w:val="22"/>
          <w:szCs w:val="22"/>
        </w:rPr>
        <w:t xml:space="preserve"> the 10</w:t>
      </w:r>
      <w:r w:rsidR="00B905CA">
        <w:rPr>
          <w:rFonts w:ascii="Arial" w:eastAsia="Times New Roman" w:hAnsi="Arial"/>
          <w:sz w:val="22"/>
          <w:szCs w:val="22"/>
        </w:rPr>
        <w:t>–</w:t>
      </w:r>
      <w:r w:rsidRPr="004864D9">
        <w:rPr>
          <w:rFonts w:ascii="Arial" w:eastAsia="Times New Roman" w:hAnsi="Arial"/>
          <w:sz w:val="22"/>
          <w:szCs w:val="22"/>
        </w:rPr>
        <w:t xml:space="preserve">12 May </w:t>
      </w:r>
      <w:r>
        <w:rPr>
          <w:rFonts w:ascii="Arial" w:eastAsia="Times New Roman" w:hAnsi="Arial"/>
          <w:sz w:val="22"/>
          <w:szCs w:val="22"/>
        </w:rPr>
        <w:t xml:space="preserve">2022 </w:t>
      </w:r>
      <w:r w:rsidRPr="004864D9">
        <w:rPr>
          <w:rFonts w:ascii="Arial" w:eastAsia="Times New Roman" w:hAnsi="Arial"/>
          <w:sz w:val="22"/>
          <w:szCs w:val="22"/>
        </w:rPr>
        <w:t xml:space="preserve">African Conference </w:t>
      </w:r>
      <w:r>
        <w:rPr>
          <w:rFonts w:ascii="Arial" w:eastAsia="Times New Roman" w:hAnsi="Arial"/>
          <w:sz w:val="22"/>
          <w:szCs w:val="22"/>
        </w:rPr>
        <w:t xml:space="preserve">in Cairo, Egypt, </w:t>
      </w:r>
      <w:r w:rsidRPr="004864D9">
        <w:rPr>
          <w:rFonts w:ascii="Arial" w:eastAsia="Times New Roman" w:hAnsi="Arial"/>
          <w:sz w:val="22"/>
          <w:szCs w:val="22"/>
        </w:rPr>
        <w:t xml:space="preserve">setting the </w:t>
      </w:r>
      <w:hyperlink r:id="rId8" w:anchor=":~:text=The%20Plan%20documents%20the%20Decade,capacity%20development%2C%20and%20behavior%20change." w:history="1">
        <w:r w:rsidRPr="00B905CA">
          <w:rPr>
            <w:rStyle w:val="Hyperlink"/>
            <w:rFonts w:ascii="Arial" w:eastAsia="Times New Roman" w:hAnsi="Arial"/>
            <w:sz w:val="22"/>
            <w:szCs w:val="22"/>
          </w:rPr>
          <w:t>Ocean Decade</w:t>
        </w:r>
      </w:hyperlink>
      <w:r w:rsidRPr="004864D9">
        <w:rPr>
          <w:rFonts w:ascii="Arial" w:eastAsia="Times New Roman" w:hAnsi="Arial"/>
          <w:sz w:val="22"/>
          <w:szCs w:val="22"/>
        </w:rPr>
        <w:t xml:space="preserve"> roadmap for the continent</w:t>
      </w:r>
      <w:r>
        <w:rPr>
          <w:rFonts w:ascii="Arial" w:eastAsia="Times New Roman" w:hAnsi="Arial"/>
          <w:sz w:val="22"/>
          <w:szCs w:val="22"/>
        </w:rPr>
        <w:t>;</w:t>
      </w:r>
      <w:r w:rsidRPr="004864D9">
        <w:rPr>
          <w:rFonts w:ascii="Arial" w:eastAsia="Times New Roman" w:hAnsi="Arial"/>
          <w:sz w:val="22"/>
          <w:szCs w:val="22"/>
        </w:rPr>
        <w:t xml:space="preserve"> </w:t>
      </w:r>
      <w:r>
        <w:rPr>
          <w:rFonts w:ascii="Arial" w:eastAsia="Times New Roman" w:hAnsi="Arial"/>
          <w:sz w:val="22"/>
          <w:szCs w:val="22"/>
        </w:rPr>
        <w:t xml:space="preserve">the </w:t>
      </w:r>
      <w:r w:rsidR="00B905CA">
        <w:rPr>
          <w:rFonts w:ascii="Arial" w:eastAsia="Times New Roman" w:hAnsi="Arial"/>
          <w:sz w:val="22"/>
          <w:szCs w:val="22"/>
        </w:rPr>
        <w:t>22</w:t>
      </w:r>
      <w:r w:rsidR="00B905CA" w:rsidRPr="00E35CD7">
        <w:rPr>
          <w:rFonts w:ascii="Arial" w:eastAsia="Times New Roman" w:hAnsi="Arial"/>
          <w:sz w:val="22"/>
          <w:szCs w:val="22"/>
          <w:vertAlign w:val="superscript"/>
        </w:rPr>
        <w:t>nd</w:t>
      </w:r>
      <w:r w:rsidR="00B905CA">
        <w:rPr>
          <w:rFonts w:ascii="Arial" w:eastAsia="Times New Roman" w:hAnsi="Arial"/>
          <w:sz w:val="22"/>
          <w:szCs w:val="22"/>
        </w:rPr>
        <w:t xml:space="preserve"> meeting of the </w:t>
      </w:r>
      <w:r w:rsidRPr="004864D9">
        <w:rPr>
          <w:rFonts w:ascii="Arial" w:eastAsia="Times New Roman" w:hAnsi="Arial"/>
          <w:sz w:val="22"/>
          <w:szCs w:val="22"/>
        </w:rPr>
        <w:t xml:space="preserve">UN </w:t>
      </w:r>
      <w:r w:rsidR="00B905CA" w:rsidRPr="00B905CA">
        <w:rPr>
          <w:rFonts w:ascii="Arial" w:eastAsia="Times New Roman" w:hAnsi="Arial"/>
          <w:sz w:val="22"/>
          <w:szCs w:val="22"/>
        </w:rPr>
        <w:t>Open-ended Informal Consultative Process on Oceans and the Law of the Sea</w:t>
      </w:r>
      <w:r w:rsidR="00B905CA" w:rsidRPr="00B905CA" w:rsidDel="00B905CA">
        <w:rPr>
          <w:rFonts w:ascii="Arial" w:eastAsia="Times New Roman" w:hAnsi="Arial"/>
          <w:sz w:val="22"/>
          <w:szCs w:val="22"/>
        </w:rPr>
        <w:t xml:space="preserve"> </w:t>
      </w:r>
      <w:r w:rsidRPr="004864D9">
        <w:rPr>
          <w:rFonts w:ascii="Arial" w:eastAsia="Times New Roman" w:hAnsi="Arial"/>
          <w:sz w:val="22"/>
          <w:szCs w:val="22"/>
        </w:rPr>
        <w:t>focu</w:t>
      </w:r>
      <w:r>
        <w:rPr>
          <w:rFonts w:ascii="Arial" w:eastAsia="Times New Roman" w:hAnsi="Arial"/>
          <w:sz w:val="22"/>
          <w:szCs w:val="22"/>
        </w:rPr>
        <w:t>sing</w:t>
      </w:r>
      <w:r w:rsidRPr="004864D9">
        <w:rPr>
          <w:rFonts w:ascii="Arial" w:eastAsia="Times New Roman" w:hAnsi="Arial"/>
          <w:sz w:val="22"/>
          <w:szCs w:val="22"/>
        </w:rPr>
        <w:t xml:space="preserve"> on ocean </w:t>
      </w:r>
      <w:r w:rsidR="000E05C8">
        <w:rPr>
          <w:rFonts w:ascii="Arial" w:eastAsia="Times New Roman" w:hAnsi="Arial"/>
          <w:sz w:val="22"/>
          <w:szCs w:val="22"/>
        </w:rPr>
        <w:t xml:space="preserve">observing </w:t>
      </w:r>
      <w:r w:rsidR="00B905CA">
        <w:rPr>
          <w:rFonts w:ascii="Arial" w:eastAsia="Times New Roman" w:hAnsi="Arial"/>
          <w:sz w:val="22"/>
          <w:szCs w:val="22"/>
        </w:rPr>
        <w:t>(6–10 June 2022);</w:t>
      </w:r>
      <w:r>
        <w:rPr>
          <w:rFonts w:ascii="Arial" w:eastAsia="Times New Roman" w:hAnsi="Arial"/>
          <w:sz w:val="22"/>
          <w:szCs w:val="22"/>
        </w:rPr>
        <w:t xml:space="preserve"> and the </w:t>
      </w:r>
      <w:r w:rsidRPr="004007B5">
        <w:rPr>
          <w:rFonts w:ascii="Arial" w:eastAsia="Times New Roman" w:hAnsi="Arial"/>
          <w:sz w:val="22"/>
          <w:szCs w:val="22"/>
        </w:rPr>
        <w:t>Ocean and Climate Dialogue of the UNFCCC</w:t>
      </w:r>
      <w:r w:rsidR="000E05C8">
        <w:rPr>
          <w:rFonts w:ascii="Arial" w:eastAsia="Times New Roman" w:hAnsi="Arial"/>
          <w:sz w:val="22"/>
          <w:szCs w:val="22"/>
        </w:rPr>
        <w:t xml:space="preserve"> (also </w:t>
      </w:r>
      <w:r w:rsidRPr="004864D9">
        <w:rPr>
          <w:rFonts w:ascii="Arial" w:eastAsia="Times New Roman" w:hAnsi="Arial"/>
          <w:sz w:val="22"/>
          <w:szCs w:val="22"/>
        </w:rPr>
        <w:t>in June 2022</w:t>
      </w:r>
      <w:r w:rsidR="000E05C8">
        <w:rPr>
          <w:rFonts w:ascii="Arial" w:eastAsia="Times New Roman" w:hAnsi="Arial"/>
          <w:sz w:val="22"/>
          <w:szCs w:val="22"/>
        </w:rPr>
        <w:t>)</w:t>
      </w:r>
      <w:r w:rsidRPr="004864D9">
        <w:rPr>
          <w:rFonts w:ascii="Arial" w:eastAsia="Times New Roman" w:hAnsi="Arial"/>
          <w:sz w:val="22"/>
          <w:szCs w:val="22"/>
        </w:rPr>
        <w:t>. After the 55</w:t>
      </w:r>
      <w:r w:rsidRPr="004864D9">
        <w:rPr>
          <w:rFonts w:ascii="Arial" w:eastAsia="Times New Roman" w:hAnsi="Arial"/>
          <w:sz w:val="22"/>
          <w:szCs w:val="22"/>
          <w:vertAlign w:val="superscript"/>
        </w:rPr>
        <w:t>th</w:t>
      </w:r>
      <w:r w:rsidRPr="004864D9">
        <w:rPr>
          <w:rFonts w:ascii="Arial" w:eastAsia="Times New Roman" w:hAnsi="Arial"/>
          <w:sz w:val="22"/>
          <w:szCs w:val="22"/>
        </w:rPr>
        <w:t xml:space="preserve"> </w:t>
      </w:r>
      <w:r>
        <w:rPr>
          <w:rFonts w:ascii="Arial" w:eastAsia="Times New Roman" w:hAnsi="Arial"/>
          <w:sz w:val="22"/>
          <w:szCs w:val="22"/>
        </w:rPr>
        <w:t xml:space="preserve">session of the </w:t>
      </w:r>
      <w:r w:rsidRPr="004864D9">
        <w:rPr>
          <w:rFonts w:ascii="Arial" w:eastAsia="Times New Roman" w:hAnsi="Arial"/>
          <w:sz w:val="22"/>
          <w:szCs w:val="22"/>
        </w:rPr>
        <w:t xml:space="preserve">IOC Executive Council, IOC will focus on the critically important </w:t>
      </w:r>
      <w:r w:rsidR="000E05C8">
        <w:rPr>
          <w:rFonts w:ascii="Arial" w:eastAsia="Times New Roman" w:hAnsi="Arial"/>
          <w:sz w:val="22"/>
          <w:szCs w:val="22"/>
        </w:rPr>
        <w:t>‘</w:t>
      </w:r>
      <w:r w:rsidRPr="004864D9">
        <w:rPr>
          <w:rFonts w:ascii="Arial" w:eastAsia="Times New Roman" w:hAnsi="Arial"/>
          <w:sz w:val="22"/>
          <w:szCs w:val="22"/>
        </w:rPr>
        <w:t>U</w:t>
      </w:r>
      <w:r w:rsidR="000E05C8">
        <w:rPr>
          <w:rFonts w:ascii="Arial" w:eastAsia="Times New Roman" w:hAnsi="Arial"/>
          <w:sz w:val="22"/>
          <w:szCs w:val="22"/>
        </w:rPr>
        <w:t xml:space="preserve">nited </w:t>
      </w:r>
      <w:r w:rsidRPr="004864D9">
        <w:rPr>
          <w:rFonts w:ascii="Arial" w:eastAsia="Times New Roman" w:hAnsi="Arial"/>
          <w:sz w:val="22"/>
          <w:szCs w:val="22"/>
        </w:rPr>
        <w:t>N</w:t>
      </w:r>
      <w:r w:rsidR="000E05C8">
        <w:rPr>
          <w:rFonts w:ascii="Arial" w:eastAsia="Times New Roman" w:hAnsi="Arial"/>
          <w:sz w:val="22"/>
          <w:szCs w:val="22"/>
        </w:rPr>
        <w:t>ations</w:t>
      </w:r>
      <w:r w:rsidRPr="004864D9">
        <w:rPr>
          <w:rFonts w:ascii="Arial" w:eastAsia="Times New Roman" w:hAnsi="Arial"/>
          <w:sz w:val="22"/>
          <w:szCs w:val="22"/>
        </w:rPr>
        <w:t xml:space="preserve"> Ocean Conference</w:t>
      </w:r>
      <w:r w:rsidR="000E05C8">
        <w:rPr>
          <w:rFonts w:ascii="Arial" w:eastAsia="Times New Roman" w:hAnsi="Arial"/>
          <w:sz w:val="22"/>
          <w:szCs w:val="22"/>
        </w:rPr>
        <w:t>’</w:t>
      </w:r>
      <w:r w:rsidRPr="004864D9">
        <w:rPr>
          <w:rFonts w:ascii="Arial" w:eastAsia="Times New Roman" w:hAnsi="Arial"/>
          <w:sz w:val="22"/>
          <w:szCs w:val="22"/>
        </w:rPr>
        <w:t xml:space="preserve"> in Lisbon</w:t>
      </w:r>
      <w:r w:rsidR="000E05C8">
        <w:rPr>
          <w:rFonts w:ascii="Arial" w:eastAsia="Times New Roman" w:hAnsi="Arial"/>
          <w:sz w:val="22"/>
          <w:szCs w:val="22"/>
        </w:rPr>
        <w:t xml:space="preserve"> (</w:t>
      </w:r>
      <w:r w:rsidRPr="004864D9">
        <w:rPr>
          <w:rFonts w:ascii="Arial" w:eastAsia="Times New Roman" w:hAnsi="Arial"/>
          <w:sz w:val="22"/>
          <w:szCs w:val="22"/>
        </w:rPr>
        <w:t>27 June–1 July 2022</w:t>
      </w:r>
      <w:r w:rsidR="000E05C8">
        <w:rPr>
          <w:rFonts w:ascii="Arial" w:eastAsia="Times New Roman" w:hAnsi="Arial"/>
          <w:sz w:val="22"/>
          <w:szCs w:val="22"/>
        </w:rPr>
        <w:t>)</w:t>
      </w:r>
      <w:r w:rsidRPr="004864D9">
        <w:rPr>
          <w:rFonts w:ascii="Arial" w:eastAsia="Times New Roman" w:hAnsi="Arial"/>
          <w:sz w:val="22"/>
          <w:szCs w:val="22"/>
        </w:rPr>
        <w:t xml:space="preserve">, </w:t>
      </w:r>
      <w:r w:rsidR="000E05C8">
        <w:rPr>
          <w:rFonts w:ascii="Arial" w:eastAsia="Times New Roman" w:hAnsi="Arial"/>
          <w:sz w:val="22"/>
          <w:szCs w:val="22"/>
        </w:rPr>
        <w:t>co-</w:t>
      </w:r>
      <w:r w:rsidRPr="004864D9">
        <w:rPr>
          <w:rFonts w:ascii="Arial" w:eastAsia="Times New Roman" w:hAnsi="Arial"/>
          <w:sz w:val="22"/>
          <w:szCs w:val="22"/>
        </w:rPr>
        <w:t xml:space="preserve">hosted by Portugal and Kenya. </w:t>
      </w:r>
      <w:r>
        <w:rPr>
          <w:rFonts w:ascii="Arial" w:eastAsia="Times New Roman" w:hAnsi="Arial"/>
          <w:sz w:val="22"/>
          <w:szCs w:val="22"/>
        </w:rPr>
        <w:t>C</w:t>
      </w:r>
      <w:r w:rsidRPr="004864D9">
        <w:rPr>
          <w:rFonts w:ascii="Arial" w:eastAsia="Times New Roman" w:hAnsi="Arial"/>
          <w:sz w:val="22"/>
          <w:szCs w:val="22"/>
        </w:rPr>
        <w:t>onclusions</w:t>
      </w:r>
      <w:r>
        <w:rPr>
          <w:rFonts w:ascii="Arial" w:eastAsia="Times New Roman" w:hAnsi="Arial"/>
          <w:sz w:val="22"/>
          <w:szCs w:val="22"/>
        </w:rPr>
        <w:t xml:space="preserve"> and</w:t>
      </w:r>
      <w:r w:rsidRPr="004864D9">
        <w:rPr>
          <w:rFonts w:ascii="Arial" w:eastAsia="Times New Roman" w:hAnsi="Arial"/>
          <w:sz w:val="22"/>
          <w:szCs w:val="22"/>
        </w:rPr>
        <w:t xml:space="preserve"> commitments </w:t>
      </w:r>
      <w:r>
        <w:rPr>
          <w:rFonts w:ascii="Arial" w:eastAsia="Times New Roman" w:hAnsi="Arial"/>
          <w:sz w:val="22"/>
          <w:szCs w:val="22"/>
        </w:rPr>
        <w:t>from</w:t>
      </w:r>
      <w:r w:rsidRPr="004864D9">
        <w:rPr>
          <w:rFonts w:ascii="Arial" w:eastAsia="Times New Roman" w:hAnsi="Arial"/>
          <w:sz w:val="22"/>
          <w:szCs w:val="22"/>
        </w:rPr>
        <w:t xml:space="preserve"> all the above events should shape the ocean </w:t>
      </w:r>
      <w:r>
        <w:rPr>
          <w:rFonts w:ascii="Arial" w:eastAsia="Times New Roman" w:hAnsi="Arial"/>
          <w:sz w:val="22"/>
          <w:szCs w:val="22"/>
        </w:rPr>
        <w:t>dimensions</w:t>
      </w:r>
      <w:r w:rsidRPr="004864D9">
        <w:rPr>
          <w:rFonts w:ascii="Arial" w:eastAsia="Times New Roman" w:hAnsi="Arial"/>
          <w:sz w:val="22"/>
          <w:szCs w:val="22"/>
        </w:rPr>
        <w:t xml:space="preserve"> of the </w:t>
      </w:r>
      <w:r>
        <w:rPr>
          <w:rFonts w:ascii="Arial" w:eastAsia="Times New Roman" w:hAnsi="Arial"/>
          <w:sz w:val="22"/>
          <w:szCs w:val="22"/>
        </w:rPr>
        <w:t xml:space="preserve">2022 </w:t>
      </w:r>
      <w:r w:rsidRPr="004864D9">
        <w:rPr>
          <w:rFonts w:ascii="Arial" w:eastAsia="Times New Roman" w:hAnsi="Arial"/>
          <w:sz w:val="22"/>
          <w:szCs w:val="22"/>
        </w:rPr>
        <w:t xml:space="preserve">Conference of </w:t>
      </w:r>
      <w:r w:rsidR="00F91FD6">
        <w:rPr>
          <w:rFonts w:ascii="Arial" w:eastAsia="Times New Roman" w:hAnsi="Arial"/>
          <w:sz w:val="22"/>
          <w:szCs w:val="22"/>
        </w:rPr>
        <w:t xml:space="preserve">the </w:t>
      </w:r>
      <w:r w:rsidRPr="004864D9">
        <w:rPr>
          <w:rFonts w:ascii="Arial" w:eastAsia="Times New Roman" w:hAnsi="Arial"/>
          <w:sz w:val="22"/>
          <w:szCs w:val="22"/>
        </w:rPr>
        <w:t>Parties to the Convention on Biological Diversity</w:t>
      </w:r>
      <w:r>
        <w:rPr>
          <w:rFonts w:ascii="Arial" w:eastAsia="Times New Roman" w:hAnsi="Arial"/>
          <w:sz w:val="22"/>
          <w:szCs w:val="22"/>
        </w:rPr>
        <w:t xml:space="preserve"> (CBD C</w:t>
      </w:r>
      <w:r w:rsidR="00F91FD6">
        <w:rPr>
          <w:rFonts w:ascii="Arial" w:eastAsia="Times New Roman" w:hAnsi="Arial"/>
          <w:sz w:val="22"/>
          <w:szCs w:val="22"/>
        </w:rPr>
        <w:t>o</w:t>
      </w:r>
      <w:r>
        <w:rPr>
          <w:rFonts w:ascii="Arial" w:eastAsia="Times New Roman" w:hAnsi="Arial"/>
          <w:sz w:val="22"/>
          <w:szCs w:val="22"/>
        </w:rPr>
        <w:t>P-15</w:t>
      </w:r>
      <w:r w:rsidR="00F91FD6">
        <w:rPr>
          <w:rFonts w:ascii="Arial" w:eastAsia="Times New Roman" w:hAnsi="Arial"/>
          <w:sz w:val="22"/>
          <w:szCs w:val="22"/>
        </w:rPr>
        <w:t xml:space="preserve"> (Part 2)</w:t>
      </w:r>
      <w:r>
        <w:rPr>
          <w:rFonts w:ascii="Arial" w:eastAsia="Times New Roman" w:hAnsi="Arial"/>
          <w:sz w:val="22"/>
          <w:szCs w:val="22"/>
        </w:rPr>
        <w:t>, Kunming, China) in the third quarter of 2022</w:t>
      </w:r>
      <w:r w:rsidRPr="004864D9">
        <w:rPr>
          <w:rFonts w:ascii="Arial" w:eastAsia="Times New Roman" w:hAnsi="Arial"/>
          <w:sz w:val="22"/>
          <w:szCs w:val="22"/>
        </w:rPr>
        <w:t xml:space="preserve">, determining the </w:t>
      </w:r>
      <w:r>
        <w:rPr>
          <w:rFonts w:ascii="Arial" w:eastAsia="Times New Roman" w:hAnsi="Arial"/>
          <w:sz w:val="22"/>
          <w:szCs w:val="22"/>
        </w:rPr>
        <w:t xml:space="preserve">global </w:t>
      </w:r>
      <w:r w:rsidRPr="004864D9">
        <w:rPr>
          <w:rFonts w:ascii="Arial" w:eastAsia="Times New Roman" w:hAnsi="Arial"/>
          <w:sz w:val="22"/>
          <w:szCs w:val="22"/>
        </w:rPr>
        <w:t>post-2020 biodiversity agenda</w:t>
      </w:r>
      <w:r>
        <w:rPr>
          <w:rFonts w:ascii="Arial" w:eastAsia="Times New Roman" w:hAnsi="Arial"/>
          <w:sz w:val="22"/>
          <w:szCs w:val="22"/>
        </w:rPr>
        <w:t xml:space="preserve">. </w:t>
      </w:r>
      <w:r w:rsidR="00F91FD6">
        <w:rPr>
          <w:rFonts w:ascii="Arial" w:eastAsia="Times New Roman" w:hAnsi="Arial"/>
          <w:sz w:val="22"/>
          <w:szCs w:val="22"/>
        </w:rPr>
        <w:t>Later this year</w:t>
      </w:r>
      <w:r>
        <w:rPr>
          <w:rFonts w:ascii="Arial" w:eastAsia="Times New Roman" w:hAnsi="Arial"/>
          <w:sz w:val="22"/>
          <w:szCs w:val="22"/>
        </w:rPr>
        <w:t xml:space="preserve">, </w:t>
      </w:r>
      <w:r w:rsidRPr="004864D9">
        <w:rPr>
          <w:rFonts w:ascii="Arial" w:eastAsia="Times New Roman" w:hAnsi="Arial"/>
          <w:sz w:val="22"/>
          <w:szCs w:val="22"/>
        </w:rPr>
        <w:t xml:space="preserve">the </w:t>
      </w:r>
      <w:r w:rsidR="00F91FD6">
        <w:rPr>
          <w:rFonts w:ascii="Arial" w:eastAsia="Times New Roman" w:hAnsi="Arial"/>
          <w:sz w:val="22"/>
          <w:szCs w:val="22"/>
        </w:rPr>
        <w:t>UN Climate Change Conference 2022 (</w:t>
      </w:r>
      <w:r w:rsidRPr="004864D9">
        <w:rPr>
          <w:rFonts w:ascii="Arial" w:eastAsia="Times New Roman" w:hAnsi="Arial"/>
          <w:sz w:val="22"/>
          <w:szCs w:val="22"/>
        </w:rPr>
        <w:t>U</w:t>
      </w:r>
      <w:r w:rsidR="00F91FD6">
        <w:rPr>
          <w:rFonts w:ascii="Arial" w:eastAsia="Times New Roman" w:hAnsi="Arial"/>
          <w:sz w:val="22"/>
          <w:szCs w:val="22"/>
        </w:rPr>
        <w:t>N</w:t>
      </w:r>
      <w:r w:rsidRPr="004864D9">
        <w:rPr>
          <w:rFonts w:ascii="Arial" w:eastAsia="Times New Roman" w:hAnsi="Arial"/>
          <w:sz w:val="22"/>
          <w:szCs w:val="22"/>
        </w:rPr>
        <w:t>FCCC</w:t>
      </w:r>
      <w:r>
        <w:rPr>
          <w:rFonts w:ascii="Arial" w:eastAsia="Times New Roman" w:hAnsi="Arial"/>
          <w:sz w:val="22"/>
          <w:szCs w:val="22"/>
        </w:rPr>
        <w:t xml:space="preserve"> CoP-27</w:t>
      </w:r>
      <w:r w:rsidR="00F91FD6">
        <w:rPr>
          <w:rFonts w:ascii="Arial" w:eastAsia="Times New Roman" w:hAnsi="Arial"/>
          <w:sz w:val="22"/>
          <w:szCs w:val="22"/>
        </w:rPr>
        <w:t xml:space="preserve">) in </w:t>
      </w:r>
      <w:r>
        <w:rPr>
          <w:rFonts w:ascii="Arial" w:eastAsia="Times New Roman" w:hAnsi="Arial"/>
          <w:sz w:val="22"/>
          <w:szCs w:val="22"/>
        </w:rPr>
        <w:t>Sharm El-Sheikh</w:t>
      </w:r>
      <w:r w:rsidR="00F91FD6">
        <w:rPr>
          <w:rFonts w:ascii="Arial" w:eastAsia="Times New Roman" w:hAnsi="Arial"/>
          <w:sz w:val="22"/>
          <w:szCs w:val="22"/>
        </w:rPr>
        <w:t xml:space="preserve"> (</w:t>
      </w:r>
      <w:r>
        <w:rPr>
          <w:rFonts w:ascii="Arial" w:eastAsia="Times New Roman" w:hAnsi="Arial"/>
          <w:sz w:val="22"/>
          <w:szCs w:val="22"/>
        </w:rPr>
        <w:t>Egypt</w:t>
      </w:r>
      <w:r w:rsidR="00F91FD6">
        <w:rPr>
          <w:rFonts w:ascii="Arial" w:eastAsia="Times New Roman" w:hAnsi="Arial"/>
          <w:sz w:val="22"/>
          <w:szCs w:val="22"/>
        </w:rPr>
        <w:t xml:space="preserve">, 7–18 </w:t>
      </w:r>
      <w:r>
        <w:rPr>
          <w:rFonts w:ascii="Arial" w:eastAsia="Times New Roman" w:hAnsi="Arial"/>
          <w:sz w:val="22"/>
          <w:szCs w:val="22"/>
        </w:rPr>
        <w:t>November 2022</w:t>
      </w:r>
      <w:r w:rsidR="00F91FD6">
        <w:rPr>
          <w:rFonts w:ascii="Arial" w:eastAsia="Times New Roman" w:hAnsi="Arial"/>
          <w:sz w:val="22"/>
          <w:szCs w:val="22"/>
        </w:rPr>
        <w:t>)</w:t>
      </w:r>
      <w:r w:rsidRPr="004864D9">
        <w:rPr>
          <w:rFonts w:ascii="Arial" w:eastAsia="Times New Roman" w:hAnsi="Arial"/>
          <w:sz w:val="22"/>
          <w:szCs w:val="22"/>
        </w:rPr>
        <w:t xml:space="preserve"> </w:t>
      </w:r>
      <w:r>
        <w:rPr>
          <w:rFonts w:ascii="Arial" w:eastAsia="Times New Roman" w:hAnsi="Arial"/>
          <w:sz w:val="22"/>
          <w:szCs w:val="22"/>
        </w:rPr>
        <w:t>should</w:t>
      </w:r>
      <w:r w:rsidRPr="004864D9">
        <w:rPr>
          <w:rFonts w:ascii="Arial" w:eastAsia="Times New Roman" w:hAnsi="Arial"/>
          <w:sz w:val="22"/>
          <w:szCs w:val="22"/>
        </w:rPr>
        <w:t xml:space="preserve"> be key for </w:t>
      </w:r>
      <w:r>
        <w:rPr>
          <w:rFonts w:ascii="Arial" w:eastAsia="Times New Roman" w:hAnsi="Arial"/>
          <w:sz w:val="22"/>
          <w:szCs w:val="22"/>
        </w:rPr>
        <w:t>strengthening the</w:t>
      </w:r>
      <w:r w:rsidRPr="004864D9">
        <w:rPr>
          <w:rFonts w:ascii="Arial" w:eastAsia="Times New Roman" w:hAnsi="Arial"/>
          <w:sz w:val="22"/>
          <w:szCs w:val="22"/>
        </w:rPr>
        <w:t xml:space="preserve"> ocean and climate nexus</w:t>
      </w:r>
      <w:r>
        <w:rPr>
          <w:rFonts w:ascii="Arial" w:eastAsia="Times New Roman" w:hAnsi="Arial"/>
          <w:sz w:val="22"/>
          <w:szCs w:val="22"/>
        </w:rPr>
        <w:t>, catalysing ocean-based climate action and setting a solid course for the climate change agenda in Africa</w:t>
      </w:r>
      <w:r w:rsidRPr="004864D9">
        <w:rPr>
          <w:rFonts w:ascii="Arial" w:eastAsia="Times New Roman" w:hAnsi="Arial"/>
          <w:sz w:val="22"/>
          <w:szCs w:val="22"/>
        </w:rPr>
        <w:t xml:space="preserve">. </w:t>
      </w:r>
    </w:p>
    <w:p w14:paraId="70A9DC8E" w14:textId="4AD999F7" w:rsidR="00C51DE8" w:rsidRDefault="00C51DE8" w:rsidP="00E35CD7">
      <w:pPr>
        <w:widowControl w:val="0"/>
        <w:numPr>
          <w:ilvl w:val="0"/>
          <w:numId w:val="18"/>
        </w:numPr>
        <w:shd w:val="clear" w:color="auto" w:fill="FFFFFF"/>
        <w:tabs>
          <w:tab w:val="clear" w:pos="567"/>
          <w:tab w:val="left" w:pos="709"/>
        </w:tabs>
        <w:adjustRightInd w:val="0"/>
        <w:spacing w:after="240"/>
        <w:ind w:left="0" w:firstLine="0"/>
        <w:jc w:val="both"/>
        <w:textAlignment w:val="baseline"/>
        <w:rPr>
          <w:rFonts w:ascii="Arial" w:eastAsia="Times New Roman" w:hAnsi="Arial"/>
          <w:sz w:val="22"/>
          <w:szCs w:val="22"/>
        </w:rPr>
      </w:pPr>
      <w:r w:rsidRPr="004864D9">
        <w:rPr>
          <w:rFonts w:ascii="Arial" w:eastAsia="Times New Roman" w:hAnsi="Arial"/>
          <w:sz w:val="22"/>
          <w:szCs w:val="22"/>
        </w:rPr>
        <w:t xml:space="preserve">As the UN Secretary-General Envoy for the Ocean Ambassador Peter Thomson stated on several </w:t>
      </w:r>
      <w:r>
        <w:rPr>
          <w:rFonts w:ascii="Arial" w:eastAsia="Times New Roman" w:hAnsi="Arial"/>
          <w:sz w:val="22"/>
          <w:szCs w:val="22"/>
        </w:rPr>
        <w:t xml:space="preserve">recent </w:t>
      </w:r>
      <w:r w:rsidRPr="004864D9">
        <w:rPr>
          <w:rFonts w:ascii="Arial" w:eastAsia="Times New Roman" w:hAnsi="Arial"/>
          <w:sz w:val="22"/>
          <w:szCs w:val="22"/>
        </w:rPr>
        <w:t>occasions, “</w:t>
      </w:r>
      <w:r w:rsidRPr="0087386A">
        <w:rPr>
          <w:rFonts w:ascii="Arial" w:eastAsia="Times New Roman" w:hAnsi="Arial"/>
          <w:i/>
          <w:sz w:val="22"/>
          <w:szCs w:val="22"/>
        </w:rPr>
        <w:t>the decline of the ocean health continues, but the society is mobilizing more and more to counter it</w:t>
      </w:r>
      <w:r w:rsidRPr="004864D9">
        <w:rPr>
          <w:rFonts w:ascii="Arial" w:eastAsia="Times New Roman" w:hAnsi="Arial"/>
          <w:sz w:val="22"/>
          <w:szCs w:val="22"/>
        </w:rPr>
        <w:t xml:space="preserve">.” </w:t>
      </w:r>
      <w:r>
        <w:rPr>
          <w:rFonts w:ascii="Arial" w:eastAsia="Times New Roman" w:hAnsi="Arial"/>
          <w:sz w:val="22"/>
          <w:szCs w:val="22"/>
        </w:rPr>
        <w:t>Difficult n</w:t>
      </w:r>
      <w:r w:rsidRPr="004864D9">
        <w:rPr>
          <w:rFonts w:ascii="Arial" w:eastAsia="Times New Roman" w:hAnsi="Arial"/>
          <w:sz w:val="22"/>
          <w:szCs w:val="22"/>
        </w:rPr>
        <w:t xml:space="preserve">egotiations are taking place at </w:t>
      </w:r>
      <w:r>
        <w:rPr>
          <w:rFonts w:ascii="Arial" w:eastAsia="Times New Roman" w:hAnsi="Arial"/>
          <w:sz w:val="22"/>
          <w:szCs w:val="22"/>
        </w:rPr>
        <w:t xml:space="preserve">the </w:t>
      </w:r>
      <w:r w:rsidRPr="004864D9">
        <w:rPr>
          <w:rFonts w:ascii="Arial" w:eastAsia="Times New Roman" w:hAnsi="Arial"/>
          <w:sz w:val="22"/>
          <w:szCs w:val="22"/>
        </w:rPr>
        <w:t>W</w:t>
      </w:r>
      <w:r>
        <w:rPr>
          <w:rFonts w:ascii="Arial" w:eastAsia="Times New Roman" w:hAnsi="Arial"/>
          <w:sz w:val="22"/>
          <w:szCs w:val="22"/>
        </w:rPr>
        <w:t xml:space="preserve">orld </w:t>
      </w:r>
      <w:r w:rsidRPr="004864D9">
        <w:rPr>
          <w:rFonts w:ascii="Arial" w:eastAsia="Times New Roman" w:hAnsi="Arial"/>
          <w:sz w:val="22"/>
          <w:szCs w:val="22"/>
        </w:rPr>
        <w:t>T</w:t>
      </w:r>
      <w:r>
        <w:rPr>
          <w:rFonts w:ascii="Arial" w:eastAsia="Times New Roman" w:hAnsi="Arial"/>
          <w:sz w:val="22"/>
          <w:szCs w:val="22"/>
        </w:rPr>
        <w:t xml:space="preserve">rade </w:t>
      </w:r>
      <w:r w:rsidRPr="004864D9">
        <w:rPr>
          <w:rFonts w:ascii="Arial" w:eastAsia="Times New Roman" w:hAnsi="Arial"/>
          <w:sz w:val="22"/>
          <w:szCs w:val="22"/>
        </w:rPr>
        <w:t>O</w:t>
      </w:r>
      <w:r>
        <w:rPr>
          <w:rFonts w:ascii="Arial" w:eastAsia="Times New Roman" w:hAnsi="Arial"/>
          <w:sz w:val="22"/>
          <w:szCs w:val="22"/>
        </w:rPr>
        <w:t>rganization</w:t>
      </w:r>
      <w:r w:rsidRPr="004864D9">
        <w:rPr>
          <w:rFonts w:ascii="Arial" w:eastAsia="Times New Roman" w:hAnsi="Arial"/>
          <w:sz w:val="22"/>
          <w:szCs w:val="22"/>
        </w:rPr>
        <w:t xml:space="preserve"> on the </w:t>
      </w:r>
      <w:r>
        <w:rPr>
          <w:rFonts w:ascii="Arial" w:eastAsia="Times New Roman" w:hAnsi="Arial"/>
          <w:sz w:val="22"/>
          <w:szCs w:val="22"/>
        </w:rPr>
        <w:t>elimination of</w:t>
      </w:r>
      <w:r w:rsidRPr="004864D9">
        <w:rPr>
          <w:rFonts w:ascii="Arial" w:eastAsia="Times New Roman" w:hAnsi="Arial"/>
          <w:sz w:val="22"/>
          <w:szCs w:val="22"/>
        </w:rPr>
        <w:t xml:space="preserve"> harmful </w:t>
      </w:r>
      <w:r w:rsidR="00E26643">
        <w:rPr>
          <w:rFonts w:ascii="Arial" w:eastAsia="Times New Roman" w:hAnsi="Arial"/>
          <w:sz w:val="22"/>
          <w:szCs w:val="22"/>
        </w:rPr>
        <w:t xml:space="preserve">States’ </w:t>
      </w:r>
      <w:r w:rsidRPr="004864D9">
        <w:rPr>
          <w:rFonts w:ascii="Arial" w:eastAsia="Times New Roman" w:hAnsi="Arial"/>
          <w:sz w:val="22"/>
          <w:szCs w:val="22"/>
        </w:rPr>
        <w:t>subsidies</w:t>
      </w:r>
      <w:r>
        <w:rPr>
          <w:rFonts w:ascii="Arial" w:eastAsia="Times New Roman" w:hAnsi="Arial"/>
          <w:sz w:val="22"/>
          <w:szCs w:val="22"/>
        </w:rPr>
        <w:t xml:space="preserve"> to large fishery fleets</w:t>
      </w:r>
      <w:r w:rsidRPr="004864D9">
        <w:rPr>
          <w:rFonts w:ascii="Arial" w:eastAsia="Times New Roman" w:hAnsi="Arial"/>
          <w:sz w:val="22"/>
          <w:szCs w:val="22"/>
        </w:rPr>
        <w:t xml:space="preserve">. </w:t>
      </w:r>
      <w:r>
        <w:rPr>
          <w:rFonts w:ascii="Arial" w:eastAsia="Times New Roman" w:hAnsi="Arial"/>
          <w:sz w:val="22"/>
          <w:szCs w:val="22"/>
        </w:rPr>
        <w:t xml:space="preserve">In early March 2022, </w:t>
      </w:r>
      <w:r w:rsidRPr="004864D9">
        <w:rPr>
          <w:rFonts w:ascii="Arial" w:eastAsia="Times New Roman" w:hAnsi="Arial"/>
          <w:sz w:val="22"/>
          <w:szCs w:val="22"/>
        </w:rPr>
        <w:t>the 5th</w:t>
      </w:r>
      <w:r>
        <w:rPr>
          <w:rFonts w:ascii="Arial" w:eastAsia="Times New Roman" w:hAnsi="Arial"/>
          <w:sz w:val="22"/>
          <w:szCs w:val="22"/>
        </w:rPr>
        <w:t xml:space="preserve"> </w:t>
      </w:r>
      <w:r w:rsidR="00E26643">
        <w:rPr>
          <w:rFonts w:ascii="Arial" w:eastAsia="Times New Roman" w:hAnsi="Arial"/>
          <w:sz w:val="22"/>
          <w:szCs w:val="22"/>
        </w:rPr>
        <w:t xml:space="preserve">session of the </w:t>
      </w:r>
      <w:r w:rsidRPr="004864D9">
        <w:rPr>
          <w:rFonts w:ascii="Arial" w:eastAsia="Times New Roman" w:hAnsi="Arial"/>
          <w:sz w:val="22"/>
          <w:szCs w:val="22"/>
        </w:rPr>
        <w:t>U</w:t>
      </w:r>
      <w:r w:rsidR="00E26643">
        <w:rPr>
          <w:rFonts w:ascii="Arial" w:eastAsia="Times New Roman" w:hAnsi="Arial"/>
          <w:sz w:val="22"/>
          <w:szCs w:val="22"/>
        </w:rPr>
        <w:t xml:space="preserve">N </w:t>
      </w:r>
      <w:r w:rsidRPr="004864D9">
        <w:rPr>
          <w:rFonts w:ascii="Arial" w:eastAsia="Times New Roman" w:hAnsi="Arial"/>
          <w:sz w:val="22"/>
          <w:szCs w:val="22"/>
        </w:rPr>
        <w:t xml:space="preserve">Environment Assembly </w:t>
      </w:r>
      <w:r w:rsidR="00E26643">
        <w:rPr>
          <w:rFonts w:ascii="Arial" w:eastAsia="Times New Roman" w:hAnsi="Arial"/>
          <w:sz w:val="22"/>
          <w:szCs w:val="22"/>
        </w:rPr>
        <w:t xml:space="preserve">(UNEA-5) </w:t>
      </w:r>
      <w:r w:rsidRPr="004864D9">
        <w:rPr>
          <w:rFonts w:ascii="Arial" w:eastAsia="Times New Roman" w:hAnsi="Arial"/>
          <w:sz w:val="22"/>
          <w:szCs w:val="22"/>
        </w:rPr>
        <w:t>ado</w:t>
      </w:r>
      <w:r w:rsidRPr="00A7645E">
        <w:rPr>
          <w:rFonts w:ascii="Arial" w:eastAsia="Times New Roman" w:hAnsi="Arial"/>
          <w:sz w:val="22"/>
          <w:szCs w:val="22"/>
        </w:rPr>
        <w:t>p</w:t>
      </w:r>
      <w:r w:rsidRPr="004864D9">
        <w:rPr>
          <w:rFonts w:ascii="Arial" w:eastAsia="Times New Roman" w:hAnsi="Arial"/>
          <w:sz w:val="22"/>
          <w:szCs w:val="22"/>
        </w:rPr>
        <w:t xml:space="preserve">ted a resolution </w:t>
      </w:r>
      <w:r>
        <w:rPr>
          <w:rFonts w:ascii="Arial" w:eastAsia="Times New Roman" w:hAnsi="Arial"/>
          <w:sz w:val="22"/>
          <w:szCs w:val="22"/>
        </w:rPr>
        <w:t>starting a process of</w:t>
      </w:r>
      <w:r w:rsidRPr="004864D9">
        <w:rPr>
          <w:rFonts w:ascii="Arial" w:eastAsia="Times New Roman" w:hAnsi="Arial"/>
          <w:sz w:val="22"/>
          <w:szCs w:val="22"/>
        </w:rPr>
        <w:t xml:space="preserve"> developing an international legally binding </w:t>
      </w:r>
      <w:r w:rsidR="00E26643">
        <w:rPr>
          <w:rFonts w:ascii="Arial" w:eastAsia="Times New Roman" w:hAnsi="Arial"/>
          <w:sz w:val="22"/>
          <w:szCs w:val="22"/>
        </w:rPr>
        <w:t>instrument to end</w:t>
      </w:r>
      <w:r w:rsidRPr="004864D9">
        <w:rPr>
          <w:rFonts w:ascii="Arial" w:eastAsia="Times New Roman" w:hAnsi="Arial"/>
          <w:sz w:val="22"/>
          <w:szCs w:val="22"/>
        </w:rPr>
        <w:t xml:space="preserve"> plastic pollution, including in the marine environment</w:t>
      </w:r>
      <w:r>
        <w:rPr>
          <w:rFonts w:ascii="Arial" w:eastAsia="Times New Roman" w:hAnsi="Arial"/>
          <w:sz w:val="22"/>
          <w:szCs w:val="22"/>
        </w:rPr>
        <w:t>. There are expectations that national and communal commitments to combat global warming, loss of biodiversity and pollution will become more ambitious, and their implementation will be strengthened. There is momentum for establishing more marine protected areas</w:t>
      </w:r>
      <w:r w:rsidR="00E26643" w:rsidRPr="00E26643">
        <w:rPr>
          <w:rFonts w:ascii="Arial" w:eastAsia="Times New Roman" w:hAnsi="Arial"/>
          <w:sz w:val="22"/>
          <w:szCs w:val="22"/>
        </w:rPr>
        <w:t xml:space="preserve"> </w:t>
      </w:r>
      <w:r w:rsidR="00E26643">
        <w:rPr>
          <w:rFonts w:ascii="Arial" w:eastAsia="Times New Roman" w:hAnsi="Arial"/>
          <w:sz w:val="22"/>
          <w:szCs w:val="22"/>
        </w:rPr>
        <w:t>both on land and in the ocean</w:t>
      </w:r>
      <w:r>
        <w:rPr>
          <w:rFonts w:ascii="Arial" w:eastAsia="Times New Roman" w:hAnsi="Arial"/>
          <w:sz w:val="22"/>
          <w:szCs w:val="22"/>
        </w:rPr>
        <w:t>, particularly under the 30</w:t>
      </w:r>
      <w:r w:rsidR="00E26643">
        <w:rPr>
          <w:rFonts w:ascii="Arial" w:eastAsia="Times New Roman" w:hAnsi="Arial"/>
          <w:sz w:val="22"/>
          <w:szCs w:val="22"/>
        </w:rPr>
        <w:t> x </w:t>
      </w:r>
      <w:r>
        <w:rPr>
          <w:rFonts w:ascii="Arial" w:eastAsia="Times New Roman" w:hAnsi="Arial"/>
          <w:sz w:val="22"/>
          <w:szCs w:val="22"/>
        </w:rPr>
        <w:t>30 initiative</w:t>
      </w:r>
      <w:r w:rsidR="00E26643">
        <w:rPr>
          <w:rFonts w:ascii="Arial" w:eastAsia="Times New Roman" w:hAnsi="Arial"/>
          <w:sz w:val="22"/>
          <w:szCs w:val="22"/>
        </w:rPr>
        <w:t xml:space="preserve"> (p</w:t>
      </w:r>
      <w:r w:rsidR="00E26643" w:rsidRPr="00E26643">
        <w:rPr>
          <w:rFonts w:ascii="Arial" w:eastAsia="Times New Roman" w:hAnsi="Arial"/>
          <w:sz w:val="22"/>
          <w:szCs w:val="22"/>
        </w:rPr>
        <w:t xml:space="preserve">rotecting at least 30% of the </w:t>
      </w:r>
      <w:r w:rsidR="00E97813">
        <w:rPr>
          <w:rFonts w:ascii="Arial" w:eastAsia="Times New Roman" w:hAnsi="Arial"/>
          <w:sz w:val="22"/>
          <w:szCs w:val="22"/>
        </w:rPr>
        <w:t xml:space="preserve">area of the planet, including the </w:t>
      </w:r>
      <w:r w:rsidR="00E26643" w:rsidRPr="00E26643">
        <w:rPr>
          <w:rFonts w:ascii="Arial" w:eastAsia="Times New Roman" w:hAnsi="Arial"/>
          <w:sz w:val="22"/>
          <w:szCs w:val="22"/>
        </w:rPr>
        <w:t>ocean</w:t>
      </w:r>
      <w:r w:rsidR="00E97813">
        <w:rPr>
          <w:rFonts w:ascii="Arial" w:eastAsia="Times New Roman" w:hAnsi="Arial"/>
          <w:sz w:val="22"/>
          <w:szCs w:val="22"/>
        </w:rPr>
        <w:t>,</w:t>
      </w:r>
      <w:r w:rsidR="00E26643" w:rsidRPr="00E26643">
        <w:rPr>
          <w:rFonts w:ascii="Arial" w:eastAsia="Times New Roman" w:hAnsi="Arial"/>
          <w:sz w:val="22"/>
          <w:szCs w:val="22"/>
        </w:rPr>
        <w:t xml:space="preserve"> by 2030</w:t>
      </w:r>
      <w:r w:rsidR="00E26643">
        <w:rPr>
          <w:rFonts w:ascii="Arial" w:eastAsia="Times New Roman" w:hAnsi="Arial"/>
          <w:sz w:val="22"/>
          <w:szCs w:val="22"/>
        </w:rPr>
        <w:t>)</w:t>
      </w:r>
      <w:r>
        <w:rPr>
          <w:rFonts w:ascii="Arial" w:eastAsia="Times New Roman" w:hAnsi="Arial"/>
          <w:sz w:val="22"/>
          <w:szCs w:val="22"/>
        </w:rPr>
        <w:t>.</w:t>
      </w:r>
    </w:p>
    <w:p w14:paraId="3F7F330A" w14:textId="474B86D8" w:rsidR="00C51DE8" w:rsidRPr="0034747F" w:rsidRDefault="00C51DE8" w:rsidP="00E35CD7">
      <w:pPr>
        <w:widowControl w:val="0"/>
        <w:numPr>
          <w:ilvl w:val="0"/>
          <w:numId w:val="18"/>
        </w:numPr>
        <w:shd w:val="clear" w:color="auto" w:fill="FFFFFF"/>
        <w:tabs>
          <w:tab w:val="clear" w:pos="567"/>
          <w:tab w:val="left" w:pos="709"/>
        </w:tabs>
        <w:adjustRightInd w:val="0"/>
        <w:spacing w:after="240"/>
        <w:ind w:left="0" w:firstLine="0"/>
        <w:jc w:val="both"/>
        <w:textAlignment w:val="baseline"/>
        <w:rPr>
          <w:rFonts w:ascii="Arial" w:eastAsia="Times New Roman" w:hAnsi="Arial"/>
          <w:sz w:val="22"/>
          <w:szCs w:val="22"/>
        </w:rPr>
      </w:pPr>
      <w:r>
        <w:rPr>
          <w:rFonts w:ascii="Arial" w:eastAsia="Times New Roman" w:hAnsi="Arial"/>
          <w:sz w:val="22"/>
          <w:szCs w:val="22"/>
        </w:rPr>
        <w:t xml:space="preserve">The </w:t>
      </w:r>
      <w:r w:rsidRPr="00E35CD7">
        <w:rPr>
          <w:rFonts w:asciiTheme="minorBidi" w:eastAsia="Times New Roman" w:hAnsiTheme="minorBidi" w:cstheme="minorBidi"/>
          <w:sz w:val="22"/>
          <w:szCs w:val="22"/>
        </w:rPr>
        <w:t>Executive</w:t>
      </w:r>
      <w:r w:rsidRPr="00D275DE">
        <w:rPr>
          <w:rFonts w:ascii="Arial" w:eastAsia="Times New Roman" w:hAnsi="Arial"/>
          <w:sz w:val="22"/>
          <w:szCs w:val="22"/>
        </w:rPr>
        <w:t xml:space="preserve"> Secretary hopes that IOC Member States will be satisfied with the pilot </w:t>
      </w:r>
      <w:r w:rsidRPr="00E35CD7">
        <w:rPr>
          <w:rFonts w:ascii="Arial" w:eastAsia="Times New Roman" w:hAnsi="Arial"/>
          <w:i/>
          <w:iCs/>
          <w:sz w:val="22"/>
          <w:szCs w:val="22"/>
        </w:rPr>
        <w:t>State of Ocean Report</w:t>
      </w:r>
      <w:r w:rsidRPr="00D275DE">
        <w:rPr>
          <w:rFonts w:ascii="Arial" w:eastAsia="Times New Roman" w:hAnsi="Arial"/>
          <w:sz w:val="22"/>
          <w:szCs w:val="22"/>
        </w:rPr>
        <w:t xml:space="preserve"> (StOR), which was first proposed in his </w:t>
      </w:r>
      <w:r>
        <w:rPr>
          <w:rFonts w:ascii="Arial" w:eastAsia="Times New Roman" w:hAnsi="Arial"/>
          <w:sz w:val="22"/>
          <w:szCs w:val="22"/>
        </w:rPr>
        <w:t>oral report</w:t>
      </w:r>
      <w:r w:rsidRPr="00D275DE">
        <w:rPr>
          <w:rFonts w:ascii="Arial" w:eastAsia="Times New Roman" w:hAnsi="Arial"/>
          <w:sz w:val="22"/>
          <w:szCs w:val="22"/>
        </w:rPr>
        <w:t xml:space="preserve"> to the Executive Council</w:t>
      </w:r>
      <w:r w:rsidR="007C5399">
        <w:rPr>
          <w:rFonts w:ascii="Arial" w:eastAsia="Times New Roman" w:hAnsi="Arial"/>
          <w:sz w:val="22"/>
          <w:szCs w:val="22"/>
        </w:rPr>
        <w:t xml:space="preserve"> at its </w:t>
      </w:r>
      <w:r w:rsidR="007C5399" w:rsidRPr="00D275DE">
        <w:rPr>
          <w:rFonts w:ascii="Arial" w:eastAsia="Times New Roman" w:hAnsi="Arial"/>
          <w:sz w:val="22"/>
          <w:szCs w:val="22"/>
        </w:rPr>
        <w:t>53</w:t>
      </w:r>
      <w:r w:rsidR="007C5399" w:rsidRPr="00D275DE">
        <w:rPr>
          <w:rFonts w:ascii="Arial" w:eastAsia="Times New Roman" w:hAnsi="Arial"/>
          <w:sz w:val="22"/>
          <w:szCs w:val="22"/>
          <w:vertAlign w:val="superscript"/>
        </w:rPr>
        <w:t>rd</w:t>
      </w:r>
      <w:r w:rsidR="007C5399" w:rsidRPr="00D275DE">
        <w:rPr>
          <w:rFonts w:ascii="Arial" w:eastAsia="Times New Roman" w:hAnsi="Arial"/>
          <w:sz w:val="22"/>
          <w:szCs w:val="22"/>
        </w:rPr>
        <w:t xml:space="preserve"> </w:t>
      </w:r>
      <w:r w:rsidR="007C5399">
        <w:rPr>
          <w:rFonts w:ascii="Arial" w:eastAsia="Times New Roman" w:hAnsi="Arial"/>
          <w:sz w:val="22"/>
          <w:szCs w:val="22"/>
        </w:rPr>
        <w:t>session (February 2021)</w:t>
      </w:r>
      <w:r w:rsidRPr="00D275DE">
        <w:rPr>
          <w:rFonts w:ascii="Arial" w:eastAsia="Times New Roman" w:hAnsi="Arial"/>
          <w:sz w:val="22"/>
          <w:szCs w:val="22"/>
        </w:rPr>
        <w:t xml:space="preserve">. The pilot version capitalizes on data from IOC-sponsored programmes and affiliated networks. </w:t>
      </w:r>
      <w:r>
        <w:rPr>
          <w:rFonts w:ascii="Arial" w:eastAsia="Times New Roman" w:hAnsi="Arial"/>
          <w:sz w:val="22"/>
          <w:szCs w:val="22"/>
        </w:rPr>
        <w:t xml:space="preserve">We hope that </w:t>
      </w:r>
      <w:r w:rsidRPr="00D275DE">
        <w:rPr>
          <w:rFonts w:ascii="Arial" w:eastAsia="Times New Roman" w:hAnsi="Arial"/>
          <w:sz w:val="22"/>
          <w:szCs w:val="22"/>
        </w:rPr>
        <w:t xml:space="preserve">future editions will include contributions from other UN agencies and </w:t>
      </w:r>
      <w:r>
        <w:rPr>
          <w:rFonts w:ascii="Arial" w:eastAsia="Times New Roman" w:hAnsi="Arial"/>
          <w:sz w:val="22"/>
          <w:szCs w:val="22"/>
        </w:rPr>
        <w:t>key</w:t>
      </w:r>
      <w:r w:rsidRPr="00D275DE">
        <w:rPr>
          <w:rFonts w:ascii="Arial" w:eastAsia="Times New Roman" w:hAnsi="Arial"/>
          <w:sz w:val="22"/>
          <w:szCs w:val="22"/>
        </w:rPr>
        <w:t xml:space="preserve"> actors outside of the UN System. </w:t>
      </w:r>
      <w:r w:rsidR="007C5399">
        <w:rPr>
          <w:rFonts w:ascii="Arial" w:eastAsia="Times New Roman" w:hAnsi="Arial"/>
          <w:sz w:val="22"/>
          <w:szCs w:val="22"/>
        </w:rPr>
        <w:t>In this way,</w:t>
      </w:r>
      <w:r w:rsidRPr="00D275DE">
        <w:rPr>
          <w:rFonts w:ascii="Arial" w:eastAsia="Times New Roman" w:hAnsi="Arial"/>
          <w:sz w:val="22"/>
          <w:szCs w:val="22"/>
        </w:rPr>
        <w:t xml:space="preserve"> the world will be kept </w:t>
      </w:r>
      <w:r w:rsidR="007C5399">
        <w:rPr>
          <w:rFonts w:ascii="Arial" w:eastAsia="Times New Roman" w:hAnsi="Arial"/>
          <w:sz w:val="22"/>
          <w:szCs w:val="22"/>
        </w:rPr>
        <w:t>informed</w:t>
      </w:r>
      <w:r w:rsidR="007C5399" w:rsidRPr="00D275DE">
        <w:rPr>
          <w:rFonts w:ascii="Arial" w:eastAsia="Times New Roman" w:hAnsi="Arial"/>
          <w:sz w:val="22"/>
          <w:szCs w:val="22"/>
        </w:rPr>
        <w:t xml:space="preserve"> </w:t>
      </w:r>
      <w:r w:rsidRPr="00D275DE">
        <w:rPr>
          <w:rFonts w:ascii="Arial" w:eastAsia="Times New Roman" w:hAnsi="Arial"/>
          <w:sz w:val="22"/>
          <w:szCs w:val="22"/>
        </w:rPr>
        <w:t xml:space="preserve">not only of the salient changes in ocean environment but also of the </w:t>
      </w:r>
      <w:r w:rsidR="00113090" w:rsidRPr="00113090">
        <w:rPr>
          <w:rFonts w:ascii="Arial" w:eastAsia="Times New Roman" w:hAnsi="Arial"/>
          <w:sz w:val="22"/>
          <w:szCs w:val="22"/>
        </w:rPr>
        <w:t>relevant activities in these areas</w:t>
      </w:r>
      <w:r w:rsidRPr="00D275DE">
        <w:rPr>
          <w:rFonts w:ascii="Arial" w:eastAsia="Times New Roman" w:hAnsi="Arial"/>
          <w:sz w:val="22"/>
          <w:szCs w:val="22"/>
        </w:rPr>
        <w:t xml:space="preserve">. Publishing the report on </w:t>
      </w:r>
      <w:r>
        <w:rPr>
          <w:rFonts w:ascii="Arial" w:eastAsia="Times New Roman" w:hAnsi="Arial"/>
          <w:sz w:val="22"/>
          <w:szCs w:val="22"/>
        </w:rPr>
        <w:t xml:space="preserve">an </w:t>
      </w:r>
      <w:r w:rsidRPr="00D275DE">
        <w:rPr>
          <w:rFonts w:ascii="Arial" w:eastAsia="Times New Roman" w:hAnsi="Arial"/>
          <w:sz w:val="22"/>
          <w:szCs w:val="22"/>
        </w:rPr>
        <w:t xml:space="preserve">annual basis, ideally on the eve of 8 June </w:t>
      </w:r>
      <w:r w:rsidR="00113090">
        <w:rPr>
          <w:rFonts w:ascii="Arial" w:eastAsia="Times New Roman" w:hAnsi="Arial"/>
          <w:sz w:val="22"/>
          <w:szCs w:val="22"/>
        </w:rPr>
        <w:t>(</w:t>
      </w:r>
      <w:r w:rsidRPr="00D275DE">
        <w:rPr>
          <w:rFonts w:ascii="Arial" w:eastAsia="Times New Roman" w:hAnsi="Arial"/>
          <w:sz w:val="22"/>
          <w:szCs w:val="22"/>
        </w:rPr>
        <w:t>the World Oceans Day</w:t>
      </w:r>
      <w:r w:rsidR="00113090">
        <w:rPr>
          <w:rFonts w:ascii="Arial" w:eastAsia="Times New Roman" w:hAnsi="Arial"/>
          <w:sz w:val="22"/>
          <w:szCs w:val="22"/>
        </w:rPr>
        <w:t>)</w:t>
      </w:r>
      <w:r>
        <w:rPr>
          <w:rFonts w:ascii="Arial" w:eastAsia="Times New Roman" w:hAnsi="Arial"/>
          <w:sz w:val="22"/>
          <w:szCs w:val="22"/>
        </w:rPr>
        <w:t xml:space="preserve"> </w:t>
      </w:r>
      <w:r w:rsidRPr="00D275DE">
        <w:rPr>
          <w:rFonts w:ascii="Arial" w:eastAsia="Times New Roman" w:hAnsi="Arial"/>
          <w:sz w:val="22"/>
          <w:szCs w:val="22"/>
        </w:rPr>
        <w:t>can contribut</w:t>
      </w:r>
      <w:r>
        <w:rPr>
          <w:rFonts w:ascii="Arial" w:eastAsia="Times New Roman" w:hAnsi="Arial"/>
          <w:sz w:val="22"/>
          <w:szCs w:val="22"/>
        </w:rPr>
        <w:t>e</w:t>
      </w:r>
      <w:r w:rsidRPr="00D275DE">
        <w:rPr>
          <w:rFonts w:ascii="Arial" w:eastAsia="Times New Roman" w:hAnsi="Arial"/>
          <w:sz w:val="22"/>
          <w:szCs w:val="22"/>
        </w:rPr>
        <w:t xml:space="preserve"> to </w:t>
      </w:r>
      <w:r>
        <w:rPr>
          <w:rFonts w:ascii="Arial" w:eastAsia="Times New Roman" w:hAnsi="Arial"/>
          <w:sz w:val="22"/>
          <w:szCs w:val="22"/>
        </w:rPr>
        <w:t xml:space="preserve">raising </w:t>
      </w:r>
      <w:r w:rsidRPr="00D275DE">
        <w:rPr>
          <w:rFonts w:ascii="Arial" w:eastAsia="Times New Roman" w:hAnsi="Arial"/>
          <w:sz w:val="22"/>
          <w:szCs w:val="22"/>
        </w:rPr>
        <w:t xml:space="preserve">global awareness and </w:t>
      </w:r>
      <w:r>
        <w:rPr>
          <w:rFonts w:ascii="Arial" w:eastAsia="Times New Roman" w:hAnsi="Arial"/>
          <w:sz w:val="22"/>
          <w:szCs w:val="22"/>
        </w:rPr>
        <w:t xml:space="preserve">to </w:t>
      </w:r>
      <w:r w:rsidRPr="00D275DE">
        <w:rPr>
          <w:rFonts w:ascii="Arial" w:eastAsia="Times New Roman" w:hAnsi="Arial"/>
          <w:sz w:val="22"/>
          <w:szCs w:val="22"/>
        </w:rPr>
        <w:t xml:space="preserve">mobilizing actions </w:t>
      </w:r>
      <w:r>
        <w:rPr>
          <w:rFonts w:ascii="Arial" w:eastAsia="Times New Roman" w:hAnsi="Arial"/>
          <w:sz w:val="22"/>
          <w:szCs w:val="22"/>
        </w:rPr>
        <w:t>to</w:t>
      </w:r>
      <w:r w:rsidRPr="00D275DE">
        <w:rPr>
          <w:rFonts w:ascii="Arial" w:eastAsia="Times New Roman" w:hAnsi="Arial"/>
          <w:sz w:val="22"/>
          <w:szCs w:val="22"/>
        </w:rPr>
        <w:t xml:space="preserve"> manag</w:t>
      </w:r>
      <w:r>
        <w:rPr>
          <w:rFonts w:ascii="Arial" w:eastAsia="Times New Roman" w:hAnsi="Arial"/>
          <w:sz w:val="22"/>
          <w:szCs w:val="22"/>
        </w:rPr>
        <w:t>e</w:t>
      </w:r>
      <w:r w:rsidRPr="00D275DE">
        <w:rPr>
          <w:rFonts w:ascii="Arial" w:eastAsia="Times New Roman" w:hAnsi="Arial"/>
          <w:sz w:val="22"/>
          <w:szCs w:val="22"/>
        </w:rPr>
        <w:t xml:space="preserve"> and protect the ocean, for</w:t>
      </w:r>
      <w:r>
        <w:rPr>
          <w:rFonts w:ascii="Arial" w:eastAsia="Times New Roman" w:hAnsi="Arial"/>
          <w:sz w:val="22"/>
          <w:szCs w:val="22"/>
        </w:rPr>
        <w:t xml:space="preserve"> the</w:t>
      </w:r>
      <w:r w:rsidRPr="00D275DE">
        <w:rPr>
          <w:rFonts w:ascii="Arial" w:eastAsia="Times New Roman" w:hAnsi="Arial"/>
          <w:sz w:val="22"/>
          <w:szCs w:val="22"/>
        </w:rPr>
        <w:t xml:space="preserve"> life in it, for climate</w:t>
      </w:r>
      <w:r>
        <w:rPr>
          <w:rFonts w:ascii="Arial" w:eastAsia="Times New Roman" w:hAnsi="Arial"/>
          <w:sz w:val="22"/>
          <w:szCs w:val="22"/>
        </w:rPr>
        <w:t xml:space="preserve"> regulation </w:t>
      </w:r>
      <w:r w:rsidRPr="00D275DE">
        <w:rPr>
          <w:rFonts w:ascii="Arial" w:eastAsia="Times New Roman" w:hAnsi="Arial"/>
          <w:sz w:val="22"/>
          <w:szCs w:val="22"/>
        </w:rPr>
        <w:t xml:space="preserve">and </w:t>
      </w:r>
      <w:r>
        <w:rPr>
          <w:rFonts w:ascii="Arial" w:eastAsia="Times New Roman" w:hAnsi="Arial"/>
          <w:sz w:val="22"/>
          <w:szCs w:val="22"/>
        </w:rPr>
        <w:t xml:space="preserve">ultimately the </w:t>
      </w:r>
      <w:r w:rsidRPr="00D275DE">
        <w:rPr>
          <w:rFonts w:ascii="Arial" w:eastAsia="Times New Roman" w:hAnsi="Arial"/>
          <w:sz w:val="22"/>
          <w:szCs w:val="22"/>
        </w:rPr>
        <w:t xml:space="preserve">wellbeing of people. </w:t>
      </w:r>
    </w:p>
    <w:p w14:paraId="0DD5DF6D" w14:textId="0745D6C2" w:rsidR="00C51DE8" w:rsidRPr="0087386A" w:rsidRDefault="00C51DE8" w:rsidP="00E35CD7">
      <w:pPr>
        <w:numPr>
          <w:ilvl w:val="0"/>
          <w:numId w:val="18"/>
        </w:numPr>
        <w:shd w:val="clear" w:color="auto" w:fill="FFFFFF"/>
        <w:tabs>
          <w:tab w:val="clear" w:pos="567"/>
          <w:tab w:val="left" w:pos="709"/>
        </w:tabs>
        <w:adjustRightInd w:val="0"/>
        <w:spacing w:after="240"/>
        <w:ind w:left="0" w:firstLine="0"/>
        <w:jc w:val="both"/>
        <w:textAlignment w:val="baseline"/>
        <w:rPr>
          <w:rFonts w:ascii="Arial" w:eastAsia="Times New Roman" w:hAnsi="Arial"/>
          <w:sz w:val="22"/>
          <w:szCs w:val="22"/>
        </w:rPr>
      </w:pPr>
      <w:r w:rsidRPr="00F2342F">
        <w:rPr>
          <w:rFonts w:ascii="Arial" w:eastAsia="Times New Roman" w:hAnsi="Arial"/>
          <w:sz w:val="22"/>
          <w:szCs w:val="22"/>
        </w:rPr>
        <w:lastRenderedPageBreak/>
        <w:t xml:space="preserve">The Global Ocean Observing System (GOOS) </w:t>
      </w:r>
      <w:r>
        <w:rPr>
          <w:rFonts w:ascii="Arial" w:eastAsia="Times New Roman" w:hAnsi="Arial"/>
          <w:sz w:val="22"/>
          <w:szCs w:val="22"/>
        </w:rPr>
        <w:t>is enabling the provision</w:t>
      </w:r>
      <w:r w:rsidRPr="00F2342F">
        <w:rPr>
          <w:rFonts w:ascii="Arial" w:eastAsia="Times New Roman" w:hAnsi="Arial"/>
          <w:sz w:val="22"/>
          <w:szCs w:val="22"/>
        </w:rPr>
        <w:t xml:space="preserve"> </w:t>
      </w:r>
      <w:r>
        <w:rPr>
          <w:rFonts w:ascii="Arial" w:eastAsia="Times New Roman" w:hAnsi="Arial"/>
          <w:sz w:val="22"/>
          <w:szCs w:val="22"/>
        </w:rPr>
        <w:t xml:space="preserve">of required </w:t>
      </w:r>
      <w:r w:rsidRPr="00F2342F">
        <w:rPr>
          <w:rFonts w:ascii="Arial" w:eastAsia="Times New Roman" w:hAnsi="Arial"/>
          <w:sz w:val="22"/>
          <w:szCs w:val="22"/>
        </w:rPr>
        <w:t xml:space="preserve">ocean information in support of monitoring and predicting </w:t>
      </w:r>
      <w:r>
        <w:rPr>
          <w:rFonts w:ascii="Arial" w:eastAsia="Times New Roman" w:hAnsi="Arial"/>
          <w:sz w:val="22"/>
          <w:szCs w:val="22"/>
        </w:rPr>
        <w:t xml:space="preserve">the </w:t>
      </w:r>
      <w:r w:rsidRPr="00F2342F">
        <w:rPr>
          <w:rFonts w:ascii="Arial" w:eastAsia="Times New Roman" w:hAnsi="Arial"/>
          <w:sz w:val="22"/>
          <w:szCs w:val="22"/>
        </w:rPr>
        <w:t xml:space="preserve">changing climate, ocean health, </w:t>
      </w:r>
      <w:r>
        <w:rPr>
          <w:rFonts w:ascii="Arial" w:eastAsia="Times New Roman" w:hAnsi="Arial"/>
          <w:sz w:val="22"/>
          <w:szCs w:val="22"/>
        </w:rPr>
        <w:t>marine</w:t>
      </w:r>
      <w:r w:rsidRPr="00F2342F">
        <w:rPr>
          <w:rFonts w:ascii="Arial" w:eastAsia="Times New Roman" w:hAnsi="Arial"/>
          <w:sz w:val="22"/>
          <w:szCs w:val="22"/>
        </w:rPr>
        <w:t xml:space="preserve"> life, weather</w:t>
      </w:r>
      <w:r>
        <w:rPr>
          <w:rFonts w:ascii="Arial" w:eastAsia="Times New Roman" w:hAnsi="Arial"/>
          <w:sz w:val="22"/>
          <w:szCs w:val="22"/>
        </w:rPr>
        <w:t>,</w:t>
      </w:r>
      <w:r w:rsidRPr="00F2342F">
        <w:rPr>
          <w:rFonts w:ascii="Arial" w:eastAsia="Times New Roman" w:hAnsi="Arial"/>
          <w:sz w:val="22"/>
          <w:szCs w:val="22"/>
        </w:rPr>
        <w:t xml:space="preserve"> and hazard warnings. The </w:t>
      </w:r>
      <w:r w:rsidRPr="0087386A">
        <w:rPr>
          <w:rFonts w:ascii="Arial" w:eastAsia="Times New Roman" w:hAnsi="Arial"/>
          <w:i/>
          <w:iCs/>
          <w:sz w:val="22"/>
          <w:szCs w:val="22"/>
        </w:rPr>
        <w:t>in situ</w:t>
      </w:r>
      <w:r w:rsidRPr="00F2342F">
        <w:rPr>
          <w:rFonts w:ascii="Arial" w:eastAsia="Times New Roman" w:hAnsi="Arial"/>
          <w:sz w:val="22"/>
          <w:szCs w:val="22"/>
        </w:rPr>
        <w:t xml:space="preserve"> observing system now numbers about </w:t>
      </w:r>
      <w:r w:rsidR="00113090">
        <w:rPr>
          <w:rFonts w:ascii="Arial" w:eastAsia="Times New Roman" w:hAnsi="Arial"/>
          <w:sz w:val="22"/>
          <w:szCs w:val="22"/>
        </w:rPr>
        <w:t xml:space="preserve">10,000 </w:t>
      </w:r>
      <w:r w:rsidRPr="00F2342F">
        <w:rPr>
          <w:rFonts w:ascii="Arial" w:eastAsia="Times New Roman" w:hAnsi="Arial"/>
          <w:sz w:val="22"/>
          <w:szCs w:val="22"/>
        </w:rPr>
        <w:t xml:space="preserve">ocean observing platforms, across 12 global ocean observing networks, with some 84 countries contributing to the system. A recent study in </w:t>
      </w:r>
      <w:r w:rsidRPr="00E35CD7">
        <w:rPr>
          <w:rFonts w:ascii="Arial" w:eastAsia="Times New Roman" w:hAnsi="Arial"/>
          <w:i/>
          <w:iCs/>
          <w:sz w:val="22"/>
          <w:szCs w:val="22"/>
        </w:rPr>
        <w:t>Frontiers in Marine Science</w:t>
      </w:r>
      <w:r w:rsidRPr="00F2342F">
        <w:rPr>
          <w:rFonts w:ascii="Arial" w:eastAsia="Times New Roman" w:hAnsi="Arial"/>
          <w:sz w:val="22"/>
          <w:szCs w:val="22"/>
        </w:rPr>
        <w:t xml:space="preserve"> reveals that sustained biological observations only cover 7% of the entire ocean surface, and some of the biggest </w:t>
      </w:r>
      <w:r>
        <w:rPr>
          <w:rFonts w:ascii="Arial" w:eastAsia="Times New Roman" w:hAnsi="Arial"/>
          <w:sz w:val="22"/>
          <w:szCs w:val="22"/>
        </w:rPr>
        <w:t xml:space="preserve">data </w:t>
      </w:r>
      <w:r w:rsidRPr="00F2342F">
        <w:rPr>
          <w:rFonts w:ascii="Arial" w:eastAsia="Times New Roman" w:hAnsi="Arial"/>
          <w:sz w:val="22"/>
          <w:szCs w:val="22"/>
        </w:rPr>
        <w:t xml:space="preserve">gaps are in areas of </w:t>
      </w:r>
      <w:r>
        <w:rPr>
          <w:rFonts w:ascii="Arial" w:eastAsia="Times New Roman" w:hAnsi="Arial"/>
          <w:sz w:val="22"/>
          <w:szCs w:val="22"/>
        </w:rPr>
        <w:t>rich</w:t>
      </w:r>
      <w:r w:rsidRPr="00F2342F">
        <w:rPr>
          <w:rFonts w:ascii="Arial" w:eastAsia="Times New Roman" w:hAnsi="Arial"/>
          <w:sz w:val="22"/>
          <w:szCs w:val="22"/>
        </w:rPr>
        <w:t xml:space="preserve"> biodiversity and high human pressure. </w:t>
      </w:r>
      <w:r>
        <w:rPr>
          <w:rFonts w:ascii="Arial" w:eastAsia="Times New Roman" w:hAnsi="Arial"/>
          <w:sz w:val="22"/>
          <w:szCs w:val="22"/>
        </w:rPr>
        <w:t xml:space="preserve">Nevertheless, </w:t>
      </w:r>
      <w:r w:rsidRPr="00F2342F">
        <w:rPr>
          <w:rFonts w:ascii="Arial" w:eastAsia="Times New Roman" w:hAnsi="Arial"/>
          <w:sz w:val="22"/>
          <w:szCs w:val="22"/>
        </w:rPr>
        <w:t xml:space="preserve">12 </w:t>
      </w:r>
      <w:proofErr w:type="spellStart"/>
      <w:r w:rsidRPr="00F2342F">
        <w:rPr>
          <w:rFonts w:ascii="Arial" w:eastAsia="Times New Roman" w:hAnsi="Arial"/>
          <w:sz w:val="22"/>
          <w:szCs w:val="22"/>
        </w:rPr>
        <w:t>BioEco</w:t>
      </w:r>
      <w:proofErr w:type="spellEnd"/>
      <w:r w:rsidRPr="00F2342F">
        <w:rPr>
          <w:rFonts w:ascii="Arial" w:eastAsia="Times New Roman" w:hAnsi="Arial"/>
          <w:sz w:val="22"/>
          <w:szCs w:val="22"/>
        </w:rPr>
        <w:t xml:space="preserve"> </w:t>
      </w:r>
      <w:r w:rsidR="00113090">
        <w:rPr>
          <w:rFonts w:ascii="Arial" w:eastAsia="Times New Roman" w:hAnsi="Arial"/>
          <w:sz w:val="22"/>
          <w:szCs w:val="22"/>
        </w:rPr>
        <w:t xml:space="preserve">(biology and ecosystems) </w:t>
      </w:r>
      <w:r w:rsidRPr="00F2342F">
        <w:rPr>
          <w:rFonts w:ascii="Arial" w:eastAsia="Times New Roman" w:hAnsi="Arial"/>
          <w:sz w:val="22"/>
          <w:szCs w:val="22"/>
        </w:rPr>
        <w:t>ocean observing networks are now strengthen</w:t>
      </w:r>
      <w:r w:rsidR="00113090">
        <w:rPr>
          <w:rFonts w:ascii="Arial" w:eastAsia="Times New Roman" w:hAnsi="Arial"/>
          <w:sz w:val="22"/>
          <w:szCs w:val="22"/>
        </w:rPr>
        <w:t>ed</w:t>
      </w:r>
      <w:r w:rsidRPr="00F2342F">
        <w:rPr>
          <w:rFonts w:ascii="Arial" w:eastAsia="Times New Roman" w:hAnsi="Arial"/>
          <w:sz w:val="22"/>
          <w:szCs w:val="22"/>
        </w:rPr>
        <w:t xml:space="preserve">. </w:t>
      </w:r>
      <w:r>
        <w:rPr>
          <w:rFonts w:ascii="Arial" w:eastAsia="Times New Roman" w:hAnsi="Arial"/>
          <w:sz w:val="22"/>
          <w:szCs w:val="22"/>
        </w:rPr>
        <w:t xml:space="preserve">The </w:t>
      </w:r>
      <w:r w:rsidR="00113090">
        <w:rPr>
          <w:rFonts w:ascii="Arial" w:eastAsia="Times New Roman" w:hAnsi="Arial"/>
          <w:sz w:val="22"/>
          <w:szCs w:val="22"/>
        </w:rPr>
        <w:t xml:space="preserve">United Nations </w:t>
      </w:r>
      <w:r w:rsidR="00E97813">
        <w:rPr>
          <w:rFonts w:ascii="Arial" w:eastAsia="Times New Roman" w:hAnsi="Arial"/>
          <w:sz w:val="22"/>
          <w:szCs w:val="22"/>
        </w:rPr>
        <w:t xml:space="preserve">Decade of </w:t>
      </w:r>
      <w:r>
        <w:rPr>
          <w:rFonts w:ascii="Arial" w:eastAsia="Times New Roman" w:hAnsi="Arial"/>
          <w:sz w:val="22"/>
          <w:szCs w:val="22"/>
        </w:rPr>
        <w:t xml:space="preserve">Ocean </w:t>
      </w:r>
      <w:r w:rsidR="00113090">
        <w:rPr>
          <w:rFonts w:ascii="Arial" w:eastAsia="Times New Roman" w:hAnsi="Arial"/>
          <w:sz w:val="22"/>
          <w:szCs w:val="22"/>
        </w:rPr>
        <w:t>Science for Sustainable Development 2021–2030</w:t>
      </w:r>
      <w:r>
        <w:rPr>
          <w:rFonts w:ascii="Arial" w:eastAsia="Times New Roman" w:hAnsi="Arial"/>
          <w:sz w:val="22"/>
          <w:szCs w:val="22"/>
        </w:rPr>
        <w:t xml:space="preserve"> is an opportunity. More than half of the current Decade </w:t>
      </w:r>
      <w:r w:rsidRPr="00F2342F">
        <w:rPr>
          <w:rFonts w:ascii="Arial" w:eastAsia="Times New Roman" w:hAnsi="Arial"/>
          <w:sz w:val="22"/>
          <w:szCs w:val="22"/>
        </w:rPr>
        <w:t xml:space="preserve">actions </w:t>
      </w:r>
      <w:r w:rsidRPr="00F2342F">
        <w:rPr>
          <w:rFonts w:ascii="Arial" w:eastAsia="Times New Roman" w:hAnsi="Arial"/>
          <w:sz w:val="22"/>
          <w:szCs w:val="22"/>
          <w:lang w:val="en-US"/>
        </w:rPr>
        <w:t xml:space="preserve">highlight </w:t>
      </w:r>
      <w:r>
        <w:rPr>
          <w:rFonts w:ascii="Arial" w:eastAsia="Times New Roman" w:hAnsi="Arial"/>
          <w:sz w:val="22"/>
          <w:szCs w:val="22"/>
          <w:lang w:val="en-US"/>
        </w:rPr>
        <w:t>the Decade challenge</w:t>
      </w:r>
      <w:r w:rsidRPr="00F2342F" w:rsidDel="00F540EA">
        <w:rPr>
          <w:rFonts w:ascii="Arial" w:eastAsia="Times New Roman" w:hAnsi="Arial"/>
          <w:sz w:val="22"/>
          <w:szCs w:val="22"/>
          <w:lang w:val="en-US"/>
        </w:rPr>
        <w:t xml:space="preserve"> </w:t>
      </w:r>
      <w:r>
        <w:rPr>
          <w:rFonts w:ascii="Arial" w:eastAsia="Times New Roman" w:hAnsi="Arial"/>
          <w:sz w:val="22"/>
          <w:szCs w:val="22"/>
          <w:lang w:val="en-US"/>
        </w:rPr>
        <w:t xml:space="preserve">of </w:t>
      </w:r>
      <w:r w:rsidRPr="00F2342F">
        <w:rPr>
          <w:rFonts w:ascii="Arial" w:eastAsia="Times New Roman" w:hAnsi="Arial"/>
          <w:sz w:val="22"/>
          <w:szCs w:val="22"/>
          <w:lang w:val="en-US"/>
        </w:rPr>
        <w:t>integrated ocean observing system</w:t>
      </w:r>
      <w:r>
        <w:rPr>
          <w:rFonts w:ascii="Arial" w:eastAsia="Times New Roman" w:hAnsi="Arial"/>
          <w:sz w:val="22"/>
          <w:szCs w:val="22"/>
          <w:lang w:val="en-US"/>
        </w:rPr>
        <w:t>. E</w:t>
      </w:r>
      <w:r w:rsidRPr="00F2342F">
        <w:rPr>
          <w:rFonts w:ascii="Arial" w:eastAsia="Times New Roman" w:hAnsi="Arial"/>
          <w:sz w:val="22"/>
          <w:szCs w:val="22"/>
          <w:lang w:val="en-US"/>
        </w:rPr>
        <w:t xml:space="preserve">nsuring that these initiatives </w:t>
      </w:r>
      <w:r>
        <w:rPr>
          <w:rFonts w:ascii="Arial" w:eastAsia="Times New Roman" w:hAnsi="Arial"/>
          <w:sz w:val="22"/>
          <w:szCs w:val="22"/>
          <w:lang w:val="en-US"/>
        </w:rPr>
        <w:t xml:space="preserve">contribute </w:t>
      </w:r>
      <w:r w:rsidRPr="00F2342F">
        <w:rPr>
          <w:rFonts w:ascii="Arial" w:eastAsia="Times New Roman" w:hAnsi="Arial"/>
          <w:sz w:val="22"/>
          <w:szCs w:val="22"/>
          <w:lang w:val="en-US"/>
        </w:rPr>
        <w:t xml:space="preserve">to coordinated observing systems is vital for supporting </w:t>
      </w:r>
      <w:r>
        <w:rPr>
          <w:rFonts w:ascii="Arial" w:eastAsia="Times New Roman" w:hAnsi="Arial"/>
          <w:sz w:val="22"/>
          <w:szCs w:val="22"/>
          <w:lang w:val="en-US"/>
        </w:rPr>
        <w:t xml:space="preserve">the </w:t>
      </w:r>
      <w:r w:rsidRPr="00F2342F">
        <w:rPr>
          <w:rFonts w:ascii="Arial" w:eastAsia="Times New Roman" w:hAnsi="Arial"/>
          <w:sz w:val="22"/>
          <w:szCs w:val="22"/>
          <w:lang w:val="en-US"/>
        </w:rPr>
        <w:t>transformation</w:t>
      </w:r>
      <w:r>
        <w:rPr>
          <w:rFonts w:ascii="Arial" w:eastAsia="Times New Roman" w:hAnsi="Arial"/>
          <w:sz w:val="22"/>
          <w:szCs w:val="22"/>
          <w:lang w:val="en-US"/>
        </w:rPr>
        <w:t xml:space="preserve"> envisioned under the </w:t>
      </w:r>
      <w:r w:rsidR="00113090">
        <w:rPr>
          <w:rFonts w:ascii="Arial" w:eastAsia="Times New Roman" w:hAnsi="Arial"/>
          <w:sz w:val="22"/>
          <w:szCs w:val="22"/>
          <w:lang w:val="en-US"/>
        </w:rPr>
        <w:t xml:space="preserve">Ocean </w:t>
      </w:r>
      <w:r>
        <w:rPr>
          <w:rFonts w:ascii="Arial" w:eastAsia="Times New Roman" w:hAnsi="Arial"/>
          <w:sz w:val="22"/>
          <w:szCs w:val="22"/>
          <w:lang w:val="en-US"/>
        </w:rPr>
        <w:t>Decade</w:t>
      </w:r>
      <w:r w:rsidRPr="00F2342F">
        <w:rPr>
          <w:rFonts w:ascii="Arial" w:eastAsia="Times New Roman" w:hAnsi="Arial"/>
          <w:sz w:val="22"/>
          <w:szCs w:val="22"/>
          <w:lang w:val="en-US"/>
        </w:rPr>
        <w:t xml:space="preserve">. </w:t>
      </w:r>
      <w:r>
        <w:rPr>
          <w:rFonts w:ascii="Arial" w:eastAsia="Times New Roman" w:hAnsi="Arial"/>
          <w:sz w:val="22"/>
          <w:szCs w:val="22"/>
          <w:lang w:val="en-US"/>
        </w:rPr>
        <w:t xml:space="preserve">Therefore, </w:t>
      </w:r>
      <w:r w:rsidRPr="00F2342F">
        <w:rPr>
          <w:rFonts w:ascii="Arial" w:eastAsia="Times New Roman" w:hAnsi="Arial"/>
          <w:sz w:val="22"/>
          <w:szCs w:val="22"/>
          <w:lang w:val="en-US"/>
        </w:rPr>
        <w:t xml:space="preserve">IOC </w:t>
      </w:r>
      <w:r>
        <w:rPr>
          <w:rFonts w:ascii="Arial" w:eastAsia="Times New Roman" w:hAnsi="Arial"/>
          <w:sz w:val="22"/>
          <w:szCs w:val="22"/>
          <w:lang w:val="en-US"/>
        </w:rPr>
        <w:t>through GOOS proposed a</w:t>
      </w:r>
      <w:r w:rsidRPr="00F2342F">
        <w:rPr>
          <w:rFonts w:ascii="Arial" w:eastAsia="Times New Roman" w:hAnsi="Arial"/>
          <w:sz w:val="22"/>
          <w:szCs w:val="22"/>
          <w:lang w:val="en-US"/>
        </w:rPr>
        <w:t xml:space="preserve"> Decade Coordination Office for Ocean Observations to </w:t>
      </w:r>
      <w:r>
        <w:rPr>
          <w:rFonts w:ascii="Arial" w:eastAsia="Times New Roman" w:hAnsi="Arial"/>
          <w:sz w:val="22"/>
          <w:szCs w:val="22"/>
          <w:lang w:val="en-US"/>
        </w:rPr>
        <w:t xml:space="preserve">facilitate </w:t>
      </w:r>
      <w:r w:rsidRPr="00F2342F">
        <w:rPr>
          <w:rFonts w:ascii="Arial" w:eastAsia="Times New Roman" w:hAnsi="Arial"/>
          <w:sz w:val="22"/>
          <w:szCs w:val="22"/>
          <w:lang w:val="en-US"/>
        </w:rPr>
        <w:t xml:space="preserve">this work. </w:t>
      </w:r>
    </w:p>
    <w:p w14:paraId="60E91570" w14:textId="3FEC7D99" w:rsidR="00C51DE8" w:rsidRPr="00F2342F" w:rsidRDefault="007807C6" w:rsidP="00E35CD7">
      <w:pPr>
        <w:widowControl w:val="0"/>
        <w:numPr>
          <w:ilvl w:val="0"/>
          <w:numId w:val="18"/>
        </w:numPr>
        <w:shd w:val="clear" w:color="auto" w:fill="FFFFFF"/>
        <w:tabs>
          <w:tab w:val="clear" w:pos="567"/>
          <w:tab w:val="left" w:pos="709"/>
        </w:tabs>
        <w:adjustRightInd w:val="0"/>
        <w:spacing w:after="240"/>
        <w:ind w:left="0" w:firstLine="0"/>
        <w:jc w:val="both"/>
        <w:textAlignment w:val="baseline"/>
        <w:rPr>
          <w:rFonts w:ascii="Arial" w:eastAsia="Times New Roman" w:hAnsi="Arial"/>
          <w:sz w:val="22"/>
          <w:szCs w:val="22"/>
        </w:rPr>
      </w:pPr>
      <w:hyperlink r:id="rId9" w:history="1">
        <w:r w:rsidR="00C51DE8" w:rsidRPr="00F2342F">
          <w:rPr>
            <w:rFonts w:ascii="Arial" w:eastAsia="Times New Roman" w:hAnsi="Arial"/>
            <w:sz w:val="22"/>
            <w:szCs w:val="22"/>
            <w:lang w:val="en-US"/>
          </w:rPr>
          <w:t>Since the release of its</w:t>
        </w:r>
      </w:hyperlink>
      <w:r w:rsidR="00113090">
        <w:rPr>
          <w:rFonts w:ascii="Arial" w:eastAsia="Times New Roman" w:hAnsi="Arial"/>
          <w:sz w:val="22"/>
          <w:szCs w:val="22"/>
          <w:lang w:val="en-US"/>
        </w:rPr>
        <w:t xml:space="preserve"> </w:t>
      </w:r>
      <w:hyperlink r:id="rId10" w:history="1">
        <w:r w:rsidR="00113090" w:rsidRPr="00697CE4">
          <w:rPr>
            <w:rStyle w:val="Hyperlink"/>
            <w:rFonts w:ascii="Arial" w:eastAsia="Times New Roman" w:hAnsi="Arial"/>
            <w:sz w:val="22"/>
            <w:szCs w:val="22"/>
            <w:lang w:val="en-US"/>
          </w:rPr>
          <w:t>Recommendation on Open Science</w:t>
        </w:r>
      </w:hyperlink>
      <w:r w:rsidR="00113090">
        <w:rPr>
          <w:rFonts w:ascii="Arial" w:eastAsia="Times New Roman" w:hAnsi="Arial"/>
          <w:sz w:val="22"/>
          <w:szCs w:val="22"/>
          <w:lang w:val="en-US"/>
        </w:rPr>
        <w:t xml:space="preserve"> </w:t>
      </w:r>
      <w:r w:rsidR="00C51DE8" w:rsidRPr="00F2342F">
        <w:rPr>
          <w:rFonts w:ascii="Arial" w:eastAsia="Times New Roman" w:hAnsi="Arial"/>
          <w:sz w:val="22"/>
          <w:szCs w:val="22"/>
          <w:lang w:val="en-US"/>
        </w:rPr>
        <w:t xml:space="preserve">in 2021, UNESCO has called on countries to increase scientific collaboration and information sharing, making all scientific data and knowledge openly available, accessible and reusable for the benefit of society. The Open Science approach, </w:t>
      </w:r>
      <w:r w:rsidR="00C51DE8">
        <w:rPr>
          <w:rFonts w:ascii="Arial" w:eastAsia="Times New Roman" w:hAnsi="Arial"/>
          <w:sz w:val="22"/>
          <w:szCs w:val="22"/>
          <w:lang w:val="en-US"/>
        </w:rPr>
        <w:t>complemented</w:t>
      </w:r>
      <w:r w:rsidR="00C51DE8" w:rsidRPr="00F2342F">
        <w:rPr>
          <w:rFonts w:ascii="Arial" w:eastAsia="Times New Roman" w:hAnsi="Arial"/>
          <w:sz w:val="22"/>
          <w:szCs w:val="22"/>
          <w:lang w:val="en-US"/>
        </w:rPr>
        <w:t xml:space="preserve"> by the new</w:t>
      </w:r>
      <w:r w:rsidR="00697CE4">
        <w:rPr>
          <w:rFonts w:ascii="Arial" w:eastAsia="Times New Roman" w:hAnsi="Arial"/>
          <w:sz w:val="22"/>
          <w:szCs w:val="22"/>
          <w:lang w:val="en-US"/>
        </w:rPr>
        <w:t xml:space="preserve"> </w:t>
      </w:r>
      <w:hyperlink r:id="rId11" w:tgtFrame="_blank" w:history="1">
        <w:r w:rsidR="00C51DE8" w:rsidRPr="00F2342F">
          <w:rPr>
            <w:rFonts w:ascii="Arial" w:eastAsia="Times New Roman" w:hAnsi="Arial"/>
            <w:sz w:val="22"/>
            <w:szCs w:val="22"/>
            <w:lang w:val="en-US"/>
          </w:rPr>
          <w:t>Unified Data Policy</w:t>
        </w:r>
      </w:hyperlink>
      <w:r w:rsidR="00697CE4">
        <w:rPr>
          <w:rFonts w:ascii="Arial" w:eastAsia="Times New Roman" w:hAnsi="Arial"/>
          <w:sz w:val="22"/>
          <w:szCs w:val="22"/>
          <w:lang w:val="en-US"/>
        </w:rPr>
        <w:t xml:space="preserve"> </w:t>
      </w:r>
      <w:r w:rsidR="00C51DE8" w:rsidRPr="00F2342F">
        <w:rPr>
          <w:rFonts w:ascii="Arial" w:eastAsia="Times New Roman" w:hAnsi="Arial"/>
          <w:sz w:val="22"/>
          <w:szCs w:val="22"/>
          <w:lang w:val="en-US"/>
        </w:rPr>
        <w:t xml:space="preserve">of the World Meteorological Organization (WMO), </w:t>
      </w:r>
      <w:r w:rsidR="00C51DE8">
        <w:rPr>
          <w:rFonts w:ascii="Arial" w:eastAsia="Times New Roman" w:hAnsi="Arial"/>
          <w:sz w:val="22"/>
          <w:szCs w:val="22"/>
          <w:lang w:val="en-US"/>
        </w:rPr>
        <w:t xml:space="preserve">has the potential </w:t>
      </w:r>
      <w:r w:rsidR="00C51DE8" w:rsidRPr="00F2342F">
        <w:rPr>
          <w:rFonts w:ascii="Arial" w:eastAsia="Times New Roman" w:hAnsi="Arial"/>
          <w:sz w:val="22"/>
          <w:szCs w:val="22"/>
          <w:lang w:val="en-US"/>
        </w:rPr>
        <w:t xml:space="preserve">to reduce digital, technological and knowledge gaps. </w:t>
      </w:r>
      <w:r w:rsidR="00C51DE8">
        <w:rPr>
          <w:rFonts w:ascii="Arial" w:eastAsia="Times New Roman" w:hAnsi="Arial"/>
          <w:sz w:val="22"/>
          <w:szCs w:val="22"/>
          <w:lang w:val="en-US"/>
        </w:rPr>
        <w:t xml:space="preserve">The Executive Council </w:t>
      </w:r>
      <w:r w:rsidR="00697CE4">
        <w:rPr>
          <w:rFonts w:ascii="Arial" w:eastAsia="Times New Roman" w:hAnsi="Arial"/>
          <w:sz w:val="22"/>
          <w:szCs w:val="22"/>
          <w:lang w:val="en-US"/>
        </w:rPr>
        <w:t xml:space="preserve">at this session </w:t>
      </w:r>
      <w:r w:rsidR="00C51DE8">
        <w:rPr>
          <w:rFonts w:ascii="Arial" w:eastAsia="Times New Roman" w:hAnsi="Arial"/>
          <w:sz w:val="22"/>
          <w:szCs w:val="22"/>
          <w:lang w:val="en-US"/>
        </w:rPr>
        <w:t xml:space="preserve">will consider a </w:t>
      </w:r>
      <w:r w:rsidR="00C51DE8" w:rsidRPr="00F2342F">
        <w:rPr>
          <w:rFonts w:ascii="Arial" w:eastAsia="Times New Roman" w:hAnsi="Arial"/>
          <w:sz w:val="22"/>
          <w:szCs w:val="22"/>
          <w:lang w:val="en-US"/>
        </w:rPr>
        <w:t xml:space="preserve">recent </w:t>
      </w:r>
      <w:r w:rsidR="00697CE4">
        <w:rPr>
          <w:rFonts w:ascii="Arial" w:eastAsia="Times New Roman" w:hAnsi="Arial"/>
          <w:sz w:val="22"/>
          <w:szCs w:val="22"/>
          <w:lang w:val="en-US"/>
        </w:rPr>
        <w:t>r</w:t>
      </w:r>
      <w:r w:rsidR="00C51DE8" w:rsidRPr="00F2342F">
        <w:rPr>
          <w:rFonts w:ascii="Arial" w:eastAsia="Times New Roman" w:hAnsi="Arial"/>
          <w:sz w:val="22"/>
          <w:szCs w:val="22"/>
          <w:lang w:val="en-US"/>
        </w:rPr>
        <w:t>eport</w:t>
      </w:r>
      <w:r w:rsidR="00C51DE8">
        <w:rPr>
          <w:rFonts w:ascii="Arial" w:eastAsia="Times New Roman" w:hAnsi="Arial"/>
          <w:sz w:val="22"/>
          <w:szCs w:val="22"/>
          <w:lang w:val="en-US"/>
        </w:rPr>
        <w:t xml:space="preserve">, </w:t>
      </w:r>
      <w:r w:rsidR="00C51DE8" w:rsidRPr="003C6308">
        <w:rPr>
          <w:rFonts w:ascii="Arial" w:eastAsia="Times New Roman" w:hAnsi="Arial"/>
          <w:sz w:val="22"/>
          <w:szCs w:val="22"/>
          <w:lang w:val="en-US"/>
        </w:rPr>
        <w:t xml:space="preserve">the result of a </w:t>
      </w:r>
      <w:r w:rsidR="00C51DE8" w:rsidRPr="00D653B8">
        <w:rPr>
          <w:rFonts w:ascii="Arial" w:eastAsia="Times New Roman" w:hAnsi="Arial"/>
          <w:sz w:val="22"/>
          <w:szCs w:val="22"/>
          <w:lang w:val="en-US"/>
        </w:rPr>
        <w:t>multi-agency</w:t>
      </w:r>
      <w:r w:rsidR="00C51DE8" w:rsidRPr="003C6308">
        <w:rPr>
          <w:rFonts w:ascii="Arial" w:eastAsia="Times New Roman" w:hAnsi="Arial"/>
          <w:sz w:val="22"/>
          <w:szCs w:val="22"/>
          <w:lang w:val="en-US"/>
        </w:rPr>
        <w:t xml:space="preserve"> </w:t>
      </w:r>
      <w:r w:rsidR="00C51DE8">
        <w:rPr>
          <w:rFonts w:ascii="Arial" w:eastAsia="Times New Roman" w:hAnsi="Arial"/>
          <w:sz w:val="22"/>
          <w:szCs w:val="22"/>
          <w:lang w:val="en-US"/>
        </w:rPr>
        <w:t>w</w:t>
      </w:r>
      <w:r w:rsidR="00C51DE8" w:rsidRPr="003C6308">
        <w:rPr>
          <w:rFonts w:ascii="Arial" w:eastAsia="Times New Roman" w:hAnsi="Arial"/>
          <w:sz w:val="22"/>
          <w:szCs w:val="22"/>
          <w:lang w:val="en-US"/>
        </w:rPr>
        <w:t>orkshop</w:t>
      </w:r>
      <w:r w:rsidR="00C51DE8">
        <w:rPr>
          <w:rFonts w:ascii="Arial" w:eastAsia="Times New Roman" w:hAnsi="Arial"/>
          <w:sz w:val="22"/>
          <w:szCs w:val="22"/>
          <w:lang w:val="en-US"/>
        </w:rPr>
        <w:t>,</w:t>
      </w:r>
      <w:r w:rsidR="00C51DE8" w:rsidRPr="00F2342F">
        <w:rPr>
          <w:rFonts w:ascii="Arial" w:eastAsia="Times New Roman" w:hAnsi="Arial"/>
          <w:sz w:val="22"/>
          <w:szCs w:val="22"/>
          <w:lang w:val="en-US"/>
        </w:rPr>
        <w:t xml:space="preserve"> </w:t>
      </w:r>
      <w:r w:rsidR="00C51DE8">
        <w:rPr>
          <w:rFonts w:ascii="Arial" w:eastAsia="Times New Roman" w:hAnsi="Arial"/>
          <w:sz w:val="22"/>
          <w:szCs w:val="22"/>
          <w:lang w:val="en-US"/>
        </w:rPr>
        <w:t xml:space="preserve">which </w:t>
      </w:r>
      <w:r w:rsidR="00C51DE8" w:rsidRPr="00F2342F">
        <w:rPr>
          <w:rFonts w:ascii="Arial" w:eastAsia="Times New Roman" w:hAnsi="Arial"/>
          <w:sz w:val="22"/>
          <w:szCs w:val="22"/>
          <w:lang w:val="en-US"/>
        </w:rPr>
        <w:t xml:space="preserve">proposes </w:t>
      </w:r>
      <w:proofErr w:type="gramStart"/>
      <w:r w:rsidR="00C51DE8" w:rsidRPr="00F2342F">
        <w:rPr>
          <w:rFonts w:ascii="Arial" w:eastAsia="Times New Roman" w:hAnsi="Arial"/>
          <w:sz w:val="22"/>
          <w:szCs w:val="22"/>
          <w:lang w:val="en-US"/>
        </w:rPr>
        <w:t>a number of</w:t>
      </w:r>
      <w:proofErr w:type="gramEnd"/>
      <w:r w:rsidR="00C51DE8" w:rsidRPr="00F2342F">
        <w:rPr>
          <w:rFonts w:ascii="Arial" w:eastAsia="Times New Roman" w:hAnsi="Arial"/>
          <w:sz w:val="22"/>
          <w:szCs w:val="22"/>
          <w:lang w:val="en-US"/>
        </w:rPr>
        <w:t xml:space="preserve"> potential solutions for facilitating ocean observations within areas under national jurisdiction</w:t>
      </w:r>
      <w:r w:rsidR="00C51DE8">
        <w:rPr>
          <w:rFonts w:ascii="Arial" w:eastAsia="Times New Roman" w:hAnsi="Arial"/>
          <w:sz w:val="22"/>
          <w:szCs w:val="22"/>
          <w:lang w:val="en-US"/>
        </w:rPr>
        <w:t>,</w:t>
      </w:r>
      <w:r w:rsidR="00C51DE8" w:rsidRPr="00F2342F">
        <w:rPr>
          <w:rFonts w:ascii="Arial" w:eastAsia="Times New Roman" w:hAnsi="Arial"/>
          <w:sz w:val="22"/>
          <w:szCs w:val="22"/>
          <w:lang w:val="en-US"/>
        </w:rPr>
        <w:t xml:space="preserve"> such as the EEZs</w:t>
      </w:r>
      <w:r w:rsidR="00C51DE8">
        <w:rPr>
          <w:rFonts w:ascii="Arial" w:eastAsia="Times New Roman" w:hAnsi="Arial"/>
          <w:sz w:val="22"/>
          <w:szCs w:val="22"/>
          <w:lang w:val="en-US"/>
        </w:rPr>
        <w:t xml:space="preserve">, </w:t>
      </w:r>
      <w:r w:rsidR="00C51DE8" w:rsidRPr="00F2342F">
        <w:rPr>
          <w:rFonts w:ascii="Arial" w:eastAsia="Times New Roman" w:hAnsi="Arial"/>
          <w:sz w:val="22"/>
          <w:szCs w:val="22"/>
          <w:lang w:val="en-US"/>
        </w:rPr>
        <w:t xml:space="preserve">to be implemented through </w:t>
      </w:r>
      <w:r w:rsidR="00C51DE8">
        <w:rPr>
          <w:rFonts w:ascii="Arial" w:eastAsia="Times New Roman" w:hAnsi="Arial"/>
          <w:sz w:val="22"/>
          <w:szCs w:val="22"/>
          <w:lang w:val="en-US"/>
        </w:rPr>
        <w:t>UN agencies</w:t>
      </w:r>
      <w:r w:rsidR="00697CE4">
        <w:rPr>
          <w:rFonts w:ascii="Arial" w:eastAsia="Times New Roman" w:hAnsi="Arial"/>
          <w:sz w:val="22"/>
          <w:szCs w:val="22"/>
          <w:lang w:val="en-US"/>
        </w:rPr>
        <w:t xml:space="preserve"> (agenda item 3.4)</w:t>
      </w:r>
      <w:r w:rsidR="00C51DE8" w:rsidRPr="00F2342F">
        <w:rPr>
          <w:rFonts w:ascii="Arial" w:eastAsia="Times New Roman" w:hAnsi="Arial"/>
          <w:sz w:val="22"/>
          <w:szCs w:val="22"/>
          <w:lang w:val="en-US"/>
        </w:rPr>
        <w:t>.</w:t>
      </w:r>
    </w:p>
    <w:p w14:paraId="68E85668" w14:textId="493A16E3" w:rsidR="00C51DE8" w:rsidRDefault="00C51DE8" w:rsidP="00E35CD7">
      <w:pPr>
        <w:widowControl w:val="0"/>
        <w:numPr>
          <w:ilvl w:val="0"/>
          <w:numId w:val="18"/>
        </w:numPr>
        <w:shd w:val="clear" w:color="auto" w:fill="FFFFFF"/>
        <w:tabs>
          <w:tab w:val="clear" w:pos="567"/>
          <w:tab w:val="left" w:pos="709"/>
        </w:tabs>
        <w:adjustRightInd w:val="0"/>
        <w:spacing w:after="240"/>
        <w:ind w:left="0" w:firstLine="0"/>
        <w:jc w:val="both"/>
        <w:textAlignment w:val="baseline"/>
        <w:rPr>
          <w:rFonts w:ascii="Arial" w:eastAsia="Times New Roman" w:hAnsi="Arial"/>
          <w:sz w:val="22"/>
          <w:szCs w:val="22"/>
        </w:rPr>
      </w:pPr>
      <w:r>
        <w:rPr>
          <w:rFonts w:ascii="Arial" w:eastAsia="Times New Roman" w:hAnsi="Arial"/>
          <w:sz w:val="22"/>
          <w:szCs w:val="22"/>
        </w:rPr>
        <w:t xml:space="preserve">Ocean </w:t>
      </w:r>
      <w:r w:rsidRPr="00E35CD7">
        <w:rPr>
          <w:rFonts w:asciiTheme="minorBidi" w:eastAsia="Times New Roman" w:hAnsiTheme="minorBidi" w:cstheme="minorBidi"/>
          <w:sz w:val="22"/>
          <w:szCs w:val="22"/>
        </w:rPr>
        <w:t>forecasting</w:t>
      </w:r>
      <w:r>
        <w:rPr>
          <w:rFonts w:ascii="Arial" w:eastAsia="Times New Roman" w:hAnsi="Arial"/>
          <w:sz w:val="22"/>
          <w:szCs w:val="22"/>
        </w:rPr>
        <w:t xml:space="preserve"> has a significant potential of developing new important numerical products. Equally, there is a need to significantly increase the use of satellite data, merging it with </w:t>
      </w:r>
      <w:r w:rsidRPr="009A497D">
        <w:rPr>
          <w:rFonts w:ascii="Arial" w:eastAsia="Times New Roman" w:hAnsi="Arial"/>
          <w:i/>
          <w:sz w:val="22"/>
          <w:szCs w:val="22"/>
        </w:rPr>
        <w:t>in</w:t>
      </w:r>
      <w:r w:rsidR="00697CE4">
        <w:rPr>
          <w:rFonts w:ascii="Arial" w:eastAsia="Times New Roman" w:hAnsi="Arial"/>
          <w:i/>
          <w:sz w:val="22"/>
          <w:szCs w:val="22"/>
        </w:rPr>
        <w:t> </w:t>
      </w:r>
      <w:r w:rsidRPr="009A497D">
        <w:rPr>
          <w:rFonts w:ascii="Arial" w:eastAsia="Times New Roman" w:hAnsi="Arial"/>
          <w:i/>
          <w:sz w:val="22"/>
          <w:szCs w:val="22"/>
        </w:rPr>
        <w:t>sit</w:t>
      </w:r>
      <w:r>
        <w:rPr>
          <w:rFonts w:ascii="Arial" w:eastAsia="Times New Roman" w:hAnsi="Arial"/>
          <w:i/>
          <w:sz w:val="22"/>
          <w:szCs w:val="22"/>
        </w:rPr>
        <w:t xml:space="preserve">u </w:t>
      </w:r>
      <w:r>
        <w:rPr>
          <w:rFonts w:ascii="Arial" w:eastAsia="Times New Roman" w:hAnsi="Arial"/>
          <w:sz w:val="22"/>
          <w:szCs w:val="22"/>
        </w:rPr>
        <w:t xml:space="preserve">data, to scale up efforts on ocean data reanalysis and to facilitate intercomparisons of predictive ocean models. In recent discussions, the Deep Ocean Observing System community mentioned the need for quasi-real time prediction of submarine heat waves, episodes of deoxygenation and acidification. The recent, likely disease-based, bleaching of corals in the Caribbean points at the urgency of developing an ecosystem health component of the ocean prediction system, encompassing key multiple stressors. At the </w:t>
      </w:r>
      <w:r w:rsidR="00697CE4">
        <w:rPr>
          <w:rFonts w:ascii="Arial" w:eastAsia="Times New Roman" w:hAnsi="Arial"/>
          <w:sz w:val="22"/>
          <w:szCs w:val="22"/>
        </w:rPr>
        <w:t>‘</w:t>
      </w:r>
      <w:r>
        <w:rPr>
          <w:rFonts w:ascii="Arial" w:eastAsia="Times New Roman" w:hAnsi="Arial"/>
          <w:sz w:val="22"/>
          <w:szCs w:val="22"/>
        </w:rPr>
        <w:t>One Ocean Summit</w:t>
      </w:r>
      <w:r w:rsidR="00697CE4">
        <w:rPr>
          <w:rFonts w:ascii="Arial" w:eastAsia="Times New Roman" w:hAnsi="Arial"/>
          <w:sz w:val="22"/>
          <w:szCs w:val="22"/>
        </w:rPr>
        <w:t>’</w:t>
      </w:r>
      <w:r>
        <w:rPr>
          <w:rFonts w:ascii="Arial" w:eastAsia="Times New Roman" w:hAnsi="Arial"/>
          <w:sz w:val="22"/>
          <w:szCs w:val="22"/>
        </w:rPr>
        <w:t xml:space="preserve"> in Brest a major commitment was made on establishing, </w:t>
      </w:r>
      <w:proofErr w:type="gramStart"/>
      <w:r>
        <w:rPr>
          <w:rFonts w:ascii="Arial" w:eastAsia="Times New Roman" w:hAnsi="Arial"/>
          <w:sz w:val="22"/>
          <w:szCs w:val="22"/>
        </w:rPr>
        <w:t>on the basis of</w:t>
      </w:r>
      <w:proofErr w:type="gramEnd"/>
      <w:r>
        <w:rPr>
          <w:rFonts w:ascii="Arial" w:eastAsia="Times New Roman" w:hAnsi="Arial"/>
          <w:sz w:val="22"/>
          <w:szCs w:val="22"/>
        </w:rPr>
        <w:t xml:space="preserve"> Mercator International, an intergovernmental organization in Europe, which will be spearheading ocean data processing and forecasting. This organization may become a new key contributor to IOC goals, creating a new level of delivery of processed ocean data, in real time and delayed mode, also acting as a Decade Collaborative Centre.  </w:t>
      </w:r>
    </w:p>
    <w:p w14:paraId="3447C320" w14:textId="6DFD72B5" w:rsidR="00C51DE8" w:rsidRDefault="00C51DE8" w:rsidP="00E35CD7">
      <w:pPr>
        <w:widowControl w:val="0"/>
        <w:numPr>
          <w:ilvl w:val="0"/>
          <w:numId w:val="18"/>
        </w:numPr>
        <w:shd w:val="clear" w:color="auto" w:fill="FFFFFF"/>
        <w:tabs>
          <w:tab w:val="clear" w:pos="567"/>
          <w:tab w:val="left" w:pos="709"/>
        </w:tabs>
        <w:adjustRightInd w:val="0"/>
        <w:spacing w:after="240"/>
        <w:ind w:left="0" w:firstLine="0"/>
        <w:jc w:val="both"/>
        <w:textAlignment w:val="baseline"/>
        <w:rPr>
          <w:rFonts w:ascii="Arial" w:eastAsia="Times New Roman" w:hAnsi="Arial"/>
          <w:sz w:val="22"/>
          <w:szCs w:val="22"/>
        </w:rPr>
      </w:pPr>
      <w:r>
        <w:rPr>
          <w:rFonts w:ascii="Arial" w:eastAsia="Times New Roman" w:hAnsi="Arial"/>
          <w:sz w:val="22"/>
          <w:szCs w:val="22"/>
        </w:rPr>
        <w:t xml:space="preserve">The </w:t>
      </w:r>
      <w:r w:rsidRPr="00E35CD7">
        <w:rPr>
          <w:rFonts w:asciiTheme="minorBidi" w:eastAsia="Times New Roman" w:hAnsiTheme="minorBidi" w:cstheme="minorBidi"/>
          <w:sz w:val="22"/>
          <w:szCs w:val="22"/>
        </w:rPr>
        <w:t>development</w:t>
      </w:r>
      <w:r>
        <w:rPr>
          <w:rFonts w:ascii="Arial" w:eastAsia="Times New Roman" w:hAnsi="Arial"/>
          <w:sz w:val="22"/>
          <w:szCs w:val="22"/>
        </w:rPr>
        <w:t xml:space="preserve"> of Ocean Data and Information System (ODIS) and its key component, Ocean </w:t>
      </w:r>
      <w:proofErr w:type="spellStart"/>
      <w:r>
        <w:rPr>
          <w:rFonts w:ascii="Arial" w:eastAsia="Times New Roman" w:hAnsi="Arial"/>
          <w:sz w:val="22"/>
          <w:szCs w:val="22"/>
        </w:rPr>
        <w:t>InfoHub</w:t>
      </w:r>
      <w:proofErr w:type="spellEnd"/>
      <w:r>
        <w:rPr>
          <w:rFonts w:ascii="Arial" w:eastAsia="Times New Roman" w:hAnsi="Arial"/>
          <w:sz w:val="22"/>
          <w:szCs w:val="22"/>
        </w:rPr>
        <w:t xml:space="preserve">, is progressing well. Ocean data and the issue of their openness and access, are becoming a “hot topic”, and many new players and partners are joining the ocean data quest. A highlight for IOC was </w:t>
      </w:r>
      <w:r w:rsidR="00FB44DD">
        <w:rPr>
          <w:rFonts w:ascii="Arial" w:eastAsia="Times New Roman" w:hAnsi="Arial"/>
          <w:sz w:val="22"/>
          <w:szCs w:val="22"/>
        </w:rPr>
        <w:t>the</w:t>
      </w:r>
      <w:r>
        <w:rPr>
          <w:rFonts w:ascii="Arial" w:eastAsia="Times New Roman" w:hAnsi="Arial"/>
          <w:sz w:val="22"/>
          <w:szCs w:val="22"/>
        </w:rPr>
        <w:t xml:space="preserve"> successful </w:t>
      </w:r>
      <w:r w:rsidR="00FB44DD">
        <w:rPr>
          <w:rFonts w:ascii="Arial" w:eastAsia="Times New Roman" w:hAnsi="Arial"/>
          <w:sz w:val="22"/>
          <w:szCs w:val="22"/>
        </w:rPr>
        <w:t xml:space="preserve">International Ocean </w:t>
      </w:r>
      <w:r w:rsidR="00E97813">
        <w:rPr>
          <w:rFonts w:ascii="Arial" w:eastAsia="Times New Roman" w:hAnsi="Arial"/>
          <w:sz w:val="22"/>
          <w:szCs w:val="22"/>
        </w:rPr>
        <w:t>D</w:t>
      </w:r>
      <w:r>
        <w:rPr>
          <w:rFonts w:ascii="Arial" w:eastAsia="Times New Roman" w:hAnsi="Arial"/>
          <w:sz w:val="22"/>
          <w:szCs w:val="22"/>
        </w:rPr>
        <w:t xml:space="preserve">ata </w:t>
      </w:r>
      <w:r w:rsidR="00FB44DD">
        <w:rPr>
          <w:rFonts w:ascii="Arial" w:eastAsia="Times New Roman" w:hAnsi="Arial"/>
          <w:sz w:val="22"/>
          <w:szCs w:val="22"/>
        </w:rPr>
        <w:t xml:space="preserve">Conference </w:t>
      </w:r>
      <w:r>
        <w:rPr>
          <w:rFonts w:ascii="Arial" w:eastAsia="Times New Roman" w:hAnsi="Arial"/>
          <w:sz w:val="22"/>
          <w:szCs w:val="22"/>
        </w:rPr>
        <w:t xml:space="preserve">organized in Sopot </w:t>
      </w:r>
      <w:r w:rsidR="00FB44DD">
        <w:rPr>
          <w:rFonts w:ascii="Arial" w:eastAsia="Times New Roman" w:hAnsi="Arial"/>
          <w:sz w:val="22"/>
          <w:szCs w:val="22"/>
        </w:rPr>
        <w:t xml:space="preserve">(Poland) </w:t>
      </w:r>
      <w:r>
        <w:rPr>
          <w:rFonts w:ascii="Arial" w:eastAsia="Times New Roman" w:hAnsi="Arial"/>
          <w:sz w:val="22"/>
          <w:szCs w:val="22"/>
        </w:rPr>
        <w:t xml:space="preserve">in February 2022. With major </w:t>
      </w:r>
      <w:r w:rsidR="008840C0">
        <w:rPr>
          <w:rFonts w:ascii="Arial" w:eastAsia="Times New Roman" w:hAnsi="Arial"/>
          <w:sz w:val="22"/>
          <w:szCs w:val="22"/>
        </w:rPr>
        <w:t xml:space="preserve">Ocean </w:t>
      </w:r>
      <w:r>
        <w:rPr>
          <w:rFonts w:ascii="Arial" w:eastAsia="Times New Roman" w:hAnsi="Arial"/>
          <w:sz w:val="22"/>
          <w:szCs w:val="22"/>
        </w:rPr>
        <w:t xml:space="preserve">Decade programmes and other developments, conditions are becoming more and more conducive for creating a “digital ecosystem of the ocean” or “the digital twin of the ocean”, enabling transparent and informed ocean management. </w:t>
      </w:r>
    </w:p>
    <w:p w14:paraId="40157951" w14:textId="5492B8ED" w:rsidR="00C51DE8" w:rsidRDefault="00C51DE8" w:rsidP="00E35CD7">
      <w:pPr>
        <w:widowControl w:val="0"/>
        <w:numPr>
          <w:ilvl w:val="0"/>
          <w:numId w:val="18"/>
        </w:numPr>
        <w:shd w:val="clear" w:color="auto" w:fill="FFFFFF"/>
        <w:tabs>
          <w:tab w:val="clear" w:pos="567"/>
          <w:tab w:val="left" w:pos="709"/>
        </w:tabs>
        <w:adjustRightInd w:val="0"/>
        <w:spacing w:after="240"/>
        <w:ind w:left="0" w:firstLine="0"/>
        <w:jc w:val="both"/>
        <w:textAlignment w:val="baseline"/>
        <w:rPr>
          <w:rFonts w:ascii="Arial" w:eastAsia="Times New Roman" w:hAnsi="Arial"/>
          <w:sz w:val="22"/>
          <w:szCs w:val="22"/>
        </w:rPr>
      </w:pPr>
      <w:r w:rsidRPr="00F2342F">
        <w:rPr>
          <w:rFonts w:ascii="Arial" w:eastAsia="Calibri" w:hAnsi="Arial" w:cs="Arial"/>
          <w:sz w:val="22"/>
          <w:szCs w:val="22"/>
          <w:lang w:val="en-US" w:eastAsia="en-US"/>
        </w:rPr>
        <w:t xml:space="preserve">For </w:t>
      </w:r>
      <w:r w:rsidRPr="00E35CD7">
        <w:rPr>
          <w:rFonts w:asciiTheme="minorBidi" w:eastAsia="Times New Roman" w:hAnsiTheme="minorBidi" w:cstheme="minorBidi"/>
          <w:sz w:val="22"/>
          <w:szCs w:val="22"/>
        </w:rPr>
        <w:t>several</w:t>
      </w:r>
      <w:r w:rsidRPr="00F2342F">
        <w:rPr>
          <w:rFonts w:ascii="Arial" w:eastAsia="Calibri" w:hAnsi="Arial" w:cs="Arial"/>
          <w:sz w:val="22"/>
          <w:szCs w:val="22"/>
          <w:lang w:val="en-US" w:eastAsia="en-US"/>
        </w:rPr>
        <w:t xml:space="preserve"> years, </w:t>
      </w:r>
      <w:r w:rsidR="008E02B7">
        <w:rPr>
          <w:rFonts w:ascii="Arial" w:eastAsia="Calibri" w:hAnsi="Arial" w:cs="Arial"/>
          <w:sz w:val="22"/>
          <w:szCs w:val="22"/>
          <w:lang w:val="en-US" w:eastAsia="en-US"/>
        </w:rPr>
        <w:t xml:space="preserve">the European Commission </w:t>
      </w:r>
      <w:r w:rsidR="008E02B7" w:rsidRPr="008E02B7">
        <w:rPr>
          <w:rFonts w:ascii="Arial" w:eastAsia="Calibri" w:hAnsi="Arial" w:cs="Arial"/>
          <w:sz w:val="22"/>
          <w:szCs w:val="22"/>
          <w:lang w:val="en-US" w:eastAsia="en-US"/>
        </w:rPr>
        <w:t>Directorate-General</w:t>
      </w:r>
      <w:r w:rsidR="008E02B7" w:rsidRPr="008E02B7" w:rsidDel="008E02B7">
        <w:rPr>
          <w:rFonts w:ascii="Arial" w:eastAsia="Calibri" w:hAnsi="Arial" w:cs="Arial"/>
          <w:sz w:val="22"/>
          <w:szCs w:val="22"/>
          <w:lang w:val="en-US" w:eastAsia="en-US"/>
        </w:rPr>
        <w:t xml:space="preserve"> </w:t>
      </w:r>
      <w:r w:rsidR="008E02B7">
        <w:rPr>
          <w:rFonts w:ascii="Arial" w:eastAsia="Calibri" w:hAnsi="Arial" w:cs="Arial"/>
          <w:sz w:val="22"/>
          <w:szCs w:val="22"/>
          <w:lang w:val="en-US" w:eastAsia="en-US"/>
        </w:rPr>
        <w:t xml:space="preserve">for Maritime Affairs and Fisheries (DG </w:t>
      </w:r>
      <w:r w:rsidRPr="00F2342F">
        <w:rPr>
          <w:rFonts w:ascii="Arial" w:eastAsia="Calibri" w:hAnsi="Arial" w:cs="Arial"/>
          <w:sz w:val="22"/>
          <w:szCs w:val="22"/>
          <w:lang w:val="en-US" w:eastAsia="en-US"/>
        </w:rPr>
        <w:t>MARE</w:t>
      </w:r>
      <w:r w:rsidR="008E02B7">
        <w:rPr>
          <w:rFonts w:ascii="Arial" w:eastAsia="Calibri" w:hAnsi="Arial" w:cs="Arial"/>
          <w:sz w:val="22"/>
          <w:szCs w:val="22"/>
          <w:lang w:val="en-US" w:eastAsia="en-US"/>
        </w:rPr>
        <w:t>)</w:t>
      </w:r>
      <w:r w:rsidRPr="00F2342F">
        <w:rPr>
          <w:rFonts w:ascii="Arial" w:eastAsia="Calibri" w:hAnsi="Arial" w:cs="Arial"/>
          <w:sz w:val="22"/>
          <w:szCs w:val="22"/>
          <w:lang w:val="en-US" w:eastAsia="en-US"/>
        </w:rPr>
        <w:t xml:space="preserve"> and IOC-UNESCO have been cooperating in the promotion of maritime spatial planning worldwide. Since 2017, this cooperation has been taking place in the framework of a joint roadmap (MSP</w:t>
      </w:r>
      <w:r>
        <w:rPr>
          <w:rFonts w:ascii="Arial" w:eastAsia="Calibri" w:hAnsi="Arial" w:cs="Arial"/>
          <w:sz w:val="22"/>
          <w:szCs w:val="22"/>
          <w:lang w:val="en-US" w:eastAsia="en-US"/>
        </w:rPr>
        <w:t xml:space="preserve"> R</w:t>
      </w:r>
      <w:r w:rsidRPr="00F2342F">
        <w:rPr>
          <w:rFonts w:ascii="Arial" w:eastAsia="Calibri" w:hAnsi="Arial" w:cs="Arial"/>
          <w:sz w:val="22"/>
          <w:szCs w:val="22"/>
          <w:lang w:val="en-US" w:eastAsia="en-US"/>
        </w:rPr>
        <w:t xml:space="preserve">oadmap). In October 2021, IOC </w:t>
      </w:r>
      <w:r w:rsidRPr="00F2342F">
        <w:rPr>
          <w:rFonts w:ascii="Arial" w:eastAsia="Times New Roman" w:hAnsi="Arial" w:cs="Arial"/>
          <w:sz w:val="22"/>
          <w:szCs w:val="22"/>
        </w:rPr>
        <w:t xml:space="preserve">successfully </w:t>
      </w:r>
      <w:r w:rsidRPr="00F2342F">
        <w:rPr>
          <w:rFonts w:ascii="Arial" w:eastAsia="Calibri" w:hAnsi="Arial" w:cs="Arial"/>
          <w:sz w:val="22"/>
          <w:szCs w:val="22"/>
          <w:lang w:val="en-US" w:eastAsia="en-US"/>
        </w:rPr>
        <w:t xml:space="preserve">completed </w:t>
      </w:r>
      <w:r w:rsidRPr="00F2342F">
        <w:rPr>
          <w:rFonts w:ascii="Arial" w:eastAsia="Times New Roman" w:hAnsi="Arial" w:cs="Arial"/>
          <w:sz w:val="22"/>
          <w:szCs w:val="22"/>
        </w:rPr>
        <w:t xml:space="preserve">the EC-funded </w:t>
      </w:r>
      <w:proofErr w:type="spellStart"/>
      <w:r w:rsidRPr="00F2342F">
        <w:rPr>
          <w:rFonts w:ascii="Arial" w:eastAsia="Times New Roman" w:hAnsi="Arial" w:cs="Arial"/>
          <w:sz w:val="22"/>
          <w:szCs w:val="22"/>
        </w:rPr>
        <w:t>MSPGlobal</w:t>
      </w:r>
      <w:proofErr w:type="spellEnd"/>
      <w:r w:rsidRPr="00F2342F">
        <w:rPr>
          <w:rFonts w:ascii="Arial" w:eastAsia="Times New Roman" w:hAnsi="Arial" w:cs="Arial"/>
          <w:sz w:val="22"/>
          <w:szCs w:val="22"/>
        </w:rPr>
        <w:t xml:space="preserve"> Project</w:t>
      </w:r>
      <w:r>
        <w:rPr>
          <w:rFonts w:ascii="Arial" w:eastAsia="Times New Roman" w:hAnsi="Arial" w:cs="Arial"/>
          <w:sz w:val="22"/>
          <w:szCs w:val="22"/>
        </w:rPr>
        <w:t>,</w:t>
      </w:r>
      <w:r w:rsidRPr="00F2342F">
        <w:rPr>
          <w:rFonts w:ascii="Arial" w:eastAsia="Times New Roman" w:hAnsi="Arial" w:cs="Arial"/>
          <w:sz w:val="22"/>
          <w:szCs w:val="22"/>
        </w:rPr>
        <w:t xml:space="preserve"> which resulted</w:t>
      </w:r>
      <w:r>
        <w:rPr>
          <w:rFonts w:ascii="Arial" w:eastAsia="Times New Roman" w:hAnsi="Arial" w:cs="Arial"/>
          <w:sz w:val="22"/>
          <w:szCs w:val="22"/>
        </w:rPr>
        <w:t xml:space="preserve">, </w:t>
      </w:r>
      <w:r w:rsidRPr="0087386A">
        <w:rPr>
          <w:rFonts w:ascii="Arial" w:eastAsia="Times New Roman" w:hAnsi="Arial" w:cs="Arial"/>
          <w:i/>
          <w:iCs/>
          <w:sz w:val="22"/>
          <w:szCs w:val="22"/>
        </w:rPr>
        <w:t>inter</w:t>
      </w:r>
      <w:r w:rsidR="008E02B7">
        <w:rPr>
          <w:rFonts w:ascii="Arial" w:eastAsia="Times New Roman" w:hAnsi="Arial" w:cs="Arial"/>
          <w:i/>
          <w:iCs/>
          <w:sz w:val="22"/>
          <w:szCs w:val="22"/>
        </w:rPr>
        <w:t> </w:t>
      </w:r>
      <w:r w:rsidRPr="0087386A">
        <w:rPr>
          <w:rFonts w:ascii="Arial" w:eastAsia="Times New Roman" w:hAnsi="Arial" w:cs="Arial"/>
          <w:i/>
          <w:iCs/>
          <w:sz w:val="22"/>
          <w:szCs w:val="22"/>
        </w:rPr>
        <w:t>alia</w:t>
      </w:r>
      <w:r>
        <w:rPr>
          <w:rFonts w:ascii="Arial" w:eastAsia="Times New Roman" w:hAnsi="Arial" w:cs="Arial"/>
          <w:sz w:val="22"/>
          <w:szCs w:val="22"/>
        </w:rPr>
        <w:t>,</w:t>
      </w:r>
      <w:r w:rsidRPr="00F2342F">
        <w:rPr>
          <w:rFonts w:ascii="Arial" w:eastAsia="Times New Roman" w:hAnsi="Arial" w:cs="Arial"/>
          <w:sz w:val="22"/>
          <w:szCs w:val="22"/>
        </w:rPr>
        <w:t xml:space="preserve"> in the publication on a new </w:t>
      </w:r>
      <w:hyperlink r:id="rId12" w:history="1">
        <w:proofErr w:type="spellStart"/>
        <w:r w:rsidR="008E02B7" w:rsidRPr="00E97813">
          <w:rPr>
            <w:rFonts w:ascii="Arial" w:eastAsia="Times New Roman" w:hAnsi="Arial" w:cs="Arial"/>
            <w:sz w:val="22"/>
            <w:szCs w:val="22"/>
          </w:rPr>
          <w:t>MSPGlobal</w:t>
        </w:r>
        <w:proofErr w:type="spellEnd"/>
        <w:r w:rsidR="008E02B7" w:rsidRPr="00E97813">
          <w:rPr>
            <w:rFonts w:ascii="Arial" w:eastAsia="Times New Roman" w:hAnsi="Arial" w:cs="Arial"/>
            <w:sz w:val="22"/>
            <w:szCs w:val="22"/>
          </w:rPr>
          <w:t xml:space="preserve"> </w:t>
        </w:r>
        <w:r w:rsidRPr="00E97813">
          <w:rPr>
            <w:rFonts w:ascii="Arial" w:eastAsia="Times New Roman" w:hAnsi="Arial" w:cs="Arial"/>
            <w:sz w:val="22"/>
            <w:szCs w:val="22"/>
          </w:rPr>
          <w:t>International Guide on</w:t>
        </w:r>
        <w:r w:rsidR="008E02B7" w:rsidRPr="00E97813">
          <w:rPr>
            <w:rFonts w:ascii="Arial" w:eastAsia="Times New Roman" w:hAnsi="Arial" w:cs="Arial"/>
            <w:sz w:val="22"/>
            <w:szCs w:val="22"/>
          </w:rPr>
          <w:t xml:space="preserve"> Marine/Maritime Spatial Planning</w:t>
        </w:r>
      </w:hyperlink>
      <w:r w:rsidRPr="00F2342F">
        <w:rPr>
          <w:rFonts w:ascii="Arial" w:eastAsia="Times New Roman" w:hAnsi="Arial" w:cs="Arial"/>
          <w:sz w:val="22"/>
          <w:szCs w:val="22"/>
        </w:rPr>
        <w:t xml:space="preserve">. The European Commission committed in January 2021 to support a new phase of </w:t>
      </w:r>
      <w:proofErr w:type="spellStart"/>
      <w:r w:rsidRPr="00F2342F">
        <w:rPr>
          <w:rFonts w:ascii="Arial" w:eastAsia="Times New Roman" w:hAnsi="Arial" w:cs="Arial"/>
          <w:sz w:val="22"/>
          <w:szCs w:val="22"/>
        </w:rPr>
        <w:t>MSPGlobal</w:t>
      </w:r>
      <w:proofErr w:type="spellEnd"/>
      <w:r w:rsidRPr="00F2342F">
        <w:rPr>
          <w:rFonts w:ascii="Arial" w:eastAsia="Times New Roman" w:hAnsi="Arial" w:cs="Arial"/>
          <w:sz w:val="22"/>
          <w:szCs w:val="22"/>
        </w:rPr>
        <w:t xml:space="preserve"> expanding marine spatial plans in the world in support of a new MSP </w:t>
      </w:r>
      <w:r w:rsidR="008E02B7" w:rsidRPr="00F2342F">
        <w:rPr>
          <w:rFonts w:ascii="Arial" w:eastAsia="Times New Roman" w:hAnsi="Arial" w:cs="Arial"/>
          <w:sz w:val="22"/>
          <w:szCs w:val="22"/>
        </w:rPr>
        <w:t xml:space="preserve">Roadmap </w:t>
      </w:r>
      <w:r w:rsidRPr="00F2342F">
        <w:rPr>
          <w:rFonts w:ascii="Arial" w:eastAsia="Times New Roman" w:hAnsi="Arial" w:cs="Arial"/>
          <w:sz w:val="22"/>
          <w:szCs w:val="22"/>
        </w:rPr>
        <w:t>covering the period 2023</w:t>
      </w:r>
      <w:r w:rsidR="008E02B7">
        <w:rPr>
          <w:rFonts w:ascii="Arial" w:eastAsia="Times New Roman" w:hAnsi="Arial" w:cs="Arial"/>
          <w:sz w:val="22"/>
          <w:szCs w:val="22"/>
        </w:rPr>
        <w:t>–</w:t>
      </w:r>
      <w:r w:rsidRPr="00F2342F">
        <w:rPr>
          <w:rFonts w:ascii="Arial" w:eastAsia="Times New Roman" w:hAnsi="Arial" w:cs="Arial"/>
          <w:sz w:val="22"/>
          <w:szCs w:val="22"/>
        </w:rPr>
        <w:t>2028. Another DG MARE-sponsored project focusing on ocean literacy</w:t>
      </w:r>
      <w:r>
        <w:rPr>
          <w:rFonts w:ascii="Arial" w:eastAsia="Times New Roman" w:hAnsi="Arial"/>
          <w:sz w:val="22"/>
          <w:szCs w:val="22"/>
        </w:rPr>
        <w:t xml:space="preserve">, started in 2022. Long-term fruitful collaboration with the Global Environment Facility, UNDP and UNEP continues under the </w:t>
      </w:r>
      <w:proofErr w:type="spellStart"/>
      <w:proofErr w:type="gramStart"/>
      <w:r>
        <w:rPr>
          <w:rFonts w:ascii="Arial" w:eastAsia="Times New Roman" w:hAnsi="Arial"/>
          <w:sz w:val="22"/>
          <w:szCs w:val="22"/>
        </w:rPr>
        <w:t>IW:Learn</w:t>
      </w:r>
      <w:proofErr w:type="spellEnd"/>
      <w:proofErr w:type="gramEnd"/>
      <w:r>
        <w:rPr>
          <w:rFonts w:ascii="Arial" w:eastAsia="Times New Roman" w:hAnsi="Arial"/>
          <w:sz w:val="22"/>
          <w:szCs w:val="22"/>
        </w:rPr>
        <w:t xml:space="preserve"> umbrella with a new 4-year project and two new regional projects focussing on Large Marine Ecosystems in the Sargasso Sea and in the Black Sea. </w:t>
      </w:r>
    </w:p>
    <w:p w14:paraId="12DBF856" w14:textId="2ECB399F" w:rsidR="00C51DE8" w:rsidRDefault="00C51DE8" w:rsidP="00E35CD7">
      <w:pPr>
        <w:numPr>
          <w:ilvl w:val="0"/>
          <w:numId w:val="18"/>
        </w:numPr>
        <w:shd w:val="clear" w:color="auto" w:fill="FFFFFF"/>
        <w:tabs>
          <w:tab w:val="clear" w:pos="567"/>
          <w:tab w:val="left" w:pos="709"/>
        </w:tabs>
        <w:adjustRightInd w:val="0"/>
        <w:spacing w:after="240"/>
        <w:ind w:left="0" w:firstLine="0"/>
        <w:jc w:val="both"/>
        <w:textAlignment w:val="baseline"/>
        <w:rPr>
          <w:rFonts w:ascii="Arial" w:eastAsia="Times New Roman" w:hAnsi="Arial"/>
          <w:sz w:val="22"/>
          <w:szCs w:val="22"/>
        </w:rPr>
      </w:pPr>
      <w:r>
        <w:rPr>
          <w:rFonts w:ascii="Arial" w:eastAsia="Times New Roman" w:hAnsi="Arial"/>
          <w:sz w:val="22"/>
          <w:szCs w:val="22"/>
        </w:rPr>
        <w:lastRenderedPageBreak/>
        <w:t xml:space="preserve">The IOC Chair, IOCINDIO Chair, IOC Vice-Chair for Electoral Group 4 and Executive Secretary have been deeply involved in the establishment and the start of work of the open-ended intersessional working group on the status of IOCINDIO. Two online meetings had been held by the end of March 2022, and the Group is actively discussing the terms of reference of the to-be-established Sub-Commission, its regional area of work, with a focus on identifying positive ways of interacting/cooperating with IOCAFRICA and WESTPAC, avoiding duplication or weakening mandates of these two IOC Sub-Commissions. </w:t>
      </w:r>
    </w:p>
    <w:p w14:paraId="1BD2C1E7" w14:textId="456E5F87" w:rsidR="00C51DE8" w:rsidRDefault="00C51DE8" w:rsidP="00E35CD7">
      <w:pPr>
        <w:widowControl w:val="0"/>
        <w:numPr>
          <w:ilvl w:val="0"/>
          <w:numId w:val="18"/>
        </w:numPr>
        <w:shd w:val="clear" w:color="auto" w:fill="FFFFFF"/>
        <w:tabs>
          <w:tab w:val="clear" w:pos="567"/>
          <w:tab w:val="left" w:pos="709"/>
        </w:tabs>
        <w:adjustRightInd w:val="0"/>
        <w:spacing w:after="240"/>
        <w:ind w:left="0" w:firstLine="0"/>
        <w:jc w:val="both"/>
        <w:textAlignment w:val="baseline"/>
        <w:rPr>
          <w:rFonts w:ascii="Arial" w:eastAsia="Times New Roman" w:hAnsi="Arial"/>
          <w:sz w:val="22"/>
          <w:szCs w:val="22"/>
        </w:rPr>
      </w:pPr>
      <w:r>
        <w:rPr>
          <w:rFonts w:ascii="Arial" w:eastAsia="Times New Roman" w:hAnsi="Arial"/>
          <w:sz w:val="22"/>
          <w:szCs w:val="22"/>
        </w:rPr>
        <w:t xml:space="preserve">The </w:t>
      </w:r>
      <w:r w:rsidRPr="00E35CD7">
        <w:rPr>
          <w:rFonts w:asciiTheme="minorBidi" w:eastAsia="Times New Roman" w:hAnsiTheme="minorBidi" w:cstheme="minorBidi"/>
          <w:sz w:val="22"/>
          <w:szCs w:val="22"/>
        </w:rPr>
        <w:t>IOC</w:t>
      </w:r>
      <w:r>
        <w:rPr>
          <w:rFonts w:ascii="Arial" w:eastAsia="Times New Roman" w:hAnsi="Arial"/>
          <w:sz w:val="22"/>
          <w:szCs w:val="22"/>
        </w:rPr>
        <w:t xml:space="preserve"> tsunami programme is strengthening under the most useful guidance of the expert community, e.g., through the </w:t>
      </w:r>
      <w:r w:rsidR="006408BF" w:rsidRPr="006408BF">
        <w:rPr>
          <w:rFonts w:ascii="Arial" w:eastAsia="Times New Roman" w:hAnsi="Arial"/>
          <w:sz w:val="22"/>
          <w:szCs w:val="22"/>
        </w:rPr>
        <w:t>Working Group on Tsunamis and Other Hazards Related to Sea-Level Warning and Mitigation Systems (TOWS-WS)</w:t>
      </w:r>
      <w:r>
        <w:rPr>
          <w:rFonts w:ascii="Arial" w:eastAsia="Times New Roman" w:hAnsi="Arial"/>
          <w:sz w:val="22"/>
          <w:szCs w:val="22"/>
        </w:rPr>
        <w:t>, and with efficient support of the IOC Tsunami Unit. There is expectation to step up the scientific and technological capacity of the system, increase its area of coverage, an attempt to develop warnings for tsunamis generated by some non-seismic sources. The ambitious Tsunami Ready program</w:t>
      </w:r>
      <w:r w:rsidR="007C6D7C">
        <w:rPr>
          <w:rFonts w:ascii="Arial" w:eastAsia="Times New Roman" w:hAnsi="Arial"/>
          <w:sz w:val="22"/>
          <w:szCs w:val="22"/>
        </w:rPr>
        <w:t>me</w:t>
      </w:r>
      <w:r>
        <w:rPr>
          <w:rFonts w:ascii="Arial" w:eastAsia="Times New Roman" w:hAnsi="Arial"/>
          <w:sz w:val="22"/>
          <w:szCs w:val="22"/>
        </w:rPr>
        <w:t xml:space="preserve"> is working towards the objective to have all coastal municipalities that are under risk of tsunamis recognized as “Tsunami Ready” by 2030. </w:t>
      </w:r>
    </w:p>
    <w:p w14:paraId="7F657968" w14:textId="3771CAF5" w:rsidR="00C51DE8" w:rsidRDefault="00C51DE8" w:rsidP="00E35CD7">
      <w:pPr>
        <w:widowControl w:val="0"/>
        <w:numPr>
          <w:ilvl w:val="0"/>
          <w:numId w:val="18"/>
        </w:numPr>
        <w:shd w:val="clear" w:color="auto" w:fill="FFFFFF"/>
        <w:tabs>
          <w:tab w:val="clear" w:pos="567"/>
          <w:tab w:val="left" w:pos="709"/>
        </w:tabs>
        <w:adjustRightInd w:val="0"/>
        <w:spacing w:after="240"/>
        <w:ind w:left="0" w:firstLine="0"/>
        <w:jc w:val="both"/>
        <w:textAlignment w:val="baseline"/>
        <w:rPr>
          <w:color w:val="000000"/>
        </w:rPr>
      </w:pPr>
      <w:r>
        <w:rPr>
          <w:rFonts w:ascii="Arial" w:eastAsia="Times New Roman" w:hAnsi="Arial"/>
          <w:sz w:val="22"/>
          <w:szCs w:val="22"/>
        </w:rPr>
        <w:t xml:space="preserve">A key </w:t>
      </w:r>
      <w:r w:rsidRPr="00E35CD7">
        <w:rPr>
          <w:rFonts w:asciiTheme="minorBidi" w:eastAsia="Times New Roman" w:hAnsiTheme="minorBidi" w:cstheme="minorBidi"/>
          <w:sz w:val="22"/>
          <w:szCs w:val="22"/>
        </w:rPr>
        <w:t>test</w:t>
      </w:r>
      <w:r>
        <w:rPr>
          <w:rFonts w:ascii="Arial" w:eastAsia="Times New Roman" w:hAnsi="Arial"/>
          <w:sz w:val="22"/>
          <w:szCs w:val="22"/>
        </w:rPr>
        <w:t xml:space="preserve"> to the IOC Tsunami System happened on 15 January 2022. </w:t>
      </w:r>
      <w:r w:rsidRPr="004864D9">
        <w:rPr>
          <w:rFonts w:ascii="Arial" w:eastAsia="Times New Roman" w:hAnsi="Arial"/>
          <w:sz w:val="22"/>
          <w:szCs w:val="22"/>
        </w:rPr>
        <w:t xml:space="preserve">The massive explosion on the volcanic island of </w:t>
      </w:r>
      <w:proofErr w:type="spellStart"/>
      <w:r w:rsidRPr="004864D9">
        <w:rPr>
          <w:rFonts w:ascii="Arial" w:eastAsia="Times New Roman" w:hAnsi="Arial"/>
          <w:sz w:val="22"/>
          <w:szCs w:val="22"/>
        </w:rPr>
        <w:t>Hunga</w:t>
      </w:r>
      <w:proofErr w:type="spellEnd"/>
      <w:r>
        <w:rPr>
          <w:rFonts w:ascii="Arial" w:eastAsia="Times New Roman" w:hAnsi="Arial"/>
          <w:sz w:val="22"/>
          <w:szCs w:val="22"/>
        </w:rPr>
        <w:t xml:space="preserve"> </w:t>
      </w:r>
      <w:r w:rsidRPr="004864D9">
        <w:rPr>
          <w:rFonts w:ascii="Arial" w:eastAsia="Times New Roman" w:hAnsi="Arial"/>
          <w:sz w:val="22"/>
          <w:szCs w:val="22"/>
        </w:rPr>
        <w:t>Tonga</w:t>
      </w:r>
      <w:r>
        <w:rPr>
          <w:rFonts w:ascii="Arial" w:eastAsia="Times New Roman" w:hAnsi="Arial"/>
          <w:sz w:val="22"/>
          <w:szCs w:val="22"/>
        </w:rPr>
        <w:t xml:space="preserve"> </w:t>
      </w:r>
      <w:r w:rsidRPr="004864D9">
        <w:rPr>
          <w:rFonts w:ascii="Arial" w:eastAsia="Times New Roman" w:hAnsi="Arial"/>
          <w:sz w:val="22"/>
          <w:szCs w:val="22"/>
        </w:rPr>
        <w:t>-</w:t>
      </w:r>
      <w:r>
        <w:rPr>
          <w:rFonts w:ascii="Arial" w:eastAsia="Times New Roman" w:hAnsi="Arial"/>
          <w:sz w:val="22"/>
          <w:szCs w:val="22"/>
        </w:rPr>
        <w:t xml:space="preserve"> </w:t>
      </w:r>
      <w:proofErr w:type="spellStart"/>
      <w:r w:rsidRPr="004864D9">
        <w:rPr>
          <w:rFonts w:ascii="Arial" w:eastAsia="Times New Roman" w:hAnsi="Arial"/>
          <w:sz w:val="22"/>
          <w:szCs w:val="22"/>
        </w:rPr>
        <w:t>Hunga</w:t>
      </w:r>
      <w:proofErr w:type="spellEnd"/>
      <w:r>
        <w:rPr>
          <w:rFonts w:ascii="Arial" w:eastAsia="Times New Roman" w:hAnsi="Arial"/>
          <w:sz w:val="22"/>
          <w:szCs w:val="22"/>
        </w:rPr>
        <w:t xml:space="preserve"> </w:t>
      </w:r>
      <w:proofErr w:type="spellStart"/>
      <w:r w:rsidRPr="004864D9">
        <w:rPr>
          <w:rFonts w:ascii="Arial" w:eastAsia="Times New Roman" w:hAnsi="Arial"/>
          <w:sz w:val="22"/>
          <w:szCs w:val="22"/>
        </w:rPr>
        <w:t>Ha'apai</w:t>
      </w:r>
      <w:proofErr w:type="spellEnd"/>
      <w:r w:rsidRPr="004864D9">
        <w:rPr>
          <w:rFonts w:ascii="Arial" w:eastAsia="Times New Roman" w:hAnsi="Arial"/>
          <w:sz w:val="22"/>
          <w:szCs w:val="22"/>
        </w:rPr>
        <w:t xml:space="preserve"> (HTHH), about 30</w:t>
      </w:r>
      <w:r w:rsidR="0086422A">
        <w:rPr>
          <w:rFonts w:ascii="Arial" w:eastAsia="Times New Roman" w:hAnsi="Arial"/>
          <w:sz w:val="22"/>
          <w:szCs w:val="22"/>
        </w:rPr>
        <w:t> </w:t>
      </w:r>
      <w:r w:rsidRPr="004864D9">
        <w:rPr>
          <w:rFonts w:ascii="Arial" w:eastAsia="Times New Roman" w:hAnsi="Arial"/>
          <w:sz w:val="22"/>
          <w:szCs w:val="22"/>
        </w:rPr>
        <w:t xml:space="preserve">km south-southeast of </w:t>
      </w:r>
      <w:proofErr w:type="spellStart"/>
      <w:r w:rsidRPr="004864D9">
        <w:rPr>
          <w:rFonts w:ascii="Arial" w:eastAsia="Times New Roman" w:hAnsi="Arial"/>
          <w:sz w:val="22"/>
          <w:szCs w:val="22"/>
        </w:rPr>
        <w:t>Fonuafoʻou</w:t>
      </w:r>
      <w:proofErr w:type="spellEnd"/>
      <w:r w:rsidRPr="004864D9">
        <w:rPr>
          <w:rFonts w:ascii="Arial" w:eastAsia="Times New Roman" w:hAnsi="Arial"/>
          <w:sz w:val="22"/>
          <w:szCs w:val="22"/>
        </w:rPr>
        <w:t xml:space="preserve"> island in</w:t>
      </w:r>
      <w:r>
        <w:rPr>
          <w:rFonts w:ascii="Arial" w:eastAsia="Times New Roman" w:hAnsi="Arial"/>
          <w:sz w:val="22"/>
          <w:szCs w:val="22"/>
        </w:rPr>
        <w:t xml:space="preserve"> </w:t>
      </w:r>
      <w:r w:rsidRPr="004864D9">
        <w:rPr>
          <w:rFonts w:ascii="Arial" w:eastAsia="Times New Roman" w:hAnsi="Arial"/>
          <w:sz w:val="22"/>
          <w:szCs w:val="22"/>
        </w:rPr>
        <w:t>Tonga</w:t>
      </w:r>
      <w:r>
        <w:rPr>
          <w:rFonts w:ascii="Arial" w:eastAsia="Times New Roman" w:hAnsi="Arial"/>
          <w:sz w:val="22"/>
          <w:szCs w:val="22"/>
        </w:rPr>
        <w:t>,</w:t>
      </w:r>
      <w:r w:rsidRPr="004864D9">
        <w:rPr>
          <w:rFonts w:ascii="Arial" w:eastAsia="Times New Roman" w:hAnsi="Arial"/>
          <w:sz w:val="22"/>
          <w:szCs w:val="22"/>
        </w:rPr>
        <w:t xml:space="preserve"> generated a tsunami that caused </w:t>
      </w:r>
      <w:r>
        <w:rPr>
          <w:rFonts w:ascii="Arial" w:eastAsia="Times New Roman" w:hAnsi="Arial"/>
          <w:sz w:val="22"/>
          <w:szCs w:val="22"/>
        </w:rPr>
        <w:t xml:space="preserve">loss of life and </w:t>
      </w:r>
      <w:r w:rsidRPr="004864D9">
        <w:rPr>
          <w:rFonts w:ascii="Arial" w:eastAsia="Times New Roman" w:hAnsi="Arial"/>
          <w:sz w:val="22"/>
          <w:szCs w:val="22"/>
        </w:rPr>
        <w:t>damages locally, regionally, and across the Pacific.</w:t>
      </w:r>
      <w:r>
        <w:rPr>
          <w:rFonts w:ascii="Arial" w:eastAsia="Times New Roman" w:hAnsi="Arial"/>
          <w:sz w:val="22"/>
          <w:szCs w:val="22"/>
        </w:rPr>
        <w:t xml:space="preserve"> </w:t>
      </w:r>
      <w:r w:rsidRPr="00354611">
        <w:rPr>
          <w:rFonts w:ascii="Arial" w:eastAsia="Times New Roman" w:hAnsi="Arial" w:cs="Arial"/>
          <w:snapToGrid/>
          <w:color w:val="000000"/>
          <w:sz w:val="22"/>
          <w:szCs w:val="22"/>
          <w:lang w:val="en-US" w:eastAsia="en-US"/>
        </w:rPr>
        <w:t>This was the first time that the Pacific Tsunami Warning Center (PTWC) had to respond</w:t>
      </w:r>
      <w:r>
        <w:rPr>
          <w:rFonts w:ascii="Arial" w:eastAsia="Times New Roman" w:hAnsi="Arial" w:cs="Arial"/>
          <w:snapToGrid/>
          <w:color w:val="000000"/>
          <w:sz w:val="22"/>
          <w:szCs w:val="22"/>
          <w:lang w:val="en-US" w:eastAsia="en-US"/>
        </w:rPr>
        <w:t>, almost instantly,</w:t>
      </w:r>
      <w:r w:rsidRPr="00354611">
        <w:rPr>
          <w:rFonts w:ascii="Arial" w:eastAsia="Times New Roman" w:hAnsi="Arial" w:cs="Arial"/>
          <w:snapToGrid/>
          <w:color w:val="000000"/>
          <w:sz w:val="22"/>
          <w:szCs w:val="22"/>
          <w:lang w:val="en-US" w:eastAsia="en-US"/>
        </w:rPr>
        <w:t xml:space="preserve"> to such an event</w:t>
      </w:r>
      <w:r>
        <w:rPr>
          <w:rFonts w:ascii="Arial" w:eastAsia="Times New Roman" w:hAnsi="Arial" w:cs="Arial"/>
          <w:snapToGrid/>
          <w:color w:val="000000"/>
          <w:sz w:val="22"/>
          <w:szCs w:val="22"/>
          <w:lang w:val="en-US" w:eastAsia="en-US"/>
        </w:rPr>
        <w:t>,</w:t>
      </w:r>
      <w:r w:rsidRPr="00354611">
        <w:rPr>
          <w:rFonts w:ascii="Arial" w:eastAsia="Times New Roman" w:hAnsi="Arial" w:cs="Arial"/>
          <w:snapToGrid/>
          <w:color w:val="000000"/>
          <w:sz w:val="22"/>
          <w:szCs w:val="22"/>
          <w:lang w:val="en-US" w:eastAsia="en-US"/>
        </w:rPr>
        <w:t xml:space="preserve"> since its system is primarily focused on earthquake-generated tsunamis</w:t>
      </w:r>
      <w:r>
        <w:rPr>
          <w:rFonts w:ascii="Arial" w:eastAsia="Times New Roman" w:hAnsi="Arial" w:cs="Arial"/>
          <w:snapToGrid/>
          <w:color w:val="000000"/>
          <w:sz w:val="22"/>
          <w:szCs w:val="22"/>
          <w:lang w:val="en-US" w:eastAsia="en-US"/>
        </w:rPr>
        <w:t xml:space="preserve"> </w:t>
      </w:r>
      <w:r w:rsidRPr="00354611">
        <w:rPr>
          <w:rFonts w:ascii="Arial" w:eastAsia="Times New Roman" w:hAnsi="Arial" w:cs="Arial"/>
          <w:snapToGrid/>
          <w:color w:val="000000"/>
          <w:sz w:val="22"/>
          <w:szCs w:val="22"/>
          <w:lang w:val="en-US" w:eastAsia="en-US"/>
        </w:rPr>
        <w:t>representing nearly 90% of the past cases of tsunami in the world</w:t>
      </w:r>
      <w:r>
        <w:rPr>
          <w:rFonts w:ascii="Arial" w:eastAsia="Times New Roman" w:hAnsi="Arial" w:cs="Arial"/>
          <w:snapToGrid/>
          <w:color w:val="000000"/>
          <w:sz w:val="22"/>
          <w:szCs w:val="22"/>
          <w:lang w:val="en-US" w:eastAsia="en-US"/>
        </w:rPr>
        <w:t>.</w:t>
      </w:r>
      <w:r w:rsidRPr="00354611">
        <w:rPr>
          <w:rFonts w:ascii="Arial" w:eastAsia="Times New Roman" w:hAnsi="Arial" w:cs="Arial"/>
          <w:snapToGrid/>
          <w:color w:val="000000"/>
          <w:sz w:val="22"/>
          <w:szCs w:val="22"/>
          <w:lang w:val="en-US" w:eastAsia="en-US"/>
        </w:rPr>
        <w:t xml:space="preserve"> </w:t>
      </w:r>
      <w:r>
        <w:rPr>
          <w:rFonts w:ascii="Arial" w:eastAsia="Times New Roman" w:hAnsi="Arial" w:cs="Arial"/>
          <w:snapToGrid/>
          <w:color w:val="000000"/>
          <w:sz w:val="22"/>
          <w:szCs w:val="22"/>
          <w:lang w:val="en-US" w:eastAsia="en-US"/>
        </w:rPr>
        <w:t>The PTWC team manag</w:t>
      </w:r>
      <w:r w:rsidR="00E97813">
        <w:rPr>
          <w:rFonts w:ascii="Arial" w:eastAsia="Times New Roman" w:hAnsi="Arial" w:cs="Arial"/>
          <w:snapToGrid/>
          <w:color w:val="000000"/>
          <w:sz w:val="22"/>
          <w:szCs w:val="22"/>
          <w:lang w:val="en-US" w:eastAsia="en-US"/>
        </w:rPr>
        <w:t>ed</w:t>
      </w:r>
      <w:r>
        <w:rPr>
          <w:rFonts w:ascii="Arial" w:eastAsia="Times New Roman" w:hAnsi="Arial" w:cs="Arial"/>
          <w:snapToGrid/>
          <w:color w:val="000000"/>
          <w:sz w:val="22"/>
          <w:szCs w:val="22"/>
          <w:lang w:val="en-US" w:eastAsia="en-US"/>
        </w:rPr>
        <w:t xml:space="preserve"> to issue tsunami threat messages despite major technical difficulties </w:t>
      </w:r>
      <w:r w:rsidR="0086422A">
        <w:rPr>
          <w:rFonts w:ascii="Arial" w:eastAsia="Times New Roman" w:hAnsi="Arial" w:cs="Arial"/>
          <w:snapToGrid/>
          <w:color w:val="000000"/>
          <w:sz w:val="22"/>
          <w:szCs w:val="22"/>
          <w:lang w:val="en-US" w:eastAsia="en-US"/>
        </w:rPr>
        <w:t xml:space="preserve">together with </w:t>
      </w:r>
      <w:r>
        <w:rPr>
          <w:rFonts w:ascii="Arial" w:eastAsia="Times New Roman" w:hAnsi="Arial" w:cs="Arial"/>
          <w:snapToGrid/>
          <w:color w:val="000000"/>
          <w:sz w:val="22"/>
          <w:szCs w:val="22"/>
          <w:lang w:val="en-US" w:eastAsia="en-US"/>
        </w:rPr>
        <w:t xml:space="preserve">National Tsunami Warning </w:t>
      </w:r>
      <w:proofErr w:type="spellStart"/>
      <w:r>
        <w:rPr>
          <w:rFonts w:ascii="Arial" w:eastAsia="Times New Roman" w:hAnsi="Arial" w:cs="Arial"/>
          <w:snapToGrid/>
          <w:color w:val="000000"/>
          <w:sz w:val="22"/>
          <w:szCs w:val="22"/>
          <w:lang w:val="en-US" w:eastAsia="en-US"/>
        </w:rPr>
        <w:t>Centres</w:t>
      </w:r>
      <w:proofErr w:type="spellEnd"/>
      <w:r>
        <w:rPr>
          <w:rFonts w:ascii="Arial" w:eastAsia="Times New Roman" w:hAnsi="Arial" w:cs="Arial"/>
          <w:snapToGrid/>
          <w:color w:val="000000"/>
          <w:sz w:val="22"/>
          <w:szCs w:val="22"/>
          <w:lang w:val="en-US" w:eastAsia="en-US"/>
        </w:rPr>
        <w:t xml:space="preserve"> and National emergency Management Offices that issued warning and evacuation orders saving lives</w:t>
      </w:r>
      <w:r w:rsidRPr="00354611">
        <w:rPr>
          <w:rFonts w:ascii="Arial" w:eastAsia="Times New Roman" w:hAnsi="Arial" w:cs="Arial"/>
          <w:snapToGrid/>
          <w:color w:val="000000"/>
          <w:sz w:val="22"/>
          <w:szCs w:val="22"/>
          <w:lang w:val="en-US" w:eastAsia="en-US"/>
        </w:rPr>
        <w:t>.</w:t>
      </w:r>
      <w:r>
        <w:rPr>
          <w:rFonts w:ascii="Arial" w:eastAsia="Times New Roman" w:hAnsi="Arial" w:cs="Arial"/>
          <w:snapToGrid/>
          <w:color w:val="000000"/>
          <w:sz w:val="22"/>
          <w:szCs w:val="22"/>
          <w:lang w:val="en-US" w:eastAsia="en-US"/>
        </w:rPr>
        <w:t xml:space="preserve"> </w:t>
      </w:r>
      <w:r w:rsidRPr="004864D9">
        <w:rPr>
          <w:rFonts w:ascii="Arial" w:hAnsi="Arial" w:cs="Arial"/>
          <w:color w:val="000000"/>
          <w:sz w:val="22"/>
          <w:szCs w:val="22"/>
        </w:rPr>
        <w:t>Following this event</w:t>
      </w:r>
      <w:r>
        <w:rPr>
          <w:rFonts w:ascii="Arial" w:hAnsi="Arial" w:cs="Arial"/>
          <w:color w:val="000000"/>
          <w:sz w:val="22"/>
          <w:szCs w:val="22"/>
        </w:rPr>
        <w:t>, a</w:t>
      </w:r>
      <w:r w:rsidRPr="004864D9">
        <w:rPr>
          <w:rFonts w:ascii="Arial" w:hAnsi="Arial" w:cs="Arial"/>
          <w:color w:val="000000"/>
          <w:sz w:val="22"/>
          <w:szCs w:val="22"/>
        </w:rPr>
        <w:t>n IOC Post-Event Assessment for the HTHH volcanic eruption and tsunami</w:t>
      </w:r>
      <w:r>
        <w:rPr>
          <w:rFonts w:ascii="Arial" w:hAnsi="Arial" w:cs="Arial"/>
          <w:color w:val="000000"/>
          <w:sz w:val="22"/>
          <w:szCs w:val="22"/>
        </w:rPr>
        <w:t xml:space="preserve"> was conducted. As well, t</w:t>
      </w:r>
      <w:r w:rsidRPr="00B60B30">
        <w:rPr>
          <w:rFonts w:ascii="Arial" w:hAnsi="Arial" w:cs="Arial"/>
          <w:color w:val="000000"/>
          <w:sz w:val="22"/>
          <w:szCs w:val="22"/>
        </w:rPr>
        <w:t xml:space="preserve">he Intergovernmental Coordination Group (ICG) for the Pacific Tsunami Warning and Mitigation System (PTWS) established a Task Team on Tsunami Hazard Response and requested it to prepare a PTWS HTHH Interim Volcano Tsunami Procedures Implementation Plan. </w:t>
      </w:r>
    </w:p>
    <w:p w14:paraId="72EF7759" w14:textId="206D4030" w:rsidR="00C51DE8" w:rsidRPr="0087386A" w:rsidRDefault="00C51DE8" w:rsidP="00E35CD7">
      <w:pPr>
        <w:widowControl w:val="0"/>
        <w:numPr>
          <w:ilvl w:val="0"/>
          <w:numId w:val="18"/>
        </w:numPr>
        <w:shd w:val="clear" w:color="auto" w:fill="FFFFFF"/>
        <w:tabs>
          <w:tab w:val="clear" w:pos="567"/>
          <w:tab w:val="left" w:pos="709"/>
        </w:tabs>
        <w:adjustRightInd w:val="0"/>
        <w:spacing w:after="240"/>
        <w:ind w:left="0" w:firstLine="0"/>
        <w:jc w:val="both"/>
        <w:textAlignment w:val="baseline"/>
        <w:rPr>
          <w:rFonts w:ascii="Arial" w:hAnsi="Arial" w:cs="Arial"/>
          <w:color w:val="000000"/>
          <w:sz w:val="22"/>
          <w:szCs w:val="22"/>
        </w:rPr>
      </w:pPr>
      <w:r w:rsidRPr="0087386A">
        <w:rPr>
          <w:rFonts w:ascii="Arial" w:hAnsi="Arial" w:cs="Arial"/>
          <w:color w:val="000000"/>
          <w:sz w:val="22"/>
          <w:szCs w:val="22"/>
        </w:rPr>
        <w:t>IOC continue</w:t>
      </w:r>
      <w:r>
        <w:rPr>
          <w:rFonts w:ascii="Arial" w:hAnsi="Arial" w:cs="Arial"/>
          <w:color w:val="000000"/>
          <w:sz w:val="22"/>
          <w:szCs w:val="22"/>
        </w:rPr>
        <w:t>s</w:t>
      </w:r>
      <w:r w:rsidRPr="0087386A">
        <w:rPr>
          <w:rFonts w:ascii="Arial" w:hAnsi="Arial" w:cs="Arial"/>
          <w:color w:val="000000"/>
          <w:sz w:val="22"/>
          <w:szCs w:val="22"/>
        </w:rPr>
        <w:t xml:space="preserve"> to </w:t>
      </w:r>
      <w:r w:rsidRPr="00E35CD7">
        <w:rPr>
          <w:rFonts w:ascii="Arial" w:eastAsia="Times New Roman" w:hAnsi="Arial"/>
          <w:sz w:val="22"/>
          <w:szCs w:val="22"/>
        </w:rPr>
        <w:t>build</w:t>
      </w:r>
      <w:r w:rsidRPr="0087386A">
        <w:rPr>
          <w:rFonts w:ascii="Arial" w:hAnsi="Arial" w:cs="Arial"/>
          <w:color w:val="000000"/>
          <w:sz w:val="22"/>
          <w:szCs w:val="22"/>
        </w:rPr>
        <w:t xml:space="preserve"> scientific and institutional capacity </w:t>
      </w:r>
      <w:r>
        <w:rPr>
          <w:rFonts w:ascii="Arial" w:hAnsi="Arial" w:cs="Arial"/>
          <w:color w:val="000000"/>
          <w:sz w:val="22"/>
          <w:szCs w:val="22"/>
        </w:rPr>
        <w:t xml:space="preserve">of all its constituencies </w:t>
      </w:r>
      <w:r w:rsidRPr="0087386A">
        <w:rPr>
          <w:rFonts w:ascii="Arial" w:hAnsi="Arial" w:cs="Arial"/>
          <w:color w:val="000000"/>
          <w:sz w:val="22"/>
          <w:szCs w:val="22"/>
        </w:rPr>
        <w:t xml:space="preserve">through the transfer of marine technology, </w:t>
      </w:r>
      <w:proofErr w:type="gramStart"/>
      <w:r w:rsidRPr="0087386A">
        <w:rPr>
          <w:rFonts w:ascii="Arial" w:hAnsi="Arial" w:cs="Arial"/>
          <w:color w:val="000000"/>
          <w:sz w:val="22"/>
          <w:szCs w:val="22"/>
        </w:rPr>
        <w:t>education</w:t>
      </w:r>
      <w:proofErr w:type="gramEnd"/>
      <w:r w:rsidRPr="0087386A">
        <w:rPr>
          <w:rFonts w:ascii="Arial" w:hAnsi="Arial" w:cs="Arial"/>
          <w:color w:val="000000"/>
          <w:sz w:val="22"/>
          <w:szCs w:val="22"/>
        </w:rPr>
        <w:t xml:space="preserve"> and training. </w:t>
      </w:r>
      <w:r>
        <w:rPr>
          <w:rFonts w:ascii="Arial" w:hAnsi="Arial" w:cs="Arial"/>
          <w:color w:val="000000"/>
          <w:sz w:val="22"/>
          <w:szCs w:val="22"/>
        </w:rPr>
        <w:t xml:space="preserve">The </w:t>
      </w:r>
      <w:r w:rsidR="009205FF" w:rsidRPr="009205FF">
        <w:rPr>
          <w:rFonts w:ascii="Arial" w:hAnsi="Arial" w:cs="Arial"/>
          <w:color w:val="000000"/>
          <w:sz w:val="22"/>
          <w:szCs w:val="22"/>
        </w:rPr>
        <w:t xml:space="preserve">IOC Group of Experts on Capacity Development </w:t>
      </w:r>
      <w:r>
        <w:rPr>
          <w:rFonts w:ascii="Arial" w:hAnsi="Arial" w:cs="Arial"/>
          <w:color w:val="000000"/>
          <w:sz w:val="22"/>
          <w:szCs w:val="22"/>
        </w:rPr>
        <w:t>engages leading experts i</w:t>
      </w:r>
      <w:r w:rsidRPr="0087386A">
        <w:rPr>
          <w:rFonts w:ascii="Arial" w:hAnsi="Arial" w:cs="Arial"/>
          <w:color w:val="000000"/>
          <w:sz w:val="22"/>
          <w:szCs w:val="22"/>
        </w:rPr>
        <w:t>n the preparation of the IOC CD Strategy 2023</w:t>
      </w:r>
      <w:r w:rsidR="009205FF">
        <w:rPr>
          <w:rFonts w:ascii="Arial" w:hAnsi="Arial" w:cs="Arial"/>
          <w:color w:val="000000"/>
          <w:sz w:val="22"/>
          <w:szCs w:val="22"/>
        </w:rPr>
        <w:t>–</w:t>
      </w:r>
      <w:r w:rsidRPr="0087386A">
        <w:rPr>
          <w:rFonts w:ascii="Arial" w:hAnsi="Arial" w:cs="Arial"/>
          <w:color w:val="000000"/>
          <w:sz w:val="22"/>
          <w:szCs w:val="22"/>
        </w:rPr>
        <w:t>2030</w:t>
      </w:r>
      <w:r w:rsidR="009205FF">
        <w:rPr>
          <w:rFonts w:ascii="Arial" w:hAnsi="Arial" w:cs="Arial"/>
          <w:color w:val="000000"/>
          <w:sz w:val="22"/>
          <w:szCs w:val="22"/>
        </w:rPr>
        <w:t>. T</w:t>
      </w:r>
      <w:r>
        <w:rPr>
          <w:rFonts w:ascii="Arial" w:hAnsi="Arial" w:cs="Arial"/>
          <w:color w:val="000000"/>
          <w:sz w:val="22"/>
          <w:szCs w:val="22"/>
        </w:rPr>
        <w:t xml:space="preserve">he </w:t>
      </w:r>
      <w:r w:rsidRPr="0087386A">
        <w:rPr>
          <w:rFonts w:ascii="Arial" w:hAnsi="Arial" w:cs="Arial"/>
          <w:color w:val="000000"/>
          <w:sz w:val="22"/>
          <w:szCs w:val="22"/>
        </w:rPr>
        <w:t xml:space="preserve">strategic approach </w:t>
      </w:r>
      <w:r>
        <w:rPr>
          <w:rFonts w:ascii="Arial" w:hAnsi="Arial" w:cs="Arial"/>
          <w:color w:val="000000"/>
          <w:sz w:val="22"/>
          <w:szCs w:val="22"/>
        </w:rPr>
        <w:t xml:space="preserve">is to design </w:t>
      </w:r>
      <w:r w:rsidRPr="0087386A">
        <w:rPr>
          <w:rFonts w:ascii="Arial" w:hAnsi="Arial" w:cs="Arial"/>
          <w:color w:val="000000"/>
          <w:sz w:val="22"/>
          <w:szCs w:val="22"/>
        </w:rPr>
        <w:t xml:space="preserve">relevant actions to assist Members States in developing and </w:t>
      </w:r>
      <w:r>
        <w:rPr>
          <w:rFonts w:ascii="Arial" w:hAnsi="Arial" w:cs="Arial"/>
          <w:color w:val="000000"/>
          <w:sz w:val="22"/>
          <w:szCs w:val="22"/>
        </w:rPr>
        <w:t xml:space="preserve">expanding </w:t>
      </w:r>
      <w:r w:rsidRPr="0087386A">
        <w:rPr>
          <w:rFonts w:ascii="Arial" w:hAnsi="Arial" w:cs="Arial"/>
          <w:color w:val="000000"/>
          <w:sz w:val="22"/>
          <w:szCs w:val="22"/>
        </w:rPr>
        <w:t xml:space="preserve">the capacity on sustainable management of the ocean. Through the trainings delivered via the </w:t>
      </w:r>
      <w:proofErr w:type="spellStart"/>
      <w:r w:rsidRPr="0087386A">
        <w:rPr>
          <w:rFonts w:ascii="Arial" w:hAnsi="Arial" w:cs="Arial"/>
          <w:color w:val="000000"/>
          <w:sz w:val="22"/>
          <w:szCs w:val="22"/>
        </w:rPr>
        <w:t>OceanTeacher</w:t>
      </w:r>
      <w:proofErr w:type="spellEnd"/>
      <w:r w:rsidRPr="0087386A">
        <w:rPr>
          <w:rFonts w:ascii="Arial" w:hAnsi="Arial" w:cs="Arial"/>
          <w:color w:val="000000"/>
          <w:sz w:val="22"/>
          <w:szCs w:val="22"/>
        </w:rPr>
        <w:t xml:space="preserve"> Global Academy global network of </w:t>
      </w:r>
      <w:r>
        <w:rPr>
          <w:rFonts w:ascii="Arial" w:hAnsi="Arial" w:cs="Arial"/>
          <w:color w:val="000000"/>
          <w:sz w:val="22"/>
          <w:szCs w:val="22"/>
        </w:rPr>
        <w:t xml:space="preserve">17 </w:t>
      </w:r>
      <w:r w:rsidRPr="0087386A">
        <w:rPr>
          <w:rFonts w:ascii="Arial" w:hAnsi="Arial" w:cs="Arial"/>
          <w:color w:val="000000"/>
          <w:sz w:val="22"/>
          <w:szCs w:val="22"/>
        </w:rPr>
        <w:t>Regional and Specialised Training Centres, OTGA deliver</w:t>
      </w:r>
      <w:r w:rsidR="009911AA">
        <w:rPr>
          <w:rFonts w:ascii="Arial" w:hAnsi="Arial" w:cs="Arial"/>
          <w:color w:val="000000"/>
          <w:sz w:val="22"/>
          <w:szCs w:val="22"/>
        </w:rPr>
        <w:t>ed</w:t>
      </w:r>
      <w:r w:rsidRPr="0087386A">
        <w:rPr>
          <w:rFonts w:ascii="Arial" w:hAnsi="Arial" w:cs="Arial"/>
          <w:color w:val="000000"/>
          <w:sz w:val="22"/>
          <w:szCs w:val="22"/>
        </w:rPr>
        <w:t xml:space="preserve"> 24</w:t>
      </w:r>
      <w:r w:rsidR="009911AA">
        <w:rPr>
          <w:rFonts w:ascii="Arial" w:hAnsi="Arial" w:cs="Arial"/>
          <w:color w:val="000000"/>
          <w:sz w:val="22"/>
          <w:szCs w:val="22"/>
        </w:rPr>
        <w:t xml:space="preserve"> on-line</w:t>
      </w:r>
      <w:r w:rsidRPr="0087386A">
        <w:rPr>
          <w:rFonts w:ascii="Arial" w:hAnsi="Arial" w:cs="Arial"/>
          <w:color w:val="000000"/>
          <w:sz w:val="22"/>
          <w:szCs w:val="22"/>
        </w:rPr>
        <w:t xml:space="preserve"> training courses for the period June 2021</w:t>
      </w:r>
      <w:r w:rsidR="009911AA">
        <w:rPr>
          <w:rFonts w:ascii="Arial" w:hAnsi="Arial" w:cs="Arial"/>
          <w:color w:val="000000"/>
          <w:sz w:val="22"/>
          <w:szCs w:val="22"/>
        </w:rPr>
        <w:t>–</w:t>
      </w:r>
      <w:r w:rsidRPr="0087386A">
        <w:rPr>
          <w:rFonts w:ascii="Arial" w:hAnsi="Arial" w:cs="Arial"/>
          <w:color w:val="000000"/>
          <w:sz w:val="22"/>
          <w:szCs w:val="22"/>
        </w:rPr>
        <w:t xml:space="preserve">December 2021. Eight </w:t>
      </w:r>
      <w:r w:rsidR="009911AA">
        <w:rPr>
          <w:rFonts w:ascii="Arial" w:hAnsi="Arial" w:cs="Arial"/>
          <w:color w:val="000000"/>
          <w:sz w:val="22"/>
          <w:szCs w:val="22"/>
        </w:rPr>
        <w:t xml:space="preserve">additional </w:t>
      </w:r>
      <w:r w:rsidRPr="0087386A">
        <w:rPr>
          <w:rFonts w:ascii="Arial" w:hAnsi="Arial" w:cs="Arial"/>
          <w:color w:val="000000"/>
          <w:sz w:val="22"/>
          <w:szCs w:val="22"/>
        </w:rPr>
        <w:t xml:space="preserve">online training courses </w:t>
      </w:r>
      <w:r>
        <w:rPr>
          <w:rFonts w:ascii="Arial" w:hAnsi="Arial" w:cs="Arial"/>
          <w:color w:val="000000"/>
          <w:sz w:val="22"/>
          <w:szCs w:val="22"/>
        </w:rPr>
        <w:t xml:space="preserve">are to be </w:t>
      </w:r>
      <w:r w:rsidRPr="0087386A">
        <w:rPr>
          <w:rFonts w:ascii="Arial" w:hAnsi="Arial" w:cs="Arial"/>
          <w:color w:val="000000"/>
          <w:sz w:val="22"/>
          <w:szCs w:val="22"/>
        </w:rPr>
        <w:t xml:space="preserve">delivered </w:t>
      </w:r>
      <w:r w:rsidR="009911AA">
        <w:rPr>
          <w:rFonts w:ascii="Arial" w:hAnsi="Arial" w:cs="Arial"/>
          <w:color w:val="000000"/>
          <w:sz w:val="22"/>
          <w:szCs w:val="22"/>
        </w:rPr>
        <w:t xml:space="preserve">during the first semester </w:t>
      </w:r>
      <w:r w:rsidR="002E5A7D">
        <w:rPr>
          <w:rFonts w:ascii="Arial" w:hAnsi="Arial" w:cs="Arial"/>
          <w:color w:val="000000"/>
          <w:sz w:val="22"/>
          <w:szCs w:val="22"/>
        </w:rPr>
        <w:t xml:space="preserve">of </w:t>
      </w:r>
      <w:r w:rsidR="009911AA">
        <w:rPr>
          <w:rFonts w:ascii="Arial" w:hAnsi="Arial" w:cs="Arial"/>
          <w:color w:val="000000"/>
          <w:sz w:val="22"/>
          <w:szCs w:val="22"/>
        </w:rPr>
        <w:t xml:space="preserve">2022 </w:t>
      </w:r>
      <w:r w:rsidRPr="0087386A">
        <w:rPr>
          <w:rFonts w:ascii="Arial" w:hAnsi="Arial" w:cs="Arial"/>
          <w:color w:val="000000"/>
          <w:sz w:val="22"/>
          <w:szCs w:val="22"/>
        </w:rPr>
        <w:t xml:space="preserve">through </w:t>
      </w:r>
      <w:r>
        <w:rPr>
          <w:rFonts w:ascii="Arial" w:hAnsi="Arial" w:cs="Arial"/>
          <w:color w:val="000000"/>
          <w:sz w:val="22"/>
          <w:szCs w:val="22"/>
        </w:rPr>
        <w:t>c</w:t>
      </w:r>
      <w:r w:rsidRPr="0087386A">
        <w:rPr>
          <w:rFonts w:ascii="Arial" w:hAnsi="Arial" w:cs="Arial"/>
          <w:color w:val="000000"/>
          <w:sz w:val="22"/>
          <w:szCs w:val="22"/>
        </w:rPr>
        <w:t>entres in Belgium, Norway, Argentina, Mozambique</w:t>
      </w:r>
      <w:r>
        <w:rPr>
          <w:rFonts w:ascii="Arial" w:hAnsi="Arial" w:cs="Arial"/>
          <w:color w:val="000000"/>
          <w:sz w:val="22"/>
          <w:szCs w:val="22"/>
        </w:rPr>
        <w:t>,</w:t>
      </w:r>
      <w:r w:rsidRPr="0087386A">
        <w:rPr>
          <w:rFonts w:ascii="Arial" w:hAnsi="Arial" w:cs="Arial"/>
          <w:color w:val="000000"/>
          <w:sz w:val="22"/>
          <w:szCs w:val="22"/>
        </w:rPr>
        <w:t xml:space="preserve"> and Portugal. WESTPAC Regional Training and Research Centres delivered trainings </w:t>
      </w:r>
      <w:r>
        <w:rPr>
          <w:rFonts w:ascii="Arial" w:hAnsi="Arial" w:cs="Arial"/>
          <w:color w:val="000000"/>
          <w:sz w:val="22"/>
          <w:szCs w:val="22"/>
        </w:rPr>
        <w:t>in</w:t>
      </w:r>
      <w:r w:rsidRPr="0087386A">
        <w:rPr>
          <w:rFonts w:ascii="Arial" w:hAnsi="Arial" w:cs="Arial"/>
          <w:color w:val="000000"/>
          <w:sz w:val="22"/>
          <w:szCs w:val="22"/>
        </w:rPr>
        <w:t xml:space="preserve"> Marine Biodiversity and Ecosystem Health (RTRC-</w:t>
      </w:r>
      <w:proofErr w:type="spellStart"/>
      <w:r w:rsidRPr="0087386A">
        <w:rPr>
          <w:rFonts w:ascii="Arial" w:hAnsi="Arial" w:cs="Arial"/>
          <w:color w:val="000000"/>
          <w:sz w:val="22"/>
          <w:szCs w:val="22"/>
        </w:rPr>
        <w:t>MarBEST</w:t>
      </w:r>
      <w:proofErr w:type="spellEnd"/>
      <w:r w:rsidRPr="0087386A">
        <w:rPr>
          <w:rFonts w:ascii="Arial" w:hAnsi="Arial" w:cs="Arial"/>
          <w:color w:val="000000"/>
          <w:sz w:val="22"/>
          <w:szCs w:val="22"/>
        </w:rPr>
        <w:t>), Ocean Dynamics and Climate (RTRC-ODC), Reef Management and Restoration, Marine Toxin and Food Security, and Plastic Marine Debris and Microplastics. Early career professionals were also engaged in RTRCs programmes and trainings</w:t>
      </w:r>
      <w:r>
        <w:rPr>
          <w:rFonts w:ascii="Arial" w:hAnsi="Arial" w:cs="Arial"/>
          <w:color w:val="000000"/>
          <w:sz w:val="22"/>
          <w:szCs w:val="22"/>
        </w:rPr>
        <w:t xml:space="preserve"> leading to</w:t>
      </w:r>
      <w:r w:rsidRPr="0087386A">
        <w:rPr>
          <w:rFonts w:ascii="Arial" w:hAnsi="Arial" w:cs="Arial"/>
          <w:color w:val="000000"/>
          <w:sz w:val="22"/>
          <w:szCs w:val="22"/>
        </w:rPr>
        <w:t xml:space="preserve"> further advancement of their knowledge </w:t>
      </w:r>
      <w:r>
        <w:rPr>
          <w:rFonts w:ascii="Arial" w:hAnsi="Arial" w:cs="Arial"/>
          <w:color w:val="000000"/>
          <w:sz w:val="22"/>
          <w:szCs w:val="22"/>
        </w:rPr>
        <w:t xml:space="preserve">and providing </w:t>
      </w:r>
      <w:r w:rsidRPr="0087386A">
        <w:rPr>
          <w:rFonts w:ascii="Arial" w:hAnsi="Arial" w:cs="Arial"/>
          <w:color w:val="000000"/>
          <w:sz w:val="22"/>
          <w:szCs w:val="22"/>
        </w:rPr>
        <w:t xml:space="preserve">collaboration and networking </w:t>
      </w:r>
      <w:r>
        <w:rPr>
          <w:rFonts w:ascii="Arial" w:hAnsi="Arial" w:cs="Arial"/>
          <w:color w:val="000000"/>
          <w:sz w:val="22"/>
          <w:szCs w:val="22"/>
        </w:rPr>
        <w:t>opportunities</w:t>
      </w:r>
      <w:r w:rsidRPr="0087386A">
        <w:rPr>
          <w:rFonts w:ascii="Arial" w:hAnsi="Arial" w:cs="Arial"/>
          <w:color w:val="000000"/>
          <w:sz w:val="22"/>
          <w:szCs w:val="22"/>
        </w:rPr>
        <w:t xml:space="preserve">.  </w:t>
      </w:r>
    </w:p>
    <w:p w14:paraId="67C2992D" w14:textId="2383FD43" w:rsidR="00C51DE8" w:rsidRDefault="002E5A7D" w:rsidP="00E35CD7">
      <w:pPr>
        <w:widowControl w:val="0"/>
        <w:numPr>
          <w:ilvl w:val="0"/>
          <w:numId w:val="18"/>
        </w:numPr>
        <w:shd w:val="clear" w:color="auto" w:fill="FFFFFF"/>
        <w:tabs>
          <w:tab w:val="clear" w:pos="567"/>
          <w:tab w:val="left" w:pos="709"/>
        </w:tabs>
        <w:adjustRightInd w:val="0"/>
        <w:spacing w:after="240"/>
        <w:ind w:left="0" w:firstLine="0"/>
        <w:jc w:val="both"/>
        <w:textAlignment w:val="baseline"/>
        <w:rPr>
          <w:rFonts w:ascii="Arial" w:eastAsia="Times New Roman" w:hAnsi="Arial"/>
          <w:sz w:val="22"/>
          <w:szCs w:val="22"/>
        </w:rPr>
      </w:pPr>
      <w:r w:rsidRPr="002E5A7D">
        <w:rPr>
          <w:rFonts w:ascii="Arial" w:eastAsia="Times New Roman" w:hAnsi="Arial"/>
          <w:sz w:val="22"/>
          <w:szCs w:val="22"/>
        </w:rPr>
        <w:t>The good progress of the Ocean Decade will be reported upon under agenda item 4.1</w:t>
      </w:r>
      <w:r w:rsidR="00C51DE8">
        <w:rPr>
          <w:rFonts w:ascii="Arial" w:eastAsia="Times New Roman" w:hAnsi="Arial"/>
          <w:sz w:val="22"/>
          <w:szCs w:val="22"/>
        </w:rPr>
        <w:t xml:space="preserve">. The Decade Coordination Unit is ably supporting the unprecedented scale of activities, </w:t>
      </w:r>
      <w:r w:rsidR="00C51DE8" w:rsidRPr="00AD7CCA">
        <w:rPr>
          <w:rFonts w:ascii="Arial" w:eastAsia="Times New Roman" w:hAnsi="Arial" w:cs="Arial"/>
          <w:sz w:val="22"/>
          <w:szCs w:val="22"/>
        </w:rPr>
        <w:t xml:space="preserve">although </w:t>
      </w:r>
      <w:r w:rsidR="00C51DE8" w:rsidRPr="00F2342F">
        <w:rPr>
          <w:rFonts w:ascii="Arial" w:hAnsi="Arial" w:cs="Arial"/>
          <w:color w:val="000000" w:themeColor="text1"/>
          <w:sz w:val="22"/>
          <w:szCs w:val="22"/>
          <w:shd w:val="clear" w:color="auto" w:fill="FFFFFF"/>
          <w:lang w:val="en-US"/>
        </w:rPr>
        <w:t>mobili</w:t>
      </w:r>
      <w:r w:rsidR="00C51DE8">
        <w:rPr>
          <w:rFonts w:ascii="Arial" w:hAnsi="Arial" w:cs="Arial"/>
          <w:color w:val="000000" w:themeColor="text1"/>
          <w:sz w:val="22"/>
          <w:szCs w:val="22"/>
          <w:shd w:val="clear" w:color="auto" w:fill="FFFFFF"/>
          <w:lang w:val="en-US"/>
        </w:rPr>
        <w:t>z</w:t>
      </w:r>
      <w:r w:rsidR="00C51DE8" w:rsidRPr="00F2342F">
        <w:rPr>
          <w:rFonts w:ascii="Arial" w:hAnsi="Arial" w:cs="Arial"/>
          <w:color w:val="000000" w:themeColor="text1"/>
          <w:sz w:val="22"/>
          <w:szCs w:val="22"/>
          <w:shd w:val="clear" w:color="auto" w:fill="FFFFFF"/>
          <w:lang w:val="en-US"/>
        </w:rPr>
        <w:t>ation of resources remains a key challenge for the Decade during the transition from the planning phase to the action phase</w:t>
      </w:r>
      <w:r w:rsidR="00C51DE8" w:rsidRPr="00AD7CCA">
        <w:rPr>
          <w:rFonts w:ascii="Arial" w:eastAsia="Times New Roman" w:hAnsi="Arial" w:cs="Arial"/>
          <w:sz w:val="22"/>
          <w:szCs w:val="22"/>
        </w:rPr>
        <w:t>.</w:t>
      </w:r>
      <w:r w:rsidR="00C51DE8">
        <w:rPr>
          <w:rFonts w:ascii="Arial" w:eastAsia="Times New Roman" w:hAnsi="Arial"/>
          <w:sz w:val="22"/>
          <w:szCs w:val="22"/>
        </w:rPr>
        <w:t xml:space="preserve"> We see fruitful and already massive engagement of individuals, communities, institutes, organizations, and countries in the Decade. Many activities, including 31 Decade Programmes, resulted from the First Call for Decade Actions. More will be announced soon following the analysis of submissions to the Second Call. On 15 April 2022</w:t>
      </w:r>
      <w:r w:rsidR="00561F53">
        <w:rPr>
          <w:rFonts w:ascii="Arial" w:eastAsia="Times New Roman" w:hAnsi="Arial"/>
          <w:sz w:val="22"/>
          <w:szCs w:val="22"/>
        </w:rPr>
        <w:t>,</w:t>
      </w:r>
      <w:r w:rsidR="00C51DE8">
        <w:rPr>
          <w:rFonts w:ascii="Arial" w:eastAsia="Times New Roman" w:hAnsi="Arial"/>
          <w:sz w:val="22"/>
          <w:szCs w:val="22"/>
        </w:rPr>
        <w:t xml:space="preserve"> the Third Call for Decade Actions focusing on sustainable ocean economy and blue food was announced. The Decade Alliance is acquiring momentum, with the involvement of leaders of the world at the highest level of authority, as exemplified by the recent adhesion of H.E. </w:t>
      </w:r>
      <w:r w:rsidR="00360F32">
        <w:rPr>
          <w:rFonts w:ascii="Arial" w:eastAsia="Times New Roman" w:hAnsi="Arial"/>
          <w:sz w:val="22"/>
          <w:szCs w:val="22"/>
        </w:rPr>
        <w:t>Mr </w:t>
      </w:r>
      <w:r w:rsidR="00C51DE8" w:rsidRPr="0087386A">
        <w:rPr>
          <w:rFonts w:ascii="Arial" w:eastAsia="Times New Roman" w:hAnsi="Arial"/>
          <w:sz w:val="22"/>
          <w:szCs w:val="22"/>
        </w:rPr>
        <w:t xml:space="preserve">Jonas </w:t>
      </w:r>
      <w:proofErr w:type="spellStart"/>
      <w:r w:rsidR="00C51DE8" w:rsidRPr="0087386A">
        <w:rPr>
          <w:rFonts w:ascii="Arial" w:eastAsia="Times New Roman" w:hAnsi="Arial"/>
          <w:sz w:val="22"/>
          <w:szCs w:val="22"/>
        </w:rPr>
        <w:t>Gahr</w:t>
      </w:r>
      <w:proofErr w:type="spellEnd"/>
      <w:r w:rsidR="00C51DE8" w:rsidRPr="0087386A">
        <w:rPr>
          <w:rFonts w:ascii="Arial" w:eastAsia="Times New Roman" w:hAnsi="Arial"/>
          <w:sz w:val="22"/>
          <w:szCs w:val="22"/>
        </w:rPr>
        <w:t xml:space="preserve"> </w:t>
      </w:r>
      <w:proofErr w:type="spellStart"/>
      <w:r w:rsidR="00C51DE8" w:rsidRPr="0087386A">
        <w:rPr>
          <w:rFonts w:ascii="Arial" w:eastAsia="Times New Roman" w:hAnsi="Arial"/>
          <w:sz w:val="22"/>
          <w:szCs w:val="22"/>
        </w:rPr>
        <w:t>Støre</w:t>
      </w:r>
      <w:proofErr w:type="spellEnd"/>
      <w:r w:rsidR="00C51DE8" w:rsidRPr="0087386A">
        <w:rPr>
          <w:rFonts w:ascii="Arial" w:eastAsia="Times New Roman" w:hAnsi="Arial"/>
          <w:sz w:val="22"/>
          <w:szCs w:val="22"/>
        </w:rPr>
        <w:t>,</w:t>
      </w:r>
      <w:r w:rsidR="00C51DE8">
        <w:rPr>
          <w:rFonts w:ascii="Arial" w:eastAsia="Times New Roman" w:hAnsi="Arial"/>
          <w:sz w:val="22"/>
          <w:szCs w:val="22"/>
        </w:rPr>
        <w:t xml:space="preserve"> Prime Minister of Norway, and </w:t>
      </w:r>
      <w:r w:rsidR="00C51DE8" w:rsidRPr="00525996">
        <w:rPr>
          <w:rFonts w:ascii="Arial" w:eastAsia="Times New Roman" w:hAnsi="Arial"/>
          <w:sz w:val="22"/>
          <w:szCs w:val="22"/>
        </w:rPr>
        <w:t>H</w:t>
      </w:r>
      <w:r w:rsidR="00C51DE8">
        <w:rPr>
          <w:rFonts w:ascii="Arial" w:eastAsia="Times New Roman" w:hAnsi="Arial"/>
          <w:sz w:val="22"/>
          <w:szCs w:val="22"/>
        </w:rPr>
        <w:t>.</w:t>
      </w:r>
      <w:r w:rsidR="00C51DE8" w:rsidRPr="00525996">
        <w:rPr>
          <w:rFonts w:ascii="Arial" w:eastAsia="Times New Roman" w:hAnsi="Arial"/>
          <w:sz w:val="22"/>
          <w:szCs w:val="22"/>
        </w:rPr>
        <w:t>E</w:t>
      </w:r>
      <w:r w:rsidR="00C51DE8">
        <w:rPr>
          <w:rFonts w:ascii="Arial" w:eastAsia="Times New Roman" w:hAnsi="Arial"/>
          <w:sz w:val="22"/>
          <w:szCs w:val="22"/>
        </w:rPr>
        <w:t>.</w:t>
      </w:r>
      <w:r w:rsidR="00C51DE8" w:rsidRPr="00525996">
        <w:rPr>
          <w:rFonts w:ascii="Arial" w:eastAsia="Times New Roman" w:hAnsi="Arial"/>
          <w:sz w:val="22"/>
          <w:szCs w:val="22"/>
        </w:rPr>
        <w:t xml:space="preserve"> </w:t>
      </w:r>
      <w:r w:rsidR="00360F32">
        <w:rPr>
          <w:rFonts w:ascii="Arial" w:eastAsia="Times New Roman" w:hAnsi="Arial"/>
          <w:sz w:val="22"/>
          <w:szCs w:val="22"/>
        </w:rPr>
        <w:t>Mr </w:t>
      </w:r>
      <w:proofErr w:type="spellStart"/>
      <w:r w:rsidR="00C51DE8" w:rsidRPr="0087386A">
        <w:rPr>
          <w:rFonts w:ascii="Arial" w:eastAsia="Times New Roman" w:hAnsi="Arial"/>
          <w:sz w:val="22"/>
          <w:szCs w:val="22"/>
        </w:rPr>
        <w:t>Wavel</w:t>
      </w:r>
      <w:proofErr w:type="spellEnd"/>
      <w:r w:rsidR="00C51DE8" w:rsidRPr="0087386A">
        <w:rPr>
          <w:rFonts w:ascii="Arial" w:eastAsia="Times New Roman" w:hAnsi="Arial"/>
          <w:sz w:val="22"/>
          <w:szCs w:val="22"/>
        </w:rPr>
        <w:t xml:space="preserve"> </w:t>
      </w:r>
      <w:proofErr w:type="spellStart"/>
      <w:r w:rsidR="00C51DE8" w:rsidRPr="0087386A">
        <w:rPr>
          <w:rFonts w:ascii="Arial" w:eastAsia="Times New Roman" w:hAnsi="Arial"/>
          <w:sz w:val="22"/>
          <w:szCs w:val="22"/>
        </w:rPr>
        <w:t>Ramkalawan</w:t>
      </w:r>
      <w:proofErr w:type="spellEnd"/>
      <w:r w:rsidR="00C51DE8" w:rsidRPr="0087386A">
        <w:rPr>
          <w:rFonts w:ascii="Arial" w:eastAsia="Times New Roman" w:hAnsi="Arial"/>
          <w:sz w:val="22"/>
          <w:szCs w:val="22"/>
        </w:rPr>
        <w:t xml:space="preserve">, </w:t>
      </w:r>
      <w:r w:rsidR="00C51DE8" w:rsidRPr="00525996">
        <w:rPr>
          <w:rFonts w:ascii="Arial" w:eastAsia="Times New Roman" w:hAnsi="Arial"/>
          <w:sz w:val="22"/>
          <w:szCs w:val="22"/>
        </w:rPr>
        <w:t>President</w:t>
      </w:r>
      <w:r w:rsidR="00C51DE8">
        <w:rPr>
          <w:rFonts w:ascii="Arial" w:eastAsia="Times New Roman" w:hAnsi="Arial"/>
          <w:sz w:val="22"/>
          <w:szCs w:val="22"/>
        </w:rPr>
        <w:t xml:space="preserve"> of </w:t>
      </w:r>
      <w:r w:rsidR="00360F32">
        <w:rPr>
          <w:rFonts w:ascii="Arial" w:eastAsia="Times New Roman" w:hAnsi="Arial"/>
          <w:sz w:val="22"/>
          <w:szCs w:val="22"/>
        </w:rPr>
        <w:t xml:space="preserve">the Republic of </w:t>
      </w:r>
      <w:r w:rsidR="00C51DE8">
        <w:rPr>
          <w:rFonts w:ascii="Arial" w:eastAsia="Times New Roman" w:hAnsi="Arial"/>
          <w:sz w:val="22"/>
          <w:szCs w:val="22"/>
        </w:rPr>
        <w:t xml:space="preserve">Seychelles. </w:t>
      </w:r>
      <w:r w:rsidR="00360F32">
        <w:rPr>
          <w:rFonts w:ascii="Arial" w:eastAsia="Times New Roman" w:hAnsi="Arial"/>
          <w:sz w:val="22"/>
          <w:szCs w:val="22"/>
        </w:rPr>
        <w:t>Twenty-five (</w:t>
      </w:r>
      <w:r w:rsidR="00C51DE8">
        <w:rPr>
          <w:rFonts w:ascii="Arial" w:eastAsia="Times New Roman" w:hAnsi="Arial"/>
          <w:sz w:val="22"/>
          <w:szCs w:val="22"/>
        </w:rPr>
        <w:t>25</w:t>
      </w:r>
      <w:r w:rsidR="00360F32">
        <w:rPr>
          <w:rFonts w:ascii="Arial" w:eastAsia="Times New Roman" w:hAnsi="Arial"/>
          <w:sz w:val="22"/>
          <w:szCs w:val="22"/>
        </w:rPr>
        <w:t>)</w:t>
      </w:r>
      <w:r w:rsidR="00C51DE8">
        <w:rPr>
          <w:rFonts w:ascii="Arial" w:eastAsia="Times New Roman" w:hAnsi="Arial"/>
          <w:sz w:val="22"/>
          <w:szCs w:val="22"/>
        </w:rPr>
        <w:t xml:space="preserve"> </w:t>
      </w:r>
      <w:r w:rsidR="00C51DE8">
        <w:rPr>
          <w:rFonts w:ascii="Arial" w:eastAsia="Times New Roman" w:hAnsi="Arial"/>
          <w:sz w:val="22"/>
          <w:szCs w:val="22"/>
        </w:rPr>
        <w:lastRenderedPageBreak/>
        <w:t xml:space="preserve">National Decade Committees are in place, and more are in the making. The Decade Stakeholder Forum, expert roster, four informal working groups on cross cutting issues (Ocean Data, Innovation and Technology, Communication and Monitoring/evaluation) are providing advice on the co-design of actions and the Decade engagement strategy. </w:t>
      </w:r>
    </w:p>
    <w:p w14:paraId="2F7B3954" w14:textId="4ED445D0" w:rsidR="00C51DE8" w:rsidRDefault="00C51DE8" w:rsidP="00E35CD7">
      <w:pPr>
        <w:widowControl w:val="0"/>
        <w:numPr>
          <w:ilvl w:val="0"/>
          <w:numId w:val="18"/>
        </w:numPr>
        <w:shd w:val="clear" w:color="auto" w:fill="FFFFFF"/>
        <w:tabs>
          <w:tab w:val="clear" w:pos="567"/>
          <w:tab w:val="left" w:pos="709"/>
        </w:tabs>
        <w:adjustRightInd w:val="0"/>
        <w:spacing w:after="240"/>
        <w:ind w:left="0" w:firstLine="0"/>
        <w:jc w:val="both"/>
        <w:textAlignment w:val="baseline"/>
        <w:rPr>
          <w:rFonts w:ascii="Arial" w:eastAsia="Times New Roman" w:hAnsi="Arial"/>
          <w:sz w:val="22"/>
          <w:szCs w:val="22"/>
        </w:rPr>
      </w:pPr>
      <w:r>
        <w:rPr>
          <w:rFonts w:ascii="Arial" w:eastAsia="Times New Roman" w:hAnsi="Arial"/>
          <w:sz w:val="22"/>
          <w:szCs w:val="22"/>
        </w:rPr>
        <w:t xml:space="preserve">The Executive Secretary would like to highlight three important dimensions of the Decade that will determine its success. </w:t>
      </w:r>
      <w:r w:rsidRPr="004864D9">
        <w:rPr>
          <w:rFonts w:ascii="Arial" w:eastAsia="Times New Roman" w:hAnsi="Arial"/>
          <w:i/>
          <w:sz w:val="22"/>
          <w:szCs w:val="22"/>
        </w:rPr>
        <w:t>First</w:t>
      </w:r>
      <w:r>
        <w:rPr>
          <w:rFonts w:ascii="Arial" w:eastAsia="Times New Roman" w:hAnsi="Arial"/>
          <w:i/>
          <w:sz w:val="22"/>
          <w:szCs w:val="22"/>
        </w:rPr>
        <w:t>ly</w:t>
      </w:r>
      <w:r>
        <w:rPr>
          <w:rFonts w:ascii="Arial" w:eastAsia="Times New Roman" w:hAnsi="Arial"/>
          <w:sz w:val="22"/>
          <w:szCs w:val="22"/>
        </w:rPr>
        <w:t xml:space="preserve">, it is important to find a way to ensure that the bottom-up proposed and subsequently endorsed Decade Actions, in their totality, create a basis for sustainable ocean management routed in planning and science. This requires support of Member States and funders </w:t>
      </w:r>
      <w:proofErr w:type="gramStart"/>
      <w:r>
        <w:rPr>
          <w:rFonts w:ascii="Arial" w:eastAsia="Times New Roman" w:hAnsi="Arial"/>
          <w:sz w:val="22"/>
          <w:szCs w:val="22"/>
        </w:rPr>
        <w:t>and also</w:t>
      </w:r>
      <w:proofErr w:type="gramEnd"/>
      <w:r>
        <w:rPr>
          <w:rFonts w:ascii="Arial" w:eastAsia="Times New Roman" w:hAnsi="Arial"/>
          <w:sz w:val="22"/>
          <w:szCs w:val="22"/>
        </w:rPr>
        <w:t xml:space="preserve"> calls for a structured process for setting priorities and targets across the Decade and for the current 10 Decade challenges. The potential and engagement of the recently established 15-member Decade Advisory Board</w:t>
      </w:r>
      <w:r w:rsidR="00360F32">
        <w:rPr>
          <w:rFonts w:ascii="Arial" w:eastAsia="Times New Roman" w:hAnsi="Arial"/>
          <w:sz w:val="22"/>
          <w:szCs w:val="22"/>
        </w:rPr>
        <w:t xml:space="preserve"> is impressive</w:t>
      </w:r>
      <w:r>
        <w:rPr>
          <w:rFonts w:ascii="Arial" w:eastAsia="Times New Roman" w:hAnsi="Arial"/>
          <w:sz w:val="22"/>
          <w:szCs w:val="22"/>
        </w:rPr>
        <w:t xml:space="preserve">. </w:t>
      </w:r>
      <w:r w:rsidR="00360F32">
        <w:rPr>
          <w:rFonts w:ascii="Arial" w:eastAsia="Times New Roman" w:hAnsi="Arial"/>
          <w:sz w:val="22"/>
          <w:szCs w:val="22"/>
        </w:rPr>
        <w:t xml:space="preserve">The Executive Secretary </w:t>
      </w:r>
      <w:r>
        <w:rPr>
          <w:rFonts w:ascii="Arial" w:eastAsia="Times New Roman" w:hAnsi="Arial"/>
          <w:sz w:val="22"/>
          <w:szCs w:val="22"/>
        </w:rPr>
        <w:t xml:space="preserve">further calls on all actors to consider how to make the Decade larger than the sum of all its activities and structures. </w:t>
      </w:r>
      <w:r w:rsidRPr="004864D9">
        <w:rPr>
          <w:rFonts w:ascii="Arial" w:eastAsia="Times New Roman" w:hAnsi="Arial"/>
          <w:i/>
          <w:sz w:val="22"/>
          <w:szCs w:val="22"/>
        </w:rPr>
        <w:t>Secondly</w:t>
      </w:r>
      <w:r>
        <w:rPr>
          <w:rFonts w:ascii="Arial" w:eastAsia="Times New Roman" w:hAnsi="Arial"/>
          <w:sz w:val="22"/>
          <w:szCs w:val="22"/>
        </w:rPr>
        <w:t xml:space="preserve">, the Decade was proposed and is coordinated by </w:t>
      </w:r>
      <w:r w:rsidR="00360F32">
        <w:rPr>
          <w:rFonts w:ascii="Arial" w:eastAsia="Times New Roman" w:hAnsi="Arial"/>
          <w:sz w:val="22"/>
          <w:szCs w:val="22"/>
        </w:rPr>
        <w:t xml:space="preserve">the </w:t>
      </w:r>
      <w:r>
        <w:rPr>
          <w:rFonts w:ascii="Arial" w:eastAsia="Times New Roman" w:hAnsi="Arial"/>
          <w:sz w:val="22"/>
          <w:szCs w:val="22"/>
        </w:rPr>
        <w:t xml:space="preserve">IOC. The </w:t>
      </w:r>
      <w:r w:rsidR="00360F32">
        <w:rPr>
          <w:rFonts w:ascii="Arial" w:eastAsia="Times New Roman" w:hAnsi="Arial"/>
          <w:sz w:val="22"/>
          <w:szCs w:val="22"/>
        </w:rPr>
        <w:t xml:space="preserve">Ocean </w:t>
      </w:r>
      <w:r>
        <w:rPr>
          <w:rFonts w:ascii="Arial" w:eastAsia="Times New Roman" w:hAnsi="Arial"/>
          <w:sz w:val="22"/>
          <w:szCs w:val="22"/>
        </w:rPr>
        <w:t xml:space="preserve">Decade and IOC should go towards the future hand in hand, reinforcing each other so that the Decade helps IOC to transform and grow into a stronger, more capable organization, delivering along all components of its value chain. Further efforts are required for all IOC Functions to start working as </w:t>
      </w:r>
      <w:r w:rsidR="0057500A">
        <w:rPr>
          <w:rFonts w:ascii="Arial" w:eastAsia="Times New Roman" w:hAnsi="Arial"/>
          <w:sz w:val="22"/>
          <w:szCs w:val="22"/>
        </w:rPr>
        <w:t xml:space="preserve">an </w:t>
      </w:r>
      <w:r>
        <w:rPr>
          <w:rFonts w:ascii="Arial" w:eastAsia="Times New Roman" w:hAnsi="Arial"/>
          <w:sz w:val="22"/>
          <w:szCs w:val="22"/>
        </w:rPr>
        <w:t xml:space="preserve">end-to-end system. Moreover, the Decade </w:t>
      </w:r>
      <w:r w:rsidR="00360F32" w:rsidRPr="00360F32">
        <w:rPr>
          <w:rFonts w:ascii="Arial" w:eastAsia="Times New Roman" w:hAnsi="Arial"/>
          <w:sz w:val="22"/>
          <w:szCs w:val="22"/>
        </w:rPr>
        <w:t xml:space="preserve">has reached such a level of visibility </w:t>
      </w:r>
      <w:r>
        <w:rPr>
          <w:rFonts w:ascii="Arial" w:eastAsia="Times New Roman" w:hAnsi="Arial"/>
          <w:sz w:val="22"/>
          <w:szCs w:val="22"/>
        </w:rPr>
        <w:t xml:space="preserve">that it may look to </w:t>
      </w:r>
      <w:r w:rsidR="00360F32">
        <w:rPr>
          <w:rFonts w:ascii="Arial" w:eastAsia="Times New Roman" w:hAnsi="Arial"/>
          <w:sz w:val="22"/>
          <w:szCs w:val="22"/>
        </w:rPr>
        <w:t>s</w:t>
      </w:r>
      <w:r>
        <w:rPr>
          <w:rFonts w:ascii="Arial" w:eastAsia="Times New Roman" w:hAnsi="Arial"/>
          <w:sz w:val="22"/>
          <w:szCs w:val="22"/>
        </w:rPr>
        <w:t xml:space="preserve">ponsors as a more attractive investment than IOC, and this is an issue for fundraising related to IOC core programmes. The complementarity between the Ocean Decade and IOC activities should be further pursued. </w:t>
      </w:r>
      <w:r w:rsidRPr="004864D9">
        <w:rPr>
          <w:rFonts w:ascii="Arial" w:eastAsia="Times New Roman" w:hAnsi="Arial"/>
          <w:i/>
          <w:sz w:val="22"/>
          <w:szCs w:val="22"/>
        </w:rPr>
        <w:t>Thirdly</w:t>
      </w:r>
      <w:r>
        <w:rPr>
          <w:rFonts w:ascii="Arial" w:eastAsia="Times New Roman" w:hAnsi="Arial"/>
          <w:sz w:val="22"/>
          <w:szCs w:val="22"/>
        </w:rPr>
        <w:t xml:space="preserve">, and this may be the answer to the issues flagged above, there is a need for an overarching Decade programme that would be bringing together most of Decade components and turn them into a movement towards enabling science-based ocean planning and management, as advocated by the High-Level Panel </w:t>
      </w:r>
      <w:r w:rsidR="00E97813">
        <w:rPr>
          <w:rFonts w:ascii="Arial" w:eastAsia="Times New Roman" w:hAnsi="Arial"/>
          <w:sz w:val="22"/>
          <w:szCs w:val="22"/>
        </w:rPr>
        <w:t>for a</w:t>
      </w:r>
      <w:r>
        <w:rPr>
          <w:rFonts w:ascii="Arial" w:eastAsia="Times New Roman" w:hAnsi="Arial"/>
          <w:sz w:val="22"/>
          <w:szCs w:val="22"/>
        </w:rPr>
        <w:t xml:space="preserve"> </w:t>
      </w:r>
      <w:r w:rsidR="00E97813">
        <w:rPr>
          <w:rFonts w:ascii="Arial" w:eastAsia="Times New Roman" w:hAnsi="Arial"/>
          <w:sz w:val="22"/>
          <w:szCs w:val="22"/>
        </w:rPr>
        <w:t>S</w:t>
      </w:r>
      <w:r>
        <w:rPr>
          <w:rFonts w:ascii="Arial" w:eastAsia="Times New Roman" w:hAnsi="Arial"/>
          <w:sz w:val="22"/>
          <w:szCs w:val="22"/>
        </w:rPr>
        <w:t xml:space="preserve">ustainable </w:t>
      </w:r>
      <w:r w:rsidR="00E97813">
        <w:rPr>
          <w:rFonts w:ascii="Arial" w:eastAsia="Times New Roman" w:hAnsi="Arial"/>
          <w:sz w:val="22"/>
          <w:szCs w:val="22"/>
        </w:rPr>
        <w:t>O</w:t>
      </w:r>
      <w:r>
        <w:rPr>
          <w:rFonts w:ascii="Arial" w:eastAsia="Times New Roman" w:hAnsi="Arial"/>
          <w:sz w:val="22"/>
          <w:szCs w:val="22"/>
        </w:rPr>
        <w:t xml:space="preserve">cean </w:t>
      </w:r>
      <w:r w:rsidR="00E97813">
        <w:rPr>
          <w:rFonts w:ascii="Arial" w:eastAsia="Times New Roman" w:hAnsi="Arial"/>
          <w:sz w:val="22"/>
          <w:szCs w:val="22"/>
        </w:rPr>
        <w:t>E</w:t>
      </w:r>
      <w:r>
        <w:rPr>
          <w:rFonts w:ascii="Arial" w:eastAsia="Times New Roman" w:hAnsi="Arial"/>
          <w:sz w:val="22"/>
          <w:szCs w:val="22"/>
        </w:rPr>
        <w:t xml:space="preserve">conomy. </w:t>
      </w:r>
    </w:p>
    <w:p w14:paraId="25530729" w14:textId="5C49F002" w:rsidR="00C51DE8" w:rsidRDefault="00C51DE8" w:rsidP="00E35CD7">
      <w:pPr>
        <w:numPr>
          <w:ilvl w:val="0"/>
          <w:numId w:val="18"/>
        </w:numPr>
        <w:shd w:val="clear" w:color="auto" w:fill="FFFFFF"/>
        <w:tabs>
          <w:tab w:val="clear" w:pos="567"/>
          <w:tab w:val="left" w:pos="709"/>
        </w:tabs>
        <w:adjustRightInd w:val="0"/>
        <w:spacing w:after="240"/>
        <w:ind w:left="0" w:firstLine="0"/>
        <w:jc w:val="both"/>
        <w:textAlignment w:val="baseline"/>
        <w:rPr>
          <w:rFonts w:ascii="Arial" w:eastAsia="Times New Roman" w:hAnsi="Arial"/>
          <w:sz w:val="22"/>
          <w:szCs w:val="22"/>
        </w:rPr>
      </w:pPr>
      <w:r>
        <w:rPr>
          <w:rFonts w:ascii="Arial" w:eastAsia="Times New Roman" w:hAnsi="Arial"/>
          <w:sz w:val="22"/>
          <w:szCs w:val="22"/>
        </w:rPr>
        <w:t xml:space="preserve">As the home of ocean science in the UN System, IOC can and should play the role of ocean science enabler and facilitator of the sustainable ocean planning. IOC with partners created conditions for reversing the decline in ocean health based on new level of awareness, suggesting solutions, strengthening engagement and commitment (see Executive Secretary’s considerations in </w:t>
      </w:r>
      <w:r w:rsidR="00A03BA7">
        <w:rPr>
          <w:rFonts w:ascii="Arial" w:eastAsia="Times New Roman" w:hAnsi="Arial"/>
          <w:sz w:val="22"/>
          <w:szCs w:val="22"/>
        </w:rPr>
        <w:t>his</w:t>
      </w:r>
      <w:r>
        <w:rPr>
          <w:rFonts w:ascii="Arial" w:eastAsia="Times New Roman" w:hAnsi="Arial"/>
          <w:sz w:val="22"/>
          <w:szCs w:val="22"/>
        </w:rPr>
        <w:t xml:space="preserve"> </w:t>
      </w:r>
      <w:hyperlink r:id="rId13" w:history="1">
        <w:r w:rsidR="00A03BA7">
          <w:rPr>
            <w:rStyle w:val="Hyperlink"/>
            <w:rFonts w:ascii="Arial" w:eastAsia="Times New Roman" w:hAnsi="Arial"/>
            <w:sz w:val="22"/>
            <w:szCs w:val="22"/>
          </w:rPr>
          <w:t>r</w:t>
        </w:r>
        <w:r w:rsidRPr="002A6ABF">
          <w:rPr>
            <w:rStyle w:val="Hyperlink"/>
            <w:rFonts w:ascii="Arial" w:eastAsia="Times New Roman" w:hAnsi="Arial"/>
            <w:sz w:val="22"/>
            <w:szCs w:val="22"/>
          </w:rPr>
          <w:t>eport</w:t>
        </w:r>
      </w:hyperlink>
      <w:r w:rsidR="00A03BA7">
        <w:rPr>
          <w:rStyle w:val="Hyperlink"/>
          <w:rFonts w:ascii="Arial" w:eastAsia="Times New Roman" w:hAnsi="Arial"/>
          <w:sz w:val="22"/>
          <w:szCs w:val="22"/>
        </w:rPr>
        <w:t xml:space="preserve"> to the last Assembly</w:t>
      </w:r>
      <w:r>
        <w:rPr>
          <w:rFonts w:ascii="Arial" w:eastAsia="Times New Roman" w:hAnsi="Arial"/>
          <w:sz w:val="22"/>
          <w:szCs w:val="22"/>
        </w:rPr>
        <w:t xml:space="preserve">). The Executive Secretary is continuing to work on the related concept of “optimal” and “healthy” IOC, and it will be presented to the IOC Assembly </w:t>
      </w:r>
      <w:r w:rsidR="00A03BA7">
        <w:rPr>
          <w:rFonts w:ascii="Arial" w:eastAsia="Times New Roman" w:hAnsi="Arial"/>
          <w:sz w:val="22"/>
          <w:szCs w:val="22"/>
        </w:rPr>
        <w:t>at its 32</w:t>
      </w:r>
      <w:r w:rsidR="00A03BA7" w:rsidRPr="004864D9">
        <w:rPr>
          <w:rFonts w:ascii="Arial" w:eastAsia="Times New Roman" w:hAnsi="Arial"/>
          <w:sz w:val="22"/>
          <w:szCs w:val="22"/>
          <w:vertAlign w:val="superscript"/>
        </w:rPr>
        <w:t>nd</w:t>
      </w:r>
      <w:r w:rsidR="00A03BA7">
        <w:rPr>
          <w:rFonts w:ascii="Arial" w:eastAsia="Times New Roman" w:hAnsi="Arial"/>
          <w:sz w:val="22"/>
          <w:szCs w:val="22"/>
        </w:rPr>
        <w:t xml:space="preserve"> Session of </w:t>
      </w:r>
      <w:r>
        <w:rPr>
          <w:rFonts w:ascii="Arial" w:eastAsia="Times New Roman" w:hAnsi="Arial"/>
          <w:sz w:val="22"/>
          <w:szCs w:val="22"/>
        </w:rPr>
        <w:t xml:space="preserve">in 2023. The </w:t>
      </w:r>
      <w:r w:rsidR="00A03BA7">
        <w:rPr>
          <w:rFonts w:ascii="Arial" w:eastAsia="Times New Roman" w:hAnsi="Arial"/>
          <w:sz w:val="22"/>
          <w:szCs w:val="22"/>
        </w:rPr>
        <w:t>Internal Oversight Service (</w:t>
      </w:r>
      <w:r>
        <w:rPr>
          <w:rFonts w:ascii="Arial" w:eastAsia="Times New Roman" w:hAnsi="Arial"/>
          <w:sz w:val="22"/>
          <w:szCs w:val="22"/>
        </w:rPr>
        <w:t>IOS</w:t>
      </w:r>
      <w:r w:rsidR="00A03BA7">
        <w:rPr>
          <w:rFonts w:ascii="Arial" w:eastAsia="Times New Roman" w:hAnsi="Arial"/>
          <w:sz w:val="22"/>
          <w:szCs w:val="22"/>
        </w:rPr>
        <w:t>)</w:t>
      </w:r>
      <w:r>
        <w:rPr>
          <w:rFonts w:ascii="Arial" w:eastAsia="Times New Roman" w:hAnsi="Arial"/>
          <w:sz w:val="22"/>
          <w:szCs w:val="22"/>
        </w:rPr>
        <w:t xml:space="preserve"> Evaluation of </w:t>
      </w:r>
      <w:r w:rsidR="00A03BA7">
        <w:rPr>
          <w:rFonts w:ascii="Arial" w:eastAsia="Times New Roman" w:hAnsi="Arial"/>
          <w:sz w:val="22"/>
          <w:szCs w:val="22"/>
        </w:rPr>
        <w:t xml:space="preserve">the </w:t>
      </w:r>
      <w:r>
        <w:rPr>
          <w:rFonts w:ascii="Arial" w:eastAsia="Times New Roman" w:hAnsi="Arial"/>
          <w:sz w:val="22"/>
          <w:szCs w:val="22"/>
        </w:rPr>
        <w:t xml:space="preserve">strategic positioning of IOC and its conclusions </w:t>
      </w:r>
      <w:r w:rsidR="00A03BA7">
        <w:rPr>
          <w:rFonts w:ascii="Arial" w:eastAsia="Times New Roman" w:hAnsi="Arial"/>
          <w:sz w:val="22"/>
          <w:szCs w:val="22"/>
        </w:rPr>
        <w:t>(</w:t>
      </w:r>
      <w:hyperlink r:id="rId14" w:history="1">
        <w:r w:rsidR="00A03BA7" w:rsidRPr="003D1C64">
          <w:rPr>
            <w:rStyle w:val="Hyperlink"/>
            <w:rFonts w:ascii="Arial" w:hAnsi="Arial" w:cs="Arial"/>
            <w:sz w:val="20"/>
            <w:szCs w:val="20"/>
          </w:rPr>
          <w:t>212 EX/9</w:t>
        </w:r>
      </w:hyperlink>
      <w:r w:rsidR="00A03BA7">
        <w:rPr>
          <w:rFonts w:ascii="Arial" w:hAnsi="Arial" w:cs="Arial"/>
          <w:color w:val="000000"/>
          <w:sz w:val="20"/>
          <w:szCs w:val="20"/>
        </w:rPr>
        <w:t xml:space="preserve">) </w:t>
      </w:r>
      <w:r>
        <w:rPr>
          <w:rFonts w:ascii="Arial" w:eastAsia="Times New Roman" w:hAnsi="Arial"/>
          <w:sz w:val="22"/>
          <w:szCs w:val="22"/>
        </w:rPr>
        <w:t xml:space="preserve">are very useful in this regard.  </w:t>
      </w:r>
    </w:p>
    <w:p w14:paraId="7D4679D8" w14:textId="77777777" w:rsidR="00C51DE8" w:rsidRPr="004864D9" w:rsidRDefault="00C51DE8" w:rsidP="00E35CD7">
      <w:pPr>
        <w:numPr>
          <w:ilvl w:val="0"/>
          <w:numId w:val="18"/>
        </w:numPr>
        <w:shd w:val="clear" w:color="auto" w:fill="FFFFFF"/>
        <w:tabs>
          <w:tab w:val="clear" w:pos="567"/>
          <w:tab w:val="left" w:pos="709"/>
        </w:tabs>
        <w:adjustRightInd w:val="0"/>
        <w:spacing w:after="240"/>
        <w:ind w:left="0" w:firstLine="0"/>
        <w:jc w:val="both"/>
        <w:textAlignment w:val="baseline"/>
        <w:rPr>
          <w:rFonts w:ascii="Arial" w:eastAsia="Times New Roman" w:hAnsi="Arial"/>
          <w:sz w:val="22"/>
          <w:szCs w:val="22"/>
        </w:rPr>
      </w:pPr>
      <w:r w:rsidRPr="004864D9">
        <w:rPr>
          <w:rFonts w:ascii="Arial" w:eastAsia="Times New Roman" w:hAnsi="Arial"/>
          <w:sz w:val="22"/>
          <w:szCs w:val="22"/>
        </w:rPr>
        <w:t xml:space="preserve">The Executive Secretary would like to thank the IOC Secretariat for the work accomplished despite the shortage of resources, </w:t>
      </w:r>
      <w:r>
        <w:rPr>
          <w:rFonts w:ascii="Arial" w:eastAsia="Times New Roman" w:hAnsi="Arial"/>
          <w:sz w:val="22"/>
          <w:szCs w:val="22"/>
        </w:rPr>
        <w:t xml:space="preserve">very often in stressful conditions, sometimes with requests coming at a short notice, and still under the difficult conditions of pandemic. The Executive Secretary is proud to be part of the IOC Secretariat team. </w:t>
      </w:r>
    </w:p>
    <w:p w14:paraId="13BD5E64" w14:textId="62957D0E" w:rsidR="00C51DE8" w:rsidRDefault="00C51DE8" w:rsidP="00E35CD7">
      <w:pPr>
        <w:numPr>
          <w:ilvl w:val="0"/>
          <w:numId w:val="18"/>
        </w:numPr>
        <w:shd w:val="clear" w:color="auto" w:fill="FFFFFF"/>
        <w:tabs>
          <w:tab w:val="clear" w:pos="567"/>
          <w:tab w:val="left" w:pos="709"/>
        </w:tabs>
        <w:adjustRightInd w:val="0"/>
        <w:spacing w:after="240"/>
        <w:ind w:left="0" w:firstLine="0"/>
        <w:jc w:val="both"/>
        <w:textAlignment w:val="baseline"/>
        <w:rPr>
          <w:rFonts w:ascii="Arial" w:eastAsia="Times New Roman" w:hAnsi="Arial"/>
          <w:sz w:val="22"/>
          <w:szCs w:val="22"/>
        </w:rPr>
      </w:pPr>
      <w:r>
        <w:rPr>
          <w:rFonts w:ascii="Arial" w:eastAsia="Times New Roman" w:hAnsi="Arial"/>
          <w:sz w:val="22"/>
          <w:szCs w:val="22"/>
        </w:rPr>
        <w:t>O</w:t>
      </w:r>
      <w:r w:rsidRPr="004864D9">
        <w:rPr>
          <w:rFonts w:ascii="Arial" w:eastAsia="Times New Roman" w:hAnsi="Arial"/>
          <w:sz w:val="22"/>
          <w:szCs w:val="22"/>
        </w:rPr>
        <w:t xml:space="preserve">n behalf of the </w:t>
      </w:r>
      <w:r>
        <w:rPr>
          <w:rFonts w:ascii="Arial" w:eastAsia="Times New Roman" w:hAnsi="Arial"/>
          <w:sz w:val="22"/>
          <w:szCs w:val="22"/>
        </w:rPr>
        <w:t xml:space="preserve">IOC </w:t>
      </w:r>
      <w:r w:rsidRPr="004864D9">
        <w:rPr>
          <w:rFonts w:ascii="Arial" w:eastAsia="Times New Roman" w:hAnsi="Arial"/>
          <w:sz w:val="22"/>
          <w:szCs w:val="22"/>
        </w:rPr>
        <w:t xml:space="preserve">Secretariat, </w:t>
      </w:r>
      <w:r>
        <w:rPr>
          <w:rFonts w:ascii="Arial" w:eastAsia="Times New Roman" w:hAnsi="Arial"/>
          <w:sz w:val="22"/>
          <w:szCs w:val="22"/>
        </w:rPr>
        <w:t xml:space="preserve">the Executive Secretary </w:t>
      </w:r>
      <w:r w:rsidRPr="004864D9">
        <w:rPr>
          <w:rFonts w:ascii="Arial" w:eastAsia="Times New Roman" w:hAnsi="Arial"/>
          <w:sz w:val="22"/>
          <w:szCs w:val="22"/>
        </w:rPr>
        <w:t xml:space="preserve">would like to thank the IOC Chair </w:t>
      </w:r>
      <w:r w:rsidR="00A03BA7">
        <w:rPr>
          <w:rFonts w:ascii="Arial" w:eastAsia="Times New Roman" w:hAnsi="Arial"/>
          <w:sz w:val="22"/>
          <w:szCs w:val="22"/>
        </w:rPr>
        <w:t xml:space="preserve">Mr </w:t>
      </w:r>
      <w:r w:rsidRPr="004864D9">
        <w:rPr>
          <w:rFonts w:ascii="Arial" w:eastAsia="Times New Roman" w:hAnsi="Arial"/>
          <w:sz w:val="22"/>
          <w:szCs w:val="22"/>
        </w:rPr>
        <w:t xml:space="preserve">Ariel Troisi and </w:t>
      </w:r>
      <w:r>
        <w:rPr>
          <w:rFonts w:ascii="Arial" w:eastAsia="Times New Roman" w:hAnsi="Arial"/>
          <w:sz w:val="22"/>
          <w:szCs w:val="22"/>
        </w:rPr>
        <w:t xml:space="preserve">all </w:t>
      </w:r>
      <w:r w:rsidRPr="004864D9">
        <w:rPr>
          <w:rFonts w:ascii="Arial" w:eastAsia="Times New Roman" w:hAnsi="Arial"/>
          <w:sz w:val="22"/>
          <w:szCs w:val="22"/>
        </w:rPr>
        <w:t xml:space="preserve">IOC Officers for </w:t>
      </w:r>
      <w:r>
        <w:rPr>
          <w:rFonts w:ascii="Arial" w:eastAsia="Times New Roman" w:hAnsi="Arial"/>
          <w:sz w:val="22"/>
          <w:szCs w:val="22"/>
        </w:rPr>
        <w:t xml:space="preserve">their strategic insight and guidance to the work of IOC. This work is voluntary on their part, but their dedication is unparalleled. Finally, it is the interest and support of Member States, leadership by Chair and Officers and overarching support by Secretariat that keeps the IOC, despite all storms, steady on the course towards </w:t>
      </w:r>
      <w:r w:rsidRPr="004864D9">
        <w:rPr>
          <w:rFonts w:ascii="Arial" w:eastAsia="Times New Roman" w:hAnsi="Arial"/>
          <w:sz w:val="22"/>
          <w:szCs w:val="22"/>
        </w:rPr>
        <w:t>“The Ocean We Need for the Future We Want”.</w:t>
      </w:r>
    </w:p>
    <w:p w14:paraId="793A5363" w14:textId="02E289C5" w:rsidR="00025A88" w:rsidRDefault="00025A88">
      <w:pPr>
        <w:tabs>
          <w:tab w:val="clear" w:pos="567"/>
        </w:tabs>
        <w:snapToGrid/>
        <w:rPr>
          <w:rFonts w:ascii="Arial" w:eastAsia="Times New Roman" w:hAnsi="Arial" w:cs="Arial"/>
          <w:b/>
          <w:bCs/>
          <w:sz w:val="22"/>
          <w:szCs w:val="22"/>
          <w:lang w:eastAsia="en-US"/>
        </w:rPr>
      </w:pPr>
      <w:r>
        <w:rPr>
          <w:rFonts w:ascii="Arial" w:hAnsi="Arial" w:cs="Arial"/>
          <w:b/>
          <w:bCs/>
          <w:sz w:val="22"/>
          <w:szCs w:val="22"/>
        </w:rPr>
        <w:br w:type="page"/>
      </w:r>
    </w:p>
    <w:p w14:paraId="515438CF" w14:textId="242A4C64" w:rsidR="007C4C1D" w:rsidRPr="00E35CD7" w:rsidRDefault="00C51DE8" w:rsidP="007C4C1D">
      <w:pPr>
        <w:keepNext/>
        <w:keepLines/>
        <w:widowControl w:val="0"/>
        <w:adjustRightInd w:val="0"/>
        <w:ind w:left="567" w:hanging="567"/>
        <w:jc w:val="both"/>
        <w:textAlignment w:val="baseline"/>
        <w:outlineLvl w:val="1"/>
        <w:rPr>
          <w:rFonts w:asciiTheme="minorBidi" w:eastAsia="Times New Roman" w:hAnsiTheme="minorBidi" w:cstheme="minorBidi"/>
          <w:b/>
          <w:bCs/>
          <w:caps/>
          <w:sz w:val="20"/>
          <w:szCs w:val="20"/>
          <w:lang w:eastAsia="en-US"/>
        </w:rPr>
      </w:pPr>
      <w:r w:rsidRPr="00E35CD7">
        <w:rPr>
          <w:rFonts w:asciiTheme="minorBidi" w:eastAsia="Times New Roman" w:hAnsiTheme="minorBidi" w:cstheme="minorBidi"/>
          <w:b/>
          <w:bCs/>
          <w:caps/>
          <w:sz w:val="20"/>
          <w:szCs w:val="20"/>
          <w:lang w:eastAsia="en-US"/>
        </w:rPr>
        <w:lastRenderedPageBreak/>
        <w:t>analytical programme implementation report 2018-2021</w:t>
      </w:r>
    </w:p>
    <w:p w14:paraId="271432EB" w14:textId="77777777" w:rsidR="007C4C1D" w:rsidRPr="00E35CD7" w:rsidRDefault="007C4C1D" w:rsidP="007C4C1D">
      <w:pPr>
        <w:widowControl w:val="0"/>
        <w:adjustRightInd w:val="0"/>
        <w:jc w:val="both"/>
        <w:textAlignment w:val="baseline"/>
        <w:rPr>
          <w:rFonts w:asciiTheme="minorBidi" w:eastAsia="Times New Roman" w:hAnsiTheme="minorBidi" w:cstheme="minorBidi"/>
          <w:sz w:val="20"/>
          <w:szCs w:val="20"/>
          <w:lang w:eastAsia="en-US"/>
        </w:rPr>
      </w:pPr>
      <w:r w:rsidRPr="00E35CD7">
        <w:rPr>
          <w:rFonts w:asciiTheme="minorBidi" w:eastAsia="Times New Roman" w:hAnsiTheme="minorBidi" w:cstheme="minorBidi"/>
          <w:noProof/>
          <w:snapToGrid/>
          <w:sz w:val="20"/>
          <w:szCs w:val="20"/>
          <w:lang w:val="fr-FR" w:eastAsia="fr-FR"/>
        </w:rPr>
        <mc:AlternateContent>
          <mc:Choice Requires="wps">
            <w:drawing>
              <wp:anchor distT="0" distB="0" distL="114300" distR="114300" simplePos="0" relativeHeight="251661312" behindDoc="0" locked="0" layoutInCell="1" allowOverlap="1" wp14:anchorId="4CF2336B" wp14:editId="02AB65BE">
                <wp:simplePos x="0" y="0"/>
                <wp:positionH relativeFrom="column">
                  <wp:posOffset>12700</wp:posOffset>
                </wp:positionH>
                <wp:positionV relativeFrom="paragraph">
                  <wp:posOffset>6889</wp:posOffset>
                </wp:positionV>
                <wp:extent cx="6181725" cy="1905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CF5E554" id="Straight Connector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pt,.55pt" to="48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Sn4QEAAKQDAAAOAAAAZHJzL2Uyb0RvYy54bWysU8uu0zAQ3SPxD5b3NEkvvbRR0yvRqmx4&#10;VLrAfupHYskv2aZp/56xE6oL7BAby54Zn5lzfLx9uhpNLiJE5WxHm0VNibDMcWX7jn77enyzpiQm&#10;sBy0s6KjNxHp0+71q+3oW7F0g9NcBIIgNraj7+iQkm+rKrJBGIgL54XFpHTBQMJj6CseYER0o6tl&#10;XT9WowvcB8dEjBg9TEm6K/hSCpa+SBlFIrqjOFsqayjrOa/VbgttH8APis1jwD9MYUBZbHqHOkAC&#10;8iOov6CMYsFFJ9OCOVM5KRUThQOyaeo/2DwP4EXhguJEf5cp/j9Y9vlyCkTxjj5QYsHgEz2nAKof&#10;Etk7a1FAF8hD1mn0scXyvT2F+RT9KWTSVxkMkVr572iBIgMSI9ei8u2usrgmwjD42Kybd8sVJQxz&#10;zaZelVeoJpgM50NMH4QzJG86qpXNIkALl48xYWss/VWSw9YdldblIbUlY0c3q4IOaCepIWEj45Fg&#10;tD0loHv0KUuhIEanFc+3M04M/XmvA7kAeuXtcd28P0xFA3AxRTerup49EyF9cnwKN8hhiuNoM0wZ&#10;8zf8PPMB4jDdKaksK17RNvcXxa4zxSz2JG/enR2/FdWrfEIrlGuzbbPXXp5x//Jz7X4CAAD//wMA&#10;UEsDBBQABgAIAAAAIQAS0ieC3AAAAAUBAAAPAAAAZHJzL2Rvd25yZXYueG1sTI/BTsMwEETvSPyD&#10;tUjcqJOKAk3jVBFSLoCEGrj05sRLHBqvo9ht079nOcFxZ0Yzb/Pt7AZxwin0nhSkiwQEUutNT52C&#10;z4/q7glEiJqMHjyhggsG2BbXV7nOjD/TDk917ASXUMi0AhvjmEkZWotOh4Ufkdj78pPTkc+pk2bS&#10;Zy53g1wmyYN0uidesHrEZ4vtoT46BVXT29fSV93bxX1jfSj35fvLXqnbm7ncgIg4x78w/OIzOhTM&#10;1PgjmSAGBUv+JLKcgmB3/bhagWgU3Kcgi1z+py9+AAAA//8DAFBLAQItABQABgAIAAAAIQC2gziS&#10;/gAAAOEBAAATAAAAAAAAAAAAAAAAAAAAAABbQ29udGVudF9UeXBlc10ueG1sUEsBAi0AFAAGAAgA&#10;AAAhADj9If/WAAAAlAEAAAsAAAAAAAAAAAAAAAAALwEAAF9yZWxzLy5yZWxzUEsBAi0AFAAGAAgA&#10;AAAhAGp/tKfhAQAApAMAAA4AAAAAAAAAAAAAAAAALgIAAGRycy9lMm9Eb2MueG1sUEsBAi0AFAAG&#10;AAgAAAAhABLSJ4LcAAAABQEAAA8AAAAAAAAAAAAAAAAAOwQAAGRycy9kb3ducmV2LnhtbFBLBQYA&#10;AAAABAAEAPMAAABEBQAAAAA=&#10;" strokecolor="#4a7ebb"/>
            </w:pict>
          </mc:Fallback>
        </mc:AlternateContent>
      </w:r>
    </w:p>
    <w:p w14:paraId="5C191F89" w14:textId="6780C78A" w:rsidR="007C4C1D" w:rsidRPr="00E35CD7" w:rsidRDefault="007C4C1D" w:rsidP="007C4C1D">
      <w:pPr>
        <w:tabs>
          <w:tab w:val="clear" w:pos="567"/>
        </w:tabs>
        <w:snapToGrid/>
        <w:rPr>
          <w:rFonts w:asciiTheme="minorBidi" w:eastAsia="Times New Roman" w:hAnsiTheme="minorBidi" w:cstheme="minorBidi"/>
          <w:i/>
          <w:sz w:val="20"/>
          <w:szCs w:val="20"/>
          <w:lang w:eastAsia="en-US"/>
        </w:rPr>
      </w:pPr>
      <w:r w:rsidRPr="00E35CD7">
        <w:rPr>
          <w:rFonts w:asciiTheme="minorBidi" w:eastAsia="Times New Roman" w:hAnsiTheme="minorBidi" w:cstheme="minorBidi"/>
          <w:i/>
          <w:sz w:val="20"/>
          <w:szCs w:val="20"/>
          <w:lang w:eastAsia="en-US"/>
        </w:rPr>
        <w:t>[</w:t>
      </w:r>
      <w:r w:rsidR="00123F7E" w:rsidRPr="00E35CD7">
        <w:rPr>
          <w:rFonts w:asciiTheme="minorBidi" w:eastAsia="Times New Roman" w:hAnsiTheme="minorBidi" w:cstheme="minorBidi"/>
          <w:i/>
          <w:sz w:val="20"/>
          <w:szCs w:val="20"/>
          <w:lang w:eastAsia="en-US"/>
        </w:rPr>
        <w:t>Abstract</w:t>
      </w:r>
      <w:r w:rsidRPr="00E35CD7">
        <w:rPr>
          <w:rFonts w:asciiTheme="minorBidi" w:eastAsia="Times New Roman" w:hAnsiTheme="minorBidi" w:cstheme="minorBidi"/>
          <w:i/>
          <w:sz w:val="20"/>
          <w:szCs w:val="20"/>
          <w:lang w:eastAsia="en-US"/>
        </w:rPr>
        <w:t xml:space="preserve"> from 214 EX/</w:t>
      </w:r>
      <w:proofErr w:type="gramStart"/>
      <w:r w:rsidRPr="00E35CD7">
        <w:rPr>
          <w:rFonts w:asciiTheme="minorBidi" w:eastAsia="Times New Roman" w:hAnsiTheme="minorBidi" w:cstheme="minorBidi"/>
          <w:i/>
          <w:sz w:val="20"/>
          <w:szCs w:val="20"/>
          <w:lang w:eastAsia="en-US"/>
        </w:rPr>
        <w:t>4.I</w:t>
      </w:r>
      <w:proofErr w:type="gramEnd"/>
      <w:r w:rsidRPr="00E35CD7">
        <w:rPr>
          <w:rFonts w:asciiTheme="minorBidi" w:eastAsia="Times New Roman" w:hAnsiTheme="minorBidi" w:cstheme="minorBidi"/>
          <w:i/>
          <w:sz w:val="20"/>
          <w:szCs w:val="20"/>
          <w:lang w:eastAsia="en-US"/>
        </w:rPr>
        <w:t xml:space="preserve">: </w:t>
      </w:r>
      <w:r w:rsidR="00123F7E" w:rsidRPr="00E35CD7">
        <w:rPr>
          <w:rFonts w:asciiTheme="minorBidi" w:eastAsia="Times New Roman" w:hAnsiTheme="minorBidi" w:cstheme="minorBidi"/>
          <w:i/>
          <w:sz w:val="20"/>
          <w:szCs w:val="20"/>
          <w:lang w:eastAsia="en-US"/>
        </w:rPr>
        <w:t>Analytical Programme Implementation Report (APIR) 2022 (1 January 2018–31</w:t>
      </w:r>
      <w:r w:rsidR="00A14C22">
        <w:rPr>
          <w:rFonts w:asciiTheme="minorBidi" w:eastAsia="Times New Roman" w:hAnsiTheme="minorBidi" w:cstheme="minorBidi"/>
          <w:i/>
          <w:sz w:val="20"/>
          <w:szCs w:val="20"/>
          <w:lang w:eastAsia="en-US"/>
        </w:rPr>
        <w:t> </w:t>
      </w:r>
      <w:r w:rsidR="00123F7E" w:rsidRPr="00E35CD7">
        <w:rPr>
          <w:rFonts w:asciiTheme="minorBidi" w:eastAsia="Times New Roman" w:hAnsiTheme="minorBidi" w:cstheme="minorBidi"/>
          <w:i/>
          <w:sz w:val="20"/>
          <w:szCs w:val="20"/>
          <w:lang w:eastAsia="en-US"/>
        </w:rPr>
        <w:t xml:space="preserve">December 2021)] </w:t>
      </w:r>
    </w:p>
    <w:p w14:paraId="4ADBB04C" w14:textId="77777777" w:rsidR="007C4C1D" w:rsidRPr="00E35CD7" w:rsidRDefault="007C4C1D" w:rsidP="007C4C1D">
      <w:pPr>
        <w:tabs>
          <w:tab w:val="clear" w:pos="567"/>
        </w:tabs>
        <w:snapToGrid/>
        <w:rPr>
          <w:rFonts w:asciiTheme="minorBidi" w:eastAsia="Times New Roman" w:hAnsiTheme="minorBidi" w:cstheme="minorBidi"/>
          <w:i/>
          <w:sz w:val="20"/>
          <w:szCs w:val="20"/>
          <w:lang w:eastAsia="en-US"/>
        </w:rPr>
      </w:pPr>
    </w:p>
    <w:p w14:paraId="51B92A79" w14:textId="15AB144F" w:rsidR="009C5BA0" w:rsidRPr="00E35CD7" w:rsidRDefault="008C15AF" w:rsidP="00E35CD7">
      <w:pPr>
        <w:pStyle w:val="Marge"/>
        <w:spacing w:after="160"/>
        <w:jc w:val="left"/>
        <w:rPr>
          <w:rFonts w:asciiTheme="minorBidi" w:hAnsiTheme="minorBidi" w:cstheme="minorBidi"/>
          <w:b/>
          <w:bCs/>
          <w:sz w:val="20"/>
          <w:szCs w:val="20"/>
          <w:lang w:val="en-US"/>
        </w:rPr>
      </w:pPr>
      <w:r w:rsidRPr="00E35CD7">
        <w:rPr>
          <w:rFonts w:asciiTheme="minorBidi" w:hAnsiTheme="minorBidi" w:cstheme="minorBidi"/>
          <w:b/>
          <w:bCs/>
          <w:sz w:val="20"/>
          <w:szCs w:val="20"/>
        </w:rPr>
        <w:t xml:space="preserve">Introduction - </w:t>
      </w:r>
      <w:r w:rsidR="009C5BA0" w:rsidRPr="00E35CD7">
        <w:rPr>
          <w:rFonts w:asciiTheme="minorBidi" w:hAnsiTheme="minorBidi" w:cstheme="minorBidi"/>
          <w:b/>
          <w:bCs/>
          <w:sz w:val="20"/>
          <w:szCs w:val="20"/>
        </w:rPr>
        <w:t>Highlig</w:t>
      </w:r>
      <w:r w:rsidRPr="00E35CD7">
        <w:rPr>
          <w:rFonts w:asciiTheme="minorBidi" w:hAnsiTheme="minorBidi" w:cstheme="minorBidi"/>
          <w:b/>
          <w:bCs/>
          <w:sz w:val="20"/>
          <w:szCs w:val="20"/>
        </w:rPr>
        <w:t xml:space="preserve">hts of programme achievements  </w:t>
      </w:r>
    </w:p>
    <w:p w14:paraId="34C37A43" w14:textId="78D5AA22" w:rsidR="009C5BA0" w:rsidRPr="00E35CD7" w:rsidRDefault="009C5BA0">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16. Following the adoption by the United Nations General Assembly of the Implementation Plan of the United Nations Decade of Ocean Science for Sustainable Development (the Ocean Decade) 2021-2030, IOC has embarked on the full-scale coordination of the Decade. It established </w:t>
      </w:r>
      <w:proofErr w:type="gramStart"/>
      <w:r w:rsidRPr="00E35CD7">
        <w:rPr>
          <w:rFonts w:asciiTheme="minorBidi" w:hAnsiTheme="minorBidi" w:cstheme="minorBidi"/>
          <w:snapToGrid/>
          <w:color w:val="000000"/>
          <w:sz w:val="20"/>
          <w:szCs w:val="20"/>
          <w:lang w:val="en-US"/>
        </w:rPr>
        <w:t>a number of</w:t>
      </w:r>
      <w:proofErr w:type="gramEnd"/>
      <w:r w:rsidRPr="00E35CD7">
        <w:rPr>
          <w:rFonts w:asciiTheme="minorBidi" w:hAnsiTheme="minorBidi" w:cstheme="minorBidi"/>
          <w:snapToGrid/>
          <w:color w:val="000000"/>
          <w:sz w:val="20"/>
          <w:szCs w:val="20"/>
          <w:lang w:val="en-US"/>
        </w:rPr>
        <w:t xml:space="preserve"> global and regional coordination mechanisms, which, facilitated by partners like NORAD, the Pacific Community (SPC) and the Indian Ocean Rim Association (IORA), are meant to ensure energetic and self-driven development of unique regional perspectives. The First Call for Decade Actions resulted in the endorsement of 31 transformative programmes and other major initiatives. The Decade Actions endorsed in 2021 bring together a collective investment in the order of $840 million over the next three years. Still, more resources will be needed to unlock the full potential of the Ocean Decade. </w:t>
      </w:r>
    </w:p>
    <w:p w14:paraId="4A362FF6" w14:textId="77777777" w:rsidR="009C5BA0" w:rsidRPr="00E35CD7" w:rsidRDefault="009C5BA0">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17. IOC is establishing dozens of Decade communities of practice to ensure that all nations, in particular SIDS and LDCs, are equipped with tailored ocean science capacities, strong institutions, and ability to develop and use technology and technical design to reap the benefits of the new ocean. A network of philanthropic organizations was established, bringing together 20 international foundations. </w:t>
      </w:r>
    </w:p>
    <w:p w14:paraId="1BDABF1F" w14:textId="77777777" w:rsidR="009C5BA0" w:rsidRPr="00E35CD7" w:rsidRDefault="009C5BA0"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18. The Ocean Decade Alliance is taking shape with world leaders and countries joining. The early private sector champions of the Ocean Decade are already arising, such as a new partnership with FUGRO (world leader in geo-intelligence) for setting up an ocean Data initiative and with the AXA Ocean Research Fund, to set up an Ocean research fund on coastal resilience. Ocean Decade Virtual Series events were organized to establish a global community around women in ocean science with a view of supporting and empowering them at all levels of their career. </w:t>
      </w:r>
    </w:p>
    <w:p w14:paraId="61BC39AB" w14:textId="479E9ED6" w:rsidR="009C5BA0" w:rsidRDefault="009C5BA0"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19. The Commission successfully assumed its custodian role in the development of the methodology to support Member States’ implementation of and reporting on the SDG target indicators 14.3.1 and 14.a.1. It contributed to informing the negotiation process of an International legally binding instrument on the conservation and sustainable use of marine biodiversity in areas beyond national jurisdiction. IOC further strengthened ocean data exchange and services, advanced research in key scientific areas such as ocean acidification and deoxygenation, facilitated the connectivity of the science-policy interface, and worked on enhancing ocean science capacities in its Member States, </w:t>
      </w:r>
      <w:proofErr w:type="gramStart"/>
      <w:r w:rsidRPr="00E35CD7">
        <w:rPr>
          <w:rFonts w:asciiTheme="minorBidi" w:hAnsiTheme="minorBidi" w:cstheme="minorBidi"/>
          <w:snapToGrid/>
          <w:color w:val="000000"/>
          <w:sz w:val="20"/>
          <w:szCs w:val="20"/>
          <w:lang w:val="en-US"/>
        </w:rPr>
        <w:t>in particular in</w:t>
      </w:r>
      <w:proofErr w:type="gramEnd"/>
      <w:r w:rsidRPr="00E35CD7">
        <w:rPr>
          <w:rFonts w:asciiTheme="minorBidi" w:hAnsiTheme="minorBidi" w:cstheme="minorBidi"/>
          <w:snapToGrid/>
          <w:color w:val="000000"/>
          <w:sz w:val="20"/>
          <w:szCs w:val="20"/>
          <w:lang w:val="en-US"/>
        </w:rPr>
        <w:t xml:space="preserve"> Africa and SIDS, and on fostering gender equality in ocean sciences. IOC has also achieved important results in the development of ocean literacy, thus contributing to the achievement of SDG target 4.7 on quality education. 20. Leading such a vast and successful global movement as the Ocean Decade, while also strengthening IOC’s core programmes, requires significant additional resources. Key strategic partnerships will need to be reinforced and new ones established to ensure success. </w:t>
      </w:r>
    </w:p>
    <w:p w14:paraId="2B4055A1" w14:textId="26238AAA" w:rsidR="007807C6" w:rsidRPr="00E35CD7" w:rsidRDefault="007807C6"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Pr>
          <w:rFonts w:asciiTheme="minorBidi" w:hAnsiTheme="minorBidi" w:cstheme="minorBidi"/>
          <w:snapToGrid/>
          <w:color w:val="000000"/>
          <w:sz w:val="20"/>
          <w:szCs w:val="20"/>
          <w:lang w:val="en-US"/>
        </w:rPr>
        <w:t xml:space="preserve">20. </w:t>
      </w:r>
      <w:r>
        <w:rPr>
          <w:rFonts w:ascii="Arial" w:hAnsi="Arial" w:cs="Arial"/>
          <w:sz w:val="20"/>
          <w:szCs w:val="20"/>
          <w:shd w:val="clear" w:color="auto" w:fill="FFFFFF"/>
        </w:rPr>
        <w:t>Leading such a vast and successful global movement as the Ocean Decade, while also strengthening IOC’s core programmes, requires significant additional resources. Key strategic partnerships will need to be reinforced and new ones established to ensure success</w:t>
      </w:r>
      <w:r>
        <w:rPr>
          <w:rFonts w:ascii="Arial" w:hAnsi="Arial" w:cs="Arial"/>
          <w:sz w:val="20"/>
          <w:szCs w:val="20"/>
          <w:shd w:val="clear" w:color="auto" w:fill="FFFFFF"/>
        </w:rPr>
        <w:t>.</w:t>
      </w:r>
    </w:p>
    <w:p w14:paraId="431681A1" w14:textId="345C9D45" w:rsidR="00615F33" w:rsidRPr="00E35CD7" w:rsidRDefault="00615F33" w:rsidP="00E35CD7">
      <w:pPr>
        <w:pStyle w:val="Marge"/>
        <w:spacing w:after="160"/>
        <w:rPr>
          <w:rFonts w:asciiTheme="minorBidi" w:hAnsiTheme="minorBidi" w:cstheme="minorBidi"/>
          <w:b/>
          <w:bCs/>
          <w:sz w:val="20"/>
          <w:szCs w:val="20"/>
          <w:lang w:val="en-US"/>
        </w:rPr>
      </w:pPr>
      <w:r w:rsidRPr="00E35CD7">
        <w:rPr>
          <w:rFonts w:asciiTheme="minorBidi" w:hAnsiTheme="minorBidi" w:cstheme="minorBidi"/>
          <w:snapToGrid/>
          <w:color w:val="000000"/>
          <w:sz w:val="20"/>
          <w:szCs w:val="20"/>
          <w:lang w:val="en-US"/>
        </w:rPr>
        <w:t>[…]</w:t>
      </w:r>
    </w:p>
    <w:p w14:paraId="4630E509" w14:textId="30A76F23" w:rsidR="009C5BA0" w:rsidRPr="00E35CD7" w:rsidRDefault="009C5BA0" w:rsidP="00E35CD7">
      <w:pPr>
        <w:tabs>
          <w:tab w:val="clear" w:pos="567"/>
        </w:tabs>
        <w:snapToGrid/>
        <w:spacing w:after="160"/>
        <w:rPr>
          <w:rFonts w:asciiTheme="minorBidi" w:hAnsiTheme="minorBidi" w:cstheme="minorBidi"/>
          <w:b/>
          <w:bCs/>
          <w:snapToGrid/>
          <w:color w:val="000000"/>
          <w:sz w:val="20"/>
          <w:szCs w:val="20"/>
          <w:lang w:val="en-US"/>
        </w:rPr>
      </w:pPr>
      <w:r w:rsidRPr="00E35CD7">
        <w:rPr>
          <w:rFonts w:asciiTheme="minorBidi" w:hAnsiTheme="minorBidi" w:cstheme="minorBidi"/>
          <w:b/>
          <w:bCs/>
          <w:snapToGrid/>
          <w:color w:val="000000"/>
          <w:sz w:val="20"/>
          <w:szCs w:val="20"/>
          <w:lang w:val="en-US"/>
        </w:rPr>
        <w:t xml:space="preserve">Key trends, </w:t>
      </w:r>
      <w:proofErr w:type="gramStart"/>
      <w:r w:rsidRPr="00E35CD7">
        <w:rPr>
          <w:rFonts w:asciiTheme="minorBidi" w:hAnsiTheme="minorBidi" w:cstheme="minorBidi"/>
          <w:b/>
          <w:bCs/>
          <w:snapToGrid/>
          <w:color w:val="000000"/>
          <w:sz w:val="20"/>
          <w:szCs w:val="20"/>
          <w:lang w:val="en-US"/>
        </w:rPr>
        <w:t>challenges</w:t>
      </w:r>
      <w:proofErr w:type="gramEnd"/>
      <w:r w:rsidRPr="00E35CD7">
        <w:rPr>
          <w:rFonts w:asciiTheme="minorBidi" w:hAnsiTheme="minorBidi" w:cstheme="minorBidi"/>
          <w:b/>
          <w:bCs/>
          <w:snapToGrid/>
          <w:color w:val="000000"/>
          <w:sz w:val="20"/>
          <w:szCs w:val="20"/>
          <w:lang w:val="en-US"/>
        </w:rPr>
        <w:t xml:space="preserve"> and opportunities </w:t>
      </w:r>
    </w:p>
    <w:p w14:paraId="5CCF7497" w14:textId="7738C5FE" w:rsidR="009C5BA0" w:rsidRPr="00E35CD7" w:rsidRDefault="009C5BA0"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108. During the 2018-2021 quadrennium, despite certain disruptions in ocean observations and data exchange caused by the COVID-19 pandemic, IOC has succeeded to further advance international cooperation in delivering ocean science for the sustainable management of the ocean. </w:t>
      </w:r>
    </w:p>
    <w:p w14:paraId="1DB8BB65" w14:textId="0DC83CD5" w:rsidR="009C5BA0" w:rsidRPr="00E35CD7" w:rsidRDefault="009C5BA0"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109. Following the adoption by the United Nations General Assembly of the Implementation Plan of the United Nations Decade of Ocean Science for Sustainable Development (the Ocean Decade) 2021-2030, IOC established </w:t>
      </w:r>
      <w:proofErr w:type="gramStart"/>
      <w:r w:rsidRPr="00E35CD7">
        <w:rPr>
          <w:rFonts w:asciiTheme="minorBidi" w:hAnsiTheme="minorBidi" w:cstheme="minorBidi"/>
          <w:snapToGrid/>
          <w:color w:val="000000"/>
          <w:sz w:val="20"/>
          <w:szCs w:val="20"/>
          <w:lang w:val="en-US"/>
        </w:rPr>
        <w:t>a number of</w:t>
      </w:r>
      <w:proofErr w:type="gramEnd"/>
      <w:r w:rsidRPr="00E35CD7">
        <w:rPr>
          <w:rFonts w:asciiTheme="minorBidi" w:hAnsiTheme="minorBidi" w:cstheme="minorBidi"/>
          <w:snapToGrid/>
          <w:color w:val="000000"/>
          <w:sz w:val="20"/>
          <w:szCs w:val="20"/>
          <w:lang w:val="en-US"/>
        </w:rPr>
        <w:t xml:space="preserve"> global and regional coordination mechanisms, including dozens of communities of practice. The First Call for Decade Actions resulted in the endorsement of 31 transformative programmes and other major initiatives. The Commission successfully assumed its custodian role in the development of the methodology to support Member States’ implementation of and reporting on the SDG target indicators 14.3.1 and 14.a.1. It contributed to informing the negotiation process of an international legally binding instrument on the conservation and sustainable use of marine biodiversity in areas beyond national jurisdiction and further strengthened ocean data exchange and services, advancing research in key scientific areas such as ocean acidification and deoxygenation fostering the science-policy interface, enhancing ocean science capacities in </w:t>
      </w:r>
      <w:r w:rsidRPr="00E35CD7">
        <w:rPr>
          <w:rFonts w:asciiTheme="minorBidi" w:hAnsiTheme="minorBidi" w:cstheme="minorBidi"/>
          <w:snapToGrid/>
          <w:color w:val="000000"/>
          <w:sz w:val="20"/>
          <w:szCs w:val="20"/>
          <w:lang w:val="en-US"/>
        </w:rPr>
        <w:lastRenderedPageBreak/>
        <w:t xml:space="preserve">its Member States, in particular in Africa and SIDS, and fostering gender equality in ocean sciences. IOC has also achieved important results in the development of ocean literacy, thus contributing to the achievement of SDG target 4.7 on quality education. Ocean Decade Virtual Series events were organized to establish a global community around women in ocean science to support and empower them at all levels of their career. </w:t>
      </w:r>
    </w:p>
    <w:p w14:paraId="52F9D2CE" w14:textId="0770A1AB" w:rsidR="009C5BA0" w:rsidRPr="00E35CD7" w:rsidRDefault="009C5BA0"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110. In doing so, IOC continued to reinforce its cooperation within and outside the United Nations building on the solid support of its Member States, the Commission further developed its links with multilateral partners such as GEF, EC, the Pacific </w:t>
      </w:r>
      <w:proofErr w:type="gramStart"/>
      <w:r w:rsidRPr="00E35CD7">
        <w:rPr>
          <w:rFonts w:asciiTheme="minorBidi" w:hAnsiTheme="minorBidi" w:cstheme="minorBidi"/>
          <w:snapToGrid/>
          <w:color w:val="000000"/>
          <w:sz w:val="20"/>
          <w:szCs w:val="20"/>
          <w:lang w:val="en-US"/>
        </w:rPr>
        <w:t>Community</w:t>
      </w:r>
      <w:proofErr w:type="gramEnd"/>
      <w:r w:rsidRPr="00E35CD7">
        <w:rPr>
          <w:rFonts w:asciiTheme="minorBidi" w:hAnsiTheme="minorBidi" w:cstheme="minorBidi"/>
          <w:snapToGrid/>
          <w:color w:val="000000"/>
          <w:sz w:val="20"/>
          <w:szCs w:val="20"/>
          <w:lang w:val="en-US"/>
        </w:rPr>
        <w:t xml:space="preserve"> and the Indian Ocean Rim Association; private sector partners such as AXA Ocean Research Fund, FUGRO, </w:t>
      </w:r>
      <w:proofErr w:type="spellStart"/>
      <w:r w:rsidRPr="00E35CD7">
        <w:rPr>
          <w:rFonts w:asciiTheme="minorBidi" w:hAnsiTheme="minorBidi" w:cstheme="minorBidi"/>
          <w:snapToGrid/>
          <w:color w:val="000000"/>
          <w:sz w:val="20"/>
          <w:szCs w:val="20"/>
          <w:lang w:val="en-US"/>
        </w:rPr>
        <w:t>Panerai</w:t>
      </w:r>
      <w:proofErr w:type="spellEnd"/>
      <w:r w:rsidRPr="00E35CD7">
        <w:rPr>
          <w:rFonts w:asciiTheme="minorBidi" w:hAnsiTheme="minorBidi" w:cstheme="minorBidi"/>
          <w:snapToGrid/>
          <w:color w:val="000000"/>
          <w:sz w:val="20"/>
          <w:szCs w:val="20"/>
          <w:lang w:val="en-US"/>
        </w:rPr>
        <w:t xml:space="preserve"> and Prada. It continued its efforts to foster engagement of the civil society, notably the sailing community through cooperation with the International Monohull Open Class Association. The Ocean Decade Alliance started gaining momentum with numerous world leaders and institutions joining it. </w:t>
      </w:r>
    </w:p>
    <w:p w14:paraId="5518FCC1" w14:textId="483F91A3" w:rsidR="009C5BA0" w:rsidRPr="00E35CD7" w:rsidRDefault="009C5BA0"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111. With efforts and achievements of this quadrennium, IOC is poised to work with its partners to successfully coordinate the Ocean Decade and its ambition to deliver science solutions to reverse the decline in ocean’s health with great benefits for humanity. </w:t>
      </w:r>
    </w:p>
    <w:p w14:paraId="3AA562BD" w14:textId="1061104D" w:rsidR="009C5BA0" w:rsidRPr="00E35CD7" w:rsidRDefault="009C5BA0" w:rsidP="00E35CD7">
      <w:pPr>
        <w:tabs>
          <w:tab w:val="clear" w:pos="567"/>
        </w:tabs>
        <w:autoSpaceDE w:val="0"/>
        <w:autoSpaceDN w:val="0"/>
        <w:adjustRightInd w:val="0"/>
        <w:snapToGrid/>
        <w:spacing w:after="160"/>
        <w:jc w:val="both"/>
        <w:rPr>
          <w:rFonts w:asciiTheme="minorBidi" w:hAnsiTheme="minorBidi" w:cstheme="minorBidi"/>
          <w:b/>
          <w:bCs/>
          <w:snapToGrid/>
          <w:color w:val="000000"/>
          <w:sz w:val="20"/>
          <w:szCs w:val="20"/>
          <w:lang w:val="en-US"/>
        </w:rPr>
      </w:pPr>
      <w:r w:rsidRPr="00E35CD7">
        <w:rPr>
          <w:rFonts w:asciiTheme="minorBidi" w:hAnsiTheme="minorBidi" w:cstheme="minorBidi"/>
          <w:b/>
          <w:bCs/>
          <w:snapToGrid/>
          <w:color w:val="000000"/>
          <w:sz w:val="20"/>
          <w:szCs w:val="20"/>
          <w:lang w:val="en-US"/>
        </w:rPr>
        <w:t xml:space="preserve">Major achievements realized during the quadrennium </w:t>
      </w:r>
    </w:p>
    <w:p w14:paraId="0250A2DD" w14:textId="330FCB4D" w:rsidR="009C5BA0" w:rsidRPr="00E35CD7" w:rsidRDefault="009C5BA0"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112. The large consultative process led by the IOC within the United Nations Ocean framework manifested itself in the elaboration of a comprehensive and community-based Implementation Plan for the United Nations Decade of Ocean Science for Sustainable Development 2021-2030, with a meaningful division of </w:t>
      </w:r>
      <w:proofErr w:type="spellStart"/>
      <w:r w:rsidRPr="00E35CD7">
        <w:rPr>
          <w:rFonts w:asciiTheme="minorBidi" w:hAnsiTheme="minorBidi" w:cstheme="minorBidi"/>
          <w:snapToGrid/>
          <w:color w:val="000000"/>
          <w:sz w:val="20"/>
          <w:szCs w:val="20"/>
          <w:lang w:val="en-US"/>
        </w:rPr>
        <w:t>labour</w:t>
      </w:r>
      <w:proofErr w:type="spellEnd"/>
      <w:r w:rsidRPr="00E35CD7">
        <w:rPr>
          <w:rFonts w:asciiTheme="minorBidi" w:hAnsiTheme="minorBidi" w:cstheme="minorBidi"/>
          <w:snapToGrid/>
          <w:color w:val="000000"/>
          <w:sz w:val="20"/>
          <w:szCs w:val="20"/>
          <w:lang w:val="en-US"/>
        </w:rPr>
        <w:t xml:space="preserve"> among all partners in the United Nations system. In June 2021 the IOC Assembly adopted the Terms of Reference of the Decade Advisory Board (DAB), which was established in December 2021 following an international call for nomination. The 2020 First Call for Decade Actions resulted in some 250 proposals for potential Decade Actions. Proposals included 31 transformative programmes, 10 United Nations-led Decade Actions and over 40 contributions, covering diverse themes, such as ocean science in support of policy development in Pacific SIDS, ocean literacy, deep sea research and management, ocean ecosystem management under multiple stressors, underwater cultural heritage, ocean observations, coastal </w:t>
      </w:r>
      <w:proofErr w:type="gramStart"/>
      <w:r w:rsidRPr="00E35CD7">
        <w:rPr>
          <w:rFonts w:asciiTheme="minorBidi" w:hAnsiTheme="minorBidi" w:cstheme="minorBidi"/>
          <w:snapToGrid/>
          <w:color w:val="000000"/>
          <w:sz w:val="20"/>
          <w:szCs w:val="20"/>
          <w:lang w:val="en-US"/>
        </w:rPr>
        <w:t>resilience</w:t>
      </w:r>
      <w:proofErr w:type="gramEnd"/>
      <w:r w:rsidRPr="00E35CD7">
        <w:rPr>
          <w:rFonts w:asciiTheme="minorBidi" w:hAnsiTheme="minorBidi" w:cstheme="minorBidi"/>
          <w:snapToGrid/>
          <w:color w:val="000000"/>
          <w:sz w:val="20"/>
          <w:szCs w:val="20"/>
          <w:lang w:val="en-US"/>
        </w:rPr>
        <w:t xml:space="preserve"> and sustainable fisheries. The second Call for Decade Actions was launched in October 2021 with a view to deliver science-based actions and solutions in the areas of marine pollution, ecosystem resilience and the ocean and climate nexus. In addition to the high-level global launch event of the Decade, which brought together several heads of States and leaders of United Nations agencies, IOC organized in 2021 the United Nations Ocean Decade Kickoff Conferences for the Western Pacific and Tropical Western Atlantic and started the preparations for a major Decade kick-off conference on </w:t>
      </w:r>
      <w:proofErr w:type="gramStart"/>
      <w:r w:rsidRPr="00E35CD7">
        <w:rPr>
          <w:rFonts w:asciiTheme="minorBidi" w:hAnsiTheme="minorBidi" w:cstheme="minorBidi"/>
          <w:snapToGrid/>
          <w:color w:val="000000"/>
          <w:sz w:val="20"/>
          <w:szCs w:val="20"/>
          <w:lang w:val="en-US"/>
        </w:rPr>
        <w:t>ocean  science</w:t>
      </w:r>
      <w:proofErr w:type="gramEnd"/>
      <w:r w:rsidRPr="00E35CD7">
        <w:rPr>
          <w:rFonts w:asciiTheme="minorBidi" w:hAnsiTheme="minorBidi" w:cstheme="minorBidi"/>
          <w:snapToGrid/>
          <w:color w:val="000000"/>
          <w:sz w:val="20"/>
          <w:szCs w:val="20"/>
          <w:lang w:val="en-US"/>
        </w:rPr>
        <w:t xml:space="preserve"> in support of Africa’s sustainable development to take place in 2022. Further commitments and partnerships to be </w:t>
      </w:r>
      <w:proofErr w:type="spellStart"/>
      <w:r w:rsidRPr="00E35CD7">
        <w:rPr>
          <w:rFonts w:asciiTheme="minorBidi" w:hAnsiTheme="minorBidi" w:cstheme="minorBidi"/>
          <w:snapToGrid/>
          <w:color w:val="000000"/>
          <w:sz w:val="20"/>
          <w:szCs w:val="20"/>
          <w:lang w:val="en-US"/>
        </w:rPr>
        <w:t>catalysed</w:t>
      </w:r>
      <w:proofErr w:type="spellEnd"/>
      <w:r w:rsidRPr="00E35CD7">
        <w:rPr>
          <w:rFonts w:asciiTheme="minorBidi" w:hAnsiTheme="minorBidi" w:cstheme="minorBidi"/>
          <w:snapToGrid/>
          <w:color w:val="000000"/>
          <w:sz w:val="20"/>
          <w:szCs w:val="20"/>
          <w:lang w:val="en-US"/>
        </w:rPr>
        <w:t xml:space="preserve"> in 2022 include the international “One Ocean Summit” hosted by France, the “Our Ocean Conference” to be hosted by USA and Palau, and the Lisbon “UN Ocean Conference” to be hosted by Kenya and Portugal. </w:t>
      </w:r>
    </w:p>
    <w:p w14:paraId="6A84B56D" w14:textId="4608225B" w:rsidR="009C5BA0" w:rsidRPr="00E35CD7" w:rsidRDefault="009C5BA0"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113. IOC’s leadership took an active part in the negotiation process on an international legally binding instrument (ILBI) on the conservation and sustainable use of marine biodiversity in areas beyond national jurisdiction (BBNJ). In October 2020, with a view to inform the negotiation process, the Secretariat published a </w:t>
      </w:r>
      <w:proofErr w:type="gramStart"/>
      <w:r w:rsidRPr="00E35CD7">
        <w:rPr>
          <w:rFonts w:asciiTheme="minorBidi" w:hAnsiTheme="minorBidi" w:cstheme="minorBidi"/>
          <w:snapToGrid/>
          <w:color w:val="000000"/>
          <w:sz w:val="20"/>
          <w:szCs w:val="20"/>
          <w:lang w:val="en-US"/>
        </w:rPr>
        <w:t>Non-Paper</w:t>
      </w:r>
      <w:proofErr w:type="gramEnd"/>
      <w:r w:rsidRPr="00E35CD7">
        <w:rPr>
          <w:rFonts w:asciiTheme="minorBidi" w:hAnsiTheme="minorBidi" w:cstheme="minorBidi"/>
          <w:snapToGrid/>
          <w:color w:val="000000"/>
          <w:sz w:val="20"/>
          <w:szCs w:val="20"/>
          <w:lang w:val="en-US"/>
        </w:rPr>
        <w:t xml:space="preserve"> on existing and potential contributions of IOC-UNESCO to the BBNJ process (IOC/INF-1387) in the areas of marine research, data, capacity development and the transfer of marine technology. In November 2021, a dedicated information session for United Nations Member States was dedicated to the work of IOC in relation to clearing house mechanism for ocean data and information, as well as capacity development. </w:t>
      </w:r>
    </w:p>
    <w:p w14:paraId="0030F8D6" w14:textId="3F00783A" w:rsidR="009C5BA0" w:rsidRPr="00E35CD7" w:rsidRDefault="009C5BA0"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114. Significant progress was made during the quadrennium in the development of the methodology to support Member States’ implementation of and reporting on the two SDG target indicators 14.3.1 and 14.a.1, for which the IOC has been assigned the custodian role in the United Nations system. A dedicated portal for gathering </w:t>
      </w:r>
      <w:r w:rsidRPr="00E35CD7">
        <w:rPr>
          <w:rFonts w:asciiTheme="minorBidi" w:hAnsiTheme="minorBidi" w:cstheme="minorBidi"/>
          <w:b/>
          <w:bCs/>
          <w:snapToGrid/>
          <w:color w:val="000000"/>
          <w:sz w:val="20"/>
          <w:szCs w:val="20"/>
          <w:lang w:val="en-US"/>
        </w:rPr>
        <w:t xml:space="preserve">data on ocean acidification </w:t>
      </w:r>
      <w:r w:rsidRPr="00E35CD7">
        <w:rPr>
          <w:rFonts w:asciiTheme="minorBidi" w:hAnsiTheme="minorBidi" w:cstheme="minorBidi"/>
          <w:snapToGrid/>
          <w:color w:val="000000"/>
          <w:sz w:val="20"/>
          <w:szCs w:val="20"/>
          <w:lang w:val="en-US"/>
        </w:rPr>
        <w:t xml:space="preserve">was developed, and related capacity development activities at the regional level implemented, to attain data requirements of SDG Target 14.3.1. The 2nd edition of the </w:t>
      </w:r>
      <w:r w:rsidRPr="00E35CD7">
        <w:rPr>
          <w:rFonts w:asciiTheme="minorBidi" w:hAnsiTheme="minorBidi" w:cstheme="minorBidi"/>
          <w:b/>
          <w:bCs/>
          <w:snapToGrid/>
          <w:color w:val="000000"/>
          <w:sz w:val="20"/>
          <w:szCs w:val="20"/>
          <w:lang w:val="en-US"/>
        </w:rPr>
        <w:t xml:space="preserve">Global Ocean Science Report </w:t>
      </w:r>
      <w:r w:rsidRPr="00E35CD7">
        <w:rPr>
          <w:rFonts w:asciiTheme="minorBidi" w:hAnsiTheme="minorBidi" w:cstheme="minorBidi"/>
          <w:snapToGrid/>
          <w:color w:val="000000"/>
          <w:sz w:val="20"/>
          <w:szCs w:val="20"/>
          <w:lang w:val="en-US"/>
        </w:rPr>
        <w:t xml:space="preserve">(GOSR) was launched </w:t>
      </w:r>
      <w:proofErr w:type="gramStart"/>
      <w:r w:rsidRPr="00E35CD7">
        <w:rPr>
          <w:rFonts w:asciiTheme="minorBidi" w:hAnsiTheme="minorBidi" w:cstheme="minorBidi"/>
          <w:snapToGrid/>
          <w:color w:val="000000"/>
          <w:sz w:val="20"/>
          <w:szCs w:val="20"/>
          <w:lang w:val="en-US"/>
        </w:rPr>
        <w:t>on the occasion of</w:t>
      </w:r>
      <w:proofErr w:type="gramEnd"/>
      <w:r w:rsidRPr="00E35CD7">
        <w:rPr>
          <w:rFonts w:asciiTheme="minorBidi" w:hAnsiTheme="minorBidi" w:cstheme="minorBidi"/>
          <w:snapToGrid/>
          <w:color w:val="000000"/>
          <w:sz w:val="20"/>
          <w:szCs w:val="20"/>
          <w:lang w:val="en-US"/>
        </w:rPr>
        <w:t xml:space="preserve"> the IOC’s 60th anniversary, on 14 December 2020. In addition to establishing a solid basis for measuring progress towards the attainment of SDG Target 14.a, the report provides the baseline for ocean science capacity and related investments and will serve as a monitoring tool for the United Nations Ocean Decade. The GOSR’s gender-disaggregated data continues to serve as a progress monitoring </w:t>
      </w:r>
      <w:proofErr w:type="gramStart"/>
      <w:r w:rsidRPr="00E35CD7">
        <w:rPr>
          <w:rFonts w:asciiTheme="minorBidi" w:hAnsiTheme="minorBidi" w:cstheme="minorBidi"/>
          <w:snapToGrid/>
          <w:color w:val="000000"/>
          <w:sz w:val="20"/>
          <w:szCs w:val="20"/>
          <w:lang w:val="en-US"/>
        </w:rPr>
        <w:t>mechanisms</w:t>
      </w:r>
      <w:proofErr w:type="gramEnd"/>
      <w:r w:rsidRPr="00E35CD7">
        <w:rPr>
          <w:rFonts w:asciiTheme="minorBidi" w:hAnsiTheme="minorBidi" w:cstheme="minorBidi"/>
          <w:snapToGrid/>
          <w:color w:val="000000"/>
          <w:sz w:val="20"/>
          <w:szCs w:val="20"/>
          <w:lang w:val="en-US"/>
        </w:rPr>
        <w:t xml:space="preserve">. </w:t>
      </w:r>
    </w:p>
    <w:p w14:paraId="71C6D2E0" w14:textId="79BD759C" w:rsidR="009C5BA0" w:rsidRPr="00E35CD7" w:rsidRDefault="009C5BA0"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115. The second United Nations </w:t>
      </w:r>
      <w:r w:rsidRPr="00E35CD7">
        <w:rPr>
          <w:rFonts w:asciiTheme="minorBidi" w:hAnsiTheme="minorBidi" w:cstheme="minorBidi"/>
          <w:b/>
          <w:bCs/>
          <w:snapToGrid/>
          <w:color w:val="000000"/>
          <w:sz w:val="20"/>
          <w:szCs w:val="20"/>
          <w:lang w:val="en-US"/>
        </w:rPr>
        <w:t xml:space="preserve">World Ocean Assessment </w:t>
      </w:r>
      <w:r w:rsidRPr="00E35CD7">
        <w:rPr>
          <w:rFonts w:asciiTheme="minorBidi" w:hAnsiTheme="minorBidi" w:cstheme="minorBidi"/>
          <w:snapToGrid/>
          <w:color w:val="000000"/>
          <w:sz w:val="20"/>
          <w:szCs w:val="20"/>
          <w:lang w:val="en-US"/>
        </w:rPr>
        <w:t xml:space="preserve">was released in April 2021 through a global event with the participation of IOC as a speaker, and the third cycle of the United Nations Regular Process on the assessment of the state of the marine environment was initiated. In that context, IOC and DOALOS have identified specific collaborations </w:t>
      </w:r>
      <w:proofErr w:type="gramStart"/>
      <w:r w:rsidRPr="00E35CD7">
        <w:rPr>
          <w:rFonts w:asciiTheme="minorBidi" w:hAnsiTheme="minorBidi" w:cstheme="minorBidi"/>
          <w:snapToGrid/>
          <w:color w:val="000000"/>
          <w:sz w:val="20"/>
          <w:szCs w:val="20"/>
          <w:lang w:val="en-US"/>
        </w:rPr>
        <w:t>in the area of</w:t>
      </w:r>
      <w:proofErr w:type="gramEnd"/>
      <w:r w:rsidRPr="00E35CD7">
        <w:rPr>
          <w:rFonts w:asciiTheme="minorBidi" w:hAnsiTheme="minorBidi" w:cstheme="minorBidi"/>
          <w:snapToGrid/>
          <w:color w:val="000000"/>
          <w:sz w:val="20"/>
          <w:szCs w:val="20"/>
          <w:lang w:val="en-US"/>
        </w:rPr>
        <w:t xml:space="preserve"> science-policy interface, capacity development and synergies with the Ocean Decade. </w:t>
      </w:r>
    </w:p>
    <w:p w14:paraId="7394D0DC" w14:textId="1DB02129" w:rsidR="009C5BA0" w:rsidRPr="00E35CD7" w:rsidRDefault="009C5BA0"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lastRenderedPageBreak/>
        <w:t xml:space="preserve">116. At the interface of </w:t>
      </w:r>
      <w:r w:rsidRPr="00E35CD7">
        <w:rPr>
          <w:rFonts w:asciiTheme="minorBidi" w:hAnsiTheme="minorBidi" w:cstheme="minorBidi"/>
          <w:b/>
          <w:bCs/>
          <w:snapToGrid/>
          <w:color w:val="000000"/>
          <w:sz w:val="20"/>
          <w:szCs w:val="20"/>
          <w:lang w:val="en-US"/>
        </w:rPr>
        <w:t>science and policy</w:t>
      </w:r>
      <w:r w:rsidRPr="00E35CD7">
        <w:rPr>
          <w:rFonts w:asciiTheme="minorBidi" w:hAnsiTheme="minorBidi" w:cstheme="minorBidi"/>
          <w:snapToGrid/>
          <w:color w:val="000000"/>
          <w:sz w:val="20"/>
          <w:szCs w:val="20"/>
          <w:lang w:val="en-US"/>
        </w:rPr>
        <w:t xml:space="preserve">, IOC was able to develop a consolidated, multi-partner research and observation agenda for ocean carbon in support of the United Nations Framework Convention on Climate Change (UNFCCC) and its Paris Agreement. This entailed active participation in the UNFCCC SBSTA Research Dialogues, a leading role in the Ocean Pathway of the non-State Party Marrakech Partnership of the Convention, and informing the planning of COP 26, specifically Ocean Action Day. IOC actively participated in the COP 26 and COP 27 conferences through more than a dozen events promoting the contribution of ocean science to inform climate change adaptation and mitigation, highlighting the Ocean Decade framework, and with focus on the IOC’s work in the area ocean acidification, SDG 14, blue carbon, ocean observation, and capacity development. </w:t>
      </w:r>
    </w:p>
    <w:p w14:paraId="2F1D8F52" w14:textId="3232ABB2" w:rsidR="009C5BA0" w:rsidRPr="00E35CD7" w:rsidRDefault="009C5BA0"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117. The establishment of a regular ocean-climate dialogue by COP 26 provides an important focus for the future work of IOC. IOC continued to support the Global Ocean Acidification Observing Network, co-sponsoring the Blue Carbon Initiative with Conservation International and IUCN and to co-sponsor research on and management of Harmful Algae with FAO and SCOR. Since 2020, it hosts the secretariat of the International Partnership for </w:t>
      </w:r>
      <w:r w:rsidRPr="00E35CD7">
        <w:rPr>
          <w:rFonts w:asciiTheme="minorBidi" w:hAnsiTheme="minorBidi" w:cstheme="minorBidi"/>
          <w:b/>
          <w:bCs/>
          <w:snapToGrid/>
          <w:color w:val="000000"/>
          <w:sz w:val="20"/>
          <w:szCs w:val="20"/>
          <w:lang w:val="en-US"/>
        </w:rPr>
        <w:t>Blue Carbon</w:t>
      </w:r>
      <w:r w:rsidRPr="00E35CD7">
        <w:rPr>
          <w:rFonts w:asciiTheme="minorBidi" w:hAnsiTheme="minorBidi" w:cstheme="minorBidi"/>
          <w:snapToGrid/>
          <w:color w:val="000000"/>
          <w:sz w:val="20"/>
          <w:szCs w:val="20"/>
          <w:lang w:val="en-US"/>
        </w:rPr>
        <w:t xml:space="preserve">, funded by Australia. In the context of the United Nations inter-agency Group of Experts on the Scientific Aspects of Marine Environmental Protection, IOC, together with IMO, started working on guidelines for biofouling and prevention of spreading of invasive marine species. Expert work on alien species constitutes the focus of the project in the Canary Current Large Marine Ecosystem funded by Spain. To better respond to the needs of its Member States, IOC Regional Subsidiary Bodies stepped up their assistance and delivery of service at the regional level and the level of Member States. </w:t>
      </w:r>
    </w:p>
    <w:p w14:paraId="2BCEA360" w14:textId="33D86D1E" w:rsidR="009C5BA0" w:rsidRPr="00E35CD7" w:rsidRDefault="009C5BA0"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118. The EU-funded </w:t>
      </w:r>
      <w:r w:rsidRPr="00E35CD7">
        <w:rPr>
          <w:rFonts w:asciiTheme="minorBidi" w:hAnsiTheme="minorBidi" w:cstheme="minorBidi"/>
          <w:b/>
          <w:bCs/>
          <w:snapToGrid/>
          <w:color w:val="000000"/>
          <w:sz w:val="20"/>
          <w:szCs w:val="20"/>
          <w:lang w:val="en-US"/>
        </w:rPr>
        <w:t xml:space="preserve">Marine Spatial Planning </w:t>
      </w:r>
      <w:r w:rsidRPr="00E35CD7">
        <w:rPr>
          <w:rFonts w:asciiTheme="minorBidi" w:hAnsiTheme="minorBidi" w:cstheme="minorBidi"/>
          <w:snapToGrid/>
          <w:color w:val="000000"/>
          <w:sz w:val="20"/>
          <w:szCs w:val="20"/>
          <w:lang w:val="en-US"/>
        </w:rPr>
        <w:t>Global (</w:t>
      </w:r>
      <w:proofErr w:type="spellStart"/>
      <w:r w:rsidRPr="00E35CD7">
        <w:rPr>
          <w:rFonts w:asciiTheme="minorBidi" w:hAnsiTheme="minorBidi" w:cstheme="minorBidi"/>
          <w:snapToGrid/>
          <w:color w:val="000000"/>
          <w:sz w:val="20"/>
          <w:szCs w:val="20"/>
          <w:lang w:val="en-US"/>
        </w:rPr>
        <w:t>MSPGlobal</w:t>
      </w:r>
      <w:proofErr w:type="spellEnd"/>
      <w:r w:rsidRPr="00E35CD7">
        <w:rPr>
          <w:rFonts w:asciiTheme="minorBidi" w:hAnsiTheme="minorBidi" w:cstheme="minorBidi"/>
          <w:snapToGrid/>
          <w:color w:val="000000"/>
          <w:sz w:val="20"/>
          <w:szCs w:val="20"/>
          <w:lang w:val="en-US"/>
        </w:rPr>
        <w:t xml:space="preserve">) project increased awareness and capacities of governmental authorities and stakeholders. The project main output is a new set of international guidance for MSP which was launched in October 2021 at the project final conference. Funding from the Government of Sweden further supported the development of MSP in Africa, South-East </w:t>
      </w:r>
      <w:proofErr w:type="gramStart"/>
      <w:r w:rsidRPr="00E35CD7">
        <w:rPr>
          <w:rFonts w:asciiTheme="minorBidi" w:hAnsiTheme="minorBidi" w:cstheme="minorBidi"/>
          <w:snapToGrid/>
          <w:color w:val="000000"/>
          <w:sz w:val="20"/>
          <w:szCs w:val="20"/>
          <w:lang w:val="en-US"/>
        </w:rPr>
        <w:t>Asia</w:t>
      </w:r>
      <w:proofErr w:type="gramEnd"/>
      <w:r w:rsidRPr="00E35CD7">
        <w:rPr>
          <w:rFonts w:asciiTheme="minorBidi" w:hAnsiTheme="minorBidi" w:cstheme="minorBidi"/>
          <w:snapToGrid/>
          <w:color w:val="000000"/>
          <w:sz w:val="20"/>
          <w:szCs w:val="20"/>
          <w:lang w:val="en-US"/>
        </w:rPr>
        <w:t xml:space="preserve"> and the Caribbean. IOC increased its collaboration with the Global Environment Facility with two regional projects for Large Marine Ecosystems of the Black Sea and of the Sargasso Sea, in addition to the new IW-Learn Global project. In January 2021, the IOC hosted the 37th meeting of the GEBCO Guiding Committee and GEBCO Symposium, as a contribution to the Ocean Decade in advancing ocean mapping campaigns. </w:t>
      </w:r>
    </w:p>
    <w:p w14:paraId="315E6195" w14:textId="4FB9A1B3" w:rsidR="009C5BA0" w:rsidRPr="00E35CD7" w:rsidRDefault="009C5BA0"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119. The </w:t>
      </w:r>
      <w:r w:rsidRPr="00E35CD7">
        <w:rPr>
          <w:rFonts w:asciiTheme="minorBidi" w:hAnsiTheme="minorBidi" w:cstheme="minorBidi"/>
          <w:b/>
          <w:bCs/>
          <w:snapToGrid/>
          <w:color w:val="000000"/>
          <w:sz w:val="20"/>
          <w:szCs w:val="20"/>
          <w:lang w:val="en-US"/>
        </w:rPr>
        <w:t xml:space="preserve">Global Ocean Observing System </w:t>
      </w:r>
      <w:r w:rsidRPr="00E35CD7">
        <w:rPr>
          <w:rFonts w:asciiTheme="minorBidi" w:hAnsiTheme="minorBidi" w:cstheme="minorBidi"/>
          <w:snapToGrid/>
          <w:color w:val="000000"/>
          <w:sz w:val="20"/>
          <w:szCs w:val="20"/>
          <w:lang w:val="en-US"/>
        </w:rPr>
        <w:t xml:space="preserve">(GOOS) 2030 Strategy was adopted by the IOC in 2019 and now forms the basis of the work of the GOOS Core Team of panels, expert teams and coordinating groups. In 2020, GOOS published a Roadmap designed to help nations, partners and sponsors envision actions together towards achieving this strategy. Similarly, the ocean data community mobilized to step up its work. In April 2020, as a first step towards the development of Ocean Data and Information System (ODIS), the Ocean </w:t>
      </w:r>
      <w:proofErr w:type="spellStart"/>
      <w:r w:rsidRPr="00E35CD7">
        <w:rPr>
          <w:rFonts w:asciiTheme="minorBidi" w:hAnsiTheme="minorBidi" w:cstheme="minorBidi"/>
          <w:snapToGrid/>
          <w:color w:val="000000"/>
          <w:sz w:val="20"/>
          <w:szCs w:val="20"/>
          <w:lang w:val="en-US"/>
        </w:rPr>
        <w:t>InfoHub</w:t>
      </w:r>
      <w:proofErr w:type="spellEnd"/>
      <w:r w:rsidRPr="00E35CD7">
        <w:rPr>
          <w:rFonts w:asciiTheme="minorBidi" w:hAnsiTheme="minorBidi" w:cstheme="minorBidi"/>
          <w:snapToGrid/>
          <w:color w:val="000000"/>
          <w:sz w:val="20"/>
          <w:szCs w:val="20"/>
          <w:lang w:val="en-US"/>
        </w:rPr>
        <w:t xml:space="preserve"> (OIH) project was launched, funded by the Government of Flanders (Belgium). Its initial focus is on Latin America, </w:t>
      </w:r>
      <w:proofErr w:type="gramStart"/>
      <w:r w:rsidRPr="00E35CD7">
        <w:rPr>
          <w:rFonts w:asciiTheme="minorBidi" w:hAnsiTheme="minorBidi" w:cstheme="minorBidi"/>
          <w:snapToGrid/>
          <w:color w:val="000000"/>
          <w:sz w:val="20"/>
          <w:szCs w:val="20"/>
          <w:lang w:val="en-US"/>
        </w:rPr>
        <w:t>Africa</w:t>
      </w:r>
      <w:proofErr w:type="gramEnd"/>
      <w:r w:rsidRPr="00E35CD7">
        <w:rPr>
          <w:rFonts w:asciiTheme="minorBidi" w:hAnsiTheme="minorBidi" w:cstheme="minorBidi"/>
          <w:snapToGrid/>
          <w:color w:val="000000"/>
          <w:sz w:val="20"/>
          <w:szCs w:val="20"/>
          <w:lang w:val="en-US"/>
        </w:rPr>
        <w:t xml:space="preserve"> and Pacific SIDS. Two other new projects were launched: the Pacific Islands Marine </w:t>
      </w:r>
      <w:proofErr w:type="spellStart"/>
      <w:r w:rsidRPr="00E35CD7">
        <w:rPr>
          <w:rFonts w:asciiTheme="minorBidi" w:hAnsiTheme="minorBidi" w:cstheme="minorBidi"/>
          <w:snapToGrid/>
          <w:color w:val="000000"/>
          <w:sz w:val="20"/>
          <w:szCs w:val="20"/>
          <w:lang w:val="en-US"/>
        </w:rPr>
        <w:t>Bioinvasions</w:t>
      </w:r>
      <w:proofErr w:type="spellEnd"/>
      <w:r w:rsidRPr="00E35CD7">
        <w:rPr>
          <w:rFonts w:asciiTheme="minorBidi" w:hAnsiTheme="minorBidi" w:cstheme="minorBidi"/>
          <w:snapToGrid/>
          <w:color w:val="000000"/>
          <w:sz w:val="20"/>
          <w:szCs w:val="20"/>
          <w:lang w:val="en-US"/>
        </w:rPr>
        <w:t xml:space="preserve"> Alert Network (</w:t>
      </w:r>
      <w:proofErr w:type="spellStart"/>
      <w:r w:rsidRPr="00E35CD7">
        <w:rPr>
          <w:rFonts w:asciiTheme="minorBidi" w:hAnsiTheme="minorBidi" w:cstheme="minorBidi"/>
          <w:snapToGrid/>
          <w:color w:val="000000"/>
          <w:sz w:val="20"/>
          <w:szCs w:val="20"/>
          <w:lang w:val="en-US"/>
        </w:rPr>
        <w:t>PacMAN</w:t>
      </w:r>
      <w:proofErr w:type="spellEnd"/>
      <w:r w:rsidRPr="00E35CD7">
        <w:rPr>
          <w:rFonts w:asciiTheme="minorBidi" w:hAnsiTheme="minorBidi" w:cstheme="minorBidi"/>
          <w:snapToGrid/>
          <w:color w:val="000000"/>
          <w:sz w:val="20"/>
          <w:szCs w:val="20"/>
          <w:lang w:val="en-US"/>
        </w:rPr>
        <w:t xml:space="preserve">) and the </w:t>
      </w:r>
      <w:proofErr w:type="spellStart"/>
      <w:r w:rsidRPr="00E35CD7">
        <w:rPr>
          <w:rFonts w:asciiTheme="minorBidi" w:hAnsiTheme="minorBidi" w:cstheme="minorBidi"/>
          <w:snapToGrid/>
          <w:color w:val="000000"/>
          <w:sz w:val="20"/>
          <w:szCs w:val="20"/>
          <w:lang w:val="en-US"/>
        </w:rPr>
        <w:t>OceanTeacher</w:t>
      </w:r>
      <w:proofErr w:type="spellEnd"/>
      <w:r w:rsidRPr="00E35CD7">
        <w:rPr>
          <w:rFonts w:asciiTheme="minorBidi" w:hAnsiTheme="minorBidi" w:cstheme="minorBidi"/>
          <w:snapToGrid/>
          <w:color w:val="000000"/>
          <w:sz w:val="20"/>
          <w:szCs w:val="20"/>
          <w:lang w:val="en-US"/>
        </w:rPr>
        <w:t xml:space="preserve"> Global Academy 2. The Ocean Biodiversity Information System celebrated its 20th anniversary while continuing to be a broadly cited support to researchers and feeding statistics into global and regional assessments such as those of the United Nations Regular Process (World Ocean Assessment) and the Intergovernmental Platform on Biodiversity and Ecosystem Services (IPBES), as well as the recent IOC led Global Harmful Algal Bloom Status report. Through </w:t>
      </w:r>
      <w:proofErr w:type="spellStart"/>
      <w:r w:rsidRPr="00E35CD7">
        <w:rPr>
          <w:rFonts w:asciiTheme="minorBidi" w:hAnsiTheme="minorBidi" w:cstheme="minorBidi"/>
          <w:snapToGrid/>
          <w:color w:val="000000"/>
          <w:sz w:val="20"/>
          <w:szCs w:val="20"/>
          <w:lang w:val="en-US"/>
        </w:rPr>
        <w:t>PacMAN</w:t>
      </w:r>
      <w:proofErr w:type="spellEnd"/>
      <w:r w:rsidRPr="00E35CD7">
        <w:rPr>
          <w:rFonts w:asciiTheme="minorBidi" w:hAnsiTheme="minorBidi" w:cstheme="minorBidi"/>
          <w:snapToGrid/>
          <w:color w:val="000000"/>
          <w:sz w:val="20"/>
          <w:szCs w:val="20"/>
          <w:lang w:val="en-US"/>
        </w:rPr>
        <w:t xml:space="preserve">, and with support from OBIS, IOC is developing local science-capacity in Pacific SIDS to establish an early-detection/early-warning system of marine invasive species using molecular methods (environmental DNA). </w:t>
      </w:r>
    </w:p>
    <w:p w14:paraId="0CD26474" w14:textId="20AD7076" w:rsidR="009C5BA0" w:rsidRPr="00E35CD7" w:rsidRDefault="009C5BA0"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120. Development and harmonization of </w:t>
      </w:r>
      <w:r w:rsidRPr="00E35CD7">
        <w:rPr>
          <w:rFonts w:asciiTheme="minorBidi" w:hAnsiTheme="minorBidi" w:cstheme="minorBidi"/>
          <w:b/>
          <w:bCs/>
          <w:snapToGrid/>
          <w:color w:val="000000"/>
          <w:sz w:val="20"/>
          <w:szCs w:val="20"/>
          <w:lang w:val="en-US"/>
        </w:rPr>
        <w:t xml:space="preserve">regional tsunami warning systems </w:t>
      </w:r>
      <w:r w:rsidRPr="00E35CD7">
        <w:rPr>
          <w:rFonts w:asciiTheme="minorBidi" w:hAnsiTheme="minorBidi" w:cstheme="minorBidi"/>
          <w:snapToGrid/>
          <w:color w:val="000000"/>
          <w:sz w:val="20"/>
          <w:szCs w:val="20"/>
          <w:lang w:val="en-US"/>
        </w:rPr>
        <w:t>continued to be coordinated by four regional intergovernmental groups (NEAMTWS, CARIBE EWS, PTWS and IOTWMS). One hundred and thirty-nine Member States, of which 28 SIDS and nine African countries, have now established National Tsunami Warning Focal Points/</w:t>
      </w:r>
      <w:proofErr w:type="spellStart"/>
      <w:r w:rsidRPr="00E35CD7">
        <w:rPr>
          <w:rFonts w:asciiTheme="minorBidi" w:hAnsiTheme="minorBidi" w:cstheme="minorBidi"/>
          <w:snapToGrid/>
          <w:color w:val="000000"/>
          <w:sz w:val="20"/>
          <w:szCs w:val="20"/>
          <w:lang w:val="en-US"/>
        </w:rPr>
        <w:t>Centres</w:t>
      </w:r>
      <w:proofErr w:type="spellEnd"/>
      <w:r w:rsidRPr="00E35CD7">
        <w:rPr>
          <w:rFonts w:asciiTheme="minorBidi" w:hAnsiTheme="minorBidi" w:cstheme="minorBidi"/>
          <w:snapToGrid/>
          <w:color w:val="000000"/>
          <w:sz w:val="20"/>
          <w:szCs w:val="20"/>
          <w:lang w:val="en-US"/>
        </w:rPr>
        <w:t xml:space="preserve">. The South China Sea region has now its own dedicated Tsunami Advisory Centre. National Tsunami Warning </w:t>
      </w:r>
      <w:proofErr w:type="spellStart"/>
      <w:r w:rsidRPr="00E35CD7">
        <w:rPr>
          <w:rFonts w:asciiTheme="minorBidi" w:hAnsiTheme="minorBidi" w:cstheme="minorBidi"/>
          <w:snapToGrid/>
          <w:color w:val="000000"/>
          <w:sz w:val="20"/>
          <w:szCs w:val="20"/>
          <w:lang w:val="en-US"/>
        </w:rPr>
        <w:t>Centres</w:t>
      </w:r>
      <w:proofErr w:type="spellEnd"/>
      <w:r w:rsidRPr="00E35CD7">
        <w:rPr>
          <w:rFonts w:asciiTheme="minorBidi" w:hAnsiTheme="minorBidi" w:cstheme="minorBidi"/>
          <w:snapToGrid/>
          <w:color w:val="000000"/>
          <w:sz w:val="20"/>
          <w:szCs w:val="20"/>
          <w:lang w:val="en-US"/>
        </w:rPr>
        <w:t xml:space="preserve"> in France, Greece, Italy, </w:t>
      </w:r>
      <w:proofErr w:type="gramStart"/>
      <w:r w:rsidRPr="00E35CD7">
        <w:rPr>
          <w:rFonts w:asciiTheme="minorBidi" w:hAnsiTheme="minorBidi" w:cstheme="minorBidi"/>
          <w:snapToGrid/>
          <w:color w:val="000000"/>
          <w:sz w:val="20"/>
          <w:szCs w:val="20"/>
          <w:lang w:val="en-US"/>
        </w:rPr>
        <w:t>Portugal</w:t>
      </w:r>
      <w:proofErr w:type="gramEnd"/>
      <w:r w:rsidRPr="00E35CD7">
        <w:rPr>
          <w:rFonts w:asciiTheme="minorBidi" w:hAnsiTheme="minorBidi" w:cstheme="minorBidi"/>
          <w:snapToGrid/>
          <w:color w:val="000000"/>
          <w:sz w:val="20"/>
          <w:szCs w:val="20"/>
          <w:lang w:val="en-US"/>
        </w:rPr>
        <w:t xml:space="preserve"> and Turkey were accredited as regional Tsunami Service Providers. The performance-based community recognition programme Tsunami Ready is now piloted in three regions - Caribbean, Pacific and Indian Ocean - with over 25 communities recognized in 15 countries, including 10 SIDS. The World Tsunami Awareness Days were celebrated. In particular, the November 2020 event, organized in cooperation with UNDRR, featured a 30-day online campaign with the participation of the Director-General of UNESCO. </w:t>
      </w:r>
    </w:p>
    <w:p w14:paraId="7E646903" w14:textId="3B58CDF8" w:rsidR="009C5BA0" w:rsidRPr="00E35CD7" w:rsidRDefault="009C5BA0"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121. IOC continued to focus on </w:t>
      </w:r>
      <w:r w:rsidRPr="00E35CD7">
        <w:rPr>
          <w:rFonts w:asciiTheme="minorBidi" w:hAnsiTheme="minorBidi" w:cstheme="minorBidi"/>
          <w:b/>
          <w:bCs/>
          <w:snapToGrid/>
          <w:color w:val="000000"/>
          <w:sz w:val="20"/>
          <w:szCs w:val="20"/>
          <w:lang w:val="en-US"/>
        </w:rPr>
        <w:t xml:space="preserve">fostering capacities </w:t>
      </w:r>
      <w:r w:rsidRPr="00E35CD7">
        <w:rPr>
          <w:rFonts w:asciiTheme="minorBidi" w:hAnsiTheme="minorBidi" w:cstheme="minorBidi"/>
          <w:snapToGrid/>
          <w:color w:val="000000"/>
          <w:sz w:val="20"/>
          <w:szCs w:val="20"/>
          <w:lang w:val="en-US"/>
        </w:rPr>
        <w:t xml:space="preserve">of its Member States through its Regional Subsidiary Bodies – WESTPAC, IOCARIBE, IOCAFRICA and IOCINDIO – critical in providing strategic and technical support for national and regional Decade activities. To ensure a better-targeted approach, the 2nd Capacity Development Needs Assessment Survey was conducted online in February 2021, resulting in 1005 responses from 118 countries. The 2nd International Indian Ocean Expedition engaged more than 50 African scientists in research cruises organized by South Africa. 16 Ocean Teacher Global Academy (OTGA) </w:t>
      </w:r>
      <w:r w:rsidRPr="00E35CD7">
        <w:rPr>
          <w:rFonts w:asciiTheme="minorBidi" w:hAnsiTheme="minorBidi" w:cstheme="minorBidi"/>
          <w:snapToGrid/>
          <w:color w:val="000000"/>
          <w:sz w:val="20"/>
          <w:szCs w:val="20"/>
          <w:lang w:val="en-US"/>
        </w:rPr>
        <w:lastRenderedPageBreak/>
        <w:t xml:space="preserve">Regional/Specialized Training </w:t>
      </w:r>
      <w:proofErr w:type="spellStart"/>
      <w:r w:rsidRPr="00E35CD7">
        <w:rPr>
          <w:rFonts w:asciiTheme="minorBidi" w:hAnsiTheme="minorBidi" w:cstheme="minorBidi"/>
          <w:snapToGrid/>
          <w:color w:val="000000"/>
          <w:sz w:val="20"/>
          <w:szCs w:val="20"/>
          <w:lang w:val="en-US"/>
        </w:rPr>
        <w:t>Centres</w:t>
      </w:r>
      <w:proofErr w:type="spellEnd"/>
      <w:r w:rsidRPr="00E35CD7">
        <w:rPr>
          <w:rFonts w:asciiTheme="minorBidi" w:hAnsiTheme="minorBidi" w:cstheme="minorBidi"/>
          <w:snapToGrid/>
          <w:color w:val="000000"/>
          <w:sz w:val="20"/>
          <w:szCs w:val="20"/>
          <w:lang w:val="en-US"/>
        </w:rPr>
        <w:t xml:space="preserve">, as well as the WESTPAC Regional Training and Research </w:t>
      </w:r>
      <w:proofErr w:type="spellStart"/>
      <w:r w:rsidRPr="00E35CD7">
        <w:rPr>
          <w:rFonts w:asciiTheme="minorBidi" w:hAnsiTheme="minorBidi" w:cstheme="minorBidi"/>
          <w:snapToGrid/>
          <w:color w:val="000000"/>
          <w:sz w:val="20"/>
          <w:szCs w:val="20"/>
          <w:lang w:val="en-US"/>
        </w:rPr>
        <w:t>Centres</w:t>
      </w:r>
      <w:proofErr w:type="spellEnd"/>
      <w:r w:rsidRPr="00E35CD7">
        <w:rPr>
          <w:rFonts w:asciiTheme="minorBidi" w:hAnsiTheme="minorBidi" w:cstheme="minorBidi"/>
          <w:snapToGrid/>
          <w:color w:val="000000"/>
          <w:sz w:val="20"/>
          <w:szCs w:val="20"/>
          <w:lang w:val="en-US"/>
        </w:rPr>
        <w:t xml:space="preserve"> contributed to substantially raise the level of expertise. Support from NORAD gave a new momentum to IOC’s capacity development efforts and enabled the launch of two projects in Africa: (i) database of training opportunities in Africa (linked to OIH); and (ii) Science for Management in Africa: Building Capacity for Expanding Ocean Acidification Research and Observation, and Detection and Early Warning Systems for Harmful Algae. With the support from NORAD and </w:t>
      </w:r>
      <w:proofErr w:type="spellStart"/>
      <w:r w:rsidRPr="00E35CD7">
        <w:rPr>
          <w:rFonts w:asciiTheme="minorBidi" w:hAnsiTheme="minorBidi" w:cstheme="minorBidi"/>
          <w:snapToGrid/>
          <w:color w:val="000000"/>
          <w:sz w:val="20"/>
          <w:szCs w:val="20"/>
          <w:lang w:val="en-US"/>
        </w:rPr>
        <w:t>AUSAid</w:t>
      </w:r>
      <w:proofErr w:type="spellEnd"/>
      <w:r w:rsidRPr="00E35CD7">
        <w:rPr>
          <w:rFonts w:asciiTheme="minorBidi" w:hAnsiTheme="minorBidi" w:cstheme="minorBidi"/>
          <w:snapToGrid/>
          <w:color w:val="000000"/>
          <w:sz w:val="20"/>
          <w:szCs w:val="20"/>
          <w:lang w:val="en-US"/>
        </w:rPr>
        <w:t xml:space="preserve">, Tsunami Ready recognition processes were triggered in the Caribbean for 6 communities in Barbados, Dominican Republic, Grenada, Jamaica and Trinidad and Tobago. </w:t>
      </w:r>
    </w:p>
    <w:p w14:paraId="2553D0F4" w14:textId="036CB3AC" w:rsidR="009C5BA0" w:rsidRPr="00E35CD7" w:rsidRDefault="009C5BA0"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122. The Ocean Decade Implementation Plan devoted specific attention to </w:t>
      </w:r>
      <w:r w:rsidRPr="00E35CD7">
        <w:rPr>
          <w:rFonts w:asciiTheme="minorBidi" w:hAnsiTheme="minorBidi" w:cstheme="minorBidi"/>
          <w:b/>
          <w:bCs/>
          <w:snapToGrid/>
          <w:color w:val="000000"/>
          <w:sz w:val="20"/>
          <w:szCs w:val="20"/>
          <w:lang w:val="en-US"/>
        </w:rPr>
        <w:t>SIDS</w:t>
      </w:r>
      <w:r w:rsidRPr="00E35CD7">
        <w:rPr>
          <w:rFonts w:asciiTheme="minorBidi" w:hAnsiTheme="minorBidi" w:cstheme="minorBidi"/>
          <w:snapToGrid/>
          <w:color w:val="000000"/>
          <w:sz w:val="20"/>
          <w:szCs w:val="20"/>
          <w:lang w:val="en-US"/>
        </w:rPr>
        <w:t xml:space="preserve">, including the value of </w:t>
      </w:r>
      <w:r w:rsidRPr="00E35CD7">
        <w:rPr>
          <w:rFonts w:asciiTheme="minorBidi" w:hAnsiTheme="minorBidi" w:cstheme="minorBidi"/>
          <w:b/>
          <w:bCs/>
          <w:snapToGrid/>
          <w:color w:val="000000"/>
          <w:sz w:val="20"/>
          <w:szCs w:val="20"/>
          <w:lang w:val="en-US"/>
        </w:rPr>
        <w:t>indigenous knowledge</w:t>
      </w:r>
      <w:r w:rsidRPr="00E35CD7">
        <w:rPr>
          <w:rFonts w:asciiTheme="minorBidi" w:hAnsiTheme="minorBidi" w:cstheme="minorBidi"/>
          <w:snapToGrid/>
          <w:color w:val="000000"/>
          <w:sz w:val="20"/>
          <w:szCs w:val="20"/>
          <w:lang w:val="en-US"/>
        </w:rPr>
        <w:t xml:space="preserve">. Following the positive experience of the first Global Planning Meeting in Copenhagen in May 2019, every regional consultation engaged </w:t>
      </w:r>
      <w:r w:rsidRPr="00E35CD7">
        <w:rPr>
          <w:rFonts w:asciiTheme="minorBidi" w:hAnsiTheme="minorBidi" w:cstheme="minorBidi"/>
          <w:b/>
          <w:bCs/>
          <w:snapToGrid/>
          <w:color w:val="000000"/>
          <w:sz w:val="20"/>
          <w:szCs w:val="20"/>
          <w:lang w:val="en-US"/>
        </w:rPr>
        <w:t>young ocean professionals</w:t>
      </w:r>
      <w:r w:rsidRPr="00E35CD7">
        <w:rPr>
          <w:rFonts w:asciiTheme="minorBidi" w:hAnsiTheme="minorBidi" w:cstheme="minorBidi"/>
          <w:snapToGrid/>
          <w:color w:val="000000"/>
          <w:sz w:val="20"/>
          <w:szCs w:val="20"/>
          <w:lang w:val="en-US"/>
        </w:rPr>
        <w:t xml:space="preserve">. Support provided by the Government of Norway/NORAD in 2020 was critical for further strengthening capacities of Member States and for facilitating the regional coordination for the Decade, including in the Pacific and Caribbean SIDS regions, and for building a global network of Early Career Ocean Professionals. </w:t>
      </w:r>
    </w:p>
    <w:p w14:paraId="1B83F9E2" w14:textId="2D44DC29" w:rsidR="009C5BA0" w:rsidRPr="00E35CD7" w:rsidRDefault="009C5BA0"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123. The Ocean Decade presents a unique opportunity to identify and capitalize on synergies between SDG 5 and SDG 14 and to move from gender-disaggregated assessments within the field of ocean science workforce to a more coherent framework of action. Ocean Decade Virtual Series events were organized with the support of Canada to establish a global community around </w:t>
      </w:r>
      <w:r w:rsidRPr="00E35CD7">
        <w:rPr>
          <w:rFonts w:asciiTheme="minorBidi" w:hAnsiTheme="minorBidi" w:cstheme="minorBidi"/>
          <w:b/>
          <w:bCs/>
          <w:snapToGrid/>
          <w:color w:val="000000"/>
          <w:sz w:val="20"/>
          <w:szCs w:val="20"/>
          <w:lang w:val="en-US"/>
        </w:rPr>
        <w:t>women in ocean science</w:t>
      </w:r>
      <w:r w:rsidRPr="00E35CD7">
        <w:rPr>
          <w:rFonts w:asciiTheme="minorBidi" w:hAnsiTheme="minorBidi" w:cstheme="minorBidi"/>
          <w:snapToGrid/>
          <w:color w:val="000000"/>
          <w:sz w:val="20"/>
          <w:szCs w:val="20"/>
          <w:lang w:val="en-US"/>
        </w:rPr>
        <w:t xml:space="preserve">, and to support and empower them at all levels of their career. Regular assessments of women in ocean science conducted through GOSR publications allow to track change and observe the impacts of new initiatives and gender sensitive strategies. IOC’s future work </w:t>
      </w:r>
      <w:proofErr w:type="gramStart"/>
      <w:r w:rsidRPr="00E35CD7">
        <w:rPr>
          <w:rFonts w:asciiTheme="minorBidi" w:hAnsiTheme="minorBidi" w:cstheme="minorBidi"/>
          <w:snapToGrid/>
          <w:color w:val="000000"/>
          <w:sz w:val="20"/>
          <w:szCs w:val="20"/>
          <w:lang w:val="en-US"/>
        </w:rPr>
        <w:t>in the area of</w:t>
      </w:r>
      <w:proofErr w:type="gramEnd"/>
      <w:r w:rsidRPr="00E35CD7">
        <w:rPr>
          <w:rFonts w:asciiTheme="minorBidi" w:hAnsiTheme="minorBidi" w:cstheme="minorBidi"/>
          <w:snapToGrid/>
          <w:color w:val="000000"/>
          <w:sz w:val="20"/>
          <w:szCs w:val="20"/>
          <w:lang w:val="en-US"/>
        </w:rPr>
        <w:t xml:space="preserve"> gender equality – as well as in many others - will benefit from the recommendations by the IOS Evaluation of the strategic positioning of IOC-UNESCO (IOS/EVS/PI 197 and 212 EX/9). </w:t>
      </w:r>
    </w:p>
    <w:p w14:paraId="31161364" w14:textId="4440AE02" w:rsidR="009C5BA0" w:rsidRPr="00E35CD7" w:rsidRDefault="009C5BA0"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124. To ensure that all nations, in particular SIDS and LDCs, are equipped with tailored ocean science capacities, strong institutions, and ability to develop and use technology and technical design to reap the benefits of the new ocean, IOC-UNESCO is establishing dozens of </w:t>
      </w:r>
      <w:r w:rsidRPr="00E35CD7">
        <w:rPr>
          <w:rFonts w:asciiTheme="minorBidi" w:hAnsiTheme="minorBidi" w:cstheme="minorBidi"/>
          <w:b/>
          <w:bCs/>
          <w:snapToGrid/>
          <w:color w:val="000000"/>
          <w:sz w:val="20"/>
          <w:szCs w:val="20"/>
          <w:lang w:val="en-US"/>
        </w:rPr>
        <w:t>Decade communities of practice</w:t>
      </w:r>
      <w:r w:rsidRPr="00E35CD7">
        <w:rPr>
          <w:rFonts w:asciiTheme="minorBidi" w:hAnsiTheme="minorBidi" w:cstheme="minorBidi"/>
          <w:snapToGrid/>
          <w:color w:val="000000"/>
          <w:sz w:val="20"/>
          <w:szCs w:val="20"/>
          <w:lang w:val="en-US"/>
        </w:rPr>
        <w:t xml:space="preserve">. Agreements developed with the Pacific Community (SPC) and the Indian Ocean Rim Association (IORA) are meant to ensure powerful and self-driven development of unique regional perspectives. The establishment of a dedicated network of philanthropic organizations, bringing together 20 international foundations is part of the resource mobilization for the Decade aimed at </w:t>
      </w:r>
      <w:proofErr w:type="gramStart"/>
      <w:r w:rsidRPr="00E35CD7">
        <w:rPr>
          <w:rFonts w:asciiTheme="minorBidi" w:hAnsiTheme="minorBidi" w:cstheme="minorBidi"/>
          <w:snapToGrid/>
          <w:color w:val="000000"/>
          <w:sz w:val="20"/>
          <w:szCs w:val="20"/>
          <w:lang w:val="en-US"/>
        </w:rPr>
        <w:t>opening up</w:t>
      </w:r>
      <w:proofErr w:type="gramEnd"/>
      <w:r w:rsidRPr="00E35CD7">
        <w:rPr>
          <w:rFonts w:asciiTheme="minorBidi" w:hAnsiTheme="minorBidi" w:cstheme="minorBidi"/>
          <w:snapToGrid/>
          <w:color w:val="000000"/>
          <w:sz w:val="20"/>
          <w:szCs w:val="20"/>
          <w:lang w:val="en-US"/>
        </w:rPr>
        <w:t xml:space="preserve"> better coordinated and larger funding streams from philanthropy and the private sector. The Ocean Decade Alliance is taking shape with world leaders and countries joining. The early private sector champions of the Ocean Decade are already contributing through the development of new partnerships with FUGRO (world leader in geo-surveying) </w:t>
      </w:r>
      <w:proofErr w:type="gramStart"/>
      <w:r w:rsidRPr="00E35CD7">
        <w:rPr>
          <w:rFonts w:asciiTheme="minorBidi" w:hAnsiTheme="minorBidi" w:cstheme="minorBidi"/>
          <w:snapToGrid/>
          <w:color w:val="000000"/>
          <w:sz w:val="20"/>
          <w:szCs w:val="20"/>
          <w:lang w:val="en-US"/>
        </w:rPr>
        <w:t>in the area of</w:t>
      </w:r>
      <w:proofErr w:type="gramEnd"/>
      <w:r w:rsidRPr="00E35CD7">
        <w:rPr>
          <w:rFonts w:asciiTheme="minorBidi" w:hAnsiTheme="minorBidi" w:cstheme="minorBidi"/>
          <w:snapToGrid/>
          <w:color w:val="000000"/>
          <w:sz w:val="20"/>
          <w:szCs w:val="20"/>
          <w:lang w:val="en-US"/>
        </w:rPr>
        <w:t xml:space="preserve"> ocean data, </w:t>
      </w:r>
      <w:proofErr w:type="spellStart"/>
      <w:r w:rsidRPr="00E35CD7">
        <w:rPr>
          <w:rFonts w:asciiTheme="minorBidi" w:hAnsiTheme="minorBidi" w:cstheme="minorBidi"/>
          <w:snapToGrid/>
          <w:color w:val="000000"/>
          <w:sz w:val="20"/>
          <w:szCs w:val="20"/>
          <w:lang w:val="en-US"/>
        </w:rPr>
        <w:t>Panerai</w:t>
      </w:r>
      <w:proofErr w:type="spellEnd"/>
      <w:r w:rsidRPr="00E35CD7">
        <w:rPr>
          <w:rFonts w:asciiTheme="minorBidi" w:hAnsiTheme="minorBidi" w:cstheme="minorBidi"/>
          <w:snapToGrid/>
          <w:color w:val="000000"/>
          <w:sz w:val="20"/>
          <w:szCs w:val="20"/>
          <w:lang w:val="en-US"/>
        </w:rPr>
        <w:t xml:space="preserve"> in the area of ocean literacy, and with the AXA Ocean Research Fund in support of Decade actions towards improving coastal resilience. </w:t>
      </w:r>
    </w:p>
    <w:p w14:paraId="36F2B753" w14:textId="77777777" w:rsidR="009C5BA0" w:rsidRPr="00E35CD7" w:rsidRDefault="009C5BA0"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125. With the support of the Swedish Government, IOC has launched the </w:t>
      </w:r>
      <w:r w:rsidRPr="00E35CD7">
        <w:rPr>
          <w:rFonts w:asciiTheme="minorBidi" w:hAnsiTheme="minorBidi" w:cstheme="minorBidi"/>
          <w:b/>
          <w:bCs/>
          <w:snapToGrid/>
          <w:color w:val="000000"/>
          <w:sz w:val="20"/>
          <w:szCs w:val="20"/>
          <w:lang w:val="en-US"/>
        </w:rPr>
        <w:t xml:space="preserve">Ocean Literacy Platform </w:t>
      </w:r>
      <w:r w:rsidRPr="00E35CD7">
        <w:rPr>
          <w:rFonts w:asciiTheme="minorBidi" w:hAnsiTheme="minorBidi" w:cstheme="minorBidi"/>
          <w:snapToGrid/>
          <w:color w:val="000000"/>
          <w:sz w:val="20"/>
          <w:szCs w:val="20"/>
          <w:lang w:val="en-US"/>
        </w:rPr>
        <w:t xml:space="preserve">and produced a toolkit which was tested through the </w:t>
      </w:r>
      <w:proofErr w:type="spellStart"/>
      <w:r w:rsidRPr="00E35CD7">
        <w:rPr>
          <w:rFonts w:asciiTheme="minorBidi" w:hAnsiTheme="minorBidi" w:cstheme="minorBidi"/>
          <w:snapToGrid/>
          <w:color w:val="000000"/>
          <w:sz w:val="20"/>
          <w:szCs w:val="20"/>
          <w:lang w:val="en-US"/>
        </w:rPr>
        <w:t>ASPNet</w:t>
      </w:r>
      <w:proofErr w:type="spellEnd"/>
      <w:r w:rsidRPr="00E35CD7">
        <w:rPr>
          <w:rFonts w:asciiTheme="minorBidi" w:hAnsiTheme="minorBidi" w:cstheme="minorBidi"/>
          <w:snapToGrid/>
          <w:color w:val="000000"/>
          <w:sz w:val="20"/>
          <w:szCs w:val="20"/>
          <w:lang w:val="en-US"/>
        </w:rPr>
        <w:t xml:space="preserve"> in schools in 36 countries. In June 2021 the IOC Assembly in endorsed the IOC Ocean Literacy Strategy in support of the United Nations Ocean Science Decade. At a first meeting in November 2020, IOC Chair, staff, and experts of the STAB of the 2001 Convention on the Protection of the Underwater Cultural Heritage, agreed to work together in the development of a strategic framework identifying priority actions for the underwater cultural heritage community, which can inspire and stimulate “Decade Actions”. </w:t>
      </w:r>
    </w:p>
    <w:p w14:paraId="359E52E9" w14:textId="3092FF2D" w:rsidR="00615F33" w:rsidRPr="00E35CD7" w:rsidRDefault="00615F33"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w:t>
      </w:r>
    </w:p>
    <w:p w14:paraId="67C495A5" w14:textId="576D2368" w:rsidR="008C15AF" w:rsidRPr="00E35CD7" w:rsidRDefault="008B4407" w:rsidP="00E35CD7">
      <w:pPr>
        <w:tabs>
          <w:tab w:val="clear" w:pos="567"/>
        </w:tabs>
        <w:autoSpaceDE w:val="0"/>
        <w:autoSpaceDN w:val="0"/>
        <w:adjustRightInd w:val="0"/>
        <w:snapToGrid/>
        <w:spacing w:after="160"/>
        <w:jc w:val="both"/>
        <w:rPr>
          <w:rFonts w:asciiTheme="minorBidi" w:hAnsiTheme="minorBidi" w:cstheme="minorBidi"/>
          <w:b/>
          <w:bCs/>
          <w:snapToGrid/>
          <w:color w:val="000000"/>
          <w:sz w:val="20"/>
          <w:szCs w:val="20"/>
          <w:lang w:val="en-US"/>
        </w:rPr>
      </w:pPr>
      <w:r w:rsidRPr="00E35CD7">
        <w:rPr>
          <w:rFonts w:asciiTheme="minorBidi" w:hAnsiTheme="minorBidi" w:cstheme="minorBidi"/>
          <w:b/>
          <w:bCs/>
          <w:snapToGrid/>
          <w:color w:val="000000"/>
          <w:sz w:val="20"/>
          <w:szCs w:val="20"/>
          <w:lang w:val="en-US"/>
        </w:rPr>
        <w:t xml:space="preserve">Global </w:t>
      </w:r>
      <w:r w:rsidR="008C15AF" w:rsidRPr="00E35CD7">
        <w:rPr>
          <w:rFonts w:asciiTheme="minorBidi" w:hAnsiTheme="minorBidi" w:cstheme="minorBidi"/>
          <w:b/>
          <w:bCs/>
          <w:snapToGrid/>
          <w:color w:val="000000"/>
          <w:sz w:val="20"/>
          <w:szCs w:val="20"/>
          <w:lang w:val="en-US"/>
        </w:rPr>
        <w:t>Priority Africa</w:t>
      </w:r>
    </w:p>
    <w:p w14:paraId="56B757E1" w14:textId="0D3CE096" w:rsidR="008C15AF" w:rsidRPr="00E35CD7" w:rsidRDefault="008C15AF" w:rsidP="00E35CD7">
      <w:pPr>
        <w:tabs>
          <w:tab w:val="clear" w:pos="567"/>
        </w:tabs>
        <w:autoSpaceDE w:val="0"/>
        <w:autoSpaceDN w:val="0"/>
        <w:adjustRightInd w:val="0"/>
        <w:snapToGrid/>
        <w:spacing w:after="160"/>
        <w:jc w:val="both"/>
        <w:rPr>
          <w:rFonts w:asciiTheme="minorBidi" w:hAnsiTheme="minorBidi" w:cstheme="minorBidi"/>
          <w:b/>
          <w:bCs/>
          <w:i/>
          <w:snapToGrid/>
          <w:color w:val="000000"/>
          <w:sz w:val="20"/>
          <w:szCs w:val="20"/>
          <w:lang w:val="en-US"/>
        </w:rPr>
      </w:pPr>
      <w:r w:rsidRPr="00E35CD7">
        <w:rPr>
          <w:rFonts w:asciiTheme="minorBidi" w:hAnsiTheme="minorBidi" w:cstheme="minorBidi"/>
          <w:b/>
          <w:bCs/>
          <w:i/>
          <w:iCs/>
          <w:sz w:val="20"/>
          <w:szCs w:val="20"/>
        </w:rPr>
        <w:t>Flagship 4: Fostering science for the sustainable management of Africa’s natural resources and disaster risk reduction</w:t>
      </w:r>
    </w:p>
    <w:p w14:paraId="01BA160F" w14:textId="74E38EFE" w:rsidR="008C15AF" w:rsidRPr="00E35CD7" w:rsidRDefault="008C15AF"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310. Capacity development in marine science and technology continues to be the key focus for the IOC’s Sub-Commission for Africa and the Adjacent States, with three regional training </w:t>
      </w:r>
      <w:proofErr w:type="spellStart"/>
      <w:r w:rsidRPr="00E35CD7">
        <w:rPr>
          <w:rFonts w:asciiTheme="minorBidi" w:hAnsiTheme="minorBidi" w:cstheme="minorBidi"/>
          <w:snapToGrid/>
          <w:color w:val="000000"/>
          <w:sz w:val="20"/>
          <w:szCs w:val="20"/>
          <w:lang w:val="en-US"/>
        </w:rPr>
        <w:t>centres</w:t>
      </w:r>
      <w:proofErr w:type="spellEnd"/>
      <w:r w:rsidRPr="00E35CD7">
        <w:rPr>
          <w:rFonts w:asciiTheme="minorBidi" w:hAnsiTheme="minorBidi" w:cstheme="minorBidi"/>
          <w:snapToGrid/>
          <w:color w:val="000000"/>
          <w:sz w:val="20"/>
          <w:szCs w:val="20"/>
          <w:lang w:val="en-US"/>
        </w:rPr>
        <w:t xml:space="preserve"> established within the framework of the Ocean Teacher Academy (OTGA) programme in Kenya, </w:t>
      </w:r>
      <w:proofErr w:type="gramStart"/>
      <w:r w:rsidRPr="00E35CD7">
        <w:rPr>
          <w:rFonts w:asciiTheme="minorBidi" w:hAnsiTheme="minorBidi" w:cstheme="minorBidi"/>
          <w:snapToGrid/>
          <w:color w:val="000000"/>
          <w:sz w:val="20"/>
          <w:szCs w:val="20"/>
          <w:lang w:val="en-US"/>
        </w:rPr>
        <w:t>Mozambique</w:t>
      </w:r>
      <w:proofErr w:type="gramEnd"/>
      <w:r w:rsidRPr="00E35CD7">
        <w:rPr>
          <w:rFonts w:asciiTheme="minorBidi" w:hAnsiTheme="minorBidi" w:cstheme="minorBidi"/>
          <w:snapToGrid/>
          <w:color w:val="000000"/>
          <w:sz w:val="20"/>
          <w:szCs w:val="20"/>
          <w:lang w:val="en-US"/>
        </w:rPr>
        <w:t xml:space="preserve"> and Senegal. The </w:t>
      </w:r>
      <w:proofErr w:type="spellStart"/>
      <w:r w:rsidRPr="00E35CD7">
        <w:rPr>
          <w:rFonts w:asciiTheme="minorBidi" w:hAnsiTheme="minorBidi" w:cstheme="minorBidi"/>
          <w:snapToGrid/>
          <w:color w:val="000000"/>
          <w:sz w:val="20"/>
          <w:szCs w:val="20"/>
          <w:lang w:val="en-US"/>
        </w:rPr>
        <w:t>centres</w:t>
      </w:r>
      <w:proofErr w:type="spellEnd"/>
      <w:r w:rsidRPr="00E35CD7">
        <w:rPr>
          <w:rFonts w:asciiTheme="minorBidi" w:hAnsiTheme="minorBidi" w:cstheme="minorBidi"/>
          <w:snapToGrid/>
          <w:color w:val="000000"/>
          <w:sz w:val="20"/>
          <w:szCs w:val="20"/>
          <w:lang w:val="en-US"/>
        </w:rPr>
        <w:t xml:space="preserve"> organized 12 training courses, attended by more than 250 trainees from 27 countries. The availability of the OTGA e-learning platform allowed a quick re-orientation and organization of online courses as from mid-2020. </w:t>
      </w:r>
    </w:p>
    <w:p w14:paraId="5AECDE1E" w14:textId="4983C861" w:rsidR="008C15AF" w:rsidRPr="00E35CD7" w:rsidRDefault="008C15AF"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311. The Second International Indian Ocean Expedition (2015-2020) offered an excellent opportunity for the Member States from the region to strengthen their ocean observations capabilities. The Government of South Africa provided its oceanographic research vessel, the SA Agulhas II, for two cruises, enabling participation of </w:t>
      </w:r>
      <w:r w:rsidRPr="00E35CD7">
        <w:rPr>
          <w:rFonts w:asciiTheme="minorBidi" w:hAnsiTheme="minorBidi" w:cstheme="minorBidi"/>
          <w:snapToGrid/>
          <w:color w:val="000000"/>
          <w:sz w:val="20"/>
          <w:szCs w:val="20"/>
          <w:lang w:val="en-US"/>
        </w:rPr>
        <w:lastRenderedPageBreak/>
        <w:t xml:space="preserve">more than 50 marine scientists and students from Comoros, Egypt, Kenya, Madagascar, Mozambique, Nigeria, and the United Republic of Tanzania. Two online training workshops on Understanding the Benefits of Operational Ocean and Forecasting Systems (“Awareness Workshop” and on Implementing an Operational Ocean Monitoring and Forecasting Systems (“Hands-on Workshop”) were organized in June 2021. Operational Ocean Monitoring and Forecasting System products benefit maritime navigation, </w:t>
      </w:r>
      <w:proofErr w:type="spellStart"/>
      <w:r w:rsidRPr="00E35CD7">
        <w:rPr>
          <w:rFonts w:asciiTheme="minorBidi" w:hAnsiTheme="minorBidi" w:cstheme="minorBidi"/>
          <w:snapToGrid/>
          <w:color w:val="000000"/>
          <w:sz w:val="20"/>
          <w:szCs w:val="20"/>
          <w:lang w:val="en-US"/>
        </w:rPr>
        <w:t>harbour</w:t>
      </w:r>
      <w:proofErr w:type="spellEnd"/>
      <w:r w:rsidRPr="00E35CD7">
        <w:rPr>
          <w:rFonts w:asciiTheme="minorBidi" w:hAnsiTheme="minorBidi" w:cstheme="minorBidi"/>
          <w:snapToGrid/>
          <w:color w:val="000000"/>
          <w:sz w:val="20"/>
          <w:szCs w:val="20"/>
          <w:lang w:val="en-US"/>
        </w:rPr>
        <w:t xml:space="preserve"> management, search and rescue, coastal disaster risk reduction, coastal environmental management, oil spill response and management, as well as blue economy activities. The two trainings attracted 65 participants from Africa. </w:t>
      </w:r>
    </w:p>
    <w:p w14:paraId="5D5CFE5A" w14:textId="77777777" w:rsidR="008C15AF" w:rsidRPr="00E35CD7" w:rsidRDefault="008C15AF"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312. Five regional workshops on Marine Spatial Planning in English, French and Portuguese were attended by more than 200 participants from 20 Member States. These were followed by a series of national marine spatial planning workshops in Cameroun, Comoros, Gabon, Ghana, Kenya, Madagascar, Mauritius, Morocco, </w:t>
      </w:r>
      <w:proofErr w:type="gramStart"/>
      <w:r w:rsidRPr="00E35CD7">
        <w:rPr>
          <w:rFonts w:asciiTheme="minorBidi" w:hAnsiTheme="minorBidi" w:cstheme="minorBidi"/>
          <w:snapToGrid/>
          <w:color w:val="000000"/>
          <w:sz w:val="20"/>
          <w:szCs w:val="20"/>
          <w:lang w:val="en-US"/>
        </w:rPr>
        <w:t>Mozambique</w:t>
      </w:r>
      <w:proofErr w:type="gramEnd"/>
      <w:r w:rsidRPr="00E35CD7">
        <w:rPr>
          <w:rFonts w:asciiTheme="minorBidi" w:hAnsiTheme="minorBidi" w:cstheme="minorBidi"/>
          <w:snapToGrid/>
          <w:color w:val="000000"/>
          <w:sz w:val="20"/>
          <w:szCs w:val="20"/>
          <w:lang w:val="en-US"/>
        </w:rPr>
        <w:t xml:space="preserve"> and Tanzania, with the financial support from Sweden. Case studies on Gender and Poverty perspectives in Marine Spatial Planning were undertaken in Kenya, </w:t>
      </w:r>
      <w:proofErr w:type="gramStart"/>
      <w:r w:rsidRPr="00E35CD7">
        <w:rPr>
          <w:rFonts w:asciiTheme="minorBidi" w:hAnsiTheme="minorBidi" w:cstheme="minorBidi"/>
          <w:snapToGrid/>
          <w:color w:val="000000"/>
          <w:sz w:val="20"/>
          <w:szCs w:val="20"/>
          <w:lang w:val="en-US"/>
        </w:rPr>
        <w:t>Madagascar</w:t>
      </w:r>
      <w:proofErr w:type="gramEnd"/>
      <w:r w:rsidRPr="00E35CD7">
        <w:rPr>
          <w:rFonts w:asciiTheme="minorBidi" w:hAnsiTheme="minorBidi" w:cstheme="minorBidi"/>
          <w:snapToGrid/>
          <w:color w:val="000000"/>
          <w:sz w:val="20"/>
          <w:szCs w:val="20"/>
          <w:lang w:val="en-US"/>
        </w:rPr>
        <w:t xml:space="preserve"> and Tanzania. A technical workshop on coastal vulnerability in Libreville, Gabon, in November 2019, with experts from Angola, Cameroon, Congo, Equatorial Guinea, Gabon, Democratic Republic of Congo, and Sao Tome and Principe, laid the foundation for developing a sub-regional coastal vulnerability project. Spain-funded project focused on assessing the effects of climate change and ocean stressors on the natural dynamics of the Canary Current. It involved scientists from Cabo Verde, Gambia, Guinea, Guinea-Bissau, Mauritania, Morocco, </w:t>
      </w:r>
      <w:proofErr w:type="gramStart"/>
      <w:r w:rsidRPr="00E35CD7">
        <w:rPr>
          <w:rFonts w:asciiTheme="minorBidi" w:hAnsiTheme="minorBidi" w:cstheme="minorBidi"/>
          <w:snapToGrid/>
          <w:color w:val="000000"/>
          <w:sz w:val="20"/>
          <w:szCs w:val="20"/>
          <w:lang w:val="en-US"/>
        </w:rPr>
        <w:t>Senegal</w:t>
      </w:r>
      <w:proofErr w:type="gramEnd"/>
      <w:r w:rsidRPr="00E35CD7">
        <w:rPr>
          <w:rFonts w:asciiTheme="minorBidi" w:hAnsiTheme="minorBidi" w:cstheme="minorBidi"/>
          <w:snapToGrid/>
          <w:color w:val="000000"/>
          <w:sz w:val="20"/>
          <w:szCs w:val="20"/>
          <w:lang w:val="en-US"/>
        </w:rPr>
        <w:t xml:space="preserve"> and Spain (Canary Islands), with a strong participation of female and early career ocean scientists. </w:t>
      </w:r>
    </w:p>
    <w:p w14:paraId="2FFDEDA2" w14:textId="419DDB60" w:rsidR="008C15AF" w:rsidRPr="00E35CD7" w:rsidRDefault="008C15AF"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313. The development of the African regional node for the Ocean Information Hub (OIH) started with the stakeholders’ workshop in June 2020, attended by more than 100 participants. IOC developed and updated six thematic databases: Experts and Institutions; Training and Research Opportunities; Document and Best Practices; Spatial Data and Maps; Ocean Observation Platforms in Africa; and Marine Related Projects in Africa. </w:t>
      </w:r>
    </w:p>
    <w:p w14:paraId="3B922E01" w14:textId="730DE33A" w:rsidR="008C15AF" w:rsidRPr="00E35CD7" w:rsidRDefault="008C15AF"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314. Under the framework of the IOC/UNESCO Indian Ocean Tsunami Warning and Mitigation System (IOTWMS), Comoros, Kenya, Madagascar, Mauritius, Mozambique, Seychelles, South </w:t>
      </w:r>
      <w:proofErr w:type="gramStart"/>
      <w:r w:rsidRPr="00E35CD7">
        <w:rPr>
          <w:rFonts w:asciiTheme="minorBidi" w:hAnsiTheme="minorBidi" w:cstheme="minorBidi"/>
          <w:snapToGrid/>
          <w:color w:val="000000"/>
          <w:sz w:val="20"/>
          <w:szCs w:val="20"/>
          <w:lang w:val="en-US"/>
        </w:rPr>
        <w:t>Africa</w:t>
      </w:r>
      <w:proofErr w:type="gramEnd"/>
      <w:r w:rsidRPr="00E35CD7">
        <w:rPr>
          <w:rFonts w:asciiTheme="minorBidi" w:hAnsiTheme="minorBidi" w:cstheme="minorBidi"/>
          <w:snapToGrid/>
          <w:color w:val="000000"/>
          <w:sz w:val="20"/>
          <w:szCs w:val="20"/>
          <w:lang w:val="en-US"/>
        </w:rPr>
        <w:t xml:space="preserve"> and United Republic of Tanzania received training coordinated by IOC and tsunami threat information provided by three designated Tsunami Service Providers (Australia, India, and Indonesia). Three initiatives deserve </w:t>
      </w:r>
      <w:proofErr w:type="gramStart"/>
      <w:r w:rsidRPr="00E35CD7">
        <w:rPr>
          <w:rFonts w:asciiTheme="minorBidi" w:hAnsiTheme="minorBidi" w:cstheme="minorBidi"/>
          <w:snapToGrid/>
          <w:color w:val="000000"/>
          <w:sz w:val="20"/>
          <w:szCs w:val="20"/>
          <w:lang w:val="en-US"/>
        </w:rPr>
        <w:t>particular mention</w:t>
      </w:r>
      <w:proofErr w:type="gramEnd"/>
      <w:r w:rsidRPr="00E35CD7">
        <w:rPr>
          <w:rFonts w:asciiTheme="minorBidi" w:hAnsiTheme="minorBidi" w:cstheme="minorBidi"/>
          <w:snapToGrid/>
          <w:color w:val="000000"/>
          <w:sz w:val="20"/>
          <w:szCs w:val="20"/>
          <w:lang w:val="en-US"/>
        </w:rPr>
        <w:t xml:space="preserve">. Capacity assessment of tsunami preparedness provided a benchmark of the </w:t>
      </w:r>
      <w:proofErr w:type="gramStart"/>
      <w:r w:rsidRPr="00E35CD7">
        <w:rPr>
          <w:rFonts w:asciiTheme="minorBidi" w:hAnsiTheme="minorBidi" w:cstheme="minorBidi"/>
          <w:snapToGrid/>
          <w:color w:val="000000"/>
          <w:sz w:val="20"/>
          <w:szCs w:val="20"/>
          <w:lang w:val="en-US"/>
        </w:rPr>
        <w:t>current status</w:t>
      </w:r>
      <w:proofErr w:type="gramEnd"/>
      <w:r w:rsidRPr="00E35CD7">
        <w:rPr>
          <w:rFonts w:asciiTheme="minorBidi" w:hAnsiTheme="minorBidi" w:cstheme="minorBidi"/>
          <w:snapToGrid/>
          <w:color w:val="000000"/>
          <w:sz w:val="20"/>
          <w:szCs w:val="20"/>
          <w:lang w:val="en-US"/>
        </w:rPr>
        <w:t xml:space="preserve"> of tsunami warning and mitigation systems, identifying gaps, and prioritizing capacity development needs in 20 Member States across the Indian Ocean (including Kenya, Madagascar, Mauritius, Mozambique and United Republic of Tanzania). All African Member States bordering the Indian Ocean, except Somalia, participated in IOWave18 and </w:t>
      </w:r>
      <w:proofErr w:type="spellStart"/>
      <w:r w:rsidRPr="00E35CD7">
        <w:rPr>
          <w:rFonts w:asciiTheme="minorBidi" w:hAnsiTheme="minorBidi" w:cstheme="minorBidi"/>
          <w:snapToGrid/>
          <w:color w:val="000000"/>
          <w:sz w:val="20"/>
          <w:szCs w:val="20"/>
          <w:lang w:val="en-US"/>
        </w:rPr>
        <w:t>IOWave</w:t>
      </w:r>
      <w:proofErr w:type="spellEnd"/>
      <w:r w:rsidRPr="00E35CD7">
        <w:rPr>
          <w:rFonts w:asciiTheme="minorBidi" w:hAnsiTheme="minorBidi" w:cstheme="minorBidi"/>
          <w:snapToGrid/>
          <w:color w:val="000000"/>
          <w:sz w:val="20"/>
          <w:szCs w:val="20"/>
          <w:lang w:val="en-US"/>
        </w:rPr>
        <w:t xml:space="preserve"> 20 tsunami exercises. United Republic of Tanzania, Kenya, </w:t>
      </w:r>
      <w:proofErr w:type="gramStart"/>
      <w:r w:rsidRPr="00E35CD7">
        <w:rPr>
          <w:rFonts w:asciiTheme="minorBidi" w:hAnsiTheme="minorBidi" w:cstheme="minorBidi"/>
          <w:snapToGrid/>
          <w:color w:val="000000"/>
          <w:sz w:val="20"/>
          <w:szCs w:val="20"/>
          <w:lang w:val="en-US"/>
        </w:rPr>
        <w:t>Mauritius</w:t>
      </w:r>
      <w:proofErr w:type="gramEnd"/>
      <w:r w:rsidRPr="00E35CD7">
        <w:rPr>
          <w:rFonts w:asciiTheme="minorBidi" w:hAnsiTheme="minorBidi" w:cstheme="minorBidi"/>
          <w:snapToGrid/>
          <w:color w:val="000000"/>
          <w:sz w:val="20"/>
          <w:szCs w:val="20"/>
          <w:lang w:val="en-US"/>
        </w:rPr>
        <w:t xml:space="preserve"> and Seychelles also conducted community evacuations as part of the drill for IOWAVE18. Despite the COVID-19 pandemic, Kenya, Mauritius, </w:t>
      </w:r>
      <w:proofErr w:type="gramStart"/>
      <w:r w:rsidRPr="00E35CD7">
        <w:rPr>
          <w:rFonts w:asciiTheme="minorBidi" w:hAnsiTheme="minorBidi" w:cstheme="minorBidi"/>
          <w:snapToGrid/>
          <w:color w:val="000000"/>
          <w:sz w:val="20"/>
          <w:szCs w:val="20"/>
          <w:lang w:val="en-US"/>
        </w:rPr>
        <w:t>Mozambique</w:t>
      </w:r>
      <w:proofErr w:type="gramEnd"/>
      <w:r w:rsidRPr="00E35CD7">
        <w:rPr>
          <w:rFonts w:asciiTheme="minorBidi" w:hAnsiTheme="minorBidi" w:cstheme="minorBidi"/>
          <w:snapToGrid/>
          <w:color w:val="000000"/>
          <w:sz w:val="20"/>
          <w:szCs w:val="20"/>
          <w:lang w:val="en-US"/>
        </w:rPr>
        <w:t xml:space="preserve"> and Seychelles managed to also involve local communities in IOWave2020. Representatives from Comoros, Kenya, Mozambique, Mauritius, Seychelles, South Africa, and United Republic of Tanzania participated in various meetings and training workshops (Tsunami Ready, evacuation planning, </w:t>
      </w:r>
      <w:proofErr w:type="spellStart"/>
      <w:r w:rsidRPr="00E35CD7">
        <w:rPr>
          <w:rFonts w:asciiTheme="minorBidi" w:hAnsiTheme="minorBidi" w:cstheme="minorBidi"/>
          <w:snapToGrid/>
          <w:color w:val="000000"/>
          <w:sz w:val="20"/>
          <w:szCs w:val="20"/>
          <w:lang w:val="en-US"/>
        </w:rPr>
        <w:t>Palu</w:t>
      </w:r>
      <w:proofErr w:type="spellEnd"/>
      <w:r w:rsidRPr="00E35CD7">
        <w:rPr>
          <w:rFonts w:asciiTheme="minorBidi" w:hAnsiTheme="minorBidi" w:cstheme="minorBidi"/>
          <w:snapToGrid/>
          <w:color w:val="000000"/>
          <w:sz w:val="20"/>
          <w:szCs w:val="20"/>
          <w:lang w:val="en-US"/>
        </w:rPr>
        <w:t xml:space="preserve"> &amp; </w:t>
      </w:r>
      <w:proofErr w:type="spellStart"/>
      <w:r w:rsidRPr="00E35CD7">
        <w:rPr>
          <w:rFonts w:asciiTheme="minorBidi" w:hAnsiTheme="minorBidi" w:cstheme="minorBidi"/>
          <w:snapToGrid/>
          <w:color w:val="000000"/>
          <w:sz w:val="20"/>
          <w:szCs w:val="20"/>
          <w:lang w:val="en-US"/>
        </w:rPr>
        <w:t>Sunda</w:t>
      </w:r>
      <w:proofErr w:type="spellEnd"/>
      <w:r w:rsidRPr="00E35CD7">
        <w:rPr>
          <w:rFonts w:asciiTheme="minorBidi" w:hAnsiTheme="minorBidi" w:cstheme="minorBidi"/>
          <w:snapToGrid/>
          <w:color w:val="000000"/>
          <w:sz w:val="20"/>
          <w:szCs w:val="20"/>
          <w:lang w:val="en-US"/>
        </w:rPr>
        <w:t xml:space="preserve"> Strait Symposium, tsunami warning chains and critical infrastructure, intersessional working </w:t>
      </w:r>
      <w:proofErr w:type="gramStart"/>
      <w:r w:rsidRPr="00E35CD7">
        <w:rPr>
          <w:rFonts w:asciiTheme="minorBidi" w:hAnsiTheme="minorBidi" w:cstheme="minorBidi"/>
          <w:snapToGrid/>
          <w:color w:val="000000"/>
          <w:sz w:val="20"/>
          <w:szCs w:val="20"/>
          <w:lang w:val="en-US"/>
        </w:rPr>
        <w:t>group</w:t>
      </w:r>
      <w:proofErr w:type="gramEnd"/>
      <w:r w:rsidRPr="00E35CD7">
        <w:rPr>
          <w:rFonts w:asciiTheme="minorBidi" w:hAnsiTheme="minorBidi" w:cstheme="minorBidi"/>
          <w:snapToGrid/>
          <w:color w:val="000000"/>
          <w:sz w:val="20"/>
          <w:szCs w:val="20"/>
          <w:lang w:val="en-US"/>
        </w:rPr>
        <w:t xml:space="preserve"> and task team meetings). </w:t>
      </w:r>
    </w:p>
    <w:p w14:paraId="71FBA125" w14:textId="1DF374CC" w:rsidR="008C15AF" w:rsidRPr="00E35CD7" w:rsidRDefault="008C15AF"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315. Under the framework of the IOC/UNESCO Tsunami Early Warning and Mitigation System in the North-eastern Atlantic, the Mediterranean and connected seas (NEAMTWS), a workshop on Preparing for the Next Tsunami: Reducing Losses and Damages in the Coastal Western Mediterranean Areas was held in Rabat, Morocco, in November 2018. Two online workshops were organized by the National Institute of Oceanography and Fisheries (NIOF) in 2020 and 2021 in Cairo, Egypt to commemorate the World Tsunami Awareness Day. Morocco and Egypt participated in the NEAMWave21 tsunami exercise in March 2021 and in the online kick-off workshop of the new IOC EU ECHO NEAMTWS “</w:t>
      </w:r>
      <w:proofErr w:type="spellStart"/>
      <w:r w:rsidRPr="00E35CD7">
        <w:rPr>
          <w:rFonts w:asciiTheme="minorBidi" w:hAnsiTheme="minorBidi" w:cstheme="minorBidi"/>
          <w:snapToGrid/>
          <w:color w:val="000000"/>
          <w:sz w:val="20"/>
          <w:szCs w:val="20"/>
          <w:lang w:val="en-US"/>
        </w:rPr>
        <w:t>CoastWAVE</w:t>
      </w:r>
      <w:proofErr w:type="spellEnd"/>
      <w:r w:rsidRPr="00E35CD7">
        <w:rPr>
          <w:rFonts w:asciiTheme="minorBidi" w:hAnsiTheme="minorBidi" w:cstheme="minorBidi"/>
          <w:snapToGrid/>
          <w:color w:val="000000"/>
          <w:sz w:val="20"/>
          <w:szCs w:val="20"/>
          <w:lang w:val="en-US"/>
        </w:rPr>
        <w:t xml:space="preserve"> project’ in December 2021. Both countries are direct beneficiaries of the new EU-funded project and one of the project aims is to establish Tsunami Ready recognized community in Alexandria (Egypt) and El </w:t>
      </w:r>
      <w:proofErr w:type="spellStart"/>
      <w:r w:rsidRPr="00E35CD7">
        <w:rPr>
          <w:rFonts w:asciiTheme="minorBidi" w:hAnsiTheme="minorBidi" w:cstheme="minorBidi"/>
          <w:snapToGrid/>
          <w:color w:val="000000"/>
          <w:sz w:val="20"/>
          <w:szCs w:val="20"/>
          <w:lang w:val="en-US"/>
        </w:rPr>
        <w:t>Jadida</w:t>
      </w:r>
      <w:proofErr w:type="spellEnd"/>
      <w:r w:rsidRPr="00E35CD7">
        <w:rPr>
          <w:rFonts w:asciiTheme="minorBidi" w:hAnsiTheme="minorBidi" w:cstheme="minorBidi"/>
          <w:snapToGrid/>
          <w:color w:val="000000"/>
          <w:sz w:val="20"/>
          <w:szCs w:val="20"/>
          <w:lang w:val="en-US"/>
        </w:rPr>
        <w:t xml:space="preserve"> (Morocco) by end of 2023. </w:t>
      </w:r>
    </w:p>
    <w:p w14:paraId="295789FA" w14:textId="7D12396C" w:rsidR="008C15AF" w:rsidRPr="00E35CD7" w:rsidRDefault="008C15AF" w:rsidP="00E35CD7">
      <w:pPr>
        <w:tabs>
          <w:tab w:val="clear" w:pos="567"/>
        </w:tabs>
        <w:autoSpaceDE w:val="0"/>
        <w:autoSpaceDN w:val="0"/>
        <w:adjustRightInd w:val="0"/>
        <w:snapToGrid/>
        <w:spacing w:after="160"/>
        <w:jc w:val="both"/>
        <w:rPr>
          <w:rFonts w:asciiTheme="minorBidi" w:hAnsiTheme="minorBidi" w:cstheme="minorBidi"/>
          <w:b/>
          <w:bCs/>
          <w:snapToGrid/>
          <w:color w:val="000000"/>
          <w:sz w:val="20"/>
          <w:szCs w:val="20"/>
          <w:lang w:val="en-US"/>
        </w:rPr>
      </w:pPr>
      <w:r w:rsidRPr="00E35CD7">
        <w:rPr>
          <w:rFonts w:asciiTheme="minorBidi" w:hAnsiTheme="minorBidi" w:cstheme="minorBidi"/>
          <w:snapToGrid/>
          <w:color w:val="000000"/>
          <w:sz w:val="20"/>
          <w:szCs w:val="20"/>
          <w:lang w:val="en-US"/>
        </w:rPr>
        <w:t xml:space="preserve">316. Building on the outcomes of the workshop “the Regional Consultation workshop for the United Nations Decade of Ocean Science for Sustainable Development 2021-2030 for Africa and the Adjacent Islands States” held in Nairobi, Kenya, January 2020, IOC, in collaboration with the Western Indian Ocean Marine Science Association (WIOMSA), undertook a Regional Gap Analysis from July-December 2021 to develop a participatory, succinct statement of the priority needs for Africa under the Ocean Decade and identify the key barriers, opportunities and actions to meet those needs. The results of the Regional Gap Analysis will be validated and presented to the African Regional Kick-Off Conference for the United Nations Decade of Ocean Science, organized by IOC and the Government of </w:t>
      </w:r>
      <w:proofErr w:type="gramStart"/>
      <w:r w:rsidRPr="00E35CD7">
        <w:rPr>
          <w:rFonts w:asciiTheme="minorBidi" w:hAnsiTheme="minorBidi" w:cstheme="minorBidi"/>
          <w:snapToGrid/>
          <w:color w:val="000000"/>
          <w:sz w:val="20"/>
          <w:szCs w:val="20"/>
          <w:lang w:val="en-US"/>
        </w:rPr>
        <w:t>Egypt</w:t>
      </w:r>
      <w:proofErr w:type="gramEnd"/>
      <w:r w:rsidRPr="00E35CD7">
        <w:rPr>
          <w:rFonts w:asciiTheme="minorBidi" w:hAnsiTheme="minorBidi" w:cstheme="minorBidi"/>
          <w:snapToGrid/>
          <w:color w:val="000000"/>
          <w:sz w:val="20"/>
          <w:szCs w:val="20"/>
          <w:lang w:val="en-US"/>
        </w:rPr>
        <w:t xml:space="preserve"> and scheduled for May 2022</w:t>
      </w:r>
      <w:r w:rsidR="00C51DE8" w:rsidRPr="00E35CD7">
        <w:rPr>
          <w:rFonts w:asciiTheme="minorBidi" w:hAnsiTheme="minorBidi" w:cstheme="minorBidi"/>
          <w:snapToGrid/>
          <w:color w:val="000000"/>
          <w:sz w:val="20"/>
          <w:szCs w:val="20"/>
          <w:lang w:val="en-US"/>
        </w:rPr>
        <w:t>.</w:t>
      </w:r>
    </w:p>
    <w:p w14:paraId="3F275D58" w14:textId="252608F2" w:rsidR="008C15AF" w:rsidRPr="00E35CD7" w:rsidRDefault="00615F33" w:rsidP="008C15AF">
      <w:pPr>
        <w:tabs>
          <w:tab w:val="clear" w:pos="567"/>
        </w:tabs>
        <w:autoSpaceDE w:val="0"/>
        <w:autoSpaceDN w:val="0"/>
        <w:adjustRightInd w:val="0"/>
        <w:snapToGrid/>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w:t>
      </w:r>
    </w:p>
    <w:p w14:paraId="3482D6D4" w14:textId="794ADA5D" w:rsidR="008B4407" w:rsidRPr="00E35CD7" w:rsidRDefault="008B4407" w:rsidP="008C15AF">
      <w:pPr>
        <w:tabs>
          <w:tab w:val="clear" w:pos="567"/>
        </w:tabs>
        <w:autoSpaceDE w:val="0"/>
        <w:autoSpaceDN w:val="0"/>
        <w:adjustRightInd w:val="0"/>
        <w:snapToGrid/>
        <w:jc w:val="both"/>
        <w:rPr>
          <w:rFonts w:asciiTheme="minorBidi" w:hAnsiTheme="minorBidi" w:cstheme="minorBidi"/>
          <w:b/>
          <w:sz w:val="20"/>
          <w:szCs w:val="20"/>
        </w:rPr>
      </w:pPr>
      <w:r w:rsidRPr="00E35CD7">
        <w:rPr>
          <w:rFonts w:asciiTheme="minorBidi" w:hAnsiTheme="minorBidi" w:cstheme="minorBidi"/>
          <w:b/>
          <w:sz w:val="20"/>
          <w:szCs w:val="20"/>
        </w:rPr>
        <w:lastRenderedPageBreak/>
        <w:t>Global Priority Gender Equality</w:t>
      </w:r>
    </w:p>
    <w:p w14:paraId="16866F9F" w14:textId="77777777" w:rsidR="008B4407" w:rsidRPr="00E35CD7" w:rsidRDefault="008B4407" w:rsidP="008C15AF">
      <w:pPr>
        <w:tabs>
          <w:tab w:val="clear" w:pos="567"/>
        </w:tabs>
        <w:autoSpaceDE w:val="0"/>
        <w:autoSpaceDN w:val="0"/>
        <w:adjustRightInd w:val="0"/>
        <w:snapToGrid/>
        <w:jc w:val="both"/>
        <w:rPr>
          <w:rFonts w:asciiTheme="minorBidi" w:hAnsiTheme="minorBidi" w:cstheme="minorBidi"/>
          <w:sz w:val="20"/>
          <w:szCs w:val="20"/>
        </w:rPr>
      </w:pPr>
    </w:p>
    <w:p w14:paraId="5B654B67" w14:textId="35703440" w:rsidR="008C15AF" w:rsidRPr="00E35CD7" w:rsidRDefault="008B4407" w:rsidP="00E35CD7">
      <w:pPr>
        <w:tabs>
          <w:tab w:val="clear" w:pos="567"/>
        </w:tabs>
        <w:autoSpaceDE w:val="0"/>
        <w:autoSpaceDN w:val="0"/>
        <w:adjustRightInd w:val="0"/>
        <w:snapToGrid/>
        <w:spacing w:after="160"/>
        <w:jc w:val="both"/>
        <w:rPr>
          <w:rFonts w:asciiTheme="minorBidi" w:hAnsiTheme="minorBidi" w:cstheme="minorBidi"/>
          <w:b/>
          <w:bCs/>
          <w:snapToGrid/>
          <w:color w:val="000000"/>
          <w:sz w:val="20"/>
          <w:szCs w:val="20"/>
          <w:lang w:val="en-US"/>
        </w:rPr>
      </w:pPr>
      <w:r w:rsidRPr="00E35CD7">
        <w:rPr>
          <w:rFonts w:asciiTheme="minorBidi" w:hAnsiTheme="minorBidi" w:cstheme="minorBidi"/>
          <w:sz w:val="20"/>
          <w:szCs w:val="20"/>
        </w:rPr>
        <w:t xml:space="preserve">336. </w:t>
      </w:r>
      <w:r w:rsidR="008C15AF" w:rsidRPr="00E35CD7">
        <w:rPr>
          <w:rFonts w:asciiTheme="minorBidi" w:hAnsiTheme="minorBidi" w:cstheme="minorBidi"/>
          <w:sz w:val="20"/>
          <w:szCs w:val="20"/>
        </w:rPr>
        <w:t xml:space="preserve">The </w:t>
      </w:r>
      <w:r w:rsidR="008C15AF" w:rsidRPr="00E35CD7">
        <w:rPr>
          <w:rFonts w:asciiTheme="minorBidi" w:hAnsiTheme="minorBidi" w:cstheme="minorBidi"/>
          <w:color w:val="0000FF"/>
          <w:sz w:val="20"/>
          <w:szCs w:val="20"/>
        </w:rPr>
        <w:t xml:space="preserve">Global Ocean Science Report </w:t>
      </w:r>
      <w:r w:rsidR="008C15AF" w:rsidRPr="00E35CD7">
        <w:rPr>
          <w:rFonts w:asciiTheme="minorBidi" w:hAnsiTheme="minorBidi" w:cstheme="minorBidi"/>
          <w:sz w:val="20"/>
          <w:szCs w:val="20"/>
        </w:rPr>
        <w:t xml:space="preserve">(2020) revealed that 38.6% of total </w:t>
      </w:r>
      <w:r w:rsidR="008C15AF" w:rsidRPr="00E35CD7">
        <w:rPr>
          <w:rFonts w:asciiTheme="minorBidi" w:hAnsiTheme="minorBidi" w:cstheme="minorBidi"/>
          <w:bCs/>
          <w:sz w:val="20"/>
          <w:szCs w:val="20"/>
        </w:rPr>
        <w:t>ocean science</w:t>
      </w:r>
      <w:r w:rsidR="008C15AF" w:rsidRPr="00E35CD7">
        <w:rPr>
          <w:rFonts w:asciiTheme="minorBidi" w:hAnsiTheme="minorBidi" w:cstheme="minorBidi"/>
          <w:b/>
          <w:bCs/>
          <w:sz w:val="20"/>
          <w:szCs w:val="20"/>
        </w:rPr>
        <w:t xml:space="preserve"> </w:t>
      </w:r>
      <w:r w:rsidR="008C15AF" w:rsidRPr="00E35CD7">
        <w:rPr>
          <w:rFonts w:asciiTheme="minorBidi" w:hAnsiTheme="minorBidi" w:cstheme="minorBidi"/>
          <w:sz w:val="20"/>
          <w:szCs w:val="20"/>
        </w:rPr>
        <w:t>researchers are women, about 10% higher than the share of female researchers in natural science overall. Challenges remain, particularly when it comes to encouraging women in ocean science leadership and in overcoming the underrepresentation of women in the highly technical categories of ocean science. The United Nations Decade of Ocean Science for Sustainable Development (2021-2030) presents a unique opportunity for action to address these challenges.</w:t>
      </w:r>
    </w:p>
    <w:p w14:paraId="3714851D" w14:textId="4F6024E9" w:rsidR="008C15AF" w:rsidRPr="00E35CD7" w:rsidRDefault="00615F33"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w:t>
      </w:r>
    </w:p>
    <w:p w14:paraId="5042BE86" w14:textId="77777777" w:rsidR="008C15AF" w:rsidRPr="00E35CD7" w:rsidRDefault="008C15AF" w:rsidP="00E35CD7">
      <w:pPr>
        <w:tabs>
          <w:tab w:val="clear" w:pos="567"/>
        </w:tabs>
        <w:autoSpaceDE w:val="0"/>
        <w:autoSpaceDN w:val="0"/>
        <w:adjustRightInd w:val="0"/>
        <w:snapToGrid/>
        <w:spacing w:after="160"/>
        <w:jc w:val="both"/>
        <w:rPr>
          <w:rFonts w:asciiTheme="minorBidi" w:hAnsiTheme="minorBidi" w:cstheme="minorBidi"/>
          <w:b/>
          <w:bCs/>
          <w:i/>
          <w:iCs/>
          <w:snapToGrid/>
          <w:color w:val="000000"/>
          <w:sz w:val="20"/>
          <w:szCs w:val="20"/>
          <w:lang w:val="en-US"/>
        </w:rPr>
      </w:pPr>
      <w:r w:rsidRPr="00E35CD7">
        <w:rPr>
          <w:rFonts w:asciiTheme="minorBidi" w:hAnsiTheme="minorBidi" w:cstheme="minorBidi"/>
          <w:b/>
          <w:bCs/>
          <w:i/>
          <w:iCs/>
          <w:snapToGrid/>
          <w:color w:val="000000"/>
          <w:sz w:val="20"/>
          <w:szCs w:val="20"/>
          <w:lang w:val="en-US"/>
        </w:rPr>
        <w:t xml:space="preserve">Key achievements in addressing COVID-19 related challenges </w:t>
      </w:r>
    </w:p>
    <w:p w14:paraId="662C8315" w14:textId="77777777" w:rsidR="008C15AF" w:rsidRPr="00E35CD7" w:rsidRDefault="008C15AF"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126. IOC ocean observation related activities were particularly challenged during the pandemic because of cancelled research cruises, lack of maintenance of observing equipment, reduction in staff and in operational budgets. However, IOC succeeded in adapting its working methods including through: (i) preparation of guidelines for tsunami warning services, evacuation and sheltering during COVID-19 and (ii) survey on the impact assessment of COVID-19 pandemic on Seismic Tide Gauge and </w:t>
      </w:r>
      <w:proofErr w:type="spellStart"/>
      <w:r w:rsidRPr="00E35CD7">
        <w:rPr>
          <w:rFonts w:asciiTheme="minorBidi" w:hAnsiTheme="minorBidi" w:cstheme="minorBidi"/>
          <w:snapToGrid/>
          <w:color w:val="000000"/>
          <w:sz w:val="20"/>
          <w:szCs w:val="20"/>
          <w:lang w:val="en-US"/>
        </w:rPr>
        <w:t>Tsunameter</w:t>
      </w:r>
      <w:proofErr w:type="spellEnd"/>
      <w:r w:rsidRPr="00E35CD7">
        <w:rPr>
          <w:rFonts w:asciiTheme="minorBidi" w:hAnsiTheme="minorBidi" w:cstheme="minorBidi"/>
          <w:snapToGrid/>
          <w:color w:val="000000"/>
          <w:sz w:val="20"/>
          <w:szCs w:val="20"/>
          <w:lang w:val="en-US"/>
        </w:rPr>
        <w:t xml:space="preserve"> Networks and operations of Tsunami Service Providers. The availability of the </w:t>
      </w:r>
      <w:proofErr w:type="spellStart"/>
      <w:r w:rsidRPr="00E35CD7">
        <w:rPr>
          <w:rFonts w:asciiTheme="minorBidi" w:hAnsiTheme="minorBidi" w:cstheme="minorBidi"/>
          <w:snapToGrid/>
          <w:color w:val="000000"/>
          <w:sz w:val="20"/>
          <w:szCs w:val="20"/>
          <w:lang w:val="en-US"/>
        </w:rPr>
        <w:t>OceanTeacher</w:t>
      </w:r>
      <w:proofErr w:type="spellEnd"/>
      <w:r w:rsidRPr="00E35CD7">
        <w:rPr>
          <w:rFonts w:asciiTheme="minorBidi" w:hAnsiTheme="minorBidi" w:cstheme="minorBidi"/>
          <w:snapToGrid/>
          <w:color w:val="000000"/>
          <w:sz w:val="20"/>
          <w:szCs w:val="20"/>
          <w:lang w:val="en-US"/>
        </w:rPr>
        <w:t xml:space="preserve"> Global Academy e-learning platform allowed a quick re-orientation and organization of online courses as from June 2020, thus maintaining the IOC capacity development efforts at the planned level. IOC Regional Subsidiary Bodies demonstrated their adaptability by continuously advancing marine science development and cooperation among Member States in different regions. Some of the major United Nations meetings had to be postponed to the end of 2021 or even 2022, as is the case of the second United Nations Conference on the Ocean and International Ocean Data Conference 2022. </w:t>
      </w:r>
    </w:p>
    <w:p w14:paraId="23CE1B9F" w14:textId="77777777" w:rsidR="008C15AF" w:rsidRPr="00E35CD7" w:rsidRDefault="008C15AF" w:rsidP="00E35CD7">
      <w:pPr>
        <w:tabs>
          <w:tab w:val="clear" w:pos="567"/>
        </w:tabs>
        <w:autoSpaceDE w:val="0"/>
        <w:autoSpaceDN w:val="0"/>
        <w:adjustRightInd w:val="0"/>
        <w:snapToGrid/>
        <w:spacing w:after="160"/>
        <w:jc w:val="both"/>
        <w:rPr>
          <w:rFonts w:asciiTheme="minorBidi" w:hAnsiTheme="minorBidi" w:cstheme="minorBidi"/>
          <w:b/>
          <w:bCs/>
          <w:snapToGrid/>
          <w:color w:val="000000"/>
          <w:sz w:val="20"/>
          <w:szCs w:val="20"/>
          <w:lang w:val="en-US"/>
        </w:rPr>
      </w:pPr>
      <w:r w:rsidRPr="00E35CD7">
        <w:rPr>
          <w:rFonts w:asciiTheme="minorBidi" w:hAnsiTheme="minorBidi" w:cstheme="minorBidi"/>
          <w:b/>
          <w:bCs/>
          <w:snapToGrid/>
          <w:color w:val="000000"/>
          <w:sz w:val="20"/>
          <w:szCs w:val="20"/>
          <w:lang w:val="en-US"/>
        </w:rPr>
        <w:t xml:space="preserve">Funds mobilized and major partnerships established </w:t>
      </w:r>
    </w:p>
    <w:p w14:paraId="4F18D47A" w14:textId="77777777" w:rsidR="008C15AF" w:rsidRPr="00E35CD7" w:rsidRDefault="008C15AF"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127. The global and regional consultations held during the quadrennium for the elaboration of the Ocean Decade Implementation Plan offered the opportunity to the IOC to reinforce existing and establish new partnerships with United Nations agencies, bilateral and intergovernmental regional partners, philanthropic organizations, the private sector as well as the civil society. It also led to the creation of the Ocean Decade Alliance. Reinforced partnership with long-term bilateral donors, including through lightly earmarked funding, for example from NORAD, were pivotal for the Commission to deliver against its commitments and expectations by the Member States. </w:t>
      </w:r>
    </w:p>
    <w:p w14:paraId="327601C7" w14:textId="77777777" w:rsidR="008C15AF" w:rsidRPr="00E35CD7" w:rsidRDefault="008C15AF"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128. Inter-agency cooperation was strengthened </w:t>
      </w:r>
      <w:proofErr w:type="gramStart"/>
      <w:r w:rsidRPr="00E35CD7">
        <w:rPr>
          <w:rFonts w:asciiTheme="minorBidi" w:hAnsiTheme="minorBidi" w:cstheme="minorBidi"/>
          <w:snapToGrid/>
          <w:color w:val="000000"/>
          <w:sz w:val="20"/>
          <w:szCs w:val="20"/>
          <w:lang w:val="en-US"/>
        </w:rPr>
        <w:t>in particular with</w:t>
      </w:r>
      <w:proofErr w:type="gramEnd"/>
      <w:r w:rsidRPr="00E35CD7">
        <w:rPr>
          <w:rFonts w:asciiTheme="minorBidi" w:hAnsiTheme="minorBidi" w:cstheme="minorBidi"/>
          <w:snapToGrid/>
          <w:color w:val="000000"/>
          <w:sz w:val="20"/>
          <w:szCs w:val="20"/>
          <w:lang w:val="en-US"/>
        </w:rPr>
        <w:t xml:space="preserve"> DOALOS, IMO, WMO, FAO, UNEP, UNDP UNFCCC, UNDRR, WHO, IAEA, IUCN. For example, successful delivery of climate and operational services was ensured in close cooperation with WMO; cooperation with the Global Environmental Facility (GEF), UNDP and UNEP continued </w:t>
      </w:r>
      <w:proofErr w:type="gramStart"/>
      <w:r w:rsidRPr="00E35CD7">
        <w:rPr>
          <w:rFonts w:asciiTheme="minorBidi" w:hAnsiTheme="minorBidi" w:cstheme="minorBidi"/>
          <w:snapToGrid/>
          <w:color w:val="000000"/>
          <w:sz w:val="20"/>
          <w:szCs w:val="20"/>
          <w:lang w:val="en-US"/>
        </w:rPr>
        <w:t>successfully</w:t>
      </w:r>
      <w:proofErr w:type="gramEnd"/>
      <w:r w:rsidRPr="00E35CD7">
        <w:rPr>
          <w:rFonts w:asciiTheme="minorBidi" w:hAnsiTheme="minorBidi" w:cstheme="minorBidi"/>
          <w:snapToGrid/>
          <w:color w:val="000000"/>
          <w:sz w:val="20"/>
          <w:szCs w:val="20"/>
          <w:lang w:val="en-US"/>
        </w:rPr>
        <w:t xml:space="preserve"> and IOC was entrusted to deliver two GEF Large Marine Ecosystems projects (Black Sea and Sargasso Sea). A tripartite agreement was concluded with IAEA, FAO and WHO on Ciguatera Poisoning. </w:t>
      </w:r>
    </w:p>
    <w:p w14:paraId="4C0548F2" w14:textId="77777777" w:rsidR="008C15AF" w:rsidRPr="00E35CD7" w:rsidRDefault="008C15AF" w:rsidP="00E35CD7">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 xml:space="preserve">129. Capacity development and work at field level continued to be facilitated by IOC Regional Subsidiary Bodies as well as the OTGA Regional Training </w:t>
      </w:r>
      <w:proofErr w:type="spellStart"/>
      <w:r w:rsidRPr="00E35CD7">
        <w:rPr>
          <w:rFonts w:asciiTheme="minorBidi" w:hAnsiTheme="minorBidi" w:cstheme="minorBidi"/>
          <w:snapToGrid/>
          <w:color w:val="000000"/>
          <w:sz w:val="20"/>
          <w:szCs w:val="20"/>
          <w:lang w:val="en-US"/>
        </w:rPr>
        <w:t>Centres</w:t>
      </w:r>
      <w:proofErr w:type="spellEnd"/>
      <w:r w:rsidRPr="00E35CD7">
        <w:rPr>
          <w:rFonts w:asciiTheme="minorBidi" w:hAnsiTheme="minorBidi" w:cstheme="minorBidi"/>
          <w:snapToGrid/>
          <w:color w:val="000000"/>
          <w:sz w:val="20"/>
          <w:szCs w:val="20"/>
          <w:lang w:val="en-US"/>
        </w:rPr>
        <w:t xml:space="preserve"> and OTGA Specialized Training </w:t>
      </w:r>
      <w:proofErr w:type="spellStart"/>
      <w:r w:rsidRPr="00E35CD7">
        <w:rPr>
          <w:rFonts w:asciiTheme="minorBidi" w:hAnsiTheme="minorBidi" w:cstheme="minorBidi"/>
          <w:snapToGrid/>
          <w:color w:val="000000"/>
          <w:sz w:val="20"/>
          <w:szCs w:val="20"/>
          <w:lang w:val="en-US"/>
        </w:rPr>
        <w:t>Centres</w:t>
      </w:r>
      <w:proofErr w:type="spellEnd"/>
      <w:r w:rsidRPr="00E35CD7">
        <w:rPr>
          <w:rFonts w:asciiTheme="minorBidi" w:hAnsiTheme="minorBidi" w:cstheme="minorBidi"/>
          <w:snapToGrid/>
          <w:color w:val="000000"/>
          <w:sz w:val="20"/>
          <w:szCs w:val="20"/>
          <w:lang w:val="en-US"/>
        </w:rPr>
        <w:t xml:space="preserve">, and the WESTPAC Regional Training and Research </w:t>
      </w:r>
      <w:proofErr w:type="spellStart"/>
      <w:r w:rsidRPr="00E35CD7">
        <w:rPr>
          <w:rFonts w:asciiTheme="minorBidi" w:hAnsiTheme="minorBidi" w:cstheme="minorBidi"/>
          <w:snapToGrid/>
          <w:color w:val="000000"/>
          <w:sz w:val="20"/>
          <w:szCs w:val="20"/>
          <w:lang w:val="en-US"/>
        </w:rPr>
        <w:t>Centres</w:t>
      </w:r>
      <w:proofErr w:type="spellEnd"/>
      <w:r w:rsidRPr="00E35CD7">
        <w:rPr>
          <w:rFonts w:asciiTheme="minorBidi" w:hAnsiTheme="minorBidi" w:cstheme="minorBidi"/>
          <w:snapToGrid/>
          <w:color w:val="000000"/>
          <w:sz w:val="20"/>
          <w:szCs w:val="20"/>
          <w:lang w:val="en-US"/>
        </w:rPr>
        <w:t xml:space="preserve">. In the IOCINDIO region the two category 2 </w:t>
      </w:r>
      <w:proofErr w:type="spellStart"/>
      <w:r w:rsidRPr="00E35CD7">
        <w:rPr>
          <w:rFonts w:asciiTheme="minorBidi" w:hAnsiTheme="minorBidi" w:cstheme="minorBidi"/>
          <w:snapToGrid/>
          <w:color w:val="000000"/>
          <w:sz w:val="20"/>
          <w:szCs w:val="20"/>
          <w:lang w:val="en-US"/>
        </w:rPr>
        <w:t>centres</w:t>
      </w:r>
      <w:proofErr w:type="spellEnd"/>
      <w:r w:rsidRPr="00E35CD7">
        <w:rPr>
          <w:rFonts w:asciiTheme="minorBidi" w:hAnsiTheme="minorBidi" w:cstheme="minorBidi"/>
          <w:snapToGrid/>
          <w:color w:val="000000"/>
          <w:sz w:val="20"/>
          <w:szCs w:val="20"/>
          <w:lang w:val="en-US"/>
        </w:rPr>
        <w:t xml:space="preserve">, in Iran and in India, provided valuable contributions and ensure regional ownership of programmes. Cooperation at regional level, mainly in IOCARIBE and IOCAFRICA, was increased </w:t>
      </w:r>
      <w:proofErr w:type="gramStart"/>
      <w:r w:rsidRPr="00E35CD7">
        <w:rPr>
          <w:rFonts w:asciiTheme="minorBidi" w:hAnsiTheme="minorBidi" w:cstheme="minorBidi"/>
          <w:snapToGrid/>
          <w:color w:val="000000"/>
          <w:sz w:val="20"/>
          <w:szCs w:val="20"/>
          <w:lang w:val="en-US"/>
        </w:rPr>
        <w:t>in the area of</w:t>
      </w:r>
      <w:proofErr w:type="gramEnd"/>
      <w:r w:rsidRPr="00E35CD7">
        <w:rPr>
          <w:rFonts w:asciiTheme="minorBidi" w:hAnsiTheme="minorBidi" w:cstheme="minorBidi"/>
          <w:snapToGrid/>
          <w:color w:val="000000"/>
          <w:sz w:val="20"/>
          <w:szCs w:val="20"/>
          <w:lang w:val="en-US"/>
        </w:rPr>
        <w:t xml:space="preserve"> ocean mapping through the GEBCO Seabed 2030 project. Cooperation with Prada and </w:t>
      </w:r>
      <w:proofErr w:type="spellStart"/>
      <w:r w:rsidRPr="00E35CD7">
        <w:rPr>
          <w:rFonts w:asciiTheme="minorBidi" w:hAnsiTheme="minorBidi" w:cstheme="minorBidi"/>
          <w:snapToGrid/>
          <w:color w:val="000000"/>
          <w:sz w:val="20"/>
          <w:szCs w:val="20"/>
          <w:lang w:val="en-US"/>
        </w:rPr>
        <w:t>Panerai</w:t>
      </w:r>
      <w:proofErr w:type="spellEnd"/>
      <w:r w:rsidRPr="00E35CD7">
        <w:rPr>
          <w:rFonts w:asciiTheme="minorBidi" w:hAnsiTheme="minorBidi" w:cstheme="minorBidi"/>
          <w:snapToGrid/>
          <w:color w:val="000000"/>
          <w:sz w:val="20"/>
          <w:szCs w:val="20"/>
          <w:lang w:val="en-US"/>
        </w:rPr>
        <w:t xml:space="preserve"> were critical to the progress in Ocean Literacy and a new partnership with the European Commission will allow new achievements in 2022. </w:t>
      </w:r>
    </w:p>
    <w:p w14:paraId="5C415070" w14:textId="77B60447" w:rsidR="009C5BA0" w:rsidRPr="00E35CD7" w:rsidRDefault="009C5BA0" w:rsidP="00E35CD7">
      <w:pPr>
        <w:tabs>
          <w:tab w:val="clear" w:pos="567"/>
        </w:tabs>
        <w:autoSpaceDE w:val="0"/>
        <w:autoSpaceDN w:val="0"/>
        <w:adjustRightInd w:val="0"/>
        <w:snapToGrid/>
        <w:spacing w:after="160"/>
        <w:jc w:val="both"/>
        <w:rPr>
          <w:rFonts w:asciiTheme="minorBidi" w:hAnsiTheme="minorBidi" w:cstheme="minorBidi"/>
          <w:b/>
          <w:bCs/>
          <w:snapToGrid/>
          <w:color w:val="000000"/>
          <w:sz w:val="20"/>
          <w:szCs w:val="20"/>
          <w:lang w:val="en-US"/>
        </w:rPr>
      </w:pPr>
      <w:r w:rsidRPr="00E35CD7">
        <w:rPr>
          <w:rFonts w:asciiTheme="minorBidi" w:hAnsiTheme="minorBidi" w:cstheme="minorBidi"/>
          <w:b/>
          <w:bCs/>
          <w:snapToGrid/>
          <w:color w:val="000000"/>
          <w:sz w:val="20"/>
          <w:szCs w:val="20"/>
          <w:lang w:val="en-US"/>
        </w:rPr>
        <w:t xml:space="preserve">Major challenges and remedial actions (other than those related to the COVID-19 pandemic) </w:t>
      </w:r>
    </w:p>
    <w:p w14:paraId="12A66110" w14:textId="5C300BB6" w:rsidR="008B4407" w:rsidRPr="00E35CD7" w:rsidRDefault="009C5BA0" w:rsidP="00E35CD7">
      <w:pPr>
        <w:pStyle w:val="Marge"/>
        <w:spacing w:after="160"/>
        <w:rPr>
          <w:rFonts w:asciiTheme="minorBidi" w:eastAsia="SimSun" w:hAnsiTheme="minorBidi" w:cstheme="minorBidi"/>
          <w:snapToGrid/>
          <w:color w:val="000000"/>
          <w:sz w:val="20"/>
          <w:szCs w:val="20"/>
          <w:lang w:val="en-US" w:eastAsia="zh-CN"/>
        </w:rPr>
      </w:pPr>
      <w:r w:rsidRPr="00E35CD7">
        <w:rPr>
          <w:rFonts w:asciiTheme="minorBidi" w:eastAsia="SimSun" w:hAnsiTheme="minorBidi" w:cstheme="minorBidi"/>
          <w:snapToGrid/>
          <w:color w:val="000000"/>
          <w:sz w:val="20"/>
          <w:szCs w:val="20"/>
          <w:lang w:val="en-US" w:eastAsia="zh-CN"/>
        </w:rPr>
        <w:t xml:space="preserve">130. The preparatory effort for the Ocean Decade, as well as the increased global recognition of the importance of IOC’s work for advancing sustainable ocean management, increased substantially the workload of the IOC staff, impacting its capacity to deliver on core programmes. Key strategic partnerships will need to be reinforced and new ones established, including in the context of the Ocean Decade Alliance. Having acquired a leadership position in the United Nations on ocean-related issues, with a clear role as the provider of ocean science for agencies’ agendas, there is a need to strengthen our capacities as the Decade’s coordinating entity through active resource </w:t>
      </w:r>
      <w:proofErr w:type="spellStart"/>
      <w:r w:rsidRPr="00E35CD7">
        <w:rPr>
          <w:rFonts w:asciiTheme="minorBidi" w:eastAsia="SimSun" w:hAnsiTheme="minorBidi" w:cstheme="minorBidi"/>
          <w:snapToGrid/>
          <w:color w:val="000000"/>
          <w:sz w:val="20"/>
          <w:szCs w:val="20"/>
          <w:lang w:val="en-US" w:eastAsia="zh-CN"/>
        </w:rPr>
        <w:t>mobilisation</w:t>
      </w:r>
      <w:proofErr w:type="spellEnd"/>
      <w:r w:rsidRPr="00E35CD7">
        <w:rPr>
          <w:rFonts w:asciiTheme="minorBidi" w:eastAsia="SimSun" w:hAnsiTheme="minorBidi" w:cstheme="minorBidi"/>
          <w:snapToGrid/>
          <w:color w:val="000000"/>
          <w:sz w:val="20"/>
          <w:szCs w:val="20"/>
          <w:lang w:val="en-US" w:eastAsia="zh-CN"/>
        </w:rPr>
        <w:t>. Such trends will continue to be observed during the implementation of the 41 C/5.</w:t>
      </w:r>
    </w:p>
    <w:p w14:paraId="3A3E3CB4" w14:textId="77777777" w:rsidR="008B4407" w:rsidRDefault="008B4407">
      <w:pPr>
        <w:tabs>
          <w:tab w:val="clear" w:pos="567"/>
        </w:tabs>
        <w:snapToGrid/>
        <w:rPr>
          <w:rFonts w:ascii="Arial" w:hAnsi="Arial" w:cs="Arial"/>
          <w:snapToGrid/>
          <w:color w:val="000000"/>
          <w:sz w:val="22"/>
          <w:szCs w:val="22"/>
          <w:lang w:val="en-US"/>
        </w:rPr>
      </w:pPr>
      <w:r>
        <w:rPr>
          <w:rFonts w:ascii="Arial" w:hAnsi="Arial" w:cs="Arial"/>
          <w:snapToGrid/>
          <w:color w:val="000000"/>
          <w:sz w:val="22"/>
          <w:szCs w:val="22"/>
          <w:lang w:val="en-US"/>
        </w:rPr>
        <w:br w:type="page"/>
      </w:r>
    </w:p>
    <w:p w14:paraId="41A522BA" w14:textId="2BB3E35A" w:rsidR="00EF2790" w:rsidRPr="00025A88" w:rsidRDefault="00EF2790" w:rsidP="00EF2790">
      <w:pPr>
        <w:keepNext/>
        <w:keepLines/>
        <w:widowControl w:val="0"/>
        <w:adjustRightInd w:val="0"/>
        <w:ind w:left="567" w:hanging="567"/>
        <w:jc w:val="both"/>
        <w:textAlignment w:val="baseline"/>
        <w:outlineLvl w:val="1"/>
        <w:rPr>
          <w:rFonts w:ascii="Arial" w:eastAsia="Times New Roman" w:hAnsi="Arial" w:cs="Arial"/>
          <w:b/>
          <w:bCs/>
          <w:caps/>
          <w:sz w:val="22"/>
          <w:szCs w:val="22"/>
          <w:lang w:eastAsia="en-US"/>
        </w:rPr>
      </w:pPr>
      <w:r>
        <w:rPr>
          <w:rFonts w:ascii="Arial" w:eastAsia="Times New Roman" w:hAnsi="Arial" w:cs="Arial"/>
          <w:b/>
          <w:bCs/>
          <w:caps/>
          <w:sz w:val="22"/>
          <w:szCs w:val="22"/>
          <w:lang w:eastAsia="en-US"/>
        </w:rPr>
        <w:lastRenderedPageBreak/>
        <w:t>assessment of prgress against approved results framework</w:t>
      </w:r>
    </w:p>
    <w:p w14:paraId="773214AE" w14:textId="77777777" w:rsidR="00EF2790" w:rsidRPr="00025A88" w:rsidRDefault="00EF2790" w:rsidP="00EF2790">
      <w:pPr>
        <w:widowControl w:val="0"/>
        <w:adjustRightInd w:val="0"/>
        <w:jc w:val="both"/>
        <w:textAlignment w:val="baseline"/>
        <w:rPr>
          <w:rFonts w:ascii="Arial" w:eastAsia="Times New Roman" w:hAnsi="Arial"/>
          <w:sz w:val="22"/>
          <w:lang w:eastAsia="en-US"/>
        </w:rPr>
      </w:pPr>
      <w:r w:rsidRPr="00025A88">
        <w:rPr>
          <w:rFonts w:ascii="Arial" w:eastAsia="Times New Roman" w:hAnsi="Arial"/>
          <w:noProof/>
          <w:snapToGrid/>
          <w:sz w:val="22"/>
          <w:lang w:val="fr-FR" w:eastAsia="fr-FR"/>
        </w:rPr>
        <mc:AlternateContent>
          <mc:Choice Requires="wps">
            <w:drawing>
              <wp:anchor distT="0" distB="0" distL="114300" distR="114300" simplePos="0" relativeHeight="251663360" behindDoc="0" locked="0" layoutInCell="1" allowOverlap="1" wp14:anchorId="3F7E5788" wp14:editId="6CF0D7F7">
                <wp:simplePos x="0" y="0"/>
                <wp:positionH relativeFrom="column">
                  <wp:posOffset>12700</wp:posOffset>
                </wp:positionH>
                <wp:positionV relativeFrom="paragraph">
                  <wp:posOffset>6889</wp:posOffset>
                </wp:positionV>
                <wp:extent cx="6181725" cy="1905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E4666EE" id="Straight Connector 4"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pt,.55pt" to="48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0X4QEAAKQDAAAOAAAAZHJzL2Uyb0RvYy54bWysU02P0zAQvSPxHyzfaZKqXdqo6Uq0Khc+&#10;VlrgPvVHYslfsk3T/nvGTrZa4Ia4WPbM+M285+fd49VochEhKmc72ixqSoRljivbd/T7t9O7DSUx&#10;geWgnRUdvYlIH/dv3+xG34qlG5zmIhAEsbEdfUeHlHxbVZENwkBcOC8sJqULBhIeQ1/xACOiG10t&#10;6/qhGl3gPjgmYsTocUrSfcGXUrD0VcooEtEdxdlSWUNZz3mt9jto+wB+UGweA/5hCgPKYtM71BES&#10;kJ9B/QVlFAsuOpkWzJnKSamYKByQTVP/weZ5AC8KFxQn+rtM8f/Bsi+Xp0AU7+iKEgsGn+g5BVD9&#10;kMjBWYsCukBWWafRxxbLD/YpzKfon0ImfZXBEKmV/4EWKDIgMXItKt/uKotrIgyDD82meb9cU8Iw&#10;12zrdXmFaoLJcD7E9FE4Q/Kmo1rZLAK0cPkUE7bG0peSHLbupLQuD6ktGTu6XRd0QDtJDQkbGY8E&#10;o+0pAd2jT1kKBTE6rXi+nXFi6M8HHcgF0Cur06b5cJyKBuBiim7XdT17JkL67PgUbpDDFMfRZpgy&#10;5m/4eeYjxGG6U1JZVryibe4vil1nilnsSd68Ozt+K6pX+YRWKNdm22avvT7j/vXn2v8CAAD//wMA&#10;UEsDBBQABgAIAAAAIQAS0ieC3AAAAAUBAAAPAAAAZHJzL2Rvd25yZXYueG1sTI/BTsMwEETvSPyD&#10;tUjcqJOKAk3jVBFSLoCEGrj05sRLHBqvo9ht079nOcFxZ0Yzb/Pt7AZxwin0nhSkiwQEUutNT52C&#10;z4/q7glEiJqMHjyhggsG2BbXV7nOjD/TDk917ASXUMi0AhvjmEkZWotOh4Ufkdj78pPTkc+pk2bS&#10;Zy53g1wmyYN0uidesHrEZ4vtoT46BVXT29fSV93bxX1jfSj35fvLXqnbm7ncgIg4x78w/OIzOhTM&#10;1PgjmSAGBUv+JLKcgmB3/bhagWgU3Kcgi1z+py9+AAAA//8DAFBLAQItABQABgAIAAAAIQC2gziS&#10;/gAAAOEBAAATAAAAAAAAAAAAAAAAAAAAAABbQ29udGVudF9UeXBlc10ueG1sUEsBAi0AFAAGAAgA&#10;AAAhADj9If/WAAAAlAEAAAsAAAAAAAAAAAAAAAAALwEAAF9yZWxzLy5yZWxzUEsBAi0AFAAGAAgA&#10;AAAhAPP7jRfhAQAApAMAAA4AAAAAAAAAAAAAAAAALgIAAGRycy9lMm9Eb2MueG1sUEsBAi0AFAAG&#10;AAgAAAAhABLSJ4LcAAAABQEAAA8AAAAAAAAAAAAAAAAAOwQAAGRycy9kb3ducmV2LnhtbFBLBQYA&#10;AAAABAAEAPMAAABEBQAAAAA=&#10;" strokecolor="#4a7ebb"/>
            </w:pict>
          </mc:Fallback>
        </mc:AlternateContent>
      </w:r>
    </w:p>
    <w:p w14:paraId="52B2CC9B" w14:textId="1ABF33F4" w:rsidR="00EF2790" w:rsidRPr="00EF2790" w:rsidRDefault="00EF2790" w:rsidP="00E04B7F">
      <w:pPr>
        <w:pStyle w:val="Marge"/>
        <w:jc w:val="center"/>
        <w:rPr>
          <w:rFonts w:ascii="Arial" w:hAnsi="Arial" w:cs="Arial"/>
          <w:bCs/>
          <w:i/>
          <w:sz w:val="22"/>
          <w:szCs w:val="22"/>
          <w:lang w:val="en-US"/>
        </w:rPr>
      </w:pPr>
      <w:r>
        <w:rPr>
          <w:rFonts w:ascii="Arial" w:hAnsi="Arial" w:cs="Arial"/>
          <w:bCs/>
          <w:i/>
          <w:sz w:val="22"/>
          <w:szCs w:val="22"/>
          <w:lang w:val="en-US"/>
        </w:rPr>
        <w:t>(Ref. 214 EX/4.1.INF)</w:t>
      </w:r>
      <w:r w:rsidR="00E04B7F" w:rsidRPr="00E04B7F">
        <w:rPr>
          <w:rFonts w:ascii="Arial" w:hAnsi="Arial" w:cs="Arial"/>
          <w:b/>
          <w:bCs/>
          <w:noProof/>
          <w:snapToGrid/>
          <w:sz w:val="22"/>
          <w:szCs w:val="22"/>
          <w:lang w:val="en-US"/>
        </w:rPr>
        <w:t xml:space="preserve"> </w:t>
      </w:r>
      <w:r w:rsidR="00E04B7F">
        <w:rPr>
          <w:rFonts w:ascii="Arial" w:hAnsi="Arial" w:cs="Arial"/>
          <w:b/>
          <w:bCs/>
          <w:noProof/>
          <w:snapToGrid/>
          <w:sz w:val="22"/>
          <w:szCs w:val="22"/>
          <w:lang w:val="fr-FR" w:eastAsia="fr-FR"/>
        </w:rPr>
        <w:drawing>
          <wp:inline distT="0" distB="0" distL="0" distR="0" wp14:anchorId="1C4E0F64" wp14:editId="554FEFAD">
            <wp:extent cx="5788856" cy="8475988"/>
            <wp:effectExtent l="0" t="0" r="2540" b="127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5">
                      <a:extLst>
                        <a:ext uri="{28A0092B-C50C-407E-A947-70E740481C1C}">
                          <a14:useLocalDpi xmlns:a14="http://schemas.microsoft.com/office/drawing/2010/main" val="0"/>
                        </a:ext>
                      </a:extLst>
                    </a:blip>
                    <a:srcRect l="8138" t="7061" r="8052" b="6166"/>
                    <a:stretch/>
                  </pic:blipFill>
                  <pic:spPr bwMode="auto">
                    <a:xfrm>
                      <a:off x="0" y="0"/>
                      <a:ext cx="5797101" cy="8488061"/>
                    </a:xfrm>
                    <a:prstGeom prst="rect">
                      <a:avLst/>
                    </a:prstGeom>
                    <a:ln>
                      <a:noFill/>
                    </a:ln>
                    <a:extLst>
                      <a:ext uri="{53640926-AAD7-44D8-BBD7-CCE9431645EC}">
                        <a14:shadowObscured xmlns:a14="http://schemas.microsoft.com/office/drawing/2010/main"/>
                      </a:ext>
                    </a:extLst>
                  </pic:spPr>
                </pic:pic>
              </a:graphicData>
            </a:graphic>
          </wp:inline>
        </w:drawing>
      </w:r>
    </w:p>
    <w:p w14:paraId="76772437" w14:textId="5C168391" w:rsidR="00EF2790" w:rsidRDefault="00E04B7F" w:rsidP="00E04B7F">
      <w:pPr>
        <w:pStyle w:val="Marge"/>
        <w:jc w:val="center"/>
        <w:rPr>
          <w:rFonts w:ascii="Arial" w:hAnsi="Arial" w:cs="Arial"/>
          <w:b/>
          <w:bCs/>
          <w:sz w:val="22"/>
          <w:szCs w:val="22"/>
          <w:lang w:val="en-US"/>
        </w:rPr>
      </w:pPr>
      <w:r>
        <w:rPr>
          <w:rFonts w:ascii="Arial" w:hAnsi="Arial" w:cs="Arial"/>
          <w:b/>
          <w:bCs/>
          <w:noProof/>
          <w:snapToGrid/>
          <w:sz w:val="22"/>
          <w:szCs w:val="22"/>
          <w:lang w:val="fr-FR" w:eastAsia="fr-FR"/>
        </w:rPr>
        <w:lastRenderedPageBreak/>
        <w:drawing>
          <wp:inline distT="0" distB="0" distL="0" distR="0" wp14:anchorId="3DDA32BD" wp14:editId="5427063C">
            <wp:extent cx="6239022" cy="9070646"/>
            <wp:effectExtent l="0" t="0" r="0" b="0"/>
            <wp:docPr id="5" name="Picture 5"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table&#10;&#10;Description automatically generated"/>
                    <pic:cNvPicPr/>
                  </pic:nvPicPr>
                  <pic:blipFill rotWithShape="1">
                    <a:blip r:embed="rId16" cstate="print">
                      <a:extLst>
                        <a:ext uri="{28A0092B-C50C-407E-A947-70E740481C1C}">
                          <a14:useLocalDpi xmlns:a14="http://schemas.microsoft.com/office/drawing/2010/main" val="0"/>
                        </a:ext>
                      </a:extLst>
                    </a:blip>
                    <a:srcRect l="8433" t="7008" r="6792" b="5838"/>
                    <a:stretch/>
                  </pic:blipFill>
                  <pic:spPr bwMode="auto">
                    <a:xfrm>
                      <a:off x="0" y="0"/>
                      <a:ext cx="6254761" cy="9093528"/>
                    </a:xfrm>
                    <a:prstGeom prst="rect">
                      <a:avLst/>
                    </a:prstGeom>
                    <a:ln>
                      <a:noFill/>
                    </a:ln>
                    <a:extLst>
                      <a:ext uri="{53640926-AAD7-44D8-BBD7-CCE9431645EC}">
                        <a14:shadowObscured xmlns:a14="http://schemas.microsoft.com/office/drawing/2010/main"/>
                      </a:ext>
                    </a:extLst>
                  </pic:spPr>
                </pic:pic>
              </a:graphicData>
            </a:graphic>
          </wp:inline>
        </w:drawing>
      </w:r>
    </w:p>
    <w:p w14:paraId="2C8BDD85" w14:textId="0A3CC950" w:rsidR="00E04B7F" w:rsidRDefault="00E04B7F" w:rsidP="00E04B7F">
      <w:pPr>
        <w:pStyle w:val="Marge"/>
        <w:jc w:val="center"/>
        <w:rPr>
          <w:rFonts w:ascii="Arial" w:hAnsi="Arial" w:cs="Arial"/>
          <w:b/>
          <w:bCs/>
          <w:sz w:val="22"/>
          <w:szCs w:val="22"/>
          <w:lang w:val="en-US"/>
        </w:rPr>
      </w:pPr>
      <w:r>
        <w:rPr>
          <w:rFonts w:ascii="Arial" w:hAnsi="Arial" w:cs="Arial"/>
          <w:b/>
          <w:bCs/>
          <w:noProof/>
          <w:snapToGrid/>
          <w:sz w:val="22"/>
          <w:szCs w:val="22"/>
          <w:lang w:val="fr-FR" w:eastAsia="fr-FR"/>
        </w:rPr>
        <w:lastRenderedPageBreak/>
        <w:drawing>
          <wp:inline distT="0" distB="0" distL="0" distR="0" wp14:anchorId="5903B53D" wp14:editId="4955243C">
            <wp:extent cx="6599175" cy="9498842"/>
            <wp:effectExtent l="0" t="0" r="0" b="762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17">
                      <a:extLst>
                        <a:ext uri="{28A0092B-C50C-407E-A947-70E740481C1C}">
                          <a14:useLocalDpi xmlns:a14="http://schemas.microsoft.com/office/drawing/2010/main" val="0"/>
                        </a:ext>
                      </a:extLst>
                    </a:blip>
                    <a:srcRect l="6951" t="6388" r="7575" b="6614"/>
                    <a:stretch/>
                  </pic:blipFill>
                  <pic:spPr bwMode="auto">
                    <a:xfrm>
                      <a:off x="0" y="0"/>
                      <a:ext cx="6612212" cy="9517608"/>
                    </a:xfrm>
                    <a:prstGeom prst="rect">
                      <a:avLst/>
                    </a:prstGeom>
                    <a:ln>
                      <a:noFill/>
                    </a:ln>
                    <a:extLst>
                      <a:ext uri="{53640926-AAD7-44D8-BBD7-CCE9431645EC}">
                        <a14:shadowObscured xmlns:a14="http://schemas.microsoft.com/office/drawing/2010/main"/>
                      </a:ext>
                    </a:extLst>
                  </pic:spPr>
                </pic:pic>
              </a:graphicData>
            </a:graphic>
          </wp:inline>
        </w:drawing>
      </w:r>
    </w:p>
    <w:p w14:paraId="706BD6CF" w14:textId="198E49D6" w:rsidR="00E04B7F" w:rsidRPr="00EF2790" w:rsidRDefault="00E04B7F" w:rsidP="00E04B7F">
      <w:pPr>
        <w:pStyle w:val="Marge"/>
        <w:jc w:val="center"/>
        <w:rPr>
          <w:rFonts w:ascii="Arial" w:hAnsi="Arial" w:cs="Arial"/>
          <w:b/>
          <w:bCs/>
          <w:sz w:val="22"/>
          <w:szCs w:val="22"/>
          <w:lang w:val="en-US"/>
        </w:rPr>
      </w:pPr>
      <w:r>
        <w:rPr>
          <w:rFonts w:ascii="Arial" w:hAnsi="Arial" w:cs="Arial"/>
          <w:b/>
          <w:bCs/>
          <w:noProof/>
          <w:snapToGrid/>
          <w:sz w:val="22"/>
          <w:szCs w:val="22"/>
          <w:lang w:val="fr-FR" w:eastAsia="fr-FR"/>
        </w:rPr>
        <w:lastRenderedPageBreak/>
        <w:drawing>
          <wp:inline distT="0" distB="0" distL="0" distR="0" wp14:anchorId="02B359E2" wp14:editId="65E9B281">
            <wp:extent cx="6570993" cy="7895230"/>
            <wp:effectExtent l="0" t="0" r="127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rotWithShape="1">
                    <a:blip r:embed="rId18">
                      <a:extLst>
                        <a:ext uri="{28A0092B-C50C-407E-A947-70E740481C1C}">
                          <a14:useLocalDpi xmlns:a14="http://schemas.microsoft.com/office/drawing/2010/main" val="0"/>
                        </a:ext>
                      </a:extLst>
                    </a:blip>
                    <a:srcRect l="5909" t="7371" r="7912" b="19410"/>
                    <a:stretch/>
                  </pic:blipFill>
                  <pic:spPr bwMode="auto">
                    <a:xfrm>
                      <a:off x="0" y="0"/>
                      <a:ext cx="6581051" cy="7907315"/>
                    </a:xfrm>
                    <a:prstGeom prst="rect">
                      <a:avLst/>
                    </a:prstGeom>
                    <a:ln>
                      <a:noFill/>
                    </a:ln>
                    <a:extLst>
                      <a:ext uri="{53640926-AAD7-44D8-BBD7-CCE9431645EC}">
                        <a14:shadowObscured xmlns:a14="http://schemas.microsoft.com/office/drawing/2010/main"/>
                      </a:ext>
                    </a:extLst>
                  </pic:spPr>
                </pic:pic>
              </a:graphicData>
            </a:graphic>
          </wp:inline>
        </w:drawing>
      </w:r>
    </w:p>
    <w:sectPr w:rsidR="00E04B7F" w:rsidRPr="00EF2790" w:rsidSect="004B7754">
      <w:headerReference w:type="even" r:id="rId19"/>
      <w:headerReference w:type="default" r:id="rId20"/>
      <w:headerReference w:type="first" r:id="rId21"/>
      <w:pgSz w:w="11906" w:h="16838" w:code="9"/>
      <w:pgMar w:top="1418" w:right="1134" w:bottom="1134"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2C256" w14:textId="77777777" w:rsidR="007A2976" w:rsidRDefault="007A2976">
      <w:r>
        <w:separator/>
      </w:r>
    </w:p>
  </w:endnote>
  <w:endnote w:type="continuationSeparator" w:id="0">
    <w:p w14:paraId="23618062" w14:textId="77777777" w:rsidR="007A2976" w:rsidRDefault="007A2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4E83F" w14:textId="77777777" w:rsidR="007A2976" w:rsidRDefault="007A2976">
      <w:r>
        <w:separator/>
      </w:r>
    </w:p>
  </w:footnote>
  <w:footnote w:type="continuationSeparator" w:id="0">
    <w:p w14:paraId="04ADFFA5" w14:textId="77777777" w:rsidR="007A2976" w:rsidRDefault="007A29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8030A" w14:textId="0D36F803" w:rsidR="003B6FC5" w:rsidRPr="00FF54F5" w:rsidRDefault="00352423" w:rsidP="00FF54F5">
    <w:pPr>
      <w:pStyle w:val="Header"/>
      <w:rPr>
        <w:rFonts w:ascii="Arial" w:hAnsi="Arial" w:cs="Arial"/>
        <w:bCs/>
        <w:sz w:val="22"/>
        <w:szCs w:val="22"/>
        <w:lang w:val="fr-FR"/>
      </w:rPr>
    </w:pPr>
    <w:r w:rsidRPr="00352423">
      <w:rPr>
        <w:rFonts w:ascii="Arial" w:hAnsi="Arial" w:cs="Arial"/>
        <w:bCs/>
        <w:sz w:val="22"/>
        <w:szCs w:val="22"/>
        <w:lang w:val="fr-FR"/>
      </w:rPr>
      <w:t>IOC/EC-5</w:t>
    </w:r>
    <w:r w:rsidR="00766688">
      <w:rPr>
        <w:rFonts w:ascii="Arial" w:hAnsi="Arial" w:cs="Arial"/>
        <w:bCs/>
        <w:sz w:val="22"/>
        <w:szCs w:val="22"/>
        <w:lang w:val="fr-FR"/>
      </w:rPr>
      <w:t>5</w:t>
    </w:r>
    <w:r w:rsidR="00FA68D9">
      <w:rPr>
        <w:rFonts w:ascii="Arial" w:hAnsi="Arial" w:cs="Arial"/>
        <w:bCs/>
        <w:sz w:val="22"/>
        <w:szCs w:val="22"/>
        <w:lang w:val="fr-FR"/>
      </w:rPr>
      <w:t>/3</w:t>
    </w:r>
    <w:r w:rsidRPr="00352423">
      <w:rPr>
        <w:rFonts w:ascii="Arial" w:hAnsi="Arial" w:cs="Arial"/>
        <w:bCs/>
        <w:sz w:val="22"/>
        <w:szCs w:val="22"/>
        <w:lang w:val="fr-FR"/>
      </w:rPr>
      <w:t>.</w:t>
    </w:r>
    <w:proofErr w:type="gramStart"/>
    <w:r w:rsidRPr="00352423">
      <w:rPr>
        <w:rFonts w:ascii="Arial" w:hAnsi="Arial" w:cs="Arial"/>
        <w:bCs/>
        <w:sz w:val="22"/>
        <w:szCs w:val="22"/>
        <w:lang w:val="fr-FR"/>
      </w:rPr>
      <w:t>1</w:t>
    </w:r>
    <w:r w:rsidR="00DD3F5E">
      <w:rPr>
        <w:rFonts w:ascii="Arial" w:hAnsi="Arial" w:cs="Arial"/>
        <w:bCs/>
        <w:sz w:val="22"/>
        <w:szCs w:val="22"/>
        <w:lang w:val="fr-FR"/>
      </w:rPr>
      <w:t>.</w:t>
    </w:r>
    <w:r w:rsidRPr="00352423">
      <w:rPr>
        <w:rFonts w:ascii="Arial" w:hAnsi="Arial" w:cs="Arial"/>
        <w:bCs/>
        <w:sz w:val="22"/>
        <w:szCs w:val="22"/>
        <w:lang w:val="fr-FR"/>
      </w:rPr>
      <w:t>Doc</w:t>
    </w:r>
    <w:proofErr w:type="gramEnd"/>
    <w:sdt>
      <w:sdtPr>
        <w:rPr>
          <w:rFonts w:ascii="Arial" w:hAnsi="Arial" w:cs="Arial"/>
          <w:bCs/>
          <w:sz w:val="22"/>
          <w:szCs w:val="22"/>
        </w:rPr>
        <w:id w:val="554519101"/>
        <w:docPartObj>
          <w:docPartGallery w:val="Page Numbers (Top of Page)"/>
          <w:docPartUnique/>
        </w:docPartObj>
      </w:sdtPr>
      <w:sdtEndPr/>
      <w:sdtContent>
        <w:r w:rsidR="00FA68D9">
          <w:rPr>
            <w:rFonts w:ascii="Arial" w:hAnsi="Arial" w:cs="Arial"/>
            <w:bCs/>
            <w:sz w:val="22"/>
            <w:szCs w:val="22"/>
          </w:rPr>
          <w:t>(1)</w:t>
        </w:r>
        <w:r w:rsidR="00BC135C">
          <w:rPr>
            <w:rFonts w:ascii="Arial" w:hAnsi="Arial" w:cs="Arial"/>
            <w:bCs/>
            <w:sz w:val="22"/>
            <w:szCs w:val="22"/>
          </w:rPr>
          <w:t xml:space="preserve"> – page </w:t>
        </w:r>
        <w:r w:rsidR="00BC135C" w:rsidRPr="00BC135C">
          <w:rPr>
            <w:rFonts w:ascii="Arial" w:hAnsi="Arial" w:cs="Arial"/>
            <w:bCs/>
            <w:sz w:val="22"/>
            <w:szCs w:val="22"/>
          </w:rPr>
          <w:fldChar w:fldCharType="begin"/>
        </w:r>
        <w:r w:rsidR="00BC135C" w:rsidRPr="00BC135C">
          <w:rPr>
            <w:rFonts w:ascii="Arial" w:hAnsi="Arial" w:cs="Arial"/>
            <w:bCs/>
            <w:sz w:val="22"/>
            <w:szCs w:val="22"/>
          </w:rPr>
          <w:instrText xml:space="preserve"> PAGE   \* MERGEFORMAT </w:instrText>
        </w:r>
        <w:r w:rsidR="00BC135C" w:rsidRPr="00BC135C">
          <w:rPr>
            <w:rFonts w:ascii="Arial" w:hAnsi="Arial" w:cs="Arial"/>
            <w:bCs/>
            <w:sz w:val="22"/>
            <w:szCs w:val="22"/>
          </w:rPr>
          <w:fldChar w:fldCharType="separate"/>
        </w:r>
        <w:r w:rsidR="00D110FE">
          <w:rPr>
            <w:rFonts w:ascii="Arial" w:hAnsi="Arial" w:cs="Arial"/>
            <w:bCs/>
            <w:noProof/>
            <w:sz w:val="22"/>
            <w:szCs w:val="22"/>
          </w:rPr>
          <w:t>2</w:t>
        </w:r>
        <w:r w:rsidR="00BC135C" w:rsidRPr="00BC135C">
          <w:rPr>
            <w:rFonts w:ascii="Arial" w:hAnsi="Arial" w:cs="Arial"/>
            <w:bCs/>
            <w:noProof/>
            <w:sz w:val="22"/>
            <w:szCs w:val="22"/>
          </w:rPr>
          <w:fldChar w:fldCharType="end"/>
        </w:r>
      </w:sdtContent>
    </w:sdt>
  </w:p>
  <w:p w14:paraId="7669745D" w14:textId="77777777" w:rsidR="003B6FC5" w:rsidRPr="00D7566D" w:rsidRDefault="003B6FC5">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BB357" w14:textId="5F60D743" w:rsidR="00FF54F5" w:rsidRPr="00DD55DA" w:rsidRDefault="00E01FDA" w:rsidP="00FF54F5">
    <w:pPr>
      <w:pStyle w:val="Header"/>
      <w:jc w:val="right"/>
      <w:rPr>
        <w:rFonts w:ascii="Arial" w:hAnsi="Arial" w:cs="Arial"/>
        <w:bCs/>
        <w:sz w:val="22"/>
        <w:szCs w:val="22"/>
        <w:lang w:val="fr-FR"/>
      </w:rPr>
    </w:pPr>
    <w:r w:rsidRPr="00352423">
      <w:rPr>
        <w:rFonts w:ascii="Arial" w:hAnsi="Arial" w:cs="Arial"/>
        <w:bCs/>
        <w:sz w:val="22"/>
        <w:szCs w:val="22"/>
        <w:lang w:val="fr-FR"/>
      </w:rPr>
      <w:t>IOC/EC-5</w:t>
    </w:r>
    <w:r w:rsidR="007C4C1D">
      <w:rPr>
        <w:rFonts w:ascii="Arial" w:hAnsi="Arial" w:cs="Arial"/>
        <w:bCs/>
        <w:sz w:val="22"/>
        <w:szCs w:val="22"/>
        <w:lang w:val="fr-FR"/>
      </w:rPr>
      <w:t>5</w:t>
    </w:r>
    <w:r w:rsidRPr="00352423">
      <w:rPr>
        <w:rFonts w:ascii="Arial" w:hAnsi="Arial" w:cs="Arial"/>
        <w:bCs/>
        <w:sz w:val="22"/>
        <w:szCs w:val="22"/>
        <w:lang w:val="fr-FR"/>
      </w:rPr>
      <w:t>/</w:t>
    </w:r>
    <w:r w:rsidR="007C4C1D">
      <w:rPr>
        <w:rFonts w:ascii="Arial" w:hAnsi="Arial" w:cs="Arial"/>
        <w:bCs/>
        <w:sz w:val="22"/>
        <w:szCs w:val="22"/>
        <w:lang w:val="fr-FR"/>
      </w:rPr>
      <w:t>3</w:t>
    </w:r>
    <w:r w:rsidRPr="00352423">
      <w:rPr>
        <w:rFonts w:ascii="Arial" w:hAnsi="Arial" w:cs="Arial"/>
        <w:bCs/>
        <w:sz w:val="22"/>
        <w:szCs w:val="22"/>
        <w:lang w:val="fr-FR"/>
      </w:rPr>
      <w:t>.</w:t>
    </w:r>
    <w:proofErr w:type="gramStart"/>
    <w:r w:rsidRPr="00352423">
      <w:rPr>
        <w:rFonts w:ascii="Arial" w:hAnsi="Arial" w:cs="Arial"/>
        <w:bCs/>
        <w:sz w:val="22"/>
        <w:szCs w:val="22"/>
        <w:lang w:val="fr-FR"/>
      </w:rPr>
      <w:t>1</w:t>
    </w:r>
    <w:r>
      <w:rPr>
        <w:rFonts w:ascii="Arial" w:hAnsi="Arial" w:cs="Arial"/>
        <w:bCs/>
        <w:sz w:val="22"/>
        <w:szCs w:val="22"/>
        <w:lang w:val="fr-FR"/>
      </w:rPr>
      <w:t>.</w:t>
    </w:r>
    <w:r w:rsidRPr="00352423">
      <w:rPr>
        <w:rFonts w:ascii="Arial" w:hAnsi="Arial" w:cs="Arial"/>
        <w:bCs/>
        <w:sz w:val="22"/>
        <w:szCs w:val="22"/>
        <w:lang w:val="fr-FR"/>
      </w:rPr>
      <w:t>Doc</w:t>
    </w:r>
    <w:proofErr w:type="gramEnd"/>
    <w:r w:rsidR="007C4C1D">
      <w:rPr>
        <w:rFonts w:ascii="Arial" w:hAnsi="Arial" w:cs="Arial"/>
        <w:bCs/>
        <w:sz w:val="22"/>
        <w:szCs w:val="22"/>
        <w:lang w:val="fr-FR"/>
      </w:rPr>
      <w:t>(1)</w:t>
    </w:r>
    <w:r w:rsidR="00A14C22">
      <w:rPr>
        <w:rFonts w:ascii="Arial" w:hAnsi="Arial" w:cs="Arial"/>
        <w:bCs/>
        <w:sz w:val="22"/>
        <w:szCs w:val="22"/>
        <w:lang w:val="fr-FR"/>
      </w:rPr>
      <w:t xml:space="preserve"> – page </w:t>
    </w:r>
    <w:r w:rsidR="00A14C22" w:rsidRPr="00A14C22">
      <w:rPr>
        <w:rFonts w:ascii="Arial" w:hAnsi="Arial" w:cs="Arial"/>
        <w:bCs/>
        <w:sz w:val="22"/>
        <w:szCs w:val="22"/>
        <w:lang w:val="fr-FR"/>
      </w:rPr>
      <w:fldChar w:fldCharType="begin"/>
    </w:r>
    <w:r w:rsidR="00A14C22" w:rsidRPr="00A14C22">
      <w:rPr>
        <w:rFonts w:ascii="Arial" w:hAnsi="Arial" w:cs="Arial"/>
        <w:bCs/>
        <w:sz w:val="22"/>
        <w:szCs w:val="22"/>
        <w:lang w:val="fr-FR"/>
      </w:rPr>
      <w:instrText xml:space="preserve"> PAGE   \* MERGEFORMAT </w:instrText>
    </w:r>
    <w:r w:rsidR="00A14C22" w:rsidRPr="00A14C22">
      <w:rPr>
        <w:rFonts w:ascii="Arial" w:hAnsi="Arial" w:cs="Arial"/>
        <w:bCs/>
        <w:sz w:val="22"/>
        <w:szCs w:val="22"/>
        <w:lang w:val="fr-FR"/>
      </w:rPr>
      <w:fldChar w:fldCharType="separate"/>
    </w:r>
    <w:r w:rsidR="00D110FE">
      <w:rPr>
        <w:rFonts w:ascii="Arial" w:hAnsi="Arial" w:cs="Arial"/>
        <w:bCs/>
        <w:noProof/>
        <w:sz w:val="22"/>
        <w:szCs w:val="22"/>
        <w:lang w:val="fr-FR"/>
      </w:rPr>
      <w:t>3</w:t>
    </w:r>
    <w:r w:rsidR="00A14C22" w:rsidRPr="00A14C22">
      <w:rPr>
        <w:rFonts w:ascii="Arial" w:hAnsi="Arial" w:cs="Arial"/>
        <w:bCs/>
        <w:noProof/>
        <w:sz w:val="22"/>
        <w:szCs w:val="22"/>
        <w:lang w:val="fr-FR"/>
      </w:rPr>
      <w:fldChar w:fldCharType="end"/>
    </w:r>
  </w:p>
  <w:p w14:paraId="115C0040" w14:textId="77777777" w:rsidR="00FF54F5" w:rsidRPr="00DD55DA" w:rsidRDefault="00FF54F5" w:rsidP="00FF54F5">
    <w:pPr>
      <w:pStyle w:val="Header"/>
      <w:jc w:val="right"/>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E2890" w14:textId="1ABB8ADB" w:rsidR="00F62C19" w:rsidRPr="0042612F" w:rsidRDefault="008B77EB" w:rsidP="00705F29">
    <w:pPr>
      <w:pStyle w:val="Marge"/>
      <w:tabs>
        <w:tab w:val="left" w:pos="5921"/>
        <w:tab w:val="left" w:pos="7088"/>
      </w:tabs>
      <w:spacing w:after="0"/>
      <w:rPr>
        <w:rFonts w:ascii="Arial" w:hAnsi="Arial" w:cs="Arial"/>
        <w:b/>
        <w:sz w:val="36"/>
        <w:szCs w:val="36"/>
      </w:rPr>
    </w:pPr>
    <w:r w:rsidRPr="0042612F">
      <w:rPr>
        <w:rFonts w:ascii="Arial" w:hAnsi="Arial" w:cs="Arial"/>
        <w:sz w:val="22"/>
        <w:szCs w:val="22"/>
      </w:rPr>
      <w:t>Restricted distribution</w:t>
    </w:r>
    <w:r w:rsidR="004B7754" w:rsidRPr="0042612F">
      <w:rPr>
        <w:rFonts w:cs="Arial"/>
        <w:szCs w:val="22"/>
      </w:rPr>
      <w:tab/>
    </w:r>
    <w:bookmarkStart w:id="0" w:name="_Hlk54263549"/>
    <w:r w:rsidR="004B7754" w:rsidRPr="0042612F">
      <w:rPr>
        <w:rFonts w:ascii="Arial" w:hAnsi="Arial" w:cs="Arial"/>
        <w:b/>
        <w:sz w:val="36"/>
        <w:szCs w:val="36"/>
      </w:rPr>
      <w:t>IOC/EC-</w:t>
    </w:r>
    <w:r w:rsidR="00EB56CD" w:rsidRPr="0042612F">
      <w:rPr>
        <w:rFonts w:ascii="Arial" w:hAnsi="Arial" w:cs="Arial"/>
        <w:b/>
        <w:sz w:val="36"/>
        <w:szCs w:val="36"/>
      </w:rPr>
      <w:t>5</w:t>
    </w:r>
    <w:r w:rsidR="00DC571F" w:rsidRPr="0042612F">
      <w:rPr>
        <w:rFonts w:ascii="Arial" w:hAnsi="Arial" w:cs="Arial"/>
        <w:b/>
        <w:sz w:val="36"/>
        <w:szCs w:val="36"/>
      </w:rPr>
      <w:t>5</w:t>
    </w:r>
    <w:r w:rsidR="004B7754" w:rsidRPr="0042612F">
      <w:rPr>
        <w:rFonts w:ascii="Arial" w:hAnsi="Arial" w:cs="Arial"/>
        <w:b/>
        <w:sz w:val="36"/>
        <w:szCs w:val="36"/>
      </w:rPr>
      <w:t>/</w:t>
    </w:r>
    <w:r w:rsidR="00FA68D9">
      <w:rPr>
        <w:rFonts w:ascii="Arial" w:hAnsi="Arial" w:cs="Arial"/>
        <w:b/>
        <w:sz w:val="36"/>
        <w:szCs w:val="36"/>
      </w:rPr>
      <w:t>3.</w:t>
    </w:r>
    <w:proofErr w:type="gramStart"/>
    <w:r w:rsidR="00FA68D9">
      <w:rPr>
        <w:rFonts w:ascii="Arial" w:hAnsi="Arial" w:cs="Arial"/>
        <w:b/>
        <w:sz w:val="36"/>
        <w:szCs w:val="36"/>
      </w:rPr>
      <w:t>1</w:t>
    </w:r>
    <w:bookmarkEnd w:id="0"/>
    <w:r w:rsidR="00FA68D9">
      <w:rPr>
        <w:rFonts w:ascii="Arial" w:hAnsi="Arial" w:cs="Arial"/>
        <w:b/>
        <w:sz w:val="36"/>
        <w:szCs w:val="36"/>
      </w:rPr>
      <w:t>.Doc</w:t>
    </w:r>
    <w:proofErr w:type="gramEnd"/>
    <w:r w:rsidR="00FA68D9">
      <w:rPr>
        <w:rFonts w:ascii="Arial" w:hAnsi="Arial" w:cs="Arial"/>
        <w:b/>
        <w:sz w:val="36"/>
        <w:szCs w:val="36"/>
      </w:rPr>
      <w:t>(1)</w:t>
    </w:r>
  </w:p>
  <w:p w14:paraId="4FD70AD5" w14:textId="3A2611E7" w:rsidR="004B7754" w:rsidRDefault="008B77EB" w:rsidP="00705F29">
    <w:pPr>
      <w:pStyle w:val="Marge"/>
      <w:tabs>
        <w:tab w:val="left" w:pos="5921"/>
      </w:tabs>
      <w:spacing w:after="0"/>
      <w:rPr>
        <w:rFonts w:ascii="Arial" w:hAnsi="Arial" w:cs="Arial"/>
        <w:sz w:val="22"/>
        <w:szCs w:val="22"/>
      </w:rPr>
    </w:pPr>
    <w:r>
      <w:rPr>
        <w:rFonts w:cs="Arial"/>
        <w:b/>
        <w:noProof/>
        <w:snapToGrid/>
        <w:szCs w:val="22"/>
        <w:lang w:val="fr-FR" w:eastAsia="fr-FR"/>
      </w:rPr>
      <w:drawing>
        <wp:anchor distT="0" distB="0" distL="114300" distR="114300" simplePos="0" relativeHeight="251658240" behindDoc="0" locked="0" layoutInCell="1" allowOverlap="1" wp14:anchorId="7C2FCC9E" wp14:editId="3855C8E1">
          <wp:simplePos x="0" y="0"/>
          <wp:positionH relativeFrom="column">
            <wp:posOffset>-88265</wp:posOffset>
          </wp:positionH>
          <wp:positionV relativeFrom="paragraph">
            <wp:posOffset>93345</wp:posOffset>
          </wp:positionV>
          <wp:extent cx="1578610" cy="1047115"/>
          <wp:effectExtent l="0" t="0" r="2540" b="635"/>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004B7754" w:rsidRPr="0042612F">
      <w:rPr>
        <w:rFonts w:cs="Arial"/>
        <w:b/>
        <w:szCs w:val="22"/>
      </w:rPr>
      <w:tab/>
    </w:r>
    <w:r w:rsidR="004B7754" w:rsidRPr="00BF254D">
      <w:rPr>
        <w:rFonts w:ascii="Arial" w:hAnsi="Arial" w:cs="Arial"/>
        <w:sz w:val="22"/>
        <w:szCs w:val="22"/>
      </w:rPr>
      <w:t xml:space="preserve">Paris, </w:t>
    </w:r>
    <w:r w:rsidR="00313AB1">
      <w:rPr>
        <w:rFonts w:ascii="Arial" w:hAnsi="Arial" w:cs="Arial"/>
        <w:sz w:val="22"/>
        <w:szCs w:val="22"/>
      </w:rPr>
      <w:t>2</w:t>
    </w:r>
    <w:r w:rsidR="00C51DE8">
      <w:rPr>
        <w:rFonts w:ascii="Arial" w:hAnsi="Arial" w:cs="Arial"/>
        <w:sz w:val="22"/>
        <w:szCs w:val="22"/>
      </w:rPr>
      <w:t>5</w:t>
    </w:r>
    <w:r w:rsidR="007A264F">
      <w:rPr>
        <w:rFonts w:ascii="Arial" w:hAnsi="Arial" w:cs="Arial"/>
        <w:sz w:val="22"/>
        <w:szCs w:val="22"/>
      </w:rPr>
      <w:t xml:space="preserve"> </w:t>
    </w:r>
    <w:r w:rsidR="00FA68D9">
      <w:rPr>
        <w:rFonts w:ascii="Arial" w:hAnsi="Arial" w:cs="Arial"/>
        <w:sz w:val="22"/>
        <w:szCs w:val="22"/>
      </w:rPr>
      <w:t>April</w:t>
    </w:r>
    <w:r w:rsidR="007A264F">
      <w:rPr>
        <w:rFonts w:ascii="Arial" w:hAnsi="Arial" w:cs="Arial"/>
        <w:sz w:val="22"/>
        <w:szCs w:val="22"/>
      </w:rPr>
      <w:t xml:space="preserve"> 2022</w:t>
    </w:r>
    <w:r w:rsidR="00CA7799">
      <w:rPr>
        <w:rFonts w:ascii="Arial" w:hAnsi="Arial" w:cs="Arial"/>
        <w:sz w:val="22"/>
        <w:szCs w:val="22"/>
      </w:rPr>
      <w:t xml:space="preserve"> </w:t>
    </w:r>
  </w:p>
  <w:p w14:paraId="07C76426" w14:textId="18A2F05C" w:rsidR="004B7754" w:rsidRPr="00BF254D" w:rsidRDefault="004B7754" w:rsidP="00705F29">
    <w:pPr>
      <w:pStyle w:val="Marge"/>
      <w:tabs>
        <w:tab w:val="left" w:pos="5921"/>
      </w:tabs>
      <w:rPr>
        <w:rFonts w:ascii="Arial" w:hAnsi="Arial" w:cs="Arial"/>
        <w:sz w:val="22"/>
        <w:szCs w:val="22"/>
      </w:rPr>
    </w:pPr>
    <w:r>
      <w:rPr>
        <w:rFonts w:ascii="Arial" w:hAnsi="Arial" w:cs="Arial"/>
        <w:b/>
        <w:sz w:val="22"/>
        <w:szCs w:val="22"/>
      </w:rPr>
      <w:tab/>
    </w:r>
    <w:r w:rsidRPr="00BF254D">
      <w:rPr>
        <w:rFonts w:ascii="Arial" w:hAnsi="Arial" w:cs="Arial"/>
        <w:sz w:val="22"/>
        <w:szCs w:val="22"/>
      </w:rPr>
      <w:t>Original: English</w:t>
    </w:r>
  </w:p>
  <w:p w14:paraId="0759C652" w14:textId="6ACD3015" w:rsidR="004B7754" w:rsidRDefault="004B7754" w:rsidP="004B77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both"/>
      <w:rPr>
        <w:rFonts w:cs="Arial"/>
        <w:b/>
        <w:szCs w:val="22"/>
      </w:rPr>
    </w:pPr>
  </w:p>
  <w:p w14:paraId="5CBA7A2E" w14:textId="7CD94594" w:rsidR="00B17054" w:rsidRDefault="00B17054" w:rsidP="004B77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both"/>
      <w:rPr>
        <w:rFonts w:cs="Arial"/>
        <w:b/>
        <w:szCs w:val="22"/>
      </w:rPr>
    </w:pPr>
  </w:p>
  <w:p w14:paraId="364F293E" w14:textId="4E082054" w:rsidR="00B17054" w:rsidRDefault="00B17054" w:rsidP="00B170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cs="Arial"/>
        <w:b/>
        <w:szCs w:val="22"/>
      </w:rPr>
    </w:pPr>
  </w:p>
  <w:p w14:paraId="28CD0B7C" w14:textId="77777777" w:rsidR="008B77EB" w:rsidRDefault="008B77EB" w:rsidP="00B170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cs="Arial"/>
        <w:b/>
        <w:szCs w:val="22"/>
      </w:rPr>
    </w:pPr>
  </w:p>
  <w:p w14:paraId="1D868DB4" w14:textId="77777777" w:rsidR="00B17054" w:rsidRPr="005E544C" w:rsidRDefault="00B17054" w:rsidP="00B170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cs="Arial"/>
        <w:b/>
        <w:szCs w:val="22"/>
      </w:rPr>
    </w:pPr>
  </w:p>
  <w:p w14:paraId="71A52761" w14:textId="56DB973C" w:rsidR="004B7754" w:rsidRPr="00BF254D" w:rsidRDefault="004B7754" w:rsidP="00B17054">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rPr>
    </w:pPr>
    <w:r w:rsidRPr="00BF254D">
      <w:rPr>
        <w:rFonts w:ascii="Arial" w:hAnsi="Arial" w:cs="Arial"/>
        <w:b/>
      </w:rPr>
      <w:t>INTERGOVERNMENTAL OCEANOGRAPHIC COMMISSION</w:t>
    </w:r>
  </w:p>
  <w:p w14:paraId="67E49D49" w14:textId="77777777" w:rsidR="004B7754" w:rsidRPr="00BF254D" w:rsidRDefault="004B7754" w:rsidP="00B17054">
    <w:pPr>
      <w:tabs>
        <w:tab w:val="left" w:pos="-1440"/>
        <w:tab w:val="left" w:pos="-720"/>
        <w:tab w:val="left" w:pos="720"/>
        <w:tab w:val="left" w:pos="2160"/>
        <w:tab w:val="left" w:pos="3600"/>
        <w:tab w:val="left" w:pos="4320"/>
        <w:tab w:val="left" w:pos="5040"/>
        <w:tab w:val="left" w:pos="5523"/>
        <w:tab w:val="left" w:pos="6480"/>
      </w:tabs>
      <w:jc w:val="center"/>
      <w:rPr>
        <w:rFonts w:ascii="Arial" w:hAnsi="Arial" w:cs="Arial"/>
        <w:bCs/>
      </w:rPr>
    </w:pPr>
    <w:r w:rsidRPr="00BF254D">
      <w:rPr>
        <w:rFonts w:ascii="Arial" w:hAnsi="Arial" w:cs="Arial"/>
        <w:bCs/>
      </w:rPr>
      <w:t>(</w:t>
    </w:r>
    <w:proofErr w:type="gramStart"/>
    <w:r w:rsidRPr="00BF254D">
      <w:rPr>
        <w:rFonts w:ascii="Arial" w:hAnsi="Arial" w:cs="Arial"/>
        <w:bCs/>
      </w:rPr>
      <w:t>of</w:t>
    </w:r>
    <w:proofErr w:type="gramEnd"/>
    <w:r w:rsidRPr="00BF254D">
      <w:rPr>
        <w:rFonts w:ascii="Arial" w:hAnsi="Arial" w:cs="Arial"/>
        <w:bCs/>
      </w:rPr>
      <w:t xml:space="preserve"> UNESCO)</w:t>
    </w:r>
  </w:p>
  <w:p w14:paraId="4872ECD5" w14:textId="77777777" w:rsidR="004B7754" w:rsidRPr="00BF254D" w:rsidRDefault="004B7754" w:rsidP="00B17054">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Cs w:val="22"/>
      </w:rPr>
    </w:pPr>
  </w:p>
  <w:p w14:paraId="7BF4961F" w14:textId="6379F32C" w:rsidR="004B7754" w:rsidRPr="00BF254D" w:rsidRDefault="00A05A4D" w:rsidP="00B17054">
    <w:pPr>
      <w:tabs>
        <w:tab w:val="left" w:pos="-1440"/>
        <w:tab w:val="left" w:pos="-720"/>
        <w:tab w:val="left" w:pos="720"/>
        <w:tab w:val="left" w:pos="1420"/>
        <w:tab w:val="left" w:pos="2160"/>
        <w:tab w:val="left" w:pos="3600"/>
        <w:tab w:val="left" w:pos="4320"/>
        <w:tab w:val="center" w:pos="4677"/>
        <w:tab w:val="left" w:pos="5040"/>
        <w:tab w:val="left" w:pos="5523"/>
        <w:tab w:val="left" w:pos="6480"/>
      </w:tabs>
      <w:jc w:val="center"/>
      <w:rPr>
        <w:rFonts w:ascii="Arial" w:hAnsi="Arial" w:cs="Arial"/>
        <w:b/>
      </w:rPr>
    </w:pPr>
    <w:r>
      <w:rPr>
        <w:rFonts w:ascii="Arial" w:hAnsi="Arial" w:cs="Arial"/>
        <w:b/>
      </w:rPr>
      <w:t>Fifty-fifth</w:t>
    </w:r>
    <w:r w:rsidR="004B7754" w:rsidRPr="00BF254D">
      <w:rPr>
        <w:rFonts w:ascii="Arial" w:hAnsi="Arial" w:cs="Arial"/>
        <w:b/>
      </w:rPr>
      <w:t xml:space="preserve"> Session of the </w:t>
    </w:r>
    <w:r w:rsidR="004B7754">
      <w:rPr>
        <w:rFonts w:ascii="Arial" w:hAnsi="Arial" w:cs="Arial"/>
        <w:b/>
      </w:rPr>
      <w:t>Executive Council</w:t>
    </w:r>
  </w:p>
  <w:p w14:paraId="71300EEE" w14:textId="4DAD8BED" w:rsidR="004B7754" w:rsidRPr="00843E81" w:rsidRDefault="004B7754" w:rsidP="00B17054">
    <w:pPr>
      <w:tabs>
        <w:tab w:val="left" w:pos="-1440"/>
        <w:tab w:val="left" w:pos="-720"/>
        <w:tab w:val="left" w:pos="720"/>
        <w:tab w:val="left" w:pos="1440"/>
        <w:tab w:val="left" w:pos="2160"/>
        <w:tab w:val="left" w:pos="2880"/>
        <w:tab w:val="left" w:pos="3600"/>
        <w:tab w:val="left" w:pos="4320"/>
        <w:tab w:val="left" w:pos="5040"/>
        <w:tab w:val="left" w:pos="5523"/>
        <w:tab w:val="left" w:pos="6480"/>
      </w:tabs>
      <w:jc w:val="center"/>
      <w:rPr>
        <w:rFonts w:ascii="Arial" w:hAnsi="Arial" w:cs="Arial"/>
        <w:b/>
        <w:lang w:val="en-US"/>
      </w:rPr>
    </w:pPr>
    <w:r w:rsidRPr="00843E81">
      <w:rPr>
        <w:rFonts w:ascii="Arial" w:hAnsi="Arial" w:cs="Arial"/>
        <w:bCs/>
        <w:lang w:val="en-US"/>
      </w:rPr>
      <w:t xml:space="preserve">UNESCO, Paris, </w:t>
    </w:r>
    <w:r w:rsidR="00F7261E" w:rsidRPr="00843E81">
      <w:rPr>
        <w:rFonts w:ascii="Arial" w:hAnsi="Arial" w:cs="Arial"/>
        <w:bCs/>
        <w:lang w:val="en-US"/>
      </w:rPr>
      <w:t>1</w:t>
    </w:r>
    <w:r w:rsidR="00705F29">
      <w:rPr>
        <w:rFonts w:ascii="Arial" w:hAnsi="Arial" w:cs="Arial"/>
        <w:bCs/>
        <w:lang w:val="en-US"/>
      </w:rPr>
      <w:t>4</w:t>
    </w:r>
    <w:r w:rsidR="008B77EB" w:rsidRPr="00843E81">
      <w:rPr>
        <w:rFonts w:ascii="Arial" w:hAnsi="Arial" w:cs="Arial"/>
        <w:bCs/>
        <w:lang w:val="en-US"/>
      </w:rPr>
      <w:t>–</w:t>
    </w:r>
    <w:r w:rsidR="00F7261E" w:rsidRPr="00843E81">
      <w:rPr>
        <w:rFonts w:ascii="Arial" w:hAnsi="Arial" w:cs="Arial"/>
        <w:bCs/>
        <w:lang w:val="en-US"/>
      </w:rPr>
      <w:t>17</w:t>
    </w:r>
    <w:r w:rsidR="00354A10" w:rsidRPr="00843E81">
      <w:rPr>
        <w:rFonts w:ascii="Arial" w:hAnsi="Arial" w:cs="Arial"/>
        <w:bCs/>
        <w:lang w:val="en-US"/>
      </w:rPr>
      <w:t xml:space="preserve"> June</w:t>
    </w:r>
    <w:r w:rsidRPr="00843E81">
      <w:rPr>
        <w:rFonts w:ascii="Arial" w:hAnsi="Arial" w:cs="Arial"/>
        <w:bCs/>
        <w:lang w:val="en-US"/>
      </w:rPr>
      <w:t xml:space="preserve"> 20</w:t>
    </w:r>
    <w:r w:rsidR="00EE2F00" w:rsidRPr="00843E81">
      <w:rPr>
        <w:rFonts w:ascii="Arial" w:hAnsi="Arial" w:cs="Arial"/>
        <w:bCs/>
        <w:lang w:val="en-US"/>
      </w:rPr>
      <w:t>2</w:t>
    </w:r>
    <w:r w:rsidR="00354A10" w:rsidRPr="00843E81">
      <w:rPr>
        <w:rFonts w:ascii="Arial" w:hAnsi="Arial" w:cs="Arial"/>
        <w:bCs/>
        <w:lang w:val="en-US"/>
      </w:rPr>
      <w:t>2</w:t>
    </w:r>
  </w:p>
  <w:p w14:paraId="5BB9C169" w14:textId="77777777" w:rsidR="004B7754" w:rsidRPr="00843E81" w:rsidRDefault="004B7754" w:rsidP="00B17054">
    <w:pPr>
      <w:tabs>
        <w:tab w:val="left" w:pos="-1440"/>
        <w:tab w:val="left" w:pos="-720"/>
        <w:tab w:val="left" w:pos="720"/>
        <w:tab w:val="left" w:pos="1440"/>
        <w:tab w:val="left" w:pos="2160"/>
        <w:tab w:val="left" w:pos="3600"/>
        <w:tab w:val="left" w:pos="4320"/>
        <w:tab w:val="left" w:pos="5040"/>
        <w:tab w:val="left" w:pos="5523"/>
        <w:tab w:val="left" w:pos="6480"/>
      </w:tabs>
      <w:jc w:val="center"/>
      <w:rPr>
        <w:rFonts w:cs="Arial"/>
        <w:bCs/>
        <w:szCs w:val="22"/>
        <w:lang w:val="en-US"/>
      </w:rPr>
    </w:pPr>
  </w:p>
  <w:p w14:paraId="003DCA37" w14:textId="77777777" w:rsidR="004B7754" w:rsidRPr="00843E81" w:rsidRDefault="004B7754" w:rsidP="00B17054">
    <w:pPr>
      <w:jc w:val="center"/>
      <w:rPr>
        <w:rFonts w:cs="Arial"/>
        <w:szCs w:val="22"/>
        <w:lang w:val="en-US"/>
      </w:rPr>
    </w:pPr>
  </w:p>
  <w:p w14:paraId="4AE80372" w14:textId="4CE30030" w:rsidR="00FA68D9" w:rsidRPr="00FA68D9" w:rsidRDefault="00FA68D9" w:rsidP="00FA68D9">
    <w:pPr>
      <w:keepNext/>
      <w:widowControl w:val="0"/>
      <w:tabs>
        <w:tab w:val="right" w:pos="9540"/>
      </w:tabs>
      <w:adjustRightInd w:val="0"/>
      <w:jc w:val="both"/>
      <w:textAlignment w:val="baseline"/>
      <w:outlineLvl w:val="6"/>
      <w:rPr>
        <w:rFonts w:ascii="Arial" w:eastAsia="Times New Roman" w:hAnsi="Arial" w:cs="Arial"/>
        <w:lang w:eastAsia="en-US"/>
      </w:rPr>
    </w:pPr>
    <w:r w:rsidRPr="00FA68D9">
      <w:rPr>
        <w:rFonts w:ascii="Arial" w:eastAsia="Times New Roman" w:hAnsi="Arial" w:cs="Arial"/>
        <w:u w:val="single"/>
        <w:lang w:eastAsia="en-US"/>
      </w:rPr>
      <w:t xml:space="preserve">Item </w:t>
    </w:r>
    <w:r w:rsidRPr="00FA68D9">
      <w:rPr>
        <w:rFonts w:ascii="Arial" w:eastAsia="Times New Roman" w:hAnsi="Arial" w:cs="Arial"/>
        <w:b/>
        <w:u w:val="single"/>
        <w:lang w:eastAsia="en-US"/>
      </w:rPr>
      <w:t>3.</w:t>
    </w:r>
    <w:r>
      <w:rPr>
        <w:rFonts w:ascii="Arial" w:eastAsia="Times New Roman" w:hAnsi="Arial" w:cs="Arial"/>
        <w:b/>
        <w:u w:val="single"/>
        <w:lang w:eastAsia="en-US"/>
      </w:rPr>
      <w:t>1</w:t>
    </w:r>
    <w:r w:rsidRPr="00FA68D9">
      <w:rPr>
        <w:rFonts w:ascii="Arial" w:eastAsia="Times New Roman" w:hAnsi="Arial" w:cs="Arial"/>
        <w:u w:val="single"/>
        <w:lang w:eastAsia="en-US"/>
      </w:rPr>
      <w:t xml:space="preserve"> of the Provisional Agenda</w:t>
    </w:r>
  </w:p>
  <w:p w14:paraId="5283A965" w14:textId="77777777" w:rsidR="00FA68D9" w:rsidRPr="00FA68D9" w:rsidRDefault="00FA68D9" w:rsidP="00FA68D9">
    <w:pPr>
      <w:tabs>
        <w:tab w:val="left" w:pos="-1440"/>
        <w:tab w:val="left" w:pos="-720"/>
        <w:tab w:val="left" w:pos="720"/>
        <w:tab w:val="left" w:pos="1440"/>
        <w:tab w:val="left" w:pos="2160"/>
        <w:tab w:val="left" w:pos="3600"/>
        <w:tab w:val="left" w:pos="4320"/>
        <w:tab w:val="left" w:pos="5040"/>
        <w:tab w:val="left" w:pos="5523"/>
        <w:tab w:val="left" w:pos="6480"/>
      </w:tabs>
      <w:rPr>
        <w:rFonts w:ascii="Arial" w:hAnsi="Arial" w:cs="Arial"/>
        <w:b/>
        <w:bCs/>
        <w:caps/>
        <w:lang w:val="en-US"/>
      </w:rPr>
    </w:pPr>
  </w:p>
  <w:p w14:paraId="78CE1720" w14:textId="77777777" w:rsidR="00FA68D9" w:rsidRPr="00FA68D9" w:rsidRDefault="00FA68D9" w:rsidP="00FA68D9">
    <w:pPr>
      <w:tabs>
        <w:tab w:val="left" w:pos="-1440"/>
        <w:tab w:val="left" w:pos="-720"/>
        <w:tab w:val="left" w:pos="720"/>
        <w:tab w:val="left" w:pos="1440"/>
        <w:tab w:val="left" w:pos="2160"/>
        <w:tab w:val="left" w:pos="3600"/>
        <w:tab w:val="left" w:pos="4320"/>
        <w:tab w:val="left" w:pos="5040"/>
        <w:tab w:val="left" w:pos="5523"/>
        <w:tab w:val="left" w:pos="6480"/>
      </w:tabs>
      <w:rPr>
        <w:rFonts w:ascii="Arial" w:hAnsi="Arial" w:cs="Arial"/>
        <w:b/>
        <w:bCs/>
        <w:caps/>
        <w:lang w:val="en-US"/>
      </w:rPr>
    </w:pPr>
  </w:p>
  <w:p w14:paraId="28D5C1EB" w14:textId="7B12D920" w:rsidR="00FA68D9" w:rsidRPr="00E35CD7" w:rsidRDefault="00FA68D9" w:rsidP="00E35CD7">
    <w:pPr>
      <w:pStyle w:val="b"/>
      <w:ind w:left="567" w:firstLine="0"/>
      <w:jc w:val="center"/>
      <w:rPr>
        <w:rFonts w:ascii="Arial" w:hAnsi="Arial" w:cs="Arial"/>
        <w:b/>
        <w:bCs/>
        <w:caps/>
        <w:lang w:val="en-GB"/>
      </w:rPr>
    </w:pPr>
    <w:r w:rsidRPr="00FA68D9">
      <w:rPr>
        <w:rFonts w:ascii="Arial" w:hAnsi="Arial" w:cs="Arial"/>
        <w:b/>
        <w:sz w:val="22"/>
        <w:szCs w:val="22"/>
        <w:lang w:val="en-US"/>
      </w:rPr>
      <w:t xml:space="preserve">REPORT OF THE EXECUTIVE SECRETARY ON THE WORK ACCOMPLISHED </w:t>
    </w:r>
    <w:r w:rsidRPr="00FA68D9">
      <w:rPr>
        <w:rFonts w:ascii="Arial" w:hAnsi="Arial" w:cs="Arial"/>
        <w:b/>
        <w:sz w:val="22"/>
        <w:szCs w:val="22"/>
        <w:lang w:val="en-US"/>
      </w:rPr>
      <w:br/>
      <w:t xml:space="preserve">SINCE THE THIRTY-FIRST SESSION OF THE ASSEMBLY (July 2021–May 2022) </w:t>
    </w:r>
    <w:r w:rsidRPr="00A05A4D">
      <w:rPr>
        <w:rFonts w:ascii="Arial" w:hAnsi="Arial" w:cs="Arial"/>
        <w:sz w:val="22"/>
        <w:szCs w:val="22"/>
        <w:lang w:val="en-US"/>
      </w:rPr>
      <w:br/>
    </w:r>
  </w:p>
  <w:p w14:paraId="12B25AD8" w14:textId="77777777" w:rsidR="004B7754" w:rsidRPr="00FA68D9" w:rsidRDefault="004B7754" w:rsidP="00FA68D9">
    <w:pPr>
      <w:tabs>
        <w:tab w:val="left" w:pos="-1440"/>
        <w:tab w:val="left" w:pos="-720"/>
        <w:tab w:val="left" w:pos="720"/>
        <w:tab w:val="left" w:pos="1440"/>
        <w:tab w:val="left" w:pos="2160"/>
        <w:tab w:val="left" w:pos="3600"/>
        <w:tab w:val="left" w:pos="4320"/>
        <w:tab w:val="left" w:pos="5040"/>
        <w:tab w:val="left" w:pos="5523"/>
        <w:tab w:val="left" w:pos="6480"/>
      </w:tabs>
      <w:rPr>
        <w:rFonts w:cs="Arial"/>
        <w:bCs/>
        <w:szCs w:val="22"/>
        <w:lang w:val="en-US"/>
      </w:rPr>
    </w:pPr>
  </w:p>
  <w:p w14:paraId="5F53C7C4" w14:textId="77777777" w:rsidR="004B7754" w:rsidRPr="00FA68D9" w:rsidRDefault="004B7754" w:rsidP="00B17054">
    <w:pPr>
      <w:pStyle w:val="Header"/>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A513E"/>
    <w:multiLevelType w:val="hybridMultilevel"/>
    <w:tmpl w:val="E97E1C0A"/>
    <w:lvl w:ilvl="0" w:tplc="BB4873A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4900789"/>
    <w:multiLevelType w:val="hybridMultilevel"/>
    <w:tmpl w:val="0704798C"/>
    <w:lvl w:ilvl="0" w:tplc="6A1871F0">
      <w:start w:val="1"/>
      <w:numFmt w:val="decimal"/>
      <w:lvlText w:val="%1."/>
      <w:lvlJc w:val="left"/>
      <w:pPr>
        <w:ind w:left="1440" w:hanging="360"/>
      </w:pPr>
      <w:rPr>
        <w:rFonts w:ascii="Arial" w:hAnsi="Arial" w:cs="Arial" w:hint="default"/>
        <w:b w:val="0"/>
        <w:i w:val="0"/>
        <w:sz w:val="22"/>
        <w:szCs w:val="2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14E4189A"/>
    <w:multiLevelType w:val="hybridMultilevel"/>
    <w:tmpl w:val="0A2A62A8"/>
    <w:lvl w:ilvl="0" w:tplc="D4BAA45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4B57F5"/>
    <w:multiLevelType w:val="hybridMultilevel"/>
    <w:tmpl w:val="69A41796"/>
    <w:lvl w:ilvl="0" w:tplc="B76C1B94">
      <w:start w:val="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9102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3B14D83"/>
    <w:multiLevelType w:val="singleLevel"/>
    <w:tmpl w:val="927E70FE"/>
    <w:lvl w:ilvl="0">
      <w:start w:val="1"/>
      <w:numFmt w:val="bullet"/>
      <w:pStyle w:val="TIRETbul1cm"/>
      <w:lvlText w:val=""/>
      <w:lvlJc w:val="left"/>
      <w:pPr>
        <w:tabs>
          <w:tab w:val="num" w:pos="644"/>
        </w:tabs>
        <w:ind w:left="284" w:firstLine="0"/>
      </w:pPr>
      <w:rPr>
        <w:rFonts w:ascii="Symbol" w:hAnsi="Symbol" w:hint="default"/>
      </w:rPr>
    </w:lvl>
  </w:abstractNum>
  <w:abstractNum w:abstractNumId="6" w15:restartNumberingAfterBreak="0">
    <w:nsid w:val="346E1C6B"/>
    <w:multiLevelType w:val="multilevel"/>
    <w:tmpl w:val="908245F4"/>
    <w:lvl w:ilvl="0">
      <w:start w:val="1"/>
      <w:numFmt w:val="decimal"/>
      <w:lvlText w:val="%1."/>
      <w:lvlJc w:val="left"/>
      <w:pPr>
        <w:ind w:left="720" w:hanging="360"/>
      </w:pPr>
      <w:rPr>
        <w:b/>
        <w:lang w:val="en-US"/>
      </w:rPr>
    </w:lvl>
    <w:lvl w:ilvl="1">
      <w:start w:val="1"/>
      <w:numFmt w:val="decimal"/>
      <w:isLgl/>
      <w:lvlText w:val="%1.%2"/>
      <w:lvlJc w:val="left"/>
      <w:pPr>
        <w:ind w:left="1137" w:hanging="570"/>
      </w:pPr>
      <w:rPr>
        <w:rFonts w:hint="default"/>
        <w:sz w:val="22"/>
        <w:szCs w:val="22"/>
      </w:rPr>
    </w:lvl>
    <w:lvl w:ilvl="2">
      <w:start w:val="1"/>
      <w:numFmt w:val="decimal"/>
      <w:isLgl/>
      <w:lvlText w:val="%1.%2.%3"/>
      <w:lvlJc w:val="left"/>
      <w:pPr>
        <w:ind w:left="1494"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 w15:restartNumberingAfterBreak="0">
    <w:nsid w:val="50062B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CAD294C"/>
    <w:multiLevelType w:val="hybridMultilevel"/>
    <w:tmpl w:val="062066E2"/>
    <w:lvl w:ilvl="0" w:tplc="04090001">
      <w:start w:val="1"/>
      <w:numFmt w:val="bullet"/>
      <w:lvlText w:val=""/>
      <w:lvlJc w:val="left"/>
      <w:pPr>
        <w:ind w:left="502" w:hanging="360"/>
      </w:pPr>
      <w:rPr>
        <w:rFonts w:ascii="Symbol" w:hAnsi="Symbol" w:hint="default"/>
        <w:b w:val="0"/>
        <w:i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68E32CA9"/>
    <w:multiLevelType w:val="hybridMultilevel"/>
    <w:tmpl w:val="50843CD0"/>
    <w:lvl w:ilvl="0" w:tplc="05E2F3C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74B4E7C"/>
    <w:multiLevelType w:val="hybridMultilevel"/>
    <w:tmpl w:val="DB10B0C0"/>
    <w:lvl w:ilvl="0" w:tplc="522267D6">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10"/>
  </w:num>
  <w:num w:numId="12">
    <w:abstractNumId w:val="5"/>
  </w:num>
  <w:num w:numId="13">
    <w:abstractNumId w:val="3"/>
  </w:num>
  <w:num w:numId="14">
    <w:abstractNumId w:val="6"/>
  </w:num>
  <w:num w:numId="15">
    <w:abstractNumId w:val="2"/>
  </w:num>
  <w:num w:numId="16">
    <w:abstractNumId w:val="7"/>
  </w:num>
  <w:num w:numId="17">
    <w:abstractNumId w:val="4"/>
  </w:num>
  <w:num w:numId="18">
    <w:abstractNumId w:val="1"/>
  </w:num>
  <w:num w:numId="19">
    <w:abstractNumId w:val="8"/>
  </w:num>
  <w:num w:numId="20">
    <w:abstractNumId w:val="9"/>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AR" w:vendorID="64" w:dllVersion="0" w:nlCheck="1" w:checkStyle="0"/>
  <w:activeWritingStyle w:appName="MSWord" w:lang="es-AR" w:vendorID="64" w:dllVersion="6" w:nlCheck="1" w:checkStyle="0"/>
  <w:activeWritingStyle w:appName="MSWord" w:lang="pt-P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isplayHorizontalDrawingGridEvery w:val="0"/>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754"/>
    <w:rsid w:val="00001799"/>
    <w:rsid w:val="000031EF"/>
    <w:rsid w:val="00004725"/>
    <w:rsid w:val="000055C3"/>
    <w:rsid w:val="00006C25"/>
    <w:rsid w:val="00010B89"/>
    <w:rsid w:val="000118CD"/>
    <w:rsid w:val="00013390"/>
    <w:rsid w:val="00017E4B"/>
    <w:rsid w:val="00025A88"/>
    <w:rsid w:val="00026782"/>
    <w:rsid w:val="00027122"/>
    <w:rsid w:val="000319A1"/>
    <w:rsid w:val="00032C8E"/>
    <w:rsid w:val="00033544"/>
    <w:rsid w:val="00034C53"/>
    <w:rsid w:val="00034C70"/>
    <w:rsid w:val="000431C5"/>
    <w:rsid w:val="000445B8"/>
    <w:rsid w:val="0004582F"/>
    <w:rsid w:val="00060399"/>
    <w:rsid w:val="00060718"/>
    <w:rsid w:val="000658F2"/>
    <w:rsid w:val="00065DEB"/>
    <w:rsid w:val="0006619A"/>
    <w:rsid w:val="0006675E"/>
    <w:rsid w:val="00067E0B"/>
    <w:rsid w:val="000719A5"/>
    <w:rsid w:val="000748A0"/>
    <w:rsid w:val="00075DC0"/>
    <w:rsid w:val="00080B76"/>
    <w:rsid w:val="00080CDD"/>
    <w:rsid w:val="00081592"/>
    <w:rsid w:val="000816BD"/>
    <w:rsid w:val="00082162"/>
    <w:rsid w:val="00083369"/>
    <w:rsid w:val="00085FE9"/>
    <w:rsid w:val="00086071"/>
    <w:rsid w:val="0009246D"/>
    <w:rsid w:val="0009256F"/>
    <w:rsid w:val="00097CDF"/>
    <w:rsid w:val="000A6D08"/>
    <w:rsid w:val="000B1B44"/>
    <w:rsid w:val="000B40F3"/>
    <w:rsid w:val="000C3BB5"/>
    <w:rsid w:val="000D6EB3"/>
    <w:rsid w:val="000D719C"/>
    <w:rsid w:val="000E0533"/>
    <w:rsid w:val="000E05C8"/>
    <w:rsid w:val="000E188E"/>
    <w:rsid w:val="000E55FB"/>
    <w:rsid w:val="000E7E22"/>
    <w:rsid w:val="000F4768"/>
    <w:rsid w:val="000F4DDB"/>
    <w:rsid w:val="000F7203"/>
    <w:rsid w:val="000F78B3"/>
    <w:rsid w:val="001002FF"/>
    <w:rsid w:val="001026BE"/>
    <w:rsid w:val="00104894"/>
    <w:rsid w:val="00104EE2"/>
    <w:rsid w:val="001056F8"/>
    <w:rsid w:val="00105E15"/>
    <w:rsid w:val="00105EA4"/>
    <w:rsid w:val="00110568"/>
    <w:rsid w:val="00110D3A"/>
    <w:rsid w:val="00113090"/>
    <w:rsid w:val="00113F97"/>
    <w:rsid w:val="0012374E"/>
    <w:rsid w:val="00123F7E"/>
    <w:rsid w:val="00131529"/>
    <w:rsid w:val="0013238B"/>
    <w:rsid w:val="00134711"/>
    <w:rsid w:val="0013649D"/>
    <w:rsid w:val="00143B1A"/>
    <w:rsid w:val="0014529C"/>
    <w:rsid w:val="0015046B"/>
    <w:rsid w:val="001524A3"/>
    <w:rsid w:val="0015561D"/>
    <w:rsid w:val="001579AB"/>
    <w:rsid w:val="00160284"/>
    <w:rsid w:val="0016592F"/>
    <w:rsid w:val="001659AA"/>
    <w:rsid w:val="00165CBD"/>
    <w:rsid w:val="0017022A"/>
    <w:rsid w:val="001766F9"/>
    <w:rsid w:val="00182096"/>
    <w:rsid w:val="0018253D"/>
    <w:rsid w:val="00183FEA"/>
    <w:rsid w:val="00185B54"/>
    <w:rsid w:val="00185D28"/>
    <w:rsid w:val="0019010A"/>
    <w:rsid w:val="00192400"/>
    <w:rsid w:val="001A033E"/>
    <w:rsid w:val="001A071C"/>
    <w:rsid w:val="001A2943"/>
    <w:rsid w:val="001A6261"/>
    <w:rsid w:val="001A6DDA"/>
    <w:rsid w:val="001A73F8"/>
    <w:rsid w:val="001B2807"/>
    <w:rsid w:val="001B5075"/>
    <w:rsid w:val="001B64AC"/>
    <w:rsid w:val="001C18CF"/>
    <w:rsid w:val="001C20FE"/>
    <w:rsid w:val="001C4F30"/>
    <w:rsid w:val="001C6221"/>
    <w:rsid w:val="001C6842"/>
    <w:rsid w:val="001C6D83"/>
    <w:rsid w:val="001D11E8"/>
    <w:rsid w:val="001D69B3"/>
    <w:rsid w:val="001E441E"/>
    <w:rsid w:val="001E5FF2"/>
    <w:rsid w:val="001F65B3"/>
    <w:rsid w:val="001F65D5"/>
    <w:rsid w:val="001F6CF5"/>
    <w:rsid w:val="001F7EF6"/>
    <w:rsid w:val="00200519"/>
    <w:rsid w:val="0020169B"/>
    <w:rsid w:val="00203E48"/>
    <w:rsid w:val="0020573A"/>
    <w:rsid w:val="00207581"/>
    <w:rsid w:val="00215B28"/>
    <w:rsid w:val="00216228"/>
    <w:rsid w:val="00225B52"/>
    <w:rsid w:val="00231994"/>
    <w:rsid w:val="00232596"/>
    <w:rsid w:val="00232FAE"/>
    <w:rsid w:val="0023308D"/>
    <w:rsid w:val="00237FCC"/>
    <w:rsid w:val="00243536"/>
    <w:rsid w:val="00255764"/>
    <w:rsid w:val="002571D5"/>
    <w:rsid w:val="00257562"/>
    <w:rsid w:val="00257884"/>
    <w:rsid w:val="0026233A"/>
    <w:rsid w:val="00265C91"/>
    <w:rsid w:val="00265E4E"/>
    <w:rsid w:val="0027043E"/>
    <w:rsid w:val="00272866"/>
    <w:rsid w:val="00273C68"/>
    <w:rsid w:val="00274D0A"/>
    <w:rsid w:val="0028078A"/>
    <w:rsid w:val="00282456"/>
    <w:rsid w:val="00282FBC"/>
    <w:rsid w:val="00283B06"/>
    <w:rsid w:val="00286B3B"/>
    <w:rsid w:val="002A05D9"/>
    <w:rsid w:val="002A3623"/>
    <w:rsid w:val="002A364B"/>
    <w:rsid w:val="002A3D8C"/>
    <w:rsid w:val="002B0438"/>
    <w:rsid w:val="002B0B65"/>
    <w:rsid w:val="002B2FB7"/>
    <w:rsid w:val="002B58F5"/>
    <w:rsid w:val="002C6A49"/>
    <w:rsid w:val="002D2062"/>
    <w:rsid w:val="002D41F6"/>
    <w:rsid w:val="002D4B35"/>
    <w:rsid w:val="002E0A07"/>
    <w:rsid w:val="002E3B10"/>
    <w:rsid w:val="002E524A"/>
    <w:rsid w:val="002E558B"/>
    <w:rsid w:val="002E5A7D"/>
    <w:rsid w:val="002E6FCC"/>
    <w:rsid w:val="002F0EB7"/>
    <w:rsid w:val="002F11B4"/>
    <w:rsid w:val="002F27AC"/>
    <w:rsid w:val="002F335A"/>
    <w:rsid w:val="002F37FA"/>
    <w:rsid w:val="002F53C8"/>
    <w:rsid w:val="002F577C"/>
    <w:rsid w:val="002F58A0"/>
    <w:rsid w:val="002F6710"/>
    <w:rsid w:val="00304613"/>
    <w:rsid w:val="00306797"/>
    <w:rsid w:val="003118C0"/>
    <w:rsid w:val="00313AB1"/>
    <w:rsid w:val="00315268"/>
    <w:rsid w:val="00320986"/>
    <w:rsid w:val="00321055"/>
    <w:rsid w:val="00322E7B"/>
    <w:rsid w:val="00323A23"/>
    <w:rsid w:val="00323C8D"/>
    <w:rsid w:val="00327059"/>
    <w:rsid w:val="00332421"/>
    <w:rsid w:val="00332534"/>
    <w:rsid w:val="00332785"/>
    <w:rsid w:val="0033582A"/>
    <w:rsid w:val="0033741E"/>
    <w:rsid w:val="00341FD0"/>
    <w:rsid w:val="0034392B"/>
    <w:rsid w:val="00344E00"/>
    <w:rsid w:val="00352423"/>
    <w:rsid w:val="00354A10"/>
    <w:rsid w:val="00355A56"/>
    <w:rsid w:val="003563D2"/>
    <w:rsid w:val="00360F32"/>
    <w:rsid w:val="00366C04"/>
    <w:rsid w:val="003774D6"/>
    <w:rsid w:val="00382463"/>
    <w:rsid w:val="00393704"/>
    <w:rsid w:val="0039512E"/>
    <w:rsid w:val="00395A11"/>
    <w:rsid w:val="003B2CC9"/>
    <w:rsid w:val="003B3349"/>
    <w:rsid w:val="003B390E"/>
    <w:rsid w:val="003B64CB"/>
    <w:rsid w:val="003B6DA1"/>
    <w:rsid w:val="003B6ECA"/>
    <w:rsid w:val="003B6FC5"/>
    <w:rsid w:val="003C15F6"/>
    <w:rsid w:val="003C240D"/>
    <w:rsid w:val="003C309A"/>
    <w:rsid w:val="003C4A99"/>
    <w:rsid w:val="003D31F1"/>
    <w:rsid w:val="003D4548"/>
    <w:rsid w:val="003E26AB"/>
    <w:rsid w:val="003E331B"/>
    <w:rsid w:val="003E5A89"/>
    <w:rsid w:val="003E7B79"/>
    <w:rsid w:val="003F5299"/>
    <w:rsid w:val="003F74E5"/>
    <w:rsid w:val="004032DB"/>
    <w:rsid w:val="00403EB2"/>
    <w:rsid w:val="004047AA"/>
    <w:rsid w:val="00404945"/>
    <w:rsid w:val="00405201"/>
    <w:rsid w:val="004119A8"/>
    <w:rsid w:val="00417106"/>
    <w:rsid w:val="00425E51"/>
    <w:rsid w:val="0042612F"/>
    <w:rsid w:val="00431123"/>
    <w:rsid w:val="00437DB1"/>
    <w:rsid w:val="00441F29"/>
    <w:rsid w:val="00441FE3"/>
    <w:rsid w:val="00450AA6"/>
    <w:rsid w:val="00452512"/>
    <w:rsid w:val="00452CFD"/>
    <w:rsid w:val="00453CE0"/>
    <w:rsid w:val="00463AB2"/>
    <w:rsid w:val="004750C1"/>
    <w:rsid w:val="004768E8"/>
    <w:rsid w:val="00476A0C"/>
    <w:rsid w:val="00477409"/>
    <w:rsid w:val="0048119B"/>
    <w:rsid w:val="00481C77"/>
    <w:rsid w:val="00485772"/>
    <w:rsid w:val="00485AA9"/>
    <w:rsid w:val="00486080"/>
    <w:rsid w:val="0049319A"/>
    <w:rsid w:val="00494DB3"/>
    <w:rsid w:val="00495A69"/>
    <w:rsid w:val="004966AD"/>
    <w:rsid w:val="004A0A6B"/>
    <w:rsid w:val="004A0F6A"/>
    <w:rsid w:val="004A202F"/>
    <w:rsid w:val="004B389C"/>
    <w:rsid w:val="004B3D01"/>
    <w:rsid w:val="004B5787"/>
    <w:rsid w:val="004B7754"/>
    <w:rsid w:val="004C4469"/>
    <w:rsid w:val="004C586B"/>
    <w:rsid w:val="004C6065"/>
    <w:rsid w:val="004C6FFD"/>
    <w:rsid w:val="004C78C5"/>
    <w:rsid w:val="004D4484"/>
    <w:rsid w:val="004E084D"/>
    <w:rsid w:val="004E2D89"/>
    <w:rsid w:val="004E3446"/>
    <w:rsid w:val="004E4A23"/>
    <w:rsid w:val="004E6B90"/>
    <w:rsid w:val="004F0BEC"/>
    <w:rsid w:val="004F4AC5"/>
    <w:rsid w:val="004F5686"/>
    <w:rsid w:val="005066B5"/>
    <w:rsid w:val="00514AC0"/>
    <w:rsid w:val="00515020"/>
    <w:rsid w:val="00523B29"/>
    <w:rsid w:val="00523DF2"/>
    <w:rsid w:val="00524D94"/>
    <w:rsid w:val="00530113"/>
    <w:rsid w:val="00534733"/>
    <w:rsid w:val="0053720B"/>
    <w:rsid w:val="005462A1"/>
    <w:rsid w:val="00554688"/>
    <w:rsid w:val="00555D7F"/>
    <w:rsid w:val="00556410"/>
    <w:rsid w:val="005616DE"/>
    <w:rsid w:val="00561F53"/>
    <w:rsid w:val="00561F97"/>
    <w:rsid w:val="00562F4C"/>
    <w:rsid w:val="0056655B"/>
    <w:rsid w:val="00570881"/>
    <w:rsid w:val="00572116"/>
    <w:rsid w:val="00574F2F"/>
    <w:rsid w:val="0057500A"/>
    <w:rsid w:val="00575B63"/>
    <w:rsid w:val="00576EF7"/>
    <w:rsid w:val="005829FE"/>
    <w:rsid w:val="0058628A"/>
    <w:rsid w:val="00587822"/>
    <w:rsid w:val="005878F6"/>
    <w:rsid w:val="00593EC9"/>
    <w:rsid w:val="00596959"/>
    <w:rsid w:val="005A1B75"/>
    <w:rsid w:val="005A7E87"/>
    <w:rsid w:val="005B0510"/>
    <w:rsid w:val="005B09E3"/>
    <w:rsid w:val="005B0F21"/>
    <w:rsid w:val="005B2606"/>
    <w:rsid w:val="005B6674"/>
    <w:rsid w:val="005B670F"/>
    <w:rsid w:val="005C565B"/>
    <w:rsid w:val="005C5B67"/>
    <w:rsid w:val="005C6245"/>
    <w:rsid w:val="005C76B4"/>
    <w:rsid w:val="005D05AB"/>
    <w:rsid w:val="005D0CC4"/>
    <w:rsid w:val="005D36CA"/>
    <w:rsid w:val="005D5313"/>
    <w:rsid w:val="005E2BCD"/>
    <w:rsid w:val="005E325F"/>
    <w:rsid w:val="005E4C90"/>
    <w:rsid w:val="005E661A"/>
    <w:rsid w:val="005F2B83"/>
    <w:rsid w:val="005F39DB"/>
    <w:rsid w:val="005F55BE"/>
    <w:rsid w:val="00600999"/>
    <w:rsid w:val="00602C02"/>
    <w:rsid w:val="0060360F"/>
    <w:rsid w:val="006122F2"/>
    <w:rsid w:val="00612A3E"/>
    <w:rsid w:val="00613F3F"/>
    <w:rsid w:val="006140DB"/>
    <w:rsid w:val="00615D71"/>
    <w:rsid w:val="00615F33"/>
    <w:rsid w:val="00625EE0"/>
    <w:rsid w:val="00625FE6"/>
    <w:rsid w:val="006327B2"/>
    <w:rsid w:val="006331C8"/>
    <w:rsid w:val="00637621"/>
    <w:rsid w:val="006408BF"/>
    <w:rsid w:val="00645699"/>
    <w:rsid w:val="00646F26"/>
    <w:rsid w:val="006502B2"/>
    <w:rsid w:val="00650A87"/>
    <w:rsid w:val="00654AA1"/>
    <w:rsid w:val="00657AC1"/>
    <w:rsid w:val="00657EB5"/>
    <w:rsid w:val="006644A7"/>
    <w:rsid w:val="00666085"/>
    <w:rsid w:val="0067098E"/>
    <w:rsid w:val="00671A70"/>
    <w:rsid w:val="00672A6F"/>
    <w:rsid w:val="0067544A"/>
    <w:rsid w:val="00681D60"/>
    <w:rsid w:val="00682998"/>
    <w:rsid w:val="00694BEE"/>
    <w:rsid w:val="00697CE4"/>
    <w:rsid w:val="006A1ED7"/>
    <w:rsid w:val="006A2412"/>
    <w:rsid w:val="006A2C9D"/>
    <w:rsid w:val="006A3196"/>
    <w:rsid w:val="006B2C23"/>
    <w:rsid w:val="006B7AA9"/>
    <w:rsid w:val="006C2500"/>
    <w:rsid w:val="006C48C7"/>
    <w:rsid w:val="006C6875"/>
    <w:rsid w:val="006C6EB1"/>
    <w:rsid w:val="006C7AE8"/>
    <w:rsid w:val="006E0BCF"/>
    <w:rsid w:val="006E33FC"/>
    <w:rsid w:val="006E3403"/>
    <w:rsid w:val="006E3CA0"/>
    <w:rsid w:val="006E5A90"/>
    <w:rsid w:val="006F53F4"/>
    <w:rsid w:val="006F6B09"/>
    <w:rsid w:val="0070039C"/>
    <w:rsid w:val="00702EB4"/>
    <w:rsid w:val="007033D9"/>
    <w:rsid w:val="00704AD8"/>
    <w:rsid w:val="00705DFD"/>
    <w:rsid w:val="00705F29"/>
    <w:rsid w:val="007069A8"/>
    <w:rsid w:val="00713AE4"/>
    <w:rsid w:val="007156EF"/>
    <w:rsid w:val="007169AF"/>
    <w:rsid w:val="007206CD"/>
    <w:rsid w:val="00727C74"/>
    <w:rsid w:val="00727EEF"/>
    <w:rsid w:val="00731536"/>
    <w:rsid w:val="00732AF2"/>
    <w:rsid w:val="007331F8"/>
    <w:rsid w:val="00735534"/>
    <w:rsid w:val="00735E52"/>
    <w:rsid w:val="007443CA"/>
    <w:rsid w:val="007464AB"/>
    <w:rsid w:val="00747591"/>
    <w:rsid w:val="00750F05"/>
    <w:rsid w:val="00755DEA"/>
    <w:rsid w:val="00756E80"/>
    <w:rsid w:val="007577B2"/>
    <w:rsid w:val="007628BE"/>
    <w:rsid w:val="00762B2E"/>
    <w:rsid w:val="00766688"/>
    <w:rsid w:val="00770EC7"/>
    <w:rsid w:val="00771A2C"/>
    <w:rsid w:val="00774083"/>
    <w:rsid w:val="007746A7"/>
    <w:rsid w:val="00774FDF"/>
    <w:rsid w:val="007756DF"/>
    <w:rsid w:val="007807C6"/>
    <w:rsid w:val="00782F36"/>
    <w:rsid w:val="007869BC"/>
    <w:rsid w:val="00787155"/>
    <w:rsid w:val="00787C77"/>
    <w:rsid w:val="00790644"/>
    <w:rsid w:val="0079161F"/>
    <w:rsid w:val="00795D13"/>
    <w:rsid w:val="007A264F"/>
    <w:rsid w:val="007A2976"/>
    <w:rsid w:val="007A4866"/>
    <w:rsid w:val="007B032D"/>
    <w:rsid w:val="007B267F"/>
    <w:rsid w:val="007B4E4D"/>
    <w:rsid w:val="007B5C46"/>
    <w:rsid w:val="007B70CA"/>
    <w:rsid w:val="007B79DB"/>
    <w:rsid w:val="007C23B2"/>
    <w:rsid w:val="007C2552"/>
    <w:rsid w:val="007C4C1D"/>
    <w:rsid w:val="007C5399"/>
    <w:rsid w:val="007C58F2"/>
    <w:rsid w:val="007C60C1"/>
    <w:rsid w:val="007C6427"/>
    <w:rsid w:val="007C6D7C"/>
    <w:rsid w:val="007D02E1"/>
    <w:rsid w:val="007D14B6"/>
    <w:rsid w:val="007D3990"/>
    <w:rsid w:val="007D4781"/>
    <w:rsid w:val="007D5C6F"/>
    <w:rsid w:val="007E331D"/>
    <w:rsid w:val="007E3BE2"/>
    <w:rsid w:val="007E6267"/>
    <w:rsid w:val="007E6585"/>
    <w:rsid w:val="007F0FB9"/>
    <w:rsid w:val="007F1A39"/>
    <w:rsid w:val="007F77F4"/>
    <w:rsid w:val="00800665"/>
    <w:rsid w:val="00806CD3"/>
    <w:rsid w:val="008074BE"/>
    <w:rsid w:val="00811963"/>
    <w:rsid w:val="0081272A"/>
    <w:rsid w:val="008148FD"/>
    <w:rsid w:val="00821ABA"/>
    <w:rsid w:val="0082240E"/>
    <w:rsid w:val="00823535"/>
    <w:rsid w:val="00825797"/>
    <w:rsid w:val="0083349A"/>
    <w:rsid w:val="008334C8"/>
    <w:rsid w:val="00835997"/>
    <w:rsid w:val="00835F4D"/>
    <w:rsid w:val="008426CA"/>
    <w:rsid w:val="00843E81"/>
    <w:rsid w:val="00845462"/>
    <w:rsid w:val="00851937"/>
    <w:rsid w:val="00856ABB"/>
    <w:rsid w:val="008608E0"/>
    <w:rsid w:val="0086422A"/>
    <w:rsid w:val="00864ABF"/>
    <w:rsid w:val="00866274"/>
    <w:rsid w:val="00866366"/>
    <w:rsid w:val="00867B04"/>
    <w:rsid w:val="0087160D"/>
    <w:rsid w:val="00873AFD"/>
    <w:rsid w:val="00873C36"/>
    <w:rsid w:val="0087409D"/>
    <w:rsid w:val="00876067"/>
    <w:rsid w:val="008840C0"/>
    <w:rsid w:val="00884332"/>
    <w:rsid w:val="008901AA"/>
    <w:rsid w:val="00890255"/>
    <w:rsid w:val="0089179C"/>
    <w:rsid w:val="00895E0F"/>
    <w:rsid w:val="00896575"/>
    <w:rsid w:val="008967F5"/>
    <w:rsid w:val="008A05D0"/>
    <w:rsid w:val="008A0C1C"/>
    <w:rsid w:val="008A6D88"/>
    <w:rsid w:val="008A7D5D"/>
    <w:rsid w:val="008B19BD"/>
    <w:rsid w:val="008B4407"/>
    <w:rsid w:val="008B544A"/>
    <w:rsid w:val="008B77EB"/>
    <w:rsid w:val="008C15AF"/>
    <w:rsid w:val="008C74FA"/>
    <w:rsid w:val="008D5C30"/>
    <w:rsid w:val="008E02B7"/>
    <w:rsid w:val="008E0DC5"/>
    <w:rsid w:val="008E280C"/>
    <w:rsid w:val="008E5F82"/>
    <w:rsid w:val="008F0135"/>
    <w:rsid w:val="008F4611"/>
    <w:rsid w:val="008F67D5"/>
    <w:rsid w:val="00900C89"/>
    <w:rsid w:val="00900FD7"/>
    <w:rsid w:val="009028D9"/>
    <w:rsid w:val="00903B13"/>
    <w:rsid w:val="00904ACB"/>
    <w:rsid w:val="00906E3C"/>
    <w:rsid w:val="00910C59"/>
    <w:rsid w:val="00911834"/>
    <w:rsid w:val="00912C72"/>
    <w:rsid w:val="0091479B"/>
    <w:rsid w:val="00920270"/>
    <w:rsid w:val="009205FF"/>
    <w:rsid w:val="00922194"/>
    <w:rsid w:val="00923FC3"/>
    <w:rsid w:val="009263CA"/>
    <w:rsid w:val="00926737"/>
    <w:rsid w:val="009278CB"/>
    <w:rsid w:val="0093392C"/>
    <w:rsid w:val="00935F8E"/>
    <w:rsid w:val="00940BCB"/>
    <w:rsid w:val="00941FC7"/>
    <w:rsid w:val="00942E2B"/>
    <w:rsid w:val="0094308D"/>
    <w:rsid w:val="00945D12"/>
    <w:rsid w:val="00952B4D"/>
    <w:rsid w:val="009531A0"/>
    <w:rsid w:val="009533B4"/>
    <w:rsid w:val="00953F37"/>
    <w:rsid w:val="00957CB2"/>
    <w:rsid w:val="0096155D"/>
    <w:rsid w:val="0096678C"/>
    <w:rsid w:val="00970D2E"/>
    <w:rsid w:val="0097327C"/>
    <w:rsid w:val="009736C0"/>
    <w:rsid w:val="0097668F"/>
    <w:rsid w:val="0098096C"/>
    <w:rsid w:val="00980AA0"/>
    <w:rsid w:val="00981A92"/>
    <w:rsid w:val="009827C6"/>
    <w:rsid w:val="009832EB"/>
    <w:rsid w:val="00985E78"/>
    <w:rsid w:val="0098794B"/>
    <w:rsid w:val="009905D6"/>
    <w:rsid w:val="009911AA"/>
    <w:rsid w:val="0099674A"/>
    <w:rsid w:val="009A03DB"/>
    <w:rsid w:val="009A1DDC"/>
    <w:rsid w:val="009A6B84"/>
    <w:rsid w:val="009A7F76"/>
    <w:rsid w:val="009B2FB5"/>
    <w:rsid w:val="009B33B9"/>
    <w:rsid w:val="009B4B8B"/>
    <w:rsid w:val="009B7ED9"/>
    <w:rsid w:val="009C32D0"/>
    <w:rsid w:val="009C5BA0"/>
    <w:rsid w:val="009D460D"/>
    <w:rsid w:val="009E05CD"/>
    <w:rsid w:val="009E4F85"/>
    <w:rsid w:val="009E511B"/>
    <w:rsid w:val="009E51C9"/>
    <w:rsid w:val="009F1EFE"/>
    <w:rsid w:val="009F2CE4"/>
    <w:rsid w:val="009F42E1"/>
    <w:rsid w:val="009F49EA"/>
    <w:rsid w:val="009F5659"/>
    <w:rsid w:val="00A02887"/>
    <w:rsid w:val="00A02E57"/>
    <w:rsid w:val="00A03BA7"/>
    <w:rsid w:val="00A057C4"/>
    <w:rsid w:val="00A05A4D"/>
    <w:rsid w:val="00A05AB4"/>
    <w:rsid w:val="00A070D7"/>
    <w:rsid w:val="00A12E09"/>
    <w:rsid w:val="00A14C22"/>
    <w:rsid w:val="00A25EB2"/>
    <w:rsid w:val="00A265E3"/>
    <w:rsid w:val="00A30AC2"/>
    <w:rsid w:val="00A403AD"/>
    <w:rsid w:val="00A40E60"/>
    <w:rsid w:val="00A45588"/>
    <w:rsid w:val="00A4607A"/>
    <w:rsid w:val="00A529FA"/>
    <w:rsid w:val="00A52B09"/>
    <w:rsid w:val="00A54730"/>
    <w:rsid w:val="00A54BD1"/>
    <w:rsid w:val="00A56096"/>
    <w:rsid w:val="00A56440"/>
    <w:rsid w:val="00A62E0B"/>
    <w:rsid w:val="00A63491"/>
    <w:rsid w:val="00A6553E"/>
    <w:rsid w:val="00A7029E"/>
    <w:rsid w:val="00A72488"/>
    <w:rsid w:val="00A7294C"/>
    <w:rsid w:val="00A74B98"/>
    <w:rsid w:val="00A75239"/>
    <w:rsid w:val="00A7623D"/>
    <w:rsid w:val="00A820F1"/>
    <w:rsid w:val="00AA3077"/>
    <w:rsid w:val="00AA36BB"/>
    <w:rsid w:val="00AA6564"/>
    <w:rsid w:val="00AA6FCA"/>
    <w:rsid w:val="00AB2387"/>
    <w:rsid w:val="00AB346C"/>
    <w:rsid w:val="00AB37B5"/>
    <w:rsid w:val="00AB5A78"/>
    <w:rsid w:val="00AC333C"/>
    <w:rsid w:val="00AC65C5"/>
    <w:rsid w:val="00AC7D27"/>
    <w:rsid w:val="00AD035C"/>
    <w:rsid w:val="00AD1EB6"/>
    <w:rsid w:val="00AD2EC9"/>
    <w:rsid w:val="00AD64A4"/>
    <w:rsid w:val="00AD6B3B"/>
    <w:rsid w:val="00AE018F"/>
    <w:rsid w:val="00AE0B67"/>
    <w:rsid w:val="00AE187B"/>
    <w:rsid w:val="00AE26F5"/>
    <w:rsid w:val="00AE3537"/>
    <w:rsid w:val="00AE3F49"/>
    <w:rsid w:val="00B00B27"/>
    <w:rsid w:val="00B012D9"/>
    <w:rsid w:val="00B0184D"/>
    <w:rsid w:val="00B02B0A"/>
    <w:rsid w:val="00B046E5"/>
    <w:rsid w:val="00B046EA"/>
    <w:rsid w:val="00B04D6D"/>
    <w:rsid w:val="00B14DDB"/>
    <w:rsid w:val="00B14E7A"/>
    <w:rsid w:val="00B154B8"/>
    <w:rsid w:val="00B17054"/>
    <w:rsid w:val="00B201CC"/>
    <w:rsid w:val="00B2296C"/>
    <w:rsid w:val="00B26B8D"/>
    <w:rsid w:val="00B302AD"/>
    <w:rsid w:val="00B308C0"/>
    <w:rsid w:val="00B344A6"/>
    <w:rsid w:val="00B35F7A"/>
    <w:rsid w:val="00B36DD4"/>
    <w:rsid w:val="00B44A64"/>
    <w:rsid w:val="00B45A77"/>
    <w:rsid w:val="00B461D5"/>
    <w:rsid w:val="00B53C2C"/>
    <w:rsid w:val="00B5440A"/>
    <w:rsid w:val="00B6146B"/>
    <w:rsid w:val="00B64733"/>
    <w:rsid w:val="00B64CA2"/>
    <w:rsid w:val="00B64DE3"/>
    <w:rsid w:val="00B75F3E"/>
    <w:rsid w:val="00B777B1"/>
    <w:rsid w:val="00B820A7"/>
    <w:rsid w:val="00B84521"/>
    <w:rsid w:val="00B848E4"/>
    <w:rsid w:val="00B87A2E"/>
    <w:rsid w:val="00B905CA"/>
    <w:rsid w:val="00B91EC7"/>
    <w:rsid w:val="00B961F7"/>
    <w:rsid w:val="00BA0180"/>
    <w:rsid w:val="00BA1457"/>
    <w:rsid w:val="00BA3009"/>
    <w:rsid w:val="00BA6559"/>
    <w:rsid w:val="00BB080A"/>
    <w:rsid w:val="00BB37B9"/>
    <w:rsid w:val="00BB3C67"/>
    <w:rsid w:val="00BB3D08"/>
    <w:rsid w:val="00BB66E8"/>
    <w:rsid w:val="00BB7EC3"/>
    <w:rsid w:val="00BC07E0"/>
    <w:rsid w:val="00BC135C"/>
    <w:rsid w:val="00BC5A68"/>
    <w:rsid w:val="00BC7AE6"/>
    <w:rsid w:val="00BE1951"/>
    <w:rsid w:val="00BE2960"/>
    <w:rsid w:val="00BE4A26"/>
    <w:rsid w:val="00BE76AB"/>
    <w:rsid w:val="00C01CF5"/>
    <w:rsid w:val="00C021AC"/>
    <w:rsid w:val="00C0560F"/>
    <w:rsid w:val="00C073F3"/>
    <w:rsid w:val="00C161F8"/>
    <w:rsid w:val="00C16A4A"/>
    <w:rsid w:val="00C200DD"/>
    <w:rsid w:val="00C23624"/>
    <w:rsid w:val="00C26F58"/>
    <w:rsid w:val="00C34EE6"/>
    <w:rsid w:val="00C373AB"/>
    <w:rsid w:val="00C37980"/>
    <w:rsid w:val="00C40B1F"/>
    <w:rsid w:val="00C4149E"/>
    <w:rsid w:val="00C45D23"/>
    <w:rsid w:val="00C46D98"/>
    <w:rsid w:val="00C47727"/>
    <w:rsid w:val="00C50747"/>
    <w:rsid w:val="00C51DE8"/>
    <w:rsid w:val="00C55047"/>
    <w:rsid w:val="00C571DF"/>
    <w:rsid w:val="00C57455"/>
    <w:rsid w:val="00C6051B"/>
    <w:rsid w:val="00C61B6B"/>
    <w:rsid w:val="00C62EFC"/>
    <w:rsid w:val="00C6503F"/>
    <w:rsid w:val="00C662E9"/>
    <w:rsid w:val="00C67E4A"/>
    <w:rsid w:val="00C71CFC"/>
    <w:rsid w:val="00C72A49"/>
    <w:rsid w:val="00C74028"/>
    <w:rsid w:val="00C742E6"/>
    <w:rsid w:val="00C75E37"/>
    <w:rsid w:val="00C818D1"/>
    <w:rsid w:val="00C81A70"/>
    <w:rsid w:val="00C849C1"/>
    <w:rsid w:val="00C90C4E"/>
    <w:rsid w:val="00C96485"/>
    <w:rsid w:val="00C96BBC"/>
    <w:rsid w:val="00CA03C6"/>
    <w:rsid w:val="00CA2306"/>
    <w:rsid w:val="00CA2BE4"/>
    <w:rsid w:val="00CA3640"/>
    <w:rsid w:val="00CA5EBC"/>
    <w:rsid w:val="00CA69F1"/>
    <w:rsid w:val="00CA7799"/>
    <w:rsid w:val="00CB0FC2"/>
    <w:rsid w:val="00CB1845"/>
    <w:rsid w:val="00CB2350"/>
    <w:rsid w:val="00CB30FB"/>
    <w:rsid w:val="00CB5F9B"/>
    <w:rsid w:val="00CB6E5F"/>
    <w:rsid w:val="00CB74DA"/>
    <w:rsid w:val="00CC7C0D"/>
    <w:rsid w:val="00CD31B6"/>
    <w:rsid w:val="00CD50AB"/>
    <w:rsid w:val="00CD7729"/>
    <w:rsid w:val="00CE11E4"/>
    <w:rsid w:val="00CE43C1"/>
    <w:rsid w:val="00CE4E66"/>
    <w:rsid w:val="00CF2D0C"/>
    <w:rsid w:val="00D02605"/>
    <w:rsid w:val="00D110FE"/>
    <w:rsid w:val="00D12711"/>
    <w:rsid w:val="00D1662F"/>
    <w:rsid w:val="00D204B7"/>
    <w:rsid w:val="00D2050E"/>
    <w:rsid w:val="00D36C3E"/>
    <w:rsid w:val="00D45B02"/>
    <w:rsid w:val="00D473EA"/>
    <w:rsid w:val="00D50B1A"/>
    <w:rsid w:val="00D512DE"/>
    <w:rsid w:val="00D56566"/>
    <w:rsid w:val="00D57367"/>
    <w:rsid w:val="00D61A37"/>
    <w:rsid w:val="00D64782"/>
    <w:rsid w:val="00D67278"/>
    <w:rsid w:val="00D67B8D"/>
    <w:rsid w:val="00D74196"/>
    <w:rsid w:val="00D7566D"/>
    <w:rsid w:val="00D76E20"/>
    <w:rsid w:val="00D8125F"/>
    <w:rsid w:val="00D86D5E"/>
    <w:rsid w:val="00D90453"/>
    <w:rsid w:val="00D922B1"/>
    <w:rsid w:val="00D923CC"/>
    <w:rsid w:val="00DA5F08"/>
    <w:rsid w:val="00DB22A5"/>
    <w:rsid w:val="00DB7370"/>
    <w:rsid w:val="00DC139D"/>
    <w:rsid w:val="00DC2C8A"/>
    <w:rsid w:val="00DC4666"/>
    <w:rsid w:val="00DC4D2A"/>
    <w:rsid w:val="00DC571F"/>
    <w:rsid w:val="00DC71F3"/>
    <w:rsid w:val="00DD3F5E"/>
    <w:rsid w:val="00DD55DA"/>
    <w:rsid w:val="00DD5ADB"/>
    <w:rsid w:val="00DE0399"/>
    <w:rsid w:val="00DE271E"/>
    <w:rsid w:val="00DE569D"/>
    <w:rsid w:val="00DE6571"/>
    <w:rsid w:val="00DE7784"/>
    <w:rsid w:val="00DF0410"/>
    <w:rsid w:val="00DF39D8"/>
    <w:rsid w:val="00DF419A"/>
    <w:rsid w:val="00DF7F7A"/>
    <w:rsid w:val="00E01FDA"/>
    <w:rsid w:val="00E03C5A"/>
    <w:rsid w:val="00E04B7F"/>
    <w:rsid w:val="00E0531A"/>
    <w:rsid w:val="00E10342"/>
    <w:rsid w:val="00E117F3"/>
    <w:rsid w:val="00E154A0"/>
    <w:rsid w:val="00E15729"/>
    <w:rsid w:val="00E179CF"/>
    <w:rsid w:val="00E202A8"/>
    <w:rsid w:val="00E229C2"/>
    <w:rsid w:val="00E232D1"/>
    <w:rsid w:val="00E2459C"/>
    <w:rsid w:val="00E24C1A"/>
    <w:rsid w:val="00E255B3"/>
    <w:rsid w:val="00E26643"/>
    <w:rsid w:val="00E32C35"/>
    <w:rsid w:val="00E35CD7"/>
    <w:rsid w:val="00E369CE"/>
    <w:rsid w:val="00E417D3"/>
    <w:rsid w:val="00E41948"/>
    <w:rsid w:val="00E45331"/>
    <w:rsid w:val="00E45A2F"/>
    <w:rsid w:val="00E46978"/>
    <w:rsid w:val="00E46DA5"/>
    <w:rsid w:val="00E50A52"/>
    <w:rsid w:val="00E50CAC"/>
    <w:rsid w:val="00E564DA"/>
    <w:rsid w:val="00E574F6"/>
    <w:rsid w:val="00E608F3"/>
    <w:rsid w:val="00E60D6A"/>
    <w:rsid w:val="00E60FEA"/>
    <w:rsid w:val="00E63E82"/>
    <w:rsid w:val="00E65FAA"/>
    <w:rsid w:val="00E673A2"/>
    <w:rsid w:val="00E75460"/>
    <w:rsid w:val="00E777DA"/>
    <w:rsid w:val="00E7794D"/>
    <w:rsid w:val="00E77BC6"/>
    <w:rsid w:val="00E77DE7"/>
    <w:rsid w:val="00E83E68"/>
    <w:rsid w:val="00E84A3B"/>
    <w:rsid w:val="00E903F8"/>
    <w:rsid w:val="00E913BA"/>
    <w:rsid w:val="00E94F30"/>
    <w:rsid w:val="00E95B86"/>
    <w:rsid w:val="00E95F76"/>
    <w:rsid w:val="00E97813"/>
    <w:rsid w:val="00EA4749"/>
    <w:rsid w:val="00EA7FE0"/>
    <w:rsid w:val="00EB362B"/>
    <w:rsid w:val="00EB56CD"/>
    <w:rsid w:val="00EC22AC"/>
    <w:rsid w:val="00EC2B26"/>
    <w:rsid w:val="00EC5BB8"/>
    <w:rsid w:val="00EC5F29"/>
    <w:rsid w:val="00ED1508"/>
    <w:rsid w:val="00ED324B"/>
    <w:rsid w:val="00ED39AD"/>
    <w:rsid w:val="00EE171A"/>
    <w:rsid w:val="00EE2F00"/>
    <w:rsid w:val="00EE7052"/>
    <w:rsid w:val="00EF0BFF"/>
    <w:rsid w:val="00EF225C"/>
    <w:rsid w:val="00EF2790"/>
    <w:rsid w:val="00EF5E12"/>
    <w:rsid w:val="00EF6431"/>
    <w:rsid w:val="00EF661D"/>
    <w:rsid w:val="00EF748B"/>
    <w:rsid w:val="00F01066"/>
    <w:rsid w:val="00F051B9"/>
    <w:rsid w:val="00F13454"/>
    <w:rsid w:val="00F15E89"/>
    <w:rsid w:val="00F17FBE"/>
    <w:rsid w:val="00F2236C"/>
    <w:rsid w:val="00F2704F"/>
    <w:rsid w:val="00F2742F"/>
    <w:rsid w:val="00F32E45"/>
    <w:rsid w:val="00F34A3F"/>
    <w:rsid w:val="00F3686B"/>
    <w:rsid w:val="00F36D40"/>
    <w:rsid w:val="00F37E9A"/>
    <w:rsid w:val="00F40E3D"/>
    <w:rsid w:val="00F4275D"/>
    <w:rsid w:val="00F450E2"/>
    <w:rsid w:val="00F459B3"/>
    <w:rsid w:val="00F469C0"/>
    <w:rsid w:val="00F51365"/>
    <w:rsid w:val="00F54707"/>
    <w:rsid w:val="00F57317"/>
    <w:rsid w:val="00F615EE"/>
    <w:rsid w:val="00F625D4"/>
    <w:rsid w:val="00F62C19"/>
    <w:rsid w:val="00F6596B"/>
    <w:rsid w:val="00F65E15"/>
    <w:rsid w:val="00F7261E"/>
    <w:rsid w:val="00F74E91"/>
    <w:rsid w:val="00F76CC9"/>
    <w:rsid w:val="00F77F91"/>
    <w:rsid w:val="00F80390"/>
    <w:rsid w:val="00F8262B"/>
    <w:rsid w:val="00F83DB4"/>
    <w:rsid w:val="00F90174"/>
    <w:rsid w:val="00F9085A"/>
    <w:rsid w:val="00F91FD6"/>
    <w:rsid w:val="00F92D39"/>
    <w:rsid w:val="00F92EBD"/>
    <w:rsid w:val="00F94A51"/>
    <w:rsid w:val="00F95414"/>
    <w:rsid w:val="00FA1BE4"/>
    <w:rsid w:val="00FA5456"/>
    <w:rsid w:val="00FA5B2A"/>
    <w:rsid w:val="00FA68D9"/>
    <w:rsid w:val="00FA6FB3"/>
    <w:rsid w:val="00FB44DD"/>
    <w:rsid w:val="00FB4EDC"/>
    <w:rsid w:val="00FC2702"/>
    <w:rsid w:val="00FC2BEC"/>
    <w:rsid w:val="00FC58B3"/>
    <w:rsid w:val="00FC65BB"/>
    <w:rsid w:val="00FD08CC"/>
    <w:rsid w:val="00FD12DC"/>
    <w:rsid w:val="00FD65AE"/>
    <w:rsid w:val="00FE0520"/>
    <w:rsid w:val="00FE33E1"/>
    <w:rsid w:val="00FE6ADA"/>
    <w:rsid w:val="00FF2C58"/>
    <w:rsid w:val="00FF54F5"/>
    <w:rsid w:val="00FF5F6A"/>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41212C2"/>
  <w15:docId w15:val="{88EFA557-3987-417B-B615-57C2D2FAF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napToGrid w:val="0"/>
    </w:pPr>
    <w:rPr>
      <w:snapToGrid w:val="0"/>
      <w:sz w:val="24"/>
      <w:szCs w:val="24"/>
      <w:lang w:val="en-GB"/>
    </w:rPr>
  </w:style>
  <w:style w:type="paragraph" w:styleId="Heading1">
    <w:name w:val="heading 1"/>
    <w:basedOn w:val="Normal"/>
    <w:next w:val="Marge"/>
    <w:qFormat/>
    <w:pPr>
      <w:keepNext/>
      <w:keepLines/>
      <w:spacing w:before="240" w:after="240"/>
      <w:jc w:val="center"/>
      <w:outlineLvl w:val="0"/>
    </w:pPr>
    <w:rPr>
      <w:rFonts w:eastAsia="Times New Roman"/>
      <w:b/>
      <w:bCs/>
      <w:kern w:val="28"/>
      <w:lang w:val="fr-FR" w:eastAsia="en-US"/>
    </w:rPr>
  </w:style>
  <w:style w:type="paragraph" w:styleId="Heading2">
    <w:name w:val="heading 2"/>
    <w:basedOn w:val="Normal"/>
    <w:next w:val="Marge"/>
    <w:qFormat/>
    <w:pPr>
      <w:keepNext/>
      <w:keepLines/>
      <w:spacing w:before="480" w:after="240"/>
      <w:ind w:left="567" w:hanging="567"/>
      <w:outlineLvl w:val="1"/>
    </w:pPr>
    <w:rPr>
      <w:rFonts w:eastAsia="Times New Roman"/>
      <w:b/>
      <w:bCs/>
      <w:caps/>
      <w:lang w:eastAsia="en-US"/>
    </w:rPr>
  </w:style>
  <w:style w:type="paragraph" w:styleId="Heading3">
    <w:name w:val="heading 3"/>
    <w:basedOn w:val="Normal"/>
    <w:next w:val="Marge"/>
    <w:qFormat/>
    <w:pPr>
      <w:keepNext/>
      <w:keepLines/>
      <w:spacing w:after="240"/>
      <w:ind w:left="567" w:hanging="567"/>
      <w:outlineLvl w:val="2"/>
    </w:pPr>
    <w:rPr>
      <w:rFonts w:eastAsia="Times New Roman"/>
      <w:b/>
      <w:bCs/>
      <w:lang w:eastAsia="en-US"/>
    </w:rPr>
  </w:style>
  <w:style w:type="paragraph" w:styleId="Heading4">
    <w:name w:val="heading 4"/>
    <w:basedOn w:val="Normal"/>
    <w:next w:val="Marge"/>
    <w:qFormat/>
    <w:pPr>
      <w:keepNext/>
      <w:keepLines/>
      <w:spacing w:after="240"/>
      <w:outlineLvl w:val="3"/>
    </w:pPr>
    <w:rPr>
      <w:rFonts w:eastAsia="Times New Roman"/>
      <w:b/>
      <w:bCs/>
      <w:lang w:eastAsia="en-US"/>
    </w:rPr>
  </w:style>
  <w:style w:type="paragraph" w:styleId="Heading5">
    <w:name w:val="heading 5"/>
    <w:basedOn w:val="Normal"/>
    <w:next w:val="Marge"/>
    <w:qFormat/>
    <w:pPr>
      <w:keepNext/>
      <w:keepLines/>
      <w:tabs>
        <w:tab w:val="clear" w:pos="567"/>
        <w:tab w:val="left" w:pos="1134"/>
      </w:tabs>
      <w:spacing w:after="240"/>
      <w:ind w:left="1134" w:hanging="567"/>
      <w:outlineLvl w:val="4"/>
    </w:pPr>
    <w:rPr>
      <w:rFonts w:eastAsia="Times New Roman"/>
      <w:b/>
      <w:bCs/>
      <w:lang w:eastAsia="en-US"/>
    </w:rPr>
  </w:style>
  <w:style w:type="paragraph" w:styleId="Heading6">
    <w:name w:val="heading 6"/>
    <w:basedOn w:val="Normal"/>
    <w:next w:val="Marge"/>
    <w:qFormat/>
    <w:pPr>
      <w:keepNext/>
      <w:keepLines/>
      <w:tabs>
        <w:tab w:val="clear" w:pos="567"/>
        <w:tab w:val="left" w:pos="1134"/>
      </w:tabs>
      <w:spacing w:after="240"/>
      <w:ind w:left="567"/>
      <w:outlineLvl w:val="5"/>
    </w:pPr>
    <w:rPr>
      <w:rFonts w:eastAsia="Times New Roman"/>
      <w:b/>
      <w:iCs/>
      <w:szCs w:val="22"/>
      <w:lang w:eastAsia="en-US"/>
    </w:rPr>
  </w:style>
  <w:style w:type="paragraph" w:styleId="Heading7">
    <w:name w:val="heading 7"/>
    <w:basedOn w:val="Normal"/>
    <w:next w:val="Normal"/>
    <w:link w:val="Heading7Char"/>
    <w:semiHidden/>
    <w:unhideWhenUsed/>
    <w:qFormat/>
    <w:rsid w:val="00FA68D9"/>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pPr>
      <w:tabs>
        <w:tab w:val="left" w:pos="-737"/>
      </w:tabs>
      <w:spacing w:after="240"/>
      <w:ind w:left="567" w:hanging="567"/>
      <w:jc w:val="both"/>
    </w:pPr>
    <w:rPr>
      <w:rFonts w:eastAsia="Times New Roman"/>
      <w:lang w:val="fr-FR" w:eastAsia="en-US"/>
    </w:rPr>
  </w:style>
  <w:style w:type="paragraph" w:customStyle="1" w:styleId="JOBSTYLE">
    <w:name w:val="JOBSTYLE"/>
    <w:basedOn w:val="Normal"/>
    <w:pPr>
      <w:tabs>
        <w:tab w:val="left" w:pos="1134"/>
        <w:tab w:val="left" w:pos="6237"/>
      </w:tabs>
      <w:overflowPunct w:val="0"/>
      <w:autoSpaceDE w:val="0"/>
      <w:autoSpaceDN w:val="0"/>
      <w:adjustRightInd w:val="0"/>
      <w:snapToGrid/>
      <w:spacing w:line="960" w:lineRule="auto"/>
      <w:jc w:val="both"/>
      <w:textAlignment w:val="baseline"/>
    </w:pPr>
    <w:rPr>
      <w:rFonts w:eastAsia="Times New Roman"/>
      <w:snapToGrid/>
      <w:lang w:eastAsia="en-US"/>
    </w:rPr>
  </w:style>
  <w:style w:type="paragraph" w:styleId="Footer">
    <w:name w:val="footer"/>
    <w:basedOn w:val="Normal"/>
    <w:pPr>
      <w:tabs>
        <w:tab w:val="center" w:pos="4153"/>
        <w:tab w:val="right" w:pos="8306"/>
      </w:tabs>
    </w:pPr>
    <w:rPr>
      <w:rFonts w:eastAsia="Times New Roman"/>
      <w:lang w:val="fr-FR" w:eastAsia="en-US"/>
    </w:rPr>
  </w:style>
  <w:style w:type="character" w:styleId="FootnoteReference">
    <w:name w:val="footnote reference"/>
    <w:aliases w:val="16 Point,Superscript 6 Point,BVI fnr,nota pié di pagina,ftref,Footnote Refernece,Footnote Reference Number,Footnotes refss,Footnote Reference1, BVI fnr,FO,footnote ref,(NECG) Footnote Reference,Ref,de nota al pie,Footnote,note bp"/>
    <w:basedOn w:val="DefaultParagraphFont"/>
    <w:link w:val="CarattereCharCarattereCarattereCharCarattereCharCarattereCharCharCharCharChar"/>
    <w:qFormat/>
    <w:rPr>
      <w:vertAlign w:val="superscript"/>
    </w:rPr>
  </w:style>
  <w:style w:type="paragraph" w:styleId="FootnoteText">
    <w:name w:val="footnote text"/>
    <w:basedOn w:val="Normal"/>
    <w:semiHidden/>
    <w:pPr>
      <w:ind w:left="567" w:hanging="567"/>
    </w:pPr>
    <w:rPr>
      <w:rFonts w:eastAsia="Times New Roman"/>
      <w:sz w:val="20"/>
      <w:szCs w:val="20"/>
      <w:lang w:eastAsia="en-US"/>
    </w:rPr>
  </w:style>
  <w:style w:type="paragraph" w:styleId="Header">
    <w:name w:val="header"/>
    <w:basedOn w:val="Normal"/>
    <w:link w:val="HeaderChar"/>
    <w:uiPriority w:val="99"/>
    <w:pPr>
      <w:tabs>
        <w:tab w:val="center" w:pos="4153"/>
        <w:tab w:val="right" w:pos="8306"/>
      </w:tabs>
    </w:pPr>
    <w:rPr>
      <w:rFonts w:eastAsia="Times New Roman"/>
      <w:lang w:eastAsia="en-US"/>
    </w:rPr>
  </w:style>
  <w:style w:type="paragraph" w:customStyle="1" w:styleId="Par">
    <w:name w:val="Par"/>
    <w:basedOn w:val="Normal"/>
    <w:pPr>
      <w:spacing w:after="240"/>
      <w:ind w:firstLine="567"/>
      <w:jc w:val="both"/>
    </w:pPr>
    <w:rPr>
      <w:rFonts w:eastAsia="Times New Roman"/>
      <w:lang w:eastAsia="en-US"/>
    </w:rPr>
  </w:style>
  <w:style w:type="paragraph" w:customStyle="1" w:styleId="alina">
    <w:name w:val="alinéa"/>
    <w:basedOn w:val="Normal"/>
    <w:pPr>
      <w:snapToGrid/>
      <w:spacing w:after="240"/>
      <w:ind w:left="567"/>
      <w:jc w:val="both"/>
    </w:pPr>
    <w:rPr>
      <w:rFonts w:eastAsia="Times New Roman"/>
      <w:snapToGrid/>
      <w:lang w:eastAsia="en-US"/>
    </w:rPr>
  </w:style>
  <w:style w:type="paragraph" w:customStyle="1" w:styleId="c">
    <w:name w:val="(c)"/>
    <w:basedOn w:val="Normal"/>
    <w:pPr>
      <w:tabs>
        <w:tab w:val="clear" w:pos="567"/>
        <w:tab w:val="left" w:pos="1701"/>
      </w:tabs>
      <w:spacing w:after="240"/>
      <w:ind w:left="1701" w:hanging="567"/>
      <w:jc w:val="both"/>
    </w:pPr>
  </w:style>
  <w:style w:type="paragraph" w:customStyle="1" w:styleId="b">
    <w:name w:val="(b)"/>
    <w:basedOn w:val="a"/>
    <w:pPr>
      <w:tabs>
        <w:tab w:val="clear" w:pos="567"/>
        <w:tab w:val="left" w:pos="1134"/>
      </w:tabs>
      <w:ind w:left="1134"/>
    </w:pPr>
  </w:style>
  <w:style w:type="paragraph" w:customStyle="1" w:styleId="TIRETbul1cm">
    <w:name w:val="TIRET bul 1cm"/>
    <w:basedOn w:val="Normal"/>
    <w:pPr>
      <w:numPr>
        <w:numId w:val="12"/>
      </w:numPr>
      <w:tabs>
        <w:tab w:val="clear" w:pos="567"/>
        <w:tab w:val="clear" w:pos="644"/>
        <w:tab w:val="num" w:pos="851"/>
      </w:tabs>
      <w:adjustRightInd w:val="0"/>
      <w:spacing w:after="240"/>
      <w:ind w:left="851" w:hanging="284"/>
      <w:jc w:val="both"/>
    </w:pPr>
  </w:style>
  <w:style w:type="paragraph" w:customStyle="1" w:styleId="Marge">
    <w:name w:val="Marge"/>
    <w:basedOn w:val="Par"/>
    <w:uiPriority w:val="99"/>
    <w:pPr>
      <w:ind w:firstLine="0"/>
    </w:pPr>
  </w:style>
  <w:style w:type="character" w:customStyle="1" w:styleId="HeaderChar">
    <w:name w:val="Header Char"/>
    <w:basedOn w:val="DefaultParagraphFont"/>
    <w:link w:val="Header"/>
    <w:uiPriority w:val="99"/>
    <w:locked/>
    <w:rsid w:val="004B7754"/>
    <w:rPr>
      <w:rFonts w:eastAsia="Times New Roman"/>
      <w:snapToGrid w:val="0"/>
      <w:sz w:val="24"/>
      <w:szCs w:val="24"/>
      <w:lang w:val="en-GB" w:eastAsia="en-US"/>
    </w:rPr>
  </w:style>
  <w:style w:type="table" w:styleId="TableGrid">
    <w:name w:val="Table Grid"/>
    <w:basedOn w:val="TableNormal"/>
    <w:rsid w:val="004B7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835997"/>
    <w:rPr>
      <w:rFonts w:ascii="Tahoma" w:hAnsi="Tahoma" w:cs="Tahoma"/>
      <w:sz w:val="16"/>
      <w:szCs w:val="16"/>
    </w:rPr>
  </w:style>
  <w:style w:type="character" w:customStyle="1" w:styleId="BalloonTextChar">
    <w:name w:val="Balloon Text Char"/>
    <w:basedOn w:val="DefaultParagraphFont"/>
    <w:link w:val="BalloonText"/>
    <w:uiPriority w:val="99"/>
    <w:rsid w:val="00835997"/>
    <w:rPr>
      <w:rFonts w:ascii="Tahoma" w:hAnsi="Tahoma" w:cs="Tahoma"/>
      <w:snapToGrid w:val="0"/>
      <w:sz w:val="16"/>
      <w:szCs w:val="16"/>
      <w:lang w:val="en-GB"/>
    </w:rPr>
  </w:style>
  <w:style w:type="character" w:styleId="Hyperlink">
    <w:name w:val="Hyperlink"/>
    <w:basedOn w:val="DefaultParagraphFont"/>
    <w:rsid w:val="001A2943"/>
    <w:rPr>
      <w:color w:val="0000FF" w:themeColor="hyperlink"/>
      <w:u w:val="single"/>
    </w:rPr>
  </w:style>
  <w:style w:type="character" w:styleId="CommentReference">
    <w:name w:val="annotation reference"/>
    <w:basedOn w:val="DefaultParagraphFont"/>
    <w:rsid w:val="008F4611"/>
    <w:rPr>
      <w:sz w:val="16"/>
      <w:szCs w:val="16"/>
    </w:rPr>
  </w:style>
  <w:style w:type="paragraph" w:styleId="CommentText">
    <w:name w:val="annotation text"/>
    <w:basedOn w:val="Normal"/>
    <w:link w:val="CommentTextChar"/>
    <w:rsid w:val="008F4611"/>
    <w:rPr>
      <w:sz w:val="20"/>
      <w:szCs w:val="20"/>
    </w:rPr>
  </w:style>
  <w:style w:type="character" w:customStyle="1" w:styleId="CommentTextChar">
    <w:name w:val="Comment Text Char"/>
    <w:basedOn w:val="DefaultParagraphFont"/>
    <w:link w:val="CommentText"/>
    <w:rsid w:val="008F4611"/>
    <w:rPr>
      <w:snapToGrid w:val="0"/>
      <w:lang w:val="en-GB"/>
    </w:rPr>
  </w:style>
  <w:style w:type="paragraph" w:styleId="CommentSubject">
    <w:name w:val="annotation subject"/>
    <w:basedOn w:val="CommentText"/>
    <w:next w:val="CommentText"/>
    <w:link w:val="CommentSubjectChar"/>
    <w:rsid w:val="008F4611"/>
    <w:rPr>
      <w:b/>
      <w:bCs/>
    </w:rPr>
  </w:style>
  <w:style w:type="character" w:customStyle="1" w:styleId="CommentSubjectChar">
    <w:name w:val="Comment Subject Char"/>
    <w:basedOn w:val="CommentTextChar"/>
    <w:link w:val="CommentSubject"/>
    <w:rsid w:val="008F4611"/>
    <w:rPr>
      <w:b/>
      <w:bCs/>
      <w:snapToGrid w:val="0"/>
      <w:lang w:val="en-GB"/>
    </w:rPr>
  </w:style>
  <w:style w:type="paragraph" w:customStyle="1" w:styleId="Default">
    <w:name w:val="Default"/>
    <w:rsid w:val="00D76E20"/>
    <w:pPr>
      <w:autoSpaceDE w:val="0"/>
      <w:autoSpaceDN w:val="0"/>
      <w:adjustRightInd w:val="0"/>
    </w:pPr>
    <w:rPr>
      <w:color w:val="000000"/>
      <w:sz w:val="24"/>
      <w:szCs w:val="24"/>
      <w:lang w:val="en-US"/>
    </w:rPr>
  </w:style>
  <w:style w:type="character" w:customStyle="1" w:styleId="UnresolvedMention1">
    <w:name w:val="Unresolved Mention1"/>
    <w:basedOn w:val="DefaultParagraphFont"/>
    <w:uiPriority w:val="99"/>
    <w:semiHidden/>
    <w:unhideWhenUsed/>
    <w:rsid w:val="00B848E4"/>
    <w:rPr>
      <w:color w:val="605E5C"/>
      <w:shd w:val="clear" w:color="auto" w:fill="E1DFDD"/>
    </w:rPr>
  </w:style>
  <w:style w:type="character" w:customStyle="1" w:styleId="Heading7Char">
    <w:name w:val="Heading 7 Char"/>
    <w:basedOn w:val="DefaultParagraphFont"/>
    <w:link w:val="Heading7"/>
    <w:semiHidden/>
    <w:rsid w:val="00FA68D9"/>
    <w:rPr>
      <w:rFonts w:asciiTheme="majorHAnsi" w:eastAsiaTheme="majorEastAsia" w:hAnsiTheme="majorHAnsi" w:cstheme="majorBidi"/>
      <w:i/>
      <w:iCs/>
      <w:snapToGrid w:val="0"/>
      <w:color w:val="243F60" w:themeColor="accent1" w:themeShade="7F"/>
      <w:sz w:val="24"/>
      <w:szCs w:val="24"/>
      <w:lang w:val="en-GB"/>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rsid w:val="007C4C1D"/>
    <w:pPr>
      <w:tabs>
        <w:tab w:val="clear" w:pos="567"/>
      </w:tabs>
      <w:snapToGrid/>
      <w:spacing w:before="120" w:after="160" w:line="240" w:lineRule="exact"/>
    </w:pPr>
    <w:rPr>
      <w:snapToGrid/>
      <w:sz w:val="20"/>
      <w:szCs w:val="20"/>
      <w:vertAlign w:val="superscript"/>
      <w:lang w:val="fr-FR"/>
    </w:rPr>
  </w:style>
  <w:style w:type="paragraph" w:styleId="ListParagraph">
    <w:name w:val="List Paragraph"/>
    <w:basedOn w:val="Normal"/>
    <w:uiPriority w:val="34"/>
    <w:qFormat/>
    <w:rsid w:val="009C5BA0"/>
    <w:pPr>
      <w:ind w:left="720"/>
      <w:contextualSpacing/>
    </w:pPr>
  </w:style>
  <w:style w:type="character" w:styleId="FollowedHyperlink">
    <w:name w:val="FollowedHyperlink"/>
    <w:basedOn w:val="DefaultParagraphFont"/>
    <w:semiHidden/>
    <w:unhideWhenUsed/>
    <w:rsid w:val="00615F33"/>
    <w:rPr>
      <w:color w:val="800080" w:themeColor="followedHyperlink"/>
      <w:u w:val="single"/>
    </w:rPr>
  </w:style>
  <w:style w:type="character" w:customStyle="1" w:styleId="UnresolvedMention2">
    <w:name w:val="Unresolved Mention2"/>
    <w:basedOn w:val="DefaultParagraphFont"/>
    <w:uiPriority w:val="99"/>
    <w:semiHidden/>
    <w:unhideWhenUsed/>
    <w:rsid w:val="00615F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23871">
      <w:bodyDiv w:val="1"/>
      <w:marLeft w:val="0"/>
      <w:marRight w:val="0"/>
      <w:marTop w:val="0"/>
      <w:marBottom w:val="0"/>
      <w:divBdr>
        <w:top w:val="none" w:sz="0" w:space="0" w:color="auto"/>
        <w:left w:val="none" w:sz="0" w:space="0" w:color="auto"/>
        <w:bottom w:val="none" w:sz="0" w:space="0" w:color="auto"/>
        <w:right w:val="none" w:sz="0" w:space="0" w:color="auto"/>
      </w:divBdr>
    </w:div>
    <w:div w:id="146018142">
      <w:bodyDiv w:val="1"/>
      <w:marLeft w:val="0"/>
      <w:marRight w:val="0"/>
      <w:marTop w:val="0"/>
      <w:marBottom w:val="0"/>
      <w:divBdr>
        <w:top w:val="none" w:sz="0" w:space="0" w:color="auto"/>
        <w:left w:val="none" w:sz="0" w:space="0" w:color="auto"/>
        <w:bottom w:val="none" w:sz="0" w:space="0" w:color="auto"/>
        <w:right w:val="none" w:sz="0" w:space="0" w:color="auto"/>
      </w:divBdr>
    </w:div>
    <w:div w:id="474952765">
      <w:bodyDiv w:val="1"/>
      <w:marLeft w:val="0"/>
      <w:marRight w:val="0"/>
      <w:marTop w:val="0"/>
      <w:marBottom w:val="0"/>
      <w:divBdr>
        <w:top w:val="none" w:sz="0" w:space="0" w:color="auto"/>
        <w:left w:val="none" w:sz="0" w:space="0" w:color="auto"/>
        <w:bottom w:val="none" w:sz="0" w:space="0" w:color="auto"/>
        <w:right w:val="none" w:sz="0" w:space="0" w:color="auto"/>
      </w:divBdr>
    </w:div>
    <w:div w:id="801195062">
      <w:bodyDiv w:val="1"/>
      <w:marLeft w:val="0"/>
      <w:marRight w:val="0"/>
      <w:marTop w:val="0"/>
      <w:marBottom w:val="0"/>
      <w:divBdr>
        <w:top w:val="none" w:sz="0" w:space="0" w:color="auto"/>
        <w:left w:val="none" w:sz="0" w:space="0" w:color="auto"/>
        <w:bottom w:val="none" w:sz="0" w:space="0" w:color="auto"/>
        <w:right w:val="none" w:sz="0" w:space="0" w:color="auto"/>
      </w:divBdr>
    </w:div>
    <w:div w:id="869150910">
      <w:bodyDiv w:val="1"/>
      <w:marLeft w:val="0"/>
      <w:marRight w:val="0"/>
      <w:marTop w:val="0"/>
      <w:marBottom w:val="0"/>
      <w:divBdr>
        <w:top w:val="none" w:sz="0" w:space="0" w:color="auto"/>
        <w:left w:val="none" w:sz="0" w:space="0" w:color="auto"/>
        <w:bottom w:val="none" w:sz="0" w:space="0" w:color="auto"/>
        <w:right w:val="none" w:sz="0" w:space="0" w:color="auto"/>
      </w:divBdr>
    </w:div>
    <w:div w:id="970136551">
      <w:bodyDiv w:val="1"/>
      <w:marLeft w:val="0"/>
      <w:marRight w:val="0"/>
      <w:marTop w:val="0"/>
      <w:marBottom w:val="0"/>
      <w:divBdr>
        <w:top w:val="none" w:sz="0" w:space="0" w:color="auto"/>
        <w:left w:val="none" w:sz="0" w:space="0" w:color="auto"/>
        <w:bottom w:val="none" w:sz="0" w:space="0" w:color="auto"/>
        <w:right w:val="none" w:sz="0" w:space="0" w:color="auto"/>
      </w:divBdr>
    </w:div>
    <w:div w:id="1008554881">
      <w:bodyDiv w:val="1"/>
      <w:marLeft w:val="0"/>
      <w:marRight w:val="0"/>
      <w:marTop w:val="0"/>
      <w:marBottom w:val="0"/>
      <w:divBdr>
        <w:top w:val="none" w:sz="0" w:space="0" w:color="auto"/>
        <w:left w:val="none" w:sz="0" w:space="0" w:color="auto"/>
        <w:bottom w:val="none" w:sz="0" w:space="0" w:color="auto"/>
        <w:right w:val="none" w:sz="0" w:space="0" w:color="auto"/>
      </w:divBdr>
    </w:div>
    <w:div w:id="208687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oc.unesco.org/ocean-decade" TargetMode="External"/><Relationship Id="rId13" Type="http://schemas.openxmlformats.org/officeDocument/2006/relationships/hyperlink" Target="https://oceanexpert.org/document/28078" TargetMode="External"/><Relationship Id="rId18" Type="http://schemas.openxmlformats.org/officeDocument/2006/relationships/image" Target="media/image4.jp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oceanexpert.org/document/28078" TargetMode="External"/><Relationship Id="rId12" Type="http://schemas.openxmlformats.org/officeDocument/2006/relationships/hyperlink" Target="https://unesdoc.unesco.org/ark:/48223/pf0000379196.locale=en" TargetMode="External"/><Relationship Id="rId1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lic.wmo.int/en/our-mandate/what-we-do/observations/Unified-WMO-Data-Policy-Resolution" TargetMode="External"/><Relationship Id="rId5" Type="http://schemas.openxmlformats.org/officeDocument/2006/relationships/footnotes" Target="footnotes.xml"/><Relationship Id="rId15" Type="http://schemas.openxmlformats.org/officeDocument/2006/relationships/image" Target="media/image1.jpg"/><Relationship Id="rId23" Type="http://schemas.openxmlformats.org/officeDocument/2006/relationships/theme" Target="theme/theme1.xml"/><Relationship Id="rId10" Type="http://schemas.openxmlformats.org/officeDocument/2006/relationships/hyperlink" Target="https://unesdoc.unesco.org/ark:/48223/pf0000379949.locale=en"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n.unesco.org/news/new-wave-elephant-seals-becomes-animal-oceanographers" TargetMode="External"/><Relationship Id="rId14" Type="http://schemas.openxmlformats.org/officeDocument/2006/relationships/hyperlink" Target="https://unesdoc.unesco.org/ark:/48223/pf0000378557.locale=fr"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7527</Words>
  <Characters>43380</Characters>
  <Application>Microsoft Office Word</Application>
  <DocSecurity>0</DocSecurity>
  <Lines>361</Lines>
  <Paragraphs>101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Revised provisional agenda of the forty-seventh session of the Executive Council of the Intergovernmental Oceanographic Commission</vt:lpstr>
      <vt:lpstr>Revised provisional agenda of the forty-seventh session of the Executive Council of the Intergovernmental Oceanographic Commission</vt:lpstr>
    </vt:vector>
  </TitlesOfParts>
  <Company>UNESCO</Company>
  <LinksUpToDate>false</LinksUpToDate>
  <CharactersWithSpaces>50806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provisional agenda of the forty-seventh session of the Executive Council of the Intergovernmental Oceanographic Commission</dc:title>
  <dc:subject>IOC/EC-XLVII/1 PROV. REV.</dc:subject>
  <dc:creator>UNESCO</dc:creator>
  <cp:keywords>1210.14E</cp:keywords>
  <cp:lastModifiedBy>Boned, Patrice</cp:lastModifiedBy>
  <cp:revision>3</cp:revision>
  <cp:lastPrinted>2020-03-09T11:40:00Z</cp:lastPrinted>
  <dcterms:created xsi:type="dcterms:W3CDTF">2022-04-25T10:36:00Z</dcterms:created>
  <dcterms:modified xsi:type="dcterms:W3CDTF">2022-04-25T13:58:00Z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 no">
    <vt:i4>85549</vt:i4>
  </property>
  <property fmtid="{D5CDD505-2E9C-101B-9397-08002B2CF9AE}" pid="3" name="JobDMS">
    <vt:r8>1210.14</vt:r8>
  </property>
  <property fmtid="{D5CDD505-2E9C-101B-9397-08002B2CF9AE}" pid="4" name="Language">
    <vt:lpwstr>E</vt:lpwstr>
  </property>
</Properties>
</file>