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28FA" w14:textId="50D93F10" w:rsidR="00F93C97" w:rsidRPr="008710B1" w:rsidRDefault="00EB57CA" w:rsidP="00EB57CA">
      <w:pPr>
        <w:jc w:val="center"/>
        <w:rPr>
          <w:b/>
          <w:bCs/>
          <w:sz w:val="24"/>
          <w:szCs w:val="24"/>
        </w:rPr>
      </w:pPr>
      <w:r w:rsidRPr="008710B1">
        <w:rPr>
          <w:b/>
          <w:bCs/>
          <w:sz w:val="24"/>
          <w:szCs w:val="24"/>
        </w:rPr>
        <w:t>TOWS</w:t>
      </w:r>
      <w:r w:rsidR="00A92CEF">
        <w:rPr>
          <w:b/>
          <w:bCs/>
          <w:sz w:val="24"/>
          <w:szCs w:val="24"/>
        </w:rPr>
        <w:t>-WG</w:t>
      </w:r>
      <w:r w:rsidRPr="008710B1">
        <w:rPr>
          <w:b/>
          <w:bCs/>
          <w:sz w:val="24"/>
          <w:szCs w:val="24"/>
        </w:rPr>
        <w:t xml:space="preserve"> TT</w:t>
      </w:r>
      <w:r w:rsidR="0003218E">
        <w:rPr>
          <w:b/>
          <w:bCs/>
          <w:sz w:val="24"/>
          <w:szCs w:val="24"/>
        </w:rPr>
        <w:t xml:space="preserve"> </w:t>
      </w:r>
      <w:r w:rsidRPr="008710B1">
        <w:rPr>
          <w:b/>
          <w:bCs/>
          <w:sz w:val="24"/>
          <w:szCs w:val="24"/>
        </w:rPr>
        <w:t>DMP Meeting re Tsunami Ready Coalition: 4 October 2021</w:t>
      </w:r>
    </w:p>
    <w:p w14:paraId="057A06BF" w14:textId="77777777" w:rsidR="00EB57CA" w:rsidRPr="008710B1" w:rsidRDefault="00EB57CA" w:rsidP="00EB57CA">
      <w:pPr>
        <w:jc w:val="center"/>
        <w:rPr>
          <w:b/>
          <w:bCs/>
          <w:sz w:val="24"/>
          <w:szCs w:val="24"/>
        </w:rPr>
      </w:pPr>
      <w:r w:rsidRPr="008710B1">
        <w:rPr>
          <w:b/>
          <w:bCs/>
          <w:sz w:val="24"/>
          <w:szCs w:val="24"/>
        </w:rPr>
        <w:t>Summary of discussion</w:t>
      </w:r>
    </w:p>
    <w:p w14:paraId="56FB1755" w14:textId="149876D0" w:rsidR="00E213D4" w:rsidRPr="008710B1" w:rsidRDefault="00E213D4" w:rsidP="00EB57CA">
      <w:pPr>
        <w:jc w:val="both"/>
        <w:rPr>
          <w:b/>
          <w:bCs/>
          <w:sz w:val="24"/>
          <w:szCs w:val="24"/>
          <w:u w:val="single"/>
        </w:rPr>
      </w:pPr>
      <w:r w:rsidRPr="008710B1">
        <w:rPr>
          <w:b/>
          <w:bCs/>
          <w:sz w:val="24"/>
          <w:szCs w:val="24"/>
          <w:u w:val="single"/>
        </w:rPr>
        <w:t>Purpose</w:t>
      </w:r>
    </w:p>
    <w:p w14:paraId="3812BCAA" w14:textId="4F8AF7E3" w:rsidR="00E213D4" w:rsidRPr="008710B1" w:rsidRDefault="00E213D4" w:rsidP="00EB57CA">
      <w:pPr>
        <w:jc w:val="both"/>
        <w:rPr>
          <w:sz w:val="24"/>
          <w:szCs w:val="24"/>
        </w:rPr>
      </w:pPr>
      <w:r w:rsidRPr="008710B1">
        <w:rPr>
          <w:sz w:val="24"/>
          <w:szCs w:val="24"/>
        </w:rPr>
        <w:t>At the request of the Chair of the TOWS-WG, the TOWS TTDMP met to c</w:t>
      </w:r>
      <w:r w:rsidR="00E140D5">
        <w:rPr>
          <w:sz w:val="24"/>
          <w:szCs w:val="24"/>
        </w:rPr>
        <w:t>onsider</w:t>
      </w:r>
      <w:r w:rsidRPr="008710B1">
        <w:rPr>
          <w:sz w:val="24"/>
          <w:szCs w:val="24"/>
        </w:rPr>
        <w:t xml:space="preserve"> </w:t>
      </w:r>
      <w:r w:rsidR="008D1D88">
        <w:rPr>
          <w:sz w:val="24"/>
          <w:szCs w:val="24"/>
        </w:rPr>
        <w:t xml:space="preserve">and </w:t>
      </w:r>
      <w:r w:rsidRPr="008710B1">
        <w:rPr>
          <w:sz w:val="24"/>
          <w:szCs w:val="24"/>
        </w:rPr>
        <w:t xml:space="preserve">advise </w:t>
      </w:r>
      <w:r w:rsidR="008D1D88">
        <w:rPr>
          <w:sz w:val="24"/>
          <w:szCs w:val="24"/>
        </w:rPr>
        <w:t xml:space="preserve">on </w:t>
      </w:r>
      <w:r w:rsidR="00E140D5">
        <w:rPr>
          <w:sz w:val="24"/>
          <w:szCs w:val="24"/>
        </w:rPr>
        <w:t>views</w:t>
      </w:r>
      <w:r w:rsidRPr="008710B1">
        <w:rPr>
          <w:sz w:val="24"/>
          <w:szCs w:val="24"/>
        </w:rPr>
        <w:t xml:space="preserve"> about the </w:t>
      </w:r>
      <w:r w:rsidR="00615772">
        <w:rPr>
          <w:sz w:val="24"/>
          <w:szCs w:val="24"/>
        </w:rPr>
        <w:t>mandate, composition, and rules/procedures</w:t>
      </w:r>
      <w:r w:rsidRPr="008710B1">
        <w:rPr>
          <w:sz w:val="24"/>
          <w:szCs w:val="24"/>
        </w:rPr>
        <w:t xml:space="preserve"> of a special Coalition for Tsunami Ready, as per the IOC Decision A-31/3.4.1 ‘Warning Mitigation Systems for Ocean Haz</w:t>
      </w:r>
      <w:r w:rsidR="008710B1" w:rsidRPr="008710B1">
        <w:rPr>
          <w:sz w:val="24"/>
          <w:szCs w:val="24"/>
        </w:rPr>
        <w:t>a</w:t>
      </w:r>
      <w:r w:rsidRPr="008710B1">
        <w:rPr>
          <w:sz w:val="24"/>
          <w:szCs w:val="24"/>
        </w:rPr>
        <w:t>rds’</w:t>
      </w:r>
      <w:r w:rsidR="008D1D88">
        <w:rPr>
          <w:sz w:val="24"/>
          <w:szCs w:val="24"/>
        </w:rPr>
        <w:t xml:space="preserve"> (June 2021)</w:t>
      </w:r>
      <w:r w:rsidRPr="008710B1">
        <w:rPr>
          <w:sz w:val="24"/>
          <w:szCs w:val="24"/>
        </w:rPr>
        <w:t>.</w:t>
      </w:r>
    </w:p>
    <w:p w14:paraId="09439E31" w14:textId="004AEED6" w:rsidR="00E213D4" w:rsidRPr="008710B1" w:rsidRDefault="00E213D4" w:rsidP="00E213D4">
      <w:pPr>
        <w:jc w:val="both"/>
        <w:rPr>
          <w:sz w:val="24"/>
          <w:szCs w:val="24"/>
        </w:rPr>
      </w:pPr>
      <w:r w:rsidRPr="008710B1">
        <w:rPr>
          <w:sz w:val="24"/>
          <w:szCs w:val="24"/>
        </w:rPr>
        <w:t xml:space="preserve">The TOWS-TTDMP welcomed the opportunity to canvas thoughts about the intended Coalition for Tsunami Ready under the UN Ocean </w:t>
      </w:r>
      <w:proofErr w:type="gramStart"/>
      <w:r w:rsidRPr="008710B1">
        <w:rPr>
          <w:sz w:val="24"/>
          <w:szCs w:val="24"/>
        </w:rPr>
        <w:t>Decade, and</w:t>
      </w:r>
      <w:proofErr w:type="gramEnd"/>
      <w:r w:rsidRPr="008710B1">
        <w:rPr>
          <w:sz w:val="24"/>
          <w:szCs w:val="24"/>
        </w:rPr>
        <w:t xml:space="preserve"> reports as follows in this regard for consideration</w:t>
      </w:r>
      <w:r w:rsidR="008710B1" w:rsidRPr="008710B1">
        <w:rPr>
          <w:sz w:val="24"/>
          <w:szCs w:val="24"/>
        </w:rPr>
        <w:t>.</w:t>
      </w:r>
      <w:r w:rsidRPr="008710B1">
        <w:rPr>
          <w:sz w:val="24"/>
          <w:szCs w:val="24"/>
        </w:rPr>
        <w:t xml:space="preserve"> </w:t>
      </w:r>
    </w:p>
    <w:p w14:paraId="35616DAF" w14:textId="3D8CA0A1" w:rsidR="00EB57CA" w:rsidRPr="008710B1" w:rsidRDefault="00E213D4" w:rsidP="00EB57CA">
      <w:pPr>
        <w:jc w:val="both"/>
        <w:rPr>
          <w:b/>
          <w:bCs/>
          <w:sz w:val="24"/>
          <w:szCs w:val="24"/>
          <w:u w:val="single"/>
        </w:rPr>
      </w:pPr>
      <w:r w:rsidRPr="008710B1">
        <w:rPr>
          <w:b/>
          <w:bCs/>
          <w:sz w:val="24"/>
          <w:szCs w:val="24"/>
          <w:u w:val="single"/>
        </w:rPr>
        <w:t>Meeting t</w:t>
      </w:r>
      <w:r w:rsidR="00EB57CA" w:rsidRPr="008710B1">
        <w:rPr>
          <w:b/>
          <w:bCs/>
          <w:sz w:val="24"/>
          <w:szCs w:val="24"/>
          <w:u w:val="single"/>
        </w:rPr>
        <w:t>ime and attendance:</w:t>
      </w:r>
    </w:p>
    <w:p w14:paraId="75B99110" w14:textId="37DC3059" w:rsidR="00EB57CA" w:rsidRPr="008710B1" w:rsidRDefault="00EB57CA" w:rsidP="00EB57CA">
      <w:pPr>
        <w:jc w:val="both"/>
        <w:rPr>
          <w:sz w:val="24"/>
          <w:szCs w:val="24"/>
        </w:rPr>
      </w:pPr>
      <w:r w:rsidRPr="008710B1">
        <w:rPr>
          <w:sz w:val="24"/>
          <w:szCs w:val="24"/>
        </w:rPr>
        <w:t xml:space="preserve">The meeting was held virtually from 21:00 – 22:00 hrs </w:t>
      </w:r>
      <w:r w:rsidR="00E213D4" w:rsidRPr="008710B1">
        <w:rPr>
          <w:sz w:val="24"/>
          <w:szCs w:val="24"/>
        </w:rPr>
        <w:t>on 4 October 2021 (CEST)</w:t>
      </w:r>
      <w:r w:rsidRPr="008710B1">
        <w:rPr>
          <w:sz w:val="24"/>
          <w:szCs w:val="24"/>
        </w:rPr>
        <w:t xml:space="preserve">, and attended by the following members of the Task Team and </w:t>
      </w:r>
      <w:r w:rsidR="008710B1">
        <w:rPr>
          <w:sz w:val="24"/>
          <w:szCs w:val="24"/>
        </w:rPr>
        <w:t xml:space="preserve">the </w:t>
      </w:r>
      <w:r w:rsidRPr="008710B1">
        <w:rPr>
          <w:sz w:val="24"/>
          <w:szCs w:val="24"/>
        </w:rPr>
        <w:t>IOC/UNESCO Tsunami Programme:</w:t>
      </w:r>
    </w:p>
    <w:p w14:paraId="6AFEFF62" w14:textId="77777777" w:rsidR="00EB57CA" w:rsidRPr="008710B1" w:rsidRDefault="00EB57CA" w:rsidP="00EB57CA">
      <w:pPr>
        <w:pStyle w:val="ListParagraph"/>
        <w:numPr>
          <w:ilvl w:val="0"/>
          <w:numId w:val="1"/>
        </w:numPr>
        <w:jc w:val="both"/>
        <w:rPr>
          <w:sz w:val="24"/>
          <w:szCs w:val="24"/>
        </w:rPr>
      </w:pPr>
      <w:r w:rsidRPr="008710B1">
        <w:rPr>
          <w:sz w:val="24"/>
          <w:szCs w:val="24"/>
        </w:rPr>
        <w:t>David Coetzee (PTWS; Chair)</w:t>
      </w:r>
    </w:p>
    <w:p w14:paraId="53983415" w14:textId="0B395DD9" w:rsidR="00EB57CA" w:rsidRPr="008710B1" w:rsidRDefault="00EB57CA" w:rsidP="00EB57CA">
      <w:pPr>
        <w:pStyle w:val="ListParagraph"/>
        <w:numPr>
          <w:ilvl w:val="0"/>
          <w:numId w:val="1"/>
        </w:numPr>
        <w:jc w:val="both"/>
        <w:rPr>
          <w:sz w:val="24"/>
          <w:szCs w:val="24"/>
        </w:rPr>
      </w:pPr>
      <w:r w:rsidRPr="008710B1">
        <w:rPr>
          <w:sz w:val="24"/>
          <w:szCs w:val="24"/>
        </w:rPr>
        <w:t>Laura Kong (PTWS</w:t>
      </w:r>
      <w:r w:rsidR="00847AFF">
        <w:rPr>
          <w:sz w:val="24"/>
          <w:szCs w:val="24"/>
        </w:rPr>
        <w:t>; ITIC</w:t>
      </w:r>
      <w:r w:rsidRPr="008710B1">
        <w:rPr>
          <w:sz w:val="24"/>
          <w:szCs w:val="24"/>
        </w:rPr>
        <w:t>)</w:t>
      </w:r>
    </w:p>
    <w:p w14:paraId="1112EF9C" w14:textId="19D82842" w:rsidR="00EB57CA" w:rsidRPr="008710B1" w:rsidRDefault="00EB57CA" w:rsidP="00EB57CA">
      <w:pPr>
        <w:pStyle w:val="ListParagraph"/>
        <w:numPr>
          <w:ilvl w:val="0"/>
          <w:numId w:val="1"/>
        </w:numPr>
        <w:jc w:val="both"/>
        <w:rPr>
          <w:sz w:val="24"/>
          <w:szCs w:val="24"/>
        </w:rPr>
      </w:pPr>
      <w:r w:rsidRPr="008710B1">
        <w:rPr>
          <w:sz w:val="24"/>
          <w:szCs w:val="24"/>
        </w:rPr>
        <w:t xml:space="preserve">Christa von </w:t>
      </w:r>
      <w:proofErr w:type="spellStart"/>
      <w:r w:rsidRPr="008710B1">
        <w:rPr>
          <w:sz w:val="24"/>
          <w:szCs w:val="24"/>
        </w:rPr>
        <w:t>Hillebrand</w:t>
      </w:r>
      <w:r w:rsidR="00BC4072">
        <w:rPr>
          <w:sz w:val="24"/>
          <w:szCs w:val="24"/>
        </w:rPr>
        <w:t>t</w:t>
      </w:r>
      <w:proofErr w:type="spellEnd"/>
      <w:r w:rsidRPr="008710B1">
        <w:rPr>
          <w:sz w:val="24"/>
          <w:szCs w:val="24"/>
        </w:rPr>
        <w:t>-Andrade (C</w:t>
      </w:r>
      <w:r w:rsidR="00DD7819" w:rsidRPr="008710B1">
        <w:rPr>
          <w:sz w:val="24"/>
          <w:szCs w:val="24"/>
        </w:rPr>
        <w:t xml:space="preserve">ARIBE </w:t>
      </w:r>
      <w:r w:rsidRPr="008710B1">
        <w:rPr>
          <w:sz w:val="24"/>
          <w:szCs w:val="24"/>
        </w:rPr>
        <w:t>EWS)</w:t>
      </w:r>
    </w:p>
    <w:p w14:paraId="1E7EEF51" w14:textId="32D1FCBD" w:rsidR="00EB57CA" w:rsidRPr="008710B1" w:rsidRDefault="00EB57CA" w:rsidP="00EB57CA">
      <w:pPr>
        <w:pStyle w:val="ListParagraph"/>
        <w:numPr>
          <w:ilvl w:val="0"/>
          <w:numId w:val="1"/>
        </w:numPr>
        <w:jc w:val="both"/>
        <w:rPr>
          <w:sz w:val="24"/>
          <w:szCs w:val="24"/>
        </w:rPr>
      </w:pPr>
      <w:r w:rsidRPr="008710B1">
        <w:rPr>
          <w:sz w:val="24"/>
          <w:szCs w:val="24"/>
        </w:rPr>
        <w:t>Alison Brome (C</w:t>
      </w:r>
      <w:r w:rsidR="00DD7819" w:rsidRPr="008710B1">
        <w:rPr>
          <w:sz w:val="24"/>
          <w:szCs w:val="24"/>
        </w:rPr>
        <w:t xml:space="preserve">ARIBE </w:t>
      </w:r>
      <w:r w:rsidRPr="008710B1">
        <w:rPr>
          <w:sz w:val="24"/>
          <w:szCs w:val="24"/>
        </w:rPr>
        <w:t>EWS</w:t>
      </w:r>
      <w:r w:rsidR="00847AFF">
        <w:rPr>
          <w:sz w:val="24"/>
          <w:szCs w:val="24"/>
        </w:rPr>
        <w:t>; CTIC</w:t>
      </w:r>
      <w:r w:rsidRPr="008710B1">
        <w:rPr>
          <w:sz w:val="24"/>
          <w:szCs w:val="24"/>
        </w:rPr>
        <w:t>)</w:t>
      </w:r>
      <w:r w:rsidR="00847AFF">
        <w:rPr>
          <w:sz w:val="24"/>
          <w:szCs w:val="24"/>
        </w:rPr>
        <w:t xml:space="preserve"> </w:t>
      </w:r>
    </w:p>
    <w:p w14:paraId="06AFC062" w14:textId="77777777" w:rsidR="00EB57CA" w:rsidRPr="008710B1" w:rsidRDefault="00EB57CA" w:rsidP="00EB57CA">
      <w:pPr>
        <w:pStyle w:val="ListParagraph"/>
        <w:numPr>
          <w:ilvl w:val="0"/>
          <w:numId w:val="1"/>
        </w:numPr>
        <w:jc w:val="both"/>
        <w:rPr>
          <w:sz w:val="24"/>
          <w:szCs w:val="24"/>
        </w:rPr>
      </w:pPr>
      <w:r w:rsidRPr="008710B1">
        <w:rPr>
          <w:sz w:val="24"/>
          <w:szCs w:val="24"/>
        </w:rPr>
        <w:t>Cecilia Valbonesi (NEAMTWS)</w:t>
      </w:r>
    </w:p>
    <w:p w14:paraId="1F742DCB" w14:textId="77777777" w:rsidR="00EB57CA" w:rsidRPr="008710B1" w:rsidRDefault="00EB57CA" w:rsidP="00EB57CA">
      <w:pPr>
        <w:pStyle w:val="ListParagraph"/>
        <w:numPr>
          <w:ilvl w:val="0"/>
          <w:numId w:val="1"/>
        </w:numPr>
        <w:jc w:val="both"/>
        <w:rPr>
          <w:sz w:val="24"/>
          <w:szCs w:val="24"/>
        </w:rPr>
      </w:pPr>
      <w:r w:rsidRPr="008710B1">
        <w:rPr>
          <w:sz w:val="24"/>
          <w:szCs w:val="24"/>
        </w:rPr>
        <w:t>Amir Yahav (NEAMTWS)</w:t>
      </w:r>
    </w:p>
    <w:p w14:paraId="470D9572" w14:textId="77777777" w:rsidR="00EB57CA" w:rsidRPr="008710B1" w:rsidRDefault="00EB57CA" w:rsidP="00EB57CA">
      <w:pPr>
        <w:pStyle w:val="ListParagraph"/>
        <w:numPr>
          <w:ilvl w:val="0"/>
          <w:numId w:val="1"/>
        </w:numPr>
        <w:jc w:val="both"/>
        <w:rPr>
          <w:sz w:val="24"/>
          <w:szCs w:val="24"/>
        </w:rPr>
      </w:pPr>
      <w:r w:rsidRPr="008710B1">
        <w:rPr>
          <w:sz w:val="24"/>
          <w:szCs w:val="24"/>
        </w:rPr>
        <w:t>Denis Chang-Seng (IOC/UNESCO)</w:t>
      </w:r>
    </w:p>
    <w:p w14:paraId="6F2B01F0" w14:textId="77777777" w:rsidR="00EB57CA" w:rsidRPr="0003218E" w:rsidRDefault="00EB57CA" w:rsidP="00EB57CA">
      <w:pPr>
        <w:pStyle w:val="ListParagraph"/>
        <w:numPr>
          <w:ilvl w:val="0"/>
          <w:numId w:val="1"/>
        </w:numPr>
        <w:jc w:val="both"/>
        <w:rPr>
          <w:sz w:val="24"/>
          <w:szCs w:val="24"/>
          <w:lang w:val="pt-BR"/>
        </w:rPr>
      </w:pPr>
      <w:r w:rsidRPr="0003218E">
        <w:rPr>
          <w:sz w:val="24"/>
          <w:szCs w:val="24"/>
          <w:lang w:val="pt-BR"/>
        </w:rPr>
        <w:t>Alejandro Rojas-Aldana (IOC/UNESCO)</w:t>
      </w:r>
    </w:p>
    <w:p w14:paraId="06770076" w14:textId="77777777" w:rsidR="00A378C1" w:rsidRDefault="00DD7819" w:rsidP="00EB57CA">
      <w:pPr>
        <w:jc w:val="both"/>
        <w:rPr>
          <w:sz w:val="24"/>
          <w:szCs w:val="24"/>
        </w:rPr>
      </w:pPr>
      <w:r w:rsidRPr="008710B1">
        <w:rPr>
          <w:sz w:val="24"/>
          <w:szCs w:val="24"/>
        </w:rPr>
        <w:t>Comments were also offered after the meeting by</w:t>
      </w:r>
      <w:r w:rsidR="00A378C1">
        <w:rPr>
          <w:sz w:val="24"/>
          <w:szCs w:val="24"/>
        </w:rPr>
        <w:t>:</w:t>
      </w:r>
    </w:p>
    <w:p w14:paraId="7AC8D91B" w14:textId="669123CE" w:rsidR="00A378C1" w:rsidRDefault="00A378C1" w:rsidP="00A378C1">
      <w:pPr>
        <w:pStyle w:val="ListParagraph"/>
        <w:numPr>
          <w:ilvl w:val="0"/>
          <w:numId w:val="11"/>
        </w:numPr>
        <w:jc w:val="both"/>
        <w:rPr>
          <w:sz w:val="24"/>
          <w:szCs w:val="24"/>
        </w:rPr>
      </w:pPr>
      <w:r>
        <w:rPr>
          <w:sz w:val="24"/>
          <w:szCs w:val="24"/>
        </w:rPr>
        <w:t>Bernardo Aliaga (</w:t>
      </w:r>
      <w:r w:rsidR="00682650">
        <w:rPr>
          <w:sz w:val="24"/>
          <w:szCs w:val="24"/>
        </w:rPr>
        <w:t>H</w:t>
      </w:r>
      <w:r w:rsidR="00847AFF">
        <w:rPr>
          <w:sz w:val="24"/>
          <w:szCs w:val="24"/>
        </w:rPr>
        <w:t xml:space="preserve">ead of Tsunami Unit </w:t>
      </w:r>
      <w:proofErr w:type="spellStart"/>
      <w:r w:rsidR="00847AFF">
        <w:rPr>
          <w:sz w:val="24"/>
          <w:szCs w:val="24"/>
        </w:rPr>
        <w:t>a.i.</w:t>
      </w:r>
      <w:proofErr w:type="spellEnd"/>
      <w:r w:rsidR="00847AFF">
        <w:rPr>
          <w:sz w:val="24"/>
          <w:szCs w:val="24"/>
        </w:rPr>
        <w:t xml:space="preserve"> IOC/UNESCO)</w:t>
      </w:r>
    </w:p>
    <w:p w14:paraId="5FF657FC" w14:textId="7DB7F7F5" w:rsidR="00DD7819" w:rsidRDefault="00DD7819" w:rsidP="00A378C1">
      <w:pPr>
        <w:pStyle w:val="ListParagraph"/>
        <w:numPr>
          <w:ilvl w:val="0"/>
          <w:numId w:val="11"/>
        </w:numPr>
        <w:jc w:val="both"/>
        <w:rPr>
          <w:sz w:val="24"/>
          <w:szCs w:val="24"/>
        </w:rPr>
      </w:pPr>
      <w:r w:rsidRPr="00A378C1">
        <w:rPr>
          <w:sz w:val="24"/>
          <w:szCs w:val="24"/>
        </w:rPr>
        <w:t>Rick Bail</w:t>
      </w:r>
      <w:r w:rsidR="009262EA" w:rsidRPr="00A378C1">
        <w:rPr>
          <w:sz w:val="24"/>
          <w:szCs w:val="24"/>
        </w:rPr>
        <w:t>e</w:t>
      </w:r>
      <w:r w:rsidRPr="00A378C1">
        <w:rPr>
          <w:sz w:val="24"/>
          <w:szCs w:val="24"/>
        </w:rPr>
        <w:t>y (IOC/UNESCO for IOTWMS)</w:t>
      </w:r>
    </w:p>
    <w:p w14:paraId="1D71336C" w14:textId="77777777" w:rsidR="00FD764F" w:rsidRDefault="00FD764F" w:rsidP="00FD764F">
      <w:pPr>
        <w:pStyle w:val="ListParagraph"/>
        <w:numPr>
          <w:ilvl w:val="0"/>
          <w:numId w:val="11"/>
        </w:numPr>
        <w:spacing w:line="256" w:lineRule="auto"/>
        <w:jc w:val="both"/>
        <w:rPr>
          <w:sz w:val="24"/>
          <w:szCs w:val="24"/>
        </w:rPr>
      </w:pPr>
      <w:r>
        <w:rPr>
          <w:sz w:val="24"/>
          <w:szCs w:val="24"/>
        </w:rPr>
        <w:t>Ardito M Kodijat (IOC/UNESCO; IOTIC)</w:t>
      </w:r>
    </w:p>
    <w:p w14:paraId="089A4BDF" w14:textId="77777777" w:rsidR="00EB57CA" w:rsidRPr="008710B1" w:rsidRDefault="00EB57CA" w:rsidP="00EB57CA">
      <w:pPr>
        <w:jc w:val="both"/>
        <w:rPr>
          <w:b/>
          <w:bCs/>
          <w:sz w:val="24"/>
          <w:szCs w:val="24"/>
          <w:u w:val="single"/>
        </w:rPr>
      </w:pPr>
      <w:r w:rsidRPr="008710B1">
        <w:rPr>
          <w:b/>
          <w:bCs/>
          <w:sz w:val="24"/>
          <w:szCs w:val="24"/>
          <w:u w:val="single"/>
        </w:rPr>
        <w:t>Discussion:</w:t>
      </w:r>
    </w:p>
    <w:p w14:paraId="225D5E04" w14:textId="1C9E072B" w:rsidR="00EA7341" w:rsidRPr="008710B1" w:rsidRDefault="001929CC" w:rsidP="00F31580">
      <w:pPr>
        <w:pStyle w:val="ListParagraph"/>
        <w:numPr>
          <w:ilvl w:val="0"/>
          <w:numId w:val="6"/>
        </w:numPr>
        <w:jc w:val="both"/>
        <w:rPr>
          <w:b/>
          <w:bCs/>
          <w:sz w:val="24"/>
          <w:szCs w:val="24"/>
        </w:rPr>
      </w:pPr>
      <w:r>
        <w:rPr>
          <w:b/>
          <w:bCs/>
          <w:sz w:val="24"/>
          <w:szCs w:val="24"/>
        </w:rPr>
        <w:t>Coalition m</w:t>
      </w:r>
      <w:r w:rsidR="00EA7341" w:rsidRPr="008710B1">
        <w:rPr>
          <w:b/>
          <w:bCs/>
          <w:sz w:val="24"/>
          <w:szCs w:val="24"/>
        </w:rPr>
        <w:t xml:space="preserve">andate, </w:t>
      </w:r>
      <w:proofErr w:type="gramStart"/>
      <w:r w:rsidR="00EA7341" w:rsidRPr="008710B1">
        <w:rPr>
          <w:b/>
          <w:bCs/>
          <w:sz w:val="24"/>
          <w:szCs w:val="24"/>
        </w:rPr>
        <w:t>goals</w:t>
      </w:r>
      <w:proofErr w:type="gramEnd"/>
      <w:r w:rsidR="00EA7341" w:rsidRPr="008710B1">
        <w:rPr>
          <w:b/>
          <w:bCs/>
          <w:sz w:val="24"/>
          <w:szCs w:val="24"/>
        </w:rPr>
        <w:t xml:space="preserve"> and objectives</w:t>
      </w:r>
    </w:p>
    <w:p w14:paraId="72EC752D" w14:textId="3A07310B" w:rsidR="00357583" w:rsidRPr="008710B1" w:rsidRDefault="00EB57CA" w:rsidP="00EA7341">
      <w:pPr>
        <w:jc w:val="both"/>
        <w:rPr>
          <w:sz w:val="24"/>
          <w:szCs w:val="24"/>
        </w:rPr>
      </w:pPr>
      <w:r w:rsidRPr="008710B1">
        <w:rPr>
          <w:sz w:val="24"/>
          <w:szCs w:val="24"/>
        </w:rPr>
        <w:t xml:space="preserve">The meeting first discussed the envisaged </w:t>
      </w:r>
      <w:r w:rsidR="00357583" w:rsidRPr="008710B1">
        <w:rPr>
          <w:sz w:val="24"/>
          <w:szCs w:val="24"/>
        </w:rPr>
        <w:t xml:space="preserve">goals and objectives of the </w:t>
      </w:r>
      <w:r w:rsidR="00E213D4" w:rsidRPr="008710B1">
        <w:rPr>
          <w:sz w:val="24"/>
          <w:szCs w:val="24"/>
        </w:rPr>
        <w:t xml:space="preserve">Coalition for </w:t>
      </w:r>
      <w:r w:rsidR="00357583" w:rsidRPr="008710B1">
        <w:rPr>
          <w:sz w:val="24"/>
          <w:szCs w:val="24"/>
        </w:rPr>
        <w:t xml:space="preserve">Tsunami </w:t>
      </w:r>
      <w:proofErr w:type="gramStart"/>
      <w:r w:rsidR="00357583" w:rsidRPr="008710B1">
        <w:rPr>
          <w:sz w:val="24"/>
          <w:szCs w:val="24"/>
        </w:rPr>
        <w:t>Ready</w:t>
      </w:r>
      <w:r w:rsidR="00F31580" w:rsidRPr="008710B1">
        <w:rPr>
          <w:sz w:val="24"/>
          <w:szCs w:val="24"/>
        </w:rPr>
        <w:t xml:space="preserve">, </w:t>
      </w:r>
      <w:r w:rsidR="00357583" w:rsidRPr="008710B1">
        <w:rPr>
          <w:sz w:val="24"/>
          <w:szCs w:val="24"/>
        </w:rPr>
        <w:t>because</w:t>
      </w:r>
      <w:proofErr w:type="gramEnd"/>
      <w:r w:rsidR="00357583" w:rsidRPr="008710B1">
        <w:rPr>
          <w:sz w:val="24"/>
          <w:szCs w:val="24"/>
        </w:rPr>
        <w:t xml:space="preserve"> this w</w:t>
      </w:r>
      <w:r w:rsidR="00F31580" w:rsidRPr="008710B1">
        <w:rPr>
          <w:sz w:val="24"/>
          <w:szCs w:val="24"/>
        </w:rPr>
        <w:t>ould</w:t>
      </w:r>
      <w:r w:rsidR="00EA7341" w:rsidRPr="008710B1">
        <w:rPr>
          <w:sz w:val="24"/>
          <w:szCs w:val="24"/>
        </w:rPr>
        <w:t xml:space="preserve"> in turn</w:t>
      </w:r>
      <w:r w:rsidR="00357583" w:rsidRPr="008710B1">
        <w:rPr>
          <w:sz w:val="24"/>
          <w:szCs w:val="24"/>
        </w:rPr>
        <w:t xml:space="preserve"> inform the potential composition of the Coalition. </w:t>
      </w:r>
    </w:p>
    <w:p w14:paraId="1B10FBBF" w14:textId="69179523" w:rsidR="00D65F54" w:rsidRDefault="00EA7341" w:rsidP="00EA7341">
      <w:pPr>
        <w:spacing w:after="0" w:line="252" w:lineRule="auto"/>
        <w:jc w:val="both"/>
        <w:rPr>
          <w:sz w:val="24"/>
          <w:szCs w:val="24"/>
        </w:rPr>
      </w:pPr>
      <w:r w:rsidRPr="008710B1">
        <w:rPr>
          <w:sz w:val="24"/>
          <w:szCs w:val="24"/>
        </w:rPr>
        <w:t>T</w:t>
      </w:r>
      <w:r w:rsidR="00357583" w:rsidRPr="008710B1">
        <w:rPr>
          <w:sz w:val="24"/>
          <w:szCs w:val="24"/>
        </w:rPr>
        <w:t xml:space="preserve">he </w:t>
      </w:r>
      <w:r w:rsidRPr="008710B1">
        <w:rPr>
          <w:sz w:val="24"/>
          <w:szCs w:val="24"/>
        </w:rPr>
        <w:t xml:space="preserve">meeting agreed that the goal of the Coalition should be </w:t>
      </w:r>
      <w:r w:rsidR="00D65F54">
        <w:rPr>
          <w:sz w:val="24"/>
          <w:szCs w:val="24"/>
        </w:rPr>
        <w:t xml:space="preserve">linked to the </w:t>
      </w:r>
      <w:r w:rsidR="00D65F54" w:rsidRPr="00D65F54">
        <w:rPr>
          <w:b/>
          <w:bCs/>
          <w:sz w:val="24"/>
          <w:szCs w:val="24"/>
        </w:rPr>
        <w:t>‘safe ocean’</w:t>
      </w:r>
      <w:r w:rsidR="00D65F54">
        <w:rPr>
          <w:sz w:val="24"/>
          <w:szCs w:val="24"/>
        </w:rPr>
        <w:t xml:space="preserve"> Societal Outcome of the Decade, “…</w:t>
      </w:r>
      <w:r w:rsidR="00D65F54" w:rsidRPr="00D65F54">
        <w:rPr>
          <w:sz w:val="24"/>
          <w:szCs w:val="24"/>
        </w:rPr>
        <w:t>whereby human communities are much better protected from ocean hazards and where the safety of operations at sea and on the coast is ensured</w:t>
      </w:r>
      <w:r w:rsidR="00D65F54">
        <w:rPr>
          <w:sz w:val="24"/>
          <w:szCs w:val="24"/>
        </w:rPr>
        <w:t>…”</w:t>
      </w:r>
      <w:r w:rsidR="00D65F54" w:rsidRPr="00D65F54">
        <w:rPr>
          <w:sz w:val="24"/>
          <w:szCs w:val="24"/>
        </w:rPr>
        <w:t>.</w:t>
      </w:r>
      <w:r w:rsidR="00F31580" w:rsidRPr="008710B1">
        <w:rPr>
          <w:sz w:val="24"/>
          <w:szCs w:val="24"/>
        </w:rPr>
        <w:t xml:space="preserve"> </w:t>
      </w:r>
      <w:r w:rsidR="00D65F54">
        <w:rPr>
          <w:sz w:val="24"/>
          <w:szCs w:val="24"/>
        </w:rPr>
        <w:t>In this context, the goal of the Coalition should be:</w:t>
      </w:r>
    </w:p>
    <w:p w14:paraId="48C150DB" w14:textId="77777777" w:rsidR="00682650" w:rsidRDefault="00682650" w:rsidP="00EA7341">
      <w:pPr>
        <w:spacing w:after="0" w:line="252" w:lineRule="auto"/>
        <w:jc w:val="both"/>
        <w:rPr>
          <w:sz w:val="24"/>
          <w:szCs w:val="24"/>
        </w:rPr>
      </w:pPr>
    </w:p>
    <w:p w14:paraId="7426E875" w14:textId="6FEABAE6" w:rsidR="00EA7341" w:rsidRPr="008710B1" w:rsidRDefault="00E030D7" w:rsidP="00EA7341">
      <w:pPr>
        <w:spacing w:after="0" w:line="252" w:lineRule="auto"/>
        <w:jc w:val="both"/>
        <w:rPr>
          <w:rFonts w:eastAsia="Times New Roman"/>
          <w:i/>
          <w:iCs/>
          <w:sz w:val="24"/>
          <w:szCs w:val="24"/>
          <w:lang w:val="en-CA"/>
        </w:rPr>
      </w:pPr>
      <w:r w:rsidRPr="008710B1">
        <w:rPr>
          <w:b/>
          <w:bCs/>
          <w:i/>
          <w:iCs/>
          <w:sz w:val="24"/>
          <w:szCs w:val="24"/>
        </w:rPr>
        <w:t>G</w:t>
      </w:r>
      <w:r w:rsidR="00EA7341" w:rsidRPr="008710B1">
        <w:rPr>
          <w:rFonts w:eastAsia="Times New Roman"/>
          <w:b/>
          <w:bCs/>
          <w:i/>
          <w:iCs/>
          <w:sz w:val="24"/>
          <w:szCs w:val="24"/>
          <w:lang w:val="en-CA"/>
        </w:rPr>
        <w:t xml:space="preserve">row the number of </w:t>
      </w:r>
      <w:r w:rsidR="00455938" w:rsidRPr="008710B1">
        <w:rPr>
          <w:rFonts w:eastAsia="Times New Roman"/>
          <w:b/>
          <w:bCs/>
          <w:i/>
          <w:iCs/>
          <w:sz w:val="24"/>
          <w:szCs w:val="24"/>
          <w:lang w:val="en-CA"/>
        </w:rPr>
        <w:t>T</w:t>
      </w:r>
      <w:r w:rsidR="00EA7341" w:rsidRPr="008710B1">
        <w:rPr>
          <w:rFonts w:eastAsia="Times New Roman"/>
          <w:b/>
          <w:bCs/>
          <w:i/>
          <w:iCs/>
          <w:sz w:val="24"/>
          <w:szCs w:val="24"/>
          <w:lang w:val="en-CA"/>
        </w:rPr>
        <w:t xml:space="preserve">sunami </w:t>
      </w:r>
      <w:r w:rsidR="00455938" w:rsidRPr="008710B1">
        <w:rPr>
          <w:rFonts w:eastAsia="Times New Roman"/>
          <w:b/>
          <w:bCs/>
          <w:i/>
          <w:iCs/>
          <w:sz w:val="24"/>
          <w:szCs w:val="24"/>
          <w:lang w:val="en-CA"/>
        </w:rPr>
        <w:t>R</w:t>
      </w:r>
      <w:r w:rsidR="00EA7341" w:rsidRPr="008710B1">
        <w:rPr>
          <w:rFonts w:eastAsia="Times New Roman"/>
          <w:b/>
          <w:bCs/>
          <w:i/>
          <w:iCs/>
          <w:sz w:val="24"/>
          <w:szCs w:val="24"/>
          <w:lang w:val="en-CA"/>
        </w:rPr>
        <w:t>eady communities as part of the Ocean Decade</w:t>
      </w:r>
      <w:r w:rsidR="00EA7341" w:rsidRPr="008710B1">
        <w:rPr>
          <w:rFonts w:eastAsia="Times New Roman"/>
          <w:i/>
          <w:iCs/>
          <w:sz w:val="24"/>
          <w:szCs w:val="24"/>
          <w:lang w:val="en-CA"/>
        </w:rPr>
        <w:t xml:space="preserve">. </w:t>
      </w:r>
    </w:p>
    <w:p w14:paraId="71A8F164" w14:textId="77777777" w:rsidR="00D65F54" w:rsidRDefault="00D65F54" w:rsidP="00EA7341">
      <w:pPr>
        <w:spacing w:after="0" w:line="252" w:lineRule="auto"/>
        <w:jc w:val="both"/>
        <w:rPr>
          <w:rFonts w:eastAsia="Times New Roman"/>
          <w:sz w:val="24"/>
          <w:szCs w:val="24"/>
          <w:lang w:val="en-CA"/>
        </w:rPr>
      </w:pPr>
    </w:p>
    <w:p w14:paraId="01380206" w14:textId="22BE17EF" w:rsidR="00EA7341" w:rsidRDefault="00EA7341" w:rsidP="00EA7341">
      <w:pPr>
        <w:spacing w:after="0" w:line="252" w:lineRule="auto"/>
        <w:jc w:val="both"/>
        <w:rPr>
          <w:rFonts w:eastAsia="Times New Roman"/>
          <w:sz w:val="24"/>
          <w:szCs w:val="24"/>
          <w:lang w:val="en-CA"/>
        </w:rPr>
      </w:pPr>
      <w:r w:rsidRPr="008710B1">
        <w:rPr>
          <w:rFonts w:eastAsia="Times New Roman"/>
          <w:sz w:val="24"/>
          <w:szCs w:val="24"/>
          <w:lang w:val="en-CA"/>
        </w:rPr>
        <w:t xml:space="preserve">This </w:t>
      </w:r>
      <w:r w:rsidR="00D65F54">
        <w:rPr>
          <w:rFonts w:eastAsia="Times New Roman"/>
          <w:sz w:val="24"/>
          <w:szCs w:val="24"/>
          <w:lang w:val="en-CA"/>
        </w:rPr>
        <w:t xml:space="preserve">goal </w:t>
      </w:r>
      <w:r w:rsidRPr="008710B1">
        <w:rPr>
          <w:rFonts w:eastAsia="Times New Roman"/>
          <w:sz w:val="24"/>
          <w:szCs w:val="24"/>
          <w:lang w:val="en-CA"/>
        </w:rPr>
        <w:t>should be achieved through the following objectives:</w:t>
      </w:r>
    </w:p>
    <w:p w14:paraId="0B5DA636" w14:textId="77777777" w:rsidR="00D65F54" w:rsidRPr="008710B1" w:rsidRDefault="00D65F54" w:rsidP="00EA7341">
      <w:pPr>
        <w:spacing w:after="0" w:line="252" w:lineRule="auto"/>
        <w:jc w:val="both"/>
        <w:rPr>
          <w:rFonts w:eastAsia="Times New Roman"/>
          <w:sz w:val="24"/>
          <w:szCs w:val="24"/>
          <w:lang w:val="en-CA"/>
        </w:rPr>
      </w:pPr>
    </w:p>
    <w:p w14:paraId="3DF2E037" w14:textId="5CA332FF" w:rsidR="00EA7341" w:rsidRPr="008710B1" w:rsidRDefault="00EA7341" w:rsidP="00EA7341">
      <w:pPr>
        <w:pStyle w:val="ListParagraph"/>
        <w:numPr>
          <w:ilvl w:val="0"/>
          <w:numId w:val="2"/>
        </w:numPr>
        <w:spacing w:after="0" w:line="252" w:lineRule="auto"/>
        <w:rPr>
          <w:rFonts w:eastAsia="Times New Roman"/>
          <w:sz w:val="24"/>
          <w:szCs w:val="24"/>
          <w:lang w:val="en-CA"/>
        </w:rPr>
      </w:pPr>
      <w:r w:rsidRPr="008710B1">
        <w:rPr>
          <w:rFonts w:eastAsia="Times New Roman"/>
          <w:sz w:val="24"/>
          <w:szCs w:val="24"/>
          <w:lang w:val="en-CA"/>
        </w:rPr>
        <w:t>Raising the profile of Tsunami Ready</w:t>
      </w:r>
      <w:r w:rsidR="00BA30AD">
        <w:rPr>
          <w:rFonts w:eastAsia="Times New Roman"/>
          <w:sz w:val="24"/>
          <w:szCs w:val="24"/>
          <w:lang w:val="en-CA"/>
        </w:rPr>
        <w:t xml:space="preserve"> </w:t>
      </w:r>
      <w:r w:rsidR="00BA30AD" w:rsidRPr="00BA30AD">
        <w:rPr>
          <w:rFonts w:eastAsia="Times New Roman"/>
          <w:sz w:val="24"/>
          <w:szCs w:val="24"/>
          <w:lang w:val="en-CA"/>
        </w:rPr>
        <w:t>in collaboration with critical stakeholders across the UN system, interested regional organizations, national disaster management agencies and public</w:t>
      </w:r>
    </w:p>
    <w:p w14:paraId="299083A9" w14:textId="77777777" w:rsidR="00EA7341" w:rsidRPr="008710B1" w:rsidRDefault="00EA7341" w:rsidP="00EA7341">
      <w:pPr>
        <w:pStyle w:val="ListParagraph"/>
        <w:numPr>
          <w:ilvl w:val="0"/>
          <w:numId w:val="2"/>
        </w:numPr>
        <w:spacing w:after="0" w:line="252" w:lineRule="auto"/>
        <w:rPr>
          <w:rFonts w:eastAsia="Times New Roman"/>
          <w:sz w:val="24"/>
          <w:szCs w:val="24"/>
          <w:lang w:val="en-CA"/>
        </w:rPr>
      </w:pPr>
      <w:r w:rsidRPr="008710B1">
        <w:rPr>
          <w:rFonts w:eastAsia="Times New Roman"/>
          <w:sz w:val="24"/>
          <w:szCs w:val="24"/>
          <w:lang w:val="en-CA"/>
        </w:rPr>
        <w:t>Increasing funding resources for the implementation of Tsunami Ready</w:t>
      </w:r>
    </w:p>
    <w:p w14:paraId="190CB08F" w14:textId="0CF95A04" w:rsidR="00912F8B" w:rsidRPr="00912F8B" w:rsidRDefault="00912F8B" w:rsidP="00912F8B">
      <w:pPr>
        <w:pStyle w:val="ListParagraph"/>
        <w:numPr>
          <w:ilvl w:val="0"/>
          <w:numId w:val="2"/>
        </w:numPr>
        <w:spacing w:after="0" w:line="252" w:lineRule="auto"/>
        <w:rPr>
          <w:rFonts w:eastAsia="Times New Roman"/>
          <w:sz w:val="24"/>
          <w:szCs w:val="24"/>
          <w:lang w:val="en-CA"/>
        </w:rPr>
      </w:pPr>
      <w:r w:rsidRPr="00912F8B">
        <w:rPr>
          <w:rFonts w:eastAsia="Times New Roman"/>
          <w:sz w:val="24"/>
          <w:szCs w:val="24"/>
          <w:lang w:val="en-CA"/>
        </w:rPr>
        <w:t>Advising the TOWS-WG</w:t>
      </w:r>
      <w:r>
        <w:rPr>
          <w:rFonts w:eastAsia="Times New Roman"/>
          <w:sz w:val="24"/>
          <w:szCs w:val="24"/>
          <w:lang w:val="en-CA"/>
        </w:rPr>
        <w:t xml:space="preserve"> and TTDMP</w:t>
      </w:r>
      <w:r w:rsidRPr="00912F8B">
        <w:rPr>
          <w:rFonts w:eastAsia="Times New Roman"/>
          <w:sz w:val="24"/>
          <w:szCs w:val="24"/>
          <w:lang w:val="en-CA"/>
        </w:rPr>
        <w:t xml:space="preserve"> on the </w:t>
      </w:r>
      <w:r>
        <w:rPr>
          <w:rFonts w:eastAsia="Times New Roman"/>
          <w:sz w:val="24"/>
          <w:szCs w:val="24"/>
          <w:lang w:val="en-CA"/>
        </w:rPr>
        <w:t>implementation</w:t>
      </w:r>
      <w:r w:rsidRPr="00912F8B">
        <w:rPr>
          <w:rFonts w:eastAsia="Times New Roman"/>
          <w:sz w:val="24"/>
          <w:szCs w:val="24"/>
          <w:lang w:val="en-CA"/>
        </w:rPr>
        <w:t xml:space="preserve"> of Tsunami Ready, </w:t>
      </w:r>
      <w:proofErr w:type="spellStart"/>
      <w:r w:rsidRPr="00912F8B">
        <w:rPr>
          <w:rFonts w:eastAsia="Times New Roman"/>
          <w:sz w:val="24"/>
          <w:szCs w:val="24"/>
          <w:lang w:val="en-CA"/>
        </w:rPr>
        <w:t>i.e</w:t>
      </w:r>
      <w:proofErr w:type="spellEnd"/>
      <w:r w:rsidRPr="00912F8B">
        <w:rPr>
          <w:rFonts w:eastAsia="Times New Roman"/>
          <w:sz w:val="24"/>
          <w:szCs w:val="24"/>
          <w:lang w:val="en-CA"/>
        </w:rPr>
        <w:t>:</w:t>
      </w:r>
    </w:p>
    <w:p w14:paraId="16DE182C" w14:textId="77777777" w:rsidR="00912F8B" w:rsidRPr="00912F8B" w:rsidRDefault="00912F8B" w:rsidP="00912F8B">
      <w:pPr>
        <w:pStyle w:val="ListParagraph"/>
        <w:numPr>
          <w:ilvl w:val="0"/>
          <w:numId w:val="4"/>
        </w:numPr>
        <w:jc w:val="both"/>
        <w:rPr>
          <w:sz w:val="24"/>
          <w:szCs w:val="24"/>
        </w:rPr>
      </w:pPr>
      <w:r w:rsidRPr="00912F8B">
        <w:rPr>
          <w:sz w:val="24"/>
          <w:szCs w:val="24"/>
        </w:rPr>
        <w:t>flexibility with regards to accomplishing the indicators to allow for circumstances where formal bureaucratic frameworks/requirements may pose barriers</w:t>
      </w:r>
    </w:p>
    <w:p w14:paraId="615208A1" w14:textId="77777777" w:rsidR="00912F8B" w:rsidRPr="00912F8B" w:rsidRDefault="00912F8B" w:rsidP="00912F8B">
      <w:pPr>
        <w:pStyle w:val="ListParagraph"/>
        <w:numPr>
          <w:ilvl w:val="0"/>
          <w:numId w:val="4"/>
        </w:numPr>
        <w:jc w:val="both"/>
        <w:rPr>
          <w:sz w:val="24"/>
          <w:szCs w:val="24"/>
        </w:rPr>
      </w:pPr>
      <w:r w:rsidRPr="00912F8B">
        <w:rPr>
          <w:sz w:val="24"/>
          <w:szCs w:val="24"/>
        </w:rPr>
        <w:t>consideration of unique regional and/or local circumstances</w:t>
      </w:r>
    </w:p>
    <w:p w14:paraId="2321EE9E" w14:textId="77777777" w:rsidR="00912F8B" w:rsidRPr="00912F8B" w:rsidRDefault="00912F8B" w:rsidP="00912F8B">
      <w:pPr>
        <w:pStyle w:val="ListParagraph"/>
        <w:numPr>
          <w:ilvl w:val="0"/>
          <w:numId w:val="4"/>
        </w:numPr>
        <w:jc w:val="both"/>
        <w:rPr>
          <w:sz w:val="24"/>
          <w:szCs w:val="24"/>
        </w:rPr>
      </w:pPr>
      <w:r w:rsidRPr="00912F8B">
        <w:rPr>
          <w:sz w:val="24"/>
          <w:szCs w:val="24"/>
        </w:rPr>
        <w:t>recognition of similar standards already in place in some countries</w:t>
      </w:r>
    </w:p>
    <w:p w14:paraId="26CB22BE" w14:textId="4E9912CD" w:rsidR="00EA7341" w:rsidRPr="00A378C1" w:rsidRDefault="00EA7341" w:rsidP="00EA7341">
      <w:pPr>
        <w:jc w:val="both"/>
        <w:rPr>
          <w:b/>
          <w:bCs/>
          <w:sz w:val="24"/>
          <w:szCs w:val="24"/>
        </w:rPr>
      </w:pPr>
      <w:bookmarkStart w:id="0" w:name="_Hlk85100943"/>
      <w:r w:rsidRPr="008710B1">
        <w:rPr>
          <w:sz w:val="24"/>
          <w:szCs w:val="24"/>
        </w:rPr>
        <w:t xml:space="preserve">The meeting was unanimous that </w:t>
      </w:r>
      <w:r w:rsidR="00B7551E" w:rsidRPr="008710B1">
        <w:rPr>
          <w:sz w:val="24"/>
          <w:szCs w:val="24"/>
        </w:rPr>
        <w:t xml:space="preserve">with regards to these objectives, </w:t>
      </w:r>
      <w:r w:rsidRPr="008710B1">
        <w:rPr>
          <w:sz w:val="24"/>
          <w:szCs w:val="24"/>
        </w:rPr>
        <w:t xml:space="preserve">the Coalition should act </w:t>
      </w:r>
      <w:r w:rsidR="00F31580" w:rsidRPr="008710B1">
        <w:rPr>
          <w:sz w:val="24"/>
          <w:szCs w:val="24"/>
        </w:rPr>
        <w:t>in</w:t>
      </w:r>
      <w:r w:rsidR="00B7551E" w:rsidRPr="008710B1">
        <w:rPr>
          <w:sz w:val="24"/>
          <w:szCs w:val="24"/>
        </w:rPr>
        <w:t xml:space="preserve"> a “governance support” </w:t>
      </w:r>
      <w:r w:rsidR="00F31580" w:rsidRPr="008710B1">
        <w:rPr>
          <w:sz w:val="24"/>
          <w:szCs w:val="24"/>
        </w:rPr>
        <w:t xml:space="preserve">capacity </w:t>
      </w:r>
      <w:r w:rsidR="00B7551E" w:rsidRPr="008710B1">
        <w:rPr>
          <w:sz w:val="24"/>
          <w:szCs w:val="24"/>
        </w:rPr>
        <w:t xml:space="preserve">to the TOWS-WG, </w:t>
      </w:r>
      <w:r w:rsidRPr="008710B1">
        <w:rPr>
          <w:sz w:val="24"/>
          <w:szCs w:val="24"/>
        </w:rPr>
        <w:t>advis</w:t>
      </w:r>
      <w:r w:rsidR="00B7551E" w:rsidRPr="008710B1">
        <w:rPr>
          <w:sz w:val="24"/>
          <w:szCs w:val="24"/>
        </w:rPr>
        <w:t>ing on the above and identifying/brokering resources for the</w:t>
      </w:r>
      <w:r w:rsidR="00B7551E" w:rsidRPr="004869F7">
        <w:rPr>
          <w:sz w:val="24"/>
          <w:szCs w:val="24"/>
        </w:rPr>
        <w:t xml:space="preserve"> </w:t>
      </w:r>
      <w:r w:rsidR="004869F7" w:rsidRPr="004869F7">
        <w:rPr>
          <w:rFonts w:eastAsia="Times New Roman"/>
          <w:sz w:val="24"/>
          <w:szCs w:val="24"/>
          <w:lang w:val="en-CA"/>
        </w:rPr>
        <w:t>implementation</w:t>
      </w:r>
      <w:r w:rsidR="00B7551E" w:rsidRPr="008710B1">
        <w:rPr>
          <w:sz w:val="24"/>
          <w:szCs w:val="24"/>
        </w:rPr>
        <w:t xml:space="preserve"> of </w:t>
      </w:r>
      <w:r w:rsidRPr="008710B1">
        <w:rPr>
          <w:sz w:val="24"/>
          <w:szCs w:val="24"/>
        </w:rPr>
        <w:t>Tsunami Ready</w:t>
      </w:r>
      <w:r w:rsidR="00B7551E" w:rsidRPr="008710B1">
        <w:rPr>
          <w:sz w:val="24"/>
          <w:szCs w:val="24"/>
        </w:rPr>
        <w:t>. The Coalition should therefore</w:t>
      </w:r>
      <w:r w:rsidRPr="008710B1">
        <w:rPr>
          <w:sz w:val="24"/>
          <w:szCs w:val="24"/>
        </w:rPr>
        <w:t xml:space="preserve"> not </w:t>
      </w:r>
      <w:r w:rsidR="00891F34">
        <w:rPr>
          <w:sz w:val="24"/>
          <w:szCs w:val="24"/>
        </w:rPr>
        <w:t>have a</w:t>
      </w:r>
      <w:r w:rsidRPr="008710B1">
        <w:rPr>
          <w:sz w:val="24"/>
          <w:szCs w:val="24"/>
        </w:rPr>
        <w:t xml:space="preserve"> </w:t>
      </w:r>
      <w:r w:rsidR="00891F34">
        <w:rPr>
          <w:sz w:val="24"/>
          <w:szCs w:val="24"/>
        </w:rPr>
        <w:t>“</w:t>
      </w:r>
      <w:r w:rsidRPr="008710B1">
        <w:rPr>
          <w:sz w:val="24"/>
          <w:szCs w:val="24"/>
        </w:rPr>
        <w:t>technical</w:t>
      </w:r>
      <w:r w:rsidR="00891F34">
        <w:rPr>
          <w:sz w:val="24"/>
          <w:szCs w:val="24"/>
        </w:rPr>
        <w:t>”</w:t>
      </w:r>
      <w:r w:rsidRPr="008710B1">
        <w:rPr>
          <w:sz w:val="24"/>
          <w:szCs w:val="24"/>
        </w:rPr>
        <w:t xml:space="preserve"> </w:t>
      </w:r>
      <w:r w:rsidR="00891F34">
        <w:rPr>
          <w:sz w:val="24"/>
          <w:szCs w:val="24"/>
        </w:rPr>
        <w:t>role in</w:t>
      </w:r>
      <w:r w:rsidRPr="008710B1">
        <w:rPr>
          <w:sz w:val="24"/>
          <w:szCs w:val="24"/>
        </w:rPr>
        <w:t xml:space="preserve"> the initiative</w:t>
      </w:r>
      <w:r w:rsidR="00B7551E" w:rsidRPr="008710B1">
        <w:rPr>
          <w:sz w:val="24"/>
          <w:szCs w:val="24"/>
        </w:rPr>
        <w:t>; t</w:t>
      </w:r>
      <w:r w:rsidRPr="008710B1">
        <w:rPr>
          <w:sz w:val="24"/>
          <w:szCs w:val="24"/>
        </w:rPr>
        <w:t>he technical aspects (</w:t>
      </w:r>
      <w:proofErr w:type="gramStart"/>
      <w:r w:rsidRPr="008710B1">
        <w:rPr>
          <w:sz w:val="24"/>
          <w:szCs w:val="24"/>
        </w:rPr>
        <w:t>i.e.</w:t>
      </w:r>
      <w:proofErr w:type="gramEnd"/>
      <w:r w:rsidRPr="008710B1">
        <w:rPr>
          <w:sz w:val="24"/>
          <w:szCs w:val="24"/>
        </w:rPr>
        <w:t xml:space="preserve"> IOC Manual &amp; Guide 74: </w:t>
      </w:r>
      <w:r w:rsidRPr="008710B1">
        <w:rPr>
          <w:i/>
          <w:iCs/>
          <w:sz w:val="24"/>
          <w:szCs w:val="24"/>
        </w:rPr>
        <w:t>Standard Guidelines for the Tsunami Ready Recognition Program</w:t>
      </w:r>
      <w:r w:rsidRPr="008710B1">
        <w:rPr>
          <w:sz w:val="24"/>
          <w:szCs w:val="24"/>
        </w:rPr>
        <w:t xml:space="preserve">) should remain the </w:t>
      </w:r>
      <w:r w:rsidR="00891F34">
        <w:rPr>
          <w:sz w:val="24"/>
          <w:szCs w:val="24"/>
        </w:rPr>
        <w:t>mandate</w:t>
      </w:r>
      <w:r w:rsidRPr="008710B1">
        <w:rPr>
          <w:sz w:val="24"/>
          <w:szCs w:val="24"/>
        </w:rPr>
        <w:t xml:space="preserve"> and responsibility of the </w:t>
      </w:r>
      <w:r w:rsidR="004869F7">
        <w:rPr>
          <w:sz w:val="24"/>
          <w:szCs w:val="24"/>
        </w:rPr>
        <w:t>TOWS</w:t>
      </w:r>
      <w:r w:rsidR="00912F8B">
        <w:rPr>
          <w:sz w:val="24"/>
          <w:szCs w:val="24"/>
        </w:rPr>
        <w:t>-WG</w:t>
      </w:r>
      <w:r w:rsidR="004869F7">
        <w:rPr>
          <w:sz w:val="24"/>
          <w:szCs w:val="24"/>
        </w:rPr>
        <w:t xml:space="preserve">, </w:t>
      </w:r>
      <w:r w:rsidRPr="008710B1">
        <w:rPr>
          <w:sz w:val="24"/>
          <w:szCs w:val="24"/>
        </w:rPr>
        <w:t>TTDMP</w:t>
      </w:r>
      <w:r w:rsidR="002115BB" w:rsidRPr="008710B1">
        <w:rPr>
          <w:sz w:val="24"/>
          <w:szCs w:val="24"/>
        </w:rPr>
        <w:t xml:space="preserve"> and the respective ICGs</w:t>
      </w:r>
      <w:r w:rsidRPr="008710B1">
        <w:rPr>
          <w:sz w:val="24"/>
          <w:szCs w:val="24"/>
        </w:rPr>
        <w:t>.</w:t>
      </w:r>
      <w:r w:rsidR="00A378C1">
        <w:rPr>
          <w:sz w:val="24"/>
          <w:szCs w:val="24"/>
        </w:rPr>
        <w:t xml:space="preserve"> </w:t>
      </w:r>
      <w:bookmarkStart w:id="1" w:name="_Hlk85129218"/>
      <w:r w:rsidR="00A378C1" w:rsidRPr="00A378C1">
        <w:rPr>
          <w:b/>
          <w:bCs/>
          <w:sz w:val="24"/>
          <w:szCs w:val="24"/>
        </w:rPr>
        <w:t>We recommend that this non-technical role be reflected specifically in the Coalition</w:t>
      </w:r>
      <w:r w:rsidR="00893D45">
        <w:rPr>
          <w:b/>
          <w:bCs/>
          <w:sz w:val="24"/>
          <w:szCs w:val="24"/>
        </w:rPr>
        <w:t>’s</w:t>
      </w:r>
      <w:r w:rsidR="00A378C1" w:rsidRPr="00A378C1">
        <w:rPr>
          <w:b/>
          <w:bCs/>
          <w:sz w:val="24"/>
          <w:szCs w:val="24"/>
        </w:rPr>
        <w:t xml:space="preserve"> mandate.</w:t>
      </w:r>
      <w:bookmarkEnd w:id="1"/>
    </w:p>
    <w:bookmarkEnd w:id="0"/>
    <w:p w14:paraId="5A008B71" w14:textId="0C87E779" w:rsidR="00357583" w:rsidRPr="008710B1" w:rsidRDefault="00C17D9E" w:rsidP="00F31580">
      <w:pPr>
        <w:pStyle w:val="ListParagraph"/>
        <w:numPr>
          <w:ilvl w:val="0"/>
          <w:numId w:val="6"/>
        </w:numPr>
        <w:jc w:val="both"/>
        <w:rPr>
          <w:b/>
          <w:bCs/>
          <w:sz w:val="24"/>
          <w:szCs w:val="24"/>
        </w:rPr>
      </w:pPr>
      <w:r w:rsidRPr="008710B1">
        <w:rPr>
          <w:b/>
          <w:bCs/>
          <w:sz w:val="24"/>
          <w:szCs w:val="24"/>
        </w:rPr>
        <w:t>Composition</w:t>
      </w:r>
    </w:p>
    <w:p w14:paraId="61F265A2" w14:textId="7E224C93" w:rsidR="00C17D9E" w:rsidRPr="008710B1" w:rsidRDefault="00C17D9E" w:rsidP="00EB57CA">
      <w:pPr>
        <w:jc w:val="both"/>
        <w:rPr>
          <w:sz w:val="24"/>
          <w:szCs w:val="24"/>
        </w:rPr>
      </w:pPr>
      <w:r w:rsidRPr="008710B1">
        <w:rPr>
          <w:sz w:val="24"/>
          <w:szCs w:val="24"/>
        </w:rPr>
        <w:t xml:space="preserve">With a view on the </w:t>
      </w:r>
      <w:r w:rsidR="00F31580" w:rsidRPr="008710B1">
        <w:rPr>
          <w:sz w:val="24"/>
          <w:szCs w:val="24"/>
        </w:rPr>
        <w:t>envisaged</w:t>
      </w:r>
      <w:r w:rsidRPr="008710B1">
        <w:rPr>
          <w:sz w:val="24"/>
          <w:szCs w:val="24"/>
        </w:rPr>
        <w:t xml:space="preserve"> goal and objectives, the meeting considered the following potential members or stakeholders in the Coalition</w:t>
      </w:r>
      <w:r w:rsidR="00941225" w:rsidRPr="008710B1">
        <w:rPr>
          <w:sz w:val="24"/>
          <w:szCs w:val="24"/>
        </w:rPr>
        <w:t xml:space="preserve"> (noting that the wider/bigger the </w:t>
      </w:r>
      <w:r w:rsidR="00F31580" w:rsidRPr="008710B1">
        <w:rPr>
          <w:sz w:val="24"/>
          <w:szCs w:val="24"/>
        </w:rPr>
        <w:t>C</w:t>
      </w:r>
      <w:r w:rsidR="00941225" w:rsidRPr="008710B1">
        <w:rPr>
          <w:sz w:val="24"/>
          <w:szCs w:val="24"/>
        </w:rPr>
        <w:t>oalition, the more complex its coordination and management will be)</w:t>
      </w:r>
      <w:r w:rsidRPr="008710B1">
        <w:rPr>
          <w:sz w:val="24"/>
          <w:szCs w:val="24"/>
        </w:rPr>
        <w:t>:</w:t>
      </w:r>
    </w:p>
    <w:p w14:paraId="0A822BE5" w14:textId="4CE33A6C" w:rsidR="0071266C" w:rsidRPr="008710B1" w:rsidRDefault="0071266C" w:rsidP="00EB57CA">
      <w:pPr>
        <w:jc w:val="both"/>
        <w:rPr>
          <w:sz w:val="24"/>
          <w:szCs w:val="24"/>
        </w:rPr>
      </w:pPr>
      <w:r w:rsidRPr="008710B1">
        <w:rPr>
          <w:sz w:val="24"/>
          <w:szCs w:val="24"/>
        </w:rPr>
        <w:t>International:</w:t>
      </w:r>
    </w:p>
    <w:p w14:paraId="466C3AC5" w14:textId="1CE2B576" w:rsidR="0071266C" w:rsidRPr="008710B1" w:rsidRDefault="0071266C" w:rsidP="00912F8B">
      <w:pPr>
        <w:pStyle w:val="ListParagraph"/>
        <w:numPr>
          <w:ilvl w:val="0"/>
          <w:numId w:val="4"/>
        </w:numPr>
        <w:jc w:val="both"/>
        <w:rPr>
          <w:sz w:val="24"/>
          <w:szCs w:val="24"/>
        </w:rPr>
      </w:pPr>
      <w:r w:rsidRPr="008710B1">
        <w:rPr>
          <w:sz w:val="24"/>
          <w:szCs w:val="24"/>
        </w:rPr>
        <w:t>UNDRR</w:t>
      </w:r>
    </w:p>
    <w:p w14:paraId="68B5A35A" w14:textId="0FE0DA88" w:rsidR="00941225" w:rsidRPr="008710B1" w:rsidRDefault="00941225" w:rsidP="00912F8B">
      <w:pPr>
        <w:pStyle w:val="ListParagraph"/>
        <w:numPr>
          <w:ilvl w:val="0"/>
          <w:numId w:val="4"/>
        </w:numPr>
        <w:jc w:val="both"/>
        <w:rPr>
          <w:sz w:val="24"/>
          <w:szCs w:val="24"/>
        </w:rPr>
      </w:pPr>
      <w:r w:rsidRPr="008710B1">
        <w:rPr>
          <w:sz w:val="24"/>
          <w:szCs w:val="24"/>
        </w:rPr>
        <w:t>UN Ocean Decade Alliance</w:t>
      </w:r>
    </w:p>
    <w:p w14:paraId="7B78BAB0" w14:textId="28718712" w:rsidR="00A42C94" w:rsidRDefault="00A42C94" w:rsidP="00912F8B">
      <w:pPr>
        <w:pStyle w:val="ListParagraph"/>
        <w:numPr>
          <w:ilvl w:val="0"/>
          <w:numId w:val="4"/>
        </w:numPr>
        <w:jc w:val="both"/>
        <w:rPr>
          <w:sz w:val="24"/>
          <w:szCs w:val="24"/>
        </w:rPr>
      </w:pPr>
      <w:r w:rsidRPr="00A42C94">
        <w:rPr>
          <w:sz w:val="24"/>
          <w:szCs w:val="24"/>
        </w:rPr>
        <w:t>International Council for the Exploration of the Sea (ICES)</w:t>
      </w:r>
    </w:p>
    <w:p w14:paraId="40582345" w14:textId="34B0BE13" w:rsidR="0071266C" w:rsidRDefault="0071266C" w:rsidP="00912F8B">
      <w:pPr>
        <w:pStyle w:val="ListParagraph"/>
        <w:numPr>
          <w:ilvl w:val="0"/>
          <w:numId w:val="4"/>
        </w:numPr>
        <w:jc w:val="both"/>
        <w:rPr>
          <w:sz w:val="24"/>
          <w:szCs w:val="24"/>
        </w:rPr>
      </w:pPr>
      <w:r w:rsidRPr="008710B1">
        <w:rPr>
          <w:sz w:val="24"/>
          <w:szCs w:val="24"/>
        </w:rPr>
        <w:t>UNDP</w:t>
      </w:r>
    </w:p>
    <w:p w14:paraId="6516C548" w14:textId="2D0F250D" w:rsidR="004869F7" w:rsidRPr="008710B1" w:rsidRDefault="004869F7" w:rsidP="00912F8B">
      <w:pPr>
        <w:pStyle w:val="ListParagraph"/>
        <w:numPr>
          <w:ilvl w:val="0"/>
          <w:numId w:val="4"/>
        </w:numPr>
        <w:jc w:val="both"/>
        <w:rPr>
          <w:sz w:val="24"/>
          <w:szCs w:val="24"/>
        </w:rPr>
      </w:pPr>
      <w:r>
        <w:rPr>
          <w:sz w:val="24"/>
          <w:szCs w:val="24"/>
        </w:rPr>
        <w:t>WMO</w:t>
      </w:r>
    </w:p>
    <w:p w14:paraId="7DF24CB1" w14:textId="369110B6" w:rsidR="0071266C" w:rsidRPr="008710B1" w:rsidRDefault="0071266C" w:rsidP="00912F8B">
      <w:pPr>
        <w:pStyle w:val="ListParagraph"/>
        <w:numPr>
          <w:ilvl w:val="0"/>
          <w:numId w:val="4"/>
        </w:numPr>
        <w:jc w:val="both"/>
        <w:rPr>
          <w:sz w:val="24"/>
          <w:szCs w:val="24"/>
        </w:rPr>
      </w:pPr>
      <w:r w:rsidRPr="008710B1">
        <w:rPr>
          <w:sz w:val="24"/>
          <w:szCs w:val="24"/>
        </w:rPr>
        <w:t>IFRC</w:t>
      </w:r>
    </w:p>
    <w:p w14:paraId="763AEED4" w14:textId="3EC5E47C" w:rsidR="0071266C" w:rsidRPr="008710B1" w:rsidRDefault="0071266C" w:rsidP="00912F8B">
      <w:pPr>
        <w:pStyle w:val="ListParagraph"/>
        <w:numPr>
          <w:ilvl w:val="0"/>
          <w:numId w:val="4"/>
        </w:numPr>
        <w:jc w:val="both"/>
        <w:rPr>
          <w:sz w:val="24"/>
          <w:szCs w:val="24"/>
        </w:rPr>
      </w:pPr>
      <w:r w:rsidRPr="008710B1">
        <w:rPr>
          <w:sz w:val="24"/>
          <w:szCs w:val="24"/>
        </w:rPr>
        <w:t>International Foundations (explore options via the Ocean Decade)</w:t>
      </w:r>
    </w:p>
    <w:p w14:paraId="48DB3E2A" w14:textId="4D945CBA" w:rsidR="0071266C" w:rsidRPr="008710B1" w:rsidRDefault="0071266C" w:rsidP="00912F8B">
      <w:pPr>
        <w:pStyle w:val="ListParagraph"/>
        <w:numPr>
          <w:ilvl w:val="0"/>
          <w:numId w:val="4"/>
        </w:numPr>
        <w:jc w:val="both"/>
        <w:rPr>
          <w:sz w:val="24"/>
          <w:szCs w:val="24"/>
        </w:rPr>
      </w:pPr>
      <w:r w:rsidRPr="008710B1">
        <w:rPr>
          <w:sz w:val="24"/>
          <w:szCs w:val="24"/>
        </w:rPr>
        <w:t>Save the Children</w:t>
      </w:r>
    </w:p>
    <w:p w14:paraId="4FB61A05" w14:textId="63D3ABE2" w:rsidR="00941225" w:rsidRPr="008710B1" w:rsidRDefault="00941225" w:rsidP="00912F8B">
      <w:pPr>
        <w:pStyle w:val="ListParagraph"/>
        <w:numPr>
          <w:ilvl w:val="0"/>
          <w:numId w:val="4"/>
        </w:numPr>
        <w:jc w:val="both"/>
        <w:rPr>
          <w:sz w:val="24"/>
          <w:szCs w:val="24"/>
        </w:rPr>
      </w:pPr>
      <w:r w:rsidRPr="008710B1">
        <w:rPr>
          <w:sz w:val="24"/>
          <w:szCs w:val="24"/>
        </w:rPr>
        <w:t>Banking</w:t>
      </w:r>
      <w:r w:rsidR="004869F7">
        <w:rPr>
          <w:sz w:val="24"/>
          <w:szCs w:val="24"/>
        </w:rPr>
        <w:t>/Insurance</w:t>
      </w:r>
      <w:r w:rsidRPr="008710B1">
        <w:rPr>
          <w:sz w:val="24"/>
          <w:szCs w:val="24"/>
        </w:rPr>
        <w:t xml:space="preserve"> Foundations</w:t>
      </w:r>
    </w:p>
    <w:p w14:paraId="4DAAFAEA" w14:textId="25F1E73F" w:rsidR="00941225" w:rsidRPr="008710B1" w:rsidRDefault="00941225" w:rsidP="00912F8B">
      <w:pPr>
        <w:pStyle w:val="ListParagraph"/>
        <w:numPr>
          <w:ilvl w:val="0"/>
          <w:numId w:val="4"/>
        </w:numPr>
        <w:jc w:val="both"/>
        <w:rPr>
          <w:sz w:val="24"/>
          <w:szCs w:val="24"/>
        </w:rPr>
      </w:pPr>
      <w:r w:rsidRPr="008710B1">
        <w:rPr>
          <w:sz w:val="24"/>
          <w:szCs w:val="24"/>
        </w:rPr>
        <w:t>International Association of Emergency Managers (IEAM)</w:t>
      </w:r>
    </w:p>
    <w:p w14:paraId="4E77756C" w14:textId="1F04A8EF" w:rsidR="0071266C" w:rsidRPr="008710B1" w:rsidRDefault="0071266C" w:rsidP="0071266C">
      <w:pPr>
        <w:jc w:val="both"/>
        <w:rPr>
          <w:sz w:val="24"/>
          <w:szCs w:val="24"/>
        </w:rPr>
      </w:pPr>
      <w:r w:rsidRPr="008710B1">
        <w:rPr>
          <w:sz w:val="24"/>
          <w:szCs w:val="24"/>
        </w:rPr>
        <w:t>Regional:</w:t>
      </w:r>
    </w:p>
    <w:p w14:paraId="5DA42A21" w14:textId="26BF4A88" w:rsidR="009D79C9" w:rsidRDefault="00941225" w:rsidP="009D79C9">
      <w:pPr>
        <w:pStyle w:val="ListParagraph"/>
        <w:numPr>
          <w:ilvl w:val="0"/>
          <w:numId w:val="4"/>
        </w:numPr>
        <w:jc w:val="both"/>
        <w:rPr>
          <w:sz w:val="24"/>
          <w:szCs w:val="24"/>
        </w:rPr>
      </w:pPr>
      <w:r w:rsidRPr="009D79C9">
        <w:rPr>
          <w:sz w:val="24"/>
          <w:szCs w:val="24"/>
        </w:rPr>
        <w:t xml:space="preserve">Tsunami </w:t>
      </w:r>
      <w:r w:rsidR="004869F7" w:rsidRPr="009D79C9">
        <w:rPr>
          <w:sz w:val="24"/>
          <w:szCs w:val="24"/>
        </w:rPr>
        <w:t>Information Centres</w:t>
      </w:r>
      <w:r w:rsidR="009D79C9" w:rsidRPr="009D79C9">
        <w:rPr>
          <w:sz w:val="24"/>
          <w:szCs w:val="24"/>
        </w:rPr>
        <w:t xml:space="preserve"> (the TICs have a facilitation role for IOC T</w:t>
      </w:r>
      <w:r w:rsidR="009D79C9">
        <w:rPr>
          <w:sz w:val="24"/>
          <w:szCs w:val="24"/>
        </w:rPr>
        <w:t>sunami Ready</w:t>
      </w:r>
      <w:r w:rsidR="00976B3C">
        <w:rPr>
          <w:sz w:val="24"/>
          <w:szCs w:val="24"/>
        </w:rPr>
        <w:t>,</w:t>
      </w:r>
      <w:r w:rsidR="009D79C9" w:rsidRPr="009D79C9">
        <w:rPr>
          <w:sz w:val="24"/>
          <w:szCs w:val="24"/>
        </w:rPr>
        <w:t xml:space="preserve"> and as such, TIC participation in th</w:t>
      </w:r>
      <w:r w:rsidR="009D79C9">
        <w:rPr>
          <w:sz w:val="24"/>
          <w:szCs w:val="24"/>
        </w:rPr>
        <w:t>e</w:t>
      </w:r>
      <w:r w:rsidR="009D79C9" w:rsidRPr="009D79C9">
        <w:rPr>
          <w:sz w:val="24"/>
          <w:szCs w:val="24"/>
        </w:rPr>
        <w:t xml:space="preserve"> Coalition is </w:t>
      </w:r>
      <w:r w:rsidR="009D79C9">
        <w:rPr>
          <w:sz w:val="24"/>
          <w:szCs w:val="24"/>
        </w:rPr>
        <w:t>important)</w:t>
      </w:r>
      <w:r w:rsidR="009D79C9" w:rsidRPr="009D79C9">
        <w:rPr>
          <w:sz w:val="24"/>
          <w:szCs w:val="24"/>
        </w:rPr>
        <w:t>.</w:t>
      </w:r>
    </w:p>
    <w:p w14:paraId="139AFADB" w14:textId="3F66C173" w:rsidR="00A21848" w:rsidRPr="009D79C9" w:rsidRDefault="00A21848" w:rsidP="009D79C9">
      <w:pPr>
        <w:pStyle w:val="ListParagraph"/>
        <w:numPr>
          <w:ilvl w:val="0"/>
          <w:numId w:val="4"/>
        </w:numPr>
        <w:jc w:val="both"/>
        <w:rPr>
          <w:sz w:val="24"/>
          <w:szCs w:val="24"/>
        </w:rPr>
      </w:pPr>
      <w:r>
        <w:rPr>
          <w:sz w:val="24"/>
          <w:szCs w:val="24"/>
        </w:rPr>
        <w:t>Relevant ICG Working Groups and Task Teams</w:t>
      </w:r>
    </w:p>
    <w:p w14:paraId="10D18CE7" w14:textId="35A14922" w:rsidR="0071266C" w:rsidRPr="008710B1" w:rsidRDefault="00941225" w:rsidP="0071266C">
      <w:pPr>
        <w:pStyle w:val="ListParagraph"/>
        <w:numPr>
          <w:ilvl w:val="0"/>
          <w:numId w:val="4"/>
        </w:numPr>
        <w:jc w:val="both"/>
        <w:rPr>
          <w:sz w:val="24"/>
          <w:szCs w:val="24"/>
        </w:rPr>
      </w:pPr>
      <w:r w:rsidRPr="008710B1">
        <w:rPr>
          <w:sz w:val="24"/>
          <w:szCs w:val="24"/>
        </w:rPr>
        <w:t>Pacific Community (</w:t>
      </w:r>
      <w:r w:rsidR="0071266C" w:rsidRPr="008710B1">
        <w:rPr>
          <w:sz w:val="24"/>
          <w:szCs w:val="24"/>
        </w:rPr>
        <w:t>SPC</w:t>
      </w:r>
      <w:r w:rsidR="00F31580" w:rsidRPr="008710B1">
        <w:rPr>
          <w:sz w:val="24"/>
          <w:szCs w:val="24"/>
        </w:rPr>
        <w:t>)</w:t>
      </w:r>
    </w:p>
    <w:p w14:paraId="7EEB7B8A" w14:textId="0B806364" w:rsidR="0071266C" w:rsidRPr="008710B1" w:rsidRDefault="0071266C" w:rsidP="0071266C">
      <w:pPr>
        <w:pStyle w:val="ListParagraph"/>
        <w:numPr>
          <w:ilvl w:val="0"/>
          <w:numId w:val="4"/>
        </w:numPr>
        <w:jc w:val="both"/>
        <w:rPr>
          <w:sz w:val="24"/>
          <w:szCs w:val="24"/>
        </w:rPr>
      </w:pPr>
      <w:r w:rsidRPr="008710B1">
        <w:rPr>
          <w:sz w:val="24"/>
          <w:szCs w:val="24"/>
        </w:rPr>
        <w:t>ASEAN</w:t>
      </w:r>
    </w:p>
    <w:p w14:paraId="5771A6E1" w14:textId="077F6AD5" w:rsidR="0071266C" w:rsidRPr="008710B1" w:rsidRDefault="0071266C" w:rsidP="0071266C">
      <w:pPr>
        <w:pStyle w:val="ListParagraph"/>
        <w:numPr>
          <w:ilvl w:val="0"/>
          <w:numId w:val="4"/>
        </w:numPr>
        <w:jc w:val="both"/>
        <w:rPr>
          <w:sz w:val="24"/>
          <w:szCs w:val="24"/>
        </w:rPr>
      </w:pPr>
      <w:r w:rsidRPr="008710B1">
        <w:rPr>
          <w:sz w:val="24"/>
          <w:szCs w:val="24"/>
        </w:rPr>
        <w:t>UNESCAP</w:t>
      </w:r>
    </w:p>
    <w:p w14:paraId="235D2B8E" w14:textId="77777777" w:rsidR="00912F8B" w:rsidRDefault="00912F8B" w:rsidP="0071266C">
      <w:pPr>
        <w:pStyle w:val="ListParagraph"/>
        <w:numPr>
          <w:ilvl w:val="0"/>
          <w:numId w:val="4"/>
        </w:numPr>
        <w:jc w:val="both"/>
        <w:rPr>
          <w:sz w:val="24"/>
          <w:szCs w:val="24"/>
        </w:rPr>
      </w:pPr>
      <w:r>
        <w:rPr>
          <w:sz w:val="24"/>
          <w:szCs w:val="24"/>
        </w:rPr>
        <w:lastRenderedPageBreak/>
        <w:t xml:space="preserve">Coordination Center for Disaster Prevention in Central America and the Dominican Republic (CEPREDENAC) </w:t>
      </w:r>
    </w:p>
    <w:p w14:paraId="79979527" w14:textId="6581105A" w:rsidR="0071266C" w:rsidRPr="008710B1" w:rsidRDefault="004869F7" w:rsidP="0071266C">
      <w:pPr>
        <w:pStyle w:val="ListParagraph"/>
        <w:numPr>
          <w:ilvl w:val="0"/>
          <w:numId w:val="4"/>
        </w:numPr>
        <w:jc w:val="both"/>
        <w:rPr>
          <w:sz w:val="24"/>
          <w:szCs w:val="24"/>
        </w:rPr>
      </w:pPr>
      <w:r>
        <w:rPr>
          <w:sz w:val="24"/>
          <w:szCs w:val="24"/>
        </w:rPr>
        <w:t>Caribbean Disaster Emergency Management Agency (CDEMA)</w:t>
      </w:r>
    </w:p>
    <w:p w14:paraId="43A3FFA9" w14:textId="4DB25BED" w:rsidR="0071266C" w:rsidRPr="008710B1" w:rsidRDefault="00941225" w:rsidP="0071266C">
      <w:pPr>
        <w:pStyle w:val="ListParagraph"/>
        <w:numPr>
          <w:ilvl w:val="0"/>
          <w:numId w:val="4"/>
        </w:numPr>
        <w:jc w:val="both"/>
        <w:rPr>
          <w:sz w:val="24"/>
          <w:szCs w:val="24"/>
        </w:rPr>
      </w:pPr>
      <w:r w:rsidRPr="008710B1">
        <w:rPr>
          <w:sz w:val="24"/>
          <w:szCs w:val="24"/>
        </w:rPr>
        <w:t>French Inter- Ministerial for the Antilles Estate Major Zone (</w:t>
      </w:r>
      <w:r w:rsidR="0071266C" w:rsidRPr="008710B1">
        <w:rPr>
          <w:sz w:val="24"/>
          <w:szCs w:val="24"/>
        </w:rPr>
        <w:t>EMIZA</w:t>
      </w:r>
      <w:r w:rsidRPr="008710B1">
        <w:rPr>
          <w:sz w:val="24"/>
          <w:szCs w:val="24"/>
        </w:rPr>
        <w:t>)</w:t>
      </w:r>
    </w:p>
    <w:p w14:paraId="19D5EBDB" w14:textId="126C7957" w:rsidR="0071266C" w:rsidRPr="008710B1" w:rsidRDefault="00F31580" w:rsidP="0071266C">
      <w:pPr>
        <w:pStyle w:val="ListParagraph"/>
        <w:numPr>
          <w:ilvl w:val="0"/>
          <w:numId w:val="4"/>
        </w:numPr>
        <w:jc w:val="both"/>
        <w:rPr>
          <w:sz w:val="24"/>
          <w:szCs w:val="24"/>
        </w:rPr>
      </w:pPr>
      <w:r w:rsidRPr="008710B1">
        <w:rPr>
          <w:sz w:val="24"/>
          <w:szCs w:val="24"/>
        </w:rPr>
        <w:t>Directorate-General for the European Civil Protection and Humanitarian Ais Operations of the EC (DG-ECHO-EC)</w:t>
      </w:r>
    </w:p>
    <w:p w14:paraId="482BE928" w14:textId="3EDD9388" w:rsidR="00941225" w:rsidRDefault="00941225" w:rsidP="0071266C">
      <w:pPr>
        <w:pStyle w:val="ListParagraph"/>
        <w:numPr>
          <w:ilvl w:val="0"/>
          <w:numId w:val="4"/>
        </w:numPr>
        <w:jc w:val="both"/>
        <w:rPr>
          <w:sz w:val="24"/>
          <w:szCs w:val="24"/>
        </w:rPr>
      </w:pPr>
      <w:r w:rsidRPr="008710B1">
        <w:rPr>
          <w:sz w:val="24"/>
          <w:szCs w:val="24"/>
        </w:rPr>
        <w:t>Joint Research Centre of the European Commission</w:t>
      </w:r>
      <w:r w:rsidR="00F31580" w:rsidRPr="008710B1">
        <w:rPr>
          <w:sz w:val="24"/>
          <w:szCs w:val="24"/>
        </w:rPr>
        <w:t xml:space="preserve"> </w:t>
      </w:r>
      <w:r w:rsidRPr="008710B1">
        <w:rPr>
          <w:sz w:val="24"/>
          <w:szCs w:val="24"/>
        </w:rPr>
        <w:t>(JRC</w:t>
      </w:r>
      <w:r w:rsidR="00F31580" w:rsidRPr="008710B1">
        <w:rPr>
          <w:sz w:val="24"/>
          <w:szCs w:val="24"/>
        </w:rPr>
        <w:t>-EC)</w:t>
      </w:r>
    </w:p>
    <w:p w14:paraId="6904F9C3" w14:textId="136D03CE" w:rsidR="00A378C1" w:rsidRPr="00A378C1" w:rsidRDefault="00A378C1" w:rsidP="00A378C1">
      <w:pPr>
        <w:pStyle w:val="ListParagraph"/>
        <w:numPr>
          <w:ilvl w:val="0"/>
          <w:numId w:val="4"/>
        </w:numPr>
        <w:jc w:val="both"/>
        <w:rPr>
          <w:sz w:val="24"/>
          <w:szCs w:val="24"/>
        </w:rPr>
      </w:pPr>
      <w:r w:rsidRPr="00A378C1">
        <w:rPr>
          <w:sz w:val="24"/>
          <w:szCs w:val="24"/>
        </w:rPr>
        <w:t>U-INSPIRE Alliance (Asia and the Pacific Alliance of Youth and Young Professionals in Science, Engineering, Technology, and Innovation for Disaster Risk Reduction and Resilience)</w:t>
      </w:r>
    </w:p>
    <w:p w14:paraId="7EEE9DA1" w14:textId="6BA085A3" w:rsidR="00A378C1" w:rsidRPr="00A378C1" w:rsidRDefault="00A378C1" w:rsidP="00A378C1">
      <w:pPr>
        <w:pStyle w:val="ListParagraph"/>
        <w:numPr>
          <w:ilvl w:val="0"/>
          <w:numId w:val="4"/>
        </w:numPr>
        <w:jc w:val="both"/>
        <w:rPr>
          <w:sz w:val="24"/>
          <w:szCs w:val="24"/>
        </w:rPr>
      </w:pPr>
      <w:r w:rsidRPr="00A378C1">
        <w:rPr>
          <w:sz w:val="24"/>
          <w:szCs w:val="24"/>
        </w:rPr>
        <w:t>CARIDIMA Youth Platform for DRM in the Caribbean.</w:t>
      </w:r>
    </w:p>
    <w:p w14:paraId="0E6C2F0A" w14:textId="64A952F9" w:rsidR="00941225" w:rsidRDefault="00F31580" w:rsidP="0071266C">
      <w:pPr>
        <w:pStyle w:val="ListParagraph"/>
        <w:numPr>
          <w:ilvl w:val="0"/>
          <w:numId w:val="4"/>
        </w:numPr>
        <w:jc w:val="both"/>
        <w:rPr>
          <w:sz w:val="24"/>
          <w:szCs w:val="24"/>
        </w:rPr>
      </w:pPr>
      <w:r w:rsidRPr="008710B1">
        <w:rPr>
          <w:sz w:val="24"/>
          <w:szCs w:val="24"/>
        </w:rPr>
        <w:t>Arab League Educational, Cultural and Scientific Organization (ALESCO)</w:t>
      </w:r>
    </w:p>
    <w:p w14:paraId="26C3AE46" w14:textId="55A491CC" w:rsidR="00391A87" w:rsidRPr="00391A87" w:rsidRDefault="00391A87" w:rsidP="00391A87">
      <w:pPr>
        <w:pStyle w:val="ListParagraph"/>
        <w:numPr>
          <w:ilvl w:val="0"/>
          <w:numId w:val="4"/>
        </w:numPr>
        <w:jc w:val="both"/>
        <w:rPr>
          <w:sz w:val="24"/>
          <w:szCs w:val="24"/>
        </w:rPr>
      </w:pPr>
      <w:r w:rsidRPr="00391A87">
        <w:rPr>
          <w:sz w:val="24"/>
          <w:szCs w:val="24"/>
        </w:rPr>
        <w:t>Islamic World Educational, Scientific and Cultural Organization (ICESCO)</w:t>
      </w:r>
      <w:r>
        <w:rPr>
          <w:sz w:val="24"/>
          <w:szCs w:val="24"/>
        </w:rPr>
        <w:t xml:space="preserve"> (H</w:t>
      </w:r>
      <w:r w:rsidRPr="00391A87">
        <w:rPr>
          <w:sz w:val="24"/>
          <w:szCs w:val="24"/>
        </w:rPr>
        <w:t>eadquarters in Rabat, Morocco</w:t>
      </w:r>
      <w:r>
        <w:rPr>
          <w:sz w:val="24"/>
          <w:szCs w:val="24"/>
        </w:rPr>
        <w:t>)</w:t>
      </w:r>
      <w:r w:rsidRPr="00391A87">
        <w:rPr>
          <w:sz w:val="24"/>
          <w:szCs w:val="24"/>
        </w:rPr>
        <w:t>. </w:t>
      </w:r>
    </w:p>
    <w:p w14:paraId="49B4AF1B" w14:textId="0612FE3D" w:rsidR="008544D1" w:rsidRPr="008710B1" w:rsidRDefault="00941225" w:rsidP="00EB57CA">
      <w:pPr>
        <w:jc w:val="both"/>
        <w:rPr>
          <w:sz w:val="24"/>
          <w:szCs w:val="24"/>
        </w:rPr>
      </w:pPr>
      <w:r w:rsidRPr="008710B1">
        <w:rPr>
          <w:sz w:val="24"/>
          <w:szCs w:val="24"/>
        </w:rPr>
        <w:t>National:</w:t>
      </w:r>
    </w:p>
    <w:p w14:paraId="7D7C26EC" w14:textId="5ED7C199" w:rsidR="00F31580" w:rsidRPr="004869F7" w:rsidRDefault="004869F7" w:rsidP="004869F7">
      <w:pPr>
        <w:pStyle w:val="ListParagraph"/>
        <w:numPr>
          <w:ilvl w:val="0"/>
          <w:numId w:val="7"/>
        </w:numPr>
        <w:jc w:val="both"/>
        <w:rPr>
          <w:b/>
          <w:bCs/>
          <w:sz w:val="24"/>
          <w:szCs w:val="24"/>
        </w:rPr>
      </w:pPr>
      <w:r>
        <w:rPr>
          <w:sz w:val="24"/>
          <w:szCs w:val="24"/>
        </w:rPr>
        <w:t xml:space="preserve">AID Organizations </w:t>
      </w:r>
      <w:proofErr w:type="gramStart"/>
      <w:r>
        <w:rPr>
          <w:sz w:val="24"/>
          <w:szCs w:val="24"/>
        </w:rPr>
        <w:t>i.e.</w:t>
      </w:r>
      <w:proofErr w:type="gramEnd"/>
      <w:r>
        <w:rPr>
          <w:sz w:val="24"/>
          <w:szCs w:val="24"/>
        </w:rPr>
        <w:t xml:space="preserve"> USAID, A</w:t>
      </w:r>
      <w:r w:rsidR="00D36B8C">
        <w:rPr>
          <w:sz w:val="24"/>
          <w:szCs w:val="24"/>
        </w:rPr>
        <w:t>USAID</w:t>
      </w:r>
      <w:r>
        <w:rPr>
          <w:sz w:val="24"/>
          <w:szCs w:val="24"/>
        </w:rPr>
        <w:t>, Canadian Aid</w:t>
      </w:r>
    </w:p>
    <w:p w14:paraId="2B470DBA" w14:textId="20659DD0" w:rsidR="004869F7" w:rsidRPr="00A378C1" w:rsidRDefault="004869F7" w:rsidP="004869F7">
      <w:pPr>
        <w:pStyle w:val="ListParagraph"/>
        <w:numPr>
          <w:ilvl w:val="0"/>
          <w:numId w:val="7"/>
        </w:numPr>
        <w:jc w:val="both"/>
        <w:rPr>
          <w:b/>
          <w:bCs/>
          <w:sz w:val="24"/>
          <w:szCs w:val="24"/>
        </w:rPr>
      </w:pPr>
      <w:r>
        <w:rPr>
          <w:sz w:val="24"/>
          <w:szCs w:val="24"/>
        </w:rPr>
        <w:t>National Emergency Management agencies/NDMOs</w:t>
      </w:r>
    </w:p>
    <w:p w14:paraId="7563F55F" w14:textId="37385003" w:rsidR="00A378C1" w:rsidRPr="00D36B8C" w:rsidRDefault="00A378C1" w:rsidP="004869F7">
      <w:pPr>
        <w:pStyle w:val="ListParagraph"/>
        <w:numPr>
          <w:ilvl w:val="0"/>
          <w:numId w:val="7"/>
        </w:numPr>
        <w:jc w:val="both"/>
        <w:rPr>
          <w:sz w:val="24"/>
          <w:szCs w:val="24"/>
        </w:rPr>
      </w:pPr>
      <w:r>
        <w:rPr>
          <w:sz w:val="24"/>
          <w:szCs w:val="24"/>
        </w:rPr>
        <w:t>IOC &amp; Tsunami National Contacts</w:t>
      </w:r>
    </w:p>
    <w:p w14:paraId="06624DA6" w14:textId="120F3BDA" w:rsidR="00D36B8C" w:rsidRPr="00D36B8C" w:rsidRDefault="00D36B8C" w:rsidP="004869F7">
      <w:pPr>
        <w:pStyle w:val="ListParagraph"/>
        <w:numPr>
          <w:ilvl w:val="0"/>
          <w:numId w:val="7"/>
        </w:numPr>
        <w:jc w:val="both"/>
        <w:rPr>
          <w:sz w:val="24"/>
          <w:szCs w:val="24"/>
        </w:rPr>
      </w:pPr>
      <w:r w:rsidRPr="00D36B8C">
        <w:rPr>
          <w:sz w:val="24"/>
          <w:szCs w:val="24"/>
        </w:rPr>
        <w:t>National Commissions for UNESCO</w:t>
      </w:r>
    </w:p>
    <w:p w14:paraId="520698D0" w14:textId="501DC043" w:rsidR="00A378C1" w:rsidRPr="00A378C1" w:rsidRDefault="00A378C1" w:rsidP="004869F7">
      <w:pPr>
        <w:pStyle w:val="ListParagraph"/>
        <w:numPr>
          <w:ilvl w:val="0"/>
          <w:numId w:val="7"/>
        </w:numPr>
        <w:jc w:val="both"/>
        <w:rPr>
          <w:sz w:val="24"/>
          <w:szCs w:val="24"/>
        </w:rPr>
      </w:pPr>
      <w:r w:rsidRPr="00A378C1">
        <w:rPr>
          <w:sz w:val="24"/>
          <w:szCs w:val="24"/>
        </w:rPr>
        <w:t>National Youth organisations</w:t>
      </w:r>
    </w:p>
    <w:p w14:paraId="7B2516F9" w14:textId="77777777" w:rsidR="004869F7" w:rsidRPr="008710B1" w:rsidRDefault="004869F7" w:rsidP="004869F7">
      <w:pPr>
        <w:pStyle w:val="ListParagraph"/>
        <w:ind w:left="1080"/>
        <w:jc w:val="both"/>
        <w:rPr>
          <w:b/>
          <w:bCs/>
          <w:sz w:val="24"/>
          <w:szCs w:val="24"/>
        </w:rPr>
      </w:pPr>
    </w:p>
    <w:p w14:paraId="3670897C" w14:textId="5158DB10" w:rsidR="00EB57CA" w:rsidRPr="008710B1" w:rsidRDefault="008544D1" w:rsidP="00F31580">
      <w:pPr>
        <w:pStyle w:val="ListParagraph"/>
        <w:numPr>
          <w:ilvl w:val="0"/>
          <w:numId w:val="6"/>
        </w:numPr>
        <w:jc w:val="both"/>
        <w:rPr>
          <w:b/>
          <w:bCs/>
          <w:sz w:val="24"/>
          <w:szCs w:val="24"/>
        </w:rPr>
      </w:pPr>
      <w:r w:rsidRPr="008710B1">
        <w:rPr>
          <w:b/>
          <w:bCs/>
          <w:sz w:val="24"/>
          <w:szCs w:val="24"/>
        </w:rPr>
        <w:t>Challenges</w:t>
      </w:r>
      <w:r w:rsidR="006E4EF5" w:rsidRPr="008710B1">
        <w:rPr>
          <w:b/>
          <w:bCs/>
          <w:sz w:val="24"/>
          <w:szCs w:val="24"/>
        </w:rPr>
        <w:t xml:space="preserve"> </w:t>
      </w:r>
      <w:r w:rsidR="003855C0" w:rsidRPr="008710B1">
        <w:rPr>
          <w:b/>
          <w:bCs/>
          <w:sz w:val="24"/>
          <w:szCs w:val="24"/>
        </w:rPr>
        <w:t xml:space="preserve">re the functioning of </w:t>
      </w:r>
      <w:r w:rsidR="005C2389">
        <w:rPr>
          <w:b/>
          <w:bCs/>
          <w:sz w:val="24"/>
          <w:szCs w:val="24"/>
        </w:rPr>
        <w:t xml:space="preserve">the </w:t>
      </w:r>
      <w:r w:rsidR="003855C0" w:rsidRPr="008710B1">
        <w:rPr>
          <w:b/>
          <w:bCs/>
          <w:sz w:val="24"/>
          <w:szCs w:val="24"/>
        </w:rPr>
        <w:t>Coalition</w:t>
      </w:r>
    </w:p>
    <w:p w14:paraId="2F85A410" w14:textId="6E30F0CE" w:rsidR="003855C0" w:rsidRPr="008710B1" w:rsidRDefault="003855C0" w:rsidP="003855C0">
      <w:pPr>
        <w:jc w:val="both"/>
        <w:rPr>
          <w:sz w:val="24"/>
          <w:szCs w:val="24"/>
        </w:rPr>
      </w:pPr>
      <w:r w:rsidRPr="008710B1">
        <w:rPr>
          <w:sz w:val="24"/>
          <w:szCs w:val="24"/>
        </w:rPr>
        <w:t xml:space="preserve">The following </w:t>
      </w:r>
      <w:r w:rsidR="008544D1" w:rsidRPr="008710B1">
        <w:rPr>
          <w:sz w:val="24"/>
          <w:szCs w:val="24"/>
        </w:rPr>
        <w:t xml:space="preserve">challenges and </w:t>
      </w:r>
      <w:r w:rsidRPr="008710B1">
        <w:rPr>
          <w:sz w:val="24"/>
          <w:szCs w:val="24"/>
        </w:rPr>
        <w:t>questions pertaining to the intent and functioning of the Coalition resulted from the discussion:</w:t>
      </w:r>
    </w:p>
    <w:p w14:paraId="143915B0" w14:textId="77777777" w:rsidR="008544D1" w:rsidRPr="008710B1" w:rsidRDefault="008544D1" w:rsidP="008544D1">
      <w:pPr>
        <w:pStyle w:val="ListParagraph"/>
        <w:numPr>
          <w:ilvl w:val="0"/>
          <w:numId w:val="3"/>
        </w:numPr>
        <w:jc w:val="both"/>
        <w:rPr>
          <w:b/>
          <w:bCs/>
          <w:sz w:val="24"/>
          <w:szCs w:val="24"/>
        </w:rPr>
      </w:pPr>
      <w:r w:rsidRPr="008710B1">
        <w:rPr>
          <w:b/>
          <w:bCs/>
          <w:sz w:val="24"/>
          <w:szCs w:val="24"/>
        </w:rPr>
        <w:t>Coordination and management:</w:t>
      </w:r>
    </w:p>
    <w:p w14:paraId="6D01C4E5" w14:textId="37D24C15" w:rsidR="008544D1" w:rsidRDefault="008544D1" w:rsidP="006E4EF5">
      <w:pPr>
        <w:pStyle w:val="ListParagraph"/>
        <w:jc w:val="both"/>
        <w:rPr>
          <w:sz w:val="24"/>
          <w:szCs w:val="24"/>
        </w:rPr>
      </w:pPr>
      <w:r w:rsidRPr="008710B1">
        <w:rPr>
          <w:sz w:val="24"/>
          <w:szCs w:val="24"/>
        </w:rPr>
        <w:t xml:space="preserve">The meeting noted that dedicated resourcing will be required to sustain coordination and management of the Coalition for it to be successful. It was unclear whether such resourcing is being considered, noting the TTDMP will be unable to offer the required level of </w:t>
      </w:r>
      <w:r w:rsidR="009569A7">
        <w:rPr>
          <w:sz w:val="24"/>
          <w:szCs w:val="24"/>
        </w:rPr>
        <w:t xml:space="preserve">management and </w:t>
      </w:r>
      <w:r w:rsidRPr="008710B1">
        <w:rPr>
          <w:sz w:val="24"/>
          <w:szCs w:val="24"/>
        </w:rPr>
        <w:t>coordination.</w:t>
      </w:r>
      <w:r w:rsidR="00EE43DC">
        <w:rPr>
          <w:sz w:val="24"/>
          <w:szCs w:val="24"/>
        </w:rPr>
        <w:t xml:space="preserve"> </w:t>
      </w:r>
    </w:p>
    <w:p w14:paraId="19BD9613" w14:textId="4CA05AAA" w:rsidR="00EE43DC" w:rsidRPr="008710B1" w:rsidRDefault="00EE43DC" w:rsidP="006E4EF5">
      <w:pPr>
        <w:pStyle w:val="ListParagraph"/>
        <w:jc w:val="both"/>
        <w:rPr>
          <w:sz w:val="24"/>
          <w:szCs w:val="24"/>
        </w:rPr>
      </w:pPr>
      <w:r>
        <w:rPr>
          <w:sz w:val="24"/>
          <w:szCs w:val="24"/>
        </w:rPr>
        <w:t xml:space="preserve">AF </w:t>
      </w:r>
      <w:r w:rsidRPr="00EE43DC">
        <w:rPr>
          <w:sz w:val="24"/>
          <w:szCs w:val="24"/>
        </w:rPr>
        <w:t>point out the need for a tiny Coalition secretariat (obviously through voluntary contributions or the MS secondarily to the IOC Secretariat)</w:t>
      </w:r>
    </w:p>
    <w:p w14:paraId="0C1A5E18" w14:textId="77777777" w:rsidR="006E4EF5" w:rsidRPr="008710B1" w:rsidRDefault="006E4EF5" w:rsidP="006E4EF5">
      <w:pPr>
        <w:pStyle w:val="ListParagraph"/>
        <w:jc w:val="both"/>
        <w:rPr>
          <w:sz w:val="24"/>
          <w:szCs w:val="24"/>
        </w:rPr>
      </w:pPr>
    </w:p>
    <w:p w14:paraId="046854C1" w14:textId="6880580B" w:rsidR="003855C0" w:rsidRPr="008710B1" w:rsidRDefault="003855C0" w:rsidP="003855C0">
      <w:pPr>
        <w:pStyle w:val="ListParagraph"/>
        <w:numPr>
          <w:ilvl w:val="0"/>
          <w:numId w:val="3"/>
        </w:numPr>
        <w:jc w:val="both"/>
        <w:rPr>
          <w:b/>
          <w:bCs/>
          <w:sz w:val="24"/>
          <w:szCs w:val="24"/>
        </w:rPr>
      </w:pPr>
      <w:r w:rsidRPr="008710B1">
        <w:rPr>
          <w:b/>
          <w:bCs/>
          <w:sz w:val="24"/>
          <w:szCs w:val="24"/>
        </w:rPr>
        <w:t>Development of a Strategic P</w:t>
      </w:r>
      <w:r w:rsidR="006E4EF5" w:rsidRPr="008710B1">
        <w:rPr>
          <w:b/>
          <w:bCs/>
          <w:sz w:val="24"/>
          <w:szCs w:val="24"/>
        </w:rPr>
        <w:t>l</w:t>
      </w:r>
      <w:r w:rsidRPr="008710B1">
        <w:rPr>
          <w:b/>
          <w:bCs/>
          <w:sz w:val="24"/>
          <w:szCs w:val="24"/>
        </w:rPr>
        <w:t xml:space="preserve">an and </w:t>
      </w:r>
      <w:r w:rsidR="006E4EF5" w:rsidRPr="008710B1">
        <w:rPr>
          <w:b/>
          <w:bCs/>
          <w:sz w:val="24"/>
          <w:szCs w:val="24"/>
        </w:rPr>
        <w:t>r</w:t>
      </w:r>
      <w:r w:rsidRPr="008710B1">
        <w:rPr>
          <w:b/>
          <w:bCs/>
          <w:sz w:val="24"/>
          <w:szCs w:val="24"/>
        </w:rPr>
        <w:t>eport to TOWS-WG XV:</w:t>
      </w:r>
    </w:p>
    <w:p w14:paraId="1C5C5ED4" w14:textId="416982B8" w:rsidR="003855C0" w:rsidRPr="008710B1" w:rsidRDefault="003855C0" w:rsidP="006E4EF5">
      <w:pPr>
        <w:pStyle w:val="ListParagraph"/>
        <w:jc w:val="both"/>
        <w:rPr>
          <w:sz w:val="24"/>
          <w:szCs w:val="24"/>
        </w:rPr>
      </w:pPr>
      <w:r w:rsidRPr="008710B1">
        <w:rPr>
          <w:sz w:val="24"/>
          <w:szCs w:val="24"/>
        </w:rPr>
        <w:t xml:space="preserve">The meeting noted that the </w:t>
      </w:r>
      <w:r w:rsidR="008544D1" w:rsidRPr="008710B1">
        <w:rPr>
          <w:sz w:val="24"/>
          <w:szCs w:val="24"/>
        </w:rPr>
        <w:t>establishment of the C</w:t>
      </w:r>
      <w:r w:rsidRPr="008710B1">
        <w:rPr>
          <w:sz w:val="24"/>
          <w:szCs w:val="24"/>
        </w:rPr>
        <w:t xml:space="preserve">oalition will take some time before it will be </w:t>
      </w:r>
      <w:proofErr w:type="gramStart"/>
      <w:r w:rsidRPr="008710B1">
        <w:rPr>
          <w:sz w:val="24"/>
          <w:szCs w:val="24"/>
        </w:rPr>
        <w:t>in a position</w:t>
      </w:r>
      <w:proofErr w:type="gramEnd"/>
      <w:r w:rsidRPr="008710B1">
        <w:rPr>
          <w:sz w:val="24"/>
          <w:szCs w:val="24"/>
        </w:rPr>
        <w:t xml:space="preserve"> to consider a strategic plan. It will therefore likely only be able to report on progress with regards to the development of a strategic plan by the time of TOWS-WG XV.</w:t>
      </w:r>
    </w:p>
    <w:p w14:paraId="07C8ACFB" w14:textId="77777777" w:rsidR="006E4EF5" w:rsidRPr="008710B1" w:rsidRDefault="006E4EF5" w:rsidP="006E4EF5">
      <w:pPr>
        <w:pStyle w:val="ListParagraph"/>
        <w:jc w:val="both"/>
        <w:rPr>
          <w:sz w:val="24"/>
          <w:szCs w:val="24"/>
        </w:rPr>
      </w:pPr>
    </w:p>
    <w:p w14:paraId="0F580812" w14:textId="357BB9B2" w:rsidR="008544D1" w:rsidRPr="008710B1" w:rsidRDefault="008544D1" w:rsidP="008544D1">
      <w:pPr>
        <w:pStyle w:val="ListParagraph"/>
        <w:numPr>
          <w:ilvl w:val="0"/>
          <w:numId w:val="3"/>
        </w:numPr>
        <w:jc w:val="both"/>
        <w:rPr>
          <w:b/>
          <w:bCs/>
          <w:sz w:val="24"/>
          <w:szCs w:val="24"/>
        </w:rPr>
      </w:pPr>
      <w:r w:rsidRPr="008710B1">
        <w:rPr>
          <w:b/>
          <w:bCs/>
          <w:sz w:val="24"/>
          <w:szCs w:val="24"/>
        </w:rPr>
        <w:t>Positioning of the Coalition in the TOWS structure:</w:t>
      </w:r>
    </w:p>
    <w:p w14:paraId="173DC36D" w14:textId="7660B2ED" w:rsidR="005C2389" w:rsidRDefault="007930E8" w:rsidP="008544D1">
      <w:pPr>
        <w:pStyle w:val="ListParagraph"/>
        <w:jc w:val="both"/>
        <w:rPr>
          <w:sz w:val="24"/>
          <w:szCs w:val="24"/>
        </w:rPr>
      </w:pPr>
      <w:r w:rsidRPr="008710B1">
        <w:rPr>
          <w:sz w:val="24"/>
          <w:szCs w:val="24"/>
        </w:rPr>
        <w:t>I</w:t>
      </w:r>
      <w:r w:rsidR="006E4EF5" w:rsidRPr="008710B1">
        <w:rPr>
          <w:sz w:val="24"/>
          <w:szCs w:val="24"/>
        </w:rPr>
        <w:t xml:space="preserve">t </w:t>
      </w:r>
      <w:r w:rsidRPr="008710B1">
        <w:rPr>
          <w:sz w:val="24"/>
          <w:szCs w:val="24"/>
        </w:rPr>
        <w:t>was not clear to the TTDMP how</w:t>
      </w:r>
      <w:r w:rsidR="006E4EF5" w:rsidRPr="008710B1">
        <w:rPr>
          <w:sz w:val="24"/>
          <w:szCs w:val="24"/>
        </w:rPr>
        <w:t>/where</w:t>
      </w:r>
      <w:r w:rsidRPr="008710B1">
        <w:rPr>
          <w:sz w:val="24"/>
          <w:szCs w:val="24"/>
        </w:rPr>
        <w:t xml:space="preserve"> the Coalition will fit into the TOWS structure, noting that it appears that both the TTDMP and the Coalition will report to </w:t>
      </w:r>
      <w:r w:rsidRPr="008710B1">
        <w:rPr>
          <w:sz w:val="24"/>
          <w:szCs w:val="24"/>
        </w:rPr>
        <w:lastRenderedPageBreak/>
        <w:t xml:space="preserve">the TOWS-WG. The question therefore arose as to </w:t>
      </w:r>
      <w:r w:rsidR="006E4EF5" w:rsidRPr="008710B1">
        <w:rPr>
          <w:sz w:val="24"/>
          <w:szCs w:val="24"/>
        </w:rPr>
        <w:t xml:space="preserve">alignment </w:t>
      </w:r>
      <w:r w:rsidR="00941225" w:rsidRPr="008710B1">
        <w:rPr>
          <w:sz w:val="24"/>
          <w:szCs w:val="24"/>
        </w:rPr>
        <w:t xml:space="preserve">and coordination </w:t>
      </w:r>
      <w:r w:rsidR="006E4EF5" w:rsidRPr="008710B1">
        <w:rPr>
          <w:sz w:val="24"/>
          <w:szCs w:val="24"/>
        </w:rPr>
        <w:t xml:space="preserve">between the TTDMP and the Coalition, and their reporting. </w:t>
      </w:r>
      <w:r w:rsidR="005C2389">
        <w:rPr>
          <w:sz w:val="24"/>
          <w:szCs w:val="24"/>
        </w:rPr>
        <w:t>Inclusion of TIC representation in the Coalition will support alignment with the TTDMP.</w:t>
      </w:r>
    </w:p>
    <w:p w14:paraId="668FB043" w14:textId="01F10AF3" w:rsidR="008544D1" w:rsidRPr="008710B1" w:rsidRDefault="006E4EF5" w:rsidP="008544D1">
      <w:pPr>
        <w:pStyle w:val="ListParagraph"/>
        <w:jc w:val="both"/>
        <w:rPr>
          <w:sz w:val="24"/>
          <w:szCs w:val="24"/>
        </w:rPr>
      </w:pPr>
      <w:r w:rsidRPr="008710B1">
        <w:rPr>
          <w:sz w:val="24"/>
          <w:szCs w:val="24"/>
        </w:rPr>
        <w:t>It was also commented that the Tsunami Ready Coalition should link with the Ocean Decade Alliance.</w:t>
      </w:r>
      <w:r w:rsidR="005C2389">
        <w:rPr>
          <w:sz w:val="24"/>
          <w:szCs w:val="24"/>
        </w:rPr>
        <w:t xml:space="preserve">  </w:t>
      </w:r>
    </w:p>
    <w:sectPr w:rsidR="008544D1" w:rsidRPr="008710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588C" w14:textId="77777777" w:rsidR="00415A6F" w:rsidRDefault="00415A6F" w:rsidP="0003218E">
      <w:pPr>
        <w:spacing w:after="0" w:line="240" w:lineRule="auto"/>
      </w:pPr>
      <w:r>
        <w:separator/>
      </w:r>
    </w:p>
  </w:endnote>
  <w:endnote w:type="continuationSeparator" w:id="0">
    <w:p w14:paraId="63A4677F" w14:textId="77777777" w:rsidR="00415A6F" w:rsidRDefault="00415A6F" w:rsidP="00032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7CB24" w14:textId="77777777" w:rsidR="00415A6F" w:rsidRDefault="00415A6F" w:rsidP="0003218E">
      <w:pPr>
        <w:spacing w:after="0" w:line="240" w:lineRule="auto"/>
      </w:pPr>
      <w:r>
        <w:separator/>
      </w:r>
    </w:p>
  </w:footnote>
  <w:footnote w:type="continuationSeparator" w:id="0">
    <w:p w14:paraId="404326DD" w14:textId="77777777" w:rsidR="00415A6F" w:rsidRDefault="00415A6F" w:rsidP="00032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D00"/>
    <w:multiLevelType w:val="hybridMultilevel"/>
    <w:tmpl w:val="97EA5B7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 w15:restartNumberingAfterBreak="0">
    <w:nsid w:val="25B70A89"/>
    <w:multiLevelType w:val="hybridMultilevel"/>
    <w:tmpl w:val="995853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BF34556"/>
    <w:multiLevelType w:val="hybridMultilevel"/>
    <w:tmpl w:val="C2CA34A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2EF7736A"/>
    <w:multiLevelType w:val="multilevel"/>
    <w:tmpl w:val="E5D47A84"/>
    <w:lvl w:ilvl="0">
      <w:start w:val="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5212C9"/>
    <w:multiLevelType w:val="hybridMultilevel"/>
    <w:tmpl w:val="9A0A159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4AA13DB5"/>
    <w:multiLevelType w:val="hybridMultilevel"/>
    <w:tmpl w:val="07105F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A595E54"/>
    <w:multiLevelType w:val="hybridMultilevel"/>
    <w:tmpl w:val="401258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B4B0797"/>
    <w:multiLevelType w:val="multilevel"/>
    <w:tmpl w:val="C3D412E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3991DFE"/>
    <w:multiLevelType w:val="hybridMultilevel"/>
    <w:tmpl w:val="7B3623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78117D23"/>
    <w:multiLevelType w:val="hybridMultilevel"/>
    <w:tmpl w:val="04348EF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7A920737"/>
    <w:multiLevelType w:val="hybridMultilevel"/>
    <w:tmpl w:val="0DDC0A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0"/>
  </w:num>
  <w:num w:numId="6">
    <w:abstractNumId w:val="2"/>
  </w:num>
  <w:num w:numId="7">
    <w:abstractNumId w:val="8"/>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CA"/>
    <w:rsid w:val="0003218E"/>
    <w:rsid w:val="000F372A"/>
    <w:rsid w:val="00167015"/>
    <w:rsid w:val="001929CC"/>
    <w:rsid w:val="002115BB"/>
    <w:rsid w:val="00357583"/>
    <w:rsid w:val="003855C0"/>
    <w:rsid w:val="00391A87"/>
    <w:rsid w:val="00415A6F"/>
    <w:rsid w:val="00437163"/>
    <w:rsid w:val="00455938"/>
    <w:rsid w:val="004703D0"/>
    <w:rsid w:val="004869F7"/>
    <w:rsid w:val="00523971"/>
    <w:rsid w:val="005273C1"/>
    <w:rsid w:val="005C2389"/>
    <w:rsid w:val="00615772"/>
    <w:rsid w:val="00682650"/>
    <w:rsid w:val="006E4EF5"/>
    <w:rsid w:val="0071266C"/>
    <w:rsid w:val="007930E8"/>
    <w:rsid w:val="00847AFF"/>
    <w:rsid w:val="008544D1"/>
    <w:rsid w:val="008710B1"/>
    <w:rsid w:val="00891F34"/>
    <w:rsid w:val="00893D45"/>
    <w:rsid w:val="00894BE8"/>
    <w:rsid w:val="008D1D88"/>
    <w:rsid w:val="00906E70"/>
    <w:rsid w:val="00912F8B"/>
    <w:rsid w:val="009262EA"/>
    <w:rsid w:val="00941225"/>
    <w:rsid w:val="009569A7"/>
    <w:rsid w:val="00976B3C"/>
    <w:rsid w:val="009D79C9"/>
    <w:rsid w:val="00A21848"/>
    <w:rsid w:val="00A378C1"/>
    <w:rsid w:val="00A42C94"/>
    <w:rsid w:val="00A92CEF"/>
    <w:rsid w:val="00B33DC3"/>
    <w:rsid w:val="00B7551E"/>
    <w:rsid w:val="00BA30AD"/>
    <w:rsid w:val="00BC4072"/>
    <w:rsid w:val="00C17D9E"/>
    <w:rsid w:val="00D36B8C"/>
    <w:rsid w:val="00D65F54"/>
    <w:rsid w:val="00DD7819"/>
    <w:rsid w:val="00E030D7"/>
    <w:rsid w:val="00E11F70"/>
    <w:rsid w:val="00E140D5"/>
    <w:rsid w:val="00E213D4"/>
    <w:rsid w:val="00E31D0B"/>
    <w:rsid w:val="00EA7341"/>
    <w:rsid w:val="00EB57CA"/>
    <w:rsid w:val="00ED2A40"/>
    <w:rsid w:val="00EE43DC"/>
    <w:rsid w:val="00F31580"/>
    <w:rsid w:val="00F66F46"/>
    <w:rsid w:val="00F93C97"/>
    <w:rsid w:val="00FD764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FBB955"/>
  <w15:chartTrackingRefBased/>
  <w15:docId w15:val="{4E1F5778-D53D-4947-AC2E-FDA6A077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7CA"/>
    <w:pPr>
      <w:ind w:left="720"/>
      <w:contextualSpacing/>
    </w:pPr>
  </w:style>
  <w:style w:type="paragraph" w:customStyle="1" w:styleId="gmail-m-8965231298123270160msolistparagraph">
    <w:name w:val="gmail-m_-8965231298123270160msolistparagraph"/>
    <w:basedOn w:val="Normal"/>
    <w:rsid w:val="00912F8B"/>
    <w:pPr>
      <w:spacing w:before="100" w:beforeAutospacing="1" w:after="100" w:afterAutospacing="1" w:line="240" w:lineRule="auto"/>
    </w:pPr>
    <w:rPr>
      <w:rFonts w:ascii="Calibri" w:hAnsi="Calibri" w:cs="Calibri"/>
      <w:lang w:eastAsia="en-NZ"/>
    </w:rPr>
  </w:style>
  <w:style w:type="paragraph" w:styleId="NormalWeb">
    <w:name w:val="Normal (Web)"/>
    <w:basedOn w:val="Normal"/>
    <w:uiPriority w:val="99"/>
    <w:semiHidden/>
    <w:unhideWhenUsed/>
    <w:rsid w:val="00847AFF"/>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0321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18E"/>
  </w:style>
  <w:style w:type="paragraph" w:styleId="Footer">
    <w:name w:val="footer"/>
    <w:basedOn w:val="Normal"/>
    <w:link w:val="FooterChar"/>
    <w:uiPriority w:val="99"/>
    <w:unhideWhenUsed/>
    <w:rsid w:val="000321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7985">
      <w:bodyDiv w:val="1"/>
      <w:marLeft w:val="0"/>
      <w:marRight w:val="0"/>
      <w:marTop w:val="0"/>
      <w:marBottom w:val="0"/>
      <w:divBdr>
        <w:top w:val="none" w:sz="0" w:space="0" w:color="auto"/>
        <w:left w:val="none" w:sz="0" w:space="0" w:color="auto"/>
        <w:bottom w:val="none" w:sz="0" w:space="0" w:color="auto"/>
        <w:right w:val="none" w:sz="0" w:space="0" w:color="auto"/>
      </w:divBdr>
    </w:div>
    <w:div w:id="983779700">
      <w:bodyDiv w:val="1"/>
      <w:marLeft w:val="0"/>
      <w:marRight w:val="0"/>
      <w:marTop w:val="0"/>
      <w:marBottom w:val="0"/>
      <w:divBdr>
        <w:top w:val="none" w:sz="0" w:space="0" w:color="auto"/>
        <w:left w:val="none" w:sz="0" w:space="0" w:color="auto"/>
        <w:bottom w:val="none" w:sz="0" w:space="0" w:color="auto"/>
        <w:right w:val="none" w:sz="0" w:space="0" w:color="auto"/>
      </w:divBdr>
    </w:div>
    <w:div w:id="1040283922">
      <w:bodyDiv w:val="1"/>
      <w:marLeft w:val="0"/>
      <w:marRight w:val="0"/>
      <w:marTop w:val="0"/>
      <w:marBottom w:val="0"/>
      <w:divBdr>
        <w:top w:val="none" w:sz="0" w:space="0" w:color="auto"/>
        <w:left w:val="none" w:sz="0" w:space="0" w:color="auto"/>
        <w:bottom w:val="none" w:sz="0" w:space="0" w:color="auto"/>
        <w:right w:val="none" w:sz="0" w:space="0" w:color="auto"/>
      </w:divBdr>
    </w:div>
    <w:div w:id="1118569698">
      <w:bodyDiv w:val="1"/>
      <w:marLeft w:val="0"/>
      <w:marRight w:val="0"/>
      <w:marTop w:val="0"/>
      <w:marBottom w:val="0"/>
      <w:divBdr>
        <w:top w:val="none" w:sz="0" w:space="0" w:color="auto"/>
        <w:left w:val="none" w:sz="0" w:space="0" w:color="auto"/>
        <w:bottom w:val="none" w:sz="0" w:space="0" w:color="auto"/>
        <w:right w:val="none" w:sz="0" w:space="0" w:color="auto"/>
      </w:divBdr>
    </w:div>
    <w:div w:id="1212227134">
      <w:bodyDiv w:val="1"/>
      <w:marLeft w:val="0"/>
      <w:marRight w:val="0"/>
      <w:marTop w:val="0"/>
      <w:marBottom w:val="0"/>
      <w:divBdr>
        <w:top w:val="none" w:sz="0" w:space="0" w:color="auto"/>
        <w:left w:val="none" w:sz="0" w:space="0" w:color="auto"/>
        <w:bottom w:val="none" w:sz="0" w:space="0" w:color="auto"/>
        <w:right w:val="none" w:sz="0" w:space="0" w:color="auto"/>
      </w:divBdr>
    </w:div>
    <w:div w:id="1681539419">
      <w:bodyDiv w:val="1"/>
      <w:marLeft w:val="0"/>
      <w:marRight w:val="0"/>
      <w:marTop w:val="0"/>
      <w:marBottom w:val="0"/>
      <w:divBdr>
        <w:top w:val="none" w:sz="0" w:space="0" w:color="auto"/>
        <w:left w:val="none" w:sz="0" w:space="0" w:color="auto"/>
        <w:bottom w:val="none" w:sz="0" w:space="0" w:color="auto"/>
        <w:right w:val="none" w:sz="0" w:space="0" w:color="auto"/>
      </w:divBdr>
    </w:div>
    <w:div w:id="1708945915">
      <w:bodyDiv w:val="1"/>
      <w:marLeft w:val="0"/>
      <w:marRight w:val="0"/>
      <w:marTop w:val="0"/>
      <w:marBottom w:val="0"/>
      <w:divBdr>
        <w:top w:val="none" w:sz="0" w:space="0" w:color="auto"/>
        <w:left w:val="none" w:sz="0" w:space="0" w:color="auto"/>
        <w:bottom w:val="none" w:sz="0" w:space="0" w:color="auto"/>
        <w:right w:val="none" w:sz="0" w:space="0" w:color="auto"/>
      </w:divBdr>
    </w:div>
    <w:div w:id="20687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988</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Corporate and Shared Services</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Coetzee [NEMA]</dc:creator>
  <cp:keywords/>
  <dc:description/>
  <cp:lastModifiedBy>Aliaga, Bernardo</cp:lastModifiedBy>
  <cp:revision>3</cp:revision>
  <dcterms:created xsi:type="dcterms:W3CDTF">2022-02-14T17:15:00Z</dcterms:created>
  <dcterms:modified xsi:type="dcterms:W3CDTF">2022-02-14T17:29:00Z</dcterms:modified>
</cp:coreProperties>
</file>