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3DDF9" w14:textId="47B7F6B9" w:rsidR="00670586" w:rsidRPr="00B76727" w:rsidRDefault="002E3B73" w:rsidP="00B76727">
      <w:pPr>
        <w:jc w:val="center"/>
        <w:rPr>
          <w:rFonts w:cstheme="minorHAnsi"/>
          <w:b/>
        </w:rPr>
      </w:pPr>
      <w:r>
        <w:rPr>
          <w:rFonts w:cstheme="minorHAnsi"/>
          <w:b/>
          <w:sz w:val="28"/>
          <w:szCs w:val="28"/>
        </w:rPr>
        <w:t>REPORT OF THE I</w:t>
      </w:r>
      <w:r w:rsidR="005C3415" w:rsidRPr="006E0B71">
        <w:rPr>
          <w:rFonts w:cstheme="minorHAnsi"/>
          <w:b/>
          <w:sz w:val="28"/>
          <w:szCs w:val="28"/>
        </w:rPr>
        <w:t>CG/PTWS Steering Committee</w:t>
      </w:r>
      <w:r>
        <w:rPr>
          <w:rFonts w:cstheme="minorHAnsi"/>
          <w:b/>
          <w:sz w:val="28"/>
          <w:szCs w:val="28"/>
        </w:rPr>
        <w:t xml:space="preserve"> Meeting</w:t>
      </w:r>
      <w:r w:rsidR="005C3415">
        <w:rPr>
          <w:rFonts w:cstheme="minorHAnsi"/>
          <w:b/>
        </w:rPr>
        <w:br/>
      </w:r>
      <w:r w:rsidR="009C7AA5" w:rsidRPr="005C3415">
        <w:rPr>
          <w:rFonts w:cstheme="minorHAnsi"/>
          <w:bCs/>
          <w:i/>
          <w:iCs/>
        </w:rPr>
        <w:t>21</w:t>
      </w:r>
      <w:r w:rsidR="001D7EC4" w:rsidRPr="005C3415">
        <w:rPr>
          <w:rFonts w:cstheme="minorHAnsi"/>
          <w:bCs/>
          <w:i/>
          <w:iCs/>
        </w:rPr>
        <w:t>-</w:t>
      </w:r>
      <w:r w:rsidR="009C7AA5" w:rsidRPr="005C3415">
        <w:rPr>
          <w:rFonts w:cstheme="minorHAnsi"/>
          <w:bCs/>
          <w:i/>
          <w:iCs/>
        </w:rPr>
        <w:t>23</w:t>
      </w:r>
      <w:r w:rsidR="001D7EC4" w:rsidRPr="005C3415">
        <w:rPr>
          <w:rFonts w:cstheme="minorHAnsi"/>
          <w:bCs/>
          <w:i/>
          <w:iCs/>
        </w:rPr>
        <w:t xml:space="preserve"> </w:t>
      </w:r>
      <w:r w:rsidR="009C7AA5" w:rsidRPr="005C3415">
        <w:rPr>
          <w:rFonts w:cstheme="minorHAnsi"/>
          <w:bCs/>
          <w:i/>
          <w:iCs/>
        </w:rPr>
        <w:t>September 2021</w:t>
      </w:r>
      <w:r w:rsidR="002D4752" w:rsidRPr="005C3415">
        <w:rPr>
          <w:rFonts w:cstheme="minorHAnsi"/>
          <w:bCs/>
          <w:i/>
          <w:iCs/>
        </w:rPr>
        <w:t>, Online</w:t>
      </w:r>
    </w:p>
    <w:p w14:paraId="2A21C145" w14:textId="77777777" w:rsidR="00D01F70" w:rsidRDefault="00D01F70" w:rsidP="002E3B73">
      <w:pPr>
        <w:rPr>
          <w:rFonts w:cstheme="minorHAnsi"/>
          <w:b/>
          <w:i/>
          <w:iCs/>
          <w:noProof/>
        </w:rPr>
      </w:pPr>
    </w:p>
    <w:p w14:paraId="489E6A61" w14:textId="1D18123A" w:rsidR="00670586" w:rsidRDefault="00723894" w:rsidP="00723894">
      <w:pPr>
        <w:jc w:val="center"/>
        <w:rPr>
          <w:rFonts w:cstheme="minorHAnsi"/>
          <w:b/>
          <w:i/>
          <w:iCs/>
          <w:noProof/>
          <w:highlight w:val="yellow"/>
        </w:rPr>
      </w:pPr>
      <w:r w:rsidRPr="00723894">
        <w:rPr>
          <w:rFonts w:cstheme="minorHAnsi"/>
          <w:b/>
          <w:i/>
          <w:iCs/>
          <w:noProof/>
        </w:rPr>
        <w:drawing>
          <wp:inline distT="0" distB="0" distL="0" distR="0" wp14:anchorId="0FFB041E" wp14:editId="391532C4">
            <wp:extent cx="3758273" cy="2706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14677" cy="2747245"/>
                    </a:xfrm>
                    <a:prstGeom prst="rect">
                      <a:avLst/>
                    </a:prstGeom>
                  </pic:spPr>
                </pic:pic>
              </a:graphicData>
            </a:graphic>
          </wp:inline>
        </w:drawing>
      </w:r>
    </w:p>
    <w:p w14:paraId="3F7FEDCC" w14:textId="77777777" w:rsidR="003F4A62" w:rsidRPr="00723894" w:rsidRDefault="003F4A62" w:rsidP="00723894">
      <w:pPr>
        <w:jc w:val="center"/>
        <w:rPr>
          <w:rFonts w:cstheme="minorHAnsi"/>
          <w:b/>
          <w:i/>
          <w:iCs/>
          <w:noProof/>
          <w:highlight w:val="yellow"/>
        </w:rPr>
      </w:pPr>
    </w:p>
    <w:p w14:paraId="686BDEF7" w14:textId="5FE1A592" w:rsidR="006E0B71" w:rsidRDefault="006E0B71" w:rsidP="004146AC">
      <w:pPr>
        <w:pStyle w:val="Heading1"/>
        <w:spacing w:before="360"/>
      </w:pPr>
      <w:r w:rsidRPr="001A2611">
        <w:t xml:space="preserve">Welcome and </w:t>
      </w:r>
      <w:r w:rsidR="008C4B61">
        <w:t>Opening</w:t>
      </w:r>
    </w:p>
    <w:p w14:paraId="6E99CB45" w14:textId="77777777" w:rsidR="003F4A62" w:rsidRPr="003F4A62" w:rsidRDefault="003F4A62" w:rsidP="003F4A62"/>
    <w:p w14:paraId="11C628F0" w14:textId="34B92D5C" w:rsidR="008C4B61" w:rsidRPr="00147F22" w:rsidRDefault="00147F22" w:rsidP="004146AC">
      <w:pPr>
        <w:spacing w:after="120"/>
        <w:rPr>
          <w:rFonts w:cstheme="minorHAnsi"/>
          <w:bCs/>
        </w:rPr>
      </w:pPr>
      <w:r>
        <w:rPr>
          <w:rFonts w:cstheme="minorHAnsi"/>
          <w:bCs/>
        </w:rPr>
        <w:t xml:space="preserve">The </w:t>
      </w:r>
      <w:r w:rsidRPr="00147F22">
        <w:rPr>
          <w:rFonts w:cstheme="minorHAnsi"/>
          <w:bCs/>
        </w:rPr>
        <w:t>Chair</w:t>
      </w:r>
      <w:r w:rsidR="00EB336E">
        <w:rPr>
          <w:rFonts w:cstheme="minorHAnsi"/>
          <w:bCs/>
        </w:rPr>
        <w:t>, Dr</w:t>
      </w:r>
      <w:r>
        <w:rPr>
          <w:rFonts w:cstheme="minorHAnsi"/>
          <w:bCs/>
        </w:rPr>
        <w:t xml:space="preserve"> </w:t>
      </w:r>
      <w:r w:rsidRPr="00147F22">
        <w:rPr>
          <w:rFonts w:cstheme="minorHAnsi"/>
          <w:bCs/>
        </w:rPr>
        <w:t>Wilfried Strauch</w:t>
      </w:r>
      <w:r w:rsidR="00EB336E">
        <w:rPr>
          <w:rFonts w:cstheme="minorHAnsi"/>
          <w:bCs/>
        </w:rPr>
        <w:t>,</w:t>
      </w:r>
      <w:r w:rsidRPr="00147F22">
        <w:rPr>
          <w:rFonts w:cstheme="minorHAnsi"/>
          <w:bCs/>
        </w:rPr>
        <w:t xml:space="preserve"> welcomed the participants</w:t>
      </w:r>
      <w:r>
        <w:rPr>
          <w:rFonts w:cstheme="minorHAnsi"/>
          <w:bCs/>
        </w:rPr>
        <w:t>, presented technical arrangements</w:t>
      </w:r>
      <w:r w:rsidRPr="00147F22">
        <w:rPr>
          <w:rFonts w:cstheme="minorHAnsi"/>
          <w:bCs/>
        </w:rPr>
        <w:t xml:space="preserve"> and conducted the meeting.</w:t>
      </w:r>
    </w:p>
    <w:p w14:paraId="44530DB5" w14:textId="45908083" w:rsidR="00E4753F" w:rsidRPr="001F6D77" w:rsidRDefault="00E4753F" w:rsidP="004146AC">
      <w:pPr>
        <w:pStyle w:val="Heading1"/>
        <w:spacing w:before="360"/>
        <w:rPr>
          <w:bCs/>
        </w:rPr>
      </w:pPr>
      <w:r w:rsidRPr="001F6D77">
        <w:t>TSP Coordination and TWC Operations</w:t>
      </w:r>
    </w:p>
    <w:p w14:paraId="6B536B19" w14:textId="019B80AC" w:rsidR="002D4752" w:rsidRDefault="002D4752" w:rsidP="004146AC">
      <w:pPr>
        <w:pStyle w:val="Heading2"/>
        <w:spacing w:before="240"/>
      </w:pPr>
      <w:r w:rsidRPr="001A2611">
        <w:t xml:space="preserve">Report of </w:t>
      </w:r>
      <w:r w:rsidR="00116DC3">
        <w:t xml:space="preserve">the </w:t>
      </w:r>
      <w:r w:rsidRPr="001A2611">
        <w:t>PTWC</w:t>
      </w:r>
    </w:p>
    <w:p w14:paraId="45D4923A" w14:textId="50941531" w:rsidR="00751592" w:rsidRDefault="008F647E" w:rsidP="0044206A">
      <w:pPr>
        <w:spacing w:after="120"/>
      </w:pPr>
      <w:r>
        <w:t xml:space="preserve">Dr Charles “Chip” McCreery, </w:t>
      </w:r>
      <w:r w:rsidR="0085444A">
        <w:t>Director of the NOAA P</w:t>
      </w:r>
      <w:r w:rsidR="00CD531E">
        <w:t>acific Tsunami Warning Center (PTWC)</w:t>
      </w:r>
      <w:r w:rsidR="0085444A">
        <w:t>, presented the report of the PTWC</w:t>
      </w:r>
      <w:r w:rsidR="00D55AA5">
        <w:t xml:space="preserve">. He began with an overview of staffing </w:t>
      </w:r>
      <w:r w:rsidR="00C508CD">
        <w:t xml:space="preserve">changes during the last year, noting that they had </w:t>
      </w:r>
      <w:r w:rsidR="00CD531E">
        <w:t>recruited</w:t>
      </w:r>
      <w:r w:rsidR="00C508CD">
        <w:t xml:space="preserve"> a new oceanograph</w:t>
      </w:r>
      <w:r w:rsidR="0044206A">
        <w:t>er</w:t>
      </w:r>
      <w:r w:rsidR="00C508CD">
        <w:t xml:space="preserve"> in January 2021</w:t>
      </w:r>
      <w:r w:rsidR="004977AC">
        <w:t xml:space="preserve"> and a new geophysicist (GNSS specialist) in July 2021, but that they also lost a </w:t>
      </w:r>
      <w:r w:rsidR="00757AC1">
        <w:t>geophysicist</w:t>
      </w:r>
      <w:r w:rsidR="004977AC">
        <w:t xml:space="preserve"> in June 2021</w:t>
      </w:r>
      <w:r w:rsidR="005B093B">
        <w:t>. He also noted that they were still waiting to fill one position of d</w:t>
      </w:r>
      <w:r>
        <w:t xml:space="preserve">uty </w:t>
      </w:r>
      <w:r w:rsidR="005B093B">
        <w:t>s</w:t>
      </w:r>
      <w:r>
        <w:t>cientist</w:t>
      </w:r>
      <w:r w:rsidR="00911EE4">
        <w:t>. He next reported on the COVID-19 impact at</w:t>
      </w:r>
      <w:r>
        <w:t xml:space="preserve"> PTWC</w:t>
      </w:r>
      <w:r w:rsidR="00911EE4">
        <w:t>, noting that there had not been any infections</w:t>
      </w:r>
      <w:r w:rsidR="00303879">
        <w:t xml:space="preserve"> and therefore no outages of the centre or significant impacts on operations</w:t>
      </w:r>
      <w:r w:rsidR="007C2616">
        <w:t xml:space="preserve">, except that </w:t>
      </w:r>
      <w:r w:rsidR="00A652A6">
        <w:t>in-person outreach activities had been put on hold.</w:t>
      </w:r>
      <w:r w:rsidR="00303879">
        <w:t xml:space="preserve"> </w:t>
      </w:r>
      <w:r w:rsidR="00227065">
        <w:t xml:space="preserve">He also informed that </w:t>
      </w:r>
      <w:r w:rsidR="00751592">
        <w:t>no significant changes had been made to s</w:t>
      </w:r>
      <w:r>
        <w:t xml:space="preserve">eismic and </w:t>
      </w:r>
      <w:r w:rsidR="00751592">
        <w:t>s</w:t>
      </w:r>
      <w:r>
        <w:t>ea</w:t>
      </w:r>
      <w:r w:rsidR="00751592">
        <w:t xml:space="preserve"> l</w:t>
      </w:r>
      <w:r>
        <w:t xml:space="preserve">evel </w:t>
      </w:r>
      <w:r w:rsidR="00751592">
        <w:t>d</w:t>
      </w:r>
      <w:r>
        <w:t>ata</w:t>
      </w:r>
      <w:r w:rsidR="00751592">
        <w:t>.</w:t>
      </w:r>
    </w:p>
    <w:p w14:paraId="17768E93" w14:textId="43068BEB" w:rsidR="00E56E75" w:rsidRDefault="00382AFB" w:rsidP="0076761B">
      <w:pPr>
        <w:spacing w:after="120"/>
      </w:pPr>
      <w:r>
        <w:t xml:space="preserve">Next, </w:t>
      </w:r>
      <w:r w:rsidR="0076761B">
        <w:t>Dr McCreery</w:t>
      </w:r>
      <w:r>
        <w:t xml:space="preserve"> reported on message events between 1 June 2020 and </w:t>
      </w:r>
      <w:r w:rsidR="00DE4A8F">
        <w:t>15</w:t>
      </w:r>
      <w:r w:rsidR="0076761B">
        <w:rPr>
          <w:vertAlign w:val="superscript"/>
        </w:rPr>
        <w:t xml:space="preserve"> </w:t>
      </w:r>
      <w:r w:rsidR="00DE4A8F">
        <w:t>September 2021, highlighting that 26 information statements</w:t>
      </w:r>
      <w:r w:rsidR="00FB4D29">
        <w:t xml:space="preserve"> for earthquakes in the Pacific</w:t>
      </w:r>
      <w:r w:rsidR="0076761B">
        <w:t>,</w:t>
      </w:r>
      <w:r w:rsidR="00513C09">
        <w:t xml:space="preserve"> including </w:t>
      </w:r>
      <w:r w:rsidR="00DE4A8F">
        <w:t xml:space="preserve">14 </w:t>
      </w:r>
      <w:r w:rsidR="00513C09">
        <w:t>t</w:t>
      </w:r>
      <w:r w:rsidR="00DE4A8F">
        <w:t xml:space="preserve">hreat </w:t>
      </w:r>
      <w:r w:rsidR="00513C09">
        <w:t>m</w:t>
      </w:r>
      <w:r w:rsidR="00DE4A8F">
        <w:t xml:space="preserve">essage </w:t>
      </w:r>
      <w:r w:rsidR="00513C09">
        <w:t>s</w:t>
      </w:r>
      <w:r w:rsidR="00DE4A8F">
        <w:t>equences</w:t>
      </w:r>
      <w:r w:rsidR="0076761B">
        <w:t>,</w:t>
      </w:r>
      <w:r w:rsidR="00513C09">
        <w:t xml:space="preserve"> had been is</w:t>
      </w:r>
      <w:r w:rsidR="0076761B">
        <w:t>sued</w:t>
      </w:r>
      <w:r w:rsidR="00513C09">
        <w:t>.</w:t>
      </w:r>
      <w:r w:rsidR="00437B03">
        <w:t xml:space="preserve"> </w:t>
      </w:r>
      <w:r w:rsidR="00B34EED">
        <w:t>M</w:t>
      </w:r>
      <w:r w:rsidR="00437B03">
        <w:t>ost events produced smaller tsunamis</w:t>
      </w:r>
      <w:r w:rsidR="00B34EED">
        <w:t xml:space="preserve">. </w:t>
      </w:r>
      <w:r w:rsidR="00116DC3">
        <w:t>Dr</w:t>
      </w:r>
      <w:r w:rsidR="00B34EED">
        <w:t xml:space="preserve"> McCreery drew attention to the New Zealand earthquake sequence</w:t>
      </w:r>
      <w:r w:rsidR="00981EAD">
        <w:t xml:space="preserve"> </w:t>
      </w:r>
      <w:r w:rsidR="0076761B">
        <w:t>and</w:t>
      </w:r>
      <w:r w:rsidR="00981EAD">
        <w:t xml:space="preserve"> the Alaska Mw8.1 earthquak</w:t>
      </w:r>
      <w:r w:rsidR="00CD36A4">
        <w:t xml:space="preserve">e. </w:t>
      </w:r>
      <w:r w:rsidR="00B90F60">
        <w:t>For</w:t>
      </w:r>
      <w:r w:rsidR="00CD36A4">
        <w:t xml:space="preserve"> the latter, the tsunami size was n</w:t>
      </w:r>
      <w:r w:rsidR="00247A54">
        <w:t>egligeable for an event of that magnitude because it occurred in the shallow water of the continental shelf of the Alaska Peninsula</w:t>
      </w:r>
      <w:r w:rsidR="00E56E75">
        <w:t xml:space="preserve">. </w:t>
      </w:r>
    </w:p>
    <w:p w14:paraId="7C3C4D0A" w14:textId="2A88397B" w:rsidR="00AE29AC" w:rsidRDefault="00E56E75" w:rsidP="0044206A">
      <w:pPr>
        <w:spacing w:after="120"/>
        <w:rPr>
          <w:rFonts w:cstheme="minorHAnsi"/>
        </w:rPr>
      </w:pPr>
      <w:r>
        <w:t xml:space="preserve">Dr McCreery </w:t>
      </w:r>
      <w:r w:rsidR="00B90F60">
        <w:t xml:space="preserve">also presented </w:t>
      </w:r>
      <w:r w:rsidR="004B504E">
        <w:t>the earthquake event in the South Sandwich Islands</w:t>
      </w:r>
      <w:r w:rsidR="006F5DA2">
        <w:t xml:space="preserve"> </w:t>
      </w:r>
      <w:r w:rsidR="00626CC7">
        <w:t>on 12</w:t>
      </w:r>
      <w:r w:rsidR="00B90F60">
        <w:rPr>
          <w:vertAlign w:val="superscript"/>
        </w:rPr>
        <w:t xml:space="preserve"> </w:t>
      </w:r>
      <w:r w:rsidR="00626CC7">
        <w:t>August 2021.</w:t>
      </w:r>
      <w:r w:rsidR="00DF5DD7">
        <w:t xml:space="preserve"> This event included </w:t>
      </w:r>
      <w:r w:rsidR="00D6127B">
        <w:t>two</w:t>
      </w:r>
      <w:r w:rsidR="00DF5DD7">
        <w:t xml:space="preserve"> earthquakes, although there was disagreement amongst observatories as to </w:t>
      </w:r>
      <w:r w:rsidR="00D6127B">
        <w:t>which</w:t>
      </w:r>
      <w:r w:rsidR="00FC69C7">
        <w:t xml:space="preserve"> ha</w:t>
      </w:r>
      <w:r w:rsidR="00D6127B">
        <w:t>d</w:t>
      </w:r>
      <w:r w:rsidR="00FC69C7">
        <w:t xml:space="preserve"> higher magnitude. The USGS calculated that </w:t>
      </w:r>
      <w:r w:rsidR="00144B4C">
        <w:t xml:space="preserve">the </w:t>
      </w:r>
      <w:r w:rsidR="00144B4C">
        <w:lastRenderedPageBreak/>
        <w:t>smaller earthquake occurred first</w:t>
      </w:r>
      <w:r w:rsidR="00D6127B">
        <w:t xml:space="preserve"> whilst </w:t>
      </w:r>
      <w:r w:rsidR="00144B4C">
        <w:t>the Global CMT Project has the smaller earthquake occurring second. Dr McCreery noted that, had there been vu</w:t>
      </w:r>
      <w:r w:rsidR="006F5DA2">
        <w:t>l</w:t>
      </w:r>
      <w:r w:rsidR="00144B4C">
        <w:t>nerable coastlines nearby, this</w:t>
      </w:r>
      <w:r w:rsidR="006F5DA2">
        <w:t xml:space="preserve"> event could have caused damage and casualties from a tsunami.</w:t>
      </w:r>
      <w:r w:rsidR="00DF5DD7">
        <w:t xml:space="preserve"> </w:t>
      </w:r>
      <w:r w:rsidR="00104D16">
        <w:t>He noted that</w:t>
      </w:r>
      <w:r w:rsidR="00B44D97">
        <w:t xml:space="preserve"> the tsunami went far, being recorded as far as Hawaii, Alaska, South Africa and Australia. He </w:t>
      </w:r>
      <w:r w:rsidR="004A1258">
        <w:t>summarized</w:t>
      </w:r>
      <w:r w:rsidR="002920AF">
        <w:t xml:space="preserve"> key issues </w:t>
      </w:r>
      <w:r w:rsidR="00EA549F">
        <w:t>related to</w:t>
      </w:r>
      <w:r w:rsidR="002920AF">
        <w:t xml:space="preserve"> the event</w:t>
      </w:r>
      <w:r w:rsidR="00EA549F">
        <w:t xml:space="preserve"> as </w:t>
      </w:r>
      <w:r w:rsidR="00955E98">
        <w:t>being</w:t>
      </w:r>
      <w:r w:rsidR="002920AF">
        <w:t xml:space="preserve"> the complex source,</w:t>
      </w:r>
      <w:r w:rsidR="00EA549F">
        <w:t xml:space="preserve"> that </w:t>
      </w:r>
      <w:r w:rsidR="00CC5092">
        <w:t>the p</w:t>
      </w:r>
      <w:r w:rsidR="00AE29AC">
        <w:t xml:space="preserve">reliminary </w:t>
      </w:r>
      <w:r w:rsidR="00CC5092">
        <w:t xml:space="preserve">magnitude was </w:t>
      </w:r>
      <w:r w:rsidR="00AE29AC">
        <w:t>a significant underestimate</w:t>
      </w:r>
      <w:r w:rsidR="00CC5092">
        <w:t xml:space="preserve">, that </w:t>
      </w:r>
      <w:r w:rsidR="004B12AE">
        <w:t>there is only one</w:t>
      </w:r>
      <w:r w:rsidR="00AE29AC">
        <w:t xml:space="preserve"> nearby coastal station </w:t>
      </w:r>
      <w:r w:rsidR="004B12AE">
        <w:t>and</w:t>
      </w:r>
      <w:r w:rsidR="00AE29AC">
        <w:t xml:space="preserve"> no deep-ocean stations</w:t>
      </w:r>
      <w:r w:rsidR="004B12AE">
        <w:t xml:space="preserve">. He also noted that although the </w:t>
      </w:r>
      <w:r w:rsidR="00AE29AC">
        <w:t>PTWC issued an Information Statement for the CARIBE-EWS</w:t>
      </w:r>
      <w:r w:rsidR="00CD531E">
        <w:t xml:space="preserve">, </w:t>
      </w:r>
      <w:r w:rsidR="005851CF">
        <w:t>because the South Sandwich Islands fall into the</w:t>
      </w:r>
      <w:r w:rsidR="00CD531E">
        <w:t xml:space="preserve"> PTWS</w:t>
      </w:r>
      <w:r w:rsidR="005851CF">
        <w:t xml:space="preserve"> </w:t>
      </w:r>
      <w:r w:rsidR="00CD531E" w:rsidRPr="00CD531E">
        <w:t xml:space="preserve">Earthquake Source </w:t>
      </w:r>
      <w:r w:rsidR="00CD531E" w:rsidRPr="00CD531E">
        <w:t>Zone</w:t>
      </w:r>
      <w:r w:rsidR="00CD531E">
        <w:t xml:space="preserve"> (E</w:t>
      </w:r>
      <w:r w:rsidR="003F4A62">
        <w:t>S</w:t>
      </w:r>
      <w:r w:rsidR="00CD531E">
        <w:t>Z</w:t>
      </w:r>
      <w:r w:rsidR="005851CF">
        <w:t>)</w:t>
      </w:r>
      <w:r w:rsidR="00AE29AC">
        <w:t xml:space="preserve">, the only </w:t>
      </w:r>
      <w:r w:rsidR="00490F2E">
        <w:t>areas that actually had a potential tsunami threat were in</w:t>
      </w:r>
      <w:r w:rsidR="00AE29AC">
        <w:t xml:space="preserve"> Chile and Antarctica </w:t>
      </w:r>
      <w:r w:rsidR="00490F2E">
        <w:t xml:space="preserve">(both of which are </w:t>
      </w:r>
      <w:r w:rsidR="00AE29AC">
        <w:t>in the PTWS</w:t>
      </w:r>
      <w:r w:rsidR="00490F2E">
        <w:t>).</w:t>
      </w:r>
      <w:r w:rsidR="00AE29AC">
        <w:t xml:space="preserve"> If a similar event occurred near a vulnerable coast the resulting no warning or under-warning could have dire consequences</w:t>
      </w:r>
      <w:r w:rsidR="00EB64F0">
        <w:t xml:space="preserve">. </w:t>
      </w:r>
      <w:r w:rsidR="00955E98">
        <w:t xml:space="preserve">As such, </w:t>
      </w:r>
      <w:r w:rsidR="004A1258">
        <w:t>D</w:t>
      </w:r>
      <w:r w:rsidR="00955E98">
        <w:t xml:space="preserve">r McCreery </w:t>
      </w:r>
      <w:r w:rsidR="00955E98" w:rsidRPr="004A1258">
        <w:rPr>
          <w:rFonts w:cstheme="minorHAnsi"/>
        </w:rPr>
        <w:t xml:space="preserve">recommended that </w:t>
      </w:r>
      <w:r w:rsidR="00D72C71" w:rsidRPr="00D72C71">
        <w:rPr>
          <w:rFonts w:cstheme="minorHAnsi"/>
        </w:rPr>
        <w:t xml:space="preserve">expand the PTWS </w:t>
      </w:r>
      <w:r w:rsidR="00D72C71">
        <w:rPr>
          <w:rFonts w:cstheme="minorHAnsi"/>
        </w:rPr>
        <w:t>EMZ</w:t>
      </w:r>
      <w:r w:rsidR="00D72C71" w:rsidRPr="00D72C71">
        <w:rPr>
          <w:rFonts w:cstheme="minorHAnsi"/>
        </w:rPr>
        <w:t xml:space="preserve"> to include part of the southern Atlantic Ocean that encompasses the Scotia Arc and its adjacent seismic zones</w:t>
      </w:r>
      <w:r w:rsidR="00DA3D88" w:rsidRPr="004A1258">
        <w:rPr>
          <w:rFonts w:cstheme="minorHAnsi"/>
        </w:rPr>
        <w:t>.</w:t>
      </w:r>
    </w:p>
    <w:p w14:paraId="00797887" w14:textId="3D0E9152" w:rsidR="00E83AD6" w:rsidRPr="00130911" w:rsidRDefault="006F7B89" w:rsidP="003517D6">
      <w:pPr>
        <w:spacing w:before="200" w:after="120"/>
        <w:rPr>
          <w:rFonts w:cstheme="minorHAnsi"/>
          <w:b/>
          <w:bCs/>
          <w:color w:val="2F5496" w:themeColor="accent1" w:themeShade="BF"/>
        </w:rPr>
      </w:pPr>
      <w:r w:rsidRPr="00130911">
        <w:rPr>
          <w:rFonts w:cstheme="minorHAnsi"/>
          <w:b/>
          <w:bCs/>
          <w:color w:val="2F5496" w:themeColor="accent1" w:themeShade="BF"/>
        </w:rPr>
        <w:t>Actions:</w:t>
      </w:r>
    </w:p>
    <w:p w14:paraId="72E9CD67" w14:textId="4DE7C0B4" w:rsidR="006F7B89" w:rsidRPr="00130911" w:rsidRDefault="006F7B89" w:rsidP="006F7B89">
      <w:pPr>
        <w:pStyle w:val="ListParagraph"/>
        <w:numPr>
          <w:ilvl w:val="0"/>
          <w:numId w:val="7"/>
        </w:numPr>
        <w:spacing w:after="120"/>
        <w:rPr>
          <w:rFonts w:cstheme="minorHAnsi"/>
          <w:color w:val="2F5496" w:themeColor="accent1" w:themeShade="BF"/>
        </w:rPr>
      </w:pPr>
      <w:r w:rsidRPr="00130911">
        <w:rPr>
          <w:rFonts w:cstheme="minorHAnsi"/>
          <w:color w:val="2F5496" w:themeColor="accent1" w:themeShade="BF"/>
        </w:rPr>
        <w:t xml:space="preserve">Identify and implement </w:t>
      </w:r>
      <w:r w:rsidR="004A7B8B" w:rsidRPr="00130911">
        <w:rPr>
          <w:rFonts w:cstheme="minorHAnsi"/>
          <w:color w:val="2F5496" w:themeColor="accent1" w:themeShade="BF"/>
        </w:rPr>
        <w:t>techniques</w:t>
      </w:r>
      <w:r w:rsidRPr="00130911">
        <w:rPr>
          <w:rFonts w:cstheme="minorHAnsi"/>
          <w:color w:val="2F5496" w:themeColor="accent1" w:themeShade="BF"/>
        </w:rPr>
        <w:t xml:space="preserve"> to more quickly recognize and properly characterize the earthquake and tsunami threat (there will be a special session at the Fall 2021 AGU Meeting)</w:t>
      </w:r>
      <w:r w:rsidR="003517D6" w:rsidRPr="00130911">
        <w:rPr>
          <w:rFonts w:cstheme="minorHAnsi"/>
          <w:color w:val="2F5496" w:themeColor="accent1" w:themeShade="BF"/>
        </w:rPr>
        <w:t>,</w:t>
      </w:r>
    </w:p>
    <w:p w14:paraId="4711BF1C" w14:textId="5279B62A" w:rsidR="006F7B89" w:rsidRPr="00130911" w:rsidRDefault="00D72C71" w:rsidP="006F7B89">
      <w:pPr>
        <w:pStyle w:val="ListParagraph"/>
        <w:numPr>
          <w:ilvl w:val="0"/>
          <w:numId w:val="7"/>
        </w:numPr>
        <w:spacing w:after="120"/>
        <w:rPr>
          <w:rFonts w:cstheme="minorHAnsi"/>
          <w:color w:val="2F5496" w:themeColor="accent1" w:themeShade="BF"/>
        </w:rPr>
      </w:pPr>
      <w:r>
        <w:rPr>
          <w:rFonts w:cstheme="minorHAnsi"/>
          <w:color w:val="2F5496" w:themeColor="accent1" w:themeShade="BF"/>
        </w:rPr>
        <w:t xml:space="preserve">Develop a technical proposal to </w:t>
      </w:r>
      <w:r w:rsidRPr="00D72C71">
        <w:rPr>
          <w:rFonts w:cstheme="minorHAnsi"/>
          <w:color w:val="2F5496" w:themeColor="accent1" w:themeShade="BF"/>
        </w:rPr>
        <w:t>expand the PTWS EMZ to include part of the southern Atlantic Ocean that encompasses the Scotia Arc and its adjacent seismic zones</w:t>
      </w:r>
      <w:r w:rsidR="006F7B89" w:rsidRPr="00130911">
        <w:rPr>
          <w:rFonts w:cstheme="minorHAnsi"/>
          <w:color w:val="2F5496" w:themeColor="accent1" w:themeShade="BF"/>
        </w:rPr>
        <w:t>.</w:t>
      </w:r>
    </w:p>
    <w:p w14:paraId="0994E6A4" w14:textId="5960C054" w:rsidR="002D4752" w:rsidRDefault="001853A6" w:rsidP="00673B04">
      <w:pPr>
        <w:pStyle w:val="Heading2"/>
        <w:spacing w:before="240"/>
      </w:pPr>
      <w:r>
        <w:t>Report of</w:t>
      </w:r>
      <w:r w:rsidR="00833859">
        <w:t xml:space="preserve"> the</w:t>
      </w:r>
      <w:r>
        <w:t xml:space="preserve"> </w:t>
      </w:r>
      <w:r w:rsidR="002D4752" w:rsidRPr="001F6D77">
        <w:t>NWPTAC</w:t>
      </w:r>
    </w:p>
    <w:p w14:paraId="6937739E" w14:textId="54E7CED6" w:rsidR="00EB76DE" w:rsidRDefault="00790279" w:rsidP="00CD531E">
      <w:pPr>
        <w:spacing w:after="120"/>
      </w:pPr>
      <w:r>
        <w:t>Mr Y</w:t>
      </w:r>
      <w:r w:rsidR="00D72C71">
        <w:t>uic</w:t>
      </w:r>
      <w:r>
        <w:t xml:space="preserve">hi Nishimae, </w:t>
      </w:r>
      <w:r w:rsidR="00CD531E">
        <w:t>Scientific Officer for International Tsunami Information</w:t>
      </w:r>
      <w:r w:rsidR="00CD531E">
        <w:t xml:space="preserve">, </w:t>
      </w:r>
      <w:r w:rsidR="00CD531E">
        <w:t>Japan Meteorological Agency</w:t>
      </w:r>
      <w:r w:rsidR="004F72A9">
        <w:t xml:space="preserve"> (JMA)</w:t>
      </w:r>
      <w:r>
        <w:t xml:space="preserve">, presented the report for the </w:t>
      </w:r>
      <w:r w:rsidR="004F72A9">
        <w:t>North West Pacific Tsunami Advisory Center (</w:t>
      </w:r>
      <w:r>
        <w:t>NWPTAC</w:t>
      </w:r>
      <w:r w:rsidR="004F72A9">
        <w:t>)</w:t>
      </w:r>
      <w:r>
        <w:t>.</w:t>
      </w:r>
      <w:r w:rsidR="00CC4134">
        <w:t xml:space="preserve"> He began by not</w:t>
      </w:r>
      <w:r w:rsidR="0007048B">
        <w:t>ing</w:t>
      </w:r>
      <w:r w:rsidR="00CC4134">
        <w:t xml:space="preserve"> major activities of the NWPTAC between June 2020 and August 2021. On 5</w:t>
      </w:r>
      <w:r w:rsidR="001E4AC4">
        <w:rPr>
          <w:vertAlign w:val="superscript"/>
        </w:rPr>
        <w:t xml:space="preserve"> </w:t>
      </w:r>
      <w:r w:rsidR="00CC4134">
        <w:t>November</w:t>
      </w:r>
      <w:r w:rsidR="005A0DD5">
        <w:t xml:space="preserve"> 2019, </w:t>
      </w:r>
      <w:r w:rsidR="001E4AC4">
        <w:t xml:space="preserve">the </w:t>
      </w:r>
      <w:r w:rsidR="005A0DD5">
        <w:t xml:space="preserve">NWPTAC </w:t>
      </w:r>
      <w:r w:rsidR="00F40A78">
        <w:t>terminated</w:t>
      </w:r>
      <w:r w:rsidR="005A0DD5">
        <w:t xml:space="preserve"> its </w:t>
      </w:r>
      <w:r w:rsidR="00F40A78">
        <w:t>interim</w:t>
      </w:r>
      <w:r w:rsidR="005A0DD5">
        <w:t xml:space="preserve"> service for the South China </w:t>
      </w:r>
      <w:r w:rsidR="004F72A9">
        <w:t xml:space="preserve">Sea </w:t>
      </w:r>
      <w:r w:rsidR="005A0DD5">
        <w:t xml:space="preserve">region when </w:t>
      </w:r>
      <w:r w:rsidR="00F40A78">
        <w:t>full</w:t>
      </w:r>
      <w:r w:rsidR="005A0DD5">
        <w:t xml:space="preserve"> operation of </w:t>
      </w:r>
      <w:r w:rsidR="004F72A9">
        <w:t xml:space="preserve">the South China Sea </w:t>
      </w:r>
      <w:r w:rsidR="004F72A9" w:rsidRPr="004F72A9">
        <w:t>Tsunami Advisory Center</w:t>
      </w:r>
      <w:r w:rsidR="004F72A9" w:rsidRPr="004F72A9">
        <w:t xml:space="preserve"> </w:t>
      </w:r>
      <w:r w:rsidR="004F72A9">
        <w:t>(</w:t>
      </w:r>
      <w:r w:rsidR="005A0DD5">
        <w:t>SCSTAC</w:t>
      </w:r>
      <w:r w:rsidR="004F72A9">
        <w:t>)</w:t>
      </w:r>
      <w:r w:rsidR="00F40A78">
        <w:t xml:space="preserve">. </w:t>
      </w:r>
      <w:r w:rsidR="0010660B">
        <w:t>In November 2020, the JMA moved to its new building and the NWPTAC started its operations at this new building.</w:t>
      </w:r>
      <w:r w:rsidR="006F5C1E">
        <w:t xml:space="preserve"> On </w:t>
      </w:r>
      <w:r w:rsidR="00F40A78">
        <w:t>14 July 2020,</w:t>
      </w:r>
      <w:r w:rsidR="006F5C1E">
        <w:t xml:space="preserve"> 15</w:t>
      </w:r>
      <w:r w:rsidR="00366B07">
        <w:rPr>
          <w:vertAlign w:val="superscript"/>
        </w:rPr>
        <w:t xml:space="preserve"> </w:t>
      </w:r>
      <w:r w:rsidR="006F5C1E">
        <w:t xml:space="preserve">February </w:t>
      </w:r>
      <w:r w:rsidR="00481951">
        <w:t>2021</w:t>
      </w:r>
      <w:r w:rsidR="006F5C1E">
        <w:t xml:space="preserve"> and 3</w:t>
      </w:r>
      <w:r w:rsidR="00366B07">
        <w:rPr>
          <w:vertAlign w:val="superscript"/>
        </w:rPr>
        <w:t xml:space="preserve"> </w:t>
      </w:r>
      <w:r w:rsidR="006F5C1E">
        <w:t xml:space="preserve">August 2021, </w:t>
      </w:r>
      <w:r w:rsidR="0020056A">
        <w:t>the NWPTAC also performed communications tests.</w:t>
      </w:r>
    </w:p>
    <w:p w14:paraId="39517706" w14:textId="28A3324E" w:rsidR="00E31836" w:rsidRPr="00E31836" w:rsidRDefault="00EB76DE" w:rsidP="00673B04">
      <w:pPr>
        <w:spacing w:after="120"/>
      </w:pPr>
      <w:r>
        <w:t>Mr Nishimae</w:t>
      </w:r>
      <w:r w:rsidR="00A63510">
        <w:t xml:space="preserve"> also</w:t>
      </w:r>
      <w:r>
        <w:t xml:space="preserve"> highlighted that the </w:t>
      </w:r>
      <w:r w:rsidR="004F72A9">
        <w:t>N</w:t>
      </w:r>
      <w:r>
        <w:t>WPTAC issued 14 advisory messages since June 2020</w:t>
      </w:r>
      <w:r w:rsidR="00A63510">
        <w:t>, noting that on average the advisories were issued within 10 minutes.</w:t>
      </w:r>
      <w:r w:rsidR="00366B07">
        <w:t xml:space="preserve"> H</w:t>
      </w:r>
      <w:r w:rsidR="00A63510">
        <w:t>e also presented results of</w:t>
      </w:r>
      <w:r w:rsidR="00BC27F4">
        <w:t xml:space="preserve"> </w:t>
      </w:r>
      <w:r w:rsidR="00A63510">
        <w:t>comm</w:t>
      </w:r>
      <w:r w:rsidR="00353BDD">
        <w:t xml:space="preserve">unications </w:t>
      </w:r>
      <w:r w:rsidR="004D6E88">
        <w:t>test</w:t>
      </w:r>
      <w:r w:rsidR="00BC27F4">
        <w:t>s</w:t>
      </w:r>
      <w:r w:rsidR="004D6E88">
        <w:t xml:space="preserve"> </w:t>
      </w:r>
      <w:r w:rsidR="00EC4C5B">
        <w:t>conducted since 2</w:t>
      </w:r>
      <w:r w:rsidR="00BC27F4">
        <w:t>012</w:t>
      </w:r>
      <w:r w:rsidR="00EC4C5B">
        <w:t>, noting that these usually occur biannually</w:t>
      </w:r>
      <w:r w:rsidR="00BC27F4">
        <w:t>.</w:t>
      </w:r>
      <w:r w:rsidR="00EC4C5B">
        <w:t xml:space="preserve"> He reported that </w:t>
      </w:r>
      <w:r w:rsidR="00BA38EA">
        <w:t>approximately 70 percent of countries had sent back acknowledgements of receipt to N</w:t>
      </w:r>
      <w:r w:rsidR="00CF65A2">
        <w:t>WPTAC</w:t>
      </w:r>
      <w:r w:rsidR="00BA38EA">
        <w:t xml:space="preserve"> and that th</w:t>
      </w:r>
      <w:r w:rsidR="001B0F34">
        <w:t>e number of acknowledgments was increasing.</w:t>
      </w:r>
    </w:p>
    <w:p w14:paraId="514323DF" w14:textId="03E72F37" w:rsidR="00832333" w:rsidRDefault="001853A6" w:rsidP="00673B04">
      <w:pPr>
        <w:pStyle w:val="Heading2"/>
        <w:spacing w:before="240"/>
      </w:pPr>
      <w:r>
        <w:t xml:space="preserve">Report of </w:t>
      </w:r>
      <w:r w:rsidR="00DF2715">
        <w:t xml:space="preserve">the </w:t>
      </w:r>
      <w:r w:rsidR="002D4752" w:rsidRPr="001F6D77">
        <w:t>SCSTAC</w:t>
      </w:r>
    </w:p>
    <w:p w14:paraId="12C17A72" w14:textId="7DFE181E" w:rsidR="003115F0" w:rsidRDefault="00DF69C5" w:rsidP="00E9265B">
      <w:pPr>
        <w:spacing w:after="120"/>
      </w:pPr>
      <w:r>
        <w:t xml:space="preserve">Dr Zhiguo Xu, the Acting Director </w:t>
      </w:r>
      <w:r w:rsidRPr="001F6D77">
        <w:t>of Tsunami Warning Division/NMEFC</w:t>
      </w:r>
      <w:r>
        <w:t xml:space="preserve">, presented the report of the SCSTAC. </w:t>
      </w:r>
      <w:r w:rsidR="0038417B">
        <w:t xml:space="preserve">He </w:t>
      </w:r>
      <w:r w:rsidR="00986D88">
        <w:t>recalled</w:t>
      </w:r>
      <w:r w:rsidR="0038417B">
        <w:t xml:space="preserve"> the </w:t>
      </w:r>
      <w:r w:rsidR="004F72A9">
        <w:t>A</w:t>
      </w:r>
      <w:r w:rsidR="0038417B">
        <w:t xml:space="preserve">rea </w:t>
      </w:r>
      <w:r w:rsidR="00986D88">
        <w:t xml:space="preserve">of </w:t>
      </w:r>
      <w:r w:rsidR="004F72A9">
        <w:t>S</w:t>
      </w:r>
      <w:r w:rsidR="00986D88">
        <w:t>ervice</w:t>
      </w:r>
      <w:r w:rsidR="004F72A9">
        <w:t xml:space="preserve"> (AoS)</w:t>
      </w:r>
      <w:r w:rsidR="00986D88">
        <w:t xml:space="preserve"> of </w:t>
      </w:r>
      <w:r w:rsidR="0038417B">
        <w:t xml:space="preserve">the </w:t>
      </w:r>
      <w:r w:rsidR="00832333">
        <w:t xml:space="preserve">South China Sea Tsunami Warning and Mitigation System </w:t>
      </w:r>
      <w:r w:rsidR="0038417B">
        <w:t xml:space="preserve">encompasses </w:t>
      </w:r>
      <w:r w:rsidR="00832333">
        <w:t>all coasts of the South China Sea and the adjacent Sulu Sea and Celebes Sea, separated by Palawan and</w:t>
      </w:r>
      <w:r w:rsidR="00E9265B">
        <w:t xml:space="preserve"> the</w:t>
      </w:r>
      <w:r w:rsidR="00832333">
        <w:t xml:space="preserve"> Sulu Archipelago from north to south respectively. </w:t>
      </w:r>
      <w:r w:rsidR="00E9265B">
        <w:t>N</w:t>
      </w:r>
      <w:r w:rsidR="00832333">
        <w:t>ine nations</w:t>
      </w:r>
      <w:r w:rsidR="00253BEE">
        <w:t xml:space="preserve"> are</w:t>
      </w:r>
      <w:r w:rsidR="00D208FD">
        <w:t xml:space="preserve"> included</w:t>
      </w:r>
      <w:r w:rsidR="00E9265B">
        <w:t xml:space="preserve"> in this area</w:t>
      </w:r>
      <w:r w:rsidR="00253BEE">
        <w:t>:</w:t>
      </w:r>
      <w:r w:rsidR="00832333">
        <w:t xml:space="preserve"> Brunei</w:t>
      </w:r>
      <w:r w:rsidR="00BB2477">
        <w:t xml:space="preserve"> Darussalam</w:t>
      </w:r>
      <w:r w:rsidR="00832333">
        <w:t>, Cambodia, China, Indonesia, Malaysia, Philippines, Singapore, Thailand and Vietnam.</w:t>
      </w:r>
    </w:p>
    <w:p w14:paraId="331BC4FD" w14:textId="3A00CD27" w:rsidR="00450E3B" w:rsidRDefault="003115F0" w:rsidP="006A1403">
      <w:pPr>
        <w:spacing w:after="120"/>
      </w:pPr>
      <w:r>
        <w:lastRenderedPageBreak/>
        <w:t xml:space="preserve">Dr Xu </w:t>
      </w:r>
      <w:r w:rsidR="005737E1">
        <w:t>indicated t</w:t>
      </w:r>
      <w:r>
        <w:t xml:space="preserve">hat </w:t>
      </w:r>
      <w:r w:rsidR="005737E1">
        <w:t>between</w:t>
      </w:r>
      <w:r>
        <w:t xml:space="preserve"> June 2020 </w:t>
      </w:r>
      <w:r w:rsidR="005737E1">
        <w:t>and</w:t>
      </w:r>
      <w:r>
        <w:t xml:space="preserve"> September 2021, SCSTAC </w:t>
      </w:r>
      <w:r w:rsidR="00DA17D5">
        <w:t>issued 12 tsunami bulletins</w:t>
      </w:r>
      <w:r w:rsidR="005737E1">
        <w:t>, noting</w:t>
      </w:r>
      <w:r>
        <w:t xml:space="preserve"> that most earthquakes were </w:t>
      </w:r>
      <w:r w:rsidR="00BB3177">
        <w:t>located in the eastern part of the SCS</w:t>
      </w:r>
      <w:r w:rsidR="001468E5">
        <w:t>.</w:t>
      </w:r>
      <w:r w:rsidR="00FC4891">
        <w:t xml:space="preserve"> He also </w:t>
      </w:r>
      <w:r w:rsidR="0019495C">
        <w:t>noted</w:t>
      </w:r>
      <w:r w:rsidR="00FC4891">
        <w:t xml:space="preserve"> that a new and updated website was available for SCSTAC, where additional information can be found.</w:t>
      </w:r>
      <w:r w:rsidR="008B6B33">
        <w:t xml:space="preserve"> </w:t>
      </w:r>
      <w:r w:rsidR="00C77D5D">
        <w:t xml:space="preserve">Dr Xu </w:t>
      </w:r>
      <w:r w:rsidR="0019495C">
        <w:t xml:space="preserve">reported that SCSTAC had developed a </w:t>
      </w:r>
      <w:r w:rsidR="003D1710">
        <w:t>t</w:t>
      </w:r>
      <w:r w:rsidR="0019495C">
        <w:t>sunami warning decision supporting system based on Python</w:t>
      </w:r>
      <w:r w:rsidR="00EE4B24">
        <w:t xml:space="preserve"> to improve</w:t>
      </w:r>
      <w:r w:rsidR="008B6B33">
        <w:t xml:space="preserve"> </w:t>
      </w:r>
      <w:r w:rsidR="006A1403">
        <w:t xml:space="preserve">their </w:t>
      </w:r>
      <w:r w:rsidR="00EE4B24">
        <w:t>tsunami warning capability</w:t>
      </w:r>
      <w:r w:rsidR="008B6B33">
        <w:t>.</w:t>
      </w:r>
      <w:r w:rsidR="00EE4B24">
        <w:t xml:space="preserve"> </w:t>
      </w:r>
      <w:r w:rsidR="00450E3B">
        <w:t>The software will be upgraded by the end of 2021.</w:t>
      </w:r>
    </w:p>
    <w:p w14:paraId="499247B5" w14:textId="55AFE0D1" w:rsidR="004E7B53" w:rsidRDefault="00450E3B" w:rsidP="00E6305C">
      <w:pPr>
        <w:spacing w:after="120"/>
      </w:pPr>
      <w:r>
        <w:t xml:space="preserve">Next, </w:t>
      </w:r>
      <w:r w:rsidR="006A1403">
        <w:t>Dr Xu</w:t>
      </w:r>
      <w:r>
        <w:t xml:space="preserve"> reported on communications tests </w:t>
      </w:r>
      <w:r w:rsidR="00CD41AF">
        <w:t>conducted on 28 January and 28</w:t>
      </w:r>
      <w:r w:rsidR="006A1403">
        <w:rPr>
          <w:vertAlign w:val="superscript"/>
        </w:rPr>
        <w:t xml:space="preserve"> </w:t>
      </w:r>
      <w:r w:rsidR="00CD41AF">
        <w:t>May 2021</w:t>
      </w:r>
      <w:r w:rsidR="00863096">
        <w:t>, noting that six Member States had responded to the dummy information. He thanked the Secretariat and Member States</w:t>
      </w:r>
      <w:r w:rsidR="003C5EE0">
        <w:t>.</w:t>
      </w:r>
      <w:r>
        <w:t xml:space="preserve"> </w:t>
      </w:r>
      <w:r w:rsidR="00E6305C">
        <w:t>He</w:t>
      </w:r>
      <w:r w:rsidR="00143FC1">
        <w:t xml:space="preserve"> also spoke about </w:t>
      </w:r>
      <w:r w:rsidR="00AD2825">
        <w:t>technical training activities that were conducted since June 2020, including</w:t>
      </w:r>
      <w:r w:rsidR="00696FE1">
        <w:t xml:space="preserve"> related to seismic analysis</w:t>
      </w:r>
      <w:r w:rsidR="00106ECA">
        <w:t>, sea level data analysis, tsunami forecasting, message dissemination and routine drills.</w:t>
      </w:r>
    </w:p>
    <w:p w14:paraId="6FF73E5C" w14:textId="1CA410F6" w:rsidR="003C2ABE" w:rsidRPr="003C2ABE" w:rsidRDefault="006D733D" w:rsidP="002A271A">
      <w:pPr>
        <w:spacing w:after="120"/>
      </w:pPr>
      <w:r>
        <w:t xml:space="preserve">Finally, </w:t>
      </w:r>
      <w:r w:rsidR="00E6305C">
        <w:t>Dr Xu</w:t>
      </w:r>
      <w:r>
        <w:t xml:space="preserve"> spoke about future plans for the SCSTAC, noting that SCSTAC would join the Tenth </w:t>
      </w:r>
      <w:r w:rsidR="00E6305C">
        <w:t>M</w:t>
      </w:r>
      <w:r>
        <w:t>eeting of the Working Group for the South China Sea</w:t>
      </w:r>
      <w:r w:rsidR="009C17E6">
        <w:t xml:space="preserve"> (September 2021), continue to </w:t>
      </w:r>
      <w:r w:rsidR="0084770F">
        <w:t>perform</w:t>
      </w:r>
      <w:r w:rsidR="009C17E6">
        <w:t xml:space="preserve"> communications tests, </w:t>
      </w:r>
      <w:r w:rsidR="0084770F">
        <w:t>conduct</w:t>
      </w:r>
      <w:r>
        <w:t xml:space="preserve"> an online </w:t>
      </w:r>
      <w:r w:rsidR="0084770F">
        <w:t>t</w:t>
      </w:r>
      <w:r>
        <w:t xml:space="preserve">raining </w:t>
      </w:r>
      <w:r w:rsidR="0084770F">
        <w:t>w</w:t>
      </w:r>
      <w:r>
        <w:t xml:space="preserve">orkshop on </w:t>
      </w:r>
      <w:r w:rsidR="0084770F">
        <w:t>t</w:t>
      </w:r>
      <w:r>
        <w:t xml:space="preserve">sunami </w:t>
      </w:r>
      <w:r w:rsidR="0084770F">
        <w:t>f</w:t>
      </w:r>
      <w:r>
        <w:t xml:space="preserve">orecasting and </w:t>
      </w:r>
      <w:r w:rsidR="0084770F">
        <w:t>r</w:t>
      </w:r>
      <w:r>
        <w:t xml:space="preserve">isk </w:t>
      </w:r>
      <w:r w:rsidR="0084770F">
        <w:t>a</w:t>
      </w:r>
      <w:r>
        <w:t xml:space="preserve">ssessment for </w:t>
      </w:r>
      <w:r w:rsidR="0084770F">
        <w:t>t</w:t>
      </w:r>
      <w:r>
        <w:t xml:space="preserve">sunami </w:t>
      </w:r>
      <w:r w:rsidR="0084770F">
        <w:t>w</w:t>
      </w:r>
      <w:r>
        <w:t xml:space="preserve">arning </w:t>
      </w:r>
      <w:r w:rsidR="0084770F">
        <w:t>o</w:t>
      </w:r>
      <w:r>
        <w:t>perators in the South China Sea region</w:t>
      </w:r>
      <w:r w:rsidR="0084770F">
        <w:t xml:space="preserve"> (December</w:t>
      </w:r>
      <w:r w:rsidR="00BB2477">
        <w:t xml:space="preserve"> 2021</w:t>
      </w:r>
      <w:r w:rsidR="0084770F">
        <w:t xml:space="preserve">, </w:t>
      </w:r>
      <w:r>
        <w:t>hosted by China</w:t>
      </w:r>
      <w:r w:rsidR="0084770F">
        <w:t xml:space="preserve">), and provide </w:t>
      </w:r>
      <w:r>
        <w:t>opportunities for in-person education, outreach and training activities in the region</w:t>
      </w:r>
      <w:r w:rsidR="0084770F">
        <w:t>. He noted that the latter would be depend</w:t>
      </w:r>
      <w:r w:rsidR="00DF2715">
        <w:t xml:space="preserve">ent on the </w:t>
      </w:r>
      <w:r>
        <w:t xml:space="preserve">COVID-19 </w:t>
      </w:r>
      <w:r w:rsidR="00DF2715">
        <w:t>pandemic.</w:t>
      </w:r>
    </w:p>
    <w:p w14:paraId="5B6739C7" w14:textId="1FB95803" w:rsidR="002D4752" w:rsidRDefault="001853A6" w:rsidP="002A271A">
      <w:pPr>
        <w:pStyle w:val="Heading2"/>
        <w:spacing w:before="240"/>
      </w:pPr>
      <w:r>
        <w:t xml:space="preserve">Report of </w:t>
      </w:r>
      <w:r w:rsidR="002D4752" w:rsidRPr="001F6D77">
        <w:t xml:space="preserve">CATAC </w:t>
      </w:r>
    </w:p>
    <w:p w14:paraId="26E7EEE7" w14:textId="12A4E571" w:rsidR="00002905" w:rsidRDefault="009D4614" w:rsidP="00586027">
      <w:pPr>
        <w:spacing w:after="120"/>
      </w:pPr>
      <w:r>
        <w:t xml:space="preserve">Dr Wilfried Strauch, </w:t>
      </w:r>
      <w:r w:rsidRPr="001F6D77">
        <w:t xml:space="preserve">Coordinator </w:t>
      </w:r>
      <w:r>
        <w:t xml:space="preserve">of </w:t>
      </w:r>
      <w:r w:rsidR="00F8523B">
        <w:t xml:space="preserve">the Central America </w:t>
      </w:r>
      <w:r w:rsidR="00F8523B" w:rsidRPr="00F8523B">
        <w:t>Tsunami Advisory Center</w:t>
      </w:r>
      <w:r w:rsidR="00F8523B" w:rsidRPr="00F8523B">
        <w:t xml:space="preserve"> </w:t>
      </w:r>
      <w:r w:rsidR="00F8523B">
        <w:t xml:space="preserve"> (C</w:t>
      </w:r>
      <w:r>
        <w:t>ATAC</w:t>
      </w:r>
      <w:r w:rsidR="00F8523B">
        <w:t>)</w:t>
      </w:r>
      <w:r>
        <w:t>, presented the report of CATAC. He began by indicating the area covered by CATAC</w:t>
      </w:r>
      <w:r w:rsidR="000C7D92">
        <w:t>, namely the oceans linked to Central America.</w:t>
      </w:r>
      <w:r w:rsidR="00403D9B">
        <w:t xml:space="preserve"> Due to time constraints, he limited </w:t>
      </w:r>
      <w:r w:rsidR="00002905">
        <w:t>his presentation to CATAC’s workplan for 2021-2022.</w:t>
      </w:r>
    </w:p>
    <w:p w14:paraId="4D7903F8" w14:textId="162CA4AD" w:rsidR="005950CA" w:rsidRDefault="006528BA" w:rsidP="009026C0">
      <w:pPr>
        <w:spacing w:after="120"/>
      </w:pPr>
      <w:r>
        <w:t>Dr Strauch</w:t>
      </w:r>
      <w:r w:rsidR="00002905">
        <w:t xml:space="preserve"> highlighted key activities for</w:t>
      </w:r>
      <w:r>
        <w:t xml:space="preserve"> the period</w:t>
      </w:r>
      <w:r w:rsidR="00002905">
        <w:t xml:space="preserve"> 2021-2022, including two regional tsunami exercises for Central America (prepared by CATAC). He noted that </w:t>
      </w:r>
      <w:r w:rsidR="00915BE5">
        <w:t>the exercise that was d</w:t>
      </w:r>
      <w:r w:rsidR="00002905">
        <w:t xml:space="preserve">ue to take place </w:t>
      </w:r>
      <w:r w:rsidR="00915BE5">
        <w:t>in August 2021 did not occur because of other priorities.</w:t>
      </w:r>
      <w:r w:rsidR="004F0446">
        <w:t xml:space="preserve"> The next exercise will take place on 22 November 2021.</w:t>
      </w:r>
      <w:r w:rsidR="007423FB">
        <w:t xml:space="preserve"> He also informed that the </w:t>
      </w:r>
      <w:r w:rsidR="00C5262B">
        <w:t>training</w:t>
      </w:r>
      <w:r w:rsidR="00002905">
        <w:t xml:space="preserve"> of CATAC watch standers for tsunami advisory </w:t>
      </w:r>
      <w:r w:rsidR="007423FB">
        <w:t>will continue</w:t>
      </w:r>
      <w:r w:rsidR="00DA6177">
        <w:t>. Currently</w:t>
      </w:r>
      <w:r>
        <w:t>,</w:t>
      </w:r>
      <w:r w:rsidR="00DA6177">
        <w:t xml:space="preserve"> there are </w:t>
      </w:r>
      <w:r w:rsidR="00002905">
        <w:t xml:space="preserve">16 </w:t>
      </w:r>
      <w:r w:rsidR="00DA6177">
        <w:t xml:space="preserve">trained </w:t>
      </w:r>
      <w:r w:rsidR="00002905">
        <w:t>watch</w:t>
      </w:r>
      <w:r w:rsidR="00311F1E">
        <w:t xml:space="preserve"> </w:t>
      </w:r>
      <w:r w:rsidR="00002905">
        <w:t xml:space="preserve">standers, </w:t>
      </w:r>
      <w:r w:rsidR="00DA6177">
        <w:t xml:space="preserve">although eight </w:t>
      </w:r>
      <w:r w:rsidR="005950CA">
        <w:t>were integrated recently and are still acquiring experience.</w:t>
      </w:r>
    </w:p>
    <w:p w14:paraId="41635DFD" w14:textId="617A1EB5" w:rsidR="005536E3" w:rsidRDefault="005950CA" w:rsidP="009026C0">
      <w:pPr>
        <w:spacing w:after="120"/>
      </w:pPr>
      <w:r>
        <w:t xml:space="preserve">Dr Strauch also noted that </w:t>
      </w:r>
      <w:r w:rsidR="00C35E95">
        <w:t xml:space="preserve">they </w:t>
      </w:r>
      <w:r w:rsidR="000B2251">
        <w:t xml:space="preserve">have not been </w:t>
      </w:r>
      <w:r w:rsidR="00C35E95">
        <w:t xml:space="preserve">able to </w:t>
      </w:r>
      <w:r w:rsidR="000B2251">
        <w:t>conduct</w:t>
      </w:r>
      <w:r w:rsidR="00C35E95">
        <w:t xml:space="preserve"> </w:t>
      </w:r>
      <w:r w:rsidR="00C5262B">
        <w:t>training for staff of</w:t>
      </w:r>
      <w:r w:rsidR="00002905">
        <w:t xml:space="preserve"> recipient institutions on the CATAC messages</w:t>
      </w:r>
      <w:r w:rsidR="000B2251">
        <w:t xml:space="preserve"> yet</w:t>
      </w:r>
      <w:r w:rsidR="009026C0">
        <w:t xml:space="preserve"> and </w:t>
      </w:r>
      <w:r w:rsidR="000B2251">
        <w:t>this is due to take place in October 2021.</w:t>
      </w:r>
      <w:r w:rsidR="00F9321E">
        <w:t xml:space="preserve"> He also noted that </w:t>
      </w:r>
      <w:r w:rsidR="00867688">
        <w:t>there has been and will be a m</w:t>
      </w:r>
      <w:r w:rsidR="00002905">
        <w:t xml:space="preserve">assive installation of seismic stations for Earthquake Early Warning (2021-2022) in Nicaragua </w:t>
      </w:r>
      <w:r w:rsidR="009026C0">
        <w:t>(</w:t>
      </w:r>
      <w:r w:rsidR="00002905">
        <w:t>50</w:t>
      </w:r>
      <w:r w:rsidR="009026C0">
        <w:t>)</w:t>
      </w:r>
      <w:r w:rsidR="00002905">
        <w:t xml:space="preserve">, El Salvador </w:t>
      </w:r>
      <w:r w:rsidR="009026C0">
        <w:t>(</w:t>
      </w:r>
      <w:r w:rsidR="00002905">
        <w:t>25</w:t>
      </w:r>
      <w:r w:rsidR="009026C0">
        <w:t>)</w:t>
      </w:r>
      <w:r w:rsidR="00002905">
        <w:t xml:space="preserve">, Guatemala </w:t>
      </w:r>
      <w:r w:rsidR="009026C0">
        <w:t>(</w:t>
      </w:r>
      <w:r w:rsidR="00002905">
        <w:t>17</w:t>
      </w:r>
      <w:r w:rsidR="009026C0">
        <w:t>)</w:t>
      </w:r>
      <w:r w:rsidR="00002905">
        <w:t>,</w:t>
      </w:r>
      <w:r w:rsidR="00867688">
        <w:t xml:space="preserve"> and</w:t>
      </w:r>
      <w:r w:rsidR="00002905">
        <w:t xml:space="preserve"> Costa Rica </w:t>
      </w:r>
      <w:r w:rsidR="009026C0">
        <w:t>(4)</w:t>
      </w:r>
      <w:r w:rsidR="00002905">
        <w:t xml:space="preserve"> </w:t>
      </w:r>
      <w:r w:rsidR="00867688">
        <w:t xml:space="preserve">under the </w:t>
      </w:r>
      <w:r w:rsidR="00002905">
        <w:t>EWARNICA project</w:t>
      </w:r>
      <w:r w:rsidR="00867688">
        <w:t>. T</w:t>
      </w:r>
      <w:r w:rsidR="00BA3D54">
        <w:t xml:space="preserve">hese stations will improve processing of </w:t>
      </w:r>
      <w:r w:rsidR="00867688">
        <w:t>larger</w:t>
      </w:r>
      <w:r w:rsidR="00BA3D54">
        <w:t xml:space="preserve"> earthquakes and tsunami warning.</w:t>
      </w:r>
      <w:r w:rsidR="00670CE5">
        <w:t xml:space="preserve"> CATAC also tested </w:t>
      </w:r>
      <w:r w:rsidR="00002905">
        <w:t>massive Earthquake Early Warning in Nicaragua</w:t>
      </w:r>
      <w:r w:rsidR="00670CE5">
        <w:t xml:space="preserve"> (under</w:t>
      </w:r>
      <w:r w:rsidR="009026C0">
        <w:t xml:space="preserve"> the</w:t>
      </w:r>
      <w:r w:rsidR="00670CE5">
        <w:t xml:space="preserve"> </w:t>
      </w:r>
      <w:r w:rsidR="00002905">
        <w:t>JICA-EWARNICA</w:t>
      </w:r>
      <w:r w:rsidR="00670CE5">
        <w:t xml:space="preserve"> project).</w:t>
      </w:r>
      <w:r w:rsidR="00EA09A0">
        <w:t xml:space="preserve"> </w:t>
      </w:r>
      <w:r w:rsidR="00670CE5">
        <w:t xml:space="preserve">Dr Strauch reported the creation of a new and </w:t>
      </w:r>
      <w:r w:rsidR="00F106C2">
        <w:t xml:space="preserve">more </w:t>
      </w:r>
      <w:r w:rsidR="00670CE5">
        <w:t>complete t</w:t>
      </w:r>
      <w:r w:rsidR="00002905">
        <w:t>sunami warning messaging suite</w:t>
      </w:r>
      <w:r w:rsidR="00D74C93">
        <w:t xml:space="preserve"> during the past years. This</w:t>
      </w:r>
      <w:r w:rsidR="00FC1578">
        <w:t>,</w:t>
      </w:r>
      <w:r w:rsidR="00D74C93">
        <w:t xml:space="preserve"> together with </w:t>
      </w:r>
      <w:r w:rsidR="00D74C93" w:rsidRPr="00C5262B">
        <w:t xml:space="preserve">the </w:t>
      </w:r>
      <w:r w:rsidR="00C5262B">
        <w:t>TOAST</w:t>
      </w:r>
      <w:r w:rsidR="00F106C2" w:rsidRPr="00C5262B">
        <w:t xml:space="preserve"> </w:t>
      </w:r>
      <w:r w:rsidR="00C5262B">
        <w:t>software</w:t>
      </w:r>
      <w:r w:rsidR="00FC1578" w:rsidRPr="00C5262B">
        <w:t>,</w:t>
      </w:r>
      <w:r w:rsidR="00F106C2">
        <w:t xml:space="preserve"> will provide the tsunami simulation data.</w:t>
      </w:r>
    </w:p>
    <w:p w14:paraId="300481DF" w14:textId="600C7FE8" w:rsidR="00F7166A" w:rsidRDefault="00EA09A0" w:rsidP="00516832">
      <w:pPr>
        <w:spacing w:after="120"/>
      </w:pPr>
      <w:r>
        <w:t xml:space="preserve">Finally, </w:t>
      </w:r>
      <w:r w:rsidR="00C34AA2">
        <w:t>he reported that CATAC can start with</w:t>
      </w:r>
      <w:r w:rsidR="009F7D92">
        <w:t xml:space="preserve"> full tsu</w:t>
      </w:r>
      <w:r w:rsidR="00C34AA2">
        <w:t>nami</w:t>
      </w:r>
      <w:r w:rsidR="009F7D92">
        <w:t xml:space="preserve"> service </w:t>
      </w:r>
      <w:r w:rsidR="00C34AA2">
        <w:t>by end of 2021</w:t>
      </w:r>
      <w:r w:rsidR="00F7166A">
        <w:t>.</w:t>
      </w:r>
    </w:p>
    <w:p w14:paraId="5A93DA25" w14:textId="7E9E3E7D" w:rsidR="00750C8B" w:rsidRPr="00A504F8" w:rsidRDefault="00750C8B" w:rsidP="00750C8B">
      <w:pPr>
        <w:spacing w:before="200" w:after="120"/>
        <w:rPr>
          <w:b/>
          <w:bCs/>
          <w:color w:val="2F5496" w:themeColor="accent1" w:themeShade="BF"/>
        </w:rPr>
      </w:pPr>
      <w:r w:rsidRPr="00A504F8">
        <w:rPr>
          <w:b/>
          <w:bCs/>
          <w:color w:val="2F5496" w:themeColor="accent1" w:themeShade="BF"/>
        </w:rPr>
        <w:t>Actions:</w:t>
      </w:r>
    </w:p>
    <w:p w14:paraId="2D4EA870" w14:textId="24F8FD0B" w:rsidR="00806B98" w:rsidRPr="00A504F8" w:rsidRDefault="00750C8B" w:rsidP="00750C8B">
      <w:pPr>
        <w:pStyle w:val="ListParagraph"/>
        <w:numPr>
          <w:ilvl w:val="0"/>
          <w:numId w:val="7"/>
        </w:numPr>
        <w:spacing w:after="120"/>
        <w:rPr>
          <w:rFonts w:cstheme="minorHAnsi"/>
          <w:color w:val="2F5496" w:themeColor="accent1" w:themeShade="BF"/>
          <w:bdr w:val="none" w:sz="0" w:space="0" w:color="auto" w:frame="1"/>
          <w:lang w:val="en-GB" w:eastAsia="zh-CN"/>
        </w:rPr>
      </w:pPr>
      <w:r w:rsidRPr="00A504F8">
        <w:rPr>
          <w:color w:val="2F5496" w:themeColor="accent1" w:themeShade="BF"/>
        </w:rPr>
        <w:t>Recommend at the ICG/PTWS XXIX Meeting in November 2021 for CATAC to become a fully operational TSP.</w:t>
      </w:r>
    </w:p>
    <w:p w14:paraId="153B983A" w14:textId="2C3AC97F" w:rsidR="00004279" w:rsidRPr="001F6D77" w:rsidRDefault="001853A6" w:rsidP="00516832">
      <w:pPr>
        <w:pStyle w:val="Heading2"/>
        <w:spacing w:before="240"/>
      </w:pPr>
      <w:r>
        <w:lastRenderedPageBreak/>
        <w:t xml:space="preserve">Report of </w:t>
      </w:r>
      <w:r w:rsidR="00BD6CB5" w:rsidRPr="001F6D77">
        <w:t>T</w:t>
      </w:r>
      <w:r w:rsidR="00004279" w:rsidRPr="001F6D77">
        <w:t>SPs coordination</w:t>
      </w:r>
    </w:p>
    <w:p w14:paraId="3D97B9FB" w14:textId="2B6F9722" w:rsidR="00FC47CB" w:rsidRDefault="00320609" w:rsidP="00773303">
      <w:pPr>
        <w:spacing w:after="120"/>
      </w:pPr>
      <w:r>
        <w:t>Dr Charles “Chip” McCreery, Director of the NOAA PWTC, presented the report of the T</w:t>
      </w:r>
      <w:r w:rsidR="003F4A62">
        <w:t>sunami Service providers (T</w:t>
      </w:r>
      <w:r>
        <w:t>SPs</w:t>
      </w:r>
      <w:r w:rsidR="003F4A62">
        <w:t>)</w:t>
      </w:r>
      <w:r>
        <w:t xml:space="preserve"> coordination. He noted that a </w:t>
      </w:r>
      <w:r w:rsidR="00BC54C3">
        <w:t xml:space="preserve">PTWS TSP </w:t>
      </w:r>
      <w:r>
        <w:t>c</w:t>
      </w:r>
      <w:r w:rsidR="00BC54C3">
        <w:t xml:space="preserve">oordination </w:t>
      </w:r>
      <w:r>
        <w:t>m</w:t>
      </w:r>
      <w:r w:rsidR="00BC54C3">
        <w:t>eeting</w:t>
      </w:r>
      <w:r>
        <w:t xml:space="preserve"> was held on 29</w:t>
      </w:r>
      <w:r w:rsidR="00FB6419">
        <w:rPr>
          <w:vertAlign w:val="superscript"/>
        </w:rPr>
        <w:t xml:space="preserve"> </w:t>
      </w:r>
      <w:r>
        <w:t>October 2020</w:t>
      </w:r>
      <w:r w:rsidR="00A47BEF">
        <w:t>. Issues</w:t>
      </w:r>
      <w:r w:rsidR="00CD210D">
        <w:t xml:space="preserve"> raised at </w:t>
      </w:r>
      <w:r w:rsidR="00FB6419">
        <w:t>the</w:t>
      </w:r>
      <w:r w:rsidR="00CD210D">
        <w:t xml:space="preserve"> meeting included the procedure for issuing messages for events outside of normal </w:t>
      </w:r>
      <w:r w:rsidR="003F4A62">
        <w:t>Areas of Service (AoS)</w:t>
      </w:r>
      <w:r w:rsidR="0016242B">
        <w:t xml:space="preserve">. </w:t>
      </w:r>
      <w:r w:rsidR="00AD135E">
        <w:t xml:space="preserve">The other key theme discussed was </w:t>
      </w:r>
      <w:r w:rsidR="00157EDB">
        <w:t xml:space="preserve">TSP </w:t>
      </w:r>
      <w:r w:rsidR="00AD135E">
        <w:t>p</w:t>
      </w:r>
      <w:r w:rsidR="00157EDB">
        <w:t>roducts for the Maritime Community</w:t>
      </w:r>
      <w:r w:rsidR="00AD135E">
        <w:t xml:space="preserve">. At the </w:t>
      </w:r>
      <w:r w:rsidR="00113411">
        <w:t xml:space="preserve">moment, </w:t>
      </w:r>
      <w:r w:rsidR="00157EDB">
        <w:t xml:space="preserve">TSPs have not yet begun to develop new products for the maritime community for NAVAREA </w:t>
      </w:r>
      <w:r w:rsidR="00113411">
        <w:t>c</w:t>
      </w:r>
      <w:r w:rsidR="00157EDB">
        <w:t>oordinators to disseminate to ships at sea.</w:t>
      </w:r>
    </w:p>
    <w:p w14:paraId="159FBADA" w14:textId="13D71F67" w:rsidR="00FC47CB" w:rsidRDefault="007A6767" w:rsidP="00FB6419">
      <w:pPr>
        <w:spacing w:after="120"/>
      </w:pPr>
      <w:r>
        <w:t xml:space="preserve">Dr McCreery also </w:t>
      </w:r>
      <w:r w:rsidR="00D854CD">
        <w:t>remarked on o</w:t>
      </w:r>
      <w:r w:rsidR="00FC47CB">
        <w:t xml:space="preserve">perational coordination </w:t>
      </w:r>
      <w:r w:rsidR="00D854CD">
        <w:t xml:space="preserve">between </w:t>
      </w:r>
      <w:r w:rsidR="00FC47CB">
        <w:t>TSPs.</w:t>
      </w:r>
      <w:r w:rsidR="00D854CD">
        <w:t xml:space="preserve"> </w:t>
      </w:r>
      <w:r w:rsidR="000F5DAF">
        <w:t>He</w:t>
      </w:r>
      <w:r w:rsidR="00D854CD">
        <w:t xml:space="preserve"> highlighted that </w:t>
      </w:r>
      <w:r w:rsidR="000F5DAF">
        <w:t xml:space="preserve">the </w:t>
      </w:r>
      <w:r w:rsidR="003F4A62">
        <w:t>ESZ</w:t>
      </w:r>
      <w:r w:rsidR="000F5DAF">
        <w:t xml:space="preserve"> indicates which TSP will issue the authoritative</w:t>
      </w:r>
      <w:r w:rsidR="00FA3071">
        <w:t xml:space="preserve"> initial</w:t>
      </w:r>
      <w:r w:rsidR="000F5DAF">
        <w:t xml:space="preserve"> </w:t>
      </w:r>
      <w:r w:rsidR="00FA3071">
        <w:t xml:space="preserve">information or threat message, and that PTWC follows from these according to their set parameters (for </w:t>
      </w:r>
      <w:r w:rsidR="006A6758">
        <w:t>events in the NWPTAC and SCSTAC earthquake source zones).</w:t>
      </w:r>
    </w:p>
    <w:p w14:paraId="31563802" w14:textId="2E77FC61" w:rsidR="008971AF" w:rsidRPr="00A504F8" w:rsidRDefault="008971AF" w:rsidP="00FB6419">
      <w:pPr>
        <w:spacing w:after="120"/>
        <w:rPr>
          <w:b/>
          <w:bCs/>
          <w:color w:val="2F5496" w:themeColor="accent1" w:themeShade="BF"/>
        </w:rPr>
      </w:pPr>
      <w:r w:rsidRPr="00A504F8">
        <w:rPr>
          <w:b/>
          <w:bCs/>
          <w:color w:val="2F5496" w:themeColor="accent1" w:themeShade="BF"/>
        </w:rPr>
        <w:t>Actions:</w:t>
      </w:r>
    </w:p>
    <w:p w14:paraId="6248FD12" w14:textId="4F83860D" w:rsidR="00D35B34" w:rsidRPr="00A504F8" w:rsidRDefault="0016242B" w:rsidP="004A17D0">
      <w:pPr>
        <w:pStyle w:val="ListParagraph"/>
        <w:numPr>
          <w:ilvl w:val="0"/>
          <w:numId w:val="2"/>
        </w:numPr>
        <w:spacing w:after="120"/>
        <w:rPr>
          <w:color w:val="2F5496" w:themeColor="accent1" w:themeShade="BF"/>
        </w:rPr>
      </w:pPr>
      <w:r w:rsidRPr="00A504F8">
        <w:rPr>
          <w:color w:val="2F5496" w:themeColor="accent1" w:themeShade="BF"/>
        </w:rPr>
        <w:t>TSPs will define more clearly, in their respective User Guides, procedures for issuing products when the earthquake is located outside of a TSP’s coastal area of service.</w:t>
      </w:r>
    </w:p>
    <w:p w14:paraId="1EA0B893" w14:textId="6550FE18" w:rsidR="00336406" w:rsidRPr="008971AF" w:rsidRDefault="00D35B34" w:rsidP="00A504F8">
      <w:pPr>
        <w:keepNext/>
        <w:spacing w:before="200" w:after="120"/>
        <w:rPr>
          <w:b/>
          <w:bCs/>
        </w:rPr>
      </w:pPr>
      <w:r w:rsidRPr="00DE6C4B">
        <w:rPr>
          <w:b/>
          <w:bCs/>
        </w:rPr>
        <w:t>Discussion on Agenda Item 2</w:t>
      </w:r>
      <w:r w:rsidR="00DE6C4B">
        <w:rPr>
          <w:b/>
          <w:bCs/>
        </w:rPr>
        <w:t>:</w:t>
      </w:r>
    </w:p>
    <w:p w14:paraId="6E0E881A" w14:textId="387A7E6C" w:rsidR="009119C0" w:rsidRDefault="00C02F0D" w:rsidP="00A504F8">
      <w:pPr>
        <w:keepNext/>
        <w:spacing w:after="120"/>
        <w:rPr>
          <w:rFonts w:cstheme="minorHAnsi"/>
        </w:rPr>
      </w:pPr>
      <w:r w:rsidRPr="0057053D">
        <w:rPr>
          <w:rFonts w:cstheme="minorHAnsi"/>
          <w:i/>
          <w:iCs/>
        </w:rPr>
        <w:t xml:space="preserve">The Group </w:t>
      </w:r>
      <w:r w:rsidR="002C071C" w:rsidRPr="0057053D">
        <w:rPr>
          <w:rFonts w:cstheme="minorHAnsi"/>
          <w:i/>
          <w:iCs/>
        </w:rPr>
        <w:t>requested</w:t>
      </w:r>
      <w:r w:rsidR="002C071C">
        <w:rPr>
          <w:rFonts w:cstheme="minorHAnsi"/>
        </w:rPr>
        <w:t xml:space="preserve"> additional information about CATAC trainings</w:t>
      </w:r>
      <w:r w:rsidR="009119C0">
        <w:rPr>
          <w:rFonts w:cstheme="minorHAnsi"/>
        </w:rPr>
        <w:t xml:space="preserve">, noting that they could be useful for Pacific </w:t>
      </w:r>
      <w:r w:rsidR="004A17D0">
        <w:rPr>
          <w:rFonts w:cstheme="minorHAnsi"/>
        </w:rPr>
        <w:t>I</w:t>
      </w:r>
      <w:r w:rsidR="009119C0">
        <w:rPr>
          <w:rFonts w:cstheme="minorHAnsi"/>
        </w:rPr>
        <w:t xml:space="preserve">sland </w:t>
      </w:r>
      <w:r w:rsidR="004A17D0">
        <w:rPr>
          <w:rFonts w:cstheme="minorHAnsi"/>
        </w:rPr>
        <w:t>Countries and Territories (PICTs)</w:t>
      </w:r>
      <w:r w:rsidR="002C071C">
        <w:rPr>
          <w:rFonts w:cstheme="minorHAnsi"/>
        </w:rPr>
        <w:t>. Dr Strauch</w:t>
      </w:r>
      <w:r w:rsidR="00DE79BF">
        <w:rPr>
          <w:rFonts w:cstheme="minorHAnsi"/>
        </w:rPr>
        <w:t xml:space="preserve"> informed that CATAC followed several different types of courses, most important of which was training on the job</w:t>
      </w:r>
      <w:r w:rsidR="009119C0">
        <w:rPr>
          <w:rFonts w:cstheme="minorHAnsi"/>
        </w:rPr>
        <w:t>.</w:t>
      </w:r>
    </w:p>
    <w:p w14:paraId="20032DA1" w14:textId="48AD3825" w:rsidR="004A000A" w:rsidRDefault="009119C0" w:rsidP="004B5893">
      <w:pPr>
        <w:spacing w:after="120"/>
        <w:rPr>
          <w:rFonts w:cstheme="minorHAnsi"/>
        </w:rPr>
      </w:pPr>
      <w:r w:rsidRPr="0057053D">
        <w:rPr>
          <w:rFonts w:cstheme="minorHAnsi"/>
          <w:i/>
          <w:iCs/>
        </w:rPr>
        <w:t>The Group strongly supported</w:t>
      </w:r>
      <w:r>
        <w:rPr>
          <w:rFonts w:cstheme="minorHAnsi"/>
        </w:rPr>
        <w:t xml:space="preserve"> </w:t>
      </w:r>
      <w:r w:rsidR="00253742">
        <w:rPr>
          <w:rFonts w:cstheme="minorHAnsi"/>
        </w:rPr>
        <w:t xml:space="preserve">the recommendation of </w:t>
      </w:r>
      <w:r w:rsidR="00C5376B">
        <w:rPr>
          <w:rFonts w:cstheme="minorHAnsi"/>
        </w:rPr>
        <w:t xml:space="preserve">PTWC to </w:t>
      </w:r>
      <w:r w:rsidR="00C5376B" w:rsidRPr="00C5376B">
        <w:rPr>
          <w:rFonts w:cstheme="minorHAnsi"/>
        </w:rPr>
        <w:t>expand the PTWS EMZ to include part of the southern Atlantic Ocean that encompasses the Scotia Arc and its adjacent seismic zones</w:t>
      </w:r>
      <w:r w:rsidR="00CF3FF9">
        <w:rPr>
          <w:rFonts w:cstheme="minorHAnsi"/>
        </w:rPr>
        <w:t>.</w:t>
      </w:r>
      <w:r w:rsidR="00FD6DAC">
        <w:rPr>
          <w:rFonts w:cstheme="minorHAnsi"/>
        </w:rPr>
        <w:t xml:space="preserve"> </w:t>
      </w:r>
      <w:r w:rsidR="00FD6DAC" w:rsidRPr="0057053D">
        <w:rPr>
          <w:rFonts w:cstheme="minorHAnsi"/>
          <w:b/>
          <w:bCs/>
          <w:i/>
          <w:iCs/>
        </w:rPr>
        <w:t>The Group agreed</w:t>
      </w:r>
      <w:r w:rsidR="00FD6DAC">
        <w:rPr>
          <w:rFonts w:cstheme="minorHAnsi"/>
        </w:rPr>
        <w:t xml:space="preserve"> that this recommendation should </w:t>
      </w:r>
      <w:r w:rsidR="003F0149">
        <w:rPr>
          <w:rFonts w:cstheme="minorHAnsi"/>
        </w:rPr>
        <w:t>be sent to the ICG/PTWS XXIX Meeting.</w:t>
      </w:r>
    </w:p>
    <w:p w14:paraId="1D79030F" w14:textId="77777777" w:rsidR="00D02BA6" w:rsidRDefault="003F0149" w:rsidP="00FB6419">
      <w:pPr>
        <w:spacing w:after="120"/>
        <w:rPr>
          <w:rFonts w:cstheme="minorHAnsi"/>
        </w:rPr>
      </w:pPr>
      <w:r w:rsidRPr="0057053D">
        <w:rPr>
          <w:rFonts w:cstheme="minorHAnsi"/>
          <w:i/>
          <w:iCs/>
        </w:rPr>
        <w:t xml:space="preserve">The Group also </w:t>
      </w:r>
      <w:r w:rsidR="00A01278" w:rsidRPr="0057053D">
        <w:rPr>
          <w:rFonts w:cstheme="minorHAnsi"/>
          <w:i/>
          <w:iCs/>
        </w:rPr>
        <w:t>discussed</w:t>
      </w:r>
      <w:r w:rsidR="00A01278">
        <w:rPr>
          <w:rFonts w:cstheme="minorHAnsi"/>
        </w:rPr>
        <w:t xml:space="preserve"> the establishment of CATAC as fully operational. </w:t>
      </w:r>
      <w:r w:rsidR="00D0595B">
        <w:rPr>
          <w:rFonts w:cstheme="minorHAnsi"/>
        </w:rPr>
        <w:t xml:space="preserve">Mr Bernardo Aliaga, the </w:t>
      </w:r>
      <w:r w:rsidR="005C64B1">
        <w:rPr>
          <w:rFonts w:cstheme="minorHAnsi"/>
        </w:rPr>
        <w:t>Technical</w:t>
      </w:r>
      <w:r w:rsidR="00D0595B">
        <w:rPr>
          <w:rFonts w:cstheme="minorHAnsi"/>
        </w:rPr>
        <w:t xml:space="preserve"> Secretary, </w:t>
      </w:r>
      <w:r w:rsidR="00E74DD8">
        <w:rPr>
          <w:rFonts w:cstheme="minorHAnsi"/>
        </w:rPr>
        <w:t>explained</w:t>
      </w:r>
      <w:r w:rsidR="00D0595B">
        <w:rPr>
          <w:rFonts w:cstheme="minorHAnsi"/>
        </w:rPr>
        <w:t xml:space="preserve"> that the </w:t>
      </w:r>
      <w:r w:rsidR="00E74DD8">
        <w:rPr>
          <w:rFonts w:cstheme="minorHAnsi"/>
        </w:rPr>
        <w:t>process for validating CATAC.</w:t>
      </w:r>
      <w:r w:rsidR="0057053D">
        <w:rPr>
          <w:rFonts w:cstheme="minorHAnsi"/>
        </w:rPr>
        <w:t xml:space="preserve"> H</w:t>
      </w:r>
      <w:r w:rsidR="00E74DD8">
        <w:rPr>
          <w:rFonts w:cstheme="minorHAnsi"/>
        </w:rPr>
        <w:t>e stated that CATAC needs to be endorsed by the ICG/PTWS and ICG/CARIBE-EWS separately.</w:t>
      </w:r>
    </w:p>
    <w:p w14:paraId="2AD54689" w14:textId="77777777" w:rsidR="00D02BA6" w:rsidRPr="00D02BA6" w:rsidRDefault="00D02BA6" w:rsidP="00D02BA6">
      <w:pPr>
        <w:spacing w:before="200" w:after="120"/>
        <w:rPr>
          <w:rFonts w:cstheme="minorHAnsi"/>
          <w:b/>
          <w:bCs/>
          <w:color w:val="2F5496" w:themeColor="accent1" w:themeShade="BF"/>
        </w:rPr>
      </w:pPr>
      <w:r w:rsidRPr="00D02BA6">
        <w:rPr>
          <w:rFonts w:cstheme="minorHAnsi"/>
          <w:b/>
          <w:bCs/>
          <w:color w:val="2F5496" w:themeColor="accent1" w:themeShade="BF"/>
        </w:rPr>
        <w:t>Actions:</w:t>
      </w:r>
    </w:p>
    <w:p w14:paraId="2045F60B" w14:textId="722C6772" w:rsidR="00601F5A" w:rsidRPr="00D02BA6" w:rsidRDefault="005C64B1" w:rsidP="00D02BA6">
      <w:pPr>
        <w:pStyle w:val="ListParagraph"/>
        <w:numPr>
          <w:ilvl w:val="0"/>
          <w:numId w:val="2"/>
        </w:numPr>
        <w:spacing w:after="120"/>
        <w:rPr>
          <w:rFonts w:cstheme="minorHAnsi"/>
          <w:color w:val="2F5496" w:themeColor="accent1" w:themeShade="BF"/>
        </w:rPr>
      </w:pPr>
      <w:r w:rsidRPr="00D02BA6">
        <w:rPr>
          <w:rFonts w:cstheme="minorHAnsi"/>
          <w:color w:val="2F5496" w:themeColor="accent1" w:themeShade="BF"/>
        </w:rPr>
        <w:t xml:space="preserve">A final document </w:t>
      </w:r>
      <w:r w:rsidR="00D02BA6" w:rsidRPr="00D02BA6">
        <w:rPr>
          <w:rFonts w:cstheme="minorHAnsi"/>
          <w:color w:val="2F5496" w:themeColor="accent1" w:themeShade="BF"/>
        </w:rPr>
        <w:t>must</w:t>
      </w:r>
      <w:r w:rsidRPr="00D02BA6">
        <w:rPr>
          <w:rFonts w:cstheme="minorHAnsi"/>
          <w:color w:val="2F5496" w:themeColor="accent1" w:themeShade="BF"/>
        </w:rPr>
        <w:t xml:space="preserve"> be prepared for ICG/PTWS XXIX Meeting for it to endorse CATAC as a fully operational TSP.</w:t>
      </w:r>
    </w:p>
    <w:p w14:paraId="184E9580" w14:textId="41F8F653" w:rsidR="001A2611" w:rsidRPr="00D02BA6" w:rsidRDefault="00E4753F" w:rsidP="00D02BA6">
      <w:pPr>
        <w:pStyle w:val="Heading1"/>
        <w:spacing w:before="360"/>
        <w:rPr>
          <w:bCs/>
        </w:rPr>
      </w:pPr>
      <w:r w:rsidRPr="001F6D77">
        <w:t>PTWS Working Group</w:t>
      </w:r>
      <w:r w:rsidR="00004279" w:rsidRPr="001F6D77">
        <w:t>s</w:t>
      </w:r>
      <w:r w:rsidRPr="001F6D77">
        <w:t xml:space="preserve"> and Ta</w:t>
      </w:r>
      <w:r w:rsidR="009D166D" w:rsidRPr="001F6D77">
        <w:t>s</w:t>
      </w:r>
      <w:r w:rsidRPr="001F6D77">
        <w:t xml:space="preserve">k Team </w:t>
      </w:r>
      <w:r w:rsidR="00004279" w:rsidRPr="001F6D77">
        <w:t>reports</w:t>
      </w:r>
    </w:p>
    <w:p w14:paraId="1832467F" w14:textId="5C482F54" w:rsidR="001A2611" w:rsidRPr="001A2611" w:rsidRDefault="00844551" w:rsidP="00D02BA6">
      <w:pPr>
        <w:pStyle w:val="Heading2"/>
        <w:spacing w:before="240"/>
      </w:pPr>
      <w:r w:rsidRPr="001F6D77">
        <w:rPr>
          <w:rFonts w:eastAsia="Times New Roman"/>
        </w:rPr>
        <w:t>WG 1</w:t>
      </w:r>
      <w:r w:rsidR="00B86C57" w:rsidRPr="001F6D77">
        <w:rPr>
          <w:rFonts w:eastAsia="Times New Roman"/>
        </w:rPr>
        <w:t xml:space="preserve"> </w:t>
      </w:r>
      <w:r w:rsidR="00A43D71" w:rsidRPr="001F6D77">
        <w:t>Understanding Tsunami Risk</w:t>
      </w:r>
    </w:p>
    <w:p w14:paraId="553A06BD" w14:textId="7FEFA764" w:rsidR="00F6504E" w:rsidRDefault="00A428E6" w:rsidP="00043690">
      <w:pPr>
        <w:shd w:val="clear" w:color="auto" w:fill="FFFFFF"/>
        <w:spacing w:after="120"/>
        <w:textAlignment w:val="baseline"/>
        <w:rPr>
          <w:rFonts w:cstheme="minorHAnsi"/>
        </w:rPr>
      </w:pPr>
      <w:r w:rsidRPr="00667269">
        <w:rPr>
          <w:rFonts w:cstheme="minorHAnsi"/>
        </w:rPr>
        <w:t xml:space="preserve">Dr Diego Arcas, Chair of WG 1, reported on this item, noting that the number of activities that the </w:t>
      </w:r>
      <w:r w:rsidR="0005049C">
        <w:rPr>
          <w:rFonts w:cstheme="minorHAnsi"/>
        </w:rPr>
        <w:t xml:space="preserve">NOAA </w:t>
      </w:r>
      <w:r w:rsidR="00F47D60">
        <w:rPr>
          <w:rFonts w:cstheme="minorHAnsi"/>
        </w:rPr>
        <w:t>C</w:t>
      </w:r>
      <w:r w:rsidRPr="00667269">
        <w:rPr>
          <w:rFonts w:cstheme="minorHAnsi"/>
        </w:rPr>
        <w:t xml:space="preserve">entre for </w:t>
      </w:r>
      <w:r w:rsidR="00F47D60">
        <w:rPr>
          <w:rFonts w:cstheme="minorHAnsi"/>
        </w:rPr>
        <w:t>T</w:t>
      </w:r>
      <w:r w:rsidRPr="00667269">
        <w:rPr>
          <w:rFonts w:cstheme="minorHAnsi"/>
        </w:rPr>
        <w:t xml:space="preserve">sunami </w:t>
      </w:r>
      <w:r w:rsidR="00F47D60">
        <w:rPr>
          <w:rFonts w:cstheme="minorHAnsi"/>
        </w:rPr>
        <w:t>R</w:t>
      </w:r>
      <w:r w:rsidRPr="00667269">
        <w:rPr>
          <w:rFonts w:cstheme="minorHAnsi"/>
        </w:rPr>
        <w:t xml:space="preserve">esearch (NCTR) was involved in has been </w:t>
      </w:r>
      <w:r w:rsidR="00043690">
        <w:rPr>
          <w:rFonts w:cstheme="minorHAnsi"/>
        </w:rPr>
        <w:t>reduced</w:t>
      </w:r>
      <w:r w:rsidRPr="00667269">
        <w:rPr>
          <w:rFonts w:cstheme="minorHAnsi"/>
        </w:rPr>
        <w:t xml:space="preserve"> because of the pandemic. Nonetheless, </w:t>
      </w:r>
      <w:r w:rsidR="00043690">
        <w:rPr>
          <w:rFonts w:cstheme="minorHAnsi"/>
        </w:rPr>
        <w:t>the NCTR</w:t>
      </w:r>
      <w:r w:rsidRPr="00667269">
        <w:rPr>
          <w:rFonts w:cstheme="minorHAnsi"/>
        </w:rPr>
        <w:t xml:space="preserve"> continued to develop the TsuCat tool</w:t>
      </w:r>
      <w:r w:rsidR="00667269" w:rsidRPr="00667269">
        <w:rPr>
          <w:rFonts w:cstheme="minorHAnsi"/>
        </w:rPr>
        <w:t xml:space="preserve"> with ITIC</w:t>
      </w:r>
      <w:r w:rsidR="00043690">
        <w:rPr>
          <w:rFonts w:cstheme="minorHAnsi"/>
        </w:rPr>
        <w:t>.</w:t>
      </w:r>
      <w:r w:rsidRPr="00667269">
        <w:rPr>
          <w:rFonts w:cstheme="minorHAnsi"/>
        </w:rPr>
        <w:t xml:space="preserve">, releasing TsuCat Version 4.2 (PMEL). Updates include: </w:t>
      </w:r>
      <w:r w:rsidR="00114F37" w:rsidRPr="00667269">
        <w:rPr>
          <w:rFonts w:cstheme="minorHAnsi"/>
        </w:rPr>
        <w:t xml:space="preserve">Updates to PTWC messages (improvements in Graphical Products, hillshading and grouping </w:t>
      </w:r>
      <w:r w:rsidR="0005049C">
        <w:rPr>
          <w:rFonts w:cstheme="minorHAnsi"/>
        </w:rPr>
        <w:t xml:space="preserve">Estimated </w:t>
      </w:r>
      <w:r w:rsidR="0005049C">
        <w:rPr>
          <w:rFonts w:cstheme="minorHAnsi"/>
        </w:rPr>
        <w:t>Time</w:t>
      </w:r>
      <w:r w:rsidR="0005049C">
        <w:rPr>
          <w:rFonts w:cstheme="minorHAnsi"/>
        </w:rPr>
        <w:t xml:space="preserve"> of Arrival (</w:t>
      </w:r>
      <w:r w:rsidR="00114F37" w:rsidRPr="00667269">
        <w:rPr>
          <w:rFonts w:cstheme="minorHAnsi"/>
        </w:rPr>
        <w:t>ETAs</w:t>
      </w:r>
      <w:r w:rsidR="0005049C">
        <w:rPr>
          <w:rFonts w:cstheme="minorHAnsi"/>
        </w:rPr>
        <w:t>)</w:t>
      </w:r>
      <w:r w:rsidR="00114F37" w:rsidRPr="00667269">
        <w:rPr>
          <w:rFonts w:cstheme="minorHAnsi"/>
        </w:rPr>
        <w:t xml:space="preserve"> by country</w:t>
      </w:r>
      <w:r w:rsidR="004C2238" w:rsidRPr="00667269">
        <w:rPr>
          <w:rFonts w:cstheme="minorHAnsi"/>
        </w:rPr>
        <w:t>;</w:t>
      </w:r>
      <w:r w:rsidRPr="00667269">
        <w:rPr>
          <w:rFonts w:cstheme="minorHAnsi"/>
        </w:rPr>
        <w:t xml:space="preserve"> a</w:t>
      </w:r>
      <w:r w:rsidR="00114F37" w:rsidRPr="00667269">
        <w:rPr>
          <w:rFonts w:cstheme="minorHAnsi"/>
        </w:rPr>
        <w:t>dded ability to download entire source catalog online in the background (progress reported through the "stoplight" icon</w:t>
      </w:r>
      <w:r w:rsidRPr="00667269">
        <w:rPr>
          <w:rFonts w:cstheme="minorHAnsi"/>
        </w:rPr>
        <w:t>)</w:t>
      </w:r>
      <w:r w:rsidR="004C2238" w:rsidRPr="00667269">
        <w:rPr>
          <w:rFonts w:cstheme="minorHAnsi"/>
        </w:rPr>
        <w:t>; a</w:t>
      </w:r>
      <w:r w:rsidR="00114F37" w:rsidRPr="00667269">
        <w:rPr>
          <w:rFonts w:cstheme="minorHAnsi"/>
        </w:rPr>
        <w:t>dded dialog for editing the Requested Epicenter and the Closest in Catalog epicente</w:t>
      </w:r>
      <w:r w:rsidR="004C2238" w:rsidRPr="00667269">
        <w:rPr>
          <w:rFonts w:cstheme="minorHAnsi"/>
        </w:rPr>
        <w:t>r;</w:t>
      </w:r>
      <w:r w:rsidR="00114F37" w:rsidRPr="00667269">
        <w:rPr>
          <w:rFonts w:cstheme="minorHAnsi"/>
        </w:rPr>
        <w:t xml:space="preserve"> </w:t>
      </w:r>
      <w:r w:rsidR="004C2238" w:rsidRPr="00667269">
        <w:rPr>
          <w:rFonts w:cstheme="minorHAnsi"/>
        </w:rPr>
        <w:t>f</w:t>
      </w:r>
      <w:r w:rsidR="00114F37" w:rsidRPr="00667269">
        <w:rPr>
          <w:rFonts w:cstheme="minorHAnsi"/>
        </w:rPr>
        <w:t xml:space="preserve">ixed bug in showing best source in very </w:t>
      </w:r>
      <w:r w:rsidR="00114F37" w:rsidRPr="00667269">
        <w:rPr>
          <w:rFonts w:cstheme="minorHAnsi"/>
        </w:rPr>
        <w:lastRenderedPageBreak/>
        <w:t>large events (restricts sources closer in magnitude, but very far from the Requested Epicenter)</w:t>
      </w:r>
      <w:r w:rsidR="00F041AD" w:rsidRPr="00667269">
        <w:rPr>
          <w:rFonts w:cstheme="minorHAnsi"/>
        </w:rPr>
        <w:t xml:space="preserve">. </w:t>
      </w:r>
      <w:r w:rsidR="00F6504E">
        <w:rPr>
          <w:rFonts w:cstheme="minorHAnsi"/>
        </w:rPr>
        <w:t>Dr Arcas also provided visuals of updates in TsuCat.</w:t>
      </w:r>
    </w:p>
    <w:p w14:paraId="1737AF2A" w14:textId="3EBBBC69" w:rsidR="00114F37" w:rsidRPr="00667269" w:rsidRDefault="00F6504E" w:rsidP="00F92F13">
      <w:pPr>
        <w:shd w:val="clear" w:color="auto" w:fill="FFFFFF"/>
        <w:spacing w:after="120"/>
        <w:textAlignment w:val="baseline"/>
        <w:rPr>
          <w:rFonts w:cstheme="minorHAnsi"/>
        </w:rPr>
      </w:pPr>
      <w:r>
        <w:rPr>
          <w:rFonts w:cstheme="minorHAnsi"/>
        </w:rPr>
        <w:t>Dr Arcas also reported that</w:t>
      </w:r>
      <w:r w:rsidR="00F041AD" w:rsidRPr="00667269">
        <w:rPr>
          <w:rFonts w:cstheme="minorHAnsi"/>
        </w:rPr>
        <w:t xml:space="preserve"> WG 1 also</w:t>
      </w:r>
      <w:r w:rsidR="004C2238" w:rsidRPr="00667269">
        <w:rPr>
          <w:rFonts w:cstheme="minorHAnsi"/>
        </w:rPr>
        <w:t xml:space="preserve"> s</w:t>
      </w:r>
      <w:r w:rsidR="00114F37" w:rsidRPr="00667269">
        <w:rPr>
          <w:rFonts w:cstheme="minorHAnsi"/>
        </w:rPr>
        <w:t>upported SHOA on acquiring DART metadata as a proxy for NDBC service (PMEL).</w:t>
      </w:r>
      <w:r w:rsidR="00F041AD" w:rsidRPr="00667269">
        <w:rPr>
          <w:rFonts w:cstheme="minorHAnsi"/>
        </w:rPr>
        <w:t xml:space="preserve"> The WG also worked</w:t>
      </w:r>
      <w:r w:rsidR="00114F37" w:rsidRPr="00667269">
        <w:rPr>
          <w:rFonts w:cstheme="minorHAnsi"/>
        </w:rPr>
        <w:t xml:space="preserve"> on setting up a Web Portal for DART metadata updates (PMEL).</w:t>
      </w:r>
      <w:r w:rsidR="00F041AD" w:rsidRPr="00667269">
        <w:rPr>
          <w:rFonts w:cstheme="minorHAnsi"/>
        </w:rPr>
        <w:t xml:space="preserve"> It also c</w:t>
      </w:r>
      <w:r w:rsidR="00114F37" w:rsidRPr="00667269">
        <w:rPr>
          <w:rFonts w:cstheme="minorHAnsi"/>
        </w:rPr>
        <w:t xml:space="preserve">onducted analysis of DART 4G performance during the </w:t>
      </w:r>
      <w:r w:rsidR="00F041AD" w:rsidRPr="00667269">
        <w:rPr>
          <w:rFonts w:cstheme="minorHAnsi"/>
        </w:rPr>
        <w:t xml:space="preserve">4 </w:t>
      </w:r>
      <w:r w:rsidR="00114F37" w:rsidRPr="00667269">
        <w:rPr>
          <w:rFonts w:cstheme="minorHAnsi"/>
        </w:rPr>
        <w:t>March 2021 Kermadec events in support of N</w:t>
      </w:r>
      <w:r w:rsidR="00F041AD" w:rsidRPr="00667269">
        <w:rPr>
          <w:rFonts w:cstheme="minorHAnsi"/>
        </w:rPr>
        <w:t xml:space="preserve">ew </w:t>
      </w:r>
      <w:r w:rsidR="00114F37" w:rsidRPr="00667269">
        <w:rPr>
          <w:rFonts w:cstheme="minorHAnsi"/>
        </w:rPr>
        <w:t>Z</w:t>
      </w:r>
      <w:r w:rsidR="00F041AD" w:rsidRPr="00667269">
        <w:rPr>
          <w:rFonts w:cstheme="minorHAnsi"/>
        </w:rPr>
        <w:t>ealand</w:t>
      </w:r>
      <w:r w:rsidR="00114F37" w:rsidRPr="00667269">
        <w:rPr>
          <w:rFonts w:cstheme="minorHAnsi"/>
        </w:rPr>
        <w:t xml:space="preserve"> array.</w:t>
      </w:r>
      <w:r w:rsidR="00F041AD" w:rsidRPr="00667269">
        <w:rPr>
          <w:rFonts w:cstheme="minorHAnsi"/>
        </w:rPr>
        <w:t xml:space="preserve"> In addition, </w:t>
      </w:r>
      <w:r w:rsidR="00667269" w:rsidRPr="00667269">
        <w:rPr>
          <w:rFonts w:cstheme="minorHAnsi"/>
        </w:rPr>
        <w:t>members of the working group</w:t>
      </w:r>
      <w:r w:rsidR="00F041AD" w:rsidRPr="00667269">
        <w:rPr>
          <w:rFonts w:cstheme="minorHAnsi"/>
        </w:rPr>
        <w:t xml:space="preserve"> </w:t>
      </w:r>
      <w:r w:rsidR="00667269" w:rsidRPr="00667269">
        <w:rPr>
          <w:rFonts w:cstheme="minorHAnsi"/>
        </w:rPr>
        <w:t>d</w:t>
      </w:r>
      <w:r w:rsidR="00114F37" w:rsidRPr="00667269">
        <w:rPr>
          <w:rFonts w:cstheme="minorHAnsi"/>
        </w:rPr>
        <w:t xml:space="preserve">rafted the new </w:t>
      </w:r>
      <w:r w:rsidR="00F92F13">
        <w:rPr>
          <w:rFonts w:cstheme="minorHAnsi"/>
        </w:rPr>
        <w:t xml:space="preserve">PTWS </w:t>
      </w:r>
      <w:r w:rsidR="00114F37" w:rsidRPr="00667269">
        <w:rPr>
          <w:rFonts w:cstheme="minorHAnsi"/>
        </w:rPr>
        <w:t>Strategy</w:t>
      </w:r>
      <w:r w:rsidR="00667269" w:rsidRPr="00667269">
        <w:rPr>
          <w:rFonts w:cstheme="minorHAnsi"/>
        </w:rPr>
        <w:t xml:space="preserve"> 2022-2030</w:t>
      </w:r>
      <w:r w:rsidR="00114F37" w:rsidRPr="00667269">
        <w:rPr>
          <w:rFonts w:cstheme="minorHAnsi"/>
        </w:rPr>
        <w:t xml:space="preserve"> report for consideration in this PTWS</w:t>
      </w:r>
      <w:r w:rsidR="00667269" w:rsidRPr="00667269">
        <w:rPr>
          <w:rFonts w:cstheme="minorHAnsi"/>
        </w:rPr>
        <w:t xml:space="preserve"> Steering Committee</w:t>
      </w:r>
      <w:r w:rsidR="00114F37" w:rsidRPr="00667269">
        <w:rPr>
          <w:rFonts w:cstheme="minorHAnsi"/>
        </w:rPr>
        <w:t xml:space="preserve"> meeting.</w:t>
      </w:r>
      <w:r w:rsidR="00BB5949">
        <w:rPr>
          <w:rFonts w:cstheme="minorHAnsi"/>
        </w:rPr>
        <w:t xml:space="preserve"> </w:t>
      </w:r>
    </w:p>
    <w:p w14:paraId="3785A67F" w14:textId="77777777" w:rsidR="00C3184F" w:rsidRPr="00C3184F" w:rsidRDefault="00C3184F" w:rsidP="002756AC">
      <w:pPr>
        <w:shd w:val="clear" w:color="auto" w:fill="FFFFFF"/>
        <w:spacing w:before="200" w:after="120"/>
        <w:textAlignment w:val="baseline"/>
        <w:rPr>
          <w:rFonts w:cstheme="minorHAnsi"/>
          <w:b/>
          <w:bCs/>
          <w:color w:val="2F5496" w:themeColor="accent1" w:themeShade="BF"/>
        </w:rPr>
      </w:pPr>
      <w:r w:rsidRPr="00C3184F">
        <w:rPr>
          <w:rFonts w:cstheme="minorHAnsi"/>
          <w:b/>
          <w:bCs/>
          <w:color w:val="2F5496" w:themeColor="accent1" w:themeShade="BF"/>
        </w:rPr>
        <w:t>Actions:</w:t>
      </w:r>
    </w:p>
    <w:p w14:paraId="0648D309" w14:textId="3E1FD012" w:rsidR="001A2611" w:rsidRPr="00C3184F" w:rsidRDefault="00C3184F" w:rsidP="00C3184F">
      <w:pPr>
        <w:pStyle w:val="ListParagraph"/>
        <w:numPr>
          <w:ilvl w:val="0"/>
          <w:numId w:val="2"/>
        </w:numPr>
        <w:shd w:val="clear" w:color="auto" w:fill="FFFFFF"/>
        <w:spacing w:after="120"/>
        <w:textAlignment w:val="baseline"/>
        <w:rPr>
          <w:rFonts w:cstheme="minorHAnsi"/>
          <w:color w:val="2F5496" w:themeColor="accent1" w:themeShade="BF"/>
        </w:rPr>
      </w:pPr>
      <w:r w:rsidRPr="00C3184F">
        <w:rPr>
          <w:rFonts w:cstheme="minorHAnsi"/>
          <w:color w:val="2F5496" w:themeColor="accent1" w:themeShade="BF"/>
        </w:rPr>
        <w:t>WG1 and ITIC to provide</w:t>
      </w:r>
      <w:r w:rsidR="003A4ACB" w:rsidRPr="00C3184F">
        <w:rPr>
          <w:rFonts w:cstheme="minorHAnsi"/>
          <w:color w:val="2F5496" w:themeColor="accent1" w:themeShade="BF"/>
        </w:rPr>
        <w:t xml:space="preserve"> G</w:t>
      </w:r>
      <w:r w:rsidR="00BF0FEC" w:rsidRPr="00C3184F">
        <w:rPr>
          <w:rFonts w:cstheme="minorHAnsi"/>
          <w:color w:val="2F5496" w:themeColor="accent1" w:themeShade="BF"/>
        </w:rPr>
        <w:t xml:space="preserve">uidelines </w:t>
      </w:r>
      <w:r w:rsidR="003A4ACB" w:rsidRPr="00C3184F">
        <w:rPr>
          <w:rFonts w:cstheme="minorHAnsi"/>
          <w:color w:val="2F5496" w:themeColor="accent1" w:themeShade="BF"/>
        </w:rPr>
        <w:t>for use of</w:t>
      </w:r>
      <w:r w:rsidR="00BF0FEC" w:rsidRPr="00C3184F">
        <w:rPr>
          <w:rFonts w:cstheme="minorHAnsi"/>
          <w:color w:val="2F5496" w:themeColor="accent1" w:themeShade="BF"/>
        </w:rPr>
        <w:t xml:space="preserve"> </w:t>
      </w:r>
      <w:r w:rsidR="003A4ACB" w:rsidRPr="00C3184F">
        <w:rPr>
          <w:rFonts w:cstheme="minorHAnsi"/>
          <w:color w:val="2F5496" w:themeColor="accent1" w:themeShade="BF"/>
        </w:rPr>
        <w:t>T</w:t>
      </w:r>
      <w:r w:rsidR="00BF0FEC" w:rsidRPr="00C3184F">
        <w:rPr>
          <w:rFonts w:cstheme="minorHAnsi"/>
          <w:color w:val="2F5496" w:themeColor="accent1" w:themeShade="BF"/>
        </w:rPr>
        <w:t>su</w:t>
      </w:r>
      <w:r w:rsidR="003A4ACB" w:rsidRPr="00C3184F">
        <w:rPr>
          <w:rFonts w:cstheme="minorHAnsi"/>
          <w:color w:val="2F5496" w:themeColor="accent1" w:themeShade="BF"/>
        </w:rPr>
        <w:t>C</w:t>
      </w:r>
      <w:r w:rsidR="00BF0FEC" w:rsidRPr="00C3184F">
        <w:rPr>
          <w:rFonts w:cstheme="minorHAnsi"/>
          <w:color w:val="2F5496" w:themeColor="accent1" w:themeShade="BF"/>
        </w:rPr>
        <w:t xml:space="preserve">at </w:t>
      </w:r>
      <w:r w:rsidR="004F6154" w:rsidRPr="00C3184F">
        <w:rPr>
          <w:rFonts w:cstheme="minorHAnsi"/>
          <w:color w:val="2F5496" w:themeColor="accent1" w:themeShade="BF"/>
        </w:rPr>
        <w:t>(e</w:t>
      </w:r>
      <w:r w:rsidRPr="00C3184F">
        <w:rPr>
          <w:rFonts w:cstheme="minorHAnsi"/>
          <w:color w:val="2F5496" w:themeColor="accent1" w:themeShade="BF"/>
        </w:rPr>
        <w:t>.g.</w:t>
      </w:r>
      <w:r w:rsidR="004F6154" w:rsidRPr="00C3184F">
        <w:rPr>
          <w:rFonts w:cstheme="minorHAnsi"/>
          <w:color w:val="2F5496" w:themeColor="accent1" w:themeShade="BF"/>
        </w:rPr>
        <w:t xml:space="preserve"> planning vs response)</w:t>
      </w:r>
      <w:r w:rsidRPr="00C3184F">
        <w:rPr>
          <w:rFonts w:cstheme="minorHAnsi"/>
          <w:color w:val="2F5496" w:themeColor="accent1" w:themeShade="BF"/>
        </w:rPr>
        <w:t>.</w:t>
      </w:r>
    </w:p>
    <w:p w14:paraId="64E510DE" w14:textId="5B6FE9D3" w:rsidR="00E4753F" w:rsidRDefault="001D7EC4" w:rsidP="002756AC">
      <w:pPr>
        <w:pStyle w:val="Heading2"/>
        <w:spacing w:before="240"/>
      </w:pPr>
      <w:r w:rsidRPr="001F6D77">
        <w:t>WG</w:t>
      </w:r>
      <w:r w:rsidR="00E4753F" w:rsidRPr="001F6D77">
        <w:t xml:space="preserve"> 2 Task Team for Integrated PTWS Sensor Networks for Tsunami Detection and Characteri</w:t>
      </w:r>
      <w:r w:rsidR="006E0B71" w:rsidRPr="001F6D77">
        <w:t>z</w:t>
      </w:r>
      <w:r w:rsidR="00E4753F" w:rsidRPr="001F6D77">
        <w:t>ation</w:t>
      </w:r>
    </w:p>
    <w:p w14:paraId="3F3F2E8F" w14:textId="2BCE308D" w:rsidR="00A51D6E" w:rsidRDefault="008B29EA" w:rsidP="002756AC">
      <w:pPr>
        <w:spacing w:after="120"/>
      </w:pPr>
      <w:r>
        <w:t>Dr Bill Fry, Co-Chair of</w:t>
      </w:r>
      <w:r w:rsidR="00555C0A">
        <w:t xml:space="preserve"> the TT</w:t>
      </w:r>
      <w:r>
        <w:t>, reported on this item.</w:t>
      </w:r>
      <w:r w:rsidR="00F97B63">
        <w:t xml:space="preserve"> He r</w:t>
      </w:r>
      <w:r w:rsidR="00532328">
        <w:t>ecall</w:t>
      </w:r>
      <w:r w:rsidR="00555C0A">
        <w:t>ed</w:t>
      </w:r>
      <w:r w:rsidR="00532328">
        <w:t xml:space="preserve"> that the</w:t>
      </w:r>
      <w:r w:rsidR="002D33D9">
        <w:t xml:space="preserve"> TT’s</w:t>
      </w:r>
      <w:r w:rsidR="00532328">
        <w:t xml:space="preserve"> goal is</w:t>
      </w:r>
      <w:r w:rsidR="002D5F7C">
        <w:t xml:space="preserve"> to support a</w:t>
      </w:r>
      <w:r w:rsidR="00EE1BF4">
        <w:t>ccurate and timely coastal forecasts</w:t>
      </w:r>
      <w:r w:rsidR="00D87CCF">
        <w:t>. Challenges for achieving this include that d</w:t>
      </w:r>
      <w:r w:rsidR="00EE1BF4">
        <w:t>ifferent data have different spatial sensitivities and times to detection</w:t>
      </w:r>
      <w:r w:rsidR="00D87CCF">
        <w:t>, m</w:t>
      </w:r>
      <w:r w:rsidR="00EE1BF4">
        <w:t xml:space="preserve">easuring </w:t>
      </w:r>
      <w:r w:rsidR="009C2437">
        <w:t>deep sea</w:t>
      </w:r>
      <w:r w:rsidR="00EE1BF4">
        <w:t xml:space="preserve"> wave</w:t>
      </w:r>
      <w:r w:rsidR="009C2437">
        <w:t>s</w:t>
      </w:r>
      <w:r w:rsidR="00EE1BF4">
        <w:t xml:space="preserve"> (DARTs) provide good forecasts but data </w:t>
      </w:r>
      <w:r w:rsidR="002D33D9">
        <w:t>is</w:t>
      </w:r>
      <w:r w:rsidR="00EE1BF4">
        <w:t xml:space="preserve"> not rapidly available (10s of minutes)</w:t>
      </w:r>
      <w:r w:rsidR="00D87CCF">
        <w:t>, and</w:t>
      </w:r>
      <w:r w:rsidR="00A51D6E">
        <w:t xml:space="preserve"> s</w:t>
      </w:r>
      <w:r w:rsidR="00EE1BF4">
        <w:t>eismic and geodetic data are available more quickly but their information is limited</w:t>
      </w:r>
      <w:r w:rsidR="00A51D6E">
        <w:t>.</w:t>
      </w:r>
    </w:p>
    <w:p w14:paraId="03FC855C" w14:textId="545EC6F5" w:rsidR="003268A3" w:rsidRDefault="00A51D6E" w:rsidP="00800671">
      <w:pPr>
        <w:spacing w:after="120"/>
      </w:pPr>
      <w:r>
        <w:t xml:space="preserve">Dr Fry explained that two different approaches are used </w:t>
      </w:r>
      <w:r w:rsidR="00800671">
        <w:t>by the TT.</w:t>
      </w:r>
      <w:r w:rsidR="00770EF9">
        <w:t xml:space="preserve"> The first is a </w:t>
      </w:r>
      <w:r w:rsidR="00A7483D">
        <w:t>source-based</w:t>
      </w:r>
      <w:r w:rsidR="00770EF9">
        <w:t xml:space="preserve"> approach which </w:t>
      </w:r>
      <w:r w:rsidR="00CF68EF">
        <w:t xml:space="preserve">relies on </w:t>
      </w:r>
      <w:r w:rsidR="00770EF9">
        <w:t>t</w:t>
      </w:r>
      <w:r w:rsidR="00EE1BF4">
        <w:t>ime to detection/forecasting for propDB unit sources, based on origin time</w:t>
      </w:r>
      <w:r w:rsidR="00CF68EF">
        <w:t>.</w:t>
      </w:r>
      <w:r w:rsidR="00F97B63">
        <w:t xml:space="preserve"> </w:t>
      </w:r>
      <w:r w:rsidR="002F4BEE">
        <w:t xml:space="preserve">The second approach is risk-based </w:t>
      </w:r>
      <w:r w:rsidR="00820406">
        <w:t xml:space="preserve">and relies on understanding </w:t>
      </w:r>
      <w:r w:rsidR="002837BF">
        <w:t>what the tsunami monitoring and detection system can do for exposed populations.</w:t>
      </w:r>
      <w:r w:rsidR="003248AC">
        <w:t xml:space="preserve"> Dr Fry provided visuals for r</w:t>
      </w:r>
      <w:r w:rsidR="00E61837">
        <w:t>egional w-phase b</w:t>
      </w:r>
      <w:r w:rsidR="00BC4BB3">
        <w:t>l</w:t>
      </w:r>
      <w:r w:rsidR="00E61837">
        <w:t>indspots</w:t>
      </w:r>
      <w:r w:rsidR="00F97B63">
        <w:t>, noting work conducted by</w:t>
      </w:r>
      <w:r w:rsidR="00E61837">
        <w:t xml:space="preserve"> Stu Weinstein/PTWC, NZ &amp; Zhao et al. </w:t>
      </w:r>
      <w:r w:rsidR="00F97B63">
        <w:t>on this topic.</w:t>
      </w:r>
    </w:p>
    <w:p w14:paraId="69DBA80C" w14:textId="5B37AB86" w:rsidR="008855D3" w:rsidRPr="008855D3" w:rsidRDefault="003268A3" w:rsidP="00800671">
      <w:pPr>
        <w:spacing w:after="120"/>
      </w:pPr>
      <w:r>
        <w:t xml:space="preserve">Finally, Dr Fry </w:t>
      </w:r>
      <w:r w:rsidR="003E39A2">
        <w:t>shared upcoming tasks of WG 2, which include: m</w:t>
      </w:r>
      <w:r w:rsidR="00A55AA4">
        <w:t>ore work around GNSS sensitivity</w:t>
      </w:r>
      <w:r w:rsidR="003E39A2">
        <w:t>, t</w:t>
      </w:r>
      <w:r w:rsidR="00A55AA4">
        <w:t>esting of routine regional w-phase inversions</w:t>
      </w:r>
      <w:r w:rsidR="003E39A2">
        <w:t>, m</w:t>
      </w:r>
      <w:r w:rsidR="00A55AA4">
        <w:t>erging DART analysis with seismic</w:t>
      </w:r>
      <w:r w:rsidR="003E39A2">
        <w:t xml:space="preserve"> and </w:t>
      </w:r>
      <w:r w:rsidR="00A55AA4">
        <w:t>GNSS</w:t>
      </w:r>
      <w:r w:rsidR="003E39A2">
        <w:t xml:space="preserve"> data, d</w:t>
      </w:r>
      <w:r w:rsidR="00A55AA4">
        <w:t>rafting a report</w:t>
      </w:r>
      <w:r w:rsidR="003E39A2">
        <w:t xml:space="preserve"> and a s</w:t>
      </w:r>
      <w:r w:rsidR="00A55AA4">
        <w:t>pinoff report addressing SMART cables</w:t>
      </w:r>
      <w:r w:rsidR="003E39A2">
        <w:t xml:space="preserve">, and conducting a </w:t>
      </w:r>
      <w:r w:rsidR="00BC4BB3">
        <w:t>w</w:t>
      </w:r>
      <w:r w:rsidR="00A55AA4">
        <w:t>orkshop to progress risk-based assessment</w:t>
      </w:r>
      <w:r w:rsidR="00BC4BB3">
        <w:t>.</w:t>
      </w:r>
    </w:p>
    <w:p w14:paraId="1B004055" w14:textId="558B9BCD" w:rsidR="00B13F7C" w:rsidRDefault="001D7EC4" w:rsidP="00800671">
      <w:pPr>
        <w:pStyle w:val="Heading2"/>
        <w:spacing w:before="240"/>
      </w:pPr>
      <w:r w:rsidRPr="001F6D77">
        <w:t xml:space="preserve">WG 2 </w:t>
      </w:r>
      <w:r w:rsidR="00E4753F" w:rsidRPr="001F6D77">
        <w:t>Task Team on N</w:t>
      </w:r>
      <w:r w:rsidR="006B3EAB">
        <w:t>ational Tsunami Warning Centre (N</w:t>
      </w:r>
      <w:r w:rsidR="00E4753F" w:rsidRPr="001F6D77">
        <w:t>TW</w:t>
      </w:r>
      <w:r w:rsidR="006B3EAB">
        <w:t>C)</w:t>
      </w:r>
      <w:r w:rsidR="00E4753F" w:rsidRPr="001F6D77">
        <w:t xml:space="preserve"> Competencies</w:t>
      </w:r>
      <w:r w:rsidR="00B13F7C" w:rsidRPr="001F6D77">
        <w:t xml:space="preserve"> - Capacity Building</w:t>
      </w:r>
      <w:r w:rsidR="0094322B" w:rsidRPr="001F6D77">
        <w:t xml:space="preserve"> </w:t>
      </w:r>
    </w:p>
    <w:p w14:paraId="11F78BD1" w14:textId="2F4BA312" w:rsidR="00CB4329" w:rsidRDefault="00E3214A" w:rsidP="005645BC">
      <w:pPr>
        <w:spacing w:after="120"/>
      </w:pPr>
      <w:r w:rsidRPr="001F6D77">
        <w:t>Mr Ofa Fa’anunu</w:t>
      </w:r>
      <w:r>
        <w:t>, Co-Chair of th</w:t>
      </w:r>
      <w:r w:rsidR="0018166E">
        <w:t>e TT, reported on this item</w:t>
      </w:r>
      <w:r w:rsidR="000A4699">
        <w:t>, noting that development</w:t>
      </w:r>
      <w:r w:rsidR="005645BC">
        <w:t>s</w:t>
      </w:r>
      <w:r w:rsidR="000A4699">
        <w:t xml:space="preserve"> ha</w:t>
      </w:r>
      <w:r w:rsidR="005645BC">
        <w:t>ve</w:t>
      </w:r>
      <w:r w:rsidR="000A4699">
        <w:t xml:space="preserve"> been limited </w:t>
      </w:r>
      <w:r w:rsidR="006B770A">
        <w:t xml:space="preserve">due to internal priorities. Nonetheless, the </w:t>
      </w:r>
      <w:r w:rsidR="006B3EAB">
        <w:t>Ocean Teacher Global Academy (</w:t>
      </w:r>
      <w:r w:rsidR="006B770A">
        <w:t>OTGA</w:t>
      </w:r>
      <w:r w:rsidR="006B3EAB">
        <w:t>)</w:t>
      </w:r>
      <w:r w:rsidR="006B770A">
        <w:t xml:space="preserve"> Suite of Tsunami Awareness Trainings </w:t>
      </w:r>
      <w:r w:rsidR="006B3EAB">
        <w:t>is being</w:t>
      </w:r>
      <w:r w:rsidR="006B770A">
        <w:t xml:space="preserve"> developed by IOC and will contribute to competencies</w:t>
      </w:r>
      <w:r w:rsidR="00462408">
        <w:t>. In addition, Tonga is developing an accredited competency certificate through the Tonga Accreditation Board</w:t>
      </w:r>
      <w:r w:rsidR="00CB4329">
        <w:t xml:space="preserve">. </w:t>
      </w:r>
      <w:r w:rsidR="000E5A10">
        <w:t>With regards the e</w:t>
      </w:r>
      <w:r w:rsidR="00AE68E0">
        <w:t>stablish</w:t>
      </w:r>
      <w:r w:rsidR="000E5A10">
        <w:t>ment of</w:t>
      </w:r>
      <w:r w:rsidR="00AE68E0">
        <w:t xml:space="preserve"> a framework for the required competencies required by the roles of a NTWC</w:t>
      </w:r>
      <w:r w:rsidR="000E5A10">
        <w:t>, a survey was due to take place in 2021 but will take place in 2022</w:t>
      </w:r>
      <w:r w:rsidR="00CB4329">
        <w:t>.</w:t>
      </w:r>
    </w:p>
    <w:p w14:paraId="12819FAE" w14:textId="61BB2184" w:rsidR="00967BF5" w:rsidRDefault="00CB4329" w:rsidP="00846099">
      <w:pPr>
        <w:spacing w:after="120"/>
      </w:pPr>
      <w:r>
        <w:t xml:space="preserve">Mr Fa’anunu </w:t>
      </w:r>
      <w:r w:rsidR="00A01F54">
        <w:t xml:space="preserve">also </w:t>
      </w:r>
      <w:r>
        <w:t xml:space="preserve">reported </w:t>
      </w:r>
      <w:r w:rsidR="00A01F54">
        <w:t>on the establishment of trainings required to ensure NTWC staff meeting minimum competency levels. A b</w:t>
      </w:r>
      <w:r>
        <w:t xml:space="preserve">asic SeisComP Training for ORSNET </w:t>
      </w:r>
      <w:r w:rsidR="00A01F54">
        <w:t>M</w:t>
      </w:r>
      <w:r>
        <w:t xml:space="preserve">ember </w:t>
      </w:r>
      <w:r w:rsidR="00A01F54">
        <w:t>S</w:t>
      </w:r>
      <w:r>
        <w:t xml:space="preserve">tates </w:t>
      </w:r>
      <w:r w:rsidR="00A01F54">
        <w:t xml:space="preserve">was </w:t>
      </w:r>
      <w:r>
        <w:t xml:space="preserve">conducted in </w:t>
      </w:r>
      <w:r w:rsidR="00A01F54">
        <w:t>October</w:t>
      </w:r>
      <w:r>
        <w:t>-November 2020. In 2021, SPC supported ORSNET Status review revealed the need for the following trainings to upskill NTWC</w:t>
      </w:r>
      <w:r w:rsidR="00211CDC">
        <w:t xml:space="preserve">: </w:t>
      </w:r>
      <w:r>
        <w:t xml:space="preserve">Basic </w:t>
      </w:r>
      <w:r w:rsidR="00211CDC">
        <w:t>s</w:t>
      </w:r>
      <w:r>
        <w:t xml:space="preserve">eismic </w:t>
      </w:r>
      <w:r w:rsidR="00211CDC">
        <w:t>d</w:t>
      </w:r>
      <w:r>
        <w:t xml:space="preserve">ata </w:t>
      </w:r>
      <w:r w:rsidR="00211CDC">
        <w:t>c</w:t>
      </w:r>
      <w:r>
        <w:t xml:space="preserve">entre </w:t>
      </w:r>
      <w:r w:rsidR="00211CDC">
        <w:t>t</w:t>
      </w:r>
      <w:r>
        <w:t>raining - SeisComP4</w:t>
      </w:r>
      <w:r w:rsidR="00211CDC">
        <w:t>, a</w:t>
      </w:r>
      <w:r>
        <w:t xml:space="preserve">dvanced </w:t>
      </w:r>
      <w:r w:rsidR="00211CDC">
        <w:t>s</w:t>
      </w:r>
      <w:r>
        <w:t xml:space="preserve">eismic </w:t>
      </w:r>
      <w:r w:rsidR="00211CDC">
        <w:t>a</w:t>
      </w:r>
      <w:r>
        <w:t xml:space="preserve">nalysis </w:t>
      </w:r>
      <w:r w:rsidR="00211CDC">
        <w:t>t</w:t>
      </w:r>
      <w:r>
        <w:t xml:space="preserve">raining </w:t>
      </w:r>
      <w:r w:rsidR="00211CDC">
        <w:t>and</w:t>
      </w:r>
      <w:r w:rsidR="00CD4D02">
        <w:t xml:space="preserve"> t</w:t>
      </w:r>
      <w:r>
        <w:t xml:space="preserve">raining on station XML </w:t>
      </w:r>
      <w:r>
        <w:lastRenderedPageBreak/>
        <w:t>creation/edition</w:t>
      </w:r>
      <w:r w:rsidR="00CD4D02">
        <w:t>.</w:t>
      </w:r>
      <w:r w:rsidR="00967BF5">
        <w:t xml:space="preserve"> The d</w:t>
      </w:r>
      <w:r>
        <w:t>ecision</w:t>
      </w:r>
      <w:r w:rsidR="00967BF5">
        <w:t xml:space="preserve"> to</w:t>
      </w:r>
      <w:r>
        <w:t xml:space="preserve"> support tools for </w:t>
      </w:r>
      <w:r w:rsidR="00967BF5">
        <w:t>l</w:t>
      </w:r>
      <w:r>
        <w:t xml:space="preserve">ocal and </w:t>
      </w:r>
      <w:r w:rsidR="00967BF5">
        <w:t>d</w:t>
      </w:r>
      <w:r>
        <w:t>istant tsunami</w:t>
      </w:r>
      <w:r w:rsidR="00967BF5">
        <w:t>s</w:t>
      </w:r>
      <w:r>
        <w:t xml:space="preserve"> </w:t>
      </w:r>
      <w:r w:rsidR="00967BF5">
        <w:t>will</w:t>
      </w:r>
      <w:r>
        <w:t xml:space="preserve"> be established under </w:t>
      </w:r>
      <w:r w:rsidR="00846099">
        <w:t xml:space="preserve">the </w:t>
      </w:r>
      <w:r>
        <w:t>W</w:t>
      </w:r>
      <w:r w:rsidR="00846099">
        <w:t xml:space="preserve">orld </w:t>
      </w:r>
      <w:r>
        <w:t>B</w:t>
      </w:r>
      <w:r w:rsidR="00846099">
        <w:t>ank</w:t>
      </w:r>
      <w:r>
        <w:t xml:space="preserve"> Project and upgrade to SEISCOMP4</w:t>
      </w:r>
      <w:r w:rsidR="00967BF5">
        <w:t>.</w:t>
      </w:r>
    </w:p>
    <w:p w14:paraId="6FCB6DBE" w14:textId="4352FCDA" w:rsidR="0071125C" w:rsidRDefault="00EF6164" w:rsidP="00846099">
      <w:pPr>
        <w:spacing w:after="120"/>
      </w:pPr>
      <w:r>
        <w:t>Mr Fa’anunu remarked that efforts to i</w:t>
      </w:r>
      <w:r w:rsidR="00AE68E0">
        <w:t xml:space="preserve">nvestigate and document </w:t>
      </w:r>
      <w:r>
        <w:t xml:space="preserve">schemes, </w:t>
      </w:r>
      <w:r w:rsidR="00AE68E0">
        <w:t xml:space="preserve">guidelines and principles </w:t>
      </w:r>
      <w:r>
        <w:t>to</w:t>
      </w:r>
      <w:r w:rsidR="00AE68E0">
        <w:t xml:space="preserve"> be adapted for this purpose</w:t>
      </w:r>
      <w:r>
        <w:t xml:space="preserve"> were ongoing, noting that</w:t>
      </w:r>
      <w:r w:rsidR="00744FF1">
        <w:t xml:space="preserve"> c</w:t>
      </w:r>
      <w:r>
        <w:t xml:space="preserve">ompetencies </w:t>
      </w:r>
      <w:r w:rsidR="00744FF1">
        <w:t xml:space="preserve">have been </w:t>
      </w:r>
      <w:r>
        <w:t>collected from PTWC</w:t>
      </w:r>
      <w:r w:rsidR="00744FF1">
        <w:t xml:space="preserve">, </w:t>
      </w:r>
      <w:r>
        <w:t>ATWC and India</w:t>
      </w:r>
      <w:r w:rsidR="00744FF1">
        <w:t>.</w:t>
      </w:r>
    </w:p>
    <w:p w14:paraId="5CD00A7A" w14:textId="564967F7" w:rsidR="00A51E20" w:rsidRDefault="0071125C" w:rsidP="009B145F">
      <w:pPr>
        <w:spacing w:after="120"/>
      </w:pPr>
      <w:r>
        <w:t>Mr Fa’anunu next reported on the capacity development of Pacific island countries</w:t>
      </w:r>
      <w:r w:rsidR="00184044">
        <w:t xml:space="preserve"> and territories, noting</w:t>
      </w:r>
      <w:r w:rsidR="00B814F4">
        <w:t xml:space="preserve"> the cooperation between Tonga and ITIC for the Tsunami Warning Operations Training to pilot the NTWC competency framework for Tsunami Watchkeepers</w:t>
      </w:r>
      <w:r w:rsidR="009C2C4A">
        <w:t xml:space="preserve"> in 2019.</w:t>
      </w:r>
      <w:r w:rsidR="008F5A1F">
        <w:t xml:space="preserve"> He also noted efforts of ITIC, IOTIC, and SPC under </w:t>
      </w:r>
      <w:r w:rsidR="00A51E20">
        <w:t xml:space="preserve">the </w:t>
      </w:r>
      <w:r w:rsidR="008F5A1F">
        <w:t>OTGA and USP to provide a suite of tsunami courses that allows tsunami watchkeepers to attain micro-qualifications or an officially recognized qualification to enable them to issue a national tsunami warning</w:t>
      </w:r>
      <w:r w:rsidR="00A51E20">
        <w:t>.</w:t>
      </w:r>
    </w:p>
    <w:p w14:paraId="26BD61AA" w14:textId="189B1D60" w:rsidR="00BE2FC8" w:rsidRDefault="003912F8" w:rsidP="00E167DE">
      <w:pPr>
        <w:spacing w:after="120"/>
      </w:pPr>
      <w:r>
        <w:t>Mr Fa’anunu reported on Tonga Seismic Upgrades for tsunami and volcano monitoring (through the World Bank Pacific Resilience Project)</w:t>
      </w:r>
      <w:r>
        <w:t xml:space="preserve"> an activities of the WG-Pacific Island Countries (PIC)</w:t>
      </w:r>
      <w:r>
        <w:t xml:space="preserve"> </w:t>
      </w:r>
      <w:r w:rsidR="00D237AF">
        <w:t>capacity building</w:t>
      </w:r>
      <w:r w:rsidR="0032282D">
        <w:t xml:space="preserve"> TT</w:t>
      </w:r>
      <w:r w:rsidR="00D237AF">
        <w:t xml:space="preserve"> </w:t>
      </w:r>
      <w:r>
        <w:t xml:space="preserve">which </w:t>
      </w:r>
      <w:r w:rsidR="00655E16">
        <w:t xml:space="preserve">continued to develop guidelines for NTWCs. </w:t>
      </w:r>
      <w:r>
        <w:t xml:space="preserve">He noted that </w:t>
      </w:r>
      <w:r w:rsidR="0021170F">
        <w:t>w</w:t>
      </w:r>
      <w:r w:rsidR="00D237AF">
        <w:t xml:space="preserve">orkshops </w:t>
      </w:r>
      <w:r w:rsidR="0021170F">
        <w:t xml:space="preserve">are </w:t>
      </w:r>
      <w:r w:rsidR="00D237AF">
        <w:t>planned for Fiji, Solomon Islands, Vanuatu and Samoa to review and adapt guidelines for NTWC in responding to local tsunami and incorporate into National Tsunami Warning SOPs</w:t>
      </w:r>
      <w:r w:rsidR="0021170F">
        <w:t xml:space="preserve"> in October and November 2021</w:t>
      </w:r>
      <w:r w:rsidR="00D237AF">
        <w:t>.</w:t>
      </w:r>
    </w:p>
    <w:p w14:paraId="4BF32D50" w14:textId="01D5BACB" w:rsidR="003912F8" w:rsidRDefault="00BE2FC8" w:rsidP="003912F8">
      <w:pPr>
        <w:spacing w:after="120"/>
      </w:pPr>
      <w:r>
        <w:t>With regards to developing an online survey of warning and mitigation capabilities in the Pacific Island</w:t>
      </w:r>
      <w:r w:rsidR="009E067D">
        <w:t xml:space="preserve">, </w:t>
      </w:r>
      <w:r w:rsidR="008B0DC8">
        <w:t xml:space="preserve">the TT noted the </w:t>
      </w:r>
      <w:r w:rsidR="009E067D">
        <w:t>outcome of the series of survey</w:t>
      </w:r>
      <w:r w:rsidR="008B0DC8">
        <w:t xml:space="preserve">s and identified </w:t>
      </w:r>
      <w:r w:rsidR="009E067D">
        <w:t xml:space="preserve">capacity development </w:t>
      </w:r>
      <w:r w:rsidR="008B0DC8">
        <w:t>and</w:t>
      </w:r>
      <w:r w:rsidR="009E067D">
        <w:t xml:space="preserve"> training </w:t>
      </w:r>
      <w:r w:rsidR="008B0DC8">
        <w:t>gaps, including in t</w:t>
      </w:r>
      <w:r w:rsidR="009E067D">
        <w:t>sunami forecasting</w:t>
      </w:r>
      <w:r w:rsidR="008B0DC8">
        <w:t xml:space="preserve"> and e</w:t>
      </w:r>
      <w:r w:rsidR="009E067D">
        <w:t>nd</w:t>
      </w:r>
      <w:r w:rsidR="008B0DC8">
        <w:t>-</w:t>
      </w:r>
      <w:r w:rsidR="009E067D">
        <w:t>to</w:t>
      </w:r>
      <w:r w:rsidR="008B0DC8">
        <w:t>-e</w:t>
      </w:r>
      <w:r w:rsidR="009E067D">
        <w:t xml:space="preserve">nd </w:t>
      </w:r>
      <w:r w:rsidR="008B0DC8">
        <w:t>t</w:t>
      </w:r>
      <w:r w:rsidR="009E067D">
        <w:t xml:space="preserve">sunami </w:t>
      </w:r>
      <w:r w:rsidR="008B0DC8">
        <w:t>w</w:t>
      </w:r>
      <w:r w:rsidR="009E067D">
        <w:t xml:space="preserve">arning and </w:t>
      </w:r>
      <w:r w:rsidR="008B0DC8">
        <w:t>r</w:t>
      </w:r>
      <w:r w:rsidR="009E067D">
        <w:t>esponse SOP</w:t>
      </w:r>
      <w:r w:rsidR="008B0DC8">
        <w:t xml:space="preserve">s. </w:t>
      </w:r>
    </w:p>
    <w:p w14:paraId="21D102AA" w14:textId="11C2A08E" w:rsidR="00C73D34" w:rsidRPr="00C73D34" w:rsidRDefault="00E33AE8" w:rsidP="004079BA">
      <w:pPr>
        <w:spacing w:after="120"/>
      </w:pPr>
      <w:r>
        <w:t>Mr Fa’anunu reported that the Tonga Meteorological Service developed a</w:t>
      </w:r>
      <w:r w:rsidR="00EA1B15">
        <w:t xml:space="preserve">n </w:t>
      </w:r>
      <w:r>
        <w:t>earthquake application called the “Mofuike App”</w:t>
      </w:r>
      <w:r w:rsidR="002751C8">
        <w:t>. The App includes three questions about the estimated Intensity, estimated duration, and nature of shake. This application was rolled out into the communities in June 2021</w:t>
      </w:r>
      <w:r w:rsidR="00CF3172">
        <w:t>, with 78 community authorized officers in Vava’u</w:t>
      </w:r>
      <w:r w:rsidR="00ED6580">
        <w:t>, with the objective of over 500 community authorized officers throughout the country by the end of 2021.</w:t>
      </w:r>
      <w:r w:rsidR="007123B5">
        <w:t xml:space="preserve"> Mr Fa’anunu also reported on the </w:t>
      </w:r>
      <w:r w:rsidR="00ED6580">
        <w:t xml:space="preserve">Tonga nationwide early warning alert system </w:t>
      </w:r>
      <w:r w:rsidR="007123B5">
        <w:t>that was developed</w:t>
      </w:r>
      <w:r w:rsidR="006F5233">
        <w:t xml:space="preserve">. Through this, </w:t>
      </w:r>
      <w:r w:rsidR="00ED6580">
        <w:t xml:space="preserve">88 </w:t>
      </w:r>
      <w:r w:rsidR="006F5233">
        <w:t>v</w:t>
      </w:r>
      <w:r w:rsidR="00ED6580">
        <w:t xml:space="preserve">oice and </w:t>
      </w:r>
      <w:r w:rsidR="006F5233">
        <w:t>s</w:t>
      </w:r>
      <w:r w:rsidR="00ED6580">
        <w:t xml:space="preserve">ound </w:t>
      </w:r>
      <w:r w:rsidR="006F5233">
        <w:t>s</w:t>
      </w:r>
      <w:r w:rsidR="00ED6580">
        <w:t>irens</w:t>
      </w:r>
      <w:r w:rsidR="006F5233">
        <w:t xml:space="preserve"> as well as </w:t>
      </w:r>
      <w:r w:rsidR="00ED6580">
        <w:t xml:space="preserve">515 </w:t>
      </w:r>
      <w:r w:rsidR="006F5233">
        <w:t>c</w:t>
      </w:r>
      <w:r w:rsidR="00ED6580">
        <w:t xml:space="preserve">ommunity </w:t>
      </w:r>
      <w:r w:rsidR="006F5233">
        <w:t>r</w:t>
      </w:r>
      <w:r w:rsidR="00ED6580">
        <w:t xml:space="preserve">adios </w:t>
      </w:r>
      <w:r w:rsidR="006F5233">
        <w:t>have been installed.</w:t>
      </w:r>
    </w:p>
    <w:p w14:paraId="18800BA7" w14:textId="54FE989C" w:rsidR="00E475A4" w:rsidRDefault="009D166D" w:rsidP="004079BA">
      <w:pPr>
        <w:pStyle w:val="Heading2"/>
        <w:spacing w:before="240"/>
      </w:pPr>
      <w:r w:rsidRPr="001F6D77">
        <w:t xml:space="preserve">Working Group 3, incl Tsunami Ready </w:t>
      </w:r>
      <w:r w:rsidR="00306226" w:rsidRPr="001F6D77">
        <w:t>-</w:t>
      </w:r>
      <w:r w:rsidRPr="001F6D77">
        <w:t xml:space="preserve"> WTAD</w:t>
      </w:r>
    </w:p>
    <w:p w14:paraId="606F1256" w14:textId="06FE3CE0" w:rsidR="00DA475A" w:rsidRDefault="00B66509" w:rsidP="00A52854">
      <w:pPr>
        <w:spacing w:after="120"/>
      </w:pPr>
      <w:r>
        <w:t>Dr David Coetzee</w:t>
      </w:r>
      <w:r w:rsidR="00DA475A">
        <w:t>, Chair of WG</w:t>
      </w:r>
      <w:r w:rsidR="004079BA">
        <w:t xml:space="preserve"> </w:t>
      </w:r>
      <w:r w:rsidR="00DA475A">
        <w:t>3, reported on this item, sharing activities conducted pertaining to each element of the WG 3 terms of reference.</w:t>
      </w:r>
    </w:p>
    <w:p w14:paraId="0F7B8FF5" w14:textId="46128218" w:rsidR="00BD4030" w:rsidRDefault="00DA475A" w:rsidP="00A52854">
      <w:pPr>
        <w:spacing w:after="120"/>
      </w:pPr>
      <w:r>
        <w:t xml:space="preserve">With regards to </w:t>
      </w:r>
      <w:r w:rsidR="008910E3">
        <w:t>WG 3 objective to</w:t>
      </w:r>
      <w:r w:rsidR="00B62CB6">
        <w:t xml:space="preserve"> facilitate exchange of experiences and information on risk reduction and preparedness actions and matters related to disaster management, WG 3 </w:t>
      </w:r>
      <w:r w:rsidR="001E327A">
        <w:t>continued to play an active role in the TOWS</w:t>
      </w:r>
      <w:r w:rsidR="001C3304">
        <w:t>-WG</w:t>
      </w:r>
      <w:r w:rsidR="001E327A">
        <w:t xml:space="preserve"> TT</w:t>
      </w:r>
      <w:r w:rsidR="001C3304">
        <w:t xml:space="preserve"> on Disaster Management and Preparedness (D</w:t>
      </w:r>
      <w:r w:rsidR="001E327A">
        <w:t>MP</w:t>
      </w:r>
      <w:r w:rsidR="001C3304">
        <w:t>)</w:t>
      </w:r>
      <w:r w:rsidR="001E327A">
        <w:t>, contributed to the TOWS-WG submission re a Tsunami Programme to the UN Ocean Decade, and participated in the WMO RAV Ocean Side Event - synergies between the IOC Tsunami Ready Programme and the WMO Weather Ready Nations Programme. In addition, the Director of ITIC continue</w:t>
      </w:r>
      <w:r w:rsidR="00BD4030">
        <w:t>s</w:t>
      </w:r>
      <w:r w:rsidR="001E327A">
        <w:t xml:space="preserve"> to participate in the IUGG Joint Tsunami Commission (JTC)</w:t>
      </w:r>
      <w:r w:rsidR="00BD4030">
        <w:t xml:space="preserve"> where she chairs </w:t>
      </w:r>
      <w:r w:rsidR="001E327A">
        <w:t>the JTC Working Group on Science-based Tsunami Warning</w:t>
      </w:r>
      <w:r w:rsidR="00592640">
        <w:t xml:space="preserve"> and is a </w:t>
      </w:r>
      <w:r w:rsidR="001E327A">
        <w:t>member of the WG on Tsunami Terminology which contributes to the Tsunami Glossary updates</w:t>
      </w:r>
      <w:r w:rsidR="00592640">
        <w:t>.</w:t>
      </w:r>
    </w:p>
    <w:p w14:paraId="4C41F649" w14:textId="79653F10" w:rsidR="00BD4030" w:rsidRDefault="00BD4030" w:rsidP="00C858EB">
      <w:pPr>
        <w:spacing w:after="120"/>
      </w:pPr>
      <w:r>
        <w:lastRenderedPageBreak/>
        <w:t xml:space="preserve">With regards to WG 3 objective to promote preparedness in coastal communities through education and awareness products and campaigns, WG 3 </w:t>
      </w:r>
      <w:r w:rsidR="00592640">
        <w:t xml:space="preserve">has contributed to </w:t>
      </w:r>
      <w:r>
        <w:t>World Tsunami Awareness Day</w:t>
      </w:r>
      <w:r w:rsidR="00C858EB">
        <w:t xml:space="preserve"> (WTAD)</w:t>
      </w:r>
      <w:r w:rsidR="004E20A9">
        <w:t xml:space="preserve">. In 2020, </w:t>
      </w:r>
      <w:r>
        <w:t>W</w:t>
      </w:r>
      <w:r w:rsidR="004E20A9">
        <w:t>G</w:t>
      </w:r>
      <w:r>
        <w:t xml:space="preserve"> 3 supported two Regional Pacific Seminars and </w:t>
      </w:r>
      <w:r w:rsidR="00C858EB">
        <w:t>several</w:t>
      </w:r>
      <w:r>
        <w:t xml:space="preserve"> 2-minute</w:t>
      </w:r>
      <w:r w:rsidR="00C858EB">
        <w:t>s</w:t>
      </w:r>
      <w:r>
        <w:t xml:space="preserve"> videos on Tsunami Ready</w:t>
      </w:r>
      <w:r w:rsidR="004E20A9">
        <w:t xml:space="preserve">. </w:t>
      </w:r>
      <w:r w:rsidR="00C858EB">
        <w:t>For WTAD 2021</w:t>
      </w:r>
      <w:r w:rsidR="004E20A9">
        <w:t>,</w:t>
      </w:r>
      <w:r w:rsidR="00F947BF">
        <w:t xml:space="preserve"> WG 3 will support the creation of videos. In addition, WG 3 supported </w:t>
      </w:r>
      <w:r w:rsidR="00A600FA">
        <w:t xml:space="preserve">the </w:t>
      </w:r>
      <w:r>
        <w:t>PacWave</w:t>
      </w:r>
      <w:r w:rsidR="00A600FA">
        <w:t xml:space="preserve"> 2020 exercise and has continued to </w:t>
      </w:r>
      <w:r w:rsidR="001448B4">
        <w:t xml:space="preserve">support the </w:t>
      </w:r>
      <w:r w:rsidR="00A600FA">
        <w:t>develop</w:t>
      </w:r>
      <w:r w:rsidR="001448B4">
        <w:t>ment of</w:t>
      </w:r>
      <w:r w:rsidR="00A600FA">
        <w:t xml:space="preserve"> awareness products</w:t>
      </w:r>
      <w:r w:rsidR="001448B4">
        <w:t>. ITIC also continued to update its global and regional awareness products, and to create new ones</w:t>
      </w:r>
    </w:p>
    <w:p w14:paraId="7DD63611" w14:textId="35423D95" w:rsidR="00971681" w:rsidRDefault="001448B4" w:rsidP="00401590">
      <w:pPr>
        <w:spacing w:after="120"/>
      </w:pPr>
      <w:r>
        <w:t xml:space="preserve">With regards to WG 3 objective to </w:t>
      </w:r>
      <w:r w:rsidR="00971681">
        <w:t>facilitate SOP training across regions to strengthen emergency response capabilities of Member States and their Disaster Management Offices</w:t>
      </w:r>
      <w:r>
        <w:t xml:space="preserve">, WG 3 has </w:t>
      </w:r>
      <w:r w:rsidR="00971681">
        <w:t>provided trainings</w:t>
      </w:r>
      <w:r w:rsidR="00867D51">
        <w:t>, although these were impacted by COVID-19 restrictions (s</w:t>
      </w:r>
      <w:r w:rsidR="00971681">
        <w:t>ee report for a full list of ITIC trainings in 2019 and 2020, and requests/planned for 2020 and 2021</w:t>
      </w:r>
      <w:r w:rsidR="005067E4">
        <w:t>).</w:t>
      </w:r>
      <w:r w:rsidR="00971681">
        <w:t xml:space="preserve"> ITIC is also supporting the IOC Ocean Teacher Global Academy (OTGA) as a designated Specialized Training Centr</w:t>
      </w:r>
      <w:r w:rsidR="00401590">
        <w:t>e</w:t>
      </w:r>
      <w:r w:rsidR="00971681">
        <w:t xml:space="preserve"> for Tsunamis,</w:t>
      </w:r>
      <w:r w:rsidR="005067E4">
        <w:t xml:space="preserve"> also working closely with the IOTWS</w:t>
      </w:r>
      <w:r w:rsidR="008832ED">
        <w:t>.</w:t>
      </w:r>
      <w:r w:rsidR="007E0206">
        <w:t xml:space="preserve"> </w:t>
      </w:r>
      <w:r w:rsidR="00971681">
        <w:t>ITIC</w:t>
      </w:r>
      <w:r w:rsidR="007E0206">
        <w:t xml:space="preserve"> has also been working with</w:t>
      </w:r>
      <w:r w:rsidR="00971681">
        <w:t xml:space="preserve"> Indonesia BMKG </w:t>
      </w:r>
      <w:r w:rsidR="007E0206">
        <w:t xml:space="preserve">to </w:t>
      </w:r>
      <w:r w:rsidR="00971681">
        <w:t>develop standard training courses that can be delivered online or in hybrid formats.</w:t>
      </w:r>
    </w:p>
    <w:p w14:paraId="63AF6F95" w14:textId="18BC6777" w:rsidR="008603E3" w:rsidRDefault="00745499" w:rsidP="008832ED">
      <w:pPr>
        <w:spacing w:after="120"/>
      </w:pPr>
      <w:r>
        <w:t xml:space="preserve">With regards to WG 3 objective to facilitate the piloting of IOC-UNESCO Tsunami Ready, and report results from pilots to the ICG/PTWS and the TOWS-WG, WG 3 </w:t>
      </w:r>
      <w:r w:rsidR="007922B8">
        <w:t xml:space="preserve">has continued to participate in the development of </w:t>
      </w:r>
      <w:r w:rsidR="007922B8" w:rsidRPr="008832ED">
        <w:rPr>
          <w:i/>
          <w:iCs/>
        </w:rPr>
        <w:t>IOC Guideline MG 74</w:t>
      </w:r>
      <w:r w:rsidR="007922B8">
        <w:t>, currently under preparation for publication.</w:t>
      </w:r>
      <w:r w:rsidR="00B31183">
        <w:t xml:space="preserve"> Dr Coetzee noted that the indicators have slightly changed.</w:t>
      </w:r>
      <w:r w:rsidR="007922B8">
        <w:t xml:space="preserve"> </w:t>
      </w:r>
      <w:r w:rsidR="008832ED">
        <w:t>WG 3</w:t>
      </w:r>
      <w:r w:rsidR="007922B8">
        <w:t xml:space="preserve"> has also continued to facilitate the piloting of Tsunami Ready</w:t>
      </w:r>
      <w:r w:rsidR="001A7635">
        <w:t xml:space="preserve">. In addition, </w:t>
      </w:r>
      <w:r w:rsidR="007922B8">
        <w:t xml:space="preserve">ITIC funding </w:t>
      </w:r>
      <w:r w:rsidR="001A7635">
        <w:t>has been planned to</w:t>
      </w:r>
      <w:r w:rsidR="007922B8">
        <w:t xml:space="preserve"> assist Marshall Islands, Micronesia </w:t>
      </w:r>
      <w:r w:rsidR="001A7635">
        <w:t xml:space="preserve">and </w:t>
      </w:r>
      <w:r w:rsidR="007922B8">
        <w:t xml:space="preserve">Palau to achieve Tsunami Ready over the next two to three years. </w:t>
      </w:r>
      <w:r w:rsidR="008F5F14">
        <w:t>In total, 14 communities in the PTWS are recognized</w:t>
      </w:r>
      <w:r w:rsidR="008F5F14" w:rsidRPr="008F5F14">
        <w:t xml:space="preserve"> </w:t>
      </w:r>
      <w:r w:rsidR="008F5F14">
        <w:t>Tsunami Ready</w:t>
      </w:r>
      <w:r w:rsidR="007D0868">
        <w:t xml:space="preserve"> with 30 other communities with Tsunami Ready planned</w:t>
      </w:r>
      <w:r w:rsidR="008F5F14">
        <w:t>. In addition, a</w:t>
      </w:r>
      <w:r w:rsidR="001A7635">
        <w:t>n a</w:t>
      </w:r>
      <w:r w:rsidR="007922B8">
        <w:t>mbitious target has been set by the IOC under the Ocean Decade Tsunami Programme: 100% communities at risk of tsunami are Tsunami Ready by 2030. WG</w:t>
      </w:r>
      <w:r w:rsidR="001A7635">
        <w:t xml:space="preserve"> 3</w:t>
      </w:r>
      <w:r w:rsidR="007922B8">
        <w:t xml:space="preserve"> will participate in the establishment of an international coalition of stakeholders to help achieve this goal.</w:t>
      </w:r>
    </w:p>
    <w:p w14:paraId="220AB78F" w14:textId="59811E3C" w:rsidR="00C905E4" w:rsidRDefault="007E6CDD" w:rsidP="00BA057A">
      <w:pPr>
        <w:spacing w:after="120"/>
      </w:pPr>
      <w:r>
        <w:t xml:space="preserve">With regards to WG 3 objective to develop and promote best practice preparedness material, programs and assessment tools, WG 3 </w:t>
      </w:r>
      <w:r w:rsidR="00C905E4">
        <w:t xml:space="preserve">developed Guidelines on tsunami warnings during COVID-19 in 2020, </w:t>
      </w:r>
      <w:r w:rsidR="009009DD">
        <w:t xml:space="preserve">supported the development of the </w:t>
      </w:r>
      <w:r w:rsidR="00C905E4">
        <w:t>TsuCAT</w:t>
      </w:r>
      <w:r w:rsidR="009009DD">
        <w:t xml:space="preserve"> t</w:t>
      </w:r>
      <w:r w:rsidR="00C905E4">
        <w:t>ool</w:t>
      </w:r>
      <w:r w:rsidR="009009DD">
        <w:t xml:space="preserve">, and </w:t>
      </w:r>
      <w:r w:rsidR="00C36A91">
        <w:t xml:space="preserve">supported development of Guidance on </w:t>
      </w:r>
      <w:r w:rsidR="00C905E4">
        <w:t>Structural Design and Vertical Evacuation</w:t>
      </w:r>
      <w:r w:rsidR="00C36A91">
        <w:t xml:space="preserve"> as well as on </w:t>
      </w:r>
      <w:r w:rsidR="00C905E4">
        <w:t>Marine Port Guidanc</w:t>
      </w:r>
      <w:r w:rsidR="00961D11">
        <w:t>e. Indeed, a</w:t>
      </w:r>
      <w:r w:rsidR="00C905E4">
        <w:t>t the request of the TOWS TTDMP, the ITIC compiled global best practices in tsunami-resistant building design and vertical evacuation guidance (117 references from 15 countries, with the 79 references from the Pacific) and Marine Port Guidance (99 references, with 92 references from the Pacific)</w:t>
      </w:r>
      <w:r w:rsidR="00961D11">
        <w:t>.</w:t>
      </w:r>
    </w:p>
    <w:p w14:paraId="2E9B2C98" w14:textId="2C5A5748" w:rsidR="00E475A4" w:rsidRPr="00E475A4" w:rsidRDefault="00961D11" w:rsidP="00BA057A">
      <w:pPr>
        <w:spacing w:after="120"/>
      </w:pPr>
      <w:r>
        <w:t xml:space="preserve">Finally, with regards to WG 3 objective to promote tsunami risk reduction theory and practice, WG 3 </w:t>
      </w:r>
      <w:r w:rsidR="00B4048D">
        <w:t>developed the draft PTWS Strategy 2022-2030.</w:t>
      </w:r>
    </w:p>
    <w:p w14:paraId="2FB93DB9" w14:textId="3CFBDE42" w:rsidR="00EB08C2" w:rsidRPr="001F6D77" w:rsidRDefault="009D166D" w:rsidP="00BA057A">
      <w:pPr>
        <w:pStyle w:val="Heading2"/>
        <w:spacing w:before="240"/>
        <w:rPr>
          <w:rFonts w:eastAsia="Times New Roman"/>
        </w:rPr>
      </w:pPr>
      <w:r w:rsidRPr="001F6D77">
        <w:rPr>
          <w:rFonts w:eastAsia="Times New Roman"/>
        </w:rPr>
        <w:t>Task Team for PacWave20</w:t>
      </w:r>
    </w:p>
    <w:p w14:paraId="1B8E2897" w14:textId="6007F496" w:rsidR="009024CC" w:rsidRDefault="009024CC" w:rsidP="008D78FA">
      <w:pPr>
        <w:spacing w:after="120"/>
        <w:rPr>
          <w:rFonts w:eastAsia="Times New Roman" w:cstheme="minorHAnsi"/>
        </w:rPr>
      </w:pPr>
      <w:r w:rsidRPr="009024CC">
        <w:rPr>
          <w:rFonts w:eastAsia="Times New Roman" w:cstheme="minorHAnsi"/>
        </w:rPr>
        <w:t xml:space="preserve">Dr Laura Kong, </w:t>
      </w:r>
      <w:r w:rsidR="00CE308D">
        <w:rPr>
          <w:rFonts w:eastAsia="Times New Roman" w:cstheme="minorHAnsi"/>
        </w:rPr>
        <w:t xml:space="preserve">Co-Chair </w:t>
      </w:r>
      <w:r w:rsidR="008D78FA">
        <w:rPr>
          <w:rFonts w:eastAsia="Times New Roman" w:cstheme="minorHAnsi"/>
        </w:rPr>
        <w:t xml:space="preserve">of the </w:t>
      </w:r>
      <w:r w:rsidR="00CE308D">
        <w:rPr>
          <w:rFonts w:eastAsia="Times New Roman" w:cstheme="minorHAnsi"/>
        </w:rPr>
        <w:t>TT on PacWave20</w:t>
      </w:r>
      <w:r w:rsidRPr="009024CC">
        <w:rPr>
          <w:rFonts w:eastAsia="Times New Roman" w:cstheme="minorHAnsi"/>
        </w:rPr>
        <w:t>, reported on</w:t>
      </w:r>
      <w:r>
        <w:rPr>
          <w:rFonts w:eastAsia="Times New Roman" w:cstheme="minorHAnsi"/>
        </w:rPr>
        <w:t xml:space="preserve"> this item.</w:t>
      </w:r>
    </w:p>
    <w:p w14:paraId="172E9DA7" w14:textId="639B6203" w:rsidR="0099424D" w:rsidRDefault="009024CC" w:rsidP="009D52C9">
      <w:pPr>
        <w:spacing w:after="120"/>
        <w:rPr>
          <w:rFonts w:eastAsia="Times New Roman" w:cstheme="minorHAnsi"/>
        </w:rPr>
      </w:pPr>
      <w:r>
        <w:rPr>
          <w:rFonts w:eastAsia="Times New Roman" w:cstheme="minorHAnsi"/>
        </w:rPr>
        <w:t xml:space="preserve">Dr Kong </w:t>
      </w:r>
      <w:r w:rsidR="006F1918">
        <w:rPr>
          <w:rFonts w:eastAsia="Times New Roman" w:cstheme="minorHAnsi"/>
        </w:rPr>
        <w:t>recall</w:t>
      </w:r>
      <w:r w:rsidR="008D78FA">
        <w:rPr>
          <w:rFonts w:eastAsia="Times New Roman" w:cstheme="minorHAnsi"/>
        </w:rPr>
        <w:t>ed</w:t>
      </w:r>
      <w:r w:rsidR="006F1918">
        <w:rPr>
          <w:rFonts w:eastAsia="Times New Roman" w:cstheme="minorHAnsi"/>
        </w:rPr>
        <w:t xml:space="preserve"> the TT members. She noted that, due to the COVID-19 pandemic, the scope of PacWave20 was limited compared to previous exercises.</w:t>
      </w:r>
      <w:r w:rsidR="00FF37B0">
        <w:rPr>
          <w:rFonts w:eastAsia="Times New Roman" w:cstheme="minorHAnsi"/>
        </w:rPr>
        <w:t xml:space="preserve"> The </w:t>
      </w:r>
      <w:r w:rsidR="009D52C9">
        <w:rPr>
          <w:rFonts w:eastAsia="Times New Roman" w:cstheme="minorHAnsi"/>
        </w:rPr>
        <w:t>e</w:t>
      </w:r>
      <w:r w:rsidR="00FF37B0">
        <w:rPr>
          <w:rFonts w:eastAsia="Times New Roman" w:cstheme="minorHAnsi"/>
        </w:rPr>
        <w:t xml:space="preserve">xercise </w:t>
      </w:r>
      <w:r w:rsidR="00100066">
        <w:rPr>
          <w:rFonts w:eastAsia="Times New Roman" w:cstheme="minorHAnsi"/>
        </w:rPr>
        <w:t>consisted of a communications test (5 November</w:t>
      </w:r>
      <w:r w:rsidR="00CE7639">
        <w:rPr>
          <w:rFonts w:eastAsia="Times New Roman" w:cstheme="minorHAnsi"/>
        </w:rPr>
        <w:t xml:space="preserve"> 2020</w:t>
      </w:r>
      <w:r w:rsidR="00100066">
        <w:rPr>
          <w:rFonts w:eastAsia="Times New Roman" w:cstheme="minorHAnsi"/>
        </w:rPr>
        <w:t>)</w:t>
      </w:r>
      <w:r w:rsidR="0013664F">
        <w:rPr>
          <w:rFonts w:eastAsia="Times New Roman" w:cstheme="minorHAnsi"/>
        </w:rPr>
        <w:t xml:space="preserve">, SEP regional exercise </w:t>
      </w:r>
      <w:r w:rsidR="009D52F7">
        <w:rPr>
          <w:rFonts w:eastAsia="Times New Roman" w:cstheme="minorHAnsi"/>
        </w:rPr>
        <w:t xml:space="preserve">(22 October 2020) </w:t>
      </w:r>
      <w:r w:rsidR="00100066">
        <w:rPr>
          <w:rFonts w:eastAsia="Times New Roman" w:cstheme="minorHAnsi"/>
        </w:rPr>
        <w:t>and the CATAC regional exercise</w:t>
      </w:r>
      <w:r w:rsidR="009D52F7">
        <w:rPr>
          <w:rFonts w:eastAsia="Times New Roman" w:cstheme="minorHAnsi"/>
        </w:rPr>
        <w:t xml:space="preserve"> (11 November 2020)</w:t>
      </w:r>
      <w:r w:rsidR="00100066">
        <w:rPr>
          <w:rFonts w:eastAsia="Times New Roman" w:cstheme="minorHAnsi"/>
        </w:rPr>
        <w:t xml:space="preserve">. Other activities were encouraged but </w:t>
      </w:r>
      <w:r w:rsidR="00CE7639">
        <w:rPr>
          <w:rFonts w:eastAsia="Times New Roman" w:cstheme="minorHAnsi"/>
        </w:rPr>
        <w:t>were at the discretion of each country.</w:t>
      </w:r>
      <w:r w:rsidR="00FF37B0">
        <w:rPr>
          <w:rFonts w:eastAsia="Times New Roman" w:cstheme="minorHAnsi"/>
        </w:rPr>
        <w:t xml:space="preserve"> </w:t>
      </w:r>
      <w:r w:rsidR="00F81424">
        <w:rPr>
          <w:rFonts w:eastAsia="Times New Roman" w:cstheme="minorHAnsi"/>
        </w:rPr>
        <w:t>Dr Kong summarized the timeline and process for PacWave20, noting that</w:t>
      </w:r>
      <w:r w:rsidR="000B354B">
        <w:rPr>
          <w:rFonts w:eastAsia="Times New Roman" w:cstheme="minorHAnsi"/>
        </w:rPr>
        <w:t xml:space="preserve"> the exercise was announced through</w:t>
      </w:r>
      <w:r w:rsidR="00F81424">
        <w:rPr>
          <w:rFonts w:eastAsia="Times New Roman" w:cstheme="minorHAnsi"/>
        </w:rPr>
        <w:t xml:space="preserve"> Circular Letter</w:t>
      </w:r>
      <w:r w:rsidR="000B354B">
        <w:rPr>
          <w:rFonts w:eastAsia="Times New Roman" w:cstheme="minorHAnsi"/>
        </w:rPr>
        <w:t xml:space="preserve"> 2812 (21 </w:t>
      </w:r>
      <w:r w:rsidR="000B354B">
        <w:rPr>
          <w:rFonts w:eastAsia="Times New Roman" w:cstheme="minorHAnsi"/>
        </w:rPr>
        <w:lastRenderedPageBreak/>
        <w:t xml:space="preserve">October 2020), </w:t>
      </w:r>
      <w:r w:rsidR="005807B8">
        <w:rPr>
          <w:rFonts w:eastAsia="Times New Roman" w:cstheme="minorHAnsi"/>
        </w:rPr>
        <w:t>the Exercise Manual (</w:t>
      </w:r>
      <w:r w:rsidR="005807B8" w:rsidRPr="009D52C9">
        <w:rPr>
          <w:rFonts w:eastAsia="Times New Roman" w:cstheme="minorHAnsi"/>
          <w:i/>
          <w:iCs/>
        </w:rPr>
        <w:t>IOC TS 155</w:t>
      </w:r>
      <w:r w:rsidR="005807B8">
        <w:rPr>
          <w:rFonts w:eastAsia="Times New Roman" w:cstheme="minorHAnsi"/>
        </w:rPr>
        <w:t>) was shared on 22 October 2020</w:t>
      </w:r>
      <w:r w:rsidR="00386E79">
        <w:rPr>
          <w:rFonts w:eastAsia="Times New Roman" w:cstheme="minorHAnsi"/>
        </w:rPr>
        <w:t>, two webinars were conducted on 28 and 29 October</w:t>
      </w:r>
      <w:r w:rsidR="009D52C9">
        <w:rPr>
          <w:rFonts w:eastAsia="Times New Roman" w:cstheme="minorHAnsi"/>
        </w:rPr>
        <w:t xml:space="preserve"> 2020</w:t>
      </w:r>
      <w:r w:rsidR="00386E79">
        <w:rPr>
          <w:rFonts w:eastAsia="Times New Roman" w:cstheme="minorHAnsi"/>
        </w:rPr>
        <w:t xml:space="preserve">, </w:t>
      </w:r>
      <w:r w:rsidR="005F1976">
        <w:rPr>
          <w:rFonts w:eastAsia="Times New Roman" w:cstheme="minorHAnsi"/>
        </w:rPr>
        <w:t xml:space="preserve">evaluation forms were available from </w:t>
      </w:r>
      <w:r w:rsidR="00633F46">
        <w:rPr>
          <w:rFonts w:eastAsia="Times New Roman" w:cstheme="minorHAnsi"/>
        </w:rPr>
        <w:t>November to 21 December</w:t>
      </w:r>
      <w:r w:rsidR="009D52C9">
        <w:rPr>
          <w:rFonts w:eastAsia="Times New Roman" w:cstheme="minorHAnsi"/>
        </w:rPr>
        <w:t xml:space="preserve"> 2020</w:t>
      </w:r>
      <w:r w:rsidR="00633F46">
        <w:rPr>
          <w:rFonts w:eastAsia="Times New Roman" w:cstheme="minorHAnsi"/>
        </w:rPr>
        <w:t>, and a draft summary report was prepared for September 2021</w:t>
      </w:r>
      <w:r w:rsidR="009D52C9">
        <w:rPr>
          <w:rFonts w:eastAsia="Times New Roman" w:cstheme="minorHAnsi"/>
        </w:rPr>
        <w:t>,</w:t>
      </w:r>
      <w:r w:rsidR="000A16E8">
        <w:rPr>
          <w:rFonts w:eastAsia="Times New Roman" w:cstheme="minorHAnsi"/>
        </w:rPr>
        <w:t xml:space="preserve"> will be circulated at ICG/PTWS XXIX</w:t>
      </w:r>
      <w:r w:rsidR="00847551">
        <w:rPr>
          <w:rFonts w:eastAsia="Times New Roman" w:cstheme="minorHAnsi"/>
        </w:rPr>
        <w:t xml:space="preserve"> and </w:t>
      </w:r>
      <w:r w:rsidR="000A16E8">
        <w:rPr>
          <w:rFonts w:eastAsia="Times New Roman" w:cstheme="minorHAnsi"/>
        </w:rPr>
        <w:t xml:space="preserve">is due </w:t>
      </w:r>
      <w:r w:rsidR="00847551">
        <w:rPr>
          <w:rFonts w:eastAsia="Times New Roman" w:cstheme="minorHAnsi"/>
        </w:rPr>
        <w:t>to be published in January 2022</w:t>
      </w:r>
      <w:r w:rsidR="00633F46">
        <w:rPr>
          <w:rFonts w:eastAsia="Times New Roman" w:cstheme="minorHAnsi"/>
        </w:rPr>
        <w:t>. Dr Kong underlined that only 24 countries submitted evaluation forms, even though many more received the communications test.</w:t>
      </w:r>
    </w:p>
    <w:p w14:paraId="54F01584" w14:textId="49E3EDE4" w:rsidR="000664C1" w:rsidRDefault="0099424D" w:rsidP="00C275D8">
      <w:pPr>
        <w:spacing w:after="120"/>
        <w:rPr>
          <w:rFonts w:eastAsia="Times New Roman" w:cstheme="minorHAnsi"/>
        </w:rPr>
      </w:pPr>
      <w:r>
        <w:rPr>
          <w:rFonts w:eastAsia="Times New Roman" w:cstheme="minorHAnsi"/>
        </w:rPr>
        <w:t>The SEP exercise was conducted without external involvement</w:t>
      </w:r>
      <w:r w:rsidR="00E23670">
        <w:rPr>
          <w:rFonts w:eastAsia="Times New Roman" w:cstheme="minorHAnsi"/>
        </w:rPr>
        <w:t xml:space="preserve"> and involved Chile, Colombia, Ecuador and Peru TWC.</w:t>
      </w:r>
      <w:r w:rsidR="00D14F73">
        <w:rPr>
          <w:rFonts w:eastAsia="Times New Roman" w:cstheme="minorHAnsi"/>
        </w:rPr>
        <w:t xml:space="preserve"> The role of PTWC was played by Peru. The exercise scenario consisted of a Mw8.8 earthquake </w:t>
      </w:r>
      <w:r w:rsidR="009B2EF2">
        <w:rPr>
          <w:rFonts w:eastAsia="Times New Roman" w:cstheme="minorHAnsi"/>
        </w:rPr>
        <w:t xml:space="preserve">north of Tonga. </w:t>
      </w:r>
      <w:r w:rsidR="003D5502">
        <w:rPr>
          <w:rFonts w:eastAsia="Times New Roman" w:cstheme="minorHAnsi"/>
        </w:rPr>
        <w:t xml:space="preserve">A total of 40-50 messages were disseminated over six hours. </w:t>
      </w:r>
      <w:r w:rsidR="009B2EF2">
        <w:rPr>
          <w:rFonts w:eastAsia="Times New Roman" w:cstheme="minorHAnsi"/>
        </w:rPr>
        <w:t>A report was disseminated and is available on the PacWave website.</w:t>
      </w:r>
      <w:r w:rsidR="005726C4">
        <w:rPr>
          <w:rFonts w:eastAsia="Times New Roman" w:cstheme="minorHAnsi"/>
        </w:rPr>
        <w:t xml:space="preserve"> Regarding the CATAC regional exercise, </w:t>
      </w:r>
      <w:r w:rsidR="00652A4B">
        <w:rPr>
          <w:rFonts w:eastAsia="Times New Roman" w:cstheme="minorHAnsi"/>
        </w:rPr>
        <w:t xml:space="preserve">it was hosted by Nicaragua INETER and the scenario consisted of a </w:t>
      </w:r>
      <w:r w:rsidR="001A7F66">
        <w:rPr>
          <w:rFonts w:eastAsia="Times New Roman" w:cstheme="minorHAnsi"/>
        </w:rPr>
        <w:t>slow earthquake and tsunami off the coast of Fonseca. They used TOAST as a way to provide modelling</w:t>
      </w:r>
      <w:r w:rsidR="000B1765">
        <w:rPr>
          <w:rFonts w:eastAsia="Times New Roman" w:cstheme="minorHAnsi"/>
        </w:rPr>
        <w:t xml:space="preserve"> information</w:t>
      </w:r>
      <w:r w:rsidR="001A7F66">
        <w:rPr>
          <w:rFonts w:eastAsia="Times New Roman" w:cstheme="minorHAnsi"/>
        </w:rPr>
        <w:t xml:space="preserve">, forecast, and help countries </w:t>
      </w:r>
      <w:r w:rsidR="000B1765">
        <w:rPr>
          <w:rFonts w:eastAsia="Times New Roman" w:cstheme="minorHAnsi"/>
        </w:rPr>
        <w:t>with decision-making.</w:t>
      </w:r>
      <w:r w:rsidR="00482922">
        <w:rPr>
          <w:rFonts w:eastAsia="Times New Roman" w:cstheme="minorHAnsi"/>
        </w:rPr>
        <w:t xml:space="preserve"> </w:t>
      </w:r>
      <w:r w:rsidR="0002050C">
        <w:rPr>
          <w:rFonts w:eastAsia="Times New Roman" w:cstheme="minorHAnsi"/>
        </w:rPr>
        <w:t>Sever</w:t>
      </w:r>
      <w:r w:rsidR="004022DA">
        <w:rPr>
          <w:rFonts w:eastAsia="Times New Roman" w:cstheme="minorHAnsi"/>
        </w:rPr>
        <w:t xml:space="preserve">al countries also conducted national exercises, including Fiji, Tuvalu and Vanuatu who conducted </w:t>
      </w:r>
      <w:r w:rsidR="00CA60A5">
        <w:rPr>
          <w:rFonts w:eastAsia="Times New Roman" w:cstheme="minorHAnsi"/>
        </w:rPr>
        <w:t xml:space="preserve">full-scale exercises, </w:t>
      </w:r>
      <w:r w:rsidR="000127A9">
        <w:rPr>
          <w:rFonts w:eastAsia="Times New Roman" w:cstheme="minorHAnsi"/>
        </w:rPr>
        <w:t xml:space="preserve">as well as Colombia and Russia. </w:t>
      </w:r>
    </w:p>
    <w:p w14:paraId="75A66B3F" w14:textId="55426E67" w:rsidR="00487EB2" w:rsidRDefault="00482922" w:rsidP="00C275D8">
      <w:pPr>
        <w:spacing w:after="120"/>
        <w:rPr>
          <w:rFonts w:eastAsia="Times New Roman" w:cstheme="minorHAnsi"/>
        </w:rPr>
      </w:pPr>
      <w:r>
        <w:rPr>
          <w:rFonts w:eastAsia="Times New Roman" w:cstheme="minorHAnsi"/>
        </w:rPr>
        <w:t xml:space="preserve">Dr Kong </w:t>
      </w:r>
      <w:r w:rsidR="00964E00">
        <w:rPr>
          <w:rFonts w:eastAsia="Times New Roman" w:cstheme="minorHAnsi"/>
        </w:rPr>
        <w:t xml:space="preserve">reported on the findings from the communications test, </w:t>
      </w:r>
      <w:r w:rsidR="00CD7451">
        <w:rPr>
          <w:rFonts w:eastAsia="Times New Roman" w:cstheme="minorHAnsi"/>
        </w:rPr>
        <w:t>noting that dummy messages were received in a timely manner by email and that 35 percent received them by GTS.</w:t>
      </w:r>
      <w:r w:rsidR="00B15ADC">
        <w:rPr>
          <w:rFonts w:eastAsia="Times New Roman" w:cstheme="minorHAnsi"/>
        </w:rPr>
        <w:t xml:space="preserve"> For those countries that held national exercises, </w:t>
      </w:r>
      <w:r w:rsidR="00B752D1">
        <w:rPr>
          <w:rFonts w:eastAsia="Times New Roman" w:cstheme="minorHAnsi"/>
        </w:rPr>
        <w:t xml:space="preserve">the majority disseminated the warning message to emergency services and other national and </w:t>
      </w:r>
      <w:r w:rsidR="002734A2">
        <w:rPr>
          <w:rFonts w:eastAsia="Times New Roman" w:cstheme="minorHAnsi"/>
        </w:rPr>
        <w:t>local government agencies.</w:t>
      </w:r>
      <w:r w:rsidR="009D6368">
        <w:rPr>
          <w:rFonts w:eastAsia="Times New Roman" w:cstheme="minorHAnsi"/>
        </w:rPr>
        <w:t xml:space="preserve"> The warning message was usually disseminated by email or SMS, although social media </w:t>
      </w:r>
      <w:r w:rsidR="008821CD">
        <w:rPr>
          <w:rFonts w:eastAsia="Times New Roman" w:cstheme="minorHAnsi"/>
        </w:rPr>
        <w:t>methods</w:t>
      </w:r>
      <w:r w:rsidR="009D6368">
        <w:rPr>
          <w:rFonts w:eastAsia="Times New Roman" w:cstheme="minorHAnsi"/>
        </w:rPr>
        <w:t xml:space="preserve"> of dissemination were also used</w:t>
      </w:r>
      <w:r w:rsidR="008821CD">
        <w:rPr>
          <w:rFonts w:eastAsia="Times New Roman" w:cstheme="minorHAnsi"/>
        </w:rPr>
        <w:t xml:space="preserve">, and nearly all </w:t>
      </w:r>
      <w:r w:rsidR="000F319F">
        <w:rPr>
          <w:rFonts w:eastAsia="Times New Roman" w:cstheme="minorHAnsi"/>
        </w:rPr>
        <w:t>these</w:t>
      </w:r>
      <w:r w:rsidR="008821CD">
        <w:rPr>
          <w:rFonts w:eastAsia="Times New Roman" w:cstheme="minorHAnsi"/>
        </w:rPr>
        <w:t xml:space="preserve"> communication methods </w:t>
      </w:r>
      <w:r w:rsidR="000F319F">
        <w:rPr>
          <w:rFonts w:eastAsia="Times New Roman" w:cstheme="minorHAnsi"/>
        </w:rPr>
        <w:t xml:space="preserve">were considered </w:t>
      </w:r>
      <w:r w:rsidR="008821CD">
        <w:rPr>
          <w:rFonts w:eastAsia="Times New Roman" w:cstheme="minorHAnsi"/>
        </w:rPr>
        <w:t>timely and effective.</w:t>
      </w:r>
    </w:p>
    <w:p w14:paraId="67D38417" w14:textId="565768C2" w:rsidR="000664C1" w:rsidRDefault="00AA749C" w:rsidP="005273AD">
      <w:pPr>
        <w:spacing w:after="120"/>
        <w:rPr>
          <w:rFonts w:eastAsia="Times New Roman" w:cstheme="minorHAnsi"/>
        </w:rPr>
      </w:pPr>
      <w:r>
        <w:rPr>
          <w:rFonts w:eastAsia="Times New Roman" w:cstheme="minorHAnsi"/>
        </w:rPr>
        <w:t xml:space="preserve">With regards to findings about the </w:t>
      </w:r>
      <w:r w:rsidR="00FD3949">
        <w:rPr>
          <w:rFonts w:eastAsia="Times New Roman" w:cstheme="minorHAnsi"/>
        </w:rPr>
        <w:t xml:space="preserve">national exercises, countries reported that local stakeholders </w:t>
      </w:r>
      <w:r w:rsidR="00873731">
        <w:rPr>
          <w:rFonts w:eastAsia="Times New Roman" w:cstheme="minorHAnsi"/>
        </w:rPr>
        <w:t>acquired a</w:t>
      </w:r>
      <w:r w:rsidR="00FD3949">
        <w:rPr>
          <w:rFonts w:eastAsia="Times New Roman" w:cstheme="minorHAnsi"/>
        </w:rPr>
        <w:t xml:space="preserve"> better understanding about </w:t>
      </w:r>
      <w:r w:rsidR="00427D52">
        <w:rPr>
          <w:rFonts w:eastAsia="Times New Roman" w:cstheme="minorHAnsi"/>
        </w:rPr>
        <w:t>tsunami preparedness</w:t>
      </w:r>
      <w:r w:rsidR="00873731">
        <w:rPr>
          <w:rFonts w:eastAsia="Times New Roman" w:cstheme="minorHAnsi"/>
        </w:rPr>
        <w:t>, nearly all countries had activation and response procedures in place</w:t>
      </w:r>
      <w:r w:rsidR="00D55D3C">
        <w:rPr>
          <w:rFonts w:eastAsia="Times New Roman" w:cstheme="minorHAnsi"/>
        </w:rPr>
        <w:t>, most countries have emergency response plans and “Safe to return”</w:t>
      </w:r>
      <w:r w:rsidR="000F6540">
        <w:rPr>
          <w:rFonts w:eastAsia="Times New Roman" w:cstheme="minorHAnsi"/>
        </w:rPr>
        <w:t xml:space="preserve"> notices, and all conduct regular capacity </w:t>
      </w:r>
      <w:r w:rsidR="000D4D9E">
        <w:rPr>
          <w:rFonts w:eastAsia="Times New Roman" w:cstheme="minorHAnsi"/>
        </w:rPr>
        <w:t xml:space="preserve">and capability training. However, only 27 percent of countries have evacuation </w:t>
      </w:r>
      <w:r w:rsidR="00685351">
        <w:rPr>
          <w:rFonts w:eastAsia="Times New Roman" w:cstheme="minorHAnsi"/>
        </w:rPr>
        <w:t xml:space="preserve">routes and </w:t>
      </w:r>
      <w:r w:rsidR="000D4D9E">
        <w:rPr>
          <w:rFonts w:eastAsia="Times New Roman" w:cstheme="minorHAnsi"/>
        </w:rPr>
        <w:t>maps</w:t>
      </w:r>
      <w:r w:rsidR="00685351">
        <w:rPr>
          <w:rFonts w:eastAsia="Times New Roman" w:cstheme="minorHAnsi"/>
        </w:rPr>
        <w:t xml:space="preserve"> and only 33 percent have tsunami </w:t>
      </w:r>
      <w:r w:rsidR="001E3528">
        <w:rPr>
          <w:rFonts w:eastAsia="Times New Roman" w:cstheme="minorHAnsi"/>
        </w:rPr>
        <w:t>curriculum programmes developed for all levels of education.</w:t>
      </w:r>
      <w:r w:rsidR="004E1A29">
        <w:rPr>
          <w:rFonts w:eastAsia="Times New Roman" w:cstheme="minorHAnsi"/>
        </w:rPr>
        <w:t xml:space="preserve"> </w:t>
      </w:r>
      <w:r w:rsidR="00DD0508">
        <w:rPr>
          <w:rFonts w:eastAsia="Times New Roman" w:cstheme="minorHAnsi"/>
        </w:rPr>
        <w:t xml:space="preserve">Although few countries tested regional communication and cooperation between countries, those who did </w:t>
      </w:r>
      <w:r w:rsidR="00655238">
        <w:rPr>
          <w:rFonts w:eastAsia="Times New Roman" w:cstheme="minorHAnsi"/>
        </w:rPr>
        <w:t xml:space="preserve">reported that exercise planning, conduct, format and style were very satisfactory; </w:t>
      </w:r>
      <w:r w:rsidR="008D54FE">
        <w:rPr>
          <w:rFonts w:eastAsia="Times New Roman" w:cstheme="minorHAnsi"/>
        </w:rPr>
        <w:t xml:space="preserve">exercise documents and website were useful and detailed, </w:t>
      </w:r>
      <w:r w:rsidR="004E1A29">
        <w:rPr>
          <w:rFonts w:eastAsia="Times New Roman" w:cstheme="minorHAnsi"/>
        </w:rPr>
        <w:t>and about half used TsuC</w:t>
      </w:r>
      <w:r w:rsidR="005B20C8">
        <w:rPr>
          <w:rFonts w:eastAsia="Times New Roman" w:cstheme="minorHAnsi"/>
        </w:rPr>
        <w:t>at</w:t>
      </w:r>
      <w:r w:rsidR="004E1A29">
        <w:rPr>
          <w:rFonts w:eastAsia="Times New Roman" w:cstheme="minorHAnsi"/>
        </w:rPr>
        <w:t xml:space="preserve"> for exercise planning and hazard assessment.</w:t>
      </w:r>
      <w:r w:rsidR="005C442A">
        <w:rPr>
          <w:rFonts w:eastAsia="Times New Roman" w:cstheme="minorHAnsi"/>
        </w:rPr>
        <w:t xml:space="preserve"> Dr Kong noted the aspiration to have TsuC</w:t>
      </w:r>
      <w:r w:rsidR="005B20C8">
        <w:rPr>
          <w:rFonts w:eastAsia="Times New Roman" w:cstheme="minorHAnsi"/>
        </w:rPr>
        <w:t>at</w:t>
      </w:r>
      <w:r w:rsidR="005C442A">
        <w:rPr>
          <w:rFonts w:eastAsia="Times New Roman" w:cstheme="minorHAnsi"/>
        </w:rPr>
        <w:t xml:space="preserve"> be </w:t>
      </w:r>
      <w:r w:rsidR="00B50AD0">
        <w:rPr>
          <w:rFonts w:eastAsia="Times New Roman" w:cstheme="minorHAnsi"/>
        </w:rPr>
        <w:t>used more, but they are currently having some issues with distribution. PMEL and ITIC will work on improving this.</w:t>
      </w:r>
    </w:p>
    <w:p w14:paraId="07807828" w14:textId="267FD63A" w:rsidR="00A93A42" w:rsidRDefault="000640DC" w:rsidP="00A93A42">
      <w:pPr>
        <w:spacing w:after="120"/>
        <w:rPr>
          <w:rFonts w:eastAsia="Times New Roman" w:cstheme="minorHAnsi"/>
        </w:rPr>
      </w:pPr>
      <w:r>
        <w:rPr>
          <w:rFonts w:eastAsia="Times New Roman" w:cstheme="minorHAnsi"/>
        </w:rPr>
        <w:t xml:space="preserve">Dr Kong </w:t>
      </w:r>
      <w:r w:rsidR="00485F9B">
        <w:rPr>
          <w:rFonts w:eastAsia="Times New Roman" w:cstheme="minorHAnsi"/>
        </w:rPr>
        <w:t xml:space="preserve">identified several gaps and opportunities to improve on, including </w:t>
      </w:r>
      <w:r w:rsidR="00F668DB">
        <w:rPr>
          <w:rFonts w:eastAsia="Times New Roman" w:cstheme="minorHAnsi"/>
        </w:rPr>
        <w:t xml:space="preserve">coordinating with other ICG exercises to avoid overlap, more proactive engagement with stakeholders earlier in the planning process, </w:t>
      </w:r>
      <w:r w:rsidR="00D96763">
        <w:rPr>
          <w:rFonts w:eastAsia="Times New Roman" w:cstheme="minorHAnsi"/>
        </w:rPr>
        <w:t>and creating guidelines for conducting virtual exercises</w:t>
      </w:r>
      <w:r w:rsidR="00E21864">
        <w:rPr>
          <w:rFonts w:eastAsia="Times New Roman" w:cstheme="minorHAnsi"/>
        </w:rPr>
        <w:t>, review tsunami reporting formats (</w:t>
      </w:r>
      <w:r w:rsidR="00FE0B1D">
        <w:rPr>
          <w:rFonts w:eastAsia="Times New Roman" w:cstheme="minorHAnsi"/>
        </w:rPr>
        <w:t xml:space="preserve">wave height vs tsunami amplitude), </w:t>
      </w:r>
      <w:r w:rsidR="00A93A42">
        <w:rPr>
          <w:rFonts w:eastAsia="Times New Roman" w:cstheme="minorHAnsi"/>
        </w:rPr>
        <w:t xml:space="preserve">and </w:t>
      </w:r>
      <w:r w:rsidR="00FE0B1D">
        <w:rPr>
          <w:rFonts w:eastAsia="Times New Roman" w:cstheme="minorHAnsi"/>
        </w:rPr>
        <w:t>addition</w:t>
      </w:r>
      <w:r w:rsidR="00CE3F47">
        <w:rPr>
          <w:rFonts w:eastAsia="Times New Roman" w:cstheme="minorHAnsi"/>
        </w:rPr>
        <w:t>al</w:t>
      </w:r>
      <w:r w:rsidR="00FE0B1D">
        <w:rPr>
          <w:rFonts w:eastAsia="Times New Roman" w:cstheme="minorHAnsi"/>
        </w:rPr>
        <w:t xml:space="preserve"> forecast points </w:t>
      </w:r>
      <w:r w:rsidR="00CE3F47">
        <w:rPr>
          <w:rFonts w:eastAsia="Times New Roman" w:cstheme="minorHAnsi"/>
        </w:rPr>
        <w:t>requested by French Polynesia</w:t>
      </w:r>
      <w:r w:rsidR="00DD75E0">
        <w:rPr>
          <w:rFonts w:eastAsia="Times New Roman" w:cstheme="minorHAnsi"/>
        </w:rPr>
        <w:t>. In addition, for the tsunami evaluation process,</w:t>
      </w:r>
      <w:r w:rsidR="00CA56B7">
        <w:rPr>
          <w:rFonts w:eastAsia="Times New Roman" w:cstheme="minorHAnsi"/>
        </w:rPr>
        <w:t xml:space="preserve"> suggested improvements include </w:t>
      </w:r>
      <w:r w:rsidR="00351097">
        <w:rPr>
          <w:rFonts w:eastAsia="Times New Roman" w:cstheme="minorHAnsi"/>
        </w:rPr>
        <w:t xml:space="preserve">providing a copy of the completed evaluation form after submission and providing options to skip </w:t>
      </w:r>
      <w:r w:rsidR="005E315B">
        <w:rPr>
          <w:rFonts w:eastAsia="Times New Roman" w:cstheme="minorHAnsi"/>
        </w:rPr>
        <w:t>sections.</w:t>
      </w:r>
      <w:r w:rsidR="00A93A42" w:rsidRPr="00A93A42">
        <w:rPr>
          <w:rFonts w:eastAsia="Times New Roman" w:cstheme="minorHAnsi"/>
        </w:rPr>
        <w:t xml:space="preserve"> </w:t>
      </w:r>
      <w:r w:rsidR="00A93A42">
        <w:rPr>
          <w:rFonts w:eastAsia="Times New Roman" w:cstheme="minorHAnsi"/>
        </w:rPr>
        <w:t>Finally,</w:t>
      </w:r>
      <w:r w:rsidR="00A93A42">
        <w:rPr>
          <w:rFonts w:eastAsia="Times New Roman" w:cstheme="minorHAnsi"/>
        </w:rPr>
        <w:t xml:space="preserve"> she</w:t>
      </w:r>
      <w:r w:rsidR="00A93A42">
        <w:rPr>
          <w:rFonts w:eastAsia="Times New Roman" w:cstheme="minorHAnsi"/>
        </w:rPr>
        <w:t xml:space="preserve"> highlighted that a news article on PacWave Exercises featured in the ECO Magazine.</w:t>
      </w:r>
    </w:p>
    <w:p w14:paraId="137A7441" w14:textId="17964663" w:rsidR="00F333FF" w:rsidRPr="005273AD" w:rsidRDefault="00F333FF" w:rsidP="005273AD">
      <w:pPr>
        <w:spacing w:before="200" w:after="120"/>
        <w:rPr>
          <w:rFonts w:eastAsia="Times New Roman" w:cstheme="minorHAnsi"/>
          <w:b/>
          <w:bCs/>
          <w:color w:val="2F5496" w:themeColor="accent1" w:themeShade="BF"/>
        </w:rPr>
      </w:pPr>
      <w:r w:rsidRPr="005273AD">
        <w:rPr>
          <w:rFonts w:eastAsia="Times New Roman" w:cstheme="minorHAnsi"/>
          <w:b/>
          <w:bCs/>
          <w:color w:val="2F5496" w:themeColor="accent1" w:themeShade="BF"/>
        </w:rPr>
        <w:t>Actions:</w:t>
      </w:r>
    </w:p>
    <w:p w14:paraId="07C56DB3" w14:textId="76AD2BC1" w:rsidR="000664C1" w:rsidRPr="005273AD" w:rsidRDefault="00F333FF" w:rsidP="005273AD">
      <w:pPr>
        <w:pStyle w:val="ListParagraph"/>
        <w:numPr>
          <w:ilvl w:val="0"/>
          <w:numId w:val="2"/>
        </w:numPr>
        <w:spacing w:after="120"/>
        <w:rPr>
          <w:rFonts w:eastAsia="Times New Roman" w:cstheme="minorHAnsi"/>
          <w:color w:val="2F5496" w:themeColor="accent1" w:themeShade="BF"/>
        </w:rPr>
      </w:pPr>
      <w:r w:rsidRPr="005273AD">
        <w:rPr>
          <w:rFonts w:eastAsia="Times New Roman" w:cstheme="minorHAnsi"/>
          <w:color w:val="2F5496" w:themeColor="accent1" w:themeShade="BF"/>
        </w:rPr>
        <w:t>Secretariat to circulate draft report for input and comment</w:t>
      </w:r>
      <w:r w:rsidR="005D051C" w:rsidRPr="005273AD">
        <w:rPr>
          <w:rFonts w:eastAsia="Times New Roman" w:cstheme="minorHAnsi"/>
          <w:color w:val="2F5496" w:themeColor="accent1" w:themeShade="BF"/>
        </w:rPr>
        <w:t xml:space="preserve"> prior to ICG/PTWS XXIX.</w:t>
      </w:r>
    </w:p>
    <w:p w14:paraId="502D6267" w14:textId="4D96D6B8" w:rsidR="00EB08C2" w:rsidRPr="001F6D77" w:rsidRDefault="00EB08C2" w:rsidP="005273AD">
      <w:pPr>
        <w:pStyle w:val="Heading1"/>
        <w:keepNext/>
        <w:spacing w:before="360"/>
      </w:pPr>
      <w:r w:rsidRPr="001F6D77">
        <w:lastRenderedPageBreak/>
        <w:t xml:space="preserve">PTWS </w:t>
      </w:r>
      <w:r w:rsidR="009D166D" w:rsidRPr="001F6D77">
        <w:t xml:space="preserve">Regional </w:t>
      </w:r>
      <w:r w:rsidRPr="001F6D77">
        <w:t>Working Groups reports</w:t>
      </w:r>
    </w:p>
    <w:p w14:paraId="19633669" w14:textId="6D94BA4B" w:rsidR="00E912C1" w:rsidRDefault="00E912C1" w:rsidP="005273AD">
      <w:pPr>
        <w:pStyle w:val="Heading2"/>
        <w:keepNext/>
        <w:spacing w:before="240"/>
      </w:pPr>
      <w:r w:rsidRPr="001F6D77">
        <w:t>Regional Working Group South China Sea</w:t>
      </w:r>
    </w:p>
    <w:p w14:paraId="26142710" w14:textId="64488FE6" w:rsidR="00B94F15" w:rsidRPr="005273AD" w:rsidRDefault="00D20E34" w:rsidP="005273AD">
      <w:pPr>
        <w:keepNext/>
        <w:spacing w:after="120"/>
      </w:pPr>
      <w:r w:rsidRPr="005273AD">
        <w:t>Mr S.T. Chan</w:t>
      </w:r>
      <w:r w:rsidRPr="005273AD">
        <w:rPr>
          <w:rFonts w:eastAsia="Times New Roman" w:cstheme="minorHAnsi"/>
          <w:lang w:eastAsia="zh-CN"/>
        </w:rPr>
        <w:t xml:space="preserve">, Chair of the </w:t>
      </w:r>
      <w:r w:rsidRPr="005273AD">
        <w:t>Regional Working Group South China Sea (WG SCS), presented this report.</w:t>
      </w:r>
    </w:p>
    <w:p w14:paraId="32A24B65" w14:textId="67F85C6F" w:rsidR="00A33006" w:rsidRPr="005273AD" w:rsidRDefault="00B94F15" w:rsidP="00A51AED">
      <w:pPr>
        <w:spacing w:after="120"/>
        <w:rPr>
          <w:rFonts w:eastAsia="Times New Roman" w:cstheme="minorHAnsi"/>
          <w:lang w:eastAsia="zh-CN"/>
        </w:rPr>
      </w:pPr>
      <w:r w:rsidRPr="005273AD">
        <w:t xml:space="preserve">He noted that the Ninth </w:t>
      </w:r>
      <w:r w:rsidR="00A51AED">
        <w:t>S</w:t>
      </w:r>
      <w:r w:rsidRPr="005273AD">
        <w:t xml:space="preserve">ession of the WG SCS was held </w:t>
      </w:r>
      <w:r w:rsidR="00EC6A7E" w:rsidRPr="005273AD">
        <w:t>virtually from 27-28 August 2020.</w:t>
      </w:r>
      <w:r w:rsidR="00E625B1" w:rsidRPr="005273AD">
        <w:t xml:space="preserve"> He also highlighted that </w:t>
      </w:r>
      <w:r w:rsidR="004F209D" w:rsidRPr="005273AD">
        <w:rPr>
          <w:rFonts w:eastAsia="Times New Roman" w:cstheme="minorHAnsi"/>
          <w:lang w:eastAsia="zh-CN"/>
        </w:rPr>
        <w:t>SCSTAC has been in full operation since November 2019</w:t>
      </w:r>
      <w:r w:rsidR="00E625B1" w:rsidRPr="005273AD">
        <w:rPr>
          <w:rFonts w:eastAsia="Times New Roman" w:cstheme="minorHAnsi"/>
          <w:lang w:eastAsia="zh-CN"/>
        </w:rPr>
        <w:t xml:space="preserve"> and has since</w:t>
      </w:r>
      <w:r w:rsidR="004F209D" w:rsidRPr="005273AD">
        <w:rPr>
          <w:rFonts w:eastAsia="Times New Roman" w:cstheme="minorHAnsi"/>
          <w:lang w:eastAsia="zh-CN"/>
        </w:rPr>
        <w:t xml:space="preserve"> responded to 26 earthquake events and issued a total of 28 Tsunami Bulletins to Member States. </w:t>
      </w:r>
      <w:r w:rsidR="00267F69" w:rsidRPr="005273AD">
        <w:rPr>
          <w:rFonts w:eastAsia="Times New Roman" w:cstheme="minorHAnsi"/>
          <w:lang w:eastAsia="zh-CN"/>
        </w:rPr>
        <w:t xml:space="preserve">The </w:t>
      </w:r>
      <w:r w:rsidR="004F209D" w:rsidRPr="005273AD">
        <w:rPr>
          <w:rFonts w:eastAsia="Times New Roman" w:cstheme="minorHAnsi"/>
          <w:lang w:eastAsia="zh-CN"/>
        </w:rPr>
        <w:t>SCSTAC organized the second SCSTAC International Staff Programme</w:t>
      </w:r>
      <w:r w:rsidR="00267F69" w:rsidRPr="005273AD">
        <w:rPr>
          <w:rFonts w:eastAsia="Times New Roman" w:cstheme="minorHAnsi"/>
          <w:lang w:eastAsia="zh-CN"/>
        </w:rPr>
        <w:t xml:space="preserve"> in 2019</w:t>
      </w:r>
      <w:r w:rsidR="004F209D" w:rsidRPr="005273AD">
        <w:rPr>
          <w:rFonts w:eastAsia="Times New Roman" w:cstheme="minorHAnsi"/>
          <w:lang w:eastAsia="zh-CN"/>
        </w:rPr>
        <w:t xml:space="preserve">, with three tsunami operators from Indonesia, Malaysia and Vietnam attached to the Center for </w:t>
      </w:r>
      <w:r w:rsidR="00267F69" w:rsidRPr="005273AD">
        <w:rPr>
          <w:rFonts w:eastAsia="Times New Roman" w:cstheme="minorHAnsi"/>
          <w:lang w:eastAsia="zh-CN"/>
        </w:rPr>
        <w:t>two</w:t>
      </w:r>
      <w:r w:rsidR="004F209D" w:rsidRPr="005273AD">
        <w:rPr>
          <w:rFonts w:eastAsia="Times New Roman" w:cstheme="minorHAnsi"/>
          <w:lang w:eastAsia="zh-CN"/>
        </w:rPr>
        <w:t xml:space="preserve"> months. </w:t>
      </w:r>
      <w:r w:rsidR="00267F69" w:rsidRPr="005273AD">
        <w:rPr>
          <w:rFonts w:eastAsia="Times New Roman" w:cstheme="minorHAnsi"/>
          <w:lang w:eastAsia="zh-CN"/>
        </w:rPr>
        <w:t>However, the programme has since</w:t>
      </w:r>
      <w:r w:rsidR="00A51AED">
        <w:rPr>
          <w:rFonts w:eastAsia="Times New Roman" w:cstheme="minorHAnsi"/>
          <w:lang w:eastAsia="zh-CN"/>
        </w:rPr>
        <w:t xml:space="preserve"> been</w:t>
      </w:r>
      <w:r w:rsidR="00267F69" w:rsidRPr="005273AD">
        <w:rPr>
          <w:rFonts w:eastAsia="Times New Roman" w:cstheme="minorHAnsi"/>
          <w:lang w:eastAsia="zh-CN"/>
        </w:rPr>
        <w:t xml:space="preserve"> suspended due to COVID-19</w:t>
      </w:r>
      <w:r w:rsidR="00A33006" w:rsidRPr="005273AD">
        <w:rPr>
          <w:rFonts w:eastAsia="Times New Roman" w:cstheme="minorHAnsi"/>
          <w:lang w:eastAsia="zh-CN"/>
        </w:rPr>
        <w:t xml:space="preserve">. In addition, an online training workshop on tsunami forecasting and risk assessment for tsunami warning operators is being organized by SCSTAC and the IOC Secretariat and is </w:t>
      </w:r>
      <w:r w:rsidR="00273245" w:rsidRPr="005273AD">
        <w:rPr>
          <w:rFonts w:eastAsia="Times New Roman" w:cstheme="minorHAnsi"/>
          <w:lang w:eastAsia="zh-CN"/>
        </w:rPr>
        <w:t>s</w:t>
      </w:r>
      <w:r w:rsidR="00A33006" w:rsidRPr="005273AD">
        <w:rPr>
          <w:rFonts w:eastAsia="Times New Roman" w:cstheme="minorHAnsi"/>
          <w:lang w:eastAsia="zh-CN"/>
        </w:rPr>
        <w:t>cheduled for Dec</w:t>
      </w:r>
      <w:r w:rsidR="00273245" w:rsidRPr="005273AD">
        <w:rPr>
          <w:rFonts w:eastAsia="Times New Roman" w:cstheme="minorHAnsi"/>
          <w:lang w:eastAsia="zh-CN"/>
        </w:rPr>
        <w:t>ember</w:t>
      </w:r>
      <w:r w:rsidR="00A33006" w:rsidRPr="005273AD">
        <w:rPr>
          <w:rFonts w:eastAsia="Times New Roman" w:cstheme="minorHAnsi"/>
          <w:lang w:eastAsia="zh-CN"/>
        </w:rPr>
        <w:t xml:space="preserve"> 2021</w:t>
      </w:r>
      <w:r w:rsidR="00273245" w:rsidRPr="005273AD">
        <w:rPr>
          <w:rFonts w:eastAsia="Times New Roman" w:cstheme="minorHAnsi"/>
          <w:lang w:eastAsia="zh-CN"/>
        </w:rPr>
        <w:t>.</w:t>
      </w:r>
    </w:p>
    <w:p w14:paraId="6E15AB61" w14:textId="0CBF7E55" w:rsidR="00273245" w:rsidRPr="005273AD" w:rsidRDefault="00273245" w:rsidP="008F1B3B">
      <w:pPr>
        <w:spacing w:after="120"/>
        <w:rPr>
          <w:rFonts w:eastAsia="Times New Roman" w:cstheme="minorHAnsi"/>
          <w:lang w:eastAsia="zh-CN"/>
        </w:rPr>
      </w:pPr>
      <w:r w:rsidRPr="005273AD">
        <w:rPr>
          <w:rFonts w:eastAsia="Times New Roman" w:cstheme="minorHAnsi"/>
          <w:lang w:eastAsia="zh-CN"/>
        </w:rPr>
        <w:t xml:space="preserve">He reported that a question was raised about the TSPs during the last session of the </w:t>
      </w:r>
      <w:r w:rsidR="00D86CAC" w:rsidRPr="005273AD">
        <w:rPr>
          <w:rFonts w:eastAsia="Times New Roman" w:cstheme="minorHAnsi"/>
          <w:lang w:eastAsia="zh-CN"/>
        </w:rPr>
        <w:t xml:space="preserve">WG SCS. NWPTAC raised </w:t>
      </w:r>
      <w:r w:rsidR="00BD0263" w:rsidRPr="005273AD">
        <w:rPr>
          <w:rFonts w:eastAsia="Times New Roman" w:cstheme="minorHAnsi"/>
          <w:lang w:eastAsia="zh-CN"/>
        </w:rPr>
        <w:t xml:space="preserve">a </w:t>
      </w:r>
      <w:r w:rsidR="00D86CAC" w:rsidRPr="005273AD">
        <w:rPr>
          <w:rFonts w:eastAsia="Times New Roman" w:cstheme="minorHAnsi"/>
          <w:lang w:eastAsia="zh-CN"/>
        </w:rPr>
        <w:t xml:space="preserve">question as to the necessity of NWPTAC &amp; SCSTAC issuing tsunami advisories for a big earthquake occurring </w:t>
      </w:r>
      <w:r w:rsidR="00491785" w:rsidRPr="005273AD">
        <w:rPr>
          <w:rFonts w:eastAsia="Times New Roman" w:cstheme="minorHAnsi"/>
          <w:lang w:eastAsia="zh-CN"/>
        </w:rPr>
        <w:t>outside</w:t>
      </w:r>
      <w:r w:rsidR="00D86CAC" w:rsidRPr="005273AD">
        <w:rPr>
          <w:rFonts w:eastAsia="Times New Roman" w:cstheme="minorHAnsi"/>
          <w:lang w:eastAsia="zh-CN"/>
        </w:rPr>
        <w:t xml:space="preserve"> their </w:t>
      </w:r>
      <w:r w:rsidR="006103C9">
        <w:rPr>
          <w:rFonts w:eastAsia="Times New Roman" w:cstheme="minorHAnsi"/>
          <w:lang w:eastAsia="zh-CN"/>
        </w:rPr>
        <w:t>Areas of Service (AoS)</w:t>
      </w:r>
      <w:r w:rsidR="00BD0263" w:rsidRPr="005273AD">
        <w:rPr>
          <w:rFonts w:eastAsia="Times New Roman" w:cstheme="minorHAnsi"/>
          <w:lang w:eastAsia="zh-CN"/>
        </w:rPr>
        <w:t xml:space="preserve">; </w:t>
      </w:r>
      <w:r w:rsidR="006103C9">
        <w:rPr>
          <w:rFonts w:eastAsia="Times New Roman" w:cstheme="minorHAnsi"/>
          <w:lang w:eastAsia="zh-CN"/>
        </w:rPr>
        <w:t xml:space="preserve">it was noted that </w:t>
      </w:r>
      <w:r w:rsidR="00BD0263" w:rsidRPr="005273AD">
        <w:rPr>
          <w:rFonts w:eastAsia="Times New Roman" w:cstheme="minorHAnsi"/>
          <w:lang w:eastAsia="zh-CN"/>
        </w:rPr>
        <w:t>discussion on this topic is</w:t>
      </w:r>
      <w:r w:rsidR="00D86CAC" w:rsidRPr="005273AD">
        <w:rPr>
          <w:rFonts w:eastAsia="Times New Roman" w:cstheme="minorHAnsi"/>
          <w:lang w:eastAsia="zh-CN"/>
        </w:rPr>
        <w:t xml:space="preserve"> ongoing among TSPs</w:t>
      </w:r>
      <w:r w:rsidR="00492E30" w:rsidRPr="005273AD">
        <w:rPr>
          <w:rFonts w:eastAsia="Times New Roman" w:cstheme="minorHAnsi"/>
          <w:lang w:eastAsia="zh-CN"/>
        </w:rPr>
        <w:t xml:space="preserve">, although TSPs have agreed to clarify this point in their </w:t>
      </w:r>
      <w:r w:rsidR="009E72DB" w:rsidRPr="005273AD">
        <w:rPr>
          <w:rFonts w:eastAsia="Times New Roman" w:cstheme="minorHAnsi"/>
          <w:lang w:eastAsia="zh-CN"/>
        </w:rPr>
        <w:t>respective User Guides.</w:t>
      </w:r>
    </w:p>
    <w:p w14:paraId="07F1546C" w14:textId="6B2549ED" w:rsidR="00491785" w:rsidRPr="005273AD" w:rsidRDefault="00491785" w:rsidP="006E15A9">
      <w:pPr>
        <w:spacing w:after="120"/>
        <w:rPr>
          <w:rFonts w:eastAsia="Times New Roman" w:cstheme="minorHAnsi"/>
          <w:lang w:eastAsia="zh-CN"/>
        </w:rPr>
      </w:pPr>
      <w:r w:rsidRPr="005273AD">
        <w:rPr>
          <w:rFonts w:eastAsia="Times New Roman" w:cstheme="minorHAnsi"/>
          <w:lang w:eastAsia="zh-CN"/>
        </w:rPr>
        <w:t>Mr Chan also reported that</w:t>
      </w:r>
      <w:r w:rsidR="003F1AFE" w:rsidRPr="005273AD">
        <w:rPr>
          <w:rFonts w:eastAsia="Times New Roman" w:cstheme="minorHAnsi"/>
          <w:lang w:eastAsia="zh-CN"/>
        </w:rPr>
        <w:t xml:space="preserve"> SCSTAC is working with the Hong Kong Observatory (HKO) to build </w:t>
      </w:r>
      <w:r w:rsidR="004F209D" w:rsidRPr="005273AD">
        <w:rPr>
          <w:rFonts w:eastAsia="Times New Roman" w:cstheme="minorHAnsi"/>
          <w:lang w:eastAsia="zh-CN"/>
        </w:rPr>
        <w:t>a backup centr</w:t>
      </w:r>
      <w:r w:rsidRPr="005273AD">
        <w:rPr>
          <w:rFonts w:eastAsia="Times New Roman" w:cstheme="minorHAnsi"/>
          <w:lang w:eastAsia="zh-CN"/>
        </w:rPr>
        <w:t>e</w:t>
      </w:r>
      <w:r w:rsidR="004F209D" w:rsidRPr="005273AD">
        <w:rPr>
          <w:rFonts w:eastAsia="Times New Roman" w:cstheme="minorHAnsi"/>
          <w:lang w:eastAsia="zh-CN"/>
        </w:rPr>
        <w:t xml:space="preserve"> of SCSTAC</w:t>
      </w:r>
      <w:r w:rsidR="003F1AFE" w:rsidRPr="005273AD">
        <w:rPr>
          <w:rFonts w:eastAsia="Times New Roman" w:cstheme="minorHAnsi"/>
          <w:lang w:eastAsia="zh-CN"/>
        </w:rPr>
        <w:t>.</w:t>
      </w:r>
      <w:r w:rsidR="009A6052" w:rsidRPr="005273AD">
        <w:rPr>
          <w:rFonts w:eastAsia="Times New Roman" w:cstheme="minorHAnsi"/>
          <w:lang w:eastAsia="zh-CN"/>
        </w:rPr>
        <w:t xml:space="preserve"> </w:t>
      </w:r>
      <w:r w:rsidR="003F1AFE" w:rsidRPr="005273AD">
        <w:rPr>
          <w:rFonts w:eastAsia="Times New Roman" w:cstheme="minorHAnsi"/>
          <w:lang w:eastAsia="zh-CN"/>
        </w:rPr>
        <w:t xml:space="preserve">The backup SCSTAC (BSCSTAC) will be operated at </w:t>
      </w:r>
      <w:r w:rsidR="004E7E53" w:rsidRPr="005273AD">
        <w:rPr>
          <w:rFonts w:eastAsia="Times New Roman" w:cstheme="minorHAnsi"/>
          <w:lang w:eastAsia="zh-CN"/>
        </w:rPr>
        <w:t xml:space="preserve">the </w:t>
      </w:r>
      <w:r w:rsidR="003F1AFE" w:rsidRPr="005273AD">
        <w:rPr>
          <w:rFonts w:eastAsia="Times New Roman" w:cstheme="minorHAnsi"/>
          <w:lang w:eastAsia="zh-CN"/>
        </w:rPr>
        <w:t xml:space="preserve">Central Forecasting Centre (CFO) at HKO Headquarters </w:t>
      </w:r>
      <w:r w:rsidR="004E7E53" w:rsidRPr="005273AD">
        <w:rPr>
          <w:rFonts w:eastAsia="Times New Roman" w:cstheme="minorHAnsi"/>
          <w:lang w:eastAsia="zh-CN"/>
        </w:rPr>
        <w:t xml:space="preserve">and </w:t>
      </w:r>
      <w:r w:rsidR="003F1AFE" w:rsidRPr="005273AD">
        <w:rPr>
          <w:rFonts w:eastAsia="Times New Roman" w:cstheme="minorHAnsi"/>
          <w:lang w:eastAsia="zh-CN"/>
        </w:rPr>
        <w:t xml:space="preserve">manned </w:t>
      </w:r>
      <w:r w:rsidR="004E7E53" w:rsidRPr="005273AD">
        <w:rPr>
          <w:rFonts w:eastAsia="Times New Roman" w:cstheme="minorHAnsi"/>
          <w:lang w:eastAsia="zh-CN"/>
        </w:rPr>
        <w:t>a</w:t>
      </w:r>
      <w:r w:rsidR="003F1AFE" w:rsidRPr="005273AD">
        <w:rPr>
          <w:rFonts w:eastAsia="Times New Roman" w:cstheme="minorHAnsi"/>
          <w:lang w:eastAsia="zh-CN"/>
        </w:rPr>
        <w:t xml:space="preserve">round the clock by </w:t>
      </w:r>
      <w:r w:rsidR="004E7E53" w:rsidRPr="005273AD">
        <w:rPr>
          <w:rFonts w:eastAsia="Times New Roman" w:cstheme="minorHAnsi"/>
          <w:lang w:eastAsia="zh-CN"/>
        </w:rPr>
        <w:t>d</w:t>
      </w:r>
      <w:r w:rsidR="003F1AFE" w:rsidRPr="005273AD">
        <w:rPr>
          <w:rFonts w:eastAsia="Times New Roman" w:cstheme="minorHAnsi"/>
          <w:lang w:eastAsia="zh-CN"/>
        </w:rPr>
        <w:t xml:space="preserve">uty </w:t>
      </w:r>
      <w:r w:rsidR="004E7E53" w:rsidRPr="005273AD">
        <w:rPr>
          <w:rFonts w:eastAsia="Times New Roman" w:cstheme="minorHAnsi"/>
          <w:lang w:eastAsia="zh-CN"/>
        </w:rPr>
        <w:t>o</w:t>
      </w:r>
      <w:r w:rsidR="003F1AFE" w:rsidRPr="005273AD">
        <w:rPr>
          <w:rFonts w:eastAsia="Times New Roman" w:cstheme="minorHAnsi"/>
          <w:lang w:eastAsia="zh-CN"/>
        </w:rPr>
        <w:t>fficers</w:t>
      </w:r>
      <w:r w:rsidR="004E7E53" w:rsidRPr="005273AD">
        <w:rPr>
          <w:rFonts w:eastAsia="Times New Roman" w:cstheme="minorHAnsi"/>
          <w:lang w:eastAsia="zh-CN"/>
        </w:rPr>
        <w:t xml:space="preserve">. </w:t>
      </w:r>
      <w:r w:rsidR="0080043E" w:rsidRPr="005273AD">
        <w:rPr>
          <w:rFonts w:eastAsia="Times New Roman" w:cstheme="minorHAnsi"/>
          <w:lang w:eastAsia="zh-CN"/>
        </w:rPr>
        <w:t>Mr Chan also set out the implementation plan for the BSCSTAC, highlighting that t</w:t>
      </w:r>
      <w:r w:rsidR="004E7E53" w:rsidRPr="005273AD">
        <w:rPr>
          <w:rFonts w:eastAsia="Times New Roman" w:cstheme="minorHAnsi"/>
          <w:lang w:eastAsia="zh-CN"/>
        </w:rPr>
        <w:t xml:space="preserve">he centre is due to </w:t>
      </w:r>
      <w:r w:rsidR="009A6052" w:rsidRPr="005273AD">
        <w:rPr>
          <w:rFonts w:eastAsia="Times New Roman" w:cstheme="minorHAnsi"/>
          <w:lang w:eastAsia="zh-CN"/>
        </w:rPr>
        <w:t>start trial operation in the first half of 2022.</w:t>
      </w:r>
      <w:r w:rsidR="00EF1B31" w:rsidRPr="005273AD">
        <w:rPr>
          <w:rFonts w:eastAsia="Times New Roman" w:cstheme="minorHAnsi"/>
          <w:lang w:eastAsia="zh-CN"/>
        </w:rPr>
        <w:t xml:space="preserve"> He also noted that the BSCSTAC website is under development. </w:t>
      </w:r>
      <w:r w:rsidR="00C7105A" w:rsidRPr="005273AD">
        <w:rPr>
          <w:rFonts w:eastAsia="Times New Roman" w:cstheme="minorHAnsi"/>
          <w:lang w:eastAsia="zh-CN"/>
        </w:rPr>
        <w:t>Mr Chan also highlighted trainings provided by SCSTAC, including two days remote training conducted in November 2020 to strengthen Hong Kong’s capability on earthquake monitoring and tsunami warning</w:t>
      </w:r>
      <w:r w:rsidR="00EF1B31" w:rsidRPr="005273AD">
        <w:rPr>
          <w:rFonts w:eastAsia="Times New Roman" w:cstheme="minorHAnsi"/>
          <w:lang w:eastAsia="zh-CN"/>
        </w:rPr>
        <w:t>.</w:t>
      </w:r>
      <w:r w:rsidR="0080043E" w:rsidRPr="005273AD">
        <w:rPr>
          <w:rFonts w:eastAsia="Times New Roman" w:cstheme="minorHAnsi"/>
          <w:lang w:eastAsia="zh-CN"/>
        </w:rPr>
        <w:t xml:space="preserve"> </w:t>
      </w:r>
    </w:p>
    <w:p w14:paraId="62B83A12" w14:textId="035ECF95" w:rsidR="00707BF2" w:rsidRPr="005273AD" w:rsidRDefault="0080043E" w:rsidP="006E15A9">
      <w:pPr>
        <w:spacing w:after="120"/>
        <w:rPr>
          <w:rFonts w:eastAsia="Times New Roman" w:cstheme="minorHAnsi"/>
          <w:lang w:eastAsia="zh-CN"/>
        </w:rPr>
      </w:pPr>
      <w:r w:rsidRPr="005273AD">
        <w:rPr>
          <w:rFonts w:eastAsia="Times New Roman" w:cstheme="minorHAnsi"/>
          <w:lang w:eastAsia="zh-CN"/>
        </w:rPr>
        <w:t xml:space="preserve">Finally, due to </w:t>
      </w:r>
      <w:r w:rsidR="004F209D" w:rsidRPr="005273AD">
        <w:rPr>
          <w:rFonts w:eastAsia="Times New Roman" w:cstheme="minorHAnsi"/>
          <w:lang w:eastAsia="zh-CN"/>
        </w:rPr>
        <w:t xml:space="preserve">COVID-19, the </w:t>
      </w:r>
      <w:r w:rsidR="00AA5ADC" w:rsidRPr="005273AD">
        <w:rPr>
          <w:rFonts w:eastAsia="Times New Roman" w:cstheme="minorHAnsi"/>
          <w:lang w:eastAsia="zh-CN"/>
        </w:rPr>
        <w:t>Tenth</w:t>
      </w:r>
      <w:r w:rsidR="004F209D" w:rsidRPr="005273AD">
        <w:rPr>
          <w:rFonts w:eastAsia="Times New Roman" w:cstheme="minorHAnsi"/>
          <w:lang w:eastAsia="zh-CN"/>
        </w:rPr>
        <w:t xml:space="preserve"> Session</w:t>
      </w:r>
      <w:r w:rsidR="00AA5ADC" w:rsidRPr="005273AD">
        <w:rPr>
          <w:rFonts w:eastAsia="Times New Roman" w:cstheme="minorHAnsi"/>
          <w:lang w:eastAsia="zh-CN"/>
        </w:rPr>
        <w:t xml:space="preserve"> of the WG SCS will take place on 28 and 30 September 2021. </w:t>
      </w:r>
      <w:r w:rsidR="00AA3937" w:rsidRPr="005273AD">
        <w:rPr>
          <w:rFonts w:eastAsia="Times New Roman" w:cstheme="minorHAnsi"/>
          <w:lang w:eastAsia="zh-CN"/>
        </w:rPr>
        <w:t>He also noted that he</w:t>
      </w:r>
      <w:r w:rsidR="004F209D" w:rsidRPr="005273AD">
        <w:rPr>
          <w:rFonts w:eastAsia="Times New Roman" w:cstheme="minorHAnsi"/>
          <w:lang w:eastAsia="zh-CN"/>
        </w:rPr>
        <w:t xml:space="preserve"> </w:t>
      </w:r>
      <w:r w:rsidR="00AA3937" w:rsidRPr="005273AD">
        <w:rPr>
          <w:rFonts w:eastAsia="Times New Roman" w:cstheme="minorHAnsi"/>
          <w:lang w:eastAsia="zh-CN"/>
        </w:rPr>
        <w:t>(</w:t>
      </w:r>
      <w:r w:rsidR="004F209D" w:rsidRPr="005273AD">
        <w:rPr>
          <w:rFonts w:eastAsia="Times New Roman" w:cstheme="minorHAnsi"/>
          <w:lang w:eastAsia="zh-CN"/>
        </w:rPr>
        <w:t>Mr. Chan</w:t>
      </w:r>
      <w:r w:rsidR="00AA3937" w:rsidRPr="005273AD">
        <w:rPr>
          <w:rFonts w:eastAsia="Times New Roman" w:cstheme="minorHAnsi"/>
          <w:lang w:eastAsia="zh-CN"/>
        </w:rPr>
        <w:t>)</w:t>
      </w:r>
      <w:r w:rsidR="004F209D" w:rsidRPr="005273AD">
        <w:rPr>
          <w:rFonts w:eastAsia="Times New Roman" w:cstheme="minorHAnsi"/>
          <w:lang w:eastAsia="zh-CN"/>
        </w:rPr>
        <w:t xml:space="preserve"> will leave his current position and step down as Chair of the Working Group after ICG/PTWS XXIX</w:t>
      </w:r>
      <w:r w:rsidR="00AA3937" w:rsidRPr="005273AD">
        <w:rPr>
          <w:rFonts w:eastAsia="Times New Roman" w:cstheme="minorHAnsi"/>
          <w:lang w:eastAsia="zh-CN"/>
        </w:rPr>
        <w:t>; as such, a new Chair will be elected.</w:t>
      </w:r>
    </w:p>
    <w:p w14:paraId="45305FED" w14:textId="55F66A17" w:rsidR="00E912C1" w:rsidRDefault="00E912C1" w:rsidP="006E15A9">
      <w:pPr>
        <w:pStyle w:val="Heading2"/>
        <w:spacing w:before="240"/>
      </w:pPr>
      <w:r w:rsidRPr="001F6D77">
        <w:t>Regional Working Group Central Americ</w:t>
      </w:r>
      <w:r w:rsidR="00D52185">
        <w:t>a</w:t>
      </w:r>
    </w:p>
    <w:p w14:paraId="68F4B329" w14:textId="19785943" w:rsidR="00B71297" w:rsidRPr="006E15A9" w:rsidRDefault="004F66AE" w:rsidP="006E15A9">
      <w:pPr>
        <w:spacing w:after="120"/>
        <w:rPr>
          <w:rFonts w:eastAsia="Times New Roman" w:cstheme="minorHAnsi"/>
          <w:lang w:eastAsia="zh-CN"/>
        </w:rPr>
      </w:pPr>
      <w:r w:rsidRPr="006E15A9">
        <w:rPr>
          <w:rFonts w:eastAsia="Times New Roman" w:cstheme="minorHAnsi"/>
          <w:lang w:eastAsia="zh-CN"/>
        </w:rPr>
        <w:t xml:space="preserve">Dr Silvia Chacon, Chair of WG </w:t>
      </w:r>
      <w:r w:rsidR="006E15A9">
        <w:rPr>
          <w:rFonts w:eastAsia="Times New Roman" w:cstheme="minorHAnsi"/>
          <w:lang w:eastAsia="zh-CN"/>
        </w:rPr>
        <w:t xml:space="preserve">for </w:t>
      </w:r>
      <w:r w:rsidRPr="006E15A9">
        <w:rPr>
          <w:rFonts w:eastAsia="Times New Roman" w:cstheme="minorHAnsi"/>
          <w:lang w:eastAsia="zh-CN"/>
        </w:rPr>
        <w:t>C</w:t>
      </w:r>
      <w:r w:rsidR="006E15A9">
        <w:rPr>
          <w:rFonts w:eastAsia="Times New Roman" w:cstheme="minorHAnsi"/>
          <w:lang w:eastAsia="zh-CN"/>
        </w:rPr>
        <w:t xml:space="preserve">entral </w:t>
      </w:r>
      <w:r w:rsidRPr="006E15A9">
        <w:rPr>
          <w:rFonts w:eastAsia="Times New Roman" w:cstheme="minorHAnsi"/>
          <w:lang w:eastAsia="zh-CN"/>
        </w:rPr>
        <w:t>A</w:t>
      </w:r>
      <w:r w:rsidR="006E15A9">
        <w:rPr>
          <w:rFonts w:eastAsia="Times New Roman" w:cstheme="minorHAnsi"/>
          <w:lang w:eastAsia="zh-CN"/>
        </w:rPr>
        <w:t>merica</w:t>
      </w:r>
      <w:r w:rsidRPr="006E15A9">
        <w:rPr>
          <w:rFonts w:eastAsia="Times New Roman" w:cstheme="minorHAnsi"/>
          <w:lang w:eastAsia="zh-CN"/>
        </w:rPr>
        <w:t>, reported on this item.</w:t>
      </w:r>
    </w:p>
    <w:p w14:paraId="75FF42D8" w14:textId="19854A2F" w:rsidR="0024026F" w:rsidRPr="006E15A9" w:rsidRDefault="00A76788" w:rsidP="006E15A9">
      <w:pPr>
        <w:spacing w:after="120"/>
        <w:rPr>
          <w:rFonts w:eastAsia="Times New Roman" w:cstheme="minorHAnsi"/>
          <w:lang w:eastAsia="zh-CN"/>
        </w:rPr>
      </w:pPr>
      <w:r w:rsidRPr="006E15A9">
        <w:rPr>
          <w:rFonts w:eastAsia="Times New Roman" w:cstheme="minorHAnsi"/>
          <w:lang w:eastAsia="zh-CN"/>
        </w:rPr>
        <w:t xml:space="preserve">Dr Chacon reported that </w:t>
      </w:r>
      <w:r w:rsidR="00C75CC7" w:rsidRPr="006E15A9">
        <w:rPr>
          <w:rFonts w:eastAsia="Times New Roman" w:cstheme="minorHAnsi"/>
          <w:lang w:eastAsia="zh-CN"/>
        </w:rPr>
        <w:t>El Sa</w:t>
      </w:r>
      <w:r w:rsidR="00B71297" w:rsidRPr="006E15A9">
        <w:rPr>
          <w:rFonts w:eastAsia="Times New Roman" w:cstheme="minorHAnsi"/>
          <w:lang w:eastAsia="zh-CN"/>
        </w:rPr>
        <w:t>l</w:t>
      </w:r>
      <w:r w:rsidR="00C75CC7" w:rsidRPr="006E15A9">
        <w:rPr>
          <w:rFonts w:eastAsia="Times New Roman" w:cstheme="minorHAnsi"/>
          <w:lang w:eastAsia="zh-CN"/>
        </w:rPr>
        <w:t>vador</w:t>
      </w:r>
      <w:r w:rsidR="0024026F" w:rsidRPr="006E15A9">
        <w:rPr>
          <w:rFonts w:eastAsia="Times New Roman" w:cstheme="minorHAnsi"/>
          <w:lang w:eastAsia="zh-CN"/>
        </w:rPr>
        <w:t xml:space="preserve"> </w:t>
      </w:r>
      <w:r w:rsidR="00B71297" w:rsidRPr="006E15A9">
        <w:rPr>
          <w:rFonts w:eastAsia="Times New Roman" w:cstheme="minorHAnsi"/>
          <w:lang w:eastAsia="zh-CN"/>
        </w:rPr>
        <w:t xml:space="preserve">is </w:t>
      </w:r>
      <w:r w:rsidR="0024026F" w:rsidRPr="006E15A9">
        <w:rPr>
          <w:rFonts w:eastAsia="Times New Roman" w:cstheme="minorHAnsi"/>
          <w:lang w:eastAsia="zh-CN"/>
        </w:rPr>
        <w:t>improv</w:t>
      </w:r>
      <w:r w:rsidR="00B71297" w:rsidRPr="006E15A9">
        <w:rPr>
          <w:rFonts w:eastAsia="Times New Roman" w:cstheme="minorHAnsi"/>
          <w:lang w:eastAsia="zh-CN"/>
        </w:rPr>
        <w:t>ing</w:t>
      </w:r>
      <w:r w:rsidR="0024026F" w:rsidRPr="006E15A9">
        <w:rPr>
          <w:rFonts w:eastAsia="Times New Roman" w:cstheme="minorHAnsi"/>
          <w:lang w:eastAsia="zh-CN"/>
        </w:rPr>
        <w:t xml:space="preserve"> tsu</w:t>
      </w:r>
      <w:r w:rsidR="00F35FD1" w:rsidRPr="006E15A9">
        <w:rPr>
          <w:rFonts w:eastAsia="Times New Roman" w:cstheme="minorHAnsi"/>
          <w:lang w:eastAsia="zh-CN"/>
        </w:rPr>
        <w:t>nami warning</w:t>
      </w:r>
      <w:r w:rsidR="00B71297" w:rsidRPr="006E15A9">
        <w:rPr>
          <w:rFonts w:eastAsia="Times New Roman" w:cstheme="minorHAnsi"/>
          <w:lang w:eastAsia="zh-CN"/>
        </w:rPr>
        <w:t xml:space="preserve"> by im</w:t>
      </w:r>
      <w:r w:rsidR="00F35FD1" w:rsidRPr="006E15A9">
        <w:rPr>
          <w:rFonts w:eastAsia="Times New Roman" w:cstheme="minorHAnsi"/>
          <w:lang w:eastAsia="zh-CN"/>
        </w:rPr>
        <w:t>plement</w:t>
      </w:r>
      <w:r w:rsidR="00B71297" w:rsidRPr="006E15A9">
        <w:rPr>
          <w:rFonts w:eastAsia="Times New Roman" w:cstheme="minorHAnsi"/>
          <w:lang w:eastAsia="zh-CN"/>
        </w:rPr>
        <w:t>ing a</w:t>
      </w:r>
      <w:r w:rsidR="00F35FD1" w:rsidRPr="006E15A9">
        <w:rPr>
          <w:rFonts w:eastAsia="Times New Roman" w:cstheme="minorHAnsi"/>
          <w:lang w:eastAsia="zh-CN"/>
        </w:rPr>
        <w:t xml:space="preserve"> database of pre-calculated scenarios</w:t>
      </w:r>
      <w:r w:rsidR="00B71297" w:rsidRPr="006E15A9">
        <w:rPr>
          <w:rFonts w:eastAsia="Times New Roman" w:cstheme="minorHAnsi"/>
          <w:lang w:eastAsia="zh-CN"/>
        </w:rPr>
        <w:t xml:space="preserve"> and they are c</w:t>
      </w:r>
      <w:r w:rsidR="00F35FD1" w:rsidRPr="006E15A9">
        <w:rPr>
          <w:rFonts w:eastAsia="Times New Roman" w:cstheme="minorHAnsi"/>
          <w:lang w:eastAsia="zh-CN"/>
        </w:rPr>
        <w:t>reat</w:t>
      </w:r>
      <w:r w:rsidR="00B71297" w:rsidRPr="006E15A9">
        <w:rPr>
          <w:rFonts w:eastAsia="Times New Roman" w:cstheme="minorHAnsi"/>
          <w:lang w:eastAsia="zh-CN"/>
        </w:rPr>
        <w:t xml:space="preserve">ing </w:t>
      </w:r>
      <w:r w:rsidR="00F35FD1" w:rsidRPr="006E15A9">
        <w:rPr>
          <w:rFonts w:eastAsia="Times New Roman" w:cstheme="minorHAnsi"/>
          <w:lang w:eastAsia="zh-CN"/>
        </w:rPr>
        <w:t>an App that connects</w:t>
      </w:r>
      <w:r w:rsidR="00B71297" w:rsidRPr="006E15A9">
        <w:rPr>
          <w:rFonts w:eastAsia="Times New Roman" w:cstheme="minorHAnsi"/>
          <w:lang w:eastAsia="zh-CN"/>
        </w:rPr>
        <w:t xml:space="preserve"> the</w:t>
      </w:r>
      <w:r w:rsidR="00F35FD1" w:rsidRPr="006E15A9">
        <w:rPr>
          <w:rFonts w:eastAsia="Times New Roman" w:cstheme="minorHAnsi"/>
          <w:lang w:eastAsia="zh-CN"/>
        </w:rPr>
        <w:t xml:space="preserve"> tsunami database with automatic earthquake localization (SEISCOMP)</w:t>
      </w:r>
      <w:r w:rsidR="00B71297" w:rsidRPr="006E15A9">
        <w:rPr>
          <w:rFonts w:eastAsia="Times New Roman" w:cstheme="minorHAnsi"/>
          <w:lang w:eastAsia="zh-CN"/>
        </w:rPr>
        <w:t>. It also has</w:t>
      </w:r>
      <w:r w:rsidR="00F35FD1" w:rsidRPr="006E15A9">
        <w:rPr>
          <w:rFonts w:eastAsia="Times New Roman" w:cstheme="minorHAnsi"/>
          <w:lang w:eastAsia="zh-CN"/>
        </w:rPr>
        <w:t xml:space="preserve"> automatic messaging</w:t>
      </w:r>
      <w:r w:rsidR="00B71297" w:rsidRPr="006E15A9">
        <w:rPr>
          <w:rFonts w:eastAsia="Times New Roman" w:cstheme="minorHAnsi"/>
          <w:lang w:eastAsia="zh-CN"/>
        </w:rPr>
        <w:t>.</w:t>
      </w:r>
      <w:r w:rsidRPr="006E15A9">
        <w:rPr>
          <w:rFonts w:eastAsia="Times New Roman" w:cstheme="minorHAnsi"/>
          <w:lang w:eastAsia="zh-CN"/>
        </w:rPr>
        <w:t xml:space="preserve"> In addition, t</w:t>
      </w:r>
      <w:r w:rsidR="00415484" w:rsidRPr="006E15A9">
        <w:rPr>
          <w:rFonts w:eastAsia="Times New Roman" w:cstheme="minorHAnsi"/>
          <w:lang w:eastAsia="zh-CN"/>
        </w:rPr>
        <w:t xml:space="preserve">he </w:t>
      </w:r>
      <w:r w:rsidR="0024026F" w:rsidRPr="006E15A9">
        <w:rPr>
          <w:rFonts w:eastAsia="Times New Roman" w:cstheme="minorHAnsi"/>
          <w:lang w:eastAsia="zh-CN"/>
        </w:rPr>
        <w:t xml:space="preserve">Pacwave </w:t>
      </w:r>
      <w:r w:rsidR="00415484" w:rsidRPr="006E15A9">
        <w:rPr>
          <w:rFonts w:eastAsia="Times New Roman" w:cstheme="minorHAnsi"/>
          <w:lang w:eastAsia="zh-CN"/>
        </w:rPr>
        <w:t xml:space="preserve">2020 </w:t>
      </w:r>
      <w:r w:rsidR="0024026F" w:rsidRPr="006E15A9">
        <w:rPr>
          <w:rFonts w:eastAsia="Times New Roman" w:cstheme="minorHAnsi"/>
          <w:lang w:eastAsia="zh-CN"/>
        </w:rPr>
        <w:t xml:space="preserve">and Central America </w:t>
      </w:r>
      <w:r w:rsidR="00415484" w:rsidRPr="006E15A9">
        <w:rPr>
          <w:rFonts w:eastAsia="Times New Roman" w:cstheme="minorHAnsi"/>
          <w:lang w:eastAsia="zh-CN"/>
        </w:rPr>
        <w:t>e</w:t>
      </w:r>
      <w:r w:rsidR="0024026F" w:rsidRPr="006E15A9">
        <w:rPr>
          <w:rFonts w:eastAsia="Times New Roman" w:cstheme="minorHAnsi"/>
          <w:lang w:eastAsia="zh-CN"/>
        </w:rPr>
        <w:t>xercise</w:t>
      </w:r>
      <w:r w:rsidR="00415484" w:rsidRPr="006E15A9">
        <w:rPr>
          <w:rFonts w:eastAsia="Times New Roman" w:cstheme="minorHAnsi"/>
          <w:lang w:eastAsia="zh-CN"/>
        </w:rPr>
        <w:t>s</w:t>
      </w:r>
      <w:r w:rsidR="0024026F" w:rsidRPr="006E15A9">
        <w:rPr>
          <w:rFonts w:eastAsia="Times New Roman" w:cstheme="minorHAnsi"/>
          <w:lang w:eastAsia="zh-CN"/>
        </w:rPr>
        <w:t xml:space="preserve"> </w:t>
      </w:r>
      <w:r w:rsidR="00415484" w:rsidRPr="006E15A9">
        <w:rPr>
          <w:rFonts w:eastAsia="Times New Roman" w:cstheme="minorHAnsi"/>
          <w:lang w:eastAsia="zh-CN"/>
        </w:rPr>
        <w:t>were conducted in</w:t>
      </w:r>
      <w:r w:rsidR="0024026F" w:rsidRPr="006E15A9">
        <w:rPr>
          <w:rFonts w:eastAsia="Times New Roman" w:cstheme="minorHAnsi"/>
          <w:lang w:eastAsia="zh-CN"/>
        </w:rPr>
        <w:t xml:space="preserve"> November</w:t>
      </w:r>
      <w:r w:rsidR="00415484" w:rsidRPr="006E15A9">
        <w:rPr>
          <w:rFonts w:eastAsia="Times New Roman" w:cstheme="minorHAnsi"/>
          <w:lang w:eastAsia="zh-CN"/>
        </w:rPr>
        <w:t xml:space="preserve"> 2020. Both were limited to</w:t>
      </w:r>
      <w:r w:rsidR="0024026F" w:rsidRPr="006E15A9">
        <w:rPr>
          <w:rFonts w:eastAsia="Times New Roman" w:cstheme="minorHAnsi"/>
          <w:lang w:eastAsia="zh-CN"/>
        </w:rPr>
        <w:t xml:space="preserve"> comm</w:t>
      </w:r>
      <w:r w:rsidR="00415484" w:rsidRPr="006E15A9">
        <w:rPr>
          <w:rFonts w:eastAsia="Times New Roman" w:cstheme="minorHAnsi"/>
          <w:lang w:eastAsia="zh-CN"/>
        </w:rPr>
        <w:t>unications</w:t>
      </w:r>
      <w:r w:rsidR="0024026F" w:rsidRPr="006E15A9">
        <w:rPr>
          <w:rFonts w:eastAsia="Times New Roman" w:cstheme="minorHAnsi"/>
          <w:lang w:eastAsia="zh-CN"/>
        </w:rPr>
        <w:t xml:space="preserve"> tests by M</w:t>
      </w:r>
      <w:r w:rsidR="00415484" w:rsidRPr="006E15A9">
        <w:rPr>
          <w:rFonts w:eastAsia="Times New Roman" w:cstheme="minorHAnsi"/>
          <w:lang w:eastAsia="zh-CN"/>
        </w:rPr>
        <w:t xml:space="preserve">ember </w:t>
      </w:r>
      <w:r w:rsidR="0024026F" w:rsidRPr="006E15A9">
        <w:rPr>
          <w:rFonts w:eastAsia="Times New Roman" w:cstheme="minorHAnsi"/>
          <w:lang w:eastAsia="zh-CN"/>
        </w:rPr>
        <w:t>S</w:t>
      </w:r>
      <w:r w:rsidR="00415484" w:rsidRPr="006E15A9">
        <w:rPr>
          <w:rFonts w:eastAsia="Times New Roman" w:cstheme="minorHAnsi"/>
          <w:lang w:eastAsia="zh-CN"/>
        </w:rPr>
        <w:t>tates</w:t>
      </w:r>
      <w:r w:rsidR="0024026F" w:rsidRPr="006E15A9">
        <w:rPr>
          <w:rFonts w:eastAsia="Times New Roman" w:cstheme="minorHAnsi"/>
          <w:lang w:eastAsia="zh-CN"/>
        </w:rPr>
        <w:t xml:space="preserve"> </w:t>
      </w:r>
      <w:r w:rsidR="00415484" w:rsidRPr="006E15A9">
        <w:rPr>
          <w:rFonts w:eastAsia="Times New Roman" w:cstheme="minorHAnsi"/>
          <w:lang w:eastAsia="zh-CN"/>
        </w:rPr>
        <w:t>due to the Covid-19 pandemic.</w:t>
      </w:r>
      <w:r w:rsidR="00A615E1" w:rsidRPr="006E15A9">
        <w:rPr>
          <w:rFonts w:eastAsia="Times New Roman" w:cstheme="minorHAnsi"/>
          <w:lang w:eastAsia="zh-CN"/>
        </w:rPr>
        <w:t xml:space="preserve"> Most </w:t>
      </w:r>
      <w:r w:rsidR="00415484" w:rsidRPr="006E15A9">
        <w:rPr>
          <w:rFonts w:eastAsia="Times New Roman" w:cstheme="minorHAnsi"/>
          <w:lang w:eastAsia="zh-CN"/>
        </w:rPr>
        <w:t>Member States</w:t>
      </w:r>
      <w:r w:rsidR="00A615E1" w:rsidRPr="006E15A9">
        <w:rPr>
          <w:rFonts w:eastAsia="Times New Roman" w:cstheme="minorHAnsi"/>
          <w:lang w:eastAsia="zh-CN"/>
        </w:rPr>
        <w:t xml:space="preserve"> only re</w:t>
      </w:r>
      <w:r w:rsidR="006D4241" w:rsidRPr="006E15A9">
        <w:rPr>
          <w:rFonts w:eastAsia="Times New Roman" w:cstheme="minorHAnsi"/>
          <w:lang w:eastAsia="zh-CN"/>
        </w:rPr>
        <w:t xml:space="preserve">ceived the </w:t>
      </w:r>
      <w:r w:rsidR="00A615E1" w:rsidRPr="006E15A9">
        <w:rPr>
          <w:rFonts w:eastAsia="Times New Roman" w:cstheme="minorHAnsi"/>
          <w:lang w:eastAsia="zh-CN"/>
        </w:rPr>
        <w:t xml:space="preserve">dummy </w:t>
      </w:r>
      <w:r w:rsidR="006D4241" w:rsidRPr="006E15A9">
        <w:rPr>
          <w:rFonts w:eastAsia="Times New Roman" w:cstheme="minorHAnsi"/>
          <w:lang w:eastAsia="zh-CN"/>
        </w:rPr>
        <w:t>message for PacWave and performed a communications test for the</w:t>
      </w:r>
      <w:r w:rsidR="00A615E1" w:rsidRPr="006E15A9">
        <w:rPr>
          <w:rFonts w:eastAsia="Times New Roman" w:cstheme="minorHAnsi"/>
          <w:lang w:eastAsia="zh-CN"/>
        </w:rPr>
        <w:t xml:space="preserve"> </w:t>
      </w:r>
      <w:r w:rsidR="006D4241" w:rsidRPr="006E15A9">
        <w:rPr>
          <w:rFonts w:eastAsia="Times New Roman" w:cstheme="minorHAnsi"/>
          <w:lang w:eastAsia="zh-CN"/>
        </w:rPr>
        <w:t>Central America exercise.</w:t>
      </w:r>
    </w:p>
    <w:p w14:paraId="1188A51E" w14:textId="366E6C38" w:rsidR="006162C5" w:rsidRPr="006E15A9" w:rsidRDefault="00A76788" w:rsidP="00421AE6">
      <w:pPr>
        <w:spacing w:after="120"/>
        <w:rPr>
          <w:rFonts w:eastAsia="Times New Roman" w:cstheme="minorHAnsi"/>
          <w:lang w:eastAsia="zh-CN"/>
        </w:rPr>
      </w:pPr>
      <w:r w:rsidRPr="006E15A9">
        <w:rPr>
          <w:rFonts w:eastAsia="Times New Roman" w:cstheme="minorHAnsi"/>
          <w:lang w:eastAsia="zh-CN"/>
        </w:rPr>
        <w:t xml:space="preserve">Dr Chacon also reported on </w:t>
      </w:r>
      <w:r w:rsidR="00134C80" w:rsidRPr="006E15A9">
        <w:rPr>
          <w:rFonts w:eastAsia="Times New Roman" w:cstheme="minorHAnsi"/>
          <w:lang w:eastAsia="zh-CN"/>
        </w:rPr>
        <w:t>improvements pertaining to Tsunami Ready in the Central America region.</w:t>
      </w:r>
      <w:r w:rsidR="00B54453" w:rsidRPr="006E15A9">
        <w:rPr>
          <w:rFonts w:eastAsia="Times New Roman" w:cstheme="minorHAnsi"/>
          <w:lang w:eastAsia="zh-CN"/>
        </w:rPr>
        <w:t xml:space="preserve"> Costa Rica has four new communities recognized: El Coco (through the DIPECHO Project), Tamarindo, Sámara, and Uvita-Bahía. Costa Rica also has three </w:t>
      </w:r>
      <w:r w:rsidR="00B54453" w:rsidRPr="006E15A9">
        <w:rPr>
          <w:rFonts w:eastAsia="Times New Roman" w:cstheme="minorHAnsi"/>
          <w:lang w:eastAsia="zh-CN"/>
        </w:rPr>
        <w:lastRenderedPageBreak/>
        <w:t>communities in progress. El Salvador is currently working on Barra de Santiago (through the Red Cross and MARN. Panamá is currently working in Puerto Armuelles.</w:t>
      </w:r>
      <w:r w:rsidR="00132DC8" w:rsidRPr="006E15A9">
        <w:rPr>
          <w:rFonts w:eastAsia="Times New Roman" w:cstheme="minorHAnsi"/>
          <w:lang w:eastAsia="zh-CN"/>
        </w:rPr>
        <w:t xml:space="preserve"> Dr Chacon also highlighted that a pilot project on Coastal Hazards for M</w:t>
      </w:r>
      <w:r w:rsidR="00C82AA1" w:rsidRPr="006E15A9">
        <w:rPr>
          <w:rFonts w:eastAsia="Times New Roman" w:cstheme="minorHAnsi"/>
          <w:lang w:eastAsia="zh-CN"/>
        </w:rPr>
        <w:t>a</w:t>
      </w:r>
      <w:r w:rsidR="00132DC8" w:rsidRPr="006E15A9">
        <w:rPr>
          <w:rFonts w:eastAsia="Times New Roman" w:cstheme="minorHAnsi"/>
          <w:lang w:eastAsia="zh-CN"/>
        </w:rPr>
        <w:t>n and Biosphere (MAB)</w:t>
      </w:r>
      <w:r w:rsidR="00C82AA1" w:rsidRPr="006E15A9">
        <w:rPr>
          <w:rFonts w:eastAsia="Times New Roman" w:cstheme="minorHAnsi"/>
          <w:lang w:eastAsia="zh-CN"/>
        </w:rPr>
        <w:t xml:space="preserve"> sites is being implemented </w:t>
      </w:r>
      <w:r w:rsidR="0030064E" w:rsidRPr="006E15A9">
        <w:rPr>
          <w:rFonts w:eastAsia="Times New Roman" w:cstheme="minorHAnsi"/>
          <w:lang w:eastAsia="zh-CN"/>
        </w:rPr>
        <w:t xml:space="preserve">jointly by the Tsunami Unit (IOC) and MAB programme (UNESCO) </w:t>
      </w:r>
      <w:r w:rsidR="00C82AA1" w:rsidRPr="006E15A9">
        <w:rPr>
          <w:rFonts w:eastAsia="Times New Roman" w:cstheme="minorHAnsi"/>
          <w:lang w:eastAsia="zh-CN"/>
        </w:rPr>
        <w:t>in the Savegre Biosphere Reserve in Costa Rica</w:t>
      </w:r>
      <w:r w:rsidR="0030064E" w:rsidRPr="006E15A9">
        <w:rPr>
          <w:rFonts w:eastAsia="Times New Roman" w:cstheme="minorHAnsi"/>
          <w:lang w:eastAsia="zh-CN"/>
        </w:rPr>
        <w:t xml:space="preserve"> (includes o</w:t>
      </w:r>
      <w:r w:rsidR="00132DC8" w:rsidRPr="006E15A9">
        <w:rPr>
          <w:rFonts w:eastAsia="Times New Roman" w:cstheme="minorHAnsi"/>
          <w:lang w:eastAsia="zh-CN"/>
        </w:rPr>
        <w:t xml:space="preserve">ne </w:t>
      </w:r>
      <w:r w:rsidR="0030064E" w:rsidRPr="006E15A9">
        <w:rPr>
          <w:rFonts w:eastAsia="Times New Roman" w:cstheme="minorHAnsi"/>
          <w:lang w:eastAsia="zh-CN"/>
        </w:rPr>
        <w:t>na</w:t>
      </w:r>
      <w:r w:rsidR="00132DC8" w:rsidRPr="006E15A9">
        <w:rPr>
          <w:rFonts w:eastAsia="Times New Roman" w:cstheme="minorHAnsi"/>
          <w:lang w:eastAsia="zh-CN"/>
        </w:rPr>
        <w:t xml:space="preserve">tional </w:t>
      </w:r>
      <w:r w:rsidR="0030064E" w:rsidRPr="006E15A9">
        <w:rPr>
          <w:rFonts w:eastAsia="Times New Roman" w:cstheme="minorHAnsi"/>
          <w:lang w:eastAsia="zh-CN"/>
        </w:rPr>
        <w:t>p</w:t>
      </w:r>
      <w:r w:rsidR="00132DC8" w:rsidRPr="006E15A9">
        <w:rPr>
          <w:rFonts w:eastAsia="Times New Roman" w:cstheme="minorHAnsi"/>
          <w:lang w:eastAsia="zh-CN"/>
        </w:rPr>
        <w:t>ark and two communities</w:t>
      </w:r>
      <w:r w:rsidR="0030064E" w:rsidRPr="006E15A9">
        <w:rPr>
          <w:rFonts w:eastAsia="Times New Roman" w:cstheme="minorHAnsi"/>
          <w:lang w:eastAsia="zh-CN"/>
        </w:rPr>
        <w:t>). Products from this project</w:t>
      </w:r>
      <w:r w:rsidR="00132DC8" w:rsidRPr="006E15A9">
        <w:rPr>
          <w:rFonts w:eastAsia="Times New Roman" w:cstheme="minorHAnsi"/>
          <w:lang w:eastAsia="zh-CN"/>
        </w:rPr>
        <w:t xml:space="preserve"> will include </w:t>
      </w:r>
      <w:r w:rsidR="0030064E" w:rsidRPr="006E15A9">
        <w:rPr>
          <w:rFonts w:eastAsia="Times New Roman" w:cstheme="minorHAnsi"/>
          <w:lang w:eastAsia="zh-CN"/>
        </w:rPr>
        <w:t>G</w:t>
      </w:r>
      <w:r w:rsidR="00132DC8" w:rsidRPr="006E15A9">
        <w:rPr>
          <w:rFonts w:eastAsia="Times New Roman" w:cstheme="minorHAnsi"/>
          <w:lang w:eastAsia="zh-CN"/>
        </w:rPr>
        <w:t xml:space="preserve">uidelines </w:t>
      </w:r>
      <w:r w:rsidR="0030064E" w:rsidRPr="006E15A9">
        <w:rPr>
          <w:rFonts w:eastAsia="Times New Roman" w:cstheme="minorHAnsi"/>
          <w:lang w:eastAsia="zh-CN"/>
        </w:rPr>
        <w:t>for</w:t>
      </w:r>
      <w:r w:rsidR="00132DC8" w:rsidRPr="006E15A9">
        <w:rPr>
          <w:rFonts w:eastAsia="Times New Roman" w:cstheme="minorHAnsi"/>
          <w:lang w:eastAsia="zh-CN"/>
        </w:rPr>
        <w:t xml:space="preserve"> replica</w:t>
      </w:r>
      <w:r w:rsidR="0030064E" w:rsidRPr="006E15A9">
        <w:rPr>
          <w:rFonts w:eastAsia="Times New Roman" w:cstheme="minorHAnsi"/>
          <w:lang w:eastAsia="zh-CN"/>
        </w:rPr>
        <w:t>tion in other Biosphere Reserves.</w:t>
      </w:r>
    </w:p>
    <w:p w14:paraId="6A230AC1" w14:textId="15E1B4A8" w:rsidR="00407391" w:rsidRPr="006E15A9" w:rsidRDefault="006162C5" w:rsidP="005D4834">
      <w:pPr>
        <w:spacing w:after="120"/>
        <w:rPr>
          <w:rFonts w:eastAsia="Times New Roman" w:cstheme="minorHAnsi"/>
          <w:lang w:eastAsia="zh-CN"/>
        </w:rPr>
      </w:pPr>
      <w:r w:rsidRPr="006E15A9">
        <w:rPr>
          <w:rFonts w:eastAsia="Times New Roman" w:cstheme="minorHAnsi"/>
          <w:lang w:eastAsia="zh-CN"/>
        </w:rPr>
        <w:t xml:space="preserve">Finally, Dr Chacon noted that </w:t>
      </w:r>
      <w:r w:rsidR="006753D5" w:rsidRPr="006E15A9">
        <w:rPr>
          <w:rFonts w:eastAsia="Times New Roman" w:cstheme="minorHAnsi"/>
          <w:lang w:eastAsia="zh-CN"/>
        </w:rPr>
        <w:t xml:space="preserve">some Member States </w:t>
      </w:r>
      <w:r w:rsidR="008B38AE" w:rsidRPr="006E15A9">
        <w:rPr>
          <w:rFonts w:eastAsia="Times New Roman" w:cstheme="minorHAnsi"/>
          <w:lang w:eastAsia="zh-CN"/>
        </w:rPr>
        <w:t>have expressed interest in receiving PTWC messages on cellphones</w:t>
      </w:r>
      <w:r w:rsidR="00407391" w:rsidRPr="006E15A9">
        <w:rPr>
          <w:rFonts w:eastAsia="Times New Roman" w:cstheme="minorHAnsi"/>
          <w:lang w:eastAsia="zh-CN"/>
        </w:rPr>
        <w:t xml:space="preserve"> and enquired as to when this service would be available.</w:t>
      </w:r>
    </w:p>
    <w:p w14:paraId="23B00141" w14:textId="3F418258" w:rsidR="001415EC" w:rsidRDefault="00E912C1" w:rsidP="005D4834">
      <w:pPr>
        <w:pStyle w:val="Heading2"/>
        <w:spacing w:before="240"/>
      </w:pPr>
      <w:r w:rsidRPr="001F6D77">
        <w:t>Regional Working Group Pacific Islands Countries</w:t>
      </w:r>
    </w:p>
    <w:p w14:paraId="00FC56E7" w14:textId="3DC48CCB" w:rsidR="00C84997" w:rsidRDefault="00D11DF0" w:rsidP="005D4834">
      <w:pPr>
        <w:tabs>
          <w:tab w:val="num" w:pos="720"/>
          <w:tab w:val="num" w:pos="2160"/>
        </w:tabs>
        <w:spacing w:after="120"/>
      </w:pPr>
      <w:r w:rsidRPr="001F6D77">
        <w:t>M</w:t>
      </w:r>
      <w:r w:rsidR="00AD182F">
        <w:t>s</w:t>
      </w:r>
      <w:r w:rsidRPr="001F6D77">
        <w:t xml:space="preserve"> Esline Garaebiti</w:t>
      </w:r>
      <w:r>
        <w:t xml:space="preserve">, </w:t>
      </w:r>
      <w:r w:rsidRPr="001F6D77">
        <w:t xml:space="preserve">Chair </w:t>
      </w:r>
      <w:r>
        <w:t xml:space="preserve">of </w:t>
      </w:r>
      <w:r w:rsidRPr="001F6D77">
        <w:t>WG</w:t>
      </w:r>
      <w:r>
        <w:t xml:space="preserve"> </w:t>
      </w:r>
      <w:r w:rsidRPr="001F6D77">
        <w:t>PIC</w:t>
      </w:r>
      <w:r w:rsidR="004E6A5B">
        <w:t>T</w:t>
      </w:r>
      <w:r>
        <w:t xml:space="preserve">, reported on this item. </w:t>
      </w:r>
      <w:r w:rsidR="00E02F81">
        <w:t>She</w:t>
      </w:r>
      <w:r w:rsidR="00C71273">
        <w:t xml:space="preserve"> noted that the Eight Session of the</w:t>
      </w:r>
      <w:r w:rsidR="00C84997" w:rsidRPr="00C84997">
        <w:t xml:space="preserve"> WG-</w:t>
      </w:r>
      <w:r w:rsidR="00C84997" w:rsidRPr="004E6A5B">
        <w:t>PICT</w:t>
      </w:r>
      <w:r w:rsidR="00C84997" w:rsidRPr="00C84997">
        <w:t xml:space="preserve"> </w:t>
      </w:r>
      <w:r w:rsidR="00C71273">
        <w:t xml:space="preserve">was </w:t>
      </w:r>
      <w:r w:rsidR="00C84997" w:rsidRPr="00C84997">
        <w:t xml:space="preserve">held online on </w:t>
      </w:r>
      <w:r w:rsidR="00C71273">
        <w:t xml:space="preserve">1 </w:t>
      </w:r>
      <w:r w:rsidR="00C84997" w:rsidRPr="00C84997">
        <w:t>April 2021</w:t>
      </w:r>
      <w:r w:rsidR="00E02F81">
        <w:t>, during which time new officers were elected. The Chair is Ms</w:t>
      </w:r>
      <w:r w:rsidR="00C84997" w:rsidRPr="00C84997">
        <w:t xml:space="preserve"> Esline Garaebiti</w:t>
      </w:r>
      <w:r w:rsidR="00E02F81">
        <w:t xml:space="preserve"> and the </w:t>
      </w:r>
      <w:r w:rsidR="00C84997" w:rsidRPr="00C84997">
        <w:t xml:space="preserve">Vice Chair </w:t>
      </w:r>
      <w:r w:rsidR="00E02F81">
        <w:t>is Mr</w:t>
      </w:r>
      <w:r w:rsidR="00C84997" w:rsidRPr="00C84997">
        <w:t xml:space="preserve"> Mathew Moihoi</w:t>
      </w:r>
      <w:r w:rsidR="00E02F81">
        <w:t>. The meeting discussed the e</w:t>
      </w:r>
      <w:r w:rsidR="00C84997" w:rsidRPr="00C84997">
        <w:t xml:space="preserve">stablishment of </w:t>
      </w:r>
      <w:r w:rsidR="00AF35DF">
        <w:t xml:space="preserve">the </w:t>
      </w:r>
      <w:r w:rsidR="00C84997" w:rsidRPr="00C84997">
        <w:t xml:space="preserve">UN Decade Tsunami Programme </w:t>
      </w:r>
      <w:r w:rsidR="00AF35DF">
        <w:t xml:space="preserve">which was </w:t>
      </w:r>
      <w:r w:rsidR="00C84997" w:rsidRPr="00C84997">
        <w:t xml:space="preserve">supported </w:t>
      </w:r>
      <w:r w:rsidR="00AF35DF">
        <w:t xml:space="preserve">by </w:t>
      </w:r>
      <w:r w:rsidR="00C84997" w:rsidRPr="00C84997">
        <w:t>PICT Member States</w:t>
      </w:r>
      <w:r w:rsidR="00AF35DF">
        <w:t xml:space="preserve">. The </w:t>
      </w:r>
      <w:r w:rsidR="00C84997" w:rsidRPr="00C84997">
        <w:t>meeting</w:t>
      </w:r>
      <w:r w:rsidR="00AF35DF">
        <w:t xml:space="preserve"> also</w:t>
      </w:r>
      <w:r w:rsidR="00C84997" w:rsidRPr="00C84997">
        <w:t xml:space="preserve"> noted way</w:t>
      </w:r>
      <w:r w:rsidR="00AF35DF">
        <w:t>s</w:t>
      </w:r>
      <w:r w:rsidR="00C84997" w:rsidRPr="00C84997">
        <w:t xml:space="preserve"> forward on Post Event Hot Wash/ Debrief</w:t>
      </w:r>
      <w:r w:rsidR="00BA263F">
        <w:t>, including to</w:t>
      </w:r>
      <w:r w:rsidR="00C84997" w:rsidRPr="00C84997">
        <w:t>: Review the Hot Wash/Debrief and survey applicability and guidelines</w:t>
      </w:r>
      <w:r w:rsidR="00AF35DF">
        <w:t>, d</w:t>
      </w:r>
      <w:r w:rsidR="00C84997" w:rsidRPr="00C84997">
        <w:t>evelop Hot Wash/Debrief templates</w:t>
      </w:r>
      <w:r w:rsidR="00AF35DF">
        <w:t>, develop f</w:t>
      </w:r>
      <w:r w:rsidR="00C84997" w:rsidRPr="00C84997">
        <w:t>ormat/</w:t>
      </w:r>
      <w:r w:rsidR="00AF35DF">
        <w:t>s</w:t>
      </w:r>
      <w:r w:rsidR="00C84997" w:rsidRPr="00C84997">
        <w:t>tructure for national and regional Hot Wash/Debrief</w:t>
      </w:r>
      <w:r w:rsidR="00AF35DF">
        <w:t xml:space="preserve">, and </w:t>
      </w:r>
      <w:r w:rsidR="00AD182F">
        <w:t>develop proposals for m</w:t>
      </w:r>
      <w:r w:rsidR="00C84997" w:rsidRPr="00C84997">
        <w:t>ore online seminar on forecasting to minimize confusion</w:t>
      </w:r>
      <w:r w:rsidR="00AD182F">
        <w:t xml:space="preserve">. The terms of reference of the </w:t>
      </w:r>
      <w:r w:rsidR="00C84997" w:rsidRPr="00C84997">
        <w:t xml:space="preserve">WG-PICT </w:t>
      </w:r>
      <w:r w:rsidR="00AD182F">
        <w:t xml:space="preserve">were also discussed and </w:t>
      </w:r>
      <w:r w:rsidR="00C84997" w:rsidRPr="00C84997">
        <w:t>slightly updated</w:t>
      </w:r>
      <w:r w:rsidR="00AD182F">
        <w:t>.</w:t>
      </w:r>
    </w:p>
    <w:p w14:paraId="5D35BFC1" w14:textId="6808C550" w:rsidR="00DC15B9" w:rsidRDefault="00AD182F" w:rsidP="005D4834">
      <w:pPr>
        <w:tabs>
          <w:tab w:val="num" w:pos="720"/>
          <w:tab w:val="num" w:pos="2160"/>
        </w:tabs>
        <w:spacing w:after="120"/>
      </w:pPr>
      <w:r>
        <w:t>Ms</w:t>
      </w:r>
      <w:r w:rsidRPr="00AD182F">
        <w:t xml:space="preserve"> </w:t>
      </w:r>
      <w:r w:rsidR="00C84997" w:rsidRPr="00C84997">
        <w:t>Garaebiti</w:t>
      </w:r>
      <w:r>
        <w:t xml:space="preserve"> reported recommendations established during this meeting which include</w:t>
      </w:r>
      <w:r w:rsidR="00DC15B9">
        <w:t xml:space="preserve"> to:</w:t>
      </w:r>
    </w:p>
    <w:p w14:paraId="7EB9BE86" w14:textId="00F28EF3" w:rsidR="00DC15B9" w:rsidRDefault="00DC15B9" w:rsidP="005D4834">
      <w:pPr>
        <w:pStyle w:val="ListParagraph"/>
        <w:numPr>
          <w:ilvl w:val="0"/>
          <w:numId w:val="2"/>
        </w:numPr>
        <w:tabs>
          <w:tab w:val="num" w:pos="720"/>
          <w:tab w:val="num" w:pos="2160"/>
        </w:tabs>
        <w:spacing w:after="120"/>
      </w:pPr>
      <w:r>
        <w:t>C</w:t>
      </w:r>
      <w:r w:rsidR="00D11DF0" w:rsidRPr="00D11DF0">
        <w:t>ontinue the WG-PICT with updated TOR and newly elected office bearers</w:t>
      </w:r>
      <w:r w:rsidR="009A0A4D">
        <w:t>,</w:t>
      </w:r>
    </w:p>
    <w:p w14:paraId="67356DDE" w14:textId="58FE6577" w:rsidR="00DC15B9" w:rsidRDefault="00D11DF0" w:rsidP="005D4834">
      <w:pPr>
        <w:pStyle w:val="ListParagraph"/>
        <w:numPr>
          <w:ilvl w:val="0"/>
          <w:numId w:val="2"/>
        </w:numPr>
        <w:tabs>
          <w:tab w:val="num" w:pos="720"/>
          <w:tab w:val="num" w:pos="2160"/>
        </w:tabs>
        <w:spacing w:after="120"/>
      </w:pPr>
      <w:r w:rsidRPr="00D11DF0">
        <w:t>Continue WG-PICT Task Team Capacity Development with updated TOR and recommendations</w:t>
      </w:r>
      <w:r w:rsidR="009A0A4D">
        <w:t>,</w:t>
      </w:r>
    </w:p>
    <w:p w14:paraId="05DD8124" w14:textId="10CAA9B4" w:rsidR="00DC15B9" w:rsidRDefault="00D11DF0" w:rsidP="005D4834">
      <w:pPr>
        <w:pStyle w:val="ListParagraph"/>
        <w:numPr>
          <w:ilvl w:val="0"/>
          <w:numId w:val="2"/>
        </w:numPr>
        <w:tabs>
          <w:tab w:val="num" w:pos="720"/>
          <w:tab w:val="num" w:pos="2160"/>
        </w:tabs>
        <w:spacing w:after="120"/>
      </w:pPr>
      <w:r w:rsidRPr="00D11DF0">
        <w:t xml:space="preserve">Recognize and </w:t>
      </w:r>
      <w:r w:rsidR="00DC15B9">
        <w:t>s</w:t>
      </w:r>
      <w:r w:rsidRPr="00D11DF0">
        <w:t>upport WG 2 Task Team Seismic Data Sharing in Southwest Pacific recommendations</w:t>
      </w:r>
      <w:r w:rsidR="009A0A4D">
        <w:t>,</w:t>
      </w:r>
    </w:p>
    <w:p w14:paraId="39EEF385" w14:textId="0255D3E1" w:rsidR="00F125F6" w:rsidRDefault="00D11DF0" w:rsidP="005D4834">
      <w:pPr>
        <w:pStyle w:val="ListParagraph"/>
        <w:numPr>
          <w:ilvl w:val="0"/>
          <w:numId w:val="2"/>
        </w:numPr>
        <w:tabs>
          <w:tab w:val="num" w:pos="720"/>
          <w:tab w:val="num" w:pos="2160"/>
        </w:tabs>
        <w:spacing w:after="120"/>
      </w:pPr>
      <w:r w:rsidRPr="00D11DF0">
        <w:t>Ensure support towards ORSNET continuing operations</w:t>
      </w:r>
      <w:r w:rsidR="00EF169C">
        <w:t>,</w:t>
      </w:r>
    </w:p>
    <w:p w14:paraId="262F328D" w14:textId="4D40E910" w:rsidR="00F125F6" w:rsidRDefault="00EF169C" w:rsidP="005D4834">
      <w:pPr>
        <w:pStyle w:val="ListParagraph"/>
        <w:numPr>
          <w:ilvl w:val="0"/>
          <w:numId w:val="2"/>
        </w:numPr>
        <w:tabs>
          <w:tab w:val="num" w:pos="720"/>
          <w:tab w:val="num" w:pos="2160"/>
        </w:tabs>
        <w:spacing w:after="120"/>
      </w:pPr>
      <w:r>
        <w:t xml:space="preserve">Have </w:t>
      </w:r>
      <w:r w:rsidR="00F125F6">
        <w:t>c</w:t>
      </w:r>
      <w:r w:rsidR="00D11DF0" w:rsidRPr="00D11DF0">
        <w:t xml:space="preserve">ontinuous bilateral and multilateral support for Tsunami Ready Programme, TEMPP and </w:t>
      </w:r>
      <w:r w:rsidR="006103C9">
        <w:t>Multi Hazard Early Warning (</w:t>
      </w:r>
      <w:r w:rsidR="00D11DF0" w:rsidRPr="00D11DF0">
        <w:t>MHEW</w:t>
      </w:r>
      <w:r w:rsidR="006103C9">
        <w:t>)</w:t>
      </w:r>
      <w:r w:rsidR="00D11DF0" w:rsidRPr="00D11DF0">
        <w:t xml:space="preserve"> through Development Partners and Donors</w:t>
      </w:r>
      <w:r>
        <w:t>,</w:t>
      </w:r>
    </w:p>
    <w:p w14:paraId="7BFB31A6" w14:textId="1996862C" w:rsidR="00F125F6" w:rsidRDefault="00D11DF0" w:rsidP="005D4834">
      <w:pPr>
        <w:pStyle w:val="ListParagraph"/>
        <w:numPr>
          <w:ilvl w:val="0"/>
          <w:numId w:val="2"/>
        </w:numPr>
        <w:tabs>
          <w:tab w:val="num" w:pos="720"/>
          <w:tab w:val="num" w:pos="2160"/>
        </w:tabs>
        <w:spacing w:after="120"/>
      </w:pPr>
      <w:r w:rsidRPr="00D11DF0">
        <w:t>Encourage SPC to seek additional funding for improved coastal bathymetry acquisition (LIDAR) and build regional resources for modelling and support toward TEMPP</w:t>
      </w:r>
      <w:r w:rsidR="009A0A4D">
        <w:t>,</w:t>
      </w:r>
    </w:p>
    <w:p w14:paraId="613EAD9C" w14:textId="152C956E" w:rsidR="00F125F6" w:rsidRDefault="00D11DF0" w:rsidP="005D4834">
      <w:pPr>
        <w:pStyle w:val="ListParagraph"/>
        <w:numPr>
          <w:ilvl w:val="0"/>
          <w:numId w:val="2"/>
        </w:numPr>
        <w:tabs>
          <w:tab w:val="num" w:pos="720"/>
          <w:tab w:val="num" w:pos="2160"/>
        </w:tabs>
        <w:spacing w:after="120"/>
      </w:pPr>
      <w:r w:rsidRPr="00D11DF0">
        <w:t>Encourage the ICG/PTWS to develop a template to conduct Hot Wash/Debrief after a significant event efficiently</w:t>
      </w:r>
      <w:r w:rsidR="00EF169C">
        <w:t>,</w:t>
      </w:r>
    </w:p>
    <w:p w14:paraId="4FA03556" w14:textId="6A6D57ED" w:rsidR="009A0A4D" w:rsidRDefault="00D11DF0" w:rsidP="005D4834">
      <w:pPr>
        <w:pStyle w:val="ListParagraph"/>
        <w:numPr>
          <w:ilvl w:val="0"/>
          <w:numId w:val="2"/>
        </w:numPr>
        <w:tabs>
          <w:tab w:val="num" w:pos="720"/>
          <w:tab w:val="num" w:pos="2160"/>
        </w:tabs>
        <w:spacing w:after="120"/>
      </w:pPr>
      <w:r w:rsidRPr="00D11DF0">
        <w:t>Consider ITIC to be a member of WG-PICT</w:t>
      </w:r>
      <w:r w:rsidR="00EF169C">
        <w:t>,</w:t>
      </w:r>
    </w:p>
    <w:p w14:paraId="6606C336" w14:textId="6527ED5B" w:rsidR="00642D70" w:rsidRPr="001415EC" w:rsidRDefault="00D11DF0" w:rsidP="005D4834">
      <w:pPr>
        <w:pStyle w:val="ListParagraph"/>
        <w:numPr>
          <w:ilvl w:val="0"/>
          <w:numId w:val="2"/>
        </w:numPr>
        <w:tabs>
          <w:tab w:val="num" w:pos="720"/>
          <w:tab w:val="num" w:pos="2160"/>
        </w:tabs>
        <w:spacing w:after="120"/>
      </w:pPr>
      <w:r w:rsidRPr="00D11DF0">
        <w:t>Encourage in-country collaboration (private and public partnership) for building tsunami community resiliency.</w:t>
      </w:r>
    </w:p>
    <w:p w14:paraId="7AB6B7B8" w14:textId="010782B4" w:rsidR="00754E80" w:rsidRPr="001F6D77" w:rsidRDefault="00E912C1" w:rsidP="005D4834">
      <w:pPr>
        <w:pStyle w:val="Heading2"/>
        <w:keepNext/>
        <w:spacing w:before="240"/>
      </w:pPr>
      <w:r w:rsidRPr="001F6D77">
        <w:t>Regional Working Group South East Pacific</w:t>
      </w:r>
    </w:p>
    <w:p w14:paraId="2B849C81" w14:textId="7CA98AE4" w:rsidR="00C474A7" w:rsidRDefault="00C6633C" w:rsidP="002253F4">
      <w:pPr>
        <w:keepNext/>
        <w:spacing w:after="120"/>
      </w:pPr>
      <w:r w:rsidRPr="001F6D77">
        <w:t>Ms Mary Rengifo</w:t>
      </w:r>
      <w:r>
        <w:t>, Chair of WG SEP, presented on this item.</w:t>
      </w:r>
    </w:p>
    <w:p w14:paraId="27E9AD60" w14:textId="7C4A2F6E" w:rsidR="00791E0E" w:rsidRDefault="00C474A7" w:rsidP="002253F4">
      <w:pPr>
        <w:spacing w:after="120"/>
      </w:pPr>
      <w:r>
        <w:t>Ms Rengifo reported on activities conducted between June and November 2020</w:t>
      </w:r>
      <w:r w:rsidR="0087757D">
        <w:t xml:space="preserve"> which included </w:t>
      </w:r>
      <w:r w:rsidR="008B3AB9">
        <w:t>one virtual meeting to discuss the coordination of the regional exercise</w:t>
      </w:r>
      <w:r w:rsidR="0087757D">
        <w:t xml:space="preserve"> (August</w:t>
      </w:r>
      <w:r w:rsidR="00595232">
        <w:t xml:space="preserve"> 2020</w:t>
      </w:r>
      <w:r w:rsidR="009B4F6E">
        <w:t>)</w:t>
      </w:r>
      <w:r w:rsidR="00C91348">
        <w:t>;</w:t>
      </w:r>
      <w:r w:rsidR="009B4F6E">
        <w:t xml:space="preserve"> one virtual meeting to discuss the roles and rotation of Chairs and Vice-Chairs</w:t>
      </w:r>
      <w:r w:rsidR="00C5425B">
        <w:t xml:space="preserve"> </w:t>
      </w:r>
      <w:r w:rsidR="00C5425B">
        <w:lastRenderedPageBreak/>
        <w:t>(</w:t>
      </w:r>
      <w:r w:rsidR="0087757D">
        <w:t>November</w:t>
      </w:r>
      <w:r w:rsidR="00595232">
        <w:t xml:space="preserve"> 2020</w:t>
      </w:r>
      <w:r w:rsidR="0087757D">
        <w:t>)</w:t>
      </w:r>
      <w:r w:rsidR="00C91348">
        <w:t>;</w:t>
      </w:r>
      <w:r w:rsidR="0087757D">
        <w:t xml:space="preserve"> one annual virtual meeting </w:t>
      </w:r>
      <w:r w:rsidR="00C5425B">
        <w:t>of the WG</w:t>
      </w:r>
      <w:r w:rsidR="00024710">
        <w:t xml:space="preserve"> </w:t>
      </w:r>
      <w:r w:rsidR="0087757D">
        <w:t>(October 2019)</w:t>
      </w:r>
      <w:r w:rsidR="008B3AB9">
        <w:t xml:space="preserve"> </w:t>
      </w:r>
      <w:r w:rsidR="00595232">
        <w:t xml:space="preserve">where the 2021 </w:t>
      </w:r>
      <w:r w:rsidR="00024710">
        <w:t>regional exercise was approved, a TT for working on the templates was approved, and if necessary a</w:t>
      </w:r>
      <w:r w:rsidR="00C91348">
        <w:t xml:space="preserve"> procedure for dissemination of tsunami information</w:t>
      </w:r>
      <w:r w:rsidR="00A15F27">
        <w:t>; and one</w:t>
      </w:r>
      <w:r w:rsidR="008B3AB9">
        <w:t xml:space="preserve"> TsuCat workshop.</w:t>
      </w:r>
    </w:p>
    <w:p w14:paraId="3383FDCA" w14:textId="6FDFCEDF" w:rsidR="00250C2B" w:rsidRDefault="00791E0E" w:rsidP="00BE219C">
      <w:pPr>
        <w:spacing w:after="120"/>
      </w:pPr>
      <w:r>
        <w:t>Ms Rengifo reported that PacWave20</w:t>
      </w:r>
      <w:r w:rsidR="00BE219C">
        <w:t xml:space="preserve"> </w:t>
      </w:r>
      <w:r>
        <w:t>was conducted on the 22 October</w:t>
      </w:r>
      <w:r w:rsidR="00FC1773">
        <w:t xml:space="preserve"> using the Tonga scenario and was developed as a communications test</w:t>
      </w:r>
      <w:r w:rsidR="007256DA">
        <w:t>, although those in Chile and Colombia also involved coordination with the disaster risk management offices.</w:t>
      </w:r>
      <w:r w:rsidR="0077452F">
        <w:t xml:space="preserve"> In addition, three regional tsunami </w:t>
      </w:r>
      <w:r w:rsidR="00B96FE8">
        <w:t xml:space="preserve">exercises </w:t>
      </w:r>
      <w:r w:rsidR="00B86D91">
        <w:t xml:space="preserve">which tested the </w:t>
      </w:r>
      <w:r w:rsidR="00574078">
        <w:t xml:space="preserve">regional tsunami warning protocol for the South-East Pacific </w:t>
      </w:r>
      <w:r w:rsidR="00B96FE8">
        <w:t>were conducted in January, May and August</w:t>
      </w:r>
      <w:r w:rsidR="00D255FE">
        <w:t xml:space="preserve"> 2021.</w:t>
      </w:r>
    </w:p>
    <w:p w14:paraId="09BC0BBF" w14:textId="650BA7EE" w:rsidR="00642D70" w:rsidRPr="00C542F8" w:rsidRDefault="00B95935" w:rsidP="00C542F8">
      <w:pPr>
        <w:spacing w:after="120"/>
      </w:pPr>
      <w:r>
        <w:t xml:space="preserve">She next reported on </w:t>
      </w:r>
      <w:r w:rsidR="00627627">
        <w:t>activities</w:t>
      </w:r>
      <w:r w:rsidR="009B1600">
        <w:t xml:space="preserve"> between January and September 2021 which included </w:t>
      </w:r>
      <w:r w:rsidR="00143972">
        <w:t xml:space="preserve">six virtual meetings and an update of the group web portal. In addition, some </w:t>
      </w:r>
      <w:r>
        <w:t>planned activities are still ongoing</w:t>
      </w:r>
      <w:r w:rsidR="00627627">
        <w:t xml:space="preserve"> such as </w:t>
      </w:r>
      <w:r>
        <w:t>the Navarea bulletins template,</w:t>
      </w:r>
      <w:r w:rsidR="00407043">
        <w:t xml:space="preserve"> the fourth regional exercise, the annual meeting</w:t>
      </w:r>
      <w:r w:rsidR="00E8027F">
        <w:t>, and</w:t>
      </w:r>
      <w:r>
        <w:t xml:space="preserve"> the report on SMART cables which will be prepared for ICG/PTWS XXIX</w:t>
      </w:r>
      <w:r w:rsidR="00E8027F">
        <w:t>.</w:t>
      </w:r>
    </w:p>
    <w:p w14:paraId="7526E61B" w14:textId="79A42C15" w:rsidR="006E0B71" w:rsidRPr="001F6D77" w:rsidRDefault="009D166D" w:rsidP="001A2611">
      <w:pPr>
        <w:pStyle w:val="Heading1"/>
        <w:rPr>
          <w:rFonts w:eastAsia="SimSun"/>
          <w:bCs/>
          <w:snapToGrid w:val="0"/>
          <w:lang w:val="en-GB" w:eastAsia="zh-CN"/>
        </w:rPr>
      </w:pPr>
      <w:r w:rsidRPr="001F6D77">
        <w:rPr>
          <w:bCs/>
          <w:snapToGrid w:val="0"/>
          <w:lang w:val="en-GB"/>
        </w:rPr>
        <w:t>ITIC REPORT</w:t>
      </w:r>
    </w:p>
    <w:p w14:paraId="6BE19035" w14:textId="64735FF7" w:rsidR="00485861" w:rsidRDefault="00F622BE" w:rsidP="00FF1092">
      <w:pPr>
        <w:tabs>
          <w:tab w:val="left" w:pos="567"/>
          <w:tab w:val="left" w:pos="786"/>
        </w:tabs>
        <w:snapToGrid w:val="0"/>
        <w:spacing w:after="120"/>
        <w:rPr>
          <w:rFonts w:eastAsia="SimSun" w:cstheme="minorHAnsi"/>
          <w:bCs/>
          <w:snapToGrid w:val="0"/>
          <w:lang w:eastAsia="zh-CN"/>
        </w:rPr>
      </w:pPr>
      <w:r>
        <w:rPr>
          <w:rFonts w:eastAsia="SimSun" w:cstheme="minorHAnsi"/>
          <w:bCs/>
          <w:snapToGrid w:val="0"/>
          <w:lang w:eastAsia="zh-CN"/>
        </w:rPr>
        <w:t xml:space="preserve">Dr Laura Kong, Director of ITIC, reported on this item. She noted that, effective 1 September 2020, the Caribbean </w:t>
      </w:r>
      <w:r w:rsidR="00A80CAC">
        <w:rPr>
          <w:rFonts w:eastAsia="SimSun" w:cstheme="minorHAnsi"/>
          <w:bCs/>
          <w:snapToGrid w:val="0"/>
          <w:lang w:eastAsia="zh-CN"/>
        </w:rPr>
        <w:t>Tsunami Warning Programme</w:t>
      </w:r>
      <w:r>
        <w:rPr>
          <w:rFonts w:eastAsia="SimSun" w:cstheme="minorHAnsi"/>
          <w:bCs/>
          <w:snapToGrid w:val="0"/>
          <w:lang w:eastAsia="zh-CN"/>
        </w:rPr>
        <w:t xml:space="preserve"> be</w:t>
      </w:r>
      <w:r w:rsidR="00C542F8">
        <w:rPr>
          <w:rFonts w:eastAsia="SimSun" w:cstheme="minorHAnsi"/>
          <w:bCs/>
          <w:snapToGrid w:val="0"/>
          <w:lang w:eastAsia="zh-CN"/>
        </w:rPr>
        <w:t>ca</w:t>
      </w:r>
      <w:r>
        <w:rPr>
          <w:rFonts w:eastAsia="SimSun" w:cstheme="minorHAnsi"/>
          <w:bCs/>
          <w:snapToGrid w:val="0"/>
          <w:lang w:eastAsia="zh-CN"/>
        </w:rPr>
        <w:t xml:space="preserve">me </w:t>
      </w:r>
      <w:r w:rsidR="00C542F8">
        <w:rPr>
          <w:rFonts w:eastAsia="SimSun" w:cstheme="minorHAnsi"/>
          <w:bCs/>
          <w:snapToGrid w:val="0"/>
          <w:lang w:eastAsia="zh-CN"/>
        </w:rPr>
        <w:t xml:space="preserve">the </w:t>
      </w:r>
      <w:r w:rsidR="00A80CAC">
        <w:rPr>
          <w:rFonts w:eastAsia="SimSun" w:cstheme="minorHAnsi"/>
          <w:bCs/>
          <w:snapToGrid w:val="0"/>
          <w:lang w:eastAsia="zh-CN"/>
        </w:rPr>
        <w:t xml:space="preserve">Caribbean ITIC </w:t>
      </w:r>
      <w:r w:rsidR="00C542F8">
        <w:rPr>
          <w:rFonts w:eastAsia="SimSun" w:cstheme="minorHAnsi"/>
          <w:bCs/>
          <w:snapToGrid w:val="0"/>
          <w:lang w:eastAsia="zh-CN"/>
        </w:rPr>
        <w:t>O</w:t>
      </w:r>
      <w:r w:rsidR="00A80CAC">
        <w:rPr>
          <w:rFonts w:eastAsia="SimSun" w:cstheme="minorHAnsi"/>
          <w:bCs/>
          <w:snapToGrid w:val="0"/>
          <w:lang w:eastAsia="zh-CN"/>
        </w:rPr>
        <w:t>ffice.</w:t>
      </w:r>
      <w:r w:rsidR="009C6EA2">
        <w:rPr>
          <w:rFonts w:eastAsia="SimSun" w:cstheme="minorHAnsi"/>
          <w:bCs/>
          <w:snapToGrid w:val="0"/>
          <w:lang w:eastAsia="zh-CN"/>
        </w:rPr>
        <w:t xml:space="preserve"> Th</w:t>
      </w:r>
      <w:r w:rsidR="00C542F8">
        <w:rPr>
          <w:rFonts w:eastAsia="SimSun" w:cstheme="minorHAnsi"/>
          <w:bCs/>
          <w:snapToGrid w:val="0"/>
          <w:lang w:eastAsia="zh-CN"/>
        </w:rPr>
        <w:t xml:space="preserve">is </w:t>
      </w:r>
      <w:r w:rsidR="009C6EA2">
        <w:rPr>
          <w:rFonts w:eastAsia="SimSun" w:cstheme="minorHAnsi"/>
          <w:bCs/>
          <w:snapToGrid w:val="0"/>
          <w:lang w:eastAsia="zh-CN"/>
        </w:rPr>
        <w:t>change is to provide better support to the Caribbean Tsunami Information Centre (CTIC) and CARIBE-EWS</w:t>
      </w:r>
      <w:r w:rsidR="000C695B">
        <w:rPr>
          <w:rFonts w:eastAsia="SimSun" w:cstheme="minorHAnsi"/>
          <w:bCs/>
          <w:snapToGrid w:val="0"/>
          <w:lang w:eastAsia="zh-CN"/>
        </w:rPr>
        <w:t xml:space="preserve">, </w:t>
      </w:r>
      <w:r w:rsidR="00C542F8">
        <w:rPr>
          <w:rFonts w:eastAsia="SimSun" w:cstheme="minorHAnsi"/>
          <w:bCs/>
          <w:snapToGrid w:val="0"/>
          <w:lang w:eastAsia="zh-CN"/>
        </w:rPr>
        <w:t>and</w:t>
      </w:r>
      <w:r w:rsidR="000C695B">
        <w:rPr>
          <w:rFonts w:eastAsia="SimSun" w:cstheme="minorHAnsi"/>
          <w:bCs/>
          <w:snapToGrid w:val="0"/>
          <w:lang w:eastAsia="zh-CN"/>
        </w:rPr>
        <w:t xml:space="preserve"> provide more seamless interaction for countries that have both Pacific and Caribbean coasts.</w:t>
      </w:r>
    </w:p>
    <w:p w14:paraId="2F357671" w14:textId="525AFF2D" w:rsidR="00FD1BD0" w:rsidRDefault="00727763" w:rsidP="00B54F5B">
      <w:pPr>
        <w:tabs>
          <w:tab w:val="left" w:pos="567"/>
          <w:tab w:val="left" w:pos="786"/>
        </w:tabs>
        <w:snapToGrid w:val="0"/>
        <w:spacing w:after="120"/>
      </w:pPr>
      <w:r>
        <w:rPr>
          <w:rFonts w:eastAsia="SimSun" w:cstheme="minorHAnsi"/>
          <w:bCs/>
          <w:snapToGrid w:val="0"/>
          <w:lang w:eastAsia="zh-CN"/>
        </w:rPr>
        <w:t xml:space="preserve">Dr Kong reported on training provided by ITIC, noting that </w:t>
      </w:r>
      <w:r w:rsidR="00C3628C">
        <w:rPr>
          <w:rFonts w:eastAsia="SimSun" w:cstheme="minorHAnsi"/>
          <w:bCs/>
          <w:snapToGrid w:val="0"/>
          <w:lang w:eastAsia="zh-CN"/>
        </w:rPr>
        <w:t>they were pivoting to virtual provision of trainings due to COVID 19.</w:t>
      </w:r>
      <w:r w:rsidR="00D503E2">
        <w:rPr>
          <w:rFonts w:eastAsia="SimSun" w:cstheme="minorHAnsi"/>
          <w:bCs/>
          <w:snapToGrid w:val="0"/>
          <w:lang w:eastAsia="zh-CN"/>
        </w:rPr>
        <w:t xml:space="preserve"> ITIC is working with the OTGA</w:t>
      </w:r>
      <w:r w:rsidR="00384451">
        <w:rPr>
          <w:rFonts w:eastAsia="SimSun" w:cstheme="minorHAnsi"/>
          <w:bCs/>
          <w:snapToGrid w:val="0"/>
          <w:lang w:eastAsia="zh-CN"/>
        </w:rPr>
        <w:t>, Indonesia BMKG and IOTIC</w:t>
      </w:r>
      <w:r w:rsidR="00D503E2">
        <w:rPr>
          <w:rFonts w:eastAsia="SimSun" w:cstheme="minorHAnsi"/>
          <w:bCs/>
          <w:snapToGrid w:val="0"/>
          <w:lang w:eastAsia="zh-CN"/>
        </w:rPr>
        <w:t xml:space="preserve"> to provide hybrid or virtual trainings.</w:t>
      </w:r>
      <w:r w:rsidR="00750AA8">
        <w:rPr>
          <w:rFonts w:eastAsia="SimSun" w:cstheme="minorHAnsi"/>
          <w:bCs/>
          <w:snapToGrid w:val="0"/>
          <w:lang w:eastAsia="zh-CN"/>
        </w:rPr>
        <w:t xml:space="preserve"> Dr Kong also presented the ITIC workplan </w:t>
      </w:r>
      <w:r w:rsidR="00CA4B0D">
        <w:rPr>
          <w:rFonts w:eastAsia="SimSun" w:cstheme="minorHAnsi"/>
          <w:bCs/>
          <w:snapToGrid w:val="0"/>
          <w:lang w:eastAsia="zh-CN"/>
        </w:rPr>
        <w:t xml:space="preserve">for </w:t>
      </w:r>
      <w:r w:rsidR="00223CCF">
        <w:rPr>
          <w:rFonts w:eastAsia="SimSun" w:cstheme="minorHAnsi"/>
          <w:bCs/>
          <w:snapToGrid w:val="0"/>
          <w:lang w:eastAsia="zh-CN"/>
        </w:rPr>
        <w:t xml:space="preserve">OTGA </w:t>
      </w:r>
      <w:r w:rsidR="00CA4B0D">
        <w:rPr>
          <w:rFonts w:eastAsia="SimSun" w:cstheme="minorHAnsi"/>
          <w:bCs/>
          <w:snapToGrid w:val="0"/>
          <w:lang w:eastAsia="zh-CN"/>
        </w:rPr>
        <w:t>2021-2023</w:t>
      </w:r>
      <w:r w:rsidR="00B74B85">
        <w:rPr>
          <w:rFonts w:eastAsia="SimSun" w:cstheme="minorHAnsi"/>
          <w:bCs/>
          <w:snapToGrid w:val="0"/>
          <w:lang w:eastAsia="zh-CN"/>
        </w:rPr>
        <w:t>, which include</w:t>
      </w:r>
      <w:r w:rsidR="00CB5606">
        <w:rPr>
          <w:rFonts w:eastAsia="SimSun" w:cstheme="minorHAnsi"/>
          <w:bCs/>
          <w:snapToGrid w:val="0"/>
          <w:lang w:eastAsia="zh-CN"/>
        </w:rPr>
        <w:t>s</w:t>
      </w:r>
      <w:r w:rsidR="00B74B85">
        <w:rPr>
          <w:rFonts w:eastAsia="SimSun" w:cstheme="minorHAnsi"/>
          <w:bCs/>
          <w:snapToGrid w:val="0"/>
          <w:lang w:eastAsia="zh-CN"/>
        </w:rPr>
        <w:t xml:space="preserve"> training on </w:t>
      </w:r>
      <w:r w:rsidR="00223CCF">
        <w:rPr>
          <w:rFonts w:eastAsia="SimSun" w:cstheme="minorHAnsi"/>
          <w:bCs/>
          <w:snapToGrid w:val="0"/>
          <w:lang w:eastAsia="zh-CN"/>
        </w:rPr>
        <w:t>T</w:t>
      </w:r>
      <w:r w:rsidR="00CB5606">
        <w:rPr>
          <w:rFonts w:eastAsia="SimSun" w:cstheme="minorHAnsi"/>
          <w:bCs/>
          <w:snapToGrid w:val="0"/>
          <w:lang w:eastAsia="zh-CN"/>
        </w:rPr>
        <w:t xml:space="preserve">sunami </w:t>
      </w:r>
      <w:r w:rsidR="00223CCF">
        <w:rPr>
          <w:rFonts w:eastAsia="SimSun" w:cstheme="minorHAnsi"/>
          <w:bCs/>
          <w:snapToGrid w:val="0"/>
          <w:lang w:eastAsia="zh-CN"/>
        </w:rPr>
        <w:t>A</w:t>
      </w:r>
      <w:r w:rsidR="00CB5606">
        <w:rPr>
          <w:rFonts w:eastAsia="SimSun" w:cstheme="minorHAnsi"/>
          <w:bCs/>
          <w:snapToGrid w:val="0"/>
          <w:lang w:eastAsia="zh-CN"/>
        </w:rPr>
        <w:t xml:space="preserve">wareness, </w:t>
      </w:r>
      <w:r w:rsidR="00B74B85">
        <w:rPr>
          <w:rFonts w:eastAsia="SimSun" w:cstheme="minorHAnsi"/>
          <w:bCs/>
          <w:snapToGrid w:val="0"/>
          <w:lang w:eastAsia="zh-CN"/>
        </w:rPr>
        <w:t>Tsunami Ready</w:t>
      </w:r>
      <w:r w:rsidR="00746117">
        <w:rPr>
          <w:rFonts w:eastAsia="SimSun" w:cstheme="minorHAnsi"/>
          <w:bCs/>
          <w:snapToGrid w:val="0"/>
          <w:lang w:eastAsia="zh-CN"/>
        </w:rPr>
        <w:t xml:space="preserve">, tsunami early warning systems (TEWS), </w:t>
      </w:r>
      <w:r w:rsidR="00712DE3">
        <w:t>Tsunami Evacuation Maps, Plans, and Procedures (TEMPP), Tsunami Warning and Emergency Response Standard Operating Procedures (SOPs), and tsunami hazard and risk assessment.</w:t>
      </w:r>
      <w:r w:rsidR="00E9045F">
        <w:t xml:space="preserve"> To support trainings, ITIC is also developing </w:t>
      </w:r>
      <w:r w:rsidR="00E32053">
        <w:t>training and information videos, including on PTWS enhanced products, TWC operations</w:t>
      </w:r>
      <w:r w:rsidR="00B47C57">
        <w:t xml:space="preserve">, tsunami forecasting, and PacWave and CARIBE Wave </w:t>
      </w:r>
      <w:r w:rsidR="00032F82">
        <w:t>e</w:t>
      </w:r>
      <w:r w:rsidR="00B47C57">
        <w:t>xercises.</w:t>
      </w:r>
    </w:p>
    <w:p w14:paraId="24B45061" w14:textId="77777777" w:rsidR="004C3217" w:rsidRDefault="00240360" w:rsidP="00B54F5B">
      <w:pPr>
        <w:tabs>
          <w:tab w:val="left" w:pos="567"/>
          <w:tab w:val="left" w:pos="786"/>
        </w:tabs>
        <w:snapToGrid w:val="0"/>
        <w:spacing w:after="120"/>
      </w:pPr>
      <w:r>
        <w:t>With regards to tsunami awareness materials,</w:t>
      </w:r>
      <w:r w:rsidR="005F770D">
        <w:t xml:space="preserve"> new </w:t>
      </w:r>
      <w:r w:rsidR="00FD1BD0">
        <w:t xml:space="preserve">ITIC-NCEI </w:t>
      </w:r>
      <w:r w:rsidR="005F770D">
        <w:t>tsunami hazard posters have been printed</w:t>
      </w:r>
      <w:r>
        <w:t xml:space="preserve"> and</w:t>
      </w:r>
      <w:r w:rsidR="00FD1BD0">
        <w:t xml:space="preserve"> ITIC has also produced new regional posters.</w:t>
      </w:r>
      <w:r>
        <w:t xml:space="preserve"> In addition, the </w:t>
      </w:r>
      <w:r w:rsidR="00F472D0">
        <w:t xml:space="preserve">Tsunami Glossary 2019 will be updated in 2022 (currently taking inputs and comments), </w:t>
      </w:r>
      <w:r w:rsidR="00A06FB9">
        <w:t>a Tsunami Warning! Comic was created, and ITIC has several materials available in Spanish.</w:t>
      </w:r>
    </w:p>
    <w:p w14:paraId="3D865182" w14:textId="1D4C584B" w:rsidR="00E9045F" w:rsidRDefault="004C3217" w:rsidP="00E9045F">
      <w:pPr>
        <w:tabs>
          <w:tab w:val="left" w:pos="567"/>
          <w:tab w:val="left" w:pos="786"/>
        </w:tabs>
        <w:snapToGrid w:val="0"/>
        <w:spacing w:after="120"/>
      </w:pPr>
      <w:r>
        <w:t>D</w:t>
      </w:r>
      <w:r w:rsidR="0000408D">
        <w:t>r</w:t>
      </w:r>
      <w:r>
        <w:t xml:space="preserve"> Kong </w:t>
      </w:r>
      <w:r w:rsidR="003B1178">
        <w:t>highlighted</w:t>
      </w:r>
      <w:r>
        <w:t xml:space="preserve"> that ITIC is hosting a Tsunami Ready website on their ITIC website</w:t>
      </w:r>
      <w:r w:rsidR="000307EA">
        <w:t>, where a list of recognized communities can be found. In addition, an interactive map is being developed</w:t>
      </w:r>
      <w:r w:rsidR="00223CCF">
        <w:t xml:space="preserve"> by IOC/TSU</w:t>
      </w:r>
      <w:r w:rsidR="000307EA">
        <w:t>.</w:t>
      </w:r>
      <w:r w:rsidR="003D3064">
        <w:t xml:space="preserve"> In addition, ITIC has developed compilations of best practices</w:t>
      </w:r>
      <w:r w:rsidR="00D26C1A">
        <w:t xml:space="preserve"> for vertical evacuation and for marine preparedness (ports and harbours). </w:t>
      </w:r>
    </w:p>
    <w:p w14:paraId="0F7A9D9C" w14:textId="6F23A1E1" w:rsidR="00B12FA1" w:rsidRDefault="0000408D" w:rsidP="00B12FA1">
      <w:pPr>
        <w:tabs>
          <w:tab w:val="left" w:pos="567"/>
          <w:tab w:val="left" w:pos="786"/>
        </w:tabs>
        <w:snapToGrid w:val="0"/>
        <w:spacing w:after="120"/>
      </w:pPr>
      <w:r>
        <w:t xml:space="preserve">Dr Kong also </w:t>
      </w:r>
      <w:r w:rsidR="003B1178">
        <w:t>underlined</w:t>
      </w:r>
      <w:r>
        <w:t xml:space="preserve"> the role of ITIC in the UN Ocean Decade, notin</w:t>
      </w:r>
      <w:r w:rsidR="00231E5B">
        <w:t>g their desire to provide support as well as push through key initiatives.</w:t>
      </w:r>
      <w:r w:rsidR="00B12FA1">
        <w:t xml:space="preserve"> In particular, these include developing timely forecasts for Local Tsunami Warning (GNSS, SMART, etc.), SMART cables for tsunami early warning</w:t>
      </w:r>
      <w:r w:rsidR="00E55872">
        <w:t>, and Tsunami Ready pilots. She noted that ITIC has received funding from USAID to support Tsunami Ready pilots</w:t>
      </w:r>
      <w:r w:rsidR="00115E88">
        <w:t xml:space="preserve"> between 2021 and 2023.</w:t>
      </w:r>
    </w:p>
    <w:p w14:paraId="00B0514C" w14:textId="3534D490" w:rsidR="00E36700" w:rsidRDefault="00F9521F" w:rsidP="003B1178">
      <w:pPr>
        <w:tabs>
          <w:tab w:val="left" w:pos="567"/>
          <w:tab w:val="left" w:pos="786"/>
        </w:tabs>
        <w:snapToGrid w:val="0"/>
        <w:spacing w:after="120"/>
      </w:pPr>
      <w:r>
        <w:t xml:space="preserve">Finally, </w:t>
      </w:r>
      <w:r w:rsidR="00CB5BAC">
        <w:t xml:space="preserve">Dr Kong presented ITIC tsunami warning </w:t>
      </w:r>
      <w:r w:rsidR="00B84CED">
        <w:t xml:space="preserve">decision support tools, which include the tsunami bulletin board, </w:t>
      </w:r>
      <w:r w:rsidR="004465F3">
        <w:t xml:space="preserve">real-time EQ display and sea-level monitoring, </w:t>
      </w:r>
      <w:r w:rsidR="007F1891">
        <w:t xml:space="preserve">tsunami travel time </w:t>
      </w:r>
      <w:r w:rsidR="007F1891">
        <w:lastRenderedPageBreak/>
        <w:t>software, tsunami historical databases, and tsunami hazard assessment tools (such as TsuC</w:t>
      </w:r>
      <w:r w:rsidR="003B1178">
        <w:t>at</w:t>
      </w:r>
      <w:r w:rsidR="007F1891">
        <w:t>).</w:t>
      </w:r>
    </w:p>
    <w:p w14:paraId="2ED572AC" w14:textId="77777777" w:rsidR="00E36700" w:rsidRPr="00E36700" w:rsidRDefault="00E36700" w:rsidP="0040218D">
      <w:pPr>
        <w:tabs>
          <w:tab w:val="left" w:pos="567"/>
          <w:tab w:val="left" w:pos="786"/>
        </w:tabs>
        <w:snapToGrid w:val="0"/>
        <w:spacing w:before="200" w:after="120"/>
        <w:rPr>
          <w:b/>
          <w:bCs/>
        </w:rPr>
      </w:pPr>
      <w:r w:rsidRPr="00E36700">
        <w:rPr>
          <w:b/>
          <w:bCs/>
        </w:rPr>
        <w:t>Discussion:</w:t>
      </w:r>
    </w:p>
    <w:p w14:paraId="4A7BAAC0" w14:textId="40ADD500" w:rsidR="00E36700" w:rsidRPr="00B613DB" w:rsidRDefault="00F90831" w:rsidP="0040218D">
      <w:pPr>
        <w:tabs>
          <w:tab w:val="left" w:pos="567"/>
          <w:tab w:val="left" w:pos="786"/>
        </w:tabs>
        <w:snapToGrid w:val="0"/>
        <w:spacing w:after="120"/>
        <w:rPr>
          <w:rFonts w:eastAsia="SimSun" w:cstheme="minorHAnsi"/>
          <w:bCs/>
          <w:snapToGrid w:val="0"/>
          <w:lang w:eastAsia="zh-CN"/>
        </w:rPr>
      </w:pPr>
      <w:r>
        <w:rPr>
          <w:rFonts w:eastAsia="SimSun" w:cstheme="minorHAnsi"/>
          <w:bCs/>
          <w:snapToGrid w:val="0"/>
          <w:lang w:eastAsia="zh-CN"/>
        </w:rPr>
        <w:t>Dr</w:t>
      </w:r>
      <w:r w:rsidR="00782F00">
        <w:rPr>
          <w:rFonts w:eastAsia="SimSun" w:cstheme="minorHAnsi"/>
          <w:bCs/>
          <w:snapToGrid w:val="0"/>
          <w:lang w:eastAsia="zh-CN"/>
        </w:rPr>
        <w:t xml:space="preserve"> Bill Fry enquired about</w:t>
      </w:r>
      <w:r w:rsidR="00A75369">
        <w:rPr>
          <w:rFonts w:eastAsia="SimSun" w:cstheme="minorHAnsi"/>
          <w:bCs/>
          <w:snapToGrid w:val="0"/>
          <w:lang w:eastAsia="zh-CN"/>
        </w:rPr>
        <w:t xml:space="preserve"> progress </w:t>
      </w:r>
      <w:r w:rsidR="00782F00">
        <w:rPr>
          <w:rFonts w:eastAsia="SimSun" w:cstheme="minorHAnsi"/>
          <w:bCs/>
          <w:snapToGrid w:val="0"/>
          <w:lang w:eastAsia="zh-CN"/>
        </w:rPr>
        <w:t>made with regards to</w:t>
      </w:r>
      <w:r w:rsidR="00A75369">
        <w:rPr>
          <w:rFonts w:eastAsia="SimSun" w:cstheme="minorHAnsi"/>
          <w:bCs/>
          <w:snapToGrid w:val="0"/>
          <w:lang w:eastAsia="zh-CN"/>
        </w:rPr>
        <w:t xml:space="preserve"> </w:t>
      </w:r>
      <w:r w:rsidR="00782F00">
        <w:rPr>
          <w:rFonts w:eastAsia="SimSun" w:cstheme="minorHAnsi"/>
          <w:bCs/>
          <w:snapToGrid w:val="0"/>
          <w:lang w:eastAsia="zh-CN"/>
        </w:rPr>
        <w:t>maximum</w:t>
      </w:r>
      <w:r w:rsidR="00A75369">
        <w:rPr>
          <w:rFonts w:eastAsia="SimSun" w:cstheme="minorHAnsi"/>
          <w:bCs/>
          <w:snapToGrid w:val="0"/>
          <w:lang w:eastAsia="zh-CN"/>
        </w:rPr>
        <w:t xml:space="preserve"> credible event</w:t>
      </w:r>
      <w:r w:rsidR="00B204F7">
        <w:rPr>
          <w:rFonts w:eastAsia="SimSun" w:cstheme="minorHAnsi"/>
          <w:bCs/>
          <w:snapToGrid w:val="0"/>
          <w:lang w:eastAsia="zh-CN"/>
        </w:rPr>
        <w:t>s in</w:t>
      </w:r>
      <w:r w:rsidR="00782F00">
        <w:rPr>
          <w:rFonts w:eastAsia="SimSun" w:cstheme="minorHAnsi"/>
          <w:bCs/>
          <w:snapToGrid w:val="0"/>
          <w:lang w:eastAsia="zh-CN"/>
        </w:rPr>
        <w:t xml:space="preserve"> the area of the New</w:t>
      </w:r>
      <w:r w:rsidR="00DD3361">
        <w:rPr>
          <w:rFonts w:eastAsia="SimSun" w:cstheme="minorHAnsi"/>
          <w:bCs/>
          <w:snapToGrid w:val="0"/>
          <w:lang w:eastAsia="zh-CN"/>
        </w:rPr>
        <w:t xml:space="preserve"> </w:t>
      </w:r>
      <w:r w:rsidR="00483D46">
        <w:rPr>
          <w:rFonts w:eastAsia="SimSun" w:cstheme="minorHAnsi"/>
          <w:bCs/>
          <w:snapToGrid w:val="0"/>
          <w:lang w:eastAsia="zh-CN"/>
        </w:rPr>
        <w:t xml:space="preserve">Hebrides. Dr Kong responded that all </w:t>
      </w:r>
      <w:r w:rsidR="000917A3">
        <w:rPr>
          <w:rFonts w:eastAsia="SimSun" w:cstheme="minorHAnsi"/>
          <w:bCs/>
          <w:snapToGrid w:val="0"/>
          <w:lang w:eastAsia="zh-CN"/>
        </w:rPr>
        <w:t xml:space="preserve">regional posters are </w:t>
      </w:r>
      <w:r w:rsidR="00A75369">
        <w:rPr>
          <w:rFonts w:eastAsia="SimSun" w:cstheme="minorHAnsi"/>
          <w:bCs/>
          <w:snapToGrid w:val="0"/>
          <w:lang w:eastAsia="zh-CN"/>
        </w:rPr>
        <w:t xml:space="preserve">based on historical </w:t>
      </w:r>
      <w:r w:rsidR="000917A3">
        <w:rPr>
          <w:rFonts w:eastAsia="SimSun" w:cstheme="minorHAnsi"/>
          <w:bCs/>
          <w:snapToGrid w:val="0"/>
          <w:lang w:eastAsia="zh-CN"/>
        </w:rPr>
        <w:t xml:space="preserve">data and do not involve predictions, and also </w:t>
      </w:r>
      <w:r w:rsidR="00B204F7">
        <w:rPr>
          <w:rFonts w:eastAsia="SimSun" w:cstheme="minorHAnsi"/>
          <w:bCs/>
          <w:snapToGrid w:val="0"/>
          <w:lang w:eastAsia="zh-CN"/>
        </w:rPr>
        <w:t xml:space="preserve">agreed that an expert meeting in the region would be beneficial to discuss </w:t>
      </w:r>
      <w:r w:rsidR="000B547A">
        <w:rPr>
          <w:rFonts w:eastAsia="SimSun" w:cstheme="minorHAnsi"/>
          <w:bCs/>
          <w:snapToGrid w:val="0"/>
          <w:lang w:eastAsia="zh-CN"/>
        </w:rPr>
        <w:t>maximum credible events in the area of the New Hebrides.</w:t>
      </w:r>
    </w:p>
    <w:p w14:paraId="0D5D1B1B" w14:textId="2974C1E8" w:rsidR="00586310" w:rsidRPr="000A325C" w:rsidRDefault="009D166D" w:rsidP="0040218D">
      <w:pPr>
        <w:pStyle w:val="Heading1"/>
        <w:spacing w:before="360"/>
        <w:rPr>
          <w:rFonts w:eastAsia="SimSun"/>
          <w:bCs/>
          <w:snapToGrid w:val="0"/>
          <w:lang w:val="en-GB" w:eastAsia="zh-CN"/>
        </w:rPr>
      </w:pPr>
      <w:r w:rsidRPr="001F6D77">
        <w:rPr>
          <w:bCs/>
          <w:snapToGrid w:val="0"/>
          <w:lang w:val="en-GB"/>
        </w:rPr>
        <w:t>PACWAVE 2022</w:t>
      </w:r>
    </w:p>
    <w:p w14:paraId="4EF2CF99" w14:textId="34B33253" w:rsidR="001C55B5" w:rsidRDefault="00C269B8" w:rsidP="00C232FF">
      <w:pPr>
        <w:tabs>
          <w:tab w:val="left" w:pos="567"/>
          <w:tab w:val="left" w:pos="786"/>
        </w:tabs>
        <w:snapToGrid w:val="0"/>
        <w:spacing w:after="120"/>
        <w:rPr>
          <w:rFonts w:eastAsia="SimSun" w:cstheme="minorHAnsi"/>
          <w:bCs/>
          <w:snapToGrid w:val="0"/>
          <w:lang w:val="en-GB" w:eastAsia="zh-CN"/>
        </w:rPr>
      </w:pPr>
      <w:r>
        <w:rPr>
          <w:rFonts w:eastAsia="SimSun" w:cstheme="minorHAnsi"/>
          <w:bCs/>
          <w:snapToGrid w:val="0"/>
          <w:lang w:val="en-GB" w:eastAsia="zh-CN"/>
        </w:rPr>
        <w:t xml:space="preserve">Ms </w:t>
      </w:r>
      <w:r w:rsidR="00D06651">
        <w:rPr>
          <w:rFonts w:eastAsia="SimSun" w:cstheme="minorHAnsi"/>
          <w:bCs/>
          <w:snapToGrid w:val="0"/>
          <w:lang w:val="en-GB" w:eastAsia="zh-CN"/>
        </w:rPr>
        <w:t xml:space="preserve">Margarita </w:t>
      </w:r>
      <w:r>
        <w:rPr>
          <w:rFonts w:eastAsia="SimSun" w:cstheme="minorHAnsi"/>
          <w:bCs/>
          <w:snapToGrid w:val="0"/>
          <w:lang w:val="en-GB" w:eastAsia="zh-CN"/>
        </w:rPr>
        <w:t>Martinez</w:t>
      </w:r>
      <w:r w:rsidR="001C55B5">
        <w:rPr>
          <w:rFonts w:eastAsia="SimSun" w:cstheme="minorHAnsi"/>
          <w:bCs/>
          <w:snapToGrid w:val="0"/>
          <w:lang w:val="en-GB" w:eastAsia="zh-CN"/>
        </w:rPr>
        <w:t>,</w:t>
      </w:r>
      <w:r w:rsidR="00194B4A">
        <w:rPr>
          <w:rFonts w:eastAsia="SimSun" w:cstheme="minorHAnsi"/>
          <w:bCs/>
          <w:snapToGrid w:val="0"/>
          <w:lang w:val="en-GB" w:eastAsia="zh-CN"/>
        </w:rPr>
        <w:t xml:space="preserve"> Co-Chair of the TT on PacWave</w:t>
      </w:r>
      <w:r>
        <w:rPr>
          <w:rFonts w:eastAsia="SimSun" w:cstheme="minorHAnsi"/>
          <w:bCs/>
          <w:snapToGrid w:val="0"/>
          <w:lang w:val="en-GB" w:eastAsia="zh-CN"/>
        </w:rPr>
        <w:t>, p</w:t>
      </w:r>
      <w:r w:rsidR="001C55B5">
        <w:rPr>
          <w:rFonts w:eastAsia="SimSun" w:cstheme="minorHAnsi"/>
          <w:bCs/>
          <w:snapToGrid w:val="0"/>
          <w:lang w:val="en-GB" w:eastAsia="zh-CN"/>
        </w:rPr>
        <w:t>resented the report</w:t>
      </w:r>
      <w:r w:rsidR="00C232FF">
        <w:rPr>
          <w:rFonts w:eastAsia="SimSun" w:cstheme="minorHAnsi"/>
          <w:bCs/>
          <w:snapToGrid w:val="0"/>
          <w:lang w:val="en-GB" w:eastAsia="zh-CN"/>
        </w:rPr>
        <w:t>.</w:t>
      </w:r>
    </w:p>
    <w:p w14:paraId="1130D18E" w14:textId="73FAF8D0" w:rsidR="00D06651" w:rsidRDefault="00C232FF" w:rsidP="00C232FF">
      <w:pPr>
        <w:tabs>
          <w:tab w:val="left" w:pos="567"/>
          <w:tab w:val="left" w:pos="786"/>
        </w:tabs>
        <w:snapToGrid w:val="0"/>
        <w:spacing w:after="120"/>
        <w:rPr>
          <w:rFonts w:eastAsia="SimSun" w:cstheme="minorHAnsi"/>
          <w:bCs/>
          <w:snapToGrid w:val="0"/>
          <w:lang w:eastAsia="zh-CN"/>
        </w:rPr>
      </w:pPr>
      <w:r>
        <w:rPr>
          <w:rFonts w:eastAsia="SimSun" w:cstheme="minorHAnsi"/>
          <w:bCs/>
          <w:snapToGrid w:val="0"/>
          <w:lang w:val="en-GB" w:eastAsia="zh-CN"/>
        </w:rPr>
        <w:t>Ms Martinez</w:t>
      </w:r>
      <w:r w:rsidR="001C55B5">
        <w:rPr>
          <w:rFonts w:eastAsia="SimSun" w:cstheme="minorHAnsi"/>
          <w:bCs/>
          <w:snapToGrid w:val="0"/>
          <w:lang w:val="en-GB" w:eastAsia="zh-CN"/>
        </w:rPr>
        <w:t xml:space="preserve"> </w:t>
      </w:r>
      <w:r w:rsidR="0061500E">
        <w:rPr>
          <w:rFonts w:eastAsia="SimSun" w:cstheme="minorHAnsi"/>
          <w:bCs/>
          <w:snapToGrid w:val="0"/>
          <w:lang w:val="en-GB" w:eastAsia="zh-CN"/>
        </w:rPr>
        <w:t>explain</w:t>
      </w:r>
      <w:r>
        <w:rPr>
          <w:rFonts w:eastAsia="SimSun" w:cstheme="minorHAnsi"/>
          <w:bCs/>
          <w:snapToGrid w:val="0"/>
          <w:lang w:val="en-GB" w:eastAsia="zh-CN"/>
        </w:rPr>
        <w:t>ed</w:t>
      </w:r>
      <w:r w:rsidR="0061500E">
        <w:rPr>
          <w:rFonts w:eastAsia="SimSun" w:cstheme="minorHAnsi"/>
          <w:bCs/>
          <w:snapToGrid w:val="0"/>
          <w:lang w:val="en-GB" w:eastAsia="zh-CN"/>
        </w:rPr>
        <w:t xml:space="preserve"> the aims and objectives of the </w:t>
      </w:r>
      <w:r>
        <w:rPr>
          <w:rFonts w:eastAsia="SimSun" w:cstheme="minorHAnsi"/>
          <w:bCs/>
          <w:snapToGrid w:val="0"/>
          <w:lang w:val="en-GB" w:eastAsia="zh-CN"/>
        </w:rPr>
        <w:t>e</w:t>
      </w:r>
      <w:r w:rsidR="0061500E">
        <w:rPr>
          <w:rFonts w:eastAsia="SimSun" w:cstheme="minorHAnsi"/>
          <w:bCs/>
          <w:snapToGrid w:val="0"/>
          <w:lang w:val="en-GB" w:eastAsia="zh-CN"/>
        </w:rPr>
        <w:t>xercise</w:t>
      </w:r>
      <w:r w:rsidR="000E4C90">
        <w:rPr>
          <w:rFonts w:eastAsia="SimSun" w:cstheme="minorHAnsi"/>
          <w:bCs/>
          <w:snapToGrid w:val="0"/>
          <w:lang w:val="en-GB" w:eastAsia="zh-CN"/>
        </w:rPr>
        <w:t>. I</w:t>
      </w:r>
      <w:r w:rsidR="0061500E">
        <w:rPr>
          <w:rFonts w:eastAsia="SimSun" w:cstheme="minorHAnsi"/>
          <w:bCs/>
          <w:snapToGrid w:val="0"/>
          <w:lang w:val="en-GB" w:eastAsia="zh-CN"/>
        </w:rPr>
        <w:t>t is primarily conduct</w:t>
      </w:r>
      <w:r w:rsidR="000E4C90">
        <w:rPr>
          <w:rFonts w:eastAsia="SimSun" w:cstheme="minorHAnsi"/>
          <w:bCs/>
          <w:snapToGrid w:val="0"/>
          <w:lang w:val="en-GB" w:eastAsia="zh-CN"/>
        </w:rPr>
        <w:t>ed with</w:t>
      </w:r>
      <w:r w:rsidR="001C55B5" w:rsidRPr="001C55B5">
        <w:rPr>
          <w:rFonts w:eastAsia="SimSun" w:cstheme="minorHAnsi"/>
          <w:bCs/>
          <w:snapToGrid w:val="0"/>
          <w:lang w:eastAsia="zh-CN"/>
        </w:rPr>
        <w:t xml:space="preserve"> the aim </w:t>
      </w:r>
      <w:r w:rsidR="000E4C90">
        <w:rPr>
          <w:rFonts w:eastAsia="SimSun" w:cstheme="minorHAnsi"/>
          <w:bCs/>
          <w:snapToGrid w:val="0"/>
          <w:lang w:eastAsia="zh-CN"/>
        </w:rPr>
        <w:t>of</w:t>
      </w:r>
      <w:r w:rsidR="001C55B5" w:rsidRPr="001C55B5">
        <w:rPr>
          <w:rFonts w:eastAsia="SimSun" w:cstheme="minorHAnsi"/>
          <w:bCs/>
          <w:snapToGrid w:val="0"/>
          <w:lang w:eastAsia="zh-CN"/>
        </w:rPr>
        <w:t xml:space="preserve"> test</w:t>
      </w:r>
      <w:r w:rsidR="000E4C90">
        <w:rPr>
          <w:rFonts w:eastAsia="SimSun" w:cstheme="minorHAnsi"/>
          <w:bCs/>
          <w:snapToGrid w:val="0"/>
          <w:lang w:eastAsia="zh-CN"/>
        </w:rPr>
        <w:t>ing</w:t>
      </w:r>
      <w:r w:rsidR="001C55B5" w:rsidRPr="001C55B5">
        <w:rPr>
          <w:rFonts w:eastAsia="SimSun" w:cstheme="minorHAnsi"/>
          <w:bCs/>
          <w:snapToGrid w:val="0"/>
          <w:lang w:eastAsia="zh-CN"/>
        </w:rPr>
        <w:t xml:space="preserve"> PTWS </w:t>
      </w:r>
      <w:r w:rsidR="00B82739">
        <w:rPr>
          <w:rFonts w:eastAsia="SimSun" w:cstheme="minorHAnsi"/>
          <w:bCs/>
          <w:snapToGrid w:val="0"/>
          <w:lang w:eastAsia="zh-CN"/>
        </w:rPr>
        <w:t>T</w:t>
      </w:r>
      <w:r w:rsidR="001C55B5" w:rsidRPr="001C55B5">
        <w:rPr>
          <w:rFonts w:eastAsia="SimSun" w:cstheme="minorHAnsi"/>
          <w:bCs/>
          <w:snapToGrid w:val="0"/>
          <w:lang w:eastAsia="zh-CN"/>
        </w:rPr>
        <w:t xml:space="preserve">sunami </w:t>
      </w:r>
      <w:r w:rsidR="00B82739">
        <w:rPr>
          <w:rFonts w:eastAsia="SimSun" w:cstheme="minorHAnsi"/>
          <w:bCs/>
          <w:snapToGrid w:val="0"/>
          <w:lang w:eastAsia="zh-CN"/>
        </w:rPr>
        <w:t>S</w:t>
      </w:r>
      <w:r w:rsidR="001C55B5" w:rsidRPr="001C55B5">
        <w:rPr>
          <w:rFonts w:eastAsia="SimSun" w:cstheme="minorHAnsi"/>
          <w:bCs/>
          <w:snapToGrid w:val="0"/>
          <w:lang w:eastAsia="zh-CN"/>
        </w:rPr>
        <w:t xml:space="preserve">ervice </w:t>
      </w:r>
      <w:r w:rsidR="00B82739">
        <w:rPr>
          <w:rFonts w:eastAsia="SimSun" w:cstheme="minorHAnsi"/>
          <w:bCs/>
          <w:snapToGrid w:val="0"/>
          <w:lang w:eastAsia="zh-CN"/>
        </w:rPr>
        <w:t>P</w:t>
      </w:r>
      <w:r w:rsidR="001C55B5" w:rsidRPr="001C55B5">
        <w:rPr>
          <w:rFonts w:eastAsia="SimSun" w:cstheme="minorHAnsi"/>
          <w:bCs/>
          <w:snapToGrid w:val="0"/>
          <w:lang w:eastAsia="zh-CN"/>
        </w:rPr>
        <w:t>rovider</w:t>
      </w:r>
      <w:r w:rsidR="00B82739">
        <w:rPr>
          <w:rFonts w:eastAsia="SimSun" w:cstheme="minorHAnsi"/>
          <w:bCs/>
          <w:snapToGrid w:val="0"/>
          <w:lang w:eastAsia="zh-CN"/>
        </w:rPr>
        <w:t>s (TSPs)</w:t>
      </w:r>
      <w:r w:rsidR="001C55B5" w:rsidRPr="001C55B5">
        <w:rPr>
          <w:rFonts w:eastAsia="SimSun" w:cstheme="minorHAnsi"/>
          <w:bCs/>
          <w:snapToGrid w:val="0"/>
          <w:lang w:eastAsia="zh-CN"/>
        </w:rPr>
        <w:t xml:space="preserve"> arrangements</w:t>
      </w:r>
      <w:r w:rsidR="00B82739">
        <w:rPr>
          <w:rFonts w:eastAsia="SimSun" w:cstheme="minorHAnsi"/>
          <w:bCs/>
          <w:snapToGrid w:val="0"/>
          <w:lang w:eastAsia="zh-CN"/>
        </w:rPr>
        <w:t>,</w:t>
      </w:r>
      <w:r w:rsidR="001C55B5" w:rsidRPr="001C55B5">
        <w:rPr>
          <w:rFonts w:eastAsia="SimSun" w:cstheme="minorHAnsi"/>
          <w:bCs/>
          <w:snapToGrid w:val="0"/>
          <w:lang w:eastAsia="zh-CN"/>
        </w:rPr>
        <w:t xml:space="preserve"> </w:t>
      </w:r>
      <w:r w:rsidR="001B6669">
        <w:rPr>
          <w:rFonts w:eastAsia="SimSun" w:cstheme="minorHAnsi"/>
          <w:bCs/>
          <w:snapToGrid w:val="0"/>
          <w:lang w:eastAsia="zh-CN"/>
        </w:rPr>
        <w:t>c</w:t>
      </w:r>
      <w:r w:rsidR="001C55B5" w:rsidRPr="001C55B5">
        <w:rPr>
          <w:rFonts w:eastAsia="SimSun" w:cstheme="minorHAnsi"/>
          <w:bCs/>
          <w:snapToGrid w:val="0"/>
          <w:lang w:eastAsia="zh-CN"/>
        </w:rPr>
        <w:t>ountry preparedness arrangements and operational procedures to respond and recover from a destructive tsunami.</w:t>
      </w:r>
      <w:r w:rsidR="00B82739">
        <w:rPr>
          <w:rFonts w:eastAsia="SimSun" w:cstheme="minorHAnsi"/>
          <w:bCs/>
          <w:snapToGrid w:val="0"/>
          <w:lang w:eastAsia="zh-CN"/>
        </w:rPr>
        <w:t xml:space="preserve"> </w:t>
      </w:r>
      <w:r w:rsidR="003E5AB8">
        <w:rPr>
          <w:rFonts w:eastAsia="SimSun" w:cstheme="minorHAnsi"/>
          <w:bCs/>
          <w:snapToGrid w:val="0"/>
          <w:lang w:eastAsia="zh-CN"/>
        </w:rPr>
        <w:t xml:space="preserve"> Key objectives of the </w:t>
      </w:r>
      <w:r>
        <w:rPr>
          <w:rFonts w:eastAsia="SimSun" w:cstheme="minorHAnsi"/>
          <w:bCs/>
          <w:snapToGrid w:val="0"/>
          <w:lang w:eastAsia="zh-CN"/>
        </w:rPr>
        <w:t>e</w:t>
      </w:r>
      <w:r w:rsidR="003E5AB8">
        <w:rPr>
          <w:rFonts w:eastAsia="SimSun" w:cstheme="minorHAnsi"/>
          <w:bCs/>
          <w:snapToGrid w:val="0"/>
          <w:lang w:eastAsia="zh-CN"/>
        </w:rPr>
        <w:t>xercise include to t</w:t>
      </w:r>
      <w:r w:rsidR="001C55B5" w:rsidRPr="001C55B5">
        <w:rPr>
          <w:rFonts w:eastAsia="SimSun" w:cstheme="minorHAnsi"/>
          <w:bCs/>
          <w:snapToGrid w:val="0"/>
          <w:lang w:eastAsia="zh-CN"/>
        </w:rPr>
        <w:t xml:space="preserve">est communications from the PTWS </w:t>
      </w:r>
      <w:r>
        <w:rPr>
          <w:rFonts w:eastAsia="SimSun" w:cstheme="minorHAnsi"/>
          <w:bCs/>
          <w:snapToGrid w:val="0"/>
          <w:lang w:eastAsia="zh-CN"/>
        </w:rPr>
        <w:t>TSPs</w:t>
      </w:r>
      <w:r w:rsidR="001C55B5" w:rsidRPr="001C55B5">
        <w:rPr>
          <w:rFonts w:eastAsia="SimSun" w:cstheme="minorHAnsi"/>
          <w:bCs/>
          <w:snapToGrid w:val="0"/>
          <w:lang w:eastAsia="zh-CN"/>
        </w:rPr>
        <w:t xml:space="preserve"> to Tsunami Warning Focal Points</w:t>
      </w:r>
      <w:r>
        <w:rPr>
          <w:rFonts w:eastAsia="SimSun" w:cstheme="minorHAnsi"/>
          <w:bCs/>
          <w:snapToGrid w:val="0"/>
          <w:lang w:eastAsia="zh-CN"/>
        </w:rPr>
        <w:t xml:space="preserve"> (TWFPs)</w:t>
      </w:r>
      <w:r w:rsidR="001C55B5" w:rsidRPr="001C55B5">
        <w:rPr>
          <w:rFonts w:eastAsia="SimSun" w:cstheme="minorHAnsi"/>
          <w:bCs/>
          <w:snapToGrid w:val="0"/>
          <w:lang w:eastAsia="zh-CN"/>
        </w:rPr>
        <w:t xml:space="preserve"> and </w:t>
      </w:r>
      <w:r>
        <w:rPr>
          <w:rFonts w:eastAsia="SimSun" w:cstheme="minorHAnsi"/>
          <w:bCs/>
          <w:snapToGrid w:val="0"/>
          <w:lang w:eastAsia="zh-CN"/>
        </w:rPr>
        <w:t>N</w:t>
      </w:r>
      <w:r w:rsidR="00B82739">
        <w:rPr>
          <w:rFonts w:eastAsia="SimSun" w:cstheme="minorHAnsi"/>
          <w:bCs/>
          <w:snapToGrid w:val="0"/>
          <w:lang w:eastAsia="zh-CN"/>
        </w:rPr>
        <w:t>ational Tsunami Warning Centers (N</w:t>
      </w:r>
      <w:r>
        <w:rPr>
          <w:rFonts w:eastAsia="SimSun" w:cstheme="minorHAnsi"/>
          <w:bCs/>
          <w:snapToGrid w:val="0"/>
          <w:lang w:eastAsia="zh-CN"/>
        </w:rPr>
        <w:t>TWCs</w:t>
      </w:r>
      <w:r w:rsidR="00B82739">
        <w:rPr>
          <w:rFonts w:eastAsia="SimSun" w:cstheme="minorHAnsi"/>
          <w:bCs/>
          <w:snapToGrid w:val="0"/>
          <w:lang w:eastAsia="zh-CN"/>
        </w:rPr>
        <w:t>)</w:t>
      </w:r>
      <w:r w:rsidR="001C55B5" w:rsidRPr="001C55B5">
        <w:rPr>
          <w:rFonts w:eastAsia="SimSun" w:cstheme="minorHAnsi"/>
          <w:bCs/>
          <w:snapToGrid w:val="0"/>
          <w:lang w:eastAsia="zh-CN"/>
        </w:rPr>
        <w:t xml:space="preserve"> of Member States</w:t>
      </w:r>
      <w:r w:rsidR="003E5AB8">
        <w:rPr>
          <w:rFonts w:eastAsia="SimSun" w:cstheme="minorHAnsi"/>
          <w:bCs/>
          <w:snapToGrid w:val="0"/>
          <w:lang w:eastAsia="zh-CN"/>
        </w:rPr>
        <w:t>; to t</w:t>
      </w:r>
      <w:r w:rsidR="001C55B5" w:rsidRPr="001C55B5">
        <w:rPr>
          <w:rFonts w:eastAsia="SimSun" w:cstheme="minorHAnsi"/>
          <w:bCs/>
          <w:snapToGrid w:val="0"/>
          <w:lang w:eastAsia="zh-CN"/>
        </w:rPr>
        <w:t>est national communication and cooperation, and readiness within the country</w:t>
      </w:r>
      <w:r w:rsidR="003E5AB8">
        <w:rPr>
          <w:rFonts w:eastAsia="SimSun" w:cstheme="minorHAnsi"/>
          <w:bCs/>
          <w:snapToGrid w:val="0"/>
          <w:lang w:eastAsia="zh-CN"/>
        </w:rPr>
        <w:t>; to t</w:t>
      </w:r>
      <w:r w:rsidR="001C55B5" w:rsidRPr="001C55B5">
        <w:rPr>
          <w:rFonts w:eastAsia="SimSun" w:cstheme="minorHAnsi"/>
          <w:bCs/>
          <w:snapToGrid w:val="0"/>
          <w:lang w:eastAsia="zh-CN"/>
        </w:rPr>
        <w:t>est regional communication and cooperation between Member States</w:t>
      </w:r>
      <w:r w:rsidR="003E5AB8">
        <w:rPr>
          <w:rFonts w:eastAsia="SimSun" w:cstheme="minorHAnsi"/>
          <w:bCs/>
          <w:snapToGrid w:val="0"/>
          <w:lang w:eastAsia="zh-CN"/>
        </w:rPr>
        <w:t>; and to s</w:t>
      </w:r>
      <w:r w:rsidR="001C55B5" w:rsidRPr="001C55B5">
        <w:rPr>
          <w:rFonts w:eastAsia="SimSun" w:cstheme="minorHAnsi"/>
          <w:bCs/>
          <w:snapToGrid w:val="0"/>
          <w:lang w:eastAsia="zh-CN"/>
        </w:rPr>
        <w:t>upport the development of tsunami procedures and products by CATAC.</w:t>
      </w:r>
    </w:p>
    <w:p w14:paraId="74227E23" w14:textId="3FE8C751" w:rsidR="00C02AF2" w:rsidRDefault="00C232FF" w:rsidP="00C232FF">
      <w:pPr>
        <w:tabs>
          <w:tab w:val="left" w:pos="567"/>
          <w:tab w:val="left" w:pos="786"/>
        </w:tabs>
        <w:snapToGrid w:val="0"/>
        <w:spacing w:after="120"/>
        <w:rPr>
          <w:rFonts w:eastAsia="SimSun" w:cstheme="minorHAnsi"/>
          <w:bCs/>
          <w:snapToGrid w:val="0"/>
          <w:lang w:eastAsia="zh-CN"/>
        </w:rPr>
      </w:pPr>
      <w:r>
        <w:rPr>
          <w:rFonts w:eastAsia="SimSun" w:cstheme="minorHAnsi"/>
          <w:bCs/>
          <w:snapToGrid w:val="0"/>
          <w:lang w:eastAsia="zh-CN"/>
        </w:rPr>
        <w:t>Ms Martinez</w:t>
      </w:r>
      <w:r w:rsidR="00AB3BAA">
        <w:rPr>
          <w:rFonts w:eastAsia="SimSun" w:cstheme="minorHAnsi"/>
          <w:bCs/>
          <w:snapToGrid w:val="0"/>
          <w:lang w:eastAsia="zh-CN"/>
        </w:rPr>
        <w:t xml:space="preserve"> next reported on the conduct of the </w:t>
      </w:r>
      <w:r>
        <w:rPr>
          <w:rFonts w:eastAsia="SimSun" w:cstheme="minorHAnsi"/>
          <w:bCs/>
          <w:snapToGrid w:val="0"/>
          <w:lang w:eastAsia="zh-CN"/>
        </w:rPr>
        <w:t>e</w:t>
      </w:r>
      <w:r w:rsidR="00AB3BAA">
        <w:rPr>
          <w:rFonts w:eastAsia="SimSun" w:cstheme="minorHAnsi"/>
          <w:bCs/>
          <w:snapToGrid w:val="0"/>
          <w:lang w:eastAsia="zh-CN"/>
        </w:rPr>
        <w:t>xercise</w:t>
      </w:r>
      <w:r>
        <w:rPr>
          <w:rFonts w:eastAsia="SimSun" w:cstheme="minorHAnsi"/>
          <w:bCs/>
          <w:snapToGrid w:val="0"/>
          <w:lang w:eastAsia="zh-CN"/>
        </w:rPr>
        <w:t xml:space="preserve">, which </w:t>
      </w:r>
      <w:r w:rsidR="00C02AF2">
        <w:rPr>
          <w:rFonts w:eastAsia="SimSun" w:cstheme="minorHAnsi"/>
          <w:bCs/>
          <w:snapToGrid w:val="0"/>
          <w:lang w:eastAsia="zh-CN"/>
        </w:rPr>
        <w:t>will take</w:t>
      </w:r>
      <w:r w:rsidR="00C02AF2" w:rsidRPr="00C02AF2">
        <w:rPr>
          <w:rFonts w:eastAsia="SimSun" w:cstheme="minorHAnsi"/>
          <w:bCs/>
          <w:snapToGrid w:val="0"/>
          <w:lang w:eastAsia="zh-CN"/>
        </w:rPr>
        <w:t xml:space="preserve"> place </w:t>
      </w:r>
      <w:r>
        <w:rPr>
          <w:rFonts w:eastAsia="SimSun" w:cstheme="minorHAnsi"/>
          <w:bCs/>
          <w:snapToGrid w:val="0"/>
          <w:lang w:eastAsia="zh-CN"/>
        </w:rPr>
        <w:t xml:space="preserve">from </w:t>
      </w:r>
      <w:r w:rsidR="00C02AF2" w:rsidRPr="00C02AF2">
        <w:rPr>
          <w:rFonts w:eastAsia="SimSun" w:cstheme="minorHAnsi"/>
          <w:bCs/>
          <w:snapToGrid w:val="0"/>
          <w:lang w:eastAsia="zh-CN"/>
        </w:rPr>
        <w:t>September to November 2022 to support International Disaster Risk Reduction Day (13 October) and World Tsunami Awareness Day (5 November).​</w:t>
      </w:r>
    </w:p>
    <w:p w14:paraId="7D2D3AB2" w14:textId="2723B003" w:rsidR="00E138D4" w:rsidRDefault="00E138D4" w:rsidP="00C232FF">
      <w:pPr>
        <w:tabs>
          <w:tab w:val="left" w:pos="567"/>
          <w:tab w:val="left" w:pos="786"/>
        </w:tabs>
        <w:snapToGrid w:val="0"/>
        <w:spacing w:after="120"/>
        <w:rPr>
          <w:rFonts w:eastAsia="SimSun" w:cstheme="minorHAnsi"/>
          <w:bCs/>
          <w:snapToGrid w:val="0"/>
          <w:lang w:eastAsia="zh-CN"/>
        </w:rPr>
      </w:pPr>
      <w:r>
        <w:rPr>
          <w:rFonts w:eastAsia="SimSun" w:cstheme="minorHAnsi"/>
          <w:bCs/>
          <w:snapToGrid w:val="0"/>
          <w:lang w:eastAsia="zh-CN"/>
        </w:rPr>
        <w:t xml:space="preserve">She also </w:t>
      </w:r>
      <w:r w:rsidR="00947D2C">
        <w:rPr>
          <w:rFonts w:eastAsia="SimSun" w:cstheme="minorHAnsi"/>
          <w:bCs/>
          <w:snapToGrid w:val="0"/>
          <w:lang w:eastAsia="zh-CN"/>
        </w:rPr>
        <w:t xml:space="preserve">noted that </w:t>
      </w:r>
      <w:r w:rsidR="00D5216D">
        <w:rPr>
          <w:rFonts w:eastAsia="SimSun" w:cstheme="minorHAnsi"/>
          <w:bCs/>
          <w:snapToGrid w:val="0"/>
          <w:lang w:eastAsia="zh-CN"/>
        </w:rPr>
        <w:t>PacWave</w:t>
      </w:r>
      <w:r w:rsidR="006F69A8">
        <w:rPr>
          <w:rFonts w:eastAsia="SimSun" w:cstheme="minorHAnsi"/>
          <w:bCs/>
          <w:snapToGrid w:val="0"/>
          <w:lang w:eastAsia="zh-CN"/>
        </w:rPr>
        <w:t xml:space="preserve"> 2022 </w:t>
      </w:r>
      <w:r w:rsidR="00947D2C">
        <w:rPr>
          <w:rFonts w:eastAsia="SimSun" w:cstheme="minorHAnsi"/>
          <w:bCs/>
          <w:snapToGrid w:val="0"/>
          <w:lang w:eastAsia="zh-CN"/>
        </w:rPr>
        <w:t>will be</w:t>
      </w:r>
      <w:r w:rsidRPr="00E138D4">
        <w:rPr>
          <w:rFonts w:eastAsia="SimSun" w:cstheme="minorHAnsi"/>
          <w:bCs/>
          <w:snapToGrid w:val="0"/>
          <w:lang w:eastAsia="zh-CN"/>
        </w:rPr>
        <w:t xml:space="preserve"> conducted as a series of regional exercises organized through the PTWS Regional Working Groups where applicable, with support from the PTWS TSPs and ITIC, involving all PTWS countries as part of the regular biennial Pacific Wave exercise conducted since 2006.</w:t>
      </w:r>
      <w:r w:rsidR="00947D2C">
        <w:rPr>
          <w:rFonts w:eastAsia="SimSun" w:cstheme="minorHAnsi"/>
          <w:bCs/>
          <w:snapToGrid w:val="0"/>
          <w:lang w:eastAsia="zh-CN"/>
        </w:rPr>
        <w:t xml:space="preserve"> In addition, the </w:t>
      </w:r>
      <w:r w:rsidR="00C232FF">
        <w:rPr>
          <w:rFonts w:eastAsia="SimSun" w:cstheme="minorHAnsi"/>
          <w:bCs/>
          <w:snapToGrid w:val="0"/>
          <w:lang w:eastAsia="zh-CN"/>
        </w:rPr>
        <w:t>e</w:t>
      </w:r>
      <w:r w:rsidR="00947D2C">
        <w:rPr>
          <w:rFonts w:eastAsia="SimSun" w:cstheme="minorHAnsi"/>
          <w:bCs/>
          <w:snapToGrid w:val="0"/>
          <w:lang w:eastAsia="zh-CN"/>
        </w:rPr>
        <w:t xml:space="preserve">xercise will </w:t>
      </w:r>
      <w:r w:rsidR="006F69A8">
        <w:rPr>
          <w:rFonts w:eastAsia="SimSun" w:cstheme="minorHAnsi"/>
          <w:bCs/>
          <w:snapToGrid w:val="0"/>
          <w:lang w:eastAsia="zh-CN"/>
        </w:rPr>
        <w:t xml:space="preserve">be conducted </w:t>
      </w:r>
      <w:r w:rsidR="006F69A8" w:rsidRPr="006F69A8">
        <w:rPr>
          <w:rFonts w:eastAsia="SimSun" w:cstheme="minorHAnsi"/>
          <w:bCs/>
          <w:snapToGrid w:val="0"/>
          <w:lang w:eastAsia="zh-CN"/>
        </w:rPr>
        <w:t>to include one live communications test from the PTWS TSPs to Member States on 5 November 2022</w:t>
      </w:r>
      <w:r w:rsidR="006F69A8">
        <w:rPr>
          <w:rFonts w:eastAsia="SimSun" w:cstheme="minorHAnsi"/>
          <w:bCs/>
          <w:snapToGrid w:val="0"/>
          <w:lang w:eastAsia="zh-CN"/>
        </w:rPr>
        <w:t xml:space="preserve">. </w:t>
      </w:r>
    </w:p>
    <w:p w14:paraId="3E2C0184" w14:textId="47ABEAA0" w:rsidR="00194B4A" w:rsidRDefault="007519CA" w:rsidP="00C232FF">
      <w:pPr>
        <w:tabs>
          <w:tab w:val="left" w:pos="567"/>
          <w:tab w:val="left" w:pos="786"/>
        </w:tabs>
        <w:snapToGrid w:val="0"/>
        <w:spacing w:after="120"/>
        <w:rPr>
          <w:rFonts w:eastAsia="SimSun" w:cstheme="minorHAnsi"/>
          <w:bCs/>
          <w:snapToGrid w:val="0"/>
          <w:lang w:eastAsia="zh-CN"/>
        </w:rPr>
      </w:pPr>
      <w:r>
        <w:rPr>
          <w:rFonts w:eastAsia="SimSun" w:cstheme="minorHAnsi"/>
          <w:bCs/>
          <w:snapToGrid w:val="0"/>
          <w:lang w:eastAsia="zh-CN"/>
        </w:rPr>
        <w:t xml:space="preserve">Ms </w:t>
      </w:r>
      <w:r w:rsidR="00C232FF">
        <w:rPr>
          <w:rFonts w:eastAsia="SimSun" w:cstheme="minorHAnsi"/>
          <w:bCs/>
          <w:snapToGrid w:val="0"/>
          <w:lang w:eastAsia="zh-CN"/>
        </w:rPr>
        <w:t>Martinez</w:t>
      </w:r>
      <w:r>
        <w:rPr>
          <w:rFonts w:eastAsia="SimSun" w:cstheme="minorHAnsi"/>
          <w:bCs/>
          <w:snapToGrid w:val="0"/>
          <w:lang w:eastAsia="zh-CN"/>
        </w:rPr>
        <w:t xml:space="preserve"> further detailed the characteristics of the planned activities for PacWave 2022</w:t>
      </w:r>
      <w:r w:rsidR="00D967EC">
        <w:rPr>
          <w:rFonts w:eastAsia="SimSun" w:cstheme="minorHAnsi"/>
          <w:bCs/>
          <w:snapToGrid w:val="0"/>
          <w:lang w:eastAsia="zh-CN"/>
        </w:rPr>
        <w:t xml:space="preserve">. The </w:t>
      </w:r>
      <w:r w:rsidR="00C232FF">
        <w:rPr>
          <w:rFonts w:eastAsia="SimSun" w:cstheme="minorHAnsi"/>
          <w:bCs/>
          <w:snapToGrid w:val="0"/>
          <w:lang w:eastAsia="zh-CN"/>
        </w:rPr>
        <w:t>e</w:t>
      </w:r>
      <w:r w:rsidR="00D967EC">
        <w:rPr>
          <w:rFonts w:eastAsia="SimSun" w:cstheme="minorHAnsi"/>
          <w:bCs/>
          <w:snapToGrid w:val="0"/>
          <w:lang w:eastAsia="zh-CN"/>
        </w:rPr>
        <w:t>xercise will be</w:t>
      </w:r>
      <w:r w:rsidRPr="007519CA">
        <w:rPr>
          <w:rFonts w:eastAsia="SimSun" w:cstheme="minorHAnsi"/>
          <w:bCs/>
          <w:snapToGrid w:val="0"/>
          <w:lang w:eastAsia="zh-CN"/>
        </w:rPr>
        <w:t xml:space="preserve"> conducted to include exercise activities over and above a </w:t>
      </w:r>
      <w:r w:rsidR="00D967EC" w:rsidRPr="007519CA">
        <w:rPr>
          <w:rFonts w:eastAsia="SimSun" w:cstheme="minorHAnsi"/>
          <w:bCs/>
          <w:snapToGrid w:val="0"/>
          <w:lang w:eastAsia="zh-CN"/>
        </w:rPr>
        <w:t>tabletop</w:t>
      </w:r>
      <w:r w:rsidRPr="007519CA">
        <w:rPr>
          <w:rFonts w:eastAsia="SimSun" w:cstheme="minorHAnsi"/>
          <w:bCs/>
          <w:snapToGrid w:val="0"/>
          <w:lang w:eastAsia="zh-CN"/>
        </w:rPr>
        <w:t xml:space="preserve"> exercise. </w:t>
      </w:r>
      <w:r w:rsidR="00D967EC">
        <w:rPr>
          <w:rFonts w:eastAsia="SimSun" w:cstheme="minorHAnsi"/>
          <w:bCs/>
          <w:snapToGrid w:val="0"/>
          <w:lang w:eastAsia="zh-CN"/>
        </w:rPr>
        <w:t>She noted that p</w:t>
      </w:r>
      <w:r w:rsidRPr="007519CA">
        <w:rPr>
          <w:rFonts w:eastAsia="SimSun" w:cstheme="minorHAnsi"/>
          <w:bCs/>
          <w:snapToGrid w:val="0"/>
          <w:lang w:eastAsia="zh-CN"/>
        </w:rPr>
        <w:t xml:space="preserve">ossible exercise variations </w:t>
      </w:r>
      <w:r w:rsidR="003D3597">
        <w:rPr>
          <w:rFonts w:eastAsia="SimSun" w:cstheme="minorHAnsi"/>
          <w:bCs/>
          <w:snapToGrid w:val="0"/>
          <w:lang w:eastAsia="zh-CN"/>
        </w:rPr>
        <w:t xml:space="preserve">related to the pandemic </w:t>
      </w:r>
      <w:r w:rsidRPr="007519CA">
        <w:rPr>
          <w:rFonts w:eastAsia="SimSun" w:cstheme="minorHAnsi"/>
          <w:bCs/>
          <w:snapToGrid w:val="0"/>
          <w:lang w:eastAsia="zh-CN"/>
        </w:rPr>
        <w:t xml:space="preserve">include: </w:t>
      </w:r>
      <w:r w:rsidR="00DA67CD">
        <w:rPr>
          <w:rFonts w:eastAsia="SimSun" w:cstheme="minorHAnsi"/>
          <w:bCs/>
          <w:snapToGrid w:val="0"/>
          <w:lang w:eastAsia="zh-CN"/>
        </w:rPr>
        <w:t xml:space="preserve">conducting </w:t>
      </w:r>
      <w:r w:rsidR="00BE7D51" w:rsidRPr="007519CA">
        <w:rPr>
          <w:rFonts w:eastAsia="SimSun" w:cstheme="minorHAnsi"/>
          <w:bCs/>
          <w:snapToGrid w:val="0"/>
          <w:lang w:eastAsia="zh-CN"/>
        </w:rPr>
        <w:t>virtual exercises, and/or evacuations/sheltering considering physical distancing practices of a pandemic</w:t>
      </w:r>
      <w:r w:rsidR="00BE7D51">
        <w:rPr>
          <w:rFonts w:eastAsia="SimSun" w:cstheme="minorHAnsi"/>
          <w:bCs/>
          <w:snapToGrid w:val="0"/>
          <w:lang w:eastAsia="zh-CN"/>
        </w:rPr>
        <w:t xml:space="preserve">; </w:t>
      </w:r>
      <w:r w:rsidR="00BE7D51" w:rsidRPr="007519CA">
        <w:rPr>
          <w:rFonts w:eastAsia="SimSun" w:cstheme="minorHAnsi"/>
          <w:bCs/>
          <w:snapToGrid w:val="0"/>
          <w:lang w:eastAsia="zh-CN"/>
        </w:rPr>
        <w:t>conducting in real time during the daytime working hours with full staffing, or simulating minimal staff during night time or weekend hours</w:t>
      </w:r>
      <w:r w:rsidR="00DA67CD">
        <w:rPr>
          <w:rFonts w:eastAsia="SimSun" w:cstheme="minorHAnsi"/>
          <w:bCs/>
          <w:snapToGrid w:val="0"/>
          <w:lang w:eastAsia="zh-CN"/>
        </w:rPr>
        <w:t xml:space="preserve">; </w:t>
      </w:r>
      <w:r w:rsidRPr="007519CA">
        <w:rPr>
          <w:rFonts w:eastAsia="SimSun" w:cstheme="minorHAnsi"/>
          <w:bCs/>
          <w:snapToGrid w:val="0"/>
          <w:lang w:eastAsia="zh-CN"/>
        </w:rPr>
        <w:t>testing country capability to carry out their warning and response responsibilities for the situation where one or more PTWS TSPs is not able to provide guidance in a timely manner</w:t>
      </w:r>
      <w:r w:rsidR="003A558B">
        <w:rPr>
          <w:rFonts w:eastAsia="SimSun" w:cstheme="minorHAnsi"/>
          <w:bCs/>
          <w:snapToGrid w:val="0"/>
          <w:lang w:eastAsia="zh-CN"/>
        </w:rPr>
        <w:t>;</w:t>
      </w:r>
      <w:r w:rsidRPr="007519CA">
        <w:rPr>
          <w:rFonts w:eastAsia="SimSun" w:cstheme="minorHAnsi"/>
          <w:bCs/>
          <w:snapToGrid w:val="0"/>
          <w:lang w:eastAsia="zh-CN"/>
        </w:rPr>
        <w:t xml:space="preserve"> conducting the exercise down to the community level, including where possible an extensive public awareness campaign.</w:t>
      </w:r>
      <w:r w:rsidR="001D3E54">
        <w:rPr>
          <w:rFonts w:eastAsia="SimSun" w:cstheme="minorHAnsi"/>
          <w:bCs/>
          <w:snapToGrid w:val="0"/>
          <w:lang w:eastAsia="zh-CN"/>
        </w:rPr>
        <w:t xml:space="preserve"> </w:t>
      </w:r>
      <w:r w:rsidR="003A558B">
        <w:rPr>
          <w:rFonts w:eastAsia="SimSun" w:cstheme="minorHAnsi"/>
          <w:bCs/>
          <w:snapToGrid w:val="0"/>
          <w:lang w:eastAsia="zh-CN"/>
        </w:rPr>
        <w:t>She also noted the importance of c</w:t>
      </w:r>
      <w:r w:rsidRPr="007519CA">
        <w:rPr>
          <w:rFonts w:eastAsia="SimSun" w:cstheme="minorHAnsi"/>
          <w:bCs/>
          <w:snapToGrid w:val="0"/>
          <w:lang w:eastAsia="zh-CN"/>
        </w:rPr>
        <w:t>onsider</w:t>
      </w:r>
      <w:r w:rsidR="003A558B">
        <w:rPr>
          <w:rFonts w:eastAsia="SimSun" w:cstheme="minorHAnsi"/>
          <w:bCs/>
          <w:snapToGrid w:val="0"/>
          <w:lang w:eastAsia="zh-CN"/>
        </w:rPr>
        <w:t>ing</w:t>
      </w:r>
      <w:r w:rsidRPr="007519CA">
        <w:rPr>
          <w:rFonts w:eastAsia="SimSun" w:cstheme="minorHAnsi"/>
          <w:bCs/>
          <w:snapToGrid w:val="0"/>
          <w:lang w:eastAsia="zh-CN"/>
        </w:rPr>
        <w:t xml:space="preserve"> the Global Sendai Framework for Disaster Risk Reduction, World Tsunami Awareness Day and/or the UN Decade of Ocean Science for Sustainable Development in designing the exercise.</w:t>
      </w:r>
    </w:p>
    <w:p w14:paraId="5C80547C" w14:textId="4612E0D7" w:rsidR="008A4052" w:rsidRDefault="008E507D" w:rsidP="00C232FF">
      <w:pPr>
        <w:tabs>
          <w:tab w:val="left" w:pos="567"/>
          <w:tab w:val="left" w:pos="786"/>
        </w:tabs>
        <w:snapToGrid w:val="0"/>
        <w:spacing w:after="120"/>
        <w:rPr>
          <w:rFonts w:eastAsia="SimSun" w:cstheme="minorHAnsi"/>
          <w:bCs/>
          <w:snapToGrid w:val="0"/>
          <w:lang w:eastAsia="zh-CN"/>
        </w:rPr>
      </w:pPr>
      <w:r w:rsidRPr="008E507D">
        <w:rPr>
          <w:rFonts w:eastAsia="SimSun" w:cstheme="minorHAnsi"/>
          <w:bCs/>
          <w:snapToGrid w:val="0"/>
          <w:lang w:eastAsia="zh-CN"/>
        </w:rPr>
        <w:t xml:space="preserve">The </w:t>
      </w:r>
      <w:r w:rsidR="00D52BC5">
        <w:rPr>
          <w:rFonts w:eastAsia="SimSun" w:cstheme="minorHAnsi"/>
          <w:bCs/>
          <w:snapToGrid w:val="0"/>
          <w:lang w:eastAsia="zh-CN"/>
        </w:rPr>
        <w:t>e</w:t>
      </w:r>
      <w:r w:rsidRPr="008E507D">
        <w:rPr>
          <w:rFonts w:eastAsia="SimSun" w:cstheme="minorHAnsi"/>
          <w:bCs/>
          <w:snapToGrid w:val="0"/>
          <w:lang w:eastAsia="zh-CN"/>
        </w:rPr>
        <w:t>xercise shall be announced by the IOC to Member States at least 240 days in advance of the date.</w:t>
      </w:r>
      <w:r w:rsidR="001D3E54">
        <w:rPr>
          <w:rFonts w:eastAsia="SimSun" w:cstheme="minorHAnsi"/>
          <w:bCs/>
          <w:snapToGrid w:val="0"/>
          <w:lang w:eastAsia="zh-CN"/>
        </w:rPr>
        <w:t xml:space="preserve"> </w:t>
      </w:r>
      <w:r w:rsidRPr="008E507D">
        <w:rPr>
          <w:rFonts w:eastAsia="SimSun" w:cstheme="minorHAnsi"/>
          <w:bCs/>
          <w:snapToGrid w:val="0"/>
          <w:lang w:eastAsia="zh-CN"/>
        </w:rPr>
        <w:t>The exercise manual will</w:t>
      </w:r>
      <w:r w:rsidR="005860ED">
        <w:rPr>
          <w:rFonts w:eastAsia="SimSun" w:cstheme="minorHAnsi"/>
          <w:bCs/>
          <w:snapToGrid w:val="0"/>
          <w:lang w:eastAsia="zh-CN"/>
        </w:rPr>
        <w:t xml:space="preserve"> i</w:t>
      </w:r>
      <w:r w:rsidRPr="008E507D">
        <w:rPr>
          <w:rFonts w:eastAsia="SimSun" w:cstheme="minorHAnsi"/>
          <w:bCs/>
          <w:snapToGrid w:val="0"/>
          <w:lang w:eastAsia="zh-CN"/>
        </w:rPr>
        <w:t>nclude information on each regional exercise</w:t>
      </w:r>
      <w:r w:rsidR="005860ED">
        <w:rPr>
          <w:rFonts w:eastAsia="SimSun" w:cstheme="minorHAnsi"/>
          <w:bCs/>
          <w:snapToGrid w:val="0"/>
          <w:lang w:eastAsia="zh-CN"/>
        </w:rPr>
        <w:t>; i</w:t>
      </w:r>
      <w:r w:rsidRPr="008E507D">
        <w:rPr>
          <w:rFonts w:eastAsia="SimSun" w:cstheme="minorHAnsi"/>
          <w:bCs/>
          <w:snapToGrid w:val="0"/>
          <w:lang w:eastAsia="zh-CN"/>
        </w:rPr>
        <w:t xml:space="preserve">nform Member States on the availability of exercise products for their region, including </w:t>
      </w:r>
      <w:r w:rsidRPr="008E507D">
        <w:rPr>
          <w:rFonts w:eastAsia="SimSun" w:cstheme="minorHAnsi"/>
          <w:bCs/>
          <w:snapToGrid w:val="0"/>
          <w:lang w:eastAsia="zh-CN"/>
        </w:rPr>
        <w:lastRenderedPageBreak/>
        <w:t>instructions to Member States regarding the distribution dates</w:t>
      </w:r>
      <w:r w:rsidR="005860ED">
        <w:rPr>
          <w:rFonts w:eastAsia="SimSun" w:cstheme="minorHAnsi"/>
          <w:bCs/>
          <w:snapToGrid w:val="0"/>
          <w:lang w:eastAsia="zh-CN"/>
        </w:rPr>
        <w:t>; and i</w:t>
      </w:r>
      <w:r w:rsidRPr="008E507D">
        <w:rPr>
          <w:rFonts w:eastAsia="SimSun" w:cstheme="minorHAnsi"/>
          <w:bCs/>
          <w:snapToGrid w:val="0"/>
          <w:lang w:eastAsia="zh-CN"/>
        </w:rPr>
        <w:t>nclude instructions to Member States regarding their participation and the evaluation instrument.</w:t>
      </w:r>
      <w:r w:rsidR="005860ED">
        <w:rPr>
          <w:rFonts w:eastAsia="SimSun" w:cstheme="minorHAnsi"/>
          <w:bCs/>
          <w:snapToGrid w:val="0"/>
          <w:lang w:eastAsia="zh-CN"/>
        </w:rPr>
        <w:t xml:space="preserve"> This manual will b</w:t>
      </w:r>
      <w:r w:rsidRPr="008E507D">
        <w:rPr>
          <w:rFonts w:eastAsia="SimSun" w:cstheme="minorHAnsi"/>
          <w:bCs/>
          <w:snapToGrid w:val="0"/>
          <w:lang w:eastAsia="zh-CN"/>
        </w:rPr>
        <w:t>e distributed by the IOC to Member States at least 180 days in advance of the exercise date.</w:t>
      </w:r>
      <w:r w:rsidR="00030640">
        <w:rPr>
          <w:rFonts w:eastAsia="SimSun" w:cstheme="minorHAnsi"/>
          <w:bCs/>
          <w:snapToGrid w:val="0"/>
          <w:lang w:eastAsia="zh-CN"/>
        </w:rPr>
        <w:t xml:space="preserve"> </w:t>
      </w:r>
      <w:r w:rsidR="008A4052">
        <w:rPr>
          <w:rFonts w:eastAsia="SimSun" w:cstheme="minorHAnsi"/>
          <w:bCs/>
          <w:snapToGrid w:val="0"/>
          <w:lang w:eastAsia="zh-CN"/>
        </w:rPr>
        <w:t xml:space="preserve">She noted </w:t>
      </w:r>
      <w:r w:rsidR="00144CBA">
        <w:rPr>
          <w:rFonts w:eastAsia="SimSun" w:cstheme="minorHAnsi"/>
          <w:bCs/>
          <w:snapToGrid w:val="0"/>
          <w:lang w:eastAsia="zh-CN"/>
        </w:rPr>
        <w:t xml:space="preserve">a </w:t>
      </w:r>
      <w:r w:rsidR="008A4052">
        <w:rPr>
          <w:rFonts w:eastAsia="SimSun" w:cstheme="minorHAnsi"/>
          <w:bCs/>
          <w:snapToGrid w:val="0"/>
          <w:lang w:eastAsia="zh-CN"/>
        </w:rPr>
        <w:t>key issue for the Group to discuss</w:t>
      </w:r>
      <w:r w:rsidR="00144CBA">
        <w:rPr>
          <w:rFonts w:eastAsia="SimSun" w:cstheme="minorHAnsi"/>
          <w:bCs/>
          <w:snapToGrid w:val="0"/>
          <w:lang w:eastAsia="zh-CN"/>
        </w:rPr>
        <w:t xml:space="preserve"> is how </w:t>
      </w:r>
      <w:r w:rsidR="00AB0DC5">
        <w:rPr>
          <w:rFonts w:eastAsia="SimSun" w:cstheme="minorHAnsi"/>
          <w:bCs/>
          <w:snapToGrid w:val="0"/>
          <w:lang w:eastAsia="zh-CN"/>
        </w:rPr>
        <w:t>to p</w:t>
      </w:r>
      <w:r w:rsidR="00144CBA" w:rsidRPr="00144CBA">
        <w:rPr>
          <w:rFonts w:eastAsia="SimSun" w:cstheme="minorHAnsi"/>
          <w:bCs/>
          <w:snapToGrid w:val="0"/>
          <w:lang w:eastAsia="zh-CN"/>
        </w:rPr>
        <w:t xml:space="preserve">rovide </w:t>
      </w:r>
      <w:r w:rsidR="00030640">
        <w:rPr>
          <w:rFonts w:eastAsia="SimSun" w:cstheme="minorHAnsi"/>
          <w:bCs/>
          <w:snapToGrid w:val="0"/>
          <w:lang w:eastAsia="zh-CN"/>
        </w:rPr>
        <w:t>v</w:t>
      </w:r>
      <w:r w:rsidR="00144CBA" w:rsidRPr="00144CBA">
        <w:rPr>
          <w:rFonts w:eastAsia="SimSun" w:cstheme="minorHAnsi"/>
          <w:bCs/>
          <w:snapToGrid w:val="0"/>
          <w:lang w:eastAsia="zh-CN"/>
        </w:rPr>
        <w:t xml:space="preserve">irtual </w:t>
      </w:r>
      <w:r w:rsidR="00030640">
        <w:rPr>
          <w:rFonts w:eastAsia="SimSun" w:cstheme="minorHAnsi"/>
          <w:bCs/>
          <w:snapToGrid w:val="0"/>
          <w:lang w:eastAsia="zh-CN"/>
        </w:rPr>
        <w:t>e</w:t>
      </w:r>
      <w:r w:rsidR="00144CBA" w:rsidRPr="00144CBA">
        <w:rPr>
          <w:rFonts w:eastAsia="SimSun" w:cstheme="minorHAnsi"/>
          <w:bCs/>
          <w:snapToGrid w:val="0"/>
          <w:lang w:eastAsia="zh-CN"/>
        </w:rPr>
        <w:t xml:space="preserve">xercise guidance to assist in planning, conducting, </w:t>
      </w:r>
      <w:r w:rsidR="00AB0DC5">
        <w:rPr>
          <w:rFonts w:eastAsia="SimSun" w:cstheme="minorHAnsi"/>
          <w:bCs/>
          <w:snapToGrid w:val="0"/>
          <w:lang w:eastAsia="zh-CN"/>
        </w:rPr>
        <w:t xml:space="preserve">and </w:t>
      </w:r>
      <w:r w:rsidR="00144CBA" w:rsidRPr="00144CBA">
        <w:rPr>
          <w:rFonts w:eastAsia="SimSun" w:cstheme="minorHAnsi"/>
          <w:bCs/>
          <w:snapToGrid w:val="0"/>
          <w:lang w:eastAsia="zh-CN"/>
        </w:rPr>
        <w:t>evaluating</w:t>
      </w:r>
      <w:r w:rsidR="00030640">
        <w:rPr>
          <w:rFonts w:eastAsia="SimSun" w:cstheme="minorHAnsi"/>
          <w:bCs/>
          <w:snapToGrid w:val="0"/>
          <w:lang w:eastAsia="zh-CN"/>
        </w:rPr>
        <w:t>.</w:t>
      </w:r>
    </w:p>
    <w:p w14:paraId="708F5DDA" w14:textId="0FD921DA" w:rsidR="0009199A" w:rsidRDefault="00194B4A" w:rsidP="00C232FF">
      <w:pPr>
        <w:tabs>
          <w:tab w:val="left" w:pos="567"/>
          <w:tab w:val="left" w:pos="786"/>
          <w:tab w:val="num" w:pos="1440"/>
        </w:tabs>
        <w:snapToGrid w:val="0"/>
        <w:spacing w:after="120"/>
        <w:rPr>
          <w:rFonts w:eastAsia="SimSun" w:cstheme="minorHAnsi"/>
          <w:bCs/>
          <w:snapToGrid w:val="0"/>
          <w:lang w:val="en-GB" w:eastAsia="zh-CN"/>
        </w:rPr>
      </w:pPr>
      <w:r>
        <w:rPr>
          <w:rFonts w:eastAsia="SimSun" w:cstheme="minorHAnsi"/>
          <w:bCs/>
          <w:snapToGrid w:val="0"/>
          <w:lang w:eastAsia="zh-CN"/>
        </w:rPr>
        <w:t>Ms Martinez</w:t>
      </w:r>
      <w:r w:rsidR="00CC4B26">
        <w:rPr>
          <w:rFonts w:eastAsia="SimSun" w:cstheme="minorHAnsi"/>
          <w:bCs/>
          <w:snapToGrid w:val="0"/>
          <w:lang w:eastAsia="zh-CN"/>
        </w:rPr>
        <w:t xml:space="preserve"> also</w:t>
      </w:r>
      <w:r>
        <w:rPr>
          <w:rFonts w:eastAsia="SimSun" w:cstheme="minorHAnsi"/>
          <w:bCs/>
          <w:snapToGrid w:val="0"/>
          <w:lang w:eastAsia="zh-CN"/>
        </w:rPr>
        <w:t xml:space="preserve"> </w:t>
      </w:r>
      <w:r w:rsidR="00CC4B26">
        <w:rPr>
          <w:rFonts w:eastAsia="SimSun" w:cstheme="minorHAnsi"/>
          <w:bCs/>
          <w:snapToGrid w:val="0"/>
          <w:lang w:eastAsia="zh-CN"/>
        </w:rPr>
        <w:t>provided information on the process for evaluation</w:t>
      </w:r>
      <w:r w:rsidR="00394020">
        <w:rPr>
          <w:rFonts w:eastAsia="SimSun" w:cstheme="minorHAnsi"/>
          <w:bCs/>
          <w:snapToGrid w:val="0"/>
          <w:lang w:eastAsia="zh-CN"/>
        </w:rPr>
        <w:t xml:space="preserve"> and</w:t>
      </w:r>
      <w:r w:rsidR="00CC4B26">
        <w:rPr>
          <w:rFonts w:eastAsia="SimSun" w:cstheme="minorHAnsi"/>
          <w:bCs/>
          <w:snapToGrid w:val="0"/>
          <w:lang w:eastAsia="zh-CN"/>
        </w:rPr>
        <w:t xml:space="preserve"> reporting</w:t>
      </w:r>
      <w:r w:rsidR="00394020" w:rsidRPr="00394020">
        <w:rPr>
          <w:rFonts w:eastAsia="SimSun" w:cstheme="minorHAnsi"/>
          <w:bCs/>
          <w:snapToGrid w:val="0"/>
          <w:lang w:eastAsia="zh-CN"/>
        </w:rPr>
        <w:t xml:space="preserve"> </w:t>
      </w:r>
      <w:r w:rsidR="00394020">
        <w:rPr>
          <w:rFonts w:eastAsia="SimSun" w:cstheme="minorHAnsi"/>
          <w:bCs/>
          <w:snapToGrid w:val="0"/>
          <w:lang w:eastAsia="zh-CN"/>
        </w:rPr>
        <w:t xml:space="preserve">after </w:t>
      </w:r>
      <w:r w:rsidR="00394020">
        <w:rPr>
          <w:rFonts w:eastAsia="SimSun" w:cstheme="minorHAnsi"/>
          <w:bCs/>
          <w:snapToGrid w:val="0"/>
          <w:lang w:eastAsia="zh-CN"/>
        </w:rPr>
        <w:t>PacWave</w:t>
      </w:r>
      <w:r w:rsidR="00CC4B26">
        <w:rPr>
          <w:rFonts w:eastAsia="SimSun" w:cstheme="minorHAnsi"/>
          <w:bCs/>
          <w:snapToGrid w:val="0"/>
          <w:lang w:eastAsia="zh-CN"/>
        </w:rPr>
        <w:t>. She noted that p</w:t>
      </w:r>
      <w:r w:rsidR="00CC4B26" w:rsidRPr="00CC4B26">
        <w:rPr>
          <w:rFonts w:eastAsia="SimSun" w:cstheme="minorHAnsi"/>
          <w:bCs/>
          <w:snapToGrid w:val="0"/>
          <w:lang w:eastAsia="zh-CN"/>
        </w:rPr>
        <w:t>articipating Member States will be asked to complete and return the evaluation instrument no more than 21 days following the exercise</w:t>
      </w:r>
      <w:r w:rsidR="0009199A">
        <w:rPr>
          <w:rFonts w:eastAsia="SimSun" w:cstheme="minorHAnsi"/>
          <w:bCs/>
          <w:snapToGrid w:val="0"/>
          <w:lang w:eastAsia="zh-CN"/>
        </w:rPr>
        <w:t xml:space="preserve">. The TT on </w:t>
      </w:r>
      <w:r w:rsidR="0009199A" w:rsidRPr="0009199A">
        <w:rPr>
          <w:rFonts w:eastAsia="SimSun" w:cstheme="minorHAnsi"/>
          <w:bCs/>
          <w:snapToGrid w:val="0"/>
          <w:lang w:eastAsia="zh-CN"/>
        </w:rPr>
        <w:t>PacWave will then p</w:t>
      </w:r>
      <w:r w:rsidR="0009199A" w:rsidRPr="0009199A">
        <w:rPr>
          <w:rFonts w:eastAsia="SimSun" w:cstheme="minorHAnsi"/>
          <w:bCs/>
          <w:snapToGrid w:val="0"/>
          <w:lang w:val="en-GB" w:eastAsia="zh-CN"/>
        </w:rPr>
        <w:t>repare the Summary Report for the exercise, compiling a list of recommendations and the list of actions from the findings for consideration by the ICG/PTWS-XXX. The TT will also provide guidance for the conduct of the next Exercise Pacific Wave, tentatively planned for 2024.</w:t>
      </w:r>
    </w:p>
    <w:p w14:paraId="4FCAFA87" w14:textId="3725FD91" w:rsidR="00C269B8" w:rsidRDefault="0009199A" w:rsidP="00C232FF">
      <w:pPr>
        <w:tabs>
          <w:tab w:val="left" w:pos="567"/>
          <w:tab w:val="left" w:pos="786"/>
          <w:tab w:val="num" w:pos="1440"/>
        </w:tabs>
        <w:snapToGrid w:val="0"/>
        <w:spacing w:after="120"/>
        <w:rPr>
          <w:rFonts w:eastAsia="SimSun" w:cstheme="minorHAnsi"/>
          <w:bCs/>
          <w:snapToGrid w:val="0"/>
          <w:lang w:val="en-GB" w:eastAsia="zh-CN"/>
        </w:rPr>
      </w:pPr>
      <w:r>
        <w:rPr>
          <w:rFonts w:eastAsia="SimSun" w:cstheme="minorHAnsi"/>
          <w:bCs/>
          <w:snapToGrid w:val="0"/>
          <w:lang w:val="en-GB" w:eastAsia="zh-CN"/>
        </w:rPr>
        <w:t>Finally, Ms Martinez identified the Members</w:t>
      </w:r>
      <w:r w:rsidR="00AF5401">
        <w:rPr>
          <w:rFonts w:eastAsia="SimSun" w:cstheme="minorHAnsi"/>
          <w:bCs/>
          <w:snapToGrid w:val="0"/>
          <w:lang w:val="en-GB" w:eastAsia="zh-CN"/>
        </w:rPr>
        <w:t xml:space="preserve"> of the TT on PacWave and Co-Chairs to be elected by the ICG/PTWS.</w:t>
      </w:r>
    </w:p>
    <w:p w14:paraId="477D684F" w14:textId="17F4748D" w:rsidR="008E54F3" w:rsidRDefault="008E54F3" w:rsidP="00C232FF">
      <w:pPr>
        <w:tabs>
          <w:tab w:val="left" w:pos="567"/>
          <w:tab w:val="left" w:pos="786"/>
          <w:tab w:val="num" w:pos="1440"/>
        </w:tabs>
        <w:snapToGrid w:val="0"/>
        <w:spacing w:after="120"/>
        <w:rPr>
          <w:rFonts w:eastAsia="SimSun" w:cstheme="minorHAnsi"/>
          <w:bCs/>
          <w:snapToGrid w:val="0"/>
          <w:lang w:val="en-GB" w:eastAsia="zh-CN"/>
        </w:rPr>
      </w:pPr>
      <w:r>
        <w:rPr>
          <w:rFonts w:eastAsia="SimSun" w:cstheme="minorHAnsi"/>
          <w:bCs/>
          <w:snapToGrid w:val="0"/>
          <w:lang w:val="en-GB" w:eastAsia="zh-CN"/>
        </w:rPr>
        <w:t>Dr Laura Kong</w:t>
      </w:r>
      <w:r w:rsidR="00DF3ED2">
        <w:rPr>
          <w:rFonts w:eastAsia="SimSun" w:cstheme="minorHAnsi"/>
          <w:bCs/>
          <w:snapToGrid w:val="0"/>
          <w:lang w:val="en-GB" w:eastAsia="zh-CN"/>
        </w:rPr>
        <w:t>, Co-Chair of the TT on PacWave,</w:t>
      </w:r>
      <w:r>
        <w:rPr>
          <w:rFonts w:eastAsia="SimSun" w:cstheme="minorHAnsi"/>
          <w:bCs/>
          <w:snapToGrid w:val="0"/>
          <w:lang w:val="en-GB" w:eastAsia="zh-CN"/>
        </w:rPr>
        <w:t xml:space="preserve"> </w:t>
      </w:r>
      <w:r w:rsidR="00594108">
        <w:rPr>
          <w:rFonts w:eastAsia="SimSun" w:cstheme="minorHAnsi"/>
          <w:bCs/>
          <w:snapToGrid w:val="0"/>
          <w:lang w:val="en-GB" w:eastAsia="zh-CN"/>
        </w:rPr>
        <w:t>highlighted the creation in the coming month of a PacWave information video</w:t>
      </w:r>
      <w:r w:rsidR="006960FE">
        <w:rPr>
          <w:rFonts w:eastAsia="SimSun" w:cstheme="minorHAnsi"/>
          <w:bCs/>
          <w:snapToGrid w:val="0"/>
          <w:lang w:val="en-GB" w:eastAsia="zh-CN"/>
        </w:rPr>
        <w:t xml:space="preserve"> by ITIC (IOC, USA, Chile).</w:t>
      </w:r>
      <w:r>
        <w:rPr>
          <w:rFonts w:eastAsia="SimSun" w:cstheme="minorHAnsi"/>
          <w:bCs/>
          <w:snapToGrid w:val="0"/>
          <w:lang w:val="en-GB" w:eastAsia="zh-CN"/>
        </w:rPr>
        <w:t xml:space="preserve"> </w:t>
      </w:r>
      <w:r w:rsidR="006960FE">
        <w:rPr>
          <w:rFonts w:eastAsia="SimSun" w:cstheme="minorHAnsi"/>
          <w:bCs/>
          <w:snapToGrid w:val="0"/>
          <w:lang w:val="en-GB" w:eastAsia="zh-CN"/>
        </w:rPr>
        <w:t xml:space="preserve">She urgently requested the Steering Committee and the TT on PacWave to assist with obtaining visuals. The content of the video will cover </w:t>
      </w:r>
      <w:r w:rsidR="00C81148">
        <w:rPr>
          <w:rFonts w:eastAsia="SimSun" w:cstheme="minorHAnsi"/>
          <w:bCs/>
          <w:snapToGrid w:val="0"/>
          <w:lang w:val="en-GB" w:eastAsia="zh-CN"/>
        </w:rPr>
        <w:t>the history and context of PacWave, why it is important, the process of PacWave</w:t>
      </w:r>
      <w:r w:rsidR="00692B1D">
        <w:rPr>
          <w:rFonts w:eastAsia="SimSun" w:cstheme="minorHAnsi"/>
          <w:bCs/>
          <w:snapToGrid w:val="0"/>
          <w:lang w:val="en-GB" w:eastAsia="zh-CN"/>
        </w:rPr>
        <w:t>, and finally encourage Member States to participate.</w:t>
      </w:r>
      <w:r w:rsidR="00980781">
        <w:rPr>
          <w:rFonts w:eastAsia="SimSun" w:cstheme="minorHAnsi"/>
          <w:bCs/>
          <w:snapToGrid w:val="0"/>
          <w:lang w:val="en-GB" w:eastAsia="zh-CN"/>
        </w:rPr>
        <w:t xml:space="preserve"> She </w:t>
      </w:r>
      <w:r w:rsidR="00BC0C6D">
        <w:rPr>
          <w:rFonts w:eastAsia="SimSun" w:cstheme="minorHAnsi"/>
          <w:bCs/>
          <w:snapToGrid w:val="0"/>
          <w:lang w:val="en-GB" w:eastAsia="zh-CN"/>
        </w:rPr>
        <w:t>also presented the timeline for creation of the video.</w:t>
      </w:r>
    </w:p>
    <w:p w14:paraId="2B933EB7" w14:textId="4ADF73DC" w:rsidR="00433605" w:rsidRPr="00433605" w:rsidRDefault="00433605" w:rsidP="00CD660F">
      <w:pPr>
        <w:tabs>
          <w:tab w:val="left" w:pos="567"/>
          <w:tab w:val="left" w:pos="786"/>
          <w:tab w:val="num" w:pos="1440"/>
        </w:tabs>
        <w:snapToGrid w:val="0"/>
        <w:spacing w:before="200" w:after="120"/>
        <w:rPr>
          <w:rFonts w:eastAsia="SimSun" w:cstheme="minorHAnsi"/>
          <w:b/>
          <w:snapToGrid w:val="0"/>
          <w:lang w:eastAsia="zh-CN"/>
        </w:rPr>
      </w:pPr>
      <w:r w:rsidRPr="00433605">
        <w:rPr>
          <w:rFonts w:eastAsia="SimSun" w:cstheme="minorHAnsi"/>
          <w:b/>
          <w:snapToGrid w:val="0"/>
          <w:lang w:eastAsia="zh-CN"/>
        </w:rPr>
        <w:t>Discussion:</w:t>
      </w:r>
    </w:p>
    <w:p w14:paraId="6C18BC7A" w14:textId="626375FD" w:rsidR="00D33F27" w:rsidRDefault="00CF7E3C" w:rsidP="00C232FF">
      <w:pPr>
        <w:tabs>
          <w:tab w:val="left" w:pos="567"/>
          <w:tab w:val="left" w:pos="786"/>
        </w:tabs>
        <w:snapToGrid w:val="0"/>
        <w:spacing w:after="120"/>
        <w:rPr>
          <w:rFonts w:eastAsia="SimSun" w:cstheme="minorHAnsi"/>
          <w:bCs/>
          <w:snapToGrid w:val="0"/>
          <w:lang w:eastAsia="zh-CN"/>
        </w:rPr>
      </w:pPr>
      <w:r w:rsidRPr="00EC0B49">
        <w:rPr>
          <w:rFonts w:eastAsia="SimSun" w:cstheme="minorHAnsi"/>
          <w:bCs/>
          <w:i/>
          <w:iCs/>
          <w:snapToGrid w:val="0"/>
          <w:lang w:eastAsia="zh-CN"/>
        </w:rPr>
        <w:t>The Group discussed</w:t>
      </w:r>
      <w:r>
        <w:rPr>
          <w:rFonts w:eastAsia="SimSun" w:cstheme="minorHAnsi"/>
          <w:bCs/>
          <w:snapToGrid w:val="0"/>
          <w:lang w:eastAsia="zh-CN"/>
        </w:rPr>
        <w:t xml:space="preserve"> </w:t>
      </w:r>
      <w:r w:rsidR="005B34A7">
        <w:rPr>
          <w:rFonts w:eastAsia="SimSun" w:cstheme="minorHAnsi"/>
          <w:bCs/>
          <w:snapToGrid w:val="0"/>
          <w:lang w:eastAsia="zh-CN"/>
        </w:rPr>
        <w:t>consideration of pandemic related activity</w:t>
      </w:r>
      <w:r w:rsidR="00290E32">
        <w:rPr>
          <w:rFonts w:eastAsia="SimSun" w:cstheme="minorHAnsi"/>
          <w:bCs/>
          <w:snapToGrid w:val="0"/>
          <w:lang w:eastAsia="zh-CN"/>
        </w:rPr>
        <w:t xml:space="preserve">, noting that </w:t>
      </w:r>
      <w:r w:rsidR="00A64971">
        <w:rPr>
          <w:rFonts w:eastAsia="SimSun" w:cstheme="minorHAnsi"/>
          <w:bCs/>
          <w:snapToGrid w:val="0"/>
          <w:lang w:eastAsia="zh-CN"/>
        </w:rPr>
        <w:t>f</w:t>
      </w:r>
      <w:r w:rsidR="00A64971" w:rsidRPr="00192987">
        <w:rPr>
          <w:rFonts w:eastAsia="SimSun" w:cstheme="minorHAnsi"/>
          <w:bCs/>
          <w:snapToGrid w:val="0"/>
          <w:lang w:eastAsia="zh-CN"/>
        </w:rPr>
        <w:t xml:space="preserve">or PacWave20, due to COVID-19, many countries only conducted virtual </w:t>
      </w:r>
      <w:r w:rsidR="00A64971" w:rsidRPr="005B45BB">
        <w:rPr>
          <w:rFonts w:eastAsia="SimSun" w:cstheme="minorHAnsi"/>
          <w:bCs/>
          <w:snapToGrid w:val="0"/>
          <w:lang w:eastAsia="zh-CN"/>
        </w:rPr>
        <w:t xml:space="preserve">exercises. </w:t>
      </w:r>
      <w:r w:rsidR="00650E8F" w:rsidRPr="005B45BB">
        <w:rPr>
          <w:rFonts w:eastAsia="SimSun" w:cstheme="minorHAnsi"/>
          <w:bCs/>
          <w:i/>
          <w:iCs/>
          <w:snapToGrid w:val="0"/>
          <w:lang w:eastAsia="zh-CN"/>
        </w:rPr>
        <w:t>The Group</w:t>
      </w:r>
      <w:r w:rsidR="003956EA" w:rsidRPr="005B45BB">
        <w:rPr>
          <w:rFonts w:eastAsia="SimSun" w:cstheme="minorHAnsi"/>
          <w:bCs/>
          <w:i/>
          <w:iCs/>
          <w:snapToGrid w:val="0"/>
          <w:lang w:eastAsia="zh-CN"/>
        </w:rPr>
        <w:t xml:space="preserve"> also</w:t>
      </w:r>
      <w:r w:rsidR="00650E8F" w:rsidRPr="005B45BB">
        <w:rPr>
          <w:rFonts w:eastAsia="SimSun" w:cstheme="minorHAnsi"/>
          <w:bCs/>
          <w:i/>
          <w:iCs/>
          <w:snapToGrid w:val="0"/>
          <w:lang w:eastAsia="zh-CN"/>
        </w:rPr>
        <w:t xml:space="preserve"> </w:t>
      </w:r>
      <w:r w:rsidR="005B45BB" w:rsidRPr="005B45BB">
        <w:rPr>
          <w:rFonts w:eastAsia="SimSun" w:cstheme="minorHAnsi"/>
          <w:bCs/>
          <w:i/>
          <w:iCs/>
          <w:snapToGrid w:val="0"/>
          <w:lang w:eastAsia="zh-CN"/>
        </w:rPr>
        <w:t xml:space="preserve">discussed </w:t>
      </w:r>
      <w:r w:rsidR="005B45BB" w:rsidRPr="005B45BB">
        <w:rPr>
          <w:rFonts w:eastAsia="SimSun" w:cstheme="minorHAnsi"/>
          <w:bCs/>
          <w:snapToGrid w:val="0"/>
          <w:lang w:eastAsia="zh-CN"/>
        </w:rPr>
        <w:t>the need for</w:t>
      </w:r>
      <w:r w:rsidR="00650E8F" w:rsidRPr="005B45BB">
        <w:rPr>
          <w:rFonts w:eastAsia="SimSun" w:cstheme="minorHAnsi"/>
          <w:bCs/>
          <w:snapToGrid w:val="0"/>
          <w:lang w:eastAsia="zh-CN"/>
        </w:rPr>
        <w:t xml:space="preserve"> further information on the PacWave 20</w:t>
      </w:r>
      <w:r w:rsidR="00650E8F">
        <w:rPr>
          <w:rFonts w:eastAsia="SimSun" w:cstheme="minorHAnsi"/>
          <w:bCs/>
          <w:snapToGrid w:val="0"/>
          <w:lang w:eastAsia="zh-CN"/>
        </w:rPr>
        <w:t xml:space="preserve">22 video would be </w:t>
      </w:r>
      <w:r w:rsidR="00DA4390">
        <w:rPr>
          <w:rFonts w:eastAsia="SimSun" w:cstheme="minorHAnsi"/>
          <w:bCs/>
          <w:snapToGrid w:val="0"/>
          <w:lang w:eastAsia="zh-CN"/>
        </w:rPr>
        <w:t>useful.</w:t>
      </w:r>
    </w:p>
    <w:p w14:paraId="051F2E4E" w14:textId="6189EE2B" w:rsidR="002F497C" w:rsidRDefault="00E21A0E" w:rsidP="00C232FF">
      <w:pPr>
        <w:tabs>
          <w:tab w:val="left" w:pos="567"/>
          <w:tab w:val="left" w:pos="786"/>
        </w:tabs>
        <w:snapToGrid w:val="0"/>
        <w:spacing w:after="120"/>
        <w:rPr>
          <w:rFonts w:eastAsia="SimSun" w:cstheme="minorHAnsi"/>
          <w:bCs/>
          <w:snapToGrid w:val="0"/>
          <w:lang w:eastAsia="zh-CN"/>
        </w:rPr>
      </w:pPr>
      <w:r w:rsidRPr="00EC0B49">
        <w:rPr>
          <w:rFonts w:eastAsia="SimSun" w:cstheme="minorHAnsi"/>
          <w:bCs/>
          <w:i/>
          <w:iCs/>
          <w:snapToGrid w:val="0"/>
          <w:lang w:eastAsia="zh-CN"/>
        </w:rPr>
        <w:t>The Group discussed</w:t>
      </w:r>
      <w:r>
        <w:rPr>
          <w:rFonts w:eastAsia="SimSun" w:cstheme="minorHAnsi"/>
          <w:bCs/>
          <w:snapToGrid w:val="0"/>
          <w:lang w:eastAsia="zh-CN"/>
        </w:rPr>
        <w:t xml:space="preserve"> changing the dates of PacWave 2022</w:t>
      </w:r>
      <w:r w:rsidR="00AC0EC8">
        <w:rPr>
          <w:rFonts w:eastAsia="SimSun" w:cstheme="minorHAnsi"/>
          <w:bCs/>
          <w:snapToGrid w:val="0"/>
          <w:lang w:eastAsia="zh-CN"/>
        </w:rPr>
        <w:t>, however</w:t>
      </w:r>
      <w:r w:rsidR="0071780D">
        <w:rPr>
          <w:rFonts w:eastAsia="SimSun" w:cstheme="minorHAnsi"/>
          <w:bCs/>
          <w:snapToGrid w:val="0"/>
          <w:lang w:eastAsia="zh-CN"/>
        </w:rPr>
        <w:t xml:space="preserve"> no other time of year was practical for the PTWS region due to times of </w:t>
      </w:r>
      <w:r w:rsidR="00684A1F">
        <w:rPr>
          <w:rFonts w:eastAsia="SimSun" w:cstheme="minorHAnsi"/>
          <w:bCs/>
          <w:snapToGrid w:val="0"/>
          <w:lang w:eastAsia="zh-CN"/>
        </w:rPr>
        <w:t xml:space="preserve">rainy seasons, </w:t>
      </w:r>
      <w:r w:rsidR="006D39DE">
        <w:rPr>
          <w:rFonts w:eastAsia="SimSun" w:cstheme="minorHAnsi"/>
          <w:bCs/>
          <w:snapToGrid w:val="0"/>
          <w:lang w:eastAsia="zh-CN"/>
        </w:rPr>
        <w:t xml:space="preserve">typhoon and </w:t>
      </w:r>
      <w:r w:rsidR="00684A1F">
        <w:rPr>
          <w:rFonts w:eastAsia="SimSun" w:cstheme="minorHAnsi"/>
          <w:bCs/>
          <w:snapToGrid w:val="0"/>
          <w:lang w:eastAsia="zh-CN"/>
        </w:rPr>
        <w:t>hurricane seasons, CaribeWAVE exercise</w:t>
      </w:r>
      <w:r w:rsidR="0021201A">
        <w:rPr>
          <w:rFonts w:eastAsia="SimSun" w:cstheme="minorHAnsi"/>
          <w:bCs/>
          <w:snapToGrid w:val="0"/>
          <w:lang w:eastAsia="zh-CN"/>
        </w:rPr>
        <w:t xml:space="preserve"> and IOWave</w:t>
      </w:r>
      <w:r w:rsidR="00AA4246">
        <w:rPr>
          <w:rFonts w:eastAsia="SimSun" w:cstheme="minorHAnsi"/>
          <w:bCs/>
          <w:snapToGrid w:val="0"/>
          <w:lang w:eastAsia="zh-CN"/>
        </w:rPr>
        <w:t xml:space="preserve"> (important to not overlap with these)</w:t>
      </w:r>
      <w:r w:rsidR="00684A1F">
        <w:rPr>
          <w:rFonts w:eastAsia="SimSun" w:cstheme="minorHAnsi"/>
          <w:bCs/>
          <w:snapToGrid w:val="0"/>
          <w:lang w:eastAsia="zh-CN"/>
        </w:rPr>
        <w:t xml:space="preserve">, </w:t>
      </w:r>
      <w:r w:rsidR="0071780D">
        <w:rPr>
          <w:rFonts w:eastAsia="SimSun" w:cstheme="minorHAnsi"/>
          <w:bCs/>
          <w:snapToGrid w:val="0"/>
          <w:lang w:eastAsia="zh-CN"/>
        </w:rPr>
        <w:t xml:space="preserve">and </w:t>
      </w:r>
      <w:r w:rsidR="0021201A">
        <w:rPr>
          <w:rFonts w:eastAsia="SimSun" w:cstheme="minorHAnsi"/>
          <w:bCs/>
          <w:snapToGrid w:val="0"/>
          <w:lang w:eastAsia="zh-CN"/>
        </w:rPr>
        <w:t xml:space="preserve">the </w:t>
      </w:r>
      <w:r w:rsidR="00307112">
        <w:rPr>
          <w:rFonts w:eastAsia="SimSun" w:cstheme="minorHAnsi"/>
          <w:bCs/>
          <w:snapToGrid w:val="0"/>
          <w:lang w:eastAsia="zh-CN"/>
        </w:rPr>
        <w:t>benefits</w:t>
      </w:r>
      <w:r w:rsidR="0021201A">
        <w:rPr>
          <w:rFonts w:eastAsia="SimSun" w:cstheme="minorHAnsi"/>
          <w:bCs/>
          <w:snapToGrid w:val="0"/>
          <w:lang w:eastAsia="zh-CN"/>
        </w:rPr>
        <w:t xml:space="preserve"> of aligning with </w:t>
      </w:r>
      <w:r w:rsidR="00307112">
        <w:rPr>
          <w:rFonts w:eastAsia="SimSun" w:cstheme="minorHAnsi"/>
          <w:bCs/>
          <w:snapToGrid w:val="0"/>
          <w:lang w:eastAsia="zh-CN"/>
        </w:rPr>
        <w:t>international disaster days.</w:t>
      </w:r>
      <w:r w:rsidR="00DC6CC8">
        <w:rPr>
          <w:rFonts w:eastAsia="SimSun" w:cstheme="minorHAnsi"/>
          <w:bCs/>
          <w:snapToGrid w:val="0"/>
          <w:lang w:eastAsia="zh-CN"/>
        </w:rPr>
        <w:t xml:space="preserve"> </w:t>
      </w:r>
      <w:r w:rsidR="00DC6CC8" w:rsidRPr="004359B9">
        <w:rPr>
          <w:rFonts w:eastAsia="SimSun" w:cstheme="minorHAnsi"/>
          <w:bCs/>
          <w:i/>
          <w:iCs/>
          <w:snapToGrid w:val="0"/>
          <w:lang w:eastAsia="zh-CN"/>
        </w:rPr>
        <w:t xml:space="preserve">The </w:t>
      </w:r>
      <w:r w:rsidR="00290E32" w:rsidRPr="004359B9">
        <w:rPr>
          <w:rFonts w:eastAsia="SimSun" w:cstheme="minorHAnsi"/>
          <w:bCs/>
          <w:i/>
          <w:iCs/>
          <w:snapToGrid w:val="0"/>
          <w:lang w:eastAsia="zh-CN"/>
        </w:rPr>
        <w:t>Secretariat remarked</w:t>
      </w:r>
      <w:r w:rsidR="00290E32">
        <w:rPr>
          <w:rFonts w:eastAsia="SimSun" w:cstheme="minorHAnsi"/>
          <w:bCs/>
          <w:snapToGrid w:val="0"/>
          <w:lang w:eastAsia="zh-CN"/>
        </w:rPr>
        <w:t xml:space="preserve"> that although</w:t>
      </w:r>
      <w:r w:rsidR="00DC6CC8">
        <w:rPr>
          <w:rFonts w:eastAsia="SimSun" w:cstheme="minorHAnsi"/>
          <w:bCs/>
          <w:snapToGrid w:val="0"/>
          <w:lang w:eastAsia="zh-CN"/>
        </w:rPr>
        <w:t xml:space="preserve"> reporting on PacWave 2022 at ICG/PTWS </w:t>
      </w:r>
      <w:r w:rsidR="00290E32">
        <w:rPr>
          <w:rFonts w:eastAsia="SimSun" w:cstheme="minorHAnsi"/>
          <w:bCs/>
          <w:snapToGrid w:val="0"/>
          <w:lang w:eastAsia="zh-CN"/>
        </w:rPr>
        <w:t xml:space="preserve">XXX in November 2022 is not mandatory, it is customary; however, the final report </w:t>
      </w:r>
      <w:r w:rsidR="007F5BE3">
        <w:rPr>
          <w:rFonts w:eastAsia="SimSun" w:cstheme="minorHAnsi"/>
          <w:bCs/>
          <w:snapToGrid w:val="0"/>
          <w:lang w:eastAsia="zh-CN"/>
        </w:rPr>
        <w:t>may not be ready with such short notice</w:t>
      </w:r>
      <w:r w:rsidR="00290E32">
        <w:rPr>
          <w:rFonts w:eastAsia="SimSun" w:cstheme="minorHAnsi"/>
          <w:bCs/>
          <w:snapToGrid w:val="0"/>
          <w:lang w:eastAsia="zh-CN"/>
        </w:rPr>
        <w:t>.</w:t>
      </w:r>
    </w:p>
    <w:p w14:paraId="1C2B04A7" w14:textId="581E420E" w:rsidR="002F497C" w:rsidRPr="002F497C" w:rsidRDefault="00DA4390" w:rsidP="00C232FF">
      <w:pPr>
        <w:tabs>
          <w:tab w:val="left" w:pos="567"/>
          <w:tab w:val="left" w:pos="786"/>
        </w:tabs>
        <w:snapToGrid w:val="0"/>
        <w:spacing w:after="120"/>
        <w:rPr>
          <w:rFonts w:eastAsia="SimSun" w:cstheme="minorHAnsi"/>
          <w:bCs/>
          <w:snapToGrid w:val="0"/>
          <w:lang w:eastAsia="zh-CN"/>
        </w:rPr>
      </w:pPr>
      <w:r w:rsidRPr="004359B9">
        <w:rPr>
          <w:rFonts w:eastAsia="SimSun" w:cstheme="minorHAnsi"/>
          <w:b/>
          <w:i/>
          <w:iCs/>
          <w:snapToGrid w:val="0"/>
          <w:lang w:eastAsia="zh-CN"/>
        </w:rPr>
        <w:t xml:space="preserve">The Group </w:t>
      </w:r>
      <w:r w:rsidR="00AC0EC8" w:rsidRPr="004359B9">
        <w:rPr>
          <w:rFonts w:eastAsia="SimSun" w:cstheme="minorHAnsi"/>
          <w:b/>
          <w:i/>
          <w:iCs/>
          <w:snapToGrid w:val="0"/>
          <w:lang w:eastAsia="zh-CN"/>
        </w:rPr>
        <w:t>agreed</w:t>
      </w:r>
      <w:r>
        <w:rPr>
          <w:rFonts w:eastAsia="SimSun" w:cstheme="minorHAnsi"/>
          <w:bCs/>
          <w:snapToGrid w:val="0"/>
          <w:lang w:eastAsia="zh-CN"/>
        </w:rPr>
        <w:t xml:space="preserve"> that the </w:t>
      </w:r>
      <w:r w:rsidR="001A672E">
        <w:rPr>
          <w:rFonts w:eastAsia="SimSun" w:cstheme="minorHAnsi"/>
          <w:bCs/>
          <w:snapToGrid w:val="0"/>
          <w:lang w:eastAsia="zh-CN"/>
        </w:rPr>
        <w:t xml:space="preserve">period of the </w:t>
      </w:r>
      <w:r>
        <w:rPr>
          <w:rFonts w:eastAsia="SimSun" w:cstheme="minorHAnsi"/>
          <w:bCs/>
          <w:snapToGrid w:val="0"/>
          <w:lang w:eastAsia="zh-CN"/>
        </w:rPr>
        <w:t xml:space="preserve">PacWave exercise </w:t>
      </w:r>
      <w:r w:rsidR="001A672E">
        <w:rPr>
          <w:rFonts w:eastAsia="SimSun" w:cstheme="minorHAnsi"/>
          <w:bCs/>
          <w:snapToGrid w:val="0"/>
          <w:lang w:eastAsia="zh-CN"/>
        </w:rPr>
        <w:t>should be maintained</w:t>
      </w:r>
      <w:r w:rsidR="00AC0EC8">
        <w:rPr>
          <w:rFonts w:eastAsia="SimSun" w:cstheme="minorHAnsi"/>
          <w:bCs/>
          <w:snapToGrid w:val="0"/>
          <w:lang w:eastAsia="zh-CN"/>
        </w:rPr>
        <w:t xml:space="preserve"> (September to November 2022)</w:t>
      </w:r>
      <w:r w:rsidR="001A672E">
        <w:rPr>
          <w:rFonts w:eastAsia="SimSun" w:cstheme="minorHAnsi"/>
          <w:bCs/>
          <w:snapToGrid w:val="0"/>
          <w:lang w:eastAsia="zh-CN"/>
        </w:rPr>
        <w:t>, and that the communications test will be held on 13 October</w:t>
      </w:r>
      <w:r w:rsidR="007401E5">
        <w:rPr>
          <w:rFonts w:eastAsia="SimSun" w:cstheme="minorHAnsi"/>
          <w:bCs/>
          <w:snapToGrid w:val="0"/>
          <w:lang w:eastAsia="zh-CN"/>
        </w:rPr>
        <w:t xml:space="preserve"> 2022. </w:t>
      </w:r>
      <w:r w:rsidR="002F497C" w:rsidRPr="004359B9">
        <w:rPr>
          <w:rFonts w:eastAsia="SimSun" w:cstheme="minorHAnsi"/>
          <w:b/>
          <w:i/>
          <w:iCs/>
          <w:snapToGrid w:val="0"/>
          <w:lang w:eastAsia="zh-CN"/>
        </w:rPr>
        <w:t>The Group also agreed</w:t>
      </w:r>
      <w:r w:rsidR="002F497C">
        <w:rPr>
          <w:rFonts w:eastAsia="SimSun" w:cstheme="minorHAnsi"/>
          <w:bCs/>
          <w:snapToGrid w:val="0"/>
          <w:lang w:eastAsia="zh-CN"/>
        </w:rPr>
        <w:t xml:space="preserve"> that t</w:t>
      </w:r>
      <w:r w:rsidR="00FF2A4E">
        <w:rPr>
          <w:rFonts w:eastAsia="SimSun" w:cstheme="minorHAnsi"/>
          <w:bCs/>
          <w:snapToGrid w:val="0"/>
          <w:lang w:eastAsia="zh-CN"/>
        </w:rPr>
        <w:t>he results of the communications test</w:t>
      </w:r>
      <w:r w:rsidR="00486B0C">
        <w:rPr>
          <w:rFonts w:eastAsia="SimSun" w:cstheme="minorHAnsi"/>
          <w:bCs/>
          <w:snapToGrid w:val="0"/>
          <w:lang w:eastAsia="zh-CN"/>
        </w:rPr>
        <w:t xml:space="preserve"> will be </w:t>
      </w:r>
      <w:r w:rsidR="00620008">
        <w:rPr>
          <w:rFonts w:eastAsia="SimSun" w:cstheme="minorHAnsi"/>
          <w:bCs/>
          <w:snapToGrid w:val="0"/>
          <w:lang w:eastAsia="zh-CN"/>
        </w:rPr>
        <w:t>reported</w:t>
      </w:r>
      <w:r w:rsidR="00486B0C">
        <w:rPr>
          <w:rFonts w:eastAsia="SimSun" w:cstheme="minorHAnsi"/>
          <w:bCs/>
          <w:snapToGrid w:val="0"/>
          <w:lang w:eastAsia="zh-CN"/>
        </w:rPr>
        <w:t xml:space="preserve"> at the ICG/PTWS XXX Meeting</w:t>
      </w:r>
      <w:r w:rsidR="00620008">
        <w:rPr>
          <w:rFonts w:eastAsia="SimSun" w:cstheme="minorHAnsi"/>
          <w:bCs/>
          <w:snapToGrid w:val="0"/>
          <w:lang w:eastAsia="zh-CN"/>
        </w:rPr>
        <w:t xml:space="preserve"> and that o</w:t>
      </w:r>
      <w:r w:rsidR="002F497C" w:rsidRPr="002F497C">
        <w:rPr>
          <w:rFonts w:eastAsia="SimSun" w:cstheme="minorHAnsi"/>
          <w:bCs/>
          <w:snapToGrid w:val="0"/>
          <w:lang w:eastAsia="zh-CN"/>
        </w:rPr>
        <w:t>ther PacWave22 activities can be reported later, by 21 December 2022.</w:t>
      </w:r>
      <w:r w:rsidR="00620008" w:rsidRPr="003761E7">
        <w:rPr>
          <w:rFonts w:eastAsia="SimSun" w:cstheme="minorHAnsi"/>
          <w:bCs/>
          <w:snapToGrid w:val="0"/>
          <w:lang w:eastAsia="zh-CN"/>
        </w:rPr>
        <w:t xml:space="preserve"> </w:t>
      </w:r>
      <w:r w:rsidR="003761E7" w:rsidRPr="004359B9">
        <w:rPr>
          <w:rFonts w:eastAsia="SimSun" w:cstheme="minorHAnsi"/>
          <w:b/>
          <w:i/>
          <w:iCs/>
          <w:snapToGrid w:val="0"/>
          <w:lang w:eastAsia="zh-CN"/>
        </w:rPr>
        <w:t>The Group also agreed</w:t>
      </w:r>
      <w:r w:rsidR="003761E7" w:rsidRPr="003761E7">
        <w:rPr>
          <w:rFonts w:eastAsia="SimSun" w:cstheme="minorHAnsi"/>
          <w:bCs/>
          <w:snapToGrid w:val="0"/>
          <w:lang w:eastAsia="zh-CN"/>
        </w:rPr>
        <w:t xml:space="preserve"> that the TT </w:t>
      </w:r>
      <w:r w:rsidR="002F497C" w:rsidRPr="002F497C">
        <w:rPr>
          <w:rFonts w:eastAsia="SimSun" w:cstheme="minorHAnsi"/>
          <w:bCs/>
          <w:snapToGrid w:val="0"/>
          <w:lang w:eastAsia="zh-CN"/>
        </w:rPr>
        <w:t>PacWave will compile Summary Report containing all evaluation results, with findings, for presentation later (dates TBD at ICG/PTWS-XXIX)</w:t>
      </w:r>
      <w:r w:rsidR="00CD660F">
        <w:rPr>
          <w:rFonts w:eastAsia="SimSun" w:cstheme="minorHAnsi"/>
          <w:bCs/>
          <w:snapToGrid w:val="0"/>
          <w:lang w:eastAsia="zh-CN"/>
        </w:rPr>
        <w:t>.</w:t>
      </w:r>
    </w:p>
    <w:p w14:paraId="76FA501E" w14:textId="2CE97134" w:rsidR="009C5B52" w:rsidRPr="00CD660F" w:rsidRDefault="009C5B52" w:rsidP="00CD660F">
      <w:pPr>
        <w:tabs>
          <w:tab w:val="left" w:pos="567"/>
          <w:tab w:val="left" w:pos="786"/>
        </w:tabs>
        <w:snapToGrid w:val="0"/>
        <w:spacing w:before="200" w:after="120"/>
        <w:rPr>
          <w:rFonts w:eastAsia="SimSun" w:cstheme="minorHAnsi"/>
          <w:b/>
          <w:snapToGrid w:val="0"/>
          <w:color w:val="2F5496" w:themeColor="accent1" w:themeShade="BF"/>
          <w:lang w:eastAsia="zh-CN"/>
        </w:rPr>
      </w:pPr>
      <w:r w:rsidRPr="00CD660F">
        <w:rPr>
          <w:rFonts w:eastAsia="SimSun" w:cstheme="minorHAnsi"/>
          <w:b/>
          <w:snapToGrid w:val="0"/>
          <w:color w:val="2F5496" w:themeColor="accent1" w:themeShade="BF"/>
          <w:lang w:eastAsia="zh-CN"/>
        </w:rPr>
        <w:t>Actions:</w:t>
      </w:r>
    </w:p>
    <w:p w14:paraId="5BD71A1C" w14:textId="6DF70AFF" w:rsidR="00192987" w:rsidRPr="00CD660F" w:rsidRDefault="00192987" w:rsidP="00C232FF">
      <w:pPr>
        <w:pStyle w:val="ListParagraph"/>
        <w:numPr>
          <w:ilvl w:val="0"/>
          <w:numId w:val="2"/>
        </w:numPr>
        <w:tabs>
          <w:tab w:val="left" w:pos="567"/>
          <w:tab w:val="left" w:pos="786"/>
        </w:tabs>
        <w:snapToGrid w:val="0"/>
        <w:spacing w:after="120"/>
        <w:rPr>
          <w:rFonts w:eastAsia="SimSun" w:cstheme="minorHAnsi"/>
          <w:bCs/>
          <w:snapToGrid w:val="0"/>
          <w:color w:val="2F5496" w:themeColor="accent1" w:themeShade="BF"/>
          <w:lang w:eastAsia="zh-CN"/>
        </w:rPr>
      </w:pPr>
      <w:r w:rsidRPr="00CD660F">
        <w:rPr>
          <w:rFonts w:eastAsia="SimSun" w:cstheme="minorHAnsi"/>
          <w:bCs/>
          <w:snapToGrid w:val="0"/>
          <w:color w:val="2F5496" w:themeColor="accent1" w:themeShade="BF"/>
          <w:lang w:eastAsia="zh-CN"/>
        </w:rPr>
        <w:t xml:space="preserve">TT PacWave </w:t>
      </w:r>
      <w:r w:rsidR="00D33F27" w:rsidRPr="00CD660F">
        <w:rPr>
          <w:rFonts w:eastAsia="SimSun" w:cstheme="minorHAnsi"/>
          <w:bCs/>
          <w:snapToGrid w:val="0"/>
          <w:color w:val="2F5496" w:themeColor="accent1" w:themeShade="BF"/>
          <w:lang w:eastAsia="zh-CN"/>
        </w:rPr>
        <w:t>will compile and summarize good practices for planning, conducting, and evaluating virtual exercises, and include in the PacWave22 Exercise Manual</w:t>
      </w:r>
    </w:p>
    <w:p w14:paraId="12A8951C" w14:textId="3DEA2D42" w:rsidR="009C5B52" w:rsidRPr="00CD660F" w:rsidRDefault="009C5B52" w:rsidP="00C232FF">
      <w:pPr>
        <w:pStyle w:val="ListParagraph"/>
        <w:numPr>
          <w:ilvl w:val="0"/>
          <w:numId w:val="2"/>
        </w:numPr>
        <w:tabs>
          <w:tab w:val="left" w:pos="567"/>
          <w:tab w:val="left" w:pos="786"/>
        </w:tabs>
        <w:snapToGrid w:val="0"/>
        <w:spacing w:after="120"/>
        <w:rPr>
          <w:rFonts w:eastAsia="SimSun" w:cstheme="minorHAnsi"/>
          <w:bCs/>
          <w:snapToGrid w:val="0"/>
          <w:color w:val="2F5496" w:themeColor="accent1" w:themeShade="BF"/>
          <w:lang w:eastAsia="zh-CN"/>
        </w:rPr>
      </w:pPr>
      <w:r w:rsidRPr="00CD660F">
        <w:rPr>
          <w:rFonts w:eastAsia="SimSun" w:cstheme="minorHAnsi"/>
          <w:bCs/>
          <w:snapToGrid w:val="0"/>
          <w:color w:val="2F5496" w:themeColor="accent1" w:themeShade="BF"/>
          <w:lang w:eastAsia="zh-CN"/>
        </w:rPr>
        <w:t>TT Pac</w:t>
      </w:r>
      <w:r w:rsidR="00EF0897" w:rsidRPr="00CD660F">
        <w:rPr>
          <w:rFonts w:eastAsia="SimSun" w:cstheme="minorHAnsi"/>
          <w:bCs/>
          <w:snapToGrid w:val="0"/>
          <w:color w:val="2F5496" w:themeColor="accent1" w:themeShade="BF"/>
          <w:lang w:eastAsia="zh-CN"/>
        </w:rPr>
        <w:t>W</w:t>
      </w:r>
      <w:r w:rsidRPr="00CD660F">
        <w:rPr>
          <w:rFonts w:eastAsia="SimSun" w:cstheme="minorHAnsi"/>
          <w:bCs/>
          <w:snapToGrid w:val="0"/>
          <w:color w:val="2F5496" w:themeColor="accent1" w:themeShade="BF"/>
          <w:lang w:eastAsia="zh-CN"/>
        </w:rPr>
        <w:t xml:space="preserve">ave </w:t>
      </w:r>
      <w:r w:rsidR="00EF0897" w:rsidRPr="00CD660F">
        <w:rPr>
          <w:rFonts w:eastAsia="SimSun" w:cstheme="minorHAnsi"/>
          <w:bCs/>
          <w:snapToGrid w:val="0"/>
          <w:color w:val="2F5496" w:themeColor="accent1" w:themeShade="BF"/>
          <w:lang w:eastAsia="zh-CN"/>
        </w:rPr>
        <w:t xml:space="preserve">to </w:t>
      </w:r>
      <w:r w:rsidR="00E9555A" w:rsidRPr="00CD660F">
        <w:rPr>
          <w:rFonts w:eastAsia="SimSun" w:cstheme="minorHAnsi"/>
          <w:bCs/>
          <w:snapToGrid w:val="0"/>
          <w:color w:val="2F5496" w:themeColor="accent1" w:themeShade="BF"/>
          <w:lang w:eastAsia="zh-CN"/>
        </w:rPr>
        <w:t>send further information on the PacWave informational video</w:t>
      </w:r>
    </w:p>
    <w:p w14:paraId="1B0D9B24" w14:textId="328E9AC8" w:rsidR="00267FFE" w:rsidRPr="00CD660F" w:rsidRDefault="00E9555A" w:rsidP="00C232FF">
      <w:pPr>
        <w:pStyle w:val="ListParagraph"/>
        <w:numPr>
          <w:ilvl w:val="0"/>
          <w:numId w:val="2"/>
        </w:numPr>
        <w:tabs>
          <w:tab w:val="left" w:pos="567"/>
          <w:tab w:val="left" w:pos="786"/>
        </w:tabs>
        <w:snapToGrid w:val="0"/>
        <w:spacing w:after="120"/>
        <w:rPr>
          <w:rFonts w:eastAsia="SimSun" w:cstheme="minorHAnsi"/>
          <w:bCs/>
          <w:snapToGrid w:val="0"/>
          <w:color w:val="2F5496" w:themeColor="accent1" w:themeShade="BF"/>
          <w:lang w:eastAsia="zh-CN"/>
        </w:rPr>
      </w:pPr>
      <w:r w:rsidRPr="00CD660F">
        <w:rPr>
          <w:rFonts w:eastAsia="SimSun" w:cstheme="minorHAnsi"/>
          <w:bCs/>
          <w:snapToGrid w:val="0"/>
          <w:color w:val="2F5496" w:themeColor="accent1" w:themeShade="BF"/>
          <w:lang w:eastAsia="zh-CN"/>
        </w:rPr>
        <w:t xml:space="preserve">TT PacWave to </w:t>
      </w:r>
      <w:r w:rsidR="004E4F9C" w:rsidRPr="00CD660F">
        <w:rPr>
          <w:rFonts w:eastAsia="SimSun" w:cstheme="minorHAnsi"/>
          <w:bCs/>
          <w:snapToGrid w:val="0"/>
          <w:color w:val="2F5496" w:themeColor="accent1" w:themeShade="BF"/>
          <w:lang w:eastAsia="zh-CN"/>
        </w:rPr>
        <w:t>explore more automatic and efficient ways to compile the information prior to October 2022</w:t>
      </w:r>
    </w:p>
    <w:p w14:paraId="23D4B716" w14:textId="3819FDBB" w:rsidR="00FC1C16" w:rsidRPr="00CD660F" w:rsidRDefault="00FC1C16" w:rsidP="00C232FF">
      <w:pPr>
        <w:pStyle w:val="ListParagraph"/>
        <w:numPr>
          <w:ilvl w:val="0"/>
          <w:numId w:val="2"/>
        </w:numPr>
        <w:tabs>
          <w:tab w:val="left" w:pos="567"/>
          <w:tab w:val="left" w:pos="786"/>
        </w:tabs>
        <w:snapToGrid w:val="0"/>
        <w:spacing w:after="120"/>
        <w:rPr>
          <w:rFonts w:eastAsia="SimSun" w:cstheme="minorHAnsi"/>
          <w:bCs/>
          <w:snapToGrid w:val="0"/>
          <w:color w:val="2F5496" w:themeColor="accent1" w:themeShade="BF"/>
          <w:lang w:eastAsia="zh-CN"/>
        </w:rPr>
      </w:pPr>
      <w:r w:rsidRPr="00CD660F">
        <w:rPr>
          <w:rFonts w:eastAsia="SimSun" w:cstheme="minorHAnsi"/>
          <w:bCs/>
          <w:snapToGrid w:val="0"/>
          <w:color w:val="2F5496" w:themeColor="accent1" w:themeShade="BF"/>
          <w:lang w:eastAsia="zh-CN"/>
        </w:rPr>
        <w:lastRenderedPageBreak/>
        <w:t>TT PacWave will inquire about and confirm the dates of IOWave</w:t>
      </w:r>
    </w:p>
    <w:p w14:paraId="33ECAC92" w14:textId="450B11F0" w:rsidR="00192987" w:rsidRPr="00CD660F" w:rsidRDefault="003956EA" w:rsidP="00C232FF">
      <w:pPr>
        <w:pStyle w:val="ListParagraph"/>
        <w:numPr>
          <w:ilvl w:val="0"/>
          <w:numId w:val="2"/>
        </w:numPr>
        <w:tabs>
          <w:tab w:val="left" w:pos="567"/>
          <w:tab w:val="left" w:pos="786"/>
        </w:tabs>
        <w:snapToGrid w:val="0"/>
        <w:spacing w:after="120"/>
        <w:rPr>
          <w:rFonts w:eastAsia="SimSun" w:cstheme="minorHAnsi"/>
          <w:bCs/>
          <w:snapToGrid w:val="0"/>
          <w:color w:val="2F5496" w:themeColor="accent1" w:themeShade="BF"/>
          <w:lang w:eastAsia="zh-CN"/>
        </w:rPr>
      </w:pPr>
      <w:r w:rsidRPr="00CD660F">
        <w:rPr>
          <w:rFonts w:eastAsia="SimSun" w:cstheme="minorHAnsi"/>
          <w:bCs/>
          <w:snapToGrid w:val="0"/>
          <w:color w:val="2F5496" w:themeColor="accent1" w:themeShade="BF"/>
          <w:lang w:eastAsia="zh-CN"/>
        </w:rPr>
        <w:t>The communications test of PacWave 2022 will be held on 13 October 2022 and countries must report their test results 10 days after the exercise</w:t>
      </w:r>
    </w:p>
    <w:p w14:paraId="05368AC3" w14:textId="6102DD7C" w:rsidR="00504D3D" w:rsidRPr="00CD660F" w:rsidRDefault="0056561C" w:rsidP="00CD660F">
      <w:pPr>
        <w:pStyle w:val="ListParagraph"/>
        <w:numPr>
          <w:ilvl w:val="0"/>
          <w:numId w:val="2"/>
        </w:numPr>
        <w:tabs>
          <w:tab w:val="left" w:pos="567"/>
          <w:tab w:val="left" w:pos="786"/>
          <w:tab w:val="num" w:pos="1440"/>
        </w:tabs>
        <w:snapToGrid w:val="0"/>
        <w:spacing w:after="120"/>
        <w:rPr>
          <w:rFonts w:eastAsia="SimSun" w:cstheme="minorHAnsi"/>
          <w:bCs/>
          <w:snapToGrid w:val="0"/>
          <w:color w:val="2F5496" w:themeColor="accent1" w:themeShade="BF"/>
          <w:lang w:eastAsia="zh-CN"/>
        </w:rPr>
      </w:pPr>
      <w:r w:rsidRPr="00CD660F">
        <w:rPr>
          <w:rFonts w:eastAsia="SimSun" w:cstheme="minorHAnsi"/>
          <w:bCs/>
          <w:snapToGrid w:val="0"/>
          <w:color w:val="2F5496" w:themeColor="accent1" w:themeShade="BF"/>
          <w:lang w:eastAsia="zh-CN"/>
        </w:rPr>
        <w:t>The current name of the TT of “PacWave 20” will be changed to “PacWave”</w:t>
      </w:r>
      <w:r w:rsidR="00D9196A" w:rsidRPr="00CD660F">
        <w:rPr>
          <w:rFonts w:eastAsia="SimSun" w:cstheme="minorHAnsi"/>
          <w:bCs/>
          <w:snapToGrid w:val="0"/>
          <w:color w:val="2F5496" w:themeColor="accent1" w:themeShade="BF"/>
          <w:lang w:eastAsia="zh-CN"/>
        </w:rPr>
        <w:t xml:space="preserve"> – this will be changed in the</w:t>
      </w:r>
      <w:r w:rsidRPr="00CD660F">
        <w:rPr>
          <w:rFonts w:eastAsia="SimSun" w:cstheme="minorHAnsi"/>
          <w:bCs/>
          <w:snapToGrid w:val="0"/>
          <w:color w:val="2F5496" w:themeColor="accent1" w:themeShade="BF"/>
          <w:lang w:eastAsia="zh-CN"/>
        </w:rPr>
        <w:t xml:space="preserve"> terms of reference and name of the TT</w:t>
      </w:r>
      <w:r w:rsidR="007F5BE3">
        <w:rPr>
          <w:rFonts w:eastAsia="SimSun" w:cstheme="minorHAnsi"/>
          <w:bCs/>
          <w:snapToGrid w:val="0"/>
          <w:color w:val="2F5496" w:themeColor="accent1" w:themeShade="BF"/>
          <w:lang w:eastAsia="zh-CN"/>
        </w:rPr>
        <w:t xml:space="preserve"> for approval at PTWS XXIX</w:t>
      </w:r>
      <w:r w:rsidRPr="00CD660F">
        <w:rPr>
          <w:rFonts w:eastAsia="SimSun" w:cstheme="minorHAnsi"/>
          <w:bCs/>
          <w:snapToGrid w:val="0"/>
          <w:color w:val="2F5496" w:themeColor="accent1" w:themeShade="BF"/>
          <w:lang w:eastAsia="zh-CN"/>
        </w:rPr>
        <w:t>.</w:t>
      </w:r>
    </w:p>
    <w:p w14:paraId="23387AC0" w14:textId="7506AF2A" w:rsidR="006E0B71" w:rsidRPr="000A325C" w:rsidRDefault="009D166D" w:rsidP="00CD4AAE">
      <w:pPr>
        <w:pStyle w:val="Heading1"/>
        <w:spacing w:before="360"/>
        <w:rPr>
          <w:bCs/>
          <w:snapToGrid w:val="0"/>
          <w:lang w:val="en-GB" w:eastAsia="zh-CN"/>
        </w:rPr>
      </w:pPr>
      <w:r w:rsidRPr="000A325C">
        <w:rPr>
          <w:bCs/>
          <w:snapToGrid w:val="0"/>
          <w:lang w:eastAsia="zh-CN"/>
        </w:rPr>
        <w:t>PTWS MEDIUM TERM STRATEGY 2022-2029</w:t>
      </w:r>
    </w:p>
    <w:p w14:paraId="4C6181A5" w14:textId="6DF45E35" w:rsidR="00C9212D" w:rsidRDefault="00FB3EEF" w:rsidP="00E27D4C">
      <w:pPr>
        <w:spacing w:after="120"/>
        <w:rPr>
          <w:rFonts w:eastAsia="SimSun" w:cstheme="minorHAnsi"/>
          <w:bCs/>
          <w:snapToGrid w:val="0"/>
          <w:lang w:val="en-GB" w:eastAsia="zh-CN"/>
        </w:rPr>
      </w:pPr>
      <w:r>
        <w:rPr>
          <w:rFonts w:eastAsia="SimSun" w:cstheme="minorHAnsi"/>
          <w:bCs/>
          <w:snapToGrid w:val="0"/>
          <w:lang w:val="en-GB" w:eastAsia="zh-CN"/>
        </w:rPr>
        <w:t xml:space="preserve">Mr David Coetzee, Chair of </w:t>
      </w:r>
      <w:r w:rsidR="00CD4AAE">
        <w:rPr>
          <w:rFonts w:eastAsia="SimSun" w:cstheme="minorHAnsi"/>
          <w:bCs/>
          <w:snapToGrid w:val="0"/>
          <w:lang w:val="en-GB" w:eastAsia="zh-CN"/>
        </w:rPr>
        <w:t>WG</w:t>
      </w:r>
      <w:r>
        <w:rPr>
          <w:rFonts w:eastAsia="SimSun" w:cstheme="minorHAnsi"/>
          <w:bCs/>
          <w:snapToGrid w:val="0"/>
          <w:lang w:val="en-GB" w:eastAsia="zh-CN"/>
        </w:rPr>
        <w:t xml:space="preserve"> 3</w:t>
      </w:r>
      <w:r w:rsidR="00CD4AAE">
        <w:rPr>
          <w:rFonts w:eastAsia="SimSun" w:cstheme="minorHAnsi"/>
          <w:bCs/>
          <w:snapToGrid w:val="0"/>
          <w:lang w:val="en-GB" w:eastAsia="zh-CN"/>
        </w:rPr>
        <w:t>,</w:t>
      </w:r>
      <w:r w:rsidR="00C9212D">
        <w:rPr>
          <w:rFonts w:eastAsia="SimSun" w:cstheme="minorHAnsi"/>
          <w:bCs/>
          <w:snapToGrid w:val="0"/>
          <w:lang w:val="en-GB" w:eastAsia="zh-CN"/>
        </w:rPr>
        <w:t xml:space="preserve"> and Ms Sarah-Jayne McCurrach, </w:t>
      </w:r>
      <w:r w:rsidR="007F5BE3">
        <w:rPr>
          <w:rFonts w:eastAsia="SimSun" w:cstheme="minorHAnsi"/>
          <w:bCs/>
          <w:snapToGrid w:val="0"/>
          <w:lang w:val="en-GB" w:eastAsia="zh-CN"/>
        </w:rPr>
        <w:t>Co-Chair of WG1</w:t>
      </w:r>
      <w:r w:rsidR="00C9212D">
        <w:rPr>
          <w:rFonts w:eastAsia="SimSun" w:cstheme="minorHAnsi"/>
          <w:bCs/>
          <w:snapToGrid w:val="0"/>
          <w:lang w:val="en-GB" w:eastAsia="zh-CN"/>
        </w:rPr>
        <w:t>,</w:t>
      </w:r>
      <w:r>
        <w:rPr>
          <w:rFonts w:eastAsia="SimSun" w:cstheme="minorHAnsi"/>
          <w:bCs/>
          <w:snapToGrid w:val="0"/>
          <w:lang w:val="en-GB" w:eastAsia="zh-CN"/>
        </w:rPr>
        <w:t xml:space="preserve"> </w:t>
      </w:r>
      <w:r w:rsidR="00CD4AAE">
        <w:rPr>
          <w:rFonts w:eastAsia="SimSun" w:cstheme="minorHAnsi"/>
          <w:bCs/>
          <w:snapToGrid w:val="0"/>
          <w:lang w:val="en-GB" w:eastAsia="zh-CN"/>
        </w:rPr>
        <w:t xml:space="preserve">presented the </w:t>
      </w:r>
      <w:r>
        <w:rPr>
          <w:rFonts w:eastAsia="SimSun" w:cstheme="minorHAnsi"/>
          <w:bCs/>
          <w:snapToGrid w:val="0"/>
          <w:lang w:val="en-GB" w:eastAsia="zh-CN"/>
        </w:rPr>
        <w:t>report on the PTWS Medium Term Strategy 2022-2029</w:t>
      </w:r>
      <w:r w:rsidR="00C9212D">
        <w:rPr>
          <w:rFonts w:eastAsia="SimSun" w:cstheme="minorHAnsi"/>
          <w:bCs/>
          <w:snapToGrid w:val="0"/>
          <w:lang w:val="en-GB" w:eastAsia="zh-CN"/>
        </w:rPr>
        <w:t>.</w:t>
      </w:r>
    </w:p>
    <w:p w14:paraId="521490D5" w14:textId="5BE3AE5A" w:rsidR="00EC7549" w:rsidRDefault="00C9212D" w:rsidP="00E27D4C">
      <w:pPr>
        <w:spacing w:after="120"/>
        <w:rPr>
          <w:rFonts w:eastAsia="SimSun" w:cstheme="minorHAnsi"/>
          <w:bCs/>
          <w:snapToGrid w:val="0"/>
          <w:lang w:val="en-GB" w:eastAsia="zh-CN"/>
        </w:rPr>
      </w:pPr>
      <w:r>
        <w:rPr>
          <w:rFonts w:eastAsia="SimSun" w:cstheme="minorHAnsi"/>
          <w:bCs/>
          <w:snapToGrid w:val="0"/>
          <w:lang w:val="en-GB" w:eastAsia="zh-CN"/>
        </w:rPr>
        <w:t xml:space="preserve">Mr Coetzee began with a review of the </w:t>
      </w:r>
      <w:r w:rsidR="00960292">
        <w:rPr>
          <w:rFonts w:eastAsia="SimSun" w:cstheme="minorHAnsi"/>
          <w:bCs/>
          <w:snapToGrid w:val="0"/>
          <w:lang w:val="en-GB" w:eastAsia="zh-CN"/>
        </w:rPr>
        <w:t xml:space="preserve">process for </w:t>
      </w:r>
      <w:r w:rsidR="00F62D3E">
        <w:rPr>
          <w:rFonts w:eastAsia="SimSun" w:cstheme="minorHAnsi"/>
          <w:bCs/>
          <w:snapToGrid w:val="0"/>
          <w:lang w:val="en-GB" w:eastAsia="zh-CN"/>
        </w:rPr>
        <w:t xml:space="preserve">drafting the PTWS Strategy 2022-2029 report, noting that </w:t>
      </w:r>
      <w:r w:rsidR="00533D46">
        <w:rPr>
          <w:rFonts w:eastAsia="SimSun" w:cstheme="minorHAnsi"/>
          <w:bCs/>
          <w:snapToGrid w:val="0"/>
          <w:lang w:val="en-GB" w:eastAsia="zh-CN"/>
        </w:rPr>
        <w:t xml:space="preserve">whilst the original draft was prepared by himself, this latest redrafting was </w:t>
      </w:r>
      <w:r w:rsidR="00F779A4">
        <w:rPr>
          <w:rFonts w:eastAsia="SimSun" w:cstheme="minorHAnsi"/>
          <w:bCs/>
          <w:snapToGrid w:val="0"/>
          <w:lang w:val="en-GB" w:eastAsia="zh-CN"/>
        </w:rPr>
        <w:t>led</w:t>
      </w:r>
      <w:r w:rsidR="00533D46">
        <w:rPr>
          <w:rFonts w:eastAsia="SimSun" w:cstheme="minorHAnsi"/>
          <w:bCs/>
          <w:snapToGrid w:val="0"/>
          <w:lang w:val="en-GB" w:eastAsia="zh-CN"/>
        </w:rPr>
        <w:t xml:space="preserve"> by Ms McCurrach.</w:t>
      </w:r>
    </w:p>
    <w:p w14:paraId="6542F3AE" w14:textId="73AF079A" w:rsidR="004B1652" w:rsidRDefault="00EC7549" w:rsidP="002722F8">
      <w:pPr>
        <w:spacing w:after="120"/>
        <w:rPr>
          <w:rFonts w:eastAsia="SimSun" w:cstheme="minorHAnsi"/>
          <w:bCs/>
          <w:snapToGrid w:val="0"/>
          <w:lang w:val="en-GB" w:eastAsia="zh-CN"/>
        </w:rPr>
      </w:pPr>
      <w:r>
        <w:rPr>
          <w:rFonts w:eastAsia="SimSun" w:cstheme="minorHAnsi"/>
          <w:bCs/>
          <w:snapToGrid w:val="0"/>
          <w:lang w:val="en-GB" w:eastAsia="zh-CN"/>
        </w:rPr>
        <w:t>Ms McCurrach presented on the approach and strategy taken in the report.</w:t>
      </w:r>
      <w:r w:rsidR="00B6144B">
        <w:rPr>
          <w:rFonts w:eastAsia="SimSun" w:cstheme="minorHAnsi"/>
          <w:bCs/>
          <w:snapToGrid w:val="0"/>
          <w:lang w:val="en-GB" w:eastAsia="zh-CN"/>
        </w:rPr>
        <w:t xml:space="preserve"> She remarked that the first draft prepared in 2020</w:t>
      </w:r>
      <w:r w:rsidR="004D03EE">
        <w:rPr>
          <w:rFonts w:eastAsia="SimSun" w:cstheme="minorHAnsi"/>
          <w:bCs/>
          <w:snapToGrid w:val="0"/>
          <w:lang w:val="en-GB" w:eastAsia="zh-CN"/>
        </w:rPr>
        <w:t xml:space="preserve"> did not change many elements from past </w:t>
      </w:r>
      <w:r w:rsidR="00EF7607">
        <w:rPr>
          <w:rFonts w:eastAsia="SimSun" w:cstheme="minorHAnsi"/>
          <w:bCs/>
          <w:snapToGrid w:val="0"/>
          <w:lang w:val="en-GB" w:eastAsia="zh-CN"/>
        </w:rPr>
        <w:t>equivalent documents</w:t>
      </w:r>
      <w:r w:rsidR="004D03EE">
        <w:rPr>
          <w:rFonts w:eastAsia="SimSun" w:cstheme="minorHAnsi"/>
          <w:bCs/>
          <w:snapToGrid w:val="0"/>
          <w:lang w:val="en-GB" w:eastAsia="zh-CN"/>
        </w:rPr>
        <w:t xml:space="preserve"> and presented more of a quick review.</w:t>
      </w:r>
      <w:r w:rsidR="003C3013">
        <w:rPr>
          <w:rFonts w:eastAsia="SimSun" w:cstheme="minorHAnsi"/>
          <w:bCs/>
          <w:snapToGrid w:val="0"/>
          <w:lang w:val="en-GB" w:eastAsia="zh-CN"/>
        </w:rPr>
        <w:t xml:space="preserve"> </w:t>
      </w:r>
      <w:r w:rsidR="00714738">
        <w:rPr>
          <w:rFonts w:eastAsia="SimSun" w:cstheme="minorHAnsi"/>
          <w:bCs/>
          <w:snapToGrid w:val="0"/>
          <w:lang w:val="en-GB" w:eastAsia="zh-CN"/>
        </w:rPr>
        <w:t xml:space="preserve">She </w:t>
      </w:r>
      <w:r w:rsidR="00D6616E">
        <w:rPr>
          <w:rFonts w:eastAsia="SimSun" w:cstheme="minorHAnsi"/>
          <w:bCs/>
          <w:snapToGrid w:val="0"/>
          <w:lang w:val="en-GB" w:eastAsia="zh-CN"/>
        </w:rPr>
        <w:t xml:space="preserve">also </w:t>
      </w:r>
      <w:r w:rsidR="00714738">
        <w:rPr>
          <w:rFonts w:eastAsia="SimSun" w:cstheme="minorHAnsi"/>
          <w:bCs/>
          <w:snapToGrid w:val="0"/>
          <w:lang w:val="en-GB" w:eastAsia="zh-CN"/>
        </w:rPr>
        <w:t xml:space="preserve">presented the context for </w:t>
      </w:r>
      <w:r w:rsidR="00A22C94">
        <w:rPr>
          <w:rFonts w:eastAsia="SimSun" w:cstheme="minorHAnsi"/>
          <w:bCs/>
          <w:snapToGrid w:val="0"/>
          <w:lang w:val="en-GB" w:eastAsia="zh-CN"/>
        </w:rPr>
        <w:t>the proposed new Strategy. She noted that t</w:t>
      </w:r>
      <w:r w:rsidR="003C3013">
        <w:rPr>
          <w:rFonts w:eastAsia="SimSun" w:cstheme="minorHAnsi"/>
          <w:bCs/>
          <w:snapToGrid w:val="0"/>
          <w:lang w:val="en-GB" w:eastAsia="zh-CN"/>
        </w:rPr>
        <w:t>hrough the T</w:t>
      </w:r>
      <w:r w:rsidR="00E27D4C">
        <w:rPr>
          <w:rFonts w:eastAsia="SimSun" w:cstheme="minorHAnsi"/>
          <w:bCs/>
          <w:snapToGrid w:val="0"/>
          <w:lang w:val="en-GB" w:eastAsia="zh-CN"/>
        </w:rPr>
        <w:t>O</w:t>
      </w:r>
      <w:r w:rsidR="006E07F2">
        <w:rPr>
          <w:rFonts w:eastAsia="SimSun" w:cstheme="minorHAnsi"/>
          <w:bCs/>
          <w:snapToGrid w:val="0"/>
          <w:lang w:val="en-GB" w:eastAsia="zh-CN"/>
        </w:rPr>
        <w:t>W</w:t>
      </w:r>
      <w:r w:rsidR="003C3013">
        <w:rPr>
          <w:rFonts w:eastAsia="SimSun" w:cstheme="minorHAnsi"/>
          <w:bCs/>
          <w:snapToGrid w:val="0"/>
          <w:lang w:val="en-GB" w:eastAsia="zh-CN"/>
        </w:rPr>
        <w:t>S-WG</w:t>
      </w:r>
      <w:r w:rsidR="00714738">
        <w:rPr>
          <w:rFonts w:eastAsia="SimSun" w:cstheme="minorHAnsi"/>
          <w:bCs/>
          <w:snapToGrid w:val="0"/>
          <w:lang w:val="en-GB" w:eastAsia="zh-CN"/>
        </w:rPr>
        <w:t xml:space="preserve"> </w:t>
      </w:r>
      <w:r w:rsidR="00EF7607">
        <w:rPr>
          <w:rFonts w:eastAsia="SimSun" w:cstheme="minorHAnsi"/>
          <w:bCs/>
          <w:snapToGrid w:val="0"/>
          <w:lang w:val="en-GB" w:eastAsia="zh-CN"/>
        </w:rPr>
        <w:t xml:space="preserve">TT DMP </w:t>
      </w:r>
      <w:r w:rsidR="00714738">
        <w:rPr>
          <w:rFonts w:eastAsia="SimSun" w:cstheme="minorHAnsi"/>
          <w:bCs/>
          <w:snapToGrid w:val="0"/>
          <w:lang w:val="en-GB" w:eastAsia="zh-CN"/>
        </w:rPr>
        <w:t xml:space="preserve">work </w:t>
      </w:r>
      <w:r w:rsidR="00EF7607">
        <w:rPr>
          <w:rFonts w:eastAsia="SimSun" w:cstheme="minorHAnsi"/>
          <w:bCs/>
          <w:snapToGrid w:val="0"/>
          <w:lang w:val="en-GB" w:eastAsia="zh-CN"/>
        </w:rPr>
        <w:t xml:space="preserve">is ongoing </w:t>
      </w:r>
      <w:r w:rsidR="00714738">
        <w:rPr>
          <w:rFonts w:eastAsia="SimSun" w:cstheme="minorHAnsi"/>
          <w:bCs/>
          <w:snapToGrid w:val="0"/>
          <w:lang w:val="en-GB" w:eastAsia="zh-CN"/>
        </w:rPr>
        <w:t>on developing a</w:t>
      </w:r>
      <w:r w:rsidR="003C3013">
        <w:rPr>
          <w:rFonts w:eastAsia="SimSun" w:cstheme="minorHAnsi"/>
          <w:bCs/>
          <w:snapToGrid w:val="0"/>
          <w:lang w:val="en-GB" w:eastAsia="zh-CN"/>
        </w:rPr>
        <w:t xml:space="preserve"> global KPI framework</w:t>
      </w:r>
      <w:r w:rsidR="00714738">
        <w:rPr>
          <w:rFonts w:eastAsia="SimSun" w:cstheme="minorHAnsi"/>
          <w:bCs/>
          <w:snapToGrid w:val="0"/>
          <w:lang w:val="en-GB" w:eastAsia="zh-CN"/>
        </w:rPr>
        <w:t xml:space="preserve">, </w:t>
      </w:r>
      <w:r w:rsidR="00EF7607">
        <w:rPr>
          <w:rFonts w:eastAsia="SimSun" w:cstheme="minorHAnsi"/>
          <w:bCs/>
          <w:snapToGrid w:val="0"/>
          <w:lang w:val="en-GB" w:eastAsia="zh-CN"/>
        </w:rPr>
        <w:t xml:space="preserve">emphasizing </w:t>
      </w:r>
      <w:r w:rsidR="00A22C94">
        <w:rPr>
          <w:rFonts w:eastAsia="SimSun" w:cstheme="minorHAnsi"/>
          <w:bCs/>
          <w:snapToGrid w:val="0"/>
          <w:lang w:val="en-GB" w:eastAsia="zh-CN"/>
        </w:rPr>
        <w:t>the need for globally aligned strategies for each ocean basin</w:t>
      </w:r>
      <w:r w:rsidR="00967AE5">
        <w:rPr>
          <w:rFonts w:eastAsia="SimSun" w:cstheme="minorHAnsi"/>
          <w:bCs/>
          <w:snapToGrid w:val="0"/>
          <w:lang w:val="en-GB" w:eastAsia="zh-CN"/>
        </w:rPr>
        <w:t xml:space="preserve"> as well as strategies that align</w:t>
      </w:r>
      <w:r w:rsidR="00404C33">
        <w:rPr>
          <w:rFonts w:eastAsia="SimSun" w:cstheme="minorHAnsi"/>
          <w:bCs/>
          <w:snapToGrid w:val="0"/>
          <w:lang w:val="en-GB" w:eastAsia="zh-CN"/>
        </w:rPr>
        <w:t xml:space="preserve"> with global KPI frameworks such as the Sendai Framework or the UN Ocean Decade</w:t>
      </w:r>
      <w:r w:rsidR="00B304E2">
        <w:rPr>
          <w:rFonts w:eastAsia="SimSun" w:cstheme="minorHAnsi"/>
          <w:bCs/>
          <w:snapToGrid w:val="0"/>
          <w:lang w:val="en-GB" w:eastAsia="zh-CN"/>
        </w:rPr>
        <w:t xml:space="preserve">. Based on this need, she analysed the new Mediterranean </w:t>
      </w:r>
      <w:r w:rsidR="00967AE5">
        <w:rPr>
          <w:rFonts w:eastAsia="SimSun" w:cstheme="minorHAnsi"/>
          <w:bCs/>
          <w:snapToGrid w:val="0"/>
          <w:lang w:val="en-GB" w:eastAsia="zh-CN"/>
        </w:rPr>
        <w:t>Strategy (that was based on the current PTWS Strategy)</w:t>
      </w:r>
      <w:r w:rsidR="003C3013">
        <w:rPr>
          <w:rFonts w:eastAsia="SimSun" w:cstheme="minorHAnsi"/>
          <w:bCs/>
          <w:snapToGrid w:val="0"/>
          <w:lang w:val="en-GB" w:eastAsia="zh-CN"/>
        </w:rPr>
        <w:t xml:space="preserve"> </w:t>
      </w:r>
      <w:r w:rsidR="00404C33">
        <w:rPr>
          <w:rFonts w:eastAsia="SimSun" w:cstheme="minorHAnsi"/>
          <w:bCs/>
          <w:snapToGrid w:val="0"/>
          <w:lang w:val="en-GB" w:eastAsia="zh-CN"/>
        </w:rPr>
        <w:t xml:space="preserve">as well as similar strategies globally. Taking from this, she developed this new Strategy. She also remarked that </w:t>
      </w:r>
      <w:r w:rsidR="006218FB">
        <w:rPr>
          <w:rFonts w:eastAsia="SimSun" w:cstheme="minorHAnsi"/>
          <w:bCs/>
          <w:snapToGrid w:val="0"/>
          <w:lang w:val="en-GB" w:eastAsia="zh-CN"/>
        </w:rPr>
        <w:t xml:space="preserve">this new Strategy 2022-2029 has not removed anything from the current strategy but has rather refined or </w:t>
      </w:r>
      <w:r w:rsidR="004B1652">
        <w:rPr>
          <w:rFonts w:eastAsia="SimSun" w:cstheme="minorHAnsi"/>
          <w:bCs/>
          <w:snapToGrid w:val="0"/>
          <w:lang w:val="en-GB" w:eastAsia="zh-CN"/>
        </w:rPr>
        <w:t>added elements. She also reiterated the process for this redrafting, noting that after her original draft, Mr Coetzee and Mr Aliaga provided feedback, and the draft was shared with Member States for a first round of comments.</w:t>
      </w:r>
    </w:p>
    <w:p w14:paraId="27E4EBC4" w14:textId="5C054A6D" w:rsidR="002722F8" w:rsidRPr="002722F8" w:rsidRDefault="002722F8" w:rsidP="002722F8">
      <w:pPr>
        <w:spacing w:before="200" w:after="120"/>
        <w:rPr>
          <w:rFonts w:eastAsia="SimSun" w:cstheme="minorHAnsi"/>
          <w:b/>
          <w:snapToGrid w:val="0"/>
          <w:lang w:val="en-GB" w:eastAsia="zh-CN"/>
        </w:rPr>
      </w:pPr>
      <w:r w:rsidRPr="002722F8">
        <w:rPr>
          <w:rFonts w:eastAsia="SimSun" w:cstheme="minorHAnsi"/>
          <w:b/>
          <w:snapToGrid w:val="0"/>
          <w:lang w:val="en-GB" w:eastAsia="zh-CN"/>
        </w:rPr>
        <w:t>Discussion:</w:t>
      </w:r>
    </w:p>
    <w:p w14:paraId="25280CCE" w14:textId="5CC7E856" w:rsidR="003C729C" w:rsidRDefault="00665629" w:rsidP="002722F8">
      <w:pPr>
        <w:spacing w:after="120"/>
        <w:rPr>
          <w:rFonts w:eastAsia="SimSun" w:cstheme="minorHAnsi"/>
          <w:bCs/>
          <w:snapToGrid w:val="0"/>
          <w:lang w:val="en-GB" w:eastAsia="zh-CN"/>
        </w:rPr>
      </w:pPr>
      <w:r>
        <w:rPr>
          <w:rFonts w:eastAsia="SimSun" w:cstheme="minorHAnsi"/>
          <w:bCs/>
          <w:snapToGrid w:val="0"/>
          <w:lang w:val="en-GB" w:eastAsia="zh-CN"/>
        </w:rPr>
        <w:t xml:space="preserve">The Group discussed the Outstanding Comments of the Strategy 2022-2029 </w:t>
      </w:r>
      <w:r w:rsidR="003C729C">
        <w:rPr>
          <w:rFonts w:eastAsia="SimSun" w:cstheme="minorHAnsi"/>
          <w:bCs/>
          <w:snapToGrid w:val="0"/>
          <w:lang w:val="en-GB" w:eastAsia="zh-CN"/>
        </w:rPr>
        <w:t xml:space="preserve">report (document available on meeting website and </w:t>
      </w:r>
      <w:hyperlink r:id="rId9" w:history="1">
        <w:r w:rsidR="003C729C" w:rsidRPr="00EF7607">
          <w:rPr>
            <w:rStyle w:val="Hyperlink"/>
            <w:rFonts w:eastAsia="SimSun" w:cstheme="minorHAnsi"/>
            <w:bCs/>
            <w:snapToGrid w:val="0"/>
            <w:lang w:val="en-GB" w:eastAsia="zh-CN"/>
          </w:rPr>
          <w:t>here</w:t>
        </w:r>
      </w:hyperlink>
      <w:r w:rsidR="003C729C">
        <w:rPr>
          <w:rFonts w:eastAsia="SimSun" w:cstheme="minorHAnsi"/>
          <w:bCs/>
          <w:snapToGrid w:val="0"/>
          <w:lang w:val="en-GB" w:eastAsia="zh-CN"/>
        </w:rPr>
        <w:t>).</w:t>
      </w:r>
    </w:p>
    <w:p w14:paraId="22E78E8C" w14:textId="4CDD3AA3" w:rsidR="00B85E21" w:rsidRPr="002722F8" w:rsidRDefault="003C729C" w:rsidP="002722F8">
      <w:pPr>
        <w:spacing w:after="120"/>
        <w:rPr>
          <w:rFonts w:eastAsia="SimSun" w:cstheme="minorHAnsi"/>
          <w:bCs/>
          <w:i/>
          <w:iCs/>
          <w:snapToGrid w:val="0"/>
          <w:lang w:val="en-GB" w:eastAsia="zh-CN"/>
        </w:rPr>
      </w:pPr>
      <w:r w:rsidRPr="0041364F">
        <w:rPr>
          <w:rFonts w:eastAsia="SimSun" w:cstheme="minorHAnsi"/>
          <w:bCs/>
          <w:i/>
          <w:iCs/>
          <w:snapToGrid w:val="0"/>
          <w:u w:val="single"/>
          <w:lang w:val="en-GB" w:eastAsia="zh-CN"/>
        </w:rPr>
        <w:t>Comment 1.</w:t>
      </w:r>
      <w:r w:rsidRPr="0041364F">
        <w:rPr>
          <w:rFonts w:eastAsia="SimSun" w:cstheme="minorHAnsi"/>
          <w:bCs/>
          <w:i/>
          <w:iCs/>
          <w:snapToGrid w:val="0"/>
          <w:lang w:val="en-GB" w:eastAsia="zh-CN"/>
        </w:rPr>
        <w:t xml:space="preserve"> </w:t>
      </w:r>
      <w:r w:rsidR="002201AE" w:rsidRPr="0041364F">
        <w:rPr>
          <w:rFonts w:eastAsia="SimSun" w:cstheme="minorHAnsi"/>
          <w:bCs/>
          <w:i/>
          <w:iCs/>
          <w:snapToGrid w:val="0"/>
          <w:lang w:val="en-GB" w:eastAsia="zh-CN"/>
        </w:rPr>
        <w:t>Consider including a section in the Strategy titled “Analysis of the Current State of the Pacific Tsunami Warning and Mitigation System”</w:t>
      </w:r>
      <w:r w:rsidR="0041364F" w:rsidRPr="0041364F">
        <w:rPr>
          <w:rFonts w:eastAsia="SimSun" w:cstheme="minorHAnsi"/>
          <w:bCs/>
          <w:i/>
          <w:iCs/>
          <w:snapToGrid w:val="0"/>
          <w:lang w:val="en-GB" w:eastAsia="zh-CN"/>
        </w:rPr>
        <w:t xml:space="preserve"> (Japan)</w:t>
      </w:r>
    </w:p>
    <w:p w14:paraId="0C9340FA" w14:textId="0872C581" w:rsidR="00391BED" w:rsidRPr="002722F8" w:rsidRDefault="005D2166" w:rsidP="002722F8">
      <w:pPr>
        <w:spacing w:after="120"/>
        <w:rPr>
          <w:lang w:val="en-GB"/>
        </w:rPr>
      </w:pPr>
      <w:r w:rsidRPr="002722F8">
        <w:rPr>
          <w:rFonts w:eastAsia="SimSun" w:cstheme="minorHAnsi"/>
          <w:bCs/>
          <w:i/>
          <w:iCs/>
          <w:snapToGrid w:val="0"/>
          <w:lang w:val="en-GB" w:eastAsia="zh-CN"/>
        </w:rPr>
        <w:t>The Group noted</w:t>
      </w:r>
      <w:r>
        <w:rPr>
          <w:rFonts w:eastAsia="SimSun" w:cstheme="minorHAnsi"/>
          <w:bCs/>
          <w:snapToGrid w:val="0"/>
          <w:lang w:val="en-GB" w:eastAsia="zh-CN"/>
        </w:rPr>
        <w:t xml:space="preserve"> that there is </w:t>
      </w:r>
      <w:r w:rsidR="00391BED">
        <w:rPr>
          <w:rFonts w:eastAsia="SimSun" w:cstheme="minorHAnsi"/>
          <w:bCs/>
          <w:snapToGrid w:val="0"/>
          <w:lang w:val="en-GB" w:eastAsia="zh-CN"/>
        </w:rPr>
        <w:t>no existing a</w:t>
      </w:r>
      <w:r w:rsidR="00391BED" w:rsidRPr="00941194">
        <w:rPr>
          <w:lang w:val="en-GB"/>
        </w:rPr>
        <w:t>nalysis of the current state of the PTWS in a consolidated and agreed form. This could however we developed from the KPI analysis carried out in 2019</w:t>
      </w:r>
      <w:r w:rsidR="00391BED">
        <w:rPr>
          <w:lang w:val="en-GB"/>
        </w:rPr>
        <w:t xml:space="preserve"> (See</w:t>
      </w:r>
      <w:r w:rsidR="00391BED" w:rsidRPr="00941194">
        <w:rPr>
          <w:lang w:val="en-GB"/>
        </w:rPr>
        <w:t xml:space="preserve"> IOC Circular Letter No 2756</w:t>
      </w:r>
      <w:r w:rsidR="00391BED">
        <w:rPr>
          <w:lang w:val="en-GB"/>
        </w:rPr>
        <w:t xml:space="preserve">, </w:t>
      </w:r>
      <w:r w:rsidR="00391BED" w:rsidRPr="00941194">
        <w:rPr>
          <w:lang w:val="en-GB"/>
        </w:rPr>
        <w:t>February 2019).</w:t>
      </w:r>
    </w:p>
    <w:p w14:paraId="5FE84503" w14:textId="521E3609" w:rsidR="003C729C" w:rsidRDefault="005D2542" w:rsidP="00CD4AAE">
      <w:pPr>
        <w:spacing w:after="120"/>
        <w:rPr>
          <w:rFonts w:eastAsia="SimSun" w:cstheme="minorHAnsi"/>
          <w:bCs/>
          <w:snapToGrid w:val="0"/>
          <w:lang w:val="en-GB" w:eastAsia="zh-CN"/>
        </w:rPr>
      </w:pPr>
      <w:r w:rsidRPr="002722F8">
        <w:rPr>
          <w:rFonts w:eastAsia="SimSun" w:cstheme="minorHAnsi"/>
          <w:b/>
          <w:i/>
          <w:iCs/>
          <w:snapToGrid w:val="0"/>
          <w:lang w:val="en-GB" w:eastAsia="zh-CN"/>
        </w:rPr>
        <w:t>The Group agree</w:t>
      </w:r>
      <w:r w:rsidR="003D7756" w:rsidRPr="002722F8">
        <w:rPr>
          <w:rFonts w:eastAsia="SimSun" w:cstheme="minorHAnsi"/>
          <w:b/>
          <w:i/>
          <w:iCs/>
          <w:snapToGrid w:val="0"/>
          <w:lang w:val="en-GB" w:eastAsia="zh-CN"/>
        </w:rPr>
        <w:t>d</w:t>
      </w:r>
      <w:r>
        <w:rPr>
          <w:rFonts w:eastAsia="SimSun" w:cstheme="minorHAnsi"/>
          <w:bCs/>
          <w:snapToGrid w:val="0"/>
          <w:lang w:val="en-GB" w:eastAsia="zh-CN"/>
        </w:rPr>
        <w:t xml:space="preserve"> </w:t>
      </w:r>
      <w:r w:rsidR="00AC2C5E">
        <w:rPr>
          <w:rFonts w:eastAsia="SimSun" w:cstheme="minorHAnsi"/>
          <w:bCs/>
          <w:snapToGrid w:val="0"/>
          <w:lang w:val="en-GB" w:eastAsia="zh-CN"/>
        </w:rPr>
        <w:t>on the drafting of</w:t>
      </w:r>
      <w:r>
        <w:rPr>
          <w:rFonts w:eastAsia="SimSun" w:cstheme="minorHAnsi"/>
          <w:bCs/>
          <w:snapToGrid w:val="0"/>
          <w:lang w:val="en-GB" w:eastAsia="zh-CN"/>
        </w:rPr>
        <w:t xml:space="preserve"> </w:t>
      </w:r>
      <w:r w:rsidR="001D0D10" w:rsidRPr="001D0D10">
        <w:rPr>
          <w:rFonts w:eastAsia="SimSun" w:cstheme="minorHAnsi"/>
          <w:bCs/>
          <w:snapToGrid w:val="0"/>
          <w:lang w:val="en-GB" w:eastAsia="zh-CN"/>
        </w:rPr>
        <w:t xml:space="preserve">an “Analysis of the Current State of the Pacific Tsunami Warning and Mitigation System” </w:t>
      </w:r>
      <w:r w:rsidR="008437DA" w:rsidRPr="001D0D10">
        <w:rPr>
          <w:rFonts w:eastAsia="SimSun" w:cstheme="minorHAnsi"/>
          <w:bCs/>
          <w:snapToGrid w:val="0"/>
          <w:lang w:val="en-GB" w:eastAsia="zh-CN"/>
        </w:rPr>
        <w:t>se</w:t>
      </w:r>
      <w:r w:rsidR="008437DA">
        <w:rPr>
          <w:rFonts w:eastAsia="SimSun" w:cstheme="minorHAnsi"/>
          <w:bCs/>
          <w:snapToGrid w:val="0"/>
          <w:lang w:val="en-GB" w:eastAsia="zh-CN"/>
        </w:rPr>
        <w:t xml:space="preserve">ction </w:t>
      </w:r>
      <w:r w:rsidR="001D0D10">
        <w:rPr>
          <w:rFonts w:eastAsia="SimSun" w:cstheme="minorHAnsi"/>
          <w:bCs/>
          <w:snapToGrid w:val="0"/>
          <w:lang w:val="en-GB" w:eastAsia="zh-CN"/>
        </w:rPr>
        <w:t>for</w:t>
      </w:r>
      <w:r w:rsidR="008437DA">
        <w:rPr>
          <w:rFonts w:eastAsia="SimSun" w:cstheme="minorHAnsi"/>
          <w:bCs/>
          <w:snapToGrid w:val="0"/>
          <w:lang w:val="en-GB" w:eastAsia="zh-CN"/>
        </w:rPr>
        <w:t xml:space="preserve"> the Strategy 2022-2029</w:t>
      </w:r>
      <w:r>
        <w:rPr>
          <w:rFonts w:eastAsia="SimSun" w:cstheme="minorHAnsi"/>
          <w:bCs/>
          <w:snapToGrid w:val="0"/>
          <w:lang w:val="en-GB" w:eastAsia="zh-CN"/>
        </w:rPr>
        <w:t>, led by Ms McCurrach with support from the Secretariat</w:t>
      </w:r>
      <w:r w:rsidR="003D7756">
        <w:rPr>
          <w:rFonts w:eastAsia="SimSun" w:cstheme="minorHAnsi"/>
          <w:bCs/>
          <w:snapToGrid w:val="0"/>
          <w:lang w:val="en-GB" w:eastAsia="zh-CN"/>
        </w:rPr>
        <w:t xml:space="preserve">. </w:t>
      </w:r>
      <w:r w:rsidR="003D7756" w:rsidRPr="002722F8">
        <w:rPr>
          <w:rFonts w:eastAsia="SimSun" w:cstheme="minorHAnsi"/>
          <w:b/>
          <w:i/>
          <w:iCs/>
          <w:snapToGrid w:val="0"/>
          <w:lang w:val="en-GB" w:eastAsia="zh-CN"/>
        </w:rPr>
        <w:t xml:space="preserve">The Group also </w:t>
      </w:r>
      <w:r w:rsidR="001D0D10" w:rsidRPr="002722F8">
        <w:rPr>
          <w:rFonts w:eastAsia="SimSun" w:cstheme="minorHAnsi"/>
          <w:b/>
          <w:i/>
          <w:iCs/>
          <w:snapToGrid w:val="0"/>
          <w:lang w:val="en-GB" w:eastAsia="zh-CN"/>
        </w:rPr>
        <w:t>agreed</w:t>
      </w:r>
      <w:r w:rsidR="003D7756">
        <w:rPr>
          <w:rFonts w:eastAsia="SimSun" w:cstheme="minorHAnsi"/>
          <w:bCs/>
          <w:snapToGrid w:val="0"/>
          <w:lang w:val="en-GB" w:eastAsia="zh-CN"/>
        </w:rPr>
        <w:t xml:space="preserve"> that this should be done in advance of the ICG/PTWS </w:t>
      </w:r>
      <w:r w:rsidR="00DF7C62">
        <w:rPr>
          <w:rFonts w:eastAsia="SimSun" w:cstheme="minorHAnsi"/>
          <w:bCs/>
          <w:snapToGrid w:val="0"/>
          <w:lang w:val="en-GB" w:eastAsia="zh-CN"/>
        </w:rPr>
        <w:t>XXIX Meeting in November 2021, with the goal to present the report for endorsement at this meeting.</w:t>
      </w:r>
    </w:p>
    <w:p w14:paraId="0D160D2D" w14:textId="6ACA7D73" w:rsidR="00B11101" w:rsidRPr="00316740" w:rsidRDefault="0051053F" w:rsidP="00316740">
      <w:pPr>
        <w:spacing w:after="120"/>
        <w:rPr>
          <w:bCs/>
          <w:i/>
          <w:iCs/>
          <w:lang w:val="en-GB"/>
        </w:rPr>
      </w:pPr>
      <w:r w:rsidRPr="00B11101">
        <w:rPr>
          <w:rFonts w:eastAsia="SimSun" w:cstheme="minorHAnsi"/>
          <w:bCs/>
          <w:i/>
          <w:iCs/>
          <w:snapToGrid w:val="0"/>
          <w:u w:val="single"/>
          <w:lang w:val="en-GB" w:eastAsia="zh-CN"/>
        </w:rPr>
        <w:t>Comment 2:</w:t>
      </w:r>
      <w:r w:rsidR="00FB5072" w:rsidRPr="00B11101">
        <w:rPr>
          <w:rFonts w:eastAsia="SimSun" w:cstheme="minorHAnsi"/>
          <w:bCs/>
          <w:i/>
          <w:iCs/>
          <w:snapToGrid w:val="0"/>
          <w:lang w:val="en-GB" w:eastAsia="zh-CN"/>
        </w:rPr>
        <w:t xml:space="preserve"> </w:t>
      </w:r>
      <w:r w:rsidR="00BD2A7D" w:rsidRPr="00B11101">
        <w:rPr>
          <w:bCs/>
          <w:i/>
          <w:iCs/>
          <w:lang w:val="en-GB"/>
        </w:rPr>
        <w:t xml:space="preserve">“International Coordination and Cooperation and Partnerships” is significantly important but it </w:t>
      </w:r>
      <w:r w:rsidR="00EF7607">
        <w:rPr>
          <w:bCs/>
          <w:i/>
          <w:iCs/>
          <w:lang w:val="en-GB"/>
        </w:rPr>
        <w:t xml:space="preserve">is </w:t>
      </w:r>
      <w:r w:rsidR="00BD2A7D" w:rsidRPr="00B11101">
        <w:rPr>
          <w:bCs/>
          <w:i/>
          <w:iCs/>
          <w:lang w:val="en-GB"/>
        </w:rPr>
        <w:t xml:space="preserve">not </w:t>
      </w:r>
      <w:r w:rsidR="00EF7607">
        <w:rPr>
          <w:bCs/>
          <w:i/>
          <w:iCs/>
          <w:lang w:val="en-GB"/>
        </w:rPr>
        <w:t xml:space="preserve">an </w:t>
      </w:r>
      <w:r w:rsidR="00BD2A7D" w:rsidRPr="00B11101">
        <w:rPr>
          <w:bCs/>
          <w:i/>
          <w:iCs/>
          <w:lang w:val="en-GB"/>
        </w:rPr>
        <w:t>objective and should be moved to a guiding principle (Japan)</w:t>
      </w:r>
    </w:p>
    <w:p w14:paraId="6E1E6CBF" w14:textId="2A49917E" w:rsidR="00771887" w:rsidRDefault="00B11101" w:rsidP="00316740">
      <w:pPr>
        <w:spacing w:after="120"/>
        <w:rPr>
          <w:rFonts w:eastAsia="SimSun" w:cstheme="minorHAnsi"/>
          <w:bCs/>
          <w:snapToGrid w:val="0"/>
          <w:lang w:val="en-GB" w:eastAsia="zh-CN"/>
        </w:rPr>
      </w:pPr>
      <w:r w:rsidRPr="00316740">
        <w:rPr>
          <w:b/>
          <w:i/>
          <w:iCs/>
          <w:lang w:val="en-GB"/>
        </w:rPr>
        <w:t>The Group agreed</w:t>
      </w:r>
      <w:r>
        <w:rPr>
          <w:bCs/>
          <w:lang w:val="en-GB"/>
        </w:rPr>
        <w:t xml:space="preserve"> with removing “</w:t>
      </w:r>
      <w:r w:rsidRPr="00BD2A7D">
        <w:rPr>
          <w:bCs/>
          <w:lang w:val="en-GB"/>
        </w:rPr>
        <w:t>International Coordination and Cooperation and Partnerships</w:t>
      </w:r>
      <w:r>
        <w:rPr>
          <w:bCs/>
          <w:lang w:val="en-GB"/>
        </w:rPr>
        <w:t>” from objectives and adding it into the guiding principles.</w:t>
      </w:r>
    </w:p>
    <w:p w14:paraId="1D11013D" w14:textId="4B31E3B2" w:rsidR="007D65FD" w:rsidRPr="00316740" w:rsidRDefault="00977BEF" w:rsidP="00316740">
      <w:pPr>
        <w:spacing w:after="120"/>
        <w:rPr>
          <w:rFonts w:eastAsia="SimSun" w:cstheme="minorHAnsi"/>
          <w:bCs/>
          <w:i/>
          <w:iCs/>
          <w:snapToGrid w:val="0"/>
          <w:lang w:val="en-GB" w:eastAsia="zh-CN"/>
        </w:rPr>
      </w:pPr>
      <w:r w:rsidRPr="00EF00A4">
        <w:rPr>
          <w:rFonts w:eastAsia="SimSun" w:cstheme="minorHAnsi"/>
          <w:bCs/>
          <w:i/>
          <w:iCs/>
          <w:snapToGrid w:val="0"/>
          <w:u w:val="single"/>
          <w:lang w:val="en-GB" w:eastAsia="zh-CN"/>
        </w:rPr>
        <w:lastRenderedPageBreak/>
        <w:t xml:space="preserve">Comment </w:t>
      </w:r>
      <w:r w:rsidR="00771887" w:rsidRPr="00EF00A4">
        <w:rPr>
          <w:rFonts w:eastAsia="SimSun" w:cstheme="minorHAnsi"/>
          <w:bCs/>
          <w:i/>
          <w:iCs/>
          <w:snapToGrid w:val="0"/>
          <w:u w:val="single"/>
          <w:lang w:val="en-GB" w:eastAsia="zh-CN"/>
        </w:rPr>
        <w:t>3:</w:t>
      </w:r>
      <w:r w:rsidR="00771887" w:rsidRPr="00EF00A4">
        <w:rPr>
          <w:rFonts w:eastAsia="SimSun" w:cstheme="minorHAnsi"/>
          <w:bCs/>
          <w:i/>
          <w:iCs/>
          <w:snapToGrid w:val="0"/>
          <w:lang w:val="en-GB" w:eastAsia="zh-CN"/>
        </w:rPr>
        <w:t xml:space="preserve"> </w:t>
      </w:r>
      <w:r w:rsidR="007D65FD" w:rsidRPr="00EF00A4">
        <w:rPr>
          <w:rFonts w:eastAsia="SimSun" w:cstheme="minorHAnsi"/>
          <w:bCs/>
          <w:i/>
          <w:iCs/>
          <w:snapToGrid w:val="0"/>
          <w:lang w:val="en-GB" w:eastAsia="zh-CN"/>
        </w:rPr>
        <w:t>Add ‘Voluntary Commitment of internal and external resources’ to the Role of Members States (Fiji)</w:t>
      </w:r>
    </w:p>
    <w:p w14:paraId="6082EC80" w14:textId="6D179EC4" w:rsidR="007D65FD" w:rsidRDefault="007D65FD" w:rsidP="00316740">
      <w:pPr>
        <w:spacing w:after="120"/>
        <w:rPr>
          <w:rFonts w:eastAsia="SimSun" w:cstheme="minorHAnsi"/>
          <w:bCs/>
          <w:snapToGrid w:val="0"/>
          <w:lang w:val="en-GB" w:eastAsia="zh-CN"/>
        </w:rPr>
      </w:pPr>
      <w:r w:rsidRPr="00316740">
        <w:rPr>
          <w:rFonts w:eastAsia="SimSun" w:cstheme="minorHAnsi"/>
          <w:b/>
          <w:i/>
          <w:iCs/>
          <w:snapToGrid w:val="0"/>
          <w:lang w:val="en-GB" w:eastAsia="zh-CN"/>
        </w:rPr>
        <w:t>The Group agreed</w:t>
      </w:r>
      <w:r>
        <w:rPr>
          <w:rFonts w:eastAsia="SimSun" w:cstheme="minorHAnsi"/>
          <w:bCs/>
          <w:snapToGrid w:val="0"/>
          <w:lang w:val="en-GB" w:eastAsia="zh-CN"/>
        </w:rPr>
        <w:t xml:space="preserve"> </w:t>
      </w:r>
      <w:r w:rsidRPr="005F3912">
        <w:rPr>
          <w:rFonts w:eastAsia="SimSun" w:cstheme="minorHAnsi"/>
          <w:bCs/>
          <w:snapToGrid w:val="0"/>
          <w:lang w:val="en-GB" w:eastAsia="zh-CN"/>
        </w:rPr>
        <w:t>t</w:t>
      </w:r>
      <w:r w:rsidR="005F3912" w:rsidRPr="005F3912">
        <w:rPr>
          <w:rFonts w:eastAsia="SimSun" w:cstheme="minorHAnsi"/>
          <w:bCs/>
          <w:snapToGrid w:val="0"/>
          <w:lang w:val="en-GB" w:eastAsia="zh-CN"/>
        </w:rPr>
        <w:t xml:space="preserve">o </w:t>
      </w:r>
      <w:r w:rsidR="005F3912">
        <w:rPr>
          <w:rFonts w:eastAsia="SimSun" w:cstheme="minorHAnsi"/>
          <w:bCs/>
          <w:snapToGrid w:val="0"/>
          <w:lang w:val="en-GB" w:eastAsia="zh-CN"/>
        </w:rPr>
        <w:t>a</w:t>
      </w:r>
      <w:r w:rsidR="005F3912" w:rsidRPr="005F3912">
        <w:rPr>
          <w:rFonts w:eastAsia="SimSun" w:cstheme="minorHAnsi"/>
          <w:bCs/>
          <w:snapToGrid w:val="0"/>
          <w:lang w:val="en-GB" w:eastAsia="zh-CN"/>
        </w:rPr>
        <w:t>dd ‘Voluntary Commitment of internal and external resources’ to the Role of Members States</w:t>
      </w:r>
      <w:r w:rsidRPr="005F3912">
        <w:rPr>
          <w:rFonts w:eastAsia="SimSun" w:cstheme="minorHAnsi"/>
          <w:bCs/>
          <w:snapToGrid w:val="0"/>
          <w:lang w:val="en-GB" w:eastAsia="zh-CN"/>
        </w:rPr>
        <w:t>.</w:t>
      </w:r>
    </w:p>
    <w:p w14:paraId="760EFBBF" w14:textId="00003B1C" w:rsidR="0053525B" w:rsidRPr="00316740" w:rsidRDefault="007D65FD" w:rsidP="00316740">
      <w:pPr>
        <w:spacing w:after="120"/>
        <w:rPr>
          <w:bCs/>
          <w:i/>
          <w:iCs/>
          <w:lang w:val="en-GB"/>
        </w:rPr>
      </w:pPr>
      <w:r w:rsidRPr="0053525B">
        <w:rPr>
          <w:rFonts w:eastAsia="SimSun" w:cstheme="minorHAnsi"/>
          <w:bCs/>
          <w:i/>
          <w:iCs/>
          <w:snapToGrid w:val="0"/>
          <w:u w:val="single"/>
          <w:lang w:val="en-GB" w:eastAsia="zh-CN"/>
        </w:rPr>
        <w:t>Comment 4:</w:t>
      </w:r>
      <w:r w:rsidR="00EF00A4" w:rsidRPr="00EF00A4">
        <w:rPr>
          <w:rFonts w:eastAsia="SimSun" w:cstheme="minorHAnsi"/>
          <w:bCs/>
          <w:i/>
          <w:iCs/>
          <w:snapToGrid w:val="0"/>
          <w:lang w:val="en-GB" w:eastAsia="zh-CN"/>
        </w:rPr>
        <w:t xml:space="preserve"> </w:t>
      </w:r>
      <w:r w:rsidR="00EF00A4" w:rsidRPr="00EF00A4">
        <w:rPr>
          <w:bCs/>
          <w:i/>
          <w:iCs/>
          <w:lang w:val="en-GB"/>
        </w:rPr>
        <w:t>Suggest removing recovery from the Strategy because it wasn’t in the previous one</w:t>
      </w:r>
      <w:r w:rsidR="00EF00A4">
        <w:rPr>
          <w:bCs/>
          <w:i/>
          <w:iCs/>
          <w:lang w:val="en-GB"/>
        </w:rPr>
        <w:t xml:space="preserve"> (Chile)</w:t>
      </w:r>
    </w:p>
    <w:p w14:paraId="6A995907" w14:textId="63A5CFD8" w:rsidR="00EC0FC9" w:rsidRDefault="0053525B" w:rsidP="00316740">
      <w:pPr>
        <w:spacing w:after="120"/>
        <w:rPr>
          <w:rFonts w:eastAsia="SimSun" w:cstheme="minorHAnsi"/>
          <w:bCs/>
          <w:snapToGrid w:val="0"/>
          <w:lang w:val="en-GB" w:eastAsia="zh-CN"/>
        </w:rPr>
      </w:pPr>
      <w:r>
        <w:rPr>
          <w:rFonts w:eastAsia="SimSun" w:cstheme="minorHAnsi"/>
          <w:bCs/>
          <w:snapToGrid w:val="0"/>
          <w:lang w:val="en-GB" w:eastAsia="zh-CN"/>
        </w:rPr>
        <w:t>Ms McCurrach remarked that “recovery” was included in the previous Strategy, but just in a very minor way.</w:t>
      </w:r>
      <w:r w:rsidR="00EB16A7">
        <w:rPr>
          <w:rFonts w:eastAsia="SimSun" w:cstheme="minorHAnsi"/>
          <w:bCs/>
          <w:snapToGrid w:val="0"/>
          <w:lang w:val="en-GB" w:eastAsia="zh-CN"/>
        </w:rPr>
        <w:t xml:space="preserve"> </w:t>
      </w:r>
      <w:r w:rsidR="00926E91" w:rsidRPr="00316740">
        <w:rPr>
          <w:rFonts w:eastAsia="SimSun" w:cstheme="minorHAnsi"/>
          <w:bCs/>
          <w:i/>
          <w:iCs/>
          <w:snapToGrid w:val="0"/>
          <w:lang w:val="en-GB" w:eastAsia="zh-CN"/>
        </w:rPr>
        <w:t>The Group discussed</w:t>
      </w:r>
      <w:r w:rsidR="00926E91">
        <w:rPr>
          <w:rFonts w:eastAsia="SimSun" w:cstheme="minorHAnsi"/>
          <w:bCs/>
          <w:snapToGrid w:val="0"/>
          <w:lang w:val="en-GB" w:eastAsia="zh-CN"/>
        </w:rPr>
        <w:t xml:space="preserve"> this comment,</w:t>
      </w:r>
      <w:r w:rsidR="00C67E8F">
        <w:rPr>
          <w:rFonts w:eastAsia="SimSun" w:cstheme="minorHAnsi"/>
          <w:bCs/>
          <w:snapToGrid w:val="0"/>
          <w:lang w:val="en-GB" w:eastAsia="zh-CN"/>
        </w:rPr>
        <w:t xml:space="preserve"> notably discussing the meaning of “recovery”. The Group noted</w:t>
      </w:r>
      <w:r w:rsidR="0078124E">
        <w:rPr>
          <w:rFonts w:eastAsia="SimSun" w:cstheme="minorHAnsi"/>
          <w:bCs/>
          <w:snapToGrid w:val="0"/>
          <w:lang w:val="en-GB" w:eastAsia="zh-CN"/>
        </w:rPr>
        <w:t xml:space="preserve"> that reason</w:t>
      </w:r>
      <w:r w:rsidR="00A7459D">
        <w:rPr>
          <w:rFonts w:eastAsia="SimSun" w:cstheme="minorHAnsi"/>
          <w:bCs/>
          <w:snapToGrid w:val="0"/>
          <w:lang w:val="en-GB" w:eastAsia="zh-CN"/>
        </w:rPr>
        <w:t>s</w:t>
      </w:r>
      <w:r w:rsidR="0078124E">
        <w:rPr>
          <w:rFonts w:eastAsia="SimSun" w:cstheme="minorHAnsi"/>
          <w:bCs/>
          <w:snapToGrid w:val="0"/>
          <w:lang w:val="en-GB" w:eastAsia="zh-CN"/>
        </w:rPr>
        <w:t xml:space="preserve"> for including “recovery” </w:t>
      </w:r>
      <w:r w:rsidR="00C67E8F">
        <w:rPr>
          <w:rFonts w:eastAsia="SimSun" w:cstheme="minorHAnsi"/>
          <w:bCs/>
          <w:snapToGrid w:val="0"/>
          <w:lang w:val="en-GB" w:eastAsia="zh-CN"/>
        </w:rPr>
        <w:t>were</w:t>
      </w:r>
      <w:r w:rsidR="0078124E">
        <w:rPr>
          <w:rFonts w:eastAsia="SimSun" w:cstheme="minorHAnsi"/>
          <w:bCs/>
          <w:snapToGrid w:val="0"/>
          <w:lang w:val="en-GB" w:eastAsia="zh-CN"/>
        </w:rPr>
        <w:t xml:space="preserve"> </w:t>
      </w:r>
      <w:r w:rsidR="00FF5D46">
        <w:rPr>
          <w:rFonts w:eastAsia="SimSun" w:cstheme="minorHAnsi"/>
          <w:bCs/>
          <w:snapToGrid w:val="0"/>
          <w:lang w:val="en-GB" w:eastAsia="zh-CN"/>
        </w:rPr>
        <w:t>if it was more generic for tsunamis</w:t>
      </w:r>
      <w:r w:rsidR="00A7459D">
        <w:rPr>
          <w:rFonts w:eastAsia="SimSun" w:cstheme="minorHAnsi"/>
          <w:bCs/>
          <w:snapToGrid w:val="0"/>
          <w:lang w:val="en-GB" w:eastAsia="zh-CN"/>
        </w:rPr>
        <w:t xml:space="preserve"> and if we are trying to align with other frameworks. However, reasons for not incorporating “recovery” include that the work of the PTWS usually ends before recovery, which tends to be undertaken by</w:t>
      </w:r>
      <w:r w:rsidR="00C348DC">
        <w:rPr>
          <w:rFonts w:eastAsia="SimSun" w:cstheme="minorHAnsi"/>
          <w:bCs/>
          <w:snapToGrid w:val="0"/>
          <w:lang w:val="en-GB" w:eastAsia="zh-CN"/>
        </w:rPr>
        <w:t xml:space="preserve"> civil contingencies within countries where the event has happened.</w:t>
      </w:r>
      <w:r w:rsidR="00A51573">
        <w:rPr>
          <w:rFonts w:eastAsia="SimSun" w:cstheme="minorHAnsi"/>
          <w:bCs/>
          <w:snapToGrid w:val="0"/>
          <w:lang w:val="en-GB" w:eastAsia="zh-CN"/>
        </w:rPr>
        <w:t xml:space="preserve"> Therefore, “recovery” is outside the Terms of Reference of the PTWS.</w:t>
      </w:r>
      <w:r w:rsidR="000724AE">
        <w:rPr>
          <w:rFonts w:eastAsia="SimSun" w:cstheme="minorHAnsi"/>
          <w:bCs/>
          <w:snapToGrid w:val="0"/>
          <w:lang w:val="en-GB" w:eastAsia="zh-CN"/>
        </w:rPr>
        <w:t xml:space="preserve"> </w:t>
      </w:r>
    </w:p>
    <w:p w14:paraId="384A9694" w14:textId="6C85D59E" w:rsidR="00EC0FC9" w:rsidRDefault="003D5026" w:rsidP="00212119">
      <w:pPr>
        <w:spacing w:after="120"/>
        <w:rPr>
          <w:rFonts w:eastAsia="SimSun" w:cstheme="minorHAnsi"/>
          <w:bCs/>
          <w:snapToGrid w:val="0"/>
          <w:lang w:val="en-GB" w:eastAsia="zh-CN"/>
        </w:rPr>
      </w:pPr>
      <w:r w:rsidRPr="00316740">
        <w:rPr>
          <w:rFonts w:eastAsia="SimSun" w:cstheme="minorHAnsi"/>
          <w:b/>
          <w:i/>
          <w:iCs/>
          <w:snapToGrid w:val="0"/>
          <w:lang w:val="en-GB" w:eastAsia="zh-CN"/>
        </w:rPr>
        <w:t>The Group agreed</w:t>
      </w:r>
      <w:r>
        <w:rPr>
          <w:rFonts w:eastAsia="SimSun" w:cstheme="minorHAnsi"/>
          <w:bCs/>
          <w:snapToGrid w:val="0"/>
          <w:lang w:val="en-GB" w:eastAsia="zh-CN"/>
        </w:rPr>
        <w:t xml:space="preserve"> to not inclu</w:t>
      </w:r>
      <w:r w:rsidR="00316740">
        <w:rPr>
          <w:rFonts w:eastAsia="SimSun" w:cstheme="minorHAnsi"/>
          <w:bCs/>
          <w:snapToGrid w:val="0"/>
          <w:lang w:val="en-GB" w:eastAsia="zh-CN"/>
        </w:rPr>
        <w:t>de</w:t>
      </w:r>
      <w:r>
        <w:rPr>
          <w:rFonts w:eastAsia="SimSun" w:cstheme="minorHAnsi"/>
          <w:bCs/>
          <w:snapToGrid w:val="0"/>
          <w:lang w:val="en-GB" w:eastAsia="zh-CN"/>
        </w:rPr>
        <w:t xml:space="preserve"> “recovery” in the Strategy, but instead to add a comment within the document on why this is. The Group noted that recover</w:t>
      </w:r>
      <w:r w:rsidR="00212119">
        <w:rPr>
          <w:rFonts w:eastAsia="SimSun" w:cstheme="minorHAnsi"/>
          <w:bCs/>
          <w:snapToGrid w:val="0"/>
          <w:lang w:val="en-GB" w:eastAsia="zh-CN"/>
        </w:rPr>
        <w:t>y</w:t>
      </w:r>
      <w:r>
        <w:rPr>
          <w:rFonts w:eastAsia="SimSun" w:cstheme="minorHAnsi"/>
          <w:bCs/>
          <w:snapToGrid w:val="0"/>
          <w:lang w:val="en-GB" w:eastAsia="zh-CN"/>
        </w:rPr>
        <w:t xml:space="preserve"> is reflected in response</w:t>
      </w:r>
      <w:r w:rsidR="00C73627">
        <w:rPr>
          <w:rFonts w:eastAsia="SimSun" w:cstheme="minorHAnsi"/>
          <w:bCs/>
          <w:snapToGrid w:val="0"/>
          <w:lang w:val="en-GB" w:eastAsia="zh-CN"/>
        </w:rPr>
        <w:t xml:space="preserve"> through the post-tsunami surveys that are conducted.</w:t>
      </w:r>
    </w:p>
    <w:p w14:paraId="043F7425" w14:textId="59652767" w:rsidR="00B74E62" w:rsidRDefault="00C73627" w:rsidP="00212119">
      <w:pPr>
        <w:spacing w:after="120"/>
        <w:rPr>
          <w:rFonts w:eastAsia="SimSun" w:cstheme="minorHAnsi"/>
          <w:bCs/>
          <w:snapToGrid w:val="0"/>
          <w:lang w:val="en-GB" w:eastAsia="zh-CN"/>
        </w:rPr>
      </w:pPr>
      <w:r w:rsidRPr="00212119">
        <w:rPr>
          <w:rFonts w:eastAsia="SimSun" w:cstheme="minorHAnsi"/>
          <w:bCs/>
          <w:i/>
          <w:iCs/>
          <w:snapToGrid w:val="0"/>
          <w:lang w:val="en-GB" w:eastAsia="zh-CN"/>
        </w:rPr>
        <w:t>Mr Aliaga</w:t>
      </w:r>
      <w:r w:rsidR="00212119" w:rsidRPr="00212119">
        <w:rPr>
          <w:rFonts w:eastAsia="SimSun" w:cstheme="minorHAnsi"/>
          <w:bCs/>
          <w:i/>
          <w:iCs/>
          <w:snapToGrid w:val="0"/>
          <w:lang w:val="en-GB" w:eastAsia="zh-CN"/>
        </w:rPr>
        <w:t>, the Technical Secretary,</w:t>
      </w:r>
      <w:r w:rsidRPr="00212119">
        <w:rPr>
          <w:rFonts w:eastAsia="SimSun" w:cstheme="minorHAnsi"/>
          <w:bCs/>
          <w:i/>
          <w:iCs/>
          <w:snapToGrid w:val="0"/>
          <w:lang w:val="en-GB" w:eastAsia="zh-CN"/>
        </w:rPr>
        <w:t xml:space="preserve"> e</w:t>
      </w:r>
      <w:r w:rsidR="00B74E62" w:rsidRPr="00212119">
        <w:rPr>
          <w:rFonts w:eastAsia="SimSun" w:cstheme="minorHAnsi"/>
          <w:bCs/>
          <w:i/>
          <w:iCs/>
          <w:snapToGrid w:val="0"/>
          <w:lang w:val="en-GB" w:eastAsia="zh-CN"/>
        </w:rPr>
        <w:t>xplained</w:t>
      </w:r>
      <w:r w:rsidR="00B74E62">
        <w:rPr>
          <w:rFonts w:eastAsia="SimSun" w:cstheme="minorHAnsi"/>
          <w:bCs/>
          <w:snapToGrid w:val="0"/>
          <w:lang w:val="en-GB" w:eastAsia="zh-CN"/>
        </w:rPr>
        <w:t xml:space="preserve"> that the Strategy has been extend</w:t>
      </w:r>
      <w:r w:rsidR="00EF7607">
        <w:rPr>
          <w:rFonts w:eastAsia="SimSun" w:cstheme="minorHAnsi"/>
          <w:bCs/>
          <w:snapToGrid w:val="0"/>
          <w:lang w:val="en-GB" w:eastAsia="zh-CN"/>
        </w:rPr>
        <w:t>ed</w:t>
      </w:r>
      <w:r w:rsidR="00B74E62">
        <w:rPr>
          <w:rFonts w:eastAsia="SimSun" w:cstheme="minorHAnsi"/>
          <w:bCs/>
          <w:snapToGrid w:val="0"/>
          <w:lang w:val="en-GB" w:eastAsia="zh-CN"/>
        </w:rPr>
        <w:t xml:space="preserve"> by one year (2022 to 2030 instead of 2022 to 2029) in order to align with the UN Ocean Decade.</w:t>
      </w:r>
    </w:p>
    <w:p w14:paraId="30F32EB8" w14:textId="13FE9B6F" w:rsidR="004130BA" w:rsidRDefault="00B74E62" w:rsidP="00212119">
      <w:pPr>
        <w:spacing w:after="120"/>
        <w:rPr>
          <w:rFonts w:eastAsia="SimSun" w:cstheme="minorHAnsi"/>
          <w:bCs/>
          <w:snapToGrid w:val="0"/>
          <w:lang w:val="en-GB" w:eastAsia="zh-CN"/>
        </w:rPr>
      </w:pPr>
      <w:r w:rsidRPr="00212119">
        <w:rPr>
          <w:rFonts w:eastAsia="SimSun" w:cstheme="minorHAnsi"/>
          <w:b/>
          <w:i/>
          <w:iCs/>
          <w:snapToGrid w:val="0"/>
          <w:lang w:val="en-GB" w:eastAsia="zh-CN"/>
        </w:rPr>
        <w:t>The Group agreed</w:t>
      </w:r>
      <w:r>
        <w:rPr>
          <w:rFonts w:eastAsia="SimSun" w:cstheme="minorHAnsi"/>
          <w:bCs/>
          <w:snapToGrid w:val="0"/>
          <w:lang w:val="en-GB" w:eastAsia="zh-CN"/>
        </w:rPr>
        <w:t xml:space="preserve"> that the name of the document is the </w:t>
      </w:r>
      <w:r w:rsidR="00575CF5">
        <w:rPr>
          <w:rFonts w:eastAsia="SimSun" w:cstheme="minorHAnsi"/>
          <w:bCs/>
          <w:snapToGrid w:val="0"/>
          <w:lang w:val="en-GB" w:eastAsia="zh-CN"/>
        </w:rPr>
        <w:t>PTWS Strategy 2022-20</w:t>
      </w:r>
      <w:r w:rsidR="001A1028">
        <w:rPr>
          <w:rFonts w:eastAsia="SimSun" w:cstheme="minorHAnsi"/>
          <w:bCs/>
          <w:snapToGrid w:val="0"/>
          <w:lang w:val="en-GB" w:eastAsia="zh-CN"/>
        </w:rPr>
        <w:t>30</w:t>
      </w:r>
      <w:r w:rsidR="00575CF5">
        <w:rPr>
          <w:rFonts w:eastAsia="SimSun" w:cstheme="minorHAnsi"/>
          <w:bCs/>
          <w:snapToGrid w:val="0"/>
          <w:lang w:val="en-GB" w:eastAsia="zh-CN"/>
        </w:rPr>
        <w:t xml:space="preserve"> (instead of the of PTWS Medium-Term Strategy 2022-</w:t>
      </w:r>
      <w:r w:rsidR="001A1028">
        <w:rPr>
          <w:rFonts w:eastAsia="SimSun" w:cstheme="minorHAnsi"/>
          <w:bCs/>
          <w:snapToGrid w:val="0"/>
          <w:lang w:val="en-GB" w:eastAsia="zh-CN"/>
        </w:rPr>
        <w:t>2030).</w:t>
      </w:r>
      <w:r w:rsidR="00483625">
        <w:rPr>
          <w:rFonts w:eastAsia="SimSun" w:cstheme="minorHAnsi"/>
          <w:bCs/>
          <w:snapToGrid w:val="0"/>
          <w:lang w:val="en-GB" w:eastAsia="zh-CN"/>
        </w:rPr>
        <w:t xml:space="preserve"> </w:t>
      </w:r>
      <w:r w:rsidR="00483625" w:rsidRPr="00212119">
        <w:rPr>
          <w:rFonts w:eastAsia="SimSun" w:cstheme="minorHAnsi"/>
          <w:bCs/>
          <w:i/>
          <w:iCs/>
          <w:snapToGrid w:val="0"/>
          <w:lang w:val="en-GB" w:eastAsia="zh-CN"/>
        </w:rPr>
        <w:t>The Group noted</w:t>
      </w:r>
      <w:r w:rsidR="00483625">
        <w:rPr>
          <w:rFonts w:eastAsia="SimSun" w:cstheme="minorHAnsi"/>
          <w:bCs/>
          <w:snapToGrid w:val="0"/>
          <w:lang w:val="en-GB" w:eastAsia="zh-CN"/>
        </w:rPr>
        <w:t xml:space="preserve"> that the PTWS Strategy 2022-2030 aligns with the IOC Medium-Term Strategy.</w:t>
      </w:r>
      <w:r w:rsidR="0056254C">
        <w:rPr>
          <w:rFonts w:eastAsia="SimSun" w:cstheme="minorHAnsi"/>
          <w:bCs/>
          <w:snapToGrid w:val="0"/>
          <w:lang w:val="en-GB" w:eastAsia="zh-CN"/>
        </w:rPr>
        <w:t xml:space="preserve"> </w:t>
      </w:r>
      <w:r w:rsidR="0056254C" w:rsidRPr="00212119">
        <w:rPr>
          <w:rFonts w:eastAsia="SimSun" w:cstheme="minorHAnsi"/>
          <w:bCs/>
          <w:i/>
          <w:iCs/>
          <w:snapToGrid w:val="0"/>
          <w:lang w:val="en-GB" w:eastAsia="zh-CN"/>
        </w:rPr>
        <w:t>The Group</w:t>
      </w:r>
      <w:r w:rsidR="0056254C">
        <w:rPr>
          <w:rFonts w:eastAsia="SimSun" w:cstheme="minorHAnsi"/>
          <w:bCs/>
          <w:snapToGrid w:val="0"/>
          <w:lang w:val="en-GB" w:eastAsia="zh-CN"/>
        </w:rPr>
        <w:t xml:space="preserve"> also noted its desire for more alignment amongst strategies of other ocean basins, both to this new strategy and the overarching KPI framework being established.</w:t>
      </w:r>
    </w:p>
    <w:p w14:paraId="3E14BB2D" w14:textId="26B28BDA" w:rsidR="004130BA" w:rsidRPr="00212119" w:rsidRDefault="004130BA" w:rsidP="00212119">
      <w:pPr>
        <w:spacing w:before="200" w:after="120"/>
        <w:rPr>
          <w:rFonts w:eastAsia="SimSun" w:cstheme="minorHAnsi"/>
          <w:b/>
          <w:snapToGrid w:val="0"/>
          <w:color w:val="2F5496" w:themeColor="accent1" w:themeShade="BF"/>
          <w:lang w:val="en-GB" w:eastAsia="zh-CN"/>
        </w:rPr>
      </w:pPr>
      <w:r w:rsidRPr="00212119">
        <w:rPr>
          <w:rFonts w:eastAsia="SimSun" w:cstheme="minorHAnsi"/>
          <w:b/>
          <w:snapToGrid w:val="0"/>
          <w:color w:val="2F5496" w:themeColor="accent1" w:themeShade="BF"/>
          <w:lang w:val="en-GB" w:eastAsia="zh-CN"/>
        </w:rPr>
        <w:t>Actions:</w:t>
      </w:r>
    </w:p>
    <w:p w14:paraId="716A2828" w14:textId="77777777" w:rsidR="0062066B" w:rsidRPr="00212119" w:rsidRDefault="004130BA" w:rsidP="00CD4AAE">
      <w:pPr>
        <w:pStyle w:val="ListParagraph"/>
        <w:numPr>
          <w:ilvl w:val="0"/>
          <w:numId w:val="2"/>
        </w:numPr>
        <w:spacing w:after="120"/>
        <w:rPr>
          <w:rFonts w:eastAsia="SimSun" w:cstheme="minorHAnsi"/>
          <w:bCs/>
          <w:snapToGrid w:val="0"/>
          <w:color w:val="2F5496" w:themeColor="accent1" w:themeShade="BF"/>
          <w:lang w:val="en-GB" w:eastAsia="zh-CN"/>
        </w:rPr>
      </w:pPr>
      <w:r w:rsidRPr="00212119">
        <w:rPr>
          <w:rFonts w:eastAsia="SimSun" w:cstheme="minorHAnsi"/>
          <w:bCs/>
          <w:snapToGrid w:val="0"/>
          <w:color w:val="2F5496" w:themeColor="accent1" w:themeShade="BF"/>
          <w:lang w:val="en-GB" w:eastAsia="zh-CN"/>
        </w:rPr>
        <w:t>Ms McCurrach and the Secretariat will conduct analysis of KPIs in a more wholesome way</w:t>
      </w:r>
      <w:r w:rsidR="00795671" w:rsidRPr="00212119">
        <w:rPr>
          <w:rFonts w:eastAsia="SimSun" w:cstheme="minorHAnsi"/>
          <w:bCs/>
          <w:snapToGrid w:val="0"/>
          <w:color w:val="2F5496" w:themeColor="accent1" w:themeShade="BF"/>
          <w:lang w:val="en-GB" w:eastAsia="zh-CN"/>
        </w:rPr>
        <w:t xml:space="preserve"> and draft a document on the current state of the PTWS to include in the Strategy</w:t>
      </w:r>
      <w:r w:rsidR="0062066B" w:rsidRPr="00212119">
        <w:rPr>
          <w:rFonts w:eastAsia="SimSun" w:cstheme="minorHAnsi"/>
          <w:bCs/>
          <w:snapToGrid w:val="0"/>
          <w:color w:val="2F5496" w:themeColor="accent1" w:themeShade="BF"/>
          <w:lang w:val="en-GB" w:eastAsia="zh-CN"/>
        </w:rPr>
        <w:t xml:space="preserve"> by 6 October 2021</w:t>
      </w:r>
    </w:p>
    <w:p w14:paraId="1BE794E8" w14:textId="4D2E8C43" w:rsidR="00B82E92" w:rsidRPr="00212119" w:rsidRDefault="00795671" w:rsidP="00CD4AAE">
      <w:pPr>
        <w:pStyle w:val="ListParagraph"/>
        <w:numPr>
          <w:ilvl w:val="0"/>
          <w:numId w:val="2"/>
        </w:numPr>
        <w:spacing w:after="120"/>
        <w:rPr>
          <w:rFonts w:eastAsia="SimSun" w:cstheme="minorHAnsi"/>
          <w:bCs/>
          <w:snapToGrid w:val="0"/>
          <w:color w:val="2F5496" w:themeColor="accent1" w:themeShade="BF"/>
          <w:lang w:val="en-GB" w:eastAsia="zh-CN"/>
        </w:rPr>
      </w:pPr>
      <w:r w:rsidRPr="00212119">
        <w:rPr>
          <w:rFonts w:eastAsia="SimSun" w:cstheme="minorHAnsi"/>
          <w:bCs/>
          <w:snapToGrid w:val="0"/>
          <w:color w:val="2F5496" w:themeColor="accent1" w:themeShade="BF"/>
          <w:lang w:val="en-GB" w:eastAsia="zh-CN"/>
        </w:rPr>
        <w:t xml:space="preserve">This document will be shared for comments </w:t>
      </w:r>
      <w:r w:rsidR="0062066B" w:rsidRPr="00212119">
        <w:rPr>
          <w:rFonts w:eastAsia="SimSun" w:cstheme="minorHAnsi"/>
          <w:bCs/>
          <w:snapToGrid w:val="0"/>
          <w:color w:val="2F5496" w:themeColor="accent1" w:themeShade="BF"/>
          <w:lang w:val="en-GB" w:eastAsia="zh-CN"/>
        </w:rPr>
        <w:t>on the 6 October; m</w:t>
      </w:r>
      <w:r w:rsidR="00B82E92" w:rsidRPr="00212119">
        <w:rPr>
          <w:rFonts w:eastAsia="SimSun" w:cstheme="minorHAnsi"/>
          <w:bCs/>
          <w:snapToGrid w:val="0"/>
          <w:color w:val="2F5496" w:themeColor="accent1" w:themeShade="BF"/>
          <w:lang w:val="en-GB" w:eastAsia="zh-CN"/>
        </w:rPr>
        <w:t>embers of the Steering Committee</w:t>
      </w:r>
      <w:r w:rsidR="006D4ED4" w:rsidRPr="00212119">
        <w:rPr>
          <w:rFonts w:eastAsia="SimSun" w:cstheme="minorHAnsi"/>
          <w:bCs/>
          <w:snapToGrid w:val="0"/>
          <w:color w:val="2F5496" w:themeColor="accent1" w:themeShade="BF"/>
          <w:lang w:val="en-GB" w:eastAsia="zh-CN"/>
        </w:rPr>
        <w:t xml:space="preserve"> m</w:t>
      </w:r>
      <w:r w:rsidR="0062066B" w:rsidRPr="00212119">
        <w:rPr>
          <w:rFonts w:eastAsia="SimSun" w:cstheme="minorHAnsi"/>
          <w:bCs/>
          <w:snapToGrid w:val="0"/>
          <w:color w:val="2F5496" w:themeColor="accent1" w:themeShade="BF"/>
          <w:lang w:val="en-GB" w:eastAsia="zh-CN"/>
        </w:rPr>
        <w:t>ust provide comments by the 15 October</w:t>
      </w:r>
      <w:r w:rsidR="00B82E92" w:rsidRPr="00212119">
        <w:rPr>
          <w:rFonts w:eastAsia="SimSun" w:cstheme="minorHAnsi"/>
          <w:bCs/>
          <w:snapToGrid w:val="0"/>
          <w:color w:val="2F5496" w:themeColor="accent1" w:themeShade="BF"/>
          <w:lang w:val="en-GB" w:eastAsia="zh-CN"/>
        </w:rPr>
        <w:t xml:space="preserve"> and Member States must provide comments</w:t>
      </w:r>
      <w:r w:rsidR="006D4ED4" w:rsidRPr="00212119">
        <w:rPr>
          <w:rFonts w:eastAsia="SimSun" w:cstheme="minorHAnsi"/>
          <w:bCs/>
          <w:snapToGrid w:val="0"/>
          <w:color w:val="2F5496" w:themeColor="accent1" w:themeShade="BF"/>
          <w:lang w:val="en-GB" w:eastAsia="zh-CN"/>
        </w:rPr>
        <w:t xml:space="preserve"> prior to the ICG/PTWS XXIX Meeting.</w:t>
      </w:r>
    </w:p>
    <w:p w14:paraId="49B60634" w14:textId="5FE27210" w:rsidR="00A87185" w:rsidRPr="00212119" w:rsidRDefault="00AE493F" w:rsidP="00212119">
      <w:pPr>
        <w:pStyle w:val="ListParagraph"/>
        <w:numPr>
          <w:ilvl w:val="0"/>
          <w:numId w:val="2"/>
        </w:numPr>
        <w:spacing w:after="120"/>
        <w:rPr>
          <w:rFonts w:eastAsia="SimSun" w:cstheme="minorHAnsi"/>
          <w:bCs/>
          <w:snapToGrid w:val="0"/>
          <w:color w:val="2F5496" w:themeColor="accent1" w:themeShade="BF"/>
          <w:lang w:val="en-GB" w:eastAsia="zh-CN"/>
        </w:rPr>
      </w:pPr>
      <w:r w:rsidRPr="00212119">
        <w:rPr>
          <w:rFonts w:eastAsia="SimSun" w:cstheme="minorHAnsi"/>
          <w:bCs/>
          <w:snapToGrid w:val="0"/>
          <w:color w:val="2F5496" w:themeColor="accent1" w:themeShade="BF"/>
          <w:lang w:val="en-GB" w:eastAsia="zh-CN"/>
        </w:rPr>
        <w:t xml:space="preserve">Ms McCurrach will </w:t>
      </w:r>
      <w:r w:rsidRPr="00212119">
        <w:rPr>
          <w:bCs/>
          <w:color w:val="2F5496" w:themeColor="accent1" w:themeShade="BF"/>
          <w:lang w:val="en-GB"/>
        </w:rPr>
        <w:t xml:space="preserve">remove “International Coordination and Cooperation and Partnerships” from objectives and add it to the guiding principles, will </w:t>
      </w:r>
      <w:r w:rsidR="00AB3967" w:rsidRPr="00212119">
        <w:rPr>
          <w:rFonts w:eastAsia="SimSun" w:cstheme="minorHAnsi"/>
          <w:bCs/>
          <w:snapToGrid w:val="0"/>
          <w:color w:val="2F5496" w:themeColor="accent1" w:themeShade="BF"/>
          <w:lang w:val="en-GB" w:eastAsia="zh-CN"/>
        </w:rPr>
        <w:t>add ‘Voluntary Commitment of internal and external resources’ to the Role of Members States, and will remove “recovery” from the Strategy though include a comment about it.</w:t>
      </w:r>
    </w:p>
    <w:p w14:paraId="31EA36DB" w14:textId="72A38781" w:rsidR="006E0B71" w:rsidRPr="000A325C" w:rsidRDefault="009D166D" w:rsidP="00B56EB9">
      <w:pPr>
        <w:pStyle w:val="Heading1"/>
        <w:spacing w:before="360"/>
        <w:rPr>
          <w:rFonts w:eastAsia="SimSun"/>
          <w:snapToGrid w:val="0"/>
          <w:lang w:val="en-GB" w:eastAsia="zh-CN"/>
        </w:rPr>
      </w:pPr>
      <w:r w:rsidRPr="000A325C">
        <w:rPr>
          <w:snapToGrid w:val="0"/>
          <w:lang w:val="en-GB" w:eastAsia="es-ES_tradnl"/>
        </w:rPr>
        <w:t xml:space="preserve">UN DECADE OF OCEAN SCIENCE FOR SUSTAINABLE DEVELOPMENT, </w:t>
      </w:r>
      <w:r w:rsidR="00F13B5A" w:rsidRPr="000A325C">
        <w:rPr>
          <w:snapToGrid w:val="0"/>
          <w:lang w:val="en-GB" w:eastAsia="es-ES_tradnl"/>
        </w:rPr>
        <w:br/>
      </w:r>
      <w:r w:rsidRPr="000A325C">
        <w:rPr>
          <w:snapToGrid w:val="0"/>
          <w:lang w:val="en-GB" w:eastAsia="es-ES_tradnl"/>
        </w:rPr>
        <w:t xml:space="preserve"> PTWS</w:t>
      </w:r>
      <w:r w:rsidR="006E0B71" w:rsidRPr="000A325C">
        <w:rPr>
          <w:snapToGrid w:val="0"/>
          <w:lang w:val="en-GB" w:eastAsia="es-ES_tradnl"/>
        </w:rPr>
        <w:t xml:space="preserve"> </w:t>
      </w:r>
      <w:r w:rsidRPr="000A325C">
        <w:rPr>
          <w:snapToGrid w:val="0"/>
          <w:lang w:val="en-GB" w:eastAsia="es-ES_tradnl"/>
        </w:rPr>
        <w:t>PARTICIPATIO</w:t>
      </w:r>
      <w:r w:rsidR="00F37179">
        <w:rPr>
          <w:snapToGrid w:val="0"/>
          <w:lang w:val="en-GB" w:eastAsia="es-ES_tradnl"/>
        </w:rPr>
        <w:t>N</w:t>
      </w:r>
    </w:p>
    <w:p w14:paraId="473A5E2B" w14:textId="0979E30E" w:rsidR="007D5B8A" w:rsidRDefault="009D166D" w:rsidP="00B56EB9">
      <w:pPr>
        <w:pStyle w:val="Heading2"/>
        <w:spacing w:before="240"/>
      </w:pPr>
      <w:r w:rsidRPr="000A325C">
        <w:rPr>
          <w:b/>
          <w:bCs/>
          <w:snapToGrid w:val="0"/>
          <w:kern w:val="28"/>
          <w:lang w:val="en-GB"/>
        </w:rPr>
        <w:t>Strategy</w:t>
      </w:r>
    </w:p>
    <w:p w14:paraId="413CE204" w14:textId="21221C7B" w:rsidR="001D5143" w:rsidRDefault="00CF2E7E" w:rsidP="00B56EB9">
      <w:pPr>
        <w:spacing w:after="120"/>
      </w:pPr>
      <w:r>
        <w:t xml:space="preserve">Mr Mike Angove, </w:t>
      </w:r>
      <w:r w:rsidR="00A93A42" w:rsidRPr="00A93A42">
        <w:t>Director, NOAA Tsunami Program</w:t>
      </w:r>
      <w:r>
        <w:t>, reported on this item</w:t>
      </w:r>
      <w:r w:rsidR="00085012">
        <w:t xml:space="preserve">. He recalled that the </w:t>
      </w:r>
      <w:r w:rsidR="007D5B8A">
        <w:t>IOC</w:t>
      </w:r>
      <w:r w:rsidR="00085012">
        <w:t xml:space="preserve"> XXX</w:t>
      </w:r>
      <w:r w:rsidR="00AE4168">
        <w:t>I</w:t>
      </w:r>
      <w:r w:rsidR="007D5B8A">
        <w:t xml:space="preserve"> </w:t>
      </w:r>
      <w:r w:rsidR="00085012">
        <w:t>A</w:t>
      </w:r>
      <w:r w:rsidR="007D5B8A">
        <w:t xml:space="preserve">ssembly </w:t>
      </w:r>
      <w:r w:rsidR="00AE4168">
        <w:t xml:space="preserve">(June 2021) </w:t>
      </w:r>
      <w:r w:rsidR="007D5B8A">
        <w:t xml:space="preserve">approved </w:t>
      </w:r>
      <w:r w:rsidR="00AE4168">
        <w:t>the</w:t>
      </w:r>
      <w:r w:rsidR="00AE4168" w:rsidRPr="00AE4168">
        <w:t xml:space="preserve"> establishment of the Ocean Decade Tsunami Programme</w:t>
      </w:r>
      <w:r w:rsidR="00AE4168">
        <w:t xml:space="preserve"> as a UN Decade Programme as well as </w:t>
      </w:r>
      <w:r w:rsidR="00AE4168" w:rsidRPr="00AE4168">
        <w:t xml:space="preserve">a Scientific Committee to prepare the Draft 10-Year Research, Development and Implementation Plan and </w:t>
      </w:r>
      <w:r w:rsidR="007B6AC9">
        <w:t xml:space="preserve">the </w:t>
      </w:r>
      <w:r w:rsidR="007B6AC9">
        <w:lastRenderedPageBreak/>
        <w:t xml:space="preserve">establishment of a </w:t>
      </w:r>
      <w:r w:rsidR="00AE4168" w:rsidRPr="00AE4168">
        <w:t>Tsunami Ready Coalition</w:t>
      </w:r>
      <w:r w:rsidR="008A50AD">
        <w:t>.</w:t>
      </w:r>
      <w:r w:rsidR="00F62C47">
        <w:t xml:space="preserve"> He noted with appreciation the work and commitment of Dr Alexander Frolov </w:t>
      </w:r>
      <w:r w:rsidR="001D5143">
        <w:t>to</w:t>
      </w:r>
      <w:r w:rsidR="00F62C47">
        <w:t xml:space="preserve"> </w:t>
      </w:r>
      <w:r w:rsidR="001D5143">
        <w:t>getting the tsunami programme approved.</w:t>
      </w:r>
    </w:p>
    <w:p w14:paraId="7CEF7A5C" w14:textId="5355850E" w:rsidR="00B01E94" w:rsidRDefault="002A2545" w:rsidP="00BF747A">
      <w:pPr>
        <w:spacing w:after="120"/>
        <w:rPr>
          <w:rFonts w:ascii="Calibri" w:hAnsi="Calibri" w:cs="Calibri"/>
          <w:color w:val="000000"/>
        </w:rPr>
      </w:pPr>
      <w:r>
        <w:rPr>
          <w:rFonts w:ascii="Calibri" w:hAnsi="Calibri" w:cs="Calibri"/>
          <w:color w:val="000000"/>
        </w:rPr>
        <w:t xml:space="preserve">He presented the two over-arching </w:t>
      </w:r>
      <w:r w:rsidR="00F62C47">
        <w:rPr>
          <w:rFonts w:ascii="Calibri" w:hAnsi="Calibri" w:cs="Calibri"/>
          <w:color w:val="000000"/>
        </w:rPr>
        <w:t>goals of the programme</w:t>
      </w:r>
      <w:r>
        <w:rPr>
          <w:rFonts w:ascii="Calibri" w:hAnsi="Calibri" w:cs="Calibri"/>
          <w:color w:val="000000"/>
        </w:rPr>
        <w:t xml:space="preserve">. The first aspect is to fully explore technological and observational advances that will allow us to move from a capability based largely on seismic assumptions and large uncertainties to one based on real-time dynamic assessment and low uncertainties. The second aspect will be to match these capability advancements with improved community preparedness efforts, including striving for 100% Tsunami Ready or comparable recognition of all at-risk coastlines. In this way—by combining scientific and technological advances with </w:t>
      </w:r>
      <w:r w:rsidRPr="00F62C47">
        <w:rPr>
          <w:rFonts w:ascii="Calibri" w:hAnsi="Calibri" w:cs="Calibri"/>
          <w:color w:val="000000"/>
        </w:rPr>
        <w:t xml:space="preserve">unprecedented levels </w:t>
      </w:r>
      <w:r w:rsidR="00CC2721">
        <w:rPr>
          <w:rFonts w:ascii="Calibri" w:hAnsi="Calibri" w:cs="Calibri"/>
          <w:color w:val="000000"/>
        </w:rPr>
        <w:t xml:space="preserve">of </w:t>
      </w:r>
      <w:r w:rsidRPr="00F62C47">
        <w:rPr>
          <w:rFonts w:ascii="Calibri" w:hAnsi="Calibri" w:cs="Calibri"/>
          <w:color w:val="000000"/>
        </w:rPr>
        <w:t>understanding and preparedness—</w:t>
      </w:r>
      <w:r w:rsidR="00BF747A">
        <w:rPr>
          <w:rFonts w:ascii="Calibri" w:hAnsi="Calibri" w:cs="Calibri"/>
          <w:color w:val="000000"/>
        </w:rPr>
        <w:t>the aim is</w:t>
      </w:r>
      <w:r w:rsidRPr="00F62C47">
        <w:rPr>
          <w:rFonts w:ascii="Calibri" w:hAnsi="Calibri" w:cs="Calibri"/>
          <w:color w:val="000000"/>
        </w:rPr>
        <w:t xml:space="preserve"> to achieve true long-term tsunami resilience where communities have access to accurate real-time tsunami impact</w:t>
      </w:r>
      <w:r>
        <w:rPr>
          <w:rFonts w:ascii="Calibri" w:hAnsi="Calibri" w:cs="Calibri"/>
          <w:color w:val="000000"/>
        </w:rPr>
        <w:t xml:space="preserve"> forecasts that enable them to minimize impacts and maintain critical infrastructures and services even under extreme circumstances.</w:t>
      </w:r>
    </w:p>
    <w:p w14:paraId="38D8D37E" w14:textId="6D4CDD04" w:rsidR="00B12571" w:rsidRDefault="00B01E94" w:rsidP="00BF747A">
      <w:pPr>
        <w:spacing w:after="120"/>
        <w:rPr>
          <w:rFonts w:ascii="Calibri" w:hAnsi="Calibri" w:cs="Calibri"/>
          <w:color w:val="000000"/>
        </w:rPr>
      </w:pPr>
      <w:r>
        <w:rPr>
          <w:rFonts w:ascii="Calibri" w:hAnsi="Calibri" w:cs="Calibri"/>
          <w:color w:val="000000"/>
        </w:rPr>
        <w:t xml:space="preserve">Mr Angove highlighted key challenges and opportunities </w:t>
      </w:r>
      <w:r w:rsidR="00957E7E">
        <w:rPr>
          <w:rFonts w:ascii="Calibri" w:hAnsi="Calibri" w:cs="Calibri"/>
          <w:color w:val="000000"/>
        </w:rPr>
        <w:t>for the development of tsunami warning systems, including h</w:t>
      </w:r>
      <w:r w:rsidRPr="00957E7E">
        <w:rPr>
          <w:rFonts w:ascii="Calibri" w:hAnsi="Calibri" w:cs="Calibri"/>
          <w:color w:val="000000"/>
        </w:rPr>
        <w:t>igh-resolution mapping of all tsunami-vulnerable coastlines (topography and bathymetry)</w:t>
      </w:r>
      <w:r w:rsidR="00957E7E">
        <w:rPr>
          <w:rFonts w:ascii="Calibri" w:hAnsi="Calibri" w:cs="Calibri"/>
          <w:color w:val="000000"/>
        </w:rPr>
        <w:t>, improved</w:t>
      </w:r>
      <w:r w:rsidR="00E952D5">
        <w:rPr>
          <w:rFonts w:ascii="Calibri" w:hAnsi="Calibri" w:cs="Calibri"/>
          <w:color w:val="000000"/>
        </w:rPr>
        <w:t xml:space="preserve"> data exchange, i</w:t>
      </w:r>
      <w:r w:rsidRPr="00E952D5">
        <w:rPr>
          <w:rFonts w:ascii="Calibri" w:hAnsi="Calibri" w:cs="Calibri"/>
          <w:color w:val="000000"/>
        </w:rPr>
        <w:t>mprov</w:t>
      </w:r>
      <w:r w:rsidR="00E952D5">
        <w:rPr>
          <w:rFonts w:ascii="Calibri" w:hAnsi="Calibri" w:cs="Calibri"/>
          <w:color w:val="000000"/>
        </w:rPr>
        <w:t>ing</w:t>
      </w:r>
      <w:r w:rsidRPr="00E952D5">
        <w:rPr>
          <w:rFonts w:ascii="Calibri" w:hAnsi="Calibri" w:cs="Calibri"/>
          <w:color w:val="000000"/>
        </w:rPr>
        <w:t xml:space="preserve"> speed of tsunami detection and measurement system</w:t>
      </w:r>
      <w:r w:rsidR="00E952D5">
        <w:rPr>
          <w:rFonts w:ascii="Calibri" w:hAnsi="Calibri" w:cs="Calibri"/>
          <w:color w:val="000000"/>
        </w:rPr>
        <w:t>s, scaling up of the</w:t>
      </w:r>
      <w:r w:rsidRPr="00E952D5">
        <w:rPr>
          <w:rFonts w:ascii="Calibri" w:hAnsi="Calibri" w:cs="Calibri"/>
          <w:color w:val="000000"/>
        </w:rPr>
        <w:t xml:space="preserve"> IOC Tsunami Ready programme</w:t>
      </w:r>
      <w:r w:rsidR="00E952D5" w:rsidRPr="00E952D5">
        <w:rPr>
          <w:rFonts w:ascii="Calibri" w:hAnsi="Calibri" w:cs="Calibri"/>
          <w:color w:val="000000"/>
        </w:rPr>
        <w:t>, i</w:t>
      </w:r>
      <w:r w:rsidRPr="00E952D5">
        <w:rPr>
          <w:rFonts w:ascii="Calibri" w:hAnsi="Calibri" w:cs="Calibri"/>
          <w:color w:val="000000"/>
        </w:rPr>
        <w:t>ncreas</w:t>
      </w:r>
      <w:r w:rsidR="00E952D5" w:rsidRPr="00E952D5">
        <w:rPr>
          <w:rFonts w:ascii="Calibri" w:hAnsi="Calibri" w:cs="Calibri"/>
          <w:color w:val="000000"/>
        </w:rPr>
        <w:t>ing</w:t>
      </w:r>
      <w:r w:rsidRPr="00E952D5">
        <w:rPr>
          <w:rFonts w:ascii="Calibri" w:hAnsi="Calibri" w:cs="Calibri"/>
          <w:color w:val="000000"/>
        </w:rPr>
        <w:t xml:space="preserve"> capacities for tsunami warning and mitigation in SIDS/LDS</w:t>
      </w:r>
      <w:r w:rsidR="00E952D5" w:rsidRPr="00E952D5">
        <w:rPr>
          <w:rFonts w:ascii="Calibri" w:hAnsi="Calibri" w:cs="Calibri"/>
          <w:color w:val="000000"/>
        </w:rPr>
        <w:t>, and e</w:t>
      </w:r>
      <w:r w:rsidRPr="00E952D5">
        <w:rPr>
          <w:rFonts w:ascii="Calibri" w:hAnsi="Calibri" w:cs="Calibri"/>
          <w:color w:val="000000"/>
        </w:rPr>
        <w:t>nsur</w:t>
      </w:r>
      <w:r w:rsidR="00E952D5" w:rsidRPr="00E952D5">
        <w:rPr>
          <w:rFonts w:ascii="Calibri" w:hAnsi="Calibri" w:cs="Calibri"/>
          <w:color w:val="000000"/>
        </w:rPr>
        <w:t>ing</w:t>
      </w:r>
      <w:r w:rsidRPr="00E952D5">
        <w:rPr>
          <w:rFonts w:ascii="Calibri" w:hAnsi="Calibri" w:cs="Calibri"/>
          <w:color w:val="000000"/>
        </w:rPr>
        <w:t xml:space="preserve"> interoperability with other components of a global coastal Multi-Hazard Early Warning System (MHEWS)</w:t>
      </w:r>
      <w:r w:rsidR="00E952D5">
        <w:rPr>
          <w:rFonts w:ascii="Calibri" w:hAnsi="Calibri" w:cs="Calibri"/>
          <w:color w:val="000000"/>
        </w:rPr>
        <w:t>.</w:t>
      </w:r>
    </w:p>
    <w:p w14:paraId="731DBA8D" w14:textId="7E7324E3" w:rsidR="00B12571" w:rsidRPr="001C7CFC" w:rsidRDefault="00B12571" w:rsidP="00BF747A">
      <w:pPr>
        <w:spacing w:after="120"/>
        <w:rPr>
          <w:rFonts w:ascii="Calibri" w:eastAsia="Times New Roman" w:hAnsi="Calibri" w:cs="Calibri"/>
          <w:color w:val="000000"/>
          <w:lang w:eastAsia="zh-CN"/>
        </w:rPr>
      </w:pPr>
      <w:r>
        <w:rPr>
          <w:rFonts w:ascii="Calibri" w:hAnsi="Calibri" w:cs="Calibri"/>
          <w:color w:val="000000"/>
        </w:rPr>
        <w:t xml:space="preserve">Next, he presented the planning overview for the Ocean Decade Tsunami Programme. </w:t>
      </w:r>
      <w:r w:rsidRPr="00B12571">
        <w:rPr>
          <w:rFonts w:ascii="Calibri" w:eastAsia="Times New Roman" w:hAnsi="Calibri" w:cs="Calibri"/>
          <w:color w:val="000000"/>
          <w:lang w:eastAsia="zh-CN"/>
        </w:rPr>
        <w:t xml:space="preserve">From an overall planning and execution perspective, </w:t>
      </w:r>
      <w:r w:rsidR="001000CE">
        <w:rPr>
          <w:rFonts w:ascii="Calibri" w:eastAsia="Times New Roman" w:hAnsi="Calibri" w:cs="Calibri"/>
          <w:color w:val="000000"/>
          <w:lang w:eastAsia="zh-CN"/>
        </w:rPr>
        <w:t>they</w:t>
      </w:r>
      <w:r w:rsidRPr="00B12571">
        <w:rPr>
          <w:rFonts w:ascii="Calibri" w:eastAsia="Times New Roman" w:hAnsi="Calibri" w:cs="Calibri"/>
          <w:color w:val="000000"/>
          <w:lang w:eastAsia="zh-CN"/>
        </w:rPr>
        <w:t xml:space="preserve"> envision the TOWS WG serving as </w:t>
      </w:r>
      <w:r w:rsidR="001000CE">
        <w:rPr>
          <w:rFonts w:ascii="Calibri" w:eastAsia="Times New Roman" w:hAnsi="Calibri" w:cs="Calibri"/>
          <w:color w:val="000000"/>
          <w:lang w:eastAsia="zh-CN"/>
        </w:rPr>
        <w:t>t</w:t>
      </w:r>
      <w:r w:rsidRPr="00B12571">
        <w:rPr>
          <w:rFonts w:ascii="Calibri" w:eastAsia="Times New Roman" w:hAnsi="Calibri" w:cs="Calibri"/>
          <w:color w:val="000000"/>
          <w:lang w:eastAsia="zh-CN"/>
        </w:rPr>
        <w:t>he Global Steering Committee, with primary functions of establishing a Scientific Committee to develop the Decade Research, Development and Implementation Plan, as well as the Special Coalition on Tsunami Ready. A key component is identifying Member State Contributions that can be matched to the scientific plan and Tsunami Ready objectives and developed into Pilot Projects, Experiments, or Outreach and Education activities with the assistance of the ICG regional steering committees. </w:t>
      </w:r>
    </w:p>
    <w:p w14:paraId="521177E3" w14:textId="0D54633E" w:rsidR="008D74BF" w:rsidRPr="00C70D99" w:rsidRDefault="00B27BB9" w:rsidP="00C70D99">
      <w:pPr>
        <w:spacing w:after="120"/>
        <w:rPr>
          <w:rFonts w:ascii="Calibri" w:eastAsia="Times New Roman" w:hAnsi="Calibri" w:cs="Calibri"/>
          <w:color w:val="000000"/>
          <w:lang w:eastAsia="zh-CN"/>
        </w:rPr>
      </w:pPr>
      <w:r w:rsidRPr="001C7CFC">
        <w:rPr>
          <w:rFonts w:ascii="Calibri" w:eastAsia="Times New Roman" w:hAnsi="Calibri" w:cs="Calibri"/>
          <w:color w:val="000000"/>
          <w:lang w:eastAsia="zh-CN"/>
        </w:rPr>
        <w:t>Mr Angove identified and explained potential PTWS contributions in the programme.</w:t>
      </w:r>
      <w:r w:rsidR="00A05014" w:rsidRPr="001C7CFC">
        <w:rPr>
          <w:rFonts w:ascii="Calibri" w:eastAsia="Times New Roman" w:hAnsi="Calibri" w:cs="Calibri"/>
          <w:color w:val="000000"/>
          <w:lang w:eastAsia="zh-CN"/>
        </w:rPr>
        <w:t xml:space="preserve"> The PTWS can support governance</w:t>
      </w:r>
      <w:r w:rsidR="001C7CFC" w:rsidRPr="001C7CFC">
        <w:rPr>
          <w:rFonts w:ascii="Calibri" w:eastAsia="Times New Roman" w:hAnsi="Calibri" w:cs="Calibri"/>
          <w:color w:val="000000"/>
          <w:lang w:eastAsia="zh-CN"/>
        </w:rPr>
        <w:t>, notably by e</w:t>
      </w:r>
      <w:r w:rsidRPr="001C7CFC">
        <w:rPr>
          <w:rFonts w:ascii="Calibri" w:eastAsia="Times New Roman" w:hAnsi="Calibri" w:cs="Calibri"/>
          <w:color w:val="000000"/>
          <w:lang w:eastAsia="zh-CN"/>
        </w:rPr>
        <w:t>stablish</w:t>
      </w:r>
      <w:r w:rsidR="001C7CFC" w:rsidRPr="001C7CFC">
        <w:rPr>
          <w:rFonts w:ascii="Calibri" w:eastAsia="Times New Roman" w:hAnsi="Calibri" w:cs="Calibri"/>
          <w:color w:val="000000"/>
          <w:lang w:eastAsia="zh-CN"/>
        </w:rPr>
        <w:t>ing a</w:t>
      </w:r>
      <w:r w:rsidRPr="001C7CFC">
        <w:rPr>
          <w:rFonts w:ascii="Calibri" w:eastAsia="Times New Roman" w:hAnsi="Calibri" w:cs="Calibri"/>
          <w:color w:val="000000"/>
          <w:lang w:eastAsia="zh-CN"/>
        </w:rPr>
        <w:t xml:space="preserve"> Task Team to facilitate and guide UN Ocean Decade</w:t>
      </w:r>
      <w:r w:rsidR="001C7CFC">
        <w:rPr>
          <w:rFonts w:ascii="Calibri" w:eastAsia="Times New Roman" w:hAnsi="Calibri" w:cs="Calibri"/>
          <w:color w:val="000000"/>
          <w:lang w:eastAsia="zh-CN"/>
        </w:rPr>
        <w:t xml:space="preserve"> </w:t>
      </w:r>
      <w:r w:rsidRPr="001C7CFC">
        <w:rPr>
          <w:rFonts w:ascii="Calibri" w:eastAsia="Times New Roman" w:hAnsi="Calibri" w:cs="Calibri"/>
          <w:color w:val="000000"/>
          <w:lang w:eastAsia="zh-CN"/>
        </w:rPr>
        <w:t>Tsunami Programme implementation within PTWS</w:t>
      </w:r>
      <w:r w:rsidR="001C7CFC">
        <w:rPr>
          <w:rFonts w:ascii="Calibri" w:eastAsia="Times New Roman" w:hAnsi="Calibri" w:cs="Calibri"/>
          <w:color w:val="000000"/>
          <w:lang w:eastAsia="zh-CN"/>
        </w:rPr>
        <w:t xml:space="preserve">, as well as set up </w:t>
      </w:r>
      <w:r w:rsidR="00B70217">
        <w:rPr>
          <w:rFonts w:ascii="Calibri" w:eastAsia="Times New Roman" w:hAnsi="Calibri" w:cs="Calibri"/>
          <w:color w:val="000000"/>
          <w:lang w:eastAsia="zh-CN"/>
        </w:rPr>
        <w:t>i</w:t>
      </w:r>
      <w:r w:rsidRPr="00B70217">
        <w:rPr>
          <w:rFonts w:ascii="Calibri" w:eastAsia="Times New Roman" w:hAnsi="Calibri" w:cs="Calibri"/>
          <w:color w:val="000000"/>
          <w:lang w:eastAsia="zh-CN"/>
        </w:rPr>
        <w:t xml:space="preserve">nter-ICG </w:t>
      </w:r>
      <w:r w:rsidR="00B70217">
        <w:rPr>
          <w:rFonts w:ascii="Calibri" w:eastAsia="Times New Roman" w:hAnsi="Calibri" w:cs="Calibri"/>
          <w:color w:val="000000"/>
          <w:lang w:eastAsia="zh-CN"/>
        </w:rPr>
        <w:t>c</w:t>
      </w:r>
      <w:r w:rsidRPr="00B70217">
        <w:rPr>
          <w:rFonts w:ascii="Calibri" w:eastAsia="Times New Roman" w:hAnsi="Calibri" w:cs="Calibri"/>
          <w:color w:val="000000"/>
          <w:lang w:eastAsia="zh-CN"/>
        </w:rPr>
        <w:t xml:space="preserve">oordination on </w:t>
      </w:r>
      <w:r w:rsidR="00B70217">
        <w:rPr>
          <w:rFonts w:ascii="Calibri" w:eastAsia="Times New Roman" w:hAnsi="Calibri" w:cs="Calibri"/>
          <w:color w:val="000000"/>
          <w:lang w:eastAsia="zh-CN"/>
        </w:rPr>
        <w:t>d</w:t>
      </w:r>
      <w:r w:rsidRPr="00B70217">
        <w:rPr>
          <w:rFonts w:ascii="Calibri" w:eastAsia="Times New Roman" w:hAnsi="Calibri" w:cs="Calibri"/>
          <w:color w:val="000000"/>
          <w:lang w:eastAsia="zh-CN"/>
        </w:rPr>
        <w:t>ecade matters</w:t>
      </w:r>
      <w:r w:rsidR="00B70217">
        <w:rPr>
          <w:rFonts w:ascii="Calibri" w:eastAsia="Times New Roman" w:hAnsi="Calibri" w:cs="Calibri"/>
          <w:color w:val="000000"/>
          <w:lang w:eastAsia="zh-CN"/>
        </w:rPr>
        <w:t>.</w:t>
      </w:r>
      <w:r w:rsidR="00D72BFC">
        <w:rPr>
          <w:rFonts w:ascii="Calibri" w:eastAsia="Times New Roman" w:hAnsi="Calibri" w:cs="Calibri"/>
          <w:color w:val="000000"/>
          <w:lang w:eastAsia="zh-CN"/>
        </w:rPr>
        <w:t xml:space="preserve"> In addition, establishing projects and experiments relevant to the programme, notably including </w:t>
      </w:r>
      <w:r w:rsidRPr="00D72BFC">
        <w:rPr>
          <w:rFonts w:ascii="Calibri" w:eastAsia="Times New Roman" w:hAnsi="Calibri" w:cs="Calibri"/>
          <w:color w:val="000000"/>
          <w:lang w:eastAsia="zh-CN"/>
        </w:rPr>
        <w:t>SMART</w:t>
      </w:r>
      <w:r w:rsidR="00D72BFC" w:rsidRPr="00D72BFC">
        <w:rPr>
          <w:rFonts w:ascii="Calibri" w:eastAsia="Times New Roman" w:hAnsi="Calibri" w:cs="Calibri"/>
          <w:color w:val="000000"/>
          <w:lang w:eastAsia="zh-CN"/>
        </w:rPr>
        <w:t xml:space="preserve"> cables, </w:t>
      </w:r>
      <w:r w:rsidRPr="00D72BFC">
        <w:rPr>
          <w:rFonts w:ascii="Calibri" w:eastAsia="Times New Roman" w:hAnsi="Calibri" w:cs="Calibri"/>
          <w:color w:val="000000"/>
          <w:lang w:eastAsia="zh-CN"/>
        </w:rPr>
        <w:t>GNSS</w:t>
      </w:r>
      <w:r w:rsidR="00D72BFC" w:rsidRPr="00D72BFC">
        <w:rPr>
          <w:rFonts w:ascii="Calibri" w:eastAsia="Times New Roman" w:hAnsi="Calibri" w:cs="Calibri"/>
          <w:color w:val="000000"/>
          <w:lang w:eastAsia="zh-CN"/>
        </w:rPr>
        <w:t xml:space="preserve">, and </w:t>
      </w:r>
      <w:r w:rsidRPr="00D72BFC">
        <w:rPr>
          <w:rFonts w:ascii="Calibri" w:eastAsia="Times New Roman" w:hAnsi="Calibri" w:cs="Calibri"/>
          <w:color w:val="000000"/>
          <w:lang w:eastAsia="zh-CN"/>
        </w:rPr>
        <w:t>DART</w:t>
      </w:r>
      <w:r w:rsidR="00D72BFC">
        <w:rPr>
          <w:rFonts w:ascii="Calibri" w:eastAsia="Times New Roman" w:hAnsi="Calibri" w:cs="Calibri"/>
          <w:color w:val="000000"/>
          <w:lang w:eastAsia="zh-CN"/>
        </w:rPr>
        <w:t xml:space="preserve">. A key element will be to </w:t>
      </w:r>
      <w:r w:rsidR="00741D6A">
        <w:rPr>
          <w:rFonts w:ascii="Calibri" w:eastAsia="Times New Roman" w:hAnsi="Calibri" w:cs="Calibri"/>
          <w:color w:val="000000"/>
          <w:lang w:eastAsia="zh-CN"/>
        </w:rPr>
        <w:t>a</w:t>
      </w:r>
      <w:r w:rsidRPr="00741D6A">
        <w:rPr>
          <w:rFonts w:ascii="Calibri" w:eastAsia="Times New Roman" w:hAnsi="Calibri" w:cs="Calibri"/>
          <w:color w:val="000000"/>
          <w:lang w:eastAsia="zh-CN"/>
        </w:rPr>
        <w:t xml:space="preserve">ssume </w:t>
      </w:r>
      <w:r w:rsidR="00741D6A" w:rsidRPr="00741D6A">
        <w:rPr>
          <w:rFonts w:ascii="Calibri" w:eastAsia="Times New Roman" w:hAnsi="Calibri" w:cs="Calibri"/>
          <w:color w:val="000000"/>
          <w:lang w:eastAsia="zh-CN"/>
        </w:rPr>
        <w:t xml:space="preserve">a </w:t>
      </w:r>
      <w:r w:rsidRPr="00741D6A">
        <w:rPr>
          <w:rFonts w:ascii="Calibri" w:eastAsia="Times New Roman" w:hAnsi="Calibri" w:cs="Calibri"/>
          <w:color w:val="000000"/>
          <w:lang w:eastAsia="zh-CN"/>
        </w:rPr>
        <w:t xml:space="preserve">lead role in </w:t>
      </w:r>
      <w:r w:rsidR="00741D6A" w:rsidRPr="00741D6A">
        <w:rPr>
          <w:rFonts w:ascii="Calibri" w:eastAsia="Times New Roman" w:hAnsi="Calibri" w:cs="Calibri"/>
          <w:color w:val="000000"/>
          <w:lang w:eastAsia="zh-CN"/>
        </w:rPr>
        <w:t xml:space="preserve">the </w:t>
      </w:r>
      <w:r w:rsidRPr="00741D6A">
        <w:rPr>
          <w:rFonts w:ascii="Calibri" w:eastAsia="Times New Roman" w:hAnsi="Calibri" w:cs="Calibri"/>
          <w:color w:val="000000"/>
          <w:lang w:eastAsia="zh-CN"/>
        </w:rPr>
        <w:t>Tsunami Ready Coalition</w:t>
      </w:r>
      <w:r w:rsidR="00741D6A" w:rsidRPr="00741D6A">
        <w:rPr>
          <w:rFonts w:ascii="Calibri" w:eastAsia="Times New Roman" w:hAnsi="Calibri" w:cs="Calibri"/>
          <w:color w:val="000000"/>
          <w:lang w:eastAsia="zh-CN"/>
        </w:rPr>
        <w:t xml:space="preserve"> as well as s</w:t>
      </w:r>
      <w:r w:rsidRPr="00741D6A">
        <w:rPr>
          <w:rFonts w:ascii="Calibri" w:eastAsia="Times New Roman" w:hAnsi="Calibri" w:cs="Calibri"/>
          <w:color w:val="000000"/>
          <w:lang w:eastAsia="zh-CN"/>
        </w:rPr>
        <w:t xml:space="preserve">cale up implementation </w:t>
      </w:r>
      <w:r w:rsidR="00741D6A" w:rsidRPr="00741D6A">
        <w:rPr>
          <w:rFonts w:ascii="Calibri" w:eastAsia="Times New Roman" w:hAnsi="Calibri" w:cs="Calibri"/>
          <w:color w:val="000000"/>
          <w:lang w:eastAsia="zh-CN"/>
        </w:rPr>
        <w:t>through</w:t>
      </w:r>
      <w:r w:rsidRPr="00741D6A">
        <w:rPr>
          <w:rFonts w:ascii="Calibri" w:eastAsia="Times New Roman" w:hAnsi="Calibri" w:cs="Calibri"/>
          <w:color w:val="000000"/>
          <w:lang w:eastAsia="zh-CN"/>
        </w:rPr>
        <w:t xml:space="preserve"> regional resource hubs (establish ‘community of practitioners’), online training and support</w:t>
      </w:r>
      <w:r w:rsidR="00741D6A" w:rsidRPr="00741D6A">
        <w:rPr>
          <w:rFonts w:ascii="Calibri" w:eastAsia="Times New Roman" w:hAnsi="Calibri" w:cs="Calibri"/>
          <w:color w:val="000000"/>
          <w:lang w:eastAsia="zh-CN"/>
        </w:rPr>
        <w:t>.</w:t>
      </w:r>
      <w:r w:rsidR="00426E8A">
        <w:rPr>
          <w:rFonts w:ascii="Calibri" w:eastAsia="Times New Roman" w:hAnsi="Calibri" w:cs="Calibri"/>
          <w:color w:val="000000"/>
          <w:lang w:eastAsia="zh-CN"/>
        </w:rPr>
        <w:t xml:space="preserve"> In addition, Mr Angove </w:t>
      </w:r>
      <w:r w:rsidR="00CC2721">
        <w:rPr>
          <w:rFonts w:ascii="Calibri" w:eastAsia="Times New Roman" w:hAnsi="Calibri" w:cs="Calibri"/>
          <w:color w:val="000000"/>
          <w:lang w:eastAsia="zh-CN"/>
        </w:rPr>
        <w:t xml:space="preserve">noted </w:t>
      </w:r>
      <w:r w:rsidR="00426E8A">
        <w:rPr>
          <w:rFonts w:ascii="Calibri" w:eastAsia="Times New Roman" w:hAnsi="Calibri" w:cs="Calibri"/>
          <w:color w:val="000000"/>
          <w:lang w:eastAsia="zh-CN"/>
        </w:rPr>
        <w:t>that representation of PTWS at conferences and for</w:t>
      </w:r>
      <w:r w:rsidR="00CC2721">
        <w:rPr>
          <w:rFonts w:ascii="Calibri" w:eastAsia="Times New Roman" w:hAnsi="Calibri" w:cs="Calibri"/>
          <w:color w:val="000000"/>
          <w:lang w:eastAsia="zh-CN"/>
        </w:rPr>
        <w:t>a</w:t>
      </w:r>
      <w:r w:rsidR="00ED698F">
        <w:rPr>
          <w:rFonts w:ascii="Calibri" w:eastAsia="Times New Roman" w:hAnsi="Calibri" w:cs="Calibri"/>
          <w:color w:val="000000"/>
          <w:lang w:eastAsia="zh-CN"/>
        </w:rPr>
        <w:t xml:space="preserve"> was important, including the </w:t>
      </w:r>
      <w:r w:rsidRPr="00ED698F">
        <w:rPr>
          <w:rFonts w:ascii="Calibri" w:eastAsia="Times New Roman" w:hAnsi="Calibri" w:cs="Calibri"/>
          <w:color w:val="000000"/>
          <w:lang w:eastAsia="zh-CN"/>
        </w:rPr>
        <w:t xml:space="preserve">UN Ocean Decade </w:t>
      </w:r>
      <w:r w:rsidR="00ED698F" w:rsidRPr="00ED698F">
        <w:rPr>
          <w:rFonts w:ascii="Calibri" w:eastAsia="Times New Roman" w:hAnsi="Calibri" w:cs="Calibri"/>
          <w:color w:val="000000"/>
          <w:lang w:eastAsia="zh-CN"/>
        </w:rPr>
        <w:t>l</w:t>
      </w:r>
      <w:r w:rsidRPr="00ED698F">
        <w:rPr>
          <w:rFonts w:ascii="Calibri" w:eastAsia="Times New Roman" w:hAnsi="Calibri" w:cs="Calibri"/>
          <w:color w:val="000000"/>
          <w:lang w:eastAsia="zh-CN"/>
        </w:rPr>
        <w:t xml:space="preserve">aboratories and </w:t>
      </w:r>
      <w:r w:rsidR="00ED698F" w:rsidRPr="00ED698F">
        <w:rPr>
          <w:rFonts w:ascii="Calibri" w:eastAsia="Times New Roman" w:hAnsi="Calibri" w:cs="Calibri"/>
          <w:color w:val="000000"/>
          <w:lang w:eastAsia="zh-CN"/>
        </w:rPr>
        <w:t>t</w:t>
      </w:r>
      <w:r w:rsidRPr="00ED698F">
        <w:rPr>
          <w:rFonts w:ascii="Calibri" w:eastAsia="Times New Roman" w:hAnsi="Calibri" w:cs="Calibri"/>
          <w:color w:val="000000"/>
          <w:lang w:eastAsia="zh-CN"/>
        </w:rPr>
        <w:t>hemed Events</w:t>
      </w:r>
      <w:r w:rsidR="00ED698F" w:rsidRPr="00ED698F">
        <w:rPr>
          <w:rFonts w:ascii="Calibri" w:eastAsia="Times New Roman" w:hAnsi="Calibri" w:cs="Calibri"/>
          <w:color w:val="000000"/>
          <w:lang w:eastAsia="zh-CN"/>
        </w:rPr>
        <w:t>, p</w:t>
      </w:r>
      <w:r w:rsidRPr="00ED698F">
        <w:rPr>
          <w:rFonts w:ascii="Calibri" w:eastAsia="Times New Roman" w:hAnsi="Calibri" w:cs="Calibri"/>
          <w:color w:val="000000"/>
          <w:lang w:eastAsia="zh-CN"/>
        </w:rPr>
        <w:t>rofessional conferences</w:t>
      </w:r>
      <w:r w:rsidR="00ED698F" w:rsidRPr="00ED698F">
        <w:rPr>
          <w:rFonts w:ascii="Calibri" w:eastAsia="Times New Roman" w:hAnsi="Calibri" w:cs="Calibri"/>
          <w:color w:val="000000"/>
          <w:lang w:eastAsia="zh-CN"/>
        </w:rPr>
        <w:t xml:space="preserve">, and </w:t>
      </w:r>
      <w:r w:rsidRPr="00ED698F">
        <w:rPr>
          <w:rFonts w:ascii="Calibri" w:eastAsia="Times New Roman" w:hAnsi="Calibri" w:cs="Calibri"/>
          <w:color w:val="000000"/>
          <w:lang w:eastAsia="zh-CN"/>
        </w:rPr>
        <w:t xml:space="preserve">UN and Regional </w:t>
      </w:r>
      <w:r w:rsidR="00ED698F" w:rsidRPr="00ED698F">
        <w:rPr>
          <w:rFonts w:ascii="Calibri" w:eastAsia="Times New Roman" w:hAnsi="Calibri" w:cs="Calibri"/>
          <w:color w:val="000000"/>
          <w:lang w:eastAsia="zh-CN"/>
        </w:rPr>
        <w:t>events.</w:t>
      </w:r>
      <w:r w:rsidR="00F05500">
        <w:rPr>
          <w:rFonts w:ascii="Calibri" w:eastAsia="Times New Roman" w:hAnsi="Calibri" w:cs="Calibri"/>
          <w:color w:val="000000"/>
          <w:lang w:eastAsia="zh-CN"/>
        </w:rPr>
        <w:t xml:space="preserve"> Finally, PTWS can also support c</w:t>
      </w:r>
      <w:r w:rsidRPr="00F05500">
        <w:rPr>
          <w:rFonts w:ascii="Calibri" w:eastAsia="Times New Roman" w:hAnsi="Calibri" w:cs="Calibri"/>
          <w:color w:val="000000"/>
          <w:lang w:eastAsia="zh-CN"/>
        </w:rPr>
        <w:t xml:space="preserve">apacity </w:t>
      </w:r>
      <w:r w:rsidR="00F05500" w:rsidRPr="00F05500">
        <w:rPr>
          <w:rFonts w:ascii="Calibri" w:eastAsia="Times New Roman" w:hAnsi="Calibri" w:cs="Calibri"/>
          <w:color w:val="000000"/>
          <w:lang w:eastAsia="zh-CN"/>
        </w:rPr>
        <w:t>d</w:t>
      </w:r>
      <w:r w:rsidRPr="00F05500">
        <w:rPr>
          <w:rFonts w:ascii="Calibri" w:eastAsia="Times New Roman" w:hAnsi="Calibri" w:cs="Calibri"/>
          <w:color w:val="000000"/>
          <w:lang w:eastAsia="zh-CN"/>
        </w:rPr>
        <w:t xml:space="preserve">evelopment and </w:t>
      </w:r>
      <w:r w:rsidR="00F05500" w:rsidRPr="00F05500">
        <w:rPr>
          <w:rFonts w:ascii="Calibri" w:eastAsia="Times New Roman" w:hAnsi="Calibri" w:cs="Calibri"/>
          <w:color w:val="000000"/>
          <w:lang w:eastAsia="zh-CN"/>
        </w:rPr>
        <w:t>e</w:t>
      </w:r>
      <w:r w:rsidRPr="00F05500">
        <w:rPr>
          <w:rFonts w:ascii="Calibri" w:eastAsia="Times New Roman" w:hAnsi="Calibri" w:cs="Calibri"/>
          <w:color w:val="000000"/>
          <w:lang w:eastAsia="zh-CN"/>
        </w:rPr>
        <w:t>ducation</w:t>
      </w:r>
      <w:r w:rsidR="00F05500" w:rsidRPr="00F05500">
        <w:rPr>
          <w:rFonts w:ascii="Calibri" w:eastAsia="Times New Roman" w:hAnsi="Calibri" w:cs="Calibri"/>
          <w:color w:val="000000"/>
          <w:lang w:eastAsia="zh-CN"/>
        </w:rPr>
        <w:t xml:space="preserve"> initiatives such as</w:t>
      </w:r>
      <w:r w:rsidRPr="00F05500">
        <w:rPr>
          <w:rFonts w:ascii="Calibri" w:eastAsia="Times New Roman" w:hAnsi="Calibri" w:cs="Calibri"/>
          <w:color w:val="000000"/>
          <w:lang w:eastAsia="zh-CN"/>
        </w:rPr>
        <w:t xml:space="preserve"> Ocean Teacher Global Academy</w:t>
      </w:r>
      <w:r w:rsidR="00CC2721">
        <w:rPr>
          <w:rFonts w:ascii="Calibri" w:eastAsia="Times New Roman" w:hAnsi="Calibri" w:cs="Calibri"/>
          <w:color w:val="000000"/>
          <w:lang w:eastAsia="zh-CN"/>
        </w:rPr>
        <w:t xml:space="preserve"> (OTGA)</w:t>
      </w:r>
      <w:r w:rsidR="00F05500" w:rsidRPr="00F05500">
        <w:rPr>
          <w:rFonts w:ascii="Calibri" w:eastAsia="Times New Roman" w:hAnsi="Calibri" w:cs="Calibri"/>
          <w:color w:val="000000"/>
          <w:lang w:eastAsia="zh-CN"/>
        </w:rPr>
        <w:t>, as well as e</w:t>
      </w:r>
      <w:r w:rsidRPr="00F05500">
        <w:rPr>
          <w:rFonts w:ascii="Calibri" w:eastAsia="Times New Roman" w:hAnsi="Calibri" w:cs="Calibri"/>
          <w:color w:val="000000"/>
          <w:lang w:eastAsia="zh-CN"/>
        </w:rPr>
        <w:t xml:space="preserve">ncourage involvement of </w:t>
      </w:r>
      <w:r w:rsidR="00CC2721">
        <w:rPr>
          <w:rFonts w:ascii="Calibri" w:eastAsia="Times New Roman" w:hAnsi="Calibri" w:cs="Calibri"/>
          <w:color w:val="000000"/>
          <w:lang w:eastAsia="zh-CN"/>
        </w:rPr>
        <w:t>E</w:t>
      </w:r>
      <w:r w:rsidRPr="00F05500">
        <w:rPr>
          <w:rFonts w:ascii="Calibri" w:eastAsia="Times New Roman" w:hAnsi="Calibri" w:cs="Calibri"/>
          <w:color w:val="000000"/>
          <w:lang w:eastAsia="zh-CN"/>
        </w:rPr>
        <w:t xml:space="preserve">arly </w:t>
      </w:r>
      <w:r w:rsidR="00CC2721">
        <w:rPr>
          <w:rFonts w:ascii="Calibri" w:eastAsia="Times New Roman" w:hAnsi="Calibri" w:cs="Calibri"/>
          <w:color w:val="000000"/>
          <w:lang w:eastAsia="zh-CN"/>
        </w:rPr>
        <w:t>C</w:t>
      </w:r>
      <w:r w:rsidRPr="00F05500">
        <w:rPr>
          <w:rFonts w:ascii="Calibri" w:eastAsia="Times New Roman" w:hAnsi="Calibri" w:cs="Calibri"/>
          <w:color w:val="000000"/>
          <w:lang w:eastAsia="zh-CN"/>
        </w:rPr>
        <w:t xml:space="preserve">areer </w:t>
      </w:r>
      <w:r w:rsidR="00CC2721">
        <w:rPr>
          <w:rFonts w:ascii="Calibri" w:eastAsia="Times New Roman" w:hAnsi="Calibri" w:cs="Calibri"/>
          <w:color w:val="000000"/>
          <w:lang w:eastAsia="zh-CN"/>
        </w:rPr>
        <w:t>P</w:t>
      </w:r>
      <w:r w:rsidRPr="00F05500">
        <w:rPr>
          <w:rFonts w:ascii="Calibri" w:eastAsia="Times New Roman" w:hAnsi="Calibri" w:cs="Calibri"/>
          <w:color w:val="000000"/>
          <w:lang w:eastAsia="zh-CN"/>
        </w:rPr>
        <w:t>rofessionals and promote gender-balanced participation in tsunami activities</w:t>
      </w:r>
      <w:r w:rsidR="00F05500" w:rsidRPr="00F05500">
        <w:rPr>
          <w:rFonts w:ascii="Calibri" w:eastAsia="Times New Roman" w:hAnsi="Calibri" w:cs="Calibri"/>
          <w:color w:val="000000"/>
          <w:lang w:eastAsia="zh-CN"/>
        </w:rPr>
        <w:t>.</w:t>
      </w:r>
    </w:p>
    <w:p w14:paraId="2D50E8FB" w14:textId="71FE1B34" w:rsidR="00F21B8A" w:rsidRPr="00C70D99" w:rsidRDefault="00F21B8A" w:rsidP="00C70D99">
      <w:pPr>
        <w:pStyle w:val="NormalWeb"/>
        <w:spacing w:before="0" w:beforeAutospacing="0" w:after="120" w:afterAutospacing="0"/>
        <w:textAlignment w:val="baseline"/>
        <w:rPr>
          <w:rFonts w:ascii="Calibri" w:hAnsi="Calibri" w:cs="Calibri"/>
          <w:color w:val="000000"/>
          <w:lang w:val="en-US"/>
        </w:rPr>
      </w:pPr>
      <w:r w:rsidRPr="008D74BF">
        <w:rPr>
          <w:rFonts w:ascii="Calibri" w:hAnsi="Calibri" w:cs="Calibri"/>
          <w:color w:val="000000"/>
          <w:lang w:val="en-US"/>
        </w:rPr>
        <w:t xml:space="preserve">Mr Angove identified </w:t>
      </w:r>
      <w:r w:rsidR="008106A9" w:rsidRPr="008D74BF">
        <w:rPr>
          <w:rFonts w:ascii="Calibri" w:hAnsi="Calibri" w:cs="Calibri"/>
          <w:color w:val="000000"/>
          <w:lang w:val="en-US"/>
        </w:rPr>
        <w:t>key next steps, including</w:t>
      </w:r>
      <w:r w:rsidR="00412F58" w:rsidRPr="008D74BF">
        <w:rPr>
          <w:rFonts w:ascii="Calibri" w:hAnsi="Calibri" w:cs="Calibri"/>
          <w:color w:val="000000"/>
          <w:lang w:val="en-US"/>
        </w:rPr>
        <w:t xml:space="preserve"> </w:t>
      </w:r>
      <w:r w:rsidR="007A7EE6" w:rsidRPr="008D74BF">
        <w:rPr>
          <w:rFonts w:ascii="Calibri" w:hAnsi="Calibri" w:cs="Calibri"/>
          <w:color w:val="000000"/>
          <w:lang w:val="en-US"/>
        </w:rPr>
        <w:t xml:space="preserve">creating an ad hoc team </w:t>
      </w:r>
      <w:r w:rsidR="008D74BF" w:rsidRPr="008D74BF">
        <w:rPr>
          <w:rFonts w:ascii="Calibri" w:hAnsi="Calibri" w:cs="Calibri"/>
          <w:color w:val="000000"/>
          <w:lang w:val="en-US"/>
        </w:rPr>
        <w:t>(or giving the responsibility to the Guiding Committee) to</w:t>
      </w:r>
      <w:r w:rsidR="00412F58" w:rsidRPr="008D74BF">
        <w:rPr>
          <w:rFonts w:ascii="Calibri" w:hAnsi="Calibri" w:cs="Calibri"/>
          <w:color w:val="000000"/>
          <w:lang w:val="en-US"/>
        </w:rPr>
        <w:t xml:space="preserve"> draf</w:t>
      </w:r>
      <w:r w:rsidR="008D74BF" w:rsidRPr="008D74BF">
        <w:rPr>
          <w:rFonts w:ascii="Calibri" w:hAnsi="Calibri" w:cs="Calibri"/>
          <w:color w:val="000000"/>
          <w:lang w:val="en-US"/>
        </w:rPr>
        <w:t>t</w:t>
      </w:r>
      <w:r w:rsidR="00412F58" w:rsidRPr="008D74BF">
        <w:rPr>
          <w:rFonts w:ascii="Calibri" w:hAnsi="Calibri" w:cs="Calibri"/>
          <w:color w:val="000000"/>
          <w:lang w:val="en-US"/>
        </w:rPr>
        <w:t xml:space="preserve"> a recommendation for ICG/PTWS-XXIX</w:t>
      </w:r>
      <w:r w:rsidR="007A7EE6" w:rsidRPr="008D74BF">
        <w:rPr>
          <w:rFonts w:ascii="Calibri" w:hAnsi="Calibri" w:cs="Calibri"/>
          <w:color w:val="000000"/>
          <w:lang w:val="en-US"/>
        </w:rPr>
        <w:t xml:space="preserve"> to es</w:t>
      </w:r>
      <w:r w:rsidR="008D74BF" w:rsidRPr="008D74BF">
        <w:rPr>
          <w:rFonts w:ascii="Calibri" w:hAnsi="Calibri" w:cs="Calibri"/>
          <w:color w:val="000000"/>
          <w:lang w:val="en-US"/>
        </w:rPr>
        <w:t>ta</w:t>
      </w:r>
      <w:r w:rsidR="007A7EE6" w:rsidRPr="008D74BF">
        <w:rPr>
          <w:rFonts w:ascii="Calibri" w:hAnsi="Calibri" w:cs="Calibri"/>
          <w:color w:val="000000"/>
          <w:lang w:val="en-US"/>
        </w:rPr>
        <w:t>blish a TT</w:t>
      </w:r>
      <w:r w:rsidR="008D74BF" w:rsidRPr="008D74BF">
        <w:rPr>
          <w:rFonts w:ascii="Calibri" w:hAnsi="Calibri" w:cs="Calibri"/>
          <w:color w:val="000000"/>
          <w:lang w:val="en-US"/>
        </w:rPr>
        <w:t xml:space="preserve">, </w:t>
      </w:r>
      <w:r w:rsidR="007A7EE6" w:rsidRPr="008D74BF">
        <w:rPr>
          <w:rFonts w:ascii="Calibri" w:hAnsi="Calibri" w:cs="Calibri"/>
          <w:color w:val="000000"/>
          <w:lang w:val="en-US"/>
        </w:rPr>
        <w:t>draft the TT terms of reference</w:t>
      </w:r>
      <w:r w:rsidR="008D74BF" w:rsidRPr="008D74BF">
        <w:rPr>
          <w:rFonts w:ascii="Calibri" w:hAnsi="Calibri" w:cs="Calibri"/>
          <w:color w:val="000000"/>
          <w:lang w:val="en-US"/>
        </w:rPr>
        <w:t>, and solicit nominations for TT membership</w:t>
      </w:r>
      <w:r w:rsidR="008D74BF">
        <w:rPr>
          <w:rFonts w:ascii="Calibri" w:hAnsi="Calibri" w:cs="Calibri"/>
          <w:color w:val="000000"/>
          <w:lang w:val="en-US"/>
        </w:rPr>
        <w:t xml:space="preserve">. </w:t>
      </w:r>
      <w:r w:rsidR="00482F73">
        <w:rPr>
          <w:rFonts w:ascii="Calibri" w:hAnsi="Calibri" w:cs="Calibri"/>
          <w:color w:val="000000"/>
          <w:lang w:val="en-US"/>
        </w:rPr>
        <w:t xml:space="preserve">In addition, the </w:t>
      </w:r>
      <w:r w:rsidRPr="00482F73">
        <w:rPr>
          <w:rFonts w:ascii="Calibri" w:hAnsi="Calibri" w:cs="Calibri"/>
          <w:color w:val="000000"/>
          <w:lang w:val="en-US"/>
        </w:rPr>
        <w:t xml:space="preserve">ICG/PTWS-XXIX (Nov 2021) Session </w:t>
      </w:r>
      <w:r w:rsidR="00482F73" w:rsidRPr="00482F73">
        <w:rPr>
          <w:rFonts w:ascii="Calibri" w:hAnsi="Calibri" w:cs="Calibri"/>
          <w:color w:val="000000"/>
          <w:lang w:val="en-US"/>
        </w:rPr>
        <w:t>needs to approve the above next steps.</w:t>
      </w:r>
    </w:p>
    <w:p w14:paraId="5B0FD45E" w14:textId="0DA0F74B" w:rsidR="00BB7267" w:rsidRPr="00C70D99" w:rsidRDefault="00482F73" w:rsidP="00C70D99">
      <w:pPr>
        <w:spacing w:before="200" w:after="120"/>
        <w:rPr>
          <w:b/>
          <w:bCs/>
        </w:rPr>
      </w:pPr>
      <w:r w:rsidRPr="00482F73">
        <w:rPr>
          <w:b/>
          <w:bCs/>
        </w:rPr>
        <w:lastRenderedPageBreak/>
        <w:t>Discussion:</w:t>
      </w:r>
    </w:p>
    <w:p w14:paraId="60FC1AA1" w14:textId="2EFE91AA" w:rsidR="00335531" w:rsidRDefault="00BB7267" w:rsidP="00C70D99">
      <w:pPr>
        <w:spacing w:after="120"/>
      </w:pPr>
      <w:r w:rsidRPr="00C70D99">
        <w:rPr>
          <w:i/>
          <w:iCs/>
        </w:rPr>
        <w:t xml:space="preserve">The Group </w:t>
      </w:r>
      <w:r w:rsidR="002A6A21" w:rsidRPr="00C70D99">
        <w:rPr>
          <w:i/>
          <w:iCs/>
        </w:rPr>
        <w:t>highlighted</w:t>
      </w:r>
      <w:r>
        <w:t xml:space="preserve"> the importance of finding new resources to support the additional work of the UN Ocean Decade programme.</w:t>
      </w:r>
      <w:r w:rsidR="00276632">
        <w:t xml:space="preserve"> The Group also </w:t>
      </w:r>
      <w:r w:rsidR="002A6A21">
        <w:t>noted the potential for aligning goals</w:t>
      </w:r>
      <w:r w:rsidR="00E57CB4">
        <w:t xml:space="preserve"> and outputs amongst projects and activities</w:t>
      </w:r>
      <w:r w:rsidR="007E76AC">
        <w:t xml:space="preserve"> and partnering</w:t>
      </w:r>
      <w:r w:rsidR="00E57CB4">
        <w:t xml:space="preserve"> to avoid duplication and reduce additional burden</w:t>
      </w:r>
      <w:r w:rsidR="00315D0D">
        <w:t>, as well as leveraging existing structures.</w:t>
      </w:r>
      <w:r w:rsidR="00780935">
        <w:t xml:space="preserve"> The Secretariat suggested approaching UN Regional Commissions </w:t>
      </w:r>
      <w:r w:rsidR="007E76AC">
        <w:t xml:space="preserve">and DRR Regional Commissions </w:t>
      </w:r>
      <w:r w:rsidR="00780935">
        <w:t>for resources.</w:t>
      </w:r>
      <w:r w:rsidR="0012206D">
        <w:t xml:space="preserve"> </w:t>
      </w:r>
      <w:r w:rsidR="0012206D" w:rsidRPr="00C70D99">
        <w:rPr>
          <w:i/>
          <w:iCs/>
        </w:rPr>
        <w:t>The Group suggested</w:t>
      </w:r>
      <w:r w:rsidR="0012206D">
        <w:t xml:space="preserve"> that a marketing effort be undertaken</w:t>
      </w:r>
      <w:r w:rsidR="005A4D0F">
        <w:t xml:space="preserve">, notably with support from the Secretariat, </w:t>
      </w:r>
      <w:r w:rsidR="0012206D">
        <w:t xml:space="preserve">to promote the UN Decade activities and facilitate </w:t>
      </w:r>
      <w:r w:rsidR="005A4D0F">
        <w:t>additional resources.</w:t>
      </w:r>
      <w:r w:rsidR="0012206D">
        <w:t xml:space="preserve"> </w:t>
      </w:r>
      <w:r w:rsidR="00020F41" w:rsidRPr="00C70D99">
        <w:rPr>
          <w:i/>
          <w:iCs/>
        </w:rPr>
        <w:t>The Group also noted</w:t>
      </w:r>
      <w:r w:rsidR="00020F41">
        <w:t xml:space="preserve"> that UN Decade endorsement can help secure resources.</w:t>
      </w:r>
    </w:p>
    <w:p w14:paraId="6152FDC9" w14:textId="3A02B326" w:rsidR="00B20E6C" w:rsidRDefault="00335531" w:rsidP="00C70D99">
      <w:pPr>
        <w:spacing w:after="120"/>
        <w:rPr>
          <w:rFonts w:ascii="Calibri" w:hAnsi="Calibri" w:cs="Calibri"/>
          <w:color w:val="000000"/>
        </w:rPr>
      </w:pPr>
      <w:r w:rsidRPr="00C70D99">
        <w:rPr>
          <w:i/>
          <w:iCs/>
        </w:rPr>
        <w:t>The Group also discussed</w:t>
      </w:r>
      <w:r>
        <w:t xml:space="preserve"> Tsunami Ready, highlighting the importance of </w:t>
      </w:r>
      <w:r w:rsidR="0078744D">
        <w:t>regional sharing of resources</w:t>
      </w:r>
      <w:r w:rsidR="004D24FE">
        <w:t xml:space="preserve"> and creation of resource hubs</w:t>
      </w:r>
      <w:r w:rsidR="0078744D">
        <w:t xml:space="preserve"> to achieve more Tsunami Ready communities.</w:t>
      </w:r>
      <w:r w:rsidR="008502DD">
        <w:t xml:space="preserve"> </w:t>
      </w:r>
      <w:r w:rsidR="008502DD" w:rsidRPr="00C70D99">
        <w:rPr>
          <w:i/>
          <w:iCs/>
        </w:rPr>
        <w:t>The Group also noted</w:t>
      </w:r>
      <w:r w:rsidR="008502DD">
        <w:t xml:space="preserve"> Member States can be targeted and political leaders and community champions leveraged to promote the </w:t>
      </w:r>
      <w:r w:rsidR="00B20E6C">
        <w:rPr>
          <w:rFonts w:ascii="Calibri" w:hAnsi="Calibri" w:cs="Calibri"/>
          <w:color w:val="000000"/>
        </w:rPr>
        <w:t>Ocean Decade Tsunami Programme; there should be a level of intervention at the political as well as technical level.</w:t>
      </w:r>
    </w:p>
    <w:p w14:paraId="18C2C3E5" w14:textId="68E90997" w:rsidR="007D5B8A" w:rsidRPr="00534C31" w:rsidRDefault="00B20E6C" w:rsidP="00C70D99">
      <w:pPr>
        <w:spacing w:after="120"/>
      </w:pPr>
      <w:r w:rsidRPr="00C70D99">
        <w:rPr>
          <w:rFonts w:ascii="Calibri" w:hAnsi="Calibri" w:cs="Calibri"/>
          <w:i/>
          <w:iCs/>
          <w:color w:val="000000"/>
        </w:rPr>
        <w:t>The Group also remarked</w:t>
      </w:r>
      <w:r>
        <w:rPr>
          <w:rFonts w:ascii="Calibri" w:hAnsi="Calibri" w:cs="Calibri"/>
          <w:color w:val="000000"/>
        </w:rPr>
        <w:t xml:space="preserve"> that </w:t>
      </w:r>
      <w:r w:rsidR="001C59B6">
        <w:rPr>
          <w:rFonts w:ascii="Calibri" w:hAnsi="Calibri" w:cs="Calibri"/>
          <w:color w:val="000000"/>
        </w:rPr>
        <w:t>the</w:t>
      </w:r>
      <w:r w:rsidR="004F1437">
        <w:t xml:space="preserve"> Scientific Committee</w:t>
      </w:r>
      <w:r w:rsidR="00E42277">
        <w:t xml:space="preserve"> and </w:t>
      </w:r>
      <w:r w:rsidR="00187BC2" w:rsidRPr="00AE4168">
        <w:t xml:space="preserve">10-Year Research, Development and Implementation Plan </w:t>
      </w:r>
      <w:r w:rsidR="00E42277">
        <w:t xml:space="preserve">will be the main driver of </w:t>
      </w:r>
      <w:r w:rsidR="00C345FD">
        <w:t xml:space="preserve">the </w:t>
      </w:r>
      <w:r w:rsidR="00C345FD">
        <w:rPr>
          <w:rFonts w:ascii="Calibri" w:hAnsi="Calibri" w:cs="Calibri"/>
          <w:color w:val="000000"/>
        </w:rPr>
        <w:t>Ocean Decade Tsunami Programme</w:t>
      </w:r>
      <w:r w:rsidR="00E42277">
        <w:t>, and PTWS will need to adapt to this overarching mechanism</w:t>
      </w:r>
      <w:r w:rsidR="004F1437">
        <w:t xml:space="preserve">. </w:t>
      </w:r>
      <w:r w:rsidR="00C345FD" w:rsidRPr="00C70D99">
        <w:rPr>
          <w:i/>
          <w:iCs/>
        </w:rPr>
        <w:t>The Group proposed</w:t>
      </w:r>
      <w:r w:rsidR="00C345FD">
        <w:t xml:space="preserve"> that to secure long-term change, it may be necessary to</w:t>
      </w:r>
      <w:r w:rsidR="0029531B">
        <w:t xml:space="preserve"> provide long-term resources, for instance</w:t>
      </w:r>
      <w:r w:rsidR="00D832BA">
        <w:t xml:space="preserve"> bolstering a TIC with more resources to be able to support </w:t>
      </w:r>
      <w:r w:rsidR="0029531B">
        <w:t>Decade activities in the long-term.</w:t>
      </w:r>
    </w:p>
    <w:p w14:paraId="27463830" w14:textId="7864B70B" w:rsidR="006E0B71" w:rsidRDefault="009D166D" w:rsidP="00576FDC">
      <w:pPr>
        <w:pStyle w:val="Heading2"/>
        <w:spacing w:before="240"/>
        <w:rPr>
          <w:b/>
          <w:bCs/>
          <w:snapToGrid w:val="0"/>
          <w:kern w:val="28"/>
          <w:lang w:val="en-GB"/>
        </w:rPr>
      </w:pPr>
      <w:r w:rsidRPr="000A325C">
        <w:rPr>
          <w:b/>
          <w:bCs/>
          <w:snapToGrid w:val="0"/>
          <w:lang w:val="en-GB"/>
        </w:rPr>
        <w:t>Participation in the Scientific Committee</w:t>
      </w:r>
      <w:r w:rsidRPr="000A325C">
        <w:rPr>
          <w:b/>
          <w:bCs/>
          <w:snapToGrid w:val="0"/>
          <w:kern w:val="28"/>
          <w:lang w:val="en-GB"/>
        </w:rPr>
        <w:t xml:space="preserve"> </w:t>
      </w:r>
    </w:p>
    <w:p w14:paraId="5DCA2AC5" w14:textId="36DEEF0E" w:rsidR="00BD0D21" w:rsidRDefault="007F7200" w:rsidP="00576FDC">
      <w:pPr>
        <w:spacing w:after="120"/>
      </w:pPr>
      <w:r>
        <w:rPr>
          <w:lang w:val="en-GB"/>
        </w:rPr>
        <w:t xml:space="preserve">Dr </w:t>
      </w:r>
      <w:r w:rsidR="007C5E8C">
        <w:rPr>
          <w:lang w:val="en-GB"/>
        </w:rPr>
        <w:t xml:space="preserve">David </w:t>
      </w:r>
      <w:r>
        <w:rPr>
          <w:lang w:val="en-GB"/>
        </w:rPr>
        <w:t>Coetzee</w:t>
      </w:r>
      <w:r w:rsidR="00B455C6">
        <w:rPr>
          <w:lang w:val="en-GB"/>
        </w:rPr>
        <w:t xml:space="preserve">, </w:t>
      </w:r>
      <w:r w:rsidR="00B455C6" w:rsidRPr="000A325C">
        <w:rPr>
          <w:snapToGrid w:val="0"/>
          <w:lang w:val="en-GB"/>
        </w:rPr>
        <w:t>Chair</w:t>
      </w:r>
      <w:r w:rsidR="00B455C6">
        <w:rPr>
          <w:snapToGrid w:val="0"/>
          <w:lang w:val="en-GB"/>
        </w:rPr>
        <w:t xml:space="preserve"> of the</w:t>
      </w:r>
      <w:r w:rsidR="00B455C6" w:rsidRPr="000A325C">
        <w:rPr>
          <w:snapToGrid w:val="0"/>
          <w:lang w:val="en-GB"/>
        </w:rPr>
        <w:t xml:space="preserve"> DMP Task Team</w:t>
      </w:r>
      <w:r w:rsidR="00B455C6">
        <w:rPr>
          <w:snapToGrid w:val="0"/>
          <w:lang w:val="en-GB"/>
        </w:rPr>
        <w:t xml:space="preserve">, reported on this item. He recalled that the </w:t>
      </w:r>
      <w:r w:rsidR="00B455C6">
        <w:t>IOC XXXI Assembly (June 2021) approved as the</w:t>
      </w:r>
      <w:r w:rsidR="00B455C6" w:rsidRPr="00AE4168">
        <w:t xml:space="preserve"> establishment of the Scientific Committee to prepare the Draft 10-Year Research, Development and Implementation Plan</w:t>
      </w:r>
      <w:r w:rsidR="00086E86">
        <w:t xml:space="preserve">. </w:t>
      </w:r>
    </w:p>
    <w:p w14:paraId="53EA4A8A" w14:textId="4FAF207C" w:rsidR="001E6C6D" w:rsidRDefault="00BD0D21" w:rsidP="00E4347E">
      <w:pPr>
        <w:spacing w:after="120"/>
        <w:rPr>
          <w:lang w:val="en-GB"/>
        </w:rPr>
      </w:pPr>
      <w:r>
        <w:t>Dr Coetzee reported on the nominations for the Scientific Committee, noting that there will be a total of 11 members: four</w:t>
      </w:r>
      <w:r w:rsidR="00473AD4">
        <w:t xml:space="preserve"> nominated by the TWO TT of the TOWS-WG, four nominated by the DMP TT of the TOWS-WG, and three by the TOWS-WG. The TWO TT have met virtually to discuss nominations and </w:t>
      </w:r>
      <w:r w:rsidR="008221DE">
        <w:t>have identified, though not finalized, a list of nominees. T</w:t>
      </w:r>
      <w:r w:rsidR="008221DE">
        <w:rPr>
          <w:lang w:val="en-GB"/>
        </w:rPr>
        <w:t>he TT DMP has met virtually and nominated four people across the four ICGs</w:t>
      </w:r>
      <w:r w:rsidR="00E0799C">
        <w:rPr>
          <w:lang w:val="en-GB"/>
        </w:rPr>
        <w:t xml:space="preserve"> and have passed on these nominations. </w:t>
      </w:r>
    </w:p>
    <w:p w14:paraId="3A8BDCD4" w14:textId="5FF2CBD0" w:rsidR="00AB459C" w:rsidRDefault="001E6C6D" w:rsidP="00E4347E">
      <w:pPr>
        <w:spacing w:after="120"/>
        <w:rPr>
          <w:lang w:val="en-GB"/>
        </w:rPr>
      </w:pPr>
      <w:r>
        <w:rPr>
          <w:lang w:val="en-GB"/>
        </w:rPr>
        <w:t xml:space="preserve">Next, Mr Coetzee reported on the </w:t>
      </w:r>
      <w:r w:rsidRPr="00AE4168">
        <w:t>Tsunami Ready Coalition</w:t>
      </w:r>
      <w:r>
        <w:t>, noting that this is a collaboration with other critical stakeholders</w:t>
      </w:r>
      <w:r w:rsidR="00D7360F">
        <w:t xml:space="preserve"> across the UN structure as well as national civil protection agencies. This coalition will report back to the TOWS-WG. The </w:t>
      </w:r>
      <w:r w:rsidR="00B73113">
        <w:rPr>
          <w:lang w:val="en-GB"/>
        </w:rPr>
        <w:t xml:space="preserve">TT DMP </w:t>
      </w:r>
      <w:r w:rsidR="00D7360F">
        <w:rPr>
          <w:lang w:val="en-GB"/>
        </w:rPr>
        <w:t xml:space="preserve">was requested </w:t>
      </w:r>
      <w:r w:rsidR="00B73113">
        <w:rPr>
          <w:lang w:val="en-GB"/>
        </w:rPr>
        <w:t>to lead identification of potential members</w:t>
      </w:r>
      <w:r w:rsidR="00D7360F">
        <w:rPr>
          <w:lang w:val="en-GB"/>
        </w:rPr>
        <w:t xml:space="preserve"> of this Coalition</w:t>
      </w:r>
      <w:r w:rsidR="00870E17">
        <w:rPr>
          <w:lang w:val="en-GB"/>
        </w:rPr>
        <w:t>; this will be discussed at an upcoming virtual meeting and Mr Coetzee invited suggestions from Steering Committee members.</w:t>
      </w:r>
    </w:p>
    <w:p w14:paraId="07FFCA48" w14:textId="4DE10C6C" w:rsidR="003B6595" w:rsidRDefault="00870E17" w:rsidP="00E4347E">
      <w:pPr>
        <w:spacing w:after="120"/>
        <w:rPr>
          <w:rFonts w:ascii="Calibri" w:hAnsi="Calibri" w:cs="Calibri"/>
          <w:color w:val="000000"/>
        </w:rPr>
      </w:pPr>
      <w:r>
        <w:rPr>
          <w:lang w:val="en-GB"/>
        </w:rPr>
        <w:t>Mr Coetzee noted that t</w:t>
      </w:r>
      <w:r w:rsidR="00AB459C">
        <w:rPr>
          <w:lang w:val="en-GB"/>
        </w:rPr>
        <w:t xml:space="preserve">his is a resource intensive </w:t>
      </w:r>
      <w:r>
        <w:rPr>
          <w:lang w:val="en-GB"/>
        </w:rPr>
        <w:t>activity</w:t>
      </w:r>
      <w:r w:rsidR="006E015F">
        <w:rPr>
          <w:lang w:val="en-GB"/>
        </w:rPr>
        <w:t xml:space="preserve">, highlighting again the need for more dedicated capacity towards the </w:t>
      </w:r>
      <w:r w:rsidR="006E015F">
        <w:rPr>
          <w:rFonts w:ascii="Calibri" w:hAnsi="Calibri" w:cs="Calibri"/>
          <w:color w:val="000000"/>
        </w:rPr>
        <w:t>Ocean Decade Tsunami Programme.</w:t>
      </w:r>
      <w:r w:rsidR="00116CAE">
        <w:rPr>
          <w:rFonts w:ascii="Calibri" w:hAnsi="Calibri" w:cs="Calibri"/>
          <w:color w:val="000000"/>
        </w:rPr>
        <w:t>.</w:t>
      </w:r>
    </w:p>
    <w:p w14:paraId="451D89C2" w14:textId="37E85B69" w:rsidR="003B6595" w:rsidRPr="00E4347E" w:rsidRDefault="003B6595" w:rsidP="00E4347E">
      <w:pPr>
        <w:spacing w:before="200" w:after="120"/>
        <w:rPr>
          <w:rFonts w:ascii="Calibri" w:hAnsi="Calibri" w:cs="Calibri"/>
          <w:b/>
          <w:bCs/>
          <w:color w:val="000000"/>
        </w:rPr>
      </w:pPr>
      <w:r w:rsidRPr="00753D2C">
        <w:rPr>
          <w:rFonts w:ascii="Calibri" w:hAnsi="Calibri" w:cs="Calibri"/>
          <w:b/>
          <w:bCs/>
          <w:color w:val="000000"/>
        </w:rPr>
        <w:t>Discussion:</w:t>
      </w:r>
    </w:p>
    <w:p w14:paraId="2E8EA9AB" w14:textId="44B72796" w:rsidR="00AA00FB" w:rsidRPr="00E4347E" w:rsidRDefault="003B6595" w:rsidP="00E4347E">
      <w:pPr>
        <w:spacing w:after="120"/>
        <w:rPr>
          <w:rFonts w:ascii="Calibri" w:hAnsi="Calibri" w:cs="Calibri"/>
          <w:color w:val="000000"/>
        </w:rPr>
      </w:pPr>
      <w:r>
        <w:rPr>
          <w:rFonts w:ascii="Calibri" w:hAnsi="Calibri" w:cs="Calibri"/>
          <w:color w:val="000000"/>
        </w:rPr>
        <w:t xml:space="preserve">Japan noted that </w:t>
      </w:r>
      <w:r w:rsidR="00C34A10">
        <w:rPr>
          <w:rFonts w:ascii="Calibri" w:hAnsi="Calibri" w:cs="Calibri"/>
          <w:color w:val="000000"/>
        </w:rPr>
        <w:t xml:space="preserve">they are currently in the </w:t>
      </w:r>
      <w:r w:rsidR="00C34A10" w:rsidRPr="009D1F8E">
        <w:rPr>
          <w:rFonts w:ascii="Calibri" w:hAnsi="Calibri" w:cs="Calibri"/>
          <w:color w:val="000000"/>
        </w:rPr>
        <w:t>process of identifying a person to nominate</w:t>
      </w:r>
      <w:r w:rsidR="00753D2C" w:rsidRPr="009D1F8E">
        <w:rPr>
          <w:rFonts w:ascii="Calibri" w:hAnsi="Calibri" w:cs="Calibri"/>
          <w:color w:val="000000"/>
        </w:rPr>
        <w:t xml:space="preserve"> and expressed their desire to nominate a person for the Scientific Committee</w:t>
      </w:r>
      <w:r w:rsidR="009D1F8E" w:rsidRPr="009D1F8E">
        <w:rPr>
          <w:rFonts w:ascii="Calibri" w:hAnsi="Calibri" w:cs="Calibri"/>
          <w:color w:val="000000"/>
        </w:rPr>
        <w:t>.</w:t>
      </w:r>
      <w:r w:rsidR="00753D2C">
        <w:t xml:space="preserve"> </w:t>
      </w:r>
    </w:p>
    <w:p w14:paraId="6E7D7C42" w14:textId="0315ADA7" w:rsidR="00CB166B" w:rsidRDefault="00753D2C" w:rsidP="00E4347E">
      <w:pPr>
        <w:spacing w:after="120"/>
        <w:rPr>
          <w:rFonts w:ascii="Calibri" w:eastAsia="Times New Roman" w:hAnsi="Calibri" w:cs="Calibri"/>
          <w:color w:val="000000"/>
          <w:lang w:eastAsia="zh-CN"/>
        </w:rPr>
      </w:pPr>
      <w:r w:rsidRPr="00E4347E">
        <w:rPr>
          <w:b/>
          <w:bCs/>
          <w:i/>
          <w:iCs/>
          <w:lang w:val="en-GB"/>
        </w:rPr>
        <w:lastRenderedPageBreak/>
        <w:t xml:space="preserve">The Group </w:t>
      </w:r>
      <w:r w:rsidR="009C23AD" w:rsidRPr="00E4347E">
        <w:rPr>
          <w:b/>
          <w:bCs/>
          <w:i/>
          <w:iCs/>
          <w:lang w:val="en-GB"/>
        </w:rPr>
        <w:t>approved</w:t>
      </w:r>
      <w:r w:rsidR="009C23AD" w:rsidRPr="00E4347E">
        <w:rPr>
          <w:i/>
          <w:iCs/>
          <w:lang w:val="en-GB"/>
        </w:rPr>
        <w:t xml:space="preserve"> the</w:t>
      </w:r>
      <w:r w:rsidR="009C23AD">
        <w:rPr>
          <w:lang w:val="en-GB"/>
        </w:rPr>
        <w:t xml:space="preserve"> </w:t>
      </w:r>
      <w:r w:rsidR="00CE760B">
        <w:rPr>
          <w:lang w:val="en-GB"/>
        </w:rPr>
        <w:t>creation of a</w:t>
      </w:r>
      <w:r w:rsidR="00C35DDE">
        <w:rPr>
          <w:lang w:val="en-GB"/>
        </w:rPr>
        <w:t xml:space="preserve">n ad hoc </w:t>
      </w:r>
      <w:r w:rsidR="00CE760B">
        <w:rPr>
          <w:lang w:val="en-GB"/>
        </w:rPr>
        <w:t xml:space="preserve">TT </w:t>
      </w:r>
      <w:r w:rsidR="00C93D9D">
        <w:rPr>
          <w:lang w:val="en-GB"/>
        </w:rPr>
        <w:t xml:space="preserve">to draft a recommendation </w:t>
      </w:r>
      <w:r w:rsidR="00C93D9D" w:rsidRPr="008D74BF">
        <w:rPr>
          <w:rFonts w:ascii="Calibri" w:eastAsia="Times New Roman" w:hAnsi="Calibri" w:cs="Calibri"/>
          <w:color w:val="000000"/>
          <w:lang w:eastAsia="zh-CN"/>
        </w:rPr>
        <w:t>for ICG/PTWS-XXIX</w:t>
      </w:r>
      <w:r w:rsidR="004F0D97">
        <w:rPr>
          <w:rFonts w:ascii="Calibri" w:eastAsia="Times New Roman" w:hAnsi="Calibri" w:cs="Calibri"/>
          <w:color w:val="000000"/>
          <w:lang w:eastAsia="zh-CN"/>
        </w:rPr>
        <w:t xml:space="preserve"> and approved Dr Laura Kong, Dr Wilfried Strauch, Mr Mike Angove</w:t>
      </w:r>
      <w:r w:rsidR="0071138E">
        <w:rPr>
          <w:rFonts w:ascii="Calibri" w:eastAsia="Times New Roman" w:hAnsi="Calibri" w:cs="Calibri"/>
          <w:color w:val="000000"/>
          <w:lang w:eastAsia="zh-CN"/>
        </w:rPr>
        <w:t xml:space="preserve">, and Mr Jerome Aucan as volunteers to draft </w:t>
      </w:r>
      <w:r w:rsidR="00C35DDE">
        <w:rPr>
          <w:rFonts w:ascii="Calibri" w:eastAsia="Times New Roman" w:hAnsi="Calibri" w:cs="Calibri"/>
          <w:color w:val="000000"/>
          <w:lang w:eastAsia="zh-CN"/>
        </w:rPr>
        <w:t>this document</w:t>
      </w:r>
      <w:r w:rsidR="0071138E">
        <w:rPr>
          <w:rFonts w:ascii="Calibri" w:eastAsia="Times New Roman" w:hAnsi="Calibri" w:cs="Calibri"/>
          <w:color w:val="000000"/>
          <w:lang w:eastAsia="zh-CN"/>
        </w:rPr>
        <w:t>.</w:t>
      </w:r>
      <w:r w:rsidR="00FA584A">
        <w:rPr>
          <w:rFonts w:ascii="Calibri" w:eastAsia="Times New Roman" w:hAnsi="Calibri" w:cs="Calibri"/>
          <w:color w:val="000000"/>
          <w:lang w:eastAsia="zh-CN"/>
        </w:rPr>
        <w:t xml:space="preserve"> </w:t>
      </w:r>
      <w:r w:rsidR="00FA584A" w:rsidRPr="00E4347E">
        <w:rPr>
          <w:rFonts w:ascii="Calibri" w:eastAsia="Times New Roman" w:hAnsi="Calibri" w:cs="Calibri"/>
          <w:b/>
          <w:bCs/>
          <w:i/>
          <w:iCs/>
          <w:color w:val="000000"/>
          <w:lang w:eastAsia="zh-CN"/>
        </w:rPr>
        <w:t>The Group agreed</w:t>
      </w:r>
      <w:r w:rsidR="00FA584A">
        <w:rPr>
          <w:rFonts w:ascii="Calibri" w:eastAsia="Times New Roman" w:hAnsi="Calibri" w:cs="Calibri"/>
          <w:color w:val="000000"/>
          <w:lang w:eastAsia="zh-CN"/>
        </w:rPr>
        <w:t xml:space="preserve"> that the draft recommendation </w:t>
      </w:r>
      <w:r w:rsidR="00BA2FED">
        <w:rPr>
          <w:rFonts w:ascii="Calibri" w:eastAsia="Times New Roman" w:hAnsi="Calibri" w:cs="Calibri"/>
          <w:color w:val="000000"/>
          <w:lang w:eastAsia="zh-CN"/>
        </w:rPr>
        <w:t>will be produced in advance of the ICG/PTWS XXIX Meeting.</w:t>
      </w:r>
    </w:p>
    <w:p w14:paraId="3E5248DC" w14:textId="39D1DB9C" w:rsidR="00CB166B" w:rsidRPr="00867212" w:rsidRDefault="00CB166B" w:rsidP="00867212">
      <w:pPr>
        <w:spacing w:before="200" w:after="120"/>
        <w:rPr>
          <w:rFonts w:ascii="Calibri" w:eastAsia="Times New Roman" w:hAnsi="Calibri" w:cs="Calibri"/>
          <w:b/>
          <w:bCs/>
          <w:color w:val="2F5496" w:themeColor="accent1" w:themeShade="BF"/>
          <w:lang w:eastAsia="zh-CN"/>
        </w:rPr>
      </w:pPr>
      <w:r w:rsidRPr="00867212">
        <w:rPr>
          <w:rFonts w:ascii="Calibri" w:eastAsia="Times New Roman" w:hAnsi="Calibri" w:cs="Calibri"/>
          <w:b/>
          <w:bCs/>
          <w:color w:val="2F5496" w:themeColor="accent1" w:themeShade="BF"/>
          <w:lang w:eastAsia="zh-CN"/>
        </w:rPr>
        <w:t>Actions:</w:t>
      </w:r>
    </w:p>
    <w:p w14:paraId="7F37219E" w14:textId="56B55E2B" w:rsidR="00586310" w:rsidRPr="00867212" w:rsidRDefault="00CB166B" w:rsidP="00867212">
      <w:pPr>
        <w:pStyle w:val="ListParagraph"/>
        <w:numPr>
          <w:ilvl w:val="0"/>
          <w:numId w:val="2"/>
        </w:numPr>
        <w:spacing w:after="120"/>
        <w:rPr>
          <w:color w:val="2F5496" w:themeColor="accent1" w:themeShade="BF"/>
          <w:lang w:val="en-GB"/>
        </w:rPr>
      </w:pPr>
      <w:r w:rsidRPr="00867212">
        <w:rPr>
          <w:color w:val="2F5496" w:themeColor="accent1" w:themeShade="BF"/>
          <w:lang w:val="en-GB"/>
        </w:rPr>
        <w:t xml:space="preserve">The </w:t>
      </w:r>
      <w:r w:rsidRPr="00867212">
        <w:rPr>
          <w:i/>
          <w:iCs/>
          <w:color w:val="2F5496" w:themeColor="accent1" w:themeShade="BF"/>
          <w:lang w:val="en-GB"/>
        </w:rPr>
        <w:t>ad hoc</w:t>
      </w:r>
      <w:r w:rsidRPr="00867212">
        <w:rPr>
          <w:color w:val="2F5496" w:themeColor="accent1" w:themeShade="BF"/>
          <w:lang w:val="en-GB"/>
        </w:rPr>
        <w:t xml:space="preserve"> TT will draft a recommendation </w:t>
      </w:r>
      <w:r w:rsidRPr="00867212">
        <w:rPr>
          <w:rFonts w:ascii="Calibri" w:eastAsia="Times New Roman" w:hAnsi="Calibri" w:cs="Calibri"/>
          <w:color w:val="2F5496" w:themeColor="accent1" w:themeShade="BF"/>
          <w:lang w:eastAsia="zh-CN"/>
        </w:rPr>
        <w:t xml:space="preserve">for </w:t>
      </w:r>
      <w:r w:rsidR="009D1F8E">
        <w:rPr>
          <w:rFonts w:ascii="Calibri" w:eastAsia="Times New Roman" w:hAnsi="Calibri" w:cs="Calibri"/>
          <w:color w:val="2F5496" w:themeColor="accent1" w:themeShade="BF"/>
          <w:lang w:eastAsia="zh-CN"/>
        </w:rPr>
        <w:t xml:space="preserve">submission to the </w:t>
      </w:r>
      <w:r w:rsidRPr="00867212">
        <w:rPr>
          <w:rFonts w:ascii="Calibri" w:eastAsia="Times New Roman" w:hAnsi="Calibri" w:cs="Calibri"/>
          <w:color w:val="2F5496" w:themeColor="accent1" w:themeShade="BF"/>
          <w:lang w:eastAsia="zh-CN"/>
        </w:rPr>
        <w:t>ICG/PTWS-XXIX</w:t>
      </w:r>
      <w:r w:rsidR="00A649F0" w:rsidRPr="00867212">
        <w:rPr>
          <w:rFonts w:ascii="Calibri" w:eastAsia="Times New Roman" w:hAnsi="Calibri" w:cs="Calibri"/>
          <w:color w:val="2F5496" w:themeColor="accent1" w:themeShade="BF"/>
          <w:lang w:eastAsia="zh-CN"/>
        </w:rPr>
        <w:t>.</w:t>
      </w:r>
    </w:p>
    <w:p w14:paraId="35EEBA18" w14:textId="2EA5E3AD" w:rsidR="0009592F" w:rsidRPr="00292E4B" w:rsidRDefault="0009592F" w:rsidP="00867212">
      <w:pPr>
        <w:pStyle w:val="Heading1"/>
        <w:spacing w:before="240"/>
        <w:rPr>
          <w:lang w:val="en-GB"/>
        </w:rPr>
      </w:pPr>
      <w:r w:rsidRPr="001F6D77">
        <w:rPr>
          <w:lang w:val="en-GB"/>
        </w:rPr>
        <w:t xml:space="preserve">Options about extension/election of </w:t>
      </w:r>
      <w:r w:rsidRPr="00292E4B">
        <w:rPr>
          <w:lang w:val="en-GB"/>
        </w:rPr>
        <w:t>new Officers</w:t>
      </w:r>
    </w:p>
    <w:p w14:paraId="767081E4" w14:textId="5D8778E9" w:rsidR="00531511" w:rsidRPr="00867212" w:rsidRDefault="00925C07" w:rsidP="00867212">
      <w:pPr>
        <w:spacing w:after="120"/>
      </w:pPr>
      <w:r>
        <w:rPr>
          <w:rFonts w:eastAsia="Times New Roman" w:cstheme="minorHAnsi"/>
          <w:lang w:val="en-GB"/>
        </w:rPr>
        <w:t>Mr Aliaga, Technical Secretary,</w:t>
      </w:r>
      <w:r w:rsidR="00531511" w:rsidRPr="00292E4B">
        <w:rPr>
          <w:rFonts w:eastAsia="Times New Roman" w:cstheme="minorHAnsi"/>
          <w:lang w:val="en-GB"/>
        </w:rPr>
        <w:t xml:space="preserve"> recall</w:t>
      </w:r>
      <w:r w:rsidR="00867212">
        <w:rPr>
          <w:rFonts w:eastAsia="Times New Roman" w:cstheme="minorHAnsi"/>
          <w:lang w:val="en-GB"/>
        </w:rPr>
        <w:t>ed</w:t>
      </w:r>
      <w:r w:rsidR="00531511" w:rsidRPr="00292E4B">
        <w:rPr>
          <w:rFonts w:eastAsia="Times New Roman" w:cstheme="minorHAnsi"/>
          <w:lang w:val="en-GB"/>
        </w:rPr>
        <w:t xml:space="preserve"> the rules of procedures </w:t>
      </w:r>
      <w:r w:rsidR="00A063F1">
        <w:rPr>
          <w:rFonts w:eastAsia="Times New Roman" w:cstheme="minorHAnsi"/>
          <w:lang w:val="en-GB"/>
        </w:rPr>
        <w:t xml:space="preserve">of IOC </w:t>
      </w:r>
      <w:r w:rsidR="00531511" w:rsidRPr="00292E4B">
        <w:rPr>
          <w:rFonts w:eastAsia="Times New Roman" w:cstheme="minorHAnsi"/>
          <w:lang w:val="en-GB"/>
        </w:rPr>
        <w:t>and</w:t>
      </w:r>
      <w:r w:rsidR="00A063F1">
        <w:rPr>
          <w:rFonts w:eastAsia="Times New Roman" w:cstheme="minorHAnsi"/>
          <w:lang w:val="en-GB"/>
        </w:rPr>
        <w:t xml:space="preserve"> the</w:t>
      </w:r>
      <w:r w:rsidR="00531511" w:rsidRPr="00292E4B">
        <w:rPr>
          <w:rFonts w:eastAsia="Times New Roman" w:cstheme="minorHAnsi"/>
          <w:lang w:val="en-GB"/>
        </w:rPr>
        <w:t xml:space="preserve"> main roles of </w:t>
      </w:r>
      <w:r w:rsidR="00A063F1">
        <w:rPr>
          <w:rFonts w:eastAsia="Times New Roman" w:cstheme="minorHAnsi"/>
          <w:lang w:val="en-GB"/>
        </w:rPr>
        <w:t>C</w:t>
      </w:r>
      <w:r w:rsidR="00531511" w:rsidRPr="00292E4B">
        <w:rPr>
          <w:rFonts w:eastAsia="Times New Roman" w:cstheme="minorHAnsi"/>
          <w:lang w:val="en-GB"/>
        </w:rPr>
        <w:t xml:space="preserve">hairs and </w:t>
      </w:r>
      <w:r w:rsidR="00A063F1">
        <w:rPr>
          <w:rFonts w:eastAsia="Times New Roman" w:cstheme="minorHAnsi"/>
          <w:lang w:val="en-GB"/>
        </w:rPr>
        <w:t>Vi</w:t>
      </w:r>
      <w:r w:rsidR="00531511" w:rsidRPr="00292E4B">
        <w:rPr>
          <w:rFonts w:eastAsia="Times New Roman" w:cstheme="minorHAnsi"/>
          <w:lang w:val="en-GB"/>
        </w:rPr>
        <w:t>ce</w:t>
      </w:r>
      <w:r>
        <w:rPr>
          <w:rFonts w:eastAsia="Times New Roman" w:cstheme="minorHAnsi"/>
          <w:lang w:val="en-GB"/>
        </w:rPr>
        <w:t>-C</w:t>
      </w:r>
      <w:r w:rsidR="00531511" w:rsidRPr="00292E4B">
        <w:rPr>
          <w:rFonts w:eastAsia="Times New Roman" w:cstheme="minorHAnsi"/>
          <w:lang w:val="en-GB"/>
        </w:rPr>
        <w:t>hairs</w:t>
      </w:r>
      <w:r w:rsidR="00412D31">
        <w:rPr>
          <w:rFonts w:eastAsia="Times New Roman" w:cstheme="minorHAnsi"/>
          <w:lang w:val="en-GB"/>
        </w:rPr>
        <w:t>, highlighting the role of the ICG/PTWS to elect officers (including Chairs and Vice-Chairs).</w:t>
      </w:r>
      <w:r w:rsidR="00546710">
        <w:rPr>
          <w:rFonts w:eastAsia="Times New Roman" w:cstheme="minorHAnsi"/>
          <w:lang w:val="en-GB"/>
        </w:rPr>
        <w:t xml:space="preserve"> He noted that Chairs and Vice-Chairs are allowed to serve two terms. Mr Aliaga also recalled that the </w:t>
      </w:r>
      <w:r w:rsidR="007B3537">
        <w:rPr>
          <w:rFonts w:eastAsia="Times New Roman" w:cstheme="minorHAnsi"/>
          <w:lang w:val="en-GB"/>
        </w:rPr>
        <w:t>current</w:t>
      </w:r>
      <w:r w:rsidR="00546710">
        <w:t xml:space="preserve"> Chair and Vice-Chairs of ICG/PTWS were elected in Montelimar, Nicaragua, at the ICG/PTWS XXVIII Session in April 2019. If elections are scheduled for the ICG/PTWS XXIX Session</w:t>
      </w:r>
      <w:r w:rsidR="002A0912">
        <w:t xml:space="preserve"> (which they should be as it is a normal session)</w:t>
      </w:r>
      <w:r w:rsidR="00546710">
        <w:t xml:space="preserve">, </w:t>
      </w:r>
      <w:r w:rsidR="007B3537">
        <w:t>the Chair and Vice-Chairs</w:t>
      </w:r>
      <w:r w:rsidR="00546710">
        <w:t xml:space="preserve"> are all re-eligible for </w:t>
      </w:r>
      <w:r w:rsidR="007B3537">
        <w:t>one</w:t>
      </w:r>
      <w:r w:rsidR="00546710">
        <w:t xml:space="preserve"> term, until the next ordinary session</w:t>
      </w:r>
      <w:r w:rsidR="002A0912">
        <w:rPr>
          <w:rFonts w:eastAsia="Times New Roman" w:cstheme="minorHAnsi"/>
          <w:lang w:val="en-GB"/>
        </w:rPr>
        <w:t>.</w:t>
      </w:r>
      <w:r w:rsidR="00BE24A1">
        <w:rPr>
          <w:rFonts w:eastAsia="Times New Roman" w:cstheme="minorHAnsi"/>
          <w:lang w:val="en-GB"/>
        </w:rPr>
        <w:t xml:space="preserve"> He added that because the </w:t>
      </w:r>
      <w:r w:rsidR="00BE24A1">
        <w:t>ICG/PTWS XXX Session is schedule</w:t>
      </w:r>
      <w:r w:rsidR="009D1F8E">
        <w:t>d</w:t>
      </w:r>
      <w:r w:rsidR="00BE24A1">
        <w:t xml:space="preserve"> for November </w:t>
      </w:r>
      <w:r w:rsidR="001F636D">
        <w:t xml:space="preserve">2022, this term </w:t>
      </w:r>
      <w:r w:rsidR="00F22BC1">
        <w:t>will be</w:t>
      </w:r>
      <w:r w:rsidR="001F636D">
        <w:t xml:space="preserve"> longer than usual as the normal session was due to take place in March or April</w:t>
      </w:r>
      <w:r w:rsidR="004F011D">
        <w:t xml:space="preserve">, and the next </w:t>
      </w:r>
      <w:r w:rsidR="009D1F8E">
        <w:t>term</w:t>
      </w:r>
      <w:r w:rsidR="004F011D">
        <w:t xml:space="preserve"> will therefore be shorter.</w:t>
      </w:r>
    </w:p>
    <w:p w14:paraId="72937474" w14:textId="5206F350" w:rsidR="0009592F" w:rsidRPr="00292E4B" w:rsidRDefault="00BA58CC" w:rsidP="00867212">
      <w:pPr>
        <w:pStyle w:val="Heading1"/>
        <w:spacing w:before="240"/>
        <w:rPr>
          <w:lang w:val="en-GB"/>
        </w:rPr>
      </w:pPr>
      <w:r w:rsidRPr="00292E4B">
        <w:rPr>
          <w:lang w:val="en-GB"/>
        </w:rPr>
        <w:t>PTWS-XXIX Session arrangements</w:t>
      </w:r>
    </w:p>
    <w:p w14:paraId="48ABEB26" w14:textId="17E4AE1D" w:rsidR="00C330B9" w:rsidRPr="00292E4B" w:rsidRDefault="009D1F8E" w:rsidP="009D1F8E">
      <w:pPr>
        <w:spacing w:after="120"/>
        <w:rPr>
          <w:rFonts w:eastAsia="Times New Roman" w:cstheme="minorHAnsi"/>
          <w:lang w:val="en-GB"/>
        </w:rPr>
      </w:pPr>
      <w:r>
        <w:rPr>
          <w:rFonts w:eastAsia="Times New Roman" w:cstheme="minorHAnsi"/>
          <w:lang w:val="en-GB"/>
        </w:rPr>
        <w:t>N</w:t>
      </w:r>
      <w:r w:rsidR="00C330B9" w:rsidRPr="00292E4B">
        <w:rPr>
          <w:rFonts w:eastAsia="Times New Roman" w:cstheme="minorHAnsi"/>
          <w:lang w:val="en-GB"/>
        </w:rPr>
        <w:t>r Y</w:t>
      </w:r>
      <w:r>
        <w:rPr>
          <w:rFonts w:eastAsia="Times New Roman" w:cstheme="minorHAnsi"/>
          <w:lang w:val="en-GB"/>
        </w:rPr>
        <w:t>uji</w:t>
      </w:r>
      <w:r w:rsidR="00C330B9" w:rsidRPr="00292E4B">
        <w:rPr>
          <w:rFonts w:eastAsia="Times New Roman" w:cstheme="minorHAnsi"/>
          <w:lang w:val="en-GB"/>
        </w:rPr>
        <w:t xml:space="preserve"> Nishimae</w:t>
      </w:r>
      <w:r w:rsidR="00410D0F">
        <w:rPr>
          <w:rFonts w:eastAsia="Times New Roman" w:cstheme="minorHAnsi"/>
          <w:lang w:val="en-GB"/>
        </w:rPr>
        <w:t xml:space="preserve">, </w:t>
      </w:r>
      <w:r w:rsidRPr="009D1F8E">
        <w:rPr>
          <w:rFonts w:eastAsia="Times New Roman" w:cstheme="minorHAnsi"/>
          <w:lang w:val="en-GB"/>
        </w:rPr>
        <w:t>Scientific Officer for International Tsunami Information</w:t>
      </w:r>
      <w:r>
        <w:rPr>
          <w:rFonts w:eastAsia="Times New Roman" w:cstheme="minorHAnsi"/>
          <w:lang w:val="en-GB"/>
        </w:rPr>
        <w:t xml:space="preserve">, </w:t>
      </w:r>
      <w:r w:rsidRPr="009D1F8E">
        <w:rPr>
          <w:rFonts w:eastAsia="Times New Roman" w:cstheme="minorHAnsi"/>
          <w:lang w:val="en-GB"/>
        </w:rPr>
        <w:t>Japan Meteorological Agency</w:t>
      </w:r>
      <w:r>
        <w:rPr>
          <w:rFonts w:eastAsia="Times New Roman" w:cstheme="minorHAnsi"/>
          <w:lang w:val="en-GB"/>
        </w:rPr>
        <w:t xml:space="preserve"> (JMA)</w:t>
      </w:r>
      <w:r w:rsidR="00410D0F">
        <w:rPr>
          <w:rFonts w:eastAsia="Times New Roman" w:cstheme="minorHAnsi"/>
          <w:lang w:val="en-GB"/>
        </w:rPr>
        <w:t>,</w:t>
      </w:r>
      <w:r w:rsidR="00C330B9" w:rsidRPr="00292E4B">
        <w:rPr>
          <w:rFonts w:eastAsia="Times New Roman" w:cstheme="minorHAnsi"/>
          <w:lang w:val="en-GB"/>
        </w:rPr>
        <w:t xml:space="preserve"> and Mr Bernardo Aliaga</w:t>
      </w:r>
      <w:r w:rsidR="00410D0F">
        <w:rPr>
          <w:rFonts w:eastAsia="Times New Roman" w:cstheme="minorHAnsi"/>
          <w:lang w:val="en-GB"/>
        </w:rPr>
        <w:t>, ICG/PTWS Technical Secretary</w:t>
      </w:r>
      <w:r w:rsidR="0058689E">
        <w:rPr>
          <w:rFonts w:eastAsia="Times New Roman" w:cstheme="minorHAnsi"/>
          <w:lang w:val="en-GB"/>
        </w:rPr>
        <w:t>, reported on this item</w:t>
      </w:r>
      <w:r w:rsidR="00C330B9" w:rsidRPr="00292E4B">
        <w:rPr>
          <w:rFonts w:eastAsia="Times New Roman" w:cstheme="minorHAnsi"/>
          <w:lang w:val="en-GB"/>
        </w:rPr>
        <w:t>.</w:t>
      </w:r>
    </w:p>
    <w:p w14:paraId="68185B56" w14:textId="40D5987A" w:rsidR="006C6955" w:rsidRDefault="00C330B9" w:rsidP="00867212">
      <w:pPr>
        <w:spacing w:after="120"/>
        <w:rPr>
          <w:rFonts w:eastAsia="Times New Roman" w:cstheme="minorHAnsi"/>
          <w:lang w:val="en-GB"/>
        </w:rPr>
      </w:pPr>
      <w:r w:rsidRPr="00292E4B">
        <w:rPr>
          <w:rFonts w:eastAsia="Times New Roman" w:cstheme="minorHAnsi"/>
          <w:lang w:val="en-GB"/>
        </w:rPr>
        <w:t>Dr N</w:t>
      </w:r>
      <w:r w:rsidR="003A4A57">
        <w:rPr>
          <w:rFonts w:eastAsia="Times New Roman" w:cstheme="minorHAnsi"/>
          <w:lang w:val="en-GB"/>
        </w:rPr>
        <w:t>i</w:t>
      </w:r>
      <w:r w:rsidRPr="00292E4B">
        <w:rPr>
          <w:rFonts w:eastAsia="Times New Roman" w:cstheme="minorHAnsi"/>
          <w:lang w:val="en-GB"/>
        </w:rPr>
        <w:t>shimae</w:t>
      </w:r>
      <w:r w:rsidR="00292E4B" w:rsidRPr="00292E4B">
        <w:rPr>
          <w:rFonts w:eastAsia="Times New Roman" w:cstheme="minorHAnsi"/>
          <w:lang w:val="en-GB"/>
        </w:rPr>
        <w:t xml:space="preserve"> recalled</w:t>
      </w:r>
      <w:r w:rsidR="00292E4B">
        <w:rPr>
          <w:rFonts w:eastAsia="Times New Roman" w:cstheme="minorHAnsi"/>
          <w:lang w:val="en-GB"/>
        </w:rPr>
        <w:t xml:space="preserve"> that </w:t>
      </w:r>
      <w:r w:rsidR="00353AD5" w:rsidRPr="00292E4B">
        <w:rPr>
          <w:rFonts w:eastAsia="Times New Roman" w:cstheme="minorHAnsi"/>
          <w:lang w:val="en-GB"/>
        </w:rPr>
        <w:t xml:space="preserve">Japan </w:t>
      </w:r>
      <w:r w:rsidR="006436BA">
        <w:rPr>
          <w:rFonts w:eastAsia="Times New Roman" w:cstheme="minorHAnsi"/>
          <w:lang w:val="en-GB"/>
        </w:rPr>
        <w:t xml:space="preserve">had </w:t>
      </w:r>
      <w:r w:rsidR="00353AD5" w:rsidRPr="00292E4B">
        <w:rPr>
          <w:rFonts w:eastAsia="Times New Roman" w:cstheme="minorHAnsi"/>
          <w:lang w:val="en-GB"/>
        </w:rPr>
        <w:t xml:space="preserve">offered to host </w:t>
      </w:r>
      <w:r w:rsidR="0058689E">
        <w:rPr>
          <w:rFonts w:eastAsia="Times New Roman" w:cstheme="minorHAnsi"/>
          <w:lang w:val="en-GB"/>
        </w:rPr>
        <w:t xml:space="preserve">the </w:t>
      </w:r>
      <w:r w:rsidR="006436BA">
        <w:rPr>
          <w:rFonts w:eastAsia="Times New Roman" w:cstheme="minorHAnsi"/>
          <w:lang w:val="en-GB"/>
        </w:rPr>
        <w:t>ICG/PTWS XXIX Session during the ICG/PTWS XXVIII Session</w:t>
      </w:r>
      <w:r w:rsidR="00F22BC1">
        <w:rPr>
          <w:rFonts w:eastAsia="Times New Roman" w:cstheme="minorHAnsi"/>
          <w:lang w:val="en-GB"/>
        </w:rPr>
        <w:t>. T</w:t>
      </w:r>
      <w:r w:rsidR="00AE40B6">
        <w:rPr>
          <w:rFonts w:eastAsia="Times New Roman" w:cstheme="minorHAnsi"/>
          <w:lang w:val="en-GB"/>
        </w:rPr>
        <w:t>his meeting was originally due to take place in March 2021</w:t>
      </w:r>
      <w:r w:rsidR="00B25062">
        <w:rPr>
          <w:rFonts w:eastAsia="Times New Roman" w:cstheme="minorHAnsi"/>
          <w:lang w:val="en-GB"/>
        </w:rPr>
        <w:t xml:space="preserve"> on the anniversary of the 11 March 2011 earthquake and tsunami in Japan.</w:t>
      </w:r>
      <w:r w:rsidR="00AE40B6">
        <w:rPr>
          <w:rFonts w:eastAsia="Times New Roman" w:cstheme="minorHAnsi"/>
          <w:lang w:val="en-GB"/>
        </w:rPr>
        <w:t xml:space="preserve"> Due to the COVID-19 pandemic</w:t>
      </w:r>
      <w:r w:rsidR="00B25062">
        <w:rPr>
          <w:rFonts w:eastAsia="Times New Roman" w:cstheme="minorHAnsi"/>
          <w:lang w:val="en-GB"/>
        </w:rPr>
        <w:t>, the date was postponed to November</w:t>
      </w:r>
      <w:r w:rsidR="003F7FAD" w:rsidRPr="00292E4B">
        <w:rPr>
          <w:rFonts w:eastAsia="Times New Roman" w:cstheme="minorHAnsi"/>
          <w:lang w:val="en-GB"/>
        </w:rPr>
        <w:t xml:space="preserve"> 2021 or </w:t>
      </w:r>
      <w:r w:rsidR="00B25062">
        <w:rPr>
          <w:rFonts w:eastAsia="Times New Roman" w:cstheme="minorHAnsi"/>
          <w:lang w:val="en-GB"/>
        </w:rPr>
        <w:t>M</w:t>
      </w:r>
      <w:r w:rsidR="003F7FAD" w:rsidRPr="00292E4B">
        <w:rPr>
          <w:rFonts w:eastAsia="Times New Roman" w:cstheme="minorHAnsi"/>
          <w:lang w:val="en-GB"/>
        </w:rPr>
        <w:t>arch 2022.</w:t>
      </w:r>
      <w:r w:rsidR="00B35C4D" w:rsidRPr="00292E4B">
        <w:rPr>
          <w:rFonts w:eastAsia="Times New Roman" w:cstheme="minorHAnsi"/>
          <w:lang w:val="en-GB"/>
        </w:rPr>
        <w:t xml:space="preserve"> </w:t>
      </w:r>
      <w:r w:rsidR="00B25062">
        <w:rPr>
          <w:rFonts w:eastAsia="Times New Roman" w:cstheme="minorHAnsi"/>
          <w:lang w:val="en-GB"/>
        </w:rPr>
        <w:t xml:space="preserve">Given the continuing pandemic, </w:t>
      </w:r>
      <w:r w:rsidR="00F13269">
        <w:rPr>
          <w:rFonts w:eastAsia="Times New Roman" w:cstheme="minorHAnsi"/>
          <w:lang w:val="en-GB"/>
        </w:rPr>
        <w:t>the ICG/PTWS Steering Committee agreed</w:t>
      </w:r>
      <w:r w:rsidR="00367766">
        <w:rPr>
          <w:rFonts w:eastAsia="Times New Roman" w:cstheme="minorHAnsi"/>
          <w:lang w:val="en-GB"/>
        </w:rPr>
        <w:t xml:space="preserve"> in</w:t>
      </w:r>
      <w:r w:rsidR="00F13269">
        <w:rPr>
          <w:rFonts w:eastAsia="Times New Roman" w:cstheme="minorHAnsi"/>
          <w:lang w:val="en-GB"/>
        </w:rPr>
        <w:t xml:space="preserve"> June 2021 to </w:t>
      </w:r>
      <w:r w:rsidR="002C5324">
        <w:rPr>
          <w:rFonts w:eastAsia="Times New Roman" w:cstheme="minorHAnsi"/>
          <w:lang w:val="en-GB"/>
        </w:rPr>
        <w:t>hold the ICG/PTWS XXIX Session online in November 2021</w:t>
      </w:r>
      <w:r w:rsidR="00410D0F">
        <w:rPr>
          <w:rFonts w:eastAsia="Times New Roman" w:cstheme="minorHAnsi"/>
          <w:lang w:val="en-GB"/>
        </w:rPr>
        <w:t xml:space="preserve"> to discuss high priority items such as the </w:t>
      </w:r>
      <w:r w:rsidR="000D4FB9" w:rsidRPr="00292E4B">
        <w:rPr>
          <w:rFonts w:eastAsia="Times New Roman" w:cstheme="minorHAnsi"/>
          <w:lang w:val="en-GB"/>
        </w:rPr>
        <w:t xml:space="preserve">PTWS Strategy 2022-2029, </w:t>
      </w:r>
      <w:r w:rsidR="00410D0F">
        <w:rPr>
          <w:rFonts w:eastAsia="Times New Roman" w:cstheme="minorHAnsi"/>
          <w:lang w:val="en-GB"/>
        </w:rPr>
        <w:t xml:space="preserve">PTWS participation in the </w:t>
      </w:r>
      <w:r w:rsidR="000D4FB9" w:rsidRPr="00292E4B">
        <w:rPr>
          <w:rFonts w:eastAsia="Times New Roman" w:cstheme="minorHAnsi"/>
          <w:lang w:val="en-GB"/>
        </w:rPr>
        <w:t>UN Ocean Decade and PacW</w:t>
      </w:r>
      <w:r w:rsidR="003A4A57">
        <w:rPr>
          <w:rFonts w:eastAsia="Times New Roman" w:cstheme="minorHAnsi"/>
          <w:lang w:val="en-GB"/>
        </w:rPr>
        <w:t>ave</w:t>
      </w:r>
      <w:r w:rsidR="000D4FB9" w:rsidRPr="00292E4B">
        <w:rPr>
          <w:rFonts w:eastAsia="Times New Roman" w:cstheme="minorHAnsi"/>
          <w:lang w:val="en-GB"/>
        </w:rPr>
        <w:t xml:space="preserve"> 2022.</w:t>
      </w:r>
    </w:p>
    <w:p w14:paraId="6EB6828D" w14:textId="0F0828DE" w:rsidR="006C6955" w:rsidRDefault="006C6955" w:rsidP="00867212">
      <w:pPr>
        <w:spacing w:after="120"/>
        <w:rPr>
          <w:rFonts w:eastAsia="Times New Roman" w:cstheme="minorHAnsi"/>
          <w:lang w:val="en-GB"/>
        </w:rPr>
      </w:pPr>
      <w:r>
        <w:rPr>
          <w:rFonts w:eastAsia="Times New Roman" w:cstheme="minorHAnsi"/>
          <w:lang w:val="en-GB"/>
        </w:rPr>
        <w:t>Dr Nishimae indicated that Japan was willing to host ICG/PTWS XXX Session due to take place in November 2022.</w:t>
      </w:r>
    </w:p>
    <w:p w14:paraId="19143FD1" w14:textId="431F7030" w:rsidR="006D0DA7" w:rsidRPr="00620936" w:rsidRDefault="006C6955" w:rsidP="00373CA7">
      <w:pPr>
        <w:spacing w:after="120"/>
        <w:rPr>
          <w:rFonts w:eastAsia="Times New Roman" w:cstheme="minorHAnsi"/>
          <w:lang w:val="en-GB"/>
        </w:rPr>
      </w:pPr>
      <w:r w:rsidRPr="00620936">
        <w:rPr>
          <w:rFonts w:eastAsia="Times New Roman" w:cstheme="minorHAnsi"/>
          <w:lang w:val="en-GB"/>
        </w:rPr>
        <w:t xml:space="preserve">Mr Aliaga reported on the technical arrangements for the </w:t>
      </w:r>
      <w:r w:rsidR="00E95F50" w:rsidRPr="00620936">
        <w:rPr>
          <w:rFonts w:eastAsia="Times New Roman" w:cstheme="minorHAnsi"/>
          <w:lang w:val="en-GB"/>
        </w:rPr>
        <w:t>ICG/PTWS XXIX Session.</w:t>
      </w:r>
    </w:p>
    <w:p w14:paraId="6671177D" w14:textId="6699D73F" w:rsidR="006F445A" w:rsidRPr="00373CA7" w:rsidRDefault="009C5B6A" w:rsidP="00373CA7">
      <w:pPr>
        <w:spacing w:after="120"/>
        <w:rPr>
          <w:rFonts w:eastAsia="Times New Roman" w:cstheme="minorHAnsi"/>
          <w:lang w:val="en-GB"/>
        </w:rPr>
      </w:pPr>
      <w:r w:rsidRPr="00373CA7">
        <w:rPr>
          <w:rFonts w:eastAsia="Times New Roman" w:cstheme="minorHAnsi"/>
          <w:b/>
          <w:bCs/>
          <w:i/>
          <w:iCs/>
          <w:lang w:val="en-GB"/>
        </w:rPr>
        <w:t>The Group</w:t>
      </w:r>
      <w:r w:rsidR="006C480E" w:rsidRPr="00373CA7">
        <w:rPr>
          <w:rFonts w:eastAsia="Times New Roman" w:cstheme="minorHAnsi"/>
          <w:b/>
          <w:bCs/>
          <w:i/>
          <w:iCs/>
          <w:lang w:val="en-GB"/>
        </w:rPr>
        <w:t xml:space="preserve"> agreed</w:t>
      </w:r>
      <w:r w:rsidR="006C480E" w:rsidRPr="00620936">
        <w:rPr>
          <w:rFonts w:eastAsia="Times New Roman" w:cstheme="minorHAnsi"/>
          <w:lang w:val="en-GB"/>
        </w:rPr>
        <w:t xml:space="preserve"> </w:t>
      </w:r>
      <w:r w:rsidR="00D5266E" w:rsidRPr="00620936">
        <w:rPr>
          <w:rFonts w:eastAsia="Times New Roman" w:cstheme="minorHAnsi"/>
          <w:lang w:val="en-GB"/>
        </w:rPr>
        <w:t xml:space="preserve">that the </w:t>
      </w:r>
      <w:r w:rsidR="009D1F8E" w:rsidRPr="009D1F8E">
        <w:rPr>
          <w:rFonts w:eastAsia="Times New Roman" w:cstheme="minorHAnsi"/>
          <w:lang w:val="en-GB"/>
        </w:rPr>
        <w:t xml:space="preserve">PTWS-XXIX </w:t>
      </w:r>
      <w:r w:rsidR="00D5266E" w:rsidRPr="00620936">
        <w:rPr>
          <w:rFonts w:eastAsia="Times New Roman" w:cstheme="minorHAnsi"/>
          <w:lang w:val="en-GB"/>
        </w:rPr>
        <w:t>meeting would take place on the IOC Zoom platform and would be supplemented by interpretation services into Spanish and maybe French</w:t>
      </w:r>
      <w:r w:rsidR="00D5266E">
        <w:rPr>
          <w:rFonts w:eastAsia="Times New Roman" w:cstheme="minorHAnsi"/>
          <w:lang w:val="en-GB"/>
        </w:rPr>
        <w:t xml:space="preserve">. </w:t>
      </w:r>
      <w:r w:rsidR="00D5266E" w:rsidRPr="00373CA7">
        <w:rPr>
          <w:rFonts w:eastAsia="Times New Roman" w:cstheme="minorHAnsi"/>
          <w:b/>
          <w:bCs/>
          <w:i/>
          <w:iCs/>
          <w:lang w:val="en-GB"/>
        </w:rPr>
        <w:t>The group also</w:t>
      </w:r>
      <w:r w:rsidR="00D5266E" w:rsidRPr="00125C30">
        <w:rPr>
          <w:rFonts w:eastAsia="Times New Roman" w:cstheme="minorHAnsi"/>
          <w:b/>
          <w:bCs/>
          <w:lang w:val="en-GB"/>
        </w:rPr>
        <w:t xml:space="preserve"> agreed</w:t>
      </w:r>
      <w:r w:rsidR="00D5266E">
        <w:rPr>
          <w:rFonts w:eastAsia="Times New Roman" w:cstheme="minorHAnsi"/>
          <w:lang w:val="en-GB"/>
        </w:rPr>
        <w:t xml:space="preserve"> </w:t>
      </w:r>
      <w:r w:rsidR="006C480E" w:rsidRPr="00620936">
        <w:rPr>
          <w:rFonts w:eastAsia="Times New Roman" w:cstheme="minorHAnsi"/>
          <w:lang w:val="en-GB"/>
        </w:rPr>
        <w:t xml:space="preserve">the dates of the ICG/PTWS XXIX Session to be </w:t>
      </w:r>
      <w:r w:rsidR="009D1F8E">
        <w:rPr>
          <w:rFonts w:eastAsia="Times New Roman" w:cstheme="minorHAnsi"/>
          <w:lang w:val="en-GB"/>
        </w:rPr>
        <w:t xml:space="preserve">in the second half of November </w:t>
      </w:r>
      <w:r w:rsidR="006C480E" w:rsidRPr="00620936">
        <w:rPr>
          <w:rFonts w:eastAsia="Times New Roman" w:cstheme="minorHAnsi"/>
          <w:lang w:val="en-GB"/>
        </w:rPr>
        <w:t>(over four days)</w:t>
      </w:r>
      <w:r w:rsidR="00823D57">
        <w:rPr>
          <w:rFonts w:eastAsia="Times New Roman" w:cstheme="minorHAnsi"/>
          <w:lang w:val="en-GB"/>
        </w:rPr>
        <w:t>.</w:t>
      </w:r>
    </w:p>
    <w:p w14:paraId="60A186E2" w14:textId="2A16644D" w:rsidR="006E0B71" w:rsidRPr="006E0B71" w:rsidRDefault="00623779" w:rsidP="00373CA7">
      <w:pPr>
        <w:pStyle w:val="Heading1"/>
        <w:spacing w:before="240"/>
        <w:rPr>
          <w:lang w:val="de-DE"/>
        </w:rPr>
      </w:pPr>
      <w:r w:rsidRPr="006E0B71">
        <w:rPr>
          <w:lang w:val="de-DE"/>
        </w:rPr>
        <w:t xml:space="preserve">PTWS- XXIX Session </w:t>
      </w:r>
      <w:r w:rsidR="009D166D" w:rsidRPr="006E0B71">
        <w:rPr>
          <w:lang w:val="de-DE"/>
        </w:rPr>
        <w:t>A</w:t>
      </w:r>
      <w:r w:rsidRPr="006E0B71">
        <w:rPr>
          <w:lang w:val="de-DE"/>
        </w:rPr>
        <w:t>genda</w:t>
      </w:r>
    </w:p>
    <w:p w14:paraId="60155D9C" w14:textId="66DBA932" w:rsidR="003255DE" w:rsidRDefault="002F09D5" w:rsidP="004212D5">
      <w:pPr>
        <w:spacing w:after="120"/>
        <w:rPr>
          <w:rFonts w:eastAsia="Times New Roman" w:cstheme="minorHAnsi"/>
          <w:lang w:val="en-GB"/>
        </w:rPr>
      </w:pPr>
      <w:r w:rsidRPr="00292E4B">
        <w:rPr>
          <w:rFonts w:eastAsia="Times New Roman" w:cstheme="minorHAnsi"/>
          <w:lang w:val="en-GB"/>
        </w:rPr>
        <w:t xml:space="preserve">Dr </w:t>
      </w:r>
      <w:r>
        <w:rPr>
          <w:rFonts w:eastAsia="Times New Roman" w:cstheme="minorHAnsi"/>
          <w:lang w:val="en-GB"/>
        </w:rPr>
        <w:t xml:space="preserve">Wilfried Strauch, </w:t>
      </w:r>
      <w:r w:rsidR="001F427D">
        <w:rPr>
          <w:rFonts w:eastAsia="Times New Roman" w:cstheme="minorHAnsi"/>
          <w:lang w:val="en-GB"/>
        </w:rPr>
        <w:t xml:space="preserve">Chair of </w:t>
      </w:r>
      <w:r w:rsidR="00373CA7">
        <w:rPr>
          <w:rFonts w:eastAsia="Times New Roman" w:cstheme="minorHAnsi"/>
          <w:lang w:val="en-GB"/>
        </w:rPr>
        <w:t>ICG/PTWS</w:t>
      </w:r>
      <w:r>
        <w:rPr>
          <w:rFonts w:eastAsia="Times New Roman" w:cstheme="minorHAnsi"/>
          <w:lang w:val="en-GB"/>
        </w:rPr>
        <w:t>,</w:t>
      </w:r>
      <w:r w:rsidRPr="00292E4B">
        <w:rPr>
          <w:rFonts w:eastAsia="Times New Roman" w:cstheme="minorHAnsi"/>
          <w:lang w:val="en-GB"/>
        </w:rPr>
        <w:t xml:space="preserve"> </w:t>
      </w:r>
      <w:r>
        <w:rPr>
          <w:rFonts w:eastAsia="Times New Roman" w:cstheme="minorHAnsi"/>
          <w:lang w:val="en-GB"/>
        </w:rPr>
        <w:t>reported on this item</w:t>
      </w:r>
      <w:r w:rsidR="00797B17">
        <w:rPr>
          <w:rFonts w:eastAsia="Times New Roman" w:cstheme="minorHAnsi"/>
          <w:lang w:val="en-GB"/>
        </w:rPr>
        <w:t xml:space="preserve"> and Mr Aliaga, Technical Secretary sh</w:t>
      </w:r>
      <w:r w:rsidR="007C62D4">
        <w:rPr>
          <w:rFonts w:eastAsia="Times New Roman" w:cstheme="minorHAnsi"/>
          <w:lang w:val="en-GB"/>
        </w:rPr>
        <w:t>ared the draft agenda on-screen.</w:t>
      </w:r>
      <w:r w:rsidR="007C7DFB">
        <w:rPr>
          <w:rFonts w:eastAsia="Times New Roman" w:cstheme="minorHAnsi"/>
          <w:lang w:val="en-GB"/>
        </w:rPr>
        <w:t xml:space="preserve"> This was elaborated based on proposals made at </w:t>
      </w:r>
      <w:r w:rsidR="009E46AF">
        <w:rPr>
          <w:rFonts w:eastAsia="Times New Roman" w:cstheme="minorHAnsi"/>
          <w:lang w:val="en-GB"/>
        </w:rPr>
        <w:t>Steering Committee meeting in June 2020.</w:t>
      </w:r>
      <w:r w:rsidR="00AC2C69">
        <w:rPr>
          <w:rFonts w:eastAsia="Times New Roman" w:cstheme="minorHAnsi"/>
          <w:lang w:val="en-GB"/>
        </w:rPr>
        <w:t xml:space="preserve"> </w:t>
      </w:r>
      <w:r w:rsidR="009E46AF">
        <w:rPr>
          <w:rFonts w:eastAsia="Times New Roman" w:cstheme="minorHAnsi"/>
          <w:lang w:val="en-GB"/>
        </w:rPr>
        <w:t>Dr Strauch suggested shortening the agenda</w:t>
      </w:r>
      <w:r w:rsidR="009F69E2">
        <w:rPr>
          <w:rFonts w:eastAsia="Times New Roman" w:cstheme="minorHAnsi"/>
          <w:lang w:val="en-GB"/>
        </w:rPr>
        <w:t xml:space="preserve"> and that </w:t>
      </w:r>
      <w:r w:rsidR="00AC2C69">
        <w:rPr>
          <w:rFonts w:eastAsia="Times New Roman" w:cstheme="minorHAnsi"/>
          <w:lang w:val="en-GB"/>
        </w:rPr>
        <w:t>the duration of the meeting be 2 hours per day.</w:t>
      </w:r>
    </w:p>
    <w:p w14:paraId="6840497C" w14:textId="3274572B" w:rsidR="009F69E2" w:rsidRDefault="003255DE" w:rsidP="004212D5">
      <w:pPr>
        <w:spacing w:after="120"/>
        <w:rPr>
          <w:rFonts w:eastAsia="Times New Roman" w:cstheme="minorHAnsi"/>
          <w:lang w:val="en-GB"/>
        </w:rPr>
      </w:pPr>
      <w:r w:rsidRPr="00373CA7">
        <w:rPr>
          <w:rFonts w:eastAsia="Times New Roman" w:cstheme="minorHAnsi"/>
          <w:b/>
          <w:bCs/>
          <w:i/>
          <w:iCs/>
          <w:lang w:val="en-GB"/>
        </w:rPr>
        <w:lastRenderedPageBreak/>
        <w:t xml:space="preserve">The Group </w:t>
      </w:r>
      <w:r w:rsidR="00884520" w:rsidRPr="00373CA7">
        <w:rPr>
          <w:rFonts w:eastAsia="Times New Roman" w:cstheme="minorHAnsi"/>
          <w:b/>
          <w:bCs/>
          <w:i/>
          <w:iCs/>
          <w:lang w:val="en-GB"/>
        </w:rPr>
        <w:t>agreed</w:t>
      </w:r>
      <w:r w:rsidR="00884520">
        <w:rPr>
          <w:rFonts w:eastAsia="Times New Roman" w:cstheme="minorHAnsi"/>
          <w:lang w:val="en-GB"/>
        </w:rPr>
        <w:t xml:space="preserve"> that</w:t>
      </w:r>
      <w:r w:rsidR="00AC2C69">
        <w:rPr>
          <w:rFonts w:eastAsia="Times New Roman" w:cstheme="minorHAnsi"/>
          <w:lang w:val="en-GB"/>
        </w:rPr>
        <w:t xml:space="preserve"> </w:t>
      </w:r>
      <w:r w:rsidR="00884520">
        <w:rPr>
          <w:rFonts w:eastAsia="Times New Roman" w:cstheme="minorHAnsi"/>
          <w:lang w:val="en-GB"/>
        </w:rPr>
        <w:t>that several agenda items can and should</w:t>
      </w:r>
      <w:r w:rsidR="00AC2C69">
        <w:rPr>
          <w:rFonts w:eastAsia="Times New Roman" w:cstheme="minorHAnsi"/>
          <w:lang w:val="en-GB"/>
        </w:rPr>
        <w:t xml:space="preserve"> be discussed </w:t>
      </w:r>
      <w:r w:rsidR="009676E2">
        <w:rPr>
          <w:rFonts w:eastAsia="Times New Roman" w:cstheme="minorHAnsi"/>
          <w:lang w:val="en-GB"/>
        </w:rPr>
        <w:t xml:space="preserve">prior to ICG/PTWS XXIX; these items would therefore only </w:t>
      </w:r>
      <w:r w:rsidR="00884520">
        <w:rPr>
          <w:rFonts w:eastAsia="Times New Roman" w:cstheme="minorHAnsi"/>
          <w:lang w:val="en-GB"/>
        </w:rPr>
        <w:t>require</w:t>
      </w:r>
      <w:r w:rsidR="009676E2">
        <w:rPr>
          <w:rFonts w:eastAsia="Times New Roman" w:cstheme="minorHAnsi"/>
          <w:lang w:val="en-GB"/>
        </w:rPr>
        <w:t xml:space="preserve"> endorsement at the ICG/PTWS XXIX meeting as opposed to discussion.</w:t>
      </w:r>
      <w:r w:rsidR="00884520">
        <w:rPr>
          <w:rFonts w:eastAsia="Times New Roman" w:cstheme="minorHAnsi"/>
          <w:lang w:val="en-GB"/>
        </w:rPr>
        <w:t xml:space="preserve"> </w:t>
      </w:r>
      <w:r w:rsidR="006600E9">
        <w:rPr>
          <w:rFonts w:eastAsia="Times New Roman" w:cstheme="minorHAnsi"/>
          <w:lang w:val="en-GB"/>
        </w:rPr>
        <w:t>Dr Strauch suggested exploring via virtual communication methods (such as emails)</w:t>
      </w:r>
      <w:r w:rsidR="009F69E2">
        <w:rPr>
          <w:rFonts w:eastAsia="Times New Roman" w:cstheme="minorHAnsi"/>
          <w:lang w:val="en-GB"/>
        </w:rPr>
        <w:t xml:space="preserve"> on Member States’ views on certain agenda items prior to the meeting.</w:t>
      </w:r>
    </w:p>
    <w:p w14:paraId="1E8E10C1" w14:textId="36E36EB8" w:rsidR="004212D5" w:rsidRDefault="009F69E2" w:rsidP="004212D5">
      <w:pPr>
        <w:spacing w:after="120"/>
        <w:rPr>
          <w:rFonts w:eastAsia="Times New Roman" w:cstheme="minorHAnsi"/>
          <w:lang w:val="en-GB"/>
        </w:rPr>
      </w:pPr>
      <w:r w:rsidRPr="00373CA7">
        <w:rPr>
          <w:rFonts w:eastAsia="Times New Roman" w:cstheme="minorHAnsi"/>
          <w:b/>
          <w:bCs/>
          <w:i/>
          <w:iCs/>
          <w:lang w:val="en-GB"/>
        </w:rPr>
        <w:t>The Group also agreed</w:t>
      </w:r>
      <w:r>
        <w:rPr>
          <w:rFonts w:eastAsia="Times New Roman" w:cstheme="minorHAnsi"/>
          <w:lang w:val="en-GB"/>
        </w:rPr>
        <w:t xml:space="preserve"> to omit national reports from the agenda</w:t>
      </w:r>
      <w:r w:rsidR="00190CD6">
        <w:rPr>
          <w:rFonts w:eastAsia="Times New Roman" w:cstheme="minorHAnsi"/>
          <w:lang w:val="en-GB"/>
        </w:rPr>
        <w:t>. Nonetheless, Member States will still be requested to provide a national report.</w:t>
      </w:r>
    </w:p>
    <w:p w14:paraId="7BEE83E7" w14:textId="19B8CFAD" w:rsidR="009A0057" w:rsidRDefault="00190CD6" w:rsidP="004212D5">
      <w:pPr>
        <w:spacing w:after="120"/>
        <w:rPr>
          <w:rFonts w:eastAsia="Times New Roman" w:cstheme="minorHAnsi"/>
          <w:lang w:val="en-GB"/>
        </w:rPr>
      </w:pPr>
      <w:r w:rsidRPr="004212D5">
        <w:rPr>
          <w:rFonts w:eastAsia="Times New Roman" w:cstheme="minorHAnsi"/>
          <w:i/>
          <w:iCs/>
          <w:lang w:val="en-GB"/>
        </w:rPr>
        <w:t>Mr Aliaga highlighted</w:t>
      </w:r>
      <w:r>
        <w:rPr>
          <w:rFonts w:eastAsia="Times New Roman" w:cstheme="minorHAnsi"/>
          <w:lang w:val="en-GB"/>
        </w:rPr>
        <w:t xml:space="preserve"> </w:t>
      </w:r>
      <w:r w:rsidR="003D2B80">
        <w:rPr>
          <w:rFonts w:eastAsia="Times New Roman" w:cstheme="minorHAnsi"/>
          <w:lang w:val="en-GB"/>
        </w:rPr>
        <w:t xml:space="preserve">lessons learned from the planning of this Steering Committee meeting (September 2021), including the benefits of separating </w:t>
      </w:r>
      <w:r w:rsidR="007918D3">
        <w:rPr>
          <w:rFonts w:eastAsia="Times New Roman" w:cstheme="minorHAnsi"/>
          <w:lang w:val="en-GB"/>
        </w:rPr>
        <w:t>the important agenda items into different days. He suggested working on the agenda in parallel with the timetable to achieve this same distribution.</w:t>
      </w:r>
    </w:p>
    <w:p w14:paraId="7D19A78A" w14:textId="28983402" w:rsidR="0057232B" w:rsidRPr="004212D5" w:rsidRDefault="009A0057" w:rsidP="004212D5">
      <w:pPr>
        <w:spacing w:after="120"/>
        <w:rPr>
          <w:rFonts w:eastAsia="Times New Roman" w:cstheme="minorHAnsi"/>
          <w:lang w:val="en-GB"/>
        </w:rPr>
      </w:pPr>
      <w:r w:rsidRPr="004212D5">
        <w:rPr>
          <w:rFonts w:eastAsia="Times New Roman" w:cstheme="minorHAnsi"/>
          <w:b/>
          <w:bCs/>
          <w:i/>
          <w:iCs/>
          <w:lang w:val="en-GB"/>
        </w:rPr>
        <w:t>The Group agreed</w:t>
      </w:r>
      <w:r>
        <w:rPr>
          <w:rFonts w:eastAsia="Times New Roman" w:cstheme="minorHAnsi"/>
          <w:lang w:val="en-GB"/>
        </w:rPr>
        <w:t xml:space="preserve"> to share the burden of </w:t>
      </w:r>
      <w:r w:rsidR="005C1E16">
        <w:rPr>
          <w:rFonts w:eastAsia="Times New Roman" w:cstheme="minorHAnsi"/>
          <w:lang w:val="en-GB"/>
        </w:rPr>
        <w:t>time zones</w:t>
      </w:r>
      <w:r>
        <w:rPr>
          <w:rFonts w:eastAsia="Times New Roman" w:cstheme="minorHAnsi"/>
          <w:lang w:val="en-GB"/>
        </w:rPr>
        <w:t xml:space="preserve">; thus, </w:t>
      </w:r>
      <w:r w:rsidR="009D1F8E">
        <w:rPr>
          <w:rFonts w:eastAsia="Times New Roman" w:cstheme="minorHAnsi"/>
          <w:lang w:val="en-GB"/>
        </w:rPr>
        <w:t xml:space="preserve">if possible </w:t>
      </w:r>
      <w:r>
        <w:rPr>
          <w:rFonts w:eastAsia="Times New Roman" w:cstheme="minorHAnsi"/>
          <w:lang w:val="en-GB"/>
        </w:rPr>
        <w:t xml:space="preserve">two days of the meeting will take place </w:t>
      </w:r>
      <w:r w:rsidR="00A65C91">
        <w:rPr>
          <w:rFonts w:eastAsia="Times New Roman" w:cstheme="minorHAnsi"/>
          <w:lang w:val="en-GB"/>
        </w:rPr>
        <w:t>during the night-time for Paris and two days will take place during the daytime for Paris.</w:t>
      </w:r>
    </w:p>
    <w:p w14:paraId="77660483" w14:textId="55D9557E" w:rsidR="00A65C91" w:rsidRPr="004212D5" w:rsidRDefault="00A65C91" w:rsidP="004212D5">
      <w:pPr>
        <w:spacing w:before="200" w:after="120"/>
        <w:rPr>
          <w:rFonts w:eastAsia="Times New Roman" w:cstheme="minorHAnsi"/>
          <w:b/>
          <w:bCs/>
          <w:color w:val="2F5496" w:themeColor="accent1" w:themeShade="BF"/>
        </w:rPr>
      </w:pPr>
      <w:r w:rsidRPr="004212D5">
        <w:rPr>
          <w:rFonts w:eastAsia="Times New Roman" w:cstheme="minorHAnsi"/>
          <w:b/>
          <w:bCs/>
          <w:color w:val="2F5496" w:themeColor="accent1" w:themeShade="BF"/>
        </w:rPr>
        <w:t>Actions:</w:t>
      </w:r>
    </w:p>
    <w:p w14:paraId="05B75AB8" w14:textId="102F5623" w:rsidR="00E32A7D" w:rsidRPr="004212D5" w:rsidRDefault="00A65C91" w:rsidP="004212D5">
      <w:pPr>
        <w:pStyle w:val="ListParagraph"/>
        <w:numPr>
          <w:ilvl w:val="0"/>
          <w:numId w:val="2"/>
        </w:numPr>
        <w:spacing w:after="120"/>
        <w:rPr>
          <w:rFonts w:eastAsia="Times New Roman" w:cstheme="minorHAnsi"/>
          <w:color w:val="2F5496" w:themeColor="accent1" w:themeShade="BF"/>
        </w:rPr>
      </w:pPr>
      <w:r w:rsidRPr="004212D5">
        <w:rPr>
          <w:rFonts w:eastAsia="Times New Roman" w:cstheme="minorHAnsi"/>
          <w:color w:val="2F5496" w:themeColor="accent1" w:themeShade="BF"/>
        </w:rPr>
        <w:t>Mr St</w:t>
      </w:r>
      <w:r w:rsidR="00123A7C" w:rsidRPr="004212D5">
        <w:rPr>
          <w:rFonts w:eastAsia="Times New Roman" w:cstheme="minorHAnsi"/>
          <w:color w:val="2F5496" w:themeColor="accent1" w:themeShade="BF"/>
        </w:rPr>
        <w:t>r</w:t>
      </w:r>
      <w:r w:rsidRPr="004212D5">
        <w:rPr>
          <w:rFonts w:eastAsia="Times New Roman" w:cstheme="minorHAnsi"/>
          <w:color w:val="2F5496" w:themeColor="accent1" w:themeShade="BF"/>
        </w:rPr>
        <w:t>auch and the Secretariat will elaborate the agenda and timetable for the meeting according to agreed criteria.</w:t>
      </w:r>
    </w:p>
    <w:p w14:paraId="7FE3CB5E" w14:textId="0B7A8EB1" w:rsidR="006E0B71" w:rsidRPr="006E0B71" w:rsidRDefault="009D166D" w:rsidP="00D153C8">
      <w:pPr>
        <w:pStyle w:val="Heading1"/>
        <w:spacing w:before="240"/>
        <w:rPr>
          <w:rFonts w:eastAsia="Times New Roman"/>
        </w:rPr>
      </w:pPr>
      <w:r w:rsidRPr="006E0B71">
        <w:rPr>
          <w:snapToGrid w:val="0"/>
        </w:rPr>
        <w:t>PTWS-XXX Session Arrangements (Nov. 2022)</w:t>
      </w:r>
    </w:p>
    <w:p w14:paraId="5536B9F8" w14:textId="0C0D4E18" w:rsidR="008B7D4A" w:rsidRDefault="001D1615" w:rsidP="00D153C8">
      <w:pPr>
        <w:spacing w:after="120"/>
        <w:rPr>
          <w:rFonts w:eastAsia="Times New Roman" w:cstheme="minorHAnsi"/>
        </w:rPr>
      </w:pPr>
      <w:r>
        <w:rPr>
          <w:rFonts w:eastAsia="Times New Roman" w:cstheme="minorHAnsi"/>
        </w:rPr>
        <w:t xml:space="preserve">Mr Aliaga confirmed Japan’s willingness to host the </w:t>
      </w:r>
      <w:r w:rsidR="00D151DA">
        <w:rPr>
          <w:rFonts w:eastAsia="Times New Roman" w:cstheme="minorHAnsi"/>
        </w:rPr>
        <w:t>ICG/</w:t>
      </w:r>
      <w:r>
        <w:rPr>
          <w:rFonts w:eastAsia="Times New Roman" w:cstheme="minorHAnsi"/>
        </w:rPr>
        <w:t>PTWS XXX</w:t>
      </w:r>
      <w:r w:rsidR="00D151DA">
        <w:rPr>
          <w:rFonts w:eastAsia="Times New Roman" w:cstheme="minorHAnsi"/>
        </w:rPr>
        <w:t xml:space="preserve"> Meeting and noted that the Secretariat would provide organizational and logistical support.</w:t>
      </w:r>
    </w:p>
    <w:p w14:paraId="2C2E58A5" w14:textId="5630AFA9" w:rsidR="00714E5C" w:rsidRDefault="008B7D4A" w:rsidP="00D153C8">
      <w:pPr>
        <w:spacing w:after="120"/>
        <w:rPr>
          <w:rFonts w:eastAsia="Times New Roman" w:cstheme="minorHAnsi"/>
        </w:rPr>
      </w:pPr>
      <w:r>
        <w:rPr>
          <w:rFonts w:eastAsia="Times New Roman" w:cstheme="minorHAnsi"/>
        </w:rPr>
        <w:t xml:space="preserve">Mr Nishimae stated that there were not proposed specific dates and times in November 2022. </w:t>
      </w:r>
      <w:r w:rsidR="00714E5C">
        <w:rPr>
          <w:rFonts w:eastAsia="Times New Roman" w:cstheme="minorHAnsi"/>
        </w:rPr>
        <w:t>He noted that approval was required from ICG/PTWS</w:t>
      </w:r>
      <w:r w:rsidR="00123A7C">
        <w:rPr>
          <w:rFonts w:eastAsia="Times New Roman" w:cstheme="minorHAnsi"/>
        </w:rPr>
        <w:t xml:space="preserve"> for deciding this.</w:t>
      </w:r>
    </w:p>
    <w:p w14:paraId="029D4ADF" w14:textId="77777777" w:rsidR="00714E5C" w:rsidRPr="00D153C8" w:rsidRDefault="00714E5C" w:rsidP="00D153C8">
      <w:pPr>
        <w:spacing w:before="200" w:after="120"/>
        <w:rPr>
          <w:rFonts w:eastAsia="Times New Roman" w:cstheme="minorHAnsi"/>
          <w:b/>
          <w:bCs/>
          <w:color w:val="2F5496" w:themeColor="accent1" w:themeShade="BF"/>
        </w:rPr>
      </w:pPr>
      <w:r w:rsidRPr="00D153C8">
        <w:rPr>
          <w:rFonts w:eastAsia="Times New Roman" w:cstheme="minorHAnsi"/>
          <w:b/>
          <w:bCs/>
          <w:color w:val="2F5496" w:themeColor="accent1" w:themeShade="BF"/>
        </w:rPr>
        <w:t>Action:</w:t>
      </w:r>
    </w:p>
    <w:p w14:paraId="2FE18E5C" w14:textId="0362EBE1" w:rsidR="00ED1223" w:rsidRPr="00D153C8" w:rsidRDefault="00714E5C" w:rsidP="00D153C8">
      <w:pPr>
        <w:pStyle w:val="ListParagraph"/>
        <w:numPr>
          <w:ilvl w:val="0"/>
          <w:numId w:val="2"/>
        </w:numPr>
        <w:spacing w:after="120"/>
        <w:rPr>
          <w:rFonts w:eastAsia="Times New Roman" w:cstheme="minorHAnsi"/>
          <w:color w:val="2F5496" w:themeColor="accent1" w:themeShade="BF"/>
        </w:rPr>
      </w:pPr>
      <w:r w:rsidRPr="00D153C8">
        <w:rPr>
          <w:rFonts w:eastAsia="Times New Roman" w:cstheme="minorHAnsi"/>
          <w:color w:val="2F5496" w:themeColor="accent1" w:themeShade="BF"/>
        </w:rPr>
        <w:t xml:space="preserve">An agenda item on the date and time of ICG/PTWS XXX </w:t>
      </w:r>
      <w:r w:rsidR="00123A7C" w:rsidRPr="00D153C8">
        <w:rPr>
          <w:rFonts w:eastAsia="Times New Roman" w:cstheme="minorHAnsi"/>
          <w:color w:val="2F5496" w:themeColor="accent1" w:themeShade="BF"/>
        </w:rPr>
        <w:t>will</w:t>
      </w:r>
      <w:r w:rsidRPr="00D153C8">
        <w:rPr>
          <w:rFonts w:eastAsia="Times New Roman" w:cstheme="minorHAnsi"/>
          <w:color w:val="2F5496" w:themeColor="accent1" w:themeShade="BF"/>
        </w:rPr>
        <w:t xml:space="preserve"> be added to the agenda of ICG/PTWS XXIX.</w:t>
      </w:r>
    </w:p>
    <w:p w14:paraId="10DA6182" w14:textId="22FDBD0F" w:rsidR="000E76CD" w:rsidRPr="006E0B71" w:rsidRDefault="006E0B71" w:rsidP="00D153C8">
      <w:pPr>
        <w:pStyle w:val="Heading1"/>
        <w:spacing w:before="240"/>
      </w:pPr>
      <w:r>
        <w:t xml:space="preserve">Any </w:t>
      </w:r>
      <w:r w:rsidR="006F5640" w:rsidRPr="006E0B71">
        <w:t>Other</w:t>
      </w:r>
      <w:r w:rsidR="00255BEC">
        <w:t>,</w:t>
      </w:r>
      <w:r w:rsidR="006F5640" w:rsidRPr="006E0B71">
        <w:t xml:space="preserve"> New Business</w:t>
      </w:r>
    </w:p>
    <w:p w14:paraId="04CE1BE0" w14:textId="25D71E6F" w:rsidR="0041364F" w:rsidRDefault="00200234" w:rsidP="006F20F1">
      <w:pPr>
        <w:spacing w:after="120"/>
        <w:rPr>
          <w:rFonts w:eastAsia="Times New Roman" w:cstheme="minorHAnsi"/>
          <w:bCs/>
        </w:rPr>
      </w:pPr>
      <w:r>
        <w:rPr>
          <w:rFonts w:eastAsia="Times New Roman" w:cstheme="minorHAnsi"/>
          <w:bCs/>
        </w:rPr>
        <w:t xml:space="preserve">Dr Kong requested and </w:t>
      </w:r>
      <w:r w:rsidRPr="00D153C8">
        <w:rPr>
          <w:rFonts w:eastAsia="Times New Roman" w:cstheme="minorHAnsi"/>
          <w:b/>
          <w:i/>
          <w:iCs/>
        </w:rPr>
        <w:t>the Group agreed</w:t>
      </w:r>
      <w:r>
        <w:rPr>
          <w:rFonts w:eastAsia="Times New Roman" w:cstheme="minorHAnsi"/>
          <w:bCs/>
        </w:rPr>
        <w:t xml:space="preserve"> that the evaluation period for PacWave 2022 communications test results be shortened from 21 days to 10 days.</w:t>
      </w:r>
    </w:p>
    <w:p w14:paraId="6C581511" w14:textId="246902A2" w:rsidR="0041364F" w:rsidRDefault="0041364F" w:rsidP="00D153C8">
      <w:pPr>
        <w:spacing w:after="120"/>
        <w:rPr>
          <w:rFonts w:eastAsia="Times New Roman" w:cstheme="minorHAnsi"/>
          <w:bCs/>
        </w:rPr>
      </w:pPr>
      <w:r>
        <w:rPr>
          <w:rFonts w:eastAsia="Times New Roman" w:cstheme="minorHAnsi"/>
          <w:bCs/>
        </w:rPr>
        <w:t xml:space="preserve">Mr Aliaga </w:t>
      </w:r>
      <w:r w:rsidR="00976BAD">
        <w:rPr>
          <w:rFonts w:eastAsia="Times New Roman" w:cstheme="minorHAnsi"/>
          <w:bCs/>
        </w:rPr>
        <w:t>thanked the members of the Steering Committee for their active part</w:t>
      </w:r>
      <w:r w:rsidR="005B2618">
        <w:rPr>
          <w:rFonts w:eastAsia="Times New Roman" w:cstheme="minorHAnsi"/>
          <w:bCs/>
        </w:rPr>
        <w:t>icipation and engagement throughout the three days of the Steering Committee Meeting (September 2021).</w:t>
      </w:r>
      <w:r w:rsidR="00976BAD">
        <w:rPr>
          <w:rFonts w:eastAsia="Times New Roman" w:cstheme="minorHAnsi"/>
          <w:bCs/>
        </w:rPr>
        <w:t xml:space="preserve"> </w:t>
      </w:r>
    </w:p>
    <w:p w14:paraId="6B96C8A1" w14:textId="129BC925" w:rsidR="00D20E34" w:rsidRDefault="00D20E34" w:rsidP="00D153C8">
      <w:pPr>
        <w:spacing w:after="120"/>
        <w:rPr>
          <w:rFonts w:eastAsia="Times New Roman" w:cstheme="minorHAnsi"/>
          <w:bCs/>
        </w:rPr>
      </w:pPr>
    </w:p>
    <w:p w14:paraId="422F6ACA" w14:textId="38E31F31" w:rsidR="00F61E53" w:rsidRDefault="00D20E34" w:rsidP="006F20F1">
      <w:pPr>
        <w:spacing w:after="120"/>
        <w:jc w:val="right"/>
        <w:rPr>
          <w:rFonts w:eastAsia="Times New Roman" w:cstheme="minorHAnsi"/>
          <w:bCs/>
          <w:i/>
          <w:iCs/>
        </w:rPr>
      </w:pPr>
      <w:r w:rsidRPr="006F20F1">
        <w:rPr>
          <w:rFonts w:eastAsia="Times New Roman" w:cstheme="minorHAnsi"/>
          <w:bCs/>
          <w:i/>
          <w:iCs/>
        </w:rPr>
        <w:t>The meeting closed at</w:t>
      </w:r>
      <w:r w:rsidR="006F20F1" w:rsidRPr="006F20F1">
        <w:rPr>
          <w:rFonts w:eastAsia="Times New Roman" w:cstheme="minorHAnsi"/>
          <w:bCs/>
          <w:i/>
          <w:iCs/>
        </w:rPr>
        <w:t xml:space="preserve"> 11pm (UTC) on 23 September 2021.</w:t>
      </w:r>
    </w:p>
    <w:p w14:paraId="7C307E01" w14:textId="6B5ED915" w:rsidR="00CD531E" w:rsidRPr="00CD531E" w:rsidRDefault="00CD531E" w:rsidP="006F20F1">
      <w:pPr>
        <w:spacing w:after="120"/>
        <w:jc w:val="right"/>
        <w:rPr>
          <w:rFonts w:eastAsia="Times New Roman" w:cstheme="minorHAnsi"/>
          <w:bCs/>
        </w:rPr>
      </w:pPr>
    </w:p>
    <w:p w14:paraId="64D83D75" w14:textId="77777777" w:rsidR="00CD531E" w:rsidRDefault="00CD531E" w:rsidP="006F20F1">
      <w:pPr>
        <w:spacing w:after="120"/>
        <w:jc w:val="right"/>
        <w:rPr>
          <w:rFonts w:eastAsia="Times New Roman" w:cstheme="minorHAnsi"/>
          <w:bCs/>
        </w:rPr>
        <w:sectPr w:rsidR="00CD531E" w:rsidSect="006772D9">
          <w:pgSz w:w="11900" w:h="16840" w:code="9"/>
          <w:pgMar w:top="1440" w:right="1440" w:bottom="1440" w:left="1440" w:header="720" w:footer="720" w:gutter="0"/>
          <w:cols w:space="720"/>
          <w:docGrid w:linePitch="360"/>
        </w:sectPr>
      </w:pPr>
    </w:p>
    <w:p w14:paraId="30BAEA0C" w14:textId="64A6B2B2" w:rsidR="00CD531E" w:rsidRPr="00CD531E" w:rsidRDefault="00CD531E" w:rsidP="00CD531E">
      <w:pPr>
        <w:spacing w:after="120"/>
        <w:jc w:val="center"/>
        <w:rPr>
          <w:rFonts w:eastAsia="Times New Roman" w:cstheme="minorHAnsi"/>
          <w:b/>
          <w:u w:val="single"/>
        </w:rPr>
      </w:pPr>
      <w:r w:rsidRPr="00CD531E">
        <w:rPr>
          <w:rFonts w:eastAsia="Times New Roman" w:cstheme="minorHAnsi"/>
          <w:b/>
          <w:u w:val="single"/>
        </w:rPr>
        <w:lastRenderedPageBreak/>
        <w:t>LIST OF PARTICIPANTS</w:t>
      </w:r>
    </w:p>
    <w:p w14:paraId="6A224601" w14:textId="77777777" w:rsidR="00CD531E" w:rsidRDefault="00CD531E" w:rsidP="00CD531E">
      <w:pPr>
        <w:spacing w:after="120"/>
        <w:rPr>
          <w:rFonts w:eastAsia="Times New Roman" w:cstheme="minorHAnsi"/>
          <w:bCs/>
        </w:rPr>
      </w:pPr>
    </w:p>
    <w:p w14:paraId="3EAB95C8" w14:textId="77777777" w:rsidR="00CD531E" w:rsidRDefault="00CD531E" w:rsidP="00CD531E">
      <w:pPr>
        <w:spacing w:after="120"/>
        <w:rPr>
          <w:rFonts w:eastAsia="Times New Roman" w:cstheme="minorHAnsi"/>
          <w:bCs/>
        </w:rPr>
        <w:sectPr w:rsidR="00CD531E" w:rsidSect="006772D9">
          <w:pgSz w:w="11900" w:h="16840" w:code="9"/>
          <w:pgMar w:top="1440" w:right="1440" w:bottom="1440" w:left="1440" w:header="720" w:footer="720" w:gutter="0"/>
          <w:cols w:space="720"/>
          <w:docGrid w:linePitch="360"/>
        </w:sectPr>
      </w:pPr>
    </w:p>
    <w:p w14:paraId="1EA55DEB" w14:textId="013C7BDD" w:rsidR="005E3C09" w:rsidRPr="005E3C09" w:rsidRDefault="005E3C09" w:rsidP="005E3C09">
      <w:pPr>
        <w:spacing w:after="120"/>
        <w:rPr>
          <w:rFonts w:eastAsia="Times New Roman" w:cstheme="minorHAnsi"/>
          <w:b/>
        </w:rPr>
      </w:pPr>
      <w:r w:rsidRPr="005E3C09">
        <w:rPr>
          <w:rFonts w:eastAsia="Times New Roman" w:cstheme="minorHAnsi"/>
          <w:b/>
        </w:rPr>
        <w:t xml:space="preserve">Members of the Pacific Tsunami Warning and Mitigation </w:t>
      </w:r>
      <w:r>
        <w:rPr>
          <w:rFonts w:eastAsia="Times New Roman" w:cstheme="minorHAnsi"/>
          <w:b/>
        </w:rPr>
        <w:t>S</w:t>
      </w:r>
      <w:r w:rsidRPr="005E3C09">
        <w:rPr>
          <w:rFonts w:eastAsia="Times New Roman" w:cstheme="minorHAnsi"/>
          <w:b/>
        </w:rPr>
        <w:t>ystem Steering Committee</w:t>
      </w:r>
      <w:r>
        <w:rPr>
          <w:rFonts w:eastAsia="Times New Roman" w:cstheme="minorHAnsi"/>
          <w:b/>
        </w:rPr>
        <w:t xml:space="preserve"> (PTWS SC)</w:t>
      </w:r>
    </w:p>
    <w:p w14:paraId="23150362" w14:textId="77777777" w:rsidR="005E3C09" w:rsidRDefault="005E3C09" w:rsidP="005E3C09">
      <w:pPr>
        <w:spacing w:after="120"/>
        <w:rPr>
          <w:rFonts w:eastAsia="Times New Roman" w:cstheme="minorHAnsi"/>
          <w:bCs/>
        </w:rPr>
      </w:pPr>
    </w:p>
    <w:p w14:paraId="21E615EF" w14:textId="2D4B7D10" w:rsidR="005E3C09" w:rsidRPr="005E3C09" w:rsidRDefault="00CD531E" w:rsidP="005E3C09">
      <w:pPr>
        <w:spacing w:after="120"/>
        <w:rPr>
          <w:rFonts w:eastAsia="Times New Roman" w:cstheme="minorHAnsi"/>
          <w:bCs/>
          <w:lang w:val="en-GB"/>
        </w:rPr>
      </w:pPr>
      <w:r w:rsidRPr="00CD531E">
        <w:rPr>
          <w:rFonts w:eastAsia="Times New Roman" w:cstheme="minorHAnsi"/>
          <w:bCs/>
        </w:rPr>
        <w:t>Mr. Michael ANGOVE</w:t>
      </w:r>
      <w:r w:rsidRPr="00CD531E">
        <w:rPr>
          <w:rFonts w:eastAsia="Times New Roman" w:cstheme="minorHAnsi"/>
          <w:bCs/>
        </w:rPr>
        <w:br/>
        <w:t>Director, NOAA Tsunami Program</w:t>
      </w:r>
      <w:r w:rsidRPr="00CD531E">
        <w:rPr>
          <w:rFonts w:eastAsia="Times New Roman" w:cstheme="minorHAnsi"/>
          <w:bCs/>
        </w:rPr>
        <w:br/>
        <w:t>National Weather Service/National Oceanic Atmospheric Administration</w:t>
      </w:r>
      <w:r w:rsidR="005E3C09">
        <w:rPr>
          <w:rFonts w:eastAsia="Times New Roman" w:cstheme="minorHAnsi"/>
          <w:bCs/>
        </w:rPr>
        <w:br/>
      </w:r>
      <w:r w:rsidRPr="00CD531E">
        <w:rPr>
          <w:rFonts w:eastAsia="Times New Roman" w:cstheme="minorHAnsi"/>
          <w:bCs/>
        </w:rPr>
        <w:t>1325 East-West Highway</w:t>
      </w:r>
      <w:r w:rsidRPr="00CD531E">
        <w:rPr>
          <w:rFonts w:eastAsia="Times New Roman" w:cstheme="minorHAnsi"/>
          <w:bCs/>
        </w:rPr>
        <w:br/>
        <w:t>Silver Spring , MD 20910</w:t>
      </w:r>
      <w:r w:rsidRPr="00CD531E">
        <w:rPr>
          <w:rFonts w:eastAsia="Times New Roman" w:cstheme="minorHAnsi"/>
          <w:bCs/>
        </w:rPr>
        <w:br/>
        <w:t>United States</w:t>
      </w:r>
      <w:r w:rsidR="005E3C09">
        <w:rPr>
          <w:rFonts w:eastAsia="Times New Roman" w:cstheme="minorHAnsi"/>
          <w:bCs/>
        </w:rPr>
        <w:br/>
      </w:r>
      <w:r w:rsidRPr="00CD531E">
        <w:rPr>
          <w:rFonts w:eastAsia="Times New Roman" w:cstheme="minorHAnsi"/>
          <w:bCs/>
        </w:rPr>
        <w:t>Tel: 301-427-9375</w:t>
      </w:r>
      <w:r w:rsidRPr="00CD531E">
        <w:rPr>
          <w:rFonts w:eastAsia="Times New Roman" w:cstheme="minorHAnsi"/>
          <w:bCs/>
        </w:rPr>
        <w:br/>
        <w:t>Email: michael.angove@noaa.gov</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Mr. Diego ARCAS</w:t>
      </w:r>
      <w:r w:rsidRPr="00CD531E">
        <w:rPr>
          <w:rFonts w:eastAsia="Times New Roman" w:cstheme="minorHAnsi"/>
          <w:bCs/>
        </w:rPr>
        <w:br/>
        <w:t>NOAA Pacific Marine Environmental Laboratory</w:t>
      </w:r>
      <w:r w:rsidR="005E3C09">
        <w:rPr>
          <w:rFonts w:eastAsia="Times New Roman" w:cstheme="minorHAnsi"/>
          <w:bCs/>
        </w:rPr>
        <w:br/>
      </w:r>
      <w:r w:rsidRPr="00CD531E">
        <w:rPr>
          <w:rFonts w:eastAsia="Times New Roman" w:cstheme="minorHAnsi"/>
          <w:bCs/>
        </w:rPr>
        <w:t>7600 Sand Point Way NE, Bldg. 3</w:t>
      </w:r>
      <w:r w:rsidRPr="00CD531E">
        <w:rPr>
          <w:rFonts w:eastAsia="Times New Roman" w:cstheme="minorHAnsi"/>
          <w:bCs/>
        </w:rPr>
        <w:br/>
        <w:t>Seattle, WA 98115</w:t>
      </w:r>
      <w:r w:rsidRPr="00CD531E">
        <w:rPr>
          <w:rFonts w:eastAsia="Times New Roman" w:cstheme="minorHAnsi"/>
          <w:bCs/>
        </w:rPr>
        <w:br/>
        <w:t>United States</w:t>
      </w:r>
      <w:r w:rsidR="005E3C09">
        <w:rPr>
          <w:rFonts w:eastAsia="Times New Roman" w:cstheme="minorHAnsi"/>
          <w:bCs/>
        </w:rPr>
        <w:br/>
      </w:r>
      <w:r w:rsidRPr="00CD531E">
        <w:rPr>
          <w:rFonts w:eastAsia="Times New Roman" w:cstheme="minorHAnsi"/>
          <w:bCs/>
        </w:rPr>
        <w:t>Tel: 206 526 6216</w:t>
      </w:r>
      <w:r w:rsidRPr="00CD531E">
        <w:rPr>
          <w:rFonts w:eastAsia="Times New Roman" w:cstheme="minorHAnsi"/>
          <w:bCs/>
        </w:rPr>
        <w:br/>
        <w:t>Fax: 206 526 6485</w:t>
      </w:r>
      <w:r w:rsidRPr="00CD531E">
        <w:rPr>
          <w:rFonts w:eastAsia="Times New Roman" w:cstheme="minorHAnsi"/>
          <w:bCs/>
        </w:rPr>
        <w:br/>
        <w:t>Email: diego.arcas@noaa.gov</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Mr. Patricio CARRASCO</w:t>
      </w:r>
      <w:r w:rsidRPr="00CD531E">
        <w:rPr>
          <w:rFonts w:eastAsia="Times New Roman" w:cstheme="minorHAnsi"/>
          <w:bCs/>
        </w:rPr>
        <w:br/>
        <w:t>Rear Admiral</w:t>
      </w:r>
      <w:r w:rsidRPr="00CD531E">
        <w:rPr>
          <w:rFonts w:eastAsia="Times New Roman" w:cstheme="minorHAnsi"/>
          <w:bCs/>
        </w:rPr>
        <w:br/>
        <w:t>Director</w:t>
      </w:r>
      <w:r w:rsidRPr="00CD531E">
        <w:rPr>
          <w:rFonts w:eastAsia="Times New Roman" w:cstheme="minorHAnsi"/>
          <w:bCs/>
        </w:rPr>
        <w:br/>
        <w:t>Servicio Hidrográfico y Oceanográfico de la Armada</w:t>
      </w:r>
      <w:r w:rsidR="005E3C09">
        <w:rPr>
          <w:rFonts w:eastAsia="Times New Roman" w:cstheme="minorHAnsi"/>
          <w:bCs/>
        </w:rPr>
        <w:br/>
      </w:r>
      <w:r w:rsidRPr="00CD531E">
        <w:rPr>
          <w:rFonts w:eastAsia="Times New Roman" w:cstheme="minorHAnsi"/>
          <w:bCs/>
        </w:rPr>
        <w:t>Errazuriz 254</w:t>
      </w:r>
      <w:r w:rsidRPr="00CD531E">
        <w:rPr>
          <w:rFonts w:eastAsia="Times New Roman" w:cstheme="minorHAnsi"/>
          <w:bCs/>
        </w:rPr>
        <w:br/>
        <w:t>Playa Ancha 324</w:t>
      </w:r>
      <w:r w:rsidRPr="00CD531E">
        <w:rPr>
          <w:rFonts w:eastAsia="Times New Roman" w:cstheme="minorHAnsi"/>
          <w:bCs/>
        </w:rPr>
        <w:br/>
        <w:t>Valparaíso</w:t>
      </w:r>
      <w:r w:rsidRPr="00CD531E">
        <w:rPr>
          <w:rFonts w:eastAsia="Times New Roman" w:cstheme="minorHAnsi"/>
          <w:bCs/>
        </w:rPr>
        <w:br/>
        <w:t>Chile</w:t>
      </w:r>
      <w:r w:rsidR="005E3C09">
        <w:rPr>
          <w:rFonts w:eastAsia="Times New Roman" w:cstheme="minorHAnsi"/>
          <w:bCs/>
        </w:rPr>
        <w:br/>
      </w:r>
      <w:r w:rsidRPr="00CD531E">
        <w:rPr>
          <w:rFonts w:eastAsia="Times New Roman" w:cstheme="minorHAnsi"/>
          <w:bCs/>
        </w:rPr>
        <w:t>Tel: 56 32 266502</w:t>
      </w:r>
      <w:r w:rsidRPr="00CD531E">
        <w:rPr>
          <w:rFonts w:eastAsia="Times New Roman" w:cstheme="minorHAnsi"/>
          <w:bCs/>
        </w:rPr>
        <w:br/>
        <w:t>Fax: 56 32 266542</w:t>
      </w:r>
      <w:r w:rsidRPr="00CD531E">
        <w:rPr>
          <w:rFonts w:eastAsia="Times New Roman" w:cstheme="minorHAnsi"/>
          <w:bCs/>
        </w:rPr>
        <w:br/>
        <w:t>Email: shoa@shoa.cl</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Ms. Silvia CHACON BARRANTES</w:t>
      </w:r>
      <w:r w:rsidRPr="00CD531E">
        <w:rPr>
          <w:rFonts w:eastAsia="Times New Roman" w:cstheme="minorHAnsi"/>
          <w:bCs/>
        </w:rPr>
        <w:br/>
        <w:t>Professor and Researcher</w:t>
      </w:r>
      <w:r w:rsidRPr="00CD531E">
        <w:rPr>
          <w:rFonts w:eastAsia="Times New Roman" w:cstheme="minorHAnsi"/>
          <w:bCs/>
        </w:rPr>
        <w:br/>
        <w:t>Sistema Nacional de Monitoreo de Tsunamis (SINAMOT)</w:t>
      </w:r>
      <w:r w:rsidR="005E3C09">
        <w:rPr>
          <w:rFonts w:eastAsia="Times New Roman" w:cstheme="minorHAnsi"/>
          <w:bCs/>
        </w:rPr>
        <w:br/>
      </w:r>
      <w:r w:rsidRPr="00CD531E">
        <w:rPr>
          <w:rFonts w:eastAsia="Times New Roman" w:cstheme="minorHAnsi"/>
          <w:bCs/>
        </w:rPr>
        <w:t>Universidad Nacional, Campus Omar Dengo</w:t>
      </w:r>
      <w:r w:rsidRPr="00CD531E">
        <w:rPr>
          <w:rFonts w:eastAsia="Times New Roman" w:cstheme="minorHAnsi"/>
          <w:bCs/>
        </w:rPr>
        <w:br/>
        <w:t>Avenida 1, Calle 9. Apartado Postal: 86-3000</w:t>
      </w:r>
      <w:r w:rsidRPr="00CD531E">
        <w:rPr>
          <w:rFonts w:eastAsia="Times New Roman" w:cstheme="minorHAnsi"/>
          <w:bCs/>
        </w:rPr>
        <w:br/>
        <w:t>Heredia</w:t>
      </w:r>
      <w:r w:rsidRPr="00CD531E">
        <w:rPr>
          <w:rFonts w:eastAsia="Times New Roman" w:cstheme="minorHAnsi"/>
          <w:bCs/>
        </w:rPr>
        <w:br/>
        <w:t>Costa Rica</w:t>
      </w:r>
      <w:r w:rsidR="005E3C09">
        <w:rPr>
          <w:rFonts w:eastAsia="Times New Roman" w:cstheme="minorHAnsi"/>
          <w:bCs/>
        </w:rPr>
        <w:br/>
      </w:r>
      <w:r w:rsidRPr="00CD531E">
        <w:rPr>
          <w:rFonts w:eastAsia="Times New Roman" w:cstheme="minorHAnsi"/>
          <w:bCs/>
        </w:rPr>
        <w:t>Tel: +506 83096690</w:t>
      </w:r>
      <w:r w:rsidRPr="00CD531E">
        <w:rPr>
          <w:rFonts w:eastAsia="Times New Roman" w:cstheme="minorHAnsi"/>
          <w:bCs/>
        </w:rPr>
        <w:br/>
        <w:t>Email: silviach@una.ac.cr</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Mr. Sai-Tick CHAN</w:t>
      </w:r>
      <w:r w:rsidRPr="00CD531E">
        <w:rPr>
          <w:rFonts w:eastAsia="Times New Roman" w:cstheme="minorHAnsi"/>
          <w:bCs/>
        </w:rPr>
        <w:br/>
        <w:t>Senior Scientific Officer</w:t>
      </w:r>
      <w:r w:rsidRPr="00CD531E">
        <w:rPr>
          <w:rFonts w:eastAsia="Times New Roman" w:cstheme="minorHAnsi"/>
          <w:bCs/>
        </w:rPr>
        <w:br/>
        <w:t>Geophysics, Time and Marine Meteorological Services Division</w:t>
      </w:r>
      <w:r w:rsidRPr="00CD531E">
        <w:rPr>
          <w:rFonts w:eastAsia="Times New Roman" w:cstheme="minorHAnsi"/>
          <w:bCs/>
        </w:rPr>
        <w:br/>
        <w:t>Hong Kong Observatory</w:t>
      </w:r>
      <w:r w:rsidR="005E3C09">
        <w:rPr>
          <w:rFonts w:eastAsia="Times New Roman" w:cstheme="minorHAnsi"/>
          <w:bCs/>
        </w:rPr>
        <w:br/>
      </w:r>
      <w:r w:rsidRPr="00CD531E">
        <w:rPr>
          <w:rFonts w:eastAsia="Times New Roman" w:cstheme="minorHAnsi"/>
          <w:bCs/>
        </w:rPr>
        <w:t>134A Nathan Road</w:t>
      </w:r>
      <w:r w:rsidRPr="00CD531E">
        <w:rPr>
          <w:rFonts w:eastAsia="Times New Roman" w:cstheme="minorHAnsi"/>
          <w:bCs/>
        </w:rPr>
        <w:br/>
        <w:t>Kowloon</w:t>
      </w:r>
      <w:r w:rsidRPr="00CD531E">
        <w:rPr>
          <w:rFonts w:eastAsia="Times New Roman" w:cstheme="minorHAnsi"/>
          <w:bCs/>
        </w:rPr>
        <w:br/>
        <w:t>China</w:t>
      </w:r>
      <w:r w:rsidR="005E3C09">
        <w:rPr>
          <w:rFonts w:eastAsia="Times New Roman" w:cstheme="minorHAnsi"/>
          <w:bCs/>
        </w:rPr>
        <w:br/>
      </w:r>
      <w:r w:rsidRPr="00CD531E">
        <w:rPr>
          <w:rFonts w:eastAsia="Times New Roman" w:cstheme="minorHAnsi"/>
          <w:bCs/>
        </w:rPr>
        <w:t>Tel: +852 2926 8451</w:t>
      </w:r>
      <w:r w:rsidRPr="00CD531E">
        <w:rPr>
          <w:rFonts w:eastAsia="Times New Roman" w:cstheme="minorHAnsi"/>
          <w:bCs/>
        </w:rPr>
        <w:br/>
        <w:t>Email: stchan@hko.gov.hk</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Mr. David COETZEE</w:t>
      </w:r>
      <w:r w:rsidRPr="00CD531E">
        <w:rPr>
          <w:rFonts w:eastAsia="Times New Roman" w:cstheme="minorHAnsi"/>
          <w:bCs/>
        </w:rPr>
        <w:br/>
        <w:t>Manager, Regional Partnerships/ National Controller</w:t>
      </w:r>
      <w:r w:rsidRPr="00CD531E">
        <w:rPr>
          <w:rFonts w:eastAsia="Times New Roman" w:cstheme="minorHAnsi"/>
          <w:bCs/>
        </w:rPr>
        <w:br/>
        <w:t>National Emergency Management Agency</w:t>
      </w:r>
      <w:r w:rsidRPr="00CD531E">
        <w:rPr>
          <w:rFonts w:eastAsia="Times New Roman" w:cstheme="minorHAnsi"/>
          <w:bCs/>
        </w:rPr>
        <w:br/>
        <w:t>Ministry of Civil Defence &amp; Emergency Management</w:t>
      </w:r>
      <w:r w:rsidR="005E3C09">
        <w:rPr>
          <w:rFonts w:eastAsia="Times New Roman" w:cstheme="minorHAnsi"/>
          <w:bCs/>
        </w:rPr>
        <w:br/>
      </w:r>
      <w:r w:rsidRPr="00CD531E">
        <w:rPr>
          <w:rFonts w:eastAsia="Times New Roman" w:cstheme="minorHAnsi"/>
          <w:bCs/>
        </w:rPr>
        <w:t>PO Box 5010</w:t>
      </w:r>
      <w:r w:rsidRPr="00CD531E">
        <w:rPr>
          <w:rFonts w:eastAsia="Times New Roman" w:cstheme="minorHAnsi"/>
          <w:bCs/>
        </w:rPr>
        <w:br/>
        <w:t>70-84 Lambton Quay</w:t>
      </w:r>
      <w:r w:rsidRPr="00CD531E">
        <w:rPr>
          <w:rFonts w:eastAsia="Times New Roman" w:cstheme="minorHAnsi"/>
          <w:bCs/>
        </w:rPr>
        <w:br/>
        <w:t>Wellington 6145</w:t>
      </w:r>
      <w:r w:rsidRPr="00CD531E">
        <w:rPr>
          <w:rFonts w:eastAsia="Times New Roman" w:cstheme="minorHAnsi"/>
          <w:bCs/>
        </w:rPr>
        <w:br/>
        <w:t>New Zealand</w:t>
      </w:r>
      <w:r w:rsidR="005E3C09">
        <w:rPr>
          <w:rFonts w:eastAsia="Times New Roman" w:cstheme="minorHAnsi"/>
          <w:bCs/>
        </w:rPr>
        <w:br/>
      </w:r>
      <w:r w:rsidRPr="00CD531E">
        <w:rPr>
          <w:rFonts w:eastAsia="Times New Roman" w:cstheme="minorHAnsi"/>
          <w:bCs/>
        </w:rPr>
        <w:t>Tel: +64 274421236</w:t>
      </w:r>
      <w:r w:rsidRPr="00CD531E">
        <w:rPr>
          <w:rFonts w:eastAsia="Times New Roman" w:cstheme="minorHAnsi"/>
          <w:bCs/>
        </w:rPr>
        <w:br/>
        <w:t>Email: david.coetzee@nema.govt.nz</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Mr. 'ofa FA'ANUNU</w:t>
      </w:r>
      <w:r w:rsidRPr="00CD531E">
        <w:rPr>
          <w:rFonts w:eastAsia="Times New Roman" w:cstheme="minorHAnsi"/>
          <w:bCs/>
        </w:rPr>
        <w:br/>
        <w:t>Director of Meteorological Service</w:t>
      </w:r>
      <w:r w:rsidRPr="00CD531E">
        <w:rPr>
          <w:rFonts w:eastAsia="Times New Roman" w:cstheme="minorHAnsi"/>
          <w:bCs/>
        </w:rPr>
        <w:br/>
        <w:t>Meteorological &amp; Coast Radio Services</w:t>
      </w:r>
      <w:r w:rsidR="005E3C09">
        <w:rPr>
          <w:rFonts w:eastAsia="Times New Roman" w:cstheme="minorHAnsi"/>
          <w:bCs/>
        </w:rPr>
        <w:br/>
      </w:r>
      <w:r w:rsidRPr="00CD531E">
        <w:rPr>
          <w:rFonts w:eastAsia="Times New Roman" w:cstheme="minorHAnsi"/>
          <w:bCs/>
        </w:rPr>
        <w:t>Domestic Terminal</w:t>
      </w:r>
      <w:r w:rsidRPr="00CD531E">
        <w:rPr>
          <w:rFonts w:eastAsia="Times New Roman" w:cstheme="minorHAnsi"/>
          <w:bCs/>
        </w:rPr>
        <w:br/>
        <w:t>Fua'amotu Airport</w:t>
      </w:r>
      <w:r w:rsidRPr="00CD531E">
        <w:rPr>
          <w:rFonts w:eastAsia="Times New Roman" w:cstheme="minorHAnsi"/>
          <w:bCs/>
        </w:rPr>
        <w:br/>
        <w:t>Nuku'alofa</w:t>
      </w:r>
      <w:r w:rsidRPr="00CD531E">
        <w:rPr>
          <w:rFonts w:eastAsia="Times New Roman" w:cstheme="minorHAnsi"/>
          <w:bCs/>
        </w:rPr>
        <w:br/>
        <w:t>Tonga</w:t>
      </w:r>
      <w:r w:rsidR="005E3C09">
        <w:rPr>
          <w:rFonts w:eastAsia="Times New Roman" w:cstheme="minorHAnsi"/>
          <w:bCs/>
        </w:rPr>
        <w:br/>
      </w:r>
      <w:r w:rsidRPr="00CD531E">
        <w:rPr>
          <w:rFonts w:eastAsia="Times New Roman" w:cstheme="minorHAnsi"/>
          <w:bCs/>
        </w:rPr>
        <w:t>Email: ofaf@met.gov.to</w:t>
      </w:r>
      <w:r w:rsidRPr="00CD531E">
        <w:rPr>
          <w:rFonts w:eastAsia="Times New Roman" w:cstheme="minorHAnsi"/>
          <w:bCs/>
        </w:rPr>
        <w:br/>
      </w:r>
      <w:r w:rsidRPr="00CD531E">
        <w:rPr>
          <w:rFonts w:eastAsia="Times New Roman" w:cstheme="minorHAnsi"/>
          <w:bCs/>
        </w:rPr>
        <w:lastRenderedPageBreak/>
        <w:br/>
      </w:r>
      <w:r w:rsidRPr="00CD531E">
        <w:rPr>
          <w:rFonts w:eastAsia="Times New Roman" w:cstheme="minorHAnsi"/>
          <w:bCs/>
        </w:rPr>
        <w:br/>
        <w:t>Mr. Bill FRY</w:t>
      </w:r>
      <w:r w:rsidRPr="00CD531E">
        <w:rPr>
          <w:rFonts w:eastAsia="Times New Roman" w:cstheme="minorHAnsi"/>
          <w:bCs/>
        </w:rPr>
        <w:br/>
        <w:t>Scientist</w:t>
      </w:r>
      <w:r w:rsidRPr="00CD531E">
        <w:rPr>
          <w:rFonts w:eastAsia="Times New Roman" w:cstheme="minorHAnsi"/>
          <w:bCs/>
        </w:rPr>
        <w:br/>
        <w:t>Tectonophysics</w:t>
      </w:r>
      <w:r w:rsidRPr="00CD531E">
        <w:rPr>
          <w:rFonts w:eastAsia="Times New Roman" w:cstheme="minorHAnsi"/>
          <w:bCs/>
        </w:rPr>
        <w:br/>
        <w:t>GNS Science</w:t>
      </w:r>
      <w:r w:rsidR="009D1F8E">
        <w:rPr>
          <w:rFonts w:eastAsia="Times New Roman" w:cstheme="minorHAnsi"/>
          <w:bCs/>
        </w:rPr>
        <w:br/>
      </w:r>
      <w:r w:rsidRPr="00CD531E">
        <w:rPr>
          <w:rFonts w:eastAsia="Times New Roman" w:cstheme="minorHAnsi"/>
          <w:bCs/>
        </w:rPr>
        <w:t>P.O. Box 30-368</w:t>
      </w:r>
      <w:r w:rsidRPr="00CD531E">
        <w:rPr>
          <w:rFonts w:eastAsia="Times New Roman" w:cstheme="minorHAnsi"/>
          <w:bCs/>
        </w:rPr>
        <w:br/>
        <w:t>1 Fairway Drive</w:t>
      </w:r>
      <w:r w:rsidRPr="00CD531E">
        <w:rPr>
          <w:rFonts w:eastAsia="Times New Roman" w:cstheme="minorHAnsi"/>
          <w:bCs/>
        </w:rPr>
        <w:br/>
        <w:t>Avalon 5010</w:t>
      </w:r>
      <w:r w:rsidRPr="00CD531E">
        <w:rPr>
          <w:rFonts w:eastAsia="Times New Roman" w:cstheme="minorHAnsi"/>
          <w:bCs/>
        </w:rPr>
        <w:br/>
        <w:t>New Zealand</w:t>
      </w:r>
      <w:r w:rsidR="009D1F8E">
        <w:rPr>
          <w:rFonts w:eastAsia="Times New Roman" w:cstheme="minorHAnsi"/>
          <w:bCs/>
        </w:rPr>
        <w:br/>
      </w:r>
      <w:r w:rsidRPr="00CD531E">
        <w:rPr>
          <w:rFonts w:eastAsia="Times New Roman" w:cstheme="minorHAnsi"/>
          <w:bCs/>
        </w:rPr>
        <w:t>Email: b.fry@gns.cri.nz</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Ms. Esline GARAEBITI</w:t>
      </w:r>
      <w:r w:rsidRPr="00CD531E">
        <w:rPr>
          <w:rFonts w:eastAsia="Times New Roman" w:cstheme="minorHAnsi"/>
          <w:bCs/>
        </w:rPr>
        <w:br/>
        <w:t>Geohazards Manager</w:t>
      </w:r>
      <w:r w:rsidRPr="00CD531E">
        <w:rPr>
          <w:rFonts w:eastAsia="Times New Roman" w:cstheme="minorHAnsi"/>
          <w:bCs/>
        </w:rPr>
        <w:br/>
        <w:t>Vanuatu Meteorology &amp; Geohazards Department</w:t>
      </w:r>
      <w:r w:rsidR="005E3C09">
        <w:rPr>
          <w:rFonts w:eastAsia="Times New Roman" w:cstheme="minorHAnsi"/>
          <w:bCs/>
        </w:rPr>
        <w:br/>
      </w:r>
      <w:r w:rsidRPr="00CD531E">
        <w:rPr>
          <w:rFonts w:eastAsia="Times New Roman" w:cstheme="minorHAnsi"/>
          <w:bCs/>
        </w:rPr>
        <w:t>Private Mail Bag 9054</w:t>
      </w:r>
      <w:r w:rsidRPr="00CD531E">
        <w:rPr>
          <w:rFonts w:eastAsia="Times New Roman" w:cstheme="minorHAnsi"/>
          <w:bCs/>
        </w:rPr>
        <w:br/>
        <w:t>Lini Highway, Number 2</w:t>
      </w:r>
      <w:r w:rsidRPr="00CD531E">
        <w:rPr>
          <w:rFonts w:eastAsia="Times New Roman" w:cstheme="minorHAnsi"/>
          <w:bCs/>
        </w:rPr>
        <w:br/>
        <w:t>Port Vila</w:t>
      </w:r>
      <w:r w:rsidRPr="00CD531E">
        <w:rPr>
          <w:rFonts w:eastAsia="Times New Roman" w:cstheme="minorHAnsi"/>
          <w:bCs/>
        </w:rPr>
        <w:br/>
        <w:t>Vanuatu</w:t>
      </w:r>
      <w:r w:rsidR="009D1F8E">
        <w:rPr>
          <w:rFonts w:eastAsia="Times New Roman" w:cstheme="minorHAnsi"/>
          <w:bCs/>
        </w:rPr>
        <w:br/>
      </w:r>
      <w:r w:rsidRPr="00CD531E">
        <w:rPr>
          <w:rFonts w:eastAsia="Times New Roman" w:cstheme="minorHAnsi"/>
          <w:bCs/>
        </w:rPr>
        <w:t>Tel: +678 24686</w:t>
      </w:r>
      <w:r w:rsidRPr="00CD531E">
        <w:rPr>
          <w:rFonts w:eastAsia="Times New Roman" w:cstheme="minorHAnsi"/>
          <w:bCs/>
        </w:rPr>
        <w:br/>
        <w:t>Email: lynetaka@gmail.com</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Ms. Laura KONG</w:t>
      </w:r>
      <w:r w:rsidRPr="00CD531E">
        <w:rPr>
          <w:rFonts w:eastAsia="Times New Roman" w:cstheme="minorHAnsi"/>
          <w:bCs/>
        </w:rPr>
        <w:br/>
        <w:t>Director ITIC</w:t>
      </w:r>
      <w:r w:rsidRPr="00CD531E">
        <w:rPr>
          <w:rFonts w:eastAsia="Times New Roman" w:cstheme="minorHAnsi"/>
          <w:bCs/>
        </w:rPr>
        <w:br/>
        <w:t>UNESCO IOC NOAA International Tsunami Information Centre</w:t>
      </w:r>
      <w:r w:rsidR="009D1F8E">
        <w:rPr>
          <w:rFonts w:eastAsia="Times New Roman" w:cstheme="minorHAnsi"/>
          <w:bCs/>
        </w:rPr>
        <w:br/>
      </w:r>
      <w:r w:rsidRPr="00CD531E">
        <w:rPr>
          <w:rFonts w:eastAsia="Times New Roman" w:cstheme="minorHAnsi"/>
          <w:bCs/>
        </w:rPr>
        <w:t>1845 Wasp Blvd, Bldg 176</w:t>
      </w:r>
      <w:r w:rsidRPr="00CD531E">
        <w:rPr>
          <w:rFonts w:eastAsia="Times New Roman" w:cstheme="minorHAnsi"/>
          <w:bCs/>
        </w:rPr>
        <w:br/>
        <w:t>Honolulu, Hawaii 96818 USA</w:t>
      </w:r>
      <w:r w:rsidRPr="00CD531E">
        <w:rPr>
          <w:rFonts w:eastAsia="Times New Roman" w:cstheme="minorHAnsi"/>
          <w:bCs/>
        </w:rPr>
        <w:br/>
        <w:t>United States</w:t>
      </w:r>
      <w:r w:rsidR="005E3C09">
        <w:rPr>
          <w:rFonts w:eastAsia="Times New Roman" w:cstheme="minorHAnsi"/>
          <w:bCs/>
        </w:rPr>
        <w:br/>
      </w:r>
      <w:r w:rsidRPr="00CD531E">
        <w:rPr>
          <w:rFonts w:eastAsia="Times New Roman" w:cstheme="minorHAnsi"/>
          <w:bCs/>
        </w:rPr>
        <w:t>Tel: 1-808-725-6051</w:t>
      </w:r>
      <w:r w:rsidRPr="00CD531E">
        <w:rPr>
          <w:rFonts w:eastAsia="Times New Roman" w:cstheme="minorHAnsi"/>
          <w:bCs/>
        </w:rPr>
        <w:br/>
        <w:t>Fax: 1-808-725-6055</w:t>
      </w:r>
      <w:r w:rsidRPr="00CD531E">
        <w:rPr>
          <w:rFonts w:eastAsia="Times New Roman" w:cstheme="minorHAnsi"/>
          <w:bCs/>
        </w:rPr>
        <w:br/>
        <w:t>Email: laura.kong@noaa.gov</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Ms. Griselda MARROQUIN</w:t>
      </w:r>
      <w:r w:rsidRPr="00CD531E">
        <w:rPr>
          <w:rFonts w:eastAsia="Times New Roman" w:cstheme="minorHAnsi"/>
          <w:bCs/>
        </w:rPr>
        <w:br/>
        <w:t>Head of Seismology</w:t>
      </w:r>
      <w:r w:rsidRPr="00CD531E">
        <w:rPr>
          <w:rFonts w:eastAsia="Times New Roman" w:cstheme="minorHAnsi"/>
          <w:bCs/>
        </w:rPr>
        <w:br/>
        <w:t>Ministerio de Medio Ambiente y Recursos Naturales de El Salvador (MARN)</w:t>
      </w:r>
      <w:r w:rsidR="009D1F8E" w:rsidRPr="009D1F8E">
        <w:rPr>
          <w:rFonts w:eastAsia="Times New Roman" w:cstheme="minorHAnsi"/>
          <w:bCs/>
        </w:rPr>
        <w:br/>
      </w:r>
      <w:r w:rsidRPr="00CD531E">
        <w:rPr>
          <w:rFonts w:eastAsia="Times New Roman" w:cstheme="minorHAnsi"/>
          <w:bCs/>
        </w:rPr>
        <w:t>Kilómetro 5 1/2 carretera a Nueva San Salvador, Calle y Colonia las Mercedes</w:t>
      </w:r>
      <w:r w:rsidRPr="00CD531E">
        <w:rPr>
          <w:rFonts w:eastAsia="Times New Roman" w:cstheme="minorHAnsi"/>
          <w:bCs/>
        </w:rPr>
        <w:br/>
        <w:t>San Salvador</w:t>
      </w:r>
      <w:r w:rsidRPr="00CD531E">
        <w:rPr>
          <w:rFonts w:eastAsia="Times New Roman" w:cstheme="minorHAnsi"/>
          <w:bCs/>
        </w:rPr>
        <w:br/>
        <w:t>San Salvador</w:t>
      </w:r>
      <w:r w:rsidRPr="00CD531E">
        <w:rPr>
          <w:rFonts w:eastAsia="Times New Roman" w:cstheme="minorHAnsi"/>
          <w:bCs/>
        </w:rPr>
        <w:br/>
        <w:t>El Salvador</w:t>
      </w:r>
      <w:r w:rsidR="009D1F8E" w:rsidRPr="009D1F8E">
        <w:rPr>
          <w:rFonts w:eastAsia="Times New Roman" w:cstheme="minorHAnsi"/>
          <w:bCs/>
        </w:rPr>
        <w:br/>
      </w:r>
      <w:r w:rsidRPr="00CD531E">
        <w:rPr>
          <w:rFonts w:eastAsia="Times New Roman" w:cstheme="minorHAnsi"/>
          <w:bCs/>
        </w:rPr>
        <w:t>Email: gmarroquin@marn.gob.sv</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Mr. Charles (Chip) MCCREERY</w:t>
      </w:r>
      <w:r w:rsidRPr="00CD531E">
        <w:rPr>
          <w:rFonts w:eastAsia="Times New Roman" w:cstheme="minorHAnsi"/>
          <w:bCs/>
        </w:rPr>
        <w:br/>
        <w:t>Director PTWC</w:t>
      </w:r>
      <w:r w:rsidRPr="00CD531E">
        <w:rPr>
          <w:rFonts w:eastAsia="Times New Roman" w:cstheme="minorHAnsi"/>
          <w:bCs/>
        </w:rPr>
        <w:br/>
        <w:t>Pacific Tsunami Warning Center</w:t>
      </w:r>
      <w:r w:rsidR="009D1F8E" w:rsidRPr="009D1F8E">
        <w:rPr>
          <w:rFonts w:eastAsia="Times New Roman" w:cstheme="minorHAnsi"/>
          <w:bCs/>
        </w:rPr>
        <w:br/>
      </w:r>
      <w:r w:rsidRPr="00CD531E">
        <w:rPr>
          <w:rFonts w:eastAsia="Times New Roman" w:cstheme="minorHAnsi"/>
          <w:bCs/>
        </w:rPr>
        <w:t>1845 Wasp Boulevard, Building 176</w:t>
      </w:r>
      <w:r w:rsidRPr="00CD531E">
        <w:rPr>
          <w:rFonts w:eastAsia="Times New Roman" w:cstheme="minorHAnsi"/>
          <w:bCs/>
        </w:rPr>
        <w:br/>
        <w:t>Honolulu, HI 96818</w:t>
      </w:r>
      <w:r w:rsidRPr="00CD531E">
        <w:rPr>
          <w:rFonts w:eastAsia="Times New Roman" w:cstheme="minorHAnsi"/>
          <w:bCs/>
        </w:rPr>
        <w:br/>
        <w:t>United States</w:t>
      </w:r>
      <w:r w:rsidR="009D1F8E" w:rsidRPr="009D1F8E">
        <w:rPr>
          <w:rFonts w:eastAsia="Times New Roman" w:cstheme="minorHAnsi"/>
          <w:bCs/>
        </w:rPr>
        <w:br/>
      </w:r>
      <w:r w:rsidRPr="00CD531E">
        <w:rPr>
          <w:rFonts w:eastAsia="Times New Roman" w:cstheme="minorHAnsi"/>
          <w:bCs/>
        </w:rPr>
        <w:t>Tel: +1 808 725 6300</w:t>
      </w:r>
      <w:r w:rsidRPr="00CD531E">
        <w:rPr>
          <w:rFonts w:eastAsia="Times New Roman" w:cstheme="minorHAnsi"/>
          <w:bCs/>
        </w:rPr>
        <w:br/>
        <w:t>Email: charles.mccreery@noaa.gov</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Ms. Sarah-Jayne MCCURRACH</w:t>
      </w:r>
      <w:r w:rsidRPr="00CD531E">
        <w:rPr>
          <w:rFonts w:eastAsia="Times New Roman" w:cstheme="minorHAnsi"/>
          <w:bCs/>
        </w:rPr>
        <w:br/>
        <w:t>Manager, Risk Reduction and Resilience</w:t>
      </w:r>
      <w:r w:rsidRPr="00CD531E">
        <w:rPr>
          <w:rFonts w:eastAsia="Times New Roman" w:cstheme="minorHAnsi"/>
          <w:bCs/>
        </w:rPr>
        <w:br/>
        <w:t>Earthquake Commission</w:t>
      </w:r>
      <w:r w:rsidR="009D1F8E">
        <w:rPr>
          <w:rFonts w:eastAsia="Times New Roman" w:cstheme="minorHAnsi"/>
          <w:bCs/>
        </w:rPr>
        <w:br/>
      </w:r>
      <w:r w:rsidRPr="00CD531E">
        <w:rPr>
          <w:rFonts w:eastAsia="Times New Roman" w:cstheme="minorHAnsi"/>
          <w:bCs/>
        </w:rPr>
        <w:t>Level 11 Majestic Tower</w:t>
      </w:r>
      <w:r w:rsidRPr="00CD531E">
        <w:rPr>
          <w:rFonts w:eastAsia="Times New Roman" w:cstheme="minorHAnsi"/>
          <w:bCs/>
        </w:rPr>
        <w:br/>
        <w:t>Willis St</w:t>
      </w:r>
      <w:r w:rsidRPr="00CD531E">
        <w:rPr>
          <w:rFonts w:eastAsia="Times New Roman" w:cstheme="minorHAnsi"/>
          <w:bCs/>
        </w:rPr>
        <w:br/>
        <w:t>Wellington 6011</w:t>
      </w:r>
      <w:r w:rsidRPr="00CD531E">
        <w:rPr>
          <w:rFonts w:eastAsia="Times New Roman" w:cstheme="minorHAnsi"/>
          <w:bCs/>
        </w:rPr>
        <w:br/>
        <w:t>New Zealand</w:t>
      </w:r>
      <w:r w:rsidR="009D1F8E">
        <w:rPr>
          <w:rFonts w:eastAsia="Times New Roman" w:cstheme="minorHAnsi"/>
          <w:bCs/>
        </w:rPr>
        <w:br/>
      </w:r>
      <w:r w:rsidRPr="00CD531E">
        <w:rPr>
          <w:rFonts w:eastAsia="Times New Roman" w:cstheme="minorHAnsi"/>
          <w:bCs/>
        </w:rPr>
        <w:t>Tel: +64 27 380 1509</w:t>
      </w:r>
      <w:r w:rsidRPr="00CD531E">
        <w:rPr>
          <w:rFonts w:eastAsia="Times New Roman" w:cstheme="minorHAnsi"/>
          <w:bCs/>
        </w:rPr>
        <w:br/>
        <w:t>Email: SMcCurrach@eqc.govt.nz</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Mr. Mathew MOIHOI</w:t>
      </w:r>
      <w:r w:rsidRPr="00CD531E">
        <w:rPr>
          <w:rFonts w:eastAsia="Times New Roman" w:cstheme="minorHAnsi"/>
          <w:bCs/>
        </w:rPr>
        <w:br/>
        <w:t>Seismologist</w:t>
      </w:r>
      <w:r w:rsidRPr="00CD531E">
        <w:rPr>
          <w:rFonts w:eastAsia="Times New Roman" w:cstheme="minorHAnsi"/>
          <w:bCs/>
        </w:rPr>
        <w:br/>
        <w:t>Port Moresby 121 National Capital District</w:t>
      </w:r>
      <w:r w:rsidRPr="00CD531E">
        <w:rPr>
          <w:rFonts w:eastAsia="Times New Roman" w:cstheme="minorHAnsi"/>
          <w:bCs/>
        </w:rPr>
        <w:br/>
        <w:t>Papua New Guinea</w:t>
      </w:r>
      <w:r w:rsidR="009D1F8E">
        <w:rPr>
          <w:rFonts w:eastAsia="Times New Roman" w:cstheme="minorHAnsi"/>
          <w:bCs/>
        </w:rPr>
        <w:br/>
      </w:r>
      <w:r w:rsidRPr="00CD531E">
        <w:rPr>
          <w:rFonts w:eastAsia="Times New Roman" w:cstheme="minorHAnsi"/>
          <w:bCs/>
        </w:rPr>
        <w:t>Tel: (675) 321 4634</w:t>
      </w:r>
      <w:r w:rsidRPr="00CD531E">
        <w:rPr>
          <w:rFonts w:eastAsia="Times New Roman" w:cstheme="minorHAnsi"/>
          <w:bCs/>
        </w:rPr>
        <w:br/>
        <w:t>Fax: (675) 321 3976</w:t>
      </w:r>
      <w:r w:rsidRPr="00CD531E">
        <w:rPr>
          <w:rFonts w:eastAsia="Times New Roman" w:cstheme="minorHAnsi"/>
          <w:bCs/>
        </w:rPr>
        <w:br/>
        <w:t>Email: mathew_moihoi@mineral.gov.pg</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Mr. Yuji NISHIMAE</w:t>
      </w:r>
      <w:r w:rsidRPr="00CD531E">
        <w:rPr>
          <w:rFonts w:eastAsia="Times New Roman" w:cstheme="minorHAnsi"/>
          <w:bCs/>
        </w:rPr>
        <w:br/>
        <w:t>Scientific Officer for International Tsunami Information</w:t>
      </w:r>
      <w:r w:rsidRPr="00CD531E">
        <w:rPr>
          <w:rFonts w:eastAsia="Times New Roman" w:cstheme="minorHAnsi"/>
          <w:bCs/>
        </w:rPr>
        <w:br/>
        <w:t>Japan Meteorological Agency</w:t>
      </w:r>
      <w:r w:rsidR="009D1F8E">
        <w:rPr>
          <w:rFonts w:eastAsia="Times New Roman" w:cstheme="minorHAnsi"/>
          <w:bCs/>
        </w:rPr>
        <w:br/>
      </w:r>
      <w:r w:rsidRPr="00CD531E">
        <w:rPr>
          <w:rFonts w:eastAsia="Times New Roman" w:cstheme="minorHAnsi"/>
          <w:bCs/>
        </w:rPr>
        <w:t>3-6-9 Toranomon, Minato City, Tokyo 105-8431, Japan</w:t>
      </w:r>
      <w:r w:rsidRPr="00CD531E">
        <w:rPr>
          <w:rFonts w:eastAsia="Times New Roman" w:cstheme="minorHAnsi"/>
          <w:bCs/>
        </w:rPr>
        <w:br/>
        <w:t>Japan</w:t>
      </w:r>
      <w:r w:rsidR="009D1F8E">
        <w:rPr>
          <w:rFonts w:eastAsia="Times New Roman" w:cstheme="minorHAnsi"/>
          <w:bCs/>
        </w:rPr>
        <w:br/>
      </w:r>
      <w:r w:rsidRPr="00CD531E">
        <w:rPr>
          <w:rFonts w:eastAsia="Times New Roman" w:cstheme="minorHAnsi"/>
          <w:bCs/>
        </w:rPr>
        <w:t>Tel: +81 (3) 6758 3900</w:t>
      </w:r>
      <w:r w:rsidRPr="00CD531E">
        <w:rPr>
          <w:rFonts w:eastAsia="Times New Roman" w:cstheme="minorHAnsi"/>
          <w:bCs/>
        </w:rPr>
        <w:br/>
        <w:t>Email: nishimae@met.kishou.go.jp</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Ms. Mary Luz RENGIFO BUITRAGO</w:t>
      </w:r>
      <w:r w:rsidRPr="00CD531E">
        <w:rPr>
          <w:rFonts w:eastAsia="Times New Roman" w:cstheme="minorHAnsi"/>
          <w:bCs/>
        </w:rPr>
        <w:br/>
        <w:t>Responsable Centro Nacional de Alerta por Tsunami</w:t>
      </w:r>
      <w:r w:rsidRPr="00CD531E">
        <w:rPr>
          <w:rFonts w:eastAsia="Times New Roman" w:cstheme="minorHAnsi"/>
          <w:bCs/>
        </w:rPr>
        <w:br/>
        <w:t xml:space="preserve">Seguridad Integral Marítima Fluvial y </w:t>
      </w:r>
      <w:r w:rsidRPr="00CD531E">
        <w:rPr>
          <w:rFonts w:eastAsia="Times New Roman" w:cstheme="minorHAnsi"/>
          <w:bCs/>
        </w:rPr>
        <w:lastRenderedPageBreak/>
        <w:t>Portuaria</w:t>
      </w:r>
      <w:r w:rsidRPr="00CD531E">
        <w:rPr>
          <w:rFonts w:eastAsia="Times New Roman" w:cstheme="minorHAnsi"/>
          <w:bCs/>
        </w:rPr>
        <w:br/>
        <w:t>Dirección General Marítima Colombia</w:t>
      </w:r>
      <w:r w:rsidR="009D1F8E">
        <w:rPr>
          <w:rFonts w:eastAsia="Times New Roman" w:cstheme="minorHAnsi"/>
          <w:bCs/>
        </w:rPr>
        <w:br/>
      </w:r>
      <w:r w:rsidRPr="00CD531E">
        <w:rPr>
          <w:rFonts w:eastAsia="Times New Roman" w:cstheme="minorHAnsi"/>
          <w:bCs/>
        </w:rPr>
        <w:t>Carrera 54 No. 26 - 50 Of. 102 CAN</w:t>
      </w:r>
      <w:r w:rsidRPr="00CD531E">
        <w:rPr>
          <w:rFonts w:eastAsia="Times New Roman" w:cstheme="minorHAnsi"/>
          <w:bCs/>
        </w:rPr>
        <w:br/>
        <w:t>Bogotá D.C, ,</w:t>
      </w:r>
      <w:r w:rsidRPr="00CD531E">
        <w:rPr>
          <w:rFonts w:eastAsia="Times New Roman" w:cstheme="minorHAnsi"/>
          <w:bCs/>
        </w:rPr>
        <w:br/>
        <w:t>Colombia</w:t>
      </w:r>
      <w:r w:rsidR="009D1F8E">
        <w:rPr>
          <w:rFonts w:eastAsia="Times New Roman" w:cstheme="minorHAnsi"/>
          <w:bCs/>
        </w:rPr>
        <w:br/>
      </w:r>
      <w:r w:rsidRPr="00CD531E">
        <w:rPr>
          <w:rFonts w:eastAsia="Times New Roman" w:cstheme="minorHAnsi"/>
          <w:bCs/>
        </w:rPr>
        <w:t>Tel: 57 (1) 2200490/ 57 3043272656</w:t>
      </w:r>
      <w:r w:rsidRPr="00CD531E">
        <w:rPr>
          <w:rFonts w:eastAsia="Times New Roman" w:cstheme="minorHAnsi"/>
          <w:bCs/>
        </w:rPr>
        <w:br/>
        <w:t>Email: mrengifo@dimar.mil.co</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Mr. Wilfried STRAUCH</w:t>
      </w:r>
      <w:r w:rsidRPr="00CD531E">
        <w:rPr>
          <w:rFonts w:eastAsia="Times New Roman" w:cstheme="minorHAnsi"/>
          <w:bCs/>
        </w:rPr>
        <w:br/>
        <w:t>Advisor on Earth Sciences</w:t>
      </w:r>
      <w:r w:rsidRPr="00CD531E">
        <w:rPr>
          <w:rFonts w:eastAsia="Times New Roman" w:cstheme="minorHAnsi"/>
          <w:bCs/>
        </w:rPr>
        <w:br/>
        <w:t>Instituto Nicaragüense de Estudios Territoriales</w:t>
      </w:r>
      <w:r w:rsidR="009D1F8E">
        <w:rPr>
          <w:rFonts w:eastAsia="Times New Roman" w:cstheme="minorHAnsi"/>
          <w:bCs/>
        </w:rPr>
        <w:br/>
      </w:r>
      <w:r w:rsidRPr="00CD531E">
        <w:rPr>
          <w:rFonts w:eastAsia="Times New Roman" w:cstheme="minorHAnsi"/>
          <w:bCs/>
        </w:rPr>
        <w:t>Frente Hospital Solidaridad.</w:t>
      </w:r>
      <w:r w:rsidRPr="00CD531E">
        <w:rPr>
          <w:rFonts w:eastAsia="Times New Roman" w:cstheme="minorHAnsi"/>
          <w:bCs/>
        </w:rPr>
        <w:br/>
        <w:t>2110</w:t>
      </w:r>
      <w:r w:rsidRPr="00CD531E">
        <w:rPr>
          <w:rFonts w:eastAsia="Times New Roman" w:cstheme="minorHAnsi"/>
          <w:bCs/>
        </w:rPr>
        <w:br/>
        <w:t>Managua,</w:t>
      </w:r>
      <w:r w:rsidRPr="00CD531E">
        <w:rPr>
          <w:rFonts w:eastAsia="Times New Roman" w:cstheme="minorHAnsi"/>
          <w:bCs/>
        </w:rPr>
        <w:br/>
        <w:t>Nicaragua</w:t>
      </w:r>
      <w:r w:rsidR="009D1F8E" w:rsidRPr="009D1F8E">
        <w:rPr>
          <w:rFonts w:eastAsia="Times New Roman" w:cstheme="minorHAnsi"/>
          <w:bCs/>
        </w:rPr>
        <w:br/>
      </w:r>
      <w:r w:rsidRPr="00CD531E">
        <w:rPr>
          <w:rFonts w:eastAsia="Times New Roman" w:cstheme="minorHAnsi"/>
          <w:bCs/>
        </w:rPr>
        <w:t>Tel: +505 89 24 62 34</w:t>
      </w:r>
      <w:r w:rsidRPr="00CD531E">
        <w:rPr>
          <w:rFonts w:eastAsia="Times New Roman" w:cstheme="minorHAnsi"/>
          <w:bCs/>
        </w:rPr>
        <w:br/>
        <w:t>Email: wilfried.strauch@yahoo.com</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Mr. Yutaro TAIRA</w:t>
      </w:r>
      <w:r w:rsidRPr="00CD531E">
        <w:rPr>
          <w:rFonts w:eastAsia="Times New Roman" w:cstheme="minorHAnsi"/>
          <w:bCs/>
        </w:rPr>
        <w:br/>
        <w:t>Japan Meteorological Agency, Tokyo</w:t>
      </w:r>
      <w:r w:rsidR="009D1F8E" w:rsidRPr="009D1F8E">
        <w:rPr>
          <w:rFonts w:eastAsia="Times New Roman" w:cstheme="minorHAnsi"/>
          <w:bCs/>
        </w:rPr>
        <w:br/>
      </w:r>
      <w:r w:rsidRPr="00CD531E">
        <w:rPr>
          <w:rFonts w:eastAsia="Times New Roman" w:cstheme="minorHAnsi"/>
          <w:bCs/>
        </w:rPr>
        <w:t>1-3-4 Otemachi Chiyoda-ku</w:t>
      </w:r>
      <w:r w:rsidRPr="00CD531E">
        <w:rPr>
          <w:rFonts w:eastAsia="Times New Roman" w:cstheme="minorHAnsi"/>
          <w:bCs/>
        </w:rPr>
        <w:br/>
        <w:t>Tokyo,</w:t>
      </w:r>
      <w:r w:rsidRPr="00CD531E">
        <w:rPr>
          <w:rFonts w:eastAsia="Times New Roman" w:cstheme="minorHAnsi"/>
          <w:bCs/>
        </w:rPr>
        <w:br/>
        <w:t>100-8122</w:t>
      </w:r>
      <w:r w:rsidRPr="00CD531E">
        <w:rPr>
          <w:rFonts w:eastAsia="Times New Roman" w:cstheme="minorHAnsi"/>
          <w:bCs/>
        </w:rPr>
        <w:br/>
        <w:t>Japan</w:t>
      </w:r>
      <w:r w:rsidR="009D1F8E" w:rsidRPr="009D1F8E">
        <w:rPr>
          <w:rFonts w:eastAsia="Times New Roman" w:cstheme="minorHAnsi"/>
          <w:bCs/>
        </w:rPr>
        <w:br/>
      </w:r>
      <w:r w:rsidRPr="00CD531E">
        <w:rPr>
          <w:rFonts w:eastAsia="Times New Roman" w:cstheme="minorHAnsi"/>
          <w:bCs/>
        </w:rPr>
        <w:t>Email: taira@met.kishou.go.jp</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Mr. Emilio TALAVERA</w:t>
      </w:r>
      <w:r w:rsidRPr="00CD531E">
        <w:rPr>
          <w:rFonts w:eastAsia="Times New Roman" w:cstheme="minorHAnsi"/>
          <w:bCs/>
        </w:rPr>
        <w:br/>
        <w:t>Director de Sismologia</w:t>
      </w:r>
      <w:r w:rsidRPr="00CD531E">
        <w:rPr>
          <w:rFonts w:eastAsia="Times New Roman" w:cstheme="minorHAnsi"/>
          <w:bCs/>
        </w:rPr>
        <w:br/>
        <w:t>Instituto Nicaragüense de Estudios Territoriales</w:t>
      </w:r>
      <w:r w:rsidR="009D1F8E" w:rsidRPr="009D1F8E">
        <w:rPr>
          <w:rFonts w:eastAsia="Times New Roman" w:cstheme="minorHAnsi"/>
          <w:bCs/>
        </w:rPr>
        <w:br/>
      </w:r>
      <w:r w:rsidRPr="00CD531E">
        <w:rPr>
          <w:rFonts w:eastAsia="Times New Roman" w:cstheme="minorHAnsi"/>
          <w:bCs/>
        </w:rPr>
        <w:t>Frente Hospital Solidaridad.</w:t>
      </w:r>
      <w:r w:rsidRPr="00CD531E">
        <w:rPr>
          <w:rFonts w:eastAsia="Times New Roman" w:cstheme="minorHAnsi"/>
          <w:bCs/>
        </w:rPr>
        <w:br/>
        <w:t>2110</w:t>
      </w:r>
      <w:r w:rsidRPr="00CD531E">
        <w:rPr>
          <w:rFonts w:eastAsia="Times New Roman" w:cstheme="minorHAnsi"/>
          <w:bCs/>
        </w:rPr>
        <w:br/>
        <w:t>Managua,</w:t>
      </w:r>
      <w:r w:rsidRPr="00CD531E">
        <w:rPr>
          <w:rFonts w:eastAsia="Times New Roman" w:cstheme="minorHAnsi"/>
          <w:bCs/>
        </w:rPr>
        <w:br/>
        <w:t>Nicaragua</w:t>
      </w:r>
      <w:r w:rsidR="009D1F8E" w:rsidRPr="005E3C09">
        <w:rPr>
          <w:rFonts w:eastAsia="Times New Roman" w:cstheme="minorHAnsi"/>
          <w:bCs/>
        </w:rPr>
        <w:br/>
      </w:r>
      <w:r w:rsidRPr="00CD531E">
        <w:rPr>
          <w:rFonts w:eastAsia="Times New Roman" w:cstheme="minorHAnsi"/>
          <w:bCs/>
        </w:rPr>
        <w:t>Tel: +505 22492761 ext 107</w:t>
      </w:r>
      <w:r w:rsidRPr="00CD531E">
        <w:rPr>
          <w:rFonts w:eastAsia="Times New Roman" w:cstheme="minorHAnsi"/>
          <w:bCs/>
        </w:rPr>
        <w:br/>
        <w:t>Email: emilio.talavera@gf.ineter.gob.ni</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Mr. Rennie VAIOMOUNGA</w:t>
      </w:r>
      <w:r w:rsidRPr="00CD531E">
        <w:rPr>
          <w:rFonts w:eastAsia="Times New Roman" w:cstheme="minorHAnsi"/>
          <w:bCs/>
        </w:rPr>
        <w:br/>
        <w:t>Natural Ressources Division</w:t>
      </w:r>
      <w:r w:rsidRPr="00CD531E">
        <w:rPr>
          <w:rFonts w:eastAsia="Times New Roman" w:cstheme="minorHAnsi"/>
          <w:bCs/>
        </w:rPr>
        <w:br/>
        <w:t>Ministry of Information and Communications - Lands, Survey &amp; Natural Resources</w:t>
      </w:r>
      <w:r w:rsidR="005E3C09">
        <w:rPr>
          <w:rFonts w:eastAsia="Times New Roman" w:cstheme="minorHAnsi"/>
          <w:bCs/>
        </w:rPr>
        <w:br/>
      </w:r>
      <w:r w:rsidRPr="00CD531E">
        <w:rPr>
          <w:rFonts w:eastAsia="Times New Roman" w:cstheme="minorHAnsi"/>
          <w:bCs/>
        </w:rPr>
        <w:t>P.O. Box 5</w:t>
      </w:r>
      <w:r w:rsidRPr="00CD531E">
        <w:rPr>
          <w:rFonts w:eastAsia="Times New Roman" w:cstheme="minorHAnsi"/>
          <w:bCs/>
        </w:rPr>
        <w:br/>
        <w:t>Vuna Road</w:t>
      </w:r>
      <w:r w:rsidRPr="00CD531E">
        <w:rPr>
          <w:rFonts w:eastAsia="Times New Roman" w:cstheme="minorHAnsi"/>
          <w:bCs/>
        </w:rPr>
        <w:br/>
        <w:t>Nuku‘alofa</w:t>
      </w:r>
      <w:r w:rsidRPr="00CD531E">
        <w:rPr>
          <w:rFonts w:eastAsia="Times New Roman" w:cstheme="minorHAnsi"/>
          <w:bCs/>
        </w:rPr>
        <w:br/>
        <w:t>Tonga</w:t>
      </w:r>
      <w:r w:rsidR="005E3C09">
        <w:rPr>
          <w:rFonts w:eastAsia="Times New Roman" w:cstheme="minorHAnsi"/>
          <w:bCs/>
        </w:rPr>
        <w:br/>
      </w:r>
      <w:r w:rsidRPr="00CD531E">
        <w:rPr>
          <w:rFonts w:eastAsia="Times New Roman" w:cstheme="minorHAnsi"/>
          <w:bCs/>
        </w:rPr>
        <w:t>Email: rjegsen@naturalresources.gov.to</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Zhiguo XU</w:t>
      </w:r>
      <w:r w:rsidRPr="00CD531E">
        <w:rPr>
          <w:rFonts w:eastAsia="Times New Roman" w:cstheme="minorHAnsi"/>
          <w:bCs/>
        </w:rPr>
        <w:br/>
        <w:t>National Marine Environmental Forecasting Center (NMEFC)/Ministry of Natural Resources (MNR)</w:t>
      </w:r>
      <w:r w:rsidR="005E3C09">
        <w:rPr>
          <w:rFonts w:eastAsia="Times New Roman" w:cstheme="minorHAnsi"/>
          <w:bCs/>
        </w:rPr>
        <w:br/>
      </w:r>
      <w:r w:rsidRPr="00CD531E">
        <w:rPr>
          <w:rFonts w:eastAsia="Times New Roman" w:cstheme="minorHAnsi"/>
          <w:bCs/>
        </w:rPr>
        <w:t>No.8 Dahuisi Road, Haidian District</w:t>
      </w:r>
      <w:r w:rsidRPr="00CD531E">
        <w:rPr>
          <w:rFonts w:eastAsia="Times New Roman" w:cstheme="minorHAnsi"/>
          <w:bCs/>
        </w:rPr>
        <w:br/>
        <w:t>Beijing</w:t>
      </w:r>
      <w:r w:rsidRPr="00CD531E">
        <w:rPr>
          <w:rFonts w:eastAsia="Times New Roman" w:cstheme="minorHAnsi"/>
          <w:bCs/>
        </w:rPr>
        <w:br/>
        <w:t>100081</w:t>
      </w:r>
      <w:r w:rsidRPr="00CD531E">
        <w:rPr>
          <w:rFonts w:eastAsia="Times New Roman" w:cstheme="minorHAnsi"/>
          <w:bCs/>
        </w:rPr>
        <w:br/>
        <w:t>China</w:t>
      </w:r>
      <w:r w:rsidR="005E3C09">
        <w:rPr>
          <w:rFonts w:eastAsia="Times New Roman" w:cstheme="minorHAnsi"/>
          <w:bCs/>
        </w:rPr>
        <w:br/>
      </w:r>
      <w:r w:rsidRPr="00CD531E">
        <w:rPr>
          <w:rFonts w:eastAsia="Times New Roman" w:cstheme="minorHAnsi"/>
          <w:bCs/>
        </w:rPr>
        <w:t>Tel: +86-10 62104561</w:t>
      </w:r>
      <w:r w:rsidRPr="00CD531E">
        <w:rPr>
          <w:rFonts w:eastAsia="Times New Roman" w:cstheme="minorHAnsi"/>
          <w:bCs/>
        </w:rPr>
        <w:br/>
        <w:t>Email: xuzg@nmefc.cn</w:t>
      </w:r>
      <w:r w:rsidRPr="00CD531E">
        <w:rPr>
          <w:rFonts w:eastAsia="Times New Roman" w:cstheme="minorHAnsi"/>
          <w:bCs/>
        </w:rPr>
        <w:br/>
      </w:r>
      <w:r w:rsidRPr="00CD531E">
        <w:rPr>
          <w:rFonts w:eastAsia="Times New Roman" w:cstheme="minorHAnsi"/>
          <w:bCs/>
        </w:rPr>
        <w:br/>
      </w:r>
      <w:r w:rsidRPr="00CD531E">
        <w:rPr>
          <w:rFonts w:eastAsia="Times New Roman" w:cstheme="minorHAnsi"/>
          <w:bCs/>
        </w:rPr>
        <w:br/>
        <w:t>Mr. Carlos ZUNIGA</w:t>
      </w:r>
      <w:r w:rsidRPr="00CD531E">
        <w:rPr>
          <w:rFonts w:eastAsia="Times New Roman" w:cstheme="minorHAnsi"/>
          <w:bCs/>
        </w:rPr>
        <w:br/>
        <w:t>Head, Oceanography Department</w:t>
      </w:r>
      <w:r w:rsidRPr="00CD531E">
        <w:rPr>
          <w:rFonts w:eastAsia="Times New Roman" w:cstheme="minorHAnsi"/>
          <w:bCs/>
        </w:rPr>
        <w:br/>
        <w:t>Servicio Hidrográfico y Oceanográfico de la Armada</w:t>
      </w:r>
      <w:r w:rsidR="005E3C09">
        <w:rPr>
          <w:rFonts w:eastAsia="Times New Roman" w:cstheme="minorHAnsi"/>
          <w:bCs/>
        </w:rPr>
        <w:br/>
      </w:r>
      <w:r w:rsidRPr="00CD531E">
        <w:rPr>
          <w:rFonts w:eastAsia="Times New Roman" w:cstheme="minorHAnsi"/>
          <w:bCs/>
        </w:rPr>
        <w:t>Errazuriz 254</w:t>
      </w:r>
      <w:r w:rsidRPr="00CD531E">
        <w:rPr>
          <w:rFonts w:eastAsia="Times New Roman" w:cstheme="minorHAnsi"/>
          <w:bCs/>
        </w:rPr>
        <w:br/>
        <w:t>Playa Ancha 324</w:t>
      </w:r>
      <w:r w:rsidRPr="00CD531E">
        <w:rPr>
          <w:rFonts w:eastAsia="Times New Roman" w:cstheme="minorHAnsi"/>
          <w:bCs/>
        </w:rPr>
        <w:br/>
        <w:t>Valparaíso</w:t>
      </w:r>
      <w:r w:rsidRPr="00CD531E">
        <w:rPr>
          <w:rFonts w:eastAsia="Times New Roman" w:cstheme="minorHAnsi"/>
          <w:bCs/>
        </w:rPr>
        <w:br/>
        <w:t>Chile</w:t>
      </w:r>
      <w:r w:rsidR="005E3C09">
        <w:rPr>
          <w:rFonts w:eastAsia="Times New Roman" w:cstheme="minorHAnsi"/>
          <w:bCs/>
        </w:rPr>
        <w:br/>
      </w:r>
      <w:r w:rsidRPr="005E3C09">
        <w:rPr>
          <w:rFonts w:eastAsia="Times New Roman" w:cstheme="minorHAnsi"/>
          <w:bCs/>
        </w:rPr>
        <w:t>Tel: 322266540</w:t>
      </w:r>
      <w:r w:rsidRPr="005E3C09">
        <w:rPr>
          <w:rFonts w:eastAsia="Times New Roman" w:cstheme="minorHAnsi"/>
          <w:bCs/>
        </w:rPr>
        <w:br/>
        <w:t>Email: czuniga@shoa.cl</w:t>
      </w:r>
      <w:r w:rsidRPr="005E3C09">
        <w:rPr>
          <w:rFonts w:eastAsia="Times New Roman" w:cstheme="minorHAnsi"/>
          <w:bCs/>
        </w:rPr>
        <w:br/>
      </w:r>
      <w:r w:rsidR="005E3C09">
        <w:rPr>
          <w:rFonts w:eastAsia="Times New Roman" w:cstheme="minorHAnsi"/>
          <w:bCs/>
        </w:rPr>
        <w:br/>
      </w:r>
      <w:r w:rsidR="005E3C09">
        <w:rPr>
          <w:rFonts w:eastAsia="Times New Roman" w:cstheme="minorHAnsi"/>
          <w:bCs/>
        </w:rPr>
        <w:br/>
      </w:r>
      <w:r w:rsidR="005E3C09" w:rsidRPr="005E3C09">
        <w:rPr>
          <w:rFonts w:eastAsia="Times New Roman" w:cstheme="minorHAnsi"/>
          <w:b/>
        </w:rPr>
        <w:t>Secretariat</w:t>
      </w:r>
      <w:r w:rsidR="005E3C09" w:rsidRPr="005E3C09">
        <w:rPr>
          <w:rFonts w:eastAsia="Times New Roman" w:cstheme="minorHAnsi"/>
          <w:b/>
        </w:rPr>
        <w:br/>
      </w:r>
      <w:r w:rsidR="005E3C09">
        <w:rPr>
          <w:rFonts w:eastAsia="Times New Roman" w:cstheme="minorHAnsi"/>
          <w:bCs/>
          <w:lang w:val="en-GB"/>
        </w:rPr>
        <w:br/>
      </w:r>
      <w:r w:rsidR="005E3C09" w:rsidRPr="005E3C09">
        <w:rPr>
          <w:rFonts w:eastAsia="Times New Roman" w:cstheme="minorHAnsi"/>
          <w:bCs/>
          <w:lang w:val="en-GB"/>
        </w:rPr>
        <w:t>Mr Bernardo ALIAGA ROSSEL</w:t>
      </w:r>
      <w:r w:rsidR="005E3C09" w:rsidRPr="005E3C09">
        <w:rPr>
          <w:rFonts w:eastAsia="Times New Roman" w:cstheme="minorHAnsi"/>
          <w:bCs/>
          <w:lang w:val="en-GB"/>
        </w:rPr>
        <w:br/>
        <w:t>Programme Specialist</w:t>
      </w:r>
      <w:r w:rsidR="005E3C09" w:rsidRPr="005E3C09">
        <w:rPr>
          <w:rFonts w:eastAsia="Times New Roman" w:cstheme="minorHAnsi"/>
          <w:bCs/>
          <w:lang w:val="en-GB"/>
        </w:rPr>
        <w:br/>
        <w:t>Intergovernmental Oceanographic Commission of UNESCO</w:t>
      </w:r>
      <w:r w:rsidR="005E3C09" w:rsidRPr="005E3C09">
        <w:rPr>
          <w:rFonts w:eastAsia="Times New Roman" w:cstheme="minorHAnsi"/>
          <w:bCs/>
          <w:lang w:val="en-GB"/>
        </w:rPr>
        <w:br/>
        <w:t>7, place de Fontenoy</w:t>
      </w:r>
      <w:r w:rsidR="005E3C09" w:rsidRPr="005E3C09">
        <w:rPr>
          <w:rFonts w:eastAsia="Times New Roman" w:cstheme="minorHAnsi"/>
          <w:bCs/>
          <w:lang w:val="en-GB"/>
        </w:rPr>
        <w:br/>
        <w:t>Paris cedex 07 75732</w:t>
      </w:r>
      <w:r w:rsidR="005E3C09" w:rsidRPr="005E3C09">
        <w:rPr>
          <w:rFonts w:eastAsia="Times New Roman" w:cstheme="minorHAnsi"/>
          <w:bCs/>
          <w:lang w:val="en-GB"/>
        </w:rPr>
        <w:br/>
        <w:t>France</w:t>
      </w:r>
      <w:r w:rsidR="005E3C09" w:rsidRPr="005E3C09">
        <w:rPr>
          <w:rFonts w:eastAsia="Times New Roman" w:cstheme="minorHAnsi"/>
          <w:bCs/>
          <w:lang w:val="en-GB"/>
        </w:rPr>
        <w:br/>
        <w:t>Tel: +33 1 45 68 03 17</w:t>
      </w:r>
      <w:r w:rsidR="005E3C09" w:rsidRPr="005E3C09">
        <w:rPr>
          <w:rFonts w:eastAsia="Times New Roman" w:cstheme="minorHAnsi"/>
          <w:bCs/>
          <w:lang w:val="en-GB"/>
        </w:rPr>
        <w:br/>
        <w:t xml:space="preserve">Email: </w:t>
      </w:r>
      <w:hyperlink r:id="rId10" w:history="1">
        <w:r w:rsidR="005E3C09" w:rsidRPr="005E3C09">
          <w:rPr>
            <w:rStyle w:val="Hyperlink"/>
            <w:rFonts w:eastAsia="Times New Roman" w:cstheme="minorHAnsi"/>
            <w:bCs/>
            <w:lang w:val="en-GB"/>
          </w:rPr>
          <w:t>b.aliaga@unesco.org</w:t>
        </w:r>
      </w:hyperlink>
      <w:r w:rsidR="005E3C09" w:rsidRPr="005E3C09">
        <w:rPr>
          <w:rFonts w:eastAsia="Times New Roman" w:cstheme="minorHAnsi"/>
          <w:bCs/>
          <w:lang w:val="en-GB"/>
        </w:rPr>
        <w:t xml:space="preserve"> </w:t>
      </w:r>
      <w:r w:rsidR="005E3C09" w:rsidRPr="005E3C09">
        <w:rPr>
          <w:rFonts w:eastAsia="Times New Roman" w:cstheme="minorHAnsi"/>
          <w:bCs/>
          <w:lang w:val="en-GB"/>
        </w:rPr>
        <w:br/>
      </w:r>
      <w:r w:rsidR="005E3C09" w:rsidRPr="005E3C09">
        <w:rPr>
          <w:rFonts w:eastAsia="Times New Roman" w:cstheme="minorHAnsi"/>
          <w:bCs/>
          <w:lang w:val="en-GB"/>
        </w:rPr>
        <w:br/>
        <w:t>Mr Jiuta KOROVULAVULA</w:t>
      </w:r>
      <w:r w:rsidR="005E3C09" w:rsidRPr="005E3C09">
        <w:rPr>
          <w:rFonts w:eastAsia="Times New Roman" w:cstheme="minorHAnsi"/>
          <w:bCs/>
          <w:lang w:val="en-GB"/>
        </w:rPr>
        <w:br/>
        <w:t>Tsunami Unit</w:t>
      </w:r>
      <w:r w:rsidR="005E3C09" w:rsidRPr="005E3C09">
        <w:rPr>
          <w:rFonts w:eastAsia="Times New Roman" w:cstheme="minorHAnsi"/>
          <w:bCs/>
          <w:lang w:val="en-GB"/>
        </w:rPr>
        <w:br/>
        <w:t>Intergovernmental Oceanographic Commission of UNESCO</w:t>
      </w:r>
      <w:r w:rsidR="005E3C09" w:rsidRPr="005E3C09">
        <w:rPr>
          <w:rFonts w:eastAsia="Times New Roman" w:cstheme="minorHAnsi"/>
          <w:bCs/>
          <w:lang w:val="en-GB"/>
        </w:rPr>
        <w:br/>
      </w:r>
      <w:r w:rsidR="005E3C09" w:rsidRPr="005E3C09">
        <w:rPr>
          <w:rFonts w:eastAsia="Times New Roman" w:cstheme="minorHAnsi"/>
          <w:bCs/>
          <w:lang w:val="en-GB"/>
        </w:rPr>
        <w:lastRenderedPageBreak/>
        <w:t>Secretariat of the Pacific Community (SPC)</w:t>
      </w:r>
      <w:r w:rsidR="005E3C09" w:rsidRPr="005E3C09">
        <w:rPr>
          <w:rFonts w:eastAsia="Times New Roman" w:cstheme="minorHAnsi"/>
          <w:bCs/>
          <w:lang w:val="en-GB"/>
        </w:rPr>
        <w:br/>
        <w:t>Private Mail Bag GEM Division, Mead Rd, Nabua</w:t>
      </w:r>
      <w:r w:rsidR="005E3C09" w:rsidRPr="005E3C09">
        <w:rPr>
          <w:rFonts w:eastAsia="Times New Roman" w:cstheme="minorHAnsi"/>
          <w:bCs/>
          <w:lang w:val="en-GB"/>
        </w:rPr>
        <w:br/>
        <w:t>Fiji France</w:t>
      </w:r>
      <w:r w:rsidR="005E3C09" w:rsidRPr="005E3C09">
        <w:rPr>
          <w:rFonts w:eastAsia="Times New Roman" w:cstheme="minorHAnsi"/>
          <w:bCs/>
          <w:lang w:val="en-GB"/>
        </w:rPr>
        <w:br/>
        <w:t xml:space="preserve">Email: </w:t>
      </w:r>
      <w:hyperlink r:id="rId11" w:history="1">
        <w:r w:rsidR="005E3C09" w:rsidRPr="005E3C09">
          <w:rPr>
            <w:rStyle w:val="Hyperlink"/>
            <w:rFonts w:eastAsia="Times New Roman" w:cstheme="minorHAnsi"/>
            <w:bCs/>
            <w:lang w:val="en-GB"/>
          </w:rPr>
          <w:t>j.korovulavula@unesco.org</w:t>
        </w:r>
      </w:hyperlink>
      <w:r w:rsidR="005E3C09" w:rsidRPr="005E3C09">
        <w:rPr>
          <w:rFonts w:eastAsia="Times New Roman" w:cstheme="minorHAnsi"/>
          <w:bCs/>
          <w:lang w:val="en-GB"/>
        </w:rPr>
        <w:t xml:space="preserve"> </w:t>
      </w:r>
      <w:r w:rsidR="005E3C09" w:rsidRPr="005E3C09">
        <w:rPr>
          <w:rFonts w:eastAsia="Times New Roman" w:cstheme="minorHAnsi"/>
          <w:bCs/>
          <w:lang w:val="en-GB"/>
        </w:rPr>
        <w:br/>
      </w:r>
      <w:r w:rsidR="005E3C09" w:rsidRPr="005E3C09">
        <w:rPr>
          <w:rFonts w:eastAsia="Times New Roman" w:cstheme="minorHAnsi"/>
          <w:bCs/>
          <w:lang w:val="en-GB"/>
        </w:rPr>
        <w:br/>
        <w:t>Ms Celine TIFFAY</w:t>
      </w:r>
      <w:r w:rsidR="005E3C09" w:rsidRPr="005E3C09">
        <w:rPr>
          <w:rFonts w:eastAsia="Times New Roman" w:cstheme="minorHAnsi"/>
          <w:bCs/>
          <w:lang w:val="en-GB"/>
        </w:rPr>
        <w:br/>
        <w:t>Tsunami Unit</w:t>
      </w:r>
      <w:r w:rsidR="005E3C09" w:rsidRPr="005E3C09">
        <w:rPr>
          <w:rFonts w:eastAsia="Times New Roman" w:cstheme="minorHAnsi"/>
          <w:bCs/>
          <w:lang w:val="en-GB"/>
        </w:rPr>
        <w:br/>
        <w:t>Intergovernmental Oceanographic Commission of UNESCO</w:t>
      </w:r>
      <w:r w:rsidR="005E3C09" w:rsidRPr="005E3C09">
        <w:rPr>
          <w:rFonts w:eastAsia="Times New Roman" w:cstheme="minorHAnsi"/>
          <w:bCs/>
          <w:lang w:val="en-GB"/>
        </w:rPr>
        <w:br/>
        <w:t>7, place de Fontenoy</w:t>
      </w:r>
      <w:r w:rsidR="005E3C09" w:rsidRPr="005E3C09">
        <w:rPr>
          <w:rFonts w:eastAsia="Times New Roman" w:cstheme="minorHAnsi"/>
          <w:bCs/>
          <w:lang w:val="en-GB"/>
        </w:rPr>
        <w:br/>
        <w:t>75732 Paris cedex 07</w:t>
      </w:r>
      <w:r w:rsidR="005E3C09" w:rsidRPr="005E3C09">
        <w:rPr>
          <w:rFonts w:eastAsia="Times New Roman" w:cstheme="minorHAnsi"/>
          <w:bCs/>
          <w:lang w:val="en-GB"/>
        </w:rPr>
        <w:br/>
        <w:t>France</w:t>
      </w:r>
      <w:r w:rsidR="005E3C09" w:rsidRPr="005E3C09">
        <w:rPr>
          <w:rFonts w:eastAsia="Times New Roman" w:cstheme="minorHAnsi"/>
          <w:bCs/>
          <w:lang w:val="en-GB"/>
        </w:rPr>
        <w:br/>
        <w:t xml:space="preserve">Email: </w:t>
      </w:r>
      <w:hyperlink r:id="rId12" w:history="1">
        <w:r w:rsidR="005E3C09" w:rsidRPr="005E3C09">
          <w:rPr>
            <w:rStyle w:val="Hyperlink"/>
            <w:rFonts w:eastAsia="Times New Roman" w:cstheme="minorHAnsi"/>
            <w:bCs/>
            <w:lang w:val="en-GB"/>
          </w:rPr>
          <w:t>c.tiffay@unesco.org</w:t>
        </w:r>
      </w:hyperlink>
      <w:r w:rsidR="005E3C09" w:rsidRPr="005E3C09">
        <w:rPr>
          <w:rFonts w:eastAsia="Times New Roman" w:cstheme="minorHAnsi"/>
          <w:bCs/>
          <w:lang w:val="en-GB"/>
        </w:rPr>
        <w:br/>
      </w:r>
    </w:p>
    <w:p w14:paraId="58A73005" w14:textId="12E42D78" w:rsidR="00CD531E" w:rsidRPr="005E3C09" w:rsidRDefault="00CD531E" w:rsidP="005E3C09">
      <w:pPr>
        <w:spacing w:after="120"/>
        <w:rPr>
          <w:rFonts w:eastAsia="Times New Roman" w:cstheme="minorHAnsi"/>
          <w:bCs/>
          <w:lang w:val="en-GB"/>
        </w:rPr>
      </w:pPr>
    </w:p>
    <w:sectPr w:rsidR="00CD531E" w:rsidRPr="005E3C09" w:rsidSect="00CD531E">
      <w:type w:val="continuous"/>
      <w:pgSz w:w="11900" w:h="16840"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990AC" w14:textId="77777777" w:rsidR="00B00CC8" w:rsidRDefault="00B00CC8" w:rsidP="001760C2">
      <w:r>
        <w:separator/>
      </w:r>
    </w:p>
  </w:endnote>
  <w:endnote w:type="continuationSeparator" w:id="0">
    <w:p w14:paraId="09601154" w14:textId="77777777" w:rsidR="00B00CC8" w:rsidRDefault="00B00CC8" w:rsidP="0017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16E22" w14:textId="77777777" w:rsidR="00B00CC8" w:rsidRDefault="00B00CC8" w:rsidP="001760C2">
      <w:r>
        <w:separator/>
      </w:r>
    </w:p>
  </w:footnote>
  <w:footnote w:type="continuationSeparator" w:id="0">
    <w:p w14:paraId="13CD303D" w14:textId="77777777" w:rsidR="00B00CC8" w:rsidRDefault="00B00CC8" w:rsidP="0017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07BB1"/>
    <w:multiLevelType w:val="hybridMultilevel"/>
    <w:tmpl w:val="2F08ACB2"/>
    <w:lvl w:ilvl="0" w:tplc="CECC1FD8">
      <w:start w:val="1"/>
      <w:numFmt w:val="bullet"/>
      <w:lvlText w:val="•"/>
      <w:lvlJc w:val="left"/>
      <w:pPr>
        <w:tabs>
          <w:tab w:val="num" w:pos="720"/>
        </w:tabs>
        <w:ind w:left="720" w:hanging="360"/>
      </w:pPr>
      <w:rPr>
        <w:rFonts w:ascii="Arial" w:hAnsi="Arial" w:hint="default"/>
      </w:rPr>
    </w:lvl>
    <w:lvl w:ilvl="1" w:tplc="01ACA46A" w:tentative="1">
      <w:start w:val="1"/>
      <w:numFmt w:val="bullet"/>
      <w:lvlText w:val="•"/>
      <w:lvlJc w:val="left"/>
      <w:pPr>
        <w:tabs>
          <w:tab w:val="num" w:pos="1440"/>
        </w:tabs>
        <w:ind w:left="1440" w:hanging="360"/>
      </w:pPr>
      <w:rPr>
        <w:rFonts w:ascii="Arial" w:hAnsi="Arial" w:hint="default"/>
      </w:rPr>
    </w:lvl>
    <w:lvl w:ilvl="2" w:tplc="F2DC60DA">
      <w:numFmt w:val="bullet"/>
      <w:lvlText w:val="•"/>
      <w:lvlJc w:val="left"/>
      <w:pPr>
        <w:tabs>
          <w:tab w:val="num" w:pos="2160"/>
        </w:tabs>
        <w:ind w:left="2160" w:hanging="360"/>
      </w:pPr>
      <w:rPr>
        <w:rFonts w:ascii="Arial" w:hAnsi="Arial" w:hint="default"/>
      </w:rPr>
    </w:lvl>
    <w:lvl w:ilvl="3" w:tplc="0D968024" w:tentative="1">
      <w:start w:val="1"/>
      <w:numFmt w:val="bullet"/>
      <w:lvlText w:val="•"/>
      <w:lvlJc w:val="left"/>
      <w:pPr>
        <w:tabs>
          <w:tab w:val="num" w:pos="2880"/>
        </w:tabs>
        <w:ind w:left="2880" w:hanging="360"/>
      </w:pPr>
      <w:rPr>
        <w:rFonts w:ascii="Arial" w:hAnsi="Arial" w:hint="default"/>
      </w:rPr>
    </w:lvl>
    <w:lvl w:ilvl="4" w:tplc="5596C766" w:tentative="1">
      <w:start w:val="1"/>
      <w:numFmt w:val="bullet"/>
      <w:lvlText w:val="•"/>
      <w:lvlJc w:val="left"/>
      <w:pPr>
        <w:tabs>
          <w:tab w:val="num" w:pos="3600"/>
        </w:tabs>
        <w:ind w:left="3600" w:hanging="360"/>
      </w:pPr>
      <w:rPr>
        <w:rFonts w:ascii="Arial" w:hAnsi="Arial" w:hint="default"/>
      </w:rPr>
    </w:lvl>
    <w:lvl w:ilvl="5" w:tplc="45C85504" w:tentative="1">
      <w:start w:val="1"/>
      <w:numFmt w:val="bullet"/>
      <w:lvlText w:val="•"/>
      <w:lvlJc w:val="left"/>
      <w:pPr>
        <w:tabs>
          <w:tab w:val="num" w:pos="4320"/>
        </w:tabs>
        <w:ind w:left="4320" w:hanging="360"/>
      </w:pPr>
      <w:rPr>
        <w:rFonts w:ascii="Arial" w:hAnsi="Arial" w:hint="default"/>
      </w:rPr>
    </w:lvl>
    <w:lvl w:ilvl="6" w:tplc="D5BC3408" w:tentative="1">
      <w:start w:val="1"/>
      <w:numFmt w:val="bullet"/>
      <w:lvlText w:val="•"/>
      <w:lvlJc w:val="left"/>
      <w:pPr>
        <w:tabs>
          <w:tab w:val="num" w:pos="5040"/>
        </w:tabs>
        <w:ind w:left="5040" w:hanging="360"/>
      </w:pPr>
      <w:rPr>
        <w:rFonts w:ascii="Arial" w:hAnsi="Arial" w:hint="default"/>
      </w:rPr>
    </w:lvl>
    <w:lvl w:ilvl="7" w:tplc="655AC4E4" w:tentative="1">
      <w:start w:val="1"/>
      <w:numFmt w:val="bullet"/>
      <w:lvlText w:val="•"/>
      <w:lvlJc w:val="left"/>
      <w:pPr>
        <w:tabs>
          <w:tab w:val="num" w:pos="5760"/>
        </w:tabs>
        <w:ind w:left="5760" w:hanging="360"/>
      </w:pPr>
      <w:rPr>
        <w:rFonts w:ascii="Arial" w:hAnsi="Arial" w:hint="default"/>
      </w:rPr>
    </w:lvl>
    <w:lvl w:ilvl="8" w:tplc="F3129E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DE6DB9"/>
    <w:multiLevelType w:val="hybridMultilevel"/>
    <w:tmpl w:val="59126080"/>
    <w:lvl w:ilvl="0" w:tplc="710EB9E8">
      <w:start w:val="26"/>
      <w:numFmt w:val="bullet"/>
      <w:lvlText w:val="-"/>
      <w:lvlJc w:val="left"/>
      <w:pPr>
        <w:ind w:left="720" w:hanging="360"/>
      </w:pPr>
      <w:rPr>
        <w:rFonts w:ascii="Arial" w:eastAsiaTheme="minorHAnsi" w:hAnsi="Arial" w:cs="Arial" w:hint="default"/>
        <w:color w:val="2F5496"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F64A68"/>
    <w:multiLevelType w:val="hybridMultilevel"/>
    <w:tmpl w:val="8124CBB6"/>
    <w:lvl w:ilvl="0" w:tplc="BC103E06">
      <w:start w:val="1"/>
      <w:numFmt w:val="bullet"/>
      <w:lvlText w:val="•"/>
      <w:lvlJc w:val="left"/>
      <w:pPr>
        <w:tabs>
          <w:tab w:val="num" w:pos="720"/>
        </w:tabs>
        <w:ind w:left="720" w:hanging="360"/>
      </w:pPr>
      <w:rPr>
        <w:rFonts w:ascii="Arial" w:hAnsi="Arial" w:hint="default"/>
      </w:rPr>
    </w:lvl>
    <w:lvl w:ilvl="1" w:tplc="EA14B05E" w:tentative="1">
      <w:start w:val="1"/>
      <w:numFmt w:val="bullet"/>
      <w:lvlText w:val="•"/>
      <w:lvlJc w:val="left"/>
      <w:pPr>
        <w:tabs>
          <w:tab w:val="num" w:pos="1440"/>
        </w:tabs>
        <w:ind w:left="1440" w:hanging="360"/>
      </w:pPr>
      <w:rPr>
        <w:rFonts w:ascii="Arial" w:hAnsi="Arial" w:hint="default"/>
      </w:rPr>
    </w:lvl>
    <w:lvl w:ilvl="2" w:tplc="9216C312" w:tentative="1">
      <w:start w:val="1"/>
      <w:numFmt w:val="bullet"/>
      <w:lvlText w:val="•"/>
      <w:lvlJc w:val="left"/>
      <w:pPr>
        <w:tabs>
          <w:tab w:val="num" w:pos="2160"/>
        </w:tabs>
        <w:ind w:left="2160" w:hanging="360"/>
      </w:pPr>
      <w:rPr>
        <w:rFonts w:ascii="Arial" w:hAnsi="Arial" w:hint="default"/>
      </w:rPr>
    </w:lvl>
    <w:lvl w:ilvl="3" w:tplc="3B94EF4E" w:tentative="1">
      <w:start w:val="1"/>
      <w:numFmt w:val="bullet"/>
      <w:lvlText w:val="•"/>
      <w:lvlJc w:val="left"/>
      <w:pPr>
        <w:tabs>
          <w:tab w:val="num" w:pos="2880"/>
        </w:tabs>
        <w:ind w:left="2880" w:hanging="360"/>
      </w:pPr>
      <w:rPr>
        <w:rFonts w:ascii="Arial" w:hAnsi="Arial" w:hint="default"/>
      </w:rPr>
    </w:lvl>
    <w:lvl w:ilvl="4" w:tplc="1BE474FA" w:tentative="1">
      <w:start w:val="1"/>
      <w:numFmt w:val="bullet"/>
      <w:lvlText w:val="•"/>
      <w:lvlJc w:val="left"/>
      <w:pPr>
        <w:tabs>
          <w:tab w:val="num" w:pos="3600"/>
        </w:tabs>
        <w:ind w:left="3600" w:hanging="360"/>
      </w:pPr>
      <w:rPr>
        <w:rFonts w:ascii="Arial" w:hAnsi="Arial" w:hint="default"/>
      </w:rPr>
    </w:lvl>
    <w:lvl w:ilvl="5" w:tplc="35F2F40E" w:tentative="1">
      <w:start w:val="1"/>
      <w:numFmt w:val="bullet"/>
      <w:lvlText w:val="•"/>
      <w:lvlJc w:val="left"/>
      <w:pPr>
        <w:tabs>
          <w:tab w:val="num" w:pos="4320"/>
        </w:tabs>
        <w:ind w:left="4320" w:hanging="360"/>
      </w:pPr>
      <w:rPr>
        <w:rFonts w:ascii="Arial" w:hAnsi="Arial" w:hint="default"/>
      </w:rPr>
    </w:lvl>
    <w:lvl w:ilvl="6" w:tplc="81D0AB06" w:tentative="1">
      <w:start w:val="1"/>
      <w:numFmt w:val="bullet"/>
      <w:lvlText w:val="•"/>
      <w:lvlJc w:val="left"/>
      <w:pPr>
        <w:tabs>
          <w:tab w:val="num" w:pos="5040"/>
        </w:tabs>
        <w:ind w:left="5040" w:hanging="360"/>
      </w:pPr>
      <w:rPr>
        <w:rFonts w:ascii="Arial" w:hAnsi="Arial" w:hint="default"/>
      </w:rPr>
    </w:lvl>
    <w:lvl w:ilvl="7" w:tplc="B0AC594A" w:tentative="1">
      <w:start w:val="1"/>
      <w:numFmt w:val="bullet"/>
      <w:lvlText w:val="•"/>
      <w:lvlJc w:val="left"/>
      <w:pPr>
        <w:tabs>
          <w:tab w:val="num" w:pos="5760"/>
        </w:tabs>
        <w:ind w:left="5760" w:hanging="360"/>
      </w:pPr>
      <w:rPr>
        <w:rFonts w:ascii="Arial" w:hAnsi="Arial" w:hint="default"/>
      </w:rPr>
    </w:lvl>
    <w:lvl w:ilvl="8" w:tplc="EDB0081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E734AEB"/>
    <w:multiLevelType w:val="multilevel"/>
    <w:tmpl w:val="635AE40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520A7D9A"/>
    <w:multiLevelType w:val="hybridMultilevel"/>
    <w:tmpl w:val="C4B86C20"/>
    <w:lvl w:ilvl="0" w:tplc="E5AA561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7814F3"/>
    <w:multiLevelType w:val="hybridMultilevel"/>
    <w:tmpl w:val="BDA4B402"/>
    <w:lvl w:ilvl="0" w:tplc="575E1BAC">
      <w:start w:val="1"/>
      <w:numFmt w:val="bullet"/>
      <w:lvlText w:val="•"/>
      <w:lvlJc w:val="left"/>
      <w:pPr>
        <w:tabs>
          <w:tab w:val="num" w:pos="720"/>
        </w:tabs>
        <w:ind w:left="720" w:hanging="360"/>
      </w:pPr>
      <w:rPr>
        <w:rFonts w:ascii="Arial" w:hAnsi="Arial" w:hint="default"/>
      </w:rPr>
    </w:lvl>
    <w:lvl w:ilvl="1" w:tplc="161463F8" w:tentative="1">
      <w:start w:val="1"/>
      <w:numFmt w:val="bullet"/>
      <w:lvlText w:val="•"/>
      <w:lvlJc w:val="left"/>
      <w:pPr>
        <w:tabs>
          <w:tab w:val="num" w:pos="1440"/>
        </w:tabs>
        <w:ind w:left="1440" w:hanging="360"/>
      </w:pPr>
      <w:rPr>
        <w:rFonts w:ascii="Arial" w:hAnsi="Arial" w:hint="default"/>
      </w:rPr>
    </w:lvl>
    <w:lvl w:ilvl="2" w:tplc="7632FBA2" w:tentative="1">
      <w:start w:val="1"/>
      <w:numFmt w:val="bullet"/>
      <w:lvlText w:val="•"/>
      <w:lvlJc w:val="left"/>
      <w:pPr>
        <w:tabs>
          <w:tab w:val="num" w:pos="2160"/>
        </w:tabs>
        <w:ind w:left="2160" w:hanging="360"/>
      </w:pPr>
      <w:rPr>
        <w:rFonts w:ascii="Arial" w:hAnsi="Arial" w:hint="default"/>
      </w:rPr>
    </w:lvl>
    <w:lvl w:ilvl="3" w:tplc="1E80570C" w:tentative="1">
      <w:start w:val="1"/>
      <w:numFmt w:val="bullet"/>
      <w:lvlText w:val="•"/>
      <w:lvlJc w:val="left"/>
      <w:pPr>
        <w:tabs>
          <w:tab w:val="num" w:pos="2880"/>
        </w:tabs>
        <w:ind w:left="2880" w:hanging="360"/>
      </w:pPr>
      <w:rPr>
        <w:rFonts w:ascii="Arial" w:hAnsi="Arial" w:hint="default"/>
      </w:rPr>
    </w:lvl>
    <w:lvl w:ilvl="4" w:tplc="C6DED5BE" w:tentative="1">
      <w:start w:val="1"/>
      <w:numFmt w:val="bullet"/>
      <w:lvlText w:val="•"/>
      <w:lvlJc w:val="left"/>
      <w:pPr>
        <w:tabs>
          <w:tab w:val="num" w:pos="3600"/>
        </w:tabs>
        <w:ind w:left="3600" w:hanging="360"/>
      </w:pPr>
      <w:rPr>
        <w:rFonts w:ascii="Arial" w:hAnsi="Arial" w:hint="default"/>
      </w:rPr>
    </w:lvl>
    <w:lvl w:ilvl="5" w:tplc="70D89724" w:tentative="1">
      <w:start w:val="1"/>
      <w:numFmt w:val="bullet"/>
      <w:lvlText w:val="•"/>
      <w:lvlJc w:val="left"/>
      <w:pPr>
        <w:tabs>
          <w:tab w:val="num" w:pos="4320"/>
        </w:tabs>
        <w:ind w:left="4320" w:hanging="360"/>
      </w:pPr>
      <w:rPr>
        <w:rFonts w:ascii="Arial" w:hAnsi="Arial" w:hint="default"/>
      </w:rPr>
    </w:lvl>
    <w:lvl w:ilvl="6" w:tplc="EDC41808" w:tentative="1">
      <w:start w:val="1"/>
      <w:numFmt w:val="bullet"/>
      <w:lvlText w:val="•"/>
      <w:lvlJc w:val="left"/>
      <w:pPr>
        <w:tabs>
          <w:tab w:val="num" w:pos="5040"/>
        </w:tabs>
        <w:ind w:left="5040" w:hanging="360"/>
      </w:pPr>
      <w:rPr>
        <w:rFonts w:ascii="Arial" w:hAnsi="Arial" w:hint="default"/>
      </w:rPr>
    </w:lvl>
    <w:lvl w:ilvl="7" w:tplc="4B22DBC4" w:tentative="1">
      <w:start w:val="1"/>
      <w:numFmt w:val="bullet"/>
      <w:lvlText w:val="•"/>
      <w:lvlJc w:val="left"/>
      <w:pPr>
        <w:tabs>
          <w:tab w:val="num" w:pos="5760"/>
        </w:tabs>
        <w:ind w:left="5760" w:hanging="360"/>
      </w:pPr>
      <w:rPr>
        <w:rFonts w:ascii="Arial" w:hAnsi="Arial" w:hint="default"/>
      </w:rPr>
    </w:lvl>
    <w:lvl w:ilvl="8" w:tplc="73A869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078057B"/>
    <w:multiLevelType w:val="hybridMultilevel"/>
    <w:tmpl w:val="EA3EF116"/>
    <w:lvl w:ilvl="0" w:tplc="846E060A">
      <w:start w:val="1"/>
      <w:numFmt w:val="bullet"/>
      <w:lvlText w:val=""/>
      <w:lvlJc w:val="left"/>
      <w:pPr>
        <w:tabs>
          <w:tab w:val="num" w:pos="720"/>
        </w:tabs>
        <w:ind w:left="720" w:hanging="360"/>
      </w:pPr>
      <w:rPr>
        <w:rFonts w:ascii="Wingdings" w:hAnsi="Wingdings" w:hint="default"/>
      </w:rPr>
    </w:lvl>
    <w:lvl w:ilvl="1" w:tplc="1BC4B102" w:tentative="1">
      <w:start w:val="1"/>
      <w:numFmt w:val="bullet"/>
      <w:lvlText w:val=""/>
      <w:lvlJc w:val="left"/>
      <w:pPr>
        <w:tabs>
          <w:tab w:val="num" w:pos="1440"/>
        </w:tabs>
        <w:ind w:left="1440" w:hanging="360"/>
      </w:pPr>
      <w:rPr>
        <w:rFonts w:ascii="Wingdings" w:hAnsi="Wingdings" w:hint="default"/>
      </w:rPr>
    </w:lvl>
    <w:lvl w:ilvl="2" w:tplc="29E24DF6" w:tentative="1">
      <w:start w:val="1"/>
      <w:numFmt w:val="bullet"/>
      <w:lvlText w:val=""/>
      <w:lvlJc w:val="left"/>
      <w:pPr>
        <w:tabs>
          <w:tab w:val="num" w:pos="2160"/>
        </w:tabs>
        <w:ind w:left="2160" w:hanging="360"/>
      </w:pPr>
      <w:rPr>
        <w:rFonts w:ascii="Wingdings" w:hAnsi="Wingdings" w:hint="default"/>
      </w:rPr>
    </w:lvl>
    <w:lvl w:ilvl="3" w:tplc="3EF6AEDA" w:tentative="1">
      <w:start w:val="1"/>
      <w:numFmt w:val="bullet"/>
      <w:lvlText w:val=""/>
      <w:lvlJc w:val="left"/>
      <w:pPr>
        <w:tabs>
          <w:tab w:val="num" w:pos="2880"/>
        </w:tabs>
        <w:ind w:left="2880" w:hanging="360"/>
      </w:pPr>
      <w:rPr>
        <w:rFonts w:ascii="Wingdings" w:hAnsi="Wingdings" w:hint="default"/>
      </w:rPr>
    </w:lvl>
    <w:lvl w:ilvl="4" w:tplc="7908BD22" w:tentative="1">
      <w:start w:val="1"/>
      <w:numFmt w:val="bullet"/>
      <w:lvlText w:val=""/>
      <w:lvlJc w:val="left"/>
      <w:pPr>
        <w:tabs>
          <w:tab w:val="num" w:pos="3600"/>
        </w:tabs>
        <w:ind w:left="3600" w:hanging="360"/>
      </w:pPr>
      <w:rPr>
        <w:rFonts w:ascii="Wingdings" w:hAnsi="Wingdings" w:hint="default"/>
      </w:rPr>
    </w:lvl>
    <w:lvl w:ilvl="5" w:tplc="58FEA3FE" w:tentative="1">
      <w:start w:val="1"/>
      <w:numFmt w:val="bullet"/>
      <w:lvlText w:val=""/>
      <w:lvlJc w:val="left"/>
      <w:pPr>
        <w:tabs>
          <w:tab w:val="num" w:pos="4320"/>
        </w:tabs>
        <w:ind w:left="4320" w:hanging="360"/>
      </w:pPr>
      <w:rPr>
        <w:rFonts w:ascii="Wingdings" w:hAnsi="Wingdings" w:hint="default"/>
      </w:rPr>
    </w:lvl>
    <w:lvl w:ilvl="6" w:tplc="CC08E0DA" w:tentative="1">
      <w:start w:val="1"/>
      <w:numFmt w:val="bullet"/>
      <w:lvlText w:val=""/>
      <w:lvlJc w:val="left"/>
      <w:pPr>
        <w:tabs>
          <w:tab w:val="num" w:pos="5040"/>
        </w:tabs>
        <w:ind w:left="5040" w:hanging="360"/>
      </w:pPr>
      <w:rPr>
        <w:rFonts w:ascii="Wingdings" w:hAnsi="Wingdings" w:hint="default"/>
      </w:rPr>
    </w:lvl>
    <w:lvl w:ilvl="7" w:tplc="C5B2BD4C" w:tentative="1">
      <w:start w:val="1"/>
      <w:numFmt w:val="bullet"/>
      <w:lvlText w:val=""/>
      <w:lvlJc w:val="left"/>
      <w:pPr>
        <w:tabs>
          <w:tab w:val="num" w:pos="5760"/>
        </w:tabs>
        <w:ind w:left="5760" w:hanging="360"/>
      </w:pPr>
      <w:rPr>
        <w:rFonts w:ascii="Wingdings" w:hAnsi="Wingdings" w:hint="default"/>
      </w:rPr>
    </w:lvl>
    <w:lvl w:ilvl="8" w:tplc="7D801834"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0"/>
  </w:num>
  <w:num w:numId="6">
    <w:abstractNumId w:val="5"/>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3F"/>
    <w:rsid w:val="00002905"/>
    <w:rsid w:val="00002E2F"/>
    <w:rsid w:val="00004069"/>
    <w:rsid w:val="0000408D"/>
    <w:rsid w:val="00004279"/>
    <w:rsid w:val="000102AF"/>
    <w:rsid w:val="000113D8"/>
    <w:rsid w:val="00011411"/>
    <w:rsid w:val="000127A9"/>
    <w:rsid w:val="00012871"/>
    <w:rsid w:val="0002050C"/>
    <w:rsid w:val="00020F41"/>
    <w:rsid w:val="00021086"/>
    <w:rsid w:val="00024710"/>
    <w:rsid w:val="00030640"/>
    <w:rsid w:val="000307EA"/>
    <w:rsid w:val="00032CC9"/>
    <w:rsid w:val="00032F82"/>
    <w:rsid w:val="00033E7F"/>
    <w:rsid w:val="00034DF5"/>
    <w:rsid w:val="000407F7"/>
    <w:rsid w:val="00043690"/>
    <w:rsid w:val="0005049C"/>
    <w:rsid w:val="000512A1"/>
    <w:rsid w:val="000640DC"/>
    <w:rsid w:val="00065546"/>
    <w:rsid w:val="000664C1"/>
    <w:rsid w:val="0007048B"/>
    <w:rsid w:val="000724AE"/>
    <w:rsid w:val="00085012"/>
    <w:rsid w:val="00086E86"/>
    <w:rsid w:val="000917A3"/>
    <w:rsid w:val="0009199A"/>
    <w:rsid w:val="00092C47"/>
    <w:rsid w:val="00094C37"/>
    <w:rsid w:val="0009592F"/>
    <w:rsid w:val="000A1082"/>
    <w:rsid w:val="000A16E8"/>
    <w:rsid w:val="000A325C"/>
    <w:rsid w:val="000A4699"/>
    <w:rsid w:val="000A4AC3"/>
    <w:rsid w:val="000B1765"/>
    <w:rsid w:val="000B2251"/>
    <w:rsid w:val="000B354B"/>
    <w:rsid w:val="000B547A"/>
    <w:rsid w:val="000C1087"/>
    <w:rsid w:val="000C5A9B"/>
    <w:rsid w:val="000C695B"/>
    <w:rsid w:val="000C7D92"/>
    <w:rsid w:val="000D21A2"/>
    <w:rsid w:val="000D27D2"/>
    <w:rsid w:val="000D4D9E"/>
    <w:rsid w:val="000D4FB9"/>
    <w:rsid w:val="000E4C90"/>
    <w:rsid w:val="000E5A10"/>
    <w:rsid w:val="000E76CD"/>
    <w:rsid w:val="000F319F"/>
    <w:rsid w:val="000F41CE"/>
    <w:rsid w:val="000F5DAF"/>
    <w:rsid w:val="000F6540"/>
    <w:rsid w:val="000F6B03"/>
    <w:rsid w:val="00100066"/>
    <w:rsid w:val="001000CE"/>
    <w:rsid w:val="001005D7"/>
    <w:rsid w:val="0010109C"/>
    <w:rsid w:val="0010331C"/>
    <w:rsid w:val="00103C14"/>
    <w:rsid w:val="00104D16"/>
    <w:rsid w:val="0010660B"/>
    <w:rsid w:val="00106ECA"/>
    <w:rsid w:val="0011205F"/>
    <w:rsid w:val="00113411"/>
    <w:rsid w:val="00114F37"/>
    <w:rsid w:val="00115E88"/>
    <w:rsid w:val="00116CAE"/>
    <w:rsid w:val="00116DC3"/>
    <w:rsid w:val="001178AD"/>
    <w:rsid w:val="0012206D"/>
    <w:rsid w:val="0012234C"/>
    <w:rsid w:val="00123A7C"/>
    <w:rsid w:val="001242A4"/>
    <w:rsid w:val="00124944"/>
    <w:rsid w:val="00124B77"/>
    <w:rsid w:val="00125C30"/>
    <w:rsid w:val="001304AC"/>
    <w:rsid w:val="00130911"/>
    <w:rsid w:val="00132DC8"/>
    <w:rsid w:val="00134C80"/>
    <w:rsid w:val="0013664F"/>
    <w:rsid w:val="001415EC"/>
    <w:rsid w:val="00143972"/>
    <w:rsid w:val="00143BA3"/>
    <w:rsid w:val="00143FC1"/>
    <w:rsid w:val="001448B4"/>
    <w:rsid w:val="00144B4C"/>
    <w:rsid w:val="00144CBA"/>
    <w:rsid w:val="001468E5"/>
    <w:rsid w:val="00147F22"/>
    <w:rsid w:val="00152B6E"/>
    <w:rsid w:val="0015463C"/>
    <w:rsid w:val="00155282"/>
    <w:rsid w:val="00157EDB"/>
    <w:rsid w:val="0016242B"/>
    <w:rsid w:val="00163CAD"/>
    <w:rsid w:val="00166EBF"/>
    <w:rsid w:val="001760C2"/>
    <w:rsid w:val="0018166E"/>
    <w:rsid w:val="00182475"/>
    <w:rsid w:val="00183DE8"/>
    <w:rsid w:val="00184044"/>
    <w:rsid w:val="001853A6"/>
    <w:rsid w:val="00187BC2"/>
    <w:rsid w:val="00190CD6"/>
    <w:rsid w:val="00192987"/>
    <w:rsid w:val="0019495C"/>
    <w:rsid w:val="00194B4A"/>
    <w:rsid w:val="001A1028"/>
    <w:rsid w:val="001A2611"/>
    <w:rsid w:val="001A2947"/>
    <w:rsid w:val="001A672E"/>
    <w:rsid w:val="001A7635"/>
    <w:rsid w:val="001A7F66"/>
    <w:rsid w:val="001B0F34"/>
    <w:rsid w:val="001B6669"/>
    <w:rsid w:val="001C3304"/>
    <w:rsid w:val="001C55B5"/>
    <w:rsid w:val="001C59B6"/>
    <w:rsid w:val="001C7CFC"/>
    <w:rsid w:val="001D0D10"/>
    <w:rsid w:val="001D1615"/>
    <w:rsid w:val="001D1FD4"/>
    <w:rsid w:val="001D3E54"/>
    <w:rsid w:val="001D4CF8"/>
    <w:rsid w:val="001D5143"/>
    <w:rsid w:val="001D7EC4"/>
    <w:rsid w:val="001E327A"/>
    <w:rsid w:val="001E3528"/>
    <w:rsid w:val="001E4AC4"/>
    <w:rsid w:val="001E53A9"/>
    <w:rsid w:val="001E6C6D"/>
    <w:rsid w:val="001E7065"/>
    <w:rsid w:val="001F32DE"/>
    <w:rsid w:val="001F427D"/>
    <w:rsid w:val="001F437D"/>
    <w:rsid w:val="001F636D"/>
    <w:rsid w:val="001F6D77"/>
    <w:rsid w:val="001F6DE7"/>
    <w:rsid w:val="001F756C"/>
    <w:rsid w:val="00200234"/>
    <w:rsid w:val="0020056A"/>
    <w:rsid w:val="00204F16"/>
    <w:rsid w:val="00205AF1"/>
    <w:rsid w:val="0021170F"/>
    <w:rsid w:val="00211833"/>
    <w:rsid w:val="00211CDC"/>
    <w:rsid w:val="0021201A"/>
    <w:rsid w:val="00212119"/>
    <w:rsid w:val="00212C1B"/>
    <w:rsid w:val="002150BF"/>
    <w:rsid w:val="0022019B"/>
    <w:rsid w:val="002201AE"/>
    <w:rsid w:val="00223CCF"/>
    <w:rsid w:val="00224525"/>
    <w:rsid w:val="002253F4"/>
    <w:rsid w:val="00227065"/>
    <w:rsid w:val="00231E5B"/>
    <w:rsid w:val="00232254"/>
    <w:rsid w:val="00235E3A"/>
    <w:rsid w:val="0024026F"/>
    <w:rsid w:val="00240360"/>
    <w:rsid w:val="0024382B"/>
    <w:rsid w:val="00247A54"/>
    <w:rsid w:val="00250C2B"/>
    <w:rsid w:val="00253742"/>
    <w:rsid w:val="00253BEE"/>
    <w:rsid w:val="00255BEC"/>
    <w:rsid w:val="00257A06"/>
    <w:rsid w:val="00261B5B"/>
    <w:rsid w:val="00264BFF"/>
    <w:rsid w:val="00267F69"/>
    <w:rsid w:val="00267FFE"/>
    <w:rsid w:val="002722F8"/>
    <w:rsid w:val="00273245"/>
    <w:rsid w:val="002734A2"/>
    <w:rsid w:val="002751C8"/>
    <w:rsid w:val="002756AC"/>
    <w:rsid w:val="00276632"/>
    <w:rsid w:val="00281608"/>
    <w:rsid w:val="002837BF"/>
    <w:rsid w:val="00285DD4"/>
    <w:rsid w:val="00290E32"/>
    <w:rsid w:val="00291A01"/>
    <w:rsid w:val="002920AF"/>
    <w:rsid w:val="00292E4B"/>
    <w:rsid w:val="00293F2F"/>
    <w:rsid w:val="0029531B"/>
    <w:rsid w:val="002A0912"/>
    <w:rsid w:val="002A2545"/>
    <w:rsid w:val="002A271A"/>
    <w:rsid w:val="002A6A21"/>
    <w:rsid w:val="002B0831"/>
    <w:rsid w:val="002C071C"/>
    <w:rsid w:val="002C5324"/>
    <w:rsid w:val="002C5BA3"/>
    <w:rsid w:val="002C6C72"/>
    <w:rsid w:val="002C6EF7"/>
    <w:rsid w:val="002C734C"/>
    <w:rsid w:val="002D33D9"/>
    <w:rsid w:val="002D376B"/>
    <w:rsid w:val="002D4752"/>
    <w:rsid w:val="002D5F7C"/>
    <w:rsid w:val="002E110C"/>
    <w:rsid w:val="002E3B73"/>
    <w:rsid w:val="002E50AC"/>
    <w:rsid w:val="002E7D02"/>
    <w:rsid w:val="002F09D5"/>
    <w:rsid w:val="002F2245"/>
    <w:rsid w:val="002F497C"/>
    <w:rsid w:val="002F4BEE"/>
    <w:rsid w:val="0030064E"/>
    <w:rsid w:val="00303879"/>
    <w:rsid w:val="0030442D"/>
    <w:rsid w:val="00306226"/>
    <w:rsid w:val="00307112"/>
    <w:rsid w:val="003115F0"/>
    <w:rsid w:val="00311F1E"/>
    <w:rsid w:val="003124C2"/>
    <w:rsid w:val="00314E88"/>
    <w:rsid w:val="00315346"/>
    <w:rsid w:val="00315D0D"/>
    <w:rsid w:val="00316740"/>
    <w:rsid w:val="00320609"/>
    <w:rsid w:val="0032282D"/>
    <w:rsid w:val="003248AC"/>
    <w:rsid w:val="003255DE"/>
    <w:rsid w:val="003268A3"/>
    <w:rsid w:val="00335531"/>
    <w:rsid w:val="00336406"/>
    <w:rsid w:val="00336D7C"/>
    <w:rsid w:val="003377B6"/>
    <w:rsid w:val="00345C4D"/>
    <w:rsid w:val="00346B61"/>
    <w:rsid w:val="00346BB5"/>
    <w:rsid w:val="00350BC5"/>
    <w:rsid w:val="00351097"/>
    <w:rsid w:val="003517D6"/>
    <w:rsid w:val="00353AD5"/>
    <w:rsid w:val="00353BDD"/>
    <w:rsid w:val="00356937"/>
    <w:rsid w:val="00357DC9"/>
    <w:rsid w:val="00366B07"/>
    <w:rsid w:val="00367766"/>
    <w:rsid w:val="00372925"/>
    <w:rsid w:val="00373CA7"/>
    <w:rsid w:val="00375B0D"/>
    <w:rsid w:val="003761E7"/>
    <w:rsid w:val="00376B04"/>
    <w:rsid w:val="00382A98"/>
    <w:rsid w:val="00382AFB"/>
    <w:rsid w:val="0038417B"/>
    <w:rsid w:val="00384451"/>
    <w:rsid w:val="00386E79"/>
    <w:rsid w:val="003912F8"/>
    <w:rsid w:val="00391BED"/>
    <w:rsid w:val="00394020"/>
    <w:rsid w:val="003956EA"/>
    <w:rsid w:val="00395FF0"/>
    <w:rsid w:val="003A4A57"/>
    <w:rsid w:val="003A4ACB"/>
    <w:rsid w:val="003A558B"/>
    <w:rsid w:val="003A5D73"/>
    <w:rsid w:val="003B1178"/>
    <w:rsid w:val="003B1CBC"/>
    <w:rsid w:val="003B2724"/>
    <w:rsid w:val="003B457C"/>
    <w:rsid w:val="003B6595"/>
    <w:rsid w:val="003C2ABE"/>
    <w:rsid w:val="003C3013"/>
    <w:rsid w:val="003C3D4D"/>
    <w:rsid w:val="003C53DE"/>
    <w:rsid w:val="003C5EE0"/>
    <w:rsid w:val="003C729C"/>
    <w:rsid w:val="003D1587"/>
    <w:rsid w:val="003D1710"/>
    <w:rsid w:val="003D2B80"/>
    <w:rsid w:val="003D2F9A"/>
    <w:rsid w:val="003D3064"/>
    <w:rsid w:val="003D3597"/>
    <w:rsid w:val="003D5026"/>
    <w:rsid w:val="003D5502"/>
    <w:rsid w:val="003D7756"/>
    <w:rsid w:val="003E39A2"/>
    <w:rsid w:val="003E458B"/>
    <w:rsid w:val="003E573C"/>
    <w:rsid w:val="003E5AB8"/>
    <w:rsid w:val="003F0149"/>
    <w:rsid w:val="003F1AFE"/>
    <w:rsid w:val="003F4A62"/>
    <w:rsid w:val="003F7FAD"/>
    <w:rsid w:val="00401590"/>
    <w:rsid w:val="0040218D"/>
    <w:rsid w:val="004022DA"/>
    <w:rsid w:val="00403D9B"/>
    <w:rsid w:val="00404C33"/>
    <w:rsid w:val="00405EDD"/>
    <w:rsid w:val="00407043"/>
    <w:rsid w:val="00407391"/>
    <w:rsid w:val="004079BA"/>
    <w:rsid w:val="00410D0F"/>
    <w:rsid w:val="00412D31"/>
    <w:rsid w:val="00412F58"/>
    <w:rsid w:val="004130BA"/>
    <w:rsid w:val="0041364F"/>
    <w:rsid w:val="004136DB"/>
    <w:rsid w:val="004146AC"/>
    <w:rsid w:val="0041511D"/>
    <w:rsid w:val="00415484"/>
    <w:rsid w:val="00417821"/>
    <w:rsid w:val="00417F5D"/>
    <w:rsid w:val="004212D5"/>
    <w:rsid w:val="00421AE6"/>
    <w:rsid w:val="0042397B"/>
    <w:rsid w:val="00426E8A"/>
    <w:rsid w:val="00427D52"/>
    <w:rsid w:val="00433605"/>
    <w:rsid w:val="004359B9"/>
    <w:rsid w:val="00436FE0"/>
    <w:rsid w:val="0043730B"/>
    <w:rsid w:val="00437B03"/>
    <w:rsid w:val="0044206A"/>
    <w:rsid w:val="0044610E"/>
    <w:rsid w:val="004465F3"/>
    <w:rsid w:val="00450E3B"/>
    <w:rsid w:val="00451386"/>
    <w:rsid w:val="00451EB9"/>
    <w:rsid w:val="00462408"/>
    <w:rsid w:val="00466D3B"/>
    <w:rsid w:val="00473AD4"/>
    <w:rsid w:val="004768F4"/>
    <w:rsid w:val="00481951"/>
    <w:rsid w:val="00482922"/>
    <w:rsid w:val="00482F73"/>
    <w:rsid w:val="00483625"/>
    <w:rsid w:val="00483D46"/>
    <w:rsid w:val="00485861"/>
    <w:rsid w:val="00485F9B"/>
    <w:rsid w:val="00486B0C"/>
    <w:rsid w:val="00487EB2"/>
    <w:rsid w:val="00490F2E"/>
    <w:rsid w:val="00491785"/>
    <w:rsid w:val="0049186C"/>
    <w:rsid w:val="00492E30"/>
    <w:rsid w:val="00495219"/>
    <w:rsid w:val="00495B81"/>
    <w:rsid w:val="004977AC"/>
    <w:rsid w:val="004A000A"/>
    <w:rsid w:val="004A1258"/>
    <w:rsid w:val="004A17D0"/>
    <w:rsid w:val="004A27CC"/>
    <w:rsid w:val="004A7B8B"/>
    <w:rsid w:val="004B12AE"/>
    <w:rsid w:val="004B1652"/>
    <w:rsid w:val="004B1D4E"/>
    <w:rsid w:val="004B504E"/>
    <w:rsid w:val="004B5893"/>
    <w:rsid w:val="004C09D6"/>
    <w:rsid w:val="004C1FAF"/>
    <w:rsid w:val="004C2238"/>
    <w:rsid w:val="004C3217"/>
    <w:rsid w:val="004D03EE"/>
    <w:rsid w:val="004D24FE"/>
    <w:rsid w:val="004D6E88"/>
    <w:rsid w:val="004E041D"/>
    <w:rsid w:val="004E1A29"/>
    <w:rsid w:val="004E20A9"/>
    <w:rsid w:val="004E4F9C"/>
    <w:rsid w:val="004E6A5B"/>
    <w:rsid w:val="004E7B53"/>
    <w:rsid w:val="004E7E53"/>
    <w:rsid w:val="004F011D"/>
    <w:rsid w:val="004F0446"/>
    <w:rsid w:val="004F0D97"/>
    <w:rsid w:val="004F1437"/>
    <w:rsid w:val="004F209D"/>
    <w:rsid w:val="004F50DF"/>
    <w:rsid w:val="004F6154"/>
    <w:rsid w:val="004F66AE"/>
    <w:rsid w:val="004F72A9"/>
    <w:rsid w:val="0050229D"/>
    <w:rsid w:val="00504D3D"/>
    <w:rsid w:val="005067E4"/>
    <w:rsid w:val="0051053F"/>
    <w:rsid w:val="005139BF"/>
    <w:rsid w:val="00513C09"/>
    <w:rsid w:val="00515CA5"/>
    <w:rsid w:val="00516832"/>
    <w:rsid w:val="005273AD"/>
    <w:rsid w:val="00531511"/>
    <w:rsid w:val="00532328"/>
    <w:rsid w:val="00533D46"/>
    <w:rsid w:val="00534C31"/>
    <w:rsid w:val="0053525B"/>
    <w:rsid w:val="00535365"/>
    <w:rsid w:val="0053630F"/>
    <w:rsid w:val="005443F5"/>
    <w:rsid w:val="00546710"/>
    <w:rsid w:val="00552141"/>
    <w:rsid w:val="0055295A"/>
    <w:rsid w:val="005536E3"/>
    <w:rsid w:val="00555536"/>
    <w:rsid w:val="00555565"/>
    <w:rsid w:val="00555C0A"/>
    <w:rsid w:val="00555EFC"/>
    <w:rsid w:val="0056254C"/>
    <w:rsid w:val="005645BC"/>
    <w:rsid w:val="0056561C"/>
    <w:rsid w:val="0057053D"/>
    <w:rsid w:val="0057232B"/>
    <w:rsid w:val="005726C4"/>
    <w:rsid w:val="005737E1"/>
    <w:rsid w:val="00574078"/>
    <w:rsid w:val="00575CF5"/>
    <w:rsid w:val="00576FDC"/>
    <w:rsid w:val="00577654"/>
    <w:rsid w:val="005807B8"/>
    <w:rsid w:val="005851CF"/>
    <w:rsid w:val="00586027"/>
    <w:rsid w:val="005860ED"/>
    <w:rsid w:val="00586310"/>
    <w:rsid w:val="0058689E"/>
    <w:rsid w:val="00592640"/>
    <w:rsid w:val="00594108"/>
    <w:rsid w:val="005950CA"/>
    <w:rsid w:val="00595232"/>
    <w:rsid w:val="005A0DD5"/>
    <w:rsid w:val="005A4D0F"/>
    <w:rsid w:val="005B093B"/>
    <w:rsid w:val="005B1B95"/>
    <w:rsid w:val="005B20C8"/>
    <w:rsid w:val="005B2618"/>
    <w:rsid w:val="005B29FC"/>
    <w:rsid w:val="005B34A7"/>
    <w:rsid w:val="005B45BB"/>
    <w:rsid w:val="005B5790"/>
    <w:rsid w:val="005B6F9B"/>
    <w:rsid w:val="005C1E16"/>
    <w:rsid w:val="005C3415"/>
    <w:rsid w:val="005C442A"/>
    <w:rsid w:val="005C64B1"/>
    <w:rsid w:val="005C7211"/>
    <w:rsid w:val="005D051C"/>
    <w:rsid w:val="005D2166"/>
    <w:rsid w:val="005D2542"/>
    <w:rsid w:val="005D2977"/>
    <w:rsid w:val="005D30CE"/>
    <w:rsid w:val="005D4834"/>
    <w:rsid w:val="005D6A3B"/>
    <w:rsid w:val="005E315B"/>
    <w:rsid w:val="005E3C09"/>
    <w:rsid w:val="005E4B8C"/>
    <w:rsid w:val="005E5085"/>
    <w:rsid w:val="005F182C"/>
    <w:rsid w:val="005F1976"/>
    <w:rsid w:val="005F1CDD"/>
    <w:rsid w:val="005F3912"/>
    <w:rsid w:val="005F4E05"/>
    <w:rsid w:val="005F770D"/>
    <w:rsid w:val="00600510"/>
    <w:rsid w:val="006017AA"/>
    <w:rsid w:val="00601F5A"/>
    <w:rsid w:val="00607731"/>
    <w:rsid w:val="006103C9"/>
    <w:rsid w:val="00611824"/>
    <w:rsid w:val="0061500E"/>
    <w:rsid w:val="006162C5"/>
    <w:rsid w:val="00616B35"/>
    <w:rsid w:val="00620008"/>
    <w:rsid w:val="0062066B"/>
    <w:rsid w:val="00620936"/>
    <w:rsid w:val="006218FB"/>
    <w:rsid w:val="00622805"/>
    <w:rsid w:val="00623779"/>
    <w:rsid w:val="00626CC7"/>
    <w:rsid w:val="00627627"/>
    <w:rsid w:val="0063075F"/>
    <w:rsid w:val="00633EDE"/>
    <w:rsid w:val="00633F46"/>
    <w:rsid w:val="0063621B"/>
    <w:rsid w:val="00641C10"/>
    <w:rsid w:val="006428AE"/>
    <w:rsid w:val="00642D70"/>
    <w:rsid w:val="006436BA"/>
    <w:rsid w:val="0064455A"/>
    <w:rsid w:val="00650C2B"/>
    <w:rsid w:val="00650E8F"/>
    <w:rsid w:val="006528BA"/>
    <w:rsid w:val="00652A4B"/>
    <w:rsid w:val="00655238"/>
    <w:rsid w:val="00655E16"/>
    <w:rsid w:val="006600E9"/>
    <w:rsid w:val="00661795"/>
    <w:rsid w:val="00665629"/>
    <w:rsid w:val="00667269"/>
    <w:rsid w:val="00670586"/>
    <w:rsid w:val="00670CE5"/>
    <w:rsid w:val="00671DCD"/>
    <w:rsid w:val="00673B04"/>
    <w:rsid w:val="006753D5"/>
    <w:rsid w:val="00676FD6"/>
    <w:rsid w:val="006772D9"/>
    <w:rsid w:val="00681A4F"/>
    <w:rsid w:val="00684A1F"/>
    <w:rsid w:val="0068517B"/>
    <w:rsid w:val="00685351"/>
    <w:rsid w:val="006873CB"/>
    <w:rsid w:val="00687788"/>
    <w:rsid w:val="00690475"/>
    <w:rsid w:val="00692B1D"/>
    <w:rsid w:val="006960FE"/>
    <w:rsid w:val="00696FE1"/>
    <w:rsid w:val="006A1403"/>
    <w:rsid w:val="006A6758"/>
    <w:rsid w:val="006B3EAB"/>
    <w:rsid w:val="006B770A"/>
    <w:rsid w:val="006C38BE"/>
    <w:rsid w:val="006C480E"/>
    <w:rsid w:val="006C6955"/>
    <w:rsid w:val="006C7804"/>
    <w:rsid w:val="006D0DA7"/>
    <w:rsid w:val="006D39DE"/>
    <w:rsid w:val="006D4241"/>
    <w:rsid w:val="006D4ED4"/>
    <w:rsid w:val="006D733D"/>
    <w:rsid w:val="006E015F"/>
    <w:rsid w:val="006E07F2"/>
    <w:rsid w:val="006E0B71"/>
    <w:rsid w:val="006E15A9"/>
    <w:rsid w:val="006E5E57"/>
    <w:rsid w:val="006E7022"/>
    <w:rsid w:val="006E7BC1"/>
    <w:rsid w:val="006F1918"/>
    <w:rsid w:val="006F20F1"/>
    <w:rsid w:val="006F4015"/>
    <w:rsid w:val="006F445A"/>
    <w:rsid w:val="006F5233"/>
    <w:rsid w:val="006F5640"/>
    <w:rsid w:val="006F5C1E"/>
    <w:rsid w:val="006F5DA2"/>
    <w:rsid w:val="006F69A8"/>
    <w:rsid w:val="006F7B89"/>
    <w:rsid w:val="00702AAB"/>
    <w:rsid w:val="00703E98"/>
    <w:rsid w:val="00707384"/>
    <w:rsid w:val="00707BF2"/>
    <w:rsid w:val="0071125C"/>
    <w:rsid w:val="0071138E"/>
    <w:rsid w:val="007123B5"/>
    <w:rsid w:val="00712587"/>
    <w:rsid w:val="00712CBC"/>
    <w:rsid w:val="00712DE3"/>
    <w:rsid w:val="00714738"/>
    <w:rsid w:val="00714BDC"/>
    <w:rsid w:val="00714E5C"/>
    <w:rsid w:val="00716928"/>
    <w:rsid w:val="0071780D"/>
    <w:rsid w:val="007211FC"/>
    <w:rsid w:val="00723894"/>
    <w:rsid w:val="007256DA"/>
    <w:rsid w:val="00727763"/>
    <w:rsid w:val="00730073"/>
    <w:rsid w:val="007401E5"/>
    <w:rsid w:val="00741D6A"/>
    <w:rsid w:val="007423FB"/>
    <w:rsid w:val="00744FF1"/>
    <w:rsid w:val="00745499"/>
    <w:rsid w:val="00746117"/>
    <w:rsid w:val="00750AA8"/>
    <w:rsid w:val="00750C8B"/>
    <w:rsid w:val="00751201"/>
    <w:rsid w:val="00751592"/>
    <w:rsid w:val="00751977"/>
    <w:rsid w:val="007519CA"/>
    <w:rsid w:val="00751FD1"/>
    <w:rsid w:val="00753D2C"/>
    <w:rsid w:val="00754E80"/>
    <w:rsid w:val="00757AC1"/>
    <w:rsid w:val="00761BF7"/>
    <w:rsid w:val="0076322A"/>
    <w:rsid w:val="007632A0"/>
    <w:rsid w:val="00763A92"/>
    <w:rsid w:val="00765F23"/>
    <w:rsid w:val="0076761B"/>
    <w:rsid w:val="00770EF9"/>
    <w:rsid w:val="00771887"/>
    <w:rsid w:val="00773303"/>
    <w:rsid w:val="0077452F"/>
    <w:rsid w:val="00776B21"/>
    <w:rsid w:val="00780935"/>
    <w:rsid w:val="00780D88"/>
    <w:rsid w:val="0078124E"/>
    <w:rsid w:val="0078270D"/>
    <w:rsid w:val="00782F00"/>
    <w:rsid w:val="00786EAE"/>
    <w:rsid w:val="0078744D"/>
    <w:rsid w:val="00790279"/>
    <w:rsid w:val="00790D85"/>
    <w:rsid w:val="007918D3"/>
    <w:rsid w:val="00791E0E"/>
    <w:rsid w:val="007922B8"/>
    <w:rsid w:val="007933C8"/>
    <w:rsid w:val="00795671"/>
    <w:rsid w:val="0079649A"/>
    <w:rsid w:val="00797B17"/>
    <w:rsid w:val="007A0B30"/>
    <w:rsid w:val="007A6767"/>
    <w:rsid w:val="007A7B8A"/>
    <w:rsid w:val="007A7EE6"/>
    <w:rsid w:val="007B0405"/>
    <w:rsid w:val="007B285A"/>
    <w:rsid w:val="007B3537"/>
    <w:rsid w:val="007B48F5"/>
    <w:rsid w:val="007B6AC9"/>
    <w:rsid w:val="007C2616"/>
    <w:rsid w:val="007C5E8C"/>
    <w:rsid w:val="007C62D4"/>
    <w:rsid w:val="007C73E8"/>
    <w:rsid w:val="007C7DFB"/>
    <w:rsid w:val="007D0868"/>
    <w:rsid w:val="007D532C"/>
    <w:rsid w:val="007D5B8A"/>
    <w:rsid w:val="007D65FD"/>
    <w:rsid w:val="007E0206"/>
    <w:rsid w:val="007E0E32"/>
    <w:rsid w:val="007E33F9"/>
    <w:rsid w:val="007E6CDD"/>
    <w:rsid w:val="007E76AC"/>
    <w:rsid w:val="007F1891"/>
    <w:rsid w:val="007F2072"/>
    <w:rsid w:val="007F5BE3"/>
    <w:rsid w:val="007F7200"/>
    <w:rsid w:val="0080043E"/>
    <w:rsid w:val="00800671"/>
    <w:rsid w:val="008016D6"/>
    <w:rsid w:val="00806B98"/>
    <w:rsid w:val="00806CD5"/>
    <w:rsid w:val="00807A9C"/>
    <w:rsid w:val="008106A9"/>
    <w:rsid w:val="008156FD"/>
    <w:rsid w:val="00817DCD"/>
    <w:rsid w:val="00820406"/>
    <w:rsid w:val="008212F8"/>
    <w:rsid w:val="008221DE"/>
    <w:rsid w:val="00823D57"/>
    <w:rsid w:val="00823F06"/>
    <w:rsid w:val="00832333"/>
    <w:rsid w:val="00833859"/>
    <w:rsid w:val="00833E79"/>
    <w:rsid w:val="00834E1A"/>
    <w:rsid w:val="008355E0"/>
    <w:rsid w:val="00842665"/>
    <w:rsid w:val="008437DA"/>
    <w:rsid w:val="00844551"/>
    <w:rsid w:val="00846099"/>
    <w:rsid w:val="00847551"/>
    <w:rsid w:val="008475F5"/>
    <w:rsid w:val="0084770F"/>
    <w:rsid w:val="008502DD"/>
    <w:rsid w:val="0085444A"/>
    <w:rsid w:val="008566A8"/>
    <w:rsid w:val="00856A44"/>
    <w:rsid w:val="008603E3"/>
    <w:rsid w:val="00863096"/>
    <w:rsid w:val="00867212"/>
    <w:rsid w:val="00867688"/>
    <w:rsid w:val="00867D51"/>
    <w:rsid w:val="00870E17"/>
    <w:rsid w:val="00873731"/>
    <w:rsid w:val="00874AA5"/>
    <w:rsid w:val="0087757D"/>
    <w:rsid w:val="00877BB7"/>
    <w:rsid w:val="008821CD"/>
    <w:rsid w:val="00882AD6"/>
    <w:rsid w:val="008832ED"/>
    <w:rsid w:val="00883C6B"/>
    <w:rsid w:val="00884520"/>
    <w:rsid w:val="008855D3"/>
    <w:rsid w:val="008910E3"/>
    <w:rsid w:val="008971AF"/>
    <w:rsid w:val="00897EE8"/>
    <w:rsid w:val="008A0485"/>
    <w:rsid w:val="008A11F9"/>
    <w:rsid w:val="008A2D66"/>
    <w:rsid w:val="008A4052"/>
    <w:rsid w:val="008A467A"/>
    <w:rsid w:val="008A50AD"/>
    <w:rsid w:val="008B0DC8"/>
    <w:rsid w:val="008B1DF8"/>
    <w:rsid w:val="008B29EA"/>
    <w:rsid w:val="008B38AE"/>
    <w:rsid w:val="008B3AA8"/>
    <w:rsid w:val="008B3AB9"/>
    <w:rsid w:val="008B6B33"/>
    <w:rsid w:val="008B7D4A"/>
    <w:rsid w:val="008C4B61"/>
    <w:rsid w:val="008C5BE8"/>
    <w:rsid w:val="008D1025"/>
    <w:rsid w:val="008D54FE"/>
    <w:rsid w:val="008D71EE"/>
    <w:rsid w:val="008D74BF"/>
    <w:rsid w:val="008D78FA"/>
    <w:rsid w:val="008D794F"/>
    <w:rsid w:val="008E507D"/>
    <w:rsid w:val="008E54F3"/>
    <w:rsid w:val="008E59CD"/>
    <w:rsid w:val="008E66A3"/>
    <w:rsid w:val="008F1B3B"/>
    <w:rsid w:val="008F5A1F"/>
    <w:rsid w:val="008F5F14"/>
    <w:rsid w:val="008F647E"/>
    <w:rsid w:val="009009DD"/>
    <w:rsid w:val="009024CC"/>
    <w:rsid w:val="009026C0"/>
    <w:rsid w:val="009072EB"/>
    <w:rsid w:val="009119C0"/>
    <w:rsid w:val="00911EE4"/>
    <w:rsid w:val="0091319D"/>
    <w:rsid w:val="00915950"/>
    <w:rsid w:val="00915BE5"/>
    <w:rsid w:val="00923BBB"/>
    <w:rsid w:val="00924D36"/>
    <w:rsid w:val="00925C07"/>
    <w:rsid w:val="00926E91"/>
    <w:rsid w:val="00927CF5"/>
    <w:rsid w:val="00930F2D"/>
    <w:rsid w:val="00941118"/>
    <w:rsid w:val="00942BDB"/>
    <w:rsid w:val="0094322B"/>
    <w:rsid w:val="00945F7C"/>
    <w:rsid w:val="00947709"/>
    <w:rsid w:val="009478F5"/>
    <w:rsid w:val="00947D2C"/>
    <w:rsid w:val="009506A0"/>
    <w:rsid w:val="00951B28"/>
    <w:rsid w:val="0095387F"/>
    <w:rsid w:val="009556AF"/>
    <w:rsid w:val="00955E98"/>
    <w:rsid w:val="00957E7E"/>
    <w:rsid w:val="00957F3D"/>
    <w:rsid w:val="00960292"/>
    <w:rsid w:val="00961D11"/>
    <w:rsid w:val="00963431"/>
    <w:rsid w:val="00964E00"/>
    <w:rsid w:val="009676E2"/>
    <w:rsid w:val="00967AE5"/>
    <w:rsid w:val="00967BF5"/>
    <w:rsid w:val="00971681"/>
    <w:rsid w:val="00972533"/>
    <w:rsid w:val="00973224"/>
    <w:rsid w:val="00975797"/>
    <w:rsid w:val="00976BAD"/>
    <w:rsid w:val="00977BEF"/>
    <w:rsid w:val="00980781"/>
    <w:rsid w:val="00981D18"/>
    <w:rsid w:val="00981EAD"/>
    <w:rsid w:val="0098300E"/>
    <w:rsid w:val="009844E9"/>
    <w:rsid w:val="00986833"/>
    <w:rsid w:val="00986D88"/>
    <w:rsid w:val="009911B8"/>
    <w:rsid w:val="0099424D"/>
    <w:rsid w:val="009A0057"/>
    <w:rsid w:val="009A086B"/>
    <w:rsid w:val="009A0A4D"/>
    <w:rsid w:val="009A6052"/>
    <w:rsid w:val="009B145F"/>
    <w:rsid w:val="009B1600"/>
    <w:rsid w:val="009B2EF2"/>
    <w:rsid w:val="009B4F6E"/>
    <w:rsid w:val="009C07A1"/>
    <w:rsid w:val="009C17E6"/>
    <w:rsid w:val="009C23AD"/>
    <w:rsid w:val="009C2437"/>
    <w:rsid w:val="009C2C4A"/>
    <w:rsid w:val="009C401A"/>
    <w:rsid w:val="009C5B52"/>
    <w:rsid w:val="009C5B6A"/>
    <w:rsid w:val="009C6EA2"/>
    <w:rsid w:val="009C7AA5"/>
    <w:rsid w:val="009C7CE7"/>
    <w:rsid w:val="009D019C"/>
    <w:rsid w:val="009D1473"/>
    <w:rsid w:val="009D166D"/>
    <w:rsid w:val="009D1F8E"/>
    <w:rsid w:val="009D4614"/>
    <w:rsid w:val="009D5024"/>
    <w:rsid w:val="009D52C9"/>
    <w:rsid w:val="009D52F7"/>
    <w:rsid w:val="009D6368"/>
    <w:rsid w:val="009E067D"/>
    <w:rsid w:val="009E0FC3"/>
    <w:rsid w:val="009E46AF"/>
    <w:rsid w:val="009E72DB"/>
    <w:rsid w:val="009F0B95"/>
    <w:rsid w:val="009F40BA"/>
    <w:rsid w:val="009F4BCE"/>
    <w:rsid w:val="009F54D9"/>
    <w:rsid w:val="009F5E09"/>
    <w:rsid w:val="009F69E2"/>
    <w:rsid w:val="009F7D92"/>
    <w:rsid w:val="00A00F58"/>
    <w:rsid w:val="00A01278"/>
    <w:rsid w:val="00A01F54"/>
    <w:rsid w:val="00A03D8F"/>
    <w:rsid w:val="00A05014"/>
    <w:rsid w:val="00A0501F"/>
    <w:rsid w:val="00A063F1"/>
    <w:rsid w:val="00A06FB9"/>
    <w:rsid w:val="00A11E74"/>
    <w:rsid w:val="00A12E62"/>
    <w:rsid w:val="00A15F27"/>
    <w:rsid w:val="00A2222C"/>
    <w:rsid w:val="00A22467"/>
    <w:rsid w:val="00A22C94"/>
    <w:rsid w:val="00A31B57"/>
    <w:rsid w:val="00A3266B"/>
    <w:rsid w:val="00A33006"/>
    <w:rsid w:val="00A33FF1"/>
    <w:rsid w:val="00A36212"/>
    <w:rsid w:val="00A428E6"/>
    <w:rsid w:val="00A43D71"/>
    <w:rsid w:val="00A47BEF"/>
    <w:rsid w:val="00A47C48"/>
    <w:rsid w:val="00A504F8"/>
    <w:rsid w:val="00A51573"/>
    <w:rsid w:val="00A51AED"/>
    <w:rsid w:val="00A51D6E"/>
    <w:rsid w:val="00A51E20"/>
    <w:rsid w:val="00A52854"/>
    <w:rsid w:val="00A55AA4"/>
    <w:rsid w:val="00A55D3B"/>
    <w:rsid w:val="00A600FA"/>
    <w:rsid w:val="00A615E1"/>
    <w:rsid w:val="00A63510"/>
    <w:rsid w:val="00A648F5"/>
    <w:rsid w:val="00A64971"/>
    <w:rsid w:val="00A649F0"/>
    <w:rsid w:val="00A652A6"/>
    <w:rsid w:val="00A65C91"/>
    <w:rsid w:val="00A66CFF"/>
    <w:rsid w:val="00A7459D"/>
    <w:rsid w:val="00A7483D"/>
    <w:rsid w:val="00A75369"/>
    <w:rsid w:val="00A76788"/>
    <w:rsid w:val="00A77604"/>
    <w:rsid w:val="00A80CAC"/>
    <w:rsid w:val="00A87185"/>
    <w:rsid w:val="00A93A42"/>
    <w:rsid w:val="00A970B2"/>
    <w:rsid w:val="00AA00FB"/>
    <w:rsid w:val="00AA3937"/>
    <w:rsid w:val="00AA3AC8"/>
    <w:rsid w:val="00AA4246"/>
    <w:rsid w:val="00AA5ADC"/>
    <w:rsid w:val="00AA749C"/>
    <w:rsid w:val="00AA7F58"/>
    <w:rsid w:val="00AB094A"/>
    <w:rsid w:val="00AB0DC5"/>
    <w:rsid w:val="00AB3967"/>
    <w:rsid w:val="00AB3BAA"/>
    <w:rsid w:val="00AB459C"/>
    <w:rsid w:val="00AC0EC8"/>
    <w:rsid w:val="00AC111A"/>
    <w:rsid w:val="00AC2C5E"/>
    <w:rsid w:val="00AC2C69"/>
    <w:rsid w:val="00AD135E"/>
    <w:rsid w:val="00AD182F"/>
    <w:rsid w:val="00AD2825"/>
    <w:rsid w:val="00AD6562"/>
    <w:rsid w:val="00AE25A4"/>
    <w:rsid w:val="00AE29AC"/>
    <w:rsid w:val="00AE3399"/>
    <w:rsid w:val="00AE3A65"/>
    <w:rsid w:val="00AE40B6"/>
    <w:rsid w:val="00AE4168"/>
    <w:rsid w:val="00AE493F"/>
    <w:rsid w:val="00AE49E1"/>
    <w:rsid w:val="00AE68E0"/>
    <w:rsid w:val="00AE6D67"/>
    <w:rsid w:val="00AF3487"/>
    <w:rsid w:val="00AF35DF"/>
    <w:rsid w:val="00AF5401"/>
    <w:rsid w:val="00B00CC8"/>
    <w:rsid w:val="00B01E94"/>
    <w:rsid w:val="00B027E7"/>
    <w:rsid w:val="00B11101"/>
    <w:rsid w:val="00B12571"/>
    <w:rsid w:val="00B12FA1"/>
    <w:rsid w:val="00B13B5F"/>
    <w:rsid w:val="00B13F7C"/>
    <w:rsid w:val="00B15ADC"/>
    <w:rsid w:val="00B204F7"/>
    <w:rsid w:val="00B20E6C"/>
    <w:rsid w:val="00B21955"/>
    <w:rsid w:val="00B22908"/>
    <w:rsid w:val="00B240E2"/>
    <w:rsid w:val="00B25062"/>
    <w:rsid w:val="00B262CA"/>
    <w:rsid w:val="00B27BB9"/>
    <w:rsid w:val="00B304E2"/>
    <w:rsid w:val="00B31124"/>
    <w:rsid w:val="00B31183"/>
    <w:rsid w:val="00B3134B"/>
    <w:rsid w:val="00B34EED"/>
    <w:rsid w:val="00B35C4D"/>
    <w:rsid w:val="00B4048D"/>
    <w:rsid w:val="00B41443"/>
    <w:rsid w:val="00B4270F"/>
    <w:rsid w:val="00B44D97"/>
    <w:rsid w:val="00B455C6"/>
    <w:rsid w:val="00B460F9"/>
    <w:rsid w:val="00B47C57"/>
    <w:rsid w:val="00B50AD0"/>
    <w:rsid w:val="00B520D9"/>
    <w:rsid w:val="00B5239A"/>
    <w:rsid w:val="00B54453"/>
    <w:rsid w:val="00B54F5B"/>
    <w:rsid w:val="00B56EB9"/>
    <w:rsid w:val="00B6127F"/>
    <w:rsid w:val="00B613DB"/>
    <w:rsid w:val="00B6144B"/>
    <w:rsid w:val="00B62CB6"/>
    <w:rsid w:val="00B66509"/>
    <w:rsid w:val="00B66BEB"/>
    <w:rsid w:val="00B70217"/>
    <w:rsid w:val="00B71297"/>
    <w:rsid w:val="00B73113"/>
    <w:rsid w:val="00B74B85"/>
    <w:rsid w:val="00B74E62"/>
    <w:rsid w:val="00B750FC"/>
    <w:rsid w:val="00B752D1"/>
    <w:rsid w:val="00B76638"/>
    <w:rsid w:val="00B76727"/>
    <w:rsid w:val="00B814F4"/>
    <w:rsid w:val="00B82739"/>
    <w:rsid w:val="00B82E92"/>
    <w:rsid w:val="00B84CED"/>
    <w:rsid w:val="00B85E21"/>
    <w:rsid w:val="00B8645F"/>
    <w:rsid w:val="00B86C57"/>
    <w:rsid w:val="00B86D91"/>
    <w:rsid w:val="00B906AE"/>
    <w:rsid w:val="00B90F60"/>
    <w:rsid w:val="00B93FE5"/>
    <w:rsid w:val="00B94F15"/>
    <w:rsid w:val="00B94F30"/>
    <w:rsid w:val="00B95935"/>
    <w:rsid w:val="00B9627C"/>
    <w:rsid w:val="00B96FE8"/>
    <w:rsid w:val="00B97481"/>
    <w:rsid w:val="00BA057A"/>
    <w:rsid w:val="00BA263F"/>
    <w:rsid w:val="00BA2FED"/>
    <w:rsid w:val="00BA38EA"/>
    <w:rsid w:val="00BA3D54"/>
    <w:rsid w:val="00BA54C8"/>
    <w:rsid w:val="00BA58CC"/>
    <w:rsid w:val="00BA7532"/>
    <w:rsid w:val="00BB08B0"/>
    <w:rsid w:val="00BB2477"/>
    <w:rsid w:val="00BB3177"/>
    <w:rsid w:val="00BB4ADC"/>
    <w:rsid w:val="00BB5949"/>
    <w:rsid w:val="00BB7267"/>
    <w:rsid w:val="00BB77E0"/>
    <w:rsid w:val="00BC0041"/>
    <w:rsid w:val="00BC0100"/>
    <w:rsid w:val="00BC0C6D"/>
    <w:rsid w:val="00BC22DE"/>
    <w:rsid w:val="00BC2517"/>
    <w:rsid w:val="00BC27F4"/>
    <w:rsid w:val="00BC4BB3"/>
    <w:rsid w:val="00BC54C3"/>
    <w:rsid w:val="00BC6247"/>
    <w:rsid w:val="00BC771F"/>
    <w:rsid w:val="00BD0263"/>
    <w:rsid w:val="00BD0D21"/>
    <w:rsid w:val="00BD1B72"/>
    <w:rsid w:val="00BD2A7D"/>
    <w:rsid w:val="00BD2AAC"/>
    <w:rsid w:val="00BD2E9A"/>
    <w:rsid w:val="00BD31EF"/>
    <w:rsid w:val="00BD4030"/>
    <w:rsid w:val="00BD6CB5"/>
    <w:rsid w:val="00BE219C"/>
    <w:rsid w:val="00BE24A1"/>
    <w:rsid w:val="00BE2FC8"/>
    <w:rsid w:val="00BE7D51"/>
    <w:rsid w:val="00BF0FEC"/>
    <w:rsid w:val="00BF3DF6"/>
    <w:rsid w:val="00BF4F60"/>
    <w:rsid w:val="00BF747A"/>
    <w:rsid w:val="00C02AF2"/>
    <w:rsid w:val="00C02F0D"/>
    <w:rsid w:val="00C04DE5"/>
    <w:rsid w:val="00C04E38"/>
    <w:rsid w:val="00C13423"/>
    <w:rsid w:val="00C150ED"/>
    <w:rsid w:val="00C1512B"/>
    <w:rsid w:val="00C17B16"/>
    <w:rsid w:val="00C232FF"/>
    <w:rsid w:val="00C269B8"/>
    <w:rsid w:val="00C275D8"/>
    <w:rsid w:val="00C3184F"/>
    <w:rsid w:val="00C330B9"/>
    <w:rsid w:val="00C345FD"/>
    <w:rsid w:val="00C348DC"/>
    <w:rsid w:val="00C34A10"/>
    <w:rsid w:val="00C34AA2"/>
    <w:rsid w:val="00C35DDE"/>
    <w:rsid w:val="00C35E95"/>
    <w:rsid w:val="00C3628C"/>
    <w:rsid w:val="00C363D4"/>
    <w:rsid w:val="00C36A91"/>
    <w:rsid w:val="00C37D68"/>
    <w:rsid w:val="00C40248"/>
    <w:rsid w:val="00C434E3"/>
    <w:rsid w:val="00C44914"/>
    <w:rsid w:val="00C474A7"/>
    <w:rsid w:val="00C508CD"/>
    <w:rsid w:val="00C5262B"/>
    <w:rsid w:val="00C5376B"/>
    <w:rsid w:val="00C53E29"/>
    <w:rsid w:val="00C5425B"/>
    <w:rsid w:val="00C542F8"/>
    <w:rsid w:val="00C54BED"/>
    <w:rsid w:val="00C56676"/>
    <w:rsid w:val="00C60CC1"/>
    <w:rsid w:val="00C614A2"/>
    <w:rsid w:val="00C6296A"/>
    <w:rsid w:val="00C64D87"/>
    <w:rsid w:val="00C658BC"/>
    <w:rsid w:val="00C6633C"/>
    <w:rsid w:val="00C67E8F"/>
    <w:rsid w:val="00C70CE6"/>
    <w:rsid w:val="00C70D99"/>
    <w:rsid w:val="00C70FB8"/>
    <w:rsid w:val="00C7105A"/>
    <w:rsid w:val="00C71273"/>
    <w:rsid w:val="00C71513"/>
    <w:rsid w:val="00C71E48"/>
    <w:rsid w:val="00C73627"/>
    <w:rsid w:val="00C73D34"/>
    <w:rsid w:val="00C74A42"/>
    <w:rsid w:val="00C75CC7"/>
    <w:rsid w:val="00C77D5D"/>
    <w:rsid w:val="00C801EF"/>
    <w:rsid w:val="00C81148"/>
    <w:rsid w:val="00C82AA1"/>
    <w:rsid w:val="00C84997"/>
    <w:rsid w:val="00C858EB"/>
    <w:rsid w:val="00C8594B"/>
    <w:rsid w:val="00C905E4"/>
    <w:rsid w:val="00C91030"/>
    <w:rsid w:val="00C91348"/>
    <w:rsid w:val="00C9212D"/>
    <w:rsid w:val="00C93D9D"/>
    <w:rsid w:val="00C94283"/>
    <w:rsid w:val="00CA27AF"/>
    <w:rsid w:val="00CA4B0D"/>
    <w:rsid w:val="00CA56B7"/>
    <w:rsid w:val="00CA60A5"/>
    <w:rsid w:val="00CB04A8"/>
    <w:rsid w:val="00CB166B"/>
    <w:rsid w:val="00CB4329"/>
    <w:rsid w:val="00CB5606"/>
    <w:rsid w:val="00CB5BAC"/>
    <w:rsid w:val="00CB74A8"/>
    <w:rsid w:val="00CB7BBD"/>
    <w:rsid w:val="00CC2721"/>
    <w:rsid w:val="00CC4134"/>
    <w:rsid w:val="00CC4B26"/>
    <w:rsid w:val="00CC5092"/>
    <w:rsid w:val="00CC6465"/>
    <w:rsid w:val="00CC760B"/>
    <w:rsid w:val="00CC77DB"/>
    <w:rsid w:val="00CD210D"/>
    <w:rsid w:val="00CD2419"/>
    <w:rsid w:val="00CD2BBC"/>
    <w:rsid w:val="00CD36A4"/>
    <w:rsid w:val="00CD3B02"/>
    <w:rsid w:val="00CD41AF"/>
    <w:rsid w:val="00CD4AAE"/>
    <w:rsid w:val="00CD4D02"/>
    <w:rsid w:val="00CD531E"/>
    <w:rsid w:val="00CD5945"/>
    <w:rsid w:val="00CD624D"/>
    <w:rsid w:val="00CD660F"/>
    <w:rsid w:val="00CD7451"/>
    <w:rsid w:val="00CE308D"/>
    <w:rsid w:val="00CE3F47"/>
    <w:rsid w:val="00CE70B6"/>
    <w:rsid w:val="00CE760B"/>
    <w:rsid w:val="00CE7639"/>
    <w:rsid w:val="00CF248B"/>
    <w:rsid w:val="00CF2E7E"/>
    <w:rsid w:val="00CF3172"/>
    <w:rsid w:val="00CF3FF9"/>
    <w:rsid w:val="00CF43D3"/>
    <w:rsid w:val="00CF4A87"/>
    <w:rsid w:val="00CF65A2"/>
    <w:rsid w:val="00CF68EF"/>
    <w:rsid w:val="00CF7E3C"/>
    <w:rsid w:val="00D01F70"/>
    <w:rsid w:val="00D0276E"/>
    <w:rsid w:val="00D02BA6"/>
    <w:rsid w:val="00D0595B"/>
    <w:rsid w:val="00D06651"/>
    <w:rsid w:val="00D11DF0"/>
    <w:rsid w:val="00D13B43"/>
    <w:rsid w:val="00D14F73"/>
    <w:rsid w:val="00D151DA"/>
    <w:rsid w:val="00D153C8"/>
    <w:rsid w:val="00D1595E"/>
    <w:rsid w:val="00D1666C"/>
    <w:rsid w:val="00D208FD"/>
    <w:rsid w:val="00D20E34"/>
    <w:rsid w:val="00D237AF"/>
    <w:rsid w:val="00D23C38"/>
    <w:rsid w:val="00D255FE"/>
    <w:rsid w:val="00D26A03"/>
    <w:rsid w:val="00D26C1A"/>
    <w:rsid w:val="00D26EB6"/>
    <w:rsid w:val="00D27FB1"/>
    <w:rsid w:val="00D30817"/>
    <w:rsid w:val="00D33F27"/>
    <w:rsid w:val="00D34A16"/>
    <w:rsid w:val="00D35B34"/>
    <w:rsid w:val="00D35EFD"/>
    <w:rsid w:val="00D3778B"/>
    <w:rsid w:val="00D44E30"/>
    <w:rsid w:val="00D503E2"/>
    <w:rsid w:val="00D51FCC"/>
    <w:rsid w:val="00D52017"/>
    <w:rsid w:val="00D5216D"/>
    <w:rsid w:val="00D52185"/>
    <w:rsid w:val="00D5266E"/>
    <w:rsid w:val="00D52BC5"/>
    <w:rsid w:val="00D53CF8"/>
    <w:rsid w:val="00D55AA5"/>
    <w:rsid w:val="00D55D3C"/>
    <w:rsid w:val="00D6127B"/>
    <w:rsid w:val="00D63043"/>
    <w:rsid w:val="00D64476"/>
    <w:rsid w:val="00D6616E"/>
    <w:rsid w:val="00D72BFC"/>
    <w:rsid w:val="00D72C71"/>
    <w:rsid w:val="00D735C8"/>
    <w:rsid w:val="00D7360F"/>
    <w:rsid w:val="00D74C93"/>
    <w:rsid w:val="00D76378"/>
    <w:rsid w:val="00D832BA"/>
    <w:rsid w:val="00D854CD"/>
    <w:rsid w:val="00D86CAC"/>
    <w:rsid w:val="00D87CCF"/>
    <w:rsid w:val="00D90C2A"/>
    <w:rsid w:val="00D9196A"/>
    <w:rsid w:val="00D91BF5"/>
    <w:rsid w:val="00D922AF"/>
    <w:rsid w:val="00D96763"/>
    <w:rsid w:val="00D967EC"/>
    <w:rsid w:val="00DA17D5"/>
    <w:rsid w:val="00DA237A"/>
    <w:rsid w:val="00DA3D88"/>
    <w:rsid w:val="00DA4390"/>
    <w:rsid w:val="00DA475A"/>
    <w:rsid w:val="00DA6177"/>
    <w:rsid w:val="00DA65C1"/>
    <w:rsid w:val="00DA67CD"/>
    <w:rsid w:val="00DB0398"/>
    <w:rsid w:val="00DB773F"/>
    <w:rsid w:val="00DB79BC"/>
    <w:rsid w:val="00DC15B9"/>
    <w:rsid w:val="00DC6CC8"/>
    <w:rsid w:val="00DD0508"/>
    <w:rsid w:val="00DD3361"/>
    <w:rsid w:val="00DD66F8"/>
    <w:rsid w:val="00DD6BD0"/>
    <w:rsid w:val="00DD75E0"/>
    <w:rsid w:val="00DE0275"/>
    <w:rsid w:val="00DE070D"/>
    <w:rsid w:val="00DE4607"/>
    <w:rsid w:val="00DE4A8F"/>
    <w:rsid w:val="00DE5B4D"/>
    <w:rsid w:val="00DE6C4B"/>
    <w:rsid w:val="00DE79BF"/>
    <w:rsid w:val="00DF2715"/>
    <w:rsid w:val="00DF2B07"/>
    <w:rsid w:val="00DF3ED2"/>
    <w:rsid w:val="00DF5DD7"/>
    <w:rsid w:val="00DF69C5"/>
    <w:rsid w:val="00DF6B59"/>
    <w:rsid w:val="00DF76A1"/>
    <w:rsid w:val="00DF7C62"/>
    <w:rsid w:val="00E017B3"/>
    <w:rsid w:val="00E01AE9"/>
    <w:rsid w:val="00E02F81"/>
    <w:rsid w:val="00E0799C"/>
    <w:rsid w:val="00E138D4"/>
    <w:rsid w:val="00E167DE"/>
    <w:rsid w:val="00E21864"/>
    <w:rsid w:val="00E21A0E"/>
    <w:rsid w:val="00E23670"/>
    <w:rsid w:val="00E27D4C"/>
    <w:rsid w:val="00E3084D"/>
    <w:rsid w:val="00E31836"/>
    <w:rsid w:val="00E32053"/>
    <w:rsid w:val="00E3214A"/>
    <w:rsid w:val="00E32A7D"/>
    <w:rsid w:val="00E33AE8"/>
    <w:rsid w:val="00E36700"/>
    <w:rsid w:val="00E367F6"/>
    <w:rsid w:val="00E42277"/>
    <w:rsid w:val="00E4347E"/>
    <w:rsid w:val="00E4753F"/>
    <w:rsid w:val="00E475A4"/>
    <w:rsid w:val="00E50AAF"/>
    <w:rsid w:val="00E50AFE"/>
    <w:rsid w:val="00E52098"/>
    <w:rsid w:val="00E53FDB"/>
    <w:rsid w:val="00E5513F"/>
    <w:rsid w:val="00E55872"/>
    <w:rsid w:val="00E56E75"/>
    <w:rsid w:val="00E57CB4"/>
    <w:rsid w:val="00E60B41"/>
    <w:rsid w:val="00E61837"/>
    <w:rsid w:val="00E625B1"/>
    <w:rsid w:val="00E62E5D"/>
    <w:rsid w:val="00E6305C"/>
    <w:rsid w:val="00E65F4C"/>
    <w:rsid w:val="00E71CE6"/>
    <w:rsid w:val="00E7349E"/>
    <w:rsid w:val="00E74DD8"/>
    <w:rsid w:val="00E8027F"/>
    <w:rsid w:val="00E80A29"/>
    <w:rsid w:val="00E83AD6"/>
    <w:rsid w:val="00E9045F"/>
    <w:rsid w:val="00E912C1"/>
    <w:rsid w:val="00E9265B"/>
    <w:rsid w:val="00E952D5"/>
    <w:rsid w:val="00E9555A"/>
    <w:rsid w:val="00E95F50"/>
    <w:rsid w:val="00E97392"/>
    <w:rsid w:val="00EA09A0"/>
    <w:rsid w:val="00EA1B15"/>
    <w:rsid w:val="00EA2C82"/>
    <w:rsid w:val="00EA3BB0"/>
    <w:rsid w:val="00EA549F"/>
    <w:rsid w:val="00EA694F"/>
    <w:rsid w:val="00EB08C2"/>
    <w:rsid w:val="00EB16A7"/>
    <w:rsid w:val="00EB336E"/>
    <w:rsid w:val="00EB64F0"/>
    <w:rsid w:val="00EB76DE"/>
    <w:rsid w:val="00EC0B49"/>
    <w:rsid w:val="00EC0FC9"/>
    <w:rsid w:val="00EC43B3"/>
    <w:rsid w:val="00EC4C5B"/>
    <w:rsid w:val="00EC58E8"/>
    <w:rsid w:val="00EC6A7E"/>
    <w:rsid w:val="00EC7549"/>
    <w:rsid w:val="00ED0240"/>
    <w:rsid w:val="00ED1223"/>
    <w:rsid w:val="00ED4690"/>
    <w:rsid w:val="00ED6580"/>
    <w:rsid w:val="00ED698F"/>
    <w:rsid w:val="00ED7126"/>
    <w:rsid w:val="00EE1BF4"/>
    <w:rsid w:val="00EE4B24"/>
    <w:rsid w:val="00EE4B81"/>
    <w:rsid w:val="00EF00A4"/>
    <w:rsid w:val="00EF0897"/>
    <w:rsid w:val="00EF169C"/>
    <w:rsid w:val="00EF1B31"/>
    <w:rsid w:val="00EF5668"/>
    <w:rsid w:val="00EF6164"/>
    <w:rsid w:val="00EF7607"/>
    <w:rsid w:val="00F041AD"/>
    <w:rsid w:val="00F05500"/>
    <w:rsid w:val="00F106C2"/>
    <w:rsid w:val="00F125F6"/>
    <w:rsid w:val="00F13269"/>
    <w:rsid w:val="00F13B5A"/>
    <w:rsid w:val="00F21B8A"/>
    <w:rsid w:val="00F22BC1"/>
    <w:rsid w:val="00F23544"/>
    <w:rsid w:val="00F278E2"/>
    <w:rsid w:val="00F333FF"/>
    <w:rsid w:val="00F35C72"/>
    <w:rsid w:val="00F35FD1"/>
    <w:rsid w:val="00F36961"/>
    <w:rsid w:val="00F3715A"/>
    <w:rsid w:val="00F37179"/>
    <w:rsid w:val="00F40A78"/>
    <w:rsid w:val="00F44667"/>
    <w:rsid w:val="00F472D0"/>
    <w:rsid w:val="00F47D60"/>
    <w:rsid w:val="00F57F72"/>
    <w:rsid w:val="00F603C9"/>
    <w:rsid w:val="00F61E53"/>
    <w:rsid w:val="00F622BE"/>
    <w:rsid w:val="00F62C47"/>
    <w:rsid w:val="00F62D3E"/>
    <w:rsid w:val="00F6504E"/>
    <w:rsid w:val="00F6567C"/>
    <w:rsid w:val="00F668DB"/>
    <w:rsid w:val="00F7166A"/>
    <w:rsid w:val="00F779A4"/>
    <w:rsid w:val="00F81424"/>
    <w:rsid w:val="00F81EE4"/>
    <w:rsid w:val="00F8523B"/>
    <w:rsid w:val="00F90831"/>
    <w:rsid w:val="00F92F13"/>
    <w:rsid w:val="00F9321E"/>
    <w:rsid w:val="00F947BF"/>
    <w:rsid w:val="00F9521F"/>
    <w:rsid w:val="00F96345"/>
    <w:rsid w:val="00F97B63"/>
    <w:rsid w:val="00FA3071"/>
    <w:rsid w:val="00FA584A"/>
    <w:rsid w:val="00FB2277"/>
    <w:rsid w:val="00FB3EEF"/>
    <w:rsid w:val="00FB4D29"/>
    <w:rsid w:val="00FB5072"/>
    <w:rsid w:val="00FB6419"/>
    <w:rsid w:val="00FC1578"/>
    <w:rsid w:val="00FC1773"/>
    <w:rsid w:val="00FC1C16"/>
    <w:rsid w:val="00FC20E8"/>
    <w:rsid w:val="00FC47CB"/>
    <w:rsid w:val="00FC4891"/>
    <w:rsid w:val="00FC69C7"/>
    <w:rsid w:val="00FD0226"/>
    <w:rsid w:val="00FD1BD0"/>
    <w:rsid w:val="00FD3949"/>
    <w:rsid w:val="00FD4CB8"/>
    <w:rsid w:val="00FD60F3"/>
    <w:rsid w:val="00FD6C22"/>
    <w:rsid w:val="00FD6DAC"/>
    <w:rsid w:val="00FE0B1D"/>
    <w:rsid w:val="00FE405D"/>
    <w:rsid w:val="00FE4E25"/>
    <w:rsid w:val="00FF1092"/>
    <w:rsid w:val="00FF2A4E"/>
    <w:rsid w:val="00FF37B0"/>
    <w:rsid w:val="00FF4942"/>
    <w:rsid w:val="00FF5D46"/>
    <w:rsid w:val="00FF5F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F95D7"/>
  <w15:chartTrackingRefBased/>
  <w15:docId w15:val="{09F063D0-9BE7-BD4E-B262-439DD6DE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1A2611"/>
    <w:pPr>
      <w:numPr>
        <w:numId w:val="1"/>
      </w:numPr>
      <w:spacing w:after="120"/>
      <w:outlineLvl w:val="0"/>
    </w:pPr>
    <w:rPr>
      <w:rFonts w:cstheme="minorHAnsi"/>
      <w:b/>
      <w:i/>
      <w:iCs/>
    </w:rPr>
  </w:style>
  <w:style w:type="paragraph" w:styleId="Heading2">
    <w:name w:val="heading 2"/>
    <w:basedOn w:val="Normal"/>
    <w:next w:val="Normal"/>
    <w:link w:val="Heading2Char"/>
    <w:uiPriority w:val="9"/>
    <w:unhideWhenUsed/>
    <w:qFormat/>
    <w:rsid w:val="001A2611"/>
    <w:pPr>
      <w:numPr>
        <w:ilvl w:val="1"/>
        <w:numId w:val="1"/>
      </w:numPr>
      <w:spacing w:after="120"/>
      <w:outlineLvl w:val="1"/>
    </w:pPr>
    <w:rPr>
      <w:rFonts w:cstheme="minorHAnsi"/>
      <w:i/>
      <w:iCs/>
    </w:rPr>
  </w:style>
  <w:style w:type="paragraph" w:styleId="Heading3">
    <w:name w:val="heading 3"/>
    <w:basedOn w:val="Normal"/>
    <w:next w:val="Normal"/>
    <w:link w:val="Heading3Char"/>
    <w:uiPriority w:val="9"/>
    <w:semiHidden/>
    <w:unhideWhenUsed/>
    <w:qFormat/>
    <w:rsid w:val="00D34A16"/>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34A16"/>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4A1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34A1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34A1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34A1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4A1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8CC"/>
    <w:pPr>
      <w:ind w:left="720"/>
      <w:contextualSpacing/>
    </w:pPr>
  </w:style>
  <w:style w:type="paragraph" w:styleId="Header">
    <w:name w:val="header"/>
    <w:basedOn w:val="Normal"/>
    <w:link w:val="HeaderChar"/>
    <w:uiPriority w:val="99"/>
    <w:unhideWhenUsed/>
    <w:rsid w:val="001760C2"/>
    <w:pPr>
      <w:tabs>
        <w:tab w:val="center" w:pos="4536"/>
        <w:tab w:val="right" w:pos="9072"/>
      </w:tabs>
    </w:pPr>
  </w:style>
  <w:style w:type="character" w:customStyle="1" w:styleId="HeaderChar">
    <w:name w:val="Header Char"/>
    <w:basedOn w:val="DefaultParagraphFont"/>
    <w:link w:val="Header"/>
    <w:uiPriority w:val="99"/>
    <w:rsid w:val="001760C2"/>
  </w:style>
  <w:style w:type="paragraph" w:styleId="Footer">
    <w:name w:val="footer"/>
    <w:basedOn w:val="Normal"/>
    <w:link w:val="FooterChar"/>
    <w:uiPriority w:val="99"/>
    <w:unhideWhenUsed/>
    <w:rsid w:val="001760C2"/>
    <w:pPr>
      <w:tabs>
        <w:tab w:val="center" w:pos="4536"/>
        <w:tab w:val="right" w:pos="9072"/>
      </w:tabs>
    </w:pPr>
  </w:style>
  <w:style w:type="character" w:customStyle="1" w:styleId="FooterChar">
    <w:name w:val="Footer Char"/>
    <w:basedOn w:val="DefaultParagraphFont"/>
    <w:link w:val="Footer"/>
    <w:uiPriority w:val="99"/>
    <w:rsid w:val="001760C2"/>
  </w:style>
  <w:style w:type="character" w:styleId="CommentReference">
    <w:name w:val="annotation reference"/>
    <w:basedOn w:val="DefaultParagraphFont"/>
    <w:uiPriority w:val="99"/>
    <w:semiHidden/>
    <w:unhideWhenUsed/>
    <w:rsid w:val="00E71CE6"/>
    <w:rPr>
      <w:sz w:val="16"/>
      <w:szCs w:val="16"/>
    </w:rPr>
  </w:style>
  <w:style w:type="paragraph" w:styleId="CommentText">
    <w:name w:val="annotation text"/>
    <w:basedOn w:val="Normal"/>
    <w:link w:val="CommentTextChar"/>
    <w:uiPriority w:val="99"/>
    <w:semiHidden/>
    <w:unhideWhenUsed/>
    <w:rsid w:val="00E71CE6"/>
    <w:rPr>
      <w:sz w:val="20"/>
      <w:szCs w:val="20"/>
    </w:rPr>
  </w:style>
  <w:style w:type="character" w:customStyle="1" w:styleId="CommentTextChar">
    <w:name w:val="Comment Text Char"/>
    <w:basedOn w:val="DefaultParagraphFont"/>
    <w:link w:val="CommentText"/>
    <w:uiPriority w:val="99"/>
    <w:semiHidden/>
    <w:rsid w:val="00E71CE6"/>
    <w:rPr>
      <w:sz w:val="20"/>
      <w:szCs w:val="20"/>
    </w:rPr>
  </w:style>
  <w:style w:type="paragraph" w:styleId="CommentSubject">
    <w:name w:val="annotation subject"/>
    <w:basedOn w:val="CommentText"/>
    <w:next w:val="CommentText"/>
    <w:link w:val="CommentSubjectChar"/>
    <w:uiPriority w:val="99"/>
    <w:semiHidden/>
    <w:unhideWhenUsed/>
    <w:rsid w:val="00E71CE6"/>
    <w:rPr>
      <w:b/>
      <w:bCs/>
    </w:rPr>
  </w:style>
  <w:style w:type="character" w:customStyle="1" w:styleId="CommentSubjectChar">
    <w:name w:val="Comment Subject Char"/>
    <w:basedOn w:val="CommentTextChar"/>
    <w:link w:val="CommentSubject"/>
    <w:uiPriority w:val="99"/>
    <w:semiHidden/>
    <w:rsid w:val="00E71CE6"/>
    <w:rPr>
      <w:b/>
      <w:bCs/>
      <w:sz w:val="20"/>
      <w:szCs w:val="20"/>
    </w:rPr>
  </w:style>
  <w:style w:type="character" w:customStyle="1" w:styleId="Heading1Char">
    <w:name w:val="Heading 1 Char"/>
    <w:basedOn w:val="DefaultParagraphFont"/>
    <w:link w:val="Heading1"/>
    <w:uiPriority w:val="9"/>
    <w:rsid w:val="001A2611"/>
    <w:rPr>
      <w:rFonts w:cstheme="minorHAnsi"/>
      <w:b/>
      <w:i/>
      <w:iCs/>
    </w:rPr>
  </w:style>
  <w:style w:type="character" w:customStyle="1" w:styleId="Heading2Char">
    <w:name w:val="Heading 2 Char"/>
    <w:basedOn w:val="DefaultParagraphFont"/>
    <w:link w:val="Heading2"/>
    <w:uiPriority w:val="9"/>
    <w:rsid w:val="001A2611"/>
    <w:rPr>
      <w:rFonts w:cstheme="minorHAnsi"/>
      <w:i/>
      <w:iCs/>
    </w:rPr>
  </w:style>
  <w:style w:type="character" w:customStyle="1" w:styleId="Heading3Char">
    <w:name w:val="Heading 3 Char"/>
    <w:basedOn w:val="DefaultParagraphFont"/>
    <w:link w:val="Heading3"/>
    <w:uiPriority w:val="9"/>
    <w:semiHidden/>
    <w:rsid w:val="00D34A1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D34A1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34A1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34A1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34A1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34A1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4A16"/>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al"/>
    <w:rsid w:val="00C02AF2"/>
    <w:pPr>
      <w:spacing w:before="100" w:beforeAutospacing="1" w:after="100" w:afterAutospacing="1"/>
    </w:pPr>
    <w:rPr>
      <w:rFonts w:ascii="Times New Roman" w:eastAsia="Times New Roman" w:hAnsi="Times New Roman" w:cs="Times New Roman"/>
      <w:lang w:val="fr-FR" w:eastAsia="zh-CN"/>
    </w:rPr>
  </w:style>
  <w:style w:type="character" w:customStyle="1" w:styleId="normaltextrun">
    <w:name w:val="normaltextrun"/>
    <w:basedOn w:val="DefaultParagraphFont"/>
    <w:rsid w:val="00C02AF2"/>
  </w:style>
  <w:style w:type="character" w:customStyle="1" w:styleId="eop">
    <w:name w:val="eop"/>
    <w:basedOn w:val="DefaultParagraphFont"/>
    <w:rsid w:val="00C02AF2"/>
  </w:style>
  <w:style w:type="character" w:customStyle="1" w:styleId="spellingerror">
    <w:name w:val="spellingerror"/>
    <w:basedOn w:val="DefaultParagraphFont"/>
    <w:rsid w:val="00C02AF2"/>
  </w:style>
  <w:style w:type="paragraph" w:styleId="NormalWeb">
    <w:name w:val="Normal (Web)"/>
    <w:basedOn w:val="Normal"/>
    <w:uiPriority w:val="99"/>
    <w:unhideWhenUsed/>
    <w:rsid w:val="00B01E94"/>
    <w:pPr>
      <w:spacing w:before="100" w:beforeAutospacing="1" w:after="100" w:afterAutospacing="1"/>
    </w:pPr>
    <w:rPr>
      <w:rFonts w:ascii="Times New Roman" w:eastAsia="Times New Roman" w:hAnsi="Times New Roman" w:cs="Times New Roman"/>
      <w:lang w:val="fr-FR" w:eastAsia="zh-CN"/>
    </w:rPr>
  </w:style>
  <w:style w:type="character" w:styleId="Hyperlink">
    <w:name w:val="Hyperlink"/>
    <w:basedOn w:val="DefaultParagraphFont"/>
    <w:uiPriority w:val="99"/>
    <w:unhideWhenUsed/>
    <w:rsid w:val="00EF7607"/>
    <w:rPr>
      <w:color w:val="0563C1" w:themeColor="hyperlink"/>
      <w:u w:val="single"/>
    </w:rPr>
  </w:style>
  <w:style w:type="character" w:styleId="UnresolvedMention">
    <w:name w:val="Unresolved Mention"/>
    <w:basedOn w:val="DefaultParagraphFont"/>
    <w:uiPriority w:val="99"/>
    <w:semiHidden/>
    <w:unhideWhenUsed/>
    <w:rsid w:val="00EF7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78835">
      <w:bodyDiv w:val="1"/>
      <w:marLeft w:val="0"/>
      <w:marRight w:val="0"/>
      <w:marTop w:val="0"/>
      <w:marBottom w:val="0"/>
      <w:divBdr>
        <w:top w:val="none" w:sz="0" w:space="0" w:color="auto"/>
        <w:left w:val="none" w:sz="0" w:space="0" w:color="auto"/>
        <w:bottom w:val="none" w:sz="0" w:space="0" w:color="auto"/>
        <w:right w:val="none" w:sz="0" w:space="0" w:color="auto"/>
      </w:divBdr>
    </w:div>
    <w:div w:id="163477220">
      <w:bodyDiv w:val="1"/>
      <w:marLeft w:val="0"/>
      <w:marRight w:val="0"/>
      <w:marTop w:val="0"/>
      <w:marBottom w:val="0"/>
      <w:divBdr>
        <w:top w:val="none" w:sz="0" w:space="0" w:color="auto"/>
        <w:left w:val="none" w:sz="0" w:space="0" w:color="auto"/>
        <w:bottom w:val="none" w:sz="0" w:space="0" w:color="auto"/>
        <w:right w:val="none" w:sz="0" w:space="0" w:color="auto"/>
      </w:divBdr>
      <w:divsChild>
        <w:div w:id="215357106">
          <w:marLeft w:val="360"/>
          <w:marRight w:val="0"/>
          <w:marTop w:val="200"/>
          <w:marBottom w:val="0"/>
          <w:divBdr>
            <w:top w:val="none" w:sz="0" w:space="0" w:color="auto"/>
            <w:left w:val="none" w:sz="0" w:space="0" w:color="auto"/>
            <w:bottom w:val="none" w:sz="0" w:space="0" w:color="auto"/>
            <w:right w:val="none" w:sz="0" w:space="0" w:color="auto"/>
          </w:divBdr>
        </w:div>
        <w:div w:id="907770565">
          <w:marLeft w:val="360"/>
          <w:marRight w:val="0"/>
          <w:marTop w:val="200"/>
          <w:marBottom w:val="0"/>
          <w:divBdr>
            <w:top w:val="none" w:sz="0" w:space="0" w:color="auto"/>
            <w:left w:val="none" w:sz="0" w:space="0" w:color="auto"/>
            <w:bottom w:val="none" w:sz="0" w:space="0" w:color="auto"/>
            <w:right w:val="none" w:sz="0" w:space="0" w:color="auto"/>
          </w:divBdr>
        </w:div>
        <w:div w:id="1621765897">
          <w:marLeft w:val="360"/>
          <w:marRight w:val="0"/>
          <w:marTop w:val="200"/>
          <w:marBottom w:val="0"/>
          <w:divBdr>
            <w:top w:val="none" w:sz="0" w:space="0" w:color="auto"/>
            <w:left w:val="none" w:sz="0" w:space="0" w:color="auto"/>
            <w:bottom w:val="none" w:sz="0" w:space="0" w:color="auto"/>
            <w:right w:val="none" w:sz="0" w:space="0" w:color="auto"/>
          </w:divBdr>
        </w:div>
        <w:div w:id="1556115851">
          <w:marLeft w:val="360"/>
          <w:marRight w:val="0"/>
          <w:marTop w:val="200"/>
          <w:marBottom w:val="0"/>
          <w:divBdr>
            <w:top w:val="none" w:sz="0" w:space="0" w:color="auto"/>
            <w:left w:val="none" w:sz="0" w:space="0" w:color="auto"/>
            <w:bottom w:val="none" w:sz="0" w:space="0" w:color="auto"/>
            <w:right w:val="none" w:sz="0" w:space="0" w:color="auto"/>
          </w:divBdr>
        </w:div>
        <w:div w:id="1873423812">
          <w:marLeft w:val="360"/>
          <w:marRight w:val="0"/>
          <w:marTop w:val="200"/>
          <w:marBottom w:val="0"/>
          <w:divBdr>
            <w:top w:val="none" w:sz="0" w:space="0" w:color="auto"/>
            <w:left w:val="none" w:sz="0" w:space="0" w:color="auto"/>
            <w:bottom w:val="none" w:sz="0" w:space="0" w:color="auto"/>
            <w:right w:val="none" w:sz="0" w:space="0" w:color="auto"/>
          </w:divBdr>
        </w:div>
        <w:div w:id="2021228147">
          <w:marLeft w:val="360"/>
          <w:marRight w:val="0"/>
          <w:marTop w:val="200"/>
          <w:marBottom w:val="0"/>
          <w:divBdr>
            <w:top w:val="none" w:sz="0" w:space="0" w:color="auto"/>
            <w:left w:val="none" w:sz="0" w:space="0" w:color="auto"/>
            <w:bottom w:val="none" w:sz="0" w:space="0" w:color="auto"/>
            <w:right w:val="none" w:sz="0" w:space="0" w:color="auto"/>
          </w:divBdr>
        </w:div>
        <w:div w:id="501504709">
          <w:marLeft w:val="360"/>
          <w:marRight w:val="0"/>
          <w:marTop w:val="200"/>
          <w:marBottom w:val="0"/>
          <w:divBdr>
            <w:top w:val="none" w:sz="0" w:space="0" w:color="auto"/>
            <w:left w:val="none" w:sz="0" w:space="0" w:color="auto"/>
            <w:bottom w:val="none" w:sz="0" w:space="0" w:color="auto"/>
            <w:right w:val="none" w:sz="0" w:space="0" w:color="auto"/>
          </w:divBdr>
        </w:div>
        <w:div w:id="2035184180">
          <w:marLeft w:val="360"/>
          <w:marRight w:val="0"/>
          <w:marTop w:val="200"/>
          <w:marBottom w:val="0"/>
          <w:divBdr>
            <w:top w:val="none" w:sz="0" w:space="0" w:color="auto"/>
            <w:left w:val="none" w:sz="0" w:space="0" w:color="auto"/>
            <w:bottom w:val="none" w:sz="0" w:space="0" w:color="auto"/>
            <w:right w:val="none" w:sz="0" w:space="0" w:color="auto"/>
          </w:divBdr>
        </w:div>
        <w:div w:id="121388343">
          <w:marLeft w:val="360"/>
          <w:marRight w:val="0"/>
          <w:marTop w:val="200"/>
          <w:marBottom w:val="0"/>
          <w:divBdr>
            <w:top w:val="none" w:sz="0" w:space="0" w:color="auto"/>
            <w:left w:val="none" w:sz="0" w:space="0" w:color="auto"/>
            <w:bottom w:val="none" w:sz="0" w:space="0" w:color="auto"/>
            <w:right w:val="none" w:sz="0" w:space="0" w:color="auto"/>
          </w:divBdr>
        </w:div>
      </w:divsChild>
    </w:div>
    <w:div w:id="171647332">
      <w:bodyDiv w:val="1"/>
      <w:marLeft w:val="0"/>
      <w:marRight w:val="0"/>
      <w:marTop w:val="0"/>
      <w:marBottom w:val="0"/>
      <w:divBdr>
        <w:top w:val="none" w:sz="0" w:space="0" w:color="auto"/>
        <w:left w:val="none" w:sz="0" w:space="0" w:color="auto"/>
        <w:bottom w:val="none" w:sz="0" w:space="0" w:color="auto"/>
        <w:right w:val="none" w:sz="0" w:space="0" w:color="auto"/>
      </w:divBdr>
      <w:divsChild>
        <w:div w:id="156459890">
          <w:marLeft w:val="547"/>
          <w:marRight w:val="0"/>
          <w:marTop w:val="72"/>
          <w:marBottom w:val="0"/>
          <w:divBdr>
            <w:top w:val="none" w:sz="0" w:space="0" w:color="auto"/>
            <w:left w:val="none" w:sz="0" w:space="0" w:color="auto"/>
            <w:bottom w:val="none" w:sz="0" w:space="0" w:color="auto"/>
            <w:right w:val="none" w:sz="0" w:space="0" w:color="auto"/>
          </w:divBdr>
        </w:div>
        <w:div w:id="976107498">
          <w:marLeft w:val="965"/>
          <w:marRight w:val="0"/>
          <w:marTop w:val="72"/>
          <w:marBottom w:val="0"/>
          <w:divBdr>
            <w:top w:val="none" w:sz="0" w:space="0" w:color="auto"/>
            <w:left w:val="none" w:sz="0" w:space="0" w:color="auto"/>
            <w:bottom w:val="none" w:sz="0" w:space="0" w:color="auto"/>
            <w:right w:val="none" w:sz="0" w:space="0" w:color="auto"/>
          </w:divBdr>
        </w:div>
        <w:div w:id="535234787">
          <w:marLeft w:val="965"/>
          <w:marRight w:val="0"/>
          <w:marTop w:val="72"/>
          <w:marBottom w:val="0"/>
          <w:divBdr>
            <w:top w:val="none" w:sz="0" w:space="0" w:color="auto"/>
            <w:left w:val="none" w:sz="0" w:space="0" w:color="auto"/>
            <w:bottom w:val="none" w:sz="0" w:space="0" w:color="auto"/>
            <w:right w:val="none" w:sz="0" w:space="0" w:color="auto"/>
          </w:divBdr>
        </w:div>
        <w:div w:id="269120554">
          <w:marLeft w:val="547"/>
          <w:marRight w:val="0"/>
          <w:marTop w:val="72"/>
          <w:marBottom w:val="0"/>
          <w:divBdr>
            <w:top w:val="none" w:sz="0" w:space="0" w:color="auto"/>
            <w:left w:val="none" w:sz="0" w:space="0" w:color="auto"/>
            <w:bottom w:val="none" w:sz="0" w:space="0" w:color="auto"/>
            <w:right w:val="none" w:sz="0" w:space="0" w:color="auto"/>
          </w:divBdr>
        </w:div>
        <w:div w:id="1622343911">
          <w:marLeft w:val="1526"/>
          <w:marRight w:val="0"/>
          <w:marTop w:val="0"/>
          <w:marBottom w:val="0"/>
          <w:divBdr>
            <w:top w:val="none" w:sz="0" w:space="0" w:color="auto"/>
            <w:left w:val="none" w:sz="0" w:space="0" w:color="auto"/>
            <w:bottom w:val="none" w:sz="0" w:space="0" w:color="auto"/>
            <w:right w:val="none" w:sz="0" w:space="0" w:color="auto"/>
          </w:divBdr>
        </w:div>
        <w:div w:id="1100491992">
          <w:marLeft w:val="1526"/>
          <w:marRight w:val="0"/>
          <w:marTop w:val="0"/>
          <w:marBottom w:val="0"/>
          <w:divBdr>
            <w:top w:val="none" w:sz="0" w:space="0" w:color="auto"/>
            <w:left w:val="none" w:sz="0" w:space="0" w:color="auto"/>
            <w:bottom w:val="none" w:sz="0" w:space="0" w:color="auto"/>
            <w:right w:val="none" w:sz="0" w:space="0" w:color="auto"/>
          </w:divBdr>
        </w:div>
        <w:div w:id="880367346">
          <w:marLeft w:val="547"/>
          <w:marRight w:val="0"/>
          <w:marTop w:val="72"/>
          <w:marBottom w:val="0"/>
          <w:divBdr>
            <w:top w:val="none" w:sz="0" w:space="0" w:color="auto"/>
            <w:left w:val="none" w:sz="0" w:space="0" w:color="auto"/>
            <w:bottom w:val="none" w:sz="0" w:space="0" w:color="auto"/>
            <w:right w:val="none" w:sz="0" w:space="0" w:color="auto"/>
          </w:divBdr>
        </w:div>
        <w:div w:id="2004123103">
          <w:marLeft w:val="547"/>
          <w:marRight w:val="0"/>
          <w:marTop w:val="72"/>
          <w:marBottom w:val="0"/>
          <w:divBdr>
            <w:top w:val="none" w:sz="0" w:space="0" w:color="auto"/>
            <w:left w:val="none" w:sz="0" w:space="0" w:color="auto"/>
            <w:bottom w:val="none" w:sz="0" w:space="0" w:color="auto"/>
            <w:right w:val="none" w:sz="0" w:space="0" w:color="auto"/>
          </w:divBdr>
        </w:div>
      </w:divsChild>
    </w:div>
    <w:div w:id="228274883">
      <w:bodyDiv w:val="1"/>
      <w:marLeft w:val="0"/>
      <w:marRight w:val="0"/>
      <w:marTop w:val="0"/>
      <w:marBottom w:val="0"/>
      <w:divBdr>
        <w:top w:val="none" w:sz="0" w:space="0" w:color="auto"/>
        <w:left w:val="none" w:sz="0" w:space="0" w:color="auto"/>
        <w:bottom w:val="none" w:sz="0" w:space="0" w:color="auto"/>
        <w:right w:val="none" w:sz="0" w:space="0" w:color="auto"/>
      </w:divBdr>
      <w:divsChild>
        <w:div w:id="72972762">
          <w:marLeft w:val="547"/>
          <w:marRight w:val="0"/>
          <w:marTop w:val="67"/>
          <w:marBottom w:val="0"/>
          <w:divBdr>
            <w:top w:val="none" w:sz="0" w:space="0" w:color="auto"/>
            <w:left w:val="none" w:sz="0" w:space="0" w:color="auto"/>
            <w:bottom w:val="none" w:sz="0" w:space="0" w:color="auto"/>
            <w:right w:val="none" w:sz="0" w:space="0" w:color="auto"/>
          </w:divBdr>
        </w:div>
        <w:div w:id="1552423915">
          <w:marLeft w:val="547"/>
          <w:marRight w:val="0"/>
          <w:marTop w:val="67"/>
          <w:marBottom w:val="0"/>
          <w:divBdr>
            <w:top w:val="none" w:sz="0" w:space="0" w:color="auto"/>
            <w:left w:val="none" w:sz="0" w:space="0" w:color="auto"/>
            <w:bottom w:val="none" w:sz="0" w:space="0" w:color="auto"/>
            <w:right w:val="none" w:sz="0" w:space="0" w:color="auto"/>
          </w:divBdr>
        </w:div>
        <w:div w:id="248541653">
          <w:marLeft w:val="1066"/>
          <w:marRight w:val="0"/>
          <w:marTop w:val="67"/>
          <w:marBottom w:val="0"/>
          <w:divBdr>
            <w:top w:val="none" w:sz="0" w:space="0" w:color="auto"/>
            <w:left w:val="none" w:sz="0" w:space="0" w:color="auto"/>
            <w:bottom w:val="none" w:sz="0" w:space="0" w:color="auto"/>
            <w:right w:val="none" w:sz="0" w:space="0" w:color="auto"/>
          </w:divBdr>
        </w:div>
        <w:div w:id="1343164335">
          <w:marLeft w:val="1066"/>
          <w:marRight w:val="0"/>
          <w:marTop w:val="67"/>
          <w:marBottom w:val="0"/>
          <w:divBdr>
            <w:top w:val="none" w:sz="0" w:space="0" w:color="auto"/>
            <w:left w:val="none" w:sz="0" w:space="0" w:color="auto"/>
            <w:bottom w:val="none" w:sz="0" w:space="0" w:color="auto"/>
            <w:right w:val="none" w:sz="0" w:space="0" w:color="auto"/>
          </w:divBdr>
        </w:div>
        <w:div w:id="1393389939">
          <w:marLeft w:val="1526"/>
          <w:marRight w:val="0"/>
          <w:marTop w:val="67"/>
          <w:marBottom w:val="0"/>
          <w:divBdr>
            <w:top w:val="none" w:sz="0" w:space="0" w:color="auto"/>
            <w:left w:val="none" w:sz="0" w:space="0" w:color="auto"/>
            <w:bottom w:val="none" w:sz="0" w:space="0" w:color="auto"/>
            <w:right w:val="none" w:sz="0" w:space="0" w:color="auto"/>
          </w:divBdr>
        </w:div>
        <w:div w:id="1115446230">
          <w:marLeft w:val="1526"/>
          <w:marRight w:val="0"/>
          <w:marTop w:val="67"/>
          <w:marBottom w:val="0"/>
          <w:divBdr>
            <w:top w:val="none" w:sz="0" w:space="0" w:color="auto"/>
            <w:left w:val="none" w:sz="0" w:space="0" w:color="auto"/>
            <w:bottom w:val="none" w:sz="0" w:space="0" w:color="auto"/>
            <w:right w:val="none" w:sz="0" w:space="0" w:color="auto"/>
          </w:divBdr>
        </w:div>
        <w:div w:id="10223633">
          <w:marLeft w:val="1526"/>
          <w:marRight w:val="0"/>
          <w:marTop w:val="67"/>
          <w:marBottom w:val="0"/>
          <w:divBdr>
            <w:top w:val="none" w:sz="0" w:space="0" w:color="auto"/>
            <w:left w:val="none" w:sz="0" w:space="0" w:color="auto"/>
            <w:bottom w:val="none" w:sz="0" w:space="0" w:color="auto"/>
            <w:right w:val="none" w:sz="0" w:space="0" w:color="auto"/>
          </w:divBdr>
        </w:div>
        <w:div w:id="1949696642">
          <w:marLeft w:val="1526"/>
          <w:marRight w:val="0"/>
          <w:marTop w:val="67"/>
          <w:marBottom w:val="0"/>
          <w:divBdr>
            <w:top w:val="none" w:sz="0" w:space="0" w:color="auto"/>
            <w:left w:val="none" w:sz="0" w:space="0" w:color="auto"/>
            <w:bottom w:val="none" w:sz="0" w:space="0" w:color="auto"/>
            <w:right w:val="none" w:sz="0" w:space="0" w:color="auto"/>
          </w:divBdr>
        </w:div>
        <w:div w:id="112406694">
          <w:marLeft w:val="1526"/>
          <w:marRight w:val="0"/>
          <w:marTop w:val="67"/>
          <w:marBottom w:val="0"/>
          <w:divBdr>
            <w:top w:val="none" w:sz="0" w:space="0" w:color="auto"/>
            <w:left w:val="none" w:sz="0" w:space="0" w:color="auto"/>
            <w:bottom w:val="none" w:sz="0" w:space="0" w:color="auto"/>
            <w:right w:val="none" w:sz="0" w:space="0" w:color="auto"/>
          </w:divBdr>
        </w:div>
        <w:div w:id="2083479805">
          <w:marLeft w:val="1066"/>
          <w:marRight w:val="0"/>
          <w:marTop w:val="67"/>
          <w:marBottom w:val="0"/>
          <w:divBdr>
            <w:top w:val="none" w:sz="0" w:space="0" w:color="auto"/>
            <w:left w:val="none" w:sz="0" w:space="0" w:color="auto"/>
            <w:bottom w:val="none" w:sz="0" w:space="0" w:color="auto"/>
            <w:right w:val="none" w:sz="0" w:space="0" w:color="auto"/>
          </w:divBdr>
        </w:div>
        <w:div w:id="1266033080">
          <w:marLeft w:val="1987"/>
          <w:marRight w:val="0"/>
          <w:marTop w:val="67"/>
          <w:marBottom w:val="0"/>
          <w:divBdr>
            <w:top w:val="none" w:sz="0" w:space="0" w:color="auto"/>
            <w:left w:val="none" w:sz="0" w:space="0" w:color="auto"/>
            <w:bottom w:val="none" w:sz="0" w:space="0" w:color="auto"/>
            <w:right w:val="none" w:sz="0" w:space="0" w:color="auto"/>
          </w:divBdr>
        </w:div>
        <w:div w:id="1173257104">
          <w:marLeft w:val="1987"/>
          <w:marRight w:val="0"/>
          <w:marTop w:val="67"/>
          <w:marBottom w:val="0"/>
          <w:divBdr>
            <w:top w:val="none" w:sz="0" w:space="0" w:color="auto"/>
            <w:left w:val="none" w:sz="0" w:space="0" w:color="auto"/>
            <w:bottom w:val="none" w:sz="0" w:space="0" w:color="auto"/>
            <w:right w:val="none" w:sz="0" w:space="0" w:color="auto"/>
          </w:divBdr>
        </w:div>
        <w:div w:id="312954011">
          <w:marLeft w:val="1987"/>
          <w:marRight w:val="0"/>
          <w:marTop w:val="67"/>
          <w:marBottom w:val="0"/>
          <w:divBdr>
            <w:top w:val="none" w:sz="0" w:space="0" w:color="auto"/>
            <w:left w:val="none" w:sz="0" w:space="0" w:color="auto"/>
            <w:bottom w:val="none" w:sz="0" w:space="0" w:color="auto"/>
            <w:right w:val="none" w:sz="0" w:space="0" w:color="auto"/>
          </w:divBdr>
        </w:div>
        <w:div w:id="1389838163">
          <w:marLeft w:val="1066"/>
          <w:marRight w:val="0"/>
          <w:marTop w:val="67"/>
          <w:marBottom w:val="0"/>
          <w:divBdr>
            <w:top w:val="none" w:sz="0" w:space="0" w:color="auto"/>
            <w:left w:val="none" w:sz="0" w:space="0" w:color="auto"/>
            <w:bottom w:val="none" w:sz="0" w:space="0" w:color="auto"/>
            <w:right w:val="none" w:sz="0" w:space="0" w:color="auto"/>
          </w:divBdr>
        </w:div>
        <w:div w:id="1200390123">
          <w:marLeft w:val="547"/>
          <w:marRight w:val="0"/>
          <w:marTop w:val="187"/>
          <w:marBottom w:val="0"/>
          <w:divBdr>
            <w:top w:val="none" w:sz="0" w:space="0" w:color="auto"/>
            <w:left w:val="none" w:sz="0" w:space="0" w:color="auto"/>
            <w:bottom w:val="none" w:sz="0" w:space="0" w:color="auto"/>
            <w:right w:val="none" w:sz="0" w:space="0" w:color="auto"/>
          </w:divBdr>
        </w:div>
      </w:divsChild>
    </w:div>
    <w:div w:id="317612897">
      <w:bodyDiv w:val="1"/>
      <w:marLeft w:val="0"/>
      <w:marRight w:val="0"/>
      <w:marTop w:val="0"/>
      <w:marBottom w:val="0"/>
      <w:divBdr>
        <w:top w:val="none" w:sz="0" w:space="0" w:color="auto"/>
        <w:left w:val="none" w:sz="0" w:space="0" w:color="auto"/>
        <w:bottom w:val="none" w:sz="0" w:space="0" w:color="auto"/>
        <w:right w:val="none" w:sz="0" w:space="0" w:color="auto"/>
      </w:divBdr>
      <w:divsChild>
        <w:div w:id="160589892">
          <w:marLeft w:val="1066"/>
          <w:marRight w:val="0"/>
          <w:marTop w:val="154"/>
          <w:marBottom w:val="0"/>
          <w:divBdr>
            <w:top w:val="none" w:sz="0" w:space="0" w:color="auto"/>
            <w:left w:val="none" w:sz="0" w:space="0" w:color="auto"/>
            <w:bottom w:val="none" w:sz="0" w:space="0" w:color="auto"/>
            <w:right w:val="none" w:sz="0" w:space="0" w:color="auto"/>
          </w:divBdr>
        </w:div>
      </w:divsChild>
    </w:div>
    <w:div w:id="605384850">
      <w:bodyDiv w:val="1"/>
      <w:marLeft w:val="0"/>
      <w:marRight w:val="0"/>
      <w:marTop w:val="0"/>
      <w:marBottom w:val="0"/>
      <w:divBdr>
        <w:top w:val="none" w:sz="0" w:space="0" w:color="auto"/>
        <w:left w:val="none" w:sz="0" w:space="0" w:color="auto"/>
        <w:bottom w:val="none" w:sz="0" w:space="0" w:color="auto"/>
        <w:right w:val="none" w:sz="0" w:space="0" w:color="auto"/>
      </w:divBdr>
    </w:div>
    <w:div w:id="660081854">
      <w:bodyDiv w:val="1"/>
      <w:marLeft w:val="0"/>
      <w:marRight w:val="0"/>
      <w:marTop w:val="0"/>
      <w:marBottom w:val="0"/>
      <w:divBdr>
        <w:top w:val="none" w:sz="0" w:space="0" w:color="auto"/>
        <w:left w:val="none" w:sz="0" w:space="0" w:color="auto"/>
        <w:bottom w:val="none" w:sz="0" w:space="0" w:color="auto"/>
        <w:right w:val="none" w:sz="0" w:space="0" w:color="auto"/>
      </w:divBdr>
    </w:div>
    <w:div w:id="726757956">
      <w:bodyDiv w:val="1"/>
      <w:marLeft w:val="0"/>
      <w:marRight w:val="0"/>
      <w:marTop w:val="0"/>
      <w:marBottom w:val="0"/>
      <w:divBdr>
        <w:top w:val="none" w:sz="0" w:space="0" w:color="auto"/>
        <w:left w:val="none" w:sz="0" w:space="0" w:color="auto"/>
        <w:bottom w:val="none" w:sz="0" w:space="0" w:color="auto"/>
        <w:right w:val="none" w:sz="0" w:space="0" w:color="auto"/>
      </w:divBdr>
      <w:divsChild>
        <w:div w:id="1080446653">
          <w:marLeft w:val="0"/>
          <w:marRight w:val="0"/>
          <w:marTop w:val="0"/>
          <w:marBottom w:val="0"/>
          <w:divBdr>
            <w:top w:val="none" w:sz="0" w:space="0" w:color="auto"/>
            <w:left w:val="none" w:sz="0" w:space="0" w:color="auto"/>
            <w:bottom w:val="none" w:sz="0" w:space="0" w:color="auto"/>
            <w:right w:val="none" w:sz="0" w:space="0" w:color="auto"/>
          </w:divBdr>
        </w:div>
        <w:div w:id="1255826586">
          <w:marLeft w:val="0"/>
          <w:marRight w:val="0"/>
          <w:marTop w:val="0"/>
          <w:marBottom w:val="0"/>
          <w:divBdr>
            <w:top w:val="none" w:sz="0" w:space="0" w:color="auto"/>
            <w:left w:val="none" w:sz="0" w:space="0" w:color="auto"/>
            <w:bottom w:val="none" w:sz="0" w:space="0" w:color="auto"/>
            <w:right w:val="none" w:sz="0" w:space="0" w:color="auto"/>
          </w:divBdr>
        </w:div>
        <w:div w:id="68306147">
          <w:marLeft w:val="0"/>
          <w:marRight w:val="0"/>
          <w:marTop w:val="0"/>
          <w:marBottom w:val="0"/>
          <w:divBdr>
            <w:top w:val="none" w:sz="0" w:space="0" w:color="auto"/>
            <w:left w:val="none" w:sz="0" w:space="0" w:color="auto"/>
            <w:bottom w:val="none" w:sz="0" w:space="0" w:color="auto"/>
            <w:right w:val="none" w:sz="0" w:space="0" w:color="auto"/>
          </w:divBdr>
        </w:div>
        <w:div w:id="1282609695">
          <w:marLeft w:val="0"/>
          <w:marRight w:val="0"/>
          <w:marTop w:val="0"/>
          <w:marBottom w:val="0"/>
          <w:divBdr>
            <w:top w:val="none" w:sz="0" w:space="0" w:color="auto"/>
            <w:left w:val="none" w:sz="0" w:space="0" w:color="auto"/>
            <w:bottom w:val="none" w:sz="0" w:space="0" w:color="auto"/>
            <w:right w:val="none" w:sz="0" w:space="0" w:color="auto"/>
          </w:divBdr>
        </w:div>
        <w:div w:id="783698000">
          <w:marLeft w:val="0"/>
          <w:marRight w:val="0"/>
          <w:marTop w:val="0"/>
          <w:marBottom w:val="0"/>
          <w:divBdr>
            <w:top w:val="none" w:sz="0" w:space="0" w:color="auto"/>
            <w:left w:val="none" w:sz="0" w:space="0" w:color="auto"/>
            <w:bottom w:val="none" w:sz="0" w:space="0" w:color="auto"/>
            <w:right w:val="none" w:sz="0" w:space="0" w:color="auto"/>
          </w:divBdr>
        </w:div>
        <w:div w:id="937063810">
          <w:marLeft w:val="0"/>
          <w:marRight w:val="0"/>
          <w:marTop w:val="0"/>
          <w:marBottom w:val="0"/>
          <w:divBdr>
            <w:top w:val="none" w:sz="0" w:space="0" w:color="auto"/>
            <w:left w:val="none" w:sz="0" w:space="0" w:color="auto"/>
            <w:bottom w:val="none" w:sz="0" w:space="0" w:color="auto"/>
            <w:right w:val="none" w:sz="0" w:space="0" w:color="auto"/>
          </w:divBdr>
        </w:div>
        <w:div w:id="385179601">
          <w:marLeft w:val="0"/>
          <w:marRight w:val="0"/>
          <w:marTop w:val="0"/>
          <w:marBottom w:val="0"/>
          <w:divBdr>
            <w:top w:val="none" w:sz="0" w:space="0" w:color="auto"/>
            <w:left w:val="none" w:sz="0" w:space="0" w:color="auto"/>
            <w:bottom w:val="none" w:sz="0" w:space="0" w:color="auto"/>
            <w:right w:val="none" w:sz="0" w:space="0" w:color="auto"/>
          </w:divBdr>
        </w:div>
        <w:div w:id="11499990">
          <w:marLeft w:val="0"/>
          <w:marRight w:val="0"/>
          <w:marTop w:val="0"/>
          <w:marBottom w:val="0"/>
          <w:divBdr>
            <w:top w:val="none" w:sz="0" w:space="0" w:color="auto"/>
            <w:left w:val="none" w:sz="0" w:space="0" w:color="auto"/>
            <w:bottom w:val="none" w:sz="0" w:space="0" w:color="auto"/>
            <w:right w:val="none" w:sz="0" w:space="0" w:color="auto"/>
          </w:divBdr>
        </w:div>
        <w:div w:id="555168559">
          <w:marLeft w:val="0"/>
          <w:marRight w:val="0"/>
          <w:marTop w:val="0"/>
          <w:marBottom w:val="0"/>
          <w:divBdr>
            <w:top w:val="none" w:sz="0" w:space="0" w:color="auto"/>
            <w:left w:val="none" w:sz="0" w:space="0" w:color="auto"/>
            <w:bottom w:val="none" w:sz="0" w:space="0" w:color="auto"/>
            <w:right w:val="none" w:sz="0" w:space="0" w:color="auto"/>
          </w:divBdr>
        </w:div>
        <w:div w:id="999966243">
          <w:marLeft w:val="0"/>
          <w:marRight w:val="0"/>
          <w:marTop w:val="0"/>
          <w:marBottom w:val="0"/>
          <w:divBdr>
            <w:top w:val="none" w:sz="0" w:space="0" w:color="auto"/>
            <w:left w:val="none" w:sz="0" w:space="0" w:color="auto"/>
            <w:bottom w:val="none" w:sz="0" w:space="0" w:color="auto"/>
            <w:right w:val="none" w:sz="0" w:space="0" w:color="auto"/>
          </w:divBdr>
        </w:div>
        <w:div w:id="974414348">
          <w:marLeft w:val="0"/>
          <w:marRight w:val="0"/>
          <w:marTop w:val="0"/>
          <w:marBottom w:val="0"/>
          <w:divBdr>
            <w:top w:val="none" w:sz="0" w:space="0" w:color="auto"/>
            <w:left w:val="none" w:sz="0" w:space="0" w:color="auto"/>
            <w:bottom w:val="none" w:sz="0" w:space="0" w:color="auto"/>
            <w:right w:val="none" w:sz="0" w:space="0" w:color="auto"/>
          </w:divBdr>
        </w:div>
        <w:div w:id="157576496">
          <w:marLeft w:val="0"/>
          <w:marRight w:val="0"/>
          <w:marTop w:val="0"/>
          <w:marBottom w:val="0"/>
          <w:divBdr>
            <w:top w:val="none" w:sz="0" w:space="0" w:color="auto"/>
            <w:left w:val="none" w:sz="0" w:space="0" w:color="auto"/>
            <w:bottom w:val="none" w:sz="0" w:space="0" w:color="auto"/>
            <w:right w:val="none" w:sz="0" w:space="0" w:color="auto"/>
          </w:divBdr>
        </w:div>
        <w:div w:id="2039313533">
          <w:marLeft w:val="0"/>
          <w:marRight w:val="0"/>
          <w:marTop w:val="0"/>
          <w:marBottom w:val="0"/>
          <w:divBdr>
            <w:top w:val="none" w:sz="0" w:space="0" w:color="auto"/>
            <w:left w:val="none" w:sz="0" w:space="0" w:color="auto"/>
            <w:bottom w:val="none" w:sz="0" w:space="0" w:color="auto"/>
            <w:right w:val="none" w:sz="0" w:space="0" w:color="auto"/>
          </w:divBdr>
        </w:div>
        <w:div w:id="230359568">
          <w:marLeft w:val="0"/>
          <w:marRight w:val="0"/>
          <w:marTop w:val="0"/>
          <w:marBottom w:val="0"/>
          <w:divBdr>
            <w:top w:val="none" w:sz="0" w:space="0" w:color="auto"/>
            <w:left w:val="none" w:sz="0" w:space="0" w:color="auto"/>
            <w:bottom w:val="none" w:sz="0" w:space="0" w:color="auto"/>
            <w:right w:val="none" w:sz="0" w:space="0" w:color="auto"/>
          </w:divBdr>
        </w:div>
        <w:div w:id="649820864">
          <w:marLeft w:val="0"/>
          <w:marRight w:val="0"/>
          <w:marTop w:val="0"/>
          <w:marBottom w:val="0"/>
          <w:divBdr>
            <w:top w:val="none" w:sz="0" w:space="0" w:color="auto"/>
            <w:left w:val="none" w:sz="0" w:space="0" w:color="auto"/>
            <w:bottom w:val="none" w:sz="0" w:space="0" w:color="auto"/>
            <w:right w:val="none" w:sz="0" w:space="0" w:color="auto"/>
          </w:divBdr>
        </w:div>
        <w:div w:id="844788391">
          <w:marLeft w:val="0"/>
          <w:marRight w:val="0"/>
          <w:marTop w:val="0"/>
          <w:marBottom w:val="0"/>
          <w:divBdr>
            <w:top w:val="none" w:sz="0" w:space="0" w:color="auto"/>
            <w:left w:val="none" w:sz="0" w:space="0" w:color="auto"/>
            <w:bottom w:val="none" w:sz="0" w:space="0" w:color="auto"/>
            <w:right w:val="none" w:sz="0" w:space="0" w:color="auto"/>
          </w:divBdr>
        </w:div>
        <w:div w:id="455486822">
          <w:marLeft w:val="0"/>
          <w:marRight w:val="0"/>
          <w:marTop w:val="0"/>
          <w:marBottom w:val="0"/>
          <w:divBdr>
            <w:top w:val="none" w:sz="0" w:space="0" w:color="auto"/>
            <w:left w:val="none" w:sz="0" w:space="0" w:color="auto"/>
            <w:bottom w:val="none" w:sz="0" w:space="0" w:color="auto"/>
            <w:right w:val="none" w:sz="0" w:space="0" w:color="auto"/>
          </w:divBdr>
        </w:div>
        <w:div w:id="875659226">
          <w:marLeft w:val="0"/>
          <w:marRight w:val="0"/>
          <w:marTop w:val="0"/>
          <w:marBottom w:val="0"/>
          <w:divBdr>
            <w:top w:val="none" w:sz="0" w:space="0" w:color="auto"/>
            <w:left w:val="none" w:sz="0" w:space="0" w:color="auto"/>
            <w:bottom w:val="none" w:sz="0" w:space="0" w:color="auto"/>
            <w:right w:val="none" w:sz="0" w:space="0" w:color="auto"/>
          </w:divBdr>
        </w:div>
        <w:div w:id="13699574">
          <w:marLeft w:val="0"/>
          <w:marRight w:val="0"/>
          <w:marTop w:val="0"/>
          <w:marBottom w:val="0"/>
          <w:divBdr>
            <w:top w:val="none" w:sz="0" w:space="0" w:color="auto"/>
            <w:left w:val="none" w:sz="0" w:space="0" w:color="auto"/>
            <w:bottom w:val="none" w:sz="0" w:space="0" w:color="auto"/>
            <w:right w:val="none" w:sz="0" w:space="0" w:color="auto"/>
          </w:divBdr>
        </w:div>
      </w:divsChild>
    </w:div>
    <w:div w:id="734548599">
      <w:bodyDiv w:val="1"/>
      <w:marLeft w:val="0"/>
      <w:marRight w:val="0"/>
      <w:marTop w:val="0"/>
      <w:marBottom w:val="0"/>
      <w:divBdr>
        <w:top w:val="none" w:sz="0" w:space="0" w:color="auto"/>
        <w:left w:val="none" w:sz="0" w:space="0" w:color="auto"/>
        <w:bottom w:val="none" w:sz="0" w:space="0" w:color="auto"/>
        <w:right w:val="none" w:sz="0" w:space="0" w:color="auto"/>
      </w:divBdr>
    </w:div>
    <w:div w:id="888953874">
      <w:bodyDiv w:val="1"/>
      <w:marLeft w:val="0"/>
      <w:marRight w:val="0"/>
      <w:marTop w:val="0"/>
      <w:marBottom w:val="0"/>
      <w:divBdr>
        <w:top w:val="none" w:sz="0" w:space="0" w:color="auto"/>
        <w:left w:val="none" w:sz="0" w:space="0" w:color="auto"/>
        <w:bottom w:val="none" w:sz="0" w:space="0" w:color="auto"/>
        <w:right w:val="none" w:sz="0" w:space="0" w:color="auto"/>
      </w:divBdr>
    </w:div>
    <w:div w:id="894894610">
      <w:bodyDiv w:val="1"/>
      <w:marLeft w:val="0"/>
      <w:marRight w:val="0"/>
      <w:marTop w:val="0"/>
      <w:marBottom w:val="0"/>
      <w:divBdr>
        <w:top w:val="none" w:sz="0" w:space="0" w:color="auto"/>
        <w:left w:val="none" w:sz="0" w:space="0" w:color="auto"/>
        <w:bottom w:val="none" w:sz="0" w:space="0" w:color="auto"/>
        <w:right w:val="none" w:sz="0" w:space="0" w:color="auto"/>
      </w:divBdr>
      <w:divsChild>
        <w:div w:id="1759250761">
          <w:marLeft w:val="547"/>
          <w:marRight w:val="0"/>
          <w:marTop w:val="235"/>
          <w:marBottom w:val="0"/>
          <w:divBdr>
            <w:top w:val="none" w:sz="0" w:space="0" w:color="auto"/>
            <w:left w:val="none" w:sz="0" w:space="0" w:color="auto"/>
            <w:bottom w:val="none" w:sz="0" w:space="0" w:color="auto"/>
            <w:right w:val="none" w:sz="0" w:space="0" w:color="auto"/>
          </w:divBdr>
        </w:div>
        <w:div w:id="855314003">
          <w:marLeft w:val="1066"/>
          <w:marRight w:val="0"/>
          <w:marTop w:val="235"/>
          <w:marBottom w:val="0"/>
          <w:divBdr>
            <w:top w:val="none" w:sz="0" w:space="0" w:color="auto"/>
            <w:left w:val="none" w:sz="0" w:space="0" w:color="auto"/>
            <w:bottom w:val="none" w:sz="0" w:space="0" w:color="auto"/>
            <w:right w:val="none" w:sz="0" w:space="0" w:color="auto"/>
          </w:divBdr>
        </w:div>
        <w:div w:id="1915972820">
          <w:marLeft w:val="1066"/>
          <w:marRight w:val="0"/>
          <w:marTop w:val="235"/>
          <w:marBottom w:val="0"/>
          <w:divBdr>
            <w:top w:val="none" w:sz="0" w:space="0" w:color="auto"/>
            <w:left w:val="none" w:sz="0" w:space="0" w:color="auto"/>
            <w:bottom w:val="none" w:sz="0" w:space="0" w:color="auto"/>
            <w:right w:val="none" w:sz="0" w:space="0" w:color="auto"/>
          </w:divBdr>
        </w:div>
      </w:divsChild>
    </w:div>
    <w:div w:id="999505191">
      <w:bodyDiv w:val="1"/>
      <w:marLeft w:val="0"/>
      <w:marRight w:val="0"/>
      <w:marTop w:val="0"/>
      <w:marBottom w:val="0"/>
      <w:divBdr>
        <w:top w:val="none" w:sz="0" w:space="0" w:color="auto"/>
        <w:left w:val="none" w:sz="0" w:space="0" w:color="auto"/>
        <w:bottom w:val="none" w:sz="0" w:space="0" w:color="auto"/>
        <w:right w:val="none" w:sz="0" w:space="0" w:color="auto"/>
      </w:divBdr>
      <w:divsChild>
        <w:div w:id="1466240211">
          <w:marLeft w:val="0"/>
          <w:marRight w:val="0"/>
          <w:marTop w:val="0"/>
          <w:marBottom w:val="0"/>
          <w:divBdr>
            <w:top w:val="none" w:sz="0" w:space="0" w:color="auto"/>
            <w:left w:val="none" w:sz="0" w:space="0" w:color="auto"/>
            <w:bottom w:val="none" w:sz="0" w:space="0" w:color="auto"/>
            <w:right w:val="none" w:sz="0" w:space="0" w:color="auto"/>
          </w:divBdr>
        </w:div>
        <w:div w:id="331181287">
          <w:marLeft w:val="0"/>
          <w:marRight w:val="0"/>
          <w:marTop w:val="0"/>
          <w:marBottom w:val="0"/>
          <w:divBdr>
            <w:top w:val="none" w:sz="0" w:space="0" w:color="auto"/>
            <w:left w:val="none" w:sz="0" w:space="0" w:color="auto"/>
            <w:bottom w:val="none" w:sz="0" w:space="0" w:color="auto"/>
            <w:right w:val="none" w:sz="0" w:space="0" w:color="auto"/>
          </w:divBdr>
        </w:div>
        <w:div w:id="104614792">
          <w:marLeft w:val="0"/>
          <w:marRight w:val="0"/>
          <w:marTop w:val="0"/>
          <w:marBottom w:val="0"/>
          <w:divBdr>
            <w:top w:val="none" w:sz="0" w:space="0" w:color="auto"/>
            <w:left w:val="none" w:sz="0" w:space="0" w:color="auto"/>
            <w:bottom w:val="none" w:sz="0" w:space="0" w:color="auto"/>
            <w:right w:val="none" w:sz="0" w:space="0" w:color="auto"/>
          </w:divBdr>
        </w:div>
      </w:divsChild>
    </w:div>
    <w:div w:id="1037506941">
      <w:bodyDiv w:val="1"/>
      <w:marLeft w:val="0"/>
      <w:marRight w:val="0"/>
      <w:marTop w:val="0"/>
      <w:marBottom w:val="0"/>
      <w:divBdr>
        <w:top w:val="none" w:sz="0" w:space="0" w:color="auto"/>
        <w:left w:val="none" w:sz="0" w:space="0" w:color="auto"/>
        <w:bottom w:val="none" w:sz="0" w:space="0" w:color="auto"/>
        <w:right w:val="none" w:sz="0" w:space="0" w:color="auto"/>
      </w:divBdr>
      <w:divsChild>
        <w:div w:id="1134980777">
          <w:marLeft w:val="0"/>
          <w:marRight w:val="0"/>
          <w:marTop w:val="0"/>
          <w:marBottom w:val="0"/>
          <w:divBdr>
            <w:top w:val="none" w:sz="0" w:space="0" w:color="auto"/>
            <w:left w:val="none" w:sz="0" w:space="0" w:color="auto"/>
            <w:bottom w:val="none" w:sz="0" w:space="0" w:color="auto"/>
            <w:right w:val="none" w:sz="0" w:space="0" w:color="auto"/>
          </w:divBdr>
        </w:div>
        <w:div w:id="1654332120">
          <w:marLeft w:val="0"/>
          <w:marRight w:val="0"/>
          <w:marTop w:val="0"/>
          <w:marBottom w:val="0"/>
          <w:divBdr>
            <w:top w:val="none" w:sz="0" w:space="0" w:color="auto"/>
            <w:left w:val="none" w:sz="0" w:space="0" w:color="auto"/>
            <w:bottom w:val="none" w:sz="0" w:space="0" w:color="auto"/>
            <w:right w:val="none" w:sz="0" w:space="0" w:color="auto"/>
          </w:divBdr>
        </w:div>
        <w:div w:id="1305693278">
          <w:marLeft w:val="0"/>
          <w:marRight w:val="0"/>
          <w:marTop w:val="0"/>
          <w:marBottom w:val="0"/>
          <w:divBdr>
            <w:top w:val="none" w:sz="0" w:space="0" w:color="auto"/>
            <w:left w:val="none" w:sz="0" w:space="0" w:color="auto"/>
            <w:bottom w:val="none" w:sz="0" w:space="0" w:color="auto"/>
            <w:right w:val="none" w:sz="0" w:space="0" w:color="auto"/>
          </w:divBdr>
        </w:div>
      </w:divsChild>
    </w:div>
    <w:div w:id="1135945680">
      <w:bodyDiv w:val="1"/>
      <w:marLeft w:val="0"/>
      <w:marRight w:val="0"/>
      <w:marTop w:val="0"/>
      <w:marBottom w:val="0"/>
      <w:divBdr>
        <w:top w:val="none" w:sz="0" w:space="0" w:color="auto"/>
        <w:left w:val="none" w:sz="0" w:space="0" w:color="auto"/>
        <w:bottom w:val="none" w:sz="0" w:space="0" w:color="auto"/>
        <w:right w:val="none" w:sz="0" w:space="0" w:color="auto"/>
      </w:divBdr>
    </w:div>
    <w:div w:id="1147740161">
      <w:bodyDiv w:val="1"/>
      <w:marLeft w:val="0"/>
      <w:marRight w:val="0"/>
      <w:marTop w:val="0"/>
      <w:marBottom w:val="0"/>
      <w:divBdr>
        <w:top w:val="none" w:sz="0" w:space="0" w:color="auto"/>
        <w:left w:val="none" w:sz="0" w:space="0" w:color="auto"/>
        <w:bottom w:val="none" w:sz="0" w:space="0" w:color="auto"/>
        <w:right w:val="none" w:sz="0" w:space="0" w:color="auto"/>
      </w:divBdr>
    </w:div>
    <w:div w:id="1214196732">
      <w:bodyDiv w:val="1"/>
      <w:marLeft w:val="0"/>
      <w:marRight w:val="0"/>
      <w:marTop w:val="0"/>
      <w:marBottom w:val="0"/>
      <w:divBdr>
        <w:top w:val="none" w:sz="0" w:space="0" w:color="auto"/>
        <w:left w:val="none" w:sz="0" w:space="0" w:color="auto"/>
        <w:bottom w:val="none" w:sz="0" w:space="0" w:color="auto"/>
        <w:right w:val="none" w:sz="0" w:space="0" w:color="auto"/>
      </w:divBdr>
    </w:div>
    <w:div w:id="1427265989">
      <w:bodyDiv w:val="1"/>
      <w:marLeft w:val="0"/>
      <w:marRight w:val="0"/>
      <w:marTop w:val="0"/>
      <w:marBottom w:val="0"/>
      <w:divBdr>
        <w:top w:val="none" w:sz="0" w:space="0" w:color="auto"/>
        <w:left w:val="none" w:sz="0" w:space="0" w:color="auto"/>
        <w:bottom w:val="none" w:sz="0" w:space="0" w:color="auto"/>
        <w:right w:val="none" w:sz="0" w:space="0" w:color="auto"/>
      </w:divBdr>
    </w:div>
    <w:div w:id="1471485294">
      <w:bodyDiv w:val="1"/>
      <w:marLeft w:val="0"/>
      <w:marRight w:val="0"/>
      <w:marTop w:val="0"/>
      <w:marBottom w:val="0"/>
      <w:divBdr>
        <w:top w:val="none" w:sz="0" w:space="0" w:color="auto"/>
        <w:left w:val="none" w:sz="0" w:space="0" w:color="auto"/>
        <w:bottom w:val="none" w:sz="0" w:space="0" w:color="auto"/>
        <w:right w:val="none" w:sz="0" w:space="0" w:color="auto"/>
      </w:divBdr>
      <w:divsChild>
        <w:div w:id="802965395">
          <w:marLeft w:val="0"/>
          <w:marRight w:val="0"/>
          <w:marTop w:val="0"/>
          <w:marBottom w:val="0"/>
          <w:divBdr>
            <w:top w:val="none" w:sz="0" w:space="0" w:color="auto"/>
            <w:left w:val="none" w:sz="0" w:space="0" w:color="auto"/>
            <w:bottom w:val="none" w:sz="0" w:space="0" w:color="auto"/>
            <w:right w:val="none" w:sz="0" w:space="0" w:color="auto"/>
          </w:divBdr>
        </w:div>
        <w:div w:id="1923178193">
          <w:marLeft w:val="0"/>
          <w:marRight w:val="0"/>
          <w:marTop w:val="0"/>
          <w:marBottom w:val="0"/>
          <w:divBdr>
            <w:top w:val="none" w:sz="0" w:space="0" w:color="auto"/>
            <w:left w:val="none" w:sz="0" w:space="0" w:color="auto"/>
            <w:bottom w:val="none" w:sz="0" w:space="0" w:color="auto"/>
            <w:right w:val="none" w:sz="0" w:space="0" w:color="auto"/>
          </w:divBdr>
        </w:div>
        <w:div w:id="538513979">
          <w:marLeft w:val="0"/>
          <w:marRight w:val="0"/>
          <w:marTop w:val="0"/>
          <w:marBottom w:val="0"/>
          <w:divBdr>
            <w:top w:val="none" w:sz="0" w:space="0" w:color="auto"/>
            <w:left w:val="none" w:sz="0" w:space="0" w:color="auto"/>
            <w:bottom w:val="none" w:sz="0" w:space="0" w:color="auto"/>
            <w:right w:val="none" w:sz="0" w:space="0" w:color="auto"/>
          </w:divBdr>
        </w:div>
        <w:div w:id="2030794832">
          <w:marLeft w:val="0"/>
          <w:marRight w:val="0"/>
          <w:marTop w:val="0"/>
          <w:marBottom w:val="0"/>
          <w:divBdr>
            <w:top w:val="none" w:sz="0" w:space="0" w:color="auto"/>
            <w:left w:val="none" w:sz="0" w:space="0" w:color="auto"/>
            <w:bottom w:val="none" w:sz="0" w:space="0" w:color="auto"/>
            <w:right w:val="none" w:sz="0" w:space="0" w:color="auto"/>
          </w:divBdr>
        </w:div>
        <w:div w:id="796491589">
          <w:marLeft w:val="0"/>
          <w:marRight w:val="0"/>
          <w:marTop w:val="0"/>
          <w:marBottom w:val="0"/>
          <w:divBdr>
            <w:top w:val="none" w:sz="0" w:space="0" w:color="auto"/>
            <w:left w:val="none" w:sz="0" w:space="0" w:color="auto"/>
            <w:bottom w:val="none" w:sz="0" w:space="0" w:color="auto"/>
            <w:right w:val="none" w:sz="0" w:space="0" w:color="auto"/>
          </w:divBdr>
        </w:div>
        <w:div w:id="386493062">
          <w:marLeft w:val="0"/>
          <w:marRight w:val="0"/>
          <w:marTop w:val="0"/>
          <w:marBottom w:val="0"/>
          <w:divBdr>
            <w:top w:val="none" w:sz="0" w:space="0" w:color="auto"/>
            <w:left w:val="none" w:sz="0" w:space="0" w:color="auto"/>
            <w:bottom w:val="none" w:sz="0" w:space="0" w:color="auto"/>
            <w:right w:val="none" w:sz="0" w:space="0" w:color="auto"/>
          </w:divBdr>
        </w:div>
        <w:div w:id="1188761003">
          <w:marLeft w:val="0"/>
          <w:marRight w:val="0"/>
          <w:marTop w:val="0"/>
          <w:marBottom w:val="0"/>
          <w:divBdr>
            <w:top w:val="none" w:sz="0" w:space="0" w:color="auto"/>
            <w:left w:val="none" w:sz="0" w:space="0" w:color="auto"/>
            <w:bottom w:val="none" w:sz="0" w:space="0" w:color="auto"/>
            <w:right w:val="none" w:sz="0" w:space="0" w:color="auto"/>
          </w:divBdr>
        </w:div>
      </w:divsChild>
    </w:div>
    <w:div w:id="1489519711">
      <w:bodyDiv w:val="1"/>
      <w:marLeft w:val="0"/>
      <w:marRight w:val="0"/>
      <w:marTop w:val="0"/>
      <w:marBottom w:val="0"/>
      <w:divBdr>
        <w:top w:val="none" w:sz="0" w:space="0" w:color="auto"/>
        <w:left w:val="none" w:sz="0" w:space="0" w:color="auto"/>
        <w:bottom w:val="none" w:sz="0" w:space="0" w:color="auto"/>
        <w:right w:val="none" w:sz="0" w:space="0" w:color="auto"/>
      </w:divBdr>
      <w:divsChild>
        <w:div w:id="1061103289">
          <w:marLeft w:val="360"/>
          <w:marRight w:val="0"/>
          <w:marTop w:val="200"/>
          <w:marBottom w:val="0"/>
          <w:divBdr>
            <w:top w:val="none" w:sz="0" w:space="0" w:color="auto"/>
            <w:left w:val="none" w:sz="0" w:space="0" w:color="auto"/>
            <w:bottom w:val="none" w:sz="0" w:space="0" w:color="auto"/>
            <w:right w:val="none" w:sz="0" w:space="0" w:color="auto"/>
          </w:divBdr>
        </w:div>
        <w:div w:id="642274289">
          <w:marLeft w:val="360"/>
          <w:marRight w:val="0"/>
          <w:marTop w:val="200"/>
          <w:marBottom w:val="0"/>
          <w:divBdr>
            <w:top w:val="none" w:sz="0" w:space="0" w:color="auto"/>
            <w:left w:val="none" w:sz="0" w:space="0" w:color="auto"/>
            <w:bottom w:val="none" w:sz="0" w:space="0" w:color="auto"/>
            <w:right w:val="none" w:sz="0" w:space="0" w:color="auto"/>
          </w:divBdr>
        </w:div>
        <w:div w:id="1524977378">
          <w:marLeft w:val="360"/>
          <w:marRight w:val="0"/>
          <w:marTop w:val="200"/>
          <w:marBottom w:val="0"/>
          <w:divBdr>
            <w:top w:val="none" w:sz="0" w:space="0" w:color="auto"/>
            <w:left w:val="none" w:sz="0" w:space="0" w:color="auto"/>
            <w:bottom w:val="none" w:sz="0" w:space="0" w:color="auto"/>
            <w:right w:val="none" w:sz="0" w:space="0" w:color="auto"/>
          </w:divBdr>
        </w:div>
        <w:div w:id="191067121">
          <w:marLeft w:val="360"/>
          <w:marRight w:val="0"/>
          <w:marTop w:val="200"/>
          <w:marBottom w:val="0"/>
          <w:divBdr>
            <w:top w:val="none" w:sz="0" w:space="0" w:color="auto"/>
            <w:left w:val="none" w:sz="0" w:space="0" w:color="auto"/>
            <w:bottom w:val="none" w:sz="0" w:space="0" w:color="auto"/>
            <w:right w:val="none" w:sz="0" w:space="0" w:color="auto"/>
          </w:divBdr>
        </w:div>
        <w:div w:id="662859082">
          <w:marLeft w:val="360"/>
          <w:marRight w:val="0"/>
          <w:marTop w:val="200"/>
          <w:marBottom w:val="0"/>
          <w:divBdr>
            <w:top w:val="none" w:sz="0" w:space="0" w:color="auto"/>
            <w:left w:val="none" w:sz="0" w:space="0" w:color="auto"/>
            <w:bottom w:val="none" w:sz="0" w:space="0" w:color="auto"/>
            <w:right w:val="none" w:sz="0" w:space="0" w:color="auto"/>
          </w:divBdr>
        </w:div>
        <w:div w:id="136265680">
          <w:marLeft w:val="360"/>
          <w:marRight w:val="0"/>
          <w:marTop w:val="200"/>
          <w:marBottom w:val="0"/>
          <w:divBdr>
            <w:top w:val="none" w:sz="0" w:space="0" w:color="auto"/>
            <w:left w:val="none" w:sz="0" w:space="0" w:color="auto"/>
            <w:bottom w:val="none" w:sz="0" w:space="0" w:color="auto"/>
            <w:right w:val="none" w:sz="0" w:space="0" w:color="auto"/>
          </w:divBdr>
        </w:div>
        <w:div w:id="526794028">
          <w:marLeft w:val="1800"/>
          <w:marRight w:val="0"/>
          <w:marTop w:val="100"/>
          <w:marBottom w:val="0"/>
          <w:divBdr>
            <w:top w:val="none" w:sz="0" w:space="0" w:color="auto"/>
            <w:left w:val="none" w:sz="0" w:space="0" w:color="auto"/>
            <w:bottom w:val="none" w:sz="0" w:space="0" w:color="auto"/>
            <w:right w:val="none" w:sz="0" w:space="0" w:color="auto"/>
          </w:divBdr>
        </w:div>
        <w:div w:id="734426066">
          <w:marLeft w:val="1800"/>
          <w:marRight w:val="0"/>
          <w:marTop w:val="100"/>
          <w:marBottom w:val="0"/>
          <w:divBdr>
            <w:top w:val="none" w:sz="0" w:space="0" w:color="auto"/>
            <w:left w:val="none" w:sz="0" w:space="0" w:color="auto"/>
            <w:bottom w:val="none" w:sz="0" w:space="0" w:color="auto"/>
            <w:right w:val="none" w:sz="0" w:space="0" w:color="auto"/>
          </w:divBdr>
        </w:div>
        <w:div w:id="807630009">
          <w:marLeft w:val="1800"/>
          <w:marRight w:val="0"/>
          <w:marTop w:val="100"/>
          <w:marBottom w:val="0"/>
          <w:divBdr>
            <w:top w:val="none" w:sz="0" w:space="0" w:color="auto"/>
            <w:left w:val="none" w:sz="0" w:space="0" w:color="auto"/>
            <w:bottom w:val="none" w:sz="0" w:space="0" w:color="auto"/>
            <w:right w:val="none" w:sz="0" w:space="0" w:color="auto"/>
          </w:divBdr>
        </w:div>
        <w:div w:id="1835880018">
          <w:marLeft w:val="1800"/>
          <w:marRight w:val="0"/>
          <w:marTop w:val="100"/>
          <w:marBottom w:val="0"/>
          <w:divBdr>
            <w:top w:val="none" w:sz="0" w:space="0" w:color="auto"/>
            <w:left w:val="none" w:sz="0" w:space="0" w:color="auto"/>
            <w:bottom w:val="none" w:sz="0" w:space="0" w:color="auto"/>
            <w:right w:val="none" w:sz="0" w:space="0" w:color="auto"/>
          </w:divBdr>
        </w:div>
        <w:div w:id="60251929">
          <w:marLeft w:val="360"/>
          <w:marRight w:val="0"/>
          <w:marTop w:val="200"/>
          <w:marBottom w:val="0"/>
          <w:divBdr>
            <w:top w:val="none" w:sz="0" w:space="0" w:color="auto"/>
            <w:left w:val="none" w:sz="0" w:space="0" w:color="auto"/>
            <w:bottom w:val="none" w:sz="0" w:space="0" w:color="auto"/>
            <w:right w:val="none" w:sz="0" w:space="0" w:color="auto"/>
          </w:divBdr>
        </w:div>
      </w:divsChild>
    </w:div>
    <w:div w:id="1754086711">
      <w:bodyDiv w:val="1"/>
      <w:marLeft w:val="0"/>
      <w:marRight w:val="0"/>
      <w:marTop w:val="0"/>
      <w:marBottom w:val="0"/>
      <w:divBdr>
        <w:top w:val="none" w:sz="0" w:space="0" w:color="auto"/>
        <w:left w:val="none" w:sz="0" w:space="0" w:color="auto"/>
        <w:bottom w:val="none" w:sz="0" w:space="0" w:color="auto"/>
        <w:right w:val="none" w:sz="0" w:space="0" w:color="auto"/>
      </w:divBdr>
    </w:div>
    <w:div w:id="1881670345">
      <w:bodyDiv w:val="1"/>
      <w:marLeft w:val="0"/>
      <w:marRight w:val="0"/>
      <w:marTop w:val="0"/>
      <w:marBottom w:val="0"/>
      <w:divBdr>
        <w:top w:val="none" w:sz="0" w:space="0" w:color="auto"/>
        <w:left w:val="none" w:sz="0" w:space="0" w:color="auto"/>
        <w:bottom w:val="none" w:sz="0" w:space="0" w:color="auto"/>
        <w:right w:val="none" w:sz="0" w:space="0" w:color="auto"/>
      </w:divBdr>
    </w:div>
    <w:div w:id="1891110906">
      <w:bodyDiv w:val="1"/>
      <w:marLeft w:val="0"/>
      <w:marRight w:val="0"/>
      <w:marTop w:val="0"/>
      <w:marBottom w:val="0"/>
      <w:divBdr>
        <w:top w:val="none" w:sz="0" w:space="0" w:color="auto"/>
        <w:left w:val="none" w:sz="0" w:space="0" w:color="auto"/>
        <w:bottom w:val="none" w:sz="0" w:space="0" w:color="auto"/>
        <w:right w:val="none" w:sz="0" w:space="0" w:color="auto"/>
      </w:divBdr>
    </w:div>
    <w:div w:id="1902248519">
      <w:bodyDiv w:val="1"/>
      <w:marLeft w:val="0"/>
      <w:marRight w:val="0"/>
      <w:marTop w:val="0"/>
      <w:marBottom w:val="0"/>
      <w:divBdr>
        <w:top w:val="none" w:sz="0" w:space="0" w:color="auto"/>
        <w:left w:val="none" w:sz="0" w:space="0" w:color="auto"/>
        <w:bottom w:val="none" w:sz="0" w:space="0" w:color="auto"/>
        <w:right w:val="none" w:sz="0" w:space="0" w:color="auto"/>
      </w:divBdr>
    </w:div>
    <w:div w:id="1972058531">
      <w:bodyDiv w:val="1"/>
      <w:marLeft w:val="0"/>
      <w:marRight w:val="0"/>
      <w:marTop w:val="0"/>
      <w:marBottom w:val="0"/>
      <w:divBdr>
        <w:top w:val="none" w:sz="0" w:space="0" w:color="auto"/>
        <w:left w:val="none" w:sz="0" w:space="0" w:color="auto"/>
        <w:bottom w:val="none" w:sz="0" w:space="0" w:color="auto"/>
        <w:right w:val="none" w:sz="0" w:space="0" w:color="auto"/>
      </w:divBdr>
      <w:divsChild>
        <w:div w:id="1117719136">
          <w:marLeft w:val="0"/>
          <w:marRight w:val="0"/>
          <w:marTop w:val="0"/>
          <w:marBottom w:val="0"/>
          <w:divBdr>
            <w:top w:val="none" w:sz="0" w:space="0" w:color="auto"/>
            <w:left w:val="none" w:sz="0" w:space="0" w:color="auto"/>
            <w:bottom w:val="none" w:sz="0" w:space="0" w:color="auto"/>
            <w:right w:val="none" w:sz="0" w:space="0" w:color="auto"/>
          </w:divBdr>
        </w:div>
        <w:div w:id="222762879">
          <w:marLeft w:val="0"/>
          <w:marRight w:val="0"/>
          <w:marTop w:val="0"/>
          <w:marBottom w:val="0"/>
          <w:divBdr>
            <w:top w:val="none" w:sz="0" w:space="0" w:color="auto"/>
            <w:left w:val="none" w:sz="0" w:space="0" w:color="auto"/>
            <w:bottom w:val="none" w:sz="0" w:space="0" w:color="auto"/>
            <w:right w:val="none" w:sz="0" w:space="0" w:color="auto"/>
          </w:divBdr>
        </w:div>
        <w:div w:id="1692603778">
          <w:marLeft w:val="0"/>
          <w:marRight w:val="0"/>
          <w:marTop w:val="0"/>
          <w:marBottom w:val="0"/>
          <w:divBdr>
            <w:top w:val="none" w:sz="0" w:space="0" w:color="auto"/>
            <w:left w:val="none" w:sz="0" w:space="0" w:color="auto"/>
            <w:bottom w:val="none" w:sz="0" w:space="0" w:color="auto"/>
            <w:right w:val="none" w:sz="0" w:space="0" w:color="auto"/>
          </w:divBdr>
        </w:div>
        <w:div w:id="512455145">
          <w:marLeft w:val="0"/>
          <w:marRight w:val="0"/>
          <w:marTop w:val="0"/>
          <w:marBottom w:val="0"/>
          <w:divBdr>
            <w:top w:val="none" w:sz="0" w:space="0" w:color="auto"/>
            <w:left w:val="none" w:sz="0" w:space="0" w:color="auto"/>
            <w:bottom w:val="none" w:sz="0" w:space="0" w:color="auto"/>
            <w:right w:val="none" w:sz="0" w:space="0" w:color="auto"/>
          </w:divBdr>
        </w:div>
        <w:div w:id="370999359">
          <w:marLeft w:val="0"/>
          <w:marRight w:val="0"/>
          <w:marTop w:val="0"/>
          <w:marBottom w:val="0"/>
          <w:divBdr>
            <w:top w:val="none" w:sz="0" w:space="0" w:color="auto"/>
            <w:left w:val="none" w:sz="0" w:space="0" w:color="auto"/>
            <w:bottom w:val="none" w:sz="0" w:space="0" w:color="auto"/>
            <w:right w:val="none" w:sz="0" w:space="0" w:color="auto"/>
          </w:divBdr>
        </w:div>
        <w:div w:id="1837841197">
          <w:marLeft w:val="0"/>
          <w:marRight w:val="0"/>
          <w:marTop w:val="0"/>
          <w:marBottom w:val="0"/>
          <w:divBdr>
            <w:top w:val="none" w:sz="0" w:space="0" w:color="auto"/>
            <w:left w:val="none" w:sz="0" w:space="0" w:color="auto"/>
            <w:bottom w:val="none" w:sz="0" w:space="0" w:color="auto"/>
            <w:right w:val="none" w:sz="0" w:space="0" w:color="auto"/>
          </w:divBdr>
        </w:div>
        <w:div w:id="1169325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tiffay@unesc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orovulavula@unesco.org" TargetMode="External"/><Relationship Id="rId5" Type="http://schemas.openxmlformats.org/officeDocument/2006/relationships/webSettings" Target="webSettings.xml"/><Relationship Id="rId10" Type="http://schemas.openxmlformats.org/officeDocument/2006/relationships/hyperlink" Target="mailto:b.aliaga@unesco.org" TargetMode="External"/><Relationship Id="rId4" Type="http://schemas.openxmlformats.org/officeDocument/2006/relationships/settings" Target="settings.xml"/><Relationship Id="rId9" Type="http://schemas.openxmlformats.org/officeDocument/2006/relationships/hyperlink" Target="https://oceanexpert.org/document/2899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2DBB3-3FA7-4EAD-A3F4-7D3B3343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23</Pages>
  <Words>9842</Words>
  <Characters>54132</Characters>
  <Application>Microsoft Office Word</Application>
  <DocSecurity>0</DocSecurity>
  <Lines>451</Lines>
  <Paragraphs>127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ITIC</Company>
  <LinksUpToDate>false</LinksUpToDate>
  <CharactersWithSpaces>63847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Kong</dc:creator>
  <cp:keywords/>
  <dc:description/>
  <cp:lastModifiedBy>Aliaga, Bernardo</cp:lastModifiedBy>
  <cp:revision>24</cp:revision>
  <dcterms:created xsi:type="dcterms:W3CDTF">2021-11-23T21:05:00Z</dcterms:created>
  <dcterms:modified xsi:type="dcterms:W3CDTF">2021-11-23T22:26:00Z</dcterms:modified>
</cp:coreProperties>
</file>