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bottom w:val="single" w:sz="4" w:space="0" w:color="auto"/>
        </w:tblBorders>
        <w:tblLook w:val="01E0" w:firstRow="1" w:lastRow="1" w:firstColumn="1" w:lastColumn="1" w:noHBand="0" w:noVBand="0"/>
      </w:tblPr>
      <w:tblGrid>
        <w:gridCol w:w="7054"/>
        <w:gridCol w:w="2977"/>
      </w:tblGrid>
      <w:tr w:rsidR="00993581" w:rsidRPr="006E5FE9" w14:paraId="54EFE080" w14:textId="77777777" w:rsidTr="00D92C51">
        <w:trPr>
          <w:trHeight w:val="282"/>
        </w:trPr>
        <w:tc>
          <w:tcPr>
            <w:tcW w:w="7054" w:type="dxa"/>
            <w:vMerge w:val="restart"/>
          </w:tcPr>
          <w:p w14:paraId="5F14894D"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noProof/>
                <w:color w:val="365F91" w:themeColor="accent1" w:themeShade="BF"/>
                <w:szCs w:val="22"/>
                <w:lang w:val="en-US" w:eastAsia="zh-CN"/>
              </w:rPr>
              <w:drawing>
                <wp:anchor distT="0" distB="0" distL="114300" distR="114300" simplePos="0" relativeHeight="251671552" behindDoc="1" locked="1" layoutInCell="1" allowOverlap="1" wp14:anchorId="0BDA2955" wp14:editId="4B704AEC">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365F91" w:themeColor="accent1" w:themeShade="BF"/>
                <w:szCs w:val="22"/>
              </w:rPr>
              <w:t>W</w:t>
            </w:r>
            <w:r w:rsidRPr="005D666D">
              <w:rPr>
                <w:rFonts w:cs="Tahoma"/>
                <w:b/>
                <w:bCs/>
                <w:color w:val="365F91" w:themeColor="accent1" w:themeShade="BF"/>
                <w:szCs w:val="22"/>
              </w:rPr>
              <w:t>orld Meteorological Organization &amp;</w:t>
            </w:r>
          </w:p>
          <w:p w14:paraId="31E42810"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rFonts w:cs="Tahoma"/>
                <w:b/>
                <w:bCs/>
                <w:color w:val="365F91" w:themeColor="accent1" w:themeShade="BF"/>
                <w:szCs w:val="22"/>
              </w:rPr>
              <w:t>Intergovernmental Oceanographic Commission (of UNESCO)</w:t>
            </w:r>
          </w:p>
          <w:p w14:paraId="18E1C688" w14:textId="77777777" w:rsidR="00993581" w:rsidRPr="005D666D" w:rsidRDefault="003C09A6" w:rsidP="00993581">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JOINT WMO/IOC TECHNICAL COMMISSION FOR OCEANOGRAPHY AND MARINE METEOROLOGY</w:t>
            </w:r>
          </w:p>
          <w:p w14:paraId="288A0548" w14:textId="68872F56" w:rsidR="00993581" w:rsidRPr="00E329C4" w:rsidRDefault="007C04F0" w:rsidP="00E329C4">
            <w:pPr>
              <w:tabs>
                <w:tab w:val="left" w:pos="6946"/>
              </w:tabs>
              <w:suppressAutoHyphens/>
              <w:spacing w:after="120" w:line="252" w:lineRule="auto"/>
              <w:ind w:left="1134"/>
              <w:jc w:val="left"/>
              <w:rPr>
                <w:rFonts w:cstheme="minorBidi"/>
                <w:b/>
                <w:snapToGrid w:val="0"/>
                <w:color w:val="365F91" w:themeColor="accent1" w:themeShade="BF"/>
                <w:szCs w:val="22"/>
              </w:rPr>
            </w:pPr>
            <w:r w:rsidRPr="00BA2442">
              <w:rPr>
                <w:b/>
                <w:snapToGrid w:val="0"/>
                <w:color w:val="365F91"/>
              </w:rPr>
              <w:t xml:space="preserve">Data Buoy Cooperation Panel Thirty </w:t>
            </w:r>
            <w:r w:rsidR="00894322">
              <w:rPr>
                <w:b/>
                <w:snapToGrid w:val="0"/>
                <w:color w:val="365F91"/>
              </w:rPr>
              <w:t>Six</w:t>
            </w:r>
            <w:r>
              <w:rPr>
                <w:b/>
                <w:snapToGrid w:val="0"/>
                <w:color w:val="365F91"/>
              </w:rPr>
              <w:t xml:space="preserve">th </w:t>
            </w:r>
            <w:r w:rsidRPr="00BA2442">
              <w:rPr>
                <w:b/>
                <w:snapToGrid w:val="0"/>
                <w:color w:val="365F91"/>
              </w:rPr>
              <w:t>Session</w:t>
            </w:r>
            <w:r>
              <w:rPr>
                <w:snapToGrid w:val="0"/>
                <w:color w:val="365F91"/>
              </w:rPr>
              <w:t>, Geneva, Switzerland</w:t>
            </w:r>
            <w:r w:rsidRPr="00BA2442">
              <w:rPr>
                <w:snapToGrid w:val="0"/>
                <w:color w:val="365F91"/>
              </w:rPr>
              <w:t xml:space="preserve">, </w:t>
            </w:r>
            <w:r w:rsidR="00AE1423">
              <w:rPr>
                <w:snapToGrid w:val="0"/>
                <w:color w:val="365F91"/>
              </w:rPr>
              <w:t>8-11</w:t>
            </w:r>
            <w:r>
              <w:rPr>
                <w:snapToGrid w:val="0"/>
                <w:color w:val="365F91"/>
              </w:rPr>
              <w:t xml:space="preserve"> </w:t>
            </w:r>
            <w:r w:rsidR="00AE1423">
              <w:rPr>
                <w:snapToGrid w:val="0"/>
                <w:color w:val="365F91"/>
              </w:rPr>
              <w:t>Novem</w:t>
            </w:r>
            <w:r>
              <w:rPr>
                <w:snapToGrid w:val="0"/>
                <w:color w:val="365F91"/>
              </w:rPr>
              <w:t>ber 20</w:t>
            </w:r>
            <w:r w:rsidR="00894322">
              <w:rPr>
                <w:snapToGrid w:val="0"/>
                <w:color w:val="365F91"/>
              </w:rPr>
              <w:t>2</w:t>
            </w:r>
            <w:r w:rsidR="00AE1423">
              <w:rPr>
                <w:snapToGrid w:val="0"/>
                <w:color w:val="365F91"/>
              </w:rPr>
              <w:t>1</w:t>
            </w:r>
          </w:p>
        </w:tc>
        <w:tc>
          <w:tcPr>
            <w:tcW w:w="2977" w:type="dxa"/>
          </w:tcPr>
          <w:p w14:paraId="51F965A2" w14:textId="77777777" w:rsidR="00E47AB9" w:rsidRDefault="00993581" w:rsidP="00FB15B7">
            <w:pPr>
              <w:tabs>
                <w:tab w:val="clear" w:pos="1134"/>
              </w:tabs>
              <w:spacing w:after="60"/>
              <w:ind w:right="-108"/>
              <w:jc w:val="right"/>
              <w:rPr>
                <w:rFonts w:cs="Tahoma"/>
                <w:b/>
                <w:bCs/>
                <w:color w:val="365F91" w:themeColor="accent1" w:themeShade="BF"/>
                <w:szCs w:val="22"/>
                <w:lang w:val="fr-CH"/>
              </w:rPr>
            </w:pPr>
            <w:r w:rsidRPr="005D666D">
              <w:rPr>
                <w:noProof/>
                <w:color w:val="365F91" w:themeColor="accent1" w:themeShade="BF"/>
                <w:szCs w:val="22"/>
                <w:lang w:val="en-US" w:eastAsia="zh-CN"/>
              </w:rPr>
              <w:drawing>
                <wp:inline distT="0" distB="0" distL="0" distR="0" wp14:anchorId="2DF70FBE" wp14:editId="7A23A710">
                  <wp:extent cx="1301044" cy="668216"/>
                  <wp:effectExtent l="0" t="0" r="0" b="0"/>
                  <wp:docPr id="4" name="Picture 4" descr="Image result for ioc log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c logo unes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2245" cy="668833"/>
                          </a:xfrm>
                          <a:prstGeom prst="rect">
                            <a:avLst/>
                          </a:prstGeom>
                          <a:noFill/>
                          <a:ln>
                            <a:noFill/>
                          </a:ln>
                        </pic:spPr>
                      </pic:pic>
                    </a:graphicData>
                  </a:graphic>
                </wp:inline>
              </w:drawing>
            </w:r>
          </w:p>
          <w:p w14:paraId="67BCE6D1" w14:textId="1AB3859F" w:rsidR="00993581" w:rsidRPr="00F61675" w:rsidRDefault="00D92C51" w:rsidP="007C04F0">
            <w:pPr>
              <w:tabs>
                <w:tab w:val="clear" w:pos="1134"/>
              </w:tabs>
              <w:spacing w:after="60"/>
              <w:ind w:right="-108"/>
              <w:jc w:val="right"/>
              <w:rPr>
                <w:rFonts w:cs="Tahoma"/>
                <w:b/>
                <w:bCs/>
                <w:color w:val="365F91" w:themeColor="accent1" w:themeShade="BF"/>
                <w:szCs w:val="22"/>
                <w:lang w:val="fr-CH"/>
              </w:rPr>
            </w:pPr>
            <w:r>
              <w:rPr>
                <w:rFonts w:cs="Tahoma"/>
                <w:b/>
                <w:bCs/>
                <w:color w:val="365F91" w:themeColor="accent1" w:themeShade="BF"/>
                <w:szCs w:val="22"/>
                <w:lang w:val="fr-CH"/>
              </w:rPr>
              <w:t>DBCP</w:t>
            </w:r>
            <w:r w:rsidR="003C09A6">
              <w:rPr>
                <w:rFonts w:cs="Tahoma"/>
                <w:b/>
                <w:bCs/>
                <w:color w:val="365F91" w:themeColor="accent1" w:themeShade="BF"/>
                <w:szCs w:val="22"/>
                <w:lang w:val="fr-CH"/>
              </w:rPr>
              <w:t>-</w:t>
            </w:r>
            <w:r w:rsidR="00B43AE7">
              <w:rPr>
                <w:rFonts w:cs="Tahoma"/>
                <w:b/>
                <w:bCs/>
                <w:color w:val="365F91" w:themeColor="accent1" w:themeShade="BF"/>
                <w:szCs w:val="22"/>
                <w:lang w:val="fr-CH"/>
              </w:rPr>
              <w:t>3</w:t>
            </w:r>
            <w:r w:rsidR="00AE1423">
              <w:rPr>
                <w:rFonts w:cs="Tahoma"/>
                <w:b/>
                <w:bCs/>
                <w:color w:val="365F91" w:themeColor="accent1" w:themeShade="BF"/>
                <w:szCs w:val="22"/>
                <w:lang w:val="fr-CH"/>
              </w:rPr>
              <w:t>7</w:t>
            </w:r>
            <w:r w:rsidR="003C09A6">
              <w:rPr>
                <w:rFonts w:cs="Tahoma"/>
                <w:b/>
                <w:bCs/>
                <w:color w:val="365F91" w:themeColor="accent1" w:themeShade="BF"/>
                <w:szCs w:val="22"/>
                <w:lang w:val="fr-CH"/>
              </w:rPr>
              <w:t>/Doc. </w:t>
            </w:r>
            <w:r w:rsidR="00010C22">
              <w:rPr>
                <w:rFonts w:cs="Tahoma"/>
                <w:b/>
                <w:bCs/>
                <w:color w:val="365F91" w:themeColor="accent1" w:themeShade="BF"/>
                <w:szCs w:val="22"/>
                <w:lang w:val="fr-CH"/>
              </w:rPr>
              <w:t>6</w:t>
            </w:r>
            <w:r w:rsidR="00501B04">
              <w:rPr>
                <w:rFonts w:cs="Tahoma"/>
                <w:b/>
                <w:bCs/>
                <w:color w:val="365F91" w:themeColor="accent1" w:themeShade="BF"/>
                <w:szCs w:val="22"/>
                <w:lang w:val="fr-CH"/>
              </w:rPr>
              <w:t>.</w:t>
            </w:r>
            <w:r w:rsidR="00010C22">
              <w:rPr>
                <w:rFonts w:cs="Tahoma"/>
                <w:b/>
                <w:bCs/>
                <w:color w:val="365F91" w:themeColor="accent1" w:themeShade="BF"/>
                <w:szCs w:val="22"/>
                <w:lang w:val="fr-CH"/>
              </w:rPr>
              <w:t>9</w:t>
            </w:r>
          </w:p>
        </w:tc>
      </w:tr>
      <w:tr w:rsidR="00993581" w:rsidRPr="005D666D" w14:paraId="4973FE16" w14:textId="77777777" w:rsidTr="00D92C51">
        <w:trPr>
          <w:trHeight w:val="730"/>
        </w:trPr>
        <w:tc>
          <w:tcPr>
            <w:tcW w:w="7054" w:type="dxa"/>
            <w:vMerge/>
          </w:tcPr>
          <w:p w14:paraId="11848304" w14:textId="77777777" w:rsidR="00993581" w:rsidRPr="00993581" w:rsidRDefault="00993581" w:rsidP="00DE0041">
            <w:pPr>
              <w:tabs>
                <w:tab w:val="left" w:pos="6946"/>
              </w:tabs>
              <w:suppressAutoHyphens/>
              <w:spacing w:after="120" w:line="252" w:lineRule="auto"/>
              <w:ind w:left="1134"/>
              <w:jc w:val="left"/>
              <w:rPr>
                <w:noProof/>
                <w:color w:val="365F91" w:themeColor="accent1" w:themeShade="BF"/>
                <w:szCs w:val="22"/>
                <w:lang w:val="fr-CH" w:eastAsia="zh-CN"/>
              </w:rPr>
            </w:pPr>
          </w:p>
        </w:tc>
        <w:tc>
          <w:tcPr>
            <w:tcW w:w="2977" w:type="dxa"/>
          </w:tcPr>
          <w:p w14:paraId="23A2F53D" w14:textId="0A74C497" w:rsidR="00993581" w:rsidRPr="005D666D" w:rsidRDefault="00993581" w:rsidP="00501B04">
            <w:pPr>
              <w:tabs>
                <w:tab w:val="clear" w:pos="1134"/>
              </w:tabs>
              <w:spacing w:after="60"/>
              <w:ind w:right="-108"/>
              <w:jc w:val="right"/>
              <w:rPr>
                <w:rFonts w:cs="Tahoma"/>
                <w:color w:val="365F91" w:themeColor="accent1" w:themeShade="BF"/>
                <w:szCs w:val="22"/>
              </w:rPr>
            </w:pPr>
            <w:r w:rsidRPr="005D666D">
              <w:rPr>
                <w:rFonts w:cs="Tahoma"/>
                <w:color w:val="365F91" w:themeColor="accent1" w:themeShade="BF"/>
                <w:szCs w:val="22"/>
              </w:rPr>
              <w:t>Submitted by:</w:t>
            </w:r>
            <w:r w:rsidRPr="005D666D">
              <w:rPr>
                <w:rFonts w:cs="Tahoma"/>
                <w:color w:val="365F91" w:themeColor="accent1" w:themeShade="BF"/>
                <w:szCs w:val="22"/>
              </w:rPr>
              <w:br/>
            </w:r>
            <w:r w:rsidR="00F438F2" w:rsidRPr="00F438F2">
              <w:rPr>
                <w:rFonts w:cs="Tahoma"/>
                <w:color w:val="365F91" w:themeColor="accent1" w:themeShade="BF"/>
                <w:szCs w:val="22"/>
              </w:rPr>
              <w:t>R.E. Jensen</w:t>
            </w:r>
          </w:p>
          <w:p w14:paraId="3DA6F542" w14:textId="1FD48442" w:rsidR="00993581" w:rsidRPr="005D666D" w:rsidRDefault="00D80148" w:rsidP="007C04F0">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22</w:t>
            </w:r>
            <w:r w:rsidR="007C04F0">
              <w:rPr>
                <w:rFonts w:cs="Tahoma"/>
                <w:color w:val="365F91" w:themeColor="accent1" w:themeShade="BF"/>
                <w:szCs w:val="22"/>
              </w:rPr>
              <w:t>.</w:t>
            </w:r>
            <w:r w:rsidR="00AE1423">
              <w:rPr>
                <w:rFonts w:cs="Tahoma"/>
                <w:color w:val="365F91" w:themeColor="accent1" w:themeShade="BF"/>
                <w:szCs w:val="22"/>
              </w:rPr>
              <w:t>10</w:t>
            </w:r>
            <w:r w:rsidR="003C09A6">
              <w:rPr>
                <w:rFonts w:cs="Tahoma"/>
                <w:color w:val="365F91" w:themeColor="accent1" w:themeShade="BF"/>
                <w:szCs w:val="22"/>
              </w:rPr>
              <w:t>.20</w:t>
            </w:r>
            <w:r>
              <w:rPr>
                <w:rFonts w:cs="Tahoma"/>
                <w:color w:val="365F91" w:themeColor="accent1" w:themeShade="BF"/>
                <w:szCs w:val="22"/>
              </w:rPr>
              <w:t>2</w:t>
            </w:r>
            <w:r w:rsidR="00AE1423">
              <w:rPr>
                <w:rFonts w:cs="Tahoma"/>
                <w:color w:val="365F91" w:themeColor="accent1" w:themeShade="BF"/>
                <w:szCs w:val="22"/>
              </w:rPr>
              <w:t>1</w:t>
            </w:r>
          </w:p>
          <w:p w14:paraId="491BC57C" w14:textId="77777777" w:rsidR="00993581" w:rsidRPr="00DF1240" w:rsidRDefault="00993581" w:rsidP="00993581">
            <w:pPr>
              <w:tabs>
                <w:tab w:val="clear" w:pos="1134"/>
              </w:tabs>
              <w:spacing w:after="60"/>
              <w:ind w:right="-108"/>
              <w:jc w:val="right"/>
              <w:rPr>
                <w:rFonts w:cs="Tahoma"/>
                <w:b/>
                <w:bCs/>
                <w:color w:val="365F91" w:themeColor="accent1" w:themeShade="BF"/>
                <w:szCs w:val="22"/>
                <w:lang w:val="en-US"/>
              </w:rPr>
            </w:pPr>
            <w:r w:rsidRPr="005D666D">
              <w:rPr>
                <w:rFonts w:cs="Tahoma"/>
                <w:b/>
                <w:bCs/>
                <w:color w:val="365F91" w:themeColor="accent1" w:themeShade="BF"/>
                <w:szCs w:val="22"/>
              </w:rPr>
              <w:t>DRAFT 1</w:t>
            </w:r>
          </w:p>
        </w:tc>
      </w:tr>
    </w:tbl>
    <w:p w14:paraId="01E77C3F" w14:textId="6126F2EB" w:rsidR="00082C80" w:rsidRPr="005D666D" w:rsidRDefault="00501B04" w:rsidP="00A81800">
      <w:pPr>
        <w:pStyle w:val="WMOBodyText"/>
        <w:tabs>
          <w:tab w:val="clear" w:pos="1134"/>
        </w:tabs>
        <w:ind w:left="2977" w:hanging="2977"/>
        <w:rPr>
          <w:b/>
          <w:bCs/>
        </w:rPr>
      </w:pPr>
      <w:r>
        <w:rPr>
          <w:b/>
          <w:bCs/>
        </w:rPr>
        <w:t xml:space="preserve">AGENDA ITEM </w:t>
      </w:r>
      <w:r w:rsidR="00B274BD">
        <w:rPr>
          <w:b/>
          <w:bCs/>
        </w:rPr>
        <w:t>6</w:t>
      </w:r>
      <w:r w:rsidR="003C09A6">
        <w:rPr>
          <w:b/>
          <w:bCs/>
        </w:rPr>
        <w:t>:</w:t>
      </w:r>
      <w:r w:rsidR="003C09A6">
        <w:rPr>
          <w:b/>
          <w:bCs/>
        </w:rPr>
        <w:tab/>
      </w:r>
      <w:r w:rsidR="00674FC1">
        <w:rPr>
          <w:b/>
          <w:color w:val="000000" w:themeColor="text1"/>
          <w:lang w:val="en-US"/>
        </w:rPr>
        <w:t>RECOMMENDATIONS BY THE TASK TEAMS</w:t>
      </w:r>
    </w:p>
    <w:p w14:paraId="28961FBB" w14:textId="66AE7E2C" w:rsidR="003B601C" w:rsidRDefault="004C01BD" w:rsidP="00A81800">
      <w:pPr>
        <w:pStyle w:val="WMOBodyText"/>
        <w:tabs>
          <w:tab w:val="clear" w:pos="1134"/>
        </w:tabs>
        <w:spacing w:after="360"/>
        <w:ind w:left="2977" w:hanging="2977"/>
        <w:rPr>
          <w:b/>
          <w:bCs/>
        </w:rPr>
      </w:pPr>
      <w:r>
        <w:rPr>
          <w:b/>
          <w:bCs/>
        </w:rPr>
        <w:t xml:space="preserve">AGENDA ITEM </w:t>
      </w:r>
      <w:r w:rsidR="00B274BD">
        <w:rPr>
          <w:b/>
          <w:bCs/>
        </w:rPr>
        <w:t>6</w:t>
      </w:r>
      <w:r w:rsidR="00A81800">
        <w:rPr>
          <w:b/>
          <w:bCs/>
        </w:rPr>
        <w:t>.</w:t>
      </w:r>
      <w:r w:rsidR="00AE1423">
        <w:rPr>
          <w:b/>
          <w:bCs/>
        </w:rPr>
        <w:t>9</w:t>
      </w:r>
      <w:r w:rsidR="003C09A6">
        <w:rPr>
          <w:b/>
          <w:bCs/>
        </w:rPr>
        <w:t>:</w:t>
      </w:r>
      <w:r w:rsidR="003C09A6">
        <w:rPr>
          <w:b/>
          <w:bCs/>
        </w:rPr>
        <w:tab/>
      </w:r>
      <w:r w:rsidR="00674FC1">
        <w:rPr>
          <w:b/>
          <w:bCs/>
        </w:rPr>
        <w:t>Task Team on Wave Measurements (TT-WM)</w:t>
      </w:r>
    </w:p>
    <w:p w14:paraId="224C0E2C" w14:textId="77777777" w:rsidR="008A7D91" w:rsidRDefault="008A7D91" w:rsidP="003B601C">
      <w:pPr>
        <w:pStyle w:val="Heading1"/>
      </w:pPr>
      <w:r w:rsidRPr="005D666D">
        <w:t>SUMMARY</w:t>
      </w:r>
    </w:p>
    <w:p w14:paraId="5AC8722B" w14:textId="1C6EB90A" w:rsidR="00A81800" w:rsidRDefault="00A81800" w:rsidP="00A81800">
      <w:pPr>
        <w:pStyle w:val="Heading3"/>
        <w:tabs>
          <w:tab w:val="clear" w:pos="1134"/>
          <w:tab w:val="left" w:pos="0"/>
        </w:tabs>
        <w:ind w:left="0" w:firstLine="0"/>
        <w:jc w:val="both"/>
        <w:rPr>
          <w:b w:val="0"/>
          <w:bCs w:val="0"/>
          <w:szCs w:val="20"/>
        </w:rPr>
      </w:pPr>
      <w:r w:rsidRPr="00A81800">
        <w:rPr>
          <w:b w:val="0"/>
          <w:bCs w:val="0"/>
          <w:szCs w:val="20"/>
        </w:rPr>
        <w:t xml:space="preserve">This document provides a report on </w:t>
      </w:r>
      <w:r w:rsidR="00674FC1">
        <w:rPr>
          <w:b w:val="0"/>
          <w:bCs w:val="0"/>
          <w:szCs w:val="20"/>
        </w:rPr>
        <w:t xml:space="preserve">the activities of the </w:t>
      </w:r>
      <w:r w:rsidR="00674FC1">
        <w:rPr>
          <w:b w:val="0"/>
          <w:bCs w:val="0"/>
        </w:rPr>
        <w:t>Task Team on Wave Measurements</w:t>
      </w:r>
      <w:r w:rsidRPr="00A81800">
        <w:rPr>
          <w:b w:val="0"/>
          <w:bCs w:val="0"/>
          <w:szCs w:val="20"/>
        </w:rPr>
        <w:t xml:space="preserve"> including recommendations to the panel for approval and actions/decisions required. </w:t>
      </w:r>
    </w:p>
    <w:p w14:paraId="217D6E24" w14:textId="77777777" w:rsidR="009D1255" w:rsidRDefault="00C97CDC" w:rsidP="003578E7">
      <w:pPr>
        <w:pStyle w:val="Heading3"/>
      </w:pPr>
      <w:r>
        <w:t xml:space="preserve">A. </w:t>
      </w:r>
      <w:r w:rsidR="009D1255">
        <w:t>INTRODUCTION/SUMMARY</w:t>
      </w:r>
      <w:r w:rsidRPr="003578E7">
        <w:rPr>
          <w:rFonts w:cs="Arial Bold"/>
          <w:vertAlign w:val="superscript"/>
        </w:rPr>
        <w:footnoteReference w:id="1"/>
      </w:r>
      <w:r w:rsidR="009D1255">
        <w:t>:</w:t>
      </w:r>
    </w:p>
    <w:p w14:paraId="67288EF1" w14:textId="77777777" w:rsidR="00674FC1" w:rsidRDefault="00674FC1" w:rsidP="00674FC1">
      <w:pPr>
        <w:tabs>
          <w:tab w:val="clear" w:pos="1134"/>
        </w:tabs>
        <w:spacing w:after="160" w:line="259" w:lineRule="auto"/>
        <w:jc w:val="left"/>
        <w:rPr>
          <w:rFonts w:ascii="Calibri" w:eastAsia="Calibri" w:hAnsi="Calibri" w:cs="Times New Roman"/>
          <w:sz w:val="22"/>
          <w:szCs w:val="22"/>
          <w:lang w:val="en-CA"/>
        </w:rPr>
      </w:pPr>
    </w:p>
    <w:p w14:paraId="631440E7" w14:textId="7576BB66" w:rsidR="00674FC1" w:rsidRDefault="00AE1423" w:rsidP="00861BD2">
      <w:pPr>
        <w:tabs>
          <w:tab w:val="clear" w:pos="1134"/>
        </w:tabs>
        <w:spacing w:line="259" w:lineRule="auto"/>
        <w:jc w:val="left"/>
        <w:rPr>
          <w:rFonts w:ascii="Calibri" w:eastAsia="Calibri" w:hAnsi="Calibri" w:cs="Times New Roman"/>
          <w:sz w:val="22"/>
          <w:szCs w:val="22"/>
          <w:lang w:val="en-CA"/>
        </w:rPr>
      </w:pPr>
      <w:r>
        <w:rPr>
          <w:rFonts w:ascii="Calibri" w:eastAsia="Calibri" w:hAnsi="Calibri" w:cs="Times New Roman"/>
          <w:sz w:val="22"/>
          <w:szCs w:val="22"/>
          <w:lang w:val="en-CA"/>
        </w:rPr>
        <w:t>6</w:t>
      </w:r>
      <w:r w:rsidR="00674FC1" w:rsidRPr="00674FC1">
        <w:rPr>
          <w:rFonts w:ascii="Calibri" w:eastAsia="Calibri" w:hAnsi="Calibri" w:cs="Times New Roman"/>
          <w:sz w:val="22"/>
          <w:szCs w:val="22"/>
          <w:lang w:val="en-CA"/>
        </w:rPr>
        <w:t>.</w:t>
      </w:r>
      <w:r>
        <w:rPr>
          <w:rFonts w:ascii="Calibri" w:eastAsia="Calibri" w:hAnsi="Calibri" w:cs="Times New Roman"/>
          <w:sz w:val="22"/>
          <w:szCs w:val="22"/>
          <w:lang w:val="en-CA"/>
        </w:rPr>
        <w:t>9</w:t>
      </w:r>
      <w:r w:rsidR="00674FC1" w:rsidRPr="00674FC1">
        <w:rPr>
          <w:rFonts w:ascii="Calibri" w:eastAsia="Calibri" w:hAnsi="Calibri" w:cs="Times New Roman"/>
          <w:sz w:val="22"/>
          <w:szCs w:val="22"/>
          <w:lang w:val="en-CA"/>
        </w:rPr>
        <w:t xml:space="preserve">.1 </w:t>
      </w:r>
      <w:r w:rsidR="009B7341">
        <w:rPr>
          <w:rFonts w:ascii="Calibri" w:eastAsia="Calibri" w:hAnsi="Calibri" w:cs="Times New Roman"/>
          <w:sz w:val="22"/>
          <w:szCs w:val="22"/>
          <w:lang w:val="en-CA"/>
        </w:rPr>
        <w:t>Robert Jensen/</w:t>
      </w:r>
      <w:r w:rsidR="00674FC1" w:rsidRPr="00674FC1">
        <w:rPr>
          <w:rFonts w:ascii="Calibri" w:eastAsia="Calibri" w:hAnsi="Calibri" w:cs="Times New Roman"/>
          <w:sz w:val="22"/>
          <w:szCs w:val="22"/>
          <w:lang w:val="en-CA"/>
        </w:rPr>
        <w:t xml:space="preserve">Val Swail reported on the progress of wave measurement activities undertaken during the last intersessional period. Continuous testing and evaluation of operational and pre-operational measurement systems continues to be an essential component of a global wave observing system, particularly given the recent proliferation of new sensors and platforms. The overriding objective of this evaluation is to ensure consistent wave measurements to a level of accuracy that will serve the requirements of the broadest range of wave information users. </w:t>
      </w:r>
    </w:p>
    <w:p w14:paraId="17368250" w14:textId="77777777" w:rsidR="00861BD2" w:rsidRDefault="00861BD2" w:rsidP="00861BD2">
      <w:pPr>
        <w:pStyle w:val="WMOBodyText"/>
        <w:spacing w:before="0"/>
        <w:rPr>
          <w:lang w:val="en-CA" w:eastAsia="en-US"/>
        </w:rPr>
      </w:pPr>
    </w:p>
    <w:p w14:paraId="51F35517" w14:textId="097036FE" w:rsidR="008F3C94" w:rsidRDefault="00AE1423" w:rsidP="00861BD2">
      <w:pPr>
        <w:pStyle w:val="WMOBodyText"/>
        <w:spacing w:before="0"/>
        <w:rPr>
          <w:rFonts w:ascii="Calibri" w:eastAsia="Calibri" w:hAnsi="Calibri" w:cs="Times New Roman"/>
          <w:sz w:val="22"/>
          <w:lang w:val="en-CA"/>
        </w:rPr>
      </w:pPr>
      <w:r>
        <w:rPr>
          <w:rFonts w:ascii="Calibri" w:eastAsia="Calibri" w:hAnsi="Calibri" w:cs="Times New Roman"/>
          <w:sz w:val="22"/>
          <w:lang w:val="en-CA"/>
        </w:rPr>
        <w:t>6</w:t>
      </w:r>
      <w:r w:rsidR="00CD4395" w:rsidRPr="00674FC1">
        <w:rPr>
          <w:rFonts w:ascii="Calibri" w:eastAsia="Calibri" w:hAnsi="Calibri" w:cs="Times New Roman"/>
          <w:sz w:val="22"/>
          <w:lang w:val="en-CA"/>
        </w:rPr>
        <w:t>.</w:t>
      </w:r>
      <w:r>
        <w:rPr>
          <w:rFonts w:ascii="Calibri" w:eastAsia="Calibri" w:hAnsi="Calibri" w:cs="Times New Roman"/>
          <w:sz w:val="22"/>
          <w:lang w:val="en-CA"/>
        </w:rPr>
        <w:t>9</w:t>
      </w:r>
      <w:r w:rsidR="00CD4395" w:rsidRPr="00674FC1">
        <w:rPr>
          <w:rFonts w:ascii="Calibri" w:eastAsia="Calibri" w:hAnsi="Calibri" w:cs="Times New Roman"/>
          <w:sz w:val="22"/>
          <w:lang w:val="en-CA"/>
        </w:rPr>
        <w:t>.</w:t>
      </w:r>
      <w:r w:rsidR="00C97018">
        <w:rPr>
          <w:rFonts w:ascii="Calibri" w:eastAsia="Calibri" w:hAnsi="Calibri" w:cs="Times New Roman"/>
          <w:sz w:val="22"/>
          <w:lang w:val="en-CA"/>
        </w:rPr>
        <w:t>2</w:t>
      </w:r>
      <w:r w:rsidR="00CD4395" w:rsidRPr="00674FC1">
        <w:rPr>
          <w:rFonts w:ascii="Calibri" w:eastAsia="Calibri" w:hAnsi="Calibri" w:cs="Times New Roman"/>
          <w:sz w:val="22"/>
          <w:lang w:val="en-CA"/>
        </w:rPr>
        <w:t xml:space="preserve"> </w:t>
      </w:r>
      <w:r w:rsidR="00941655">
        <w:rPr>
          <w:rFonts w:ascii="Calibri" w:eastAsia="Calibri" w:hAnsi="Calibri" w:cs="Times New Roman"/>
          <w:sz w:val="22"/>
          <w:lang w:val="en-CA"/>
        </w:rPr>
        <w:t xml:space="preserve">Work continued on the evaluation of both legacy and emerging measurement sensors and platforms, </w:t>
      </w:r>
      <w:r w:rsidR="00E36434">
        <w:rPr>
          <w:rFonts w:ascii="Calibri" w:eastAsia="Calibri" w:hAnsi="Calibri" w:cs="Times New Roman"/>
          <w:sz w:val="22"/>
          <w:lang w:val="en-CA"/>
        </w:rPr>
        <w:t xml:space="preserve">with several </w:t>
      </w:r>
      <w:r w:rsidR="00E00E93">
        <w:rPr>
          <w:rFonts w:ascii="Calibri" w:eastAsia="Calibri" w:hAnsi="Calibri" w:cs="Times New Roman"/>
          <w:sz w:val="22"/>
          <w:lang w:val="en-CA"/>
        </w:rPr>
        <w:t>ongoing</w:t>
      </w:r>
      <w:r w:rsidR="00E36434">
        <w:rPr>
          <w:rFonts w:ascii="Calibri" w:eastAsia="Calibri" w:hAnsi="Calibri" w:cs="Times New Roman"/>
          <w:sz w:val="22"/>
          <w:lang w:val="en-CA"/>
        </w:rPr>
        <w:t xml:space="preserve"> field studies.</w:t>
      </w:r>
      <w:r w:rsidR="008F3C94">
        <w:rPr>
          <w:rFonts w:ascii="Calibri" w:eastAsia="Calibri" w:hAnsi="Calibri" w:cs="Times New Roman"/>
          <w:sz w:val="22"/>
          <w:lang w:val="en-CA"/>
        </w:rPr>
        <w:t xml:space="preserve"> </w:t>
      </w:r>
      <w:r w:rsidR="00291061" w:rsidRPr="00291061">
        <w:rPr>
          <w:rFonts w:ascii="Calibri" w:eastAsia="Calibri" w:hAnsi="Calibri" w:cs="Times New Roman"/>
          <w:sz w:val="22"/>
          <w:lang w:val="en-CA"/>
        </w:rPr>
        <w:t xml:space="preserve">In addition, the Task Team published papers from two of those evaluations to a Topical Collection in Ocean Dynamics (Jensen et al., 2021; Magnusson et al., 2021).    </w:t>
      </w:r>
    </w:p>
    <w:p w14:paraId="30FA64D3" w14:textId="10FAAF1F" w:rsidR="0011222F" w:rsidRDefault="0011222F" w:rsidP="00861BD2">
      <w:pPr>
        <w:pStyle w:val="WMOBodyText"/>
        <w:spacing w:before="0"/>
        <w:rPr>
          <w:rFonts w:ascii="Calibri" w:eastAsia="Calibri" w:hAnsi="Calibri" w:cs="Times New Roman"/>
          <w:sz w:val="22"/>
          <w:lang w:val="en-CA"/>
        </w:rPr>
      </w:pPr>
    </w:p>
    <w:p w14:paraId="18463E69" w14:textId="2C0C9B5F" w:rsidR="0011222F" w:rsidRDefault="0011222F" w:rsidP="00861BD2">
      <w:pPr>
        <w:pStyle w:val="WMOBodyText"/>
        <w:spacing w:before="0"/>
        <w:rPr>
          <w:rFonts w:ascii="Calibri" w:eastAsia="Calibri" w:hAnsi="Calibri" w:cs="Times New Roman"/>
          <w:sz w:val="22"/>
          <w:lang w:val="en-CA"/>
        </w:rPr>
      </w:pPr>
      <w:r>
        <w:rPr>
          <w:rFonts w:ascii="Calibri" w:eastAsia="Calibri" w:hAnsi="Calibri" w:cs="Times New Roman"/>
          <w:sz w:val="22"/>
          <w:lang w:val="en-CA"/>
        </w:rPr>
        <w:t xml:space="preserve">6.9.3 Deployments of wave drifters continued, through the Global Drifter Program and others including the </w:t>
      </w:r>
      <w:r w:rsidRPr="0011222F">
        <w:rPr>
          <w:rFonts w:ascii="Calibri" w:eastAsia="Calibri" w:hAnsi="Calibri" w:cs="Times New Roman"/>
          <w:sz w:val="22"/>
          <w:lang w:val="en-CA"/>
        </w:rPr>
        <w:t>Coastal Observing Research and Development Center at SIO</w:t>
      </w:r>
      <w:r>
        <w:rPr>
          <w:rFonts w:ascii="Calibri" w:eastAsia="Calibri" w:hAnsi="Calibri" w:cs="Times New Roman"/>
          <w:sz w:val="22"/>
          <w:lang w:val="en-CA"/>
        </w:rPr>
        <w:t xml:space="preserve">. </w:t>
      </w:r>
      <w:r w:rsidR="006B679E">
        <w:rPr>
          <w:rFonts w:ascii="Calibri" w:eastAsia="Calibri" w:hAnsi="Calibri" w:cs="Times New Roman"/>
          <w:sz w:val="22"/>
          <w:lang w:val="en-CA"/>
        </w:rPr>
        <w:t xml:space="preserve">CORDC </w:t>
      </w:r>
      <w:r w:rsidR="006B679E" w:rsidRPr="006B679E">
        <w:rPr>
          <w:rFonts w:ascii="Calibri" w:eastAsia="Calibri" w:hAnsi="Calibri" w:cs="Times New Roman"/>
          <w:sz w:val="22"/>
          <w:lang w:val="en-CA"/>
        </w:rPr>
        <w:t>was successful in transmitting some of their mini-drifter wave measurement buoys to the GTS. ECMWF is now reviewing the data structure for forecast evaluations and potentially ingest into their operational forecasting system</w:t>
      </w:r>
      <w:r w:rsidR="006B679E">
        <w:rPr>
          <w:rFonts w:ascii="Calibri" w:eastAsia="Calibri" w:hAnsi="Calibri" w:cs="Times New Roman"/>
          <w:sz w:val="22"/>
          <w:lang w:val="en-CA"/>
        </w:rPr>
        <w:t>, facilitated by t</w:t>
      </w:r>
      <w:r>
        <w:rPr>
          <w:rFonts w:ascii="Calibri" w:eastAsia="Calibri" w:hAnsi="Calibri" w:cs="Times New Roman"/>
          <w:sz w:val="22"/>
          <w:lang w:val="en-CA"/>
        </w:rPr>
        <w:t xml:space="preserve">he Task Team. </w:t>
      </w:r>
    </w:p>
    <w:p w14:paraId="5D356006" w14:textId="77777777" w:rsidR="0011222F" w:rsidRDefault="0011222F" w:rsidP="00861BD2">
      <w:pPr>
        <w:pStyle w:val="WMOBodyText"/>
        <w:spacing w:before="0"/>
        <w:rPr>
          <w:rFonts w:ascii="Calibri" w:eastAsia="Calibri" w:hAnsi="Calibri" w:cs="Times New Roman"/>
          <w:sz w:val="22"/>
          <w:lang w:val="en-CA"/>
        </w:rPr>
      </w:pPr>
    </w:p>
    <w:p w14:paraId="5263EA10" w14:textId="379A03B6" w:rsidR="00674FC1" w:rsidRPr="00674FC1" w:rsidRDefault="00AE1423" w:rsidP="00861BD2">
      <w:pPr>
        <w:tabs>
          <w:tab w:val="clear" w:pos="1134"/>
        </w:tabs>
        <w:spacing w:line="259" w:lineRule="auto"/>
        <w:jc w:val="left"/>
        <w:rPr>
          <w:rFonts w:ascii="Calibri" w:eastAsia="Calibri" w:hAnsi="Calibri" w:cs="Times New Roman"/>
          <w:sz w:val="22"/>
          <w:szCs w:val="22"/>
          <w:lang w:val="en-CA"/>
        </w:rPr>
      </w:pPr>
      <w:r w:rsidRPr="006B679E">
        <w:rPr>
          <w:rFonts w:ascii="Calibri" w:eastAsia="Calibri" w:hAnsi="Calibri" w:cs="Times New Roman"/>
          <w:sz w:val="22"/>
          <w:szCs w:val="22"/>
          <w:lang w:val="en-CA"/>
        </w:rPr>
        <w:t>6</w:t>
      </w:r>
      <w:r w:rsidR="00674FC1" w:rsidRPr="006B679E">
        <w:rPr>
          <w:rFonts w:ascii="Calibri" w:eastAsia="Calibri" w:hAnsi="Calibri" w:cs="Times New Roman"/>
          <w:sz w:val="22"/>
          <w:szCs w:val="22"/>
          <w:lang w:val="en-CA"/>
        </w:rPr>
        <w:t>.</w:t>
      </w:r>
      <w:r w:rsidRPr="006B679E">
        <w:rPr>
          <w:rFonts w:ascii="Calibri" w:eastAsia="Calibri" w:hAnsi="Calibri" w:cs="Times New Roman"/>
          <w:sz w:val="22"/>
          <w:szCs w:val="22"/>
          <w:lang w:val="en-CA"/>
        </w:rPr>
        <w:t>9</w:t>
      </w:r>
      <w:r w:rsidR="00674FC1" w:rsidRPr="006B679E">
        <w:rPr>
          <w:rFonts w:ascii="Calibri" w:eastAsia="Calibri" w:hAnsi="Calibri" w:cs="Times New Roman"/>
          <w:sz w:val="22"/>
          <w:szCs w:val="22"/>
          <w:lang w:val="en-CA"/>
        </w:rPr>
        <w:t>.</w:t>
      </w:r>
      <w:r w:rsidR="0011222F" w:rsidRPr="006B679E">
        <w:rPr>
          <w:rFonts w:ascii="Calibri" w:eastAsia="Calibri" w:hAnsi="Calibri" w:cs="Times New Roman"/>
          <w:sz w:val="22"/>
          <w:szCs w:val="22"/>
          <w:lang w:val="en-CA"/>
        </w:rPr>
        <w:t>4</w:t>
      </w:r>
      <w:r w:rsidR="00674FC1" w:rsidRPr="006B679E">
        <w:rPr>
          <w:rFonts w:ascii="Calibri" w:eastAsia="Calibri" w:hAnsi="Calibri" w:cs="Times New Roman"/>
          <w:sz w:val="22"/>
          <w:szCs w:val="22"/>
          <w:lang w:val="en-CA"/>
        </w:rPr>
        <w:t xml:space="preserve"> </w:t>
      </w:r>
      <w:r w:rsidR="00691D9D" w:rsidRPr="006B679E">
        <w:rPr>
          <w:rFonts w:ascii="Calibri" w:eastAsia="Calibri" w:hAnsi="Calibri" w:cs="Times New Roman"/>
          <w:sz w:val="22"/>
          <w:szCs w:val="22"/>
          <w:lang w:val="en-CA"/>
        </w:rPr>
        <w:t>The key action from DBCP-3</w:t>
      </w:r>
      <w:r w:rsidR="00E00E93" w:rsidRPr="006B679E">
        <w:rPr>
          <w:rFonts w:ascii="Calibri" w:eastAsia="Calibri" w:hAnsi="Calibri" w:cs="Times New Roman"/>
          <w:sz w:val="22"/>
          <w:szCs w:val="22"/>
          <w:lang w:val="en-CA"/>
        </w:rPr>
        <w:t>6</w:t>
      </w:r>
      <w:r w:rsidR="00691D9D" w:rsidRPr="006B679E">
        <w:rPr>
          <w:rFonts w:ascii="Calibri" w:eastAsia="Calibri" w:hAnsi="Calibri" w:cs="Times New Roman"/>
          <w:sz w:val="22"/>
          <w:szCs w:val="22"/>
          <w:lang w:val="en-CA"/>
        </w:rPr>
        <w:t xml:space="preserve"> for the Task Team was the organization of a Wave Measurement Workshop, as a follow-on to the 2008 workshop in New York, which led to the development of the original Pilot Project on Wave measurement Evaluation and Test (PP-WET). The Workshop was </w:t>
      </w:r>
      <w:r w:rsidR="00E00E93" w:rsidRPr="006B679E">
        <w:rPr>
          <w:rFonts w:ascii="Calibri" w:eastAsia="Calibri" w:hAnsi="Calibri" w:cs="Times New Roman"/>
          <w:sz w:val="22"/>
          <w:szCs w:val="22"/>
          <w:lang w:val="en-CA"/>
        </w:rPr>
        <w:t xml:space="preserve">originally </w:t>
      </w:r>
      <w:r w:rsidR="00691D9D" w:rsidRPr="006B679E">
        <w:rPr>
          <w:rFonts w:ascii="Calibri" w:eastAsia="Calibri" w:hAnsi="Calibri" w:cs="Times New Roman"/>
          <w:sz w:val="22"/>
          <w:szCs w:val="22"/>
          <w:lang w:val="en-CA"/>
        </w:rPr>
        <w:t xml:space="preserve">planned for September 28-30, 2020 at ECMWF, with more than 70 participants representing a broad spectrum of buoy developers, operators, national weather services, satellite agencies, climate services, researchers, and users including the oil and gas industry. Unfortunately, due to Covid-19, the meeting </w:t>
      </w:r>
      <w:r w:rsidR="00E00E93" w:rsidRPr="006B679E">
        <w:rPr>
          <w:rFonts w:ascii="Calibri" w:eastAsia="Calibri" w:hAnsi="Calibri" w:cs="Times New Roman"/>
          <w:sz w:val="22"/>
          <w:szCs w:val="22"/>
          <w:lang w:val="en-CA"/>
        </w:rPr>
        <w:t>was</w:t>
      </w:r>
      <w:r w:rsidR="00691D9D" w:rsidRPr="006B679E">
        <w:rPr>
          <w:rFonts w:ascii="Calibri" w:eastAsia="Calibri" w:hAnsi="Calibri" w:cs="Times New Roman"/>
          <w:sz w:val="22"/>
          <w:szCs w:val="22"/>
          <w:lang w:val="en-CA"/>
        </w:rPr>
        <w:t xml:space="preserve"> postponed until </w:t>
      </w:r>
      <w:r w:rsidR="00E00E93" w:rsidRPr="006B679E">
        <w:rPr>
          <w:rFonts w:ascii="Calibri" w:eastAsia="Calibri" w:hAnsi="Calibri" w:cs="Times New Roman"/>
          <w:sz w:val="22"/>
          <w:szCs w:val="22"/>
          <w:lang w:val="en-CA"/>
        </w:rPr>
        <w:t xml:space="preserve">at least </w:t>
      </w:r>
      <w:r w:rsidR="00691D9D" w:rsidRPr="006B679E">
        <w:rPr>
          <w:rFonts w:ascii="Calibri" w:eastAsia="Calibri" w:hAnsi="Calibri" w:cs="Times New Roman"/>
          <w:sz w:val="22"/>
          <w:szCs w:val="22"/>
          <w:lang w:val="en-CA"/>
        </w:rPr>
        <w:t xml:space="preserve">2021, </w:t>
      </w:r>
      <w:r w:rsidR="00E00E93" w:rsidRPr="006B679E">
        <w:rPr>
          <w:rFonts w:ascii="Calibri" w:eastAsia="Calibri" w:hAnsi="Calibri" w:cs="Times New Roman"/>
          <w:sz w:val="22"/>
          <w:szCs w:val="22"/>
          <w:lang w:val="en-CA"/>
        </w:rPr>
        <w:t>and the continuing travel-related issues led to further postponement. It is now planned to hold</w:t>
      </w:r>
      <w:r w:rsidR="00691D9D" w:rsidRPr="006B679E">
        <w:rPr>
          <w:rFonts w:ascii="Calibri" w:eastAsia="Calibri" w:hAnsi="Calibri" w:cs="Times New Roman"/>
          <w:sz w:val="22"/>
          <w:szCs w:val="22"/>
          <w:lang w:val="en-CA"/>
        </w:rPr>
        <w:t xml:space="preserve"> virtual meeting</w:t>
      </w:r>
      <w:r w:rsidR="00E00E93" w:rsidRPr="006B679E">
        <w:rPr>
          <w:rFonts w:ascii="Calibri" w:eastAsia="Calibri" w:hAnsi="Calibri" w:cs="Times New Roman"/>
          <w:sz w:val="22"/>
          <w:szCs w:val="22"/>
          <w:lang w:val="en-CA"/>
        </w:rPr>
        <w:t xml:space="preserve">s on individual topics of the proposed workshop agenda in early 2022. </w:t>
      </w:r>
      <w:r w:rsidR="00691D9D" w:rsidRPr="006B679E">
        <w:rPr>
          <w:rFonts w:ascii="Calibri" w:eastAsia="Calibri" w:hAnsi="Calibri" w:cs="Times New Roman"/>
          <w:sz w:val="22"/>
          <w:szCs w:val="22"/>
          <w:lang w:val="en-CA"/>
        </w:rPr>
        <w:t xml:space="preserve"> This rema</w:t>
      </w:r>
      <w:r w:rsidR="00BA12C2" w:rsidRPr="006B679E">
        <w:rPr>
          <w:rFonts w:ascii="Calibri" w:eastAsia="Calibri" w:hAnsi="Calibri" w:cs="Times New Roman"/>
          <w:sz w:val="22"/>
          <w:szCs w:val="22"/>
          <w:lang w:val="en-CA"/>
        </w:rPr>
        <w:t>i</w:t>
      </w:r>
      <w:r w:rsidR="00691D9D" w:rsidRPr="006B679E">
        <w:rPr>
          <w:rFonts w:ascii="Calibri" w:eastAsia="Calibri" w:hAnsi="Calibri" w:cs="Times New Roman"/>
          <w:sz w:val="22"/>
          <w:szCs w:val="22"/>
          <w:lang w:val="en-CA"/>
        </w:rPr>
        <w:t>ns the primary action for TT-WM.</w:t>
      </w:r>
      <w:r w:rsidR="00691D9D">
        <w:rPr>
          <w:rFonts w:ascii="Calibri" w:eastAsia="Calibri" w:hAnsi="Calibri" w:cs="Times New Roman"/>
          <w:sz w:val="22"/>
          <w:szCs w:val="22"/>
          <w:lang w:val="en-CA"/>
        </w:rPr>
        <w:t xml:space="preserve"> </w:t>
      </w:r>
    </w:p>
    <w:p w14:paraId="5E1742D9" w14:textId="77777777" w:rsidR="00674FC1" w:rsidRPr="00674FC1" w:rsidRDefault="00674FC1" w:rsidP="00674FC1">
      <w:pPr>
        <w:tabs>
          <w:tab w:val="clear" w:pos="1134"/>
        </w:tabs>
        <w:spacing w:after="160" w:line="259" w:lineRule="auto"/>
        <w:jc w:val="left"/>
        <w:rPr>
          <w:rFonts w:ascii="Calibri" w:eastAsia="Calibri" w:hAnsi="Calibri" w:cs="Times New Roman"/>
          <w:sz w:val="22"/>
          <w:szCs w:val="22"/>
          <w:lang w:val="en-CA"/>
        </w:rPr>
      </w:pPr>
      <w:r w:rsidRPr="00674FC1">
        <w:rPr>
          <w:rFonts w:ascii="Calibri" w:eastAsia="Calibri" w:hAnsi="Calibri" w:cs="Times New Roman"/>
          <w:sz w:val="22"/>
          <w:szCs w:val="22"/>
          <w:lang w:val="en-CA"/>
        </w:rPr>
        <w:t xml:space="preserve"> </w:t>
      </w:r>
    </w:p>
    <w:p w14:paraId="41508AEE" w14:textId="77777777" w:rsidR="00FF45FD" w:rsidRPr="005D666D" w:rsidRDefault="00FF45FD" w:rsidP="00FF45FD">
      <w:pPr>
        <w:pStyle w:val="Heading3"/>
      </w:pPr>
      <w:r>
        <w:lastRenderedPageBreak/>
        <w:t xml:space="preserve">B. </w:t>
      </w:r>
      <w:r w:rsidRPr="005D666D">
        <w:t>ACTIONS</w:t>
      </w:r>
      <w:r>
        <w:t>/DECISIONS</w:t>
      </w:r>
      <w:r w:rsidRPr="005D666D">
        <w:t xml:space="preserve"> REQUIRED:</w:t>
      </w:r>
    </w:p>
    <w:p w14:paraId="49EEA70D" w14:textId="592056D2" w:rsidR="00FF45FD" w:rsidRPr="006B679E" w:rsidRDefault="00FF45FD" w:rsidP="00FF45FD">
      <w:pPr>
        <w:pStyle w:val="WMOResList1"/>
        <w:rPr>
          <w:rFonts w:eastAsia="MS Mincho"/>
          <w:i/>
          <w:iCs/>
          <w:color w:val="1A1A1A"/>
        </w:rPr>
      </w:pPr>
      <w:r>
        <w:t>(a)</w:t>
      </w:r>
      <w:r>
        <w:tab/>
      </w:r>
      <w:r w:rsidRPr="006B679E">
        <w:t>A</w:t>
      </w:r>
      <w:hyperlink w:anchor="_Draft_Decision_X.X.X(X)/1" w:history="1">
        <w:r w:rsidR="00173E47" w:rsidRPr="006B679E">
          <w:rPr>
            <w:rStyle w:val="Hyperlink"/>
          </w:rPr>
          <w:t>6</w:t>
        </w:r>
        <w:r w:rsidRPr="006B679E">
          <w:rPr>
            <w:rStyle w:val="Hyperlink"/>
          </w:rPr>
          <w:t>.</w:t>
        </w:r>
        <w:r w:rsidR="00AE1423" w:rsidRPr="006B679E">
          <w:rPr>
            <w:rStyle w:val="Hyperlink"/>
          </w:rPr>
          <w:t>9</w:t>
        </w:r>
        <w:r w:rsidRPr="006B679E">
          <w:rPr>
            <w:rStyle w:val="Hyperlink"/>
          </w:rPr>
          <w:t>/1</w:t>
        </w:r>
      </w:hyperlink>
      <w:r w:rsidRPr="006B679E">
        <w:rPr>
          <w:rFonts w:eastAsia="MS Mincho"/>
          <w:color w:val="1A1A1A"/>
        </w:rPr>
        <w:t xml:space="preserve"> — </w:t>
      </w:r>
      <w:r w:rsidRPr="006B679E">
        <w:rPr>
          <w:rFonts w:eastAsia="MS Mincho"/>
          <w:i/>
          <w:iCs/>
          <w:color w:val="1A1A1A"/>
        </w:rPr>
        <w:t>Wave Measurement Workshop 2</w:t>
      </w:r>
    </w:p>
    <w:p w14:paraId="638B73D0" w14:textId="0E838104" w:rsidR="00FF45FD" w:rsidRPr="006B679E" w:rsidRDefault="00FF45FD" w:rsidP="006D687B">
      <w:pPr>
        <w:pStyle w:val="WMOResList1"/>
        <w:numPr>
          <w:ilvl w:val="0"/>
          <w:numId w:val="1"/>
        </w:numPr>
        <w:contextualSpacing/>
      </w:pPr>
      <w:r w:rsidRPr="006B679E">
        <w:t>Organize a follow up workshop (Re: New York 2008 Workshop) between researchers in the field of wave measurements, institutional end users, data providers, manufacturers and the IOGP (TT-WM chair to work with Candice Hall and Val Swail</w:t>
      </w:r>
      <w:r w:rsidR="00C63ECB" w:rsidRPr="006B679E">
        <w:t>)</w:t>
      </w:r>
      <w:r w:rsidRPr="006B679E">
        <w:t xml:space="preserve">, </w:t>
      </w:r>
      <w:r w:rsidR="00E00E93" w:rsidRPr="006B679E">
        <w:t>virtual</w:t>
      </w:r>
      <w:r w:rsidR="00BA12C2" w:rsidRPr="006B679E">
        <w:t xml:space="preserve"> </w:t>
      </w:r>
      <w:r w:rsidRPr="006B679E">
        <w:t>Q</w:t>
      </w:r>
      <w:r w:rsidR="00E00E93" w:rsidRPr="006B679E">
        <w:t>1/Q2</w:t>
      </w:r>
      <w:r w:rsidRPr="006B679E">
        <w:t xml:space="preserve"> 202</w:t>
      </w:r>
      <w:r w:rsidR="00E00E93" w:rsidRPr="006B679E">
        <w:t>2</w:t>
      </w:r>
      <w:r w:rsidRPr="006B679E">
        <w:t>).</w:t>
      </w:r>
    </w:p>
    <w:p w14:paraId="77E6E773" w14:textId="77777777" w:rsidR="00FF45FD" w:rsidRPr="006B679E" w:rsidRDefault="00FF45FD" w:rsidP="00FF45FD">
      <w:pPr>
        <w:pStyle w:val="WMOResList1"/>
        <w:ind w:left="0" w:firstLine="0"/>
        <w:contextualSpacing/>
      </w:pPr>
    </w:p>
    <w:p w14:paraId="704A0E67" w14:textId="77777777" w:rsidR="00FF45FD" w:rsidRPr="006B679E" w:rsidRDefault="00FF45FD" w:rsidP="00FF45FD">
      <w:pPr>
        <w:pStyle w:val="WMOResList1"/>
        <w:ind w:left="0" w:firstLine="0"/>
        <w:contextualSpacing/>
        <w:rPr>
          <w:b/>
          <w:bCs/>
        </w:rPr>
      </w:pPr>
      <w:r w:rsidRPr="006B679E">
        <w:rPr>
          <w:b/>
          <w:bCs/>
        </w:rPr>
        <w:t>C. RECOMMENDATIONS:</w:t>
      </w:r>
    </w:p>
    <w:p w14:paraId="64176759" w14:textId="38721959" w:rsidR="00FF45FD" w:rsidRPr="006B679E" w:rsidRDefault="00FF45FD" w:rsidP="00FF45FD">
      <w:pPr>
        <w:pStyle w:val="WMOResList1"/>
      </w:pPr>
      <w:bookmarkStart w:id="0" w:name="_Hlk50725092"/>
      <w:r w:rsidRPr="006B679E">
        <w:t>(a)</w:t>
      </w:r>
      <w:r w:rsidRPr="006B679E">
        <w:tab/>
      </w:r>
      <w:bookmarkStart w:id="1" w:name="_Hlk85197014"/>
      <w:r w:rsidR="006D687B" w:rsidRPr="006B679E">
        <w:fldChar w:fldCharType="begin"/>
      </w:r>
      <w:r w:rsidR="006D687B" w:rsidRPr="006B679E">
        <w:instrText xml:space="preserve"> HYPERLINK \l "_Title_of_the_1" </w:instrText>
      </w:r>
      <w:r w:rsidR="006D687B" w:rsidRPr="006B679E">
        <w:fldChar w:fldCharType="separate"/>
      </w:r>
      <w:r w:rsidRPr="006B679E">
        <w:rPr>
          <w:rStyle w:val="Hyperlink"/>
          <w:color w:val="0070C0"/>
        </w:rPr>
        <w:t>R</w:t>
      </w:r>
      <w:r w:rsidR="00173E47" w:rsidRPr="006B679E">
        <w:rPr>
          <w:rStyle w:val="Hyperlink"/>
          <w:color w:val="0070C0"/>
        </w:rPr>
        <w:t>6</w:t>
      </w:r>
      <w:r w:rsidRPr="006B679E">
        <w:rPr>
          <w:rStyle w:val="Hyperlink"/>
          <w:color w:val="0070C0"/>
        </w:rPr>
        <w:t>.</w:t>
      </w:r>
      <w:r w:rsidR="00AE1423" w:rsidRPr="006B679E">
        <w:rPr>
          <w:rStyle w:val="Hyperlink"/>
          <w:color w:val="0070C0"/>
        </w:rPr>
        <w:t>9</w:t>
      </w:r>
      <w:r w:rsidRPr="006B679E">
        <w:rPr>
          <w:rStyle w:val="Hyperlink"/>
          <w:color w:val="0070C0"/>
        </w:rPr>
        <w:t>/1</w:t>
      </w:r>
      <w:r w:rsidR="006D687B" w:rsidRPr="006B679E">
        <w:rPr>
          <w:rStyle w:val="Hyperlink"/>
          <w:color w:val="0070C0"/>
        </w:rPr>
        <w:fldChar w:fldCharType="end"/>
      </w:r>
      <w:r w:rsidRPr="006B679E">
        <w:rPr>
          <w:rStyle w:val="Hyperlink"/>
        </w:rPr>
        <w:t xml:space="preserve"> </w:t>
      </w:r>
      <w:r w:rsidRPr="006B679E">
        <w:rPr>
          <w:i/>
        </w:rPr>
        <w:t xml:space="preserve">— </w:t>
      </w:r>
      <w:r w:rsidR="000F47F5" w:rsidRPr="006B679E">
        <w:rPr>
          <w:i/>
        </w:rPr>
        <w:t>Consolidated</w:t>
      </w:r>
      <w:r w:rsidRPr="006B679E">
        <w:rPr>
          <w:i/>
        </w:rPr>
        <w:t xml:space="preserve"> Wind-Waves</w:t>
      </w:r>
      <w:r w:rsidR="000F47F5" w:rsidRPr="006B679E">
        <w:rPr>
          <w:i/>
        </w:rPr>
        <w:t xml:space="preserve"> Data Base</w:t>
      </w:r>
    </w:p>
    <w:p w14:paraId="70E4AAC1" w14:textId="33B6BE4F" w:rsidR="00FF45FD" w:rsidRPr="006B679E" w:rsidRDefault="000F47F5" w:rsidP="006D687B">
      <w:pPr>
        <w:pStyle w:val="WMOResList1"/>
        <w:numPr>
          <w:ilvl w:val="0"/>
          <w:numId w:val="1"/>
        </w:numPr>
        <w:contextualSpacing/>
        <w:rPr>
          <w:rFonts w:eastAsia="MS Mincho"/>
          <w:strike/>
          <w:color w:val="1A1A1A"/>
        </w:rPr>
      </w:pPr>
      <w:r w:rsidRPr="006B679E">
        <w:rPr>
          <w:rFonts w:eastAsia="MS Mincho"/>
          <w:color w:val="1A1A1A"/>
        </w:rPr>
        <w:t xml:space="preserve">Continue to investigate a consolidated Waves data base (with TT-MB) </w:t>
      </w:r>
      <w:r w:rsidR="00FF45FD" w:rsidRPr="006B679E">
        <w:rPr>
          <w:rFonts w:eastAsia="MS Mincho"/>
          <w:color w:val="1A1A1A"/>
        </w:rPr>
        <w:t>to house point-source wave measurements and complementary metadata</w:t>
      </w:r>
    </w:p>
    <w:bookmarkEnd w:id="1"/>
    <w:p w14:paraId="4090A96D" w14:textId="77777777" w:rsidR="00FF45FD" w:rsidRPr="006B679E" w:rsidRDefault="00FF45FD" w:rsidP="00FF45FD">
      <w:pPr>
        <w:pStyle w:val="WMOResList1"/>
        <w:ind w:left="1287" w:firstLine="0"/>
        <w:contextualSpacing/>
        <w:rPr>
          <w:rFonts w:eastAsia="MS Mincho"/>
          <w:b/>
          <w:bCs/>
          <w:color w:val="1A1A1A"/>
        </w:rPr>
      </w:pPr>
    </w:p>
    <w:p w14:paraId="08C09231" w14:textId="7A46CD9F" w:rsidR="00FF45FD" w:rsidRPr="006B679E" w:rsidRDefault="00FF45FD" w:rsidP="00FF45FD">
      <w:pPr>
        <w:pStyle w:val="WMOResList1"/>
        <w:contextualSpacing/>
        <w:rPr>
          <w:rFonts w:eastAsia="MS Mincho"/>
          <w:i/>
          <w:color w:val="1A1A1A"/>
        </w:rPr>
      </w:pPr>
      <w:r w:rsidRPr="006B679E">
        <w:rPr>
          <w:rFonts w:eastAsia="MS Mincho"/>
          <w:color w:val="1A1A1A"/>
        </w:rPr>
        <w:t>(</w:t>
      </w:r>
      <w:r w:rsidR="00F60BCC" w:rsidRPr="006B679E">
        <w:rPr>
          <w:rFonts w:eastAsia="MS Mincho"/>
          <w:color w:val="1A1A1A"/>
        </w:rPr>
        <w:t>b</w:t>
      </w:r>
      <w:r w:rsidRPr="006B679E">
        <w:rPr>
          <w:rFonts w:eastAsia="MS Mincho"/>
          <w:color w:val="1A1A1A"/>
        </w:rPr>
        <w:t>)</w:t>
      </w:r>
      <w:r w:rsidRPr="006B679E">
        <w:rPr>
          <w:rFonts w:eastAsia="MS Mincho"/>
          <w:color w:val="1A1A1A"/>
        </w:rPr>
        <w:tab/>
      </w:r>
      <w:r w:rsidRPr="006B679E">
        <w:rPr>
          <w:rFonts w:eastAsia="MS Mincho"/>
          <w:color w:val="0070C0"/>
        </w:rPr>
        <w:t>R</w:t>
      </w:r>
      <w:r w:rsidR="00173E47" w:rsidRPr="006B679E">
        <w:rPr>
          <w:rFonts w:eastAsia="MS Mincho"/>
          <w:color w:val="0070C0"/>
        </w:rPr>
        <w:t>6</w:t>
      </w:r>
      <w:r w:rsidRPr="006B679E">
        <w:rPr>
          <w:rFonts w:eastAsia="MS Mincho"/>
          <w:color w:val="0070C0"/>
        </w:rPr>
        <w:t>.</w:t>
      </w:r>
      <w:r w:rsidR="00AE1423" w:rsidRPr="006B679E">
        <w:rPr>
          <w:rFonts w:eastAsia="MS Mincho"/>
          <w:color w:val="0070C0"/>
        </w:rPr>
        <w:t>9</w:t>
      </w:r>
      <w:r w:rsidRPr="006B679E">
        <w:rPr>
          <w:rFonts w:eastAsia="MS Mincho"/>
          <w:color w:val="0070C0"/>
        </w:rPr>
        <w:t>/</w:t>
      </w:r>
      <w:r w:rsidR="00F60BCC" w:rsidRPr="006B679E">
        <w:rPr>
          <w:rFonts w:eastAsia="MS Mincho"/>
          <w:color w:val="0070C0"/>
        </w:rPr>
        <w:t>2</w:t>
      </w:r>
      <w:r w:rsidRPr="006B679E">
        <w:rPr>
          <w:rFonts w:eastAsia="MS Mincho"/>
          <w:color w:val="0070C0"/>
        </w:rPr>
        <w:t xml:space="preserve"> </w:t>
      </w:r>
      <w:r w:rsidRPr="006B679E">
        <w:rPr>
          <w:rFonts w:eastAsia="MS Mincho"/>
          <w:color w:val="1A1A1A"/>
        </w:rPr>
        <w:t xml:space="preserve">— </w:t>
      </w:r>
      <w:r w:rsidRPr="006B679E">
        <w:rPr>
          <w:rFonts w:eastAsia="MS Mincho"/>
          <w:i/>
          <w:color w:val="1A1A1A"/>
        </w:rPr>
        <w:t>Establish QC Flag for Wind-Generated Surface Gravity Wave Frequency Spectra</w:t>
      </w:r>
    </w:p>
    <w:p w14:paraId="5EB5223D" w14:textId="2A00A25E" w:rsidR="00FF45FD" w:rsidRPr="006B679E" w:rsidRDefault="00FF45FD" w:rsidP="006D687B">
      <w:pPr>
        <w:pStyle w:val="WMOResList1"/>
        <w:numPr>
          <w:ilvl w:val="0"/>
          <w:numId w:val="2"/>
        </w:numPr>
        <w:contextualSpacing/>
        <w:rPr>
          <w:rFonts w:eastAsia="MS Mincho"/>
          <w:i/>
          <w:color w:val="1A1A1A"/>
        </w:rPr>
      </w:pPr>
      <w:r w:rsidRPr="006B679E">
        <w:rPr>
          <w:rFonts w:eastAsia="MS Mincho"/>
          <w:color w:val="1A1A1A"/>
        </w:rPr>
        <w:t xml:space="preserve">Recommend establishing QC flags on wind-generated surface gravity waves coordinated with TT-WM, MB, DM and </w:t>
      </w:r>
      <w:r w:rsidR="0060697D" w:rsidRPr="006B679E">
        <w:rPr>
          <w:rFonts w:eastAsia="MS Mincho"/>
          <w:color w:val="1A1A1A"/>
        </w:rPr>
        <w:t>OceanOps</w:t>
      </w:r>
      <w:r w:rsidRPr="006B679E">
        <w:rPr>
          <w:rFonts w:eastAsia="MS Mincho"/>
          <w:color w:val="1A1A1A"/>
        </w:rPr>
        <w:t>.</w:t>
      </w:r>
    </w:p>
    <w:p w14:paraId="72D1BF84" w14:textId="77777777" w:rsidR="00EC2459" w:rsidRPr="006B679E" w:rsidRDefault="00EC2459" w:rsidP="00EC2459">
      <w:pPr>
        <w:pStyle w:val="WMOResList1"/>
        <w:ind w:left="1000" w:firstLine="0"/>
        <w:contextualSpacing/>
        <w:rPr>
          <w:rFonts w:eastAsia="MS Mincho"/>
          <w:i/>
          <w:color w:val="1A1A1A"/>
        </w:rPr>
      </w:pPr>
    </w:p>
    <w:p w14:paraId="0AD34FE9" w14:textId="25EED2D8" w:rsidR="00EC2459" w:rsidRPr="006B679E" w:rsidRDefault="00EC2459" w:rsidP="00EC2459">
      <w:pPr>
        <w:pStyle w:val="WMOResList1"/>
        <w:contextualSpacing/>
        <w:rPr>
          <w:rFonts w:eastAsia="MS Mincho"/>
          <w:color w:val="1A1A1A"/>
        </w:rPr>
      </w:pPr>
      <w:r w:rsidRPr="006B679E">
        <w:rPr>
          <w:rFonts w:eastAsia="MS Mincho"/>
          <w:color w:val="1A1A1A"/>
        </w:rPr>
        <w:t>(</w:t>
      </w:r>
      <w:r w:rsidR="00F60BCC" w:rsidRPr="006B679E">
        <w:rPr>
          <w:rFonts w:eastAsia="MS Mincho"/>
          <w:color w:val="1A1A1A"/>
        </w:rPr>
        <w:t>c</w:t>
      </w:r>
      <w:r w:rsidRPr="006B679E">
        <w:rPr>
          <w:rFonts w:eastAsia="MS Mincho"/>
          <w:color w:val="1A1A1A"/>
        </w:rPr>
        <w:t>)</w:t>
      </w:r>
      <w:r w:rsidRPr="006B679E">
        <w:rPr>
          <w:rFonts w:eastAsia="MS Mincho"/>
          <w:color w:val="1A1A1A"/>
        </w:rPr>
        <w:tab/>
      </w:r>
      <w:r w:rsidRPr="006B679E">
        <w:rPr>
          <w:rFonts w:eastAsia="MS Mincho"/>
          <w:color w:val="0070C0"/>
        </w:rPr>
        <w:t>R6.</w:t>
      </w:r>
      <w:r w:rsidR="00AE1423" w:rsidRPr="006B679E">
        <w:rPr>
          <w:rFonts w:eastAsia="MS Mincho"/>
          <w:color w:val="0070C0"/>
        </w:rPr>
        <w:t>9</w:t>
      </w:r>
      <w:r w:rsidRPr="006B679E">
        <w:rPr>
          <w:rFonts w:eastAsia="MS Mincho"/>
          <w:color w:val="0070C0"/>
        </w:rPr>
        <w:t>/</w:t>
      </w:r>
      <w:r w:rsidR="00F60BCC" w:rsidRPr="006B679E">
        <w:rPr>
          <w:rFonts w:eastAsia="MS Mincho"/>
          <w:color w:val="0070C0"/>
        </w:rPr>
        <w:t>3</w:t>
      </w:r>
      <w:r w:rsidRPr="006B679E">
        <w:rPr>
          <w:rFonts w:eastAsia="MS Mincho"/>
          <w:color w:val="0070C0"/>
        </w:rPr>
        <w:t xml:space="preserve"> </w:t>
      </w:r>
      <w:r w:rsidRPr="006B679E">
        <w:rPr>
          <w:rFonts w:eastAsia="MS Mincho"/>
          <w:color w:val="1A1A1A"/>
        </w:rPr>
        <w:t>– Observations of Raw Displacement Time Series</w:t>
      </w:r>
    </w:p>
    <w:p w14:paraId="67AD41D5" w14:textId="77777777" w:rsidR="00EC2459" w:rsidRPr="006B679E" w:rsidRDefault="00EC2459" w:rsidP="006D687B">
      <w:pPr>
        <w:pStyle w:val="WMOResList1"/>
        <w:numPr>
          <w:ilvl w:val="0"/>
          <w:numId w:val="4"/>
        </w:numPr>
        <w:contextualSpacing/>
        <w:rPr>
          <w:rFonts w:eastAsia="MS Mincho"/>
          <w:i/>
          <w:color w:val="1A1A1A"/>
        </w:rPr>
      </w:pPr>
      <w:r w:rsidRPr="006B679E">
        <w:rPr>
          <w:rFonts w:eastAsia="MS Mincho"/>
          <w:iCs/>
          <w:color w:val="1A1A1A"/>
        </w:rPr>
        <w:t>Encourage buoy operators to collect, where feasible, time series of raw displacement time series of waves in addition to spectral and integral properties.</w:t>
      </w:r>
    </w:p>
    <w:p w14:paraId="2175EC50" w14:textId="77777777" w:rsidR="00EC2459" w:rsidRPr="00173E47" w:rsidRDefault="00EC2459" w:rsidP="00EC2459">
      <w:pPr>
        <w:pStyle w:val="WMOResList1"/>
        <w:contextualSpacing/>
        <w:rPr>
          <w:rFonts w:eastAsia="MS Mincho"/>
          <w:i/>
          <w:color w:val="1A1A1A"/>
        </w:rPr>
      </w:pPr>
    </w:p>
    <w:p w14:paraId="38C51594" w14:textId="77777777" w:rsidR="00173E47" w:rsidRPr="005C2C4E" w:rsidRDefault="00173E47" w:rsidP="00173E47">
      <w:pPr>
        <w:pStyle w:val="WMOResList1"/>
        <w:ind w:left="1000" w:firstLine="0"/>
        <w:contextualSpacing/>
        <w:rPr>
          <w:rFonts w:eastAsia="MS Mincho"/>
          <w:i/>
          <w:color w:val="1A1A1A"/>
        </w:rPr>
      </w:pPr>
    </w:p>
    <w:p w14:paraId="250E6059" w14:textId="5DD840B9" w:rsidR="0020095E" w:rsidRDefault="00843487" w:rsidP="00843487">
      <w:pPr>
        <w:pStyle w:val="Heading1"/>
        <w:jc w:val="left"/>
        <w:rPr>
          <w:caps w:val="0"/>
          <w:kern w:val="0"/>
          <w:sz w:val="20"/>
          <w:szCs w:val="22"/>
        </w:rPr>
      </w:pPr>
      <w:bookmarkStart w:id="2" w:name="_Toc319327012"/>
      <w:bookmarkEnd w:id="0"/>
      <w:r w:rsidRPr="00843487">
        <w:rPr>
          <w:caps w:val="0"/>
          <w:kern w:val="0"/>
          <w:sz w:val="20"/>
          <w:szCs w:val="22"/>
        </w:rPr>
        <w:t xml:space="preserve">C. </w:t>
      </w:r>
      <w:r w:rsidR="00397770" w:rsidRPr="00843487">
        <w:rPr>
          <w:caps w:val="0"/>
          <w:kern w:val="0"/>
          <w:sz w:val="20"/>
          <w:szCs w:val="22"/>
        </w:rPr>
        <w:t xml:space="preserve">BACKGROUND INFORMATION </w:t>
      </w:r>
      <w:bookmarkEnd w:id="2"/>
    </w:p>
    <w:p w14:paraId="029F6C3E" w14:textId="46B8F5E7" w:rsidR="00F438F2" w:rsidRPr="009F0C72" w:rsidRDefault="00F438F2" w:rsidP="00F438F2">
      <w:pPr>
        <w:pStyle w:val="WMOBodyText"/>
      </w:pPr>
      <w:r w:rsidRPr="009F0C72">
        <w:t>Continuous testing and evaluation of operational and pre-operational measurement systems is an essential component of a global wave observing system, equal in importance to the deployment of new assets. The overriding objective of this evaluation is to ensure consistent wave measurements to a level of accuracy that will serve the requirements of the broadest range of wave information users. Inter-platform tests have been pursued in the past, however with the global variations in hull, sensors and processing systems, evolution of sensors, changes in buoy designs, and new platform systems, a fresh look is required.</w:t>
      </w:r>
    </w:p>
    <w:p w14:paraId="28622121" w14:textId="2D3DDE47" w:rsidR="00F438F2" w:rsidRPr="009F0C72" w:rsidRDefault="00F438F2" w:rsidP="00F438F2">
      <w:pPr>
        <w:pStyle w:val="WMOBodyText"/>
      </w:pPr>
      <w:r w:rsidRPr="009F0C72">
        <w:t xml:space="preserve">Directional wave measurements have been recovered from the Buoy Farm (Field Laboratory for Ocean Sea Surface Investigation and Experimentation) in Monterey Canyon consisting of a 6N (NOMAD) buoy containing three NOAA/NDBC wave sensors, two AXYS sensors (transmission failure Oct 2018 both sensors) , a 3D NOAA/NDBC buoy with two sensors and a Datawell Directional Waverider buoy (DWR).  </w:t>
      </w:r>
      <w:r w:rsidR="00302A4C" w:rsidRPr="009F0C72">
        <w:t>More than</w:t>
      </w:r>
      <w:r w:rsidRPr="009F0C72">
        <w:t xml:space="preserve"> 4-years of data have been recovered and analysed to determine the relative differences between all sensor/buoy systems. </w:t>
      </w:r>
      <w:r w:rsidR="00302A4C" w:rsidRPr="009F0C72">
        <w:t xml:space="preserve">The relative reference used in the analysis is a DWR.  Assessment of the relative reference is based on three years of data from two co-deployed DWR’s offshore Point Conception, CA. A first journal paper has been </w:t>
      </w:r>
      <w:r w:rsidR="00291061" w:rsidRPr="009F0C72">
        <w:t>published</w:t>
      </w:r>
      <w:r w:rsidR="00302A4C" w:rsidRPr="009F0C72">
        <w:t xml:space="preserve"> (Jensen et al., 202</w:t>
      </w:r>
      <w:r w:rsidR="00291061" w:rsidRPr="009F0C72">
        <w:t>1</w:t>
      </w:r>
      <w:r w:rsidR="00302A4C" w:rsidRPr="009F0C72">
        <w:t>) on the NOMAD-DWR comparisons; additional submissions are planned.</w:t>
      </w:r>
    </w:p>
    <w:p w14:paraId="5A6AC77B" w14:textId="65012538" w:rsidR="00F438F2" w:rsidRDefault="00246C6E" w:rsidP="00F438F2">
      <w:pPr>
        <w:pStyle w:val="WMOBodyText"/>
      </w:pPr>
      <w:r w:rsidRPr="009F0C72">
        <w:t>Several additional evaluation studies are presently in progress, as noted below:</w:t>
      </w:r>
      <w:r>
        <w:t xml:space="preserve"> </w:t>
      </w:r>
    </w:p>
    <w:p w14:paraId="77FDD518" w14:textId="7B91E61D" w:rsidR="006B679E" w:rsidRDefault="006B679E" w:rsidP="00F438F2">
      <w:pPr>
        <w:pStyle w:val="WMOBodyText"/>
      </w:pPr>
    </w:p>
    <w:p w14:paraId="281BE427" w14:textId="77777777" w:rsidR="006B679E" w:rsidRPr="006B679E" w:rsidRDefault="006B679E" w:rsidP="006B679E">
      <w:pPr>
        <w:numPr>
          <w:ilvl w:val="0"/>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Field Experiments:  Collaboration with NDBC, CHL and CDIP.  DWR’s funded by USACE.</w:t>
      </w:r>
    </w:p>
    <w:p w14:paraId="510C803D" w14:textId="77777777" w:rsidR="006B679E" w:rsidRPr="006B679E" w:rsidRDefault="006B679E" w:rsidP="006B679E">
      <w:pPr>
        <w:tabs>
          <w:tab w:val="clear" w:pos="1134"/>
        </w:tabs>
        <w:jc w:val="left"/>
        <w:rPr>
          <w:rFonts w:eastAsia="Calibri" w:cs="Times New Roman"/>
          <w:lang w:val="en-US"/>
        </w:rPr>
      </w:pPr>
    </w:p>
    <w:p w14:paraId="67A0765B" w14:textId="77777777" w:rsidR="006B679E" w:rsidRPr="006B679E" w:rsidRDefault="006B679E" w:rsidP="006B679E">
      <w:pPr>
        <w:numPr>
          <w:ilvl w:val="1"/>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OWL payload sensor system:  2.1D Foam buoy.  Dual wave sensor system, the new motion sensor and a 3DMG (NDBC standard).  Datawell Directional Waverider co-located.</w:t>
      </w:r>
    </w:p>
    <w:p w14:paraId="11E964DE" w14:textId="77777777" w:rsidR="006B679E" w:rsidRPr="006B679E" w:rsidRDefault="006B679E" w:rsidP="006B679E">
      <w:pPr>
        <w:numPr>
          <w:ilvl w:val="2"/>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 xml:space="preserve">Lake Superior (45001).  Waverider is a Mark III 0.7m buoy.  Deployed late July (45001) and mid-August (DWR). </w:t>
      </w:r>
    </w:p>
    <w:p w14:paraId="41CF4A07" w14:textId="77777777" w:rsidR="006B679E" w:rsidRPr="006B679E" w:rsidRDefault="006B679E" w:rsidP="006B679E">
      <w:pPr>
        <w:tabs>
          <w:tab w:val="clear" w:pos="1134"/>
        </w:tabs>
        <w:ind w:left="1080"/>
        <w:contextualSpacing/>
        <w:jc w:val="left"/>
        <w:rPr>
          <w:rFonts w:eastAsia="Calibri" w:cs="Times New Roman"/>
          <w:lang w:val="en-US"/>
        </w:rPr>
      </w:pPr>
      <w:r w:rsidRPr="006B679E">
        <w:rPr>
          <w:rFonts w:eastAsia="Calibri" w:cs="Times New Roman"/>
          <w:lang w:val="en-US"/>
        </w:rPr>
        <w:t xml:space="preserve">  </w:t>
      </w:r>
    </w:p>
    <w:p w14:paraId="4857BCEB" w14:textId="77777777" w:rsidR="006B679E" w:rsidRPr="006B679E" w:rsidRDefault="006B679E" w:rsidP="006B679E">
      <w:pPr>
        <w:numPr>
          <w:ilvl w:val="1"/>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OWL payload sensor system:  3D Aluminum buoy.  Dual wave sensor system as noted in a.)</w:t>
      </w:r>
    </w:p>
    <w:p w14:paraId="68F75D0F" w14:textId="77777777" w:rsidR="006B679E" w:rsidRPr="006B679E" w:rsidRDefault="006B679E" w:rsidP="006B679E">
      <w:pPr>
        <w:numPr>
          <w:ilvl w:val="2"/>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lastRenderedPageBreak/>
        <w:t>Planned deployment in Monterey Canyon (46042), where FLOSSIE is located.  With DWR.</w:t>
      </w:r>
    </w:p>
    <w:p w14:paraId="74B9F28B" w14:textId="77777777" w:rsidR="006B679E" w:rsidRPr="006B679E" w:rsidRDefault="006B679E" w:rsidP="006B679E">
      <w:pPr>
        <w:numPr>
          <w:ilvl w:val="2"/>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Gulf of Mexico West Central (42002).  No DWR.</w:t>
      </w:r>
    </w:p>
    <w:p w14:paraId="1C9AC67E" w14:textId="77777777" w:rsidR="006B679E" w:rsidRPr="006B679E" w:rsidRDefault="006B679E" w:rsidP="006B679E">
      <w:pPr>
        <w:tabs>
          <w:tab w:val="clear" w:pos="1134"/>
        </w:tabs>
        <w:ind w:left="1080"/>
        <w:contextualSpacing/>
        <w:jc w:val="left"/>
        <w:rPr>
          <w:rFonts w:eastAsia="Calibri" w:cs="Times New Roman"/>
          <w:lang w:val="en-US"/>
        </w:rPr>
      </w:pPr>
    </w:p>
    <w:p w14:paraId="78BD9D52" w14:textId="77777777" w:rsidR="006B679E" w:rsidRPr="006B679E" w:rsidRDefault="006B679E" w:rsidP="006B679E">
      <w:pPr>
        <w:tabs>
          <w:tab w:val="clear" w:pos="1134"/>
        </w:tabs>
        <w:ind w:left="1080"/>
        <w:contextualSpacing/>
        <w:jc w:val="left"/>
        <w:rPr>
          <w:rFonts w:eastAsia="Calibri" w:cs="Times New Roman"/>
          <w:lang w:val="en-US"/>
        </w:rPr>
      </w:pPr>
    </w:p>
    <w:p w14:paraId="1D4952EB" w14:textId="08C9668A" w:rsidR="006B679E" w:rsidRPr="009F0C72" w:rsidRDefault="006B679E" w:rsidP="006B679E">
      <w:pPr>
        <w:numPr>
          <w:ilvl w:val="1"/>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FLOSSIE:  Planned recovery of FLOSSIE in October 2021.</w:t>
      </w:r>
    </w:p>
    <w:p w14:paraId="316F68F1" w14:textId="77777777" w:rsidR="006B679E" w:rsidRPr="009F0C72" w:rsidRDefault="006B679E" w:rsidP="006B679E">
      <w:pPr>
        <w:tabs>
          <w:tab w:val="clear" w:pos="1134"/>
        </w:tabs>
        <w:spacing w:after="160" w:line="256" w:lineRule="auto"/>
        <w:ind w:left="720"/>
        <w:contextualSpacing/>
        <w:jc w:val="left"/>
        <w:rPr>
          <w:rFonts w:eastAsia="Calibri" w:cs="Times New Roman"/>
          <w:lang w:val="en-US"/>
        </w:rPr>
      </w:pPr>
    </w:p>
    <w:p w14:paraId="542EC397" w14:textId="5E32DB29" w:rsidR="006B679E" w:rsidRPr="006B679E" w:rsidRDefault="006B679E" w:rsidP="006B679E">
      <w:pPr>
        <w:numPr>
          <w:ilvl w:val="1"/>
          <w:numId w:val="3"/>
        </w:numPr>
        <w:tabs>
          <w:tab w:val="clear" w:pos="1134"/>
        </w:tabs>
        <w:spacing w:after="160" w:line="256" w:lineRule="auto"/>
        <w:contextualSpacing/>
        <w:jc w:val="left"/>
        <w:rPr>
          <w:rFonts w:eastAsia="Calibri" w:cs="Times New Roman"/>
          <w:lang w:val="en-US"/>
        </w:rPr>
      </w:pPr>
      <w:r w:rsidRPr="006B679E">
        <w:rPr>
          <w:szCs w:val="22"/>
          <w:lang w:val="en-US" w:eastAsia="zh-TW"/>
        </w:rPr>
        <w:t>Mini-Buoy Experiment:  Tripp Collins (USACE/Coastal and Hydraulics Laboratory, Field Research Facility). Deployed</w:t>
      </w:r>
      <w:r w:rsidR="00801639">
        <w:rPr>
          <w:szCs w:val="22"/>
          <w:lang w:val="en-US" w:eastAsia="zh-TW"/>
        </w:rPr>
        <w:t xml:space="preserve"> </w:t>
      </w:r>
      <w:r w:rsidRPr="006B679E">
        <w:rPr>
          <w:szCs w:val="22"/>
          <w:lang w:val="en-US" w:eastAsia="zh-TW"/>
        </w:rPr>
        <w:t>five buoys (SoFar Spotter; Datawell 4-</w:t>
      </w:r>
      <w:r w:rsidR="00801639">
        <w:rPr>
          <w:szCs w:val="22"/>
          <w:lang w:val="en-US" w:eastAsia="zh-TW"/>
        </w:rPr>
        <w:t>G</w:t>
      </w:r>
      <w:r w:rsidRPr="006B679E">
        <w:rPr>
          <w:szCs w:val="22"/>
          <w:lang w:val="en-US" w:eastAsia="zh-TW"/>
        </w:rPr>
        <w:t>; Zunibal Anteia; Scripps (E. Terrill) mini wave buoy; University of Washington Swift buoy) in the fall of 2020 and spring 2021, near the USACE’s Field Research Facility’s (Duck, NC) 8-m array. Analysis of data in progress</w:t>
      </w:r>
      <w:r w:rsidR="009F0C72">
        <w:rPr>
          <w:szCs w:val="22"/>
          <w:lang w:val="en-US" w:eastAsia="zh-TW"/>
        </w:rPr>
        <w:t>.</w:t>
      </w:r>
    </w:p>
    <w:p w14:paraId="20FECC3A" w14:textId="25A765C6" w:rsidR="006B679E" w:rsidRPr="006B679E" w:rsidRDefault="006B679E" w:rsidP="006B679E">
      <w:pPr>
        <w:spacing w:before="240"/>
        <w:jc w:val="left"/>
        <w:rPr>
          <w:szCs w:val="22"/>
          <w:lang w:val="en-US"/>
        </w:rPr>
      </w:pPr>
    </w:p>
    <w:p w14:paraId="5A0CCE23" w14:textId="2EEBA167" w:rsidR="006B679E" w:rsidRPr="006B679E" w:rsidRDefault="006B679E" w:rsidP="005F404A">
      <w:pPr>
        <w:numPr>
          <w:ilvl w:val="1"/>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 xml:space="preserve">Sensor from E. Terrill mini-wave buoy mounted in 0.7m Datawell hull. Deployed in Lake Superior (near 45001 and DWR) Aug 2021 to remain in water through the winter season to evaluate wave-ice interactions. </w:t>
      </w:r>
    </w:p>
    <w:p w14:paraId="384D0B1A" w14:textId="77777777" w:rsidR="006B679E" w:rsidRPr="006B679E" w:rsidRDefault="006B679E" w:rsidP="006B679E">
      <w:pPr>
        <w:tabs>
          <w:tab w:val="clear" w:pos="1134"/>
        </w:tabs>
        <w:ind w:left="1080"/>
        <w:contextualSpacing/>
        <w:jc w:val="left"/>
        <w:rPr>
          <w:rFonts w:eastAsia="Calibri" w:cs="Times New Roman"/>
          <w:lang w:val="en-US"/>
        </w:rPr>
      </w:pPr>
    </w:p>
    <w:p w14:paraId="39AA31C7" w14:textId="01ECAEAB" w:rsidR="006B679E" w:rsidRPr="006B679E" w:rsidRDefault="006B679E" w:rsidP="009F0C72">
      <w:pPr>
        <w:numPr>
          <w:ilvl w:val="0"/>
          <w:numId w:val="3"/>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Additional Publications in progress:</w:t>
      </w:r>
    </w:p>
    <w:p w14:paraId="514479F5" w14:textId="77777777" w:rsidR="006B679E" w:rsidRPr="006B679E" w:rsidRDefault="006B679E" w:rsidP="006B679E">
      <w:pPr>
        <w:numPr>
          <w:ilvl w:val="2"/>
          <w:numId w:val="6"/>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 xml:space="preserve">Foam Buoy Evaluation in review in </w:t>
      </w:r>
      <w:r w:rsidRPr="006B679E">
        <w:rPr>
          <w:rFonts w:eastAsia="Calibri" w:cs="Times New Roman"/>
          <w:i/>
          <w:iCs/>
          <w:lang w:val="en-US"/>
        </w:rPr>
        <w:t>Ocean Dynamics</w:t>
      </w:r>
      <w:r w:rsidRPr="006B679E">
        <w:rPr>
          <w:rFonts w:eastAsia="Calibri" w:cs="Times New Roman"/>
          <w:lang w:val="en-US"/>
        </w:rPr>
        <w:t>.</w:t>
      </w:r>
    </w:p>
    <w:p w14:paraId="4B077D9A" w14:textId="77777777" w:rsidR="006B679E" w:rsidRPr="006B679E" w:rsidRDefault="006B679E" w:rsidP="006B679E">
      <w:pPr>
        <w:numPr>
          <w:ilvl w:val="2"/>
          <w:numId w:val="6"/>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Tilt Correction Evaluation submitted to JTech (Collins and Jensen)</w:t>
      </w:r>
    </w:p>
    <w:p w14:paraId="796A4F5D" w14:textId="773401CD" w:rsidR="006B679E" w:rsidRPr="006B679E" w:rsidRDefault="006B679E" w:rsidP="006B679E">
      <w:pPr>
        <w:numPr>
          <w:ilvl w:val="2"/>
          <w:numId w:val="6"/>
        </w:numPr>
        <w:tabs>
          <w:tab w:val="clear" w:pos="1134"/>
        </w:tabs>
        <w:spacing w:after="160" w:line="256" w:lineRule="auto"/>
        <w:contextualSpacing/>
        <w:jc w:val="left"/>
        <w:rPr>
          <w:rFonts w:eastAsia="Calibri" w:cs="Times New Roman"/>
          <w:lang w:val="en-US"/>
        </w:rPr>
      </w:pPr>
      <w:r w:rsidRPr="006B679E">
        <w:rPr>
          <w:rFonts w:eastAsia="Calibri" w:cs="Times New Roman"/>
          <w:lang w:val="en-US"/>
        </w:rPr>
        <w:t>2.1 SCOOP Evaluation plan to submit to JTech Q1 202</w:t>
      </w:r>
      <w:r w:rsidR="009F0C72">
        <w:rPr>
          <w:rFonts w:eastAsia="Calibri" w:cs="Times New Roman"/>
          <w:lang w:val="en-US"/>
        </w:rPr>
        <w:t>2</w:t>
      </w:r>
      <w:r w:rsidRPr="006B679E">
        <w:rPr>
          <w:rFonts w:eastAsia="Calibri" w:cs="Times New Roman"/>
          <w:lang w:val="en-US"/>
        </w:rPr>
        <w:t xml:space="preserve">. </w:t>
      </w:r>
    </w:p>
    <w:p w14:paraId="05F8DAAA" w14:textId="5AB88AB5" w:rsidR="00246C6E" w:rsidRPr="00D80148" w:rsidRDefault="00246C6E" w:rsidP="009F0C72">
      <w:pPr>
        <w:tabs>
          <w:tab w:val="clear" w:pos="1134"/>
        </w:tabs>
        <w:spacing w:after="160" w:line="256" w:lineRule="auto"/>
        <w:contextualSpacing/>
        <w:jc w:val="left"/>
        <w:rPr>
          <w:rFonts w:eastAsia="Calibri" w:cs="Times New Roman"/>
          <w:lang w:val="en-US"/>
        </w:rPr>
      </w:pPr>
    </w:p>
    <w:p w14:paraId="78CC92DA" w14:textId="491EAB66" w:rsidR="00183154" w:rsidRPr="009F0C72" w:rsidRDefault="00183154" w:rsidP="009F0C72">
      <w:pPr>
        <w:pStyle w:val="WMOBodyText"/>
        <w:numPr>
          <w:ilvl w:val="0"/>
          <w:numId w:val="3"/>
        </w:numPr>
      </w:pPr>
      <w:r w:rsidRPr="009F0C72">
        <w:t xml:space="preserve">While the primary focus of an operational wave measurement program is on integral properties of the wave field (height, period, direction) and on the First-5 components of the wave spectra, for some purposes including measurement evaluation, research such as wave breaking, rogue waves, etc. it is necessary to have the raw surface elevation time series. Where feasible, on a limited number of platforms, it would be very useful to record this data onboard and make available afterwards. See </w:t>
      </w:r>
      <w:r w:rsidRPr="009F0C72">
        <w:rPr>
          <w:color w:val="FF0000"/>
        </w:rPr>
        <w:t>Recommendation R6.</w:t>
      </w:r>
      <w:r w:rsidR="00E00E93" w:rsidRPr="009F0C72">
        <w:rPr>
          <w:color w:val="FF0000"/>
        </w:rPr>
        <w:t>9/</w:t>
      </w:r>
      <w:r w:rsidRPr="009F0C72">
        <w:rPr>
          <w:color w:val="FF0000"/>
        </w:rPr>
        <w:t>3.</w:t>
      </w:r>
    </w:p>
    <w:p w14:paraId="10F3B66D" w14:textId="14B4E4F8" w:rsidR="00183154" w:rsidRPr="009F0C72" w:rsidRDefault="00183154" w:rsidP="009F0C72">
      <w:pPr>
        <w:pStyle w:val="WMOBodyText"/>
        <w:numPr>
          <w:ilvl w:val="0"/>
          <w:numId w:val="3"/>
        </w:numPr>
      </w:pPr>
      <w:r w:rsidRPr="009F0C72">
        <w:t xml:space="preserve">Integral wave parameters are routinely quality controlled, based on one standard or another. No such process is applied to wave spectra. Methods of quality control for wave spectra should be developed and applied to all transmitted spectra with suitable flags. See </w:t>
      </w:r>
      <w:r w:rsidRPr="009F0C72">
        <w:rPr>
          <w:color w:val="FF0000"/>
        </w:rPr>
        <w:t>Recommendation R6.</w:t>
      </w:r>
      <w:r w:rsidR="00E00E93" w:rsidRPr="009F0C72">
        <w:rPr>
          <w:color w:val="FF0000"/>
        </w:rPr>
        <w:t>9/</w:t>
      </w:r>
      <w:r w:rsidRPr="009F0C72">
        <w:rPr>
          <w:color w:val="FF0000"/>
        </w:rPr>
        <w:t>2.</w:t>
      </w:r>
    </w:p>
    <w:p w14:paraId="70AA3D79" w14:textId="4F403C72" w:rsidR="00183154" w:rsidRPr="009F0C72" w:rsidRDefault="00183154" w:rsidP="009F0C72">
      <w:pPr>
        <w:pStyle w:val="WMOBodyText"/>
        <w:numPr>
          <w:ilvl w:val="0"/>
          <w:numId w:val="3"/>
        </w:numPr>
      </w:pPr>
      <w:r w:rsidRPr="009F0C72">
        <w:t xml:space="preserve">Wave data, and particularly metadata, are fragmented and incomplete, existing in many different data centres globally. There has been an increasing call among the various users communities (climate, satellite, NWP centres, engineering design) for a consolidated, quality-controlled data base of wave measurements, with complete machine-readable metadata. </w:t>
      </w:r>
      <w:r w:rsidR="000F47F5" w:rsidRPr="009F0C72">
        <w:t xml:space="preserve">Inquiries have so far failed to identify a financially-supported sustainable host. Efforts will continue, possibly tied to a </w:t>
      </w:r>
      <w:r w:rsidRPr="009F0C72">
        <w:t xml:space="preserve">Global Data Assembly Centre (GDAC) </w:t>
      </w:r>
      <w:r w:rsidR="000F47F5" w:rsidRPr="009F0C72">
        <w:t>for moored buoys led by TT-MB</w:t>
      </w:r>
      <w:r w:rsidRPr="009F0C72">
        <w:t xml:space="preserve">. See </w:t>
      </w:r>
      <w:r w:rsidRPr="009F0C72">
        <w:rPr>
          <w:color w:val="FF0000"/>
        </w:rPr>
        <w:t>Recommendation R6.</w:t>
      </w:r>
      <w:r w:rsidR="00E00E93" w:rsidRPr="009F0C72">
        <w:rPr>
          <w:color w:val="FF0000"/>
        </w:rPr>
        <w:t>9/</w:t>
      </w:r>
      <w:r w:rsidRPr="009F0C72">
        <w:rPr>
          <w:color w:val="FF0000"/>
        </w:rPr>
        <w:t>1</w:t>
      </w:r>
      <w:r w:rsidR="008872AB" w:rsidRPr="009F0C72">
        <w:rPr>
          <w:color w:val="FF0000"/>
        </w:rPr>
        <w:t>.</w:t>
      </w:r>
    </w:p>
    <w:p w14:paraId="7C03E5C1" w14:textId="77777777" w:rsidR="00183154" w:rsidRPr="00183154" w:rsidRDefault="00183154" w:rsidP="00183154">
      <w:pPr>
        <w:pStyle w:val="WMOBodyText"/>
        <w:ind w:left="360"/>
      </w:pPr>
    </w:p>
    <w:p w14:paraId="3392F38D" w14:textId="77777777" w:rsidR="0020095E" w:rsidRPr="009F0C72" w:rsidRDefault="0020095E" w:rsidP="003578E7">
      <w:pPr>
        <w:pStyle w:val="Heading3"/>
      </w:pPr>
      <w:bookmarkStart w:id="3" w:name="_References:_(If_really"/>
      <w:bookmarkStart w:id="4" w:name="_Toc319327014"/>
      <w:bookmarkEnd w:id="3"/>
      <w:r w:rsidRPr="009F0C72">
        <w:t>References</w:t>
      </w:r>
      <w:r w:rsidR="00FE54D1" w:rsidRPr="009F0C72">
        <w:t xml:space="preserve"> (if any)</w:t>
      </w:r>
      <w:r w:rsidRPr="009F0C72">
        <w:t>:</w:t>
      </w:r>
      <w:r w:rsidRPr="009F0C72">
        <w:tab/>
      </w:r>
    </w:p>
    <w:bookmarkEnd w:id="4"/>
    <w:p w14:paraId="454CBF0E" w14:textId="77777777" w:rsidR="00AA0D47" w:rsidRPr="009F0C72" w:rsidRDefault="00AA0D47" w:rsidP="00AA0D47">
      <w:pPr>
        <w:spacing w:line="240" w:lineRule="exact"/>
        <w:rPr>
          <w:rFonts w:ascii="Times New Roman" w:hAnsi="Times New Roman"/>
          <w:bCs/>
          <w:sz w:val="22"/>
          <w:lang w:val="en-CA"/>
        </w:rPr>
      </w:pPr>
    </w:p>
    <w:p w14:paraId="7BD7E820" w14:textId="6B8ACBED" w:rsidR="00AA0D47" w:rsidRPr="009F0C72" w:rsidRDefault="00AA0D47" w:rsidP="00AA0D47">
      <w:pPr>
        <w:spacing w:line="240" w:lineRule="exact"/>
        <w:rPr>
          <w:bCs/>
          <w:lang w:val="en-CA"/>
        </w:rPr>
      </w:pPr>
      <w:r w:rsidRPr="009F0C72">
        <w:rPr>
          <w:bCs/>
          <w:lang w:val="en-CA"/>
        </w:rPr>
        <w:t xml:space="preserve">Jensen, R.E., </w:t>
      </w:r>
      <w:r w:rsidRPr="009F0C72">
        <w:rPr>
          <w:b/>
          <w:lang w:val="en-CA"/>
        </w:rPr>
        <w:t>Swail, V.R.</w:t>
      </w:r>
      <w:r w:rsidRPr="009F0C72">
        <w:rPr>
          <w:bCs/>
          <w:lang w:val="en-CA"/>
        </w:rPr>
        <w:t xml:space="preserve"> &amp; Bouchard, R.H., 2021. Quantifying wave measurement differences in historical and present wave buoy systems. </w:t>
      </w:r>
      <w:bookmarkStart w:id="5" w:name="_Hlk73111944"/>
      <w:r w:rsidRPr="009F0C72">
        <w:rPr>
          <w:bCs/>
          <w:i/>
          <w:iCs/>
          <w:lang w:val="en-CA"/>
        </w:rPr>
        <w:t>Ocean Dynamics</w:t>
      </w:r>
      <w:r w:rsidRPr="009F0C72">
        <w:rPr>
          <w:bCs/>
          <w:lang w:val="en-CA"/>
        </w:rPr>
        <w:t> </w:t>
      </w:r>
      <w:r w:rsidRPr="009F0C72">
        <w:rPr>
          <w:b/>
          <w:bCs/>
          <w:lang w:val="en-CA"/>
        </w:rPr>
        <w:t>71</w:t>
      </w:r>
      <w:r w:rsidRPr="009F0C72">
        <w:rPr>
          <w:bCs/>
          <w:lang w:val="en-CA"/>
        </w:rPr>
        <w:t xml:space="preserve">(6-7), 731-755. </w:t>
      </w:r>
      <w:bookmarkEnd w:id="5"/>
      <w:r w:rsidRPr="009F0C72">
        <w:rPr>
          <w:bCs/>
          <w:lang w:val="en-CA"/>
        </w:rPr>
        <w:fldChar w:fldCharType="begin"/>
      </w:r>
      <w:r w:rsidRPr="009F0C72">
        <w:rPr>
          <w:bCs/>
          <w:lang w:val="en-CA"/>
        </w:rPr>
        <w:instrText xml:space="preserve"> HYPERLINK "https://doi.org/10.1007/s10236-021-01461-0" </w:instrText>
      </w:r>
      <w:r w:rsidRPr="009F0C72">
        <w:rPr>
          <w:bCs/>
          <w:lang w:val="en-CA"/>
        </w:rPr>
        <w:fldChar w:fldCharType="separate"/>
      </w:r>
      <w:r w:rsidRPr="009F0C72">
        <w:rPr>
          <w:rStyle w:val="Hyperlink"/>
          <w:bCs/>
          <w:lang w:val="en-CA"/>
        </w:rPr>
        <w:t>https://doi.org/10.1007/s10236-021-01461-0</w:t>
      </w:r>
      <w:r w:rsidRPr="009F0C72">
        <w:rPr>
          <w:bCs/>
        </w:rPr>
        <w:fldChar w:fldCharType="end"/>
      </w:r>
    </w:p>
    <w:p w14:paraId="24F11913" w14:textId="77777777" w:rsidR="00AA0D47" w:rsidRPr="009F0C72" w:rsidRDefault="00AA0D47" w:rsidP="00AA0D47">
      <w:pPr>
        <w:spacing w:line="240" w:lineRule="exact"/>
        <w:rPr>
          <w:b/>
        </w:rPr>
      </w:pPr>
    </w:p>
    <w:p w14:paraId="505BB4B5" w14:textId="08969BD9" w:rsidR="00AA0D47" w:rsidRPr="00AA0D47" w:rsidRDefault="00AA0D47" w:rsidP="00AA0D47">
      <w:pPr>
        <w:spacing w:line="240" w:lineRule="exact"/>
        <w:rPr>
          <w:b/>
        </w:rPr>
      </w:pPr>
      <w:r w:rsidRPr="009F0C72">
        <w:rPr>
          <w:bCs/>
          <w:lang w:val="en-CA"/>
        </w:rPr>
        <w:t xml:space="preserve">Magnusson, A.K., Jensen, R.E &amp; </w:t>
      </w:r>
      <w:r w:rsidRPr="009F0C72">
        <w:rPr>
          <w:b/>
          <w:lang w:val="en-CA"/>
        </w:rPr>
        <w:t>Swail, V.R.</w:t>
      </w:r>
      <w:r w:rsidRPr="009F0C72">
        <w:rPr>
          <w:bCs/>
          <w:lang w:val="en-CA"/>
        </w:rPr>
        <w:t xml:space="preserve">, 2021. Spectral shapes and parameters from three different wave sensors. </w:t>
      </w:r>
      <w:r w:rsidRPr="009F0C72">
        <w:rPr>
          <w:bCs/>
          <w:i/>
          <w:iCs/>
          <w:lang w:val="en-CA"/>
        </w:rPr>
        <w:t>Ocean Dynamics</w:t>
      </w:r>
      <w:r w:rsidRPr="009F0C72">
        <w:rPr>
          <w:bCs/>
          <w:lang w:val="en-CA"/>
        </w:rPr>
        <w:t> </w:t>
      </w:r>
      <w:r w:rsidRPr="009F0C72">
        <w:rPr>
          <w:b/>
          <w:bCs/>
          <w:lang w:val="en-CA"/>
        </w:rPr>
        <w:t>71</w:t>
      </w:r>
      <w:r w:rsidRPr="009F0C72">
        <w:rPr>
          <w:bCs/>
          <w:lang w:val="en-CA"/>
        </w:rPr>
        <w:t xml:space="preserve">(9), 893-909. </w:t>
      </w:r>
      <w:hyperlink r:id="rId10" w:history="1">
        <w:r w:rsidRPr="009F0C72">
          <w:rPr>
            <w:rStyle w:val="Hyperlink"/>
            <w:bCs/>
            <w:lang w:val="en-CA"/>
          </w:rPr>
          <w:t>https://doi.org/10.1007/s10236-021-01468-7</w:t>
        </w:r>
      </w:hyperlink>
      <w:r w:rsidRPr="00AA0D47">
        <w:rPr>
          <w:bCs/>
        </w:rPr>
        <w:t xml:space="preserve"> </w:t>
      </w:r>
    </w:p>
    <w:p w14:paraId="43B9F3A6" w14:textId="77777777" w:rsidR="00291061" w:rsidRDefault="00291061" w:rsidP="000C225A">
      <w:pPr>
        <w:pStyle w:val="Comment"/>
        <w:rPr>
          <w:b/>
          <w:bCs/>
          <w:i w:val="0"/>
          <w:lang w:eastAsia="zh-TW"/>
        </w:rPr>
      </w:pPr>
    </w:p>
    <w:p w14:paraId="35133F01" w14:textId="310263C3" w:rsidR="00FD45F8" w:rsidRDefault="00FD45F8" w:rsidP="000C225A">
      <w:pPr>
        <w:pStyle w:val="Comment"/>
        <w:rPr>
          <w:b/>
          <w:bCs/>
          <w:i w:val="0"/>
          <w:highlight w:val="yellow"/>
          <w:lang w:eastAsia="zh-TW"/>
        </w:rPr>
      </w:pPr>
      <w:r w:rsidRPr="00FD45F8">
        <w:rPr>
          <w:b/>
          <w:bCs/>
          <w:i w:val="0"/>
          <w:lang w:eastAsia="zh-TW"/>
        </w:rPr>
        <w:t>Draft Actions/Decisions</w:t>
      </w:r>
      <w:r w:rsidRPr="00FD45F8">
        <w:rPr>
          <w:b/>
          <w:bCs/>
          <w:i w:val="0"/>
          <w:highlight w:val="yellow"/>
          <w:lang w:eastAsia="zh-TW"/>
        </w:rPr>
        <w:t xml:space="preserve"> </w:t>
      </w:r>
    </w:p>
    <w:p w14:paraId="1E5D0069" w14:textId="77777777" w:rsidR="00FF45FD" w:rsidRDefault="00FF45FD" w:rsidP="000C225A">
      <w:pPr>
        <w:pStyle w:val="Comment"/>
        <w:rPr>
          <w:lang w:eastAsia="zh-CN"/>
        </w:rPr>
      </w:pPr>
      <w:bookmarkStart w:id="6" w:name="_Hlk21016784"/>
    </w:p>
    <w:p w14:paraId="19113C56" w14:textId="5B0B0354" w:rsidR="00FF45FD" w:rsidRDefault="00FF45FD" w:rsidP="00FF45FD">
      <w:pPr>
        <w:pStyle w:val="WMOResList1"/>
        <w:rPr>
          <w:rFonts w:eastAsia="MS Mincho"/>
          <w:i/>
          <w:iCs/>
          <w:color w:val="1A1A1A"/>
        </w:rPr>
      </w:pPr>
      <w:r>
        <w:t>(a)</w:t>
      </w:r>
      <w:r>
        <w:tab/>
        <w:t>A</w:t>
      </w:r>
      <w:hyperlink w:anchor="_Draft_Decision_X.X.X(X)/1" w:history="1">
        <w:r w:rsidR="00173E47">
          <w:rPr>
            <w:rStyle w:val="Hyperlink"/>
          </w:rPr>
          <w:t>6</w:t>
        </w:r>
        <w:r>
          <w:rPr>
            <w:rStyle w:val="Hyperlink"/>
          </w:rPr>
          <w:t>.</w:t>
        </w:r>
        <w:r w:rsidR="00AE1423">
          <w:rPr>
            <w:rStyle w:val="Hyperlink"/>
          </w:rPr>
          <w:t>9</w:t>
        </w:r>
        <w:r w:rsidRPr="005D666D">
          <w:rPr>
            <w:rStyle w:val="Hyperlink"/>
          </w:rPr>
          <w:t>/1</w:t>
        </w:r>
      </w:hyperlink>
      <w:r w:rsidRPr="005D666D">
        <w:rPr>
          <w:rFonts w:eastAsia="MS Mincho"/>
          <w:color w:val="1A1A1A"/>
        </w:rPr>
        <w:t xml:space="preserve"> —</w:t>
      </w:r>
      <w:r>
        <w:rPr>
          <w:rFonts w:eastAsia="MS Mincho"/>
          <w:color w:val="1A1A1A"/>
        </w:rPr>
        <w:t xml:space="preserve"> </w:t>
      </w:r>
      <w:r>
        <w:rPr>
          <w:rFonts w:eastAsia="MS Mincho"/>
          <w:i/>
          <w:iCs/>
          <w:color w:val="1A1A1A"/>
        </w:rPr>
        <w:t>Wave Measurement Workshop 2</w:t>
      </w:r>
    </w:p>
    <w:p w14:paraId="45447394" w14:textId="0E1600B4" w:rsidR="00FF45FD" w:rsidRPr="009F0C72" w:rsidRDefault="00FF45FD" w:rsidP="006D687B">
      <w:pPr>
        <w:pStyle w:val="WMOResList1"/>
        <w:numPr>
          <w:ilvl w:val="0"/>
          <w:numId w:val="1"/>
        </w:numPr>
        <w:contextualSpacing/>
      </w:pPr>
      <w:r w:rsidRPr="009F0C72">
        <w:t>Organize a follow up workshop (Re: New York 2008 Workshop) between researchers in the field of wave measurements, institutional end users, data providers, manufacturers and the IOGP (TT-WM chair to work with Candice Hall and Val Swail</w:t>
      </w:r>
      <w:r w:rsidR="001F57B2" w:rsidRPr="009F0C72">
        <w:t>)</w:t>
      </w:r>
      <w:r w:rsidRPr="009F0C72">
        <w:t xml:space="preserve">, </w:t>
      </w:r>
      <w:r w:rsidR="00720C7B" w:rsidRPr="009F0C72">
        <w:t>virtual Q1/Q2 2022</w:t>
      </w:r>
      <w:r w:rsidRPr="009F0C72">
        <w:t>).</w:t>
      </w:r>
    </w:p>
    <w:bookmarkEnd w:id="6"/>
    <w:p w14:paraId="3DB2677B" w14:textId="77777777" w:rsidR="00843487" w:rsidRPr="009F0C72" w:rsidRDefault="00843487" w:rsidP="000C225A">
      <w:pPr>
        <w:pStyle w:val="WMOBodyText"/>
      </w:pPr>
    </w:p>
    <w:p w14:paraId="0038A18B" w14:textId="77777777" w:rsidR="001903A1" w:rsidRPr="009F0C72" w:rsidRDefault="001903A1" w:rsidP="001903A1">
      <w:pPr>
        <w:tabs>
          <w:tab w:val="clear" w:pos="1134"/>
        </w:tabs>
        <w:rPr>
          <w:b/>
          <w:bCs/>
        </w:rPr>
      </w:pPr>
      <w:r w:rsidRPr="009F0C72">
        <w:rPr>
          <w:b/>
          <w:bCs/>
        </w:rPr>
        <w:t>Draft Recommendations</w:t>
      </w:r>
    </w:p>
    <w:p w14:paraId="1EAF03BF" w14:textId="77777777" w:rsidR="000F47F5" w:rsidRPr="009F0C72" w:rsidRDefault="001F57B2" w:rsidP="000F47F5">
      <w:pPr>
        <w:pStyle w:val="WMOResList1"/>
      </w:pPr>
      <w:r w:rsidRPr="009F0C72">
        <w:t>(a)</w:t>
      </w:r>
      <w:r w:rsidRPr="009F0C72">
        <w:tab/>
      </w:r>
      <w:hyperlink w:anchor="_Title_of_the_1" w:history="1">
        <w:r w:rsidR="000F47F5" w:rsidRPr="009F0C72">
          <w:rPr>
            <w:rStyle w:val="Hyperlink"/>
          </w:rPr>
          <w:t>R6.9/1</w:t>
        </w:r>
      </w:hyperlink>
      <w:r w:rsidR="000F47F5" w:rsidRPr="009F0C72">
        <w:t xml:space="preserve"> </w:t>
      </w:r>
      <w:r w:rsidR="000F47F5" w:rsidRPr="009F0C72">
        <w:rPr>
          <w:i/>
        </w:rPr>
        <w:t>— Consolidated Wind-Waves Data Base</w:t>
      </w:r>
    </w:p>
    <w:p w14:paraId="3B2F76E7" w14:textId="77777777" w:rsidR="000F47F5" w:rsidRPr="009F0C72" w:rsidRDefault="000F47F5" w:rsidP="006D687B">
      <w:pPr>
        <w:pStyle w:val="WMOResList1"/>
        <w:numPr>
          <w:ilvl w:val="0"/>
          <w:numId w:val="1"/>
        </w:numPr>
      </w:pPr>
      <w:r w:rsidRPr="009F0C72">
        <w:t>Continue to investigate a consolidated Waves data base (with TT-MB) to house point-source wave measurements and complementary metadata</w:t>
      </w:r>
    </w:p>
    <w:p w14:paraId="02DF9C17" w14:textId="26F13E75" w:rsidR="001F57B2" w:rsidRPr="009F0C72" w:rsidRDefault="001F57B2" w:rsidP="000F47F5">
      <w:pPr>
        <w:pStyle w:val="WMOResList1"/>
        <w:rPr>
          <w:rFonts w:eastAsia="MS Mincho"/>
          <w:strike/>
          <w:color w:val="1A1A1A"/>
        </w:rPr>
      </w:pPr>
    </w:p>
    <w:p w14:paraId="5773DE45" w14:textId="768D1328" w:rsidR="001F57B2" w:rsidRPr="009F0C72" w:rsidRDefault="001F57B2" w:rsidP="001F57B2">
      <w:pPr>
        <w:pStyle w:val="WMOResList1"/>
        <w:contextualSpacing/>
        <w:rPr>
          <w:rFonts w:eastAsia="MS Mincho"/>
          <w:i/>
          <w:color w:val="1A1A1A"/>
        </w:rPr>
      </w:pPr>
      <w:r w:rsidRPr="009F0C72">
        <w:rPr>
          <w:rFonts w:eastAsia="MS Mincho"/>
          <w:color w:val="1A1A1A"/>
        </w:rPr>
        <w:t>(</w:t>
      </w:r>
      <w:r w:rsidR="00F60BCC" w:rsidRPr="009F0C72">
        <w:rPr>
          <w:rFonts w:eastAsia="MS Mincho"/>
          <w:color w:val="1A1A1A"/>
        </w:rPr>
        <w:t>b</w:t>
      </w:r>
      <w:r w:rsidRPr="009F0C72">
        <w:rPr>
          <w:rFonts w:eastAsia="MS Mincho"/>
          <w:color w:val="1A1A1A"/>
        </w:rPr>
        <w:t>)</w:t>
      </w:r>
      <w:r w:rsidRPr="009F0C72">
        <w:rPr>
          <w:rFonts w:eastAsia="MS Mincho"/>
          <w:color w:val="1A1A1A"/>
        </w:rPr>
        <w:tab/>
      </w:r>
      <w:r w:rsidRPr="009F0C72">
        <w:rPr>
          <w:rFonts w:eastAsia="MS Mincho"/>
          <w:color w:val="0070C0"/>
        </w:rPr>
        <w:t>R</w:t>
      </w:r>
      <w:r w:rsidR="00173E47" w:rsidRPr="009F0C72">
        <w:rPr>
          <w:rFonts w:eastAsia="MS Mincho"/>
          <w:color w:val="0070C0"/>
        </w:rPr>
        <w:t>6</w:t>
      </w:r>
      <w:r w:rsidRPr="009F0C72">
        <w:rPr>
          <w:rFonts w:eastAsia="MS Mincho"/>
          <w:color w:val="0070C0"/>
        </w:rPr>
        <w:t>.</w:t>
      </w:r>
      <w:r w:rsidR="00AE1423" w:rsidRPr="009F0C72">
        <w:rPr>
          <w:rFonts w:eastAsia="MS Mincho"/>
          <w:color w:val="0070C0"/>
        </w:rPr>
        <w:t>9</w:t>
      </w:r>
      <w:r w:rsidRPr="009F0C72">
        <w:rPr>
          <w:rFonts w:eastAsia="MS Mincho"/>
          <w:color w:val="0070C0"/>
        </w:rPr>
        <w:t>/</w:t>
      </w:r>
      <w:r w:rsidR="00F60BCC" w:rsidRPr="009F0C72">
        <w:rPr>
          <w:rFonts w:eastAsia="MS Mincho"/>
          <w:color w:val="0070C0"/>
        </w:rPr>
        <w:t>2</w:t>
      </w:r>
      <w:r w:rsidRPr="009F0C72">
        <w:rPr>
          <w:rFonts w:eastAsia="MS Mincho"/>
          <w:color w:val="0070C0"/>
        </w:rPr>
        <w:t xml:space="preserve"> </w:t>
      </w:r>
      <w:r w:rsidRPr="009F0C72">
        <w:rPr>
          <w:rFonts w:eastAsia="MS Mincho"/>
          <w:color w:val="1A1A1A"/>
        </w:rPr>
        <w:t xml:space="preserve">— </w:t>
      </w:r>
      <w:r w:rsidRPr="009F0C72">
        <w:rPr>
          <w:rFonts w:eastAsia="MS Mincho"/>
          <w:i/>
          <w:color w:val="1A1A1A"/>
        </w:rPr>
        <w:t>Establish QC Flag for Wind-Generated Surface Gravity Wave Frequency Spectra</w:t>
      </w:r>
    </w:p>
    <w:p w14:paraId="4585C628" w14:textId="6D28D500" w:rsidR="00FF45FD" w:rsidRPr="009F0C72" w:rsidRDefault="001F57B2" w:rsidP="006D687B">
      <w:pPr>
        <w:pStyle w:val="WMOResList1"/>
        <w:numPr>
          <w:ilvl w:val="0"/>
          <w:numId w:val="2"/>
        </w:numPr>
        <w:contextualSpacing/>
        <w:rPr>
          <w:rFonts w:eastAsia="MS Mincho"/>
          <w:i/>
          <w:color w:val="1A1A1A"/>
        </w:rPr>
      </w:pPr>
      <w:r w:rsidRPr="009F0C72">
        <w:rPr>
          <w:rFonts w:eastAsia="MS Mincho"/>
          <w:color w:val="1A1A1A"/>
        </w:rPr>
        <w:t xml:space="preserve">Recommend establishing QC flags on wind-generated surface gravity waves coordinated with TT-MB, DM and </w:t>
      </w:r>
      <w:r w:rsidR="000F47F5" w:rsidRPr="009F0C72">
        <w:rPr>
          <w:rFonts w:eastAsia="MS Mincho"/>
          <w:color w:val="1A1A1A"/>
        </w:rPr>
        <w:t>OceanOps</w:t>
      </w:r>
      <w:r w:rsidRPr="009F0C72">
        <w:rPr>
          <w:rFonts w:eastAsia="MS Mincho"/>
          <w:color w:val="1A1A1A"/>
        </w:rPr>
        <w:t>.</w:t>
      </w:r>
    </w:p>
    <w:p w14:paraId="3676AB86" w14:textId="77777777" w:rsidR="00EC2459" w:rsidRPr="009F0C72" w:rsidRDefault="00EC2459" w:rsidP="00EC2459">
      <w:pPr>
        <w:pStyle w:val="WMOResList1"/>
        <w:ind w:left="1000" w:firstLine="0"/>
        <w:contextualSpacing/>
        <w:rPr>
          <w:rFonts w:eastAsia="MS Mincho"/>
          <w:i/>
          <w:color w:val="1A1A1A"/>
        </w:rPr>
      </w:pPr>
    </w:p>
    <w:p w14:paraId="0D696254" w14:textId="2D123DA9" w:rsidR="00EC2459" w:rsidRPr="009F0C72" w:rsidRDefault="00EC2459" w:rsidP="00EC2459">
      <w:pPr>
        <w:pStyle w:val="WMOResList1"/>
        <w:contextualSpacing/>
        <w:rPr>
          <w:rFonts w:eastAsia="MS Mincho"/>
          <w:color w:val="1A1A1A"/>
        </w:rPr>
      </w:pPr>
      <w:bookmarkStart w:id="7" w:name="_Hlk50738945"/>
      <w:r w:rsidRPr="009F0C72">
        <w:rPr>
          <w:rFonts w:eastAsia="MS Mincho"/>
          <w:color w:val="1A1A1A"/>
        </w:rPr>
        <w:t>(</w:t>
      </w:r>
      <w:r w:rsidR="00F60BCC" w:rsidRPr="009F0C72">
        <w:rPr>
          <w:rFonts w:eastAsia="MS Mincho"/>
          <w:color w:val="1A1A1A"/>
        </w:rPr>
        <w:t>c</w:t>
      </w:r>
      <w:r w:rsidRPr="009F0C72">
        <w:rPr>
          <w:rFonts w:eastAsia="MS Mincho"/>
          <w:color w:val="1A1A1A"/>
        </w:rPr>
        <w:t>)</w:t>
      </w:r>
      <w:r w:rsidRPr="009F0C72">
        <w:rPr>
          <w:rFonts w:eastAsia="MS Mincho"/>
          <w:color w:val="1A1A1A"/>
        </w:rPr>
        <w:tab/>
      </w:r>
      <w:r w:rsidRPr="009F0C72">
        <w:rPr>
          <w:rFonts w:eastAsia="MS Mincho"/>
          <w:color w:val="0070C0"/>
        </w:rPr>
        <w:t>R6.</w:t>
      </w:r>
      <w:r w:rsidR="00AE1423" w:rsidRPr="009F0C72">
        <w:rPr>
          <w:rFonts w:eastAsia="MS Mincho"/>
          <w:color w:val="0070C0"/>
        </w:rPr>
        <w:t>9</w:t>
      </w:r>
      <w:r w:rsidRPr="009F0C72">
        <w:rPr>
          <w:rFonts w:eastAsia="MS Mincho"/>
          <w:color w:val="0070C0"/>
        </w:rPr>
        <w:t>/</w:t>
      </w:r>
      <w:r w:rsidR="00F60BCC" w:rsidRPr="009F0C72">
        <w:rPr>
          <w:rFonts w:eastAsia="MS Mincho"/>
          <w:color w:val="0070C0"/>
        </w:rPr>
        <w:t>3</w:t>
      </w:r>
      <w:r w:rsidRPr="009F0C72">
        <w:rPr>
          <w:rFonts w:eastAsia="MS Mincho"/>
          <w:color w:val="0070C0"/>
        </w:rPr>
        <w:t xml:space="preserve"> </w:t>
      </w:r>
      <w:r w:rsidRPr="009F0C72">
        <w:rPr>
          <w:rFonts w:eastAsia="MS Mincho"/>
          <w:color w:val="1A1A1A"/>
        </w:rPr>
        <w:t xml:space="preserve">– </w:t>
      </w:r>
      <w:r w:rsidRPr="009F0C72">
        <w:rPr>
          <w:rFonts w:eastAsia="MS Mincho"/>
          <w:i/>
          <w:iCs/>
          <w:color w:val="1A1A1A"/>
        </w:rPr>
        <w:t>Observations of Raw Displacement Time Series</w:t>
      </w:r>
    </w:p>
    <w:p w14:paraId="6AEAEDED" w14:textId="52DA5DA5" w:rsidR="00EC2459" w:rsidRPr="009F0C72" w:rsidRDefault="00EC2459" w:rsidP="006D687B">
      <w:pPr>
        <w:pStyle w:val="WMOResList1"/>
        <w:numPr>
          <w:ilvl w:val="0"/>
          <w:numId w:val="4"/>
        </w:numPr>
        <w:contextualSpacing/>
        <w:rPr>
          <w:rFonts w:eastAsia="MS Mincho"/>
          <w:i/>
          <w:color w:val="1A1A1A"/>
        </w:rPr>
      </w:pPr>
      <w:r w:rsidRPr="009F0C72">
        <w:rPr>
          <w:rFonts w:eastAsia="MS Mincho"/>
          <w:iCs/>
          <w:color w:val="1A1A1A"/>
        </w:rPr>
        <w:t>Encourage buoy operators to collect, where feasible, time series of raw displacement time series of waves in addition to spectral and integral properties.</w:t>
      </w:r>
    </w:p>
    <w:bookmarkEnd w:id="7"/>
    <w:p w14:paraId="04535B9A" w14:textId="77777777" w:rsidR="00173E47" w:rsidRPr="009F0C72" w:rsidRDefault="00173E47" w:rsidP="00173E47">
      <w:pPr>
        <w:pStyle w:val="WMOResList1"/>
        <w:ind w:left="1000" w:firstLine="0"/>
        <w:contextualSpacing/>
        <w:rPr>
          <w:rFonts w:eastAsia="MS Mincho"/>
          <w:iCs/>
          <w:color w:val="1A1A1A"/>
        </w:rPr>
      </w:pPr>
    </w:p>
    <w:p w14:paraId="28F2BE60" w14:textId="037E2B1E" w:rsidR="00FF45FD" w:rsidRPr="00291061" w:rsidRDefault="00FF45FD" w:rsidP="00FF45FD">
      <w:pPr>
        <w:pStyle w:val="WMOResList1"/>
        <w:contextualSpacing/>
        <w:rPr>
          <w:rFonts w:eastAsia="MS Mincho"/>
          <w:strike/>
          <w:color w:val="1A1A1A"/>
        </w:rPr>
      </w:pPr>
    </w:p>
    <w:p w14:paraId="1A48C0E5" w14:textId="77777777" w:rsidR="00FF45FD" w:rsidRPr="005C2C4E" w:rsidRDefault="00FF45FD" w:rsidP="00FF45FD">
      <w:pPr>
        <w:pStyle w:val="WMOResList1"/>
        <w:contextualSpacing/>
        <w:rPr>
          <w:rFonts w:eastAsia="MS Mincho"/>
          <w:i/>
          <w:color w:val="1A1A1A"/>
        </w:rPr>
      </w:pPr>
    </w:p>
    <w:sectPr w:rsidR="00FF45FD" w:rsidRPr="005C2C4E" w:rsidSect="0020095E">
      <w:headerReference w:type="default" r:id="rId1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4929" w14:textId="77777777" w:rsidR="006B6414" w:rsidRDefault="006B6414">
      <w:r>
        <w:separator/>
      </w:r>
    </w:p>
    <w:p w14:paraId="564B7F76" w14:textId="77777777" w:rsidR="006B6414" w:rsidRDefault="006B6414"/>
    <w:p w14:paraId="2965BC58" w14:textId="77777777" w:rsidR="006B6414" w:rsidRDefault="006B6414"/>
  </w:endnote>
  <w:endnote w:type="continuationSeparator" w:id="0">
    <w:p w14:paraId="2C87D2B7" w14:textId="77777777" w:rsidR="006B6414" w:rsidRDefault="006B6414">
      <w:r>
        <w:continuationSeparator/>
      </w:r>
    </w:p>
    <w:p w14:paraId="71AB8B26" w14:textId="77777777" w:rsidR="006B6414" w:rsidRDefault="006B6414"/>
    <w:p w14:paraId="5D061462" w14:textId="77777777" w:rsidR="006B6414" w:rsidRDefault="006B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1D4F" w14:textId="77777777" w:rsidR="006B6414" w:rsidRDefault="006B6414">
      <w:r>
        <w:separator/>
      </w:r>
    </w:p>
  </w:footnote>
  <w:footnote w:type="continuationSeparator" w:id="0">
    <w:p w14:paraId="10351AE3" w14:textId="77777777" w:rsidR="006B6414" w:rsidRDefault="006B6414">
      <w:r>
        <w:continuationSeparator/>
      </w:r>
    </w:p>
    <w:p w14:paraId="60552B5D" w14:textId="77777777" w:rsidR="006B6414" w:rsidRDefault="006B6414"/>
    <w:p w14:paraId="3E6D71C4" w14:textId="77777777" w:rsidR="006B6414" w:rsidRDefault="006B6414"/>
  </w:footnote>
  <w:footnote w:id="1">
    <w:p w14:paraId="20F2B4C2" w14:textId="77777777" w:rsidR="00C97CDC" w:rsidRPr="00C97CDC" w:rsidRDefault="00C97CDC">
      <w:pPr>
        <w:pStyle w:val="FootnoteText"/>
      </w:pPr>
      <w:r>
        <w:rPr>
          <w:rStyle w:val="FootnoteReference"/>
        </w:rPr>
        <w:footnoteRef/>
      </w:r>
      <w:r>
        <w:t xml:space="preserve">  </w:t>
      </w:r>
      <w:r w:rsidRPr="00C97CDC">
        <w:rPr>
          <w:sz w:val="16"/>
          <w:szCs w:val="16"/>
        </w:rPr>
        <w:t>Half a page or less</w:t>
      </w:r>
      <w:r>
        <w:t xml:space="preserve"> </w:t>
      </w:r>
      <w:r w:rsidRPr="00C97CDC">
        <w:rPr>
          <w:sz w:val="16"/>
          <w:szCs w:val="16"/>
        </w:rPr>
        <w:t>of Summary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BB8E" w14:textId="768D1173" w:rsidR="007C212A" w:rsidRDefault="00626CAD" w:rsidP="00A81800">
    <w:pPr>
      <w:pStyle w:val="Header"/>
    </w:pPr>
    <w:r>
      <w:t>D</w:t>
    </w:r>
    <w:r w:rsidR="00E329C4">
      <w:t>BCP-3</w:t>
    </w:r>
    <w:r w:rsidR="00AE1423">
      <w:t>7</w:t>
    </w:r>
    <w:r w:rsidR="00913040">
      <w:t>/Doc. </w:t>
    </w:r>
    <w:r w:rsidR="00AE1423">
      <w:t>6.9</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A81800">
      <w:rPr>
        <w:rStyle w:val="PageNumber"/>
        <w:noProof/>
      </w:rPr>
      <w:t>2</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2188"/>
    <w:multiLevelType w:val="hybridMultilevel"/>
    <w:tmpl w:val="4E4C1CE6"/>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9E55662"/>
    <w:multiLevelType w:val="hybridMultilevel"/>
    <w:tmpl w:val="FC7A86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0741EC0"/>
    <w:multiLevelType w:val="hybridMultilevel"/>
    <w:tmpl w:val="FEE4F9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F0A2363"/>
    <w:multiLevelType w:val="hybridMultilevel"/>
    <w:tmpl w:val="A36AC648"/>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5" w15:restartNumberingAfterBreak="0">
    <w:nsid w:val="777518B8"/>
    <w:multiLevelType w:val="hybridMultilevel"/>
    <w:tmpl w:val="1FB82B00"/>
    <w:lvl w:ilvl="0" w:tplc="8FBCA35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9A6"/>
    <w:rsid w:val="00003ABC"/>
    <w:rsid w:val="00010C22"/>
    <w:rsid w:val="00014898"/>
    <w:rsid w:val="0003137A"/>
    <w:rsid w:val="00031BD5"/>
    <w:rsid w:val="00035F26"/>
    <w:rsid w:val="00041171"/>
    <w:rsid w:val="00050F8E"/>
    <w:rsid w:val="000573AD"/>
    <w:rsid w:val="00072F17"/>
    <w:rsid w:val="000806D8"/>
    <w:rsid w:val="00082C80"/>
    <w:rsid w:val="00083847"/>
    <w:rsid w:val="00083C36"/>
    <w:rsid w:val="000A69BF"/>
    <w:rsid w:val="000B06B7"/>
    <w:rsid w:val="000B7E01"/>
    <w:rsid w:val="000C225A"/>
    <w:rsid w:val="000C6781"/>
    <w:rsid w:val="000D19B8"/>
    <w:rsid w:val="000D2C95"/>
    <w:rsid w:val="000F47F5"/>
    <w:rsid w:val="000F5E49"/>
    <w:rsid w:val="000F7A87"/>
    <w:rsid w:val="00111BFD"/>
    <w:rsid w:val="0011222F"/>
    <w:rsid w:val="0011498B"/>
    <w:rsid w:val="00120147"/>
    <w:rsid w:val="00121F79"/>
    <w:rsid w:val="00123140"/>
    <w:rsid w:val="00127531"/>
    <w:rsid w:val="00146A1B"/>
    <w:rsid w:val="001566BF"/>
    <w:rsid w:val="001568D5"/>
    <w:rsid w:val="00163BA3"/>
    <w:rsid w:val="00166B31"/>
    <w:rsid w:val="00173E47"/>
    <w:rsid w:val="00180771"/>
    <w:rsid w:val="00183154"/>
    <w:rsid w:val="001903A1"/>
    <w:rsid w:val="001930A3"/>
    <w:rsid w:val="001A341E"/>
    <w:rsid w:val="001B0EA6"/>
    <w:rsid w:val="001B1CDF"/>
    <w:rsid w:val="001B56F4"/>
    <w:rsid w:val="001C5462"/>
    <w:rsid w:val="001D6302"/>
    <w:rsid w:val="001E7DD0"/>
    <w:rsid w:val="001F1BDA"/>
    <w:rsid w:val="001F57B2"/>
    <w:rsid w:val="0020095E"/>
    <w:rsid w:val="00210D30"/>
    <w:rsid w:val="00220385"/>
    <w:rsid w:val="00234A34"/>
    <w:rsid w:val="002407E9"/>
    <w:rsid w:val="00246C6E"/>
    <w:rsid w:val="0025255D"/>
    <w:rsid w:val="00256393"/>
    <w:rsid w:val="0026199E"/>
    <w:rsid w:val="00270480"/>
    <w:rsid w:val="002779AF"/>
    <w:rsid w:val="002823D8"/>
    <w:rsid w:val="0028531A"/>
    <w:rsid w:val="00285446"/>
    <w:rsid w:val="00291061"/>
    <w:rsid w:val="00294419"/>
    <w:rsid w:val="00295593"/>
    <w:rsid w:val="002A386C"/>
    <w:rsid w:val="002B16C5"/>
    <w:rsid w:val="002B79EC"/>
    <w:rsid w:val="002C30BC"/>
    <w:rsid w:val="002C7A88"/>
    <w:rsid w:val="002D232B"/>
    <w:rsid w:val="002D5E00"/>
    <w:rsid w:val="002D6DAC"/>
    <w:rsid w:val="002E21E1"/>
    <w:rsid w:val="002E3FAD"/>
    <w:rsid w:val="002E4E16"/>
    <w:rsid w:val="00301E8C"/>
    <w:rsid w:val="00302A4C"/>
    <w:rsid w:val="00304D76"/>
    <w:rsid w:val="00320009"/>
    <w:rsid w:val="003236CA"/>
    <w:rsid w:val="0032424A"/>
    <w:rsid w:val="00330324"/>
    <w:rsid w:val="003359D9"/>
    <w:rsid w:val="003578E7"/>
    <w:rsid w:val="00380AF7"/>
    <w:rsid w:val="00394A05"/>
    <w:rsid w:val="00397770"/>
    <w:rsid w:val="00397880"/>
    <w:rsid w:val="003A01AF"/>
    <w:rsid w:val="003A7016"/>
    <w:rsid w:val="003B601C"/>
    <w:rsid w:val="003C09A6"/>
    <w:rsid w:val="003D022B"/>
    <w:rsid w:val="003D3113"/>
    <w:rsid w:val="003D716B"/>
    <w:rsid w:val="003D7287"/>
    <w:rsid w:val="003E4046"/>
    <w:rsid w:val="003F0293"/>
    <w:rsid w:val="003F125B"/>
    <w:rsid w:val="003F7B3F"/>
    <w:rsid w:val="0041078D"/>
    <w:rsid w:val="00416F97"/>
    <w:rsid w:val="00425752"/>
    <w:rsid w:val="0043039B"/>
    <w:rsid w:val="00435312"/>
    <w:rsid w:val="004423FE"/>
    <w:rsid w:val="00445C35"/>
    <w:rsid w:val="00451219"/>
    <w:rsid w:val="004667E7"/>
    <w:rsid w:val="00475797"/>
    <w:rsid w:val="0049253B"/>
    <w:rsid w:val="004A140B"/>
    <w:rsid w:val="004B7670"/>
    <w:rsid w:val="004B7BAA"/>
    <w:rsid w:val="004C01BD"/>
    <w:rsid w:val="004C2DF7"/>
    <w:rsid w:val="004C4E0B"/>
    <w:rsid w:val="004D497E"/>
    <w:rsid w:val="004E4809"/>
    <w:rsid w:val="004E6352"/>
    <w:rsid w:val="004E6460"/>
    <w:rsid w:val="004F2C79"/>
    <w:rsid w:val="004F6B46"/>
    <w:rsid w:val="005003EB"/>
    <w:rsid w:val="00501B04"/>
    <w:rsid w:val="00525B80"/>
    <w:rsid w:val="0053098F"/>
    <w:rsid w:val="00534865"/>
    <w:rsid w:val="00546D8E"/>
    <w:rsid w:val="00565890"/>
    <w:rsid w:val="00571AE1"/>
    <w:rsid w:val="00586001"/>
    <w:rsid w:val="00592267"/>
    <w:rsid w:val="005A3D11"/>
    <w:rsid w:val="005B0AE2"/>
    <w:rsid w:val="005B1F2C"/>
    <w:rsid w:val="005D03D9"/>
    <w:rsid w:val="005D3F56"/>
    <w:rsid w:val="005D666D"/>
    <w:rsid w:val="005E583E"/>
    <w:rsid w:val="005F72CE"/>
    <w:rsid w:val="0060697D"/>
    <w:rsid w:val="00615AB0"/>
    <w:rsid w:val="0061621C"/>
    <w:rsid w:val="0061778C"/>
    <w:rsid w:val="00626CAD"/>
    <w:rsid w:val="00636B90"/>
    <w:rsid w:val="0064738B"/>
    <w:rsid w:val="006508EA"/>
    <w:rsid w:val="00674FC1"/>
    <w:rsid w:val="006831F5"/>
    <w:rsid w:val="00691D9D"/>
    <w:rsid w:val="00697AC2"/>
    <w:rsid w:val="00697DB5"/>
    <w:rsid w:val="006A492A"/>
    <w:rsid w:val="006B6414"/>
    <w:rsid w:val="006B679E"/>
    <w:rsid w:val="006D5576"/>
    <w:rsid w:val="006D687B"/>
    <w:rsid w:val="006E5FE9"/>
    <w:rsid w:val="006E766D"/>
    <w:rsid w:val="00703BC4"/>
    <w:rsid w:val="00705C9F"/>
    <w:rsid w:val="00716951"/>
    <w:rsid w:val="00720C7B"/>
    <w:rsid w:val="00726019"/>
    <w:rsid w:val="00730EF0"/>
    <w:rsid w:val="00733016"/>
    <w:rsid w:val="00735D9E"/>
    <w:rsid w:val="00743BF6"/>
    <w:rsid w:val="00753CF7"/>
    <w:rsid w:val="00754CF7"/>
    <w:rsid w:val="00771A68"/>
    <w:rsid w:val="00785E12"/>
    <w:rsid w:val="007C04F0"/>
    <w:rsid w:val="007C203D"/>
    <w:rsid w:val="007C212A"/>
    <w:rsid w:val="007E7D21"/>
    <w:rsid w:val="007F482F"/>
    <w:rsid w:val="007F5ED6"/>
    <w:rsid w:val="00801639"/>
    <w:rsid w:val="00807CC5"/>
    <w:rsid w:val="00811D37"/>
    <w:rsid w:val="00826265"/>
    <w:rsid w:val="00831751"/>
    <w:rsid w:val="00835B42"/>
    <w:rsid w:val="00842AB4"/>
    <w:rsid w:val="00843072"/>
    <w:rsid w:val="00843487"/>
    <w:rsid w:val="00847D99"/>
    <w:rsid w:val="0085038E"/>
    <w:rsid w:val="00861BD2"/>
    <w:rsid w:val="0086271D"/>
    <w:rsid w:val="0086420B"/>
    <w:rsid w:val="00864DBF"/>
    <w:rsid w:val="00865AE2"/>
    <w:rsid w:val="008872AB"/>
    <w:rsid w:val="00894322"/>
    <w:rsid w:val="008A0136"/>
    <w:rsid w:val="008A7313"/>
    <w:rsid w:val="008A7D91"/>
    <w:rsid w:val="008B7FC7"/>
    <w:rsid w:val="008C17A4"/>
    <w:rsid w:val="008D6D9A"/>
    <w:rsid w:val="008E1E4A"/>
    <w:rsid w:val="008E3735"/>
    <w:rsid w:val="008F0615"/>
    <w:rsid w:val="008F1FDB"/>
    <w:rsid w:val="008F3C94"/>
    <w:rsid w:val="008F4B4E"/>
    <w:rsid w:val="00913040"/>
    <w:rsid w:val="00937D0C"/>
    <w:rsid w:val="00940A40"/>
    <w:rsid w:val="00941655"/>
    <w:rsid w:val="009422B1"/>
    <w:rsid w:val="00946BD5"/>
    <w:rsid w:val="00950605"/>
    <w:rsid w:val="00952233"/>
    <w:rsid w:val="00954D66"/>
    <w:rsid w:val="00971D6A"/>
    <w:rsid w:val="00971DD5"/>
    <w:rsid w:val="00975D76"/>
    <w:rsid w:val="009805F1"/>
    <w:rsid w:val="00982E51"/>
    <w:rsid w:val="00986457"/>
    <w:rsid w:val="009874B9"/>
    <w:rsid w:val="00993581"/>
    <w:rsid w:val="009A1E7C"/>
    <w:rsid w:val="009A288C"/>
    <w:rsid w:val="009B6697"/>
    <w:rsid w:val="009B7341"/>
    <w:rsid w:val="009C332A"/>
    <w:rsid w:val="009C4C04"/>
    <w:rsid w:val="009D1255"/>
    <w:rsid w:val="009D14A8"/>
    <w:rsid w:val="009D447D"/>
    <w:rsid w:val="009F0C72"/>
    <w:rsid w:val="009F7566"/>
    <w:rsid w:val="00A06BFE"/>
    <w:rsid w:val="00A07784"/>
    <w:rsid w:val="00A10F5D"/>
    <w:rsid w:val="00A14AF1"/>
    <w:rsid w:val="00A16891"/>
    <w:rsid w:val="00A32A1C"/>
    <w:rsid w:val="00A332E8"/>
    <w:rsid w:val="00A35AF5"/>
    <w:rsid w:val="00A35DDF"/>
    <w:rsid w:val="00A36CBA"/>
    <w:rsid w:val="00A50291"/>
    <w:rsid w:val="00A604CD"/>
    <w:rsid w:val="00A60FE6"/>
    <w:rsid w:val="00A654BE"/>
    <w:rsid w:val="00A81800"/>
    <w:rsid w:val="00A874EF"/>
    <w:rsid w:val="00A932C7"/>
    <w:rsid w:val="00A95415"/>
    <w:rsid w:val="00AA0D47"/>
    <w:rsid w:val="00AA3C89"/>
    <w:rsid w:val="00AB70C9"/>
    <w:rsid w:val="00AC4CDB"/>
    <w:rsid w:val="00AE1423"/>
    <w:rsid w:val="00AF09A1"/>
    <w:rsid w:val="00AF506F"/>
    <w:rsid w:val="00AF638A"/>
    <w:rsid w:val="00B00141"/>
    <w:rsid w:val="00B009AA"/>
    <w:rsid w:val="00B030C8"/>
    <w:rsid w:val="00B03560"/>
    <w:rsid w:val="00B056E7"/>
    <w:rsid w:val="00B05B71"/>
    <w:rsid w:val="00B10035"/>
    <w:rsid w:val="00B165E6"/>
    <w:rsid w:val="00B235DB"/>
    <w:rsid w:val="00B26968"/>
    <w:rsid w:val="00B274BD"/>
    <w:rsid w:val="00B30CA9"/>
    <w:rsid w:val="00B43AE7"/>
    <w:rsid w:val="00B51B77"/>
    <w:rsid w:val="00B548A2"/>
    <w:rsid w:val="00B5633C"/>
    <w:rsid w:val="00B56934"/>
    <w:rsid w:val="00B71B79"/>
    <w:rsid w:val="00B72444"/>
    <w:rsid w:val="00B93B62"/>
    <w:rsid w:val="00B953D1"/>
    <w:rsid w:val="00BA12C2"/>
    <w:rsid w:val="00BA18F8"/>
    <w:rsid w:val="00BA30D0"/>
    <w:rsid w:val="00BA31F2"/>
    <w:rsid w:val="00BC2C82"/>
    <w:rsid w:val="00BD283C"/>
    <w:rsid w:val="00BE3D56"/>
    <w:rsid w:val="00C04BD2"/>
    <w:rsid w:val="00C13EEC"/>
    <w:rsid w:val="00C156A4"/>
    <w:rsid w:val="00C20FAA"/>
    <w:rsid w:val="00C2459D"/>
    <w:rsid w:val="00C42C95"/>
    <w:rsid w:val="00C55E5B"/>
    <w:rsid w:val="00C63ECB"/>
    <w:rsid w:val="00C679D6"/>
    <w:rsid w:val="00C720A4"/>
    <w:rsid w:val="00C7611C"/>
    <w:rsid w:val="00C94097"/>
    <w:rsid w:val="00C95780"/>
    <w:rsid w:val="00C95C46"/>
    <w:rsid w:val="00C97018"/>
    <w:rsid w:val="00C97CDC"/>
    <w:rsid w:val="00CA4269"/>
    <w:rsid w:val="00CA7330"/>
    <w:rsid w:val="00CB64F0"/>
    <w:rsid w:val="00CC2909"/>
    <w:rsid w:val="00CD29D5"/>
    <w:rsid w:val="00CD2FE4"/>
    <w:rsid w:val="00CD4395"/>
    <w:rsid w:val="00CE4D89"/>
    <w:rsid w:val="00D05E6F"/>
    <w:rsid w:val="00D11108"/>
    <w:rsid w:val="00D13916"/>
    <w:rsid w:val="00D25C5D"/>
    <w:rsid w:val="00D33442"/>
    <w:rsid w:val="00D44BAD"/>
    <w:rsid w:val="00D45B55"/>
    <w:rsid w:val="00D65517"/>
    <w:rsid w:val="00D7097B"/>
    <w:rsid w:val="00D70F7B"/>
    <w:rsid w:val="00D771B1"/>
    <w:rsid w:val="00D80148"/>
    <w:rsid w:val="00D91DFA"/>
    <w:rsid w:val="00D92C51"/>
    <w:rsid w:val="00D948DC"/>
    <w:rsid w:val="00DB1AB2"/>
    <w:rsid w:val="00DD3A65"/>
    <w:rsid w:val="00DD60CC"/>
    <w:rsid w:val="00DD62C6"/>
    <w:rsid w:val="00DD77EC"/>
    <w:rsid w:val="00E00498"/>
    <w:rsid w:val="00E00E93"/>
    <w:rsid w:val="00E078B5"/>
    <w:rsid w:val="00E256E8"/>
    <w:rsid w:val="00E2617A"/>
    <w:rsid w:val="00E3272F"/>
    <w:rsid w:val="00E329C4"/>
    <w:rsid w:val="00E36434"/>
    <w:rsid w:val="00E47AB9"/>
    <w:rsid w:val="00E538E6"/>
    <w:rsid w:val="00E5466C"/>
    <w:rsid w:val="00E802A2"/>
    <w:rsid w:val="00E85C0B"/>
    <w:rsid w:val="00E92B26"/>
    <w:rsid w:val="00EA1BDC"/>
    <w:rsid w:val="00EC0F1A"/>
    <w:rsid w:val="00EC2459"/>
    <w:rsid w:val="00ED0F77"/>
    <w:rsid w:val="00ED67AF"/>
    <w:rsid w:val="00EE128C"/>
    <w:rsid w:val="00EF66D9"/>
    <w:rsid w:val="00EF6BA5"/>
    <w:rsid w:val="00EF780D"/>
    <w:rsid w:val="00EF7A98"/>
    <w:rsid w:val="00F0267E"/>
    <w:rsid w:val="00F31563"/>
    <w:rsid w:val="00F438F2"/>
    <w:rsid w:val="00F474C9"/>
    <w:rsid w:val="00F60BCC"/>
    <w:rsid w:val="00F61675"/>
    <w:rsid w:val="00F6686B"/>
    <w:rsid w:val="00F67F74"/>
    <w:rsid w:val="00F73DE3"/>
    <w:rsid w:val="00F84DD2"/>
    <w:rsid w:val="00FB0872"/>
    <w:rsid w:val="00FB15B7"/>
    <w:rsid w:val="00FB54CC"/>
    <w:rsid w:val="00FD1A37"/>
    <w:rsid w:val="00FD45F8"/>
    <w:rsid w:val="00FE54D1"/>
    <w:rsid w:val="00FF45FD"/>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27350A"/>
  <w15:docId w15:val="{F01FD678-BC30-4AC5-B040-F26E6176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7F5"/>
    <w:pPr>
      <w:tabs>
        <w:tab w:val="left" w:pos="1134"/>
      </w:tabs>
      <w:jc w:val="both"/>
    </w:pPr>
    <w:rPr>
      <w:rFonts w:ascii="Verdana" w:eastAsia="Arial" w:hAnsi="Verdana" w:cs="Arial"/>
      <w:lang w:val="en-GB" w:eastAsia="en-US"/>
    </w:rPr>
  </w:style>
  <w:style w:type="paragraph" w:styleId="Heading1">
    <w:name w:val="heading 1"/>
    <w:basedOn w:val="Normal"/>
    <w:next w:val="Normal"/>
    <w:link w:val="Heading1Char"/>
    <w:qFormat/>
    <w:rsid w:val="005D666D"/>
    <w:pPr>
      <w:keepNext/>
      <w:keepLines/>
      <w:spacing w:after="120"/>
      <w:jc w:val="center"/>
      <w:outlineLvl w:val="0"/>
    </w:pPr>
    <w:rPr>
      <w:b/>
      <w:bCs/>
      <w:caps/>
      <w:kern w:val="32"/>
      <w:sz w:val="24"/>
      <w:szCs w:val="32"/>
      <w:lang w:eastAsia="zh-TW"/>
    </w:rPr>
  </w:style>
  <w:style w:type="paragraph" w:styleId="Heading2">
    <w:name w:val="heading 2"/>
    <w:basedOn w:val="Normal"/>
    <w:next w:val="Normal"/>
    <w:link w:val="Heading2Char"/>
    <w:qFormat/>
    <w:rsid w:val="00A332E8"/>
    <w:pPr>
      <w:keepNext/>
      <w:keepLines/>
      <w:tabs>
        <w:tab w:val="clear" w:pos="1134"/>
      </w:tabs>
      <w:spacing w:before="360"/>
      <w:jc w:val="center"/>
      <w:outlineLvl w:val="1"/>
    </w:pPr>
    <w:rPr>
      <w:b/>
      <w:bCs/>
      <w:iCs/>
      <w:szCs w:val="22"/>
      <w:lang w:eastAsia="zh-TW"/>
    </w:rPr>
  </w:style>
  <w:style w:type="paragraph" w:styleId="Heading3">
    <w:name w:val="heading 3"/>
    <w:basedOn w:val="Normal"/>
    <w:next w:val="Normal"/>
    <w:qFormat/>
    <w:rsid w:val="003578E7"/>
    <w:pPr>
      <w:keepNext/>
      <w:keepLines/>
      <w:spacing w:before="360"/>
      <w:ind w:left="1134" w:hanging="1134"/>
      <w:jc w:val="left"/>
      <w:outlineLvl w:val="2"/>
    </w:pPr>
    <w:rPr>
      <w:b/>
      <w:bCs/>
      <w:szCs w:val="22"/>
      <w:lang w:eastAsia="zh-TW"/>
    </w:rPr>
  </w:style>
  <w:style w:type="paragraph" w:styleId="Heading4">
    <w:name w:val="heading 4"/>
    <w:basedOn w:val="Normal"/>
    <w:next w:val="Normal"/>
    <w:link w:val="Heading4Char"/>
    <w:qFormat/>
    <w:rsid w:val="0086271D"/>
    <w:pPr>
      <w:keepNext/>
      <w:keepLines/>
      <w:spacing w:before="360"/>
      <w:ind w:left="1134" w:hanging="1134"/>
      <w:jc w:val="left"/>
      <w:outlineLvl w:val="3"/>
    </w:pPr>
    <w:rPr>
      <w:b/>
      <w:i/>
      <w:lang w:eastAsia="zh-TW"/>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basedOn w:val="Normal"/>
    <w:link w:val="WMOBodyTextCharChar"/>
    <w:rsid w:val="00166B31"/>
    <w:pPr>
      <w:spacing w:before="240"/>
      <w:jc w:val="left"/>
    </w:pPr>
    <w:rPr>
      <w:szCs w:val="22"/>
      <w:lang w:eastAsia="zh-TW"/>
    </w:rPr>
  </w:style>
  <w:style w:type="paragraph" w:customStyle="1" w:styleId="WMOList1">
    <w:name w:val="WMO_List1"/>
    <w:basedOn w:val="Normal"/>
    <w:rsid w:val="004D497E"/>
    <w:pPr>
      <w:spacing w:before="240"/>
      <w:ind w:left="1134" w:hanging="1134"/>
      <w:jc w:val="left"/>
    </w:pPr>
    <w:rPr>
      <w:szCs w:val="22"/>
      <w:lang w:eastAsia="zh-TW"/>
    </w:rPr>
  </w:style>
  <w:style w:type="paragraph" w:customStyle="1" w:styleId="WMOList2">
    <w:name w:val="WMO_List2"/>
    <w:basedOn w:val="Normal"/>
    <w:rsid w:val="004D497E"/>
    <w:pPr>
      <w:tabs>
        <w:tab w:val="left" w:pos="1701"/>
      </w:tabs>
      <w:spacing w:before="240"/>
      <w:ind w:left="1701" w:hanging="567"/>
      <w:jc w:val="left"/>
    </w:pPr>
    <w:rPr>
      <w:szCs w:val="22"/>
      <w:lang w:eastAsia="zh-TW"/>
    </w:rPr>
  </w:style>
  <w:style w:type="paragraph" w:customStyle="1" w:styleId="WMOSubTitle2">
    <w:name w:val="WMO_SubTitle2"/>
    <w:basedOn w:val="Heading5"/>
    <w:next w:val="WMOBodyText"/>
    <w:rsid w:val="004D497E"/>
    <w:pPr>
      <w:keepNext/>
      <w:keepLines/>
      <w:tabs>
        <w:tab w:val="clear" w:pos="1080"/>
      </w:tabs>
      <w:spacing w:before="280"/>
      <w:ind w:left="0" w:firstLine="0"/>
      <w:jc w:val="left"/>
    </w:p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link w:val="CommentTextChar"/>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clear" w:pos="1134"/>
        <w:tab w:val="left" w:pos="2268"/>
        <w:tab w:val="left" w:pos="2310"/>
      </w:tabs>
      <w:ind w:left="2268"/>
    </w:pPr>
  </w:style>
  <w:style w:type="paragraph" w:customStyle="1" w:styleId="WMOResList1">
    <w:name w:val="WMO_ResList1"/>
    <w:basedOn w:val="WMOList1"/>
    <w:rsid w:val="004D497E"/>
    <w:pPr>
      <w:tabs>
        <w:tab w:val="clear" w:pos="1134"/>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styleId="UnresolvedMention">
    <w:name w:val="Unresolved Mention"/>
    <w:basedOn w:val="DefaultParagraphFont"/>
    <w:uiPriority w:val="99"/>
    <w:semiHidden/>
    <w:unhideWhenUsed/>
    <w:rsid w:val="00FF45FD"/>
    <w:rPr>
      <w:color w:val="605E5C"/>
      <w:shd w:val="clear" w:color="auto" w:fill="E1DFDD"/>
    </w:rPr>
  </w:style>
  <w:style w:type="paragraph" w:styleId="ListParagraph">
    <w:name w:val="List Paragraph"/>
    <w:basedOn w:val="Normal"/>
    <w:qFormat/>
    <w:rsid w:val="00173E47"/>
    <w:pPr>
      <w:ind w:left="720"/>
      <w:contextualSpacing/>
    </w:pPr>
  </w:style>
  <w:style w:type="character" w:customStyle="1" w:styleId="CommentTextChar">
    <w:name w:val="Comment Text Char"/>
    <w:basedOn w:val="DefaultParagraphFont"/>
    <w:link w:val="CommentText"/>
    <w:semiHidden/>
    <w:rsid w:val="006B679E"/>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9444">
      <w:bodyDiv w:val="1"/>
      <w:marLeft w:val="0"/>
      <w:marRight w:val="0"/>
      <w:marTop w:val="0"/>
      <w:marBottom w:val="0"/>
      <w:divBdr>
        <w:top w:val="none" w:sz="0" w:space="0" w:color="auto"/>
        <w:left w:val="none" w:sz="0" w:space="0" w:color="auto"/>
        <w:bottom w:val="none" w:sz="0" w:space="0" w:color="auto"/>
        <w:right w:val="none" w:sz="0" w:space="0" w:color="auto"/>
      </w:divBdr>
    </w:div>
    <w:div w:id="525413660">
      <w:bodyDiv w:val="1"/>
      <w:marLeft w:val="0"/>
      <w:marRight w:val="0"/>
      <w:marTop w:val="0"/>
      <w:marBottom w:val="0"/>
      <w:divBdr>
        <w:top w:val="none" w:sz="0" w:space="0" w:color="auto"/>
        <w:left w:val="none" w:sz="0" w:space="0" w:color="auto"/>
        <w:bottom w:val="none" w:sz="0" w:space="0" w:color="auto"/>
        <w:right w:val="none" w:sz="0" w:space="0" w:color="auto"/>
      </w:divBdr>
    </w:div>
    <w:div w:id="710960404">
      <w:bodyDiv w:val="1"/>
      <w:marLeft w:val="0"/>
      <w:marRight w:val="0"/>
      <w:marTop w:val="0"/>
      <w:marBottom w:val="0"/>
      <w:divBdr>
        <w:top w:val="none" w:sz="0" w:space="0" w:color="auto"/>
        <w:left w:val="none" w:sz="0" w:space="0" w:color="auto"/>
        <w:bottom w:val="none" w:sz="0" w:space="0" w:color="auto"/>
        <w:right w:val="none" w:sz="0" w:space="0" w:color="auto"/>
      </w:divBdr>
    </w:div>
    <w:div w:id="1031030901">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07/s10236-021-01468-7"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CC8D-535D-4D5D-9F18-491F7ADA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WMO-Session-Template_en.dotx</Template>
  <TotalTime>0</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9757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Val Swail</cp:lastModifiedBy>
  <cp:revision>3</cp:revision>
  <cp:lastPrinted>2013-03-12T09:27:00Z</cp:lastPrinted>
  <dcterms:created xsi:type="dcterms:W3CDTF">2021-10-18T20:31:00Z</dcterms:created>
  <dcterms:modified xsi:type="dcterms:W3CDTF">2021-10-18T20:32:00Z</dcterms:modified>
</cp:coreProperties>
</file>