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98" w:type="dxa"/>
        <w:tblInd w:w="-5" w:type="dxa"/>
        <w:tblLayout w:type="fixed"/>
        <w:tblLook w:val="06A0" w:firstRow="1" w:lastRow="0" w:firstColumn="1" w:lastColumn="0" w:noHBand="1" w:noVBand="1"/>
      </w:tblPr>
      <w:tblGrid>
        <w:gridCol w:w="1998"/>
        <w:gridCol w:w="4665"/>
        <w:gridCol w:w="2551"/>
        <w:gridCol w:w="5084"/>
      </w:tblGrid>
      <w:tr w:rsidR="004E7328" w:rsidRPr="00D768BC" w14:paraId="15C0DC9E" w14:textId="17B897FD" w:rsidTr="008D20D8">
        <w:trPr>
          <w:trHeight w:val="239"/>
        </w:trPr>
        <w:tc>
          <w:tcPr>
            <w:tcW w:w="1998" w:type="dxa"/>
          </w:tcPr>
          <w:p w14:paraId="24D8EE7A" w14:textId="192A3EA9" w:rsidR="004E7328" w:rsidRPr="00D768BC" w:rsidRDefault="004E7328">
            <w:pPr>
              <w:rPr>
                <w:rFonts w:ascii="Verdana" w:hAnsi="Verdana"/>
                <w:b/>
                <w:bCs/>
                <w:sz w:val="20"/>
                <w:szCs w:val="20"/>
              </w:rPr>
            </w:pPr>
            <w:r w:rsidRPr="00D768BC">
              <w:rPr>
                <w:rFonts w:ascii="Verdana" w:eastAsia="Calibri" w:hAnsi="Verdana" w:cs="Calibri"/>
                <w:b/>
                <w:bCs/>
                <w:color w:val="000000" w:themeColor="text1"/>
                <w:sz w:val="20"/>
                <w:szCs w:val="20"/>
              </w:rPr>
              <w:t>TT</w:t>
            </w:r>
          </w:p>
        </w:tc>
        <w:tc>
          <w:tcPr>
            <w:tcW w:w="4665" w:type="dxa"/>
          </w:tcPr>
          <w:p w14:paraId="14A7FA8A" w14:textId="13D06735" w:rsidR="004E7328" w:rsidRPr="00D768BC" w:rsidRDefault="004E7328">
            <w:pPr>
              <w:rPr>
                <w:rFonts w:ascii="Verdana" w:hAnsi="Verdana"/>
                <w:b/>
                <w:bCs/>
                <w:sz w:val="20"/>
                <w:szCs w:val="20"/>
              </w:rPr>
            </w:pPr>
            <w:proofErr w:type="spellStart"/>
            <w:r w:rsidRPr="00D768BC">
              <w:rPr>
                <w:rFonts w:ascii="Verdana" w:eastAsia="Calibri" w:hAnsi="Verdana" w:cs="Calibri"/>
                <w:b/>
                <w:bCs/>
                <w:color w:val="000000" w:themeColor="text1"/>
                <w:sz w:val="20"/>
                <w:szCs w:val="20"/>
              </w:rPr>
              <w:t>ToRs</w:t>
            </w:r>
            <w:proofErr w:type="spellEnd"/>
          </w:p>
        </w:tc>
        <w:tc>
          <w:tcPr>
            <w:tcW w:w="2551" w:type="dxa"/>
          </w:tcPr>
          <w:p w14:paraId="1B42E51F" w14:textId="7F42F6E4" w:rsidR="004E7328" w:rsidRPr="00D768BC" w:rsidRDefault="004E7328">
            <w:pPr>
              <w:rPr>
                <w:rFonts w:ascii="Verdana" w:hAnsi="Verdana"/>
                <w:b/>
                <w:bCs/>
                <w:sz w:val="20"/>
                <w:szCs w:val="20"/>
              </w:rPr>
            </w:pPr>
            <w:r w:rsidRPr="00D768BC">
              <w:rPr>
                <w:rFonts w:ascii="Verdana" w:eastAsia="Calibri" w:hAnsi="Verdana" w:cs="Calibri"/>
                <w:b/>
                <w:bCs/>
                <w:color w:val="000000" w:themeColor="text1"/>
                <w:sz w:val="20"/>
                <w:szCs w:val="20"/>
              </w:rPr>
              <w:t>Strategy Pillars</w:t>
            </w:r>
          </w:p>
        </w:tc>
        <w:tc>
          <w:tcPr>
            <w:tcW w:w="5084" w:type="dxa"/>
          </w:tcPr>
          <w:p w14:paraId="1FAB953C" w14:textId="49B3A793" w:rsidR="004E7328" w:rsidRPr="00D768BC" w:rsidRDefault="00AD6C27">
            <w:pPr>
              <w:rPr>
                <w:rFonts w:ascii="Verdana" w:eastAsia="Calibri" w:hAnsi="Verdana" w:cs="Calibri"/>
                <w:b/>
                <w:bCs/>
                <w:color w:val="000000" w:themeColor="text1"/>
                <w:sz w:val="20"/>
                <w:szCs w:val="20"/>
              </w:rPr>
            </w:pPr>
            <w:r w:rsidRPr="00D768BC">
              <w:rPr>
                <w:rFonts w:ascii="Verdana" w:eastAsia="Calibri" w:hAnsi="Verdana" w:cs="Calibri"/>
                <w:b/>
                <w:bCs/>
                <w:color w:val="000000" w:themeColor="text1"/>
                <w:sz w:val="20"/>
                <w:szCs w:val="20"/>
              </w:rPr>
              <w:t>Pillar Actions</w:t>
            </w:r>
          </w:p>
        </w:tc>
      </w:tr>
      <w:tr w:rsidR="00A02808" w:rsidRPr="00941C81" w14:paraId="67D21ED9" w14:textId="60C0B653" w:rsidTr="008D20D8">
        <w:trPr>
          <w:trHeight w:val="8048"/>
        </w:trPr>
        <w:tc>
          <w:tcPr>
            <w:tcW w:w="1998" w:type="dxa"/>
          </w:tcPr>
          <w:p w14:paraId="4E46C7A2" w14:textId="47910708" w:rsidR="00A02808" w:rsidRPr="00D768BC" w:rsidRDefault="00A02808" w:rsidP="00A02808">
            <w:pPr>
              <w:rPr>
                <w:rFonts w:ascii="Verdana" w:eastAsia="Calibri" w:hAnsi="Verdana" w:cs="Calibri"/>
                <w:color w:val="000000" w:themeColor="text1"/>
                <w:sz w:val="20"/>
                <w:szCs w:val="20"/>
              </w:rPr>
            </w:pPr>
            <w:r w:rsidRPr="00D768BC">
              <w:rPr>
                <w:rFonts w:ascii="Verdana" w:eastAsia="Calibri" w:hAnsi="Verdana" w:cs="Calibri"/>
                <w:color w:val="000000" w:themeColor="text1"/>
                <w:sz w:val="20"/>
                <w:szCs w:val="20"/>
              </w:rPr>
              <w:t>Environmental Stewardship</w:t>
            </w:r>
          </w:p>
        </w:tc>
        <w:tc>
          <w:tcPr>
            <w:tcW w:w="4665" w:type="dxa"/>
          </w:tcPr>
          <w:p w14:paraId="1E677593" w14:textId="538B2B8E" w:rsidR="00A02808" w:rsidRPr="00D768BC" w:rsidRDefault="00A02808" w:rsidP="00A02808">
            <w:pPr>
              <w:rPr>
                <w:rFonts w:ascii="Verdana" w:hAnsi="Verdana"/>
                <w:color w:val="000000" w:themeColor="text1"/>
                <w:sz w:val="20"/>
                <w:szCs w:val="20"/>
              </w:rPr>
            </w:pPr>
            <w:r w:rsidRPr="00D768BC">
              <w:rPr>
                <w:rFonts w:ascii="Verdana" w:eastAsia="Calibri" w:hAnsi="Verdana" w:cs="Calibri"/>
                <w:b/>
                <w:bCs/>
                <w:color w:val="000000" w:themeColor="text1"/>
                <w:sz w:val="20"/>
                <w:szCs w:val="20"/>
                <w:u w:val="single"/>
              </w:rPr>
              <w:t xml:space="preserve">1.Best Practices: </w:t>
            </w:r>
            <w:r w:rsidRPr="00D768BC">
              <w:rPr>
                <w:rFonts w:ascii="Verdana" w:eastAsia="Calibri" w:hAnsi="Verdana" w:cs="Calibri"/>
                <w:color w:val="000000" w:themeColor="text1"/>
                <w:sz w:val="20"/>
                <w:szCs w:val="20"/>
              </w:rPr>
              <w:t xml:space="preserve">Review, report on and recommend standards, technologies, and best practices of environmental stewardship (ES) in the use of ocean buoys with the goal of reducing the magnitude and exposure of stressors to the environment. Work with DBCP members to develop and maintain sustainable best practices that minimize - impact on the environment through community engagement, as applicable, with buoy and instrument users, manufacturers, WMO, IOC, and GOOS. Support members in establishing best practices to assist clearance process for responsible buoy operations. </w:t>
            </w:r>
            <w:r w:rsidRPr="00D768BC">
              <w:rPr>
                <w:rFonts w:ascii="Verdana" w:hAnsi="Verdana"/>
                <w:color w:val="000000" w:themeColor="text1"/>
                <w:sz w:val="20"/>
                <w:szCs w:val="20"/>
              </w:rPr>
              <w:t xml:space="preserve"> </w:t>
            </w:r>
          </w:p>
          <w:p w14:paraId="2E6AC5B7" w14:textId="2C4A5E58" w:rsidR="00A02808" w:rsidRPr="00D768BC" w:rsidRDefault="00A02808" w:rsidP="00A02808">
            <w:pPr>
              <w:rPr>
                <w:rFonts w:ascii="Verdana" w:hAnsi="Verdana"/>
                <w:color w:val="000000" w:themeColor="text1"/>
                <w:sz w:val="20"/>
                <w:szCs w:val="20"/>
              </w:rPr>
            </w:pPr>
            <w:r w:rsidRPr="00D768BC">
              <w:rPr>
                <w:rFonts w:ascii="Verdana" w:eastAsia="Calibri" w:hAnsi="Verdana" w:cs="Calibri"/>
                <w:b/>
                <w:bCs/>
                <w:color w:val="000000" w:themeColor="text1"/>
                <w:sz w:val="20"/>
                <w:szCs w:val="20"/>
                <w:u w:val="single"/>
              </w:rPr>
              <w:t>2.Baseline:</w:t>
            </w:r>
            <w:r w:rsidRPr="00D768BC">
              <w:rPr>
                <w:rFonts w:ascii="Verdana" w:eastAsia="Calibri" w:hAnsi="Verdana" w:cs="Calibri"/>
                <w:color w:val="000000" w:themeColor="text1"/>
                <w:sz w:val="20"/>
                <w:szCs w:val="20"/>
              </w:rPr>
              <w:t xml:space="preserve"> Work with members of the DBCP and ocean observing community to complete a self-assessment of environmental footprint and potential environmental risk to establish a baseline of environmental impacts</w:t>
            </w:r>
            <w:r w:rsidRPr="00D768BC">
              <w:rPr>
                <w:rStyle w:val="normaltextrun"/>
                <w:rFonts w:ascii="Verdana" w:hAnsi="Verdana"/>
                <w:color w:val="000000"/>
                <w:sz w:val="20"/>
                <w:szCs w:val="20"/>
                <w:shd w:val="clear" w:color="auto" w:fill="FFFFFF"/>
              </w:rPr>
              <w:t xml:space="preserve"> and develop possible solution</w:t>
            </w:r>
            <w:r w:rsidRPr="00D768BC">
              <w:rPr>
                <w:rStyle w:val="normaltextrun"/>
                <w:rFonts w:ascii="Verdana" w:hAnsi="Verdana"/>
                <w:color w:val="000000" w:themeColor="text1"/>
                <w:sz w:val="20"/>
                <w:szCs w:val="20"/>
              </w:rPr>
              <w:t>s</w:t>
            </w:r>
            <w:r w:rsidRPr="00D768BC">
              <w:rPr>
                <w:rStyle w:val="normaltextrun"/>
                <w:rFonts w:ascii="Verdana" w:hAnsi="Verdana"/>
                <w:color w:val="000000"/>
                <w:sz w:val="20"/>
                <w:szCs w:val="20"/>
                <w:shd w:val="clear" w:color="auto" w:fill="FFFFFF"/>
              </w:rPr>
              <w:t xml:space="preserve"> for improvements based on best knowledge and capacity of the DBCP.</w:t>
            </w:r>
            <w:r w:rsidRPr="00D768BC">
              <w:rPr>
                <w:rStyle w:val="normaltextrun"/>
                <w:rFonts w:ascii="Verdana" w:hAnsi="Verdana"/>
                <w:color w:val="000000" w:themeColor="text1"/>
                <w:sz w:val="20"/>
                <w:szCs w:val="20"/>
              </w:rPr>
              <w:t xml:space="preserve"> Encourage and support members in undertaking regular reviews against baseline assessments, and as needed.</w:t>
            </w:r>
          </w:p>
          <w:p w14:paraId="32B2157C" w14:textId="32FFCB32" w:rsidR="00A02808" w:rsidRPr="00D768BC" w:rsidRDefault="00A02808" w:rsidP="00A02808">
            <w:pPr>
              <w:rPr>
                <w:rFonts w:ascii="Verdana" w:hAnsi="Verdana"/>
                <w:color w:val="000000" w:themeColor="text1"/>
                <w:sz w:val="20"/>
                <w:szCs w:val="20"/>
              </w:rPr>
            </w:pPr>
            <w:r w:rsidRPr="00D768BC">
              <w:rPr>
                <w:rFonts w:ascii="Verdana" w:eastAsia="Calibri" w:hAnsi="Verdana" w:cs="Calibri"/>
                <w:b/>
                <w:bCs/>
                <w:color w:val="000000" w:themeColor="text1"/>
                <w:sz w:val="20"/>
                <w:szCs w:val="20"/>
                <w:u w:val="single"/>
              </w:rPr>
              <w:t>3.Foci:</w:t>
            </w:r>
            <w:r w:rsidRPr="00D768BC">
              <w:rPr>
                <w:rFonts w:ascii="Verdana" w:eastAsia="Calibri" w:hAnsi="Verdana" w:cs="Calibri"/>
                <w:color w:val="000000" w:themeColor="text1"/>
                <w:sz w:val="20"/>
                <w:szCs w:val="20"/>
              </w:rPr>
              <w:t xml:space="preserve"> Act as the focal point for DBCP environmental stewardship matters and keep a repository of available national and international resources (e.g., UNCLOS Law of the Sea, UNEP, MARPOL, MSR, etc.).  </w:t>
            </w:r>
          </w:p>
          <w:p w14:paraId="0EE01011" w14:textId="15B8A6E0" w:rsidR="00A02808" w:rsidRPr="00D768BC" w:rsidRDefault="00A02808" w:rsidP="00A02808">
            <w:pPr>
              <w:rPr>
                <w:rFonts w:ascii="Verdana" w:eastAsia="Calibri" w:hAnsi="Verdana" w:cs="Calibri"/>
                <w:color w:val="000000" w:themeColor="text1"/>
                <w:sz w:val="20"/>
                <w:szCs w:val="20"/>
              </w:rPr>
            </w:pPr>
            <w:r w:rsidRPr="00D768BC">
              <w:rPr>
                <w:rFonts w:ascii="Verdana" w:eastAsia="Calibri" w:hAnsi="Verdana" w:cs="Calibri"/>
                <w:b/>
                <w:bCs/>
                <w:color w:val="000000" w:themeColor="text1"/>
                <w:sz w:val="20"/>
                <w:szCs w:val="20"/>
                <w:u w:val="single"/>
              </w:rPr>
              <w:t>4.Liaise</w:t>
            </w:r>
            <w:r w:rsidRPr="00D768BC">
              <w:rPr>
                <w:rFonts w:ascii="Verdana" w:eastAsia="Calibri" w:hAnsi="Verdana" w:cs="Calibri"/>
                <w:color w:val="000000" w:themeColor="text1"/>
                <w:sz w:val="20"/>
                <w:szCs w:val="20"/>
              </w:rPr>
              <w:t xml:space="preserve">: Coordinate with TT-CB and WG-Vandalism, mainstreaming ES issues for education and capacity development activities. Liaise with WMO, IOC and GOOS (including the Observations Coordination Group) for guidance and regulatory </w:t>
            </w:r>
            <w:r w:rsidRPr="00D768BC">
              <w:rPr>
                <w:rFonts w:ascii="Verdana" w:eastAsia="Calibri" w:hAnsi="Verdana" w:cs="Calibri"/>
                <w:color w:val="000000" w:themeColor="text1"/>
                <w:sz w:val="20"/>
                <w:szCs w:val="20"/>
              </w:rPr>
              <w:lastRenderedPageBreak/>
              <w:t>materials on environmental impact assessment, marine scientific research, and best practices.</w:t>
            </w:r>
          </w:p>
          <w:p w14:paraId="44D51C17" w14:textId="67E694F2" w:rsidR="00A02808" w:rsidRPr="00D768BC" w:rsidRDefault="00A02808" w:rsidP="00A02808">
            <w:pPr>
              <w:rPr>
                <w:rFonts w:ascii="Verdana" w:eastAsia="Calibri" w:hAnsi="Verdana" w:cs="Calibri"/>
                <w:color w:val="000000" w:themeColor="text1"/>
                <w:sz w:val="20"/>
                <w:szCs w:val="20"/>
              </w:rPr>
            </w:pPr>
            <w:r w:rsidRPr="00D768BC">
              <w:rPr>
                <w:rFonts w:ascii="Verdana" w:eastAsia="Calibri" w:hAnsi="Verdana" w:cs="Calibri"/>
                <w:b/>
                <w:color w:val="000000" w:themeColor="text1"/>
                <w:sz w:val="20"/>
                <w:szCs w:val="20"/>
                <w:u w:val="single"/>
              </w:rPr>
              <w:t>5.Feedback:</w:t>
            </w:r>
            <w:r w:rsidRPr="00D768BC">
              <w:rPr>
                <w:rFonts w:ascii="Verdana" w:eastAsia="Calibri" w:hAnsi="Verdana" w:cs="Calibri"/>
                <w:color w:val="000000" w:themeColor="text1"/>
                <w:sz w:val="20"/>
                <w:szCs w:val="20"/>
              </w:rPr>
              <w:t xml:space="preserve"> Seek input from DBCP members regarding existing national policy or programs that promote environmental stewardship and would facilitate a self-assessment of environmental impact (baseline). Work with members to identify and address obstacles prohibiting adoption of best practices, and knowledge gaps. </w:t>
            </w:r>
          </w:p>
          <w:p w14:paraId="785A47F8" w14:textId="77777777" w:rsidR="00A02808" w:rsidRDefault="00A02808" w:rsidP="00A02808">
            <w:pPr>
              <w:rPr>
                <w:rFonts w:ascii="Verdana" w:eastAsia="Calibri" w:hAnsi="Verdana" w:cs="Calibri"/>
                <w:color w:val="000000" w:themeColor="text1"/>
                <w:sz w:val="20"/>
                <w:szCs w:val="20"/>
              </w:rPr>
            </w:pPr>
            <w:r w:rsidRPr="00D768BC">
              <w:rPr>
                <w:rFonts w:ascii="Verdana" w:eastAsia="Calibri" w:hAnsi="Verdana" w:cs="Calibri"/>
                <w:b/>
                <w:bCs/>
                <w:color w:val="000000" w:themeColor="text1"/>
                <w:sz w:val="20"/>
                <w:szCs w:val="20"/>
                <w:u w:val="single"/>
              </w:rPr>
              <w:t xml:space="preserve">6.Report: </w:t>
            </w:r>
            <w:r w:rsidRPr="00D768BC">
              <w:rPr>
                <w:rFonts w:ascii="Verdana" w:eastAsia="Calibri" w:hAnsi="Verdana" w:cs="Calibri"/>
                <w:color w:val="000000" w:themeColor="text1"/>
                <w:sz w:val="20"/>
                <w:szCs w:val="20"/>
              </w:rPr>
              <w:t>Inform DBCP Executive Board of recommendations to address items above and report on progress of actions to Executive Board and at annual sessions of the DBCP.</w:t>
            </w:r>
            <w:r w:rsidR="00A809D1" w:rsidRPr="00D768BC">
              <w:rPr>
                <w:rFonts w:ascii="Verdana" w:eastAsia="Calibri" w:hAnsi="Verdana" w:cs="Calibri"/>
                <w:color w:val="000000" w:themeColor="text1"/>
                <w:sz w:val="20"/>
                <w:szCs w:val="20"/>
              </w:rPr>
              <w:t xml:space="preserve"> Propose to the DBCP and its Executive Board any evaluation activities and pilot projects that it deems beneficial to drifting buoy operators</w:t>
            </w:r>
            <w:r w:rsidR="00893B7B" w:rsidRPr="00D768BC">
              <w:rPr>
                <w:rFonts w:ascii="Verdana" w:eastAsia="Calibri" w:hAnsi="Verdana" w:cs="Calibri"/>
                <w:color w:val="000000" w:themeColor="text1"/>
                <w:sz w:val="20"/>
                <w:szCs w:val="20"/>
              </w:rPr>
              <w:t xml:space="preserve">. </w:t>
            </w:r>
          </w:p>
          <w:p w14:paraId="1C3D0F5E" w14:textId="77777777" w:rsidR="00AC494C" w:rsidRDefault="00AC494C" w:rsidP="00A02808"/>
          <w:p w14:paraId="2909A0AC" w14:textId="21A1D7EA" w:rsidR="004A7441" w:rsidRPr="00D768BC" w:rsidRDefault="00AC494C" w:rsidP="00A02808">
            <w:pPr>
              <w:rPr>
                <w:rFonts w:ascii="Verdana" w:hAnsi="Verdana"/>
                <w:color w:val="000000" w:themeColor="text1"/>
                <w:sz w:val="20"/>
                <w:szCs w:val="20"/>
              </w:rPr>
            </w:pPr>
            <w:r>
              <w:t xml:space="preserve">7. </w:t>
            </w:r>
            <w:r w:rsidR="00090BEF">
              <w:t xml:space="preserve">TT-ES chair is a member of the DBCP-EXB.  </w:t>
            </w:r>
            <w:r>
              <w:t>TT-ES chair is elected by the TT-ES and in principle serve 2 years with the possibility to extend to 4 years in that capacity</w:t>
            </w:r>
            <w:r w:rsidR="00090BEF">
              <w:t>.</w:t>
            </w:r>
          </w:p>
        </w:tc>
        <w:tc>
          <w:tcPr>
            <w:tcW w:w="2551" w:type="dxa"/>
          </w:tcPr>
          <w:p w14:paraId="1BBC2AD1" w14:textId="15D8DD99" w:rsidR="00A02808" w:rsidRPr="00D768BC" w:rsidRDefault="00A02808" w:rsidP="00A02808">
            <w:pPr>
              <w:rPr>
                <w:rFonts w:ascii="Verdana" w:hAnsi="Verdana"/>
                <w:sz w:val="20"/>
                <w:szCs w:val="20"/>
              </w:rPr>
            </w:pPr>
            <w:r w:rsidRPr="00D768BC">
              <w:rPr>
                <w:rFonts w:ascii="Verdana" w:hAnsi="Verdana"/>
                <w:sz w:val="20"/>
                <w:szCs w:val="20"/>
              </w:rPr>
              <w:lastRenderedPageBreak/>
              <w:t>2. scientific and operational excellence</w:t>
            </w:r>
          </w:p>
          <w:p w14:paraId="4233D85D" w14:textId="1EE4BE93" w:rsidR="00A02808" w:rsidRPr="00D768BC" w:rsidRDefault="00A02808" w:rsidP="00A02808">
            <w:pPr>
              <w:rPr>
                <w:rFonts w:ascii="Verdana" w:hAnsi="Verdana"/>
                <w:sz w:val="20"/>
                <w:szCs w:val="20"/>
              </w:rPr>
            </w:pPr>
            <w:r w:rsidRPr="00D768BC">
              <w:rPr>
                <w:rFonts w:ascii="Verdana" w:hAnsi="Verdana"/>
                <w:sz w:val="20"/>
                <w:szCs w:val="20"/>
              </w:rPr>
              <w:t>3. Technology innovation</w:t>
            </w:r>
          </w:p>
          <w:p w14:paraId="17FD311C" w14:textId="154B56D7" w:rsidR="00A02808" w:rsidRPr="00D768BC" w:rsidRDefault="00A02808" w:rsidP="00A02808">
            <w:pPr>
              <w:rPr>
                <w:rFonts w:ascii="Verdana" w:hAnsi="Verdana"/>
                <w:sz w:val="20"/>
                <w:szCs w:val="20"/>
              </w:rPr>
            </w:pPr>
            <w:r w:rsidRPr="00D768BC">
              <w:rPr>
                <w:rFonts w:ascii="Verdana" w:hAnsi="Verdana"/>
                <w:sz w:val="20"/>
                <w:szCs w:val="20"/>
              </w:rPr>
              <w:t>4. Environmental protection</w:t>
            </w:r>
          </w:p>
          <w:p w14:paraId="7165C20B" w14:textId="549998FF" w:rsidR="00A02808" w:rsidRPr="00D768BC" w:rsidRDefault="00A02808" w:rsidP="00A02808">
            <w:pPr>
              <w:rPr>
                <w:rFonts w:ascii="Verdana" w:hAnsi="Verdana"/>
                <w:sz w:val="20"/>
                <w:szCs w:val="20"/>
              </w:rPr>
            </w:pPr>
            <w:r w:rsidRPr="00D768BC">
              <w:rPr>
                <w:rFonts w:ascii="Verdana" w:hAnsi="Verdana"/>
                <w:sz w:val="20"/>
                <w:szCs w:val="20"/>
              </w:rPr>
              <w:t>6. diversity and inclusivity</w:t>
            </w:r>
          </w:p>
        </w:tc>
        <w:tc>
          <w:tcPr>
            <w:tcW w:w="5084" w:type="dxa"/>
          </w:tcPr>
          <w:p w14:paraId="3EA34966" w14:textId="29B6E2BC" w:rsidR="00D219CF" w:rsidRPr="00D768BC" w:rsidRDefault="00D219CF" w:rsidP="00D219CF">
            <w:pPr>
              <w:rPr>
                <w:rFonts w:ascii="Verdana" w:hAnsi="Verdana"/>
                <w:sz w:val="20"/>
                <w:szCs w:val="20"/>
              </w:rPr>
            </w:pPr>
            <w:r w:rsidRPr="00D768BC">
              <w:rPr>
                <w:rFonts w:ascii="Verdana" w:hAnsi="Verdana"/>
                <w:sz w:val="20"/>
                <w:szCs w:val="20"/>
              </w:rPr>
              <w:t xml:space="preserve">2.4 Adopt, define, and promote best practice in the lifecycle of our data from measurement - through its use and reuse - to archiving. </w:t>
            </w:r>
          </w:p>
          <w:p w14:paraId="0074E36A" w14:textId="77777777" w:rsidR="00A02808" w:rsidRPr="00D768BC" w:rsidRDefault="00D219CF" w:rsidP="00D219CF">
            <w:pPr>
              <w:rPr>
                <w:rFonts w:ascii="Verdana" w:hAnsi="Verdana"/>
                <w:sz w:val="20"/>
                <w:szCs w:val="20"/>
              </w:rPr>
            </w:pPr>
            <w:r w:rsidRPr="00D768BC">
              <w:rPr>
                <w:rFonts w:ascii="Verdana" w:hAnsi="Verdana"/>
                <w:sz w:val="20"/>
                <w:szCs w:val="20"/>
              </w:rPr>
              <w:t>2.5 Actively pursue the highest levels of safety in everything that we do.</w:t>
            </w:r>
          </w:p>
          <w:p w14:paraId="15D8D802" w14:textId="7187B84E" w:rsidR="007E1C78" w:rsidRPr="00D768BC" w:rsidRDefault="007E1C78" w:rsidP="007E1C78">
            <w:pPr>
              <w:rPr>
                <w:rFonts w:ascii="Verdana" w:hAnsi="Verdana"/>
                <w:sz w:val="20"/>
                <w:szCs w:val="20"/>
              </w:rPr>
            </w:pPr>
            <w:r w:rsidRPr="00D768BC">
              <w:rPr>
                <w:rFonts w:ascii="Verdana" w:hAnsi="Verdana"/>
                <w:sz w:val="20"/>
                <w:szCs w:val="20"/>
              </w:rPr>
              <w:t xml:space="preserve">3.1 Encourage research and development activities which are prioritized to meet defined user needs. </w:t>
            </w:r>
          </w:p>
          <w:p w14:paraId="3AE37129" w14:textId="77777777" w:rsidR="007E1C78" w:rsidRPr="00D768BC" w:rsidRDefault="007E1C78" w:rsidP="007E1C78">
            <w:pPr>
              <w:rPr>
                <w:rFonts w:ascii="Verdana" w:hAnsi="Verdana"/>
                <w:sz w:val="20"/>
                <w:szCs w:val="20"/>
              </w:rPr>
            </w:pPr>
            <w:r w:rsidRPr="00D768BC">
              <w:rPr>
                <w:rFonts w:ascii="Verdana" w:hAnsi="Verdana"/>
                <w:sz w:val="20"/>
                <w:szCs w:val="20"/>
              </w:rPr>
              <w:t xml:space="preserve">3.2 Establish and maintain a DBCP expert group for continuously scanning the external environment to identify, assess and benefit from emerging technologies. </w:t>
            </w:r>
          </w:p>
          <w:p w14:paraId="371D6FFB" w14:textId="0B915BA4" w:rsidR="007E1C78" w:rsidRPr="00D768BC" w:rsidRDefault="007E1C78" w:rsidP="007E1C78">
            <w:pPr>
              <w:rPr>
                <w:rFonts w:ascii="Verdana" w:hAnsi="Verdana"/>
                <w:sz w:val="20"/>
                <w:szCs w:val="20"/>
              </w:rPr>
            </w:pPr>
            <w:r w:rsidRPr="00D768BC">
              <w:rPr>
                <w:rFonts w:ascii="Verdana" w:hAnsi="Verdana"/>
                <w:sz w:val="20"/>
                <w:szCs w:val="20"/>
              </w:rPr>
              <w:t xml:space="preserve">3.3 Establish partnerships that help us to hasten and enhance delivery to our users. </w:t>
            </w:r>
          </w:p>
          <w:p w14:paraId="594A7495" w14:textId="77777777" w:rsidR="007E1C78" w:rsidRPr="00D768BC" w:rsidRDefault="007E1C78" w:rsidP="007E1C78">
            <w:pPr>
              <w:rPr>
                <w:rFonts w:ascii="Verdana" w:hAnsi="Verdana"/>
                <w:sz w:val="20"/>
                <w:szCs w:val="20"/>
              </w:rPr>
            </w:pPr>
            <w:r w:rsidRPr="00D768BC">
              <w:rPr>
                <w:rFonts w:ascii="Verdana" w:hAnsi="Verdana"/>
                <w:sz w:val="20"/>
                <w:szCs w:val="20"/>
              </w:rPr>
              <w:t xml:space="preserve">3.4 Extend the breadth of our measurement capability, such as for biogeochemical and biological variables, where the opportunities </w:t>
            </w:r>
            <w:proofErr w:type="gramStart"/>
            <w:r w:rsidRPr="00D768BC">
              <w:rPr>
                <w:rFonts w:ascii="Verdana" w:hAnsi="Verdana"/>
                <w:sz w:val="20"/>
                <w:szCs w:val="20"/>
              </w:rPr>
              <w:t>exist</w:t>
            </w:r>
            <w:proofErr w:type="gramEnd"/>
            <w:r w:rsidRPr="00D768BC">
              <w:rPr>
                <w:rFonts w:ascii="Verdana" w:hAnsi="Verdana"/>
                <w:sz w:val="20"/>
                <w:szCs w:val="20"/>
              </w:rPr>
              <w:t xml:space="preserve"> and the user demand is high.</w:t>
            </w:r>
          </w:p>
          <w:p w14:paraId="2961E37C" w14:textId="77777777" w:rsidR="0011488B" w:rsidRPr="00D768BC" w:rsidRDefault="0011488B" w:rsidP="0011488B">
            <w:pPr>
              <w:rPr>
                <w:rFonts w:ascii="Verdana" w:hAnsi="Verdana"/>
                <w:sz w:val="20"/>
                <w:szCs w:val="20"/>
              </w:rPr>
            </w:pPr>
            <w:r w:rsidRPr="00D768BC">
              <w:rPr>
                <w:rFonts w:ascii="Verdana" w:hAnsi="Verdana"/>
                <w:sz w:val="20"/>
                <w:szCs w:val="20"/>
              </w:rPr>
              <w:t xml:space="preserve">4.1 Establish a task team focusing on environmental impacts to develop, review and promote principles and best practices that minimize our impact on the environment. </w:t>
            </w:r>
          </w:p>
          <w:p w14:paraId="2B60CC0A" w14:textId="77777777" w:rsidR="0011488B" w:rsidRPr="00D768BC" w:rsidRDefault="0011488B" w:rsidP="0011488B">
            <w:pPr>
              <w:rPr>
                <w:rFonts w:ascii="Verdana" w:hAnsi="Verdana"/>
                <w:sz w:val="20"/>
                <w:szCs w:val="20"/>
              </w:rPr>
            </w:pPr>
            <w:r w:rsidRPr="00D768BC">
              <w:rPr>
                <w:rFonts w:ascii="Verdana" w:hAnsi="Verdana"/>
                <w:sz w:val="20"/>
                <w:szCs w:val="20"/>
              </w:rPr>
              <w:t xml:space="preserve">4.2 Work with our ocean observing network partners to baseline and continuously review our environmental impact. </w:t>
            </w:r>
          </w:p>
          <w:p w14:paraId="1C2D7D54" w14:textId="77777777" w:rsidR="0011488B" w:rsidRPr="00D768BC" w:rsidRDefault="0011488B" w:rsidP="0011488B">
            <w:pPr>
              <w:rPr>
                <w:rFonts w:ascii="Verdana" w:hAnsi="Verdana"/>
                <w:sz w:val="20"/>
                <w:szCs w:val="20"/>
              </w:rPr>
            </w:pPr>
            <w:r w:rsidRPr="00D768BC">
              <w:rPr>
                <w:rFonts w:ascii="Verdana" w:hAnsi="Verdana"/>
                <w:sz w:val="20"/>
                <w:szCs w:val="20"/>
              </w:rPr>
              <w:t xml:space="preserve">4.3 Report on the plans, </w:t>
            </w:r>
            <w:proofErr w:type="gramStart"/>
            <w:r w:rsidRPr="00D768BC">
              <w:rPr>
                <w:rFonts w:ascii="Verdana" w:hAnsi="Verdana"/>
                <w:sz w:val="20"/>
                <w:szCs w:val="20"/>
              </w:rPr>
              <w:t>actions</w:t>
            </w:r>
            <w:proofErr w:type="gramEnd"/>
            <w:r w:rsidRPr="00D768BC">
              <w:rPr>
                <w:rFonts w:ascii="Verdana" w:hAnsi="Verdana"/>
                <w:sz w:val="20"/>
                <w:szCs w:val="20"/>
              </w:rPr>
              <w:t xml:space="preserve"> and progress to reduce our environmental impact</w:t>
            </w:r>
          </w:p>
          <w:p w14:paraId="3ECDBEAC" w14:textId="77777777" w:rsidR="00DE2A6E" w:rsidRPr="00D768BC" w:rsidRDefault="00DE2A6E" w:rsidP="00DE2A6E">
            <w:pPr>
              <w:rPr>
                <w:rFonts w:ascii="Verdana" w:hAnsi="Verdana"/>
                <w:sz w:val="20"/>
                <w:szCs w:val="20"/>
              </w:rPr>
            </w:pPr>
            <w:r w:rsidRPr="00D768BC">
              <w:rPr>
                <w:rFonts w:ascii="Verdana" w:hAnsi="Verdana"/>
                <w:sz w:val="20"/>
                <w:szCs w:val="20"/>
              </w:rPr>
              <w:t xml:space="preserve">5.3 Grow membership of our panel by developing outreach materials and </w:t>
            </w:r>
          </w:p>
          <w:p w14:paraId="7618923D" w14:textId="77777777" w:rsidR="00DE2A6E" w:rsidRPr="00D768BC" w:rsidRDefault="00DE2A6E" w:rsidP="00DE2A6E">
            <w:pPr>
              <w:rPr>
                <w:rFonts w:ascii="Verdana" w:hAnsi="Verdana"/>
                <w:sz w:val="20"/>
                <w:szCs w:val="20"/>
              </w:rPr>
            </w:pPr>
            <w:r w:rsidRPr="00D768BC">
              <w:rPr>
                <w:rFonts w:ascii="Verdana" w:hAnsi="Verdana"/>
                <w:sz w:val="20"/>
                <w:szCs w:val="20"/>
              </w:rPr>
              <w:t xml:space="preserve">channels for communication and engagement. </w:t>
            </w:r>
          </w:p>
          <w:p w14:paraId="27AF327C" w14:textId="77777777" w:rsidR="00DE2A6E" w:rsidRPr="00D768BC" w:rsidRDefault="00DE2A6E" w:rsidP="00DE2A6E">
            <w:pPr>
              <w:rPr>
                <w:rFonts w:ascii="Verdana" w:hAnsi="Verdana"/>
                <w:sz w:val="20"/>
                <w:szCs w:val="20"/>
              </w:rPr>
            </w:pPr>
            <w:r w:rsidRPr="00D768BC">
              <w:rPr>
                <w:rFonts w:ascii="Verdana" w:hAnsi="Verdana"/>
                <w:sz w:val="20"/>
                <w:szCs w:val="20"/>
              </w:rPr>
              <w:t xml:space="preserve">5.4 Establish fit for purpose mechanisms to exchange knowledge and to </w:t>
            </w:r>
          </w:p>
          <w:p w14:paraId="5C1F7507" w14:textId="0730907F" w:rsidR="00DE2A6E" w:rsidRPr="00941C81" w:rsidRDefault="00DE2A6E" w:rsidP="00DE2A6E">
            <w:pPr>
              <w:rPr>
                <w:rFonts w:ascii="Verdana" w:hAnsi="Verdana"/>
                <w:sz w:val="20"/>
                <w:szCs w:val="20"/>
              </w:rPr>
            </w:pPr>
            <w:r w:rsidRPr="00D768BC">
              <w:rPr>
                <w:rFonts w:ascii="Verdana" w:hAnsi="Verdana"/>
                <w:sz w:val="20"/>
                <w:szCs w:val="20"/>
              </w:rPr>
              <w:t>monitor our progress against relevant international agendas.</w:t>
            </w:r>
          </w:p>
        </w:tc>
      </w:tr>
    </w:tbl>
    <w:p w14:paraId="2C078E63" w14:textId="69926AC2" w:rsidR="00776907" w:rsidRPr="00941C81" w:rsidRDefault="00776907" w:rsidP="211E1C6A">
      <w:pPr>
        <w:rPr>
          <w:rFonts w:ascii="Verdana" w:hAnsi="Verdana"/>
          <w:sz w:val="20"/>
          <w:szCs w:val="20"/>
        </w:rPr>
      </w:pPr>
    </w:p>
    <w:sectPr w:rsidR="00776907" w:rsidRPr="00941C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249B"/>
    <w:multiLevelType w:val="hybridMultilevel"/>
    <w:tmpl w:val="2CDEA9D0"/>
    <w:lvl w:ilvl="0" w:tplc="2CA29C84">
      <w:start w:val="1"/>
      <w:numFmt w:val="decimal"/>
      <w:lvlText w:val="%1."/>
      <w:lvlJc w:val="left"/>
      <w:pPr>
        <w:ind w:left="720" w:hanging="360"/>
      </w:pPr>
    </w:lvl>
    <w:lvl w:ilvl="1" w:tplc="F6884EA2">
      <w:start w:val="1"/>
      <w:numFmt w:val="lowerLetter"/>
      <w:lvlText w:val="%2."/>
      <w:lvlJc w:val="left"/>
      <w:pPr>
        <w:ind w:left="1440" w:hanging="360"/>
      </w:pPr>
    </w:lvl>
    <w:lvl w:ilvl="2" w:tplc="F69A13F4">
      <w:start w:val="1"/>
      <w:numFmt w:val="lowerRoman"/>
      <w:lvlText w:val="%3."/>
      <w:lvlJc w:val="right"/>
      <w:pPr>
        <w:ind w:left="2160" w:hanging="180"/>
      </w:pPr>
    </w:lvl>
    <w:lvl w:ilvl="3" w:tplc="E4E02596">
      <w:start w:val="1"/>
      <w:numFmt w:val="decimal"/>
      <w:lvlText w:val="%4."/>
      <w:lvlJc w:val="left"/>
      <w:pPr>
        <w:ind w:left="2880" w:hanging="360"/>
      </w:pPr>
    </w:lvl>
    <w:lvl w:ilvl="4" w:tplc="2DA461C0">
      <w:start w:val="1"/>
      <w:numFmt w:val="lowerLetter"/>
      <w:lvlText w:val="%5."/>
      <w:lvlJc w:val="left"/>
      <w:pPr>
        <w:ind w:left="3600" w:hanging="360"/>
      </w:pPr>
    </w:lvl>
    <w:lvl w:ilvl="5" w:tplc="959E397E">
      <w:start w:val="1"/>
      <w:numFmt w:val="lowerRoman"/>
      <w:lvlText w:val="%6."/>
      <w:lvlJc w:val="right"/>
      <w:pPr>
        <w:ind w:left="4320" w:hanging="180"/>
      </w:pPr>
    </w:lvl>
    <w:lvl w:ilvl="6" w:tplc="291C98F8">
      <w:start w:val="1"/>
      <w:numFmt w:val="decimal"/>
      <w:lvlText w:val="%7."/>
      <w:lvlJc w:val="left"/>
      <w:pPr>
        <w:ind w:left="5040" w:hanging="360"/>
      </w:pPr>
    </w:lvl>
    <w:lvl w:ilvl="7" w:tplc="D646F1D8">
      <w:start w:val="1"/>
      <w:numFmt w:val="lowerLetter"/>
      <w:lvlText w:val="%8."/>
      <w:lvlJc w:val="left"/>
      <w:pPr>
        <w:ind w:left="5760" w:hanging="360"/>
      </w:pPr>
    </w:lvl>
    <w:lvl w:ilvl="8" w:tplc="A5541F90">
      <w:start w:val="1"/>
      <w:numFmt w:val="lowerRoman"/>
      <w:lvlText w:val="%9."/>
      <w:lvlJc w:val="right"/>
      <w:pPr>
        <w:ind w:left="6480" w:hanging="180"/>
      </w:pPr>
    </w:lvl>
  </w:abstractNum>
  <w:abstractNum w:abstractNumId="1" w15:restartNumberingAfterBreak="0">
    <w:nsid w:val="24300D5F"/>
    <w:multiLevelType w:val="hybridMultilevel"/>
    <w:tmpl w:val="5F12A7B8"/>
    <w:lvl w:ilvl="0" w:tplc="AB22DE04">
      <w:start w:val="1"/>
      <w:numFmt w:val="decimal"/>
      <w:lvlText w:val="%1."/>
      <w:lvlJc w:val="left"/>
      <w:pPr>
        <w:ind w:left="720" w:hanging="360"/>
      </w:pPr>
    </w:lvl>
    <w:lvl w:ilvl="1" w:tplc="D758CF82">
      <w:start w:val="1"/>
      <w:numFmt w:val="lowerLetter"/>
      <w:lvlText w:val="%2."/>
      <w:lvlJc w:val="left"/>
      <w:pPr>
        <w:ind w:left="1440" w:hanging="360"/>
      </w:pPr>
    </w:lvl>
    <w:lvl w:ilvl="2" w:tplc="2C7020FE">
      <w:start w:val="1"/>
      <w:numFmt w:val="lowerRoman"/>
      <w:lvlText w:val="%3."/>
      <w:lvlJc w:val="right"/>
      <w:pPr>
        <w:ind w:left="2160" w:hanging="180"/>
      </w:pPr>
    </w:lvl>
    <w:lvl w:ilvl="3" w:tplc="2506C3DA">
      <w:start w:val="1"/>
      <w:numFmt w:val="decimal"/>
      <w:lvlText w:val="%4."/>
      <w:lvlJc w:val="left"/>
      <w:pPr>
        <w:ind w:left="2880" w:hanging="360"/>
      </w:pPr>
    </w:lvl>
    <w:lvl w:ilvl="4" w:tplc="22126B62">
      <w:start w:val="1"/>
      <w:numFmt w:val="lowerLetter"/>
      <w:lvlText w:val="%5."/>
      <w:lvlJc w:val="left"/>
      <w:pPr>
        <w:ind w:left="3600" w:hanging="360"/>
      </w:pPr>
    </w:lvl>
    <w:lvl w:ilvl="5" w:tplc="0D40D626">
      <w:start w:val="1"/>
      <w:numFmt w:val="lowerRoman"/>
      <w:lvlText w:val="%6."/>
      <w:lvlJc w:val="right"/>
      <w:pPr>
        <w:ind w:left="4320" w:hanging="180"/>
      </w:pPr>
    </w:lvl>
    <w:lvl w:ilvl="6" w:tplc="1714C060">
      <w:start w:val="1"/>
      <w:numFmt w:val="decimal"/>
      <w:lvlText w:val="%7."/>
      <w:lvlJc w:val="left"/>
      <w:pPr>
        <w:ind w:left="5040" w:hanging="360"/>
      </w:pPr>
    </w:lvl>
    <w:lvl w:ilvl="7" w:tplc="93A84128">
      <w:start w:val="1"/>
      <w:numFmt w:val="lowerLetter"/>
      <w:lvlText w:val="%8."/>
      <w:lvlJc w:val="left"/>
      <w:pPr>
        <w:ind w:left="5760" w:hanging="360"/>
      </w:pPr>
    </w:lvl>
    <w:lvl w:ilvl="8" w:tplc="26C0E942">
      <w:start w:val="1"/>
      <w:numFmt w:val="lowerRoman"/>
      <w:lvlText w:val="%9."/>
      <w:lvlJc w:val="right"/>
      <w:pPr>
        <w:ind w:left="6480" w:hanging="180"/>
      </w:pPr>
    </w:lvl>
  </w:abstractNum>
  <w:abstractNum w:abstractNumId="2" w15:restartNumberingAfterBreak="0">
    <w:nsid w:val="36337F4D"/>
    <w:multiLevelType w:val="hybridMultilevel"/>
    <w:tmpl w:val="F78AF6D8"/>
    <w:lvl w:ilvl="0" w:tplc="82F8EAFE">
      <w:start w:val="1"/>
      <w:numFmt w:val="decimal"/>
      <w:lvlText w:val="%1."/>
      <w:lvlJc w:val="left"/>
      <w:pPr>
        <w:ind w:left="720" w:hanging="360"/>
      </w:pPr>
    </w:lvl>
    <w:lvl w:ilvl="1" w:tplc="CCA203E6">
      <w:start w:val="1"/>
      <w:numFmt w:val="lowerLetter"/>
      <w:lvlText w:val="%2."/>
      <w:lvlJc w:val="left"/>
      <w:pPr>
        <w:ind w:left="1440" w:hanging="360"/>
      </w:pPr>
    </w:lvl>
    <w:lvl w:ilvl="2" w:tplc="E7C873BA">
      <w:start w:val="1"/>
      <w:numFmt w:val="lowerRoman"/>
      <w:lvlText w:val="%3."/>
      <w:lvlJc w:val="right"/>
      <w:pPr>
        <w:ind w:left="2160" w:hanging="180"/>
      </w:pPr>
    </w:lvl>
    <w:lvl w:ilvl="3" w:tplc="0DB2B1D8">
      <w:start w:val="1"/>
      <w:numFmt w:val="decimal"/>
      <w:lvlText w:val="%4."/>
      <w:lvlJc w:val="left"/>
      <w:pPr>
        <w:ind w:left="2880" w:hanging="360"/>
      </w:pPr>
    </w:lvl>
    <w:lvl w:ilvl="4" w:tplc="2DF2EE64">
      <w:start w:val="1"/>
      <w:numFmt w:val="lowerLetter"/>
      <w:lvlText w:val="%5."/>
      <w:lvlJc w:val="left"/>
      <w:pPr>
        <w:ind w:left="3600" w:hanging="360"/>
      </w:pPr>
    </w:lvl>
    <w:lvl w:ilvl="5" w:tplc="3B7A03DA">
      <w:start w:val="1"/>
      <w:numFmt w:val="lowerRoman"/>
      <w:lvlText w:val="%6."/>
      <w:lvlJc w:val="right"/>
      <w:pPr>
        <w:ind w:left="4320" w:hanging="180"/>
      </w:pPr>
    </w:lvl>
    <w:lvl w:ilvl="6" w:tplc="18E0CFD2">
      <w:start w:val="1"/>
      <w:numFmt w:val="decimal"/>
      <w:lvlText w:val="%7."/>
      <w:lvlJc w:val="left"/>
      <w:pPr>
        <w:ind w:left="5040" w:hanging="360"/>
      </w:pPr>
    </w:lvl>
    <w:lvl w:ilvl="7" w:tplc="56C2E0D6">
      <w:start w:val="1"/>
      <w:numFmt w:val="lowerLetter"/>
      <w:lvlText w:val="%8."/>
      <w:lvlJc w:val="left"/>
      <w:pPr>
        <w:ind w:left="5760" w:hanging="360"/>
      </w:pPr>
    </w:lvl>
    <w:lvl w:ilvl="8" w:tplc="FBDCF09C">
      <w:start w:val="1"/>
      <w:numFmt w:val="lowerRoman"/>
      <w:lvlText w:val="%9."/>
      <w:lvlJc w:val="right"/>
      <w:pPr>
        <w:ind w:left="6480" w:hanging="180"/>
      </w:pPr>
    </w:lvl>
  </w:abstractNum>
  <w:abstractNum w:abstractNumId="3" w15:restartNumberingAfterBreak="0">
    <w:nsid w:val="4EDF7A5B"/>
    <w:multiLevelType w:val="hybridMultilevel"/>
    <w:tmpl w:val="D8BEB176"/>
    <w:lvl w:ilvl="0" w:tplc="A79EF790">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C0132"/>
    <w:multiLevelType w:val="hybridMultilevel"/>
    <w:tmpl w:val="970880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A762E"/>
    <w:multiLevelType w:val="hybridMultilevel"/>
    <w:tmpl w:val="36908662"/>
    <w:lvl w:ilvl="0" w:tplc="D5FA90A2">
      <w:start w:val="1"/>
      <w:numFmt w:val="bullet"/>
      <w:lvlText w:val=""/>
      <w:lvlJc w:val="left"/>
      <w:pPr>
        <w:ind w:left="720" w:hanging="360"/>
      </w:pPr>
      <w:rPr>
        <w:rFonts w:ascii="Symbol" w:hAnsi="Symbol" w:hint="default"/>
      </w:rPr>
    </w:lvl>
    <w:lvl w:ilvl="1" w:tplc="276A52FE">
      <w:start w:val="1"/>
      <w:numFmt w:val="bullet"/>
      <w:lvlText w:val="o"/>
      <w:lvlJc w:val="left"/>
      <w:pPr>
        <w:ind w:left="1440" w:hanging="360"/>
      </w:pPr>
      <w:rPr>
        <w:rFonts w:ascii="Courier New" w:hAnsi="Courier New" w:hint="default"/>
      </w:rPr>
    </w:lvl>
    <w:lvl w:ilvl="2" w:tplc="4760C514">
      <w:start w:val="1"/>
      <w:numFmt w:val="bullet"/>
      <w:lvlText w:val=""/>
      <w:lvlJc w:val="left"/>
      <w:pPr>
        <w:ind w:left="2160" w:hanging="360"/>
      </w:pPr>
      <w:rPr>
        <w:rFonts w:ascii="Wingdings" w:hAnsi="Wingdings" w:hint="default"/>
      </w:rPr>
    </w:lvl>
    <w:lvl w:ilvl="3" w:tplc="0D0E41DE">
      <w:start w:val="1"/>
      <w:numFmt w:val="bullet"/>
      <w:lvlText w:val=""/>
      <w:lvlJc w:val="left"/>
      <w:pPr>
        <w:ind w:left="2880" w:hanging="360"/>
      </w:pPr>
      <w:rPr>
        <w:rFonts w:ascii="Symbol" w:hAnsi="Symbol" w:hint="default"/>
      </w:rPr>
    </w:lvl>
    <w:lvl w:ilvl="4" w:tplc="52063EC6">
      <w:start w:val="1"/>
      <w:numFmt w:val="bullet"/>
      <w:lvlText w:val="o"/>
      <w:lvlJc w:val="left"/>
      <w:pPr>
        <w:ind w:left="3600" w:hanging="360"/>
      </w:pPr>
      <w:rPr>
        <w:rFonts w:ascii="Courier New" w:hAnsi="Courier New" w:hint="default"/>
      </w:rPr>
    </w:lvl>
    <w:lvl w:ilvl="5" w:tplc="887C8C0C">
      <w:start w:val="1"/>
      <w:numFmt w:val="bullet"/>
      <w:lvlText w:val=""/>
      <w:lvlJc w:val="left"/>
      <w:pPr>
        <w:ind w:left="4320" w:hanging="360"/>
      </w:pPr>
      <w:rPr>
        <w:rFonts w:ascii="Wingdings" w:hAnsi="Wingdings" w:hint="default"/>
      </w:rPr>
    </w:lvl>
    <w:lvl w:ilvl="6" w:tplc="0AD62E08">
      <w:start w:val="1"/>
      <w:numFmt w:val="bullet"/>
      <w:lvlText w:val=""/>
      <w:lvlJc w:val="left"/>
      <w:pPr>
        <w:ind w:left="5040" w:hanging="360"/>
      </w:pPr>
      <w:rPr>
        <w:rFonts w:ascii="Symbol" w:hAnsi="Symbol" w:hint="default"/>
      </w:rPr>
    </w:lvl>
    <w:lvl w:ilvl="7" w:tplc="6602C2F6">
      <w:start w:val="1"/>
      <w:numFmt w:val="bullet"/>
      <w:lvlText w:val="o"/>
      <w:lvlJc w:val="left"/>
      <w:pPr>
        <w:ind w:left="5760" w:hanging="360"/>
      </w:pPr>
      <w:rPr>
        <w:rFonts w:ascii="Courier New" w:hAnsi="Courier New" w:hint="default"/>
      </w:rPr>
    </w:lvl>
    <w:lvl w:ilvl="8" w:tplc="D1B6C866">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07F83A-9885-45B9-8FA1-A5263DC0BB38}"/>
    <w:docVar w:name="dgnword-eventsink" w:val="436440896"/>
  </w:docVars>
  <w:rsids>
    <w:rsidRoot w:val="244114E5"/>
    <w:rsid w:val="00062F64"/>
    <w:rsid w:val="00090BEF"/>
    <w:rsid w:val="00093434"/>
    <w:rsid w:val="000C5A13"/>
    <w:rsid w:val="000E41CF"/>
    <w:rsid w:val="0011488B"/>
    <w:rsid w:val="00151104"/>
    <w:rsid w:val="00200DEF"/>
    <w:rsid w:val="002051CC"/>
    <w:rsid w:val="002D210F"/>
    <w:rsid w:val="002F3F5E"/>
    <w:rsid w:val="003005E2"/>
    <w:rsid w:val="00322090"/>
    <w:rsid w:val="00327A37"/>
    <w:rsid w:val="00357A8F"/>
    <w:rsid w:val="00374B3F"/>
    <w:rsid w:val="00380F18"/>
    <w:rsid w:val="00445C5A"/>
    <w:rsid w:val="004A7441"/>
    <w:rsid w:val="004D7BE2"/>
    <w:rsid w:val="004E7328"/>
    <w:rsid w:val="005548AA"/>
    <w:rsid w:val="005A6FEB"/>
    <w:rsid w:val="00607530"/>
    <w:rsid w:val="0069607B"/>
    <w:rsid w:val="006E2A7F"/>
    <w:rsid w:val="007346F8"/>
    <w:rsid w:val="00745A0B"/>
    <w:rsid w:val="0075764B"/>
    <w:rsid w:val="0076178A"/>
    <w:rsid w:val="00774FC9"/>
    <w:rsid w:val="00776907"/>
    <w:rsid w:val="007E1C78"/>
    <w:rsid w:val="00850A10"/>
    <w:rsid w:val="00893B7B"/>
    <w:rsid w:val="008D20D8"/>
    <w:rsid w:val="00930B5E"/>
    <w:rsid w:val="00941C81"/>
    <w:rsid w:val="00A02808"/>
    <w:rsid w:val="00A17B1C"/>
    <w:rsid w:val="00A28940"/>
    <w:rsid w:val="00A809D1"/>
    <w:rsid w:val="00AC494C"/>
    <w:rsid w:val="00AD6C27"/>
    <w:rsid w:val="00AF5360"/>
    <w:rsid w:val="00BB39B2"/>
    <w:rsid w:val="00BF54C1"/>
    <w:rsid w:val="00C32703"/>
    <w:rsid w:val="00C72490"/>
    <w:rsid w:val="00C843BE"/>
    <w:rsid w:val="00CC113C"/>
    <w:rsid w:val="00CC359F"/>
    <w:rsid w:val="00CE3841"/>
    <w:rsid w:val="00CE5BC5"/>
    <w:rsid w:val="00CE752B"/>
    <w:rsid w:val="00D219CF"/>
    <w:rsid w:val="00D768BC"/>
    <w:rsid w:val="00D87D48"/>
    <w:rsid w:val="00DE2A6E"/>
    <w:rsid w:val="00E947EA"/>
    <w:rsid w:val="00EB4E33"/>
    <w:rsid w:val="00EF1222"/>
    <w:rsid w:val="00F04F70"/>
    <w:rsid w:val="00F839A6"/>
    <w:rsid w:val="00F86646"/>
    <w:rsid w:val="00FE0E1B"/>
    <w:rsid w:val="00FE2517"/>
    <w:rsid w:val="03A07BE2"/>
    <w:rsid w:val="04F86030"/>
    <w:rsid w:val="054E8599"/>
    <w:rsid w:val="0555E709"/>
    <w:rsid w:val="05B3E5FB"/>
    <w:rsid w:val="05C03D6B"/>
    <w:rsid w:val="067FF637"/>
    <w:rsid w:val="07B6ECAE"/>
    <w:rsid w:val="0922DFFB"/>
    <w:rsid w:val="0A074F08"/>
    <w:rsid w:val="0B2566E2"/>
    <w:rsid w:val="0CEA9AA9"/>
    <w:rsid w:val="0CF4F37A"/>
    <w:rsid w:val="0DA92986"/>
    <w:rsid w:val="0E33E0B2"/>
    <w:rsid w:val="0E6975D3"/>
    <w:rsid w:val="11EE5EA9"/>
    <w:rsid w:val="14A0A0C8"/>
    <w:rsid w:val="14A48FE1"/>
    <w:rsid w:val="156A5D93"/>
    <w:rsid w:val="16EBF92E"/>
    <w:rsid w:val="1A1906DF"/>
    <w:rsid w:val="1B056180"/>
    <w:rsid w:val="1B5F82D9"/>
    <w:rsid w:val="1C07D786"/>
    <w:rsid w:val="1C209043"/>
    <w:rsid w:val="1CCD50C5"/>
    <w:rsid w:val="1E17FA76"/>
    <w:rsid w:val="1E1D2322"/>
    <w:rsid w:val="1E40B054"/>
    <w:rsid w:val="1FCB7E8B"/>
    <w:rsid w:val="2034DC45"/>
    <w:rsid w:val="211E1C6A"/>
    <w:rsid w:val="22137FA7"/>
    <w:rsid w:val="244114E5"/>
    <w:rsid w:val="249EEFAE"/>
    <w:rsid w:val="287A09E7"/>
    <w:rsid w:val="28999BF4"/>
    <w:rsid w:val="29386E79"/>
    <w:rsid w:val="29EFD4BC"/>
    <w:rsid w:val="2A7D6BC0"/>
    <w:rsid w:val="2BDE76C5"/>
    <w:rsid w:val="2C8F9BDF"/>
    <w:rsid w:val="2D2FF306"/>
    <w:rsid w:val="2D912666"/>
    <w:rsid w:val="2ECFD4B9"/>
    <w:rsid w:val="3178D5BE"/>
    <w:rsid w:val="323A5494"/>
    <w:rsid w:val="32520BAD"/>
    <w:rsid w:val="34E5DD20"/>
    <w:rsid w:val="35BA2E95"/>
    <w:rsid w:val="37AB24DF"/>
    <w:rsid w:val="382E77FF"/>
    <w:rsid w:val="3A461866"/>
    <w:rsid w:val="3A7A9DCC"/>
    <w:rsid w:val="3B077F30"/>
    <w:rsid w:val="3BBA90D9"/>
    <w:rsid w:val="3CD3D3E3"/>
    <w:rsid w:val="3DCDA4E2"/>
    <w:rsid w:val="3DE95866"/>
    <w:rsid w:val="3DFFBFB5"/>
    <w:rsid w:val="3FF60EF1"/>
    <w:rsid w:val="405521C0"/>
    <w:rsid w:val="41C601F9"/>
    <w:rsid w:val="4396B30A"/>
    <w:rsid w:val="43C4FA68"/>
    <w:rsid w:val="44DDD3E2"/>
    <w:rsid w:val="45E7325A"/>
    <w:rsid w:val="4650C7EB"/>
    <w:rsid w:val="47F625B7"/>
    <w:rsid w:val="48301AB9"/>
    <w:rsid w:val="491ED31C"/>
    <w:rsid w:val="492BEE80"/>
    <w:rsid w:val="493AD840"/>
    <w:rsid w:val="4ABF1679"/>
    <w:rsid w:val="4C194AB9"/>
    <w:rsid w:val="4D1A2C5F"/>
    <w:rsid w:val="4E178842"/>
    <w:rsid w:val="5109C58A"/>
    <w:rsid w:val="53737B74"/>
    <w:rsid w:val="542D3C5E"/>
    <w:rsid w:val="54F75DE1"/>
    <w:rsid w:val="55FC8BDB"/>
    <w:rsid w:val="56C42845"/>
    <w:rsid w:val="57B2BE21"/>
    <w:rsid w:val="583C5C2C"/>
    <w:rsid w:val="58917C04"/>
    <w:rsid w:val="5994E4C9"/>
    <w:rsid w:val="5A8DDA26"/>
    <w:rsid w:val="5AA4DB14"/>
    <w:rsid w:val="5CB02CD6"/>
    <w:rsid w:val="5CC1398F"/>
    <w:rsid w:val="6133692C"/>
    <w:rsid w:val="632A2C09"/>
    <w:rsid w:val="65072616"/>
    <w:rsid w:val="68005F0C"/>
    <w:rsid w:val="68CB0901"/>
    <w:rsid w:val="69D1A888"/>
    <w:rsid w:val="6BD6C2AC"/>
    <w:rsid w:val="6D0E29E9"/>
    <w:rsid w:val="6D884DDC"/>
    <w:rsid w:val="6E0F5C50"/>
    <w:rsid w:val="6E488D4B"/>
    <w:rsid w:val="6F2D1457"/>
    <w:rsid w:val="6FB23E14"/>
    <w:rsid w:val="72FBE974"/>
    <w:rsid w:val="735D601A"/>
    <w:rsid w:val="73D77A22"/>
    <w:rsid w:val="7436BD69"/>
    <w:rsid w:val="762723D1"/>
    <w:rsid w:val="763ADDE5"/>
    <w:rsid w:val="7682D0E6"/>
    <w:rsid w:val="7712373F"/>
    <w:rsid w:val="7774F526"/>
    <w:rsid w:val="799080AA"/>
    <w:rsid w:val="7A9938AB"/>
    <w:rsid w:val="7BDBBDA5"/>
    <w:rsid w:val="7D1C9FEA"/>
    <w:rsid w:val="7EF00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14E5"/>
  <w15:chartTrackingRefBased/>
  <w15:docId w15:val="{E4CBC7DC-AB92-4DB2-9D2B-7B382365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7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1C"/>
    <w:rPr>
      <w:rFonts w:ascii="Segoe UI" w:hAnsi="Segoe UI" w:cs="Segoe UI"/>
      <w:sz w:val="18"/>
      <w:szCs w:val="18"/>
    </w:rPr>
  </w:style>
  <w:style w:type="character" w:customStyle="1" w:styleId="normaltextrun">
    <w:name w:val="normaltextrun"/>
    <w:basedOn w:val="DefaultParagraphFont"/>
    <w:rsid w:val="0006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Jiang</dc:creator>
  <cp:keywords/>
  <dc:description/>
  <cp:lastModifiedBy>Long Jiang</cp:lastModifiedBy>
  <cp:revision>70</cp:revision>
  <dcterms:created xsi:type="dcterms:W3CDTF">2020-11-04T11:12:00Z</dcterms:created>
  <dcterms:modified xsi:type="dcterms:W3CDTF">2021-10-04T09:02:00Z</dcterms:modified>
</cp:coreProperties>
</file>