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298" w:type="dxa"/>
        <w:tblInd w:w="-5" w:type="dxa"/>
        <w:tblLayout w:type="fixed"/>
        <w:tblLook w:val="06A0" w:firstRow="1" w:lastRow="0" w:firstColumn="1" w:lastColumn="0" w:noHBand="1" w:noVBand="1"/>
      </w:tblPr>
      <w:tblGrid>
        <w:gridCol w:w="1998"/>
        <w:gridCol w:w="4665"/>
        <w:gridCol w:w="2551"/>
        <w:gridCol w:w="5084"/>
      </w:tblGrid>
      <w:tr w:rsidR="004E7328" w:rsidRPr="00B61DDD" w14:paraId="15C0DC9E" w14:textId="17B897FD" w:rsidTr="7752AF78">
        <w:trPr>
          <w:trHeight w:val="239"/>
        </w:trPr>
        <w:tc>
          <w:tcPr>
            <w:tcW w:w="1998" w:type="dxa"/>
          </w:tcPr>
          <w:p w14:paraId="24D8EE7A" w14:textId="192A3EA9" w:rsidR="004E7328" w:rsidRPr="00B61DDD" w:rsidRDefault="004E7328">
            <w:pPr>
              <w:rPr>
                <w:rFonts w:ascii="Verdana" w:hAnsi="Verdana"/>
                <w:b/>
                <w:bCs/>
              </w:rPr>
            </w:pPr>
            <w:r w:rsidRPr="00B61DDD">
              <w:rPr>
                <w:rFonts w:ascii="Verdana" w:eastAsia="Calibri" w:hAnsi="Verdana" w:cs="Calibri"/>
                <w:b/>
                <w:bCs/>
                <w:color w:val="000000" w:themeColor="text1"/>
              </w:rPr>
              <w:t>TT</w:t>
            </w:r>
          </w:p>
        </w:tc>
        <w:tc>
          <w:tcPr>
            <w:tcW w:w="4665" w:type="dxa"/>
          </w:tcPr>
          <w:p w14:paraId="14A7FA8A" w14:textId="13D06735" w:rsidR="004E7328" w:rsidRPr="00B61DDD" w:rsidRDefault="004E7328">
            <w:pPr>
              <w:rPr>
                <w:rFonts w:ascii="Verdana" w:hAnsi="Verdana"/>
                <w:b/>
                <w:bCs/>
              </w:rPr>
            </w:pPr>
            <w:proofErr w:type="spellStart"/>
            <w:r w:rsidRPr="00B61DDD">
              <w:rPr>
                <w:rFonts w:ascii="Verdana" w:eastAsia="Calibri" w:hAnsi="Verdana" w:cs="Calibri"/>
                <w:b/>
                <w:bCs/>
                <w:color w:val="000000" w:themeColor="text1"/>
              </w:rPr>
              <w:t>ToRs</w:t>
            </w:r>
            <w:proofErr w:type="spellEnd"/>
          </w:p>
        </w:tc>
        <w:tc>
          <w:tcPr>
            <w:tcW w:w="2551" w:type="dxa"/>
          </w:tcPr>
          <w:p w14:paraId="1B42E51F" w14:textId="7F42F6E4" w:rsidR="004E7328" w:rsidRPr="00B61DDD" w:rsidRDefault="004E7328">
            <w:pPr>
              <w:rPr>
                <w:rFonts w:ascii="Verdana" w:hAnsi="Verdana"/>
                <w:b/>
                <w:bCs/>
              </w:rPr>
            </w:pPr>
            <w:r w:rsidRPr="00B61DDD">
              <w:rPr>
                <w:rFonts w:ascii="Verdana" w:eastAsia="Calibri" w:hAnsi="Verdana" w:cs="Calibri"/>
                <w:b/>
                <w:bCs/>
                <w:color w:val="000000" w:themeColor="text1"/>
              </w:rPr>
              <w:t>Strategy Pillars</w:t>
            </w:r>
          </w:p>
        </w:tc>
        <w:tc>
          <w:tcPr>
            <w:tcW w:w="5084" w:type="dxa"/>
          </w:tcPr>
          <w:p w14:paraId="1FAB953C" w14:textId="49B3A793" w:rsidR="004E7328" w:rsidRPr="00B61DDD" w:rsidRDefault="00AD6C27">
            <w:pPr>
              <w:rPr>
                <w:rFonts w:ascii="Verdana" w:eastAsia="Calibri" w:hAnsi="Verdana" w:cs="Calibri"/>
                <w:b/>
                <w:bCs/>
                <w:color w:val="000000" w:themeColor="text1"/>
              </w:rPr>
            </w:pPr>
            <w:r w:rsidRPr="00B61DDD">
              <w:rPr>
                <w:rFonts w:ascii="Verdana" w:eastAsia="Calibri" w:hAnsi="Verdana" w:cs="Calibri"/>
                <w:b/>
                <w:bCs/>
                <w:color w:val="000000" w:themeColor="text1"/>
              </w:rPr>
              <w:t>Pillar Actions</w:t>
            </w:r>
          </w:p>
        </w:tc>
      </w:tr>
      <w:tr w:rsidR="004E7328" w:rsidRPr="00B61DDD" w14:paraId="499D5C30" w14:textId="4C3D89DE" w:rsidTr="7752AF78">
        <w:trPr>
          <w:trHeight w:val="7712"/>
        </w:trPr>
        <w:tc>
          <w:tcPr>
            <w:tcW w:w="1998" w:type="dxa"/>
          </w:tcPr>
          <w:p w14:paraId="7AE97A8A" w14:textId="010CA9E2" w:rsidR="004E7328" w:rsidRPr="00B61DDD" w:rsidRDefault="004E7328">
            <w:pPr>
              <w:rPr>
                <w:rFonts w:ascii="Verdana" w:hAnsi="Verdana"/>
                <w:b/>
                <w:bCs/>
              </w:rPr>
            </w:pPr>
            <w:r w:rsidRPr="00B61DDD">
              <w:rPr>
                <w:rFonts w:ascii="Verdana" w:eastAsia="Calibri" w:hAnsi="Verdana" w:cs="Calibri"/>
                <w:b/>
                <w:bCs/>
                <w:color w:val="000000" w:themeColor="text1"/>
              </w:rPr>
              <w:t>Moored Buoys</w:t>
            </w:r>
          </w:p>
        </w:tc>
        <w:tc>
          <w:tcPr>
            <w:tcW w:w="4665" w:type="dxa"/>
          </w:tcPr>
          <w:p w14:paraId="68F40C6D" w14:textId="4EA24F7E" w:rsidR="004E7328" w:rsidRPr="00B61DDD" w:rsidRDefault="004E7328" w:rsidP="7752AF78">
            <w:pPr>
              <w:rPr>
                <w:rFonts w:ascii="Verdana" w:eastAsia="Calibri" w:hAnsi="Verdana" w:cs="Calibri"/>
                <w:color w:val="000000" w:themeColor="text1"/>
              </w:rPr>
            </w:pPr>
            <w:r w:rsidRPr="00B61DDD">
              <w:rPr>
                <w:rFonts w:ascii="Verdana" w:eastAsia="Calibri" w:hAnsi="Verdana" w:cs="Calibri"/>
                <w:color w:val="000000" w:themeColor="text1"/>
              </w:rPr>
              <w:t>1. Review and document operational moored buoy systems and their underlying requirements;</w:t>
            </w:r>
            <w:r w:rsidRPr="00B61DDD">
              <w:rPr>
                <w:rFonts w:ascii="Verdana" w:hAnsi="Verdana"/>
              </w:rPr>
              <w:br/>
            </w:r>
            <w:r w:rsidRPr="00B61DDD">
              <w:rPr>
                <w:rFonts w:ascii="Verdana" w:eastAsia="Calibri" w:hAnsi="Verdana" w:cs="Calibri"/>
                <w:color w:val="000000" w:themeColor="text1"/>
              </w:rPr>
              <w:t xml:space="preserve"> 2. Liaise with the different communities deploying moorings, including TIP, OceanSITES, seabed observatories, as well as national moored buoy </w:t>
            </w:r>
            <w:proofErr w:type="spellStart"/>
            <w:r w:rsidRPr="00B61DDD">
              <w:rPr>
                <w:rFonts w:ascii="Verdana" w:eastAsia="Calibri" w:hAnsi="Verdana" w:cs="Calibri"/>
                <w:color w:val="000000" w:themeColor="text1"/>
              </w:rPr>
              <w:t>programmes</w:t>
            </w:r>
            <w:proofErr w:type="spellEnd"/>
            <w:r w:rsidRPr="00B61DDD">
              <w:rPr>
                <w:rFonts w:ascii="Verdana" w:eastAsia="Calibri" w:hAnsi="Verdana" w:cs="Calibri"/>
                <w:color w:val="000000" w:themeColor="text1"/>
              </w:rPr>
              <w:t xml:space="preserve"> (coastal and global), and promote the development of multi-disciplinary mooring systems;</w:t>
            </w:r>
            <w:r w:rsidRPr="00B61DDD">
              <w:rPr>
                <w:rFonts w:ascii="Verdana" w:hAnsi="Verdana"/>
              </w:rPr>
              <w:br/>
            </w:r>
            <w:r w:rsidRPr="00B61DDD">
              <w:rPr>
                <w:rFonts w:ascii="Verdana" w:eastAsia="Calibri" w:hAnsi="Verdana" w:cs="Calibri"/>
                <w:color w:val="000000" w:themeColor="text1"/>
              </w:rPr>
              <w:t xml:space="preserve"> 3. Liaise with the GOOS Steering Committee (GSC) and </w:t>
            </w:r>
            <w:proofErr w:type="gramStart"/>
            <w:r w:rsidRPr="00B61DDD">
              <w:rPr>
                <w:rFonts w:ascii="Verdana" w:eastAsia="Calibri" w:hAnsi="Verdana" w:cs="Calibri"/>
                <w:color w:val="000000" w:themeColor="text1"/>
              </w:rPr>
              <w:t>its  technical</w:t>
            </w:r>
            <w:proofErr w:type="gramEnd"/>
            <w:r w:rsidRPr="00B61DDD">
              <w:rPr>
                <w:rFonts w:ascii="Verdana" w:eastAsia="Calibri" w:hAnsi="Verdana" w:cs="Calibri"/>
                <w:color w:val="000000" w:themeColor="text1"/>
              </w:rPr>
              <w:t xml:space="preserve"> </w:t>
            </w:r>
            <w:r w:rsidR="00172CA6" w:rsidRPr="00B61DDD">
              <w:rPr>
                <w:rFonts w:ascii="Verdana" w:eastAsia="Calibri" w:hAnsi="Verdana" w:cs="Calibri"/>
                <w:color w:val="000000" w:themeColor="text1"/>
              </w:rPr>
              <w:t xml:space="preserve">panels </w:t>
            </w:r>
            <w:r w:rsidRPr="00B61DDD">
              <w:rPr>
                <w:rFonts w:ascii="Verdana" w:eastAsia="Calibri" w:hAnsi="Verdana" w:cs="Calibri"/>
                <w:color w:val="000000" w:themeColor="text1"/>
              </w:rPr>
              <w:t>to facilitate synergy between advances in GOOS implementation and the development of operational capabilities, in particular, for sustained coastal observations, analysis and related services by using mooring systems;</w:t>
            </w:r>
            <w:r w:rsidRPr="00B61DDD">
              <w:rPr>
                <w:rFonts w:ascii="Verdana" w:hAnsi="Verdana"/>
              </w:rPr>
              <w:br/>
            </w:r>
            <w:r w:rsidRPr="00B61DDD">
              <w:rPr>
                <w:rFonts w:ascii="Verdana" w:eastAsia="Calibri" w:hAnsi="Verdana" w:cs="Calibri"/>
                <w:color w:val="000000" w:themeColor="text1"/>
              </w:rPr>
              <w:t xml:space="preserve"> 4. Liaise with the   DBCP Task Team on Wave Measurements and other related expert groups of marine services</w:t>
            </w:r>
            <w:r w:rsidR="00CD2DA6" w:rsidRPr="00B61DDD">
              <w:rPr>
                <w:rFonts w:ascii="Verdana" w:eastAsia="Calibri" w:hAnsi="Verdana" w:cs="Calibri"/>
                <w:color w:val="000000" w:themeColor="text1"/>
              </w:rPr>
              <w:t>, such as ET-MOR,</w:t>
            </w:r>
            <w:r w:rsidRPr="00B61DDD">
              <w:rPr>
                <w:rFonts w:ascii="Verdana" w:eastAsia="Calibri" w:hAnsi="Verdana" w:cs="Calibri"/>
                <w:color w:val="000000" w:themeColor="text1"/>
              </w:rPr>
              <w:t xml:space="preserve"> regarding the need for in situ wave </w:t>
            </w:r>
            <w:proofErr w:type="gramStart"/>
            <w:r w:rsidRPr="00B61DDD">
              <w:rPr>
                <w:rFonts w:ascii="Verdana" w:eastAsia="Calibri" w:hAnsi="Verdana" w:cs="Calibri"/>
                <w:color w:val="000000" w:themeColor="text1"/>
              </w:rPr>
              <w:t>observations;</w:t>
            </w:r>
            <w:proofErr w:type="gramEnd"/>
          </w:p>
          <w:p w14:paraId="30029032" w14:textId="347E879E" w:rsidR="004E7328" w:rsidRPr="00B61DDD" w:rsidRDefault="0DF1ED42" w:rsidP="7752AF78">
            <w:pPr>
              <w:rPr>
                <w:rFonts w:ascii="Verdana" w:eastAsia="Calibri" w:hAnsi="Verdana" w:cs="Calibri"/>
                <w:color w:val="000000" w:themeColor="text1"/>
              </w:rPr>
            </w:pPr>
            <w:r w:rsidRPr="00B61DDD">
              <w:rPr>
                <w:rFonts w:ascii="Verdana" w:hAnsi="Verdana"/>
              </w:rPr>
              <w:t xml:space="preserve">5. Liaise with the DBCP Task Team on </w:t>
            </w:r>
            <w:r w:rsidR="619EDB71" w:rsidRPr="00B61DDD">
              <w:rPr>
                <w:rFonts w:ascii="Verdana" w:hAnsi="Verdana"/>
              </w:rPr>
              <w:t xml:space="preserve">Data </w:t>
            </w:r>
            <w:proofErr w:type="spellStart"/>
            <w:r w:rsidR="619EDB71" w:rsidRPr="00B61DDD">
              <w:rPr>
                <w:rFonts w:ascii="Verdana" w:hAnsi="Verdana"/>
              </w:rPr>
              <w:t>Managementand</w:t>
            </w:r>
            <w:proofErr w:type="spellEnd"/>
            <w:r w:rsidR="619EDB71" w:rsidRPr="00B61DDD">
              <w:rPr>
                <w:rFonts w:ascii="Verdana" w:hAnsi="Verdana"/>
              </w:rPr>
              <w:t xml:space="preserve"> other related expert groups regarding establishing and maintaining data </w:t>
            </w:r>
            <w:r w:rsidR="00241941" w:rsidRPr="00B61DDD">
              <w:rPr>
                <w:rFonts w:ascii="Verdana" w:hAnsi="Verdana"/>
              </w:rPr>
              <w:t xml:space="preserve">and metadata </w:t>
            </w:r>
            <w:r w:rsidR="619EDB71" w:rsidRPr="00B61DDD">
              <w:rPr>
                <w:rFonts w:ascii="Verdana" w:hAnsi="Verdana"/>
              </w:rPr>
              <w:t>standard</w:t>
            </w:r>
            <w:r w:rsidR="3E1ADD6F" w:rsidRPr="00B61DDD">
              <w:rPr>
                <w:rFonts w:ascii="Verdana" w:hAnsi="Verdana"/>
              </w:rPr>
              <w:t xml:space="preserve">s to meet user </w:t>
            </w:r>
            <w:proofErr w:type="gramStart"/>
            <w:r w:rsidR="3E1ADD6F" w:rsidRPr="00B61DDD">
              <w:rPr>
                <w:rFonts w:ascii="Verdana" w:hAnsi="Verdana"/>
              </w:rPr>
              <w:t>requirements;</w:t>
            </w:r>
            <w:proofErr w:type="gramEnd"/>
          </w:p>
          <w:p w14:paraId="2C71D36E" w14:textId="3A266556" w:rsidR="004E7328" w:rsidRPr="00B61DDD" w:rsidRDefault="3E1ADD6F" w:rsidP="7752AF78">
            <w:pPr>
              <w:rPr>
                <w:rFonts w:ascii="Verdana" w:eastAsia="Calibri" w:hAnsi="Verdana" w:cs="Calibri"/>
                <w:color w:val="000000" w:themeColor="text1"/>
              </w:rPr>
            </w:pPr>
            <w:r w:rsidRPr="00B61DDD">
              <w:rPr>
                <w:rFonts w:ascii="Verdana" w:hAnsi="Verdana"/>
              </w:rPr>
              <w:t xml:space="preserve">6. Liaise with the DBCP Task Team on Environmental Stewardship to promote technologies and practices that </w:t>
            </w:r>
            <w:r w:rsidR="59570F76" w:rsidRPr="00B61DDD">
              <w:rPr>
                <w:rFonts w:ascii="Verdana" w:hAnsi="Verdana"/>
              </w:rPr>
              <w:t xml:space="preserve">reduce the environmental impact of moored </w:t>
            </w:r>
            <w:r w:rsidR="59570F76" w:rsidRPr="00B61DDD">
              <w:rPr>
                <w:rFonts w:ascii="Verdana" w:hAnsi="Verdana"/>
              </w:rPr>
              <w:lastRenderedPageBreak/>
              <w:t>buoy operations;</w:t>
            </w:r>
            <w:r w:rsidR="004E7328" w:rsidRPr="00B61DDD">
              <w:rPr>
                <w:rFonts w:ascii="Verdana" w:hAnsi="Verdana"/>
              </w:rPr>
              <w:br/>
            </w:r>
            <w:r w:rsidR="28F299AC" w:rsidRPr="00B61DDD">
              <w:rPr>
                <w:rFonts w:ascii="Verdana" w:eastAsia="Calibri" w:hAnsi="Verdana" w:cs="Calibri"/>
                <w:color w:val="000000" w:themeColor="text1"/>
              </w:rPr>
              <w:t xml:space="preserve"> </w:t>
            </w:r>
            <w:r w:rsidR="6707EBD1" w:rsidRPr="00B61DDD">
              <w:rPr>
                <w:rFonts w:ascii="Verdana" w:eastAsia="Calibri" w:hAnsi="Verdana" w:cs="Calibri"/>
                <w:color w:val="000000" w:themeColor="text1"/>
              </w:rPr>
              <w:t>7</w:t>
            </w:r>
            <w:r w:rsidR="28F299AC" w:rsidRPr="00B61DDD">
              <w:rPr>
                <w:rFonts w:ascii="Verdana" w:eastAsia="Calibri" w:hAnsi="Verdana" w:cs="Calibri"/>
                <w:color w:val="000000" w:themeColor="text1"/>
              </w:rPr>
              <w:t>.</w:t>
            </w:r>
            <w:r w:rsidR="004E7328" w:rsidRPr="00B61DDD">
              <w:rPr>
                <w:rFonts w:ascii="Verdana" w:eastAsia="Calibri" w:hAnsi="Verdana" w:cs="Calibri"/>
                <w:color w:val="000000" w:themeColor="text1"/>
              </w:rPr>
              <w:t xml:space="preserve"> Compile information on opportunities for the deployment and / or servicing of moored </w:t>
            </w:r>
            <w:proofErr w:type="gramStart"/>
            <w:r w:rsidR="004E7328" w:rsidRPr="00B61DDD">
              <w:rPr>
                <w:rFonts w:ascii="Verdana" w:eastAsia="Calibri" w:hAnsi="Verdana" w:cs="Calibri"/>
                <w:color w:val="000000" w:themeColor="text1"/>
              </w:rPr>
              <w:t>buoys;</w:t>
            </w:r>
            <w:proofErr w:type="gramEnd"/>
          </w:p>
          <w:p w14:paraId="504C843C" w14:textId="35BBD460" w:rsidR="004E7328" w:rsidRPr="00B61DDD" w:rsidRDefault="4A40287F" w:rsidP="211E1C6A">
            <w:pPr>
              <w:rPr>
                <w:rFonts w:ascii="Verdana" w:eastAsia="Calibri" w:hAnsi="Verdana" w:cs="Calibri"/>
                <w:color w:val="000000" w:themeColor="text1"/>
              </w:rPr>
            </w:pPr>
            <w:r w:rsidRPr="00B61DDD">
              <w:rPr>
                <w:rFonts w:ascii="Verdana" w:hAnsi="Verdana"/>
              </w:rPr>
              <w:t xml:space="preserve">8. Maintain a list of points of contact for </w:t>
            </w:r>
            <w:r w:rsidR="442C8B7B" w:rsidRPr="00B61DDD">
              <w:rPr>
                <w:rFonts w:ascii="Verdana" w:hAnsi="Verdana"/>
              </w:rPr>
              <w:t>moored buoy operators to serve as a</w:t>
            </w:r>
            <w:r w:rsidR="2D11C31D" w:rsidRPr="00B61DDD">
              <w:rPr>
                <w:rFonts w:ascii="Verdana" w:hAnsi="Verdana"/>
              </w:rPr>
              <w:t xml:space="preserve"> </w:t>
            </w:r>
            <w:r w:rsidR="442C8B7B" w:rsidRPr="00B61DDD">
              <w:rPr>
                <w:rFonts w:ascii="Verdana" w:hAnsi="Verdana"/>
              </w:rPr>
              <w:t xml:space="preserve">network </w:t>
            </w:r>
            <w:r w:rsidR="00983CD4" w:rsidRPr="00B61DDD">
              <w:rPr>
                <w:rFonts w:ascii="Verdana" w:hAnsi="Verdana"/>
              </w:rPr>
              <w:t>to facilitate</w:t>
            </w:r>
            <w:r w:rsidR="23A72076" w:rsidRPr="00B61DDD">
              <w:rPr>
                <w:rFonts w:ascii="Verdana" w:hAnsi="Verdana"/>
              </w:rPr>
              <w:t xml:space="preserve"> international cooperation and</w:t>
            </w:r>
            <w:r w:rsidR="00983CD4" w:rsidRPr="00B61DDD">
              <w:rPr>
                <w:rFonts w:ascii="Verdana" w:hAnsi="Verdana"/>
              </w:rPr>
              <w:t xml:space="preserve"> </w:t>
            </w:r>
            <w:r w:rsidR="4E4382A6" w:rsidRPr="00B61DDD">
              <w:rPr>
                <w:rFonts w:ascii="Verdana" w:hAnsi="Verdana"/>
              </w:rPr>
              <w:t xml:space="preserve">communication of </w:t>
            </w:r>
            <w:r w:rsidR="451F8647" w:rsidRPr="00B61DDD">
              <w:rPr>
                <w:rFonts w:ascii="Verdana" w:hAnsi="Verdana"/>
              </w:rPr>
              <w:t>significant</w:t>
            </w:r>
            <w:r w:rsidR="7C73D369" w:rsidRPr="00B61DDD">
              <w:rPr>
                <w:rFonts w:ascii="Verdana" w:hAnsi="Verdana"/>
              </w:rPr>
              <w:t xml:space="preserve"> relevant information</w:t>
            </w:r>
            <w:r w:rsidR="451F8647" w:rsidRPr="00B61DDD">
              <w:rPr>
                <w:rFonts w:ascii="Verdana" w:hAnsi="Verdana"/>
              </w:rPr>
              <w:t xml:space="preserve"> to operational moored buoy programs</w:t>
            </w:r>
            <w:r w:rsidR="4D6376DC" w:rsidRPr="00B61DDD">
              <w:rPr>
                <w:rFonts w:ascii="Verdana" w:hAnsi="Verdana"/>
              </w:rPr>
              <w:t xml:space="preserve"> and requests for </w:t>
            </w:r>
            <w:r w:rsidR="00983CD4" w:rsidRPr="00B61DDD">
              <w:rPr>
                <w:rFonts w:ascii="Verdana" w:hAnsi="Verdana"/>
              </w:rPr>
              <w:t xml:space="preserve">emergency ship </w:t>
            </w:r>
            <w:r w:rsidR="24B9D637" w:rsidRPr="00B61DDD">
              <w:rPr>
                <w:rFonts w:ascii="Verdana" w:hAnsi="Verdana"/>
              </w:rPr>
              <w:t xml:space="preserve">operations </w:t>
            </w:r>
            <w:r w:rsidR="4D1901AD" w:rsidRPr="00B61DDD">
              <w:rPr>
                <w:rFonts w:ascii="Verdana" w:hAnsi="Verdana"/>
              </w:rPr>
              <w:t xml:space="preserve">such as </w:t>
            </w:r>
            <w:r w:rsidR="00983CD4" w:rsidRPr="00B61DDD">
              <w:rPr>
                <w:rFonts w:ascii="Verdana" w:hAnsi="Verdana"/>
              </w:rPr>
              <w:t xml:space="preserve">recovery </w:t>
            </w:r>
            <w:r w:rsidR="063B53B4" w:rsidRPr="00B61DDD">
              <w:rPr>
                <w:rFonts w:ascii="Verdana" w:hAnsi="Verdana"/>
              </w:rPr>
              <w:t>of driftin</w:t>
            </w:r>
            <w:r w:rsidR="18B7D04C" w:rsidRPr="00B61DDD">
              <w:rPr>
                <w:rFonts w:ascii="Verdana" w:hAnsi="Verdana"/>
              </w:rPr>
              <w:t>g moorings</w:t>
            </w:r>
            <w:r w:rsidR="552668A7" w:rsidRPr="00B61DDD">
              <w:rPr>
                <w:rFonts w:ascii="Verdana" w:hAnsi="Verdana"/>
              </w:rPr>
              <w:t>;</w:t>
            </w:r>
            <w:r w:rsidR="004E7328" w:rsidRPr="00B61DDD">
              <w:rPr>
                <w:rFonts w:ascii="Verdana" w:hAnsi="Verdana"/>
              </w:rPr>
              <w:br/>
            </w:r>
            <w:r w:rsidR="28F299AC" w:rsidRPr="00B61DDD">
              <w:rPr>
                <w:rFonts w:ascii="Verdana" w:eastAsia="Calibri" w:hAnsi="Verdana" w:cs="Calibri"/>
                <w:color w:val="000000" w:themeColor="text1"/>
              </w:rPr>
              <w:t xml:space="preserve"> </w:t>
            </w:r>
            <w:r w:rsidR="005E20A1" w:rsidRPr="00B61DDD">
              <w:rPr>
                <w:rFonts w:ascii="Verdana" w:eastAsia="Calibri" w:hAnsi="Verdana" w:cs="Calibri"/>
                <w:color w:val="000000" w:themeColor="text1"/>
              </w:rPr>
              <w:t>9</w:t>
            </w:r>
            <w:r w:rsidR="28F299AC" w:rsidRPr="00B61DDD">
              <w:rPr>
                <w:rFonts w:ascii="Verdana" w:eastAsia="Calibri" w:hAnsi="Verdana" w:cs="Calibri"/>
                <w:color w:val="000000" w:themeColor="text1"/>
              </w:rPr>
              <w:t>.</w:t>
            </w:r>
            <w:r w:rsidR="004E7328" w:rsidRPr="00B61DDD">
              <w:rPr>
                <w:rFonts w:ascii="Verdana" w:eastAsia="Calibri" w:hAnsi="Verdana" w:cs="Calibri"/>
                <w:color w:val="000000" w:themeColor="text1"/>
              </w:rPr>
              <w:t xml:space="preserve"> Monitor technological developments for moored data buoys </w:t>
            </w:r>
            <w:r w:rsidR="007937CE" w:rsidRPr="00B61DDD">
              <w:rPr>
                <w:rFonts w:ascii="Verdana" w:eastAsia="Calibri" w:hAnsi="Verdana" w:cs="Calibri"/>
                <w:color w:val="000000" w:themeColor="text1"/>
              </w:rPr>
              <w:t>d</w:t>
            </w:r>
            <w:r w:rsidR="004E7328" w:rsidRPr="00B61DDD">
              <w:rPr>
                <w:rFonts w:ascii="Verdana" w:eastAsia="Calibri" w:hAnsi="Verdana" w:cs="Calibri"/>
                <w:color w:val="000000" w:themeColor="text1"/>
              </w:rPr>
              <w:t>evelopments;</w:t>
            </w:r>
            <w:r w:rsidR="004E7328" w:rsidRPr="00B61DDD">
              <w:rPr>
                <w:rFonts w:ascii="Verdana" w:hAnsi="Verdana"/>
              </w:rPr>
              <w:br/>
            </w:r>
            <w:r w:rsidR="004E7328" w:rsidRPr="00B61DDD">
              <w:rPr>
                <w:rFonts w:ascii="Verdana" w:eastAsia="Calibri" w:hAnsi="Verdana" w:cs="Calibri"/>
                <w:color w:val="000000" w:themeColor="text1"/>
              </w:rPr>
              <w:t xml:space="preserve"> </w:t>
            </w:r>
            <w:r w:rsidR="005E20A1" w:rsidRPr="00B61DDD">
              <w:rPr>
                <w:rFonts w:ascii="Verdana" w:eastAsia="Calibri" w:hAnsi="Verdana" w:cs="Calibri"/>
                <w:color w:val="000000" w:themeColor="text1"/>
              </w:rPr>
              <w:t>10</w:t>
            </w:r>
            <w:r w:rsidR="004E7328" w:rsidRPr="00B61DDD">
              <w:rPr>
                <w:rFonts w:ascii="Verdana" w:eastAsia="Calibri" w:hAnsi="Verdana" w:cs="Calibri"/>
                <w:color w:val="000000" w:themeColor="text1"/>
              </w:rPr>
              <w:t>. Review all relevant WMO and IOC Publications on Instrument Best Practices (e.g., INFCOM) to make sure they are kept up to date, address WIGOS issues, and comply with Quality Management terminology;</w:t>
            </w:r>
            <w:r w:rsidR="004E7328" w:rsidRPr="00B61DDD">
              <w:rPr>
                <w:rFonts w:ascii="Verdana" w:hAnsi="Verdana"/>
              </w:rPr>
              <w:br/>
            </w:r>
            <w:r w:rsidR="004E7328" w:rsidRPr="00B61DDD">
              <w:rPr>
                <w:rFonts w:ascii="Verdana" w:eastAsia="Calibri" w:hAnsi="Verdana" w:cs="Calibri"/>
                <w:color w:val="000000" w:themeColor="text1"/>
              </w:rPr>
              <w:t xml:space="preserve"> </w:t>
            </w:r>
            <w:r w:rsidR="06F90E32" w:rsidRPr="00B61DDD">
              <w:rPr>
                <w:rFonts w:ascii="Verdana" w:eastAsia="Calibri" w:hAnsi="Verdana" w:cs="Calibri"/>
                <w:color w:val="000000" w:themeColor="text1"/>
              </w:rPr>
              <w:t>1</w:t>
            </w:r>
            <w:r w:rsidR="005E20A1" w:rsidRPr="00B61DDD">
              <w:rPr>
                <w:rFonts w:ascii="Verdana" w:eastAsia="Calibri" w:hAnsi="Verdana" w:cs="Calibri"/>
                <w:color w:val="000000" w:themeColor="text1"/>
              </w:rPr>
              <w:t>1</w:t>
            </w:r>
            <w:r w:rsidR="004E7328" w:rsidRPr="00B61DDD">
              <w:rPr>
                <w:rFonts w:ascii="Verdana" w:eastAsia="Calibri" w:hAnsi="Verdana" w:cs="Calibri"/>
                <w:color w:val="000000" w:themeColor="text1"/>
              </w:rPr>
              <w:t xml:space="preserve">. Provide the DBCP Executive Board or the DBCP with technical advice needed for developing moored buoy </w:t>
            </w:r>
            <w:proofErr w:type="spellStart"/>
            <w:r w:rsidR="004E7328" w:rsidRPr="00B61DDD">
              <w:rPr>
                <w:rFonts w:ascii="Verdana" w:eastAsia="Calibri" w:hAnsi="Verdana" w:cs="Calibri"/>
                <w:color w:val="000000" w:themeColor="text1"/>
              </w:rPr>
              <w:t>programmes</w:t>
            </w:r>
            <w:proofErr w:type="spellEnd"/>
            <w:r w:rsidR="004E7328" w:rsidRPr="00B61DDD">
              <w:rPr>
                <w:rFonts w:ascii="Verdana" w:eastAsia="Calibri" w:hAnsi="Verdana" w:cs="Calibri"/>
                <w:color w:val="000000" w:themeColor="text1"/>
              </w:rPr>
              <w:t>, including the issues above; and</w:t>
            </w:r>
            <w:r w:rsidR="004E7328" w:rsidRPr="00B61DDD">
              <w:rPr>
                <w:rFonts w:ascii="Verdana" w:hAnsi="Verdana"/>
              </w:rPr>
              <w:br/>
            </w:r>
            <w:r w:rsidR="004E7328" w:rsidRPr="00B61DDD">
              <w:rPr>
                <w:rFonts w:ascii="Verdana" w:eastAsia="Calibri" w:hAnsi="Verdana" w:cs="Calibri"/>
                <w:color w:val="000000" w:themeColor="text1"/>
              </w:rPr>
              <w:t xml:space="preserve"> </w:t>
            </w:r>
            <w:r w:rsidR="4D72A811" w:rsidRPr="00B61DDD">
              <w:rPr>
                <w:rFonts w:ascii="Verdana" w:eastAsia="Calibri" w:hAnsi="Verdana" w:cs="Calibri"/>
                <w:color w:val="000000" w:themeColor="text1"/>
              </w:rPr>
              <w:t>1</w:t>
            </w:r>
            <w:r w:rsidR="005E20A1" w:rsidRPr="00B61DDD">
              <w:rPr>
                <w:rFonts w:ascii="Verdana" w:eastAsia="Calibri" w:hAnsi="Verdana" w:cs="Calibri"/>
                <w:color w:val="000000" w:themeColor="text1"/>
              </w:rPr>
              <w:t>2</w:t>
            </w:r>
            <w:r w:rsidR="004E7328" w:rsidRPr="00B61DDD">
              <w:rPr>
                <w:rFonts w:ascii="Verdana" w:eastAsia="Calibri" w:hAnsi="Verdana" w:cs="Calibri"/>
                <w:color w:val="000000" w:themeColor="text1"/>
              </w:rPr>
              <w:t>. Report to the DBCP Executive Board and the DBCP at its annual Sessions, with periodically updated Workplans supporting implementation.</w:t>
            </w:r>
          </w:p>
          <w:p w14:paraId="3332ADC5" w14:textId="057CCEF8" w:rsidR="009851B1" w:rsidRPr="00B61DDD" w:rsidRDefault="324F28FF" w:rsidP="211E1C6A">
            <w:pPr>
              <w:rPr>
                <w:rFonts w:ascii="Verdana" w:eastAsia="Calibri" w:hAnsi="Verdana" w:cs="Calibri"/>
                <w:color w:val="000000" w:themeColor="text1"/>
              </w:rPr>
            </w:pPr>
            <w:r w:rsidRPr="00B61DDD">
              <w:rPr>
                <w:rFonts w:ascii="Verdana" w:eastAsia="Calibri" w:hAnsi="Verdana" w:cs="Calibri"/>
                <w:color w:val="000000" w:themeColor="text1"/>
              </w:rPr>
              <w:t>1</w:t>
            </w:r>
            <w:r w:rsidR="005E20A1" w:rsidRPr="00B61DDD">
              <w:rPr>
                <w:rFonts w:ascii="Verdana" w:eastAsia="Calibri" w:hAnsi="Verdana" w:cs="Calibri"/>
                <w:color w:val="000000" w:themeColor="text1"/>
              </w:rPr>
              <w:t>3</w:t>
            </w:r>
            <w:r w:rsidR="009851B1" w:rsidRPr="00B61DDD">
              <w:rPr>
                <w:rFonts w:ascii="Verdana" w:eastAsia="Calibri" w:hAnsi="Verdana" w:cs="Calibri"/>
                <w:color w:val="000000" w:themeColor="text1"/>
              </w:rPr>
              <w:t xml:space="preserve">. Propose to the DBCP and its Executive Board any evaluation activities and pilot projects that it deems beneficial to </w:t>
            </w:r>
            <w:r w:rsidR="00E86348" w:rsidRPr="00B61DDD">
              <w:rPr>
                <w:rFonts w:ascii="Verdana" w:eastAsia="Calibri" w:hAnsi="Verdana" w:cs="Calibri"/>
                <w:color w:val="000000" w:themeColor="text1"/>
              </w:rPr>
              <w:t xml:space="preserve">moored </w:t>
            </w:r>
            <w:r w:rsidR="009851B1" w:rsidRPr="00B61DDD">
              <w:rPr>
                <w:rFonts w:ascii="Verdana" w:eastAsia="Calibri" w:hAnsi="Verdana" w:cs="Calibri"/>
                <w:color w:val="000000" w:themeColor="text1"/>
              </w:rPr>
              <w:t>buoy operators</w:t>
            </w:r>
          </w:p>
        </w:tc>
        <w:tc>
          <w:tcPr>
            <w:tcW w:w="2551" w:type="dxa"/>
          </w:tcPr>
          <w:p w14:paraId="3148B67A" w14:textId="77777777" w:rsidR="004E7328" w:rsidRPr="00B61DDD" w:rsidRDefault="004E7328" w:rsidP="00F839A6">
            <w:pPr>
              <w:rPr>
                <w:rFonts w:ascii="Verdana" w:hAnsi="Verdana"/>
              </w:rPr>
            </w:pPr>
            <w:r w:rsidRPr="00B61DDD">
              <w:rPr>
                <w:rFonts w:ascii="Verdana" w:hAnsi="Verdana"/>
              </w:rPr>
              <w:lastRenderedPageBreak/>
              <w:t>1. Impact and value</w:t>
            </w:r>
          </w:p>
          <w:p w14:paraId="4D8D3A2A" w14:textId="77777777" w:rsidR="004E7328" w:rsidRPr="00B61DDD" w:rsidRDefault="004E7328" w:rsidP="00F839A6">
            <w:pPr>
              <w:rPr>
                <w:rFonts w:ascii="Verdana" w:hAnsi="Verdana"/>
              </w:rPr>
            </w:pPr>
            <w:r w:rsidRPr="00B61DDD">
              <w:rPr>
                <w:rFonts w:ascii="Verdana" w:hAnsi="Verdana"/>
              </w:rPr>
              <w:t xml:space="preserve">2. Scientific and operational excellence </w:t>
            </w:r>
          </w:p>
          <w:p w14:paraId="7CD20F48" w14:textId="06C72926" w:rsidR="004E7328" w:rsidRPr="00B61DDD" w:rsidRDefault="004E7328" w:rsidP="28999BF4">
            <w:pPr>
              <w:rPr>
                <w:rFonts w:ascii="Verdana" w:hAnsi="Verdana"/>
              </w:rPr>
            </w:pPr>
            <w:r w:rsidRPr="00B61DDD">
              <w:rPr>
                <w:rFonts w:ascii="Verdana" w:hAnsi="Verdana"/>
              </w:rPr>
              <w:t>3. Technology innovation</w:t>
            </w:r>
          </w:p>
          <w:p w14:paraId="44CBD01A" w14:textId="2E0366E5" w:rsidR="004E7328" w:rsidRPr="00B61DDD" w:rsidRDefault="004E7328" w:rsidP="28999BF4">
            <w:pPr>
              <w:rPr>
                <w:rFonts w:ascii="Verdana" w:hAnsi="Verdana"/>
              </w:rPr>
            </w:pPr>
            <w:r w:rsidRPr="00B61DDD">
              <w:rPr>
                <w:rFonts w:ascii="Verdana" w:hAnsi="Verdana"/>
              </w:rPr>
              <w:t>4. Environmental protection</w:t>
            </w:r>
          </w:p>
          <w:p w14:paraId="6363A3BA" w14:textId="3B4D20E1" w:rsidR="004E7328" w:rsidRPr="00B61DDD" w:rsidRDefault="004E7328" w:rsidP="28999BF4">
            <w:pPr>
              <w:rPr>
                <w:rFonts w:ascii="Verdana" w:hAnsi="Verdana"/>
              </w:rPr>
            </w:pPr>
            <w:r w:rsidRPr="00B61DDD">
              <w:rPr>
                <w:rFonts w:ascii="Verdana" w:hAnsi="Verdana"/>
              </w:rPr>
              <w:t>5. International cooperation and partnerships</w:t>
            </w:r>
          </w:p>
          <w:p w14:paraId="5FBD9670" w14:textId="42704B07" w:rsidR="004E7328" w:rsidRPr="00B61DDD" w:rsidRDefault="004E7328" w:rsidP="28999BF4">
            <w:pPr>
              <w:rPr>
                <w:rFonts w:ascii="Verdana" w:hAnsi="Verdana"/>
              </w:rPr>
            </w:pPr>
            <w:r w:rsidRPr="00B61DDD">
              <w:rPr>
                <w:rFonts w:ascii="Verdana" w:hAnsi="Verdana"/>
              </w:rPr>
              <w:t>6 Diversity and inclusivity</w:t>
            </w:r>
          </w:p>
        </w:tc>
        <w:tc>
          <w:tcPr>
            <w:tcW w:w="5084" w:type="dxa"/>
          </w:tcPr>
          <w:p w14:paraId="747DCC47" w14:textId="77777777" w:rsidR="005A6FEB" w:rsidRPr="00B61DDD" w:rsidRDefault="005A6FEB" w:rsidP="005A6FEB">
            <w:pPr>
              <w:rPr>
                <w:rFonts w:ascii="Verdana" w:hAnsi="Verdana"/>
              </w:rPr>
            </w:pPr>
            <w:r w:rsidRPr="00B61DDD">
              <w:rPr>
                <w:rFonts w:ascii="Verdana" w:hAnsi="Verdana"/>
              </w:rPr>
              <w:t xml:space="preserve">1.3 Promote the use of data from ocean buoys among DBCP members, </w:t>
            </w:r>
            <w:proofErr w:type="gramStart"/>
            <w:r w:rsidRPr="00B61DDD">
              <w:rPr>
                <w:rFonts w:ascii="Verdana" w:hAnsi="Verdana"/>
              </w:rPr>
              <w:t>partners</w:t>
            </w:r>
            <w:proofErr w:type="gramEnd"/>
            <w:r w:rsidRPr="00B61DDD">
              <w:rPr>
                <w:rFonts w:ascii="Verdana" w:hAnsi="Verdana"/>
              </w:rPr>
              <w:t xml:space="preserve"> and other users for scientific research into air-sea interaction, ocean circulation, extreme events, and climate, ocean, weather and earth system prediction. </w:t>
            </w:r>
          </w:p>
          <w:p w14:paraId="13F39509" w14:textId="77777777" w:rsidR="004E7328" w:rsidRPr="00B61DDD" w:rsidRDefault="005A6FEB" w:rsidP="00F839A6">
            <w:pPr>
              <w:rPr>
                <w:rFonts w:ascii="Verdana" w:hAnsi="Verdana"/>
              </w:rPr>
            </w:pPr>
            <w:r w:rsidRPr="00B61DDD">
              <w:rPr>
                <w:rFonts w:ascii="Verdana" w:hAnsi="Verdana"/>
              </w:rPr>
              <w:t>1.6 Derive and report on metrics and key performance indicators based on user impact and value, in partnership with other global ocean observing networks and through WMO and GOOS processes.</w:t>
            </w:r>
          </w:p>
          <w:p w14:paraId="11D4470C" w14:textId="79E1D670" w:rsidR="00093434" w:rsidRPr="00B61DDD" w:rsidRDefault="005A6FEB" w:rsidP="00093434">
            <w:pPr>
              <w:pStyle w:val="CommentText"/>
              <w:rPr>
                <w:rFonts w:ascii="Verdana" w:hAnsi="Verdana"/>
                <w:sz w:val="22"/>
                <w:szCs w:val="22"/>
              </w:rPr>
            </w:pPr>
            <w:r w:rsidRPr="00B61DDD">
              <w:rPr>
                <w:rFonts w:ascii="Verdana" w:hAnsi="Verdana"/>
                <w:sz w:val="22"/>
                <w:szCs w:val="22"/>
              </w:rPr>
              <w:t>1.8 Follow and promote international data-sharing practices consistent with WMO and IOC data principles to make our data freely available to maximize impact and value for our users.</w:t>
            </w:r>
            <w:r w:rsidR="00CC113C" w:rsidRPr="00B61DDD">
              <w:rPr>
                <w:rFonts w:ascii="Verdana" w:hAnsi="Verdana"/>
                <w:sz w:val="22"/>
                <w:szCs w:val="22"/>
              </w:rPr>
              <w:t xml:space="preserve"> </w:t>
            </w:r>
            <w:r w:rsidR="00093434" w:rsidRPr="00B61DDD">
              <w:rPr>
                <w:rFonts w:ascii="Verdana" w:hAnsi="Verdana"/>
                <w:sz w:val="22"/>
                <w:szCs w:val="22"/>
              </w:rPr>
              <w:t xml:space="preserve">in coordination with other global ocean observing networks to enhance clarity, </w:t>
            </w:r>
            <w:proofErr w:type="gramStart"/>
            <w:r w:rsidR="00093434" w:rsidRPr="00B61DDD">
              <w:rPr>
                <w:rFonts w:ascii="Verdana" w:hAnsi="Verdana"/>
                <w:sz w:val="22"/>
                <w:szCs w:val="22"/>
              </w:rPr>
              <w:t>transparency</w:t>
            </w:r>
            <w:proofErr w:type="gramEnd"/>
            <w:r w:rsidR="00093434" w:rsidRPr="00B61DDD">
              <w:rPr>
                <w:rFonts w:ascii="Verdana" w:hAnsi="Verdana"/>
                <w:sz w:val="22"/>
                <w:szCs w:val="22"/>
              </w:rPr>
              <w:t xml:space="preserve"> and efficiency in the use of data, metadata, </w:t>
            </w:r>
            <w:r w:rsidR="00CC113C" w:rsidRPr="00B61DDD">
              <w:rPr>
                <w:rFonts w:ascii="Verdana" w:hAnsi="Verdana"/>
                <w:sz w:val="22"/>
                <w:szCs w:val="22"/>
              </w:rPr>
              <w:t>o</w:t>
            </w:r>
            <w:r w:rsidR="00093434" w:rsidRPr="00B61DDD">
              <w:rPr>
                <w:rFonts w:ascii="Verdana" w:hAnsi="Verdana"/>
                <w:sz w:val="22"/>
                <w:szCs w:val="22"/>
              </w:rPr>
              <w:t>perational methods and science-based approaches.</w:t>
            </w:r>
          </w:p>
          <w:p w14:paraId="40A563C9" w14:textId="77777777" w:rsidR="00380F18" w:rsidRPr="00B61DDD" w:rsidRDefault="00380F18" w:rsidP="00380F18">
            <w:pPr>
              <w:pStyle w:val="CommentText"/>
              <w:rPr>
                <w:rFonts w:ascii="Verdana" w:hAnsi="Verdana"/>
                <w:sz w:val="22"/>
                <w:szCs w:val="22"/>
              </w:rPr>
            </w:pPr>
            <w:r w:rsidRPr="00B61DDD">
              <w:rPr>
                <w:rFonts w:ascii="Verdana" w:hAnsi="Verdana"/>
                <w:sz w:val="22"/>
                <w:szCs w:val="22"/>
              </w:rPr>
              <w:t xml:space="preserve">2.2 Standardize our processes in coordination with other global ocean observing networks to enhance clarity, </w:t>
            </w:r>
            <w:proofErr w:type="gramStart"/>
            <w:r w:rsidRPr="00B61DDD">
              <w:rPr>
                <w:rFonts w:ascii="Verdana" w:hAnsi="Verdana"/>
                <w:sz w:val="22"/>
                <w:szCs w:val="22"/>
              </w:rPr>
              <w:t>transparency</w:t>
            </w:r>
            <w:proofErr w:type="gramEnd"/>
            <w:r w:rsidRPr="00B61DDD">
              <w:rPr>
                <w:rFonts w:ascii="Verdana" w:hAnsi="Verdana"/>
                <w:sz w:val="22"/>
                <w:szCs w:val="22"/>
              </w:rPr>
              <w:t xml:space="preserve"> and efficiency in the use of data, metadata, operational methods and science-based approaches.</w:t>
            </w:r>
          </w:p>
          <w:p w14:paraId="13E79875" w14:textId="303E9282" w:rsidR="00380F18" w:rsidRPr="00B61DDD" w:rsidRDefault="00380F18" w:rsidP="00380F18">
            <w:pPr>
              <w:pStyle w:val="CommentText"/>
              <w:rPr>
                <w:rFonts w:ascii="Verdana" w:hAnsi="Verdana"/>
                <w:sz w:val="22"/>
                <w:szCs w:val="22"/>
              </w:rPr>
            </w:pPr>
            <w:r w:rsidRPr="00B61DDD">
              <w:rPr>
                <w:rFonts w:ascii="Verdana" w:hAnsi="Verdana"/>
                <w:sz w:val="22"/>
                <w:szCs w:val="22"/>
              </w:rPr>
              <w:t>2.4 Adopt, define, and promote best practice in the lifecycle of our data from measurement - through its use and reuse - to archiving.</w:t>
            </w:r>
          </w:p>
          <w:p w14:paraId="2E2CE420" w14:textId="77777777" w:rsidR="005A6FEB" w:rsidRPr="00B61DDD" w:rsidRDefault="00CC359F" w:rsidP="00CC359F">
            <w:pPr>
              <w:rPr>
                <w:rFonts w:ascii="Verdana" w:hAnsi="Verdana"/>
              </w:rPr>
            </w:pPr>
            <w:r w:rsidRPr="00B61DDD">
              <w:rPr>
                <w:rFonts w:ascii="Verdana" w:hAnsi="Verdana"/>
              </w:rPr>
              <w:t>3.1 Encourage research and development activities which are prioritized to meet defined user needs.</w:t>
            </w:r>
          </w:p>
          <w:p w14:paraId="395986A3" w14:textId="77777777" w:rsidR="0075764B" w:rsidRPr="00B61DDD" w:rsidRDefault="00CC359F" w:rsidP="00CC359F">
            <w:pPr>
              <w:rPr>
                <w:rFonts w:ascii="Verdana" w:hAnsi="Verdana"/>
              </w:rPr>
            </w:pPr>
            <w:r w:rsidRPr="00B61DDD">
              <w:rPr>
                <w:rFonts w:ascii="Verdana" w:hAnsi="Verdana"/>
              </w:rPr>
              <w:lastRenderedPageBreak/>
              <w:t>3.</w:t>
            </w:r>
            <w:r w:rsidR="005548AA" w:rsidRPr="00B61DDD">
              <w:rPr>
                <w:rFonts w:ascii="Verdana" w:hAnsi="Verdana"/>
              </w:rPr>
              <w:t xml:space="preserve">4 Extend the breadth of our measurement capability, such as for biogeochemical and biological variables, where the opportunities </w:t>
            </w:r>
            <w:proofErr w:type="gramStart"/>
            <w:r w:rsidR="005548AA" w:rsidRPr="00B61DDD">
              <w:rPr>
                <w:rFonts w:ascii="Verdana" w:hAnsi="Verdana"/>
              </w:rPr>
              <w:t>exist</w:t>
            </w:r>
            <w:proofErr w:type="gramEnd"/>
            <w:r w:rsidR="005548AA" w:rsidRPr="00B61DDD">
              <w:rPr>
                <w:rFonts w:ascii="Verdana" w:hAnsi="Verdana"/>
              </w:rPr>
              <w:t xml:space="preserve"> and the user demand is high. </w:t>
            </w:r>
          </w:p>
          <w:p w14:paraId="29EE9229" w14:textId="77777777" w:rsidR="00CC359F" w:rsidRPr="00B61DDD" w:rsidRDefault="0075764B" w:rsidP="0075764B">
            <w:pPr>
              <w:rPr>
                <w:rFonts w:ascii="Verdana" w:hAnsi="Verdana"/>
              </w:rPr>
            </w:pPr>
            <w:r w:rsidRPr="00B61DDD">
              <w:rPr>
                <w:rFonts w:ascii="Verdana" w:hAnsi="Verdana"/>
              </w:rPr>
              <w:t xml:space="preserve">4.2 Work with our ocean observing network partners to baseline and continuously review our environmental impact. </w:t>
            </w:r>
            <w:r w:rsidR="00CC359F" w:rsidRPr="00B61DDD">
              <w:rPr>
                <w:rFonts w:ascii="Verdana" w:hAnsi="Verdana"/>
              </w:rPr>
              <w:t xml:space="preserve"> </w:t>
            </w:r>
          </w:p>
          <w:p w14:paraId="699684F6" w14:textId="77777777" w:rsidR="00BB39B2" w:rsidRPr="00B61DDD" w:rsidRDefault="00BB39B2" w:rsidP="0075764B">
            <w:pPr>
              <w:rPr>
                <w:rFonts w:ascii="Verdana" w:hAnsi="Verdana"/>
              </w:rPr>
            </w:pPr>
            <w:r w:rsidRPr="00B61DDD">
              <w:rPr>
                <w:rFonts w:ascii="Verdana" w:hAnsi="Verdana"/>
              </w:rPr>
              <w:t>5.1 Foster collaboration and leverage partnerships where they meet greatest user needs.</w:t>
            </w:r>
          </w:p>
          <w:p w14:paraId="6FDEE49C" w14:textId="0566B9D4" w:rsidR="00F86646" w:rsidRPr="00B61DDD" w:rsidRDefault="00F86646" w:rsidP="0075764B">
            <w:pPr>
              <w:rPr>
                <w:rFonts w:ascii="Verdana" w:hAnsi="Verdana"/>
              </w:rPr>
            </w:pPr>
            <w:r w:rsidRPr="00B61DDD">
              <w:rPr>
                <w:rFonts w:ascii="Verdana" w:hAnsi="Verdana"/>
              </w:rPr>
              <w:t>5.2 Build on our leadership and experience in capacity development to assist countries in regions of greatest need.</w:t>
            </w:r>
          </w:p>
        </w:tc>
      </w:tr>
    </w:tbl>
    <w:p w14:paraId="2C078E63" w14:textId="69926AC2" w:rsidR="00776907" w:rsidRPr="00B61DDD" w:rsidRDefault="00776907" w:rsidP="211E1C6A">
      <w:pPr>
        <w:rPr>
          <w:rFonts w:ascii="Verdana" w:hAnsi="Verdana"/>
        </w:rPr>
      </w:pPr>
    </w:p>
    <w:sectPr w:rsidR="00776907" w:rsidRPr="00B61DD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A31D3" w14:textId="77777777" w:rsidR="00F24D77" w:rsidRDefault="00F24D77" w:rsidP="00F24D77">
      <w:pPr>
        <w:spacing w:after="0" w:line="240" w:lineRule="auto"/>
      </w:pPr>
      <w:r>
        <w:separator/>
      </w:r>
    </w:p>
  </w:endnote>
  <w:endnote w:type="continuationSeparator" w:id="0">
    <w:p w14:paraId="5896637C" w14:textId="77777777" w:rsidR="00F24D77" w:rsidRDefault="00F24D77" w:rsidP="00F24D77">
      <w:pPr>
        <w:spacing w:after="0" w:line="240" w:lineRule="auto"/>
      </w:pPr>
      <w:r>
        <w:continuationSeparator/>
      </w:r>
    </w:p>
  </w:endnote>
  <w:endnote w:type="continuationNotice" w:id="1">
    <w:p w14:paraId="7E750DD3" w14:textId="77777777" w:rsidR="00F24D77" w:rsidRDefault="00F24D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D3DA6" w14:textId="77777777" w:rsidR="00F24D77" w:rsidRDefault="00F24D77" w:rsidP="00F24D77">
      <w:pPr>
        <w:spacing w:after="0" w:line="240" w:lineRule="auto"/>
      </w:pPr>
      <w:r>
        <w:separator/>
      </w:r>
    </w:p>
  </w:footnote>
  <w:footnote w:type="continuationSeparator" w:id="0">
    <w:p w14:paraId="3C323A38" w14:textId="77777777" w:rsidR="00F24D77" w:rsidRDefault="00F24D77" w:rsidP="00F24D77">
      <w:pPr>
        <w:spacing w:after="0" w:line="240" w:lineRule="auto"/>
      </w:pPr>
      <w:r>
        <w:continuationSeparator/>
      </w:r>
    </w:p>
  </w:footnote>
  <w:footnote w:type="continuationNotice" w:id="1">
    <w:p w14:paraId="13B0B4C7" w14:textId="77777777" w:rsidR="00F24D77" w:rsidRDefault="00F24D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A249B"/>
    <w:multiLevelType w:val="hybridMultilevel"/>
    <w:tmpl w:val="2CDEA9D0"/>
    <w:lvl w:ilvl="0" w:tplc="2CA29C84">
      <w:start w:val="1"/>
      <w:numFmt w:val="decimal"/>
      <w:lvlText w:val="%1."/>
      <w:lvlJc w:val="left"/>
      <w:pPr>
        <w:ind w:left="720" w:hanging="360"/>
      </w:pPr>
    </w:lvl>
    <w:lvl w:ilvl="1" w:tplc="F6884EA2">
      <w:start w:val="1"/>
      <w:numFmt w:val="lowerLetter"/>
      <w:lvlText w:val="%2."/>
      <w:lvlJc w:val="left"/>
      <w:pPr>
        <w:ind w:left="1440" w:hanging="360"/>
      </w:pPr>
    </w:lvl>
    <w:lvl w:ilvl="2" w:tplc="F69A13F4">
      <w:start w:val="1"/>
      <w:numFmt w:val="lowerRoman"/>
      <w:lvlText w:val="%3."/>
      <w:lvlJc w:val="right"/>
      <w:pPr>
        <w:ind w:left="2160" w:hanging="180"/>
      </w:pPr>
    </w:lvl>
    <w:lvl w:ilvl="3" w:tplc="E4E02596">
      <w:start w:val="1"/>
      <w:numFmt w:val="decimal"/>
      <w:lvlText w:val="%4."/>
      <w:lvlJc w:val="left"/>
      <w:pPr>
        <w:ind w:left="2880" w:hanging="360"/>
      </w:pPr>
    </w:lvl>
    <w:lvl w:ilvl="4" w:tplc="2DA461C0">
      <w:start w:val="1"/>
      <w:numFmt w:val="lowerLetter"/>
      <w:lvlText w:val="%5."/>
      <w:lvlJc w:val="left"/>
      <w:pPr>
        <w:ind w:left="3600" w:hanging="360"/>
      </w:pPr>
    </w:lvl>
    <w:lvl w:ilvl="5" w:tplc="959E397E">
      <w:start w:val="1"/>
      <w:numFmt w:val="lowerRoman"/>
      <w:lvlText w:val="%6."/>
      <w:lvlJc w:val="right"/>
      <w:pPr>
        <w:ind w:left="4320" w:hanging="180"/>
      </w:pPr>
    </w:lvl>
    <w:lvl w:ilvl="6" w:tplc="291C98F8">
      <w:start w:val="1"/>
      <w:numFmt w:val="decimal"/>
      <w:lvlText w:val="%7."/>
      <w:lvlJc w:val="left"/>
      <w:pPr>
        <w:ind w:left="5040" w:hanging="360"/>
      </w:pPr>
    </w:lvl>
    <w:lvl w:ilvl="7" w:tplc="D646F1D8">
      <w:start w:val="1"/>
      <w:numFmt w:val="lowerLetter"/>
      <w:lvlText w:val="%8."/>
      <w:lvlJc w:val="left"/>
      <w:pPr>
        <w:ind w:left="5760" w:hanging="360"/>
      </w:pPr>
    </w:lvl>
    <w:lvl w:ilvl="8" w:tplc="A5541F90">
      <w:start w:val="1"/>
      <w:numFmt w:val="lowerRoman"/>
      <w:lvlText w:val="%9."/>
      <w:lvlJc w:val="right"/>
      <w:pPr>
        <w:ind w:left="6480" w:hanging="180"/>
      </w:pPr>
    </w:lvl>
  </w:abstractNum>
  <w:abstractNum w:abstractNumId="1" w15:restartNumberingAfterBreak="0">
    <w:nsid w:val="24300D5F"/>
    <w:multiLevelType w:val="hybridMultilevel"/>
    <w:tmpl w:val="5F12A7B8"/>
    <w:lvl w:ilvl="0" w:tplc="AB22DE04">
      <w:start w:val="1"/>
      <w:numFmt w:val="decimal"/>
      <w:lvlText w:val="%1."/>
      <w:lvlJc w:val="left"/>
      <w:pPr>
        <w:ind w:left="720" w:hanging="360"/>
      </w:pPr>
    </w:lvl>
    <w:lvl w:ilvl="1" w:tplc="D758CF82">
      <w:start w:val="1"/>
      <w:numFmt w:val="lowerLetter"/>
      <w:lvlText w:val="%2."/>
      <w:lvlJc w:val="left"/>
      <w:pPr>
        <w:ind w:left="1440" w:hanging="360"/>
      </w:pPr>
    </w:lvl>
    <w:lvl w:ilvl="2" w:tplc="2C7020FE">
      <w:start w:val="1"/>
      <w:numFmt w:val="lowerRoman"/>
      <w:lvlText w:val="%3."/>
      <w:lvlJc w:val="right"/>
      <w:pPr>
        <w:ind w:left="2160" w:hanging="180"/>
      </w:pPr>
    </w:lvl>
    <w:lvl w:ilvl="3" w:tplc="2506C3DA">
      <w:start w:val="1"/>
      <w:numFmt w:val="decimal"/>
      <w:lvlText w:val="%4."/>
      <w:lvlJc w:val="left"/>
      <w:pPr>
        <w:ind w:left="2880" w:hanging="360"/>
      </w:pPr>
    </w:lvl>
    <w:lvl w:ilvl="4" w:tplc="22126B62">
      <w:start w:val="1"/>
      <w:numFmt w:val="lowerLetter"/>
      <w:lvlText w:val="%5."/>
      <w:lvlJc w:val="left"/>
      <w:pPr>
        <w:ind w:left="3600" w:hanging="360"/>
      </w:pPr>
    </w:lvl>
    <w:lvl w:ilvl="5" w:tplc="0D40D626">
      <w:start w:val="1"/>
      <w:numFmt w:val="lowerRoman"/>
      <w:lvlText w:val="%6."/>
      <w:lvlJc w:val="right"/>
      <w:pPr>
        <w:ind w:left="4320" w:hanging="180"/>
      </w:pPr>
    </w:lvl>
    <w:lvl w:ilvl="6" w:tplc="1714C060">
      <w:start w:val="1"/>
      <w:numFmt w:val="decimal"/>
      <w:lvlText w:val="%7."/>
      <w:lvlJc w:val="left"/>
      <w:pPr>
        <w:ind w:left="5040" w:hanging="360"/>
      </w:pPr>
    </w:lvl>
    <w:lvl w:ilvl="7" w:tplc="93A84128">
      <w:start w:val="1"/>
      <w:numFmt w:val="lowerLetter"/>
      <w:lvlText w:val="%8."/>
      <w:lvlJc w:val="left"/>
      <w:pPr>
        <w:ind w:left="5760" w:hanging="360"/>
      </w:pPr>
    </w:lvl>
    <w:lvl w:ilvl="8" w:tplc="26C0E942">
      <w:start w:val="1"/>
      <w:numFmt w:val="lowerRoman"/>
      <w:lvlText w:val="%9."/>
      <w:lvlJc w:val="right"/>
      <w:pPr>
        <w:ind w:left="6480" w:hanging="180"/>
      </w:pPr>
    </w:lvl>
  </w:abstractNum>
  <w:abstractNum w:abstractNumId="2" w15:restartNumberingAfterBreak="0">
    <w:nsid w:val="36337F4D"/>
    <w:multiLevelType w:val="hybridMultilevel"/>
    <w:tmpl w:val="F78AF6D8"/>
    <w:lvl w:ilvl="0" w:tplc="82F8EAFE">
      <w:start w:val="1"/>
      <w:numFmt w:val="decimal"/>
      <w:lvlText w:val="%1."/>
      <w:lvlJc w:val="left"/>
      <w:pPr>
        <w:ind w:left="720" w:hanging="360"/>
      </w:pPr>
    </w:lvl>
    <w:lvl w:ilvl="1" w:tplc="CCA203E6">
      <w:start w:val="1"/>
      <w:numFmt w:val="lowerLetter"/>
      <w:lvlText w:val="%2."/>
      <w:lvlJc w:val="left"/>
      <w:pPr>
        <w:ind w:left="1440" w:hanging="360"/>
      </w:pPr>
    </w:lvl>
    <w:lvl w:ilvl="2" w:tplc="E7C873BA">
      <w:start w:val="1"/>
      <w:numFmt w:val="lowerRoman"/>
      <w:lvlText w:val="%3."/>
      <w:lvlJc w:val="right"/>
      <w:pPr>
        <w:ind w:left="2160" w:hanging="180"/>
      </w:pPr>
    </w:lvl>
    <w:lvl w:ilvl="3" w:tplc="0DB2B1D8">
      <w:start w:val="1"/>
      <w:numFmt w:val="decimal"/>
      <w:lvlText w:val="%4."/>
      <w:lvlJc w:val="left"/>
      <w:pPr>
        <w:ind w:left="2880" w:hanging="360"/>
      </w:pPr>
    </w:lvl>
    <w:lvl w:ilvl="4" w:tplc="2DF2EE64">
      <w:start w:val="1"/>
      <w:numFmt w:val="lowerLetter"/>
      <w:lvlText w:val="%5."/>
      <w:lvlJc w:val="left"/>
      <w:pPr>
        <w:ind w:left="3600" w:hanging="360"/>
      </w:pPr>
    </w:lvl>
    <w:lvl w:ilvl="5" w:tplc="3B7A03DA">
      <w:start w:val="1"/>
      <w:numFmt w:val="lowerRoman"/>
      <w:lvlText w:val="%6."/>
      <w:lvlJc w:val="right"/>
      <w:pPr>
        <w:ind w:left="4320" w:hanging="180"/>
      </w:pPr>
    </w:lvl>
    <w:lvl w:ilvl="6" w:tplc="18E0CFD2">
      <w:start w:val="1"/>
      <w:numFmt w:val="decimal"/>
      <w:lvlText w:val="%7."/>
      <w:lvlJc w:val="left"/>
      <w:pPr>
        <w:ind w:left="5040" w:hanging="360"/>
      </w:pPr>
    </w:lvl>
    <w:lvl w:ilvl="7" w:tplc="56C2E0D6">
      <w:start w:val="1"/>
      <w:numFmt w:val="lowerLetter"/>
      <w:lvlText w:val="%8."/>
      <w:lvlJc w:val="left"/>
      <w:pPr>
        <w:ind w:left="5760" w:hanging="360"/>
      </w:pPr>
    </w:lvl>
    <w:lvl w:ilvl="8" w:tplc="FBDCF09C">
      <w:start w:val="1"/>
      <w:numFmt w:val="lowerRoman"/>
      <w:lvlText w:val="%9."/>
      <w:lvlJc w:val="right"/>
      <w:pPr>
        <w:ind w:left="6480" w:hanging="180"/>
      </w:pPr>
    </w:lvl>
  </w:abstractNum>
  <w:abstractNum w:abstractNumId="3" w15:restartNumberingAfterBreak="0">
    <w:nsid w:val="4EDF7A5B"/>
    <w:multiLevelType w:val="hybridMultilevel"/>
    <w:tmpl w:val="D8BEB176"/>
    <w:lvl w:ilvl="0" w:tplc="A79EF790">
      <w:start w:val="5"/>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0C0132"/>
    <w:multiLevelType w:val="hybridMultilevel"/>
    <w:tmpl w:val="970880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CA762E"/>
    <w:multiLevelType w:val="hybridMultilevel"/>
    <w:tmpl w:val="36908662"/>
    <w:lvl w:ilvl="0" w:tplc="D5FA90A2">
      <w:start w:val="1"/>
      <w:numFmt w:val="bullet"/>
      <w:lvlText w:val=""/>
      <w:lvlJc w:val="left"/>
      <w:pPr>
        <w:ind w:left="720" w:hanging="360"/>
      </w:pPr>
      <w:rPr>
        <w:rFonts w:ascii="Symbol" w:hAnsi="Symbol" w:hint="default"/>
      </w:rPr>
    </w:lvl>
    <w:lvl w:ilvl="1" w:tplc="276A52FE">
      <w:start w:val="1"/>
      <w:numFmt w:val="bullet"/>
      <w:lvlText w:val="o"/>
      <w:lvlJc w:val="left"/>
      <w:pPr>
        <w:ind w:left="1440" w:hanging="360"/>
      </w:pPr>
      <w:rPr>
        <w:rFonts w:ascii="Courier New" w:hAnsi="Courier New" w:hint="default"/>
      </w:rPr>
    </w:lvl>
    <w:lvl w:ilvl="2" w:tplc="4760C514">
      <w:start w:val="1"/>
      <w:numFmt w:val="bullet"/>
      <w:lvlText w:val=""/>
      <w:lvlJc w:val="left"/>
      <w:pPr>
        <w:ind w:left="2160" w:hanging="360"/>
      </w:pPr>
      <w:rPr>
        <w:rFonts w:ascii="Wingdings" w:hAnsi="Wingdings" w:hint="default"/>
      </w:rPr>
    </w:lvl>
    <w:lvl w:ilvl="3" w:tplc="0D0E41DE">
      <w:start w:val="1"/>
      <w:numFmt w:val="bullet"/>
      <w:lvlText w:val=""/>
      <w:lvlJc w:val="left"/>
      <w:pPr>
        <w:ind w:left="2880" w:hanging="360"/>
      </w:pPr>
      <w:rPr>
        <w:rFonts w:ascii="Symbol" w:hAnsi="Symbol" w:hint="default"/>
      </w:rPr>
    </w:lvl>
    <w:lvl w:ilvl="4" w:tplc="52063EC6">
      <w:start w:val="1"/>
      <w:numFmt w:val="bullet"/>
      <w:lvlText w:val="o"/>
      <w:lvlJc w:val="left"/>
      <w:pPr>
        <w:ind w:left="3600" w:hanging="360"/>
      </w:pPr>
      <w:rPr>
        <w:rFonts w:ascii="Courier New" w:hAnsi="Courier New" w:hint="default"/>
      </w:rPr>
    </w:lvl>
    <w:lvl w:ilvl="5" w:tplc="887C8C0C">
      <w:start w:val="1"/>
      <w:numFmt w:val="bullet"/>
      <w:lvlText w:val=""/>
      <w:lvlJc w:val="left"/>
      <w:pPr>
        <w:ind w:left="4320" w:hanging="360"/>
      </w:pPr>
      <w:rPr>
        <w:rFonts w:ascii="Wingdings" w:hAnsi="Wingdings" w:hint="default"/>
      </w:rPr>
    </w:lvl>
    <w:lvl w:ilvl="6" w:tplc="0AD62E08">
      <w:start w:val="1"/>
      <w:numFmt w:val="bullet"/>
      <w:lvlText w:val=""/>
      <w:lvlJc w:val="left"/>
      <w:pPr>
        <w:ind w:left="5040" w:hanging="360"/>
      </w:pPr>
      <w:rPr>
        <w:rFonts w:ascii="Symbol" w:hAnsi="Symbol" w:hint="default"/>
      </w:rPr>
    </w:lvl>
    <w:lvl w:ilvl="7" w:tplc="6602C2F6">
      <w:start w:val="1"/>
      <w:numFmt w:val="bullet"/>
      <w:lvlText w:val="o"/>
      <w:lvlJc w:val="left"/>
      <w:pPr>
        <w:ind w:left="5760" w:hanging="360"/>
      </w:pPr>
      <w:rPr>
        <w:rFonts w:ascii="Courier New" w:hAnsi="Courier New" w:hint="default"/>
      </w:rPr>
    </w:lvl>
    <w:lvl w:ilvl="8" w:tplc="D1B6C866">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42FA545-40AA-408C-992E-C20C0CD4F9C6}"/>
    <w:docVar w:name="dgnword-eventsink" w:val="725772440"/>
  </w:docVars>
  <w:rsids>
    <w:rsidRoot w:val="244114E5"/>
    <w:rsid w:val="00032A86"/>
    <w:rsid w:val="00062F64"/>
    <w:rsid w:val="00093434"/>
    <w:rsid w:val="000C5A13"/>
    <w:rsid w:val="000E41CF"/>
    <w:rsid w:val="0011488B"/>
    <w:rsid w:val="00151104"/>
    <w:rsid w:val="00172CA6"/>
    <w:rsid w:val="00200DEF"/>
    <w:rsid w:val="002051CC"/>
    <w:rsid w:val="00241941"/>
    <w:rsid w:val="00252026"/>
    <w:rsid w:val="002B1D1D"/>
    <w:rsid w:val="002B2C6B"/>
    <w:rsid w:val="002D210F"/>
    <w:rsid w:val="002F3F5E"/>
    <w:rsid w:val="003005E2"/>
    <w:rsid w:val="003129D1"/>
    <w:rsid w:val="00327A37"/>
    <w:rsid w:val="00357A8F"/>
    <w:rsid w:val="00374B3F"/>
    <w:rsid w:val="00380F18"/>
    <w:rsid w:val="003C7580"/>
    <w:rsid w:val="003E6900"/>
    <w:rsid w:val="00401922"/>
    <w:rsid w:val="00445C5A"/>
    <w:rsid w:val="00466C45"/>
    <w:rsid w:val="004819AE"/>
    <w:rsid w:val="00486027"/>
    <w:rsid w:val="004E7328"/>
    <w:rsid w:val="005548AA"/>
    <w:rsid w:val="005736DA"/>
    <w:rsid w:val="005A6FEB"/>
    <w:rsid w:val="005E20A1"/>
    <w:rsid w:val="00607530"/>
    <w:rsid w:val="0069607B"/>
    <w:rsid w:val="006E2A7F"/>
    <w:rsid w:val="007346F8"/>
    <w:rsid w:val="00743EAD"/>
    <w:rsid w:val="00745A0B"/>
    <w:rsid w:val="0075764B"/>
    <w:rsid w:val="0076178A"/>
    <w:rsid w:val="00774FC9"/>
    <w:rsid w:val="00776907"/>
    <w:rsid w:val="007879C8"/>
    <w:rsid w:val="007937CE"/>
    <w:rsid w:val="007D1AF0"/>
    <w:rsid w:val="007E1C78"/>
    <w:rsid w:val="008A76ED"/>
    <w:rsid w:val="008D20D8"/>
    <w:rsid w:val="00930B5E"/>
    <w:rsid w:val="00941C81"/>
    <w:rsid w:val="00983CD4"/>
    <w:rsid w:val="009851B1"/>
    <w:rsid w:val="009B436E"/>
    <w:rsid w:val="00A02808"/>
    <w:rsid w:val="00A17B1C"/>
    <w:rsid w:val="00A28940"/>
    <w:rsid w:val="00AD6C27"/>
    <w:rsid w:val="00AF5360"/>
    <w:rsid w:val="00AF6A0C"/>
    <w:rsid w:val="00B470D6"/>
    <w:rsid w:val="00B61DDD"/>
    <w:rsid w:val="00B67B25"/>
    <w:rsid w:val="00BA600D"/>
    <w:rsid w:val="00BB39B2"/>
    <w:rsid w:val="00BD0E8D"/>
    <w:rsid w:val="00BF54C1"/>
    <w:rsid w:val="00C32703"/>
    <w:rsid w:val="00C4257C"/>
    <w:rsid w:val="00C843BE"/>
    <w:rsid w:val="00CC113C"/>
    <w:rsid w:val="00CC359F"/>
    <w:rsid w:val="00CD2DA6"/>
    <w:rsid w:val="00CE3841"/>
    <w:rsid w:val="00CE5BC5"/>
    <w:rsid w:val="00CE752B"/>
    <w:rsid w:val="00D219CF"/>
    <w:rsid w:val="00D87D48"/>
    <w:rsid w:val="00DE2A6E"/>
    <w:rsid w:val="00E84BFB"/>
    <w:rsid w:val="00E86348"/>
    <w:rsid w:val="00E947EA"/>
    <w:rsid w:val="00EB4E33"/>
    <w:rsid w:val="00EC63F6"/>
    <w:rsid w:val="00ED3799"/>
    <w:rsid w:val="00EF1222"/>
    <w:rsid w:val="00F04F70"/>
    <w:rsid w:val="00F24B94"/>
    <w:rsid w:val="00F24D77"/>
    <w:rsid w:val="00F839A6"/>
    <w:rsid w:val="00F86646"/>
    <w:rsid w:val="00FE0E1B"/>
    <w:rsid w:val="00FE2517"/>
    <w:rsid w:val="01152199"/>
    <w:rsid w:val="03A07BE2"/>
    <w:rsid w:val="04F86030"/>
    <w:rsid w:val="054E8599"/>
    <w:rsid w:val="0555E709"/>
    <w:rsid w:val="05B3E5FB"/>
    <w:rsid w:val="05C03D6B"/>
    <w:rsid w:val="06155D6D"/>
    <w:rsid w:val="063B53B4"/>
    <w:rsid w:val="067FF637"/>
    <w:rsid w:val="06F90E32"/>
    <w:rsid w:val="07B6ECAE"/>
    <w:rsid w:val="08109583"/>
    <w:rsid w:val="0922DFFB"/>
    <w:rsid w:val="0A074F08"/>
    <w:rsid w:val="0B2566E2"/>
    <w:rsid w:val="0CEA9AA9"/>
    <w:rsid w:val="0CF4F37A"/>
    <w:rsid w:val="0DA92986"/>
    <w:rsid w:val="0DDA7C44"/>
    <w:rsid w:val="0DF1ED42"/>
    <w:rsid w:val="0E33E0B2"/>
    <w:rsid w:val="0E6975D3"/>
    <w:rsid w:val="11EE5EA9"/>
    <w:rsid w:val="14A0A0C8"/>
    <w:rsid w:val="14A48FE1"/>
    <w:rsid w:val="15004976"/>
    <w:rsid w:val="156A5D93"/>
    <w:rsid w:val="16EBF92E"/>
    <w:rsid w:val="1875217D"/>
    <w:rsid w:val="18B7D04C"/>
    <w:rsid w:val="19863AB2"/>
    <w:rsid w:val="19E32B0E"/>
    <w:rsid w:val="1A1906DF"/>
    <w:rsid w:val="1AB5D81E"/>
    <w:rsid w:val="1B056180"/>
    <w:rsid w:val="1B5F82D9"/>
    <w:rsid w:val="1C07D786"/>
    <w:rsid w:val="1C209043"/>
    <w:rsid w:val="1CCD50C5"/>
    <w:rsid w:val="1E17FA76"/>
    <w:rsid w:val="1E1D2322"/>
    <w:rsid w:val="1E40B054"/>
    <w:rsid w:val="1FCB7E8B"/>
    <w:rsid w:val="2034DC45"/>
    <w:rsid w:val="20D8BD2C"/>
    <w:rsid w:val="211E1C6A"/>
    <w:rsid w:val="21D9F112"/>
    <w:rsid w:val="22137FA7"/>
    <w:rsid w:val="23A72076"/>
    <w:rsid w:val="244114E5"/>
    <w:rsid w:val="249EEFAE"/>
    <w:rsid w:val="24AB9717"/>
    <w:rsid w:val="24B9D637"/>
    <w:rsid w:val="287A09E7"/>
    <w:rsid w:val="28999BF4"/>
    <w:rsid w:val="28F299AC"/>
    <w:rsid w:val="29386E79"/>
    <w:rsid w:val="29EFD4BC"/>
    <w:rsid w:val="2A7D6BC0"/>
    <w:rsid w:val="2BDE76C5"/>
    <w:rsid w:val="2C8F9BDF"/>
    <w:rsid w:val="2D11C31D"/>
    <w:rsid w:val="2D2FF306"/>
    <w:rsid w:val="2D912666"/>
    <w:rsid w:val="2ECFD4B9"/>
    <w:rsid w:val="3178D5BE"/>
    <w:rsid w:val="323A5494"/>
    <w:rsid w:val="324F28FF"/>
    <w:rsid w:val="32520BAD"/>
    <w:rsid w:val="34E5DD20"/>
    <w:rsid w:val="35BA2E95"/>
    <w:rsid w:val="37AB24DF"/>
    <w:rsid w:val="382E77FF"/>
    <w:rsid w:val="39B747A3"/>
    <w:rsid w:val="3A062456"/>
    <w:rsid w:val="3A461866"/>
    <w:rsid w:val="3A7A9DCC"/>
    <w:rsid w:val="3B077F30"/>
    <w:rsid w:val="3BBA90D9"/>
    <w:rsid w:val="3CD3D3E3"/>
    <w:rsid w:val="3DCDA4E2"/>
    <w:rsid w:val="3DE95866"/>
    <w:rsid w:val="3DFFBFB5"/>
    <w:rsid w:val="3E1ADD6F"/>
    <w:rsid w:val="3FA7AFFD"/>
    <w:rsid w:val="3FF60EF1"/>
    <w:rsid w:val="405521C0"/>
    <w:rsid w:val="41C601F9"/>
    <w:rsid w:val="4396B30A"/>
    <w:rsid w:val="43C4FA68"/>
    <w:rsid w:val="442C8B7B"/>
    <w:rsid w:val="44DDD3E2"/>
    <w:rsid w:val="451F8647"/>
    <w:rsid w:val="45E7325A"/>
    <w:rsid w:val="4650C7EB"/>
    <w:rsid w:val="47ECAE6C"/>
    <w:rsid w:val="47F625B7"/>
    <w:rsid w:val="48301AB9"/>
    <w:rsid w:val="491ED31C"/>
    <w:rsid w:val="492BEE80"/>
    <w:rsid w:val="493AD840"/>
    <w:rsid w:val="4A40287F"/>
    <w:rsid w:val="4ABF1679"/>
    <w:rsid w:val="4C194AB9"/>
    <w:rsid w:val="4D1901AD"/>
    <w:rsid w:val="4D1A2C5F"/>
    <w:rsid w:val="4D6376DC"/>
    <w:rsid w:val="4D72A811"/>
    <w:rsid w:val="4E178842"/>
    <w:rsid w:val="4E4382A6"/>
    <w:rsid w:val="5109C58A"/>
    <w:rsid w:val="515E37AF"/>
    <w:rsid w:val="53737B74"/>
    <w:rsid w:val="542D3C5E"/>
    <w:rsid w:val="54F75DE1"/>
    <w:rsid w:val="552668A7"/>
    <w:rsid w:val="55FC8BDB"/>
    <w:rsid w:val="56C42845"/>
    <w:rsid w:val="57B2BE21"/>
    <w:rsid w:val="583C5C2C"/>
    <w:rsid w:val="58917C04"/>
    <w:rsid w:val="59570F76"/>
    <w:rsid w:val="5994E4C9"/>
    <w:rsid w:val="5A8DDA26"/>
    <w:rsid w:val="5AA4DB14"/>
    <w:rsid w:val="5C26A3B8"/>
    <w:rsid w:val="5CB02CD6"/>
    <w:rsid w:val="5CC1398F"/>
    <w:rsid w:val="5FBF62BB"/>
    <w:rsid w:val="600E3F6E"/>
    <w:rsid w:val="6133692C"/>
    <w:rsid w:val="619EDB71"/>
    <w:rsid w:val="632A2C09"/>
    <w:rsid w:val="65072616"/>
    <w:rsid w:val="65E438C1"/>
    <w:rsid w:val="6707EBD1"/>
    <w:rsid w:val="68005F0C"/>
    <w:rsid w:val="68CB0901"/>
    <w:rsid w:val="69D1A888"/>
    <w:rsid w:val="6BD6C2AC"/>
    <w:rsid w:val="6D0E29E9"/>
    <w:rsid w:val="6D884DDC"/>
    <w:rsid w:val="6E0F5C50"/>
    <w:rsid w:val="6E488D4B"/>
    <w:rsid w:val="6F2D1457"/>
    <w:rsid w:val="6FB23E14"/>
    <w:rsid w:val="70BB35CF"/>
    <w:rsid w:val="70C94978"/>
    <w:rsid w:val="72FBE974"/>
    <w:rsid w:val="735D601A"/>
    <w:rsid w:val="73D77A22"/>
    <w:rsid w:val="7436BD69"/>
    <w:rsid w:val="762723D1"/>
    <w:rsid w:val="763ADDE5"/>
    <w:rsid w:val="7682D0E6"/>
    <w:rsid w:val="7712373F"/>
    <w:rsid w:val="7752AF78"/>
    <w:rsid w:val="7774F526"/>
    <w:rsid w:val="799080AA"/>
    <w:rsid w:val="7A9938AB"/>
    <w:rsid w:val="7BDBBDA5"/>
    <w:rsid w:val="7C73D369"/>
    <w:rsid w:val="7C89E4CF"/>
    <w:rsid w:val="7C903875"/>
    <w:rsid w:val="7D1C9FEA"/>
    <w:rsid w:val="7E41F916"/>
    <w:rsid w:val="7EF00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14E5"/>
  <w15:chartTrackingRefBased/>
  <w15:docId w15:val="{203666DA-ECC7-4CE4-9BBF-8E962F84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17B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B1C"/>
    <w:rPr>
      <w:rFonts w:ascii="Segoe UI" w:hAnsi="Segoe UI" w:cs="Segoe UI"/>
      <w:sz w:val="18"/>
      <w:szCs w:val="18"/>
    </w:rPr>
  </w:style>
  <w:style w:type="character" w:customStyle="1" w:styleId="normaltextrun">
    <w:name w:val="normaltextrun"/>
    <w:basedOn w:val="DefaultParagraphFont"/>
    <w:rsid w:val="00062F64"/>
  </w:style>
  <w:style w:type="paragraph" w:styleId="Header">
    <w:name w:val="header"/>
    <w:basedOn w:val="Normal"/>
    <w:link w:val="HeaderChar"/>
    <w:uiPriority w:val="99"/>
    <w:semiHidden/>
    <w:unhideWhenUsed/>
    <w:rsid w:val="002B2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D77"/>
  </w:style>
  <w:style w:type="paragraph" w:styleId="Footer">
    <w:name w:val="footer"/>
    <w:basedOn w:val="Normal"/>
    <w:link w:val="FooterChar"/>
    <w:uiPriority w:val="99"/>
    <w:semiHidden/>
    <w:unhideWhenUsed/>
    <w:rsid w:val="002B2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D77"/>
  </w:style>
  <w:style w:type="paragraph" w:styleId="CommentSubject">
    <w:name w:val="annotation subject"/>
    <w:basedOn w:val="CommentText"/>
    <w:next w:val="CommentText"/>
    <w:link w:val="CommentSubjectChar"/>
    <w:uiPriority w:val="99"/>
    <w:semiHidden/>
    <w:unhideWhenUsed/>
    <w:rsid w:val="003129D1"/>
    <w:rPr>
      <w:b/>
      <w:bCs/>
    </w:rPr>
  </w:style>
  <w:style w:type="character" w:customStyle="1" w:styleId="CommentSubjectChar">
    <w:name w:val="Comment Subject Char"/>
    <w:basedOn w:val="CommentTextChar"/>
    <w:link w:val="CommentSubject"/>
    <w:uiPriority w:val="99"/>
    <w:semiHidden/>
    <w:rsid w:val="003129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Pages>
  <Words>631</Words>
  <Characters>3597</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Jiang</dc:creator>
  <cp:keywords/>
  <dc:description/>
  <cp:lastModifiedBy>Long Jiang</cp:lastModifiedBy>
  <cp:revision>97</cp:revision>
  <dcterms:created xsi:type="dcterms:W3CDTF">2020-11-04T20:12:00Z</dcterms:created>
  <dcterms:modified xsi:type="dcterms:W3CDTF">2021-10-04T09:03:00Z</dcterms:modified>
</cp:coreProperties>
</file>