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98" w:type="dxa"/>
        <w:tblInd w:w="-5" w:type="dxa"/>
        <w:tblLayout w:type="fixed"/>
        <w:tblLook w:val="06A0" w:firstRow="1" w:lastRow="0" w:firstColumn="1" w:lastColumn="0" w:noHBand="1" w:noVBand="1"/>
      </w:tblPr>
      <w:tblGrid>
        <w:gridCol w:w="1998"/>
        <w:gridCol w:w="4665"/>
        <w:gridCol w:w="2551"/>
        <w:gridCol w:w="5084"/>
      </w:tblGrid>
      <w:tr w:rsidR="004E7328" w:rsidRPr="00AF2A14" w14:paraId="15C0DC9E" w14:textId="17B897FD" w:rsidTr="008D20D8">
        <w:trPr>
          <w:trHeight w:val="239"/>
        </w:trPr>
        <w:tc>
          <w:tcPr>
            <w:tcW w:w="1998" w:type="dxa"/>
          </w:tcPr>
          <w:p w14:paraId="24D8EE7A" w14:textId="192A3EA9" w:rsidR="004E7328" w:rsidRPr="00AF2A14" w:rsidRDefault="004E7328">
            <w:pPr>
              <w:rPr>
                <w:rFonts w:ascii="Verdana" w:hAnsi="Verdana"/>
                <w:b/>
                <w:bCs/>
                <w:sz w:val="20"/>
                <w:szCs w:val="20"/>
              </w:rPr>
            </w:pPr>
            <w:r w:rsidRPr="00AF2A14">
              <w:rPr>
                <w:rFonts w:ascii="Verdana" w:eastAsia="Calibri" w:hAnsi="Verdana" w:cs="Calibri"/>
                <w:b/>
                <w:bCs/>
                <w:color w:val="000000" w:themeColor="text1"/>
                <w:sz w:val="20"/>
                <w:szCs w:val="20"/>
              </w:rPr>
              <w:t>TT</w:t>
            </w:r>
          </w:p>
        </w:tc>
        <w:tc>
          <w:tcPr>
            <w:tcW w:w="4665" w:type="dxa"/>
          </w:tcPr>
          <w:p w14:paraId="14A7FA8A" w14:textId="13D06735" w:rsidR="004E7328" w:rsidRPr="00AF2A14" w:rsidRDefault="004E7328">
            <w:pPr>
              <w:rPr>
                <w:rFonts w:ascii="Verdana" w:hAnsi="Verdana"/>
                <w:b/>
                <w:bCs/>
                <w:sz w:val="20"/>
                <w:szCs w:val="20"/>
              </w:rPr>
            </w:pPr>
            <w:proofErr w:type="spellStart"/>
            <w:r w:rsidRPr="00AF2A14">
              <w:rPr>
                <w:rFonts w:ascii="Verdana" w:eastAsia="Calibri" w:hAnsi="Verdana" w:cs="Calibri"/>
                <w:b/>
                <w:bCs/>
                <w:color w:val="000000" w:themeColor="text1"/>
                <w:sz w:val="20"/>
                <w:szCs w:val="20"/>
              </w:rPr>
              <w:t>ToRs</w:t>
            </w:r>
            <w:proofErr w:type="spellEnd"/>
          </w:p>
        </w:tc>
        <w:tc>
          <w:tcPr>
            <w:tcW w:w="2551" w:type="dxa"/>
          </w:tcPr>
          <w:p w14:paraId="1B42E51F" w14:textId="7F42F6E4" w:rsidR="004E7328" w:rsidRPr="00AF2A14" w:rsidRDefault="004E7328">
            <w:pPr>
              <w:rPr>
                <w:rFonts w:ascii="Verdana" w:hAnsi="Verdana"/>
                <w:b/>
                <w:bCs/>
                <w:sz w:val="20"/>
                <w:szCs w:val="20"/>
              </w:rPr>
            </w:pPr>
            <w:r w:rsidRPr="00AF2A14">
              <w:rPr>
                <w:rFonts w:ascii="Verdana" w:eastAsia="Calibri" w:hAnsi="Verdana" w:cs="Calibri"/>
                <w:b/>
                <w:bCs/>
                <w:color w:val="000000" w:themeColor="text1"/>
                <w:sz w:val="20"/>
                <w:szCs w:val="20"/>
              </w:rPr>
              <w:t>Strategy Pillars</w:t>
            </w:r>
          </w:p>
        </w:tc>
        <w:tc>
          <w:tcPr>
            <w:tcW w:w="5084" w:type="dxa"/>
          </w:tcPr>
          <w:p w14:paraId="1FAB953C" w14:textId="49B3A793" w:rsidR="004E7328" w:rsidRPr="00AF2A14" w:rsidRDefault="00AD6C27">
            <w:pPr>
              <w:rPr>
                <w:rFonts w:ascii="Verdana" w:eastAsia="Calibri" w:hAnsi="Verdana" w:cs="Calibri"/>
                <w:b/>
                <w:bCs/>
                <w:color w:val="000000" w:themeColor="text1"/>
                <w:sz w:val="20"/>
                <w:szCs w:val="20"/>
              </w:rPr>
            </w:pPr>
            <w:r w:rsidRPr="00AF2A14">
              <w:rPr>
                <w:rFonts w:ascii="Verdana" w:eastAsia="Calibri" w:hAnsi="Verdana" w:cs="Calibri"/>
                <w:b/>
                <w:bCs/>
                <w:color w:val="000000" w:themeColor="text1"/>
                <w:sz w:val="20"/>
                <w:szCs w:val="20"/>
              </w:rPr>
              <w:t>Pillar Actions</w:t>
            </w:r>
          </w:p>
        </w:tc>
      </w:tr>
      <w:tr w:rsidR="00327A37" w:rsidRPr="00941C81" w14:paraId="4BA674CF" w14:textId="413DCE6A" w:rsidTr="008D20D8">
        <w:trPr>
          <w:trHeight w:val="4388"/>
        </w:trPr>
        <w:tc>
          <w:tcPr>
            <w:tcW w:w="1998" w:type="dxa"/>
          </w:tcPr>
          <w:p w14:paraId="62FF964D" w14:textId="16843C52" w:rsidR="00327A37" w:rsidRPr="00AF2A14" w:rsidRDefault="00327A37" w:rsidP="00327A37">
            <w:pPr>
              <w:rPr>
                <w:rFonts w:ascii="Verdana" w:hAnsi="Verdana"/>
                <w:sz w:val="20"/>
                <w:szCs w:val="20"/>
              </w:rPr>
            </w:pPr>
            <w:r w:rsidRPr="00AF2A14">
              <w:rPr>
                <w:rFonts w:ascii="Verdana" w:eastAsia="Calibri" w:hAnsi="Verdana" w:cs="Calibri"/>
                <w:color w:val="000000" w:themeColor="text1"/>
                <w:sz w:val="20"/>
                <w:szCs w:val="20"/>
              </w:rPr>
              <w:t xml:space="preserve">Capacity </w:t>
            </w:r>
            <w:r w:rsidR="00A57312" w:rsidRPr="00AF2A14">
              <w:rPr>
                <w:rFonts w:ascii="Verdana" w:eastAsia="Calibri" w:hAnsi="Verdana" w:cs="Calibri"/>
                <w:color w:val="000000" w:themeColor="text1"/>
                <w:sz w:val="20"/>
                <w:szCs w:val="20"/>
              </w:rPr>
              <w:t>Building</w:t>
            </w:r>
          </w:p>
        </w:tc>
        <w:tc>
          <w:tcPr>
            <w:tcW w:w="4665" w:type="dxa"/>
          </w:tcPr>
          <w:p w14:paraId="6BEC0A7A" w14:textId="0F500907" w:rsidR="00327A37" w:rsidRPr="00AF2A14" w:rsidRDefault="00327A37" w:rsidP="00327A37">
            <w:pPr>
              <w:rPr>
                <w:rFonts w:ascii="Verdana" w:eastAsia="Calibri" w:hAnsi="Verdana" w:cs="Calibri"/>
                <w:color w:val="000000" w:themeColor="text1"/>
                <w:sz w:val="20"/>
                <w:szCs w:val="20"/>
              </w:rPr>
            </w:pPr>
            <w:r w:rsidRPr="00AF2A14">
              <w:rPr>
                <w:rFonts w:ascii="Verdana" w:eastAsia="Calibri" w:hAnsi="Verdana" w:cs="Calibri"/>
                <w:color w:val="000000" w:themeColor="text1"/>
                <w:sz w:val="20"/>
                <w:szCs w:val="20"/>
              </w:rPr>
              <w:t xml:space="preserve">1. Initiate, plan and coordinate the implementation of the Training and Capacity-Building work </w:t>
            </w:r>
            <w:proofErr w:type="spellStart"/>
            <w:r w:rsidRPr="00AF2A14">
              <w:rPr>
                <w:rFonts w:ascii="Verdana" w:eastAsia="Calibri" w:hAnsi="Verdana" w:cs="Calibri"/>
                <w:color w:val="000000" w:themeColor="text1"/>
                <w:sz w:val="20"/>
                <w:szCs w:val="20"/>
              </w:rPr>
              <w:t>programme</w:t>
            </w:r>
            <w:proofErr w:type="spellEnd"/>
            <w:r w:rsidRPr="00AF2A14">
              <w:rPr>
                <w:rFonts w:ascii="Verdana" w:eastAsia="Calibri" w:hAnsi="Verdana" w:cs="Calibri"/>
                <w:color w:val="000000" w:themeColor="text1"/>
                <w:sz w:val="20"/>
                <w:szCs w:val="20"/>
              </w:rPr>
              <w:t xml:space="preserve"> including</w:t>
            </w:r>
            <w:proofErr w:type="gramStart"/>
            <w:r w:rsidRPr="00AF2A14">
              <w:rPr>
                <w:rFonts w:ascii="Verdana" w:eastAsia="Calibri" w:hAnsi="Verdana" w:cs="Calibri"/>
                <w:color w:val="000000" w:themeColor="text1"/>
                <w:sz w:val="20"/>
                <w:szCs w:val="20"/>
              </w:rPr>
              <w:t>, in particular, the</w:t>
            </w:r>
            <w:proofErr w:type="gramEnd"/>
            <w:r w:rsidRPr="00AF2A14">
              <w:rPr>
                <w:rFonts w:ascii="Verdana" w:eastAsia="Calibri" w:hAnsi="Verdana" w:cs="Calibri"/>
                <w:color w:val="000000" w:themeColor="text1"/>
                <w:sz w:val="20"/>
                <w:szCs w:val="20"/>
              </w:rPr>
              <w:t xml:space="preserve"> regular Training Course on Buoy </w:t>
            </w:r>
            <w:proofErr w:type="spellStart"/>
            <w:r w:rsidRPr="00AF2A14">
              <w:rPr>
                <w:rFonts w:ascii="Verdana" w:eastAsia="Calibri" w:hAnsi="Verdana" w:cs="Calibri"/>
                <w:color w:val="000000" w:themeColor="text1"/>
                <w:sz w:val="20"/>
                <w:szCs w:val="20"/>
              </w:rPr>
              <w:t>Programme</w:t>
            </w:r>
            <w:proofErr w:type="spellEnd"/>
            <w:r w:rsidRPr="00AF2A14">
              <w:rPr>
                <w:rFonts w:ascii="Verdana" w:eastAsia="Calibri" w:hAnsi="Verdana" w:cs="Calibri"/>
                <w:color w:val="000000" w:themeColor="text1"/>
                <w:sz w:val="20"/>
                <w:szCs w:val="20"/>
              </w:rPr>
              <w:t xml:space="preserve"> Implementation and Data Management;</w:t>
            </w:r>
            <w:r w:rsidRPr="00AF2A14">
              <w:rPr>
                <w:rFonts w:ascii="Verdana" w:hAnsi="Verdana"/>
                <w:sz w:val="20"/>
                <w:szCs w:val="20"/>
              </w:rPr>
              <w:br/>
            </w:r>
            <w:r w:rsidRPr="00AF2A14">
              <w:rPr>
                <w:rFonts w:ascii="Verdana" w:eastAsia="Calibri" w:hAnsi="Verdana" w:cs="Calibri"/>
                <w:color w:val="000000" w:themeColor="text1"/>
                <w:sz w:val="20"/>
                <w:szCs w:val="20"/>
              </w:rPr>
              <w:t xml:space="preserve"> 2. Keep under review existing training material (paper and electronic) and advise on updating as well as for the development of new material;</w:t>
            </w:r>
            <w:r w:rsidRPr="00AF2A14">
              <w:rPr>
                <w:rFonts w:ascii="Verdana" w:hAnsi="Verdana"/>
                <w:sz w:val="20"/>
                <w:szCs w:val="20"/>
              </w:rPr>
              <w:br/>
            </w:r>
            <w:r w:rsidRPr="00AF2A14">
              <w:rPr>
                <w:rFonts w:ascii="Verdana" w:eastAsia="Calibri" w:hAnsi="Verdana" w:cs="Calibri"/>
                <w:color w:val="000000" w:themeColor="text1"/>
                <w:sz w:val="20"/>
                <w:szCs w:val="20"/>
              </w:rPr>
              <w:t xml:space="preserve"> 3. Review and assess national, regional, and global requirements for capacity-building and develop / improve programmes as appropriate;</w:t>
            </w:r>
            <w:r w:rsidRPr="00AF2A14">
              <w:rPr>
                <w:rFonts w:ascii="Verdana" w:hAnsi="Verdana"/>
                <w:sz w:val="20"/>
                <w:szCs w:val="20"/>
              </w:rPr>
              <w:br/>
            </w:r>
            <w:r w:rsidRPr="00AF2A14">
              <w:rPr>
                <w:rFonts w:ascii="Verdana" w:eastAsia="Calibri" w:hAnsi="Verdana" w:cs="Calibri"/>
                <w:color w:val="000000" w:themeColor="text1"/>
                <w:sz w:val="20"/>
                <w:szCs w:val="20"/>
              </w:rPr>
              <w:t xml:space="preserve"> 4. Liaise with other capacity-building programmes in relevant areas to develop and implement integrated activities, to explore potential synergies and opportunities for efficiently using resources available; liaise </w:t>
            </w:r>
            <w:proofErr w:type="gramStart"/>
            <w:r w:rsidRPr="00AF2A14">
              <w:rPr>
                <w:rFonts w:ascii="Verdana" w:eastAsia="Calibri" w:hAnsi="Verdana" w:cs="Calibri"/>
                <w:color w:val="000000" w:themeColor="text1"/>
                <w:sz w:val="20"/>
                <w:szCs w:val="20"/>
              </w:rPr>
              <w:t>in particular with</w:t>
            </w:r>
            <w:proofErr w:type="gramEnd"/>
            <w:r w:rsidRPr="00AF2A14">
              <w:rPr>
                <w:rFonts w:ascii="Verdana" w:eastAsia="Calibri" w:hAnsi="Verdana" w:cs="Calibri"/>
                <w:color w:val="000000" w:themeColor="text1"/>
                <w:sz w:val="20"/>
                <w:szCs w:val="20"/>
              </w:rPr>
              <w:t xml:space="preserve"> the GOOS OCG cross-cutting Team on Capacity-Building;</w:t>
            </w:r>
            <w:r w:rsidRPr="00AF2A14">
              <w:rPr>
                <w:rFonts w:ascii="Verdana" w:hAnsi="Verdana"/>
                <w:sz w:val="20"/>
                <w:szCs w:val="20"/>
              </w:rPr>
              <w:br/>
            </w:r>
            <w:r w:rsidRPr="00AF2A14">
              <w:rPr>
                <w:rFonts w:ascii="Verdana" w:eastAsia="Calibri" w:hAnsi="Verdana" w:cs="Calibri"/>
                <w:color w:val="000000" w:themeColor="text1"/>
                <w:sz w:val="20"/>
                <w:szCs w:val="20"/>
              </w:rPr>
              <w:t xml:space="preserve"> 5. Endeavour to mobilize the resources required for DBCP capacity-building, including those needed for the implementation of the Training Courses;</w:t>
            </w:r>
            <w:r w:rsidRPr="00AF2A14">
              <w:rPr>
                <w:rFonts w:ascii="Verdana" w:hAnsi="Verdana"/>
                <w:sz w:val="20"/>
                <w:szCs w:val="20"/>
              </w:rPr>
              <w:br/>
            </w:r>
            <w:r w:rsidRPr="00AF2A14">
              <w:rPr>
                <w:rFonts w:ascii="Verdana" w:eastAsia="Calibri" w:hAnsi="Verdana" w:cs="Calibri"/>
                <w:color w:val="000000" w:themeColor="text1"/>
                <w:sz w:val="20"/>
                <w:szCs w:val="20"/>
              </w:rPr>
              <w:t xml:space="preserve"> 6. Make recommendations to the DBCP Executive Board and / or the DBCP for addressing the issues above; and</w:t>
            </w:r>
            <w:r w:rsidRPr="00AF2A14">
              <w:rPr>
                <w:rFonts w:ascii="Verdana" w:hAnsi="Verdana"/>
                <w:sz w:val="20"/>
                <w:szCs w:val="20"/>
              </w:rPr>
              <w:br/>
            </w:r>
            <w:r w:rsidRPr="00AF2A14">
              <w:rPr>
                <w:rFonts w:ascii="Verdana" w:eastAsia="Calibri" w:hAnsi="Verdana" w:cs="Calibri"/>
                <w:color w:val="000000" w:themeColor="text1"/>
                <w:sz w:val="20"/>
                <w:szCs w:val="20"/>
              </w:rPr>
              <w:t xml:space="preserve"> 7. Report to the DBCP Executive Board and the DBCP at its Sessions.</w:t>
            </w:r>
          </w:p>
          <w:p w14:paraId="515167D2" w14:textId="25B41F66" w:rsidR="00327A37" w:rsidRPr="00AF2A14" w:rsidRDefault="006177E4" w:rsidP="006177E4">
            <w:pPr>
              <w:rPr>
                <w:rFonts w:ascii="Verdana" w:eastAsiaTheme="minorEastAsia" w:hAnsi="Verdana"/>
                <w:color w:val="201F1E"/>
                <w:sz w:val="20"/>
                <w:szCs w:val="20"/>
              </w:rPr>
            </w:pPr>
            <w:r w:rsidRPr="00AF2A14">
              <w:rPr>
                <w:rFonts w:ascii="Verdana" w:eastAsia="Calibri" w:hAnsi="Verdana" w:cs="Calibri"/>
                <w:color w:val="201F1E"/>
                <w:sz w:val="20"/>
                <w:szCs w:val="20"/>
              </w:rPr>
              <w:t>8.</w:t>
            </w:r>
            <w:r w:rsidR="0099392B" w:rsidRPr="00AF2A14">
              <w:rPr>
                <w:rFonts w:ascii="Verdana" w:eastAsia="Calibri" w:hAnsi="Verdana" w:cs="Calibri"/>
                <w:color w:val="201F1E"/>
                <w:sz w:val="20"/>
                <w:szCs w:val="20"/>
              </w:rPr>
              <w:t>W</w:t>
            </w:r>
            <w:r w:rsidR="00327A37" w:rsidRPr="00AF2A14">
              <w:rPr>
                <w:rFonts w:ascii="Verdana" w:eastAsia="Calibri" w:hAnsi="Verdana" w:cs="Calibri"/>
                <w:color w:val="201F1E"/>
                <w:sz w:val="20"/>
                <w:szCs w:val="20"/>
              </w:rPr>
              <w:t xml:space="preserve">ork with WMO Global campus and CD activities, IOC/IODE Ocean Teacher Global Academy, and OCG CD activities, incl. information sharing and notification, with marine services, regional fora (WMO Regional Alliances, IOC regional </w:t>
            </w:r>
            <w:r w:rsidR="00327A37" w:rsidRPr="00AF2A14">
              <w:rPr>
                <w:rFonts w:ascii="Verdana" w:eastAsia="Calibri" w:hAnsi="Verdana" w:cs="Calibri"/>
                <w:color w:val="201F1E"/>
                <w:sz w:val="20"/>
                <w:szCs w:val="20"/>
              </w:rPr>
              <w:lastRenderedPageBreak/>
              <w:t xml:space="preserve">commissions), SIDS, role of Regional Marine Instrument </w:t>
            </w:r>
            <w:proofErr w:type="spellStart"/>
            <w:r w:rsidR="00327A37" w:rsidRPr="00AF2A14">
              <w:rPr>
                <w:rFonts w:ascii="Verdana" w:eastAsia="Calibri" w:hAnsi="Verdana" w:cs="Calibri"/>
                <w:color w:val="201F1E"/>
                <w:sz w:val="20"/>
                <w:szCs w:val="20"/>
              </w:rPr>
              <w:t>Centres</w:t>
            </w:r>
            <w:proofErr w:type="spellEnd"/>
            <w:r w:rsidR="00327A37" w:rsidRPr="00AF2A14">
              <w:rPr>
                <w:rFonts w:ascii="Verdana" w:eastAsia="Calibri" w:hAnsi="Verdana" w:cs="Calibri"/>
                <w:color w:val="201F1E"/>
                <w:sz w:val="20"/>
                <w:szCs w:val="20"/>
              </w:rPr>
              <w:t xml:space="preserve"> etc. Synergy and prioritization needed</w:t>
            </w:r>
          </w:p>
          <w:p w14:paraId="517856DC" w14:textId="7CB8CC68" w:rsidR="00327A37" w:rsidRPr="00AF2A14" w:rsidRDefault="0099392B" w:rsidP="0099392B">
            <w:pPr>
              <w:rPr>
                <w:rFonts w:ascii="Verdana" w:eastAsia="Calibri" w:hAnsi="Verdana" w:cs="Calibri"/>
                <w:color w:val="201F1E"/>
                <w:sz w:val="20"/>
                <w:szCs w:val="20"/>
              </w:rPr>
            </w:pPr>
            <w:r w:rsidRPr="00AF2A14">
              <w:rPr>
                <w:rFonts w:ascii="Verdana" w:eastAsia="Calibri" w:hAnsi="Verdana" w:cs="Calibri"/>
                <w:color w:val="201F1E"/>
                <w:sz w:val="20"/>
                <w:szCs w:val="20"/>
              </w:rPr>
              <w:t>9.</w:t>
            </w:r>
            <w:r w:rsidR="00327A37" w:rsidRPr="00AF2A14">
              <w:rPr>
                <w:rFonts w:ascii="Verdana" w:eastAsia="Calibri" w:hAnsi="Verdana" w:cs="Calibri"/>
                <w:color w:val="201F1E"/>
                <w:sz w:val="20"/>
                <w:szCs w:val="20"/>
              </w:rPr>
              <w:t>TT-CB set up dialogue with WMO ETR, and WMO oceans coordinator and other stakeholders</w:t>
            </w:r>
          </w:p>
          <w:p w14:paraId="5886A0E6" w14:textId="3D990C01" w:rsidR="002D4162" w:rsidRPr="00AF2A14" w:rsidRDefault="002D4162" w:rsidP="0099392B">
            <w:pPr>
              <w:rPr>
                <w:rFonts w:ascii="Verdana" w:eastAsiaTheme="minorEastAsia" w:hAnsi="Verdana"/>
                <w:color w:val="201F1E"/>
                <w:sz w:val="20"/>
                <w:szCs w:val="20"/>
              </w:rPr>
            </w:pPr>
            <w:r w:rsidRPr="00AF2A14">
              <w:rPr>
                <w:rFonts w:ascii="Verdana" w:eastAsia="Calibri" w:hAnsi="Verdana" w:cs="Calibri"/>
                <w:color w:val="201F1E"/>
                <w:sz w:val="20"/>
                <w:szCs w:val="20"/>
              </w:rPr>
              <w:t xml:space="preserve">10. </w:t>
            </w:r>
            <w:r w:rsidRPr="00AF2A14">
              <w:rPr>
                <w:rFonts w:ascii="Verdana" w:eastAsia="Calibri" w:hAnsi="Verdana" w:cs="Calibri"/>
                <w:color w:val="000000" w:themeColor="text1"/>
                <w:sz w:val="20"/>
                <w:szCs w:val="20"/>
              </w:rPr>
              <w:t>Propose to the DBCP and its Executive Board any evaluation activities and pilot projects that it deems beneficial to drifting buoy operators</w:t>
            </w:r>
          </w:p>
          <w:p w14:paraId="32AE368A" w14:textId="2F8EA08A" w:rsidR="00327A37" w:rsidRPr="00AF2A14" w:rsidRDefault="00327A37" w:rsidP="00327A37">
            <w:pPr>
              <w:rPr>
                <w:rFonts w:ascii="Verdana" w:eastAsia="Calibri" w:hAnsi="Verdana" w:cs="Calibri"/>
                <w:color w:val="000000" w:themeColor="text1"/>
                <w:sz w:val="20"/>
                <w:szCs w:val="20"/>
              </w:rPr>
            </w:pPr>
          </w:p>
        </w:tc>
        <w:tc>
          <w:tcPr>
            <w:tcW w:w="2551" w:type="dxa"/>
          </w:tcPr>
          <w:p w14:paraId="26FC9B7C" w14:textId="221601C4" w:rsidR="00327A37" w:rsidRPr="00AF2A14" w:rsidRDefault="00327A37" w:rsidP="00327A37">
            <w:pPr>
              <w:rPr>
                <w:rFonts w:ascii="Verdana" w:hAnsi="Verdana"/>
                <w:sz w:val="20"/>
                <w:szCs w:val="20"/>
              </w:rPr>
            </w:pPr>
            <w:r w:rsidRPr="00AF2A14">
              <w:rPr>
                <w:rFonts w:ascii="Verdana" w:hAnsi="Verdana"/>
                <w:sz w:val="20"/>
                <w:szCs w:val="20"/>
              </w:rPr>
              <w:lastRenderedPageBreak/>
              <w:t>1. Impact and value</w:t>
            </w:r>
          </w:p>
          <w:p w14:paraId="1A36DDCA" w14:textId="05E2F618" w:rsidR="00327A37" w:rsidRPr="00AF2A14" w:rsidRDefault="00327A37" w:rsidP="00327A37">
            <w:pPr>
              <w:rPr>
                <w:rFonts w:ascii="Verdana" w:hAnsi="Verdana"/>
                <w:sz w:val="20"/>
                <w:szCs w:val="20"/>
              </w:rPr>
            </w:pPr>
            <w:r w:rsidRPr="00AF2A14">
              <w:rPr>
                <w:rFonts w:ascii="Verdana" w:hAnsi="Verdana"/>
                <w:sz w:val="20"/>
                <w:szCs w:val="20"/>
              </w:rPr>
              <w:t>4. Environmental protection</w:t>
            </w:r>
          </w:p>
          <w:p w14:paraId="0D74DB60" w14:textId="46212892" w:rsidR="00327A37" w:rsidRPr="00AF2A14" w:rsidRDefault="00327A37" w:rsidP="00327A37">
            <w:pPr>
              <w:rPr>
                <w:rFonts w:ascii="Verdana" w:hAnsi="Verdana"/>
                <w:sz w:val="20"/>
                <w:szCs w:val="20"/>
              </w:rPr>
            </w:pPr>
            <w:r w:rsidRPr="00AF2A14">
              <w:rPr>
                <w:rFonts w:ascii="Verdana" w:hAnsi="Verdana"/>
                <w:sz w:val="20"/>
                <w:szCs w:val="20"/>
              </w:rPr>
              <w:t>5. International cooperation and partnerships</w:t>
            </w:r>
          </w:p>
          <w:p w14:paraId="067CC82A" w14:textId="42704B07" w:rsidR="00327A37" w:rsidRPr="00AF2A14" w:rsidRDefault="00327A37" w:rsidP="00327A37">
            <w:pPr>
              <w:rPr>
                <w:rFonts w:ascii="Verdana" w:hAnsi="Verdana"/>
                <w:sz w:val="20"/>
                <w:szCs w:val="20"/>
              </w:rPr>
            </w:pPr>
            <w:r w:rsidRPr="00AF2A14">
              <w:rPr>
                <w:rFonts w:ascii="Verdana" w:hAnsi="Verdana"/>
                <w:sz w:val="20"/>
                <w:szCs w:val="20"/>
              </w:rPr>
              <w:t>6 Diversity and inclusivity</w:t>
            </w:r>
          </w:p>
          <w:p w14:paraId="197B5A64" w14:textId="025F3704" w:rsidR="00327A37" w:rsidRPr="00AF2A14" w:rsidRDefault="00327A37" w:rsidP="00327A37">
            <w:pPr>
              <w:rPr>
                <w:rFonts w:ascii="Verdana" w:hAnsi="Verdana"/>
                <w:sz w:val="20"/>
                <w:szCs w:val="20"/>
              </w:rPr>
            </w:pPr>
          </w:p>
        </w:tc>
        <w:tc>
          <w:tcPr>
            <w:tcW w:w="5084" w:type="dxa"/>
          </w:tcPr>
          <w:p w14:paraId="0B1623D8" w14:textId="22142E5D" w:rsidR="00EB4E33" w:rsidRPr="00AF2A14" w:rsidRDefault="00EB4E33" w:rsidP="00327A37">
            <w:pPr>
              <w:rPr>
                <w:rFonts w:ascii="Verdana" w:hAnsi="Verdana"/>
                <w:sz w:val="20"/>
                <w:szCs w:val="20"/>
              </w:rPr>
            </w:pPr>
            <w:r w:rsidRPr="00AF2A14">
              <w:rPr>
                <w:rFonts w:ascii="Verdana" w:hAnsi="Verdana"/>
                <w:sz w:val="20"/>
                <w:szCs w:val="20"/>
              </w:rPr>
              <w:t xml:space="preserve">1.1 Focus on understanding our users' needs along the value chain and deepen our relationships with them. </w:t>
            </w:r>
          </w:p>
          <w:p w14:paraId="128CDD73" w14:textId="3B356951" w:rsidR="00327A37" w:rsidRPr="00AF2A14" w:rsidRDefault="00327A37" w:rsidP="00327A37">
            <w:pPr>
              <w:rPr>
                <w:rFonts w:ascii="Verdana" w:hAnsi="Verdana"/>
                <w:sz w:val="20"/>
                <w:szCs w:val="20"/>
              </w:rPr>
            </w:pPr>
            <w:r w:rsidRPr="00AF2A14">
              <w:rPr>
                <w:rFonts w:ascii="Verdana" w:hAnsi="Verdana"/>
                <w:sz w:val="20"/>
                <w:szCs w:val="20"/>
              </w:rPr>
              <w:t xml:space="preserve">1.3 Promote the use of data from ocean buoys among DBCP members, partners and other users for scientific research into air-sea interaction, ocean circulation, extreme events, and climate, ocean, weather and earth system prediction. </w:t>
            </w:r>
          </w:p>
          <w:p w14:paraId="41182DB0" w14:textId="77777777" w:rsidR="00327A37" w:rsidRPr="00AF2A14" w:rsidRDefault="00327A37" w:rsidP="00327A37">
            <w:pPr>
              <w:rPr>
                <w:rFonts w:ascii="Verdana" w:hAnsi="Verdana"/>
                <w:sz w:val="20"/>
                <w:szCs w:val="20"/>
              </w:rPr>
            </w:pPr>
            <w:r w:rsidRPr="00AF2A14">
              <w:rPr>
                <w:rFonts w:ascii="Verdana" w:hAnsi="Verdana"/>
                <w:sz w:val="20"/>
                <w:szCs w:val="20"/>
              </w:rPr>
              <w:t>1.6 Derive and report on metrics and key performance indicators based on user impact and value, in partnership with other global ocean observing networks and through WMO and GOOS processes.</w:t>
            </w:r>
          </w:p>
          <w:p w14:paraId="579D9985" w14:textId="77777777" w:rsidR="00327A37" w:rsidRPr="00AF2A14" w:rsidRDefault="00327A37" w:rsidP="00327A37">
            <w:pPr>
              <w:pStyle w:val="CommentText"/>
              <w:rPr>
                <w:rFonts w:ascii="Verdana" w:hAnsi="Verdana"/>
              </w:rPr>
            </w:pPr>
            <w:r w:rsidRPr="00AF2A14">
              <w:rPr>
                <w:rFonts w:ascii="Verdana" w:hAnsi="Verdana"/>
              </w:rPr>
              <w:t>1.8 Follow and promote international data-sharing practices consistent with WMO and IOC data principles to make our data freely available to maximize impact and value for our users. in coordination with other global ocean observing networks to enhance clarity, transparency and efficiency in the use of data, metadata, operational methods and science-based approaches.</w:t>
            </w:r>
          </w:p>
          <w:p w14:paraId="703C80D0" w14:textId="77777777" w:rsidR="00327A37" w:rsidRPr="00AF2A14" w:rsidRDefault="00327A37" w:rsidP="00327A37">
            <w:pPr>
              <w:rPr>
                <w:rFonts w:ascii="Verdana" w:hAnsi="Verdana"/>
                <w:sz w:val="20"/>
                <w:szCs w:val="20"/>
              </w:rPr>
            </w:pPr>
            <w:r w:rsidRPr="00AF2A14">
              <w:rPr>
                <w:rFonts w:ascii="Verdana" w:hAnsi="Verdana"/>
                <w:sz w:val="20"/>
                <w:szCs w:val="20"/>
              </w:rPr>
              <w:t xml:space="preserve">4.1 Establish a task team focusing on environmental impacts to develop, review and promote principles and best practices that minimize our impact on the environment. </w:t>
            </w:r>
          </w:p>
          <w:p w14:paraId="5C269B94" w14:textId="77777777" w:rsidR="00327A37" w:rsidRPr="00AF2A14" w:rsidRDefault="00327A37" w:rsidP="00327A37">
            <w:pPr>
              <w:rPr>
                <w:rFonts w:ascii="Verdana" w:hAnsi="Verdana"/>
                <w:sz w:val="20"/>
                <w:szCs w:val="20"/>
              </w:rPr>
            </w:pPr>
            <w:r w:rsidRPr="00AF2A14">
              <w:rPr>
                <w:rFonts w:ascii="Verdana" w:hAnsi="Verdana"/>
                <w:sz w:val="20"/>
                <w:szCs w:val="20"/>
              </w:rPr>
              <w:t xml:space="preserve">4.2 Work with our ocean observing network partners to baseline and continuously review our environmental impact.  </w:t>
            </w:r>
          </w:p>
          <w:p w14:paraId="502B6BE2" w14:textId="77777777" w:rsidR="00327A37" w:rsidRPr="00AF2A14" w:rsidRDefault="00327A37" w:rsidP="00327A37">
            <w:pPr>
              <w:rPr>
                <w:rFonts w:ascii="Verdana" w:hAnsi="Verdana"/>
                <w:sz w:val="20"/>
                <w:szCs w:val="20"/>
              </w:rPr>
            </w:pPr>
            <w:r w:rsidRPr="00AF2A14">
              <w:rPr>
                <w:rFonts w:ascii="Verdana" w:hAnsi="Verdana"/>
                <w:sz w:val="20"/>
                <w:szCs w:val="20"/>
              </w:rPr>
              <w:t>5.1 Foster collaboration and leverage partnerships where they meet greatest user needs.</w:t>
            </w:r>
          </w:p>
          <w:p w14:paraId="7B248528" w14:textId="01E76990" w:rsidR="00327A37" w:rsidRPr="00941C81" w:rsidRDefault="00CE752B" w:rsidP="00CE752B">
            <w:pPr>
              <w:rPr>
                <w:rFonts w:ascii="Verdana" w:hAnsi="Verdana"/>
                <w:sz w:val="20"/>
                <w:szCs w:val="20"/>
              </w:rPr>
            </w:pPr>
            <w:r w:rsidRPr="00AF2A14">
              <w:rPr>
                <w:rFonts w:ascii="Verdana" w:hAnsi="Verdana"/>
                <w:sz w:val="20"/>
                <w:szCs w:val="20"/>
              </w:rPr>
              <w:t>5.3 Grow membership of our panel by developing outreach materials and channels for communication and engagement</w:t>
            </w:r>
          </w:p>
        </w:tc>
      </w:tr>
    </w:tbl>
    <w:p w14:paraId="2C078E63" w14:textId="69926AC2" w:rsidR="00776907" w:rsidRPr="00941C81" w:rsidRDefault="00776907" w:rsidP="211E1C6A">
      <w:pPr>
        <w:rPr>
          <w:rFonts w:ascii="Verdana" w:hAnsi="Verdana"/>
          <w:sz w:val="20"/>
          <w:szCs w:val="20"/>
        </w:rPr>
      </w:pPr>
    </w:p>
    <w:sectPr w:rsidR="00776907" w:rsidRPr="00941C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49B"/>
    <w:multiLevelType w:val="hybridMultilevel"/>
    <w:tmpl w:val="2CDEA9D0"/>
    <w:lvl w:ilvl="0" w:tplc="2CA29C84">
      <w:start w:val="1"/>
      <w:numFmt w:val="decimal"/>
      <w:lvlText w:val="%1."/>
      <w:lvlJc w:val="left"/>
      <w:pPr>
        <w:ind w:left="720" w:hanging="360"/>
      </w:pPr>
    </w:lvl>
    <w:lvl w:ilvl="1" w:tplc="F6884EA2">
      <w:start w:val="1"/>
      <w:numFmt w:val="lowerLetter"/>
      <w:lvlText w:val="%2."/>
      <w:lvlJc w:val="left"/>
      <w:pPr>
        <w:ind w:left="1440" w:hanging="360"/>
      </w:pPr>
    </w:lvl>
    <w:lvl w:ilvl="2" w:tplc="F69A13F4">
      <w:start w:val="1"/>
      <w:numFmt w:val="lowerRoman"/>
      <w:lvlText w:val="%3."/>
      <w:lvlJc w:val="right"/>
      <w:pPr>
        <w:ind w:left="2160" w:hanging="180"/>
      </w:pPr>
    </w:lvl>
    <w:lvl w:ilvl="3" w:tplc="E4E02596">
      <w:start w:val="1"/>
      <w:numFmt w:val="decimal"/>
      <w:lvlText w:val="%4."/>
      <w:lvlJc w:val="left"/>
      <w:pPr>
        <w:ind w:left="2880" w:hanging="360"/>
      </w:pPr>
    </w:lvl>
    <w:lvl w:ilvl="4" w:tplc="2DA461C0">
      <w:start w:val="1"/>
      <w:numFmt w:val="lowerLetter"/>
      <w:lvlText w:val="%5."/>
      <w:lvlJc w:val="left"/>
      <w:pPr>
        <w:ind w:left="3600" w:hanging="360"/>
      </w:pPr>
    </w:lvl>
    <w:lvl w:ilvl="5" w:tplc="959E397E">
      <w:start w:val="1"/>
      <w:numFmt w:val="lowerRoman"/>
      <w:lvlText w:val="%6."/>
      <w:lvlJc w:val="right"/>
      <w:pPr>
        <w:ind w:left="4320" w:hanging="180"/>
      </w:pPr>
    </w:lvl>
    <w:lvl w:ilvl="6" w:tplc="291C98F8">
      <w:start w:val="1"/>
      <w:numFmt w:val="decimal"/>
      <w:lvlText w:val="%7."/>
      <w:lvlJc w:val="left"/>
      <w:pPr>
        <w:ind w:left="5040" w:hanging="360"/>
      </w:pPr>
    </w:lvl>
    <w:lvl w:ilvl="7" w:tplc="D646F1D8">
      <w:start w:val="1"/>
      <w:numFmt w:val="lowerLetter"/>
      <w:lvlText w:val="%8."/>
      <w:lvlJc w:val="left"/>
      <w:pPr>
        <w:ind w:left="5760" w:hanging="360"/>
      </w:pPr>
    </w:lvl>
    <w:lvl w:ilvl="8" w:tplc="A5541F90">
      <w:start w:val="1"/>
      <w:numFmt w:val="lowerRoman"/>
      <w:lvlText w:val="%9."/>
      <w:lvlJc w:val="right"/>
      <w:pPr>
        <w:ind w:left="6480" w:hanging="180"/>
      </w:pPr>
    </w:lvl>
  </w:abstractNum>
  <w:abstractNum w:abstractNumId="1" w15:restartNumberingAfterBreak="0">
    <w:nsid w:val="24300D5F"/>
    <w:multiLevelType w:val="hybridMultilevel"/>
    <w:tmpl w:val="5F12A7B8"/>
    <w:lvl w:ilvl="0" w:tplc="AB22DE04">
      <w:start w:val="1"/>
      <w:numFmt w:val="decimal"/>
      <w:lvlText w:val="%1."/>
      <w:lvlJc w:val="left"/>
      <w:pPr>
        <w:ind w:left="720" w:hanging="360"/>
      </w:pPr>
    </w:lvl>
    <w:lvl w:ilvl="1" w:tplc="D758CF82">
      <w:start w:val="1"/>
      <w:numFmt w:val="lowerLetter"/>
      <w:lvlText w:val="%2."/>
      <w:lvlJc w:val="left"/>
      <w:pPr>
        <w:ind w:left="1440" w:hanging="360"/>
      </w:pPr>
    </w:lvl>
    <w:lvl w:ilvl="2" w:tplc="2C7020FE">
      <w:start w:val="1"/>
      <w:numFmt w:val="lowerRoman"/>
      <w:lvlText w:val="%3."/>
      <w:lvlJc w:val="right"/>
      <w:pPr>
        <w:ind w:left="2160" w:hanging="180"/>
      </w:pPr>
    </w:lvl>
    <w:lvl w:ilvl="3" w:tplc="2506C3DA">
      <w:start w:val="1"/>
      <w:numFmt w:val="decimal"/>
      <w:lvlText w:val="%4."/>
      <w:lvlJc w:val="left"/>
      <w:pPr>
        <w:ind w:left="2880" w:hanging="360"/>
      </w:pPr>
    </w:lvl>
    <w:lvl w:ilvl="4" w:tplc="22126B62">
      <w:start w:val="1"/>
      <w:numFmt w:val="lowerLetter"/>
      <w:lvlText w:val="%5."/>
      <w:lvlJc w:val="left"/>
      <w:pPr>
        <w:ind w:left="3600" w:hanging="360"/>
      </w:pPr>
    </w:lvl>
    <w:lvl w:ilvl="5" w:tplc="0D40D626">
      <w:start w:val="1"/>
      <w:numFmt w:val="lowerRoman"/>
      <w:lvlText w:val="%6."/>
      <w:lvlJc w:val="right"/>
      <w:pPr>
        <w:ind w:left="4320" w:hanging="180"/>
      </w:pPr>
    </w:lvl>
    <w:lvl w:ilvl="6" w:tplc="1714C060">
      <w:start w:val="1"/>
      <w:numFmt w:val="decimal"/>
      <w:lvlText w:val="%7."/>
      <w:lvlJc w:val="left"/>
      <w:pPr>
        <w:ind w:left="5040" w:hanging="360"/>
      </w:pPr>
    </w:lvl>
    <w:lvl w:ilvl="7" w:tplc="93A84128">
      <w:start w:val="1"/>
      <w:numFmt w:val="lowerLetter"/>
      <w:lvlText w:val="%8."/>
      <w:lvlJc w:val="left"/>
      <w:pPr>
        <w:ind w:left="5760" w:hanging="360"/>
      </w:pPr>
    </w:lvl>
    <w:lvl w:ilvl="8" w:tplc="26C0E942">
      <w:start w:val="1"/>
      <w:numFmt w:val="lowerRoman"/>
      <w:lvlText w:val="%9."/>
      <w:lvlJc w:val="right"/>
      <w:pPr>
        <w:ind w:left="6480" w:hanging="180"/>
      </w:pPr>
    </w:lvl>
  </w:abstractNum>
  <w:abstractNum w:abstractNumId="2" w15:restartNumberingAfterBreak="0">
    <w:nsid w:val="36337F4D"/>
    <w:multiLevelType w:val="hybridMultilevel"/>
    <w:tmpl w:val="F78AF6D8"/>
    <w:lvl w:ilvl="0" w:tplc="82F8EAFE">
      <w:start w:val="1"/>
      <w:numFmt w:val="decimal"/>
      <w:lvlText w:val="%1."/>
      <w:lvlJc w:val="left"/>
      <w:pPr>
        <w:ind w:left="720" w:hanging="360"/>
      </w:pPr>
    </w:lvl>
    <w:lvl w:ilvl="1" w:tplc="CCA203E6">
      <w:start w:val="1"/>
      <w:numFmt w:val="lowerLetter"/>
      <w:lvlText w:val="%2."/>
      <w:lvlJc w:val="left"/>
      <w:pPr>
        <w:ind w:left="1440" w:hanging="360"/>
      </w:pPr>
    </w:lvl>
    <w:lvl w:ilvl="2" w:tplc="E7C873BA">
      <w:start w:val="1"/>
      <w:numFmt w:val="lowerRoman"/>
      <w:lvlText w:val="%3."/>
      <w:lvlJc w:val="right"/>
      <w:pPr>
        <w:ind w:left="2160" w:hanging="180"/>
      </w:pPr>
    </w:lvl>
    <w:lvl w:ilvl="3" w:tplc="0DB2B1D8">
      <w:start w:val="1"/>
      <w:numFmt w:val="decimal"/>
      <w:lvlText w:val="%4."/>
      <w:lvlJc w:val="left"/>
      <w:pPr>
        <w:ind w:left="2880" w:hanging="360"/>
      </w:pPr>
    </w:lvl>
    <w:lvl w:ilvl="4" w:tplc="2DF2EE64">
      <w:start w:val="1"/>
      <w:numFmt w:val="lowerLetter"/>
      <w:lvlText w:val="%5."/>
      <w:lvlJc w:val="left"/>
      <w:pPr>
        <w:ind w:left="3600" w:hanging="360"/>
      </w:pPr>
    </w:lvl>
    <w:lvl w:ilvl="5" w:tplc="3B7A03DA">
      <w:start w:val="1"/>
      <w:numFmt w:val="lowerRoman"/>
      <w:lvlText w:val="%6."/>
      <w:lvlJc w:val="right"/>
      <w:pPr>
        <w:ind w:left="4320" w:hanging="180"/>
      </w:pPr>
    </w:lvl>
    <w:lvl w:ilvl="6" w:tplc="18E0CFD2">
      <w:start w:val="1"/>
      <w:numFmt w:val="decimal"/>
      <w:lvlText w:val="%7."/>
      <w:lvlJc w:val="left"/>
      <w:pPr>
        <w:ind w:left="5040" w:hanging="360"/>
      </w:pPr>
    </w:lvl>
    <w:lvl w:ilvl="7" w:tplc="56C2E0D6">
      <w:start w:val="1"/>
      <w:numFmt w:val="lowerLetter"/>
      <w:lvlText w:val="%8."/>
      <w:lvlJc w:val="left"/>
      <w:pPr>
        <w:ind w:left="5760" w:hanging="360"/>
      </w:pPr>
    </w:lvl>
    <w:lvl w:ilvl="8" w:tplc="FBDCF09C">
      <w:start w:val="1"/>
      <w:numFmt w:val="lowerRoman"/>
      <w:lvlText w:val="%9."/>
      <w:lvlJc w:val="right"/>
      <w:pPr>
        <w:ind w:left="6480" w:hanging="180"/>
      </w:pPr>
    </w:lvl>
  </w:abstractNum>
  <w:abstractNum w:abstractNumId="3" w15:restartNumberingAfterBreak="0">
    <w:nsid w:val="43316AA3"/>
    <w:multiLevelType w:val="hybridMultilevel"/>
    <w:tmpl w:val="FC12F60C"/>
    <w:lvl w:ilvl="0" w:tplc="E1D082BC">
      <w:start w:val="8"/>
      <w:numFmt w:val="decimal"/>
      <w:lvlText w:val="%1."/>
      <w:lvlJc w:val="left"/>
      <w:pPr>
        <w:ind w:left="360" w:hanging="360"/>
      </w:pPr>
      <w:rPr>
        <w:rFonts w:eastAsia="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DF7A5B"/>
    <w:multiLevelType w:val="hybridMultilevel"/>
    <w:tmpl w:val="D8BEB176"/>
    <w:lvl w:ilvl="0" w:tplc="A79EF790">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C0132"/>
    <w:multiLevelType w:val="hybridMultilevel"/>
    <w:tmpl w:val="97088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A762E"/>
    <w:multiLevelType w:val="hybridMultilevel"/>
    <w:tmpl w:val="36908662"/>
    <w:lvl w:ilvl="0" w:tplc="D5FA90A2">
      <w:start w:val="1"/>
      <w:numFmt w:val="bullet"/>
      <w:lvlText w:val=""/>
      <w:lvlJc w:val="left"/>
      <w:pPr>
        <w:ind w:left="720" w:hanging="360"/>
      </w:pPr>
      <w:rPr>
        <w:rFonts w:ascii="Symbol" w:hAnsi="Symbol" w:hint="default"/>
      </w:rPr>
    </w:lvl>
    <w:lvl w:ilvl="1" w:tplc="276A52FE">
      <w:start w:val="1"/>
      <w:numFmt w:val="bullet"/>
      <w:lvlText w:val="o"/>
      <w:lvlJc w:val="left"/>
      <w:pPr>
        <w:ind w:left="1440" w:hanging="360"/>
      </w:pPr>
      <w:rPr>
        <w:rFonts w:ascii="Courier New" w:hAnsi="Courier New" w:hint="default"/>
      </w:rPr>
    </w:lvl>
    <w:lvl w:ilvl="2" w:tplc="4760C514">
      <w:start w:val="1"/>
      <w:numFmt w:val="bullet"/>
      <w:lvlText w:val=""/>
      <w:lvlJc w:val="left"/>
      <w:pPr>
        <w:ind w:left="2160" w:hanging="360"/>
      </w:pPr>
      <w:rPr>
        <w:rFonts w:ascii="Wingdings" w:hAnsi="Wingdings" w:hint="default"/>
      </w:rPr>
    </w:lvl>
    <w:lvl w:ilvl="3" w:tplc="0D0E41DE">
      <w:start w:val="1"/>
      <w:numFmt w:val="bullet"/>
      <w:lvlText w:val=""/>
      <w:lvlJc w:val="left"/>
      <w:pPr>
        <w:ind w:left="2880" w:hanging="360"/>
      </w:pPr>
      <w:rPr>
        <w:rFonts w:ascii="Symbol" w:hAnsi="Symbol" w:hint="default"/>
      </w:rPr>
    </w:lvl>
    <w:lvl w:ilvl="4" w:tplc="52063EC6">
      <w:start w:val="1"/>
      <w:numFmt w:val="bullet"/>
      <w:lvlText w:val="o"/>
      <w:lvlJc w:val="left"/>
      <w:pPr>
        <w:ind w:left="3600" w:hanging="360"/>
      </w:pPr>
      <w:rPr>
        <w:rFonts w:ascii="Courier New" w:hAnsi="Courier New" w:hint="default"/>
      </w:rPr>
    </w:lvl>
    <w:lvl w:ilvl="5" w:tplc="887C8C0C">
      <w:start w:val="1"/>
      <w:numFmt w:val="bullet"/>
      <w:lvlText w:val=""/>
      <w:lvlJc w:val="left"/>
      <w:pPr>
        <w:ind w:left="4320" w:hanging="360"/>
      </w:pPr>
      <w:rPr>
        <w:rFonts w:ascii="Wingdings" w:hAnsi="Wingdings" w:hint="default"/>
      </w:rPr>
    </w:lvl>
    <w:lvl w:ilvl="6" w:tplc="0AD62E08">
      <w:start w:val="1"/>
      <w:numFmt w:val="bullet"/>
      <w:lvlText w:val=""/>
      <w:lvlJc w:val="left"/>
      <w:pPr>
        <w:ind w:left="5040" w:hanging="360"/>
      </w:pPr>
      <w:rPr>
        <w:rFonts w:ascii="Symbol" w:hAnsi="Symbol" w:hint="default"/>
      </w:rPr>
    </w:lvl>
    <w:lvl w:ilvl="7" w:tplc="6602C2F6">
      <w:start w:val="1"/>
      <w:numFmt w:val="bullet"/>
      <w:lvlText w:val="o"/>
      <w:lvlJc w:val="left"/>
      <w:pPr>
        <w:ind w:left="5760" w:hanging="360"/>
      </w:pPr>
      <w:rPr>
        <w:rFonts w:ascii="Courier New" w:hAnsi="Courier New" w:hint="default"/>
      </w:rPr>
    </w:lvl>
    <w:lvl w:ilvl="8" w:tplc="D1B6C866">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03DE1F-7FFD-4620-87C7-2433DF002447}"/>
    <w:docVar w:name="dgnword-eventsink" w:val="726924072"/>
  </w:docVars>
  <w:rsids>
    <w:rsidRoot w:val="244114E5"/>
    <w:rsid w:val="00062F64"/>
    <w:rsid w:val="00093434"/>
    <w:rsid w:val="000C5A13"/>
    <w:rsid w:val="000E41CF"/>
    <w:rsid w:val="0011488B"/>
    <w:rsid w:val="00151104"/>
    <w:rsid w:val="00200DEF"/>
    <w:rsid w:val="002051CC"/>
    <w:rsid w:val="002D210F"/>
    <w:rsid w:val="002D4162"/>
    <w:rsid w:val="002F3F5E"/>
    <w:rsid w:val="003005E2"/>
    <w:rsid w:val="00327A37"/>
    <w:rsid w:val="00357A8F"/>
    <w:rsid w:val="00374B3F"/>
    <w:rsid w:val="00380F18"/>
    <w:rsid w:val="00445C5A"/>
    <w:rsid w:val="004E7328"/>
    <w:rsid w:val="005548AA"/>
    <w:rsid w:val="00575565"/>
    <w:rsid w:val="005A6FEB"/>
    <w:rsid w:val="00607530"/>
    <w:rsid w:val="006177E4"/>
    <w:rsid w:val="0069607B"/>
    <w:rsid w:val="006E2A7F"/>
    <w:rsid w:val="007346F8"/>
    <w:rsid w:val="00745A0B"/>
    <w:rsid w:val="0075764B"/>
    <w:rsid w:val="0076178A"/>
    <w:rsid w:val="00774FC9"/>
    <w:rsid w:val="00776907"/>
    <w:rsid w:val="007E1C78"/>
    <w:rsid w:val="008D20D8"/>
    <w:rsid w:val="00930B5E"/>
    <w:rsid w:val="00941C81"/>
    <w:rsid w:val="009635AC"/>
    <w:rsid w:val="0099392B"/>
    <w:rsid w:val="00A02808"/>
    <w:rsid w:val="00A17B1C"/>
    <w:rsid w:val="00A28940"/>
    <w:rsid w:val="00A57312"/>
    <w:rsid w:val="00AD6C27"/>
    <w:rsid w:val="00AF2A14"/>
    <w:rsid w:val="00AF5360"/>
    <w:rsid w:val="00BB39B2"/>
    <w:rsid w:val="00BF54C1"/>
    <w:rsid w:val="00C32703"/>
    <w:rsid w:val="00C843BE"/>
    <w:rsid w:val="00CC113C"/>
    <w:rsid w:val="00CC359F"/>
    <w:rsid w:val="00CE3841"/>
    <w:rsid w:val="00CE5BC5"/>
    <w:rsid w:val="00CE752B"/>
    <w:rsid w:val="00D219CF"/>
    <w:rsid w:val="00D87D48"/>
    <w:rsid w:val="00D91DC9"/>
    <w:rsid w:val="00DE2A6E"/>
    <w:rsid w:val="00E01DB1"/>
    <w:rsid w:val="00E947EA"/>
    <w:rsid w:val="00EB4E33"/>
    <w:rsid w:val="00EF1222"/>
    <w:rsid w:val="00F04F70"/>
    <w:rsid w:val="00F839A6"/>
    <w:rsid w:val="00F86646"/>
    <w:rsid w:val="00FE0E1B"/>
    <w:rsid w:val="00FE2517"/>
    <w:rsid w:val="03A07BE2"/>
    <w:rsid w:val="04F86030"/>
    <w:rsid w:val="054E8599"/>
    <w:rsid w:val="0555E709"/>
    <w:rsid w:val="05B3E5FB"/>
    <w:rsid w:val="05C03D6B"/>
    <w:rsid w:val="067FF637"/>
    <w:rsid w:val="07B6ECAE"/>
    <w:rsid w:val="0922DFFB"/>
    <w:rsid w:val="0A074F08"/>
    <w:rsid w:val="0B2566E2"/>
    <w:rsid w:val="0CEA9AA9"/>
    <w:rsid w:val="0CF4F37A"/>
    <w:rsid w:val="0DA92986"/>
    <w:rsid w:val="0E33E0B2"/>
    <w:rsid w:val="0E6975D3"/>
    <w:rsid w:val="11EE5EA9"/>
    <w:rsid w:val="14A0A0C8"/>
    <w:rsid w:val="14A48FE1"/>
    <w:rsid w:val="156A5D93"/>
    <w:rsid w:val="16EBF92E"/>
    <w:rsid w:val="1A1906DF"/>
    <w:rsid w:val="1B056180"/>
    <w:rsid w:val="1B5F82D9"/>
    <w:rsid w:val="1C07D786"/>
    <w:rsid w:val="1C209043"/>
    <w:rsid w:val="1CCD50C5"/>
    <w:rsid w:val="1E17FA76"/>
    <w:rsid w:val="1E1D2322"/>
    <w:rsid w:val="1E40B054"/>
    <w:rsid w:val="1FCB7E8B"/>
    <w:rsid w:val="2034DC45"/>
    <w:rsid w:val="211E1C6A"/>
    <w:rsid w:val="22137FA7"/>
    <w:rsid w:val="244114E5"/>
    <w:rsid w:val="249EEFAE"/>
    <w:rsid w:val="287A09E7"/>
    <w:rsid w:val="28999BF4"/>
    <w:rsid w:val="29386E79"/>
    <w:rsid w:val="29EFD4BC"/>
    <w:rsid w:val="2A7D6BC0"/>
    <w:rsid w:val="2BDE76C5"/>
    <w:rsid w:val="2C8F9BDF"/>
    <w:rsid w:val="2D2FF306"/>
    <w:rsid w:val="2D912666"/>
    <w:rsid w:val="2ECFD4B9"/>
    <w:rsid w:val="3178D5BE"/>
    <w:rsid w:val="323A5494"/>
    <w:rsid w:val="32520BAD"/>
    <w:rsid w:val="34E5DD20"/>
    <w:rsid w:val="35BA2E95"/>
    <w:rsid w:val="37AB24DF"/>
    <w:rsid w:val="382E77FF"/>
    <w:rsid w:val="3A461866"/>
    <w:rsid w:val="3A7A9DCC"/>
    <w:rsid w:val="3B077F30"/>
    <w:rsid w:val="3BBA90D9"/>
    <w:rsid w:val="3CD3D3E3"/>
    <w:rsid w:val="3DCDA4E2"/>
    <w:rsid w:val="3DE95866"/>
    <w:rsid w:val="3DFFBFB5"/>
    <w:rsid w:val="3FF60EF1"/>
    <w:rsid w:val="405521C0"/>
    <w:rsid w:val="41C601F9"/>
    <w:rsid w:val="4396B30A"/>
    <w:rsid w:val="43C4FA68"/>
    <w:rsid w:val="44DDD3E2"/>
    <w:rsid w:val="45E7325A"/>
    <w:rsid w:val="4650C7EB"/>
    <w:rsid w:val="47F625B7"/>
    <w:rsid w:val="48301AB9"/>
    <w:rsid w:val="491ED31C"/>
    <w:rsid w:val="492BEE80"/>
    <w:rsid w:val="493AD840"/>
    <w:rsid w:val="4ABF1679"/>
    <w:rsid w:val="4C194AB9"/>
    <w:rsid w:val="4D1A2C5F"/>
    <w:rsid w:val="4E178842"/>
    <w:rsid w:val="5109C58A"/>
    <w:rsid w:val="53737B74"/>
    <w:rsid w:val="542D3C5E"/>
    <w:rsid w:val="54F75DE1"/>
    <w:rsid w:val="55FC8BDB"/>
    <w:rsid w:val="56C42845"/>
    <w:rsid w:val="57B2BE21"/>
    <w:rsid w:val="583C5C2C"/>
    <w:rsid w:val="58917C04"/>
    <w:rsid w:val="5994E4C9"/>
    <w:rsid w:val="5A8DDA26"/>
    <w:rsid w:val="5AA4DB14"/>
    <w:rsid w:val="5CB02CD6"/>
    <w:rsid w:val="5CC1398F"/>
    <w:rsid w:val="6133692C"/>
    <w:rsid w:val="632A2C09"/>
    <w:rsid w:val="65072616"/>
    <w:rsid w:val="68005F0C"/>
    <w:rsid w:val="68CB0901"/>
    <w:rsid w:val="69D1A888"/>
    <w:rsid w:val="6BD6C2AC"/>
    <w:rsid w:val="6D0E29E9"/>
    <w:rsid w:val="6D884DDC"/>
    <w:rsid w:val="6E0F5C50"/>
    <w:rsid w:val="6E488D4B"/>
    <w:rsid w:val="6F2D1457"/>
    <w:rsid w:val="6FB23E14"/>
    <w:rsid w:val="72FBE974"/>
    <w:rsid w:val="735D601A"/>
    <w:rsid w:val="73D77A22"/>
    <w:rsid w:val="7436BD69"/>
    <w:rsid w:val="762723D1"/>
    <w:rsid w:val="763ADDE5"/>
    <w:rsid w:val="7682D0E6"/>
    <w:rsid w:val="7712373F"/>
    <w:rsid w:val="7774F526"/>
    <w:rsid w:val="799080AA"/>
    <w:rsid w:val="7A9938AB"/>
    <w:rsid w:val="7BDBBDA5"/>
    <w:rsid w:val="7D1C9FEA"/>
    <w:rsid w:val="7EF0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14E5"/>
  <w15:chartTrackingRefBased/>
  <w15:docId w15:val="{E4CBC7DC-AB92-4DB2-9D2B-7B382365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1C"/>
    <w:rPr>
      <w:rFonts w:ascii="Segoe UI" w:hAnsi="Segoe UI" w:cs="Segoe UI"/>
      <w:sz w:val="18"/>
      <w:szCs w:val="18"/>
    </w:rPr>
  </w:style>
  <w:style w:type="character" w:customStyle="1" w:styleId="normaltextrun">
    <w:name w:val="normaltextrun"/>
    <w:basedOn w:val="DefaultParagraphFont"/>
    <w:rsid w:val="0006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Jiang</dc:creator>
  <cp:keywords/>
  <dc:description/>
  <cp:lastModifiedBy>Boris Kelly-Gerreyn</cp:lastModifiedBy>
  <cp:revision>68</cp:revision>
  <dcterms:created xsi:type="dcterms:W3CDTF">2020-11-04T11:12:00Z</dcterms:created>
  <dcterms:modified xsi:type="dcterms:W3CDTF">2021-07-11T11:32:00Z</dcterms:modified>
</cp:coreProperties>
</file>