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B83068" w:rsidRPr="007525A8" w14:paraId="67B6F247" w14:textId="77777777">
        <w:trPr>
          <w:jc w:val="center"/>
        </w:trPr>
        <w:tc>
          <w:tcPr>
            <w:tcW w:w="7654" w:type="dxa"/>
            <w:tcMar>
              <w:top w:w="170" w:type="dxa"/>
              <w:left w:w="170" w:type="dxa"/>
              <w:bottom w:w="170" w:type="dxa"/>
              <w:right w:w="170" w:type="dxa"/>
            </w:tcMar>
          </w:tcPr>
          <w:p w14:paraId="5F58A450" w14:textId="77777777" w:rsidR="00467E3F" w:rsidRPr="007525A8" w:rsidRDefault="00B83068" w:rsidP="00853565">
            <w:pPr>
              <w:pStyle w:val="Marge"/>
              <w:jc w:val="center"/>
              <w:rPr>
                <w:rFonts w:cs="Arial"/>
                <w:szCs w:val="22"/>
              </w:rPr>
            </w:pPr>
            <w:r>
              <w:rPr>
                <w:rFonts w:cs="Arial"/>
                <w:szCs w:val="22"/>
                <w:u w:val="single"/>
                <w:lang w:val="es"/>
              </w:rPr>
              <w:t>Resumen</w:t>
            </w:r>
          </w:p>
          <w:p w14:paraId="66A47983" w14:textId="2AD903ED" w:rsidR="00467E3F" w:rsidRPr="007525A8" w:rsidRDefault="00FC0794" w:rsidP="00294AD5">
            <w:pPr>
              <w:pStyle w:val="Marge"/>
              <w:spacing w:after="120"/>
              <w:rPr>
                <w:rFonts w:cs="Arial"/>
                <w:iCs/>
                <w:szCs w:val="22"/>
              </w:rPr>
            </w:pPr>
            <w:hyperlink r:id="rId8" w:history="1">
              <w:r w:rsidR="00823C91">
                <w:rPr>
                  <w:rStyle w:val="Hyperlink"/>
                  <w:rFonts w:cs="Arial"/>
                  <w:szCs w:val="22"/>
                  <w:lang w:val="es"/>
                </w:rPr>
                <w:t>La resolución XXVI-8 de la COI</w:t>
              </w:r>
            </w:hyperlink>
            <w:r w:rsidR="00823C91">
              <w:rPr>
                <w:rFonts w:cs="Arial"/>
                <w:szCs w:val="22"/>
                <w:lang w:val="es"/>
              </w:rPr>
              <w:t xml:space="preserve"> (2011) creó el Comité Directivo del GOOS y le pidió que "elaborara un plan de trabajo bienal para su consideración por los órganos rectores de la COI y su aprobación por la Asamblea." </w:t>
            </w:r>
          </w:p>
          <w:p w14:paraId="602FEB7C" w14:textId="5BB9D40F" w:rsidR="00A42F1D" w:rsidRPr="007525A8" w:rsidRDefault="00467E3F" w:rsidP="00C8507A">
            <w:pPr>
              <w:pStyle w:val="Marge"/>
              <w:spacing w:after="120"/>
              <w:rPr>
                <w:rFonts w:cs="Arial"/>
                <w:szCs w:val="22"/>
              </w:rPr>
            </w:pPr>
            <w:r>
              <w:rPr>
                <w:rFonts w:cs="Arial"/>
                <w:szCs w:val="22"/>
                <w:u w:val="single"/>
                <w:lang w:val="es"/>
              </w:rPr>
              <w:t>Objetivo del documento</w:t>
            </w:r>
            <w:r>
              <w:rPr>
                <w:rFonts w:cs="Arial"/>
                <w:szCs w:val="22"/>
                <w:lang w:val="es"/>
              </w:rPr>
              <w:t xml:space="preserve">: Este resumen dispositivo del Plan de Ejecución del equipo central del GOOS describe las acciones previstas de uno a cinco años para los componentes del equipo central del GOOS (Comité Directivo, paneles, equipos y la oficina del GOOS). Esto incluye las acciones en todo el GOOS, permite el análisis hacia la ejecución de la </w:t>
            </w:r>
            <w:r>
              <w:rPr>
                <w:rFonts w:cs="Arial"/>
                <w:i/>
                <w:iCs/>
                <w:szCs w:val="22"/>
                <w:lang w:val="es"/>
              </w:rPr>
              <w:t>Estrategia 2030 del Sistema Mundial de Observación de los Océanos</w:t>
            </w:r>
            <w:r>
              <w:rPr>
                <w:rFonts w:cs="Arial"/>
                <w:szCs w:val="22"/>
                <w:lang w:val="es"/>
              </w:rPr>
              <w:t xml:space="preserve"> (</w:t>
            </w:r>
            <w:hyperlink r:id="rId9" w:history="1">
              <w:r>
                <w:rPr>
                  <w:rStyle w:val="Hyperlink"/>
                  <w:rFonts w:cs="Arial"/>
                  <w:szCs w:val="22"/>
                  <w:lang w:val="es"/>
                </w:rPr>
                <w:t>IOC/BRO/2019/5 rev</w:t>
              </w:r>
            </w:hyperlink>
            <w:r>
              <w:rPr>
                <w:rFonts w:cs="Arial"/>
                <w:szCs w:val="22"/>
                <w:lang w:val="es"/>
              </w:rPr>
              <w:t xml:space="preserve">), una comprensión de los recursos necesarios para llevar a cabo esta ejecución y cómo el GOOS puede estructurarse mejor internamente para hacerlo, y refleja un nuevo proceso integrado de planificación y seguimiento del trabajo del GOOS. </w:t>
            </w:r>
          </w:p>
          <w:p w14:paraId="14D4AFED" w14:textId="0928059F" w:rsidR="00467E3F" w:rsidRPr="007525A8" w:rsidRDefault="009C035C" w:rsidP="009C035C">
            <w:pPr>
              <w:pStyle w:val="Marge"/>
              <w:spacing w:after="120"/>
              <w:ind w:hanging="8"/>
              <w:rPr>
                <w:rFonts w:cs="Arial"/>
                <w:szCs w:val="22"/>
              </w:rPr>
            </w:pPr>
            <w:r>
              <w:rPr>
                <w:rFonts w:cs="Arial"/>
                <w:szCs w:val="22"/>
                <w:lang w:val="es"/>
              </w:rPr>
              <w:t xml:space="preserve">Se invita a la Asamblea a tomar nota de la gran ambición de este plan de ejecución, de sus implicaciones en materia de recursos identificadas, así como de la necesidad de reforzar las colaboraciones y las estructuras de apoyo. Se anima a los Estados Miembros a que colaboren con el GOOS para determinar cómo pueden ayudar en la ejecución y qué contribuciones nos permitirán conseguir juntos. </w:t>
            </w:r>
          </w:p>
          <w:p w14:paraId="17FB879E" w14:textId="13E88131" w:rsidR="00467E3F" w:rsidRPr="007525A8" w:rsidRDefault="00467E3F" w:rsidP="000C58F2">
            <w:pPr>
              <w:pStyle w:val="Marge"/>
              <w:spacing w:after="120"/>
              <w:rPr>
                <w:rFonts w:cs="Arial"/>
                <w:szCs w:val="22"/>
              </w:rPr>
            </w:pPr>
            <w:r>
              <w:rPr>
                <w:rFonts w:cs="Arial"/>
                <w:szCs w:val="22"/>
                <w:u w:val="single"/>
                <w:lang w:val="es"/>
              </w:rPr>
              <w:t>Implicaciones financieras y administrativas</w:t>
            </w:r>
            <w:r>
              <w:rPr>
                <w:rFonts w:cs="Arial"/>
                <w:szCs w:val="22"/>
                <w:lang w:val="es"/>
              </w:rPr>
              <w:t>: Las implicaciones financieras y administrativas de las actividades se enmarcan en los parámetros del presupuesto ordinario de la COI, y de los recursos extrapresupuestarios y en especie que puedan identificarse.</w:t>
            </w:r>
          </w:p>
          <w:p w14:paraId="21DAF35D" w14:textId="12711584" w:rsidR="00737A18" w:rsidRPr="007525A8" w:rsidRDefault="00413F17" w:rsidP="00003B31">
            <w:pPr>
              <w:pStyle w:val="Marge"/>
              <w:spacing w:after="120"/>
              <w:rPr>
                <w:rFonts w:cs="Arial"/>
                <w:szCs w:val="22"/>
              </w:rPr>
            </w:pPr>
            <w:r>
              <w:rPr>
                <w:szCs w:val="22"/>
                <w:u w:val="single"/>
                <w:lang w:val="es"/>
              </w:rPr>
              <w:t>La decisión propuesta</w:t>
            </w:r>
            <w:r>
              <w:rPr>
                <w:szCs w:val="22"/>
                <w:lang w:val="es"/>
              </w:rPr>
              <w:t xml:space="preserve"> lleva la referencia </w:t>
            </w:r>
            <w:r>
              <w:rPr>
                <w:lang w:val="es"/>
              </w:rPr>
              <w:t>Dec. A-31/3.5.2</w:t>
            </w:r>
            <w:r>
              <w:rPr>
                <w:szCs w:val="22"/>
                <w:lang w:val="es"/>
              </w:rPr>
              <w:t xml:space="preserve"> en el segundo documento de decisión revisado (documento </w:t>
            </w:r>
            <w:hyperlink r:id="rId10" w:history="1">
              <w:r>
                <w:rPr>
                  <w:rStyle w:val="Hyperlink"/>
                  <w:rFonts w:cs="Arial"/>
                  <w:szCs w:val="22"/>
                  <w:lang w:val="es"/>
                </w:rPr>
                <w:t>IOC/A-31/AP Rev.2</w:t>
              </w:r>
            </w:hyperlink>
            <w:r>
              <w:rPr>
                <w:szCs w:val="22"/>
                <w:lang w:val="es"/>
              </w:rPr>
              <w:t>).</w:t>
            </w:r>
          </w:p>
        </w:tc>
      </w:tr>
    </w:tbl>
    <w:p w14:paraId="7079702C" w14:textId="77777777" w:rsidR="00746B89" w:rsidRPr="007525A8" w:rsidRDefault="00746B89" w:rsidP="005C7A36">
      <w:pPr>
        <w:pStyle w:val="Heading3"/>
        <w:sectPr w:rsidR="00746B89" w:rsidRPr="007525A8" w:rsidSect="003F7186">
          <w:headerReference w:type="even" r:id="rId11"/>
          <w:headerReference w:type="default" r:id="rId12"/>
          <w:headerReference w:type="first" r:id="rId13"/>
          <w:type w:val="continuous"/>
          <w:pgSz w:w="11906" w:h="16838" w:code="9"/>
          <w:pgMar w:top="1418" w:right="1134" w:bottom="1134" w:left="1134" w:header="709" w:footer="680" w:gutter="0"/>
          <w:pgNumType w:start="1"/>
          <w:cols w:space="708"/>
          <w:titlePg/>
          <w:docGrid w:linePitch="360"/>
        </w:sectPr>
      </w:pPr>
    </w:p>
    <w:p w14:paraId="3EC84229" w14:textId="77777777" w:rsidR="003C64EB" w:rsidRPr="007525A8" w:rsidRDefault="003C64EB" w:rsidP="003C64EB">
      <w:pPr>
        <w:pStyle w:val="Heading3"/>
      </w:pPr>
      <w:r>
        <w:rPr>
          <w:lang w:val="es"/>
        </w:rPr>
        <w:lastRenderedPageBreak/>
        <w:t>Introducción</w:t>
      </w:r>
    </w:p>
    <w:p w14:paraId="57A5C226" w14:textId="5FB0E151" w:rsidR="009162AC" w:rsidRPr="007525A8" w:rsidRDefault="009162AC" w:rsidP="002B7A3F">
      <w:pPr>
        <w:pStyle w:val="COI"/>
      </w:pPr>
      <w:r>
        <w:rPr>
          <w:bCs w:val="0"/>
          <w:lang w:val="es"/>
        </w:rPr>
        <w:t xml:space="preserve">El propósito del Plan de Ejecución del equipo central del Sistema Mundial de Observación de los Océanos (GOOS) es reflejar un proceso de planificación que dé vida a la </w:t>
      </w:r>
      <w:hyperlink r:id="rId14" w:history="1">
        <w:r>
          <w:rPr>
            <w:rStyle w:val="Hyperlink"/>
            <w:bCs w:val="0"/>
            <w:i/>
            <w:iCs/>
            <w:lang w:val="es"/>
          </w:rPr>
          <w:t>Estrategia 2030 del Sistema Mundial de Observación de los Océanos</w:t>
        </w:r>
      </w:hyperlink>
      <w:r>
        <w:rPr>
          <w:bCs w:val="0"/>
          <w:i/>
          <w:iCs/>
          <w:lang w:val="es"/>
        </w:rPr>
        <w:t xml:space="preserve"> </w:t>
      </w:r>
      <w:r>
        <w:rPr>
          <w:bCs w:val="0"/>
          <w:lang w:val="es"/>
        </w:rPr>
        <w:t>y dé forma al programa para su ejecución. Se centra en las acciones del equipo central del GOOS, que está formado por:</w:t>
      </w:r>
    </w:p>
    <w:p w14:paraId="18ACE719" w14:textId="4797B16E" w:rsidR="009162AC" w:rsidRPr="007525A8" w:rsidRDefault="0002051C" w:rsidP="00C8507A">
      <w:pPr>
        <w:pStyle w:val="ListBullet2"/>
        <w:tabs>
          <w:tab w:val="clear" w:pos="567"/>
          <w:tab w:val="clear" w:pos="851"/>
          <w:tab w:val="left" w:pos="709"/>
          <w:tab w:val="num" w:pos="1276"/>
        </w:tabs>
        <w:ind w:left="1276" w:hanging="567"/>
        <w:jc w:val="both"/>
      </w:pPr>
      <w:r>
        <w:rPr>
          <w:u w:val="single"/>
          <w:lang w:val="es"/>
        </w:rPr>
        <w:t>Comité Directivo del GOOS</w:t>
      </w:r>
      <w:r>
        <w:rPr>
          <w:lang w:val="es"/>
        </w:rPr>
        <w:t xml:space="preserve">: proporciona orientación al equipo central del GOOS en la ejecución de sus objetivos estratégicos y la creación de colaboraciones externas. </w:t>
      </w:r>
    </w:p>
    <w:p w14:paraId="3C2A5B63" w14:textId="7A34198E" w:rsidR="009162AC" w:rsidRPr="007525A8" w:rsidRDefault="009162AC" w:rsidP="00C8507A">
      <w:pPr>
        <w:pStyle w:val="ListBullet2"/>
        <w:tabs>
          <w:tab w:val="clear" w:pos="851"/>
          <w:tab w:val="num" w:pos="1276"/>
        </w:tabs>
        <w:ind w:left="1276" w:hanging="567"/>
        <w:jc w:val="both"/>
      </w:pPr>
      <w:r>
        <w:rPr>
          <w:u w:val="single"/>
          <w:lang w:val="es"/>
        </w:rPr>
        <w:t>Paneles de expertos</w:t>
      </w:r>
      <w:r>
        <w:rPr>
          <w:lang w:val="es"/>
        </w:rPr>
        <w:t>: Los paneles de Física y Clima (OOPC), Biogeoquímica (Panel BGC) y Biología y Ecosistemas (Panel BioEco) son vitales para identificar las necesidades de los usuarios y evaluar el sistema.</w:t>
      </w:r>
    </w:p>
    <w:p w14:paraId="4000AC5F" w14:textId="652D2C7C" w:rsidR="009162AC" w:rsidRPr="007525A8" w:rsidRDefault="0002051C" w:rsidP="00C8507A">
      <w:pPr>
        <w:pStyle w:val="ListBullet2"/>
        <w:tabs>
          <w:tab w:val="clear" w:pos="851"/>
          <w:tab w:val="num" w:pos="1276"/>
        </w:tabs>
        <w:ind w:left="1276" w:hanging="567"/>
        <w:jc w:val="both"/>
      </w:pPr>
      <w:r>
        <w:rPr>
          <w:u w:val="single"/>
          <w:lang w:val="es"/>
        </w:rPr>
        <w:t>Grupo de Coordinación de Observaciones del GOOS (OCG</w:t>
      </w:r>
      <w:r>
        <w:rPr>
          <w:lang w:val="es"/>
        </w:rPr>
        <w:t>): refuerza la ejecución del GOOS coordinando el sistema a través de 12 redes de observación mundiales y de OceanOPS.</w:t>
      </w:r>
    </w:p>
    <w:p w14:paraId="74E19652" w14:textId="015BDFEF" w:rsidR="009162AC" w:rsidRPr="007525A8" w:rsidRDefault="0002051C" w:rsidP="00C8507A">
      <w:pPr>
        <w:pStyle w:val="ListBullet2"/>
        <w:tabs>
          <w:tab w:val="clear" w:pos="851"/>
          <w:tab w:val="num" w:pos="1276"/>
        </w:tabs>
        <w:ind w:left="1276" w:hanging="567"/>
        <w:jc w:val="both"/>
      </w:pPr>
      <w:r>
        <w:rPr>
          <w:u w:val="single"/>
          <w:lang w:val="es"/>
        </w:rPr>
        <w:t>Equipo de Expertos del GOOS en Sistemas Operativos de Previsión Oceánica (ETOOFS):</w:t>
      </w:r>
      <w:r>
        <w:rPr>
          <w:lang w:val="es"/>
        </w:rPr>
        <w:t xml:space="preserve"> orienta las iniciativas para mejorar las capacidades, la calidad y la interoperabilidad de los productos de previsión de los modelos oceánicos.</w:t>
      </w:r>
    </w:p>
    <w:p w14:paraId="0D50B184" w14:textId="77777777" w:rsidR="009162AC" w:rsidRPr="007525A8" w:rsidRDefault="009162AC" w:rsidP="00C8507A">
      <w:pPr>
        <w:pStyle w:val="ListBullet2"/>
        <w:tabs>
          <w:tab w:val="clear" w:pos="851"/>
          <w:tab w:val="num" w:pos="1276"/>
        </w:tabs>
        <w:ind w:left="1276" w:hanging="567"/>
        <w:jc w:val="both"/>
      </w:pPr>
      <w:r>
        <w:rPr>
          <w:u w:val="single"/>
          <w:lang w:val="es"/>
        </w:rPr>
        <w:t>Alianzas Regionales del GOOS (GRA)</w:t>
      </w:r>
      <w:r>
        <w:rPr>
          <w:lang w:val="es"/>
        </w:rPr>
        <w:t>: identificar, habilitar y desarrollar la vigilancia y los servicios oceánicos del GOOS para satisfacer las prioridades regionales y nacionales.</w:t>
      </w:r>
    </w:p>
    <w:p w14:paraId="6BB6D3D1" w14:textId="77777777" w:rsidR="009162AC" w:rsidRPr="007525A8" w:rsidRDefault="009162AC" w:rsidP="00C8507A">
      <w:pPr>
        <w:pStyle w:val="ListBullet2"/>
        <w:tabs>
          <w:tab w:val="clear" w:pos="851"/>
          <w:tab w:val="num" w:pos="1276"/>
        </w:tabs>
        <w:ind w:left="1276" w:hanging="567"/>
        <w:jc w:val="both"/>
      </w:pPr>
      <w:r>
        <w:rPr>
          <w:u w:val="single"/>
          <w:lang w:val="es"/>
        </w:rPr>
        <w:t>Proyectos del GOOS</w:t>
      </w:r>
      <w:r>
        <w:rPr>
          <w:lang w:val="es"/>
        </w:rPr>
        <w:t>: avanzar en la innovación y ampliar el sistema de observación, los servicios y la entrega de productos mediante la expansión hacia nuevas áreas y capacidades.</w:t>
      </w:r>
    </w:p>
    <w:p w14:paraId="6BA6C3DB" w14:textId="551B18F9" w:rsidR="009162AC" w:rsidRPr="007525A8" w:rsidRDefault="009162AC" w:rsidP="00C8507A">
      <w:pPr>
        <w:pStyle w:val="ListBullet2"/>
        <w:tabs>
          <w:tab w:val="clear" w:pos="851"/>
          <w:tab w:val="num" w:pos="1276"/>
        </w:tabs>
        <w:ind w:left="1276" w:hanging="567"/>
        <w:jc w:val="both"/>
      </w:pPr>
      <w:r>
        <w:rPr>
          <w:u w:val="single"/>
          <w:lang w:val="es"/>
        </w:rPr>
        <w:t>Oficina del GOOS</w:t>
      </w:r>
      <w:r>
        <w:rPr>
          <w:lang w:val="es"/>
        </w:rPr>
        <w:t>: El equipo de coordinación transversal del GOOS trabaja a tiempo completo para permitir que el equipo central del GOOS funcione, y para hacer posible la conexión entre el GOOS, los socios, los patrocinadores y la empresa de observación. La COI alberga una función central de coordinación transversal del GOOS.</w:t>
      </w:r>
    </w:p>
    <w:p w14:paraId="11AB0B3C" w14:textId="71B7E0E1" w:rsidR="009162AC" w:rsidRPr="007525A8" w:rsidRDefault="009162AC" w:rsidP="002B7A3F">
      <w:pPr>
        <w:pStyle w:val="COI"/>
      </w:pPr>
      <w:r>
        <w:rPr>
          <w:bCs w:val="0"/>
          <w:lang w:val="es"/>
        </w:rPr>
        <w:t xml:space="preserve">El Plan de Ejecución del GOOS completo era un documento de trabajo para la 10.ª reunión del Comité Directivo del GOOS (26-29 de abril de 2021, </w:t>
      </w:r>
      <w:hyperlink r:id="rId15" w:history="1">
        <w:r>
          <w:rPr>
            <w:rStyle w:val="Hyperlink"/>
            <w:bCs w:val="0"/>
            <w:lang w:val="es"/>
          </w:rPr>
          <w:t>goosocean.org/goos-sc-10-1</w:t>
        </w:r>
      </w:hyperlink>
      <w:r>
        <w:rPr>
          <w:bCs w:val="0"/>
          <w:lang w:val="es"/>
        </w:rPr>
        <w:t>), e incluía detalles de 58 acciones, incluyendo los líderes del equipo central del GOOS, el trabajo propuesto, los resultados y los impactos, los socios, los recursos necesarios y las dependencias. Esta visión integrada de las acciones de todo el equipo central del GOOS proporcionó al Comité Directivo visibilidad de la acción para ejecutar la Estrategia 2030, permitiendo el establecimiento de prioridades, la identificación de lagunas, el establecimiento y la gestión de colaboraciones, y la comprensión de las implicaciones estructurales y de recursos. Queda trabajo para conseguir integrar plenamente el trabajo de los proyectos del GOOS en el proceso de planificación.</w:t>
      </w:r>
    </w:p>
    <w:p w14:paraId="1A81C667" w14:textId="04825201" w:rsidR="0002051C" w:rsidRPr="007525A8" w:rsidRDefault="0002051C" w:rsidP="002B7A3F">
      <w:pPr>
        <w:pStyle w:val="COI"/>
      </w:pPr>
      <w:r>
        <w:rPr>
          <w:bCs w:val="0"/>
          <w:lang w:val="es"/>
        </w:rPr>
        <w:t xml:space="preserve">El lanzamiento del Decenio de los Océanos ha hecho que el trabajo del GOOS sea más importante que nunca. El GOOS ha identificado tres áreas clave de acción que encapsulan la transformación necesaria. Estos programas del GOOS (co-diseño de la observación de los océanos, CoastPredict y Observing Together) son los primeros programas de los muchos que impulsarán activamente el Decenio de los Océanos y su reto de observación de los océanos. Estos programas están integrados en las acciones y representan importantes actividades transversales del GOOS en la década, así como vehículos para el desarrollo de colaboraciones. A medida que se desarrollen los programas, también se desarrollará su contribución a los objetivos estratégicos y su interacción con otras acciones del GOOS. Si se financian, estos programas tienen el poder de respaldar </w:t>
      </w:r>
      <w:r>
        <w:rPr>
          <w:bCs w:val="0"/>
          <w:lang w:val="es"/>
        </w:rPr>
        <w:lastRenderedPageBreak/>
        <w:t>importantes iniciativas de transformación para el GOOS y la comunidad de observadores de los océanos.</w:t>
      </w:r>
    </w:p>
    <w:p w14:paraId="4DE21BA1" w14:textId="169094A2" w:rsidR="00BB4185" w:rsidRPr="007525A8" w:rsidRDefault="00BB4185" w:rsidP="002B7A3F">
      <w:pPr>
        <w:pStyle w:val="COI"/>
      </w:pPr>
      <w:r>
        <w:rPr>
          <w:bCs w:val="0"/>
          <w:lang w:val="es"/>
        </w:rPr>
        <w:t>El presente resumen dispositivo ofrece a los Estados Miembros de la Asamblea de la COI un análisis de alto nivel de las prioridades de ejecución y de las consecuencias en materia de recursos. La ejecución dependerá de los recursos que se proporcionen a través de la COI, la OMM y mediante el apoyo extrapresupuestario y en especie que se pueda identificar con los Estados Miembros y las organizaciones colaboradoras.</w:t>
      </w:r>
    </w:p>
    <w:p w14:paraId="6B21461B" w14:textId="34C289DF" w:rsidR="003C64EB" w:rsidRPr="007525A8" w:rsidRDefault="0002051C" w:rsidP="005C7A36">
      <w:pPr>
        <w:pStyle w:val="Heading3"/>
      </w:pPr>
      <w:r>
        <w:rPr>
          <w:lang w:val="es"/>
        </w:rPr>
        <w:t>Acciones vistas a través de los objetivos estratégicos del GOOS</w:t>
      </w:r>
    </w:p>
    <w:p w14:paraId="06B8E052" w14:textId="33730FC5" w:rsidR="005B5174" w:rsidRPr="007525A8" w:rsidRDefault="005B5174" w:rsidP="002B7A3F">
      <w:pPr>
        <w:pStyle w:val="COI"/>
      </w:pPr>
      <w:r>
        <w:rPr>
          <w:bCs w:val="0"/>
          <w:lang w:val="es"/>
        </w:rPr>
        <w:t>En la siguiente tabla se enumeran las 58 acciones del Plan de Ejecución y su nivel (programa transversal principal del GOOS, de múltiples elementos, de elemento único y programa del Decenio de los Océanos), organizadas por los once objetivos estratégicos (OE) del GOOS.</w:t>
      </w:r>
    </w:p>
    <w:tbl>
      <w:tblPr>
        <w:tblStyle w:val="TableGrid"/>
        <w:tblW w:w="0" w:type="auto"/>
        <w:tblLayout w:type="fixed"/>
        <w:tblLook w:val="04A0" w:firstRow="1" w:lastRow="0" w:firstColumn="1" w:lastColumn="0" w:noHBand="0" w:noVBand="1"/>
      </w:tblPr>
      <w:tblGrid>
        <w:gridCol w:w="1129"/>
        <w:gridCol w:w="6663"/>
        <w:gridCol w:w="1836"/>
      </w:tblGrid>
      <w:tr w:rsidR="00343EFA" w:rsidRPr="006F399F" w14:paraId="2BA8253C" w14:textId="77777777" w:rsidTr="00C8507A">
        <w:trPr>
          <w:tblHeader/>
        </w:trPr>
        <w:tc>
          <w:tcPr>
            <w:tcW w:w="1129" w:type="dxa"/>
          </w:tcPr>
          <w:p w14:paraId="2EDFABD5" w14:textId="399AAE72" w:rsidR="00343EFA" w:rsidRPr="006F399F" w:rsidRDefault="00343EFA" w:rsidP="00C8507A">
            <w:pPr>
              <w:pStyle w:val="COI"/>
              <w:numPr>
                <w:ilvl w:val="0"/>
                <w:numId w:val="0"/>
              </w:numPr>
            </w:pPr>
            <w:r>
              <w:rPr>
                <w:bCs w:val="0"/>
                <w:lang w:val="es"/>
              </w:rPr>
              <w:t>Número</w:t>
            </w:r>
          </w:p>
        </w:tc>
        <w:tc>
          <w:tcPr>
            <w:tcW w:w="6663" w:type="dxa"/>
          </w:tcPr>
          <w:p w14:paraId="55CFC5CC" w14:textId="3A9AB833" w:rsidR="00343EFA" w:rsidRPr="006F399F" w:rsidRDefault="00343EFA" w:rsidP="002B7A3F">
            <w:pPr>
              <w:pStyle w:val="COI"/>
              <w:numPr>
                <w:ilvl w:val="0"/>
                <w:numId w:val="0"/>
              </w:numPr>
            </w:pPr>
            <w:r>
              <w:rPr>
                <w:bCs w:val="0"/>
                <w:lang w:val="es"/>
              </w:rPr>
              <w:t>Acción</w:t>
            </w:r>
          </w:p>
        </w:tc>
        <w:tc>
          <w:tcPr>
            <w:tcW w:w="1836" w:type="dxa"/>
          </w:tcPr>
          <w:p w14:paraId="1EE3FE86" w14:textId="5E39920F" w:rsidR="00343EFA" w:rsidRPr="006F399F" w:rsidRDefault="00343EFA" w:rsidP="002B7A3F">
            <w:pPr>
              <w:pStyle w:val="COI"/>
              <w:numPr>
                <w:ilvl w:val="0"/>
                <w:numId w:val="0"/>
              </w:numPr>
            </w:pPr>
            <w:r>
              <w:rPr>
                <w:bCs w:val="0"/>
                <w:lang w:val="es"/>
              </w:rPr>
              <w:t>Nivel</w:t>
            </w:r>
          </w:p>
        </w:tc>
      </w:tr>
      <w:tr w:rsidR="00B6431D" w:rsidRPr="006F399F" w14:paraId="09B9D65C" w14:textId="77777777" w:rsidTr="00C8507A">
        <w:trPr>
          <w:tblHeader/>
        </w:trPr>
        <w:tc>
          <w:tcPr>
            <w:tcW w:w="9628" w:type="dxa"/>
            <w:gridSpan w:val="3"/>
            <w:shd w:val="clear" w:color="auto" w:fill="D9D9D9" w:themeFill="background1" w:themeFillShade="D9"/>
          </w:tcPr>
          <w:p w14:paraId="2D6152FF" w14:textId="69EA14D1" w:rsidR="00B6431D" w:rsidRPr="006F399F" w:rsidRDefault="00B6431D" w:rsidP="002B7A3F">
            <w:pPr>
              <w:pStyle w:val="COI"/>
              <w:numPr>
                <w:ilvl w:val="0"/>
                <w:numId w:val="0"/>
              </w:numPr>
              <w:ind w:left="28"/>
            </w:pPr>
            <w:r>
              <w:rPr>
                <w:bCs w:val="0"/>
                <w:lang w:val="es"/>
              </w:rPr>
              <w:t>Objetivo: Profundizar en el compromiso y el impacto</w:t>
            </w:r>
          </w:p>
        </w:tc>
      </w:tr>
      <w:tr w:rsidR="00343EFA" w:rsidRPr="006F399F" w14:paraId="74BFF2DF" w14:textId="77777777" w:rsidTr="00770E7F">
        <w:tc>
          <w:tcPr>
            <w:tcW w:w="9628" w:type="dxa"/>
            <w:gridSpan w:val="3"/>
            <w:shd w:val="clear" w:color="auto" w:fill="F2F2F2" w:themeFill="background1" w:themeFillShade="F2"/>
          </w:tcPr>
          <w:p w14:paraId="7E4D40E8" w14:textId="2B627CF3" w:rsidR="00343EFA" w:rsidRPr="006F399F" w:rsidRDefault="00770E7F" w:rsidP="002B7A3F">
            <w:pPr>
              <w:pStyle w:val="COI"/>
              <w:numPr>
                <w:ilvl w:val="0"/>
                <w:numId w:val="0"/>
              </w:numPr>
              <w:ind w:left="28"/>
            </w:pPr>
            <w:bookmarkStart w:id="0" w:name="SO_1"/>
            <w:r>
              <w:rPr>
                <w:b/>
                <w:lang w:val="es"/>
              </w:rPr>
              <w:t>OE1</w:t>
            </w:r>
            <w:bookmarkEnd w:id="0"/>
            <w:r>
              <w:rPr>
                <w:bCs w:val="0"/>
                <w:lang w:val="es"/>
              </w:rPr>
              <w:t>. Reforzar las colaboraciones para mejorar las previsiones, servicios y evaluaciones científicas</w:t>
            </w:r>
          </w:p>
        </w:tc>
      </w:tr>
      <w:tr w:rsidR="0031621C" w:rsidRPr="006F399F" w14:paraId="345E42ED" w14:textId="77777777" w:rsidTr="0031621C">
        <w:trPr>
          <w:trHeight w:val="283"/>
        </w:trPr>
        <w:tc>
          <w:tcPr>
            <w:tcW w:w="1129" w:type="dxa"/>
            <w:noWrap/>
            <w:hideMark/>
          </w:tcPr>
          <w:p w14:paraId="2013B9C8"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es"/>
              </w:rPr>
              <w:t>1.1</w:t>
            </w:r>
          </w:p>
        </w:tc>
        <w:tc>
          <w:tcPr>
            <w:tcW w:w="6663" w:type="dxa"/>
            <w:noWrap/>
            <w:hideMark/>
          </w:tcPr>
          <w:p w14:paraId="2FCAF98F"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Evaluación de la GRA para previsiones y servicios</w:t>
            </w:r>
          </w:p>
        </w:tc>
        <w:tc>
          <w:tcPr>
            <w:tcW w:w="1836" w:type="dxa"/>
            <w:hideMark/>
          </w:tcPr>
          <w:p w14:paraId="18D4BCDE" w14:textId="2B6ED7A7" w:rsidR="00343EFA" w:rsidRPr="00C8507A" w:rsidRDefault="006F399F"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Elemento único</w:t>
            </w:r>
          </w:p>
        </w:tc>
      </w:tr>
      <w:tr w:rsidR="0031621C" w:rsidRPr="006F399F" w14:paraId="78A556EA" w14:textId="77777777" w:rsidTr="0031621C">
        <w:trPr>
          <w:trHeight w:val="283"/>
        </w:trPr>
        <w:tc>
          <w:tcPr>
            <w:tcW w:w="1129" w:type="dxa"/>
            <w:noWrap/>
            <w:hideMark/>
          </w:tcPr>
          <w:p w14:paraId="1F3A535E"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es"/>
              </w:rPr>
              <w:t>1.2</w:t>
            </w:r>
          </w:p>
        </w:tc>
        <w:tc>
          <w:tcPr>
            <w:tcW w:w="6663" w:type="dxa"/>
            <w:noWrap/>
            <w:hideMark/>
          </w:tcPr>
          <w:p w14:paraId="1B9D0BC0"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Colaboraciones para la prestación de servicios</w:t>
            </w:r>
          </w:p>
        </w:tc>
        <w:tc>
          <w:tcPr>
            <w:tcW w:w="1836" w:type="dxa"/>
            <w:hideMark/>
          </w:tcPr>
          <w:p w14:paraId="72D88CFA" w14:textId="11DF418A" w:rsidR="00343EFA" w:rsidRPr="00C8507A" w:rsidRDefault="0031621C"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Transversal GOOS</w:t>
            </w:r>
          </w:p>
        </w:tc>
      </w:tr>
      <w:tr w:rsidR="00343EFA" w:rsidRPr="006F399F" w14:paraId="38C1813D" w14:textId="77777777" w:rsidTr="00770E7F">
        <w:trPr>
          <w:trHeight w:val="283"/>
        </w:trPr>
        <w:tc>
          <w:tcPr>
            <w:tcW w:w="9628" w:type="dxa"/>
            <w:gridSpan w:val="3"/>
            <w:shd w:val="clear" w:color="auto" w:fill="F2F2F2" w:themeFill="background1" w:themeFillShade="F2"/>
            <w:noWrap/>
          </w:tcPr>
          <w:p w14:paraId="465151F2" w14:textId="0AB0196E" w:rsidR="00343EFA" w:rsidRPr="00C8507A" w:rsidRDefault="00770E7F" w:rsidP="00343EFA">
            <w:pPr>
              <w:tabs>
                <w:tab w:val="clear" w:pos="567"/>
              </w:tabs>
              <w:snapToGrid/>
              <w:rPr>
                <w:rFonts w:asciiTheme="minorBidi" w:hAnsiTheme="minorBidi" w:cstheme="minorBidi"/>
                <w:bCs/>
                <w:snapToGrid/>
                <w:szCs w:val="22"/>
              </w:rPr>
            </w:pPr>
            <w:bookmarkStart w:id="1" w:name="SO_2"/>
            <w:r>
              <w:rPr>
                <w:rFonts w:asciiTheme="minorBidi" w:hAnsiTheme="minorBidi" w:cstheme="minorBidi"/>
                <w:b/>
                <w:bCs/>
                <w:snapToGrid/>
                <w:szCs w:val="22"/>
                <w:lang w:val="es"/>
              </w:rPr>
              <w:t>OE2</w:t>
            </w:r>
            <w:r>
              <w:rPr>
                <w:rFonts w:asciiTheme="minorBidi" w:hAnsiTheme="minorBidi" w:cstheme="minorBidi"/>
                <w:snapToGrid/>
                <w:szCs w:val="22"/>
                <w:lang w:val="es"/>
              </w:rPr>
              <w:t xml:space="preserve">: </w:t>
            </w:r>
            <w:bookmarkEnd w:id="1"/>
            <w:r>
              <w:rPr>
                <w:rFonts w:asciiTheme="minorBidi" w:hAnsiTheme="minorBidi" w:cstheme="minorBidi"/>
                <w:snapToGrid/>
                <w:szCs w:val="22"/>
                <w:lang w:val="es"/>
              </w:rPr>
              <w:t>Fomentar la promoción y la visibilidad con las partes interesadas mediante la comunicación con los usuarios clave y los financiadores nacionales</w:t>
            </w:r>
          </w:p>
        </w:tc>
      </w:tr>
      <w:tr w:rsidR="0031621C" w:rsidRPr="006F399F" w14:paraId="61B5D9BF" w14:textId="77777777" w:rsidTr="0031621C">
        <w:trPr>
          <w:trHeight w:val="283"/>
        </w:trPr>
        <w:tc>
          <w:tcPr>
            <w:tcW w:w="1129" w:type="dxa"/>
            <w:noWrap/>
            <w:hideMark/>
          </w:tcPr>
          <w:p w14:paraId="7A045833"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es"/>
              </w:rPr>
              <w:t>2.1</w:t>
            </w:r>
          </w:p>
        </w:tc>
        <w:tc>
          <w:tcPr>
            <w:tcW w:w="6663" w:type="dxa"/>
            <w:noWrap/>
            <w:hideMark/>
          </w:tcPr>
          <w:p w14:paraId="13B88CD9"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Valor del proyecto de observación de los océanos</w:t>
            </w:r>
          </w:p>
        </w:tc>
        <w:tc>
          <w:tcPr>
            <w:tcW w:w="1836" w:type="dxa"/>
            <w:hideMark/>
          </w:tcPr>
          <w:p w14:paraId="2A001F19" w14:textId="7A4DAC6C" w:rsidR="00343EFA" w:rsidRPr="00C8507A" w:rsidRDefault="006F399F"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Elemento único</w:t>
            </w:r>
          </w:p>
        </w:tc>
      </w:tr>
      <w:tr w:rsidR="0031621C" w:rsidRPr="006F399F" w14:paraId="649068AB" w14:textId="77777777" w:rsidTr="0031621C">
        <w:trPr>
          <w:trHeight w:val="283"/>
        </w:trPr>
        <w:tc>
          <w:tcPr>
            <w:tcW w:w="1129" w:type="dxa"/>
            <w:noWrap/>
            <w:hideMark/>
          </w:tcPr>
          <w:p w14:paraId="186F6229"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es"/>
              </w:rPr>
              <w:t>2.2</w:t>
            </w:r>
          </w:p>
        </w:tc>
        <w:tc>
          <w:tcPr>
            <w:tcW w:w="6663" w:type="dxa"/>
            <w:noWrap/>
            <w:hideMark/>
          </w:tcPr>
          <w:p w14:paraId="04157658"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Plan de comunicación del GOOS</w:t>
            </w:r>
          </w:p>
        </w:tc>
        <w:tc>
          <w:tcPr>
            <w:tcW w:w="1836" w:type="dxa"/>
            <w:hideMark/>
          </w:tcPr>
          <w:p w14:paraId="4669D154" w14:textId="445BFF12" w:rsidR="00343EFA" w:rsidRPr="00C8507A" w:rsidRDefault="0031621C"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Transversal GOOS</w:t>
            </w:r>
          </w:p>
        </w:tc>
      </w:tr>
      <w:tr w:rsidR="0031621C" w:rsidRPr="006F399F" w14:paraId="197F2BB6" w14:textId="77777777" w:rsidTr="0031621C">
        <w:trPr>
          <w:trHeight w:val="283"/>
        </w:trPr>
        <w:tc>
          <w:tcPr>
            <w:tcW w:w="1129" w:type="dxa"/>
            <w:noWrap/>
            <w:hideMark/>
          </w:tcPr>
          <w:p w14:paraId="130C4A35"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es"/>
              </w:rPr>
              <w:t>2.3</w:t>
            </w:r>
          </w:p>
        </w:tc>
        <w:tc>
          <w:tcPr>
            <w:tcW w:w="6663" w:type="dxa"/>
            <w:noWrap/>
            <w:hideMark/>
          </w:tcPr>
          <w:p w14:paraId="59877DD0"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Desarrollo de la función de Punto Focal Nacional del GOOS</w:t>
            </w:r>
          </w:p>
        </w:tc>
        <w:tc>
          <w:tcPr>
            <w:tcW w:w="1836" w:type="dxa"/>
            <w:hideMark/>
          </w:tcPr>
          <w:p w14:paraId="3DF274FF" w14:textId="1494CA1B" w:rsidR="00343EFA" w:rsidRPr="00C8507A" w:rsidRDefault="0031621C"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Transversal GOOS</w:t>
            </w:r>
          </w:p>
        </w:tc>
      </w:tr>
      <w:tr w:rsidR="0031621C" w:rsidRPr="006F399F" w14:paraId="5408CE20" w14:textId="77777777" w:rsidTr="0031621C">
        <w:trPr>
          <w:trHeight w:val="283"/>
        </w:trPr>
        <w:tc>
          <w:tcPr>
            <w:tcW w:w="1129" w:type="dxa"/>
            <w:noWrap/>
            <w:hideMark/>
          </w:tcPr>
          <w:p w14:paraId="3EBCAD20"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es"/>
              </w:rPr>
              <w:t>2.4</w:t>
            </w:r>
          </w:p>
        </w:tc>
        <w:tc>
          <w:tcPr>
            <w:tcW w:w="6663" w:type="dxa"/>
            <w:noWrap/>
            <w:hideMark/>
          </w:tcPr>
          <w:p w14:paraId="674A6D74"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 xml:space="preserve">Desarrollar el </w:t>
            </w:r>
            <w:r>
              <w:rPr>
                <w:rFonts w:asciiTheme="minorBidi" w:hAnsiTheme="minorBidi" w:cstheme="minorBidi"/>
                <w:i/>
                <w:iCs/>
                <w:snapToGrid/>
                <w:szCs w:val="22"/>
                <w:lang w:val="es"/>
              </w:rPr>
              <w:t>Informe sobre el sistema de observación de los océanos</w:t>
            </w:r>
          </w:p>
        </w:tc>
        <w:tc>
          <w:tcPr>
            <w:tcW w:w="1836" w:type="dxa"/>
            <w:hideMark/>
          </w:tcPr>
          <w:p w14:paraId="2D55EA43" w14:textId="26D1A44B" w:rsidR="00343EFA" w:rsidRPr="00C8507A" w:rsidRDefault="0031621C"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Transversal GOOS</w:t>
            </w:r>
          </w:p>
        </w:tc>
      </w:tr>
      <w:tr w:rsidR="00343EFA" w:rsidRPr="006F399F" w14:paraId="6D3E58DB" w14:textId="77777777" w:rsidTr="00770E7F">
        <w:trPr>
          <w:trHeight w:val="283"/>
        </w:trPr>
        <w:tc>
          <w:tcPr>
            <w:tcW w:w="9628" w:type="dxa"/>
            <w:gridSpan w:val="3"/>
            <w:shd w:val="clear" w:color="auto" w:fill="F2F2F2" w:themeFill="background1" w:themeFillShade="F2"/>
            <w:noWrap/>
          </w:tcPr>
          <w:p w14:paraId="68C51EE0" w14:textId="23BACAF2" w:rsidR="00343EFA" w:rsidRPr="00C8507A" w:rsidRDefault="00770E7F" w:rsidP="00343EFA">
            <w:pPr>
              <w:tabs>
                <w:tab w:val="clear" w:pos="567"/>
              </w:tabs>
              <w:snapToGrid/>
              <w:rPr>
                <w:rFonts w:asciiTheme="minorBidi" w:hAnsiTheme="minorBidi" w:cstheme="minorBidi"/>
                <w:bCs/>
                <w:snapToGrid/>
                <w:szCs w:val="22"/>
              </w:rPr>
            </w:pPr>
            <w:bookmarkStart w:id="2" w:name="SO_3"/>
            <w:r>
              <w:rPr>
                <w:rFonts w:asciiTheme="minorBidi" w:hAnsiTheme="minorBidi" w:cstheme="minorBidi"/>
                <w:snapToGrid/>
                <w:szCs w:val="22"/>
                <w:lang w:val="es"/>
              </w:rPr>
              <w:t>OE3</w:t>
            </w:r>
            <w:bookmarkEnd w:id="2"/>
            <w:r>
              <w:rPr>
                <w:rFonts w:asciiTheme="minorBidi" w:hAnsiTheme="minorBidi" w:cstheme="minorBidi"/>
                <w:b/>
                <w:bCs/>
                <w:snapToGrid/>
                <w:szCs w:val="22"/>
                <w:lang w:val="es"/>
              </w:rPr>
              <w:t>:</w:t>
            </w:r>
            <w:r>
              <w:rPr>
                <w:rFonts w:asciiTheme="minorBidi" w:hAnsiTheme="minorBidi" w:cstheme="minorBidi"/>
                <w:snapToGrid/>
                <w:szCs w:val="22"/>
                <w:lang w:val="es"/>
              </w:rPr>
              <w:t xml:space="preserve"> Evaluar periódicamente el impacto del sistema para valorar su adecuación al objetivo</w:t>
            </w:r>
          </w:p>
        </w:tc>
      </w:tr>
      <w:tr w:rsidR="0031621C" w:rsidRPr="006F399F" w14:paraId="2D46AECE" w14:textId="77777777" w:rsidTr="0031621C">
        <w:trPr>
          <w:trHeight w:val="283"/>
        </w:trPr>
        <w:tc>
          <w:tcPr>
            <w:tcW w:w="1129" w:type="dxa"/>
            <w:noWrap/>
            <w:hideMark/>
          </w:tcPr>
          <w:p w14:paraId="70D88DE5"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es"/>
              </w:rPr>
              <w:t>3.1</w:t>
            </w:r>
          </w:p>
        </w:tc>
        <w:tc>
          <w:tcPr>
            <w:tcW w:w="6663" w:type="dxa"/>
            <w:noWrap/>
            <w:hideMark/>
          </w:tcPr>
          <w:p w14:paraId="3EC87617"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Informes sobre el estado de la red</w:t>
            </w:r>
          </w:p>
        </w:tc>
        <w:tc>
          <w:tcPr>
            <w:tcW w:w="1836" w:type="dxa"/>
            <w:hideMark/>
          </w:tcPr>
          <w:p w14:paraId="2B67196A"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Múltiples elementos</w:t>
            </w:r>
          </w:p>
        </w:tc>
      </w:tr>
      <w:tr w:rsidR="0031621C" w:rsidRPr="006F399F" w14:paraId="555C3240" w14:textId="77777777" w:rsidTr="0031621C">
        <w:trPr>
          <w:trHeight w:val="283"/>
        </w:trPr>
        <w:tc>
          <w:tcPr>
            <w:tcW w:w="1129" w:type="dxa"/>
            <w:noWrap/>
            <w:hideMark/>
          </w:tcPr>
          <w:p w14:paraId="0BACF0A0"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es"/>
              </w:rPr>
              <w:t>3.2</w:t>
            </w:r>
          </w:p>
        </w:tc>
        <w:tc>
          <w:tcPr>
            <w:tcW w:w="6663" w:type="dxa"/>
            <w:noWrap/>
            <w:hideMark/>
          </w:tcPr>
          <w:p w14:paraId="0497F129"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Evaluación y métrica del sistema de observación</w:t>
            </w:r>
          </w:p>
        </w:tc>
        <w:tc>
          <w:tcPr>
            <w:tcW w:w="1836" w:type="dxa"/>
            <w:hideMark/>
          </w:tcPr>
          <w:p w14:paraId="540B6CDD" w14:textId="20DD1434" w:rsidR="00343EFA" w:rsidRPr="00C8507A" w:rsidRDefault="0031621C"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Transversal GOOS</w:t>
            </w:r>
          </w:p>
        </w:tc>
      </w:tr>
      <w:tr w:rsidR="0031621C" w:rsidRPr="006F399F" w14:paraId="57DEB499" w14:textId="77777777" w:rsidTr="0031621C">
        <w:trPr>
          <w:trHeight w:val="283"/>
        </w:trPr>
        <w:tc>
          <w:tcPr>
            <w:tcW w:w="1129" w:type="dxa"/>
            <w:noWrap/>
            <w:hideMark/>
          </w:tcPr>
          <w:p w14:paraId="4D00A488"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es"/>
              </w:rPr>
              <w:t>3.3</w:t>
            </w:r>
          </w:p>
        </w:tc>
        <w:tc>
          <w:tcPr>
            <w:tcW w:w="6663" w:type="dxa"/>
            <w:noWrap/>
            <w:hideMark/>
          </w:tcPr>
          <w:p w14:paraId="2CB4C2BC"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Evaluación y métrica de las previsiones oceánicas</w:t>
            </w:r>
          </w:p>
        </w:tc>
        <w:tc>
          <w:tcPr>
            <w:tcW w:w="1836" w:type="dxa"/>
            <w:hideMark/>
          </w:tcPr>
          <w:p w14:paraId="2D9F6B28"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Elemento único</w:t>
            </w:r>
          </w:p>
        </w:tc>
      </w:tr>
      <w:tr w:rsidR="0031621C" w:rsidRPr="006F399F" w14:paraId="07101BAF" w14:textId="77777777" w:rsidTr="0031621C">
        <w:trPr>
          <w:trHeight w:val="283"/>
        </w:trPr>
        <w:tc>
          <w:tcPr>
            <w:tcW w:w="1129" w:type="dxa"/>
            <w:noWrap/>
            <w:hideMark/>
          </w:tcPr>
          <w:p w14:paraId="15C32DF9"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es"/>
              </w:rPr>
              <w:t>3.4</w:t>
            </w:r>
          </w:p>
        </w:tc>
        <w:tc>
          <w:tcPr>
            <w:tcW w:w="6663" w:type="dxa"/>
            <w:noWrap/>
            <w:hideMark/>
          </w:tcPr>
          <w:p w14:paraId="7BC75B81"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Mapa mundial de los sistemas de previsión oceánica</w:t>
            </w:r>
          </w:p>
        </w:tc>
        <w:tc>
          <w:tcPr>
            <w:tcW w:w="1836" w:type="dxa"/>
            <w:hideMark/>
          </w:tcPr>
          <w:p w14:paraId="2A0E70F4"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Elemento único</w:t>
            </w:r>
          </w:p>
        </w:tc>
      </w:tr>
      <w:tr w:rsidR="0031621C" w:rsidRPr="006F399F" w14:paraId="5E0EE005" w14:textId="77777777" w:rsidTr="0031621C">
        <w:trPr>
          <w:trHeight w:val="283"/>
        </w:trPr>
        <w:tc>
          <w:tcPr>
            <w:tcW w:w="1129" w:type="dxa"/>
            <w:noWrap/>
            <w:hideMark/>
          </w:tcPr>
          <w:p w14:paraId="1002B04A"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es"/>
              </w:rPr>
              <w:t>3.5</w:t>
            </w:r>
          </w:p>
        </w:tc>
        <w:tc>
          <w:tcPr>
            <w:tcW w:w="6663" w:type="dxa"/>
            <w:noWrap/>
            <w:hideMark/>
          </w:tcPr>
          <w:p w14:paraId="5231C4B3"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Desarrollar un mapa interactivo de redes y metadatos para el seguimiento biológico</w:t>
            </w:r>
          </w:p>
        </w:tc>
        <w:tc>
          <w:tcPr>
            <w:tcW w:w="1836" w:type="dxa"/>
            <w:hideMark/>
          </w:tcPr>
          <w:p w14:paraId="5A53DB3F"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Múltiples elementos</w:t>
            </w:r>
          </w:p>
        </w:tc>
      </w:tr>
      <w:tr w:rsidR="0031621C" w:rsidRPr="006F399F" w14:paraId="1517706B" w14:textId="77777777" w:rsidTr="0031621C">
        <w:trPr>
          <w:trHeight w:val="283"/>
        </w:trPr>
        <w:tc>
          <w:tcPr>
            <w:tcW w:w="1129" w:type="dxa"/>
            <w:noWrap/>
            <w:hideMark/>
          </w:tcPr>
          <w:p w14:paraId="7BB4FB60"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es"/>
              </w:rPr>
              <w:t>3.6</w:t>
            </w:r>
          </w:p>
        </w:tc>
        <w:tc>
          <w:tcPr>
            <w:tcW w:w="6663" w:type="dxa"/>
            <w:noWrap/>
            <w:hideMark/>
          </w:tcPr>
          <w:p w14:paraId="691C90BA"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Marco mundial de indicadores oceánicos</w:t>
            </w:r>
          </w:p>
        </w:tc>
        <w:tc>
          <w:tcPr>
            <w:tcW w:w="1836" w:type="dxa"/>
            <w:hideMark/>
          </w:tcPr>
          <w:p w14:paraId="07E91D58" w14:textId="70B2BE20" w:rsidR="00343EFA" w:rsidRPr="00C8507A" w:rsidRDefault="0031621C"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Transversal GOOS</w:t>
            </w:r>
          </w:p>
        </w:tc>
      </w:tr>
      <w:tr w:rsidR="0031621C" w:rsidRPr="006F399F" w14:paraId="1BA24C54" w14:textId="77777777" w:rsidTr="0031621C">
        <w:trPr>
          <w:trHeight w:val="283"/>
        </w:trPr>
        <w:tc>
          <w:tcPr>
            <w:tcW w:w="1129" w:type="dxa"/>
            <w:noWrap/>
            <w:hideMark/>
          </w:tcPr>
          <w:p w14:paraId="3F407C3B"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es"/>
              </w:rPr>
              <w:t>3.7</w:t>
            </w:r>
          </w:p>
        </w:tc>
        <w:tc>
          <w:tcPr>
            <w:tcW w:w="6663" w:type="dxa"/>
            <w:noWrap/>
            <w:hideMark/>
          </w:tcPr>
          <w:p w14:paraId="27EAC897" w14:textId="74EA61D7" w:rsidR="00343EFA" w:rsidRPr="00C8507A" w:rsidRDefault="00770E7F"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 xml:space="preserve">Co-diseño de la observación de los océanos </w:t>
            </w:r>
          </w:p>
        </w:tc>
        <w:tc>
          <w:tcPr>
            <w:tcW w:w="1836" w:type="dxa"/>
            <w:hideMark/>
          </w:tcPr>
          <w:p w14:paraId="751E0492" w14:textId="78490606"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Programa del Decenio</w:t>
            </w:r>
          </w:p>
        </w:tc>
      </w:tr>
      <w:tr w:rsidR="00770E7F" w:rsidRPr="006F399F" w14:paraId="3455E188" w14:textId="77777777" w:rsidTr="00770E7F">
        <w:trPr>
          <w:trHeight w:val="283"/>
        </w:trPr>
        <w:tc>
          <w:tcPr>
            <w:tcW w:w="9628" w:type="dxa"/>
            <w:gridSpan w:val="3"/>
            <w:shd w:val="clear" w:color="auto" w:fill="F2F2F2" w:themeFill="background1" w:themeFillShade="F2"/>
            <w:noWrap/>
          </w:tcPr>
          <w:p w14:paraId="4AE0FCFA" w14:textId="1C05685E" w:rsidR="00770E7F" w:rsidRPr="00C8507A" w:rsidRDefault="00770E7F" w:rsidP="00343EFA">
            <w:pPr>
              <w:tabs>
                <w:tab w:val="clear" w:pos="567"/>
              </w:tabs>
              <w:snapToGrid/>
              <w:rPr>
                <w:rFonts w:asciiTheme="minorBidi" w:hAnsiTheme="minorBidi" w:cstheme="minorBidi"/>
                <w:bCs/>
                <w:snapToGrid/>
                <w:szCs w:val="22"/>
              </w:rPr>
            </w:pPr>
            <w:bookmarkStart w:id="3" w:name="SO_4"/>
            <w:r>
              <w:rPr>
                <w:rFonts w:asciiTheme="minorBidi" w:hAnsiTheme="minorBidi" w:cstheme="minorBidi"/>
                <w:snapToGrid/>
                <w:szCs w:val="22"/>
                <w:lang w:val="es"/>
              </w:rPr>
              <w:t>OE4</w:t>
            </w:r>
            <w:bookmarkEnd w:id="3"/>
            <w:r>
              <w:rPr>
                <w:rFonts w:asciiTheme="minorBidi" w:hAnsiTheme="minorBidi" w:cstheme="minorBidi"/>
                <w:snapToGrid/>
                <w:szCs w:val="22"/>
                <w:lang w:val="es"/>
              </w:rPr>
              <w:t>: Reforzar el conocimiento y el intercambio en torno a los servicios y productos para impulsar la adopción local</w:t>
            </w:r>
          </w:p>
        </w:tc>
      </w:tr>
      <w:tr w:rsidR="0031621C" w:rsidRPr="006F399F" w14:paraId="0223BB7C" w14:textId="77777777" w:rsidTr="0031621C">
        <w:trPr>
          <w:trHeight w:val="283"/>
        </w:trPr>
        <w:tc>
          <w:tcPr>
            <w:tcW w:w="1129" w:type="dxa"/>
            <w:noWrap/>
            <w:hideMark/>
          </w:tcPr>
          <w:p w14:paraId="3C56EC96"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es"/>
              </w:rPr>
              <w:t>4.1</w:t>
            </w:r>
          </w:p>
        </w:tc>
        <w:tc>
          <w:tcPr>
            <w:tcW w:w="6663" w:type="dxa"/>
            <w:noWrap/>
            <w:hideMark/>
          </w:tcPr>
          <w:p w14:paraId="6DBF0790"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Conjunto de herramientas/guía sobre sistemas operativos oceánicos y de vigilancia y previsión</w:t>
            </w:r>
          </w:p>
        </w:tc>
        <w:tc>
          <w:tcPr>
            <w:tcW w:w="1836" w:type="dxa"/>
            <w:hideMark/>
          </w:tcPr>
          <w:p w14:paraId="54920DAE" w14:textId="3454C8B8" w:rsidR="00343EFA" w:rsidRPr="00C8507A" w:rsidRDefault="006F399F"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Elemento único</w:t>
            </w:r>
          </w:p>
        </w:tc>
      </w:tr>
      <w:tr w:rsidR="0031621C" w:rsidRPr="006F399F" w14:paraId="22812E25" w14:textId="77777777" w:rsidTr="0031621C">
        <w:trPr>
          <w:trHeight w:val="283"/>
        </w:trPr>
        <w:tc>
          <w:tcPr>
            <w:tcW w:w="1129" w:type="dxa"/>
            <w:noWrap/>
            <w:hideMark/>
          </w:tcPr>
          <w:p w14:paraId="2FDC2D69"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es"/>
              </w:rPr>
              <w:t>4.2</w:t>
            </w:r>
          </w:p>
        </w:tc>
        <w:tc>
          <w:tcPr>
            <w:tcW w:w="6663" w:type="dxa"/>
            <w:noWrap/>
            <w:hideMark/>
          </w:tcPr>
          <w:p w14:paraId="2CC6D2D0"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Productos de integración de datos en las GRA</w:t>
            </w:r>
          </w:p>
        </w:tc>
        <w:tc>
          <w:tcPr>
            <w:tcW w:w="1836" w:type="dxa"/>
            <w:hideMark/>
          </w:tcPr>
          <w:p w14:paraId="629252D9" w14:textId="33A50878" w:rsidR="00343EFA" w:rsidRPr="00C8507A" w:rsidRDefault="006F399F"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Elemento único</w:t>
            </w:r>
          </w:p>
        </w:tc>
      </w:tr>
      <w:tr w:rsidR="0031621C" w:rsidRPr="006F399F" w14:paraId="32812122" w14:textId="77777777" w:rsidTr="0031621C">
        <w:trPr>
          <w:trHeight w:val="283"/>
        </w:trPr>
        <w:tc>
          <w:tcPr>
            <w:tcW w:w="1129" w:type="dxa"/>
            <w:noWrap/>
            <w:hideMark/>
          </w:tcPr>
          <w:p w14:paraId="50D3F6B7"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es"/>
              </w:rPr>
              <w:t>4.3</w:t>
            </w:r>
          </w:p>
        </w:tc>
        <w:tc>
          <w:tcPr>
            <w:tcW w:w="6663" w:type="dxa"/>
            <w:noWrap/>
            <w:hideMark/>
          </w:tcPr>
          <w:p w14:paraId="6EACA9F0"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 xml:space="preserve"> Establecer y promover una cartera de productos y servicios del GOOS para los centros de previsión oceánica</w:t>
            </w:r>
          </w:p>
        </w:tc>
        <w:tc>
          <w:tcPr>
            <w:tcW w:w="1836" w:type="dxa"/>
            <w:hideMark/>
          </w:tcPr>
          <w:p w14:paraId="710045C2"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Múltiples elementos</w:t>
            </w:r>
          </w:p>
        </w:tc>
      </w:tr>
      <w:tr w:rsidR="00B6431D" w:rsidRPr="006F399F" w14:paraId="1DAD9FE9" w14:textId="77777777" w:rsidTr="00B6431D">
        <w:trPr>
          <w:trHeight w:val="283"/>
        </w:trPr>
        <w:tc>
          <w:tcPr>
            <w:tcW w:w="9628" w:type="dxa"/>
            <w:gridSpan w:val="3"/>
            <w:shd w:val="clear" w:color="auto" w:fill="D9D9D9" w:themeFill="background1" w:themeFillShade="D9"/>
            <w:noWrap/>
          </w:tcPr>
          <w:p w14:paraId="734448E6" w14:textId="15197FA3" w:rsidR="00B6431D" w:rsidRPr="00C8507A" w:rsidRDefault="00B6431D" w:rsidP="00343EFA">
            <w:pPr>
              <w:tabs>
                <w:tab w:val="clear" w:pos="567"/>
              </w:tabs>
              <w:snapToGrid/>
              <w:rPr>
                <w:rFonts w:asciiTheme="minorBidi" w:hAnsiTheme="minorBidi" w:cstheme="minorBidi"/>
                <w:b/>
                <w:snapToGrid/>
                <w:szCs w:val="22"/>
              </w:rPr>
            </w:pPr>
            <w:r>
              <w:rPr>
                <w:rFonts w:asciiTheme="minorBidi" w:hAnsiTheme="minorBidi" w:cstheme="minorBidi"/>
                <w:b/>
                <w:bCs/>
                <w:snapToGrid/>
                <w:szCs w:val="22"/>
                <w:lang w:val="es"/>
              </w:rPr>
              <w:t>Objetivo: Apoyar la integración y la prestación</w:t>
            </w:r>
          </w:p>
        </w:tc>
      </w:tr>
      <w:tr w:rsidR="00770E7F" w:rsidRPr="006F399F" w14:paraId="188E5646" w14:textId="77777777" w:rsidTr="00770E7F">
        <w:trPr>
          <w:trHeight w:val="283"/>
        </w:trPr>
        <w:tc>
          <w:tcPr>
            <w:tcW w:w="9628" w:type="dxa"/>
            <w:gridSpan w:val="3"/>
            <w:shd w:val="clear" w:color="auto" w:fill="F2F2F2" w:themeFill="background1" w:themeFillShade="F2"/>
            <w:noWrap/>
          </w:tcPr>
          <w:p w14:paraId="1B90AECB" w14:textId="07B37585" w:rsidR="00770E7F" w:rsidRPr="00C8507A" w:rsidRDefault="00770E7F" w:rsidP="00343EFA">
            <w:pPr>
              <w:tabs>
                <w:tab w:val="clear" w:pos="567"/>
              </w:tabs>
              <w:snapToGrid/>
              <w:rPr>
                <w:rFonts w:asciiTheme="minorBidi" w:hAnsiTheme="minorBidi" w:cstheme="minorBidi"/>
                <w:bCs/>
                <w:snapToGrid/>
                <w:szCs w:val="22"/>
              </w:rPr>
            </w:pPr>
            <w:bookmarkStart w:id="4" w:name="SO_5"/>
            <w:r>
              <w:rPr>
                <w:rFonts w:asciiTheme="minorBidi" w:hAnsiTheme="minorBidi" w:cstheme="minorBidi"/>
                <w:snapToGrid/>
                <w:szCs w:val="22"/>
                <w:lang w:val="es"/>
              </w:rPr>
              <w:lastRenderedPageBreak/>
              <w:t>OE5</w:t>
            </w:r>
            <w:bookmarkEnd w:id="4"/>
            <w:r>
              <w:rPr>
                <w:rFonts w:asciiTheme="minorBidi" w:hAnsiTheme="minorBidi" w:cstheme="minorBidi"/>
                <w:snapToGrid/>
                <w:szCs w:val="22"/>
                <w:lang w:val="es"/>
              </w:rPr>
              <w:t>: Proporcionar orientación autorizada sobre el diseño de sistemas de observación integrados, sintetizando los requisitos en evolución e identificando las lagunas</w:t>
            </w:r>
          </w:p>
        </w:tc>
      </w:tr>
      <w:tr w:rsidR="0031621C" w:rsidRPr="006F399F" w14:paraId="0FCD276A" w14:textId="77777777" w:rsidTr="0031621C">
        <w:trPr>
          <w:trHeight w:val="283"/>
        </w:trPr>
        <w:tc>
          <w:tcPr>
            <w:tcW w:w="1129" w:type="dxa"/>
            <w:noWrap/>
            <w:hideMark/>
          </w:tcPr>
          <w:p w14:paraId="1EE0E05B"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es"/>
              </w:rPr>
              <w:t>5.1</w:t>
            </w:r>
          </w:p>
        </w:tc>
        <w:tc>
          <w:tcPr>
            <w:tcW w:w="6663" w:type="dxa"/>
            <w:noWrap/>
            <w:hideMark/>
          </w:tcPr>
          <w:p w14:paraId="340BD615" w14:textId="74BCA514"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Variable oceánica esencial (EOV) / Variable climática esencial (ECV) Administración y SMOC</w:t>
            </w:r>
          </w:p>
        </w:tc>
        <w:tc>
          <w:tcPr>
            <w:tcW w:w="1836" w:type="dxa"/>
            <w:hideMark/>
          </w:tcPr>
          <w:p w14:paraId="4520A0FF"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Múltiples elementos</w:t>
            </w:r>
          </w:p>
        </w:tc>
      </w:tr>
      <w:tr w:rsidR="0031621C" w:rsidRPr="006F399F" w14:paraId="2F942CA7" w14:textId="77777777" w:rsidTr="0031621C">
        <w:trPr>
          <w:trHeight w:val="283"/>
        </w:trPr>
        <w:tc>
          <w:tcPr>
            <w:tcW w:w="1129" w:type="dxa"/>
            <w:noWrap/>
            <w:hideMark/>
          </w:tcPr>
          <w:p w14:paraId="4C6DB9A4"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es"/>
              </w:rPr>
              <w:t>5.2</w:t>
            </w:r>
          </w:p>
        </w:tc>
        <w:tc>
          <w:tcPr>
            <w:tcW w:w="6663" w:type="dxa"/>
            <w:noWrap/>
            <w:hideMark/>
          </w:tcPr>
          <w:p w14:paraId="2877A1E5"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Revisión de EOV del GOOS</w:t>
            </w:r>
          </w:p>
        </w:tc>
        <w:tc>
          <w:tcPr>
            <w:tcW w:w="1836" w:type="dxa"/>
            <w:hideMark/>
          </w:tcPr>
          <w:p w14:paraId="108A9574"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Múltiples elementos</w:t>
            </w:r>
          </w:p>
        </w:tc>
      </w:tr>
      <w:tr w:rsidR="0031621C" w:rsidRPr="006F399F" w14:paraId="1B7E939E" w14:textId="77777777" w:rsidTr="0031621C">
        <w:trPr>
          <w:trHeight w:val="283"/>
        </w:trPr>
        <w:tc>
          <w:tcPr>
            <w:tcW w:w="1129" w:type="dxa"/>
            <w:noWrap/>
            <w:hideMark/>
          </w:tcPr>
          <w:p w14:paraId="6281CE45"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es"/>
              </w:rPr>
              <w:t>5.3</w:t>
            </w:r>
          </w:p>
        </w:tc>
        <w:tc>
          <w:tcPr>
            <w:tcW w:w="6663" w:type="dxa"/>
            <w:noWrap/>
            <w:hideMark/>
          </w:tcPr>
          <w:p w14:paraId="28D31179"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Evaluación y revisiones del sistema de observación</w:t>
            </w:r>
          </w:p>
        </w:tc>
        <w:tc>
          <w:tcPr>
            <w:tcW w:w="1836" w:type="dxa"/>
            <w:hideMark/>
          </w:tcPr>
          <w:p w14:paraId="445211B8"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 </w:t>
            </w:r>
          </w:p>
        </w:tc>
      </w:tr>
      <w:tr w:rsidR="0031621C" w:rsidRPr="006F399F" w14:paraId="5F010AAE" w14:textId="77777777" w:rsidTr="0031621C">
        <w:trPr>
          <w:trHeight w:val="283"/>
        </w:trPr>
        <w:tc>
          <w:tcPr>
            <w:tcW w:w="1129" w:type="dxa"/>
            <w:vMerge w:val="restart"/>
            <w:noWrap/>
            <w:hideMark/>
          </w:tcPr>
          <w:p w14:paraId="61F1CAB8"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 </w:t>
            </w:r>
          </w:p>
        </w:tc>
        <w:tc>
          <w:tcPr>
            <w:tcW w:w="6663" w:type="dxa"/>
            <w:noWrap/>
            <w:hideMark/>
          </w:tcPr>
          <w:p w14:paraId="13FAE923"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5.3.1 Estrategia para los ciclos de calor oceánico y de agua dulce</w:t>
            </w:r>
          </w:p>
        </w:tc>
        <w:tc>
          <w:tcPr>
            <w:tcW w:w="1836" w:type="dxa"/>
            <w:hideMark/>
          </w:tcPr>
          <w:p w14:paraId="1BCE9399" w14:textId="5D42C453" w:rsidR="00343EFA" w:rsidRPr="00C8507A" w:rsidRDefault="006F399F"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Elemento único</w:t>
            </w:r>
          </w:p>
        </w:tc>
      </w:tr>
      <w:tr w:rsidR="0031621C" w:rsidRPr="006F399F" w14:paraId="73C75DDB" w14:textId="77777777" w:rsidTr="0031621C">
        <w:trPr>
          <w:trHeight w:val="283"/>
        </w:trPr>
        <w:tc>
          <w:tcPr>
            <w:tcW w:w="1129" w:type="dxa"/>
            <w:vMerge/>
            <w:hideMark/>
          </w:tcPr>
          <w:p w14:paraId="46039498" w14:textId="77777777" w:rsidR="00343EFA" w:rsidRPr="00C8507A" w:rsidRDefault="00343EFA" w:rsidP="00343EFA">
            <w:pPr>
              <w:tabs>
                <w:tab w:val="clear" w:pos="567"/>
              </w:tabs>
              <w:snapToGrid/>
              <w:rPr>
                <w:rFonts w:asciiTheme="minorBidi" w:hAnsiTheme="minorBidi" w:cstheme="minorBidi"/>
                <w:bCs/>
                <w:snapToGrid/>
                <w:szCs w:val="22"/>
              </w:rPr>
            </w:pPr>
          </w:p>
        </w:tc>
        <w:tc>
          <w:tcPr>
            <w:tcW w:w="6663" w:type="dxa"/>
            <w:noWrap/>
            <w:hideMark/>
          </w:tcPr>
          <w:p w14:paraId="12686DD4"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5.3.2 Evaluación del sistema de observación y estrategia para la interfaz océano-atmósfera y las capas límite</w:t>
            </w:r>
          </w:p>
        </w:tc>
        <w:tc>
          <w:tcPr>
            <w:tcW w:w="1836" w:type="dxa"/>
            <w:hideMark/>
          </w:tcPr>
          <w:p w14:paraId="4B4A12FD" w14:textId="65729119" w:rsidR="00343EFA" w:rsidRPr="00C8507A" w:rsidRDefault="006F399F"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Elemento único</w:t>
            </w:r>
          </w:p>
        </w:tc>
      </w:tr>
      <w:tr w:rsidR="0031621C" w:rsidRPr="006F399F" w14:paraId="6DAE52AC" w14:textId="77777777" w:rsidTr="0031621C">
        <w:trPr>
          <w:trHeight w:val="283"/>
        </w:trPr>
        <w:tc>
          <w:tcPr>
            <w:tcW w:w="1129" w:type="dxa"/>
            <w:vMerge/>
            <w:hideMark/>
          </w:tcPr>
          <w:p w14:paraId="4268949E" w14:textId="77777777" w:rsidR="00343EFA" w:rsidRPr="00C8507A" w:rsidRDefault="00343EFA" w:rsidP="00343EFA">
            <w:pPr>
              <w:tabs>
                <w:tab w:val="clear" w:pos="567"/>
              </w:tabs>
              <w:snapToGrid/>
              <w:rPr>
                <w:rFonts w:asciiTheme="minorBidi" w:hAnsiTheme="minorBidi" w:cstheme="minorBidi"/>
                <w:bCs/>
                <w:snapToGrid/>
                <w:szCs w:val="22"/>
              </w:rPr>
            </w:pPr>
          </w:p>
        </w:tc>
        <w:tc>
          <w:tcPr>
            <w:tcW w:w="6663" w:type="dxa"/>
            <w:noWrap/>
            <w:hideMark/>
          </w:tcPr>
          <w:p w14:paraId="411A4731"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5.3.3 Evaluación del sistema de observación y estrategia para los sistemas de límites</w:t>
            </w:r>
          </w:p>
        </w:tc>
        <w:tc>
          <w:tcPr>
            <w:tcW w:w="1836" w:type="dxa"/>
            <w:hideMark/>
          </w:tcPr>
          <w:p w14:paraId="2829FBD1"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Múltiples elementos</w:t>
            </w:r>
          </w:p>
        </w:tc>
      </w:tr>
      <w:tr w:rsidR="0031621C" w:rsidRPr="006F399F" w14:paraId="7D633CA4" w14:textId="77777777" w:rsidTr="0031621C">
        <w:trPr>
          <w:trHeight w:val="283"/>
        </w:trPr>
        <w:tc>
          <w:tcPr>
            <w:tcW w:w="1129" w:type="dxa"/>
            <w:vMerge/>
            <w:hideMark/>
          </w:tcPr>
          <w:p w14:paraId="53A670D7" w14:textId="77777777" w:rsidR="00343EFA" w:rsidRPr="00C8507A" w:rsidRDefault="00343EFA" w:rsidP="00343EFA">
            <w:pPr>
              <w:tabs>
                <w:tab w:val="clear" w:pos="567"/>
              </w:tabs>
              <w:snapToGrid/>
              <w:rPr>
                <w:rFonts w:asciiTheme="minorBidi" w:hAnsiTheme="minorBidi" w:cstheme="minorBidi"/>
                <w:bCs/>
                <w:snapToGrid/>
                <w:szCs w:val="22"/>
              </w:rPr>
            </w:pPr>
          </w:p>
        </w:tc>
        <w:tc>
          <w:tcPr>
            <w:tcW w:w="6663" w:type="dxa"/>
            <w:noWrap/>
            <w:hideMark/>
          </w:tcPr>
          <w:p w14:paraId="3343D8B9"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5.3.4 Proyecto de sistema de observación del flujo de carbono óptimo</w:t>
            </w:r>
          </w:p>
        </w:tc>
        <w:tc>
          <w:tcPr>
            <w:tcW w:w="1836" w:type="dxa"/>
            <w:hideMark/>
          </w:tcPr>
          <w:p w14:paraId="4CDE0B45"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Múltiples elementos</w:t>
            </w:r>
          </w:p>
        </w:tc>
      </w:tr>
      <w:tr w:rsidR="0031621C" w:rsidRPr="006F399F" w14:paraId="7E63C7D4" w14:textId="77777777" w:rsidTr="0031621C">
        <w:trPr>
          <w:trHeight w:val="283"/>
        </w:trPr>
        <w:tc>
          <w:tcPr>
            <w:tcW w:w="1129" w:type="dxa"/>
            <w:noWrap/>
            <w:hideMark/>
          </w:tcPr>
          <w:p w14:paraId="631A52F7"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es"/>
              </w:rPr>
              <w:t>5.4</w:t>
            </w:r>
          </w:p>
        </w:tc>
        <w:tc>
          <w:tcPr>
            <w:tcW w:w="6663" w:type="dxa"/>
            <w:noWrap/>
            <w:hideMark/>
          </w:tcPr>
          <w:p w14:paraId="03EDC372"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Marco de evaluación y revisión del GOOS</w:t>
            </w:r>
          </w:p>
        </w:tc>
        <w:tc>
          <w:tcPr>
            <w:tcW w:w="1836" w:type="dxa"/>
            <w:hideMark/>
          </w:tcPr>
          <w:p w14:paraId="536FAD9A"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Múltiples elementos</w:t>
            </w:r>
          </w:p>
        </w:tc>
      </w:tr>
      <w:tr w:rsidR="0031621C" w:rsidRPr="006F399F" w14:paraId="67303EF6" w14:textId="77777777" w:rsidTr="0031621C">
        <w:trPr>
          <w:trHeight w:val="283"/>
        </w:trPr>
        <w:tc>
          <w:tcPr>
            <w:tcW w:w="1129" w:type="dxa"/>
            <w:noWrap/>
            <w:hideMark/>
          </w:tcPr>
          <w:p w14:paraId="54F61CE1"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es"/>
              </w:rPr>
              <w:t>5.5</w:t>
            </w:r>
          </w:p>
        </w:tc>
        <w:tc>
          <w:tcPr>
            <w:tcW w:w="6663" w:type="dxa"/>
            <w:noWrap/>
            <w:hideMark/>
          </w:tcPr>
          <w:p w14:paraId="00BED02A" w14:textId="2C74E429"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 xml:space="preserve">Coordinación de la red regional/Síntesis de OceanObs'19 </w:t>
            </w:r>
          </w:p>
        </w:tc>
        <w:tc>
          <w:tcPr>
            <w:tcW w:w="1836" w:type="dxa"/>
            <w:hideMark/>
          </w:tcPr>
          <w:p w14:paraId="3344885E"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Múltiples elementos</w:t>
            </w:r>
          </w:p>
        </w:tc>
      </w:tr>
      <w:tr w:rsidR="0031621C" w:rsidRPr="006F399F" w14:paraId="6598D42E" w14:textId="77777777" w:rsidTr="0031621C">
        <w:trPr>
          <w:trHeight w:val="283"/>
        </w:trPr>
        <w:tc>
          <w:tcPr>
            <w:tcW w:w="1129" w:type="dxa"/>
            <w:noWrap/>
            <w:hideMark/>
          </w:tcPr>
          <w:p w14:paraId="40EC4D47"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es"/>
              </w:rPr>
              <w:t>5.6</w:t>
            </w:r>
          </w:p>
        </w:tc>
        <w:tc>
          <w:tcPr>
            <w:tcW w:w="6663" w:type="dxa"/>
            <w:noWrap/>
            <w:hideMark/>
          </w:tcPr>
          <w:p w14:paraId="445D8026"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Diseño del sistema de observación en torno a las EOV</w:t>
            </w:r>
          </w:p>
        </w:tc>
        <w:tc>
          <w:tcPr>
            <w:tcW w:w="1836" w:type="dxa"/>
            <w:hideMark/>
          </w:tcPr>
          <w:p w14:paraId="520A0619" w14:textId="4596EF79" w:rsidR="00343EFA" w:rsidRPr="00C8507A" w:rsidRDefault="0031621C"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Transversal GOOS</w:t>
            </w:r>
          </w:p>
        </w:tc>
      </w:tr>
      <w:tr w:rsidR="00770E7F" w:rsidRPr="006F399F" w14:paraId="28DDD77D" w14:textId="77777777" w:rsidTr="00770E7F">
        <w:trPr>
          <w:trHeight w:val="283"/>
        </w:trPr>
        <w:tc>
          <w:tcPr>
            <w:tcW w:w="9628" w:type="dxa"/>
            <w:gridSpan w:val="3"/>
            <w:shd w:val="clear" w:color="auto" w:fill="F2F2F2" w:themeFill="background1" w:themeFillShade="F2"/>
            <w:noWrap/>
          </w:tcPr>
          <w:p w14:paraId="014400C3" w14:textId="3A4EF6D8" w:rsidR="00770E7F" w:rsidRPr="00C8507A" w:rsidRDefault="00770E7F" w:rsidP="007525A8">
            <w:pPr>
              <w:keepNext/>
              <w:tabs>
                <w:tab w:val="clear" w:pos="567"/>
              </w:tabs>
              <w:snapToGrid/>
              <w:rPr>
                <w:rFonts w:asciiTheme="minorBidi" w:hAnsiTheme="minorBidi" w:cstheme="minorBidi"/>
                <w:bCs/>
                <w:snapToGrid/>
                <w:szCs w:val="22"/>
              </w:rPr>
            </w:pPr>
            <w:bookmarkStart w:id="5" w:name="SO_6"/>
            <w:r>
              <w:rPr>
                <w:rFonts w:asciiTheme="minorBidi" w:hAnsiTheme="minorBidi" w:cstheme="minorBidi"/>
                <w:b/>
                <w:bCs/>
                <w:snapToGrid/>
                <w:szCs w:val="22"/>
                <w:lang w:val="es"/>
              </w:rPr>
              <w:t>OE6</w:t>
            </w:r>
            <w:r>
              <w:rPr>
                <w:rFonts w:asciiTheme="minorBidi" w:hAnsiTheme="minorBidi" w:cstheme="minorBidi"/>
                <w:snapToGrid/>
                <w:szCs w:val="22"/>
                <w:lang w:val="es"/>
              </w:rPr>
              <w:t xml:space="preserve">: </w:t>
            </w:r>
            <w:bookmarkEnd w:id="5"/>
            <w:r>
              <w:rPr>
                <w:rFonts w:asciiTheme="minorBidi" w:hAnsiTheme="minorBidi" w:cstheme="minorBidi"/>
                <w:snapToGrid/>
                <w:szCs w:val="22"/>
                <w:lang w:val="es"/>
              </w:rPr>
              <w:t>Mantener, reforzar y ampliar la ejecución del sistema de observación a través del GOOS y de las comunidades asociadas, promoviendo las normas y las mejores prácticas, y estableciendo parámetros para medir el éxito</w:t>
            </w:r>
          </w:p>
        </w:tc>
      </w:tr>
      <w:tr w:rsidR="0031621C" w:rsidRPr="006F399F" w14:paraId="12CC91AF" w14:textId="77777777" w:rsidTr="0031621C">
        <w:trPr>
          <w:trHeight w:val="283"/>
        </w:trPr>
        <w:tc>
          <w:tcPr>
            <w:tcW w:w="1129" w:type="dxa"/>
            <w:noWrap/>
            <w:hideMark/>
          </w:tcPr>
          <w:p w14:paraId="3310E684"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es"/>
              </w:rPr>
              <w:t>6.1</w:t>
            </w:r>
          </w:p>
        </w:tc>
        <w:tc>
          <w:tcPr>
            <w:tcW w:w="6663" w:type="dxa"/>
            <w:noWrap/>
            <w:hideMark/>
          </w:tcPr>
          <w:p w14:paraId="2A682ED2"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Ejecución de la iniciativa multidisciplinar VOICE</w:t>
            </w:r>
          </w:p>
        </w:tc>
        <w:tc>
          <w:tcPr>
            <w:tcW w:w="1836" w:type="dxa"/>
            <w:hideMark/>
          </w:tcPr>
          <w:p w14:paraId="79D8F219"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Múltiples elementos</w:t>
            </w:r>
          </w:p>
        </w:tc>
      </w:tr>
      <w:tr w:rsidR="0031621C" w:rsidRPr="006F399F" w14:paraId="4F3DE110" w14:textId="77777777" w:rsidTr="0031621C">
        <w:trPr>
          <w:trHeight w:val="283"/>
        </w:trPr>
        <w:tc>
          <w:tcPr>
            <w:tcW w:w="1129" w:type="dxa"/>
            <w:noWrap/>
            <w:hideMark/>
          </w:tcPr>
          <w:p w14:paraId="4CFDAFEE"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es"/>
              </w:rPr>
              <w:t>6.2</w:t>
            </w:r>
          </w:p>
        </w:tc>
        <w:tc>
          <w:tcPr>
            <w:tcW w:w="6663" w:type="dxa"/>
            <w:noWrap/>
            <w:hideMark/>
          </w:tcPr>
          <w:p w14:paraId="3B5310A2"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Mejores prácticas aprobadas por el GOOS disponibles en todas las EOV y plataformas</w:t>
            </w:r>
          </w:p>
        </w:tc>
        <w:tc>
          <w:tcPr>
            <w:tcW w:w="1836" w:type="dxa"/>
            <w:hideMark/>
          </w:tcPr>
          <w:p w14:paraId="7CB1E227"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Múltiples elementos</w:t>
            </w:r>
          </w:p>
        </w:tc>
      </w:tr>
      <w:tr w:rsidR="0031621C" w:rsidRPr="006F399F" w14:paraId="26A91118" w14:textId="77777777" w:rsidTr="0031621C">
        <w:trPr>
          <w:trHeight w:val="283"/>
        </w:trPr>
        <w:tc>
          <w:tcPr>
            <w:tcW w:w="1129" w:type="dxa"/>
            <w:noWrap/>
            <w:hideMark/>
          </w:tcPr>
          <w:p w14:paraId="13EFF610"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es"/>
              </w:rPr>
              <w:t>6.3</w:t>
            </w:r>
          </w:p>
        </w:tc>
        <w:tc>
          <w:tcPr>
            <w:tcW w:w="6663" w:type="dxa"/>
            <w:noWrap/>
            <w:hideMark/>
          </w:tcPr>
          <w:p w14:paraId="77BF6FB8" w14:textId="67AFC828" w:rsidR="00343EFA" w:rsidRPr="00C8507A" w:rsidRDefault="007525A8"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Espacios de solución para observaciones oceánicas en ZEE</w:t>
            </w:r>
          </w:p>
        </w:tc>
        <w:tc>
          <w:tcPr>
            <w:tcW w:w="1836" w:type="dxa"/>
            <w:hideMark/>
          </w:tcPr>
          <w:p w14:paraId="062DD09F" w14:textId="74637A18" w:rsidR="00343EFA" w:rsidRPr="00C8507A" w:rsidRDefault="0031621C"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Transversal GOOS</w:t>
            </w:r>
          </w:p>
        </w:tc>
      </w:tr>
      <w:tr w:rsidR="0031621C" w:rsidRPr="006F399F" w14:paraId="5754D63D" w14:textId="77777777" w:rsidTr="0031621C">
        <w:trPr>
          <w:trHeight w:val="283"/>
        </w:trPr>
        <w:tc>
          <w:tcPr>
            <w:tcW w:w="1129" w:type="dxa"/>
            <w:noWrap/>
            <w:hideMark/>
          </w:tcPr>
          <w:p w14:paraId="3F019B70"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es"/>
              </w:rPr>
              <w:t>6.4</w:t>
            </w:r>
          </w:p>
        </w:tc>
        <w:tc>
          <w:tcPr>
            <w:tcW w:w="6663" w:type="dxa"/>
            <w:noWrap/>
            <w:hideMark/>
          </w:tcPr>
          <w:p w14:paraId="3BB4E9BC"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Integración de redes emergentes y existentes</w:t>
            </w:r>
          </w:p>
        </w:tc>
        <w:tc>
          <w:tcPr>
            <w:tcW w:w="1836" w:type="dxa"/>
            <w:hideMark/>
          </w:tcPr>
          <w:p w14:paraId="2677A72B"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Múltiples elementos</w:t>
            </w:r>
          </w:p>
        </w:tc>
      </w:tr>
      <w:tr w:rsidR="0031621C" w:rsidRPr="006F399F" w14:paraId="13741E3D" w14:textId="77777777" w:rsidTr="0031621C">
        <w:trPr>
          <w:trHeight w:val="283"/>
        </w:trPr>
        <w:tc>
          <w:tcPr>
            <w:tcW w:w="1129" w:type="dxa"/>
            <w:noWrap/>
            <w:hideMark/>
          </w:tcPr>
          <w:p w14:paraId="6CABD626"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es"/>
              </w:rPr>
              <w:t>6.5</w:t>
            </w:r>
          </w:p>
        </w:tc>
        <w:tc>
          <w:tcPr>
            <w:tcW w:w="6663" w:type="dxa"/>
            <w:noWrap/>
            <w:hideMark/>
          </w:tcPr>
          <w:p w14:paraId="1743508A"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Desarrollar y/o mantener un directorio de hardware referenciado actualizado</w:t>
            </w:r>
          </w:p>
        </w:tc>
        <w:tc>
          <w:tcPr>
            <w:tcW w:w="1836" w:type="dxa"/>
            <w:hideMark/>
          </w:tcPr>
          <w:p w14:paraId="0C7584CB" w14:textId="2C5D96BF" w:rsidR="00343EFA" w:rsidRPr="00C8507A" w:rsidRDefault="006F399F"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Elemento único</w:t>
            </w:r>
          </w:p>
        </w:tc>
      </w:tr>
      <w:tr w:rsidR="0031621C" w:rsidRPr="006F399F" w14:paraId="5FCF9A79" w14:textId="77777777" w:rsidTr="0031621C">
        <w:trPr>
          <w:trHeight w:val="283"/>
        </w:trPr>
        <w:tc>
          <w:tcPr>
            <w:tcW w:w="1129" w:type="dxa"/>
            <w:noWrap/>
            <w:hideMark/>
          </w:tcPr>
          <w:p w14:paraId="68B8D05E"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es"/>
              </w:rPr>
              <w:t>6.6</w:t>
            </w:r>
          </w:p>
        </w:tc>
        <w:tc>
          <w:tcPr>
            <w:tcW w:w="6663" w:type="dxa"/>
            <w:noWrap/>
            <w:hideMark/>
          </w:tcPr>
          <w:p w14:paraId="151E878F"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Fomento de las observaciones de BGC/BioEco en las redes mundiales</w:t>
            </w:r>
          </w:p>
        </w:tc>
        <w:tc>
          <w:tcPr>
            <w:tcW w:w="1836" w:type="dxa"/>
            <w:hideMark/>
          </w:tcPr>
          <w:p w14:paraId="4F433185"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Múltiples elementos</w:t>
            </w:r>
          </w:p>
        </w:tc>
      </w:tr>
      <w:tr w:rsidR="0031621C" w:rsidRPr="006F399F" w14:paraId="2D6BE7A1" w14:textId="77777777" w:rsidTr="0031621C">
        <w:trPr>
          <w:trHeight w:val="283"/>
        </w:trPr>
        <w:tc>
          <w:tcPr>
            <w:tcW w:w="1129" w:type="dxa"/>
            <w:noWrap/>
            <w:hideMark/>
          </w:tcPr>
          <w:p w14:paraId="3A660806"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es"/>
              </w:rPr>
              <w:t>6.7</w:t>
            </w:r>
          </w:p>
        </w:tc>
        <w:tc>
          <w:tcPr>
            <w:tcW w:w="6663" w:type="dxa"/>
            <w:noWrap/>
            <w:hideMark/>
          </w:tcPr>
          <w:p w14:paraId="774E8F84"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Gestión medioambiental</w:t>
            </w:r>
          </w:p>
        </w:tc>
        <w:tc>
          <w:tcPr>
            <w:tcW w:w="1836" w:type="dxa"/>
            <w:hideMark/>
          </w:tcPr>
          <w:p w14:paraId="1BE4A3C8" w14:textId="1D6CFA00" w:rsidR="00343EFA" w:rsidRPr="00C8507A" w:rsidRDefault="006F399F"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Elemento único</w:t>
            </w:r>
          </w:p>
        </w:tc>
      </w:tr>
      <w:tr w:rsidR="0031621C" w:rsidRPr="006F399F" w14:paraId="50BDE598" w14:textId="77777777" w:rsidTr="0031621C">
        <w:trPr>
          <w:trHeight w:val="283"/>
        </w:trPr>
        <w:tc>
          <w:tcPr>
            <w:tcW w:w="1129" w:type="dxa"/>
            <w:noWrap/>
            <w:hideMark/>
          </w:tcPr>
          <w:p w14:paraId="1FA1D944"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es"/>
              </w:rPr>
              <w:t>6.8</w:t>
            </w:r>
          </w:p>
        </w:tc>
        <w:tc>
          <w:tcPr>
            <w:tcW w:w="6663" w:type="dxa"/>
            <w:noWrap/>
            <w:hideMark/>
          </w:tcPr>
          <w:p w14:paraId="1F18CE03"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Intercomparación y normas</w:t>
            </w:r>
          </w:p>
        </w:tc>
        <w:tc>
          <w:tcPr>
            <w:tcW w:w="1836" w:type="dxa"/>
            <w:hideMark/>
          </w:tcPr>
          <w:p w14:paraId="15A4076F" w14:textId="78BF98F4" w:rsidR="00343EFA" w:rsidRPr="00C8507A" w:rsidRDefault="006F399F"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Elemento único</w:t>
            </w:r>
          </w:p>
        </w:tc>
      </w:tr>
      <w:tr w:rsidR="0031621C" w:rsidRPr="006F399F" w14:paraId="512128AD" w14:textId="77777777" w:rsidTr="0031621C">
        <w:trPr>
          <w:trHeight w:val="283"/>
        </w:trPr>
        <w:tc>
          <w:tcPr>
            <w:tcW w:w="1129" w:type="dxa"/>
            <w:noWrap/>
            <w:hideMark/>
          </w:tcPr>
          <w:p w14:paraId="201DE1DF"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es"/>
              </w:rPr>
              <w:t>6.9</w:t>
            </w:r>
          </w:p>
        </w:tc>
        <w:tc>
          <w:tcPr>
            <w:tcW w:w="6663" w:type="dxa"/>
            <w:noWrap/>
            <w:hideMark/>
          </w:tcPr>
          <w:p w14:paraId="356EDFD6"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Coordinar y ampliar las observaciones sobre biogeoquímica de la superficie oceánica</w:t>
            </w:r>
          </w:p>
        </w:tc>
        <w:tc>
          <w:tcPr>
            <w:tcW w:w="1836" w:type="dxa"/>
            <w:hideMark/>
          </w:tcPr>
          <w:p w14:paraId="798DD494"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Múltiples elementos</w:t>
            </w:r>
          </w:p>
        </w:tc>
      </w:tr>
      <w:tr w:rsidR="0031621C" w:rsidRPr="006F399F" w14:paraId="7FECEEFF" w14:textId="77777777" w:rsidTr="0031621C">
        <w:trPr>
          <w:trHeight w:val="283"/>
        </w:trPr>
        <w:tc>
          <w:tcPr>
            <w:tcW w:w="1129" w:type="dxa"/>
            <w:noWrap/>
            <w:hideMark/>
          </w:tcPr>
          <w:p w14:paraId="002258E2"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es"/>
              </w:rPr>
              <w:t>6.10</w:t>
            </w:r>
          </w:p>
        </w:tc>
        <w:tc>
          <w:tcPr>
            <w:tcW w:w="6663" w:type="dxa"/>
            <w:noWrap/>
            <w:hideMark/>
          </w:tcPr>
          <w:p w14:paraId="40B87605"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CoastPredict</w:t>
            </w:r>
          </w:p>
        </w:tc>
        <w:tc>
          <w:tcPr>
            <w:tcW w:w="1836" w:type="dxa"/>
            <w:hideMark/>
          </w:tcPr>
          <w:p w14:paraId="7F948630" w14:textId="02C6174F"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Programa del Decenio</w:t>
            </w:r>
          </w:p>
        </w:tc>
      </w:tr>
      <w:tr w:rsidR="0031621C" w:rsidRPr="006F399F" w14:paraId="4244C020" w14:textId="77777777" w:rsidTr="0031621C">
        <w:trPr>
          <w:trHeight w:val="283"/>
        </w:trPr>
        <w:tc>
          <w:tcPr>
            <w:tcW w:w="1129" w:type="dxa"/>
            <w:noWrap/>
            <w:hideMark/>
          </w:tcPr>
          <w:p w14:paraId="3F99ADBD"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es"/>
              </w:rPr>
              <w:t>6.11</w:t>
            </w:r>
          </w:p>
        </w:tc>
        <w:tc>
          <w:tcPr>
            <w:tcW w:w="6663" w:type="dxa"/>
            <w:noWrap/>
            <w:hideMark/>
          </w:tcPr>
          <w:p w14:paraId="05AB044E"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Construyendo la comunidad BioEco</w:t>
            </w:r>
          </w:p>
        </w:tc>
        <w:tc>
          <w:tcPr>
            <w:tcW w:w="1836" w:type="dxa"/>
            <w:hideMark/>
          </w:tcPr>
          <w:p w14:paraId="0CD0D33F" w14:textId="695BC95E" w:rsidR="00343EFA" w:rsidRPr="00C8507A" w:rsidRDefault="006F399F"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Elemento único</w:t>
            </w:r>
          </w:p>
        </w:tc>
      </w:tr>
      <w:tr w:rsidR="00770E7F" w:rsidRPr="006F399F" w14:paraId="3EA2A86B" w14:textId="77777777" w:rsidTr="00770E7F">
        <w:trPr>
          <w:trHeight w:val="283"/>
        </w:trPr>
        <w:tc>
          <w:tcPr>
            <w:tcW w:w="9628" w:type="dxa"/>
            <w:gridSpan w:val="3"/>
            <w:shd w:val="clear" w:color="auto" w:fill="F2F2F2" w:themeFill="background1" w:themeFillShade="F2"/>
            <w:noWrap/>
          </w:tcPr>
          <w:p w14:paraId="5E24A389" w14:textId="584C496E" w:rsidR="00770E7F" w:rsidRPr="00C8507A" w:rsidRDefault="00770E7F" w:rsidP="00343EFA">
            <w:pPr>
              <w:tabs>
                <w:tab w:val="clear" w:pos="567"/>
              </w:tabs>
              <w:snapToGrid/>
              <w:rPr>
                <w:rFonts w:asciiTheme="minorBidi" w:hAnsiTheme="minorBidi" w:cstheme="minorBidi"/>
                <w:bCs/>
                <w:snapToGrid/>
                <w:szCs w:val="22"/>
              </w:rPr>
            </w:pPr>
            <w:bookmarkStart w:id="6" w:name="SO_7"/>
            <w:r>
              <w:rPr>
                <w:rFonts w:asciiTheme="minorBidi" w:hAnsiTheme="minorBidi" w:cstheme="minorBidi"/>
                <w:b/>
                <w:bCs/>
                <w:snapToGrid/>
                <w:szCs w:val="22"/>
                <w:lang w:val="es"/>
              </w:rPr>
              <w:t>OE7</w:t>
            </w:r>
            <w:bookmarkEnd w:id="6"/>
            <w:r>
              <w:rPr>
                <w:rFonts w:asciiTheme="minorBidi" w:hAnsiTheme="minorBidi" w:cstheme="minorBidi"/>
                <w:snapToGrid/>
                <w:szCs w:val="22"/>
                <w:lang w:val="es"/>
              </w:rPr>
              <w:t>: Garantizar que los datos y la información de observación de los océanos del GOOS sean localizables, accesibles, interoperables y reutilizables, con la calidad y la latencia adecuadas</w:t>
            </w:r>
          </w:p>
        </w:tc>
      </w:tr>
      <w:tr w:rsidR="0031621C" w:rsidRPr="006F399F" w14:paraId="58328F46" w14:textId="77777777" w:rsidTr="0031621C">
        <w:trPr>
          <w:trHeight w:val="283"/>
        </w:trPr>
        <w:tc>
          <w:tcPr>
            <w:tcW w:w="1129" w:type="dxa"/>
            <w:noWrap/>
            <w:hideMark/>
          </w:tcPr>
          <w:p w14:paraId="628B53DB"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es"/>
              </w:rPr>
              <w:t>7.1</w:t>
            </w:r>
          </w:p>
        </w:tc>
        <w:tc>
          <w:tcPr>
            <w:tcW w:w="6663" w:type="dxa"/>
            <w:noWrap/>
            <w:hideMark/>
          </w:tcPr>
          <w:p w14:paraId="161CD64C"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Redes OCG de mapeo de flujos de datos</w:t>
            </w:r>
          </w:p>
        </w:tc>
        <w:tc>
          <w:tcPr>
            <w:tcW w:w="1836" w:type="dxa"/>
            <w:hideMark/>
          </w:tcPr>
          <w:p w14:paraId="6B55DE00" w14:textId="51A578EB" w:rsidR="00343EFA" w:rsidRPr="00C8507A" w:rsidRDefault="006F399F"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Elemento único</w:t>
            </w:r>
          </w:p>
        </w:tc>
      </w:tr>
      <w:tr w:rsidR="0031621C" w:rsidRPr="006F399F" w14:paraId="5A17CC71" w14:textId="77777777" w:rsidTr="0031621C">
        <w:trPr>
          <w:trHeight w:val="283"/>
        </w:trPr>
        <w:tc>
          <w:tcPr>
            <w:tcW w:w="1129" w:type="dxa"/>
            <w:noWrap/>
            <w:hideMark/>
          </w:tcPr>
          <w:p w14:paraId="26AF5237"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es"/>
              </w:rPr>
              <w:t>7.2</w:t>
            </w:r>
          </w:p>
        </w:tc>
        <w:tc>
          <w:tcPr>
            <w:tcW w:w="6663" w:type="dxa"/>
            <w:noWrap/>
            <w:hideMark/>
          </w:tcPr>
          <w:p w14:paraId="2EF1BD08"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Redes mundiales de normalización de metadatos</w:t>
            </w:r>
          </w:p>
        </w:tc>
        <w:tc>
          <w:tcPr>
            <w:tcW w:w="1836" w:type="dxa"/>
            <w:hideMark/>
          </w:tcPr>
          <w:p w14:paraId="0AEDA677" w14:textId="541CAE28" w:rsidR="00343EFA" w:rsidRPr="00C8507A" w:rsidRDefault="006F399F"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Elemento único</w:t>
            </w:r>
          </w:p>
        </w:tc>
      </w:tr>
      <w:tr w:rsidR="0031621C" w:rsidRPr="006F399F" w14:paraId="3A6789F4" w14:textId="77777777" w:rsidTr="0031621C">
        <w:trPr>
          <w:trHeight w:val="283"/>
        </w:trPr>
        <w:tc>
          <w:tcPr>
            <w:tcW w:w="1129" w:type="dxa"/>
            <w:noWrap/>
            <w:hideMark/>
          </w:tcPr>
          <w:p w14:paraId="6C66D863" w14:textId="6B5205C0"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es"/>
              </w:rPr>
              <w:t>7.3</w:t>
            </w:r>
          </w:p>
        </w:tc>
        <w:tc>
          <w:tcPr>
            <w:tcW w:w="6663" w:type="dxa"/>
            <w:noWrap/>
            <w:hideMark/>
          </w:tcPr>
          <w:p w14:paraId="40883AC3" w14:textId="44B3930E"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Apoyar un Centro Mundial de Ensamblaje de Datos para EOV Biogeoquímicas (BGC)</w:t>
            </w:r>
          </w:p>
        </w:tc>
        <w:tc>
          <w:tcPr>
            <w:tcW w:w="1836" w:type="dxa"/>
            <w:hideMark/>
          </w:tcPr>
          <w:p w14:paraId="45431ACA"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Múltiples elementos</w:t>
            </w:r>
          </w:p>
        </w:tc>
      </w:tr>
      <w:tr w:rsidR="0031621C" w:rsidRPr="006F399F" w14:paraId="12FE3272" w14:textId="77777777" w:rsidTr="0031621C">
        <w:trPr>
          <w:trHeight w:val="283"/>
        </w:trPr>
        <w:tc>
          <w:tcPr>
            <w:tcW w:w="1129" w:type="dxa"/>
            <w:noWrap/>
            <w:hideMark/>
          </w:tcPr>
          <w:p w14:paraId="312435ED" w14:textId="381D671D"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es"/>
              </w:rPr>
              <w:t>7.4</w:t>
            </w:r>
          </w:p>
        </w:tc>
        <w:tc>
          <w:tcPr>
            <w:tcW w:w="6663" w:type="dxa"/>
            <w:noWrap/>
            <w:hideMark/>
          </w:tcPr>
          <w:p w14:paraId="5535883C" w14:textId="5B099402" w:rsidR="00343EFA" w:rsidRPr="00C8507A" w:rsidRDefault="00775F1E"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 xml:space="preserve">Estrategia de datos del Grupo de Coordinación de Observaciones </w:t>
            </w:r>
          </w:p>
        </w:tc>
        <w:tc>
          <w:tcPr>
            <w:tcW w:w="1836" w:type="dxa"/>
            <w:hideMark/>
          </w:tcPr>
          <w:p w14:paraId="01B8360D" w14:textId="197FEDB7" w:rsidR="00343EFA" w:rsidRPr="00C8507A" w:rsidRDefault="006F399F"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Elemento único</w:t>
            </w:r>
          </w:p>
        </w:tc>
      </w:tr>
      <w:tr w:rsidR="0031621C" w:rsidRPr="006F399F" w14:paraId="72C41B50" w14:textId="77777777" w:rsidTr="0031621C">
        <w:trPr>
          <w:trHeight w:val="283"/>
        </w:trPr>
        <w:tc>
          <w:tcPr>
            <w:tcW w:w="1129" w:type="dxa"/>
            <w:noWrap/>
            <w:hideMark/>
          </w:tcPr>
          <w:p w14:paraId="3CE1E8DA" w14:textId="5BCF48EA"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es"/>
              </w:rPr>
              <w:t>7.5</w:t>
            </w:r>
          </w:p>
        </w:tc>
        <w:tc>
          <w:tcPr>
            <w:tcW w:w="6663" w:type="dxa"/>
            <w:noWrap/>
            <w:hideMark/>
          </w:tcPr>
          <w:p w14:paraId="41AECED5"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Establecer el prototipo OpenGTS</w:t>
            </w:r>
          </w:p>
        </w:tc>
        <w:tc>
          <w:tcPr>
            <w:tcW w:w="1836" w:type="dxa"/>
            <w:hideMark/>
          </w:tcPr>
          <w:p w14:paraId="6A41A0D6" w14:textId="3A2D2521" w:rsidR="00343EFA" w:rsidRPr="00C8507A" w:rsidRDefault="006F399F"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Elemento único</w:t>
            </w:r>
          </w:p>
        </w:tc>
      </w:tr>
      <w:tr w:rsidR="0031621C" w:rsidRPr="006F399F" w14:paraId="581B61D5" w14:textId="77777777" w:rsidTr="0031621C">
        <w:trPr>
          <w:trHeight w:val="283"/>
        </w:trPr>
        <w:tc>
          <w:tcPr>
            <w:tcW w:w="1129" w:type="dxa"/>
            <w:noWrap/>
            <w:hideMark/>
          </w:tcPr>
          <w:p w14:paraId="6858C9A4" w14:textId="70F640F2"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es"/>
              </w:rPr>
              <w:lastRenderedPageBreak/>
              <w:t>7.6</w:t>
            </w:r>
          </w:p>
        </w:tc>
        <w:tc>
          <w:tcPr>
            <w:tcW w:w="6663" w:type="dxa"/>
            <w:noWrap/>
            <w:hideMark/>
          </w:tcPr>
          <w:p w14:paraId="313C82E7"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Descripción de las normas de producción y difusión de los sistemas de previsión oceánica</w:t>
            </w:r>
          </w:p>
        </w:tc>
        <w:tc>
          <w:tcPr>
            <w:tcW w:w="1836" w:type="dxa"/>
            <w:hideMark/>
          </w:tcPr>
          <w:p w14:paraId="7976A817" w14:textId="32267B93" w:rsidR="00343EFA" w:rsidRPr="00C8507A" w:rsidRDefault="006F399F"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Elemento único</w:t>
            </w:r>
          </w:p>
        </w:tc>
      </w:tr>
      <w:tr w:rsidR="0031621C" w:rsidRPr="006F399F" w14:paraId="166996E2" w14:textId="77777777" w:rsidTr="0031621C">
        <w:trPr>
          <w:trHeight w:val="283"/>
        </w:trPr>
        <w:tc>
          <w:tcPr>
            <w:tcW w:w="1129" w:type="dxa"/>
            <w:noWrap/>
            <w:hideMark/>
          </w:tcPr>
          <w:p w14:paraId="2D84FC60" w14:textId="095F9364"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es"/>
              </w:rPr>
              <w:t>7.7</w:t>
            </w:r>
          </w:p>
        </w:tc>
        <w:tc>
          <w:tcPr>
            <w:tcW w:w="6663" w:type="dxa"/>
            <w:noWrap/>
            <w:hideMark/>
          </w:tcPr>
          <w:p w14:paraId="61D2BA1A"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Datos de EOV BioEco disponibles a través de OBIS</w:t>
            </w:r>
          </w:p>
        </w:tc>
        <w:tc>
          <w:tcPr>
            <w:tcW w:w="1836" w:type="dxa"/>
            <w:hideMark/>
          </w:tcPr>
          <w:p w14:paraId="6C3A5F5E" w14:textId="32A626C4" w:rsidR="00343EFA" w:rsidRPr="00C8507A" w:rsidRDefault="006F399F"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Elemento único</w:t>
            </w:r>
          </w:p>
        </w:tc>
      </w:tr>
      <w:tr w:rsidR="0031621C" w:rsidRPr="006F399F" w14:paraId="5D605425" w14:textId="77777777" w:rsidTr="0031621C">
        <w:trPr>
          <w:trHeight w:val="283"/>
        </w:trPr>
        <w:tc>
          <w:tcPr>
            <w:tcW w:w="1129" w:type="dxa"/>
            <w:noWrap/>
            <w:hideMark/>
          </w:tcPr>
          <w:p w14:paraId="6BCE07C8" w14:textId="2B29F2F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es"/>
              </w:rPr>
              <w:t>7.8</w:t>
            </w:r>
          </w:p>
        </w:tc>
        <w:tc>
          <w:tcPr>
            <w:tcW w:w="6663" w:type="dxa"/>
            <w:noWrap/>
            <w:hideMark/>
          </w:tcPr>
          <w:p w14:paraId="5A0D7FE3"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Crear nuevos productos de síntesis de datos de BGC y mantener los existentes</w:t>
            </w:r>
          </w:p>
        </w:tc>
        <w:tc>
          <w:tcPr>
            <w:tcW w:w="1836" w:type="dxa"/>
            <w:hideMark/>
          </w:tcPr>
          <w:p w14:paraId="52F00799" w14:textId="035AA555" w:rsidR="00343EFA" w:rsidRPr="00C8507A" w:rsidRDefault="006F399F"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Elemento único</w:t>
            </w:r>
          </w:p>
        </w:tc>
      </w:tr>
      <w:tr w:rsidR="00B6431D" w:rsidRPr="006F399F" w14:paraId="642FB3A7" w14:textId="77777777" w:rsidTr="00B6431D">
        <w:trPr>
          <w:trHeight w:val="283"/>
        </w:trPr>
        <w:tc>
          <w:tcPr>
            <w:tcW w:w="9628" w:type="dxa"/>
            <w:gridSpan w:val="3"/>
            <w:shd w:val="clear" w:color="auto" w:fill="D9D9D9" w:themeFill="background1" w:themeFillShade="D9"/>
            <w:noWrap/>
          </w:tcPr>
          <w:p w14:paraId="1DF53CF1" w14:textId="49532150" w:rsidR="00B6431D" w:rsidRPr="00C8507A" w:rsidRDefault="00B6431D" w:rsidP="00343EFA">
            <w:pPr>
              <w:tabs>
                <w:tab w:val="clear" w:pos="567"/>
              </w:tabs>
              <w:snapToGrid/>
              <w:rPr>
                <w:rFonts w:asciiTheme="minorBidi" w:hAnsiTheme="minorBidi" w:cstheme="minorBidi"/>
                <w:b/>
                <w:snapToGrid/>
                <w:szCs w:val="22"/>
              </w:rPr>
            </w:pPr>
            <w:r>
              <w:rPr>
                <w:rFonts w:asciiTheme="minorBidi" w:hAnsiTheme="minorBidi" w:cstheme="minorBidi"/>
                <w:b/>
                <w:bCs/>
                <w:snapToGrid/>
                <w:szCs w:val="22"/>
                <w:lang w:val="es"/>
              </w:rPr>
              <w:t>Objetivo: Construir para el futuro</w:t>
            </w:r>
          </w:p>
        </w:tc>
      </w:tr>
      <w:tr w:rsidR="00770E7F" w:rsidRPr="006F399F" w14:paraId="4AE64C00" w14:textId="77777777" w:rsidTr="00770E7F">
        <w:trPr>
          <w:trHeight w:val="283"/>
        </w:trPr>
        <w:tc>
          <w:tcPr>
            <w:tcW w:w="9628" w:type="dxa"/>
            <w:gridSpan w:val="3"/>
            <w:shd w:val="clear" w:color="auto" w:fill="F2F2F2" w:themeFill="background1" w:themeFillShade="F2"/>
            <w:noWrap/>
          </w:tcPr>
          <w:p w14:paraId="58EE5957" w14:textId="0373716C" w:rsidR="00770E7F" w:rsidRPr="00C8507A" w:rsidRDefault="00770E7F" w:rsidP="00343EFA">
            <w:pPr>
              <w:tabs>
                <w:tab w:val="clear" w:pos="567"/>
              </w:tabs>
              <w:snapToGrid/>
              <w:rPr>
                <w:rFonts w:asciiTheme="minorBidi" w:hAnsiTheme="minorBidi" w:cstheme="minorBidi"/>
                <w:bCs/>
                <w:snapToGrid/>
                <w:szCs w:val="22"/>
              </w:rPr>
            </w:pPr>
            <w:bookmarkStart w:id="7" w:name="SO_8"/>
            <w:r>
              <w:rPr>
                <w:rFonts w:asciiTheme="minorBidi" w:hAnsiTheme="minorBidi" w:cstheme="minorBidi"/>
                <w:snapToGrid/>
                <w:szCs w:val="22"/>
                <w:lang w:val="es"/>
              </w:rPr>
              <w:t>OE8</w:t>
            </w:r>
            <w:bookmarkEnd w:id="7"/>
            <w:r>
              <w:rPr>
                <w:rFonts w:asciiTheme="minorBidi" w:hAnsiTheme="minorBidi" w:cstheme="minorBidi"/>
                <w:b/>
                <w:bCs/>
                <w:snapToGrid/>
                <w:szCs w:val="22"/>
                <w:lang w:val="es"/>
              </w:rPr>
              <w:t>:</w:t>
            </w:r>
            <w:r>
              <w:rPr>
                <w:rFonts w:asciiTheme="minorBidi" w:hAnsiTheme="minorBidi" w:cstheme="minorBidi"/>
                <w:snapToGrid/>
                <w:szCs w:val="22"/>
                <w:lang w:val="es"/>
              </w:rPr>
              <w:t xml:space="preserve"> Apoyar la innovación en las tecnologías y redes de observación</w:t>
            </w:r>
          </w:p>
        </w:tc>
      </w:tr>
      <w:tr w:rsidR="0031621C" w:rsidRPr="006F399F" w14:paraId="5914665B" w14:textId="77777777" w:rsidTr="0031621C">
        <w:trPr>
          <w:trHeight w:val="283"/>
        </w:trPr>
        <w:tc>
          <w:tcPr>
            <w:tcW w:w="1129" w:type="dxa"/>
            <w:noWrap/>
            <w:hideMark/>
          </w:tcPr>
          <w:p w14:paraId="5388E7EE"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es"/>
              </w:rPr>
              <w:t>8.1</w:t>
            </w:r>
          </w:p>
        </w:tc>
        <w:tc>
          <w:tcPr>
            <w:tcW w:w="6663" w:type="dxa"/>
            <w:noWrap/>
            <w:hideMark/>
          </w:tcPr>
          <w:p w14:paraId="46368328" w14:textId="6828E203"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Acelerar la integración de nuevas tecnologías</w:t>
            </w:r>
          </w:p>
        </w:tc>
        <w:tc>
          <w:tcPr>
            <w:tcW w:w="1836" w:type="dxa"/>
            <w:hideMark/>
          </w:tcPr>
          <w:p w14:paraId="34526C60" w14:textId="4FFFC865" w:rsidR="00343EFA" w:rsidRPr="00C8507A" w:rsidRDefault="006F399F"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Elemento único</w:t>
            </w:r>
          </w:p>
        </w:tc>
      </w:tr>
      <w:tr w:rsidR="0031621C" w:rsidRPr="006F399F" w14:paraId="590E5FC5" w14:textId="77777777" w:rsidTr="0031621C">
        <w:trPr>
          <w:trHeight w:val="283"/>
        </w:trPr>
        <w:tc>
          <w:tcPr>
            <w:tcW w:w="1129" w:type="dxa"/>
            <w:noWrap/>
            <w:hideMark/>
          </w:tcPr>
          <w:p w14:paraId="7EA795D5"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es"/>
              </w:rPr>
              <w:t>8.2</w:t>
            </w:r>
          </w:p>
        </w:tc>
        <w:tc>
          <w:tcPr>
            <w:tcW w:w="6663" w:type="dxa"/>
            <w:noWrap/>
            <w:hideMark/>
          </w:tcPr>
          <w:p w14:paraId="7E2C1857"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Directiva clara sobre el uso de enfoques biomoleculares, incluido el ADN electrónico, para respaldar las EOV biológicas</w:t>
            </w:r>
          </w:p>
        </w:tc>
        <w:tc>
          <w:tcPr>
            <w:tcW w:w="1836" w:type="dxa"/>
            <w:hideMark/>
          </w:tcPr>
          <w:p w14:paraId="7CAECD7E" w14:textId="22B7A788" w:rsidR="00343EFA" w:rsidRPr="00C8507A" w:rsidRDefault="006F399F"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Elemento único</w:t>
            </w:r>
          </w:p>
        </w:tc>
      </w:tr>
      <w:tr w:rsidR="00770E7F" w:rsidRPr="006F399F" w14:paraId="197AF86E" w14:textId="77777777" w:rsidTr="00770E7F">
        <w:trPr>
          <w:trHeight w:val="283"/>
        </w:trPr>
        <w:tc>
          <w:tcPr>
            <w:tcW w:w="9628" w:type="dxa"/>
            <w:gridSpan w:val="3"/>
            <w:shd w:val="clear" w:color="auto" w:fill="F2F2F2" w:themeFill="background1" w:themeFillShade="F2"/>
            <w:noWrap/>
          </w:tcPr>
          <w:p w14:paraId="3825B419" w14:textId="20CC4796" w:rsidR="00770E7F" w:rsidRPr="00C8507A" w:rsidRDefault="00770E7F" w:rsidP="00343EFA">
            <w:pPr>
              <w:tabs>
                <w:tab w:val="clear" w:pos="567"/>
              </w:tabs>
              <w:snapToGrid/>
              <w:rPr>
                <w:rFonts w:asciiTheme="minorBidi" w:hAnsiTheme="minorBidi" w:cstheme="minorBidi"/>
                <w:bCs/>
                <w:snapToGrid/>
                <w:szCs w:val="22"/>
              </w:rPr>
            </w:pPr>
            <w:bookmarkStart w:id="8" w:name="SO_9"/>
            <w:r>
              <w:rPr>
                <w:rFonts w:asciiTheme="minorBidi" w:hAnsiTheme="minorBidi" w:cstheme="minorBidi"/>
                <w:b/>
                <w:bCs/>
                <w:snapToGrid/>
                <w:szCs w:val="22"/>
                <w:lang w:val="es"/>
              </w:rPr>
              <w:t>OE9</w:t>
            </w:r>
            <w:r>
              <w:rPr>
                <w:rFonts w:asciiTheme="minorBidi" w:hAnsiTheme="minorBidi" w:cstheme="minorBidi"/>
                <w:snapToGrid/>
                <w:szCs w:val="22"/>
                <w:lang w:val="es"/>
              </w:rPr>
              <w:t xml:space="preserve">: </w:t>
            </w:r>
            <w:bookmarkEnd w:id="8"/>
            <w:r>
              <w:rPr>
                <w:rFonts w:asciiTheme="minorBidi" w:hAnsiTheme="minorBidi" w:cstheme="minorBidi"/>
                <w:snapToGrid/>
                <w:szCs w:val="22"/>
                <w:lang w:val="es"/>
              </w:rPr>
              <w:t>Desarrollar capacidades para garantizar una mayor participación beneficiosa de las partes interesadas</w:t>
            </w:r>
          </w:p>
        </w:tc>
      </w:tr>
      <w:tr w:rsidR="0031621C" w:rsidRPr="006F399F" w14:paraId="1369529F" w14:textId="77777777" w:rsidTr="0031621C">
        <w:trPr>
          <w:trHeight w:val="283"/>
        </w:trPr>
        <w:tc>
          <w:tcPr>
            <w:tcW w:w="1129" w:type="dxa"/>
            <w:noWrap/>
            <w:hideMark/>
          </w:tcPr>
          <w:p w14:paraId="177CF24B"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es"/>
              </w:rPr>
              <w:t>9.1</w:t>
            </w:r>
          </w:p>
        </w:tc>
        <w:tc>
          <w:tcPr>
            <w:tcW w:w="6663" w:type="dxa"/>
            <w:noWrap/>
            <w:hideMark/>
          </w:tcPr>
          <w:p w14:paraId="2F67E60A"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 xml:space="preserve">Organizar formaciones mundiales en línea sobre el sistema operativo de vigilancia y previsión de los océanos </w:t>
            </w:r>
          </w:p>
        </w:tc>
        <w:tc>
          <w:tcPr>
            <w:tcW w:w="1836" w:type="dxa"/>
            <w:hideMark/>
          </w:tcPr>
          <w:p w14:paraId="3FF0C95A" w14:textId="2BDD60CD" w:rsidR="00343EFA" w:rsidRPr="00C8507A" w:rsidRDefault="006F399F"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Elemento único</w:t>
            </w:r>
          </w:p>
        </w:tc>
      </w:tr>
      <w:tr w:rsidR="0031621C" w:rsidRPr="006F399F" w14:paraId="56080BA2" w14:textId="77777777" w:rsidTr="0031621C">
        <w:trPr>
          <w:trHeight w:val="283"/>
        </w:trPr>
        <w:tc>
          <w:tcPr>
            <w:tcW w:w="1129" w:type="dxa"/>
            <w:noWrap/>
            <w:hideMark/>
          </w:tcPr>
          <w:p w14:paraId="4A9357D5"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es"/>
              </w:rPr>
              <w:t>9.2</w:t>
            </w:r>
          </w:p>
        </w:tc>
        <w:tc>
          <w:tcPr>
            <w:tcW w:w="6663" w:type="dxa"/>
            <w:noWrap/>
            <w:hideMark/>
          </w:tcPr>
          <w:p w14:paraId="119D5774"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Mejorar los recursos de desarrollo de capacidades técnicas existentes y desarrollar otros nuevos (incluso en línea)</w:t>
            </w:r>
          </w:p>
        </w:tc>
        <w:tc>
          <w:tcPr>
            <w:tcW w:w="1836" w:type="dxa"/>
            <w:hideMark/>
          </w:tcPr>
          <w:p w14:paraId="5C30C525" w14:textId="66D77289" w:rsidR="00343EFA" w:rsidRPr="00C8507A" w:rsidRDefault="006F399F"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Elemento único</w:t>
            </w:r>
          </w:p>
        </w:tc>
      </w:tr>
      <w:tr w:rsidR="0031621C" w:rsidRPr="006F399F" w14:paraId="1EFB1BA5" w14:textId="77777777" w:rsidTr="0031621C">
        <w:trPr>
          <w:trHeight w:val="283"/>
        </w:trPr>
        <w:tc>
          <w:tcPr>
            <w:tcW w:w="1129" w:type="dxa"/>
            <w:noWrap/>
            <w:hideMark/>
          </w:tcPr>
          <w:p w14:paraId="0DB334F9"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es"/>
              </w:rPr>
              <w:t>9.3</w:t>
            </w:r>
          </w:p>
        </w:tc>
        <w:tc>
          <w:tcPr>
            <w:tcW w:w="6663" w:type="dxa"/>
            <w:noWrap/>
            <w:hideMark/>
          </w:tcPr>
          <w:p w14:paraId="2F03F63F"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Implantación de un sistema de vigilancia y previsión de los océanos con la participación de las GRA</w:t>
            </w:r>
          </w:p>
        </w:tc>
        <w:tc>
          <w:tcPr>
            <w:tcW w:w="1836" w:type="dxa"/>
            <w:hideMark/>
          </w:tcPr>
          <w:p w14:paraId="460A94CB" w14:textId="7251D858" w:rsidR="00343EFA" w:rsidRPr="00C8507A" w:rsidRDefault="006F399F"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Elemento único</w:t>
            </w:r>
          </w:p>
        </w:tc>
      </w:tr>
      <w:tr w:rsidR="0031621C" w:rsidRPr="006F399F" w14:paraId="374D3C16" w14:textId="77777777" w:rsidTr="0031621C">
        <w:trPr>
          <w:trHeight w:val="283"/>
        </w:trPr>
        <w:tc>
          <w:tcPr>
            <w:tcW w:w="1129" w:type="dxa"/>
            <w:noWrap/>
            <w:hideMark/>
          </w:tcPr>
          <w:p w14:paraId="22605200"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es"/>
              </w:rPr>
              <w:t>9.4</w:t>
            </w:r>
          </w:p>
        </w:tc>
        <w:tc>
          <w:tcPr>
            <w:tcW w:w="6663" w:type="dxa"/>
            <w:noWrap/>
            <w:hideMark/>
          </w:tcPr>
          <w:p w14:paraId="6436814C"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 xml:space="preserve">Desarrollo de capacidades integradas entre redes </w:t>
            </w:r>
          </w:p>
        </w:tc>
        <w:tc>
          <w:tcPr>
            <w:tcW w:w="1836" w:type="dxa"/>
            <w:hideMark/>
          </w:tcPr>
          <w:p w14:paraId="1A0B1C66" w14:textId="48E59B5C" w:rsidR="00343EFA" w:rsidRPr="00C8507A" w:rsidRDefault="006F399F"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Elemento único</w:t>
            </w:r>
          </w:p>
        </w:tc>
      </w:tr>
      <w:tr w:rsidR="0031621C" w:rsidRPr="006F399F" w14:paraId="289CB10A" w14:textId="77777777" w:rsidTr="0031621C">
        <w:trPr>
          <w:trHeight w:val="283"/>
        </w:trPr>
        <w:tc>
          <w:tcPr>
            <w:tcW w:w="1129" w:type="dxa"/>
            <w:noWrap/>
            <w:hideMark/>
          </w:tcPr>
          <w:p w14:paraId="2906F953"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es"/>
              </w:rPr>
              <w:t>9.5</w:t>
            </w:r>
          </w:p>
        </w:tc>
        <w:tc>
          <w:tcPr>
            <w:tcW w:w="6663" w:type="dxa"/>
            <w:noWrap/>
            <w:hideMark/>
          </w:tcPr>
          <w:p w14:paraId="0B97BD1F"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 xml:space="preserve">Colaborar con MBON, OBIS y CMVC en el intercambio de capacidades </w:t>
            </w:r>
          </w:p>
        </w:tc>
        <w:tc>
          <w:tcPr>
            <w:tcW w:w="1836" w:type="dxa"/>
            <w:hideMark/>
          </w:tcPr>
          <w:p w14:paraId="573F0B2D" w14:textId="2B85E7C6" w:rsidR="00343EFA" w:rsidRPr="00C8507A" w:rsidRDefault="006F399F"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Elemento único</w:t>
            </w:r>
          </w:p>
        </w:tc>
      </w:tr>
      <w:tr w:rsidR="0031621C" w:rsidRPr="006F399F" w14:paraId="35C24B31" w14:textId="77777777" w:rsidTr="0031621C">
        <w:trPr>
          <w:trHeight w:val="283"/>
        </w:trPr>
        <w:tc>
          <w:tcPr>
            <w:tcW w:w="1129" w:type="dxa"/>
            <w:noWrap/>
            <w:hideMark/>
          </w:tcPr>
          <w:p w14:paraId="1E40917F"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es"/>
              </w:rPr>
              <w:t>9.6</w:t>
            </w:r>
          </w:p>
        </w:tc>
        <w:tc>
          <w:tcPr>
            <w:tcW w:w="6663" w:type="dxa"/>
            <w:noWrap/>
            <w:hideMark/>
          </w:tcPr>
          <w:p w14:paraId="2E1A65D7"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 xml:space="preserve">Evaluación del centro del sistema de vigilancia y previsión de los océanos </w:t>
            </w:r>
          </w:p>
        </w:tc>
        <w:tc>
          <w:tcPr>
            <w:tcW w:w="1836" w:type="dxa"/>
            <w:hideMark/>
          </w:tcPr>
          <w:p w14:paraId="45C1C57E" w14:textId="4B19581E" w:rsidR="00343EFA" w:rsidRPr="00C8507A" w:rsidRDefault="006F399F"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Elemento único</w:t>
            </w:r>
          </w:p>
        </w:tc>
      </w:tr>
      <w:tr w:rsidR="0031621C" w:rsidRPr="006F399F" w14:paraId="4CFDC99B" w14:textId="77777777" w:rsidTr="0031621C">
        <w:trPr>
          <w:trHeight w:val="283"/>
        </w:trPr>
        <w:tc>
          <w:tcPr>
            <w:tcW w:w="1129" w:type="dxa"/>
            <w:noWrap/>
            <w:hideMark/>
          </w:tcPr>
          <w:p w14:paraId="79CB5729"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es"/>
              </w:rPr>
              <w:t>9.7</w:t>
            </w:r>
          </w:p>
        </w:tc>
        <w:tc>
          <w:tcPr>
            <w:tcW w:w="6663" w:type="dxa"/>
            <w:noWrap/>
            <w:hideMark/>
          </w:tcPr>
          <w:p w14:paraId="08DBC139"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Materiales y talleres sobre intercambio de capacidades para el desarrollo o la ampliación de las GRA</w:t>
            </w:r>
          </w:p>
        </w:tc>
        <w:tc>
          <w:tcPr>
            <w:tcW w:w="1836" w:type="dxa"/>
            <w:hideMark/>
          </w:tcPr>
          <w:p w14:paraId="71906EF6" w14:textId="265651CA" w:rsidR="00343EFA" w:rsidRPr="00C8507A" w:rsidRDefault="006F399F"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Elemento único</w:t>
            </w:r>
          </w:p>
        </w:tc>
      </w:tr>
      <w:tr w:rsidR="0031621C" w:rsidRPr="006F399F" w14:paraId="1BF6833A" w14:textId="77777777" w:rsidTr="0031621C">
        <w:trPr>
          <w:trHeight w:val="283"/>
        </w:trPr>
        <w:tc>
          <w:tcPr>
            <w:tcW w:w="1129" w:type="dxa"/>
            <w:noWrap/>
            <w:hideMark/>
          </w:tcPr>
          <w:p w14:paraId="3F2C0B10"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es"/>
              </w:rPr>
              <w:t>9.8</w:t>
            </w:r>
          </w:p>
        </w:tc>
        <w:tc>
          <w:tcPr>
            <w:tcW w:w="6663" w:type="dxa"/>
            <w:noWrap/>
            <w:hideMark/>
          </w:tcPr>
          <w:p w14:paraId="17B130CB"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Creación de mercados y desarrollo de capacidades para la presentación de informes de EOV en apoyo de los indicadores y la evaluación del marco mundial para la diversidad biológica</w:t>
            </w:r>
          </w:p>
        </w:tc>
        <w:tc>
          <w:tcPr>
            <w:tcW w:w="1836" w:type="dxa"/>
            <w:hideMark/>
          </w:tcPr>
          <w:p w14:paraId="03A99645" w14:textId="588C7285" w:rsidR="00343EFA" w:rsidRPr="00C8507A" w:rsidRDefault="006F399F"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Elemento único</w:t>
            </w:r>
          </w:p>
        </w:tc>
      </w:tr>
      <w:tr w:rsidR="0031621C" w:rsidRPr="006F399F" w14:paraId="2DCDF9FB" w14:textId="77777777" w:rsidTr="0031621C">
        <w:trPr>
          <w:trHeight w:val="283"/>
        </w:trPr>
        <w:tc>
          <w:tcPr>
            <w:tcW w:w="1129" w:type="dxa"/>
            <w:noWrap/>
            <w:hideMark/>
          </w:tcPr>
          <w:p w14:paraId="5B14F759"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es"/>
              </w:rPr>
              <w:t>9.9</w:t>
            </w:r>
          </w:p>
        </w:tc>
        <w:tc>
          <w:tcPr>
            <w:tcW w:w="6663" w:type="dxa"/>
            <w:noWrap/>
            <w:hideMark/>
          </w:tcPr>
          <w:p w14:paraId="4E6202C6" w14:textId="1F1244BD"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Desarrollo conjunto de indicadores de biodiversidad y hábitat marino con la comunidad empresarial</w:t>
            </w:r>
          </w:p>
        </w:tc>
        <w:tc>
          <w:tcPr>
            <w:tcW w:w="1836" w:type="dxa"/>
            <w:hideMark/>
          </w:tcPr>
          <w:p w14:paraId="21113FEC" w14:textId="1AE3DA22" w:rsidR="00343EFA" w:rsidRPr="00C8507A" w:rsidRDefault="006F399F"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Elemento único</w:t>
            </w:r>
          </w:p>
        </w:tc>
      </w:tr>
      <w:tr w:rsidR="0031621C" w:rsidRPr="006F399F" w14:paraId="12DB3033" w14:textId="77777777" w:rsidTr="0031621C">
        <w:trPr>
          <w:trHeight w:val="283"/>
        </w:trPr>
        <w:tc>
          <w:tcPr>
            <w:tcW w:w="1129" w:type="dxa"/>
            <w:noWrap/>
            <w:hideMark/>
          </w:tcPr>
          <w:p w14:paraId="51FBE355"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es"/>
              </w:rPr>
              <w:t>9.10</w:t>
            </w:r>
          </w:p>
        </w:tc>
        <w:tc>
          <w:tcPr>
            <w:tcW w:w="6663" w:type="dxa"/>
            <w:noWrap/>
            <w:hideMark/>
          </w:tcPr>
          <w:p w14:paraId="474D02DA"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Observing Together</w:t>
            </w:r>
          </w:p>
        </w:tc>
        <w:tc>
          <w:tcPr>
            <w:tcW w:w="1836" w:type="dxa"/>
            <w:hideMark/>
          </w:tcPr>
          <w:p w14:paraId="70735044" w14:textId="344F56F2"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Programa del Decenio</w:t>
            </w:r>
          </w:p>
        </w:tc>
      </w:tr>
      <w:tr w:rsidR="00770E7F" w:rsidRPr="006F399F" w14:paraId="0F673962" w14:textId="77777777" w:rsidTr="00770E7F">
        <w:trPr>
          <w:trHeight w:val="283"/>
        </w:trPr>
        <w:tc>
          <w:tcPr>
            <w:tcW w:w="9628" w:type="dxa"/>
            <w:gridSpan w:val="3"/>
            <w:shd w:val="clear" w:color="auto" w:fill="F2F2F2" w:themeFill="background1" w:themeFillShade="F2"/>
            <w:noWrap/>
          </w:tcPr>
          <w:p w14:paraId="34147207" w14:textId="57E308ED" w:rsidR="00770E7F" w:rsidRPr="00C8507A" w:rsidRDefault="00770E7F" w:rsidP="00343EFA">
            <w:pPr>
              <w:tabs>
                <w:tab w:val="clear" w:pos="567"/>
              </w:tabs>
              <w:snapToGrid/>
              <w:rPr>
                <w:rFonts w:asciiTheme="minorBidi" w:hAnsiTheme="minorBidi" w:cstheme="minorBidi"/>
                <w:bCs/>
                <w:snapToGrid/>
                <w:szCs w:val="22"/>
              </w:rPr>
            </w:pPr>
            <w:bookmarkStart w:id="9" w:name="SO_10"/>
            <w:r>
              <w:rPr>
                <w:rFonts w:asciiTheme="minorBidi" w:hAnsiTheme="minorBidi" w:cstheme="minorBidi"/>
                <w:snapToGrid/>
                <w:szCs w:val="22"/>
                <w:lang w:val="es"/>
              </w:rPr>
              <w:t>OE10</w:t>
            </w:r>
            <w:bookmarkEnd w:id="9"/>
            <w:r>
              <w:rPr>
                <w:rFonts w:asciiTheme="minorBidi" w:hAnsiTheme="minorBidi" w:cstheme="minorBidi"/>
                <w:snapToGrid/>
                <w:szCs w:val="22"/>
                <w:lang w:val="es"/>
              </w:rPr>
              <w:t>: Ampliar las observaciones sistemáticas para comprender el impacto humano en los océanos</w:t>
            </w:r>
          </w:p>
        </w:tc>
      </w:tr>
      <w:tr w:rsidR="0031621C" w:rsidRPr="006F399F" w14:paraId="475BC88F" w14:textId="77777777" w:rsidTr="0031621C">
        <w:trPr>
          <w:trHeight w:val="283"/>
        </w:trPr>
        <w:tc>
          <w:tcPr>
            <w:tcW w:w="1129" w:type="dxa"/>
            <w:noWrap/>
            <w:hideMark/>
          </w:tcPr>
          <w:p w14:paraId="7DD4D2CA"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es"/>
              </w:rPr>
              <w:t>10.1</w:t>
            </w:r>
          </w:p>
        </w:tc>
        <w:tc>
          <w:tcPr>
            <w:tcW w:w="6663" w:type="dxa"/>
            <w:noWrap/>
            <w:hideMark/>
          </w:tcPr>
          <w:p w14:paraId="68A78D69" w14:textId="284B4535"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Establecer la coordinación de un Sistema Integrado de Observación de Basuras Marinas</w:t>
            </w:r>
          </w:p>
        </w:tc>
        <w:tc>
          <w:tcPr>
            <w:tcW w:w="1836" w:type="dxa"/>
            <w:hideMark/>
          </w:tcPr>
          <w:p w14:paraId="7EE8E310" w14:textId="32340B2A" w:rsidR="00343EFA" w:rsidRPr="00C8507A" w:rsidRDefault="006F399F"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Elemento único</w:t>
            </w:r>
          </w:p>
        </w:tc>
      </w:tr>
      <w:tr w:rsidR="0031621C" w:rsidRPr="006F399F" w14:paraId="4FD34FA2" w14:textId="77777777" w:rsidTr="0031621C">
        <w:trPr>
          <w:trHeight w:val="283"/>
        </w:trPr>
        <w:tc>
          <w:tcPr>
            <w:tcW w:w="1129" w:type="dxa"/>
            <w:noWrap/>
            <w:hideMark/>
          </w:tcPr>
          <w:p w14:paraId="2729F795"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es"/>
              </w:rPr>
              <w:t>10.2</w:t>
            </w:r>
          </w:p>
        </w:tc>
        <w:tc>
          <w:tcPr>
            <w:tcW w:w="6663" w:type="dxa"/>
            <w:noWrap/>
            <w:hideMark/>
          </w:tcPr>
          <w:p w14:paraId="100BDC9C"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Incorporar/vincular a los índices de presión humana</w:t>
            </w:r>
          </w:p>
        </w:tc>
        <w:tc>
          <w:tcPr>
            <w:tcW w:w="1836" w:type="dxa"/>
            <w:hideMark/>
          </w:tcPr>
          <w:p w14:paraId="321AF91B"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Múltiples elementos</w:t>
            </w:r>
          </w:p>
        </w:tc>
      </w:tr>
      <w:tr w:rsidR="00770E7F" w:rsidRPr="006F399F" w14:paraId="5E6BA40D" w14:textId="77777777" w:rsidTr="00770E7F">
        <w:trPr>
          <w:trHeight w:val="283"/>
        </w:trPr>
        <w:tc>
          <w:tcPr>
            <w:tcW w:w="9628" w:type="dxa"/>
            <w:gridSpan w:val="3"/>
            <w:shd w:val="clear" w:color="auto" w:fill="F2F2F2" w:themeFill="background1" w:themeFillShade="F2"/>
            <w:noWrap/>
          </w:tcPr>
          <w:p w14:paraId="5F411265" w14:textId="4E596017" w:rsidR="00770E7F" w:rsidRPr="00C8507A" w:rsidRDefault="00770E7F" w:rsidP="009E3769">
            <w:pPr>
              <w:keepNext/>
              <w:tabs>
                <w:tab w:val="clear" w:pos="567"/>
              </w:tabs>
              <w:snapToGrid/>
              <w:rPr>
                <w:rFonts w:asciiTheme="minorBidi" w:hAnsiTheme="minorBidi" w:cstheme="minorBidi"/>
                <w:snapToGrid/>
                <w:color w:val="000000"/>
                <w:szCs w:val="22"/>
              </w:rPr>
            </w:pPr>
            <w:bookmarkStart w:id="10" w:name="SO_11"/>
            <w:r>
              <w:rPr>
                <w:rFonts w:asciiTheme="minorBidi" w:hAnsiTheme="minorBidi" w:cstheme="minorBidi"/>
                <w:color w:val="000000"/>
                <w:szCs w:val="22"/>
                <w:lang w:val="es"/>
              </w:rPr>
              <w:t>OE11</w:t>
            </w:r>
            <w:bookmarkEnd w:id="10"/>
            <w:r>
              <w:rPr>
                <w:rFonts w:asciiTheme="minorBidi" w:hAnsiTheme="minorBidi" w:cstheme="minorBidi"/>
                <w:color w:val="000000"/>
                <w:szCs w:val="22"/>
                <w:lang w:val="es"/>
              </w:rPr>
              <w:t xml:space="preserve">: Abogar por una gobernanza eficaz de la observación mundial in situ y por satélite, junto con los colaboradores y las partes interesadas </w:t>
            </w:r>
          </w:p>
        </w:tc>
      </w:tr>
      <w:tr w:rsidR="0031621C" w:rsidRPr="006F399F" w14:paraId="3EC42EB8" w14:textId="77777777" w:rsidTr="0031621C">
        <w:trPr>
          <w:trHeight w:val="283"/>
        </w:trPr>
        <w:tc>
          <w:tcPr>
            <w:tcW w:w="1129" w:type="dxa"/>
            <w:noWrap/>
            <w:hideMark/>
          </w:tcPr>
          <w:p w14:paraId="78A2D6FC"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es"/>
              </w:rPr>
              <w:t>11.1</w:t>
            </w:r>
          </w:p>
        </w:tc>
        <w:tc>
          <w:tcPr>
            <w:tcW w:w="6663" w:type="dxa"/>
            <w:noWrap/>
            <w:hideMark/>
          </w:tcPr>
          <w:p w14:paraId="1A1E7949"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Evaluación y evolución de la estructura del GOOS</w:t>
            </w:r>
          </w:p>
        </w:tc>
        <w:tc>
          <w:tcPr>
            <w:tcW w:w="1836" w:type="dxa"/>
            <w:hideMark/>
          </w:tcPr>
          <w:p w14:paraId="1E1FA330" w14:textId="3E0E676A" w:rsidR="00343EFA" w:rsidRPr="00C8507A" w:rsidRDefault="0031621C"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Transversal GOOS</w:t>
            </w:r>
          </w:p>
        </w:tc>
      </w:tr>
      <w:tr w:rsidR="0031621C" w:rsidRPr="006F399F" w14:paraId="279D686E" w14:textId="77777777" w:rsidTr="0031621C">
        <w:trPr>
          <w:trHeight w:val="283"/>
        </w:trPr>
        <w:tc>
          <w:tcPr>
            <w:tcW w:w="1129" w:type="dxa"/>
            <w:noWrap/>
            <w:hideMark/>
          </w:tcPr>
          <w:p w14:paraId="07413139"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es"/>
              </w:rPr>
              <w:t>11.2</w:t>
            </w:r>
          </w:p>
        </w:tc>
        <w:tc>
          <w:tcPr>
            <w:tcW w:w="6663" w:type="dxa"/>
            <w:noWrap/>
            <w:hideMark/>
          </w:tcPr>
          <w:p w14:paraId="6B0A0C28"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Evolución de la gobernanza del GOOS</w:t>
            </w:r>
          </w:p>
        </w:tc>
        <w:tc>
          <w:tcPr>
            <w:tcW w:w="1836" w:type="dxa"/>
            <w:hideMark/>
          </w:tcPr>
          <w:p w14:paraId="7B813A10" w14:textId="69F513B9" w:rsidR="00343EFA" w:rsidRPr="00C8507A" w:rsidRDefault="0031621C"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Transversal GOOS</w:t>
            </w:r>
          </w:p>
        </w:tc>
      </w:tr>
      <w:tr w:rsidR="0031621C" w:rsidRPr="006F399F" w14:paraId="564A396A" w14:textId="77777777" w:rsidTr="0031621C">
        <w:trPr>
          <w:trHeight w:val="283"/>
        </w:trPr>
        <w:tc>
          <w:tcPr>
            <w:tcW w:w="1129" w:type="dxa"/>
            <w:noWrap/>
            <w:hideMark/>
          </w:tcPr>
          <w:p w14:paraId="5CBC1E19" w14:textId="77777777" w:rsidR="00343EFA" w:rsidRPr="00C8507A" w:rsidRDefault="00343EFA" w:rsidP="00343EFA">
            <w:pPr>
              <w:tabs>
                <w:tab w:val="clear" w:pos="567"/>
              </w:tabs>
              <w:snapToGrid/>
              <w:jc w:val="right"/>
              <w:rPr>
                <w:rFonts w:asciiTheme="minorBidi" w:hAnsiTheme="minorBidi" w:cstheme="minorBidi"/>
                <w:bCs/>
                <w:snapToGrid/>
                <w:szCs w:val="22"/>
              </w:rPr>
            </w:pPr>
            <w:r>
              <w:rPr>
                <w:rFonts w:asciiTheme="minorBidi" w:hAnsiTheme="minorBidi" w:cstheme="minorBidi"/>
                <w:snapToGrid/>
                <w:szCs w:val="22"/>
                <w:lang w:val="es"/>
              </w:rPr>
              <w:t>11.3</w:t>
            </w:r>
          </w:p>
        </w:tc>
        <w:tc>
          <w:tcPr>
            <w:tcW w:w="6663" w:type="dxa"/>
            <w:noWrap/>
            <w:hideMark/>
          </w:tcPr>
          <w:p w14:paraId="37DB92A1" w14:textId="77777777" w:rsidR="00343EFA" w:rsidRPr="00C8507A" w:rsidRDefault="00343EFA"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 xml:space="preserve">Desarrollar un equipo de recursos del GOOS </w:t>
            </w:r>
          </w:p>
        </w:tc>
        <w:tc>
          <w:tcPr>
            <w:tcW w:w="1836" w:type="dxa"/>
            <w:hideMark/>
          </w:tcPr>
          <w:p w14:paraId="7D94F364" w14:textId="4D05450A" w:rsidR="00343EFA" w:rsidRPr="00C8507A" w:rsidRDefault="0031621C" w:rsidP="00343EFA">
            <w:pPr>
              <w:tabs>
                <w:tab w:val="clear" w:pos="567"/>
              </w:tabs>
              <w:snapToGrid/>
              <w:rPr>
                <w:rFonts w:asciiTheme="minorBidi" w:hAnsiTheme="minorBidi" w:cstheme="minorBidi"/>
                <w:bCs/>
                <w:snapToGrid/>
                <w:szCs w:val="22"/>
              </w:rPr>
            </w:pPr>
            <w:r>
              <w:rPr>
                <w:rFonts w:asciiTheme="minorBidi" w:hAnsiTheme="minorBidi" w:cstheme="minorBidi"/>
                <w:snapToGrid/>
                <w:szCs w:val="22"/>
                <w:lang w:val="es"/>
              </w:rPr>
              <w:t>Transversal GOOS</w:t>
            </w:r>
          </w:p>
        </w:tc>
      </w:tr>
    </w:tbl>
    <w:p w14:paraId="444EB860" w14:textId="5402CB10" w:rsidR="00FC0794" w:rsidRDefault="00FC0794" w:rsidP="00FC0794">
      <w:pPr>
        <w:pStyle w:val="COI"/>
        <w:numPr>
          <w:ilvl w:val="0"/>
          <w:numId w:val="0"/>
        </w:numPr>
        <w:bidi/>
      </w:pPr>
    </w:p>
    <w:p w14:paraId="0A35138F" w14:textId="77777777" w:rsidR="00FC0794" w:rsidRDefault="00FC0794">
      <w:pPr>
        <w:tabs>
          <w:tab w:val="clear" w:pos="567"/>
        </w:tabs>
        <w:snapToGrid/>
        <w:rPr>
          <w:rFonts w:eastAsia="Arial Unicode MS"/>
          <w:bCs/>
          <w:szCs w:val="22"/>
        </w:rPr>
      </w:pPr>
      <w:r>
        <w:br w:type="page"/>
      </w:r>
    </w:p>
    <w:p w14:paraId="1E483AC1" w14:textId="18AD74A2" w:rsidR="00343EFA" w:rsidRDefault="00343EFA" w:rsidP="00FC0794">
      <w:pPr>
        <w:pStyle w:val="COI"/>
        <w:numPr>
          <w:ilvl w:val="0"/>
          <w:numId w:val="0"/>
        </w:numPr>
        <w:bidi/>
      </w:pPr>
    </w:p>
    <w:p w14:paraId="5160284B" w14:textId="70F69CFC" w:rsidR="00FC0794" w:rsidRDefault="00FC0794" w:rsidP="00FC0794">
      <w:pPr>
        <w:pStyle w:val="COI"/>
        <w:numPr>
          <w:ilvl w:val="0"/>
          <w:numId w:val="0"/>
        </w:numPr>
        <w:bidi/>
      </w:pPr>
    </w:p>
    <w:p w14:paraId="3FF16449" w14:textId="2AA11E5C" w:rsidR="00FC0794" w:rsidRDefault="00FC0794" w:rsidP="00FC0794">
      <w:pPr>
        <w:pStyle w:val="COI"/>
        <w:numPr>
          <w:ilvl w:val="0"/>
          <w:numId w:val="0"/>
        </w:numPr>
        <w:bidi/>
      </w:pPr>
    </w:p>
    <w:p w14:paraId="02168119" w14:textId="34634F1C" w:rsidR="00FC0794" w:rsidRDefault="00FC0794" w:rsidP="00FC0794">
      <w:pPr>
        <w:pStyle w:val="COI"/>
        <w:numPr>
          <w:ilvl w:val="0"/>
          <w:numId w:val="0"/>
        </w:numPr>
        <w:bidi/>
      </w:pPr>
    </w:p>
    <w:p w14:paraId="60DEB366" w14:textId="5A9532CF" w:rsidR="00FC0794" w:rsidRDefault="00FC0794" w:rsidP="00FC0794">
      <w:pPr>
        <w:pStyle w:val="COI"/>
        <w:numPr>
          <w:ilvl w:val="0"/>
          <w:numId w:val="0"/>
        </w:numPr>
        <w:bidi/>
      </w:pPr>
    </w:p>
    <w:p w14:paraId="28CB187A" w14:textId="1276BBAB" w:rsidR="00FC0794" w:rsidRDefault="00FC0794" w:rsidP="00FC0794">
      <w:pPr>
        <w:pStyle w:val="COI"/>
        <w:numPr>
          <w:ilvl w:val="0"/>
          <w:numId w:val="0"/>
        </w:numPr>
        <w:bidi/>
      </w:pPr>
    </w:p>
    <w:p w14:paraId="700A3D33" w14:textId="53DAC291" w:rsidR="00FC0794" w:rsidRDefault="00FC0794" w:rsidP="00FC0794">
      <w:pPr>
        <w:pStyle w:val="COI"/>
        <w:numPr>
          <w:ilvl w:val="0"/>
          <w:numId w:val="0"/>
        </w:numPr>
        <w:bidi/>
      </w:pPr>
    </w:p>
    <w:p w14:paraId="0A670407" w14:textId="2D1241BB" w:rsidR="00FC0794" w:rsidRDefault="00FC0794" w:rsidP="00FC0794">
      <w:pPr>
        <w:pStyle w:val="COI"/>
        <w:numPr>
          <w:ilvl w:val="0"/>
          <w:numId w:val="0"/>
        </w:numPr>
        <w:bidi/>
      </w:pPr>
    </w:p>
    <w:p w14:paraId="30707DD3" w14:textId="6697C7CA" w:rsidR="00FC0794" w:rsidRDefault="00FC0794" w:rsidP="00FC0794">
      <w:pPr>
        <w:pStyle w:val="COI"/>
        <w:numPr>
          <w:ilvl w:val="0"/>
          <w:numId w:val="0"/>
        </w:numPr>
        <w:bidi/>
      </w:pPr>
    </w:p>
    <w:p w14:paraId="67D87CCD" w14:textId="77777777" w:rsidR="00FC0794" w:rsidRPr="007525A8" w:rsidRDefault="00FC0794" w:rsidP="00FC0794">
      <w:pPr>
        <w:pStyle w:val="COI"/>
        <w:numPr>
          <w:ilvl w:val="0"/>
          <w:numId w:val="0"/>
        </w:numPr>
        <w:bidi/>
      </w:pPr>
    </w:p>
    <w:p w14:paraId="22FC5FBE" w14:textId="2CA1570B" w:rsidR="009E3769" w:rsidRPr="00FC0794" w:rsidRDefault="009E3769" w:rsidP="00FC0794">
      <w:pPr>
        <w:pStyle w:val="COI"/>
        <w:spacing w:before="240"/>
      </w:pPr>
      <w:r>
        <w:rPr>
          <w:bCs w:val="0"/>
          <w:lang w:val="es"/>
        </w:rPr>
        <w:t xml:space="preserve">Hay un gran número de acciones del </w:t>
      </w:r>
      <w:hyperlink w:anchor="SO_6" w:history="1">
        <w:r>
          <w:rPr>
            <w:rStyle w:val="Hyperlink"/>
            <w:bCs w:val="0"/>
            <w:lang w:val="es"/>
          </w:rPr>
          <w:t>OE6</w:t>
        </w:r>
      </w:hyperlink>
      <w:r>
        <w:rPr>
          <w:bCs w:val="0"/>
          <w:lang w:val="es"/>
        </w:rPr>
        <w:t>, que representa un área central de trabajo del equipo central del GOOS. Un gran número de actividades en materia de datos (</w:t>
      </w:r>
      <w:hyperlink w:anchor="SO_7" w:history="1">
        <w:r>
          <w:rPr>
            <w:rStyle w:val="Hyperlink"/>
            <w:bCs w:val="0"/>
            <w:lang w:val="es"/>
          </w:rPr>
          <w:t>OE7</w:t>
        </w:r>
      </w:hyperlink>
      <w:r>
        <w:rPr>
          <w:bCs w:val="0"/>
          <w:lang w:val="es"/>
        </w:rPr>
        <w:t xml:space="preserve">) y el desarrollo </w:t>
      </w:r>
      <w:r w:rsidR="00FC0794">
        <w:rPr>
          <w:noProof/>
          <w:snapToGrid/>
          <w:lang w:val="es"/>
        </w:rPr>
        <w:drawing>
          <wp:anchor distT="0" distB="0" distL="114300" distR="114300" simplePos="0" relativeHeight="251658240" behindDoc="1" locked="0" layoutInCell="1" allowOverlap="1" wp14:anchorId="539D499E" wp14:editId="1AEF6F5B">
            <wp:simplePos x="0" y="0"/>
            <wp:positionH relativeFrom="column">
              <wp:posOffset>598805</wp:posOffset>
            </wp:positionH>
            <wp:positionV relativeFrom="page">
              <wp:posOffset>810600</wp:posOffset>
            </wp:positionV>
            <wp:extent cx="5173345" cy="2983230"/>
            <wp:effectExtent l="0" t="0" r="8255" b="7620"/>
            <wp:wrapTight wrapText="bothSides">
              <wp:wrapPolygon edited="0">
                <wp:start x="0" y="0"/>
                <wp:lineTo x="0" y="21517"/>
                <wp:lineTo x="21555" y="21517"/>
                <wp:lineTo x="21555" y="0"/>
                <wp:lineTo x="0" y="0"/>
              </wp:wrapPolygon>
            </wp:wrapTight>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r w:rsidRPr="00FC0794">
        <w:rPr>
          <w:bCs w:val="0"/>
          <w:lang w:val="es"/>
        </w:rPr>
        <w:t>de capacidades (</w:t>
      </w:r>
      <w:hyperlink w:anchor="SO_9" w:history="1">
        <w:r w:rsidRPr="00FC0794">
          <w:rPr>
            <w:rStyle w:val="Hyperlink"/>
            <w:bCs w:val="0"/>
            <w:lang w:val="es"/>
          </w:rPr>
          <w:t>OE9</w:t>
        </w:r>
      </w:hyperlink>
      <w:r w:rsidRPr="00FC0794">
        <w:rPr>
          <w:bCs w:val="0"/>
          <w:lang w:val="es"/>
        </w:rPr>
        <w:t xml:space="preserve">) indican áreas en las que una mayor consolidación de las acciones de un solo elemento probablemente aumentará el impacto. En comparación con los cinco Objetivos Estratégicos prioritarios identificados (marcados en negrita en la tabla), los </w:t>
      </w:r>
      <w:hyperlink w:anchor="SO_1" w:history="1">
        <w:r w:rsidRPr="00FC0794">
          <w:rPr>
            <w:rStyle w:val="Hyperlink"/>
            <w:bCs w:val="0"/>
            <w:lang w:val="es"/>
          </w:rPr>
          <w:t>OE1</w:t>
        </w:r>
      </w:hyperlink>
      <w:r w:rsidRPr="00FC0794">
        <w:rPr>
          <w:bCs w:val="0"/>
          <w:lang w:val="es"/>
        </w:rPr>
        <w:t xml:space="preserve">y </w:t>
      </w:r>
      <w:hyperlink w:anchor="SO_2" w:history="1">
        <w:r w:rsidRPr="00FC0794">
          <w:rPr>
            <w:rStyle w:val="Hyperlink"/>
            <w:bCs w:val="0"/>
            <w:lang w:val="es"/>
          </w:rPr>
          <w:t>OE2</w:t>
        </w:r>
      </w:hyperlink>
      <w:r w:rsidRPr="00FC0794">
        <w:rPr>
          <w:bCs w:val="0"/>
          <w:lang w:val="es"/>
        </w:rPr>
        <w:t xml:space="preserve"> requerirán más atención en el futuro, con el desarrollo de planes a largo plazo. En las acciones identificadas se prevé una importante colaboración entre los elementos del equipo central del GOOS, lo que constituye un resultado positivo que también requiere apoyo.</w:t>
      </w:r>
    </w:p>
    <w:p w14:paraId="36B747A3" w14:textId="337F800F" w:rsidR="005B5174" w:rsidRDefault="004429FB" w:rsidP="002B7A3F">
      <w:pPr>
        <w:pStyle w:val="COI"/>
      </w:pPr>
      <w:r>
        <w:rPr>
          <w:bCs w:val="0"/>
          <w:lang w:val="es"/>
        </w:rPr>
        <w:t>En las acciones se identifica un gran número de programas y organizaciones asociadas. Los colaboradores más frecuentemente identificados son el IODE, la Organización Meteorológica Mundial y OceanPredict, y estos socios principales del GOOS requieren que se mantengan y amplíen cuidadosamente los vínculos estratégicos.</w:t>
      </w:r>
    </w:p>
    <w:p w14:paraId="3D60910C" w14:textId="13F25C19" w:rsidR="009E6B5B" w:rsidRPr="00FC0794" w:rsidRDefault="009E6B5B" w:rsidP="002B7A3F">
      <w:pPr>
        <w:pStyle w:val="COI"/>
        <w:numPr>
          <w:ilvl w:val="0"/>
          <w:numId w:val="0"/>
        </w:numPr>
        <w:rPr>
          <w:b/>
        </w:rPr>
      </w:pPr>
      <w:r w:rsidRPr="00FC0794">
        <w:rPr>
          <w:b/>
          <w:lang w:val="es"/>
        </w:rPr>
        <w:t>Análisis del impacto</w:t>
      </w:r>
    </w:p>
    <w:p w14:paraId="34CBDCDB" w14:textId="75772E9D" w:rsidR="000B2D6B" w:rsidRPr="00FC0794" w:rsidRDefault="009E6B5B" w:rsidP="00FC0794">
      <w:pPr>
        <w:pStyle w:val="COI"/>
        <w:rPr>
          <w:b/>
        </w:rPr>
      </w:pPr>
      <w:r>
        <w:rPr>
          <w:bCs w:val="0"/>
          <w:lang w:val="es"/>
        </w:rPr>
        <w:t xml:space="preserve">La </w:t>
      </w:r>
      <w:r>
        <w:rPr>
          <w:bCs w:val="0"/>
          <w:i/>
          <w:iCs/>
          <w:lang w:val="es"/>
        </w:rPr>
        <w:t>hoja de ruta para la ejecución de la Estrategia 2030 del Sistema Mundial de Observación de los Océanos</w:t>
      </w:r>
      <w:r>
        <w:rPr>
          <w:bCs w:val="0"/>
          <w:lang w:val="es"/>
        </w:rPr>
        <w:t xml:space="preserve"> (</w:t>
      </w:r>
      <w:hyperlink r:id="rId17" w:history="1">
        <w:r>
          <w:rPr>
            <w:rStyle w:val="Hyperlink"/>
            <w:bCs w:val="0"/>
            <w:lang w:val="es"/>
          </w:rPr>
          <w:t>Informe del GOOS n.º 249</w:t>
        </w:r>
      </w:hyperlink>
      <w:r>
        <w:rPr>
          <w:bCs w:val="0"/>
          <w:lang w:val="es"/>
        </w:rPr>
        <w:t xml:space="preserve">) ofrece más detalles sobre las cuestiones generales, la ejecución y los resultados deseados para cada uno de los objetivos estratégicos de la Estrategia 2030. El examen del impacto colectivo de las acciones previstas en el Plan de Ejecución del GOOS y la comparación de su nivel de ambición con la </w:t>
      </w:r>
      <w:r>
        <w:rPr>
          <w:bCs w:val="0"/>
          <w:i/>
          <w:iCs/>
          <w:lang w:val="es"/>
        </w:rPr>
        <w:t>Hoja de Ruta</w:t>
      </w:r>
      <w:r>
        <w:rPr>
          <w:bCs w:val="0"/>
          <w:lang w:val="es"/>
        </w:rPr>
        <w:t xml:space="preserve"> (tabla siguiente) refuerza la necesidad de que el GOOS impulse la planificación interna y con los colaboradores en determinados ámbitos, al tiempo que identifica los ámbitos en los que esperamos tener un mayor impacto a medio plazo.</w:t>
      </w:r>
    </w:p>
    <w:p w14:paraId="1EAE5E0C" w14:textId="181D971B" w:rsidR="00793A73" w:rsidRPr="007525A8" w:rsidRDefault="00C72275" w:rsidP="002B7A3F">
      <w:pPr>
        <w:pStyle w:val="COI"/>
      </w:pPr>
      <w:r>
        <w:rPr>
          <w:bCs w:val="0"/>
          <w:lang w:val="es"/>
        </w:rPr>
        <w:t>Con los planes actuales, algunas zonas (</w:t>
      </w:r>
      <w:hyperlink w:anchor="SO_1" w:history="1">
        <w:r>
          <w:rPr>
            <w:rStyle w:val="Hyperlink"/>
            <w:bCs w:val="0"/>
            <w:lang w:val="es"/>
          </w:rPr>
          <w:t>OE1</w:t>
        </w:r>
      </w:hyperlink>
      <w:r>
        <w:rPr>
          <w:bCs w:val="0"/>
          <w:lang w:val="es"/>
        </w:rPr>
        <w:t xml:space="preserve">, </w:t>
      </w:r>
      <w:hyperlink w:anchor="SO_4" w:history="1">
        <w:r>
          <w:rPr>
            <w:rStyle w:val="Hyperlink"/>
            <w:bCs w:val="0"/>
            <w:lang w:val="es"/>
          </w:rPr>
          <w:t>OE4</w:t>
        </w:r>
      </w:hyperlink>
      <w:r>
        <w:rPr>
          <w:bCs w:val="0"/>
          <w:lang w:val="es"/>
        </w:rPr>
        <w:t xml:space="preserve">, </w:t>
      </w:r>
      <w:hyperlink w:anchor="SO_9" w:history="1">
        <w:r>
          <w:rPr>
            <w:rStyle w:val="Hyperlink"/>
            <w:bCs w:val="0"/>
            <w:lang w:val="es"/>
          </w:rPr>
          <w:t>OE9</w:t>
        </w:r>
      </w:hyperlink>
      <w:r>
        <w:rPr>
          <w:bCs w:val="0"/>
          <w:lang w:val="es"/>
        </w:rPr>
        <w:t xml:space="preserve">, </w:t>
      </w:r>
      <w:hyperlink w:anchor="SO_10" w:history="1">
        <w:r>
          <w:rPr>
            <w:rStyle w:val="Hyperlink"/>
            <w:bCs w:val="0"/>
            <w:lang w:val="es"/>
          </w:rPr>
          <w:t>OE10</w:t>
        </w:r>
      </w:hyperlink>
      <w:r>
        <w:rPr>
          <w:bCs w:val="0"/>
          <w:lang w:val="es"/>
        </w:rPr>
        <w:t xml:space="preserve">, y </w:t>
      </w:r>
      <w:hyperlink w:anchor="SO_11" w:history="1">
        <w:r>
          <w:rPr>
            <w:rStyle w:val="Hyperlink"/>
            <w:bCs w:val="0"/>
            <w:lang w:val="es"/>
          </w:rPr>
          <w:t>OE11</w:t>
        </w:r>
      </w:hyperlink>
      <w:r>
        <w:rPr>
          <w:bCs w:val="0"/>
          <w:lang w:val="es"/>
        </w:rPr>
        <w:t xml:space="preserve">) necesitarán un refuerzo en el futuro, ya que carecen de ambición. El </w:t>
      </w:r>
      <w:hyperlink w:anchor="SO_6" w:history="1">
        <w:r>
          <w:rPr>
            <w:rStyle w:val="Hyperlink"/>
            <w:bCs w:val="0"/>
            <w:lang w:val="es"/>
          </w:rPr>
          <w:t>objetivo estratégico 6</w:t>
        </w:r>
      </w:hyperlink>
      <w:r>
        <w:rPr>
          <w:bCs w:val="0"/>
          <w:lang w:val="es"/>
        </w:rPr>
        <w:t xml:space="preserve"> principal, al que se destinan importantes recursos en la actualidad, no alcanza todos los elementos previstos en la </w:t>
      </w:r>
      <w:r>
        <w:rPr>
          <w:bCs w:val="0"/>
          <w:i/>
          <w:iCs/>
          <w:lang w:val="es"/>
        </w:rPr>
        <w:t>hoja de ruta</w:t>
      </w:r>
      <w:r>
        <w:rPr>
          <w:bCs w:val="0"/>
          <w:lang w:val="es"/>
        </w:rPr>
        <w:t xml:space="preserve">. En general, el proceso de planificación que se llevará a cabo en el futuro se esforzará por precisar las repercusiones y los beneficios de cada acción, así como la forma en que encajan en un impacto global previsto para el Sistema Mundial de Observación de los Océanos. </w:t>
      </w:r>
    </w:p>
    <w:p w14:paraId="225AA9CF" w14:textId="684CC387" w:rsidR="00793A73" w:rsidRPr="007525A8" w:rsidRDefault="00793A73" w:rsidP="00793A73">
      <w:pPr>
        <w:pStyle w:val="Heading3"/>
      </w:pPr>
      <w:r>
        <w:rPr>
          <w:lang w:val="es"/>
        </w:rPr>
        <w:t>Prioridades</w:t>
      </w:r>
    </w:p>
    <w:p w14:paraId="78ADAC19" w14:textId="2F58153D" w:rsidR="00793A73" w:rsidRPr="007525A8" w:rsidRDefault="00A93CB3" w:rsidP="002B7A3F">
      <w:pPr>
        <w:pStyle w:val="COI"/>
      </w:pPr>
      <w:r>
        <w:rPr>
          <w:bCs w:val="0"/>
          <w:lang w:val="es"/>
        </w:rPr>
        <w:t xml:space="preserve">El Comité Directivo del GOOS decidió que las prioridades para la ejecución del GOOS deberían incluir el aumento de la atención y los recursos para las colaboraciones del </w:t>
      </w:r>
      <w:hyperlink w:anchor="SO_1" w:history="1">
        <w:r>
          <w:rPr>
            <w:rStyle w:val="Hyperlink"/>
            <w:bCs w:val="0"/>
            <w:lang w:val="es"/>
          </w:rPr>
          <w:t>OE1</w:t>
        </w:r>
      </w:hyperlink>
      <w:r>
        <w:rPr>
          <w:bCs w:val="0"/>
          <w:lang w:val="es"/>
        </w:rPr>
        <w:t xml:space="preserve"> para la prestación de servicios y la promoción y comunicación del </w:t>
      </w:r>
      <w:hyperlink w:anchor="SO_2" w:history="1">
        <w:r>
          <w:rPr>
            <w:rStyle w:val="Hyperlink"/>
            <w:bCs w:val="0"/>
            <w:lang w:val="es"/>
          </w:rPr>
          <w:t>OE2</w:t>
        </w:r>
      </w:hyperlink>
      <w:r>
        <w:rPr>
          <w:bCs w:val="0"/>
          <w:lang w:val="es"/>
        </w:rPr>
        <w:t xml:space="preserve">. Trabajará con el equipo central para conectar las numerosas acciones individuales del </w:t>
      </w:r>
      <w:hyperlink w:anchor="SO_7" w:history="1">
        <w:r>
          <w:rPr>
            <w:rStyle w:val="Hyperlink"/>
            <w:bCs w:val="0"/>
            <w:lang w:val="es"/>
          </w:rPr>
          <w:t>OE7</w:t>
        </w:r>
      </w:hyperlink>
      <w:r>
        <w:rPr>
          <w:bCs w:val="0"/>
          <w:lang w:val="es"/>
        </w:rPr>
        <w:t xml:space="preserve"> sobre datos FAIR, colaborando </w:t>
      </w:r>
      <w:r>
        <w:rPr>
          <w:bCs w:val="0"/>
          <w:lang w:val="es"/>
        </w:rPr>
        <w:lastRenderedPageBreak/>
        <w:t xml:space="preserve">estrechamente con el IODE, y para trabajar en colaboraciones más amplias para aumentar el impacto y la visión estratégica a largo plazo de las acciones de desarrollo de capacidades del </w:t>
      </w:r>
      <w:hyperlink w:anchor="SO_9" w:history="1">
        <w:r>
          <w:rPr>
            <w:rStyle w:val="Hyperlink"/>
            <w:bCs w:val="0"/>
            <w:lang w:val="es"/>
          </w:rPr>
          <w:t>OE9</w:t>
        </w:r>
      </w:hyperlink>
      <w:r>
        <w:rPr>
          <w:bCs w:val="0"/>
          <w:lang w:val="es"/>
        </w:rPr>
        <w:t>. Los programas del Decenio de los Océanos se integrarán en el plan de ejecución a medida que se vayan desarrollando. El Comité Directivo priorizará las acciones en función de los recursos disponibles de forma continua.</w:t>
      </w:r>
    </w:p>
    <w:p w14:paraId="7D1BA06F" w14:textId="3BA05DC3" w:rsidR="005B5174" w:rsidRPr="007525A8" w:rsidRDefault="005B5174" w:rsidP="005B5174">
      <w:pPr>
        <w:pStyle w:val="Heading3"/>
      </w:pPr>
      <w:r>
        <w:rPr>
          <w:lang w:val="es"/>
        </w:rPr>
        <w:t>Necesidades de recursos</w:t>
      </w:r>
    </w:p>
    <w:p w14:paraId="70C4BBB3" w14:textId="4C825433" w:rsidR="00117356" w:rsidRDefault="0068104A" w:rsidP="002B7A3F">
      <w:pPr>
        <w:pStyle w:val="COI"/>
      </w:pPr>
      <w:r>
        <w:rPr>
          <w:bCs w:val="0"/>
          <w:lang w:val="es"/>
        </w:rPr>
        <w:t xml:space="preserve">El equipo central del GOOS cuenta con el apoyo de una oficina del GOOS distribuida, que hoy en día cuenta con 14,25 miembros del personal equivalentes a tiempo completo, distribuidos y financiados como se indica en la siguiente tabla. </w:t>
      </w:r>
    </w:p>
    <w:tbl>
      <w:tblPr>
        <w:tblW w:w="8916" w:type="dxa"/>
        <w:jc w:val="center"/>
        <w:tblLook w:val="04A0" w:firstRow="1" w:lastRow="0" w:firstColumn="1" w:lastColumn="0" w:noHBand="0" w:noVBand="1"/>
      </w:tblPr>
      <w:tblGrid>
        <w:gridCol w:w="1970"/>
        <w:gridCol w:w="1685"/>
        <w:gridCol w:w="3134"/>
        <w:gridCol w:w="2127"/>
      </w:tblGrid>
      <w:tr w:rsidR="0068104A" w:rsidRPr="00117356" w14:paraId="5886D320" w14:textId="77777777" w:rsidTr="00C8507A">
        <w:trPr>
          <w:trHeight w:val="283"/>
          <w:tblHeader/>
          <w:jc w:val="center"/>
        </w:trPr>
        <w:tc>
          <w:tcPr>
            <w:tcW w:w="1970" w:type="dxa"/>
            <w:tcBorders>
              <w:top w:val="single" w:sz="12" w:space="0" w:color="000000"/>
              <w:left w:val="single" w:sz="12" w:space="0" w:color="000000"/>
              <w:bottom w:val="single" w:sz="12" w:space="0" w:color="000000"/>
              <w:right w:val="single" w:sz="8" w:space="0" w:color="000000"/>
            </w:tcBorders>
            <w:shd w:val="clear" w:color="auto" w:fill="auto"/>
            <w:vAlign w:val="center"/>
            <w:hideMark/>
          </w:tcPr>
          <w:p w14:paraId="5EF27008" w14:textId="53F69777" w:rsidR="004429FB" w:rsidRPr="00C8507A" w:rsidRDefault="004429FB" w:rsidP="0068104A">
            <w:pPr>
              <w:tabs>
                <w:tab w:val="clear" w:pos="567"/>
              </w:tabs>
              <w:snapToGrid/>
              <w:rPr>
                <w:rFonts w:asciiTheme="minorBidi" w:hAnsiTheme="minorBidi" w:cstheme="minorBidi"/>
                <w:b/>
                <w:bCs/>
                <w:snapToGrid/>
                <w:color w:val="000000"/>
                <w:szCs w:val="22"/>
              </w:rPr>
            </w:pPr>
            <w:r>
              <w:rPr>
                <w:rFonts w:asciiTheme="minorBidi" w:hAnsiTheme="minorBidi" w:cstheme="minorBidi"/>
                <w:b/>
                <w:bCs/>
                <w:snapToGrid/>
                <w:color w:val="000000"/>
                <w:szCs w:val="22"/>
                <w:lang w:val="es"/>
              </w:rPr>
              <w:t>Elemento de la Oficina del GOOS</w:t>
            </w:r>
          </w:p>
        </w:tc>
        <w:tc>
          <w:tcPr>
            <w:tcW w:w="1685" w:type="dxa"/>
            <w:tcBorders>
              <w:top w:val="single" w:sz="12" w:space="0" w:color="000000"/>
              <w:left w:val="nil"/>
              <w:bottom w:val="single" w:sz="12" w:space="0" w:color="000000"/>
              <w:right w:val="single" w:sz="8" w:space="0" w:color="000000"/>
            </w:tcBorders>
            <w:shd w:val="clear" w:color="auto" w:fill="auto"/>
            <w:vAlign w:val="center"/>
            <w:hideMark/>
          </w:tcPr>
          <w:p w14:paraId="15C0BCAC" w14:textId="0F9C7F44" w:rsidR="004429FB" w:rsidRPr="00C8507A" w:rsidRDefault="0068104A" w:rsidP="0068104A">
            <w:pPr>
              <w:tabs>
                <w:tab w:val="clear" w:pos="567"/>
              </w:tabs>
              <w:snapToGrid/>
              <w:rPr>
                <w:rFonts w:asciiTheme="minorBidi" w:hAnsiTheme="minorBidi" w:cstheme="minorBidi"/>
                <w:b/>
                <w:bCs/>
                <w:snapToGrid/>
                <w:color w:val="000000"/>
                <w:szCs w:val="22"/>
              </w:rPr>
            </w:pPr>
            <w:r>
              <w:rPr>
                <w:rFonts w:asciiTheme="minorBidi" w:eastAsia="Arial" w:hAnsiTheme="minorBidi" w:cstheme="minorBidi"/>
                <w:b/>
                <w:bCs/>
                <w:snapToGrid/>
                <w:color w:val="000000"/>
                <w:szCs w:val="22"/>
                <w:lang w:val="es"/>
              </w:rPr>
              <w:t>Equivalentes a tiempo completo</w:t>
            </w:r>
          </w:p>
        </w:tc>
        <w:tc>
          <w:tcPr>
            <w:tcW w:w="3134" w:type="dxa"/>
            <w:tcBorders>
              <w:top w:val="single" w:sz="12" w:space="0" w:color="000000"/>
              <w:left w:val="nil"/>
              <w:bottom w:val="single" w:sz="12" w:space="0" w:color="000000"/>
              <w:right w:val="single" w:sz="8" w:space="0" w:color="000000"/>
            </w:tcBorders>
            <w:shd w:val="clear" w:color="auto" w:fill="auto"/>
            <w:vAlign w:val="center"/>
            <w:hideMark/>
          </w:tcPr>
          <w:p w14:paraId="1E12DD31" w14:textId="77777777" w:rsidR="004429FB" w:rsidRPr="00C8507A" w:rsidRDefault="004429FB" w:rsidP="0068104A">
            <w:pPr>
              <w:tabs>
                <w:tab w:val="clear" w:pos="567"/>
              </w:tabs>
              <w:snapToGrid/>
              <w:rPr>
                <w:rFonts w:asciiTheme="minorBidi" w:hAnsiTheme="minorBidi" w:cstheme="minorBidi"/>
                <w:b/>
                <w:bCs/>
                <w:snapToGrid/>
                <w:color w:val="000000"/>
                <w:szCs w:val="22"/>
              </w:rPr>
            </w:pPr>
            <w:r>
              <w:rPr>
                <w:rFonts w:asciiTheme="minorBidi" w:hAnsiTheme="minorBidi" w:cstheme="minorBidi"/>
                <w:b/>
                <w:bCs/>
                <w:snapToGrid/>
                <w:color w:val="000000"/>
                <w:szCs w:val="22"/>
                <w:lang w:val="es"/>
              </w:rPr>
              <w:t>Fuente de financiación</w:t>
            </w:r>
          </w:p>
        </w:tc>
        <w:tc>
          <w:tcPr>
            <w:tcW w:w="2127" w:type="dxa"/>
            <w:tcBorders>
              <w:top w:val="single" w:sz="12" w:space="0" w:color="000000"/>
              <w:left w:val="nil"/>
              <w:bottom w:val="single" w:sz="12" w:space="0" w:color="000000"/>
              <w:right w:val="single" w:sz="12" w:space="0" w:color="000000"/>
            </w:tcBorders>
            <w:shd w:val="clear" w:color="auto" w:fill="auto"/>
            <w:vAlign w:val="center"/>
            <w:hideMark/>
          </w:tcPr>
          <w:p w14:paraId="54BC57F2" w14:textId="77777777" w:rsidR="004429FB" w:rsidRPr="00C8507A" w:rsidRDefault="004429FB" w:rsidP="0068104A">
            <w:pPr>
              <w:tabs>
                <w:tab w:val="clear" w:pos="567"/>
              </w:tabs>
              <w:snapToGrid/>
              <w:rPr>
                <w:rFonts w:asciiTheme="minorBidi" w:hAnsiTheme="minorBidi" w:cstheme="minorBidi"/>
                <w:b/>
                <w:bCs/>
                <w:snapToGrid/>
                <w:color w:val="000000"/>
                <w:szCs w:val="22"/>
              </w:rPr>
            </w:pPr>
            <w:r>
              <w:rPr>
                <w:rFonts w:asciiTheme="minorBidi" w:hAnsiTheme="minorBidi" w:cstheme="minorBidi"/>
                <w:b/>
                <w:bCs/>
                <w:snapToGrid/>
                <w:color w:val="000000"/>
                <w:szCs w:val="22"/>
                <w:lang w:val="es"/>
              </w:rPr>
              <w:t>Ubicación</w:t>
            </w:r>
          </w:p>
        </w:tc>
      </w:tr>
      <w:tr w:rsidR="0068104A" w:rsidRPr="00117356" w14:paraId="628CBABF" w14:textId="77777777" w:rsidTr="0068104A">
        <w:trPr>
          <w:trHeight w:val="283"/>
          <w:jc w:val="center"/>
        </w:trPr>
        <w:tc>
          <w:tcPr>
            <w:tcW w:w="1970" w:type="dxa"/>
            <w:tcBorders>
              <w:top w:val="nil"/>
              <w:left w:val="single" w:sz="12" w:space="0" w:color="000000"/>
              <w:bottom w:val="single" w:sz="8" w:space="0" w:color="000000"/>
              <w:right w:val="single" w:sz="8" w:space="0" w:color="000000"/>
            </w:tcBorders>
            <w:shd w:val="clear" w:color="auto" w:fill="auto"/>
            <w:hideMark/>
          </w:tcPr>
          <w:p w14:paraId="475E6843" w14:textId="77777777" w:rsidR="004429FB" w:rsidRPr="00C8507A" w:rsidRDefault="004429FB" w:rsidP="0068104A">
            <w:pPr>
              <w:tabs>
                <w:tab w:val="clear" w:pos="567"/>
              </w:tabs>
              <w:snapToGrid/>
              <w:rPr>
                <w:rFonts w:asciiTheme="minorBidi" w:hAnsiTheme="minorBidi" w:cstheme="minorBidi"/>
                <w:snapToGrid/>
                <w:color w:val="000000"/>
                <w:szCs w:val="22"/>
              </w:rPr>
            </w:pPr>
            <w:r>
              <w:rPr>
                <w:rFonts w:asciiTheme="minorBidi" w:eastAsia="Arial" w:hAnsiTheme="minorBidi" w:cstheme="minorBidi"/>
                <w:snapToGrid/>
                <w:color w:val="000000"/>
                <w:szCs w:val="22"/>
                <w:lang w:val="es"/>
              </w:rPr>
              <w:t>Coordinación central</w:t>
            </w:r>
          </w:p>
        </w:tc>
        <w:tc>
          <w:tcPr>
            <w:tcW w:w="1685" w:type="dxa"/>
            <w:tcBorders>
              <w:top w:val="nil"/>
              <w:left w:val="nil"/>
              <w:bottom w:val="single" w:sz="8" w:space="0" w:color="000000"/>
              <w:right w:val="single" w:sz="8" w:space="0" w:color="000000"/>
            </w:tcBorders>
            <w:shd w:val="clear" w:color="auto" w:fill="auto"/>
            <w:hideMark/>
          </w:tcPr>
          <w:p w14:paraId="0BD2B2ED" w14:textId="77777777" w:rsidR="004429FB" w:rsidRPr="00C8507A" w:rsidRDefault="004429FB" w:rsidP="0068104A">
            <w:pPr>
              <w:tabs>
                <w:tab w:val="clear" w:pos="567"/>
              </w:tabs>
              <w:snapToGrid/>
              <w:jc w:val="right"/>
              <w:rPr>
                <w:rFonts w:asciiTheme="minorBidi" w:hAnsiTheme="minorBidi" w:cstheme="minorBidi"/>
                <w:snapToGrid/>
                <w:color w:val="000000"/>
                <w:szCs w:val="22"/>
              </w:rPr>
            </w:pPr>
            <w:r>
              <w:rPr>
                <w:rFonts w:asciiTheme="minorBidi" w:eastAsia="Arial" w:hAnsiTheme="minorBidi" w:cstheme="minorBidi"/>
                <w:snapToGrid/>
                <w:color w:val="000000"/>
                <w:szCs w:val="22"/>
                <w:lang w:val="es"/>
              </w:rPr>
              <w:t>2.65</w:t>
            </w:r>
          </w:p>
        </w:tc>
        <w:tc>
          <w:tcPr>
            <w:tcW w:w="3134" w:type="dxa"/>
            <w:tcBorders>
              <w:top w:val="nil"/>
              <w:left w:val="nil"/>
              <w:bottom w:val="single" w:sz="8" w:space="0" w:color="000000"/>
              <w:right w:val="single" w:sz="8" w:space="0" w:color="000000"/>
            </w:tcBorders>
            <w:shd w:val="clear" w:color="auto" w:fill="auto"/>
            <w:hideMark/>
          </w:tcPr>
          <w:p w14:paraId="2D26E6BF" w14:textId="77777777" w:rsidR="004429FB" w:rsidRPr="00C8507A" w:rsidRDefault="004429FB" w:rsidP="0068104A">
            <w:pPr>
              <w:tabs>
                <w:tab w:val="clear" w:pos="567"/>
              </w:tabs>
              <w:snapToGrid/>
              <w:rPr>
                <w:rFonts w:asciiTheme="minorBidi" w:hAnsiTheme="minorBidi" w:cstheme="minorBidi"/>
                <w:snapToGrid/>
                <w:color w:val="000000"/>
                <w:szCs w:val="22"/>
              </w:rPr>
            </w:pPr>
            <w:r>
              <w:rPr>
                <w:rFonts w:asciiTheme="minorBidi" w:eastAsia="Arial" w:hAnsiTheme="minorBidi" w:cstheme="minorBidi"/>
                <w:snapToGrid/>
                <w:color w:val="000000"/>
                <w:szCs w:val="22"/>
                <w:lang w:val="es"/>
              </w:rPr>
              <w:t>COI</w:t>
            </w:r>
          </w:p>
        </w:tc>
        <w:tc>
          <w:tcPr>
            <w:tcW w:w="2127" w:type="dxa"/>
            <w:tcBorders>
              <w:top w:val="nil"/>
              <w:left w:val="nil"/>
              <w:bottom w:val="single" w:sz="8" w:space="0" w:color="000000"/>
              <w:right w:val="single" w:sz="12" w:space="0" w:color="000000"/>
            </w:tcBorders>
            <w:shd w:val="clear" w:color="auto" w:fill="auto"/>
            <w:hideMark/>
          </w:tcPr>
          <w:p w14:paraId="486EED27" w14:textId="77777777" w:rsidR="004429FB" w:rsidRPr="00C8507A" w:rsidRDefault="004429FB" w:rsidP="0068104A">
            <w:pPr>
              <w:tabs>
                <w:tab w:val="clear" w:pos="567"/>
              </w:tabs>
              <w:snapToGrid/>
              <w:rPr>
                <w:rFonts w:asciiTheme="minorBidi" w:hAnsiTheme="minorBidi" w:cstheme="minorBidi"/>
                <w:snapToGrid/>
                <w:color w:val="000000"/>
                <w:szCs w:val="22"/>
              </w:rPr>
            </w:pPr>
            <w:r>
              <w:rPr>
                <w:rFonts w:asciiTheme="minorBidi" w:eastAsia="Arial" w:hAnsiTheme="minorBidi" w:cstheme="minorBidi"/>
                <w:snapToGrid/>
                <w:color w:val="000000"/>
                <w:szCs w:val="22"/>
                <w:lang w:val="es"/>
              </w:rPr>
              <w:t>París, Francia</w:t>
            </w:r>
          </w:p>
        </w:tc>
      </w:tr>
      <w:tr w:rsidR="0068104A" w:rsidRPr="00117356" w14:paraId="1D76A729" w14:textId="77777777" w:rsidTr="0068104A">
        <w:trPr>
          <w:trHeight w:val="283"/>
          <w:jc w:val="center"/>
        </w:trPr>
        <w:tc>
          <w:tcPr>
            <w:tcW w:w="1970" w:type="dxa"/>
            <w:tcBorders>
              <w:top w:val="nil"/>
              <w:left w:val="single" w:sz="12" w:space="0" w:color="000000"/>
              <w:bottom w:val="single" w:sz="8" w:space="0" w:color="000000"/>
              <w:right w:val="single" w:sz="8" w:space="0" w:color="000000"/>
            </w:tcBorders>
            <w:shd w:val="clear" w:color="auto" w:fill="auto"/>
            <w:hideMark/>
          </w:tcPr>
          <w:p w14:paraId="4BE51976" w14:textId="77777777" w:rsidR="004429FB" w:rsidRPr="00C8507A" w:rsidRDefault="004429FB" w:rsidP="0068104A">
            <w:pPr>
              <w:tabs>
                <w:tab w:val="clear" w:pos="567"/>
              </w:tabs>
              <w:snapToGrid/>
              <w:rPr>
                <w:rFonts w:asciiTheme="minorBidi" w:hAnsiTheme="minorBidi" w:cstheme="minorBidi"/>
                <w:snapToGrid/>
                <w:color w:val="000000"/>
                <w:szCs w:val="22"/>
              </w:rPr>
            </w:pPr>
            <w:r>
              <w:rPr>
                <w:rFonts w:asciiTheme="minorBidi" w:eastAsia="Arial" w:hAnsiTheme="minorBidi" w:cstheme="minorBidi"/>
                <w:snapToGrid/>
                <w:color w:val="000000"/>
                <w:szCs w:val="22"/>
                <w:lang w:val="es"/>
              </w:rPr>
              <w:t>OOPC</w:t>
            </w:r>
          </w:p>
        </w:tc>
        <w:tc>
          <w:tcPr>
            <w:tcW w:w="1685" w:type="dxa"/>
            <w:tcBorders>
              <w:top w:val="nil"/>
              <w:left w:val="nil"/>
              <w:bottom w:val="single" w:sz="8" w:space="0" w:color="000000"/>
              <w:right w:val="single" w:sz="8" w:space="0" w:color="000000"/>
            </w:tcBorders>
            <w:shd w:val="clear" w:color="auto" w:fill="auto"/>
            <w:hideMark/>
          </w:tcPr>
          <w:p w14:paraId="2F0EA92C" w14:textId="77777777" w:rsidR="004429FB" w:rsidRPr="00C8507A" w:rsidRDefault="004429FB" w:rsidP="0068104A">
            <w:pPr>
              <w:tabs>
                <w:tab w:val="clear" w:pos="567"/>
              </w:tabs>
              <w:snapToGrid/>
              <w:jc w:val="right"/>
              <w:rPr>
                <w:rFonts w:asciiTheme="minorBidi" w:hAnsiTheme="minorBidi" w:cstheme="minorBidi"/>
                <w:snapToGrid/>
                <w:color w:val="000000"/>
                <w:szCs w:val="22"/>
              </w:rPr>
            </w:pPr>
            <w:r>
              <w:rPr>
                <w:rFonts w:asciiTheme="minorBidi" w:eastAsia="Arial" w:hAnsiTheme="minorBidi" w:cstheme="minorBidi"/>
                <w:snapToGrid/>
                <w:color w:val="000000"/>
                <w:szCs w:val="22"/>
                <w:lang w:val="es"/>
              </w:rPr>
              <w:t>1</w:t>
            </w:r>
          </w:p>
        </w:tc>
        <w:tc>
          <w:tcPr>
            <w:tcW w:w="3134" w:type="dxa"/>
            <w:tcBorders>
              <w:top w:val="nil"/>
              <w:left w:val="nil"/>
              <w:bottom w:val="single" w:sz="8" w:space="0" w:color="000000"/>
              <w:right w:val="single" w:sz="8" w:space="0" w:color="000000"/>
            </w:tcBorders>
            <w:shd w:val="clear" w:color="auto" w:fill="auto"/>
            <w:hideMark/>
          </w:tcPr>
          <w:p w14:paraId="607CC6A3" w14:textId="70890AED" w:rsidR="004429FB" w:rsidRPr="00C8507A" w:rsidRDefault="0068104A" w:rsidP="0068104A">
            <w:pPr>
              <w:tabs>
                <w:tab w:val="clear" w:pos="567"/>
              </w:tabs>
              <w:snapToGrid/>
              <w:rPr>
                <w:rFonts w:asciiTheme="minorBidi" w:hAnsiTheme="minorBidi" w:cstheme="minorBidi"/>
                <w:snapToGrid/>
                <w:color w:val="000000"/>
                <w:szCs w:val="22"/>
              </w:rPr>
            </w:pPr>
            <w:r>
              <w:rPr>
                <w:rFonts w:asciiTheme="minorBidi" w:eastAsia="Arial" w:hAnsiTheme="minorBidi" w:cstheme="minorBidi"/>
                <w:snapToGrid/>
                <w:color w:val="000000"/>
                <w:szCs w:val="22"/>
                <w:lang w:val="es"/>
              </w:rPr>
              <w:t>NOAA EE. UU.</w:t>
            </w:r>
          </w:p>
        </w:tc>
        <w:tc>
          <w:tcPr>
            <w:tcW w:w="2127" w:type="dxa"/>
            <w:tcBorders>
              <w:top w:val="nil"/>
              <w:left w:val="nil"/>
              <w:bottom w:val="single" w:sz="8" w:space="0" w:color="000000"/>
              <w:right w:val="single" w:sz="12" w:space="0" w:color="000000"/>
            </w:tcBorders>
            <w:shd w:val="clear" w:color="auto" w:fill="auto"/>
            <w:hideMark/>
          </w:tcPr>
          <w:p w14:paraId="2DDD4A43" w14:textId="0D7E75E5" w:rsidR="004429FB" w:rsidRPr="00C8507A" w:rsidRDefault="004429FB" w:rsidP="0068104A">
            <w:pPr>
              <w:tabs>
                <w:tab w:val="clear" w:pos="567"/>
              </w:tabs>
              <w:snapToGrid/>
              <w:rPr>
                <w:rFonts w:asciiTheme="minorBidi" w:hAnsiTheme="minorBidi" w:cstheme="minorBidi"/>
                <w:snapToGrid/>
                <w:color w:val="000000"/>
                <w:szCs w:val="22"/>
              </w:rPr>
            </w:pPr>
            <w:r>
              <w:rPr>
                <w:rFonts w:asciiTheme="minorBidi" w:eastAsia="Arial" w:hAnsiTheme="minorBidi" w:cstheme="minorBidi"/>
                <w:snapToGrid/>
                <w:color w:val="000000"/>
                <w:szCs w:val="22"/>
                <w:lang w:val="es"/>
              </w:rPr>
              <w:t>Ginebra (OMM), Suiza</w:t>
            </w:r>
          </w:p>
        </w:tc>
      </w:tr>
      <w:tr w:rsidR="0068104A" w:rsidRPr="00117356" w14:paraId="18056C38" w14:textId="77777777" w:rsidTr="0068104A">
        <w:trPr>
          <w:trHeight w:val="283"/>
          <w:jc w:val="center"/>
        </w:trPr>
        <w:tc>
          <w:tcPr>
            <w:tcW w:w="1970" w:type="dxa"/>
            <w:tcBorders>
              <w:top w:val="nil"/>
              <w:left w:val="single" w:sz="12" w:space="0" w:color="000000"/>
              <w:bottom w:val="single" w:sz="8" w:space="0" w:color="000000"/>
              <w:right w:val="single" w:sz="8" w:space="0" w:color="000000"/>
            </w:tcBorders>
            <w:shd w:val="clear" w:color="auto" w:fill="auto"/>
            <w:hideMark/>
          </w:tcPr>
          <w:p w14:paraId="6BF799EC" w14:textId="77777777" w:rsidR="004429FB" w:rsidRPr="00C8507A" w:rsidRDefault="004429FB" w:rsidP="0068104A">
            <w:pPr>
              <w:tabs>
                <w:tab w:val="clear" w:pos="567"/>
              </w:tabs>
              <w:snapToGrid/>
              <w:rPr>
                <w:rFonts w:asciiTheme="minorBidi" w:hAnsiTheme="minorBidi" w:cstheme="minorBidi"/>
                <w:snapToGrid/>
                <w:color w:val="000000"/>
                <w:szCs w:val="22"/>
              </w:rPr>
            </w:pPr>
            <w:r>
              <w:rPr>
                <w:rFonts w:asciiTheme="minorBidi" w:eastAsia="Arial" w:hAnsiTheme="minorBidi" w:cstheme="minorBidi"/>
                <w:snapToGrid/>
                <w:color w:val="000000"/>
                <w:szCs w:val="22"/>
                <w:lang w:val="es"/>
              </w:rPr>
              <w:t>Panel BGC</w:t>
            </w:r>
          </w:p>
        </w:tc>
        <w:tc>
          <w:tcPr>
            <w:tcW w:w="1685" w:type="dxa"/>
            <w:tcBorders>
              <w:top w:val="nil"/>
              <w:left w:val="nil"/>
              <w:bottom w:val="single" w:sz="8" w:space="0" w:color="000000"/>
              <w:right w:val="single" w:sz="8" w:space="0" w:color="000000"/>
            </w:tcBorders>
            <w:shd w:val="clear" w:color="auto" w:fill="auto"/>
            <w:hideMark/>
          </w:tcPr>
          <w:p w14:paraId="14D8DE42" w14:textId="77777777" w:rsidR="004429FB" w:rsidRPr="00C8507A" w:rsidRDefault="004429FB" w:rsidP="0068104A">
            <w:pPr>
              <w:tabs>
                <w:tab w:val="clear" w:pos="567"/>
              </w:tabs>
              <w:snapToGrid/>
              <w:jc w:val="right"/>
              <w:rPr>
                <w:rFonts w:asciiTheme="minorBidi" w:hAnsiTheme="minorBidi" w:cstheme="minorBidi"/>
                <w:snapToGrid/>
                <w:color w:val="000000"/>
                <w:szCs w:val="22"/>
              </w:rPr>
            </w:pPr>
            <w:r>
              <w:rPr>
                <w:rFonts w:asciiTheme="minorBidi" w:eastAsia="Arial" w:hAnsiTheme="minorBidi" w:cstheme="minorBidi"/>
                <w:snapToGrid/>
                <w:color w:val="000000"/>
                <w:szCs w:val="22"/>
                <w:lang w:val="es"/>
              </w:rPr>
              <w:t>2</w:t>
            </w:r>
          </w:p>
        </w:tc>
        <w:tc>
          <w:tcPr>
            <w:tcW w:w="3134" w:type="dxa"/>
            <w:tcBorders>
              <w:top w:val="nil"/>
              <w:left w:val="nil"/>
              <w:bottom w:val="single" w:sz="8" w:space="0" w:color="000000"/>
              <w:right w:val="single" w:sz="8" w:space="0" w:color="000000"/>
            </w:tcBorders>
            <w:shd w:val="clear" w:color="auto" w:fill="auto"/>
            <w:hideMark/>
          </w:tcPr>
          <w:p w14:paraId="5ED356A0" w14:textId="33FD0A3C" w:rsidR="004429FB" w:rsidRPr="00C8507A" w:rsidRDefault="0068104A" w:rsidP="0068104A">
            <w:pPr>
              <w:tabs>
                <w:tab w:val="clear" w:pos="567"/>
              </w:tabs>
              <w:snapToGrid/>
              <w:rPr>
                <w:rFonts w:asciiTheme="minorBidi" w:hAnsiTheme="minorBidi" w:cstheme="minorBidi"/>
                <w:snapToGrid/>
                <w:color w:val="000000"/>
                <w:szCs w:val="22"/>
              </w:rPr>
            </w:pPr>
            <w:r>
              <w:rPr>
                <w:rFonts w:asciiTheme="minorBidi" w:eastAsia="Arial" w:hAnsiTheme="minorBidi" w:cstheme="minorBidi"/>
                <w:snapToGrid/>
                <w:color w:val="000000"/>
                <w:szCs w:val="22"/>
                <w:lang w:val="es"/>
              </w:rPr>
              <w:t>EE.UU. (NSF vía SCOR), CE H2020 EuroSea, COI</w:t>
            </w:r>
          </w:p>
        </w:tc>
        <w:tc>
          <w:tcPr>
            <w:tcW w:w="2127" w:type="dxa"/>
            <w:tcBorders>
              <w:top w:val="nil"/>
              <w:left w:val="nil"/>
              <w:bottom w:val="single" w:sz="8" w:space="0" w:color="000000"/>
              <w:right w:val="single" w:sz="12" w:space="0" w:color="000000"/>
            </w:tcBorders>
            <w:shd w:val="clear" w:color="auto" w:fill="auto"/>
            <w:hideMark/>
          </w:tcPr>
          <w:p w14:paraId="6CAF315B" w14:textId="77777777" w:rsidR="004429FB" w:rsidRPr="00C8507A" w:rsidRDefault="004429FB" w:rsidP="0068104A">
            <w:pPr>
              <w:tabs>
                <w:tab w:val="clear" w:pos="567"/>
              </w:tabs>
              <w:snapToGrid/>
              <w:rPr>
                <w:rFonts w:asciiTheme="minorBidi" w:hAnsiTheme="minorBidi" w:cstheme="minorBidi"/>
                <w:snapToGrid/>
                <w:color w:val="000000"/>
                <w:szCs w:val="22"/>
              </w:rPr>
            </w:pPr>
            <w:r>
              <w:rPr>
                <w:rFonts w:asciiTheme="minorBidi" w:eastAsia="Arial" w:hAnsiTheme="minorBidi" w:cstheme="minorBidi"/>
                <w:snapToGrid/>
                <w:color w:val="000000"/>
                <w:szCs w:val="22"/>
                <w:lang w:val="es"/>
              </w:rPr>
              <w:t>Sopot, Polonia</w:t>
            </w:r>
          </w:p>
        </w:tc>
      </w:tr>
      <w:tr w:rsidR="0068104A" w:rsidRPr="00117356" w14:paraId="2A6ED19B" w14:textId="77777777" w:rsidTr="0068104A">
        <w:trPr>
          <w:trHeight w:val="283"/>
          <w:jc w:val="center"/>
        </w:trPr>
        <w:tc>
          <w:tcPr>
            <w:tcW w:w="1970" w:type="dxa"/>
            <w:tcBorders>
              <w:top w:val="nil"/>
              <w:left w:val="single" w:sz="12" w:space="0" w:color="000000"/>
              <w:bottom w:val="single" w:sz="8" w:space="0" w:color="000000"/>
              <w:right w:val="single" w:sz="8" w:space="0" w:color="000000"/>
            </w:tcBorders>
            <w:shd w:val="clear" w:color="auto" w:fill="auto"/>
            <w:hideMark/>
          </w:tcPr>
          <w:p w14:paraId="23155313" w14:textId="77777777" w:rsidR="004429FB" w:rsidRPr="00C8507A" w:rsidRDefault="004429FB" w:rsidP="0068104A">
            <w:pPr>
              <w:tabs>
                <w:tab w:val="clear" w:pos="567"/>
              </w:tabs>
              <w:snapToGrid/>
              <w:rPr>
                <w:rFonts w:asciiTheme="minorBidi" w:hAnsiTheme="minorBidi" w:cstheme="minorBidi"/>
                <w:snapToGrid/>
                <w:color w:val="000000"/>
                <w:szCs w:val="22"/>
              </w:rPr>
            </w:pPr>
            <w:r>
              <w:rPr>
                <w:rFonts w:asciiTheme="minorBidi" w:eastAsia="Arial" w:hAnsiTheme="minorBidi" w:cstheme="minorBidi"/>
                <w:snapToGrid/>
                <w:color w:val="000000"/>
                <w:szCs w:val="22"/>
                <w:lang w:val="es"/>
              </w:rPr>
              <w:t>Panel BioEco</w:t>
            </w:r>
          </w:p>
        </w:tc>
        <w:tc>
          <w:tcPr>
            <w:tcW w:w="1685" w:type="dxa"/>
            <w:tcBorders>
              <w:top w:val="nil"/>
              <w:left w:val="nil"/>
              <w:bottom w:val="single" w:sz="8" w:space="0" w:color="000000"/>
              <w:right w:val="single" w:sz="8" w:space="0" w:color="000000"/>
            </w:tcBorders>
            <w:shd w:val="clear" w:color="auto" w:fill="auto"/>
            <w:hideMark/>
          </w:tcPr>
          <w:p w14:paraId="0420B242" w14:textId="77777777" w:rsidR="004429FB" w:rsidRPr="00C8507A" w:rsidRDefault="004429FB" w:rsidP="0068104A">
            <w:pPr>
              <w:tabs>
                <w:tab w:val="clear" w:pos="567"/>
              </w:tabs>
              <w:snapToGrid/>
              <w:jc w:val="right"/>
              <w:rPr>
                <w:rFonts w:asciiTheme="minorBidi" w:hAnsiTheme="minorBidi" w:cstheme="minorBidi"/>
                <w:snapToGrid/>
                <w:color w:val="000000"/>
                <w:szCs w:val="22"/>
              </w:rPr>
            </w:pPr>
            <w:r>
              <w:rPr>
                <w:rFonts w:asciiTheme="minorBidi" w:eastAsia="Arial" w:hAnsiTheme="minorBidi" w:cstheme="minorBidi"/>
                <w:snapToGrid/>
                <w:color w:val="000000"/>
                <w:szCs w:val="22"/>
                <w:lang w:val="es"/>
              </w:rPr>
              <w:t>1</w:t>
            </w:r>
          </w:p>
        </w:tc>
        <w:tc>
          <w:tcPr>
            <w:tcW w:w="3134" w:type="dxa"/>
            <w:tcBorders>
              <w:top w:val="nil"/>
              <w:left w:val="nil"/>
              <w:bottom w:val="single" w:sz="8" w:space="0" w:color="000000"/>
              <w:right w:val="single" w:sz="8" w:space="0" w:color="000000"/>
            </w:tcBorders>
            <w:shd w:val="clear" w:color="auto" w:fill="auto"/>
            <w:hideMark/>
          </w:tcPr>
          <w:p w14:paraId="756343D9" w14:textId="6A4E4D44" w:rsidR="004429FB" w:rsidRPr="00C8507A" w:rsidRDefault="004429FB" w:rsidP="0068104A">
            <w:pPr>
              <w:tabs>
                <w:tab w:val="clear" w:pos="567"/>
              </w:tabs>
              <w:snapToGrid/>
              <w:rPr>
                <w:rFonts w:asciiTheme="minorBidi" w:hAnsiTheme="minorBidi" w:cstheme="minorBidi"/>
                <w:snapToGrid/>
                <w:color w:val="000000"/>
                <w:szCs w:val="22"/>
              </w:rPr>
            </w:pPr>
            <w:r>
              <w:rPr>
                <w:rFonts w:asciiTheme="minorBidi" w:eastAsia="Arial" w:hAnsiTheme="minorBidi" w:cstheme="minorBidi"/>
                <w:snapToGrid/>
                <w:color w:val="000000"/>
                <w:szCs w:val="22"/>
                <w:lang w:val="es"/>
              </w:rPr>
              <w:t>CSIRO, AIMS, CE H2020 EuroSea, COI</w:t>
            </w:r>
          </w:p>
        </w:tc>
        <w:tc>
          <w:tcPr>
            <w:tcW w:w="2127" w:type="dxa"/>
            <w:tcBorders>
              <w:top w:val="nil"/>
              <w:left w:val="nil"/>
              <w:bottom w:val="single" w:sz="8" w:space="0" w:color="000000"/>
              <w:right w:val="single" w:sz="12" w:space="0" w:color="000000"/>
            </w:tcBorders>
            <w:shd w:val="clear" w:color="auto" w:fill="auto"/>
            <w:hideMark/>
          </w:tcPr>
          <w:p w14:paraId="7C2ECCAC" w14:textId="77777777" w:rsidR="004429FB" w:rsidRPr="00C8507A" w:rsidRDefault="004429FB" w:rsidP="0068104A">
            <w:pPr>
              <w:tabs>
                <w:tab w:val="clear" w:pos="567"/>
              </w:tabs>
              <w:snapToGrid/>
              <w:rPr>
                <w:rFonts w:asciiTheme="minorBidi" w:hAnsiTheme="minorBidi" w:cstheme="minorBidi"/>
                <w:snapToGrid/>
                <w:color w:val="000000"/>
                <w:szCs w:val="22"/>
              </w:rPr>
            </w:pPr>
            <w:r>
              <w:rPr>
                <w:rFonts w:asciiTheme="minorBidi" w:eastAsia="Arial" w:hAnsiTheme="minorBidi" w:cstheme="minorBidi"/>
                <w:snapToGrid/>
                <w:color w:val="000000"/>
                <w:szCs w:val="22"/>
                <w:lang w:val="es"/>
              </w:rPr>
              <w:t>Hobart, Australia</w:t>
            </w:r>
          </w:p>
        </w:tc>
      </w:tr>
      <w:tr w:rsidR="0068104A" w:rsidRPr="00117356" w14:paraId="4037266D" w14:textId="77777777" w:rsidTr="0068104A">
        <w:trPr>
          <w:trHeight w:val="283"/>
          <w:jc w:val="center"/>
        </w:trPr>
        <w:tc>
          <w:tcPr>
            <w:tcW w:w="1970" w:type="dxa"/>
            <w:tcBorders>
              <w:top w:val="nil"/>
              <w:left w:val="single" w:sz="12" w:space="0" w:color="000000"/>
              <w:bottom w:val="single" w:sz="8" w:space="0" w:color="000000"/>
              <w:right w:val="single" w:sz="8" w:space="0" w:color="000000"/>
            </w:tcBorders>
            <w:shd w:val="clear" w:color="auto" w:fill="auto"/>
            <w:hideMark/>
          </w:tcPr>
          <w:p w14:paraId="786BE92B" w14:textId="10D77C9E" w:rsidR="004429FB" w:rsidRPr="00C8507A" w:rsidRDefault="0068104A" w:rsidP="0068104A">
            <w:pPr>
              <w:tabs>
                <w:tab w:val="clear" w:pos="567"/>
              </w:tabs>
              <w:snapToGrid/>
              <w:rPr>
                <w:rFonts w:asciiTheme="minorBidi" w:hAnsiTheme="minorBidi" w:cstheme="minorBidi"/>
                <w:snapToGrid/>
                <w:color w:val="000000"/>
                <w:szCs w:val="22"/>
              </w:rPr>
            </w:pPr>
            <w:r>
              <w:rPr>
                <w:rFonts w:asciiTheme="minorBidi" w:eastAsia="Arial" w:hAnsiTheme="minorBidi" w:cstheme="minorBidi"/>
                <w:snapToGrid/>
                <w:color w:val="000000"/>
                <w:szCs w:val="22"/>
                <w:lang w:val="es"/>
              </w:rPr>
              <w:t>Datos de BioEco (IODE/OBIS)</w:t>
            </w:r>
          </w:p>
        </w:tc>
        <w:tc>
          <w:tcPr>
            <w:tcW w:w="1685" w:type="dxa"/>
            <w:tcBorders>
              <w:top w:val="nil"/>
              <w:left w:val="nil"/>
              <w:bottom w:val="single" w:sz="8" w:space="0" w:color="000000"/>
              <w:right w:val="single" w:sz="8" w:space="0" w:color="000000"/>
            </w:tcBorders>
            <w:shd w:val="clear" w:color="auto" w:fill="auto"/>
            <w:hideMark/>
          </w:tcPr>
          <w:p w14:paraId="5EDD09DC" w14:textId="77777777" w:rsidR="004429FB" w:rsidRPr="00C8507A" w:rsidRDefault="004429FB" w:rsidP="0068104A">
            <w:pPr>
              <w:tabs>
                <w:tab w:val="clear" w:pos="567"/>
              </w:tabs>
              <w:snapToGrid/>
              <w:jc w:val="right"/>
              <w:rPr>
                <w:rFonts w:asciiTheme="minorBidi" w:hAnsiTheme="minorBidi" w:cstheme="minorBidi"/>
                <w:snapToGrid/>
                <w:color w:val="000000"/>
                <w:szCs w:val="22"/>
              </w:rPr>
            </w:pPr>
            <w:r>
              <w:rPr>
                <w:rFonts w:asciiTheme="minorBidi" w:eastAsia="Arial" w:hAnsiTheme="minorBidi" w:cstheme="minorBidi"/>
                <w:snapToGrid/>
                <w:color w:val="000000"/>
                <w:szCs w:val="22"/>
                <w:lang w:val="es"/>
              </w:rPr>
              <w:t>0.1</w:t>
            </w:r>
          </w:p>
        </w:tc>
        <w:tc>
          <w:tcPr>
            <w:tcW w:w="3134" w:type="dxa"/>
            <w:tcBorders>
              <w:top w:val="nil"/>
              <w:left w:val="nil"/>
              <w:bottom w:val="single" w:sz="8" w:space="0" w:color="000000"/>
              <w:right w:val="single" w:sz="8" w:space="0" w:color="000000"/>
            </w:tcBorders>
            <w:shd w:val="clear" w:color="auto" w:fill="auto"/>
            <w:hideMark/>
          </w:tcPr>
          <w:p w14:paraId="60D024D9" w14:textId="77777777" w:rsidR="004429FB" w:rsidRPr="00C8507A" w:rsidRDefault="004429FB" w:rsidP="0068104A">
            <w:pPr>
              <w:tabs>
                <w:tab w:val="clear" w:pos="567"/>
              </w:tabs>
              <w:snapToGrid/>
              <w:rPr>
                <w:rFonts w:asciiTheme="minorBidi" w:hAnsiTheme="minorBidi" w:cstheme="minorBidi"/>
                <w:snapToGrid/>
                <w:color w:val="000000"/>
                <w:szCs w:val="22"/>
              </w:rPr>
            </w:pPr>
            <w:r>
              <w:rPr>
                <w:rFonts w:asciiTheme="minorBidi" w:eastAsia="Arial" w:hAnsiTheme="minorBidi" w:cstheme="minorBidi"/>
                <w:snapToGrid/>
                <w:color w:val="000000"/>
                <w:szCs w:val="22"/>
                <w:lang w:val="es"/>
              </w:rPr>
              <w:t>COI</w:t>
            </w:r>
          </w:p>
        </w:tc>
        <w:tc>
          <w:tcPr>
            <w:tcW w:w="2127" w:type="dxa"/>
            <w:tcBorders>
              <w:top w:val="nil"/>
              <w:left w:val="nil"/>
              <w:bottom w:val="single" w:sz="8" w:space="0" w:color="000000"/>
              <w:right w:val="single" w:sz="12" w:space="0" w:color="000000"/>
            </w:tcBorders>
            <w:shd w:val="clear" w:color="auto" w:fill="auto"/>
            <w:hideMark/>
          </w:tcPr>
          <w:p w14:paraId="2C227033" w14:textId="77777777" w:rsidR="004429FB" w:rsidRPr="00C8507A" w:rsidRDefault="004429FB" w:rsidP="0068104A">
            <w:pPr>
              <w:tabs>
                <w:tab w:val="clear" w:pos="567"/>
              </w:tabs>
              <w:snapToGrid/>
              <w:rPr>
                <w:rFonts w:asciiTheme="minorBidi" w:hAnsiTheme="minorBidi" w:cstheme="minorBidi"/>
                <w:snapToGrid/>
                <w:color w:val="000000"/>
                <w:szCs w:val="22"/>
              </w:rPr>
            </w:pPr>
            <w:r>
              <w:rPr>
                <w:rFonts w:asciiTheme="minorBidi" w:eastAsia="Arial" w:hAnsiTheme="minorBidi" w:cstheme="minorBidi"/>
                <w:snapToGrid/>
                <w:color w:val="000000"/>
                <w:szCs w:val="22"/>
                <w:lang w:val="es"/>
              </w:rPr>
              <w:t>Ostende, Bélgica</w:t>
            </w:r>
          </w:p>
        </w:tc>
      </w:tr>
      <w:tr w:rsidR="0068104A" w:rsidRPr="00117356" w14:paraId="3E0B3605" w14:textId="77777777" w:rsidTr="0068104A">
        <w:trPr>
          <w:trHeight w:val="283"/>
          <w:jc w:val="center"/>
        </w:trPr>
        <w:tc>
          <w:tcPr>
            <w:tcW w:w="1970" w:type="dxa"/>
            <w:tcBorders>
              <w:top w:val="nil"/>
              <w:left w:val="single" w:sz="12" w:space="0" w:color="000000"/>
              <w:bottom w:val="single" w:sz="8" w:space="0" w:color="000000"/>
              <w:right w:val="single" w:sz="8" w:space="0" w:color="000000"/>
            </w:tcBorders>
            <w:shd w:val="clear" w:color="auto" w:fill="auto"/>
            <w:hideMark/>
          </w:tcPr>
          <w:p w14:paraId="1EC9EB88" w14:textId="77777777" w:rsidR="004429FB" w:rsidRPr="00C8507A" w:rsidRDefault="004429FB" w:rsidP="0068104A">
            <w:pPr>
              <w:tabs>
                <w:tab w:val="clear" w:pos="567"/>
              </w:tabs>
              <w:snapToGrid/>
              <w:rPr>
                <w:rFonts w:asciiTheme="minorBidi" w:hAnsiTheme="minorBidi" w:cstheme="minorBidi"/>
                <w:snapToGrid/>
                <w:color w:val="000000"/>
                <w:szCs w:val="22"/>
              </w:rPr>
            </w:pPr>
            <w:r>
              <w:rPr>
                <w:rFonts w:asciiTheme="minorBidi" w:eastAsia="Arial" w:hAnsiTheme="minorBidi" w:cstheme="minorBidi"/>
                <w:snapToGrid/>
                <w:color w:val="000000"/>
                <w:szCs w:val="22"/>
                <w:lang w:val="es"/>
              </w:rPr>
              <w:t>OCG</w:t>
            </w:r>
          </w:p>
        </w:tc>
        <w:tc>
          <w:tcPr>
            <w:tcW w:w="1685" w:type="dxa"/>
            <w:tcBorders>
              <w:top w:val="nil"/>
              <w:left w:val="nil"/>
              <w:bottom w:val="single" w:sz="8" w:space="0" w:color="000000"/>
              <w:right w:val="single" w:sz="8" w:space="0" w:color="000000"/>
            </w:tcBorders>
            <w:shd w:val="clear" w:color="auto" w:fill="auto"/>
            <w:hideMark/>
          </w:tcPr>
          <w:p w14:paraId="435D8245" w14:textId="77777777" w:rsidR="004429FB" w:rsidRPr="00C8507A" w:rsidRDefault="004429FB" w:rsidP="0068104A">
            <w:pPr>
              <w:tabs>
                <w:tab w:val="clear" w:pos="567"/>
              </w:tabs>
              <w:snapToGrid/>
              <w:jc w:val="right"/>
              <w:rPr>
                <w:rFonts w:asciiTheme="minorBidi" w:hAnsiTheme="minorBidi" w:cstheme="minorBidi"/>
                <w:snapToGrid/>
                <w:color w:val="000000"/>
                <w:szCs w:val="22"/>
              </w:rPr>
            </w:pPr>
            <w:r>
              <w:rPr>
                <w:rFonts w:asciiTheme="minorBidi" w:eastAsia="Arial" w:hAnsiTheme="minorBidi" w:cstheme="minorBidi"/>
                <w:snapToGrid/>
                <w:color w:val="000000"/>
                <w:szCs w:val="22"/>
                <w:lang w:val="es"/>
              </w:rPr>
              <w:t>0.65</w:t>
            </w:r>
          </w:p>
        </w:tc>
        <w:tc>
          <w:tcPr>
            <w:tcW w:w="3134" w:type="dxa"/>
            <w:tcBorders>
              <w:top w:val="nil"/>
              <w:left w:val="nil"/>
              <w:bottom w:val="single" w:sz="8" w:space="0" w:color="000000"/>
              <w:right w:val="single" w:sz="8" w:space="0" w:color="000000"/>
            </w:tcBorders>
            <w:shd w:val="clear" w:color="auto" w:fill="auto"/>
            <w:hideMark/>
          </w:tcPr>
          <w:p w14:paraId="755B5DF1" w14:textId="2168D0CD" w:rsidR="004429FB" w:rsidRPr="00C8507A" w:rsidRDefault="004429FB" w:rsidP="0068104A">
            <w:pPr>
              <w:tabs>
                <w:tab w:val="clear" w:pos="567"/>
              </w:tabs>
              <w:snapToGrid/>
              <w:rPr>
                <w:rFonts w:asciiTheme="minorBidi" w:hAnsiTheme="minorBidi" w:cstheme="minorBidi"/>
                <w:snapToGrid/>
                <w:color w:val="000000"/>
                <w:szCs w:val="22"/>
              </w:rPr>
            </w:pPr>
            <w:r>
              <w:rPr>
                <w:rFonts w:asciiTheme="minorBidi" w:eastAsia="Arial" w:hAnsiTheme="minorBidi" w:cstheme="minorBidi"/>
                <w:snapToGrid/>
                <w:color w:val="000000"/>
                <w:szCs w:val="22"/>
                <w:lang w:val="es"/>
              </w:rPr>
              <w:t>COI, OMM, NOAA EE.UU.</w:t>
            </w:r>
          </w:p>
        </w:tc>
        <w:tc>
          <w:tcPr>
            <w:tcW w:w="2127" w:type="dxa"/>
            <w:tcBorders>
              <w:top w:val="nil"/>
              <w:left w:val="nil"/>
              <w:bottom w:val="single" w:sz="8" w:space="0" w:color="000000"/>
              <w:right w:val="single" w:sz="12" w:space="0" w:color="000000"/>
            </w:tcBorders>
            <w:shd w:val="clear" w:color="auto" w:fill="auto"/>
            <w:hideMark/>
          </w:tcPr>
          <w:p w14:paraId="4D2FCE53" w14:textId="77777777" w:rsidR="004429FB" w:rsidRPr="00C8507A" w:rsidRDefault="004429FB" w:rsidP="0068104A">
            <w:pPr>
              <w:tabs>
                <w:tab w:val="clear" w:pos="567"/>
              </w:tabs>
              <w:snapToGrid/>
              <w:rPr>
                <w:rFonts w:asciiTheme="minorBidi" w:hAnsiTheme="minorBidi" w:cstheme="minorBidi"/>
                <w:snapToGrid/>
                <w:color w:val="000000"/>
                <w:szCs w:val="22"/>
              </w:rPr>
            </w:pPr>
            <w:r>
              <w:rPr>
                <w:rFonts w:asciiTheme="minorBidi" w:eastAsia="Arial" w:hAnsiTheme="minorBidi" w:cstheme="minorBidi"/>
                <w:snapToGrid/>
                <w:color w:val="000000"/>
                <w:szCs w:val="22"/>
                <w:lang w:val="es"/>
              </w:rPr>
              <w:t>París, Ginebra (OMM), Washington DC, Estados Unidos</w:t>
            </w:r>
          </w:p>
        </w:tc>
      </w:tr>
      <w:tr w:rsidR="0068104A" w:rsidRPr="00117356" w14:paraId="5B3BF1A5" w14:textId="77777777" w:rsidTr="0068104A">
        <w:trPr>
          <w:trHeight w:val="283"/>
          <w:jc w:val="center"/>
        </w:trPr>
        <w:tc>
          <w:tcPr>
            <w:tcW w:w="1970" w:type="dxa"/>
            <w:tcBorders>
              <w:top w:val="nil"/>
              <w:left w:val="single" w:sz="12" w:space="0" w:color="000000"/>
              <w:bottom w:val="single" w:sz="8" w:space="0" w:color="000000"/>
              <w:right w:val="single" w:sz="8" w:space="0" w:color="000000"/>
            </w:tcBorders>
            <w:shd w:val="clear" w:color="auto" w:fill="auto"/>
            <w:hideMark/>
          </w:tcPr>
          <w:p w14:paraId="4F243EEC" w14:textId="77777777" w:rsidR="004429FB" w:rsidRPr="00C8507A" w:rsidRDefault="004429FB" w:rsidP="0068104A">
            <w:pPr>
              <w:tabs>
                <w:tab w:val="clear" w:pos="567"/>
              </w:tabs>
              <w:snapToGrid/>
              <w:rPr>
                <w:rFonts w:asciiTheme="minorBidi" w:hAnsiTheme="minorBidi" w:cstheme="minorBidi"/>
                <w:snapToGrid/>
                <w:color w:val="000000"/>
                <w:szCs w:val="22"/>
              </w:rPr>
            </w:pPr>
            <w:r>
              <w:rPr>
                <w:rFonts w:asciiTheme="minorBidi" w:eastAsia="Arial" w:hAnsiTheme="minorBidi" w:cstheme="minorBidi"/>
                <w:snapToGrid/>
                <w:color w:val="000000"/>
                <w:szCs w:val="22"/>
                <w:lang w:val="es"/>
              </w:rPr>
              <w:t>Redes</w:t>
            </w:r>
          </w:p>
        </w:tc>
        <w:tc>
          <w:tcPr>
            <w:tcW w:w="1685" w:type="dxa"/>
            <w:tcBorders>
              <w:top w:val="nil"/>
              <w:left w:val="nil"/>
              <w:bottom w:val="single" w:sz="8" w:space="0" w:color="000000"/>
              <w:right w:val="single" w:sz="8" w:space="0" w:color="000000"/>
            </w:tcBorders>
            <w:shd w:val="clear" w:color="auto" w:fill="auto"/>
            <w:hideMark/>
          </w:tcPr>
          <w:p w14:paraId="3C8ECD29" w14:textId="77777777" w:rsidR="004429FB" w:rsidRPr="00C8507A" w:rsidRDefault="004429FB" w:rsidP="0068104A">
            <w:pPr>
              <w:tabs>
                <w:tab w:val="clear" w:pos="567"/>
              </w:tabs>
              <w:snapToGrid/>
              <w:jc w:val="right"/>
              <w:rPr>
                <w:rFonts w:asciiTheme="minorBidi" w:hAnsiTheme="minorBidi" w:cstheme="minorBidi"/>
                <w:snapToGrid/>
                <w:color w:val="000000"/>
                <w:szCs w:val="22"/>
              </w:rPr>
            </w:pPr>
            <w:r>
              <w:rPr>
                <w:rFonts w:asciiTheme="minorBidi" w:eastAsia="Arial" w:hAnsiTheme="minorBidi" w:cstheme="minorBidi"/>
                <w:snapToGrid/>
                <w:color w:val="000000"/>
                <w:szCs w:val="22"/>
                <w:lang w:val="es"/>
              </w:rPr>
              <w:t>0.35</w:t>
            </w:r>
          </w:p>
        </w:tc>
        <w:tc>
          <w:tcPr>
            <w:tcW w:w="3134" w:type="dxa"/>
            <w:tcBorders>
              <w:top w:val="nil"/>
              <w:left w:val="nil"/>
              <w:bottom w:val="single" w:sz="8" w:space="0" w:color="000000"/>
              <w:right w:val="single" w:sz="8" w:space="0" w:color="000000"/>
            </w:tcBorders>
            <w:shd w:val="clear" w:color="auto" w:fill="auto"/>
            <w:hideMark/>
          </w:tcPr>
          <w:p w14:paraId="4D61672D" w14:textId="77777777" w:rsidR="004429FB" w:rsidRPr="00C8507A" w:rsidRDefault="004429FB" w:rsidP="0068104A">
            <w:pPr>
              <w:tabs>
                <w:tab w:val="clear" w:pos="567"/>
              </w:tabs>
              <w:snapToGrid/>
              <w:rPr>
                <w:rFonts w:asciiTheme="minorBidi" w:hAnsiTheme="minorBidi" w:cstheme="minorBidi"/>
                <w:snapToGrid/>
                <w:color w:val="000000"/>
                <w:szCs w:val="22"/>
              </w:rPr>
            </w:pPr>
            <w:r>
              <w:rPr>
                <w:rFonts w:asciiTheme="minorBidi" w:eastAsia="Arial" w:hAnsiTheme="minorBidi" w:cstheme="minorBidi"/>
                <w:snapToGrid/>
                <w:color w:val="000000"/>
                <w:szCs w:val="22"/>
                <w:lang w:val="es"/>
              </w:rPr>
              <w:t>COI, OMM</w:t>
            </w:r>
          </w:p>
        </w:tc>
        <w:tc>
          <w:tcPr>
            <w:tcW w:w="2127" w:type="dxa"/>
            <w:tcBorders>
              <w:top w:val="nil"/>
              <w:left w:val="nil"/>
              <w:bottom w:val="single" w:sz="8" w:space="0" w:color="000000"/>
              <w:right w:val="single" w:sz="12" w:space="0" w:color="000000"/>
            </w:tcBorders>
            <w:shd w:val="clear" w:color="auto" w:fill="auto"/>
            <w:hideMark/>
          </w:tcPr>
          <w:p w14:paraId="2CBFF58D" w14:textId="77777777" w:rsidR="004429FB" w:rsidRPr="00C8507A" w:rsidRDefault="004429FB" w:rsidP="0068104A">
            <w:pPr>
              <w:tabs>
                <w:tab w:val="clear" w:pos="567"/>
              </w:tabs>
              <w:snapToGrid/>
              <w:rPr>
                <w:rFonts w:asciiTheme="minorBidi" w:hAnsiTheme="minorBidi" w:cstheme="minorBidi"/>
                <w:snapToGrid/>
                <w:color w:val="000000"/>
                <w:szCs w:val="22"/>
              </w:rPr>
            </w:pPr>
            <w:r>
              <w:rPr>
                <w:rFonts w:asciiTheme="minorBidi" w:eastAsia="Arial" w:hAnsiTheme="minorBidi" w:cstheme="minorBidi"/>
                <w:snapToGrid/>
                <w:color w:val="000000"/>
                <w:szCs w:val="22"/>
                <w:lang w:val="es"/>
              </w:rPr>
              <w:t>París, Ginebra (OMM)</w:t>
            </w:r>
          </w:p>
        </w:tc>
      </w:tr>
      <w:tr w:rsidR="0068104A" w:rsidRPr="00117356" w14:paraId="7459BBD2" w14:textId="77777777" w:rsidTr="0068104A">
        <w:trPr>
          <w:trHeight w:val="283"/>
          <w:jc w:val="center"/>
        </w:trPr>
        <w:tc>
          <w:tcPr>
            <w:tcW w:w="1970" w:type="dxa"/>
            <w:tcBorders>
              <w:top w:val="nil"/>
              <w:left w:val="single" w:sz="12" w:space="0" w:color="000000"/>
              <w:bottom w:val="single" w:sz="8" w:space="0" w:color="000000"/>
              <w:right w:val="single" w:sz="8" w:space="0" w:color="000000"/>
            </w:tcBorders>
            <w:shd w:val="clear" w:color="auto" w:fill="auto"/>
            <w:hideMark/>
          </w:tcPr>
          <w:p w14:paraId="25B23576" w14:textId="77777777" w:rsidR="004429FB" w:rsidRPr="00C8507A" w:rsidRDefault="004429FB" w:rsidP="0068104A">
            <w:pPr>
              <w:tabs>
                <w:tab w:val="clear" w:pos="567"/>
              </w:tabs>
              <w:snapToGrid/>
              <w:rPr>
                <w:rFonts w:asciiTheme="minorBidi" w:hAnsiTheme="minorBidi" w:cstheme="minorBidi"/>
                <w:snapToGrid/>
                <w:color w:val="000000"/>
                <w:szCs w:val="22"/>
              </w:rPr>
            </w:pPr>
            <w:r>
              <w:rPr>
                <w:rFonts w:asciiTheme="minorBidi" w:eastAsia="Arial" w:hAnsiTheme="minorBidi" w:cstheme="minorBidi"/>
                <w:snapToGrid/>
                <w:color w:val="000000"/>
                <w:szCs w:val="22"/>
                <w:lang w:val="es"/>
              </w:rPr>
              <w:t>OceanOPS</w:t>
            </w:r>
          </w:p>
        </w:tc>
        <w:tc>
          <w:tcPr>
            <w:tcW w:w="1685" w:type="dxa"/>
            <w:tcBorders>
              <w:top w:val="nil"/>
              <w:left w:val="nil"/>
              <w:bottom w:val="single" w:sz="8" w:space="0" w:color="000000"/>
              <w:right w:val="single" w:sz="8" w:space="0" w:color="000000"/>
            </w:tcBorders>
            <w:shd w:val="clear" w:color="auto" w:fill="auto"/>
            <w:hideMark/>
          </w:tcPr>
          <w:p w14:paraId="40B9C6A2" w14:textId="77777777" w:rsidR="004429FB" w:rsidRPr="00C8507A" w:rsidRDefault="004429FB" w:rsidP="0068104A">
            <w:pPr>
              <w:tabs>
                <w:tab w:val="clear" w:pos="567"/>
              </w:tabs>
              <w:snapToGrid/>
              <w:jc w:val="right"/>
              <w:rPr>
                <w:rFonts w:asciiTheme="minorBidi" w:hAnsiTheme="minorBidi" w:cstheme="minorBidi"/>
                <w:snapToGrid/>
                <w:color w:val="000000"/>
                <w:szCs w:val="22"/>
              </w:rPr>
            </w:pPr>
            <w:r>
              <w:rPr>
                <w:rFonts w:asciiTheme="minorBidi" w:eastAsia="Arial" w:hAnsiTheme="minorBidi" w:cstheme="minorBidi"/>
                <w:snapToGrid/>
                <w:color w:val="000000"/>
                <w:szCs w:val="22"/>
                <w:lang w:val="es"/>
              </w:rPr>
              <w:t>6</w:t>
            </w:r>
          </w:p>
        </w:tc>
        <w:tc>
          <w:tcPr>
            <w:tcW w:w="3134" w:type="dxa"/>
            <w:tcBorders>
              <w:top w:val="nil"/>
              <w:left w:val="nil"/>
              <w:bottom w:val="single" w:sz="8" w:space="0" w:color="000000"/>
              <w:right w:val="single" w:sz="8" w:space="0" w:color="000000"/>
            </w:tcBorders>
            <w:shd w:val="clear" w:color="auto" w:fill="auto"/>
            <w:hideMark/>
          </w:tcPr>
          <w:p w14:paraId="32061BBB" w14:textId="5604ECAC" w:rsidR="004429FB" w:rsidRPr="00C8507A" w:rsidRDefault="004429FB" w:rsidP="0068104A">
            <w:pPr>
              <w:tabs>
                <w:tab w:val="clear" w:pos="567"/>
              </w:tabs>
              <w:snapToGrid/>
              <w:rPr>
                <w:rFonts w:asciiTheme="minorBidi" w:hAnsiTheme="minorBidi" w:cstheme="minorBidi"/>
                <w:snapToGrid/>
                <w:color w:val="000000"/>
                <w:szCs w:val="22"/>
              </w:rPr>
            </w:pPr>
            <w:r>
              <w:rPr>
                <w:rFonts w:asciiTheme="minorBidi" w:eastAsia="Arial" w:hAnsiTheme="minorBidi" w:cstheme="minorBidi"/>
                <w:snapToGrid/>
                <w:color w:val="000000"/>
                <w:szCs w:val="22"/>
                <w:lang w:val="es"/>
              </w:rPr>
              <w:t>Contribuciones nacionales de Estados Unidos (68 %), Mónaco, la UE, Francia, Australia, Canadá, China, Alemania, Japón, Italia, India y Sudáfrica. Cierto apoyo de la COI y nuevo de la OMM en 2021.</w:t>
            </w:r>
          </w:p>
        </w:tc>
        <w:tc>
          <w:tcPr>
            <w:tcW w:w="2127" w:type="dxa"/>
            <w:tcBorders>
              <w:top w:val="nil"/>
              <w:left w:val="nil"/>
              <w:bottom w:val="single" w:sz="8" w:space="0" w:color="000000"/>
              <w:right w:val="single" w:sz="12" w:space="0" w:color="000000"/>
            </w:tcBorders>
            <w:shd w:val="clear" w:color="auto" w:fill="auto"/>
            <w:hideMark/>
          </w:tcPr>
          <w:p w14:paraId="2F629779" w14:textId="77777777" w:rsidR="004429FB" w:rsidRPr="00C8507A" w:rsidRDefault="004429FB" w:rsidP="0068104A">
            <w:pPr>
              <w:tabs>
                <w:tab w:val="clear" w:pos="567"/>
              </w:tabs>
              <w:snapToGrid/>
              <w:rPr>
                <w:rFonts w:asciiTheme="minorBidi" w:hAnsiTheme="minorBidi" w:cstheme="minorBidi"/>
                <w:snapToGrid/>
                <w:color w:val="000000"/>
                <w:szCs w:val="22"/>
              </w:rPr>
            </w:pPr>
            <w:r>
              <w:rPr>
                <w:rFonts w:asciiTheme="minorBidi" w:eastAsia="Arial" w:hAnsiTheme="minorBidi" w:cstheme="minorBidi"/>
                <w:snapToGrid/>
                <w:color w:val="000000"/>
                <w:szCs w:val="22"/>
                <w:lang w:val="es"/>
              </w:rPr>
              <w:t>Brest, Francia</w:t>
            </w:r>
          </w:p>
        </w:tc>
      </w:tr>
      <w:tr w:rsidR="0068104A" w:rsidRPr="00117356" w14:paraId="0FB829F4" w14:textId="77777777" w:rsidTr="0068104A">
        <w:trPr>
          <w:trHeight w:val="283"/>
          <w:jc w:val="center"/>
        </w:trPr>
        <w:tc>
          <w:tcPr>
            <w:tcW w:w="1970" w:type="dxa"/>
            <w:tcBorders>
              <w:top w:val="nil"/>
              <w:left w:val="single" w:sz="12" w:space="0" w:color="000000"/>
              <w:bottom w:val="single" w:sz="8" w:space="0" w:color="000000"/>
              <w:right w:val="single" w:sz="8" w:space="0" w:color="000000"/>
            </w:tcBorders>
            <w:shd w:val="clear" w:color="auto" w:fill="auto"/>
            <w:hideMark/>
          </w:tcPr>
          <w:p w14:paraId="31875057" w14:textId="77777777" w:rsidR="004429FB" w:rsidRPr="00C8507A" w:rsidRDefault="004429FB" w:rsidP="0068104A">
            <w:pPr>
              <w:tabs>
                <w:tab w:val="clear" w:pos="567"/>
              </w:tabs>
              <w:snapToGrid/>
              <w:rPr>
                <w:rFonts w:asciiTheme="minorBidi" w:hAnsiTheme="minorBidi" w:cstheme="minorBidi"/>
                <w:snapToGrid/>
                <w:color w:val="000000"/>
                <w:szCs w:val="22"/>
              </w:rPr>
            </w:pPr>
            <w:r>
              <w:rPr>
                <w:rFonts w:asciiTheme="minorBidi" w:eastAsia="Arial" w:hAnsiTheme="minorBidi" w:cstheme="minorBidi"/>
                <w:snapToGrid/>
                <w:color w:val="000000"/>
                <w:szCs w:val="22"/>
                <w:lang w:val="es"/>
              </w:rPr>
              <w:t>ETOOFS</w:t>
            </w:r>
          </w:p>
        </w:tc>
        <w:tc>
          <w:tcPr>
            <w:tcW w:w="1685" w:type="dxa"/>
            <w:tcBorders>
              <w:top w:val="nil"/>
              <w:left w:val="nil"/>
              <w:bottom w:val="single" w:sz="8" w:space="0" w:color="000000"/>
              <w:right w:val="single" w:sz="8" w:space="0" w:color="000000"/>
            </w:tcBorders>
            <w:shd w:val="clear" w:color="auto" w:fill="auto"/>
            <w:hideMark/>
          </w:tcPr>
          <w:p w14:paraId="2F21E68F" w14:textId="77777777" w:rsidR="004429FB" w:rsidRPr="00C8507A" w:rsidRDefault="004429FB" w:rsidP="0068104A">
            <w:pPr>
              <w:tabs>
                <w:tab w:val="clear" w:pos="567"/>
              </w:tabs>
              <w:snapToGrid/>
              <w:jc w:val="right"/>
              <w:rPr>
                <w:rFonts w:asciiTheme="minorBidi" w:hAnsiTheme="minorBidi" w:cstheme="minorBidi"/>
                <w:snapToGrid/>
                <w:color w:val="000000"/>
                <w:szCs w:val="22"/>
              </w:rPr>
            </w:pPr>
            <w:r>
              <w:rPr>
                <w:rFonts w:asciiTheme="minorBidi" w:eastAsia="Arial" w:hAnsiTheme="minorBidi" w:cstheme="minorBidi"/>
                <w:snapToGrid/>
                <w:color w:val="000000"/>
                <w:szCs w:val="22"/>
                <w:lang w:val="es"/>
              </w:rPr>
              <w:t>0.25</w:t>
            </w:r>
          </w:p>
        </w:tc>
        <w:tc>
          <w:tcPr>
            <w:tcW w:w="3134" w:type="dxa"/>
            <w:tcBorders>
              <w:top w:val="nil"/>
              <w:left w:val="nil"/>
              <w:bottom w:val="single" w:sz="8" w:space="0" w:color="000000"/>
              <w:right w:val="single" w:sz="8" w:space="0" w:color="000000"/>
            </w:tcBorders>
            <w:shd w:val="clear" w:color="auto" w:fill="auto"/>
            <w:hideMark/>
          </w:tcPr>
          <w:p w14:paraId="4296C455" w14:textId="77777777" w:rsidR="004429FB" w:rsidRPr="00C8507A" w:rsidRDefault="004429FB" w:rsidP="0068104A">
            <w:pPr>
              <w:tabs>
                <w:tab w:val="clear" w:pos="567"/>
              </w:tabs>
              <w:snapToGrid/>
              <w:rPr>
                <w:rFonts w:asciiTheme="minorBidi" w:hAnsiTheme="minorBidi" w:cstheme="minorBidi"/>
                <w:snapToGrid/>
                <w:color w:val="000000"/>
                <w:szCs w:val="22"/>
              </w:rPr>
            </w:pPr>
            <w:r>
              <w:rPr>
                <w:rFonts w:asciiTheme="minorBidi" w:eastAsia="Arial" w:hAnsiTheme="minorBidi" w:cstheme="minorBidi"/>
                <w:snapToGrid/>
                <w:color w:val="000000"/>
                <w:szCs w:val="22"/>
                <w:lang w:val="es"/>
              </w:rPr>
              <w:t>COI</w:t>
            </w:r>
          </w:p>
        </w:tc>
        <w:tc>
          <w:tcPr>
            <w:tcW w:w="2127" w:type="dxa"/>
            <w:tcBorders>
              <w:top w:val="nil"/>
              <w:left w:val="nil"/>
              <w:bottom w:val="single" w:sz="8" w:space="0" w:color="000000"/>
              <w:right w:val="single" w:sz="12" w:space="0" w:color="000000"/>
            </w:tcBorders>
            <w:shd w:val="clear" w:color="auto" w:fill="auto"/>
            <w:hideMark/>
          </w:tcPr>
          <w:p w14:paraId="2CF6B630" w14:textId="77777777" w:rsidR="004429FB" w:rsidRPr="00C8507A" w:rsidRDefault="004429FB" w:rsidP="0068104A">
            <w:pPr>
              <w:tabs>
                <w:tab w:val="clear" w:pos="567"/>
              </w:tabs>
              <w:snapToGrid/>
              <w:rPr>
                <w:rFonts w:asciiTheme="minorBidi" w:hAnsiTheme="minorBidi" w:cstheme="minorBidi"/>
                <w:snapToGrid/>
                <w:color w:val="000000"/>
                <w:szCs w:val="22"/>
              </w:rPr>
            </w:pPr>
            <w:r>
              <w:rPr>
                <w:rFonts w:asciiTheme="minorBidi" w:eastAsia="Arial" w:hAnsiTheme="minorBidi" w:cstheme="minorBidi"/>
                <w:snapToGrid/>
                <w:color w:val="000000"/>
                <w:szCs w:val="22"/>
                <w:lang w:val="es"/>
              </w:rPr>
              <w:t>París, Francia</w:t>
            </w:r>
          </w:p>
        </w:tc>
      </w:tr>
      <w:tr w:rsidR="0068104A" w:rsidRPr="00117356" w14:paraId="4A04A9E5" w14:textId="77777777" w:rsidTr="0068104A">
        <w:trPr>
          <w:trHeight w:val="283"/>
          <w:jc w:val="center"/>
        </w:trPr>
        <w:tc>
          <w:tcPr>
            <w:tcW w:w="1970" w:type="dxa"/>
            <w:tcBorders>
              <w:top w:val="nil"/>
              <w:left w:val="single" w:sz="12" w:space="0" w:color="000000"/>
              <w:bottom w:val="single" w:sz="12" w:space="0" w:color="000000"/>
              <w:right w:val="single" w:sz="8" w:space="0" w:color="000000"/>
            </w:tcBorders>
            <w:shd w:val="clear" w:color="auto" w:fill="auto"/>
            <w:hideMark/>
          </w:tcPr>
          <w:p w14:paraId="272E394D" w14:textId="77777777" w:rsidR="004429FB" w:rsidRPr="00C8507A" w:rsidRDefault="004429FB" w:rsidP="0068104A">
            <w:pPr>
              <w:tabs>
                <w:tab w:val="clear" w:pos="567"/>
              </w:tabs>
              <w:snapToGrid/>
              <w:rPr>
                <w:rFonts w:asciiTheme="minorBidi" w:hAnsiTheme="minorBidi" w:cstheme="minorBidi"/>
                <w:snapToGrid/>
                <w:color w:val="000000"/>
                <w:szCs w:val="22"/>
              </w:rPr>
            </w:pPr>
            <w:r>
              <w:rPr>
                <w:rFonts w:asciiTheme="minorBidi" w:eastAsia="Arial" w:hAnsiTheme="minorBidi" w:cstheme="minorBidi"/>
                <w:snapToGrid/>
                <w:color w:val="000000"/>
                <w:szCs w:val="22"/>
                <w:lang w:val="es"/>
              </w:rPr>
              <w:t>GRA</w:t>
            </w:r>
          </w:p>
        </w:tc>
        <w:tc>
          <w:tcPr>
            <w:tcW w:w="1685" w:type="dxa"/>
            <w:tcBorders>
              <w:top w:val="nil"/>
              <w:left w:val="nil"/>
              <w:bottom w:val="single" w:sz="12" w:space="0" w:color="000000"/>
              <w:right w:val="single" w:sz="8" w:space="0" w:color="000000"/>
            </w:tcBorders>
            <w:shd w:val="clear" w:color="auto" w:fill="auto"/>
            <w:hideMark/>
          </w:tcPr>
          <w:p w14:paraId="335919A3" w14:textId="77777777" w:rsidR="004429FB" w:rsidRPr="00C8507A" w:rsidRDefault="004429FB" w:rsidP="0068104A">
            <w:pPr>
              <w:tabs>
                <w:tab w:val="clear" w:pos="567"/>
              </w:tabs>
              <w:snapToGrid/>
              <w:jc w:val="right"/>
              <w:rPr>
                <w:rFonts w:asciiTheme="minorBidi" w:hAnsiTheme="minorBidi" w:cstheme="minorBidi"/>
                <w:snapToGrid/>
                <w:color w:val="000000"/>
                <w:szCs w:val="22"/>
              </w:rPr>
            </w:pPr>
            <w:r>
              <w:rPr>
                <w:rFonts w:asciiTheme="minorBidi" w:eastAsia="Arial" w:hAnsiTheme="minorBidi" w:cstheme="minorBidi"/>
                <w:snapToGrid/>
                <w:color w:val="000000"/>
                <w:szCs w:val="22"/>
                <w:lang w:val="es"/>
              </w:rPr>
              <w:t>0.25</w:t>
            </w:r>
          </w:p>
        </w:tc>
        <w:tc>
          <w:tcPr>
            <w:tcW w:w="3134" w:type="dxa"/>
            <w:tcBorders>
              <w:top w:val="nil"/>
              <w:left w:val="nil"/>
              <w:bottom w:val="single" w:sz="12" w:space="0" w:color="000000"/>
              <w:right w:val="single" w:sz="8" w:space="0" w:color="000000"/>
            </w:tcBorders>
            <w:shd w:val="clear" w:color="auto" w:fill="auto"/>
            <w:hideMark/>
          </w:tcPr>
          <w:p w14:paraId="7C3953CF" w14:textId="77777777" w:rsidR="004429FB" w:rsidRPr="00C8507A" w:rsidRDefault="004429FB" w:rsidP="0068104A">
            <w:pPr>
              <w:tabs>
                <w:tab w:val="clear" w:pos="567"/>
              </w:tabs>
              <w:snapToGrid/>
              <w:rPr>
                <w:rFonts w:asciiTheme="minorBidi" w:hAnsiTheme="minorBidi" w:cstheme="minorBidi"/>
                <w:snapToGrid/>
                <w:color w:val="000000"/>
                <w:szCs w:val="22"/>
              </w:rPr>
            </w:pPr>
            <w:r>
              <w:rPr>
                <w:rFonts w:asciiTheme="minorBidi" w:eastAsia="Arial" w:hAnsiTheme="minorBidi" w:cstheme="minorBidi"/>
                <w:snapToGrid/>
                <w:color w:val="000000"/>
                <w:szCs w:val="22"/>
                <w:lang w:val="es"/>
              </w:rPr>
              <w:t>COI</w:t>
            </w:r>
          </w:p>
        </w:tc>
        <w:tc>
          <w:tcPr>
            <w:tcW w:w="2127" w:type="dxa"/>
            <w:tcBorders>
              <w:top w:val="nil"/>
              <w:left w:val="nil"/>
              <w:bottom w:val="single" w:sz="12" w:space="0" w:color="000000"/>
              <w:right w:val="single" w:sz="12" w:space="0" w:color="000000"/>
            </w:tcBorders>
            <w:shd w:val="clear" w:color="auto" w:fill="auto"/>
            <w:hideMark/>
          </w:tcPr>
          <w:p w14:paraId="3E5124FC" w14:textId="77777777" w:rsidR="004429FB" w:rsidRPr="00C8507A" w:rsidRDefault="004429FB" w:rsidP="0068104A">
            <w:pPr>
              <w:tabs>
                <w:tab w:val="clear" w:pos="567"/>
              </w:tabs>
              <w:snapToGrid/>
              <w:rPr>
                <w:rFonts w:asciiTheme="minorBidi" w:hAnsiTheme="minorBidi" w:cstheme="minorBidi"/>
                <w:snapToGrid/>
                <w:color w:val="000000"/>
                <w:szCs w:val="22"/>
              </w:rPr>
            </w:pPr>
            <w:r>
              <w:rPr>
                <w:rFonts w:asciiTheme="minorBidi" w:eastAsia="Arial" w:hAnsiTheme="minorBidi" w:cstheme="minorBidi"/>
                <w:snapToGrid/>
                <w:color w:val="000000"/>
                <w:szCs w:val="22"/>
                <w:lang w:val="es"/>
              </w:rPr>
              <w:t>París, Francia</w:t>
            </w:r>
          </w:p>
        </w:tc>
      </w:tr>
      <w:tr w:rsidR="0068104A" w:rsidRPr="00117356" w14:paraId="4250BF04" w14:textId="77777777" w:rsidTr="0068104A">
        <w:trPr>
          <w:trHeight w:val="283"/>
          <w:jc w:val="center"/>
        </w:trPr>
        <w:tc>
          <w:tcPr>
            <w:tcW w:w="1970" w:type="dxa"/>
            <w:tcBorders>
              <w:top w:val="nil"/>
              <w:left w:val="single" w:sz="12" w:space="0" w:color="000000"/>
              <w:bottom w:val="single" w:sz="12" w:space="0" w:color="000000"/>
              <w:right w:val="single" w:sz="8" w:space="0" w:color="000000"/>
            </w:tcBorders>
            <w:shd w:val="clear" w:color="auto" w:fill="auto"/>
            <w:hideMark/>
          </w:tcPr>
          <w:p w14:paraId="2FF68192" w14:textId="77777777" w:rsidR="004429FB" w:rsidRPr="00C8507A" w:rsidRDefault="004429FB" w:rsidP="0068104A">
            <w:pPr>
              <w:tabs>
                <w:tab w:val="clear" w:pos="567"/>
              </w:tabs>
              <w:snapToGrid/>
              <w:rPr>
                <w:rFonts w:asciiTheme="minorBidi" w:hAnsiTheme="minorBidi" w:cstheme="minorBidi"/>
                <w:b/>
                <w:bCs/>
                <w:snapToGrid/>
                <w:color w:val="000000"/>
                <w:szCs w:val="22"/>
              </w:rPr>
            </w:pPr>
            <w:r>
              <w:rPr>
                <w:rFonts w:asciiTheme="minorBidi" w:hAnsiTheme="minorBidi" w:cstheme="minorBidi"/>
                <w:b/>
                <w:bCs/>
                <w:snapToGrid/>
                <w:color w:val="000000"/>
                <w:szCs w:val="22"/>
                <w:lang w:val="es"/>
              </w:rPr>
              <w:t>Total</w:t>
            </w:r>
          </w:p>
        </w:tc>
        <w:tc>
          <w:tcPr>
            <w:tcW w:w="1685" w:type="dxa"/>
            <w:tcBorders>
              <w:top w:val="nil"/>
              <w:left w:val="nil"/>
              <w:bottom w:val="single" w:sz="12" w:space="0" w:color="000000"/>
              <w:right w:val="single" w:sz="8" w:space="0" w:color="000000"/>
            </w:tcBorders>
            <w:shd w:val="clear" w:color="auto" w:fill="auto"/>
            <w:hideMark/>
          </w:tcPr>
          <w:p w14:paraId="1ED58D8A" w14:textId="77777777" w:rsidR="004429FB" w:rsidRPr="00C8507A" w:rsidRDefault="004429FB" w:rsidP="0068104A">
            <w:pPr>
              <w:tabs>
                <w:tab w:val="clear" w:pos="567"/>
              </w:tabs>
              <w:snapToGrid/>
              <w:jc w:val="right"/>
              <w:rPr>
                <w:rFonts w:asciiTheme="minorBidi" w:hAnsiTheme="minorBidi" w:cstheme="minorBidi"/>
                <w:b/>
                <w:bCs/>
                <w:snapToGrid/>
                <w:color w:val="000000"/>
                <w:szCs w:val="22"/>
              </w:rPr>
            </w:pPr>
            <w:r>
              <w:rPr>
                <w:rFonts w:asciiTheme="minorBidi" w:eastAsia="Arial" w:hAnsiTheme="minorBidi" w:cstheme="minorBidi"/>
                <w:b/>
                <w:bCs/>
                <w:snapToGrid/>
                <w:color w:val="000000"/>
                <w:szCs w:val="22"/>
                <w:lang w:val="es"/>
              </w:rPr>
              <w:t>14.25</w:t>
            </w:r>
          </w:p>
        </w:tc>
        <w:tc>
          <w:tcPr>
            <w:tcW w:w="3134" w:type="dxa"/>
            <w:tcBorders>
              <w:top w:val="single" w:sz="12" w:space="0" w:color="000000"/>
              <w:left w:val="nil"/>
            </w:tcBorders>
            <w:shd w:val="clear" w:color="auto" w:fill="auto"/>
            <w:hideMark/>
          </w:tcPr>
          <w:p w14:paraId="01A3B643" w14:textId="77777777" w:rsidR="004429FB" w:rsidRPr="00C8507A" w:rsidRDefault="004429FB" w:rsidP="0068104A">
            <w:pPr>
              <w:tabs>
                <w:tab w:val="clear" w:pos="567"/>
              </w:tabs>
              <w:snapToGrid/>
              <w:rPr>
                <w:rFonts w:asciiTheme="minorBidi" w:hAnsiTheme="minorBidi" w:cstheme="minorBidi"/>
                <w:snapToGrid/>
                <w:color w:val="000000"/>
                <w:szCs w:val="22"/>
              </w:rPr>
            </w:pPr>
            <w:r>
              <w:rPr>
                <w:rFonts w:asciiTheme="minorBidi" w:hAnsiTheme="minorBidi" w:cstheme="minorBidi"/>
                <w:snapToGrid/>
                <w:color w:val="000000"/>
                <w:szCs w:val="22"/>
                <w:lang w:val="es"/>
              </w:rPr>
              <w:t> </w:t>
            </w:r>
          </w:p>
        </w:tc>
        <w:tc>
          <w:tcPr>
            <w:tcW w:w="2127" w:type="dxa"/>
            <w:tcBorders>
              <w:top w:val="single" w:sz="12" w:space="0" w:color="000000"/>
            </w:tcBorders>
            <w:shd w:val="clear" w:color="auto" w:fill="auto"/>
            <w:hideMark/>
          </w:tcPr>
          <w:p w14:paraId="0093D4A0" w14:textId="77777777" w:rsidR="004429FB" w:rsidRPr="00C8507A" w:rsidRDefault="004429FB" w:rsidP="0068104A">
            <w:pPr>
              <w:tabs>
                <w:tab w:val="clear" w:pos="567"/>
              </w:tabs>
              <w:snapToGrid/>
              <w:rPr>
                <w:rFonts w:asciiTheme="minorBidi" w:hAnsiTheme="minorBidi" w:cstheme="minorBidi"/>
                <w:snapToGrid/>
                <w:color w:val="000000"/>
                <w:szCs w:val="22"/>
              </w:rPr>
            </w:pPr>
            <w:r>
              <w:rPr>
                <w:rFonts w:asciiTheme="minorBidi" w:hAnsiTheme="minorBidi" w:cstheme="minorBidi"/>
                <w:snapToGrid/>
                <w:color w:val="000000"/>
                <w:szCs w:val="22"/>
                <w:lang w:val="es"/>
              </w:rPr>
              <w:t> </w:t>
            </w:r>
          </w:p>
        </w:tc>
      </w:tr>
    </w:tbl>
    <w:p w14:paraId="18A29E49" w14:textId="15910506" w:rsidR="005B5174" w:rsidRPr="007525A8" w:rsidRDefault="00E2260D" w:rsidP="00FC0794">
      <w:pPr>
        <w:pStyle w:val="COI"/>
        <w:spacing w:before="240"/>
      </w:pPr>
      <w:r>
        <w:rPr>
          <w:bCs w:val="0"/>
          <w:lang w:val="es"/>
        </w:rPr>
        <w:t xml:space="preserve">Para lograr la plena ambición y el impacto de las acciones identificadas en el apartado 5 anterior, sin priorizar, será necesario duplicar con creces este apoyo de personal a medio plazo de unos tres años. La experiencia acumulada a lo largo del tiempo con una oficina del GOOS distribuida, y la gran experimentación del trabajo a distancia en el último año, demuestran que parte de este apoyo podría trabajar a distancia desde cualquier lugar. Esto abre la posibilidad de prestar apoyo en especie y en el país para apoyar los proyectos. Concentrar el apoyo en algunos centros para crear sinergias tiene sus ventajas, y el núcleo de coordinación general tendrá que ser un centro fuerte para garantizar un propósito común y una ejecución coordinada en otros centros y radios de actividad, aprovechando el esfuerzo voluntario de los expertos que participan en el GOOS. </w:t>
      </w:r>
    </w:p>
    <w:p w14:paraId="2DDD1DE2" w14:textId="5E0164CB" w:rsidR="003740B1" w:rsidRPr="007525A8" w:rsidRDefault="003740B1" w:rsidP="002B7A3F">
      <w:pPr>
        <w:pStyle w:val="COI"/>
      </w:pPr>
      <w:r>
        <w:rPr>
          <w:bCs w:val="0"/>
          <w:lang w:val="es"/>
        </w:rPr>
        <w:t xml:space="preserve">La ambición de las actividades del equipo central del GOOS y el desarrollo de los programas del Decenio de los Océanos del GOOS requerirán una transformación no solo del sistema de </w:t>
      </w:r>
      <w:r>
        <w:rPr>
          <w:bCs w:val="0"/>
          <w:lang w:val="es"/>
        </w:rPr>
        <w:lastRenderedPageBreak/>
        <w:t xml:space="preserve">observación y de su compromiso con las partes interesadas, sino también del apoyo prestado a la coordinación de esta infraestructura clave. De este modo, las actividades de los Estados Miembros podrán potenciar un sistema mundial que funcione, y se podrán desarrollar capacidades para responder a los retos del próximo Decenio. El GOOS tendrá que emprender una importante recaudación de fondos, tanto para el establecimiento del GOOS como para los programas del Decenio de los Océanos. </w:t>
      </w:r>
    </w:p>
    <w:p w14:paraId="50076403" w14:textId="0AB4B977" w:rsidR="003740B1" w:rsidRPr="007525A8" w:rsidRDefault="003740B1" w:rsidP="002B7A3F">
      <w:pPr>
        <w:pStyle w:val="COI"/>
      </w:pPr>
      <w:r>
        <w:rPr>
          <w:bCs w:val="0"/>
          <w:lang w:val="es"/>
        </w:rPr>
        <w:t>Invitamos a los Estados Miembros interesados a obtener más información y a participar en el proceso de planificación del GOOS, iniciando una conversación con el Comité Directivo del GOOS y la Oficina del GOOS para determinar cómo pueden ayudar en la ejecución, y lo que sus contribuciones nos permitirán lograr juntos.</w:t>
      </w:r>
    </w:p>
    <w:p w14:paraId="2F56C63E" w14:textId="13770538" w:rsidR="005B5174" w:rsidRPr="007525A8" w:rsidRDefault="005B5174" w:rsidP="005B5174">
      <w:pPr>
        <w:pStyle w:val="Heading3"/>
      </w:pPr>
      <w:r>
        <w:rPr>
          <w:lang w:val="es"/>
        </w:rPr>
        <w:t>Decisión propuesta</w:t>
      </w:r>
    </w:p>
    <w:p w14:paraId="350F68A7" w14:textId="0BC849FE" w:rsidR="00C3684D" w:rsidRPr="007525A8" w:rsidRDefault="005B5174" w:rsidP="002B7A3F">
      <w:pPr>
        <w:pStyle w:val="COI"/>
      </w:pPr>
      <w:r>
        <w:rPr>
          <w:bCs w:val="0"/>
          <w:lang w:val="es"/>
        </w:rPr>
        <w:t xml:space="preserve">Se invita a la Asamblea a considerar la Dec. A-31/3.5.2 en el segundo documento de decisión revisado (documento </w:t>
      </w:r>
      <w:hyperlink r:id="rId18" w:history="1">
        <w:r>
          <w:rPr>
            <w:rStyle w:val="Hyperlink"/>
            <w:bCs w:val="0"/>
            <w:lang w:val="es"/>
          </w:rPr>
          <w:t>IOC/A-31/AP Rev.2</w:t>
        </w:r>
      </w:hyperlink>
      <w:r>
        <w:rPr>
          <w:bCs w:val="0"/>
          <w:lang w:val="es"/>
        </w:rPr>
        <w:t>).</w:t>
      </w:r>
    </w:p>
    <w:sectPr w:rsidR="00C3684D" w:rsidRPr="007525A8" w:rsidSect="003F7186">
      <w:headerReference w:type="even" r:id="rId19"/>
      <w:headerReference w:type="default" r:id="rId20"/>
      <w:headerReference w:type="first" r:id="rId21"/>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75FC6F" w14:textId="77777777" w:rsidR="00C377E4" w:rsidRDefault="00C377E4">
      <w:r>
        <w:separator/>
      </w:r>
    </w:p>
  </w:endnote>
  <w:endnote w:type="continuationSeparator" w:id="0">
    <w:p w14:paraId="4BCCBF63" w14:textId="77777777" w:rsidR="00C377E4" w:rsidRDefault="00C37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00000003" w:usb1="08070000" w:usb2="00000010" w:usb3="00000000" w:csb0="0002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978225" w14:textId="77777777" w:rsidR="00C377E4" w:rsidRDefault="00C377E4">
      <w:r>
        <w:separator/>
      </w:r>
    </w:p>
  </w:footnote>
  <w:footnote w:type="continuationSeparator" w:id="0">
    <w:p w14:paraId="2B2C706B" w14:textId="77777777" w:rsidR="00C377E4" w:rsidRDefault="00C377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3A6839" w14:textId="5D7D57D1" w:rsidR="00690753" w:rsidRPr="00C962F0" w:rsidRDefault="00690753">
    <w:pPr>
      <w:pStyle w:val="Header"/>
      <w:rPr>
        <w:szCs w:val="22"/>
      </w:rPr>
    </w:pPr>
    <w:r>
      <w:rPr>
        <w:szCs w:val="22"/>
        <w:lang w:val="es"/>
      </w:rPr>
      <w:t>IOC/A-31/3.5.2.Doc</w:t>
    </w:r>
  </w:p>
  <w:p w14:paraId="5FBD3922" w14:textId="77777777" w:rsidR="00690753" w:rsidRPr="00C962F0" w:rsidRDefault="00690753">
    <w:pPr>
      <w:pStyle w:val="Header"/>
      <w:rPr>
        <w:szCs w:val="22"/>
      </w:rPr>
    </w:pPr>
    <w:r>
      <w:rPr>
        <w:szCs w:val="22"/>
        <w:lang w:val="es"/>
      </w:rPr>
      <w:t xml:space="preserve">Página </w:t>
    </w:r>
    <w:r>
      <w:rPr>
        <w:rStyle w:val="PageNumber"/>
        <w:szCs w:val="22"/>
        <w:lang w:val="es"/>
      </w:rPr>
      <w:fldChar w:fldCharType="begin"/>
    </w:r>
    <w:r>
      <w:rPr>
        <w:rStyle w:val="PageNumber"/>
        <w:szCs w:val="22"/>
        <w:lang w:val="es"/>
      </w:rPr>
      <w:instrText xml:space="preserve"> PAGE </w:instrText>
    </w:r>
    <w:r>
      <w:rPr>
        <w:rStyle w:val="PageNumber"/>
        <w:szCs w:val="22"/>
        <w:lang w:val="es"/>
      </w:rPr>
      <w:fldChar w:fldCharType="separate"/>
    </w:r>
    <w:r>
      <w:rPr>
        <w:rStyle w:val="PageNumber"/>
        <w:noProof/>
        <w:szCs w:val="22"/>
        <w:lang w:val="es"/>
      </w:rPr>
      <w:t>2</w:t>
    </w:r>
    <w:r>
      <w:rPr>
        <w:rStyle w:val="PageNumber"/>
        <w:szCs w:val="22"/>
        <w:lang w:val="e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BD8BA" w14:textId="77777777" w:rsidR="00690753" w:rsidRPr="00746B89" w:rsidRDefault="00690753" w:rsidP="00DF2FB9">
    <w:pPr>
      <w:pStyle w:val="Header"/>
      <w:tabs>
        <w:tab w:val="clear" w:pos="8306"/>
      </w:tabs>
      <w:rPr>
        <w:szCs w:val="22"/>
      </w:rPr>
    </w:pPr>
    <w:r>
      <w:rPr>
        <w:szCs w:val="22"/>
        <w:lang w:val="es"/>
      </w:rPr>
      <w:t xml:space="preserve">IOC-XXIV/2 Anexo </w:t>
    </w:r>
    <w:r>
      <w:rPr>
        <w:szCs w:val="22"/>
        <w:highlight w:val="yellow"/>
        <w:lang w:val="es"/>
      </w:rPr>
      <w:t>__</w:t>
    </w:r>
  </w:p>
  <w:p w14:paraId="2F9618D6" w14:textId="77777777" w:rsidR="00690753" w:rsidRPr="00746B89" w:rsidRDefault="00690753" w:rsidP="00DF2FB9">
    <w:pPr>
      <w:pStyle w:val="Header"/>
      <w:tabs>
        <w:tab w:val="clear" w:pos="8306"/>
      </w:tabs>
      <w:rPr>
        <w:szCs w:val="22"/>
      </w:rPr>
    </w:pPr>
    <w:r>
      <w:rPr>
        <w:szCs w:val="22"/>
        <w:lang w:val="es"/>
      </w:rPr>
      <w:t xml:space="preserve">Página </w:t>
    </w:r>
    <w:r>
      <w:rPr>
        <w:rStyle w:val="PageNumber"/>
        <w:szCs w:val="22"/>
        <w:lang w:val="es"/>
      </w:rPr>
      <w:fldChar w:fldCharType="begin"/>
    </w:r>
    <w:r>
      <w:rPr>
        <w:rStyle w:val="PageNumber"/>
        <w:szCs w:val="22"/>
        <w:lang w:val="es"/>
      </w:rPr>
      <w:instrText xml:space="preserve"> PAGE </w:instrText>
    </w:r>
    <w:r>
      <w:rPr>
        <w:rStyle w:val="PageNumber"/>
        <w:szCs w:val="22"/>
        <w:lang w:val="es"/>
      </w:rPr>
      <w:fldChar w:fldCharType="separate"/>
    </w:r>
    <w:r>
      <w:rPr>
        <w:rStyle w:val="PageNumber"/>
        <w:noProof/>
        <w:szCs w:val="22"/>
        <w:lang w:val="es"/>
      </w:rPr>
      <w:t>3</w:t>
    </w:r>
    <w:r>
      <w:rPr>
        <w:rStyle w:val="PageNumber"/>
        <w:szCs w:val="22"/>
        <w:lang w:val="es"/>
      </w:rPr>
      <w:fldChar w:fldCharType="end"/>
    </w:r>
  </w:p>
  <w:p w14:paraId="2C43853D" w14:textId="77777777" w:rsidR="00690753" w:rsidRPr="00DF2FB9" w:rsidRDefault="00690753" w:rsidP="00DF2FB9">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7A7826" w14:textId="450BA67E" w:rsidR="00690753" w:rsidRPr="005E544C" w:rsidRDefault="00690753" w:rsidP="005742D0">
    <w:pPr>
      <w:pStyle w:val="Marge"/>
      <w:tabs>
        <w:tab w:val="left" w:pos="6096"/>
      </w:tabs>
      <w:spacing w:after="0"/>
      <w:rPr>
        <w:rFonts w:cs="Arial"/>
        <w:b/>
        <w:szCs w:val="22"/>
      </w:rPr>
    </w:pPr>
    <w:r>
      <w:rPr>
        <w:rFonts w:cs="Arial"/>
        <w:szCs w:val="22"/>
        <w:lang w:val="es"/>
      </w:rPr>
      <w:t>Distribución restringida</w:t>
    </w:r>
    <w:r>
      <w:rPr>
        <w:rFonts w:cs="Arial"/>
        <w:szCs w:val="22"/>
        <w:lang w:val="es"/>
      </w:rPr>
      <w:tab/>
    </w:r>
    <w:r>
      <w:rPr>
        <w:rFonts w:cs="Arial"/>
        <w:b/>
        <w:bCs/>
        <w:sz w:val="36"/>
        <w:szCs w:val="36"/>
        <w:lang w:val="es"/>
      </w:rPr>
      <w:t>IOC/A-31/3.5.2.Doc</w:t>
    </w:r>
  </w:p>
  <w:p w14:paraId="235FF364" w14:textId="77777777" w:rsidR="00690753" w:rsidRDefault="00690753" w:rsidP="005742D0">
    <w:pPr>
      <w:tabs>
        <w:tab w:val="clear" w:pos="567"/>
        <w:tab w:val="left" w:pos="6096"/>
      </w:tabs>
      <w:jc w:val="both"/>
      <w:rPr>
        <w:rFonts w:cs="Arial"/>
        <w:b/>
        <w:szCs w:val="22"/>
      </w:rPr>
    </w:pPr>
  </w:p>
  <w:p w14:paraId="330915E6" w14:textId="089F3708" w:rsidR="00690753" w:rsidRPr="005E544C" w:rsidRDefault="00690753" w:rsidP="005742D0">
    <w:pPr>
      <w:tabs>
        <w:tab w:val="clear" w:pos="567"/>
        <w:tab w:val="left" w:pos="6096"/>
      </w:tabs>
      <w:jc w:val="both"/>
      <w:rPr>
        <w:rFonts w:cs="Arial"/>
        <w:szCs w:val="22"/>
      </w:rPr>
    </w:pPr>
    <w:r>
      <w:rPr>
        <w:rFonts w:cs="Arial"/>
        <w:szCs w:val="22"/>
        <w:lang w:val="es"/>
      </w:rPr>
      <w:tab/>
      <w:t>París, 31 de mayo de 2021</w:t>
    </w:r>
  </w:p>
  <w:p w14:paraId="7E99F8D6" w14:textId="77777777" w:rsidR="00690753" w:rsidRPr="005E544C" w:rsidRDefault="00690753" w:rsidP="005742D0">
    <w:pPr>
      <w:tabs>
        <w:tab w:val="clear" w:pos="567"/>
        <w:tab w:val="left" w:pos="6096"/>
      </w:tabs>
      <w:jc w:val="both"/>
      <w:rPr>
        <w:rFonts w:cs="Arial"/>
        <w:szCs w:val="22"/>
      </w:rPr>
    </w:pPr>
    <w:r>
      <w:rPr>
        <w:rFonts w:cs="Arial"/>
        <w:szCs w:val="22"/>
        <w:lang w:val="es"/>
      </w:rPr>
      <w:tab/>
      <w:t>Original: Inglés</w:t>
    </w:r>
  </w:p>
  <w:p w14:paraId="73EC133D" w14:textId="77777777" w:rsidR="00690753" w:rsidRPr="005E544C" w:rsidRDefault="00690753" w:rsidP="00E64936">
    <w:pPr>
      <w:tabs>
        <w:tab w:val="left" w:pos="-1440"/>
        <w:tab w:val="left" w:pos="-720"/>
        <w:tab w:val="left" w:pos="0"/>
        <w:tab w:val="left" w:pos="720"/>
        <w:tab w:val="left" w:pos="1440"/>
        <w:tab w:val="left" w:pos="2160"/>
        <w:tab w:val="left" w:pos="2880"/>
        <w:tab w:val="left" w:pos="3600"/>
        <w:tab w:val="left" w:pos="4320"/>
        <w:tab w:val="left" w:pos="5040"/>
        <w:tab w:val="left" w:pos="5220"/>
        <w:tab w:val="left" w:pos="5523"/>
        <w:tab w:val="left" w:pos="5760"/>
        <w:tab w:val="left" w:pos="6480"/>
        <w:tab w:val="left" w:pos="6660"/>
        <w:tab w:val="left" w:pos="7020"/>
      </w:tabs>
      <w:jc w:val="both"/>
      <w:rPr>
        <w:rFonts w:cs="Arial"/>
        <w:b/>
        <w:szCs w:val="22"/>
      </w:rPr>
    </w:pPr>
  </w:p>
  <w:p w14:paraId="42AB01C6" w14:textId="77777777" w:rsidR="00690753" w:rsidRPr="005E544C" w:rsidRDefault="00690753" w:rsidP="00DF2FB9">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cs="Arial"/>
        <w:b/>
        <w:szCs w:val="22"/>
      </w:rPr>
    </w:pPr>
  </w:p>
  <w:p w14:paraId="356FD116" w14:textId="77777777" w:rsidR="00690753" w:rsidRPr="005742D0" w:rsidRDefault="00690753" w:rsidP="003F7186">
    <w:pPr>
      <w:tabs>
        <w:tab w:val="left" w:pos="-1440"/>
        <w:tab w:val="left" w:pos="-720"/>
        <w:tab w:val="left" w:pos="720"/>
        <w:tab w:val="left" w:pos="2160"/>
        <w:tab w:val="left" w:pos="3600"/>
        <w:tab w:val="left" w:pos="4320"/>
        <w:tab w:val="left" w:pos="5040"/>
        <w:tab w:val="left" w:pos="5523"/>
        <w:tab w:val="left" w:pos="6480"/>
      </w:tabs>
      <w:ind w:left="2772"/>
      <w:rPr>
        <w:rFonts w:cs="Arial"/>
        <w:b/>
        <w:sz w:val="24"/>
      </w:rPr>
    </w:pPr>
    <w:r>
      <w:rPr>
        <w:rFonts w:cs="Arial"/>
        <w:noProof/>
        <w:snapToGrid/>
        <w:sz w:val="24"/>
        <w:lang w:val="es"/>
      </w:rPr>
      <w:drawing>
        <wp:anchor distT="0" distB="0" distL="114300" distR="114300" simplePos="0" relativeHeight="251666432" behindDoc="1" locked="0" layoutInCell="1" allowOverlap="1" wp14:anchorId="50BB77CA" wp14:editId="42EF6610">
          <wp:simplePos x="0" y="0"/>
          <wp:positionH relativeFrom="column">
            <wp:posOffset>-142240</wp:posOffset>
          </wp:positionH>
          <wp:positionV relativeFrom="paragraph">
            <wp:posOffset>1270</wp:posOffset>
          </wp:positionV>
          <wp:extent cx="1714500" cy="881380"/>
          <wp:effectExtent l="0" t="0" r="0" b="0"/>
          <wp:wrapSquare wrapText="bothSides"/>
          <wp:docPr id="9" name="Image 9" descr="notex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otext-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8813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bCs/>
        <w:sz w:val="24"/>
        <w:lang w:val="es"/>
      </w:rPr>
      <w:t>COMISIÓN OCEANOGRÁFICA INTERGUBERNAMENTAL</w:t>
    </w:r>
  </w:p>
  <w:p w14:paraId="1DB50FC3" w14:textId="77777777" w:rsidR="00690753" w:rsidRPr="005742D0" w:rsidRDefault="00690753" w:rsidP="003F7186">
    <w:pPr>
      <w:tabs>
        <w:tab w:val="left" w:pos="-1440"/>
        <w:tab w:val="left" w:pos="-720"/>
        <w:tab w:val="left" w:pos="720"/>
        <w:tab w:val="left" w:pos="2160"/>
        <w:tab w:val="left" w:pos="3600"/>
        <w:tab w:val="left" w:pos="4320"/>
        <w:tab w:val="left" w:pos="5040"/>
        <w:tab w:val="left" w:pos="5523"/>
        <w:tab w:val="left" w:pos="6480"/>
      </w:tabs>
      <w:ind w:left="2772"/>
      <w:rPr>
        <w:rFonts w:cs="Arial"/>
        <w:sz w:val="24"/>
      </w:rPr>
    </w:pPr>
    <w:r>
      <w:rPr>
        <w:rFonts w:cs="Arial"/>
        <w:sz w:val="24"/>
        <w:lang w:val="es"/>
      </w:rPr>
      <w:t>(de la UNESCO)</w:t>
    </w:r>
  </w:p>
  <w:p w14:paraId="462A6C5A" w14:textId="77777777" w:rsidR="00690753" w:rsidRPr="005742D0" w:rsidRDefault="00690753" w:rsidP="00E64936">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ind w:left="2772"/>
      <w:rPr>
        <w:rFonts w:cs="Arial"/>
        <w:b/>
        <w:sz w:val="24"/>
      </w:rPr>
    </w:pPr>
  </w:p>
  <w:p w14:paraId="648BA198" w14:textId="77777777" w:rsidR="00690753" w:rsidRPr="005742D0" w:rsidRDefault="00690753" w:rsidP="005742D0">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cs="Arial"/>
        <w:b/>
        <w:sz w:val="24"/>
      </w:rPr>
    </w:pPr>
    <w:r>
      <w:rPr>
        <w:rFonts w:cs="Arial"/>
        <w:b/>
        <w:bCs/>
        <w:sz w:val="24"/>
        <w:lang w:val="es"/>
      </w:rPr>
      <w:t>Trigésima primera reunión de la Asamblea</w:t>
    </w:r>
  </w:p>
  <w:p w14:paraId="5BC32972" w14:textId="2495C4FA" w:rsidR="00690753" w:rsidRPr="005742D0" w:rsidRDefault="00690753" w:rsidP="005742D0">
    <w:pPr>
      <w:tabs>
        <w:tab w:val="left" w:pos="-1440"/>
        <w:tab w:val="left" w:pos="-720"/>
        <w:tab w:val="left" w:pos="720"/>
        <w:tab w:val="left" w:pos="1440"/>
        <w:tab w:val="left" w:pos="2160"/>
        <w:tab w:val="left" w:pos="2880"/>
        <w:tab w:val="left" w:pos="3600"/>
        <w:tab w:val="left" w:pos="4320"/>
        <w:tab w:val="left" w:pos="5040"/>
        <w:tab w:val="left" w:pos="5523"/>
        <w:tab w:val="left" w:pos="6480"/>
      </w:tabs>
      <w:ind w:left="2772"/>
      <w:rPr>
        <w:rFonts w:cs="Arial"/>
        <w:sz w:val="24"/>
      </w:rPr>
    </w:pPr>
    <w:r>
      <w:rPr>
        <w:rFonts w:cs="Arial"/>
        <w:sz w:val="24"/>
        <w:lang w:val="es"/>
      </w:rPr>
      <w:t>UNESCO, 14-25 de junio de 2021 (en línea)</w:t>
    </w:r>
  </w:p>
  <w:p w14:paraId="6919E376" w14:textId="77777777" w:rsidR="00690753" w:rsidRPr="005E544C" w:rsidRDefault="00690753" w:rsidP="003F7186">
    <w:pPr>
      <w:tabs>
        <w:tab w:val="left" w:pos="-1440"/>
        <w:tab w:val="left" w:pos="-720"/>
        <w:tab w:val="left" w:pos="720"/>
        <w:tab w:val="left" w:pos="1440"/>
        <w:tab w:val="left" w:pos="2160"/>
        <w:tab w:val="left" w:pos="3600"/>
        <w:tab w:val="left" w:pos="4320"/>
        <w:tab w:val="left" w:pos="5040"/>
        <w:tab w:val="left" w:pos="5523"/>
        <w:tab w:val="left" w:pos="6480"/>
      </w:tabs>
      <w:ind w:left="2772"/>
      <w:rPr>
        <w:rFonts w:cs="Arial"/>
        <w:bCs/>
        <w:szCs w:val="22"/>
      </w:rPr>
    </w:pPr>
  </w:p>
  <w:p w14:paraId="2C97C208" w14:textId="77777777" w:rsidR="00690753" w:rsidRDefault="00690753" w:rsidP="00FC0794">
    <w:pPr>
      <w:rPr>
        <w:rFonts w:cs="Arial"/>
        <w:szCs w:val="22"/>
      </w:rPr>
    </w:pPr>
  </w:p>
  <w:p w14:paraId="54FB86AC" w14:textId="77777777" w:rsidR="00690753" w:rsidRDefault="00690753" w:rsidP="00DF2FB9">
    <w:pPr>
      <w:jc w:val="center"/>
      <w:rPr>
        <w:rFonts w:cs="Arial"/>
        <w:szCs w:val="22"/>
      </w:rPr>
    </w:pPr>
  </w:p>
  <w:p w14:paraId="506A4D93" w14:textId="77777777" w:rsidR="00690753" w:rsidRPr="005E544C" w:rsidRDefault="00690753" w:rsidP="00DF2FB9">
    <w:pPr>
      <w:jc w:val="center"/>
      <w:rPr>
        <w:rFonts w:cs="Arial"/>
        <w:szCs w:val="22"/>
      </w:rPr>
    </w:pPr>
  </w:p>
  <w:p w14:paraId="192ED91F" w14:textId="77777777" w:rsidR="00690753" w:rsidRPr="005E544C" w:rsidRDefault="00690753" w:rsidP="00DF2FB9">
    <w:pPr>
      <w:jc w:val="center"/>
      <w:rPr>
        <w:rFonts w:cs="Arial"/>
        <w:szCs w:val="22"/>
      </w:rPr>
    </w:pPr>
  </w:p>
  <w:p w14:paraId="354C3023" w14:textId="6B67E86A" w:rsidR="00690753" w:rsidRPr="008D2398" w:rsidRDefault="00690753" w:rsidP="00DF2FB9">
    <w:pPr>
      <w:pStyle w:val="Heading7"/>
      <w:tabs>
        <w:tab w:val="right" w:pos="9540"/>
      </w:tabs>
      <w:rPr>
        <w:rFonts w:cs="Arial"/>
        <w:sz w:val="24"/>
        <w:u w:val="none"/>
      </w:rPr>
    </w:pPr>
    <w:r>
      <w:rPr>
        <w:rFonts w:cs="Arial"/>
        <w:sz w:val="24"/>
        <w:lang w:val="es"/>
      </w:rPr>
      <w:t xml:space="preserve">Punto </w:t>
    </w:r>
    <w:r>
      <w:rPr>
        <w:rFonts w:cs="Arial"/>
        <w:b/>
        <w:bCs/>
        <w:sz w:val="24"/>
        <w:lang w:val="es"/>
      </w:rPr>
      <w:t>3.5.2</w:t>
    </w:r>
    <w:r>
      <w:rPr>
        <w:rFonts w:cs="Arial"/>
        <w:sz w:val="24"/>
        <w:lang w:val="es"/>
      </w:rPr>
      <w:t xml:space="preserve"> del orden del día provisional</w:t>
    </w:r>
  </w:p>
  <w:p w14:paraId="46DF7932" w14:textId="77777777" w:rsidR="00690753" w:rsidRPr="005E544C" w:rsidRDefault="00690753" w:rsidP="00DF2FB9">
    <w:pPr>
      <w:rPr>
        <w:rFonts w:cs="Arial"/>
        <w:szCs w:val="22"/>
      </w:rPr>
    </w:pPr>
  </w:p>
  <w:p w14:paraId="06393BC6" w14:textId="77777777" w:rsidR="00690753" w:rsidRPr="005E544C" w:rsidRDefault="00690753" w:rsidP="00DF2FB9">
    <w:pPr>
      <w:rPr>
        <w:rFonts w:cs="Arial"/>
        <w:szCs w:val="22"/>
      </w:rPr>
    </w:pPr>
  </w:p>
  <w:p w14:paraId="6C279CCE" w14:textId="777A8600" w:rsidR="00690753" w:rsidRPr="005E544C" w:rsidRDefault="00690753" w:rsidP="00C8507A">
    <w:pPr>
      <w:pStyle w:val="Docheading"/>
    </w:pPr>
    <w:r>
      <w:rPr>
        <w:lang w:val="es"/>
      </w:rPr>
      <w:t xml:space="preserve">Resumen dispositivo del </w:t>
    </w:r>
    <w:r>
      <w:rPr>
        <w:b w:val="0"/>
        <w:bCs w:val="0"/>
        <w:lang w:val="es"/>
      </w:rPr>
      <w:br/>
    </w:r>
    <w:r>
      <w:rPr>
        <w:lang w:val="es"/>
      </w:rPr>
      <w:t>Plan de Ejecución del Sistema Mundial de Observación de los Océanos</w:t>
    </w:r>
  </w:p>
  <w:p w14:paraId="46B775FC" w14:textId="77777777" w:rsidR="00690753" w:rsidRPr="005E544C" w:rsidRDefault="00690753">
    <w:pPr>
      <w:pStyle w:val="Header"/>
      <w:rPr>
        <w:rFonts w:cs="Arial"/>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C89E31" w14:textId="1E0F3212" w:rsidR="00690753" w:rsidRPr="00A42F1D" w:rsidRDefault="00690753" w:rsidP="00294AD5">
    <w:pPr>
      <w:pStyle w:val="Header"/>
      <w:tabs>
        <w:tab w:val="clear" w:pos="8306"/>
      </w:tabs>
      <w:rPr>
        <w:rFonts w:cs="Arial"/>
        <w:sz w:val="20"/>
        <w:szCs w:val="20"/>
      </w:rPr>
    </w:pPr>
    <w:r>
      <w:rPr>
        <w:rFonts w:cs="Arial"/>
        <w:sz w:val="20"/>
        <w:szCs w:val="20"/>
        <w:lang w:val="es"/>
      </w:rPr>
      <w:t>IOC/A-31/3.5.2.Doc</w:t>
    </w:r>
  </w:p>
  <w:p w14:paraId="6B698D99" w14:textId="77777777" w:rsidR="00690753" w:rsidRPr="00A42F1D" w:rsidRDefault="00690753" w:rsidP="00746B89">
    <w:pPr>
      <w:pStyle w:val="Header"/>
      <w:tabs>
        <w:tab w:val="clear" w:pos="8306"/>
      </w:tabs>
      <w:rPr>
        <w:rFonts w:cs="Arial"/>
        <w:sz w:val="20"/>
        <w:szCs w:val="20"/>
      </w:rPr>
    </w:pPr>
    <w:r>
      <w:rPr>
        <w:rFonts w:cs="Arial"/>
        <w:sz w:val="20"/>
        <w:szCs w:val="20"/>
        <w:lang w:val="es"/>
      </w:rPr>
      <w:t xml:space="preserve">página </w:t>
    </w:r>
    <w:r>
      <w:rPr>
        <w:rStyle w:val="PageNumber"/>
        <w:rFonts w:cs="Arial"/>
        <w:sz w:val="20"/>
        <w:szCs w:val="20"/>
        <w:lang w:val="es"/>
      </w:rPr>
      <w:fldChar w:fldCharType="begin"/>
    </w:r>
    <w:r>
      <w:rPr>
        <w:rStyle w:val="PageNumber"/>
        <w:rFonts w:cs="Arial"/>
        <w:sz w:val="20"/>
        <w:szCs w:val="20"/>
        <w:lang w:val="es"/>
      </w:rPr>
      <w:instrText xml:space="preserve"> PAGE </w:instrText>
    </w:r>
    <w:r>
      <w:rPr>
        <w:rStyle w:val="PageNumber"/>
        <w:rFonts w:cs="Arial"/>
        <w:sz w:val="20"/>
        <w:szCs w:val="20"/>
        <w:lang w:val="es"/>
      </w:rPr>
      <w:fldChar w:fldCharType="separate"/>
    </w:r>
    <w:r>
      <w:rPr>
        <w:rStyle w:val="PageNumber"/>
        <w:rFonts w:cs="Arial"/>
        <w:noProof/>
        <w:sz w:val="20"/>
        <w:szCs w:val="20"/>
        <w:lang w:val="es"/>
      </w:rPr>
      <w:t>2</w:t>
    </w:r>
    <w:r>
      <w:rPr>
        <w:rStyle w:val="PageNumber"/>
        <w:rFonts w:cs="Arial"/>
        <w:sz w:val="20"/>
        <w:szCs w:val="20"/>
        <w:lang w:val="es"/>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31434A" w14:textId="31D05050" w:rsidR="00690753" w:rsidRPr="00003B31" w:rsidRDefault="00690753" w:rsidP="005742D0">
    <w:pPr>
      <w:pStyle w:val="Header"/>
      <w:tabs>
        <w:tab w:val="clear" w:pos="8306"/>
      </w:tabs>
      <w:ind w:left="7655"/>
      <w:rPr>
        <w:rFonts w:cs="Arial"/>
        <w:szCs w:val="22"/>
      </w:rPr>
    </w:pPr>
    <w:r>
      <w:rPr>
        <w:rFonts w:cs="Arial"/>
        <w:sz w:val="20"/>
        <w:szCs w:val="20"/>
        <w:lang w:val="es"/>
      </w:rPr>
      <w:t>IOC/A-31/3.5.2.Doc</w:t>
    </w:r>
  </w:p>
  <w:p w14:paraId="5FEF56A2" w14:textId="77777777" w:rsidR="00690753" w:rsidRPr="00FC2521" w:rsidRDefault="00690753" w:rsidP="005742D0">
    <w:pPr>
      <w:pStyle w:val="Header"/>
      <w:tabs>
        <w:tab w:val="clear" w:pos="8306"/>
      </w:tabs>
      <w:ind w:left="7655"/>
      <w:rPr>
        <w:rFonts w:cs="Arial"/>
        <w:sz w:val="20"/>
        <w:szCs w:val="22"/>
      </w:rPr>
    </w:pPr>
    <w:r>
      <w:rPr>
        <w:rFonts w:cs="Arial"/>
        <w:sz w:val="20"/>
        <w:szCs w:val="22"/>
        <w:lang w:val="es"/>
      </w:rPr>
      <w:t xml:space="preserve">página </w:t>
    </w:r>
    <w:r>
      <w:rPr>
        <w:rStyle w:val="PageNumber"/>
        <w:rFonts w:cs="Arial"/>
        <w:sz w:val="20"/>
        <w:szCs w:val="22"/>
        <w:lang w:val="es"/>
      </w:rPr>
      <w:fldChar w:fldCharType="begin"/>
    </w:r>
    <w:r>
      <w:rPr>
        <w:rStyle w:val="PageNumber"/>
        <w:rFonts w:cs="Arial"/>
        <w:sz w:val="20"/>
        <w:szCs w:val="22"/>
        <w:lang w:val="es"/>
      </w:rPr>
      <w:instrText xml:space="preserve"> PAGE </w:instrText>
    </w:r>
    <w:r>
      <w:rPr>
        <w:rStyle w:val="PageNumber"/>
        <w:rFonts w:cs="Arial"/>
        <w:sz w:val="20"/>
        <w:szCs w:val="22"/>
        <w:lang w:val="es"/>
      </w:rPr>
      <w:fldChar w:fldCharType="separate"/>
    </w:r>
    <w:r>
      <w:rPr>
        <w:rStyle w:val="PageNumber"/>
        <w:rFonts w:cs="Arial"/>
        <w:noProof/>
        <w:sz w:val="20"/>
        <w:szCs w:val="22"/>
        <w:lang w:val="es"/>
      </w:rPr>
      <w:t>3</w:t>
    </w:r>
    <w:r>
      <w:rPr>
        <w:rStyle w:val="PageNumber"/>
        <w:rFonts w:cs="Arial"/>
        <w:sz w:val="20"/>
        <w:szCs w:val="22"/>
        <w:lang w:val="es"/>
      </w:rPr>
      <w:fldChar w:fldCharType="end"/>
    </w:r>
  </w:p>
  <w:p w14:paraId="7BDB5C24" w14:textId="77777777" w:rsidR="00690753" w:rsidRPr="00FC2521" w:rsidRDefault="00690753" w:rsidP="005742D0">
    <w:pPr>
      <w:pStyle w:val="Header"/>
      <w:ind w:left="7655"/>
      <w:rPr>
        <w:rFonts w:cs="Arial"/>
        <w:sz w:val="20"/>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AF828F" w14:textId="439D8BE9" w:rsidR="00690753" w:rsidRPr="006842FA" w:rsidRDefault="00690753" w:rsidP="00294AD5">
    <w:pPr>
      <w:pStyle w:val="Header"/>
      <w:jc w:val="right"/>
      <w:rPr>
        <w:rFonts w:cs="Arial"/>
        <w:sz w:val="20"/>
        <w:szCs w:val="20"/>
      </w:rPr>
    </w:pPr>
    <w:r>
      <w:rPr>
        <w:rFonts w:cs="Arial"/>
        <w:sz w:val="20"/>
        <w:szCs w:val="20"/>
        <w:lang w:val="es"/>
      </w:rPr>
      <w:t>IOC/A-31/3.5.2.Doc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0B1C9C"/>
    <w:multiLevelType w:val="hybridMultilevel"/>
    <w:tmpl w:val="23A85EFA"/>
    <w:lvl w:ilvl="0" w:tplc="CFBCE880">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4" w15:restartNumberingAfterBreak="0">
    <w:nsid w:val="444D088E"/>
    <w:multiLevelType w:val="multilevel"/>
    <w:tmpl w:val="D0FE2B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B204C64"/>
    <w:multiLevelType w:val="hybridMultilevel"/>
    <w:tmpl w:val="622E13AA"/>
    <w:lvl w:ilvl="0" w:tplc="E668EACE">
      <w:start w:val="1"/>
      <w:numFmt w:val="decimal"/>
      <w:pStyle w:val="COI"/>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1"/>
  </w:num>
  <w:num w:numId="5">
    <w:abstractNumId w:val="2"/>
  </w:num>
  <w:num w:numId="6">
    <w:abstractNumId w:val="5"/>
  </w:num>
  <w:num w:numId="7">
    <w:abstractNumId w:val="5"/>
  </w:num>
  <w:num w:numId="8">
    <w:abstractNumId w:val="4"/>
  </w:num>
  <w:num w:numId="9">
    <w:abstractNumId w:val="1"/>
  </w:num>
  <w:num w:numId="10">
    <w:abstractNumId w:val="1"/>
  </w:num>
  <w:num w:numId="11">
    <w:abstractNumId w:val="1"/>
  </w:num>
  <w:num w:numId="12">
    <w:abstractNumId w:val="1"/>
  </w:num>
  <w:num w:numId="13">
    <w:abstractNumId w:val="1"/>
  </w:num>
  <w:num w:numId="14">
    <w:abstractNumId w:val="1"/>
  </w:num>
  <w:num w:numId="15">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B79"/>
    <w:rsid w:val="00003B31"/>
    <w:rsid w:val="00010BBB"/>
    <w:rsid w:val="00016E87"/>
    <w:rsid w:val="0002051C"/>
    <w:rsid w:val="00020AA1"/>
    <w:rsid w:val="00085D6A"/>
    <w:rsid w:val="000B2D6B"/>
    <w:rsid w:val="000C58F2"/>
    <w:rsid w:val="000F0254"/>
    <w:rsid w:val="00117356"/>
    <w:rsid w:val="00123719"/>
    <w:rsid w:val="001241D7"/>
    <w:rsid w:val="00137E97"/>
    <w:rsid w:val="001448C4"/>
    <w:rsid w:val="00155393"/>
    <w:rsid w:val="00167158"/>
    <w:rsid w:val="00167520"/>
    <w:rsid w:val="00196052"/>
    <w:rsid w:val="001B3B24"/>
    <w:rsid w:val="001C6455"/>
    <w:rsid w:val="0021210D"/>
    <w:rsid w:val="00294AD5"/>
    <w:rsid w:val="002B7A3F"/>
    <w:rsid w:val="002C04D3"/>
    <w:rsid w:val="002C7DE3"/>
    <w:rsid w:val="002E0859"/>
    <w:rsid w:val="002E4DB8"/>
    <w:rsid w:val="002F456C"/>
    <w:rsid w:val="003007B6"/>
    <w:rsid w:val="0031621C"/>
    <w:rsid w:val="003313D8"/>
    <w:rsid w:val="003354F1"/>
    <w:rsid w:val="0034156B"/>
    <w:rsid w:val="00343EFA"/>
    <w:rsid w:val="00355412"/>
    <w:rsid w:val="003561BE"/>
    <w:rsid w:val="003740B1"/>
    <w:rsid w:val="003805F5"/>
    <w:rsid w:val="003A7860"/>
    <w:rsid w:val="003C55D3"/>
    <w:rsid w:val="003C64EB"/>
    <w:rsid w:val="003D3711"/>
    <w:rsid w:val="003F55CF"/>
    <w:rsid w:val="003F7186"/>
    <w:rsid w:val="004031FB"/>
    <w:rsid w:val="00413F17"/>
    <w:rsid w:val="00424DE6"/>
    <w:rsid w:val="004365D0"/>
    <w:rsid w:val="004429FB"/>
    <w:rsid w:val="004529B8"/>
    <w:rsid w:val="00467E3F"/>
    <w:rsid w:val="004A135F"/>
    <w:rsid w:val="004C1625"/>
    <w:rsid w:val="004C217D"/>
    <w:rsid w:val="004F7D6C"/>
    <w:rsid w:val="005742D0"/>
    <w:rsid w:val="005B5174"/>
    <w:rsid w:val="005C7A36"/>
    <w:rsid w:val="005C7D76"/>
    <w:rsid w:val="005E544C"/>
    <w:rsid w:val="006005DF"/>
    <w:rsid w:val="006110DA"/>
    <w:rsid w:val="00633EA5"/>
    <w:rsid w:val="00664E7D"/>
    <w:rsid w:val="0068104A"/>
    <w:rsid w:val="006842FA"/>
    <w:rsid w:val="0068682C"/>
    <w:rsid w:val="00690753"/>
    <w:rsid w:val="00690A0C"/>
    <w:rsid w:val="00690FD2"/>
    <w:rsid w:val="00693199"/>
    <w:rsid w:val="006B4B95"/>
    <w:rsid w:val="006C18D9"/>
    <w:rsid w:val="006C6449"/>
    <w:rsid w:val="006E6586"/>
    <w:rsid w:val="006F399F"/>
    <w:rsid w:val="006F732A"/>
    <w:rsid w:val="00737A18"/>
    <w:rsid w:val="00746B89"/>
    <w:rsid w:val="007525A8"/>
    <w:rsid w:val="00770E7F"/>
    <w:rsid w:val="00775F1E"/>
    <w:rsid w:val="0079212B"/>
    <w:rsid w:val="00793A73"/>
    <w:rsid w:val="007B3A75"/>
    <w:rsid w:val="008048D2"/>
    <w:rsid w:val="0081004E"/>
    <w:rsid w:val="00823C91"/>
    <w:rsid w:val="008338A6"/>
    <w:rsid w:val="00853565"/>
    <w:rsid w:val="00853E68"/>
    <w:rsid w:val="008A6E5C"/>
    <w:rsid w:val="008B384B"/>
    <w:rsid w:val="008D2398"/>
    <w:rsid w:val="008E57B4"/>
    <w:rsid w:val="008F6942"/>
    <w:rsid w:val="009026D3"/>
    <w:rsid w:val="009162AC"/>
    <w:rsid w:val="00993CA4"/>
    <w:rsid w:val="009B63AB"/>
    <w:rsid w:val="009C035C"/>
    <w:rsid w:val="009C0A89"/>
    <w:rsid w:val="009C15B1"/>
    <w:rsid w:val="009E3769"/>
    <w:rsid w:val="009E6A03"/>
    <w:rsid w:val="009E6B5B"/>
    <w:rsid w:val="009F3A67"/>
    <w:rsid w:val="009F7769"/>
    <w:rsid w:val="00A11697"/>
    <w:rsid w:val="00A25BC8"/>
    <w:rsid w:val="00A42F1D"/>
    <w:rsid w:val="00A93CB3"/>
    <w:rsid w:val="00AD3D55"/>
    <w:rsid w:val="00B6431D"/>
    <w:rsid w:val="00B722DE"/>
    <w:rsid w:val="00B83068"/>
    <w:rsid w:val="00BB4185"/>
    <w:rsid w:val="00BD4DC4"/>
    <w:rsid w:val="00BD6603"/>
    <w:rsid w:val="00BF069C"/>
    <w:rsid w:val="00BF3835"/>
    <w:rsid w:val="00C1002D"/>
    <w:rsid w:val="00C2635E"/>
    <w:rsid w:val="00C3684D"/>
    <w:rsid w:val="00C377E4"/>
    <w:rsid w:val="00C4032B"/>
    <w:rsid w:val="00C6486C"/>
    <w:rsid w:val="00C648D3"/>
    <w:rsid w:val="00C72275"/>
    <w:rsid w:val="00C75B02"/>
    <w:rsid w:val="00C8507A"/>
    <w:rsid w:val="00C962F0"/>
    <w:rsid w:val="00D013ED"/>
    <w:rsid w:val="00D36BDC"/>
    <w:rsid w:val="00D41668"/>
    <w:rsid w:val="00D5049E"/>
    <w:rsid w:val="00D55FEC"/>
    <w:rsid w:val="00DD0880"/>
    <w:rsid w:val="00DF2FB9"/>
    <w:rsid w:val="00E2260D"/>
    <w:rsid w:val="00E63DEF"/>
    <w:rsid w:val="00E64936"/>
    <w:rsid w:val="00ED6838"/>
    <w:rsid w:val="00EE0542"/>
    <w:rsid w:val="00EF3B79"/>
    <w:rsid w:val="00F463F2"/>
    <w:rsid w:val="00F57CAD"/>
    <w:rsid w:val="00F8186D"/>
    <w:rsid w:val="00FC0794"/>
    <w:rsid w:val="00FC2521"/>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65AD35B"/>
  <w15:docId w15:val="{661DE7C0-1703-9C49-BCBF-AF6A76849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napToGrid w:val="0"/>
      <w:sz w:val="22"/>
      <w:szCs w:val="24"/>
      <w:lang w:val="en-GB" w:eastAsia="en-US"/>
    </w:rPr>
  </w:style>
  <w:style w:type="paragraph" w:styleId="Heading1">
    <w:name w:val="heading 1"/>
    <w:basedOn w:val="Normal"/>
    <w:next w:val="Marge"/>
    <w:qFormat/>
    <w:pPr>
      <w:keepNext/>
      <w:keepLines/>
      <w:spacing w:before="240" w:after="240"/>
      <w:jc w:val="center"/>
      <w:outlineLvl w:val="0"/>
    </w:pPr>
    <w:rPr>
      <w:b/>
      <w:bCs/>
      <w:kern w:val="28"/>
    </w:rPr>
  </w:style>
  <w:style w:type="paragraph" w:styleId="Heading2">
    <w:name w:val="heading 2"/>
    <w:basedOn w:val="Normal"/>
    <w:next w:val="Marge"/>
    <w:qFormat/>
    <w:pPr>
      <w:keepNext/>
      <w:keepLines/>
      <w:spacing w:before="480" w:after="240"/>
      <w:ind w:left="567" w:hanging="567"/>
      <w:outlineLvl w:val="1"/>
    </w:pPr>
    <w:rPr>
      <w:b/>
      <w:bCs/>
      <w:caps/>
    </w:rPr>
  </w:style>
  <w:style w:type="paragraph" w:styleId="Heading3">
    <w:name w:val="heading 3"/>
    <w:basedOn w:val="Normal"/>
    <w:next w:val="Marge"/>
    <w:autoRedefine/>
    <w:qFormat/>
    <w:rsid w:val="005C7A36"/>
    <w:pPr>
      <w:keepNext/>
      <w:keepLines/>
      <w:spacing w:after="240"/>
      <w:outlineLvl w:val="2"/>
    </w:pPr>
    <w:rPr>
      <w:rFonts w:eastAsia="Arial Unicode MS"/>
      <w:b/>
      <w:bCs/>
      <w:szCs w:val="22"/>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paragraph" w:styleId="Heading9">
    <w:name w:val="heading 9"/>
    <w:basedOn w:val="Normal"/>
    <w:next w:val="Normal"/>
    <w:link w:val="Heading9Char"/>
    <w:semiHidden/>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semiHidden/>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semiHidden/>
    <w:pPr>
      <w:ind w:left="567" w:hanging="567"/>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autoRedefine/>
    <w:rsid w:val="002B7A3F"/>
    <w:pPr>
      <w:numPr>
        <w:numId w:val="2"/>
      </w:numPr>
      <w:tabs>
        <w:tab w:val="clear" w:pos="567"/>
      </w:tabs>
    </w:pPr>
    <w:rPr>
      <w:rFonts w:eastAsia="Arial Unicode MS"/>
      <w:bCs/>
      <w:szCs w:val="22"/>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3"/>
      </w:numPr>
      <w:jc w:val="both"/>
    </w:pPr>
  </w:style>
  <w:style w:type="paragraph" w:customStyle="1" w:styleId="Style1">
    <w:name w:val="Style1"/>
    <w:basedOn w:val="Listnumbered"/>
    <w:autoRedefine/>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4"/>
      </w:numPr>
      <w:spacing w:after="240"/>
    </w:pPr>
  </w:style>
  <w:style w:type="character" w:customStyle="1" w:styleId="MargeChar">
    <w:name w:val="Marge Char"/>
    <w:basedOn w:val="ParChar"/>
    <w:link w:val="Marge"/>
    <w:rsid w:val="00690FD2"/>
    <w:rPr>
      <w:rFonts w:ascii="Arial" w:hAnsi="Arial"/>
      <w:snapToGrid w:val="0"/>
      <w:sz w:val="22"/>
      <w:szCs w:val="24"/>
      <w:lang w:val="en-GB" w:eastAsia="en-US" w:bidi="ar-SA"/>
    </w:rPr>
  </w:style>
  <w:style w:type="character" w:customStyle="1" w:styleId="COIChar">
    <w:name w:val="COI Char"/>
    <w:link w:val="COI"/>
    <w:rsid w:val="002B7A3F"/>
    <w:rPr>
      <w:rFonts w:ascii="Arial" w:eastAsia="Arial Unicode MS" w:hAnsi="Arial"/>
      <w:bCs/>
      <w:snapToGrid w:val="0"/>
      <w:sz w:val="22"/>
      <w:szCs w:val="22"/>
      <w:lang w:val="en-GB"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basedOn w:val="DefaultParagraphFont"/>
    <w:rsid w:val="00C2635E"/>
    <w:rPr>
      <w:color w:val="0000FF" w:themeColor="hyperlink"/>
      <w:u w:val="single"/>
    </w:rPr>
  </w:style>
  <w:style w:type="character" w:styleId="FollowedHyperlink">
    <w:name w:val="FollowedHyperlink"/>
    <w:basedOn w:val="DefaultParagraphFont"/>
    <w:rsid w:val="00C4032B"/>
    <w:rPr>
      <w:color w:val="800080" w:themeColor="followedHyperlink"/>
      <w:u w:val="single"/>
    </w:rPr>
  </w:style>
  <w:style w:type="character" w:styleId="UnresolvedMention">
    <w:name w:val="Unresolved Mention"/>
    <w:basedOn w:val="DefaultParagraphFont"/>
    <w:uiPriority w:val="99"/>
    <w:semiHidden/>
    <w:unhideWhenUsed/>
    <w:rsid w:val="005742D0"/>
    <w:rPr>
      <w:color w:val="605E5C"/>
      <w:shd w:val="clear" w:color="auto" w:fill="E1DFDD"/>
    </w:rPr>
  </w:style>
  <w:style w:type="table" w:styleId="TableGrid">
    <w:name w:val="Table Grid"/>
    <w:basedOn w:val="TableNormal"/>
    <w:rsid w:val="00343E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3769"/>
    <w:pPr>
      <w:ind w:left="720"/>
      <w:contextualSpacing/>
    </w:pPr>
  </w:style>
  <w:style w:type="paragraph" w:styleId="BalloonText">
    <w:name w:val="Balloon Text"/>
    <w:basedOn w:val="Normal"/>
    <w:link w:val="BalloonTextChar"/>
    <w:semiHidden/>
    <w:unhideWhenUsed/>
    <w:rsid w:val="00823C91"/>
    <w:rPr>
      <w:rFonts w:ascii="Segoe UI" w:hAnsi="Segoe UI" w:cs="Segoe UI"/>
      <w:sz w:val="18"/>
      <w:szCs w:val="18"/>
    </w:rPr>
  </w:style>
  <w:style w:type="character" w:customStyle="1" w:styleId="BalloonTextChar">
    <w:name w:val="Balloon Text Char"/>
    <w:basedOn w:val="DefaultParagraphFont"/>
    <w:link w:val="BalloonText"/>
    <w:semiHidden/>
    <w:rsid w:val="00823C91"/>
    <w:rPr>
      <w:rFonts w:ascii="Segoe UI" w:hAnsi="Segoe UI" w:cs="Segoe UI"/>
      <w:snapToGrid w:val="0"/>
      <w:sz w:val="18"/>
      <w:szCs w:val="18"/>
      <w:lang w:val="en-GB" w:eastAsia="en-US"/>
    </w:rPr>
  </w:style>
  <w:style w:type="character" w:styleId="CommentReference">
    <w:name w:val="annotation reference"/>
    <w:basedOn w:val="DefaultParagraphFont"/>
    <w:semiHidden/>
    <w:unhideWhenUsed/>
    <w:rsid w:val="000C58F2"/>
    <w:rPr>
      <w:sz w:val="16"/>
      <w:szCs w:val="16"/>
    </w:rPr>
  </w:style>
  <w:style w:type="paragraph" w:styleId="CommentText">
    <w:name w:val="annotation text"/>
    <w:basedOn w:val="Normal"/>
    <w:link w:val="CommentTextChar"/>
    <w:semiHidden/>
    <w:unhideWhenUsed/>
    <w:rsid w:val="000C58F2"/>
    <w:rPr>
      <w:sz w:val="20"/>
      <w:szCs w:val="20"/>
    </w:rPr>
  </w:style>
  <w:style w:type="character" w:customStyle="1" w:styleId="CommentTextChar">
    <w:name w:val="Comment Text Char"/>
    <w:basedOn w:val="DefaultParagraphFont"/>
    <w:link w:val="CommentText"/>
    <w:semiHidden/>
    <w:rsid w:val="000C58F2"/>
    <w:rPr>
      <w:rFonts w:ascii="Arial" w:hAnsi="Arial"/>
      <w:snapToGrid w:val="0"/>
      <w:lang w:val="en-GB" w:eastAsia="en-US"/>
    </w:rPr>
  </w:style>
  <w:style w:type="paragraph" w:styleId="CommentSubject">
    <w:name w:val="annotation subject"/>
    <w:basedOn w:val="CommentText"/>
    <w:next w:val="CommentText"/>
    <w:link w:val="CommentSubjectChar"/>
    <w:semiHidden/>
    <w:unhideWhenUsed/>
    <w:rsid w:val="000C58F2"/>
    <w:rPr>
      <w:b/>
      <w:bCs/>
    </w:rPr>
  </w:style>
  <w:style w:type="character" w:customStyle="1" w:styleId="CommentSubjectChar">
    <w:name w:val="Comment Subject Char"/>
    <w:basedOn w:val="CommentTextChar"/>
    <w:link w:val="CommentSubject"/>
    <w:semiHidden/>
    <w:rsid w:val="000C58F2"/>
    <w:rPr>
      <w:rFonts w:ascii="Arial" w:hAnsi="Arial"/>
      <w:b/>
      <w:bCs/>
      <w:snapToGrid w:val="0"/>
      <w:lang w:val="en-GB" w:eastAsia="en-US"/>
    </w:rPr>
  </w:style>
  <w:style w:type="paragraph" w:styleId="Revision">
    <w:name w:val="Revision"/>
    <w:hidden/>
    <w:uiPriority w:val="99"/>
    <w:semiHidden/>
    <w:rsid w:val="000C58F2"/>
    <w:rPr>
      <w:rFonts w:ascii="Arial" w:hAnsi="Arial"/>
      <w:snapToGrid w:val="0"/>
      <w:sz w:val="2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33602">
      <w:bodyDiv w:val="1"/>
      <w:marLeft w:val="0"/>
      <w:marRight w:val="0"/>
      <w:marTop w:val="0"/>
      <w:marBottom w:val="0"/>
      <w:divBdr>
        <w:top w:val="none" w:sz="0" w:space="0" w:color="auto"/>
        <w:left w:val="none" w:sz="0" w:space="0" w:color="auto"/>
        <w:bottom w:val="none" w:sz="0" w:space="0" w:color="auto"/>
        <w:right w:val="none" w:sz="0" w:space="0" w:color="auto"/>
      </w:divBdr>
    </w:div>
    <w:div w:id="77867152">
      <w:bodyDiv w:val="1"/>
      <w:marLeft w:val="0"/>
      <w:marRight w:val="0"/>
      <w:marTop w:val="0"/>
      <w:marBottom w:val="0"/>
      <w:divBdr>
        <w:top w:val="none" w:sz="0" w:space="0" w:color="auto"/>
        <w:left w:val="none" w:sz="0" w:space="0" w:color="auto"/>
        <w:bottom w:val="none" w:sz="0" w:space="0" w:color="auto"/>
        <w:right w:val="none" w:sz="0" w:space="0" w:color="auto"/>
      </w:divBdr>
    </w:div>
    <w:div w:id="170604340">
      <w:bodyDiv w:val="1"/>
      <w:marLeft w:val="0"/>
      <w:marRight w:val="0"/>
      <w:marTop w:val="0"/>
      <w:marBottom w:val="0"/>
      <w:divBdr>
        <w:top w:val="none" w:sz="0" w:space="0" w:color="auto"/>
        <w:left w:val="none" w:sz="0" w:space="0" w:color="auto"/>
        <w:bottom w:val="none" w:sz="0" w:space="0" w:color="auto"/>
        <w:right w:val="none" w:sz="0" w:space="0" w:color="auto"/>
      </w:divBdr>
    </w:div>
    <w:div w:id="278537430">
      <w:bodyDiv w:val="1"/>
      <w:marLeft w:val="0"/>
      <w:marRight w:val="0"/>
      <w:marTop w:val="0"/>
      <w:marBottom w:val="0"/>
      <w:divBdr>
        <w:top w:val="none" w:sz="0" w:space="0" w:color="auto"/>
        <w:left w:val="none" w:sz="0" w:space="0" w:color="auto"/>
        <w:bottom w:val="none" w:sz="0" w:space="0" w:color="auto"/>
        <w:right w:val="none" w:sz="0" w:space="0" w:color="auto"/>
      </w:divBdr>
    </w:div>
    <w:div w:id="295767651">
      <w:bodyDiv w:val="1"/>
      <w:marLeft w:val="0"/>
      <w:marRight w:val="0"/>
      <w:marTop w:val="0"/>
      <w:marBottom w:val="0"/>
      <w:divBdr>
        <w:top w:val="none" w:sz="0" w:space="0" w:color="auto"/>
        <w:left w:val="none" w:sz="0" w:space="0" w:color="auto"/>
        <w:bottom w:val="none" w:sz="0" w:space="0" w:color="auto"/>
        <w:right w:val="none" w:sz="0" w:space="0" w:color="auto"/>
      </w:divBdr>
    </w:div>
    <w:div w:id="346912389">
      <w:bodyDiv w:val="1"/>
      <w:marLeft w:val="0"/>
      <w:marRight w:val="0"/>
      <w:marTop w:val="0"/>
      <w:marBottom w:val="0"/>
      <w:divBdr>
        <w:top w:val="none" w:sz="0" w:space="0" w:color="auto"/>
        <w:left w:val="none" w:sz="0" w:space="0" w:color="auto"/>
        <w:bottom w:val="none" w:sz="0" w:space="0" w:color="auto"/>
        <w:right w:val="none" w:sz="0" w:space="0" w:color="auto"/>
      </w:divBdr>
    </w:div>
    <w:div w:id="364604193">
      <w:bodyDiv w:val="1"/>
      <w:marLeft w:val="0"/>
      <w:marRight w:val="0"/>
      <w:marTop w:val="0"/>
      <w:marBottom w:val="0"/>
      <w:divBdr>
        <w:top w:val="none" w:sz="0" w:space="0" w:color="auto"/>
        <w:left w:val="none" w:sz="0" w:space="0" w:color="auto"/>
        <w:bottom w:val="none" w:sz="0" w:space="0" w:color="auto"/>
        <w:right w:val="none" w:sz="0" w:space="0" w:color="auto"/>
      </w:divBdr>
    </w:div>
    <w:div w:id="433477471">
      <w:bodyDiv w:val="1"/>
      <w:marLeft w:val="0"/>
      <w:marRight w:val="0"/>
      <w:marTop w:val="0"/>
      <w:marBottom w:val="0"/>
      <w:divBdr>
        <w:top w:val="none" w:sz="0" w:space="0" w:color="auto"/>
        <w:left w:val="none" w:sz="0" w:space="0" w:color="auto"/>
        <w:bottom w:val="none" w:sz="0" w:space="0" w:color="auto"/>
        <w:right w:val="none" w:sz="0" w:space="0" w:color="auto"/>
      </w:divBdr>
    </w:div>
    <w:div w:id="674765359">
      <w:bodyDiv w:val="1"/>
      <w:marLeft w:val="0"/>
      <w:marRight w:val="0"/>
      <w:marTop w:val="0"/>
      <w:marBottom w:val="0"/>
      <w:divBdr>
        <w:top w:val="none" w:sz="0" w:space="0" w:color="auto"/>
        <w:left w:val="none" w:sz="0" w:space="0" w:color="auto"/>
        <w:bottom w:val="none" w:sz="0" w:space="0" w:color="auto"/>
        <w:right w:val="none" w:sz="0" w:space="0" w:color="auto"/>
      </w:divBdr>
    </w:div>
    <w:div w:id="796945117">
      <w:bodyDiv w:val="1"/>
      <w:marLeft w:val="0"/>
      <w:marRight w:val="0"/>
      <w:marTop w:val="0"/>
      <w:marBottom w:val="0"/>
      <w:divBdr>
        <w:top w:val="none" w:sz="0" w:space="0" w:color="auto"/>
        <w:left w:val="none" w:sz="0" w:space="0" w:color="auto"/>
        <w:bottom w:val="none" w:sz="0" w:space="0" w:color="auto"/>
        <w:right w:val="none" w:sz="0" w:space="0" w:color="auto"/>
      </w:divBdr>
    </w:div>
    <w:div w:id="799879990">
      <w:bodyDiv w:val="1"/>
      <w:marLeft w:val="0"/>
      <w:marRight w:val="0"/>
      <w:marTop w:val="0"/>
      <w:marBottom w:val="0"/>
      <w:divBdr>
        <w:top w:val="none" w:sz="0" w:space="0" w:color="auto"/>
        <w:left w:val="none" w:sz="0" w:space="0" w:color="auto"/>
        <w:bottom w:val="none" w:sz="0" w:space="0" w:color="auto"/>
        <w:right w:val="none" w:sz="0" w:space="0" w:color="auto"/>
      </w:divBdr>
    </w:div>
    <w:div w:id="867177985">
      <w:bodyDiv w:val="1"/>
      <w:marLeft w:val="0"/>
      <w:marRight w:val="0"/>
      <w:marTop w:val="0"/>
      <w:marBottom w:val="0"/>
      <w:divBdr>
        <w:top w:val="none" w:sz="0" w:space="0" w:color="auto"/>
        <w:left w:val="none" w:sz="0" w:space="0" w:color="auto"/>
        <w:bottom w:val="none" w:sz="0" w:space="0" w:color="auto"/>
        <w:right w:val="none" w:sz="0" w:space="0" w:color="auto"/>
      </w:divBdr>
    </w:div>
    <w:div w:id="886645941">
      <w:bodyDiv w:val="1"/>
      <w:marLeft w:val="0"/>
      <w:marRight w:val="0"/>
      <w:marTop w:val="0"/>
      <w:marBottom w:val="0"/>
      <w:divBdr>
        <w:top w:val="none" w:sz="0" w:space="0" w:color="auto"/>
        <w:left w:val="none" w:sz="0" w:space="0" w:color="auto"/>
        <w:bottom w:val="none" w:sz="0" w:space="0" w:color="auto"/>
        <w:right w:val="none" w:sz="0" w:space="0" w:color="auto"/>
      </w:divBdr>
    </w:div>
    <w:div w:id="905648115">
      <w:bodyDiv w:val="1"/>
      <w:marLeft w:val="0"/>
      <w:marRight w:val="0"/>
      <w:marTop w:val="0"/>
      <w:marBottom w:val="0"/>
      <w:divBdr>
        <w:top w:val="none" w:sz="0" w:space="0" w:color="auto"/>
        <w:left w:val="none" w:sz="0" w:space="0" w:color="auto"/>
        <w:bottom w:val="none" w:sz="0" w:space="0" w:color="auto"/>
        <w:right w:val="none" w:sz="0" w:space="0" w:color="auto"/>
      </w:divBdr>
    </w:div>
    <w:div w:id="1142308263">
      <w:bodyDiv w:val="1"/>
      <w:marLeft w:val="0"/>
      <w:marRight w:val="0"/>
      <w:marTop w:val="0"/>
      <w:marBottom w:val="0"/>
      <w:divBdr>
        <w:top w:val="none" w:sz="0" w:space="0" w:color="auto"/>
        <w:left w:val="none" w:sz="0" w:space="0" w:color="auto"/>
        <w:bottom w:val="none" w:sz="0" w:space="0" w:color="auto"/>
        <w:right w:val="none" w:sz="0" w:space="0" w:color="auto"/>
      </w:divBdr>
    </w:div>
    <w:div w:id="1576236376">
      <w:bodyDiv w:val="1"/>
      <w:marLeft w:val="0"/>
      <w:marRight w:val="0"/>
      <w:marTop w:val="0"/>
      <w:marBottom w:val="0"/>
      <w:divBdr>
        <w:top w:val="none" w:sz="0" w:space="0" w:color="auto"/>
        <w:left w:val="none" w:sz="0" w:space="0" w:color="auto"/>
        <w:bottom w:val="none" w:sz="0" w:space="0" w:color="auto"/>
        <w:right w:val="none" w:sz="0" w:space="0" w:color="auto"/>
      </w:divBdr>
    </w:div>
    <w:div w:id="1659265709">
      <w:bodyDiv w:val="1"/>
      <w:marLeft w:val="0"/>
      <w:marRight w:val="0"/>
      <w:marTop w:val="0"/>
      <w:marBottom w:val="0"/>
      <w:divBdr>
        <w:top w:val="none" w:sz="0" w:space="0" w:color="auto"/>
        <w:left w:val="none" w:sz="0" w:space="0" w:color="auto"/>
        <w:bottom w:val="none" w:sz="0" w:space="0" w:color="auto"/>
        <w:right w:val="none" w:sz="0" w:space="0" w:color="auto"/>
      </w:divBdr>
    </w:div>
    <w:div w:id="1820227855">
      <w:bodyDiv w:val="1"/>
      <w:marLeft w:val="0"/>
      <w:marRight w:val="0"/>
      <w:marTop w:val="0"/>
      <w:marBottom w:val="0"/>
      <w:divBdr>
        <w:top w:val="none" w:sz="0" w:space="0" w:color="auto"/>
        <w:left w:val="none" w:sz="0" w:space="0" w:color="auto"/>
        <w:bottom w:val="none" w:sz="0" w:space="0" w:color="auto"/>
        <w:right w:val="none" w:sz="0" w:space="0" w:color="auto"/>
      </w:divBdr>
    </w:div>
    <w:div w:id="1864856757">
      <w:bodyDiv w:val="1"/>
      <w:marLeft w:val="0"/>
      <w:marRight w:val="0"/>
      <w:marTop w:val="0"/>
      <w:marBottom w:val="0"/>
      <w:divBdr>
        <w:top w:val="none" w:sz="0" w:space="0" w:color="auto"/>
        <w:left w:val="none" w:sz="0" w:space="0" w:color="auto"/>
        <w:bottom w:val="none" w:sz="0" w:space="0" w:color="auto"/>
        <w:right w:val="none" w:sz="0" w:space="0" w:color="auto"/>
      </w:divBdr>
    </w:div>
    <w:div w:id="1949896024">
      <w:bodyDiv w:val="1"/>
      <w:marLeft w:val="0"/>
      <w:marRight w:val="0"/>
      <w:marTop w:val="0"/>
      <w:marBottom w:val="0"/>
      <w:divBdr>
        <w:top w:val="none" w:sz="0" w:space="0" w:color="auto"/>
        <w:left w:val="none" w:sz="0" w:space="0" w:color="auto"/>
        <w:bottom w:val="none" w:sz="0" w:space="0" w:color="auto"/>
        <w:right w:val="none" w:sz="0" w:space="0" w:color="auto"/>
      </w:divBdr>
    </w:div>
    <w:div w:id="2002080123">
      <w:bodyDiv w:val="1"/>
      <w:marLeft w:val="0"/>
      <w:marRight w:val="0"/>
      <w:marTop w:val="0"/>
      <w:marBottom w:val="0"/>
      <w:divBdr>
        <w:top w:val="none" w:sz="0" w:space="0" w:color="auto"/>
        <w:left w:val="none" w:sz="0" w:space="0" w:color="auto"/>
        <w:bottom w:val="none" w:sz="0" w:space="0" w:color="auto"/>
        <w:right w:val="none" w:sz="0" w:space="0" w:color="auto"/>
      </w:divBdr>
    </w:div>
    <w:div w:id="2106685917">
      <w:bodyDiv w:val="1"/>
      <w:marLeft w:val="0"/>
      <w:marRight w:val="0"/>
      <w:marTop w:val="0"/>
      <w:marBottom w:val="0"/>
      <w:divBdr>
        <w:top w:val="none" w:sz="0" w:space="0" w:color="auto"/>
        <w:left w:val="none" w:sz="0" w:space="0" w:color="auto"/>
        <w:bottom w:val="none" w:sz="0" w:space="0" w:color="auto"/>
        <w:right w:val="none" w:sz="0" w:space="0" w:color="auto"/>
      </w:divBdr>
    </w:div>
    <w:div w:id="210691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gacy.ioc-unesco.org/index.php?option=com_oe&amp;task=viewDocumentRecord&amp;docID=8600" TargetMode="External"/><Relationship Id="rId13" Type="http://schemas.openxmlformats.org/officeDocument/2006/relationships/header" Target="header3.xml"/><Relationship Id="rId18" Type="http://schemas.openxmlformats.org/officeDocument/2006/relationships/hyperlink" Target="https://oceanexpert.org/document/28075" TargetMode="Externa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goosocean.org/goos-249" TargetMode="Externa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goosocean.org/index.php?option=com_oe&amp;task=viewEventRecord&amp;eventID=2921" TargetMode="External"/><Relationship Id="rId23" Type="http://schemas.openxmlformats.org/officeDocument/2006/relationships/theme" Target="theme/theme1.xml"/><Relationship Id="rId10" Type="http://schemas.openxmlformats.org/officeDocument/2006/relationships/hyperlink" Target="https://oceanexpert.org/document/28075"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unesdoc.unesco.org/ark:/48223/pf0000368020.locale=en" TargetMode="External"/><Relationship Id="rId14" Type="http://schemas.openxmlformats.org/officeDocument/2006/relationships/hyperlink" Target="https://unesdoc.unesco.org/ark:/48223/pf0000368020.locale=en"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rtl="0">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s" sz="1100" b="1" i="0" u="none" baseline="0">
                <a:solidFill>
                  <a:sysClr val="windowText" lastClr="000000"/>
                </a:solidFill>
              </a:rPr>
              <a:t>Impacto colectivo frente a la ambición (%)</a:t>
            </a:r>
          </a:p>
          <a:p>
            <a:pPr rtl="0">
              <a:defRPr/>
            </a:pPr>
            <a:r>
              <a:rPr lang="es" sz="1050" b="0" i="1" u="none" baseline="0">
                <a:solidFill>
                  <a:sysClr val="windowText" lastClr="000000"/>
                </a:solidFill>
              </a:rPr>
              <a:t>de las acciones del Plan de de Ejecución del GOOS frente a la Estrategia 2030</a:t>
            </a:r>
          </a:p>
        </c:rich>
      </c:tx>
      <c:layout>
        <c:manualLayout>
          <c:xMode val="edge"/>
          <c:yMode val="edge"/>
          <c:x val="0.12125926262408558"/>
          <c:y val="0"/>
        </c:manualLayout>
      </c:layout>
      <c:overlay val="0"/>
      <c:spPr>
        <a:noFill/>
        <a:ln>
          <a:noFill/>
        </a:ln>
        <a:effectLst/>
      </c:spPr>
      <c:txPr>
        <a:bodyPr rot="0" spcFirstLastPara="1" vertOverflow="ellipsis" vert="horz" wrap="square" anchor="ctr" anchorCtr="1"/>
        <a:lstStyle/>
        <a:p>
          <a:pPr rtl="0">
            <a:defRPr sz="140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bar"/>
        <c:grouping val="clustered"/>
        <c:varyColors val="0"/>
        <c:ser>
          <c:idx val="0"/>
          <c:order val="0"/>
          <c:tx>
            <c:strRef>
              <c:f>Sheet1!$B$1</c:f>
              <c:strCache>
                <c:ptCount val="1"/>
                <c:pt idx="0">
                  <c:v>Percent</c:v>
                </c:pt>
              </c:strCache>
            </c:strRef>
          </c:tx>
          <c:spPr>
            <a:solidFill>
              <a:schemeClr val="accent1"/>
            </a:solidFill>
            <a:ln>
              <a:noFill/>
            </a:ln>
            <a:effectLst/>
          </c:spPr>
          <c:invertIfNegative val="0"/>
          <c:cat>
            <c:strRef>
              <c:f>Sheet1!$A$2:$A$12</c:f>
              <c:strCache>
                <c:ptCount val="11"/>
                <c:pt idx="0">
                  <c:v>SO1 partnerships</c:v>
                </c:pt>
                <c:pt idx="1">
                  <c:v>SO2 advocacy</c:v>
                </c:pt>
                <c:pt idx="2">
                  <c:v>SO3 evaluation</c:v>
                </c:pt>
                <c:pt idx="3">
                  <c:v>SO4 products</c:v>
                </c:pt>
                <c:pt idx="4">
                  <c:v>SO5 guidance</c:v>
                </c:pt>
                <c:pt idx="5">
                  <c:v>SO6 obs implementation</c:v>
                </c:pt>
                <c:pt idx="6">
                  <c:v>SO7 FAIR data</c:v>
                </c:pt>
                <c:pt idx="7">
                  <c:v>SO8 innovation</c:v>
                </c:pt>
                <c:pt idx="8">
                  <c:v>SO9 capacity</c:v>
                </c:pt>
                <c:pt idx="9">
                  <c:v>SO10 human impacts</c:v>
                </c:pt>
                <c:pt idx="10">
                  <c:v>SO11 governance</c:v>
                </c:pt>
              </c:strCache>
            </c:strRef>
          </c:cat>
          <c:val>
            <c:numRef>
              <c:f>Sheet1!$B$2:$B$12</c:f>
              <c:numCache>
                <c:formatCode>General</c:formatCode>
                <c:ptCount val="11"/>
                <c:pt idx="0">
                  <c:v>20</c:v>
                </c:pt>
                <c:pt idx="1">
                  <c:v>70</c:v>
                </c:pt>
                <c:pt idx="2">
                  <c:v>70</c:v>
                </c:pt>
                <c:pt idx="3">
                  <c:v>10</c:v>
                </c:pt>
                <c:pt idx="4">
                  <c:v>60</c:v>
                </c:pt>
                <c:pt idx="5">
                  <c:v>60</c:v>
                </c:pt>
                <c:pt idx="6">
                  <c:v>70</c:v>
                </c:pt>
                <c:pt idx="7">
                  <c:v>50</c:v>
                </c:pt>
                <c:pt idx="8">
                  <c:v>20</c:v>
                </c:pt>
                <c:pt idx="9">
                  <c:v>10</c:v>
                </c:pt>
                <c:pt idx="10">
                  <c:v>30</c:v>
                </c:pt>
              </c:numCache>
            </c:numRef>
          </c:val>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http://schemas.microsoft.com/office/drawing/2014/chart" uri="{C3380CC4-5D6E-409C-BE32-E72D297353CC}">
              <c16:uniqueId val="{00000000-2D3E-2F44-ACBE-4E1A7AF7C69E}"/>
            </c:ext>
          </c:extLst>
        </c:ser>
        <c:dLbls>
          <c:showLegendKey val="0"/>
          <c:showVal val="0"/>
          <c:showCatName val="0"/>
          <c:showSerName val="0"/>
          <c:showPercent val="0"/>
          <c:showBubbleSize val="0"/>
        </c:dLbls>
        <c:gapWidth val="182"/>
        <c:axId val="290400831"/>
        <c:axId val="290402479"/>
      </c:barChart>
      <c:dateAx>
        <c:axId val="290400831"/>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rtl="0">
              <a:defRPr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crossAx val="290402479"/>
        <c:crosses val="autoZero"/>
        <c:auto val="0"/>
        <c:lblOffset val="100"/>
        <c:baseTimeUnit val="days"/>
      </c:dateAx>
      <c:valAx>
        <c:axId val="290402479"/>
        <c:scaling>
          <c:orientation val="minMax"/>
          <c:max val="100"/>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rtl="0">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n-US"/>
          </a:p>
        </c:txPr>
        <c:crossAx val="290400831"/>
        <c:crosses val="max"/>
        <c:crossBetween val="between"/>
      </c:valAx>
      <c:spPr>
        <a:noFill/>
        <a:ln>
          <a:noFill/>
        </a:ln>
        <a:effectLst/>
      </c:spPr>
    </c:plotArea>
    <c:plotVisOnly val="1"/>
    <c:dispBlanksAs val="gap"/>
    <c:extLs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D4D9A-09E7-4243-94EC-0B84122A2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2949</Words>
  <Characters>17016</Characters>
  <Application>Microsoft Office Word</Application>
  <DocSecurity>4</DocSecurity>
  <Lines>141</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Road to the UN Year</vt:lpstr>
      <vt:lpstr>The Road to the UN Year</vt:lpstr>
    </vt:vector>
  </TitlesOfParts>
  <Company>UNESCO</Company>
  <LinksUpToDate>false</LinksUpToDate>
  <CharactersWithSpaces>19926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creator>Albert Fischer</dc:creator>
  <cp:lastModifiedBy>Pastor Reyes, Ingrid</cp:lastModifiedBy>
  <cp:revision>2</cp:revision>
  <cp:lastPrinted>2021-05-31T16:48:00Z</cp:lastPrinted>
  <dcterms:created xsi:type="dcterms:W3CDTF">2021-06-09T15:45:00Z</dcterms:created>
  <dcterms:modified xsi:type="dcterms:W3CDTF">2021-06-09T15:45:00Z</dcterms:modified>
</cp:coreProperties>
</file>