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7525A8" w14:paraId="67B6F247" w14:textId="77777777">
        <w:trPr>
          <w:jc w:val="center"/>
        </w:trPr>
        <w:tc>
          <w:tcPr>
            <w:tcW w:w="7654" w:type="dxa"/>
            <w:tcMar>
              <w:top w:w="170" w:type="dxa"/>
              <w:left w:w="170" w:type="dxa"/>
              <w:bottom w:w="170" w:type="dxa"/>
              <w:right w:w="170" w:type="dxa"/>
            </w:tcMar>
          </w:tcPr>
          <w:p w14:paraId="5F58A450" w14:textId="77777777" w:rsidR="00467E3F" w:rsidRPr="007525A8" w:rsidRDefault="00B83068" w:rsidP="00853565">
            <w:pPr>
              <w:pStyle w:val="Marge"/>
              <w:jc w:val="center"/>
              <w:rPr>
                <w:rFonts w:cs="Arial"/>
                <w:szCs w:val="22"/>
              </w:rPr>
            </w:pPr>
            <w:r>
              <w:rPr>
                <w:rFonts w:cs="Arial"/>
                <w:szCs w:val="22"/>
                <w:u w:val="single"/>
                <w:lang w:val="fr"/>
              </w:rPr>
              <w:t>Résumé</w:t>
            </w:r>
          </w:p>
          <w:p w14:paraId="66A47983" w14:textId="2AD903ED" w:rsidR="00467E3F" w:rsidRPr="007525A8" w:rsidRDefault="00203761" w:rsidP="00294AD5">
            <w:pPr>
              <w:pStyle w:val="Marge"/>
              <w:spacing w:after="120"/>
              <w:rPr>
                <w:rFonts w:cs="Arial"/>
                <w:iCs/>
                <w:szCs w:val="22"/>
              </w:rPr>
            </w:pPr>
            <w:hyperlink r:id="rId8" w:history="1">
              <w:r w:rsidR="00823C91">
                <w:rPr>
                  <w:rStyle w:val="Hyperlink"/>
                  <w:rFonts w:cs="Arial"/>
                  <w:szCs w:val="22"/>
                  <w:lang w:val="fr"/>
                </w:rPr>
                <w:t>La résolution XXVI-8 de la COI</w:t>
              </w:r>
            </w:hyperlink>
            <w:r w:rsidR="00823C91">
              <w:rPr>
                <w:rFonts w:cs="Arial"/>
                <w:szCs w:val="22"/>
                <w:lang w:val="fr"/>
              </w:rPr>
              <w:t xml:space="preserve">(2011) a créé le Comité directeur du GOOS et lui a demandé de « produire un plan de travail biennal pour examen par les organes directeurs de la COI et pour adoption par l'Assemblée » </w:t>
            </w:r>
          </w:p>
          <w:p w14:paraId="602FEB7C" w14:textId="5BB9D40F" w:rsidR="00A42F1D" w:rsidRPr="007525A8" w:rsidRDefault="00467E3F" w:rsidP="00C8507A">
            <w:pPr>
              <w:pStyle w:val="Marge"/>
              <w:spacing w:after="120"/>
              <w:rPr>
                <w:rFonts w:cs="Arial"/>
                <w:szCs w:val="22"/>
              </w:rPr>
            </w:pPr>
            <w:r>
              <w:rPr>
                <w:rFonts w:cs="Arial"/>
                <w:szCs w:val="22"/>
                <w:u w:val="single"/>
                <w:lang w:val="fr"/>
              </w:rPr>
              <w:t>Objectif du document </w:t>
            </w:r>
            <w:r>
              <w:rPr>
                <w:rFonts w:cs="Arial"/>
                <w:szCs w:val="22"/>
                <w:lang w:val="fr"/>
              </w:rPr>
              <w:t xml:space="preserve">: Ce résumé exécutif du plan de mise en œuvre de l'équipe centrale du GOOS décrit les actions planifiées sur un à cinq ans pour les composants de l'équipe centrale du GOOS (Comité directeur, groupes, équipes et bureau du GOOS). Cela intègre les actions au sein du GOOS, permet une analyse vers la mise en œuvre de la </w:t>
            </w:r>
            <w:r>
              <w:rPr>
                <w:rFonts w:cs="Arial"/>
                <w:i/>
                <w:iCs/>
                <w:szCs w:val="22"/>
                <w:lang w:val="fr"/>
              </w:rPr>
              <w:t xml:space="preserve">Stratégie à l’horizon 2030 pour le Système mondial d’observation de l’océan </w:t>
            </w:r>
            <w:r>
              <w:rPr>
                <w:rFonts w:cs="Arial"/>
                <w:szCs w:val="22"/>
                <w:lang w:val="fr"/>
              </w:rPr>
              <w:t>(</w:t>
            </w:r>
            <w:hyperlink r:id="rId9" w:history="1">
              <w:r>
                <w:rPr>
                  <w:rStyle w:val="Hyperlink"/>
                  <w:rFonts w:cs="Arial"/>
                  <w:szCs w:val="22"/>
                  <w:lang w:val="fr"/>
                </w:rPr>
                <w:t>IOC/BRO/2019/5 rev</w:t>
              </w:r>
            </w:hyperlink>
            <w:r>
              <w:rPr>
                <w:rFonts w:cs="Arial"/>
                <w:szCs w:val="22"/>
                <w:lang w:val="fr"/>
              </w:rPr>
              <w:t xml:space="preserve">), une compréhension des ressources nécessaires pour entreprendre cette mise en œuvre et la manière dont le GOOS peut mieux se structurer en interne pour y parvenir, et reflète un nouveau processus intégré de planification et de suivi des travaux du GOOS. </w:t>
            </w:r>
          </w:p>
          <w:p w14:paraId="14D4AFED" w14:textId="0928059F" w:rsidR="00467E3F" w:rsidRPr="007525A8" w:rsidRDefault="009C035C" w:rsidP="009C035C">
            <w:pPr>
              <w:pStyle w:val="Marge"/>
              <w:spacing w:after="120"/>
              <w:ind w:hanging="8"/>
              <w:rPr>
                <w:rFonts w:cs="Arial"/>
                <w:szCs w:val="22"/>
              </w:rPr>
            </w:pPr>
            <w:r>
              <w:rPr>
                <w:rFonts w:cs="Arial"/>
                <w:szCs w:val="22"/>
                <w:lang w:val="fr"/>
              </w:rPr>
              <w:t xml:space="preserve">L'Assemblée est invitée à prendre note de la grande ambition de ce plan de mise en œuvre, de ses implications en termes de ressources et de la nécessité de renforcer les partenariats et les structures de soutien. Les États membres sont encouragés à travailler avec le GOOS pour déterminer comment ils peuvent aider à la mise en œuvre et ce que leurs contributions nous permettront de réaliser ensemble. </w:t>
            </w:r>
          </w:p>
          <w:p w14:paraId="17FB879E" w14:textId="13E88131" w:rsidR="00467E3F" w:rsidRPr="007525A8" w:rsidRDefault="00467E3F" w:rsidP="000C58F2">
            <w:pPr>
              <w:pStyle w:val="Marge"/>
              <w:spacing w:after="120"/>
              <w:rPr>
                <w:rFonts w:cs="Arial"/>
                <w:szCs w:val="22"/>
              </w:rPr>
            </w:pPr>
            <w:r>
              <w:rPr>
                <w:rFonts w:cs="Arial"/>
                <w:szCs w:val="22"/>
                <w:u w:val="single"/>
                <w:lang w:val="fr"/>
              </w:rPr>
              <w:t>Incidences financières et administratives :</w:t>
            </w:r>
            <w:r>
              <w:rPr>
                <w:rFonts w:cs="Arial"/>
                <w:szCs w:val="22"/>
                <w:lang w:val="fr"/>
              </w:rPr>
              <w:t xml:space="preserve"> Les incidences financières et administratives des activités s'inscrivent dans le cadre du budget ordinaire de la COI et des fonds extrabudgétaires et en nature qui peuvent être identifiées.</w:t>
            </w:r>
          </w:p>
          <w:p w14:paraId="21DAF35D" w14:textId="12711584" w:rsidR="00737A18" w:rsidRPr="007525A8" w:rsidRDefault="00413F17" w:rsidP="00003B31">
            <w:pPr>
              <w:pStyle w:val="Marge"/>
              <w:spacing w:after="120"/>
              <w:rPr>
                <w:rFonts w:cs="Arial"/>
                <w:szCs w:val="22"/>
              </w:rPr>
            </w:pPr>
            <w:r>
              <w:rPr>
                <w:szCs w:val="22"/>
                <w:u w:val="single"/>
                <w:lang w:val="fr"/>
              </w:rPr>
              <w:t>La décision proposée</w:t>
            </w:r>
            <w:r>
              <w:rPr>
                <w:szCs w:val="22"/>
                <w:lang w:val="fr"/>
              </w:rPr>
              <w:t xml:space="preserve"> </w:t>
            </w:r>
            <w:r>
              <w:rPr>
                <w:lang w:val="fr"/>
              </w:rPr>
              <w:t>est référencée Dec. A-31/3.5.2</w:t>
            </w:r>
            <w:r>
              <w:rPr>
                <w:szCs w:val="22"/>
                <w:lang w:val="fr"/>
              </w:rPr>
              <w:t xml:space="preserve"> dans le deuxième document révisé relatif aux décisions à adopter (document </w:t>
            </w:r>
            <w:hyperlink r:id="rId10" w:history="1">
              <w:r>
                <w:rPr>
                  <w:rStyle w:val="Hyperlink"/>
                  <w:rFonts w:cs="Arial"/>
                  <w:szCs w:val="22"/>
                  <w:lang w:val="fr"/>
                </w:rPr>
                <w:t>IOC/A-31/AP Rev.2</w:t>
              </w:r>
            </w:hyperlink>
            <w:r>
              <w:rPr>
                <w:szCs w:val="22"/>
                <w:lang w:val="fr"/>
              </w:rPr>
              <w:t>).</w:t>
            </w:r>
          </w:p>
        </w:tc>
      </w:tr>
    </w:tbl>
    <w:p w14:paraId="7079702C" w14:textId="77777777" w:rsidR="00746B89" w:rsidRPr="007525A8" w:rsidRDefault="00746B89" w:rsidP="005C7A36">
      <w:pPr>
        <w:pStyle w:val="Heading3"/>
        <w:sectPr w:rsidR="00746B89" w:rsidRPr="007525A8" w:rsidSect="003F7186">
          <w:headerReference w:type="even" r:id="rId11"/>
          <w:headerReference w:type="default" r:id="rId12"/>
          <w:headerReference w:type="first" r:id="rId13"/>
          <w:type w:val="continuous"/>
          <w:pgSz w:w="11906" w:h="16838" w:code="9"/>
          <w:pgMar w:top="1418" w:right="1134" w:bottom="1134" w:left="1134" w:header="709" w:footer="680" w:gutter="0"/>
          <w:pgNumType w:start="1"/>
          <w:cols w:space="708"/>
          <w:titlePg/>
          <w:docGrid w:linePitch="360"/>
        </w:sectPr>
      </w:pPr>
    </w:p>
    <w:p w14:paraId="3EC84229" w14:textId="77777777" w:rsidR="003C64EB" w:rsidRPr="007525A8" w:rsidRDefault="003C64EB" w:rsidP="003C64EB">
      <w:pPr>
        <w:pStyle w:val="Heading3"/>
      </w:pPr>
      <w:r>
        <w:rPr>
          <w:lang w:val="fr"/>
        </w:rPr>
        <w:lastRenderedPageBreak/>
        <w:t>Introduction</w:t>
      </w:r>
    </w:p>
    <w:p w14:paraId="57A5C226" w14:textId="5FB0E151" w:rsidR="009162AC" w:rsidRPr="007525A8" w:rsidRDefault="009162AC" w:rsidP="002B7A3F">
      <w:pPr>
        <w:pStyle w:val="COI"/>
      </w:pPr>
      <w:r>
        <w:rPr>
          <w:bCs w:val="0"/>
          <w:lang w:val="fr"/>
        </w:rPr>
        <w:t xml:space="preserve">L'objectif du plan de mise en œuvre de l'équipe centrale du Système mondial d'observation de l'océan (GOOS) est de proposer un processus de planification qui anime la </w:t>
      </w:r>
      <w:hyperlink r:id="rId14" w:history="1">
        <w:r>
          <w:rPr>
            <w:rStyle w:val="Hyperlink"/>
            <w:bCs w:val="0"/>
            <w:i/>
            <w:iCs/>
            <w:lang w:val="fr"/>
          </w:rPr>
          <w:t>Stratégie à l'horizon 2030 du Système mondial d'observation de l'océan</w:t>
        </w:r>
      </w:hyperlink>
      <w:r>
        <w:rPr>
          <w:bCs w:val="0"/>
          <w:i/>
          <w:iCs/>
          <w:lang w:val="fr"/>
        </w:rPr>
        <w:t xml:space="preserve"> </w:t>
      </w:r>
      <w:r>
        <w:rPr>
          <w:bCs w:val="0"/>
          <w:lang w:val="fr"/>
        </w:rPr>
        <w:t>et façonne le programme à réaliser. Il se concentre sur les actions de l'équipe centrale du GOOS, qui s'articule autour de ces composantes :</w:t>
      </w:r>
    </w:p>
    <w:p w14:paraId="18ACE719" w14:textId="4797B16E" w:rsidR="009162AC" w:rsidRPr="007525A8" w:rsidRDefault="0002051C" w:rsidP="00C8507A">
      <w:pPr>
        <w:pStyle w:val="ListBullet2"/>
        <w:tabs>
          <w:tab w:val="clear" w:pos="567"/>
          <w:tab w:val="clear" w:pos="851"/>
          <w:tab w:val="left" w:pos="709"/>
          <w:tab w:val="num" w:pos="1276"/>
        </w:tabs>
        <w:ind w:left="1276" w:hanging="567"/>
        <w:jc w:val="both"/>
      </w:pPr>
      <w:r>
        <w:rPr>
          <w:u w:val="single"/>
          <w:lang w:val="fr"/>
        </w:rPr>
        <w:t>Comité directeur du GOOS </w:t>
      </w:r>
      <w:r>
        <w:rPr>
          <w:lang w:val="fr"/>
        </w:rPr>
        <w:t xml:space="preserve">: fournit des directives à l'équipe centrale du GOOS pour la mise en œuvre de ses objectifs stratégiques et la création de partenariats extérieurs. </w:t>
      </w:r>
    </w:p>
    <w:p w14:paraId="3C2A5B63" w14:textId="7A34198E" w:rsidR="009162AC" w:rsidRPr="007525A8" w:rsidRDefault="009162AC" w:rsidP="00C8507A">
      <w:pPr>
        <w:pStyle w:val="ListBullet2"/>
        <w:tabs>
          <w:tab w:val="clear" w:pos="851"/>
          <w:tab w:val="num" w:pos="1276"/>
        </w:tabs>
        <w:ind w:left="1276" w:hanging="567"/>
        <w:jc w:val="both"/>
      </w:pPr>
      <w:r>
        <w:rPr>
          <w:u w:val="single"/>
          <w:lang w:val="fr"/>
        </w:rPr>
        <w:t>Groupes d'experts </w:t>
      </w:r>
      <w:r>
        <w:rPr>
          <w:lang w:val="fr"/>
        </w:rPr>
        <w:t>: groupes d'experts en physique et climat, biogéochimie et biologie et écosystèmes ; essentiels pour identifier les besoins des utilisateurs et évaluer le système.</w:t>
      </w:r>
    </w:p>
    <w:p w14:paraId="4000AC5F" w14:textId="652D2C7C" w:rsidR="009162AC" w:rsidRPr="007525A8" w:rsidRDefault="0002051C" w:rsidP="00C8507A">
      <w:pPr>
        <w:pStyle w:val="ListBullet2"/>
        <w:tabs>
          <w:tab w:val="clear" w:pos="851"/>
          <w:tab w:val="num" w:pos="1276"/>
        </w:tabs>
        <w:ind w:left="1276" w:hanging="567"/>
        <w:jc w:val="both"/>
      </w:pPr>
      <w:r>
        <w:rPr>
          <w:u w:val="single"/>
          <w:lang w:val="fr"/>
        </w:rPr>
        <w:t>Groupe de coordination des observations du GOOS </w:t>
      </w:r>
      <w:r>
        <w:rPr>
          <w:lang w:val="fr"/>
        </w:rPr>
        <w:t>: renforce la mise en œuvre du GOOS en coordonnant le système par le biais de 12 réseaux d'observation mondiaux et de l'OceanOPS.</w:t>
      </w:r>
    </w:p>
    <w:p w14:paraId="74E19652" w14:textId="015BDFEF" w:rsidR="009162AC" w:rsidRPr="007525A8" w:rsidRDefault="0002051C" w:rsidP="00C8507A">
      <w:pPr>
        <w:pStyle w:val="ListBullet2"/>
        <w:tabs>
          <w:tab w:val="clear" w:pos="851"/>
          <w:tab w:val="num" w:pos="1276"/>
        </w:tabs>
        <w:ind w:left="1276" w:hanging="567"/>
        <w:jc w:val="both"/>
      </w:pPr>
      <w:r>
        <w:rPr>
          <w:u w:val="single"/>
          <w:lang w:val="fr"/>
        </w:rPr>
        <w:t>Équipe d'experts du GOOS sur les systèmes opérationnels de prévision océanique :</w:t>
      </w:r>
      <w:r>
        <w:rPr>
          <w:lang w:val="fr"/>
        </w:rPr>
        <w:t xml:space="preserve"> guide les initiatives visant à améliorer la capacité, la qualité et l'interopérabilité des produits de prévision des modèles océaniques.</w:t>
      </w:r>
    </w:p>
    <w:p w14:paraId="0D50B184" w14:textId="77777777" w:rsidR="009162AC" w:rsidRPr="007525A8" w:rsidRDefault="009162AC" w:rsidP="00C8507A">
      <w:pPr>
        <w:pStyle w:val="ListBullet2"/>
        <w:tabs>
          <w:tab w:val="clear" w:pos="851"/>
          <w:tab w:val="num" w:pos="1276"/>
        </w:tabs>
        <w:ind w:left="1276" w:hanging="567"/>
        <w:jc w:val="both"/>
      </w:pPr>
      <w:r>
        <w:rPr>
          <w:u w:val="single"/>
          <w:lang w:val="fr"/>
        </w:rPr>
        <w:t>Alliances régionales pour le GOOS</w:t>
      </w:r>
      <w:r>
        <w:rPr>
          <w:lang w:val="fr"/>
        </w:rPr>
        <w:t>: identifient, permettent et développent la surveillance et les services océaniques du GOOS afin de répondre aux priorités régionales et nationales.</w:t>
      </w:r>
    </w:p>
    <w:p w14:paraId="6BB6D3D1" w14:textId="77777777" w:rsidR="009162AC" w:rsidRPr="007525A8" w:rsidRDefault="009162AC" w:rsidP="00C8507A">
      <w:pPr>
        <w:pStyle w:val="ListBullet2"/>
        <w:tabs>
          <w:tab w:val="clear" w:pos="851"/>
          <w:tab w:val="num" w:pos="1276"/>
        </w:tabs>
        <w:ind w:left="1276" w:hanging="567"/>
        <w:jc w:val="both"/>
      </w:pPr>
      <w:r>
        <w:rPr>
          <w:u w:val="single"/>
          <w:lang w:val="fr"/>
        </w:rPr>
        <w:t>Projets du GOOS </w:t>
      </w:r>
      <w:r>
        <w:rPr>
          <w:lang w:val="fr"/>
        </w:rPr>
        <w:t>: font progresser l'innovation et élargissent le système d'observation, les services et la prestation de produits en se développant dans de nouveaux domaines et capacités.</w:t>
      </w:r>
    </w:p>
    <w:p w14:paraId="6BA6C3DB" w14:textId="551B18F9" w:rsidR="009162AC" w:rsidRPr="007525A8" w:rsidRDefault="009162AC" w:rsidP="00C8507A">
      <w:pPr>
        <w:pStyle w:val="ListBullet2"/>
        <w:tabs>
          <w:tab w:val="clear" w:pos="851"/>
          <w:tab w:val="num" w:pos="1276"/>
        </w:tabs>
        <w:ind w:left="1276" w:hanging="567"/>
        <w:jc w:val="both"/>
      </w:pPr>
      <w:r>
        <w:rPr>
          <w:u w:val="single"/>
          <w:lang w:val="fr"/>
        </w:rPr>
        <w:t>Bureau du GOOS </w:t>
      </w:r>
      <w:r>
        <w:rPr>
          <w:lang w:val="fr"/>
        </w:rPr>
        <w:t>: l'équipe de coordination centrale du GOOS travaille à plein temps pour permettre à l'équipe centrale du GOOS de fonctionner, et pour permettre la connexion entre le GOOS, les partenaires, les sponsors et l'entreprise d'observation. Une fonction centrale de coordination du GOOS est hébergée à la COI.</w:t>
      </w:r>
    </w:p>
    <w:p w14:paraId="11AB0B3C" w14:textId="71B7E0E1" w:rsidR="009162AC" w:rsidRPr="007525A8" w:rsidRDefault="009162AC" w:rsidP="002B7A3F">
      <w:pPr>
        <w:pStyle w:val="COI"/>
      </w:pPr>
      <w:r>
        <w:rPr>
          <w:bCs w:val="0"/>
          <w:lang w:val="fr"/>
        </w:rPr>
        <w:t>Le plan de mise en œuvre complet du GOOS était un document de travail pour la 10</w:t>
      </w:r>
      <w:r>
        <w:rPr>
          <w:bCs w:val="0"/>
          <w:vertAlign w:val="superscript"/>
          <w:lang w:val="fr"/>
        </w:rPr>
        <w:t>e </w:t>
      </w:r>
      <w:r>
        <w:rPr>
          <w:bCs w:val="0"/>
          <w:lang w:val="fr"/>
        </w:rPr>
        <w:t xml:space="preserve">réunion du Comité directeur du GOOS (26-29 avril 2021, </w:t>
      </w:r>
      <w:hyperlink r:id="rId15" w:history="1">
        <w:r>
          <w:rPr>
            <w:rStyle w:val="Hyperlink"/>
            <w:bCs w:val="0"/>
            <w:lang w:val="fr"/>
          </w:rPr>
          <w:t>goosocean.org/goos-sc-10-1</w:t>
        </w:r>
      </w:hyperlink>
      <w:r>
        <w:rPr>
          <w:bCs w:val="0"/>
          <w:lang w:val="fr"/>
        </w:rPr>
        <w:t>), et comprend les détails de 58 actions, y compris les responsables de l'équipe centrale du GOOS, le travail proposé, les résultats et les impacts, les partenaires, les ressources nécessaires et les dépendances. Cette vision intégrée des actions de l'ensemble de l'équipe centrale du GOOS a fourni au Comité directeur une visibilité de l'action en vue de la mise en œuvre de la stratégie à l'horizon 2030, permettant de fixer des priorités, d'identifier les lacunes, d'établir et de gérer des partenariats, et de comprendre les implications en termes de ressources et de structure. Il reste à intégrer pleinement le travail des projets GOOS dans le processus de planification.</w:t>
      </w:r>
    </w:p>
    <w:p w14:paraId="1A81C667" w14:textId="04825201" w:rsidR="0002051C" w:rsidRPr="007525A8" w:rsidRDefault="0002051C" w:rsidP="002B7A3F">
      <w:pPr>
        <w:pStyle w:val="COI"/>
      </w:pPr>
      <w:r>
        <w:rPr>
          <w:bCs w:val="0"/>
          <w:lang w:val="fr"/>
        </w:rPr>
        <w:t xml:space="preserve">Le lancement de la Décennie des Nations Unies pour les sciences océaniques a rendu le travail du GOOS plus important qu'il ne l'a jamais été. Le GOOS a identifié trois domaines d'action clés qui résument la transformation nécessaire. Ces programmes du GOOS - Ocean Observing Co-Design, CoastPredict et Observing Together - sont les premiers d'une longue série de programmes qui contribueront activement à la Décennie et à son défi en matière d'observation des océans. Ces programmes sont intégrés dans les actions et représentent les principales activités décennales du GOOS ainsi que des vecteurs pour le développement de partenariats. À mesure que les programmes se développent, leur contribution aux objectifs stratégiques et leur interaction avec les autres actions du GOOS se développeront également. S'ils sont financés, ces programmes ont le </w:t>
      </w:r>
      <w:r>
        <w:rPr>
          <w:bCs w:val="0"/>
          <w:lang w:val="fr"/>
        </w:rPr>
        <w:lastRenderedPageBreak/>
        <w:t>pouvoir de soutenir des initiatives transformationnelles majeures pour le GOOS et la communauté de l'observation des océans.</w:t>
      </w:r>
    </w:p>
    <w:p w14:paraId="4DE21BA1" w14:textId="169094A2" w:rsidR="00BB4185" w:rsidRPr="007525A8" w:rsidRDefault="00BB4185" w:rsidP="002B7A3F">
      <w:pPr>
        <w:pStyle w:val="COI"/>
      </w:pPr>
      <w:r>
        <w:rPr>
          <w:bCs w:val="0"/>
          <w:lang w:val="fr"/>
        </w:rPr>
        <w:t>Ce résumé exécutif fournit aux États membres de l'Assemblée de la COI une analyse de haut niveau des priorités de mise en œuvre et des implications en termes de ressources. La mise en œuvre dépendra des ressources fournies par la COI, l'OMM et du soutien extrabudgétaire et en nature qui peut être identifié auprès des États membres et des organisations partenaires.</w:t>
      </w:r>
    </w:p>
    <w:p w14:paraId="6B21461B" w14:textId="34C289DF" w:rsidR="003C64EB" w:rsidRPr="007525A8" w:rsidRDefault="0002051C" w:rsidP="005C7A36">
      <w:pPr>
        <w:pStyle w:val="Heading3"/>
      </w:pPr>
      <w:r>
        <w:rPr>
          <w:lang w:val="fr"/>
        </w:rPr>
        <w:t>Actions vues par le biais des objectifs stratégiques du GOOS</w:t>
      </w:r>
    </w:p>
    <w:p w14:paraId="06B8E052" w14:textId="33730FC5" w:rsidR="005B5174" w:rsidRPr="007525A8" w:rsidRDefault="005B5174" w:rsidP="002B7A3F">
      <w:pPr>
        <w:pStyle w:val="COI"/>
      </w:pPr>
      <w:r>
        <w:rPr>
          <w:bCs w:val="0"/>
          <w:lang w:val="fr"/>
        </w:rPr>
        <w:t>Le tableau suivant recense les 58 actions du plan de mise en œuvre et leur niveau (activité principale du GOOS, multi-élément, élément unique et programme de la Décennie), organisé d'après les onze objectifs stratégiques (OS) du GOOS.</w:t>
      </w:r>
    </w:p>
    <w:tbl>
      <w:tblPr>
        <w:tblStyle w:val="TableGrid"/>
        <w:tblW w:w="0" w:type="auto"/>
        <w:tblLayout w:type="fixed"/>
        <w:tblLook w:val="04A0" w:firstRow="1" w:lastRow="0" w:firstColumn="1" w:lastColumn="0" w:noHBand="0" w:noVBand="1"/>
      </w:tblPr>
      <w:tblGrid>
        <w:gridCol w:w="1129"/>
        <w:gridCol w:w="6663"/>
        <w:gridCol w:w="1836"/>
      </w:tblGrid>
      <w:tr w:rsidR="00343EFA" w:rsidRPr="006F399F" w14:paraId="2BA8253C" w14:textId="77777777" w:rsidTr="00C8507A">
        <w:trPr>
          <w:tblHeader/>
        </w:trPr>
        <w:tc>
          <w:tcPr>
            <w:tcW w:w="1129" w:type="dxa"/>
          </w:tcPr>
          <w:p w14:paraId="2EDFABD5" w14:textId="399AAE72" w:rsidR="00343EFA" w:rsidRPr="006F399F" w:rsidRDefault="00343EFA" w:rsidP="00C8507A">
            <w:pPr>
              <w:pStyle w:val="COI"/>
              <w:numPr>
                <w:ilvl w:val="0"/>
                <w:numId w:val="0"/>
              </w:numPr>
            </w:pPr>
            <w:r>
              <w:rPr>
                <w:bCs w:val="0"/>
                <w:lang w:val="fr"/>
              </w:rPr>
              <w:t>Numéro</w:t>
            </w:r>
          </w:p>
        </w:tc>
        <w:tc>
          <w:tcPr>
            <w:tcW w:w="6663" w:type="dxa"/>
          </w:tcPr>
          <w:p w14:paraId="55CFC5CC" w14:textId="3A9AB833" w:rsidR="00343EFA" w:rsidRPr="006F399F" w:rsidRDefault="00343EFA" w:rsidP="002B7A3F">
            <w:pPr>
              <w:pStyle w:val="COI"/>
              <w:numPr>
                <w:ilvl w:val="0"/>
                <w:numId w:val="0"/>
              </w:numPr>
            </w:pPr>
            <w:r>
              <w:rPr>
                <w:bCs w:val="0"/>
                <w:lang w:val="fr"/>
              </w:rPr>
              <w:t>Action</w:t>
            </w:r>
          </w:p>
        </w:tc>
        <w:tc>
          <w:tcPr>
            <w:tcW w:w="1836" w:type="dxa"/>
          </w:tcPr>
          <w:p w14:paraId="1EE3FE86" w14:textId="5E39920F" w:rsidR="00343EFA" w:rsidRPr="006F399F" w:rsidRDefault="00343EFA" w:rsidP="002B7A3F">
            <w:pPr>
              <w:pStyle w:val="COI"/>
              <w:numPr>
                <w:ilvl w:val="0"/>
                <w:numId w:val="0"/>
              </w:numPr>
            </w:pPr>
            <w:r>
              <w:rPr>
                <w:bCs w:val="0"/>
                <w:lang w:val="fr"/>
              </w:rPr>
              <w:t>Niveau</w:t>
            </w:r>
          </w:p>
        </w:tc>
      </w:tr>
      <w:tr w:rsidR="00B6431D" w:rsidRPr="006F399F" w14:paraId="09B9D65C" w14:textId="77777777" w:rsidTr="00C8507A">
        <w:trPr>
          <w:tblHeader/>
        </w:trPr>
        <w:tc>
          <w:tcPr>
            <w:tcW w:w="9628" w:type="dxa"/>
            <w:gridSpan w:val="3"/>
            <w:shd w:val="clear" w:color="auto" w:fill="D9D9D9" w:themeFill="background1" w:themeFillShade="D9"/>
          </w:tcPr>
          <w:p w14:paraId="2D6152FF" w14:textId="69EA14D1" w:rsidR="00B6431D" w:rsidRPr="006F399F" w:rsidRDefault="00B6431D" w:rsidP="002B7A3F">
            <w:pPr>
              <w:pStyle w:val="COI"/>
              <w:numPr>
                <w:ilvl w:val="0"/>
                <w:numId w:val="0"/>
              </w:numPr>
              <w:ind w:left="28"/>
            </w:pPr>
            <w:r>
              <w:rPr>
                <w:bCs w:val="0"/>
                <w:lang w:val="fr"/>
              </w:rPr>
              <w:t>Objectif : Approfondir la mobilisation et l'impact</w:t>
            </w:r>
          </w:p>
        </w:tc>
      </w:tr>
      <w:tr w:rsidR="00343EFA" w:rsidRPr="006F399F" w14:paraId="74BFF2DF" w14:textId="77777777" w:rsidTr="00770E7F">
        <w:tc>
          <w:tcPr>
            <w:tcW w:w="9628" w:type="dxa"/>
            <w:gridSpan w:val="3"/>
            <w:shd w:val="clear" w:color="auto" w:fill="F2F2F2" w:themeFill="background1" w:themeFillShade="F2"/>
          </w:tcPr>
          <w:p w14:paraId="7E4D40E8" w14:textId="2B627CF3" w:rsidR="00343EFA" w:rsidRPr="006F399F" w:rsidRDefault="00770E7F" w:rsidP="002B7A3F">
            <w:pPr>
              <w:pStyle w:val="COI"/>
              <w:numPr>
                <w:ilvl w:val="0"/>
                <w:numId w:val="0"/>
              </w:numPr>
              <w:ind w:left="28"/>
            </w:pPr>
            <w:bookmarkStart w:id="0" w:name="SO_1"/>
            <w:r>
              <w:rPr>
                <w:b/>
                <w:lang w:val="fr"/>
              </w:rPr>
              <w:t>OS1</w:t>
            </w:r>
            <w:bookmarkEnd w:id="0"/>
            <w:r>
              <w:rPr>
                <w:bCs w:val="0"/>
                <w:lang w:val="fr"/>
              </w:rPr>
              <w:t>. Renforcer les partenariats, afin d’améliorer les prestations en matière de prévisions, de services et d’évaluations scientifiques</w:t>
            </w:r>
          </w:p>
        </w:tc>
      </w:tr>
      <w:tr w:rsidR="0031621C" w:rsidRPr="006F399F" w14:paraId="345E42ED" w14:textId="77777777" w:rsidTr="0031621C">
        <w:trPr>
          <w:trHeight w:val="283"/>
        </w:trPr>
        <w:tc>
          <w:tcPr>
            <w:tcW w:w="1129" w:type="dxa"/>
            <w:noWrap/>
            <w:hideMark/>
          </w:tcPr>
          <w:p w14:paraId="2013B9C8"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1.1</w:t>
            </w:r>
          </w:p>
        </w:tc>
        <w:tc>
          <w:tcPr>
            <w:tcW w:w="6663" w:type="dxa"/>
            <w:noWrap/>
            <w:hideMark/>
          </w:tcPr>
          <w:p w14:paraId="2FCAF98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Évaluation des Alliances régionales pour le GOOS en ce qui concerne les prévisions et les services</w:t>
            </w:r>
          </w:p>
        </w:tc>
        <w:tc>
          <w:tcPr>
            <w:tcW w:w="1836" w:type="dxa"/>
            <w:hideMark/>
          </w:tcPr>
          <w:p w14:paraId="18D4BCDE" w14:textId="2B6ED7A7"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78A556EA" w14:textId="77777777" w:rsidTr="0031621C">
        <w:trPr>
          <w:trHeight w:val="283"/>
        </w:trPr>
        <w:tc>
          <w:tcPr>
            <w:tcW w:w="1129" w:type="dxa"/>
            <w:noWrap/>
            <w:hideMark/>
          </w:tcPr>
          <w:p w14:paraId="1F3A535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1.2</w:t>
            </w:r>
          </w:p>
        </w:tc>
        <w:tc>
          <w:tcPr>
            <w:tcW w:w="6663" w:type="dxa"/>
            <w:noWrap/>
            <w:hideMark/>
          </w:tcPr>
          <w:p w14:paraId="1B9D0BC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Partenariats pour la prestation</w:t>
            </w:r>
          </w:p>
        </w:tc>
        <w:tc>
          <w:tcPr>
            <w:tcW w:w="1836" w:type="dxa"/>
            <w:hideMark/>
          </w:tcPr>
          <w:p w14:paraId="72D88CFA" w14:textId="11DF418A"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43EFA" w:rsidRPr="006F399F" w14:paraId="38C1813D" w14:textId="77777777" w:rsidTr="00770E7F">
        <w:trPr>
          <w:trHeight w:val="283"/>
        </w:trPr>
        <w:tc>
          <w:tcPr>
            <w:tcW w:w="9628" w:type="dxa"/>
            <w:gridSpan w:val="3"/>
            <w:shd w:val="clear" w:color="auto" w:fill="F2F2F2" w:themeFill="background1" w:themeFillShade="F2"/>
            <w:noWrap/>
          </w:tcPr>
          <w:p w14:paraId="465151F2" w14:textId="0AB0196E" w:rsidR="00343EFA" w:rsidRPr="00C8507A" w:rsidRDefault="00770E7F" w:rsidP="00343EFA">
            <w:pPr>
              <w:tabs>
                <w:tab w:val="clear" w:pos="567"/>
              </w:tabs>
              <w:snapToGrid/>
              <w:rPr>
                <w:rFonts w:asciiTheme="minorBidi" w:hAnsiTheme="minorBidi" w:cstheme="minorBidi"/>
                <w:bCs/>
                <w:snapToGrid/>
                <w:szCs w:val="22"/>
              </w:rPr>
            </w:pPr>
            <w:bookmarkStart w:id="1" w:name="SO_2"/>
            <w:r>
              <w:rPr>
                <w:rFonts w:asciiTheme="minorBidi" w:hAnsiTheme="minorBidi" w:cstheme="minorBidi"/>
                <w:b/>
                <w:bCs/>
                <w:snapToGrid/>
                <w:szCs w:val="22"/>
                <w:lang w:val="fr"/>
              </w:rPr>
              <w:t>OS2 </w:t>
            </w:r>
            <w:r>
              <w:rPr>
                <w:rFonts w:asciiTheme="minorBidi" w:hAnsiTheme="minorBidi" w:cstheme="minorBidi"/>
                <w:snapToGrid/>
                <w:szCs w:val="22"/>
                <w:lang w:val="fr"/>
              </w:rPr>
              <w:t xml:space="preserve">: </w:t>
            </w:r>
            <w:bookmarkEnd w:id="1"/>
            <w:r>
              <w:rPr>
                <w:rFonts w:asciiTheme="minorBidi" w:hAnsiTheme="minorBidi" w:cstheme="minorBidi"/>
                <w:snapToGrid/>
                <w:szCs w:val="22"/>
                <w:lang w:val="fr"/>
              </w:rPr>
              <w:t>Renforcer les activités de sensibilisation et la visibilité auprès des parties prenantes en communiquant avec les principaux utilisateurs et les donateurs nationaux</w:t>
            </w:r>
          </w:p>
        </w:tc>
      </w:tr>
      <w:tr w:rsidR="0031621C" w:rsidRPr="006F399F" w14:paraId="61B5D9BF" w14:textId="77777777" w:rsidTr="0031621C">
        <w:trPr>
          <w:trHeight w:val="283"/>
        </w:trPr>
        <w:tc>
          <w:tcPr>
            <w:tcW w:w="1129" w:type="dxa"/>
            <w:noWrap/>
            <w:hideMark/>
          </w:tcPr>
          <w:p w14:paraId="7A045833"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2.1</w:t>
            </w:r>
          </w:p>
        </w:tc>
        <w:tc>
          <w:tcPr>
            <w:tcW w:w="6663" w:type="dxa"/>
            <w:noWrap/>
            <w:hideMark/>
          </w:tcPr>
          <w:p w14:paraId="13B88CD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Valeur du projet d'observation des océans</w:t>
            </w:r>
          </w:p>
        </w:tc>
        <w:tc>
          <w:tcPr>
            <w:tcW w:w="1836" w:type="dxa"/>
            <w:hideMark/>
          </w:tcPr>
          <w:p w14:paraId="2A001F19" w14:textId="7A4DAC6C"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649068AB" w14:textId="77777777" w:rsidTr="0031621C">
        <w:trPr>
          <w:trHeight w:val="283"/>
        </w:trPr>
        <w:tc>
          <w:tcPr>
            <w:tcW w:w="1129" w:type="dxa"/>
            <w:noWrap/>
            <w:hideMark/>
          </w:tcPr>
          <w:p w14:paraId="186F622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2.2</w:t>
            </w:r>
          </w:p>
        </w:tc>
        <w:tc>
          <w:tcPr>
            <w:tcW w:w="6663" w:type="dxa"/>
            <w:noWrap/>
            <w:hideMark/>
          </w:tcPr>
          <w:p w14:paraId="0415765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Plan de communication du GOOS</w:t>
            </w:r>
          </w:p>
        </w:tc>
        <w:tc>
          <w:tcPr>
            <w:tcW w:w="1836" w:type="dxa"/>
            <w:hideMark/>
          </w:tcPr>
          <w:p w14:paraId="4669D154" w14:textId="445BFF12"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197F2BB6" w14:textId="77777777" w:rsidTr="0031621C">
        <w:trPr>
          <w:trHeight w:val="283"/>
        </w:trPr>
        <w:tc>
          <w:tcPr>
            <w:tcW w:w="1129" w:type="dxa"/>
            <w:noWrap/>
            <w:hideMark/>
          </w:tcPr>
          <w:p w14:paraId="130C4A3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2.3</w:t>
            </w:r>
          </w:p>
        </w:tc>
        <w:tc>
          <w:tcPr>
            <w:tcW w:w="6663" w:type="dxa"/>
            <w:noWrap/>
            <w:hideMark/>
          </w:tcPr>
          <w:p w14:paraId="59877DD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Développement du rôle de point focal national du GOOS</w:t>
            </w:r>
          </w:p>
        </w:tc>
        <w:tc>
          <w:tcPr>
            <w:tcW w:w="1836" w:type="dxa"/>
            <w:hideMark/>
          </w:tcPr>
          <w:p w14:paraId="3DF274FF" w14:textId="1494CA1B"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5408CE20" w14:textId="77777777" w:rsidTr="0031621C">
        <w:trPr>
          <w:trHeight w:val="283"/>
        </w:trPr>
        <w:tc>
          <w:tcPr>
            <w:tcW w:w="1129" w:type="dxa"/>
            <w:noWrap/>
            <w:hideMark/>
          </w:tcPr>
          <w:p w14:paraId="3EBCAD2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2.4</w:t>
            </w:r>
          </w:p>
        </w:tc>
        <w:tc>
          <w:tcPr>
            <w:tcW w:w="6663" w:type="dxa"/>
            <w:noWrap/>
            <w:hideMark/>
          </w:tcPr>
          <w:p w14:paraId="674A6D7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Développement du bulletin annuel sur l'observation des océans (</w:t>
            </w:r>
            <w:r>
              <w:rPr>
                <w:rFonts w:asciiTheme="minorBidi" w:hAnsiTheme="minorBidi" w:cstheme="minorBidi"/>
                <w:i/>
                <w:iCs/>
                <w:snapToGrid/>
                <w:szCs w:val="22"/>
                <w:lang w:val="fr"/>
              </w:rPr>
              <w:t>Ocean Observing System Report Card)</w:t>
            </w:r>
          </w:p>
        </w:tc>
        <w:tc>
          <w:tcPr>
            <w:tcW w:w="1836" w:type="dxa"/>
            <w:hideMark/>
          </w:tcPr>
          <w:p w14:paraId="2D55EA43" w14:textId="26D1A44B"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43EFA" w:rsidRPr="006F399F" w14:paraId="6D3E58DB" w14:textId="77777777" w:rsidTr="00770E7F">
        <w:trPr>
          <w:trHeight w:val="283"/>
        </w:trPr>
        <w:tc>
          <w:tcPr>
            <w:tcW w:w="9628" w:type="dxa"/>
            <w:gridSpan w:val="3"/>
            <w:shd w:val="clear" w:color="auto" w:fill="F2F2F2" w:themeFill="background1" w:themeFillShade="F2"/>
            <w:noWrap/>
          </w:tcPr>
          <w:p w14:paraId="68C51EE0" w14:textId="23BACAF2" w:rsidR="00343EFA" w:rsidRPr="00C8507A" w:rsidRDefault="00770E7F" w:rsidP="00343EFA">
            <w:pPr>
              <w:tabs>
                <w:tab w:val="clear" w:pos="567"/>
              </w:tabs>
              <w:snapToGrid/>
              <w:rPr>
                <w:rFonts w:asciiTheme="minorBidi" w:hAnsiTheme="minorBidi" w:cstheme="minorBidi"/>
                <w:bCs/>
                <w:snapToGrid/>
                <w:szCs w:val="22"/>
              </w:rPr>
            </w:pPr>
            <w:bookmarkStart w:id="2" w:name="SO_3"/>
            <w:r>
              <w:rPr>
                <w:rFonts w:asciiTheme="minorBidi" w:hAnsiTheme="minorBidi" w:cstheme="minorBidi"/>
                <w:snapToGrid/>
                <w:szCs w:val="22"/>
                <w:lang w:val="fr"/>
              </w:rPr>
              <w:t>OS3 </w:t>
            </w:r>
            <w:bookmarkEnd w:id="2"/>
            <w:r>
              <w:rPr>
                <w:rFonts w:asciiTheme="minorBidi" w:hAnsiTheme="minorBidi" w:cstheme="minorBidi"/>
                <w:b/>
                <w:bCs/>
                <w:snapToGrid/>
                <w:szCs w:val="22"/>
                <w:lang w:val="fr"/>
              </w:rPr>
              <w:t>:</w:t>
            </w:r>
            <w:r>
              <w:rPr>
                <w:rFonts w:asciiTheme="minorBidi" w:hAnsiTheme="minorBidi" w:cstheme="minorBidi"/>
                <w:snapToGrid/>
                <w:szCs w:val="22"/>
                <w:lang w:val="fr"/>
              </w:rPr>
              <w:t xml:space="preserve"> Évaluer régulièrement l’impact du système afin de vérifier qu’il soit bien adapté aux objectifs visés</w:t>
            </w:r>
          </w:p>
        </w:tc>
      </w:tr>
      <w:tr w:rsidR="0031621C" w:rsidRPr="006F399F" w14:paraId="2D46AECE" w14:textId="77777777" w:rsidTr="0031621C">
        <w:trPr>
          <w:trHeight w:val="283"/>
        </w:trPr>
        <w:tc>
          <w:tcPr>
            <w:tcW w:w="1129" w:type="dxa"/>
            <w:noWrap/>
            <w:hideMark/>
          </w:tcPr>
          <w:p w14:paraId="70D88DE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3.1</w:t>
            </w:r>
          </w:p>
        </w:tc>
        <w:tc>
          <w:tcPr>
            <w:tcW w:w="6663" w:type="dxa"/>
            <w:noWrap/>
            <w:hideMark/>
          </w:tcPr>
          <w:p w14:paraId="3EC8761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Rapport sur l'état du réseau</w:t>
            </w:r>
          </w:p>
        </w:tc>
        <w:tc>
          <w:tcPr>
            <w:tcW w:w="1836" w:type="dxa"/>
            <w:hideMark/>
          </w:tcPr>
          <w:p w14:paraId="2B67196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555C3240" w14:textId="77777777" w:rsidTr="0031621C">
        <w:trPr>
          <w:trHeight w:val="283"/>
        </w:trPr>
        <w:tc>
          <w:tcPr>
            <w:tcW w:w="1129" w:type="dxa"/>
            <w:noWrap/>
            <w:hideMark/>
          </w:tcPr>
          <w:p w14:paraId="0BACF0A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3.2</w:t>
            </w:r>
          </w:p>
        </w:tc>
        <w:tc>
          <w:tcPr>
            <w:tcW w:w="6663" w:type="dxa"/>
            <w:noWrap/>
            <w:hideMark/>
          </w:tcPr>
          <w:p w14:paraId="0497F12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Évaluation et mesures du système d'observation</w:t>
            </w:r>
          </w:p>
        </w:tc>
        <w:tc>
          <w:tcPr>
            <w:tcW w:w="1836" w:type="dxa"/>
            <w:hideMark/>
          </w:tcPr>
          <w:p w14:paraId="540B6CDD" w14:textId="20DD1434"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57DEB499" w14:textId="77777777" w:rsidTr="0031621C">
        <w:trPr>
          <w:trHeight w:val="283"/>
        </w:trPr>
        <w:tc>
          <w:tcPr>
            <w:tcW w:w="1129" w:type="dxa"/>
            <w:noWrap/>
            <w:hideMark/>
          </w:tcPr>
          <w:p w14:paraId="4D00A488"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3.3</w:t>
            </w:r>
          </w:p>
        </w:tc>
        <w:tc>
          <w:tcPr>
            <w:tcW w:w="6663" w:type="dxa"/>
            <w:noWrap/>
            <w:hideMark/>
          </w:tcPr>
          <w:p w14:paraId="2CB4C2B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Évaluation et mesures des prévisions océaniques</w:t>
            </w:r>
          </w:p>
        </w:tc>
        <w:tc>
          <w:tcPr>
            <w:tcW w:w="1836" w:type="dxa"/>
            <w:hideMark/>
          </w:tcPr>
          <w:p w14:paraId="2D9F6B2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07101BAF" w14:textId="77777777" w:rsidTr="0031621C">
        <w:trPr>
          <w:trHeight w:val="283"/>
        </w:trPr>
        <w:tc>
          <w:tcPr>
            <w:tcW w:w="1129" w:type="dxa"/>
            <w:noWrap/>
            <w:hideMark/>
          </w:tcPr>
          <w:p w14:paraId="15C32DF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3.4</w:t>
            </w:r>
          </w:p>
        </w:tc>
        <w:tc>
          <w:tcPr>
            <w:tcW w:w="6663" w:type="dxa"/>
            <w:noWrap/>
            <w:hideMark/>
          </w:tcPr>
          <w:p w14:paraId="7BC75B8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Carte mondiale des systèmes de prévision océanique</w:t>
            </w:r>
          </w:p>
        </w:tc>
        <w:tc>
          <w:tcPr>
            <w:tcW w:w="1836" w:type="dxa"/>
            <w:hideMark/>
          </w:tcPr>
          <w:p w14:paraId="2A0E70F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E0EE005" w14:textId="77777777" w:rsidTr="0031621C">
        <w:trPr>
          <w:trHeight w:val="283"/>
        </w:trPr>
        <w:tc>
          <w:tcPr>
            <w:tcW w:w="1129" w:type="dxa"/>
            <w:noWrap/>
            <w:hideMark/>
          </w:tcPr>
          <w:p w14:paraId="1002B04A"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3.5</w:t>
            </w:r>
          </w:p>
        </w:tc>
        <w:tc>
          <w:tcPr>
            <w:tcW w:w="6663" w:type="dxa"/>
            <w:noWrap/>
            <w:hideMark/>
          </w:tcPr>
          <w:p w14:paraId="5231C4B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Développement d'une carte interactive des réseaux et des métadonnées pour la surveillance biologique</w:t>
            </w:r>
          </w:p>
        </w:tc>
        <w:tc>
          <w:tcPr>
            <w:tcW w:w="1836" w:type="dxa"/>
            <w:hideMark/>
          </w:tcPr>
          <w:p w14:paraId="5A53DB3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1517706B" w14:textId="77777777" w:rsidTr="0031621C">
        <w:trPr>
          <w:trHeight w:val="283"/>
        </w:trPr>
        <w:tc>
          <w:tcPr>
            <w:tcW w:w="1129" w:type="dxa"/>
            <w:noWrap/>
            <w:hideMark/>
          </w:tcPr>
          <w:p w14:paraId="7BB4FB6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3.6</w:t>
            </w:r>
          </w:p>
        </w:tc>
        <w:tc>
          <w:tcPr>
            <w:tcW w:w="6663" w:type="dxa"/>
            <w:noWrap/>
            <w:hideMark/>
          </w:tcPr>
          <w:p w14:paraId="691C90B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Cadre des indicateurs mondiaux de l'océan</w:t>
            </w:r>
          </w:p>
        </w:tc>
        <w:tc>
          <w:tcPr>
            <w:tcW w:w="1836" w:type="dxa"/>
            <w:hideMark/>
          </w:tcPr>
          <w:p w14:paraId="07E91D58" w14:textId="70B2BE20"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1BA24C54" w14:textId="77777777" w:rsidTr="0031621C">
        <w:trPr>
          <w:trHeight w:val="283"/>
        </w:trPr>
        <w:tc>
          <w:tcPr>
            <w:tcW w:w="1129" w:type="dxa"/>
            <w:noWrap/>
            <w:hideMark/>
          </w:tcPr>
          <w:p w14:paraId="3F407C3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3.7</w:t>
            </w:r>
          </w:p>
        </w:tc>
        <w:tc>
          <w:tcPr>
            <w:tcW w:w="6663" w:type="dxa"/>
            <w:noWrap/>
            <w:hideMark/>
          </w:tcPr>
          <w:p w14:paraId="27EAC897" w14:textId="74EA61D7" w:rsidR="00343EFA" w:rsidRPr="00C8507A" w:rsidRDefault="00770E7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Ocean Observing Co-Design (co-conception de systèmes d'observation des océans) </w:t>
            </w:r>
          </w:p>
        </w:tc>
        <w:tc>
          <w:tcPr>
            <w:tcW w:w="1836" w:type="dxa"/>
            <w:hideMark/>
          </w:tcPr>
          <w:p w14:paraId="751E0492" w14:textId="78490606"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Prog. Décennie</w:t>
            </w:r>
          </w:p>
        </w:tc>
      </w:tr>
      <w:tr w:rsidR="00770E7F" w:rsidRPr="006F399F" w14:paraId="3455E188" w14:textId="77777777" w:rsidTr="00770E7F">
        <w:trPr>
          <w:trHeight w:val="283"/>
        </w:trPr>
        <w:tc>
          <w:tcPr>
            <w:tcW w:w="9628" w:type="dxa"/>
            <w:gridSpan w:val="3"/>
            <w:shd w:val="clear" w:color="auto" w:fill="F2F2F2" w:themeFill="background1" w:themeFillShade="F2"/>
            <w:noWrap/>
          </w:tcPr>
          <w:p w14:paraId="4AE0FCFA" w14:textId="1C05685E" w:rsidR="00770E7F" w:rsidRPr="00C8507A" w:rsidRDefault="00770E7F" w:rsidP="00343EFA">
            <w:pPr>
              <w:tabs>
                <w:tab w:val="clear" w:pos="567"/>
              </w:tabs>
              <w:snapToGrid/>
              <w:rPr>
                <w:rFonts w:asciiTheme="minorBidi" w:hAnsiTheme="minorBidi" w:cstheme="minorBidi"/>
                <w:bCs/>
                <w:snapToGrid/>
                <w:szCs w:val="22"/>
              </w:rPr>
            </w:pPr>
            <w:bookmarkStart w:id="3" w:name="SO_4"/>
            <w:r>
              <w:rPr>
                <w:rFonts w:asciiTheme="minorBidi" w:hAnsiTheme="minorBidi" w:cstheme="minorBidi"/>
                <w:snapToGrid/>
                <w:szCs w:val="22"/>
                <w:lang w:val="fr"/>
              </w:rPr>
              <w:t>OS4 </w:t>
            </w:r>
            <w:bookmarkEnd w:id="3"/>
            <w:r>
              <w:rPr>
                <w:rFonts w:asciiTheme="minorBidi" w:hAnsiTheme="minorBidi" w:cstheme="minorBidi"/>
                <w:snapToGrid/>
                <w:szCs w:val="22"/>
                <w:lang w:val="fr"/>
              </w:rPr>
              <w:t>: Renforcer les connaissances et les échanges autour des services et des produits, afin de stimuler leur utilisation effective au niveau local</w:t>
            </w:r>
          </w:p>
        </w:tc>
      </w:tr>
      <w:tr w:rsidR="0031621C" w:rsidRPr="006F399F" w14:paraId="0223BB7C" w14:textId="77777777" w:rsidTr="0031621C">
        <w:trPr>
          <w:trHeight w:val="283"/>
        </w:trPr>
        <w:tc>
          <w:tcPr>
            <w:tcW w:w="1129" w:type="dxa"/>
            <w:noWrap/>
            <w:hideMark/>
          </w:tcPr>
          <w:p w14:paraId="3C56EC96"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4.1</w:t>
            </w:r>
          </w:p>
        </w:tc>
        <w:tc>
          <w:tcPr>
            <w:tcW w:w="6663" w:type="dxa"/>
            <w:noWrap/>
            <w:hideMark/>
          </w:tcPr>
          <w:p w14:paraId="6DBF079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Boîte à outils/Guide sur les systèmes opérationnels de surveillance et de prévision océaniques</w:t>
            </w:r>
          </w:p>
        </w:tc>
        <w:tc>
          <w:tcPr>
            <w:tcW w:w="1836" w:type="dxa"/>
            <w:hideMark/>
          </w:tcPr>
          <w:p w14:paraId="54920DAE" w14:textId="3454C8B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22812E25" w14:textId="77777777" w:rsidTr="0031621C">
        <w:trPr>
          <w:trHeight w:val="283"/>
        </w:trPr>
        <w:tc>
          <w:tcPr>
            <w:tcW w:w="1129" w:type="dxa"/>
            <w:noWrap/>
            <w:hideMark/>
          </w:tcPr>
          <w:p w14:paraId="2FDC2D6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4.2</w:t>
            </w:r>
          </w:p>
        </w:tc>
        <w:tc>
          <w:tcPr>
            <w:tcW w:w="6663" w:type="dxa"/>
            <w:noWrap/>
            <w:hideMark/>
          </w:tcPr>
          <w:p w14:paraId="2CC6D2D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Produits d'intégration des données à travers les Alliances régionales pour le GOOS</w:t>
            </w:r>
          </w:p>
        </w:tc>
        <w:tc>
          <w:tcPr>
            <w:tcW w:w="1836" w:type="dxa"/>
            <w:hideMark/>
          </w:tcPr>
          <w:p w14:paraId="629252D9" w14:textId="33A5087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32812122" w14:textId="77777777" w:rsidTr="0031621C">
        <w:trPr>
          <w:trHeight w:val="283"/>
        </w:trPr>
        <w:tc>
          <w:tcPr>
            <w:tcW w:w="1129" w:type="dxa"/>
            <w:noWrap/>
            <w:hideMark/>
          </w:tcPr>
          <w:p w14:paraId="50D3F6B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4.3</w:t>
            </w:r>
          </w:p>
        </w:tc>
        <w:tc>
          <w:tcPr>
            <w:tcW w:w="6663" w:type="dxa"/>
            <w:noWrap/>
            <w:hideMark/>
          </w:tcPr>
          <w:p w14:paraId="6EACA9F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 Création et promotion d'un portefeuille de produits et services du GOOS pour les centres de prévision océanique</w:t>
            </w:r>
          </w:p>
        </w:tc>
        <w:tc>
          <w:tcPr>
            <w:tcW w:w="1836" w:type="dxa"/>
            <w:hideMark/>
          </w:tcPr>
          <w:p w14:paraId="710045C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B6431D" w:rsidRPr="006F399F" w14:paraId="1DAD9FE9" w14:textId="77777777" w:rsidTr="00B6431D">
        <w:trPr>
          <w:trHeight w:val="283"/>
        </w:trPr>
        <w:tc>
          <w:tcPr>
            <w:tcW w:w="9628" w:type="dxa"/>
            <w:gridSpan w:val="3"/>
            <w:shd w:val="clear" w:color="auto" w:fill="D9D9D9" w:themeFill="background1" w:themeFillShade="D9"/>
            <w:noWrap/>
          </w:tcPr>
          <w:p w14:paraId="734448E6" w14:textId="15197FA3" w:rsidR="00B6431D" w:rsidRPr="00C8507A" w:rsidRDefault="00B6431D" w:rsidP="00343EFA">
            <w:pPr>
              <w:tabs>
                <w:tab w:val="clear" w:pos="567"/>
              </w:tabs>
              <w:snapToGrid/>
              <w:rPr>
                <w:rFonts w:asciiTheme="minorBidi" w:hAnsiTheme="minorBidi" w:cstheme="minorBidi"/>
                <w:b/>
                <w:snapToGrid/>
                <w:szCs w:val="22"/>
              </w:rPr>
            </w:pPr>
            <w:r>
              <w:rPr>
                <w:rFonts w:asciiTheme="minorBidi" w:hAnsiTheme="minorBidi" w:cstheme="minorBidi"/>
                <w:b/>
                <w:bCs/>
                <w:snapToGrid/>
                <w:szCs w:val="22"/>
                <w:lang w:val="fr"/>
              </w:rPr>
              <w:t>Objectif : Intégration et exécution des systèmes</w:t>
            </w:r>
          </w:p>
        </w:tc>
      </w:tr>
      <w:tr w:rsidR="00770E7F" w:rsidRPr="006F399F" w14:paraId="188E5646" w14:textId="77777777" w:rsidTr="00770E7F">
        <w:trPr>
          <w:trHeight w:val="283"/>
        </w:trPr>
        <w:tc>
          <w:tcPr>
            <w:tcW w:w="9628" w:type="dxa"/>
            <w:gridSpan w:val="3"/>
            <w:shd w:val="clear" w:color="auto" w:fill="F2F2F2" w:themeFill="background1" w:themeFillShade="F2"/>
            <w:noWrap/>
          </w:tcPr>
          <w:p w14:paraId="1B90AECB" w14:textId="07B37585" w:rsidR="00770E7F" w:rsidRPr="00C8507A" w:rsidRDefault="00770E7F" w:rsidP="00343EFA">
            <w:pPr>
              <w:tabs>
                <w:tab w:val="clear" w:pos="567"/>
              </w:tabs>
              <w:snapToGrid/>
              <w:rPr>
                <w:rFonts w:asciiTheme="minorBidi" w:hAnsiTheme="minorBidi" w:cstheme="minorBidi"/>
                <w:bCs/>
                <w:snapToGrid/>
                <w:szCs w:val="22"/>
              </w:rPr>
            </w:pPr>
            <w:bookmarkStart w:id="4" w:name="SO_5"/>
            <w:r>
              <w:rPr>
                <w:rFonts w:asciiTheme="minorBidi" w:hAnsiTheme="minorBidi" w:cstheme="minorBidi"/>
                <w:snapToGrid/>
                <w:szCs w:val="22"/>
                <w:lang w:val="fr"/>
              </w:rPr>
              <w:t>OS5 </w:t>
            </w:r>
            <w:bookmarkEnd w:id="4"/>
            <w:r>
              <w:rPr>
                <w:rFonts w:asciiTheme="minorBidi" w:hAnsiTheme="minorBidi" w:cstheme="minorBidi"/>
                <w:snapToGrid/>
                <w:szCs w:val="22"/>
                <w:lang w:val="fr"/>
              </w:rPr>
              <w:t>: Formuler des directives fiables quant à la conception du système d’observation intégré, en faisant la synthèse de l’évolution des besoins et en identifiant les lacunes</w:t>
            </w:r>
          </w:p>
        </w:tc>
      </w:tr>
      <w:tr w:rsidR="0031621C" w:rsidRPr="006F399F" w14:paraId="0FCD276A" w14:textId="77777777" w:rsidTr="0031621C">
        <w:trPr>
          <w:trHeight w:val="283"/>
        </w:trPr>
        <w:tc>
          <w:tcPr>
            <w:tcW w:w="1129" w:type="dxa"/>
            <w:noWrap/>
            <w:hideMark/>
          </w:tcPr>
          <w:p w14:paraId="1EE0E05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lastRenderedPageBreak/>
              <w:t>5.1</w:t>
            </w:r>
          </w:p>
        </w:tc>
        <w:tc>
          <w:tcPr>
            <w:tcW w:w="6663" w:type="dxa"/>
            <w:noWrap/>
            <w:hideMark/>
          </w:tcPr>
          <w:p w14:paraId="340BD615" w14:textId="74BCA514"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Gestion des variables océaniques essentielles, des variables climatiques essentielles &amp; Système mondial d'observation du climat (SMOC)</w:t>
            </w:r>
          </w:p>
        </w:tc>
        <w:tc>
          <w:tcPr>
            <w:tcW w:w="1836" w:type="dxa"/>
            <w:hideMark/>
          </w:tcPr>
          <w:p w14:paraId="4520A0F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2F942CA7" w14:textId="77777777" w:rsidTr="0031621C">
        <w:trPr>
          <w:trHeight w:val="283"/>
        </w:trPr>
        <w:tc>
          <w:tcPr>
            <w:tcW w:w="1129" w:type="dxa"/>
            <w:noWrap/>
            <w:hideMark/>
          </w:tcPr>
          <w:p w14:paraId="4C6DB9A4"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5.2</w:t>
            </w:r>
          </w:p>
        </w:tc>
        <w:tc>
          <w:tcPr>
            <w:tcW w:w="6663" w:type="dxa"/>
            <w:noWrap/>
            <w:hideMark/>
          </w:tcPr>
          <w:p w14:paraId="2877A1E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Examen des variables océaniques essentielles du GOOS</w:t>
            </w:r>
          </w:p>
        </w:tc>
        <w:tc>
          <w:tcPr>
            <w:tcW w:w="1836" w:type="dxa"/>
            <w:hideMark/>
          </w:tcPr>
          <w:p w14:paraId="108A957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1B7E939E" w14:textId="77777777" w:rsidTr="0031621C">
        <w:trPr>
          <w:trHeight w:val="283"/>
        </w:trPr>
        <w:tc>
          <w:tcPr>
            <w:tcW w:w="1129" w:type="dxa"/>
            <w:noWrap/>
            <w:hideMark/>
          </w:tcPr>
          <w:p w14:paraId="6281CE4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5.3</w:t>
            </w:r>
          </w:p>
        </w:tc>
        <w:tc>
          <w:tcPr>
            <w:tcW w:w="6663" w:type="dxa"/>
            <w:noWrap/>
            <w:hideMark/>
          </w:tcPr>
          <w:p w14:paraId="28D3117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Évaluation et révision des systèmes d'observation</w:t>
            </w:r>
          </w:p>
        </w:tc>
        <w:tc>
          <w:tcPr>
            <w:tcW w:w="1836" w:type="dxa"/>
            <w:hideMark/>
          </w:tcPr>
          <w:p w14:paraId="445211B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w:t>
            </w:r>
          </w:p>
        </w:tc>
      </w:tr>
      <w:tr w:rsidR="0031621C" w:rsidRPr="006F399F" w14:paraId="5F010AAE" w14:textId="77777777" w:rsidTr="0031621C">
        <w:trPr>
          <w:trHeight w:val="283"/>
        </w:trPr>
        <w:tc>
          <w:tcPr>
            <w:tcW w:w="1129" w:type="dxa"/>
            <w:vMerge w:val="restart"/>
            <w:noWrap/>
            <w:hideMark/>
          </w:tcPr>
          <w:p w14:paraId="61F1CAB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w:t>
            </w:r>
          </w:p>
        </w:tc>
        <w:tc>
          <w:tcPr>
            <w:tcW w:w="6663" w:type="dxa"/>
            <w:noWrap/>
            <w:hideMark/>
          </w:tcPr>
          <w:p w14:paraId="13FAE92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5.3.1 Stratégie pour les cycles de la chaleur et de l'eau douce dans l'océan</w:t>
            </w:r>
          </w:p>
        </w:tc>
        <w:tc>
          <w:tcPr>
            <w:tcW w:w="1836" w:type="dxa"/>
            <w:hideMark/>
          </w:tcPr>
          <w:p w14:paraId="1BCE9399" w14:textId="5D42C453"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73C75DDB" w14:textId="77777777" w:rsidTr="0031621C">
        <w:trPr>
          <w:trHeight w:val="283"/>
        </w:trPr>
        <w:tc>
          <w:tcPr>
            <w:tcW w:w="1129" w:type="dxa"/>
            <w:vMerge/>
            <w:hideMark/>
          </w:tcPr>
          <w:p w14:paraId="46039498"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12686DD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5.3.2 Évaluation et stratégie du système d'observation pour l'interface océan-atmosphère et les couches limites</w:t>
            </w:r>
          </w:p>
        </w:tc>
        <w:tc>
          <w:tcPr>
            <w:tcW w:w="1836" w:type="dxa"/>
            <w:hideMark/>
          </w:tcPr>
          <w:p w14:paraId="4B4A12FD" w14:textId="65729119"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6DAE52AC" w14:textId="77777777" w:rsidTr="0031621C">
        <w:trPr>
          <w:trHeight w:val="283"/>
        </w:trPr>
        <w:tc>
          <w:tcPr>
            <w:tcW w:w="1129" w:type="dxa"/>
            <w:vMerge/>
            <w:hideMark/>
          </w:tcPr>
          <w:p w14:paraId="4268949E"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411A473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5.3.3 Évaluation du système d'observation et stratégie pour les systèmes frontaliers</w:t>
            </w:r>
          </w:p>
        </w:tc>
        <w:tc>
          <w:tcPr>
            <w:tcW w:w="1836" w:type="dxa"/>
            <w:hideMark/>
          </w:tcPr>
          <w:p w14:paraId="2829FBD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7D633CA4" w14:textId="77777777" w:rsidTr="0031621C">
        <w:trPr>
          <w:trHeight w:val="283"/>
        </w:trPr>
        <w:tc>
          <w:tcPr>
            <w:tcW w:w="1129" w:type="dxa"/>
            <w:vMerge/>
            <w:hideMark/>
          </w:tcPr>
          <w:p w14:paraId="53A670D7"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3343D8B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5.3.4 Schéma d'un système optimal d'observation des flux de carbone</w:t>
            </w:r>
          </w:p>
        </w:tc>
        <w:tc>
          <w:tcPr>
            <w:tcW w:w="1836" w:type="dxa"/>
            <w:hideMark/>
          </w:tcPr>
          <w:p w14:paraId="4CDE0B4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7E63C7D4" w14:textId="77777777" w:rsidTr="0031621C">
        <w:trPr>
          <w:trHeight w:val="283"/>
        </w:trPr>
        <w:tc>
          <w:tcPr>
            <w:tcW w:w="1129" w:type="dxa"/>
            <w:noWrap/>
            <w:hideMark/>
          </w:tcPr>
          <w:p w14:paraId="631A52F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5.4</w:t>
            </w:r>
          </w:p>
        </w:tc>
        <w:tc>
          <w:tcPr>
            <w:tcW w:w="6663" w:type="dxa"/>
            <w:noWrap/>
            <w:hideMark/>
          </w:tcPr>
          <w:p w14:paraId="03EDC37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Cadre d'évaluation et de révision du GOOS</w:t>
            </w:r>
          </w:p>
        </w:tc>
        <w:tc>
          <w:tcPr>
            <w:tcW w:w="1836" w:type="dxa"/>
            <w:hideMark/>
          </w:tcPr>
          <w:p w14:paraId="536FAD9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67303EF6" w14:textId="77777777" w:rsidTr="0031621C">
        <w:trPr>
          <w:trHeight w:val="283"/>
        </w:trPr>
        <w:tc>
          <w:tcPr>
            <w:tcW w:w="1129" w:type="dxa"/>
            <w:noWrap/>
            <w:hideMark/>
          </w:tcPr>
          <w:p w14:paraId="54F61CE1"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5.5</w:t>
            </w:r>
          </w:p>
        </w:tc>
        <w:tc>
          <w:tcPr>
            <w:tcW w:w="6663" w:type="dxa"/>
            <w:noWrap/>
            <w:hideMark/>
          </w:tcPr>
          <w:p w14:paraId="00BED02A" w14:textId="2C74E429"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Coordination des réseaux régionaux/Synthèse d'OceanObs'19 </w:t>
            </w:r>
          </w:p>
        </w:tc>
        <w:tc>
          <w:tcPr>
            <w:tcW w:w="1836" w:type="dxa"/>
            <w:hideMark/>
          </w:tcPr>
          <w:p w14:paraId="3344885E"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6598D42E" w14:textId="77777777" w:rsidTr="0031621C">
        <w:trPr>
          <w:trHeight w:val="283"/>
        </w:trPr>
        <w:tc>
          <w:tcPr>
            <w:tcW w:w="1129" w:type="dxa"/>
            <w:noWrap/>
            <w:hideMark/>
          </w:tcPr>
          <w:p w14:paraId="40EC4D4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5.6</w:t>
            </w:r>
          </w:p>
        </w:tc>
        <w:tc>
          <w:tcPr>
            <w:tcW w:w="6663" w:type="dxa"/>
            <w:noWrap/>
            <w:hideMark/>
          </w:tcPr>
          <w:p w14:paraId="445D8026"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Conception du système d'observation autour des variables océaniques essentielles</w:t>
            </w:r>
          </w:p>
        </w:tc>
        <w:tc>
          <w:tcPr>
            <w:tcW w:w="1836" w:type="dxa"/>
            <w:hideMark/>
          </w:tcPr>
          <w:p w14:paraId="520A0619" w14:textId="4596EF79"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770E7F" w:rsidRPr="006F399F" w14:paraId="28DDD77D" w14:textId="77777777" w:rsidTr="00770E7F">
        <w:trPr>
          <w:trHeight w:val="283"/>
        </w:trPr>
        <w:tc>
          <w:tcPr>
            <w:tcW w:w="9628" w:type="dxa"/>
            <w:gridSpan w:val="3"/>
            <w:shd w:val="clear" w:color="auto" w:fill="F2F2F2" w:themeFill="background1" w:themeFillShade="F2"/>
            <w:noWrap/>
          </w:tcPr>
          <w:p w14:paraId="014400C3" w14:textId="3A4EF6D8" w:rsidR="00770E7F" w:rsidRPr="00C8507A" w:rsidRDefault="00770E7F" w:rsidP="007525A8">
            <w:pPr>
              <w:keepNext/>
              <w:tabs>
                <w:tab w:val="clear" w:pos="567"/>
              </w:tabs>
              <w:snapToGrid/>
              <w:rPr>
                <w:rFonts w:asciiTheme="minorBidi" w:hAnsiTheme="minorBidi" w:cstheme="minorBidi"/>
                <w:bCs/>
                <w:snapToGrid/>
                <w:szCs w:val="22"/>
              </w:rPr>
            </w:pPr>
            <w:bookmarkStart w:id="5" w:name="SO_6"/>
            <w:r>
              <w:rPr>
                <w:rFonts w:asciiTheme="minorBidi" w:hAnsiTheme="minorBidi" w:cstheme="minorBidi"/>
                <w:b/>
                <w:bCs/>
                <w:snapToGrid/>
                <w:szCs w:val="22"/>
                <w:lang w:val="fr"/>
              </w:rPr>
              <w:t>OS6 </w:t>
            </w:r>
            <w:r>
              <w:rPr>
                <w:rFonts w:asciiTheme="minorBidi" w:hAnsiTheme="minorBidi" w:cstheme="minorBidi"/>
                <w:snapToGrid/>
                <w:szCs w:val="22"/>
                <w:lang w:val="fr"/>
              </w:rPr>
              <w:t xml:space="preserve">: </w:t>
            </w:r>
            <w:bookmarkEnd w:id="5"/>
            <w:r>
              <w:rPr>
                <w:rFonts w:asciiTheme="minorBidi" w:hAnsiTheme="minorBidi" w:cstheme="minorBidi"/>
                <w:snapToGrid/>
                <w:szCs w:val="22"/>
                <w:lang w:val="fr"/>
              </w:rPr>
              <w:t>Maintenir, renforcer et élargir la mise en œuvre du système d’observation par le biais du GOOS et des communautés partenaires, en valorisant les normes et les meilleures pratiques et en élaborant des outils de mesure afin d’évaluer les résultats obtenus.</w:t>
            </w:r>
          </w:p>
        </w:tc>
      </w:tr>
      <w:tr w:rsidR="0031621C" w:rsidRPr="006F399F" w14:paraId="12CC91AF" w14:textId="77777777" w:rsidTr="0031621C">
        <w:trPr>
          <w:trHeight w:val="283"/>
        </w:trPr>
        <w:tc>
          <w:tcPr>
            <w:tcW w:w="1129" w:type="dxa"/>
            <w:noWrap/>
            <w:hideMark/>
          </w:tcPr>
          <w:p w14:paraId="3310E684"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6.1</w:t>
            </w:r>
          </w:p>
        </w:tc>
        <w:tc>
          <w:tcPr>
            <w:tcW w:w="6663" w:type="dxa"/>
            <w:noWrap/>
            <w:hideMark/>
          </w:tcPr>
          <w:p w14:paraId="2A682ED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Mise en œuvre de l'initiative multidisciplinaire VOICE</w:t>
            </w:r>
          </w:p>
        </w:tc>
        <w:tc>
          <w:tcPr>
            <w:tcW w:w="1836" w:type="dxa"/>
            <w:hideMark/>
          </w:tcPr>
          <w:p w14:paraId="79D8F21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4F3DE110" w14:textId="77777777" w:rsidTr="0031621C">
        <w:trPr>
          <w:trHeight w:val="283"/>
        </w:trPr>
        <w:tc>
          <w:tcPr>
            <w:tcW w:w="1129" w:type="dxa"/>
            <w:noWrap/>
            <w:hideMark/>
          </w:tcPr>
          <w:p w14:paraId="4CFDAFE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6.2</w:t>
            </w:r>
          </w:p>
        </w:tc>
        <w:tc>
          <w:tcPr>
            <w:tcW w:w="6663" w:type="dxa"/>
            <w:noWrap/>
            <w:hideMark/>
          </w:tcPr>
          <w:p w14:paraId="3B5310A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Mise à disposition des bonnes pratiques approuvées par le GOOS sur l'ensemble des variables océaniques essentielles et des plateformes</w:t>
            </w:r>
          </w:p>
        </w:tc>
        <w:tc>
          <w:tcPr>
            <w:tcW w:w="1836" w:type="dxa"/>
            <w:hideMark/>
          </w:tcPr>
          <w:p w14:paraId="7CB1E22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26A91118" w14:textId="77777777" w:rsidTr="0031621C">
        <w:trPr>
          <w:trHeight w:val="283"/>
        </w:trPr>
        <w:tc>
          <w:tcPr>
            <w:tcW w:w="1129" w:type="dxa"/>
            <w:noWrap/>
            <w:hideMark/>
          </w:tcPr>
          <w:p w14:paraId="13EFF61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6.3</w:t>
            </w:r>
          </w:p>
        </w:tc>
        <w:tc>
          <w:tcPr>
            <w:tcW w:w="6663" w:type="dxa"/>
            <w:noWrap/>
            <w:hideMark/>
          </w:tcPr>
          <w:p w14:paraId="77BF6FB8" w14:textId="67AFC828" w:rsidR="00343EFA" w:rsidRPr="00C8507A" w:rsidRDefault="007525A8"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Solutions pour les observations océaniques dans les zones économiques exclusives</w:t>
            </w:r>
          </w:p>
        </w:tc>
        <w:tc>
          <w:tcPr>
            <w:tcW w:w="1836" w:type="dxa"/>
            <w:hideMark/>
          </w:tcPr>
          <w:p w14:paraId="062DD09F" w14:textId="74637A18"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5754D63D" w14:textId="77777777" w:rsidTr="0031621C">
        <w:trPr>
          <w:trHeight w:val="283"/>
        </w:trPr>
        <w:tc>
          <w:tcPr>
            <w:tcW w:w="1129" w:type="dxa"/>
            <w:noWrap/>
            <w:hideMark/>
          </w:tcPr>
          <w:p w14:paraId="3F019B7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6.4</w:t>
            </w:r>
          </w:p>
        </w:tc>
        <w:tc>
          <w:tcPr>
            <w:tcW w:w="6663" w:type="dxa"/>
            <w:noWrap/>
            <w:hideMark/>
          </w:tcPr>
          <w:p w14:paraId="3BB4E9B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Intégration des réseaux émergents et existants</w:t>
            </w:r>
          </w:p>
        </w:tc>
        <w:tc>
          <w:tcPr>
            <w:tcW w:w="1836" w:type="dxa"/>
            <w:hideMark/>
          </w:tcPr>
          <w:p w14:paraId="2677A72B"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13741E3D" w14:textId="77777777" w:rsidTr="0031621C">
        <w:trPr>
          <w:trHeight w:val="283"/>
        </w:trPr>
        <w:tc>
          <w:tcPr>
            <w:tcW w:w="1129" w:type="dxa"/>
            <w:noWrap/>
            <w:hideMark/>
          </w:tcPr>
          <w:p w14:paraId="6CABD626"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6.5</w:t>
            </w:r>
          </w:p>
        </w:tc>
        <w:tc>
          <w:tcPr>
            <w:tcW w:w="6663" w:type="dxa"/>
            <w:noWrap/>
            <w:hideMark/>
          </w:tcPr>
          <w:p w14:paraId="1743508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Développement et/ou maintien d'un répertoire de matériel référencé à jour</w:t>
            </w:r>
          </w:p>
        </w:tc>
        <w:tc>
          <w:tcPr>
            <w:tcW w:w="1836" w:type="dxa"/>
            <w:hideMark/>
          </w:tcPr>
          <w:p w14:paraId="0C7584CB" w14:textId="2C5D96BF"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FCF9A79" w14:textId="77777777" w:rsidTr="0031621C">
        <w:trPr>
          <w:trHeight w:val="283"/>
        </w:trPr>
        <w:tc>
          <w:tcPr>
            <w:tcW w:w="1129" w:type="dxa"/>
            <w:noWrap/>
            <w:hideMark/>
          </w:tcPr>
          <w:p w14:paraId="68B8D05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6.6</w:t>
            </w:r>
          </w:p>
        </w:tc>
        <w:tc>
          <w:tcPr>
            <w:tcW w:w="6663" w:type="dxa"/>
            <w:noWrap/>
            <w:hideMark/>
          </w:tcPr>
          <w:p w14:paraId="151E878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Progression des observations en biogéochimie et biologie et écosystèmes à travers les réseaux mondiaux</w:t>
            </w:r>
          </w:p>
        </w:tc>
        <w:tc>
          <w:tcPr>
            <w:tcW w:w="1836" w:type="dxa"/>
            <w:hideMark/>
          </w:tcPr>
          <w:p w14:paraId="4F43318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2D6BE7A1" w14:textId="77777777" w:rsidTr="0031621C">
        <w:trPr>
          <w:trHeight w:val="283"/>
        </w:trPr>
        <w:tc>
          <w:tcPr>
            <w:tcW w:w="1129" w:type="dxa"/>
            <w:noWrap/>
            <w:hideMark/>
          </w:tcPr>
          <w:p w14:paraId="3A660806"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6.7</w:t>
            </w:r>
          </w:p>
        </w:tc>
        <w:tc>
          <w:tcPr>
            <w:tcW w:w="6663" w:type="dxa"/>
            <w:noWrap/>
            <w:hideMark/>
          </w:tcPr>
          <w:p w14:paraId="774E8F8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Gestion de l'environnement</w:t>
            </w:r>
          </w:p>
        </w:tc>
        <w:tc>
          <w:tcPr>
            <w:tcW w:w="1836" w:type="dxa"/>
            <w:hideMark/>
          </w:tcPr>
          <w:p w14:paraId="1BE4A3C8" w14:textId="1D6CFA00"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0BDE598" w14:textId="77777777" w:rsidTr="0031621C">
        <w:trPr>
          <w:trHeight w:val="283"/>
        </w:trPr>
        <w:tc>
          <w:tcPr>
            <w:tcW w:w="1129" w:type="dxa"/>
            <w:noWrap/>
            <w:hideMark/>
          </w:tcPr>
          <w:p w14:paraId="1FA1D944"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6.8</w:t>
            </w:r>
          </w:p>
        </w:tc>
        <w:tc>
          <w:tcPr>
            <w:tcW w:w="6663" w:type="dxa"/>
            <w:noWrap/>
            <w:hideMark/>
          </w:tcPr>
          <w:p w14:paraId="1F18CE0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Intercomparaison et normes</w:t>
            </w:r>
          </w:p>
        </w:tc>
        <w:tc>
          <w:tcPr>
            <w:tcW w:w="1836" w:type="dxa"/>
            <w:hideMark/>
          </w:tcPr>
          <w:p w14:paraId="15A4076F" w14:textId="78BF98F4"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12128AD" w14:textId="77777777" w:rsidTr="0031621C">
        <w:trPr>
          <w:trHeight w:val="283"/>
        </w:trPr>
        <w:tc>
          <w:tcPr>
            <w:tcW w:w="1129" w:type="dxa"/>
            <w:noWrap/>
            <w:hideMark/>
          </w:tcPr>
          <w:p w14:paraId="201DE1DF"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6.9</w:t>
            </w:r>
          </w:p>
        </w:tc>
        <w:tc>
          <w:tcPr>
            <w:tcW w:w="6663" w:type="dxa"/>
            <w:noWrap/>
            <w:hideMark/>
          </w:tcPr>
          <w:p w14:paraId="356EDFD6"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Coordination et extension des observations relatives à la biogéochimie de l'océan de surface</w:t>
            </w:r>
          </w:p>
        </w:tc>
        <w:tc>
          <w:tcPr>
            <w:tcW w:w="1836" w:type="dxa"/>
            <w:hideMark/>
          </w:tcPr>
          <w:p w14:paraId="798DD49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7FECEEFF" w14:textId="77777777" w:rsidTr="0031621C">
        <w:trPr>
          <w:trHeight w:val="283"/>
        </w:trPr>
        <w:tc>
          <w:tcPr>
            <w:tcW w:w="1129" w:type="dxa"/>
            <w:noWrap/>
            <w:hideMark/>
          </w:tcPr>
          <w:p w14:paraId="002258E2"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6.10</w:t>
            </w:r>
          </w:p>
        </w:tc>
        <w:tc>
          <w:tcPr>
            <w:tcW w:w="6663" w:type="dxa"/>
            <w:noWrap/>
            <w:hideMark/>
          </w:tcPr>
          <w:p w14:paraId="40B8760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CoastPredict</w:t>
            </w:r>
          </w:p>
        </w:tc>
        <w:tc>
          <w:tcPr>
            <w:tcW w:w="1836" w:type="dxa"/>
            <w:hideMark/>
          </w:tcPr>
          <w:p w14:paraId="7F948630" w14:textId="02C6174F"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Prog. Décennie</w:t>
            </w:r>
          </w:p>
        </w:tc>
      </w:tr>
      <w:tr w:rsidR="0031621C" w:rsidRPr="006F399F" w14:paraId="4244C020" w14:textId="77777777" w:rsidTr="0031621C">
        <w:trPr>
          <w:trHeight w:val="283"/>
        </w:trPr>
        <w:tc>
          <w:tcPr>
            <w:tcW w:w="1129" w:type="dxa"/>
            <w:noWrap/>
            <w:hideMark/>
          </w:tcPr>
          <w:p w14:paraId="3F99ADBD"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6.11</w:t>
            </w:r>
          </w:p>
        </w:tc>
        <w:tc>
          <w:tcPr>
            <w:tcW w:w="6663" w:type="dxa"/>
            <w:noWrap/>
            <w:hideMark/>
          </w:tcPr>
          <w:p w14:paraId="05AB044E"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Développement de la communauté relative à la biologie et aux écosystèmes</w:t>
            </w:r>
          </w:p>
        </w:tc>
        <w:tc>
          <w:tcPr>
            <w:tcW w:w="1836" w:type="dxa"/>
            <w:hideMark/>
          </w:tcPr>
          <w:p w14:paraId="0CD0D33F" w14:textId="695BC95E"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770E7F" w:rsidRPr="006F399F" w14:paraId="3EA2A86B" w14:textId="77777777" w:rsidTr="00770E7F">
        <w:trPr>
          <w:trHeight w:val="283"/>
        </w:trPr>
        <w:tc>
          <w:tcPr>
            <w:tcW w:w="9628" w:type="dxa"/>
            <w:gridSpan w:val="3"/>
            <w:shd w:val="clear" w:color="auto" w:fill="F2F2F2" w:themeFill="background1" w:themeFillShade="F2"/>
            <w:noWrap/>
          </w:tcPr>
          <w:p w14:paraId="5E24A389" w14:textId="584C496E" w:rsidR="00770E7F" w:rsidRPr="00C8507A" w:rsidRDefault="00770E7F" w:rsidP="00343EFA">
            <w:pPr>
              <w:tabs>
                <w:tab w:val="clear" w:pos="567"/>
              </w:tabs>
              <w:snapToGrid/>
              <w:rPr>
                <w:rFonts w:asciiTheme="minorBidi" w:hAnsiTheme="minorBidi" w:cstheme="minorBidi"/>
                <w:bCs/>
                <w:snapToGrid/>
                <w:szCs w:val="22"/>
              </w:rPr>
            </w:pPr>
            <w:bookmarkStart w:id="6" w:name="SO_7"/>
            <w:r>
              <w:rPr>
                <w:rFonts w:asciiTheme="minorBidi" w:hAnsiTheme="minorBidi" w:cstheme="minorBidi"/>
                <w:b/>
                <w:bCs/>
                <w:snapToGrid/>
                <w:szCs w:val="22"/>
                <w:lang w:val="fr"/>
              </w:rPr>
              <w:t>OS7</w:t>
            </w:r>
            <w:bookmarkEnd w:id="6"/>
            <w:r>
              <w:rPr>
                <w:rFonts w:asciiTheme="minorBidi" w:hAnsiTheme="minorBidi" w:cstheme="minorBidi"/>
                <w:b/>
                <w:bCs/>
                <w:snapToGrid/>
                <w:szCs w:val="22"/>
                <w:lang w:val="fr"/>
              </w:rPr>
              <w:t> </w:t>
            </w:r>
            <w:r>
              <w:rPr>
                <w:rFonts w:asciiTheme="minorBidi" w:hAnsiTheme="minorBidi" w:cstheme="minorBidi"/>
                <w:snapToGrid/>
                <w:szCs w:val="22"/>
                <w:lang w:val="fr"/>
              </w:rPr>
              <w:t>: Veiller à ce que les données et les informations du GOOS relatives à l’observation de l’océan soient faciles à trouver, accessibles, interopérables et réutilisables, tout en présentant une qualité suffisante et des délais de transmission raisonnables.</w:t>
            </w:r>
          </w:p>
        </w:tc>
      </w:tr>
      <w:tr w:rsidR="0031621C" w:rsidRPr="006F399F" w14:paraId="58328F46" w14:textId="77777777" w:rsidTr="0031621C">
        <w:trPr>
          <w:trHeight w:val="283"/>
        </w:trPr>
        <w:tc>
          <w:tcPr>
            <w:tcW w:w="1129" w:type="dxa"/>
            <w:noWrap/>
            <w:hideMark/>
          </w:tcPr>
          <w:p w14:paraId="628B53D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7.1</w:t>
            </w:r>
          </w:p>
        </w:tc>
        <w:tc>
          <w:tcPr>
            <w:tcW w:w="6663" w:type="dxa"/>
            <w:noWrap/>
            <w:hideMark/>
          </w:tcPr>
          <w:p w14:paraId="161CD64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Cartographie des flux de données des réseaux du Groupe de coordination des observations</w:t>
            </w:r>
          </w:p>
        </w:tc>
        <w:tc>
          <w:tcPr>
            <w:tcW w:w="1836" w:type="dxa"/>
            <w:hideMark/>
          </w:tcPr>
          <w:p w14:paraId="6B55DE00" w14:textId="51A578EB"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A17CC71" w14:textId="77777777" w:rsidTr="0031621C">
        <w:trPr>
          <w:trHeight w:val="283"/>
        </w:trPr>
        <w:tc>
          <w:tcPr>
            <w:tcW w:w="1129" w:type="dxa"/>
            <w:noWrap/>
            <w:hideMark/>
          </w:tcPr>
          <w:p w14:paraId="26AF523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7.2</w:t>
            </w:r>
          </w:p>
        </w:tc>
        <w:tc>
          <w:tcPr>
            <w:tcW w:w="6663" w:type="dxa"/>
            <w:noWrap/>
            <w:hideMark/>
          </w:tcPr>
          <w:p w14:paraId="2EF1BD0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Réseaux mondiaux de normalisation des métadonnées</w:t>
            </w:r>
          </w:p>
        </w:tc>
        <w:tc>
          <w:tcPr>
            <w:tcW w:w="1836" w:type="dxa"/>
            <w:hideMark/>
          </w:tcPr>
          <w:p w14:paraId="0AEDA677" w14:textId="541CAE2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3A6789F4" w14:textId="77777777" w:rsidTr="0031621C">
        <w:trPr>
          <w:trHeight w:val="283"/>
        </w:trPr>
        <w:tc>
          <w:tcPr>
            <w:tcW w:w="1129" w:type="dxa"/>
            <w:noWrap/>
            <w:hideMark/>
          </w:tcPr>
          <w:p w14:paraId="6C66D863" w14:textId="6B5205C0"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7.3</w:t>
            </w:r>
          </w:p>
        </w:tc>
        <w:tc>
          <w:tcPr>
            <w:tcW w:w="6663" w:type="dxa"/>
            <w:noWrap/>
            <w:hideMark/>
          </w:tcPr>
          <w:p w14:paraId="40883AC3" w14:textId="44B3930E"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Soutien à un centre mondial d'assemblage de données pour les variables océaniques essentielles biogéochimiques</w:t>
            </w:r>
          </w:p>
        </w:tc>
        <w:tc>
          <w:tcPr>
            <w:tcW w:w="1836" w:type="dxa"/>
            <w:hideMark/>
          </w:tcPr>
          <w:p w14:paraId="45431AC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31621C" w:rsidRPr="006F399F" w14:paraId="12FE3272" w14:textId="77777777" w:rsidTr="0031621C">
        <w:trPr>
          <w:trHeight w:val="283"/>
        </w:trPr>
        <w:tc>
          <w:tcPr>
            <w:tcW w:w="1129" w:type="dxa"/>
            <w:noWrap/>
            <w:hideMark/>
          </w:tcPr>
          <w:p w14:paraId="312435ED" w14:textId="381D671D"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7.4</w:t>
            </w:r>
          </w:p>
        </w:tc>
        <w:tc>
          <w:tcPr>
            <w:tcW w:w="6663" w:type="dxa"/>
            <w:noWrap/>
            <w:hideMark/>
          </w:tcPr>
          <w:p w14:paraId="5535883C" w14:textId="5B099402" w:rsidR="00343EFA" w:rsidRPr="00C8507A" w:rsidRDefault="00775F1E"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Stratégie des données du groupe de coordination des observations </w:t>
            </w:r>
          </w:p>
        </w:tc>
        <w:tc>
          <w:tcPr>
            <w:tcW w:w="1836" w:type="dxa"/>
            <w:hideMark/>
          </w:tcPr>
          <w:p w14:paraId="01B8360D" w14:textId="197FEDB7"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72C41B50" w14:textId="77777777" w:rsidTr="0031621C">
        <w:trPr>
          <w:trHeight w:val="283"/>
        </w:trPr>
        <w:tc>
          <w:tcPr>
            <w:tcW w:w="1129" w:type="dxa"/>
            <w:noWrap/>
            <w:hideMark/>
          </w:tcPr>
          <w:p w14:paraId="3CE1E8DA" w14:textId="5BCF48EA"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7.5</w:t>
            </w:r>
          </w:p>
        </w:tc>
        <w:tc>
          <w:tcPr>
            <w:tcW w:w="6663" w:type="dxa"/>
            <w:noWrap/>
            <w:hideMark/>
          </w:tcPr>
          <w:p w14:paraId="41AECED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Création du prototype de l'OpenGTS</w:t>
            </w:r>
          </w:p>
        </w:tc>
        <w:tc>
          <w:tcPr>
            <w:tcW w:w="1836" w:type="dxa"/>
            <w:hideMark/>
          </w:tcPr>
          <w:p w14:paraId="6A41A0D6" w14:textId="3A2D2521"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81B61D5" w14:textId="77777777" w:rsidTr="0031621C">
        <w:trPr>
          <w:trHeight w:val="283"/>
        </w:trPr>
        <w:tc>
          <w:tcPr>
            <w:tcW w:w="1129" w:type="dxa"/>
            <w:noWrap/>
            <w:hideMark/>
          </w:tcPr>
          <w:p w14:paraId="6858C9A4" w14:textId="70F640F2"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lastRenderedPageBreak/>
              <w:t>7.6</w:t>
            </w:r>
          </w:p>
        </w:tc>
        <w:tc>
          <w:tcPr>
            <w:tcW w:w="6663" w:type="dxa"/>
            <w:noWrap/>
            <w:hideMark/>
          </w:tcPr>
          <w:p w14:paraId="313C82E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Description des normes de production et de diffusion des systèmes de prévision océanique</w:t>
            </w:r>
          </w:p>
        </w:tc>
        <w:tc>
          <w:tcPr>
            <w:tcW w:w="1836" w:type="dxa"/>
            <w:hideMark/>
          </w:tcPr>
          <w:p w14:paraId="7976A817" w14:textId="32267B93"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166996E2" w14:textId="77777777" w:rsidTr="0031621C">
        <w:trPr>
          <w:trHeight w:val="283"/>
        </w:trPr>
        <w:tc>
          <w:tcPr>
            <w:tcW w:w="1129" w:type="dxa"/>
            <w:noWrap/>
            <w:hideMark/>
          </w:tcPr>
          <w:p w14:paraId="2D84FC60" w14:textId="095F9364"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7.7</w:t>
            </w:r>
          </w:p>
        </w:tc>
        <w:tc>
          <w:tcPr>
            <w:tcW w:w="6663" w:type="dxa"/>
            <w:noWrap/>
            <w:hideMark/>
          </w:tcPr>
          <w:p w14:paraId="61D2BA1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Mise à disposition des données des variables océaniques essentielles sur la biologie et les écosystèmes via OBIS</w:t>
            </w:r>
          </w:p>
        </w:tc>
        <w:tc>
          <w:tcPr>
            <w:tcW w:w="1836" w:type="dxa"/>
            <w:hideMark/>
          </w:tcPr>
          <w:p w14:paraId="6C3A5F5E" w14:textId="32A626C4"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D605425" w14:textId="77777777" w:rsidTr="0031621C">
        <w:trPr>
          <w:trHeight w:val="283"/>
        </w:trPr>
        <w:tc>
          <w:tcPr>
            <w:tcW w:w="1129" w:type="dxa"/>
            <w:noWrap/>
            <w:hideMark/>
          </w:tcPr>
          <w:p w14:paraId="6BCE07C8" w14:textId="2B29F2F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7.8</w:t>
            </w:r>
          </w:p>
        </w:tc>
        <w:tc>
          <w:tcPr>
            <w:tcW w:w="6663" w:type="dxa"/>
            <w:noWrap/>
            <w:hideMark/>
          </w:tcPr>
          <w:p w14:paraId="5A0D7FE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Création de nouveaux produits de synthèse de données de biogéochimie et maintenir les produits existants</w:t>
            </w:r>
          </w:p>
        </w:tc>
        <w:tc>
          <w:tcPr>
            <w:tcW w:w="1836" w:type="dxa"/>
            <w:hideMark/>
          </w:tcPr>
          <w:p w14:paraId="52F00799" w14:textId="035AA555"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B6431D" w:rsidRPr="006F399F" w14:paraId="642FB3A7" w14:textId="77777777" w:rsidTr="00B6431D">
        <w:trPr>
          <w:trHeight w:val="283"/>
        </w:trPr>
        <w:tc>
          <w:tcPr>
            <w:tcW w:w="9628" w:type="dxa"/>
            <w:gridSpan w:val="3"/>
            <w:shd w:val="clear" w:color="auto" w:fill="D9D9D9" w:themeFill="background1" w:themeFillShade="D9"/>
            <w:noWrap/>
          </w:tcPr>
          <w:p w14:paraId="1DF53CF1" w14:textId="49532150" w:rsidR="00B6431D" w:rsidRPr="00C8507A" w:rsidRDefault="00B6431D" w:rsidP="00343EFA">
            <w:pPr>
              <w:tabs>
                <w:tab w:val="clear" w:pos="567"/>
              </w:tabs>
              <w:snapToGrid/>
              <w:rPr>
                <w:rFonts w:asciiTheme="minorBidi" w:hAnsiTheme="minorBidi" w:cstheme="minorBidi"/>
                <w:b/>
                <w:snapToGrid/>
                <w:szCs w:val="22"/>
              </w:rPr>
            </w:pPr>
            <w:r>
              <w:rPr>
                <w:rFonts w:asciiTheme="minorBidi" w:hAnsiTheme="minorBidi" w:cstheme="minorBidi"/>
                <w:b/>
                <w:bCs/>
                <w:snapToGrid/>
                <w:szCs w:val="22"/>
                <w:lang w:val="fr"/>
              </w:rPr>
              <w:t>Objectif : Construire l'avenir</w:t>
            </w:r>
          </w:p>
        </w:tc>
      </w:tr>
      <w:tr w:rsidR="00770E7F" w:rsidRPr="006F399F" w14:paraId="4AE64C00" w14:textId="77777777" w:rsidTr="00770E7F">
        <w:trPr>
          <w:trHeight w:val="283"/>
        </w:trPr>
        <w:tc>
          <w:tcPr>
            <w:tcW w:w="9628" w:type="dxa"/>
            <w:gridSpan w:val="3"/>
            <w:shd w:val="clear" w:color="auto" w:fill="F2F2F2" w:themeFill="background1" w:themeFillShade="F2"/>
            <w:noWrap/>
          </w:tcPr>
          <w:p w14:paraId="58EE5957" w14:textId="0373716C" w:rsidR="00770E7F" w:rsidRPr="00C8507A" w:rsidRDefault="00770E7F" w:rsidP="00343EFA">
            <w:pPr>
              <w:tabs>
                <w:tab w:val="clear" w:pos="567"/>
              </w:tabs>
              <w:snapToGrid/>
              <w:rPr>
                <w:rFonts w:asciiTheme="minorBidi" w:hAnsiTheme="minorBidi" w:cstheme="minorBidi"/>
                <w:bCs/>
                <w:snapToGrid/>
                <w:szCs w:val="22"/>
              </w:rPr>
            </w:pPr>
            <w:bookmarkStart w:id="7" w:name="SO_8"/>
            <w:r>
              <w:rPr>
                <w:rFonts w:asciiTheme="minorBidi" w:hAnsiTheme="minorBidi" w:cstheme="minorBidi"/>
                <w:snapToGrid/>
                <w:szCs w:val="22"/>
                <w:lang w:val="fr"/>
              </w:rPr>
              <w:t>OS8 </w:t>
            </w:r>
            <w:bookmarkEnd w:id="7"/>
            <w:r>
              <w:rPr>
                <w:rFonts w:asciiTheme="minorBidi" w:hAnsiTheme="minorBidi" w:cstheme="minorBidi"/>
                <w:b/>
                <w:bCs/>
                <w:snapToGrid/>
                <w:szCs w:val="22"/>
                <w:lang w:val="fr"/>
              </w:rPr>
              <w:t>:</w:t>
            </w:r>
            <w:r>
              <w:rPr>
                <w:rFonts w:asciiTheme="minorBidi" w:hAnsiTheme="minorBidi" w:cstheme="minorBidi"/>
                <w:snapToGrid/>
                <w:szCs w:val="22"/>
                <w:lang w:val="fr"/>
              </w:rPr>
              <w:t xml:space="preserve"> Encourager l’innovation dans les domaines des technologies et des réseaux d’observation</w:t>
            </w:r>
          </w:p>
        </w:tc>
      </w:tr>
      <w:tr w:rsidR="0031621C" w:rsidRPr="006F399F" w14:paraId="5914665B" w14:textId="77777777" w:rsidTr="0031621C">
        <w:trPr>
          <w:trHeight w:val="283"/>
        </w:trPr>
        <w:tc>
          <w:tcPr>
            <w:tcW w:w="1129" w:type="dxa"/>
            <w:noWrap/>
            <w:hideMark/>
          </w:tcPr>
          <w:p w14:paraId="5388E7E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8.1</w:t>
            </w:r>
          </w:p>
        </w:tc>
        <w:tc>
          <w:tcPr>
            <w:tcW w:w="6663" w:type="dxa"/>
            <w:noWrap/>
            <w:hideMark/>
          </w:tcPr>
          <w:p w14:paraId="46368328" w14:textId="6828E203"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Accélération de l'intégration des nouvelles technologies</w:t>
            </w:r>
          </w:p>
        </w:tc>
        <w:tc>
          <w:tcPr>
            <w:tcW w:w="1836" w:type="dxa"/>
            <w:hideMark/>
          </w:tcPr>
          <w:p w14:paraId="34526C60" w14:textId="4FFFC865"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90E5FC5" w14:textId="77777777" w:rsidTr="0031621C">
        <w:trPr>
          <w:trHeight w:val="283"/>
        </w:trPr>
        <w:tc>
          <w:tcPr>
            <w:tcW w:w="1129" w:type="dxa"/>
            <w:noWrap/>
            <w:hideMark/>
          </w:tcPr>
          <w:p w14:paraId="7EA795D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8.2</w:t>
            </w:r>
          </w:p>
        </w:tc>
        <w:tc>
          <w:tcPr>
            <w:tcW w:w="6663" w:type="dxa"/>
            <w:noWrap/>
            <w:hideMark/>
          </w:tcPr>
          <w:p w14:paraId="7E2C185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Directive claire sur l'utilisation d'approches biomoléculaires, y compris l'ADN électronique, à l'appui des variables océaniques essentielles biologiques</w:t>
            </w:r>
          </w:p>
        </w:tc>
        <w:tc>
          <w:tcPr>
            <w:tcW w:w="1836" w:type="dxa"/>
            <w:hideMark/>
          </w:tcPr>
          <w:p w14:paraId="7CAECD7E" w14:textId="22B7A78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770E7F" w:rsidRPr="006F399F" w14:paraId="197AF86E" w14:textId="77777777" w:rsidTr="00770E7F">
        <w:trPr>
          <w:trHeight w:val="283"/>
        </w:trPr>
        <w:tc>
          <w:tcPr>
            <w:tcW w:w="9628" w:type="dxa"/>
            <w:gridSpan w:val="3"/>
            <w:shd w:val="clear" w:color="auto" w:fill="F2F2F2" w:themeFill="background1" w:themeFillShade="F2"/>
            <w:noWrap/>
          </w:tcPr>
          <w:p w14:paraId="3825B419" w14:textId="20CC4796" w:rsidR="00770E7F" w:rsidRPr="00C8507A" w:rsidRDefault="00770E7F" w:rsidP="00343EFA">
            <w:pPr>
              <w:tabs>
                <w:tab w:val="clear" w:pos="567"/>
              </w:tabs>
              <w:snapToGrid/>
              <w:rPr>
                <w:rFonts w:asciiTheme="minorBidi" w:hAnsiTheme="minorBidi" w:cstheme="minorBidi"/>
                <w:bCs/>
                <w:snapToGrid/>
                <w:szCs w:val="22"/>
              </w:rPr>
            </w:pPr>
            <w:bookmarkStart w:id="8" w:name="SO_9"/>
            <w:r>
              <w:rPr>
                <w:rFonts w:asciiTheme="minorBidi" w:hAnsiTheme="minorBidi" w:cstheme="minorBidi"/>
                <w:b/>
                <w:bCs/>
                <w:snapToGrid/>
                <w:szCs w:val="22"/>
                <w:lang w:val="fr"/>
              </w:rPr>
              <w:t>OS9 </w:t>
            </w:r>
            <w:r>
              <w:rPr>
                <w:rFonts w:asciiTheme="minorBidi" w:hAnsiTheme="minorBidi" w:cstheme="minorBidi"/>
                <w:snapToGrid/>
                <w:szCs w:val="22"/>
                <w:lang w:val="fr"/>
              </w:rPr>
              <w:t xml:space="preserve">: </w:t>
            </w:r>
            <w:bookmarkEnd w:id="8"/>
            <w:r>
              <w:rPr>
                <w:rFonts w:asciiTheme="minorBidi" w:hAnsiTheme="minorBidi" w:cstheme="minorBidi"/>
                <w:snapToGrid/>
                <w:szCs w:val="22"/>
                <w:lang w:val="fr"/>
              </w:rPr>
              <w:t>Développer les capacités afin de garantir la participation d’un plus large éventail de parties prenantes bénéficiaires</w:t>
            </w:r>
          </w:p>
        </w:tc>
      </w:tr>
      <w:tr w:rsidR="0031621C" w:rsidRPr="006F399F" w14:paraId="1369529F" w14:textId="77777777" w:rsidTr="0031621C">
        <w:trPr>
          <w:trHeight w:val="283"/>
        </w:trPr>
        <w:tc>
          <w:tcPr>
            <w:tcW w:w="1129" w:type="dxa"/>
            <w:noWrap/>
            <w:hideMark/>
          </w:tcPr>
          <w:p w14:paraId="177CF24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9.1</w:t>
            </w:r>
          </w:p>
        </w:tc>
        <w:tc>
          <w:tcPr>
            <w:tcW w:w="6663" w:type="dxa"/>
            <w:noWrap/>
            <w:hideMark/>
          </w:tcPr>
          <w:p w14:paraId="2F67E60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Organisation de formations mondiales en ligne sur le système opérationnel de surveillance et de prévision des océans </w:t>
            </w:r>
          </w:p>
        </w:tc>
        <w:tc>
          <w:tcPr>
            <w:tcW w:w="1836" w:type="dxa"/>
            <w:hideMark/>
          </w:tcPr>
          <w:p w14:paraId="3FF0C95A" w14:textId="2BDD60CD"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56080BA2" w14:textId="77777777" w:rsidTr="0031621C">
        <w:trPr>
          <w:trHeight w:val="283"/>
        </w:trPr>
        <w:tc>
          <w:tcPr>
            <w:tcW w:w="1129" w:type="dxa"/>
            <w:noWrap/>
            <w:hideMark/>
          </w:tcPr>
          <w:p w14:paraId="4A9357D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9.2</w:t>
            </w:r>
          </w:p>
        </w:tc>
        <w:tc>
          <w:tcPr>
            <w:tcW w:w="6663" w:type="dxa"/>
            <w:noWrap/>
            <w:hideMark/>
          </w:tcPr>
          <w:p w14:paraId="119D577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Amélioration des ressources existantes et développement de nouvelles ressources de renforcement des capacités techniques (y compris en ligne)</w:t>
            </w:r>
          </w:p>
        </w:tc>
        <w:tc>
          <w:tcPr>
            <w:tcW w:w="1836" w:type="dxa"/>
            <w:hideMark/>
          </w:tcPr>
          <w:p w14:paraId="5C30C525" w14:textId="66D77289"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1EFB1BA5" w14:textId="77777777" w:rsidTr="0031621C">
        <w:trPr>
          <w:trHeight w:val="283"/>
        </w:trPr>
        <w:tc>
          <w:tcPr>
            <w:tcW w:w="1129" w:type="dxa"/>
            <w:noWrap/>
            <w:hideMark/>
          </w:tcPr>
          <w:p w14:paraId="0DB334F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9.3</w:t>
            </w:r>
          </w:p>
        </w:tc>
        <w:tc>
          <w:tcPr>
            <w:tcW w:w="6663" w:type="dxa"/>
            <w:noWrap/>
            <w:hideMark/>
          </w:tcPr>
          <w:p w14:paraId="2F03F63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Mise en œuvre d'un système de surveillance et de prévision des océans avec l'engagement des Alliances régionales pour le GOOS</w:t>
            </w:r>
          </w:p>
        </w:tc>
        <w:tc>
          <w:tcPr>
            <w:tcW w:w="1836" w:type="dxa"/>
            <w:hideMark/>
          </w:tcPr>
          <w:p w14:paraId="460A94CB" w14:textId="7251D85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374D3C16" w14:textId="77777777" w:rsidTr="0031621C">
        <w:trPr>
          <w:trHeight w:val="283"/>
        </w:trPr>
        <w:tc>
          <w:tcPr>
            <w:tcW w:w="1129" w:type="dxa"/>
            <w:noWrap/>
            <w:hideMark/>
          </w:tcPr>
          <w:p w14:paraId="2260520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9.4</w:t>
            </w:r>
          </w:p>
        </w:tc>
        <w:tc>
          <w:tcPr>
            <w:tcW w:w="6663" w:type="dxa"/>
            <w:noWrap/>
            <w:hideMark/>
          </w:tcPr>
          <w:p w14:paraId="6436814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Développement des capacités intégrées dans les réseaux croisés </w:t>
            </w:r>
          </w:p>
        </w:tc>
        <w:tc>
          <w:tcPr>
            <w:tcW w:w="1836" w:type="dxa"/>
            <w:hideMark/>
          </w:tcPr>
          <w:p w14:paraId="1A0B1C66" w14:textId="48E59B5C"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289CB10A" w14:textId="77777777" w:rsidTr="0031621C">
        <w:trPr>
          <w:trHeight w:val="283"/>
        </w:trPr>
        <w:tc>
          <w:tcPr>
            <w:tcW w:w="1129" w:type="dxa"/>
            <w:noWrap/>
            <w:hideMark/>
          </w:tcPr>
          <w:p w14:paraId="2906F953"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9.5</w:t>
            </w:r>
          </w:p>
        </w:tc>
        <w:tc>
          <w:tcPr>
            <w:tcW w:w="6663" w:type="dxa"/>
            <w:noWrap/>
            <w:hideMark/>
          </w:tcPr>
          <w:p w14:paraId="0B97BD1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Création de partenariats avec le MBON (Marine Biodiversity Observation Network), l'OBIS et WCMC (World Conservation Monitoring Centre) sur l'échange de capacités </w:t>
            </w:r>
          </w:p>
        </w:tc>
        <w:tc>
          <w:tcPr>
            <w:tcW w:w="1836" w:type="dxa"/>
            <w:hideMark/>
          </w:tcPr>
          <w:p w14:paraId="573F0B2D" w14:textId="2B85E7C6"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35C24B31" w14:textId="77777777" w:rsidTr="0031621C">
        <w:trPr>
          <w:trHeight w:val="283"/>
        </w:trPr>
        <w:tc>
          <w:tcPr>
            <w:tcW w:w="1129" w:type="dxa"/>
            <w:noWrap/>
            <w:hideMark/>
          </w:tcPr>
          <w:p w14:paraId="1E40917F"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9.6</w:t>
            </w:r>
          </w:p>
        </w:tc>
        <w:tc>
          <w:tcPr>
            <w:tcW w:w="6663" w:type="dxa"/>
            <w:noWrap/>
            <w:hideMark/>
          </w:tcPr>
          <w:p w14:paraId="2E1A65D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Évaluation du centre du système de surveillance et de prévision des océans </w:t>
            </w:r>
          </w:p>
        </w:tc>
        <w:tc>
          <w:tcPr>
            <w:tcW w:w="1836" w:type="dxa"/>
            <w:hideMark/>
          </w:tcPr>
          <w:p w14:paraId="45C1C57E" w14:textId="4B19581E"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4CFDC99B" w14:textId="77777777" w:rsidTr="0031621C">
        <w:trPr>
          <w:trHeight w:val="283"/>
        </w:trPr>
        <w:tc>
          <w:tcPr>
            <w:tcW w:w="1129" w:type="dxa"/>
            <w:noWrap/>
            <w:hideMark/>
          </w:tcPr>
          <w:p w14:paraId="79CB572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9.7</w:t>
            </w:r>
          </w:p>
        </w:tc>
        <w:tc>
          <w:tcPr>
            <w:tcW w:w="6663" w:type="dxa"/>
            <w:noWrap/>
            <w:hideMark/>
          </w:tcPr>
          <w:p w14:paraId="08DBC13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Matériel et ateliers d'échange de capacités pour le développement ou l'expansion des Alliances régionales pour le GOOS</w:t>
            </w:r>
          </w:p>
        </w:tc>
        <w:tc>
          <w:tcPr>
            <w:tcW w:w="1836" w:type="dxa"/>
            <w:hideMark/>
          </w:tcPr>
          <w:p w14:paraId="71906EF6" w14:textId="265651CA"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1BF6833A" w14:textId="77777777" w:rsidTr="0031621C">
        <w:trPr>
          <w:trHeight w:val="283"/>
        </w:trPr>
        <w:tc>
          <w:tcPr>
            <w:tcW w:w="1129" w:type="dxa"/>
            <w:noWrap/>
            <w:hideMark/>
          </w:tcPr>
          <w:p w14:paraId="3F2C0B1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9.8</w:t>
            </w:r>
          </w:p>
        </w:tc>
        <w:tc>
          <w:tcPr>
            <w:tcW w:w="6663" w:type="dxa"/>
            <w:noWrap/>
            <w:hideMark/>
          </w:tcPr>
          <w:p w14:paraId="17B130CB"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Renforcement du marché et des capacités pour les rapports sur les variables océaniques essentielles à l'appui des indicateurs et de l'évaluation du cadre mondial pour la biodiversité</w:t>
            </w:r>
          </w:p>
        </w:tc>
        <w:tc>
          <w:tcPr>
            <w:tcW w:w="1836" w:type="dxa"/>
            <w:hideMark/>
          </w:tcPr>
          <w:p w14:paraId="03A99645" w14:textId="588C7285"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2DCDF9FB" w14:textId="77777777" w:rsidTr="0031621C">
        <w:trPr>
          <w:trHeight w:val="283"/>
        </w:trPr>
        <w:tc>
          <w:tcPr>
            <w:tcW w:w="1129" w:type="dxa"/>
            <w:noWrap/>
            <w:hideMark/>
          </w:tcPr>
          <w:p w14:paraId="5B14F75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9.9</w:t>
            </w:r>
          </w:p>
        </w:tc>
        <w:tc>
          <w:tcPr>
            <w:tcW w:w="6663" w:type="dxa"/>
            <w:noWrap/>
            <w:hideMark/>
          </w:tcPr>
          <w:p w14:paraId="4E6202C6" w14:textId="1F1244BD"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Co-développement d'indicateurs de biodiversité et d'habitat marin avec le monde des affaires</w:t>
            </w:r>
          </w:p>
        </w:tc>
        <w:tc>
          <w:tcPr>
            <w:tcW w:w="1836" w:type="dxa"/>
            <w:hideMark/>
          </w:tcPr>
          <w:p w14:paraId="21113FEC" w14:textId="1AE3DA22"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12DB3033" w14:textId="77777777" w:rsidTr="0031621C">
        <w:trPr>
          <w:trHeight w:val="283"/>
        </w:trPr>
        <w:tc>
          <w:tcPr>
            <w:tcW w:w="1129" w:type="dxa"/>
            <w:noWrap/>
            <w:hideMark/>
          </w:tcPr>
          <w:p w14:paraId="51FBE35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9.10</w:t>
            </w:r>
          </w:p>
        </w:tc>
        <w:tc>
          <w:tcPr>
            <w:tcW w:w="6663" w:type="dxa"/>
            <w:noWrap/>
            <w:hideMark/>
          </w:tcPr>
          <w:p w14:paraId="474D02D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Observing Together</w:t>
            </w:r>
          </w:p>
        </w:tc>
        <w:tc>
          <w:tcPr>
            <w:tcW w:w="1836" w:type="dxa"/>
            <w:hideMark/>
          </w:tcPr>
          <w:p w14:paraId="70735044" w14:textId="344F56F2"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Prog. Décennie</w:t>
            </w:r>
          </w:p>
        </w:tc>
      </w:tr>
      <w:tr w:rsidR="00770E7F" w:rsidRPr="006F399F" w14:paraId="0F673962" w14:textId="77777777" w:rsidTr="00770E7F">
        <w:trPr>
          <w:trHeight w:val="283"/>
        </w:trPr>
        <w:tc>
          <w:tcPr>
            <w:tcW w:w="9628" w:type="dxa"/>
            <w:gridSpan w:val="3"/>
            <w:shd w:val="clear" w:color="auto" w:fill="F2F2F2" w:themeFill="background1" w:themeFillShade="F2"/>
            <w:noWrap/>
          </w:tcPr>
          <w:p w14:paraId="34147207" w14:textId="57E308ED" w:rsidR="00770E7F" w:rsidRPr="00C8507A" w:rsidRDefault="00770E7F" w:rsidP="00343EFA">
            <w:pPr>
              <w:tabs>
                <w:tab w:val="clear" w:pos="567"/>
              </w:tabs>
              <w:snapToGrid/>
              <w:rPr>
                <w:rFonts w:asciiTheme="minorBidi" w:hAnsiTheme="minorBidi" w:cstheme="minorBidi"/>
                <w:bCs/>
                <w:snapToGrid/>
                <w:szCs w:val="22"/>
              </w:rPr>
            </w:pPr>
            <w:bookmarkStart w:id="9" w:name="SO_10"/>
            <w:r>
              <w:rPr>
                <w:rFonts w:asciiTheme="minorBidi" w:hAnsiTheme="minorBidi" w:cstheme="minorBidi"/>
                <w:snapToGrid/>
                <w:szCs w:val="22"/>
                <w:lang w:val="fr"/>
              </w:rPr>
              <w:t>OS10 </w:t>
            </w:r>
            <w:bookmarkEnd w:id="9"/>
            <w:r>
              <w:rPr>
                <w:rFonts w:asciiTheme="minorBidi" w:hAnsiTheme="minorBidi" w:cstheme="minorBidi"/>
                <w:snapToGrid/>
                <w:szCs w:val="22"/>
                <w:lang w:val="fr"/>
              </w:rPr>
              <w:t>: Étendre les observations systématiques afin de mieux comprendre l’influence de l’homme sur l’océan</w:t>
            </w:r>
          </w:p>
        </w:tc>
      </w:tr>
      <w:tr w:rsidR="0031621C" w:rsidRPr="006F399F" w14:paraId="475BC88F" w14:textId="77777777" w:rsidTr="0031621C">
        <w:trPr>
          <w:trHeight w:val="283"/>
        </w:trPr>
        <w:tc>
          <w:tcPr>
            <w:tcW w:w="1129" w:type="dxa"/>
            <w:noWrap/>
            <w:hideMark/>
          </w:tcPr>
          <w:p w14:paraId="7DD4D2CA"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10.1</w:t>
            </w:r>
          </w:p>
        </w:tc>
        <w:tc>
          <w:tcPr>
            <w:tcW w:w="6663" w:type="dxa"/>
            <w:noWrap/>
            <w:hideMark/>
          </w:tcPr>
          <w:p w14:paraId="68A78D69" w14:textId="284B4535"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Création de la coordination d'un système intégré d'observation des débris marins</w:t>
            </w:r>
          </w:p>
        </w:tc>
        <w:tc>
          <w:tcPr>
            <w:tcW w:w="1836" w:type="dxa"/>
            <w:hideMark/>
          </w:tcPr>
          <w:p w14:paraId="7EE8E310" w14:textId="32340B2A"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Élément unique</w:t>
            </w:r>
          </w:p>
        </w:tc>
      </w:tr>
      <w:tr w:rsidR="0031621C" w:rsidRPr="006F399F" w14:paraId="4FD34FA2" w14:textId="77777777" w:rsidTr="0031621C">
        <w:trPr>
          <w:trHeight w:val="283"/>
        </w:trPr>
        <w:tc>
          <w:tcPr>
            <w:tcW w:w="1129" w:type="dxa"/>
            <w:noWrap/>
            <w:hideMark/>
          </w:tcPr>
          <w:p w14:paraId="2729F79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10.2</w:t>
            </w:r>
          </w:p>
        </w:tc>
        <w:tc>
          <w:tcPr>
            <w:tcW w:w="6663" w:type="dxa"/>
            <w:noWrap/>
            <w:hideMark/>
          </w:tcPr>
          <w:p w14:paraId="100BDC9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Incorporation/lien avec les indices de pression humaine</w:t>
            </w:r>
          </w:p>
        </w:tc>
        <w:tc>
          <w:tcPr>
            <w:tcW w:w="1836" w:type="dxa"/>
            <w:hideMark/>
          </w:tcPr>
          <w:p w14:paraId="321AF91B"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Multi-élément</w:t>
            </w:r>
          </w:p>
        </w:tc>
      </w:tr>
      <w:tr w:rsidR="00770E7F" w:rsidRPr="006F399F" w14:paraId="5E6BA40D" w14:textId="77777777" w:rsidTr="00770E7F">
        <w:trPr>
          <w:trHeight w:val="283"/>
        </w:trPr>
        <w:tc>
          <w:tcPr>
            <w:tcW w:w="9628" w:type="dxa"/>
            <w:gridSpan w:val="3"/>
            <w:shd w:val="clear" w:color="auto" w:fill="F2F2F2" w:themeFill="background1" w:themeFillShade="F2"/>
            <w:noWrap/>
          </w:tcPr>
          <w:p w14:paraId="5F411265" w14:textId="4E596017" w:rsidR="00770E7F" w:rsidRPr="00C8507A" w:rsidRDefault="00770E7F" w:rsidP="009E3769">
            <w:pPr>
              <w:keepNext/>
              <w:tabs>
                <w:tab w:val="clear" w:pos="567"/>
              </w:tabs>
              <w:snapToGrid/>
              <w:rPr>
                <w:rFonts w:asciiTheme="minorBidi" w:hAnsiTheme="minorBidi" w:cstheme="minorBidi"/>
                <w:snapToGrid/>
                <w:color w:val="000000"/>
                <w:szCs w:val="22"/>
              </w:rPr>
            </w:pPr>
            <w:bookmarkStart w:id="10" w:name="SO_11"/>
            <w:r>
              <w:rPr>
                <w:rFonts w:asciiTheme="minorBidi" w:hAnsiTheme="minorBidi" w:cstheme="minorBidi"/>
                <w:color w:val="000000"/>
                <w:szCs w:val="22"/>
                <w:lang w:val="fr"/>
              </w:rPr>
              <w:t>OS11 </w:t>
            </w:r>
            <w:bookmarkEnd w:id="10"/>
            <w:r>
              <w:rPr>
                <w:rFonts w:asciiTheme="minorBidi" w:hAnsiTheme="minorBidi" w:cstheme="minorBidi"/>
                <w:color w:val="000000"/>
                <w:szCs w:val="22"/>
                <w:lang w:val="fr"/>
              </w:rPr>
              <w:t xml:space="preserve">: Plaider en faveur d’une gouvernance efficace concernant les observations mondiales in situ et par satellite, aux côtés des partenaires et des parties prenantes. </w:t>
            </w:r>
          </w:p>
        </w:tc>
      </w:tr>
      <w:tr w:rsidR="0031621C" w:rsidRPr="006F399F" w14:paraId="3EC42EB8" w14:textId="77777777" w:rsidTr="0031621C">
        <w:trPr>
          <w:trHeight w:val="283"/>
        </w:trPr>
        <w:tc>
          <w:tcPr>
            <w:tcW w:w="1129" w:type="dxa"/>
            <w:noWrap/>
            <w:hideMark/>
          </w:tcPr>
          <w:p w14:paraId="78A2D6FC"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11.1</w:t>
            </w:r>
          </w:p>
        </w:tc>
        <w:tc>
          <w:tcPr>
            <w:tcW w:w="6663" w:type="dxa"/>
            <w:noWrap/>
            <w:hideMark/>
          </w:tcPr>
          <w:p w14:paraId="1A1E794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Évaluation et évolution de la structure du GOOS</w:t>
            </w:r>
          </w:p>
        </w:tc>
        <w:tc>
          <w:tcPr>
            <w:tcW w:w="1836" w:type="dxa"/>
            <w:hideMark/>
          </w:tcPr>
          <w:p w14:paraId="1E1FA330" w14:textId="3E0E676A"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279D686E" w14:textId="77777777" w:rsidTr="0031621C">
        <w:trPr>
          <w:trHeight w:val="283"/>
        </w:trPr>
        <w:tc>
          <w:tcPr>
            <w:tcW w:w="1129" w:type="dxa"/>
            <w:noWrap/>
            <w:hideMark/>
          </w:tcPr>
          <w:p w14:paraId="0741313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11.2</w:t>
            </w:r>
          </w:p>
        </w:tc>
        <w:tc>
          <w:tcPr>
            <w:tcW w:w="6663" w:type="dxa"/>
            <w:noWrap/>
            <w:hideMark/>
          </w:tcPr>
          <w:p w14:paraId="6B0A0C2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Évolution de la gouvernance du GOOS</w:t>
            </w:r>
          </w:p>
        </w:tc>
        <w:tc>
          <w:tcPr>
            <w:tcW w:w="1836" w:type="dxa"/>
            <w:hideMark/>
          </w:tcPr>
          <w:p w14:paraId="7B813A10" w14:textId="69F513B9"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r w:rsidR="0031621C" w:rsidRPr="006F399F" w14:paraId="564A396A" w14:textId="77777777" w:rsidTr="0031621C">
        <w:trPr>
          <w:trHeight w:val="283"/>
        </w:trPr>
        <w:tc>
          <w:tcPr>
            <w:tcW w:w="1129" w:type="dxa"/>
            <w:noWrap/>
            <w:hideMark/>
          </w:tcPr>
          <w:p w14:paraId="5CBC1E1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fr"/>
              </w:rPr>
              <w:t>11.3</w:t>
            </w:r>
          </w:p>
        </w:tc>
        <w:tc>
          <w:tcPr>
            <w:tcW w:w="6663" w:type="dxa"/>
            <w:noWrap/>
            <w:hideMark/>
          </w:tcPr>
          <w:p w14:paraId="37DB92A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 xml:space="preserve">Création d'une équipe de ressourcement du GOOS </w:t>
            </w:r>
          </w:p>
        </w:tc>
        <w:tc>
          <w:tcPr>
            <w:tcW w:w="1836" w:type="dxa"/>
            <w:hideMark/>
          </w:tcPr>
          <w:p w14:paraId="7D94F364" w14:textId="4D05450A"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fr"/>
              </w:rPr>
              <w:t>GOOS</w:t>
            </w:r>
          </w:p>
        </w:tc>
      </w:tr>
    </w:tbl>
    <w:p w14:paraId="444EB860" w14:textId="77777777" w:rsidR="00343EFA" w:rsidRPr="007525A8" w:rsidRDefault="00343EFA" w:rsidP="002B7A3F">
      <w:pPr>
        <w:pStyle w:val="COI"/>
        <w:numPr>
          <w:ilvl w:val="0"/>
          <w:numId w:val="0"/>
        </w:numPr>
      </w:pPr>
    </w:p>
    <w:p w14:paraId="22FC5FBE" w14:textId="29356B5B" w:rsidR="009E3769" w:rsidRPr="007525A8" w:rsidRDefault="009E3769" w:rsidP="002B7A3F">
      <w:pPr>
        <w:pStyle w:val="COI"/>
      </w:pPr>
      <w:r>
        <w:rPr>
          <w:bCs w:val="0"/>
          <w:lang w:val="fr"/>
        </w:rPr>
        <w:lastRenderedPageBreak/>
        <w:t>Un grand nombre d'actions sous l'</w:t>
      </w:r>
      <w:hyperlink w:anchor="SO_6" w:history="1">
        <w:r>
          <w:rPr>
            <w:rStyle w:val="Hyperlink"/>
            <w:bCs w:val="0"/>
            <w:lang w:val="fr"/>
          </w:rPr>
          <w:t>OS6</w:t>
        </w:r>
      </w:hyperlink>
      <w:r>
        <w:rPr>
          <w:bCs w:val="0"/>
          <w:lang w:val="fr"/>
        </w:rPr>
        <w:t xml:space="preserve"> représentent un domaine de travail essentiel de l'équipe centrale du GOOS. Un grand nombre d'activités relatives aux données (</w:t>
      </w:r>
      <w:hyperlink w:anchor="SO_7" w:history="1">
        <w:r>
          <w:rPr>
            <w:rStyle w:val="Hyperlink"/>
            <w:bCs w:val="0"/>
            <w:lang w:val="fr"/>
          </w:rPr>
          <w:t>OS7</w:t>
        </w:r>
      </w:hyperlink>
      <w:r>
        <w:rPr>
          <w:bCs w:val="0"/>
          <w:lang w:val="fr"/>
        </w:rPr>
        <w:t>) et au développement des capacités (</w:t>
      </w:r>
      <w:hyperlink w:anchor="SO_9" w:history="1">
        <w:r>
          <w:rPr>
            <w:rStyle w:val="Hyperlink"/>
            <w:bCs w:val="0"/>
            <w:lang w:val="fr"/>
          </w:rPr>
          <w:t>OS9</w:t>
        </w:r>
      </w:hyperlink>
      <w:r>
        <w:rPr>
          <w:bCs w:val="0"/>
          <w:lang w:val="fr"/>
        </w:rPr>
        <w:t xml:space="preserve">) indiquent des domaines où une consolidation plus poussée des actions à élément unique est susceptible d'accroître l'impact. Par rapport aux cinq objectifs stratégiques prioritaires identifiés (en gras dans le tableau), les objectifs stratégiques </w:t>
      </w:r>
      <w:hyperlink w:anchor="SO_1" w:history="1">
        <w:r>
          <w:rPr>
            <w:rStyle w:val="Hyperlink"/>
            <w:bCs w:val="0"/>
            <w:lang w:val="fr"/>
          </w:rPr>
          <w:t>OS1</w:t>
        </w:r>
      </w:hyperlink>
      <w:r>
        <w:rPr>
          <w:bCs w:val="0"/>
          <w:lang w:val="fr"/>
        </w:rPr>
        <w:t xml:space="preserve">et </w:t>
      </w:r>
      <w:hyperlink w:anchor="SO_2" w:history="1">
        <w:r>
          <w:rPr>
            <w:rStyle w:val="Hyperlink"/>
            <w:bCs w:val="0"/>
            <w:lang w:val="fr"/>
          </w:rPr>
          <w:t>OS2</w:t>
        </w:r>
      </w:hyperlink>
      <w:r>
        <w:rPr>
          <w:bCs w:val="0"/>
          <w:lang w:val="fr"/>
        </w:rPr>
        <w:t>devront faire l'objet d'une plus grande attention à l'avenir, avec l'élaboration de plans à long terme. Une collaboration importante entre les éléments de l'équipe centrale du GOOS est envisagée dans les actions identifiées, ce qui est un résultat positif qui nécessite également un soutien.</w:t>
      </w:r>
    </w:p>
    <w:p w14:paraId="36B747A3" w14:textId="337F800F" w:rsidR="005B5174" w:rsidRDefault="004429FB" w:rsidP="002B7A3F">
      <w:pPr>
        <w:pStyle w:val="COI"/>
      </w:pPr>
      <w:r>
        <w:rPr>
          <w:bCs w:val="0"/>
          <w:lang w:val="fr"/>
        </w:rPr>
        <w:t>Un grand nombre de programmes et d'organisations partenaires sont identifiés dans les actions. Les partenaires les plus fréquemment identifiés sont l'IODE, l'Organisation météorologique mondiale et OceanPredict, et ces partenaires essentiels du GOOS exigent que les liens stratégiques soient soigneusement maintenus et développés.</w:t>
      </w:r>
    </w:p>
    <w:p w14:paraId="3D60910C" w14:textId="13F25C19" w:rsidR="009E6B5B" w:rsidRPr="00203761" w:rsidRDefault="009E6B5B" w:rsidP="002B7A3F">
      <w:pPr>
        <w:pStyle w:val="COI"/>
        <w:numPr>
          <w:ilvl w:val="0"/>
          <w:numId w:val="0"/>
        </w:numPr>
        <w:rPr>
          <w:b/>
        </w:rPr>
      </w:pPr>
      <w:r w:rsidRPr="00203761">
        <w:rPr>
          <w:b/>
          <w:lang w:val="fr"/>
        </w:rPr>
        <w:t>Analyse d'impact</w:t>
      </w:r>
    </w:p>
    <w:p w14:paraId="53C3F735" w14:textId="5FD05F1A" w:rsidR="009E6B5B" w:rsidRPr="00C8507A" w:rsidRDefault="009E6B5B" w:rsidP="002B7A3F">
      <w:pPr>
        <w:pStyle w:val="COI"/>
        <w:rPr>
          <w:b/>
        </w:rPr>
      </w:pPr>
      <w:r>
        <w:rPr>
          <w:bCs w:val="0"/>
          <w:lang w:val="fr"/>
        </w:rPr>
        <w:t xml:space="preserve">La </w:t>
      </w:r>
      <w:r>
        <w:rPr>
          <w:bCs w:val="0"/>
          <w:i/>
          <w:iCs/>
          <w:lang w:val="fr"/>
        </w:rPr>
        <w:t>feuille de route pour la mise en œuvre de la Stratégie à l'horizon 2030 du Système mondial d'observation de l'océan</w:t>
      </w:r>
      <w:r>
        <w:rPr>
          <w:bCs w:val="0"/>
          <w:lang w:val="fr"/>
        </w:rPr>
        <w:t xml:space="preserve"> (</w:t>
      </w:r>
      <w:hyperlink r:id="rId16" w:history="1">
        <w:r>
          <w:rPr>
            <w:rStyle w:val="Hyperlink"/>
            <w:bCs w:val="0"/>
            <w:lang w:val="fr"/>
          </w:rPr>
          <w:t>Rapport GOOS n° 249</w:t>
        </w:r>
      </w:hyperlink>
      <w:r>
        <w:rPr>
          <w:bCs w:val="0"/>
          <w:lang w:val="fr"/>
        </w:rPr>
        <w:t xml:space="preserve">) donne plus de détails sur les grandes questions, la mise en œuvre et les résultats souhaités pour chacun des objectifs stratégiques de la Stratégie à l'horizon 2030. L'examen de l'impact collectif des actions planifiées dans le plan de mise en œuvre du GOOS et la comparaison de leur niveau d'ambition avec la </w:t>
      </w:r>
      <w:r>
        <w:rPr>
          <w:bCs w:val="0"/>
          <w:i/>
          <w:iCs/>
          <w:lang w:val="fr"/>
        </w:rPr>
        <w:t>feuille de route</w:t>
      </w:r>
      <w:r>
        <w:rPr>
          <w:bCs w:val="0"/>
          <w:lang w:val="fr"/>
        </w:rPr>
        <w:t xml:space="preserve"> (tableau ci-dessous) renforcent la nécessité pour le GOOS de stimuler la planification en interne et avec les partenaires dans certains domaines, tout en identifiant les domaines dans lesquels nous espérons avoir le plus grand impact à moyen terme.</w:t>
      </w:r>
    </w:p>
    <w:p w14:paraId="1EAE5E0C" w14:textId="181D971B" w:rsidR="00793A73" w:rsidRPr="007525A8" w:rsidRDefault="00C72275" w:rsidP="002B7A3F">
      <w:pPr>
        <w:pStyle w:val="COI"/>
      </w:pPr>
      <w:r>
        <w:rPr>
          <w:bCs w:val="0"/>
          <w:lang w:val="fr"/>
        </w:rPr>
        <w:t>Avec les plans actuels, certains éléments (</w:t>
      </w:r>
      <w:hyperlink w:anchor="SO_1" w:history="1">
        <w:r>
          <w:rPr>
            <w:rStyle w:val="Hyperlink"/>
            <w:bCs w:val="0"/>
            <w:lang w:val="fr"/>
          </w:rPr>
          <w:t>OS1</w:t>
        </w:r>
      </w:hyperlink>
      <w:r>
        <w:rPr>
          <w:bCs w:val="0"/>
          <w:lang w:val="fr"/>
        </w:rPr>
        <w:t xml:space="preserve">, </w:t>
      </w:r>
      <w:hyperlink w:anchor="SO_4" w:history="1">
        <w:r>
          <w:rPr>
            <w:rStyle w:val="Hyperlink"/>
            <w:bCs w:val="0"/>
            <w:lang w:val="fr"/>
          </w:rPr>
          <w:t>OS4</w:t>
        </w:r>
      </w:hyperlink>
      <w:r>
        <w:rPr>
          <w:bCs w:val="0"/>
          <w:lang w:val="fr"/>
        </w:rPr>
        <w:t xml:space="preserve">, </w:t>
      </w:r>
      <w:hyperlink w:anchor="SO_9" w:history="1">
        <w:r>
          <w:rPr>
            <w:rStyle w:val="Hyperlink"/>
            <w:bCs w:val="0"/>
            <w:lang w:val="fr"/>
          </w:rPr>
          <w:t>OS9</w:t>
        </w:r>
      </w:hyperlink>
      <w:r>
        <w:rPr>
          <w:bCs w:val="0"/>
          <w:lang w:val="fr"/>
        </w:rPr>
        <w:t xml:space="preserve">, </w:t>
      </w:r>
      <w:hyperlink w:anchor="SO_10" w:history="1">
        <w:r>
          <w:rPr>
            <w:rStyle w:val="Hyperlink"/>
            <w:bCs w:val="0"/>
            <w:lang w:val="fr"/>
          </w:rPr>
          <w:t>OS10</w:t>
        </w:r>
      </w:hyperlink>
      <w:r>
        <w:rPr>
          <w:bCs w:val="0"/>
          <w:lang w:val="fr"/>
        </w:rPr>
        <w:t xml:space="preserve">, et </w:t>
      </w:r>
      <w:hyperlink w:anchor="SO_11" w:history="1">
        <w:r>
          <w:rPr>
            <w:rStyle w:val="Hyperlink"/>
            <w:bCs w:val="0"/>
            <w:lang w:val="fr"/>
          </w:rPr>
          <w:t>OS11</w:t>
        </w:r>
      </w:hyperlink>
      <w:r>
        <w:rPr>
          <w:bCs w:val="0"/>
          <w:lang w:val="fr"/>
        </w:rPr>
        <w:t>) devront être renforcés à l'avenir, car ils manquent d'ambition. L'</w:t>
      </w:r>
      <w:hyperlink w:anchor="SO_6" w:history="1">
        <w:r>
          <w:rPr>
            <w:rStyle w:val="Hyperlink"/>
            <w:bCs w:val="0"/>
            <w:lang w:val="fr"/>
          </w:rPr>
          <w:t>Objectif stratégique 6</w:t>
        </w:r>
      </w:hyperlink>
      <w:r>
        <w:rPr>
          <w:bCs w:val="0"/>
          <w:lang w:val="fr"/>
        </w:rPr>
        <w:t xml:space="preserve">, objectif central qui fait l'objet de ressources importantes à l'heure actuelle, n'atteint pas tous les éléments prévus dans la </w:t>
      </w:r>
      <w:r>
        <w:rPr>
          <w:bCs w:val="0"/>
          <w:i/>
          <w:iCs/>
          <w:lang w:val="fr"/>
        </w:rPr>
        <w:t>feuille de route</w:t>
      </w:r>
      <w:r>
        <w:rPr>
          <w:bCs w:val="0"/>
          <w:lang w:val="fr"/>
        </w:rPr>
        <w:t xml:space="preserve">. Dans l'ensemble, le processus de planification à venir s'efforcera de renforcer les expressions des impacts et des avantages de chaque action, et la façon dont ils s'intègrent dans un impact global attendu pour le Système mondial d'observation de l'océan. </w:t>
      </w:r>
    </w:p>
    <w:p w14:paraId="225AA9CF" w14:textId="684CC387" w:rsidR="00793A73" w:rsidRPr="007525A8" w:rsidRDefault="00793A73" w:rsidP="00793A73">
      <w:pPr>
        <w:pStyle w:val="Heading3"/>
      </w:pPr>
      <w:r>
        <w:rPr>
          <w:lang w:val="fr"/>
        </w:rPr>
        <w:t>Priorités</w:t>
      </w:r>
    </w:p>
    <w:p w14:paraId="78ADAC19" w14:textId="2F58153D" w:rsidR="00793A73" w:rsidRPr="007525A8" w:rsidRDefault="00A93CB3" w:rsidP="002B7A3F">
      <w:pPr>
        <w:pStyle w:val="COI"/>
      </w:pPr>
      <w:r>
        <w:rPr>
          <w:bCs w:val="0"/>
          <w:lang w:val="fr"/>
        </w:rPr>
        <w:t>Le Comité directeur du GOOS a décidé que les priorités pour la mise en œuvre du GOOS devaient être d'augmenter l'attention et les ressources pour les partenariats pour la prestation (</w:t>
      </w:r>
      <w:hyperlink w:anchor="SO_1" w:history="1">
        <w:r>
          <w:rPr>
            <w:rStyle w:val="Hyperlink"/>
            <w:bCs w:val="0"/>
            <w:lang w:val="fr"/>
          </w:rPr>
          <w:t>OS1</w:t>
        </w:r>
      </w:hyperlink>
      <w:r>
        <w:rPr>
          <w:bCs w:val="0"/>
          <w:lang w:val="fr"/>
        </w:rPr>
        <w:t>) et la sensibilisation et la communication (</w:t>
      </w:r>
      <w:hyperlink w:anchor="SO_2" w:history="1">
        <w:r>
          <w:rPr>
            <w:rStyle w:val="Hyperlink"/>
            <w:bCs w:val="0"/>
            <w:lang w:val="fr"/>
          </w:rPr>
          <w:t>OS2</w:t>
        </w:r>
      </w:hyperlink>
      <w:r>
        <w:rPr>
          <w:bCs w:val="0"/>
          <w:u w:val="single"/>
          <w:lang w:val="fr"/>
        </w:rPr>
        <w:t>)</w:t>
      </w:r>
      <w:r>
        <w:rPr>
          <w:bCs w:val="0"/>
          <w:lang w:val="fr"/>
        </w:rPr>
        <w:t>. Il travaillera avec l'équipe centrale pour relier les nombreuses actions individuelles de l'</w:t>
      </w:r>
      <w:hyperlink w:anchor="SO_7" w:history="1">
        <w:r>
          <w:rPr>
            <w:rStyle w:val="Hyperlink"/>
            <w:bCs w:val="0"/>
            <w:lang w:val="fr"/>
          </w:rPr>
          <w:t>OS7</w:t>
        </w:r>
      </w:hyperlink>
      <w:r>
        <w:rPr>
          <w:bCs w:val="0"/>
          <w:lang w:val="fr"/>
        </w:rPr>
        <w:t xml:space="preserve"> sur les données FAIR, en étroite collaboration avec l'IODE, et pour travailler sur des partenariats plus larges pour accroître l'impact et la vision stratégique à plus long terme des actions de développement des capacités de l'</w:t>
      </w:r>
      <w:hyperlink w:anchor="SO_9" w:history="1">
        <w:r>
          <w:rPr>
            <w:rStyle w:val="Hyperlink"/>
            <w:bCs w:val="0"/>
            <w:lang w:val="fr"/>
          </w:rPr>
          <w:t>OS9</w:t>
        </w:r>
      </w:hyperlink>
      <w:r>
        <w:rPr>
          <w:bCs w:val="0"/>
          <w:lang w:val="fr"/>
        </w:rPr>
        <w:t>. Les programmes de la Décennie seront intégrés au plan de mise en œuvre au fur et à mesure de leur développement. Le Comité directeur hiérarchisera les actions en fonction des ressources disponibles sur une base continue.</w:t>
      </w:r>
    </w:p>
    <w:p w14:paraId="7D1BA06F" w14:textId="3BA05DC3" w:rsidR="005B5174" w:rsidRPr="007525A8" w:rsidRDefault="005B5174" w:rsidP="005B5174">
      <w:pPr>
        <w:pStyle w:val="Heading3"/>
      </w:pPr>
      <w:r>
        <w:rPr>
          <w:lang w:val="fr"/>
        </w:rPr>
        <w:t>Ressources nécessaires</w:t>
      </w:r>
    </w:p>
    <w:p w14:paraId="70C4BBB3" w14:textId="4C825433" w:rsidR="00117356" w:rsidRDefault="0068104A" w:rsidP="002B7A3F">
      <w:pPr>
        <w:pStyle w:val="COI"/>
      </w:pPr>
      <w:r>
        <w:rPr>
          <w:bCs w:val="0"/>
          <w:lang w:val="fr"/>
        </w:rPr>
        <w:t xml:space="preserve">L'équipe centrale du GOOS est soutenue par un bureau du GOOS décentralisé qui compte aujourd'hui 14,25 équivalents temps plein, répartis et financés comme indiqué dans le tableau ci-dessous. </w:t>
      </w:r>
    </w:p>
    <w:tbl>
      <w:tblPr>
        <w:tblW w:w="8916" w:type="dxa"/>
        <w:jc w:val="center"/>
        <w:tblLook w:val="04A0" w:firstRow="1" w:lastRow="0" w:firstColumn="1" w:lastColumn="0" w:noHBand="0" w:noVBand="1"/>
      </w:tblPr>
      <w:tblGrid>
        <w:gridCol w:w="1970"/>
        <w:gridCol w:w="1685"/>
        <w:gridCol w:w="3134"/>
        <w:gridCol w:w="2127"/>
      </w:tblGrid>
      <w:tr w:rsidR="0068104A" w:rsidRPr="00117356" w14:paraId="5886D320" w14:textId="77777777" w:rsidTr="00C8507A">
        <w:trPr>
          <w:trHeight w:val="283"/>
          <w:tblHeader/>
          <w:jc w:val="center"/>
        </w:trPr>
        <w:tc>
          <w:tcPr>
            <w:tcW w:w="1970"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14:paraId="5EF27008" w14:textId="53F69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fr"/>
              </w:rPr>
              <w:t>Élément de bureau du GOOS</w:t>
            </w:r>
          </w:p>
        </w:tc>
        <w:tc>
          <w:tcPr>
            <w:tcW w:w="1685" w:type="dxa"/>
            <w:tcBorders>
              <w:top w:val="single" w:sz="12" w:space="0" w:color="000000"/>
              <w:left w:val="nil"/>
              <w:bottom w:val="single" w:sz="12" w:space="0" w:color="000000"/>
              <w:right w:val="single" w:sz="8" w:space="0" w:color="000000"/>
            </w:tcBorders>
            <w:shd w:val="clear" w:color="auto" w:fill="auto"/>
            <w:vAlign w:val="center"/>
            <w:hideMark/>
          </w:tcPr>
          <w:p w14:paraId="15C0BCAC" w14:textId="0F9C7F44" w:rsidR="004429FB" w:rsidRPr="00C8507A" w:rsidRDefault="0068104A" w:rsidP="0068104A">
            <w:pPr>
              <w:tabs>
                <w:tab w:val="clear" w:pos="567"/>
              </w:tabs>
              <w:snapToGrid/>
              <w:rPr>
                <w:rFonts w:asciiTheme="minorBidi" w:hAnsiTheme="minorBidi" w:cstheme="minorBidi"/>
                <w:b/>
                <w:bCs/>
                <w:snapToGrid/>
                <w:color w:val="000000"/>
                <w:szCs w:val="22"/>
              </w:rPr>
            </w:pPr>
            <w:r>
              <w:rPr>
                <w:rFonts w:asciiTheme="minorBidi" w:eastAsia="Arial" w:hAnsiTheme="minorBidi" w:cstheme="minorBidi"/>
                <w:b/>
                <w:bCs/>
                <w:snapToGrid/>
                <w:color w:val="000000"/>
                <w:szCs w:val="22"/>
                <w:lang w:val="fr"/>
              </w:rPr>
              <w:t>Équivalents temps plein</w:t>
            </w:r>
          </w:p>
        </w:tc>
        <w:tc>
          <w:tcPr>
            <w:tcW w:w="3134" w:type="dxa"/>
            <w:tcBorders>
              <w:top w:val="single" w:sz="12" w:space="0" w:color="000000"/>
              <w:left w:val="nil"/>
              <w:bottom w:val="single" w:sz="12" w:space="0" w:color="000000"/>
              <w:right w:val="single" w:sz="8" w:space="0" w:color="000000"/>
            </w:tcBorders>
            <w:shd w:val="clear" w:color="auto" w:fill="auto"/>
            <w:vAlign w:val="center"/>
            <w:hideMark/>
          </w:tcPr>
          <w:p w14:paraId="1E12DD31" w14:textId="77777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fr"/>
              </w:rPr>
              <w:t>Source de financement</w:t>
            </w:r>
          </w:p>
        </w:tc>
        <w:tc>
          <w:tcPr>
            <w:tcW w:w="2127" w:type="dxa"/>
            <w:tcBorders>
              <w:top w:val="single" w:sz="12" w:space="0" w:color="000000"/>
              <w:left w:val="nil"/>
              <w:bottom w:val="single" w:sz="12" w:space="0" w:color="000000"/>
              <w:right w:val="single" w:sz="12" w:space="0" w:color="000000"/>
            </w:tcBorders>
            <w:shd w:val="clear" w:color="auto" w:fill="auto"/>
            <w:vAlign w:val="center"/>
            <w:hideMark/>
          </w:tcPr>
          <w:p w14:paraId="54BC57F2" w14:textId="77777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fr"/>
              </w:rPr>
              <w:t>Localisation</w:t>
            </w:r>
          </w:p>
        </w:tc>
      </w:tr>
      <w:tr w:rsidR="0068104A" w:rsidRPr="00117356" w14:paraId="628CBABF"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75E684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Coordination centrale</w:t>
            </w:r>
          </w:p>
        </w:tc>
        <w:tc>
          <w:tcPr>
            <w:tcW w:w="1685" w:type="dxa"/>
            <w:tcBorders>
              <w:top w:val="nil"/>
              <w:left w:val="nil"/>
              <w:bottom w:val="single" w:sz="8" w:space="0" w:color="000000"/>
              <w:right w:val="single" w:sz="8" w:space="0" w:color="000000"/>
            </w:tcBorders>
            <w:shd w:val="clear" w:color="auto" w:fill="auto"/>
            <w:hideMark/>
          </w:tcPr>
          <w:p w14:paraId="0BD2B2ED"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2,65</w:t>
            </w:r>
          </w:p>
        </w:tc>
        <w:tc>
          <w:tcPr>
            <w:tcW w:w="3134" w:type="dxa"/>
            <w:tcBorders>
              <w:top w:val="nil"/>
              <w:left w:val="nil"/>
              <w:bottom w:val="single" w:sz="8" w:space="0" w:color="000000"/>
              <w:right w:val="single" w:sz="8" w:space="0" w:color="000000"/>
            </w:tcBorders>
            <w:shd w:val="clear" w:color="auto" w:fill="auto"/>
            <w:hideMark/>
          </w:tcPr>
          <w:p w14:paraId="2D26E6BF"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COI</w:t>
            </w:r>
          </w:p>
        </w:tc>
        <w:tc>
          <w:tcPr>
            <w:tcW w:w="2127" w:type="dxa"/>
            <w:tcBorders>
              <w:top w:val="nil"/>
              <w:left w:val="nil"/>
              <w:bottom w:val="single" w:sz="8" w:space="0" w:color="000000"/>
              <w:right w:val="single" w:sz="12" w:space="0" w:color="000000"/>
            </w:tcBorders>
            <w:shd w:val="clear" w:color="auto" w:fill="auto"/>
            <w:hideMark/>
          </w:tcPr>
          <w:p w14:paraId="486EED27"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Paris, France</w:t>
            </w:r>
          </w:p>
        </w:tc>
      </w:tr>
      <w:tr w:rsidR="0068104A" w:rsidRPr="00117356" w14:paraId="1D76A729"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BE51976"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lastRenderedPageBreak/>
              <w:t>Groupe physique et climat</w:t>
            </w:r>
          </w:p>
        </w:tc>
        <w:tc>
          <w:tcPr>
            <w:tcW w:w="1685" w:type="dxa"/>
            <w:tcBorders>
              <w:top w:val="nil"/>
              <w:left w:val="nil"/>
              <w:bottom w:val="single" w:sz="8" w:space="0" w:color="000000"/>
              <w:right w:val="single" w:sz="8" w:space="0" w:color="000000"/>
            </w:tcBorders>
            <w:shd w:val="clear" w:color="auto" w:fill="auto"/>
            <w:hideMark/>
          </w:tcPr>
          <w:p w14:paraId="2F0EA92C"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1</w:t>
            </w:r>
          </w:p>
        </w:tc>
        <w:tc>
          <w:tcPr>
            <w:tcW w:w="3134" w:type="dxa"/>
            <w:tcBorders>
              <w:top w:val="nil"/>
              <w:left w:val="nil"/>
              <w:bottom w:val="single" w:sz="8" w:space="0" w:color="000000"/>
              <w:right w:val="single" w:sz="8" w:space="0" w:color="000000"/>
            </w:tcBorders>
            <w:shd w:val="clear" w:color="auto" w:fill="auto"/>
            <w:hideMark/>
          </w:tcPr>
          <w:p w14:paraId="607CC6A3" w14:textId="70890AED" w:rsidR="004429FB" w:rsidRPr="00C8507A" w:rsidRDefault="0068104A"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USA NOAA</w:t>
            </w:r>
          </w:p>
        </w:tc>
        <w:tc>
          <w:tcPr>
            <w:tcW w:w="2127" w:type="dxa"/>
            <w:tcBorders>
              <w:top w:val="nil"/>
              <w:left w:val="nil"/>
              <w:bottom w:val="single" w:sz="8" w:space="0" w:color="000000"/>
              <w:right w:val="single" w:sz="12" w:space="0" w:color="000000"/>
            </w:tcBorders>
            <w:shd w:val="clear" w:color="auto" w:fill="auto"/>
            <w:hideMark/>
          </w:tcPr>
          <w:p w14:paraId="2DDD4A43" w14:textId="0D7E75E5"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Genève (OMM), Suisse</w:t>
            </w:r>
          </w:p>
        </w:tc>
      </w:tr>
      <w:tr w:rsidR="0068104A" w:rsidRPr="00117356" w14:paraId="18056C38"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6BF799E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Groupe biogéochimie</w:t>
            </w:r>
          </w:p>
        </w:tc>
        <w:tc>
          <w:tcPr>
            <w:tcW w:w="1685" w:type="dxa"/>
            <w:tcBorders>
              <w:top w:val="nil"/>
              <w:left w:val="nil"/>
              <w:bottom w:val="single" w:sz="8" w:space="0" w:color="000000"/>
              <w:right w:val="single" w:sz="8" w:space="0" w:color="000000"/>
            </w:tcBorders>
            <w:shd w:val="clear" w:color="auto" w:fill="auto"/>
            <w:hideMark/>
          </w:tcPr>
          <w:p w14:paraId="14D8DE42"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2</w:t>
            </w:r>
          </w:p>
        </w:tc>
        <w:tc>
          <w:tcPr>
            <w:tcW w:w="3134" w:type="dxa"/>
            <w:tcBorders>
              <w:top w:val="nil"/>
              <w:left w:val="nil"/>
              <w:bottom w:val="single" w:sz="8" w:space="0" w:color="000000"/>
              <w:right w:val="single" w:sz="8" w:space="0" w:color="000000"/>
            </w:tcBorders>
            <w:shd w:val="clear" w:color="auto" w:fill="auto"/>
            <w:hideMark/>
          </w:tcPr>
          <w:p w14:paraId="5ED356A0" w14:textId="33FD0A3C" w:rsidR="004429FB" w:rsidRPr="00C8507A" w:rsidRDefault="0068104A"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USA (NSF via SCOR), CE H2020 EuroSea, COI</w:t>
            </w:r>
          </w:p>
        </w:tc>
        <w:tc>
          <w:tcPr>
            <w:tcW w:w="2127" w:type="dxa"/>
            <w:tcBorders>
              <w:top w:val="nil"/>
              <w:left w:val="nil"/>
              <w:bottom w:val="single" w:sz="8" w:space="0" w:color="000000"/>
              <w:right w:val="single" w:sz="12" w:space="0" w:color="000000"/>
            </w:tcBorders>
            <w:shd w:val="clear" w:color="auto" w:fill="auto"/>
            <w:hideMark/>
          </w:tcPr>
          <w:p w14:paraId="6CAF315B"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Sopot, Pologne</w:t>
            </w:r>
          </w:p>
        </w:tc>
      </w:tr>
      <w:tr w:rsidR="0068104A" w:rsidRPr="00117356" w14:paraId="2A6ED19B"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2315531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Groupe biologie et écosystèmes</w:t>
            </w:r>
          </w:p>
        </w:tc>
        <w:tc>
          <w:tcPr>
            <w:tcW w:w="1685" w:type="dxa"/>
            <w:tcBorders>
              <w:top w:val="nil"/>
              <w:left w:val="nil"/>
              <w:bottom w:val="single" w:sz="8" w:space="0" w:color="000000"/>
              <w:right w:val="single" w:sz="8" w:space="0" w:color="000000"/>
            </w:tcBorders>
            <w:shd w:val="clear" w:color="auto" w:fill="auto"/>
            <w:hideMark/>
          </w:tcPr>
          <w:p w14:paraId="0420B242"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1</w:t>
            </w:r>
          </w:p>
        </w:tc>
        <w:tc>
          <w:tcPr>
            <w:tcW w:w="3134" w:type="dxa"/>
            <w:tcBorders>
              <w:top w:val="nil"/>
              <w:left w:val="nil"/>
              <w:bottom w:val="single" w:sz="8" w:space="0" w:color="000000"/>
              <w:right w:val="single" w:sz="8" w:space="0" w:color="000000"/>
            </w:tcBorders>
            <w:shd w:val="clear" w:color="auto" w:fill="auto"/>
            <w:hideMark/>
          </w:tcPr>
          <w:p w14:paraId="756343D9" w14:textId="6A4E4D44"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CSIRO, AIMS, CE H2020 EuroSea, COI</w:t>
            </w:r>
          </w:p>
        </w:tc>
        <w:tc>
          <w:tcPr>
            <w:tcW w:w="2127" w:type="dxa"/>
            <w:tcBorders>
              <w:top w:val="nil"/>
              <w:left w:val="nil"/>
              <w:bottom w:val="single" w:sz="8" w:space="0" w:color="000000"/>
              <w:right w:val="single" w:sz="12" w:space="0" w:color="000000"/>
            </w:tcBorders>
            <w:shd w:val="clear" w:color="auto" w:fill="auto"/>
            <w:hideMark/>
          </w:tcPr>
          <w:p w14:paraId="7C2ECCA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Hobart, Australie</w:t>
            </w:r>
          </w:p>
        </w:tc>
      </w:tr>
      <w:tr w:rsidR="0068104A" w:rsidRPr="00117356" w14:paraId="4037266D"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786BE92B" w14:textId="10D77C9E" w:rsidR="004429FB" w:rsidRPr="00C8507A" w:rsidRDefault="0068104A"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Données biologie et écosystèmes (IODE/OBIS)</w:t>
            </w:r>
          </w:p>
        </w:tc>
        <w:tc>
          <w:tcPr>
            <w:tcW w:w="1685" w:type="dxa"/>
            <w:tcBorders>
              <w:top w:val="nil"/>
              <w:left w:val="nil"/>
              <w:bottom w:val="single" w:sz="8" w:space="0" w:color="000000"/>
              <w:right w:val="single" w:sz="8" w:space="0" w:color="000000"/>
            </w:tcBorders>
            <w:shd w:val="clear" w:color="auto" w:fill="auto"/>
            <w:hideMark/>
          </w:tcPr>
          <w:p w14:paraId="5EDD09DC"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0,1</w:t>
            </w:r>
          </w:p>
        </w:tc>
        <w:tc>
          <w:tcPr>
            <w:tcW w:w="3134" w:type="dxa"/>
            <w:tcBorders>
              <w:top w:val="nil"/>
              <w:left w:val="nil"/>
              <w:bottom w:val="single" w:sz="8" w:space="0" w:color="000000"/>
              <w:right w:val="single" w:sz="8" w:space="0" w:color="000000"/>
            </w:tcBorders>
            <w:shd w:val="clear" w:color="auto" w:fill="auto"/>
            <w:hideMark/>
          </w:tcPr>
          <w:p w14:paraId="60D024D9"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COI</w:t>
            </w:r>
          </w:p>
        </w:tc>
        <w:tc>
          <w:tcPr>
            <w:tcW w:w="2127" w:type="dxa"/>
            <w:tcBorders>
              <w:top w:val="nil"/>
              <w:left w:val="nil"/>
              <w:bottom w:val="single" w:sz="8" w:space="0" w:color="000000"/>
              <w:right w:val="single" w:sz="12" w:space="0" w:color="000000"/>
            </w:tcBorders>
            <w:shd w:val="clear" w:color="auto" w:fill="auto"/>
            <w:hideMark/>
          </w:tcPr>
          <w:p w14:paraId="2C22703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Ostende, Belgique</w:t>
            </w:r>
          </w:p>
        </w:tc>
      </w:tr>
      <w:tr w:rsidR="0068104A" w:rsidRPr="00117356" w14:paraId="3E0B3605"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1EC9EB88"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Groupe de coordination des observations</w:t>
            </w:r>
          </w:p>
        </w:tc>
        <w:tc>
          <w:tcPr>
            <w:tcW w:w="1685" w:type="dxa"/>
            <w:tcBorders>
              <w:top w:val="nil"/>
              <w:left w:val="nil"/>
              <w:bottom w:val="single" w:sz="8" w:space="0" w:color="000000"/>
              <w:right w:val="single" w:sz="8" w:space="0" w:color="000000"/>
            </w:tcBorders>
            <w:shd w:val="clear" w:color="auto" w:fill="auto"/>
            <w:hideMark/>
          </w:tcPr>
          <w:p w14:paraId="435D8245"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0,65</w:t>
            </w:r>
          </w:p>
        </w:tc>
        <w:tc>
          <w:tcPr>
            <w:tcW w:w="3134" w:type="dxa"/>
            <w:tcBorders>
              <w:top w:val="nil"/>
              <w:left w:val="nil"/>
              <w:bottom w:val="single" w:sz="8" w:space="0" w:color="000000"/>
              <w:right w:val="single" w:sz="8" w:space="0" w:color="000000"/>
            </w:tcBorders>
            <w:shd w:val="clear" w:color="auto" w:fill="auto"/>
            <w:hideMark/>
          </w:tcPr>
          <w:p w14:paraId="755B5DF1" w14:textId="2168D0CD"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COI, OMM, USA NOAA</w:t>
            </w:r>
          </w:p>
        </w:tc>
        <w:tc>
          <w:tcPr>
            <w:tcW w:w="2127" w:type="dxa"/>
            <w:tcBorders>
              <w:top w:val="nil"/>
              <w:left w:val="nil"/>
              <w:bottom w:val="single" w:sz="8" w:space="0" w:color="000000"/>
              <w:right w:val="single" w:sz="12" w:space="0" w:color="000000"/>
            </w:tcBorders>
            <w:shd w:val="clear" w:color="auto" w:fill="auto"/>
            <w:hideMark/>
          </w:tcPr>
          <w:p w14:paraId="4D2FCE5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Paris, Genève (OMM), Washington DC, USA</w:t>
            </w:r>
          </w:p>
        </w:tc>
      </w:tr>
      <w:tr w:rsidR="0068104A" w:rsidRPr="00117356" w14:paraId="5B3BF1A5"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F243EE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Réseaux</w:t>
            </w:r>
          </w:p>
        </w:tc>
        <w:tc>
          <w:tcPr>
            <w:tcW w:w="1685" w:type="dxa"/>
            <w:tcBorders>
              <w:top w:val="nil"/>
              <w:left w:val="nil"/>
              <w:bottom w:val="single" w:sz="8" w:space="0" w:color="000000"/>
              <w:right w:val="single" w:sz="8" w:space="0" w:color="000000"/>
            </w:tcBorders>
            <w:shd w:val="clear" w:color="auto" w:fill="auto"/>
            <w:hideMark/>
          </w:tcPr>
          <w:p w14:paraId="3C8ECD29"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0,35</w:t>
            </w:r>
          </w:p>
        </w:tc>
        <w:tc>
          <w:tcPr>
            <w:tcW w:w="3134" w:type="dxa"/>
            <w:tcBorders>
              <w:top w:val="nil"/>
              <w:left w:val="nil"/>
              <w:bottom w:val="single" w:sz="8" w:space="0" w:color="000000"/>
              <w:right w:val="single" w:sz="8" w:space="0" w:color="000000"/>
            </w:tcBorders>
            <w:shd w:val="clear" w:color="auto" w:fill="auto"/>
            <w:hideMark/>
          </w:tcPr>
          <w:p w14:paraId="4D61672D"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COI, OMM</w:t>
            </w:r>
          </w:p>
        </w:tc>
        <w:tc>
          <w:tcPr>
            <w:tcW w:w="2127" w:type="dxa"/>
            <w:tcBorders>
              <w:top w:val="nil"/>
              <w:left w:val="nil"/>
              <w:bottom w:val="single" w:sz="8" w:space="0" w:color="000000"/>
              <w:right w:val="single" w:sz="12" w:space="0" w:color="000000"/>
            </w:tcBorders>
            <w:shd w:val="clear" w:color="auto" w:fill="auto"/>
            <w:hideMark/>
          </w:tcPr>
          <w:p w14:paraId="2CBFF58D"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Paris, Genève (OMM)</w:t>
            </w:r>
          </w:p>
        </w:tc>
      </w:tr>
      <w:tr w:rsidR="0068104A" w:rsidRPr="00117356" w14:paraId="7459BBD2"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25B23576"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OceanOPS</w:t>
            </w:r>
          </w:p>
        </w:tc>
        <w:tc>
          <w:tcPr>
            <w:tcW w:w="1685" w:type="dxa"/>
            <w:tcBorders>
              <w:top w:val="nil"/>
              <w:left w:val="nil"/>
              <w:bottom w:val="single" w:sz="8" w:space="0" w:color="000000"/>
              <w:right w:val="single" w:sz="8" w:space="0" w:color="000000"/>
            </w:tcBorders>
            <w:shd w:val="clear" w:color="auto" w:fill="auto"/>
            <w:hideMark/>
          </w:tcPr>
          <w:p w14:paraId="40B9C6A2"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6</w:t>
            </w:r>
          </w:p>
        </w:tc>
        <w:tc>
          <w:tcPr>
            <w:tcW w:w="3134" w:type="dxa"/>
            <w:tcBorders>
              <w:top w:val="nil"/>
              <w:left w:val="nil"/>
              <w:bottom w:val="single" w:sz="8" w:space="0" w:color="000000"/>
              <w:right w:val="single" w:sz="8" w:space="0" w:color="000000"/>
            </w:tcBorders>
            <w:shd w:val="clear" w:color="auto" w:fill="auto"/>
            <w:hideMark/>
          </w:tcPr>
          <w:p w14:paraId="32061BBB" w14:textId="5604ECAC"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Contributions nationales des États-Unis (68 %), de Monaco, de l'UE, de la France, de l'Australie, du Canada, de la Chine, de l'Allemagne, du Japon, de l'Italie, de l'Inde et de l'Afrique du Sud. On peut compter sur un certain soutien de la COI et sur le récent soutien de l'OMM en 2021.</w:t>
            </w:r>
          </w:p>
        </w:tc>
        <w:tc>
          <w:tcPr>
            <w:tcW w:w="2127" w:type="dxa"/>
            <w:tcBorders>
              <w:top w:val="nil"/>
              <w:left w:val="nil"/>
              <w:bottom w:val="single" w:sz="8" w:space="0" w:color="000000"/>
              <w:right w:val="single" w:sz="12" w:space="0" w:color="000000"/>
            </w:tcBorders>
            <w:shd w:val="clear" w:color="auto" w:fill="auto"/>
            <w:hideMark/>
          </w:tcPr>
          <w:p w14:paraId="2F629779"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Brest, France</w:t>
            </w:r>
          </w:p>
        </w:tc>
      </w:tr>
      <w:tr w:rsidR="0068104A" w:rsidRPr="00117356" w14:paraId="0FB829F4"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31875057"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Équipe d'experts sur les systèmes opérationnels de prévision océanique</w:t>
            </w:r>
          </w:p>
        </w:tc>
        <w:tc>
          <w:tcPr>
            <w:tcW w:w="1685" w:type="dxa"/>
            <w:tcBorders>
              <w:top w:val="nil"/>
              <w:left w:val="nil"/>
              <w:bottom w:val="single" w:sz="8" w:space="0" w:color="000000"/>
              <w:right w:val="single" w:sz="8" w:space="0" w:color="000000"/>
            </w:tcBorders>
            <w:shd w:val="clear" w:color="auto" w:fill="auto"/>
            <w:hideMark/>
          </w:tcPr>
          <w:p w14:paraId="2F21E68F"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0,25</w:t>
            </w:r>
          </w:p>
        </w:tc>
        <w:tc>
          <w:tcPr>
            <w:tcW w:w="3134" w:type="dxa"/>
            <w:tcBorders>
              <w:top w:val="nil"/>
              <w:left w:val="nil"/>
              <w:bottom w:val="single" w:sz="8" w:space="0" w:color="000000"/>
              <w:right w:val="single" w:sz="8" w:space="0" w:color="000000"/>
            </w:tcBorders>
            <w:shd w:val="clear" w:color="auto" w:fill="auto"/>
            <w:hideMark/>
          </w:tcPr>
          <w:p w14:paraId="4296C455"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COI</w:t>
            </w:r>
          </w:p>
        </w:tc>
        <w:tc>
          <w:tcPr>
            <w:tcW w:w="2127" w:type="dxa"/>
            <w:tcBorders>
              <w:top w:val="nil"/>
              <w:left w:val="nil"/>
              <w:bottom w:val="single" w:sz="8" w:space="0" w:color="000000"/>
              <w:right w:val="single" w:sz="12" w:space="0" w:color="000000"/>
            </w:tcBorders>
            <w:shd w:val="clear" w:color="auto" w:fill="auto"/>
            <w:hideMark/>
          </w:tcPr>
          <w:p w14:paraId="2CF6B630"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Paris, France</w:t>
            </w:r>
          </w:p>
        </w:tc>
      </w:tr>
      <w:tr w:rsidR="0068104A" w:rsidRPr="00117356" w14:paraId="4A04A9E5" w14:textId="77777777" w:rsidTr="0068104A">
        <w:trPr>
          <w:trHeight w:val="283"/>
          <w:jc w:val="center"/>
        </w:trPr>
        <w:tc>
          <w:tcPr>
            <w:tcW w:w="1970" w:type="dxa"/>
            <w:tcBorders>
              <w:top w:val="nil"/>
              <w:left w:val="single" w:sz="12" w:space="0" w:color="000000"/>
              <w:bottom w:val="single" w:sz="12" w:space="0" w:color="000000"/>
              <w:right w:val="single" w:sz="8" w:space="0" w:color="000000"/>
            </w:tcBorders>
            <w:shd w:val="clear" w:color="auto" w:fill="auto"/>
            <w:hideMark/>
          </w:tcPr>
          <w:p w14:paraId="272E394D"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Alliances régionales pour le GOOS</w:t>
            </w:r>
          </w:p>
        </w:tc>
        <w:tc>
          <w:tcPr>
            <w:tcW w:w="1685" w:type="dxa"/>
            <w:tcBorders>
              <w:top w:val="nil"/>
              <w:left w:val="nil"/>
              <w:bottom w:val="single" w:sz="12" w:space="0" w:color="000000"/>
              <w:right w:val="single" w:sz="8" w:space="0" w:color="000000"/>
            </w:tcBorders>
            <w:shd w:val="clear" w:color="auto" w:fill="auto"/>
            <w:hideMark/>
          </w:tcPr>
          <w:p w14:paraId="335919A3"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0,25</w:t>
            </w:r>
          </w:p>
        </w:tc>
        <w:tc>
          <w:tcPr>
            <w:tcW w:w="3134" w:type="dxa"/>
            <w:tcBorders>
              <w:top w:val="nil"/>
              <w:left w:val="nil"/>
              <w:bottom w:val="single" w:sz="12" w:space="0" w:color="000000"/>
              <w:right w:val="single" w:sz="8" w:space="0" w:color="000000"/>
            </w:tcBorders>
            <w:shd w:val="clear" w:color="auto" w:fill="auto"/>
            <w:hideMark/>
          </w:tcPr>
          <w:p w14:paraId="7C3953CF"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COI</w:t>
            </w:r>
          </w:p>
        </w:tc>
        <w:tc>
          <w:tcPr>
            <w:tcW w:w="2127" w:type="dxa"/>
            <w:tcBorders>
              <w:top w:val="nil"/>
              <w:left w:val="nil"/>
              <w:bottom w:val="single" w:sz="12" w:space="0" w:color="000000"/>
              <w:right w:val="single" w:sz="12" w:space="0" w:color="000000"/>
            </w:tcBorders>
            <w:shd w:val="clear" w:color="auto" w:fill="auto"/>
            <w:hideMark/>
          </w:tcPr>
          <w:p w14:paraId="3E5124F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fr"/>
              </w:rPr>
              <w:t>Paris, France</w:t>
            </w:r>
          </w:p>
        </w:tc>
      </w:tr>
      <w:tr w:rsidR="0068104A" w:rsidRPr="00117356" w14:paraId="4250BF04" w14:textId="77777777" w:rsidTr="0068104A">
        <w:trPr>
          <w:trHeight w:val="283"/>
          <w:jc w:val="center"/>
        </w:trPr>
        <w:tc>
          <w:tcPr>
            <w:tcW w:w="1970" w:type="dxa"/>
            <w:tcBorders>
              <w:top w:val="nil"/>
              <w:left w:val="single" w:sz="12" w:space="0" w:color="000000"/>
              <w:bottom w:val="single" w:sz="12" w:space="0" w:color="000000"/>
              <w:right w:val="single" w:sz="8" w:space="0" w:color="000000"/>
            </w:tcBorders>
            <w:shd w:val="clear" w:color="auto" w:fill="auto"/>
            <w:hideMark/>
          </w:tcPr>
          <w:p w14:paraId="2FF68192" w14:textId="77777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fr"/>
              </w:rPr>
              <w:t>Total</w:t>
            </w:r>
          </w:p>
        </w:tc>
        <w:tc>
          <w:tcPr>
            <w:tcW w:w="1685" w:type="dxa"/>
            <w:tcBorders>
              <w:top w:val="nil"/>
              <w:left w:val="nil"/>
              <w:bottom w:val="single" w:sz="12" w:space="0" w:color="000000"/>
              <w:right w:val="single" w:sz="8" w:space="0" w:color="000000"/>
            </w:tcBorders>
            <w:shd w:val="clear" w:color="auto" w:fill="auto"/>
            <w:hideMark/>
          </w:tcPr>
          <w:p w14:paraId="1ED58D8A" w14:textId="77777777" w:rsidR="004429FB" w:rsidRPr="00C8507A" w:rsidRDefault="004429FB" w:rsidP="0068104A">
            <w:pPr>
              <w:tabs>
                <w:tab w:val="clear" w:pos="567"/>
              </w:tabs>
              <w:snapToGrid/>
              <w:jc w:val="right"/>
              <w:rPr>
                <w:rFonts w:asciiTheme="minorBidi" w:hAnsiTheme="minorBidi" w:cstheme="minorBidi"/>
                <w:b/>
                <w:bCs/>
                <w:snapToGrid/>
                <w:color w:val="000000"/>
                <w:szCs w:val="22"/>
              </w:rPr>
            </w:pPr>
            <w:r>
              <w:rPr>
                <w:rFonts w:asciiTheme="minorBidi" w:eastAsia="Arial" w:hAnsiTheme="minorBidi" w:cstheme="minorBidi"/>
                <w:b/>
                <w:bCs/>
                <w:snapToGrid/>
                <w:color w:val="000000"/>
                <w:szCs w:val="22"/>
                <w:lang w:val="fr"/>
              </w:rPr>
              <w:t>14,25</w:t>
            </w:r>
          </w:p>
        </w:tc>
        <w:tc>
          <w:tcPr>
            <w:tcW w:w="3134" w:type="dxa"/>
            <w:tcBorders>
              <w:top w:val="single" w:sz="12" w:space="0" w:color="000000"/>
              <w:left w:val="nil"/>
            </w:tcBorders>
            <w:shd w:val="clear" w:color="auto" w:fill="auto"/>
            <w:hideMark/>
          </w:tcPr>
          <w:p w14:paraId="01A3B64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hAnsiTheme="minorBidi" w:cstheme="minorBidi"/>
                <w:snapToGrid/>
                <w:color w:val="000000"/>
                <w:szCs w:val="22"/>
                <w:lang w:val="fr"/>
              </w:rPr>
              <w:t> </w:t>
            </w:r>
          </w:p>
        </w:tc>
        <w:tc>
          <w:tcPr>
            <w:tcW w:w="2127" w:type="dxa"/>
            <w:tcBorders>
              <w:top w:val="single" w:sz="12" w:space="0" w:color="000000"/>
            </w:tcBorders>
            <w:shd w:val="clear" w:color="auto" w:fill="auto"/>
            <w:hideMark/>
          </w:tcPr>
          <w:p w14:paraId="0093D4A0"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hAnsiTheme="minorBidi" w:cstheme="minorBidi"/>
                <w:snapToGrid/>
                <w:color w:val="000000"/>
                <w:szCs w:val="22"/>
                <w:lang w:val="fr"/>
              </w:rPr>
              <w:t> </w:t>
            </w:r>
          </w:p>
        </w:tc>
      </w:tr>
    </w:tbl>
    <w:p w14:paraId="18A29E49" w14:textId="15910506" w:rsidR="005B5174" w:rsidRPr="007525A8" w:rsidRDefault="00E2260D" w:rsidP="00203761">
      <w:pPr>
        <w:pStyle w:val="COI"/>
        <w:spacing w:before="240"/>
      </w:pPr>
      <w:r>
        <w:rPr>
          <w:bCs w:val="0"/>
          <w:lang w:val="fr"/>
        </w:rPr>
        <w:t xml:space="preserve">Pour atteindre l'ambition affichée des actions identifiées au paragraphe 5 ci-dessus, sans établir de priorités, il faudra plus que doubler ce soutien en personnel à moyen terme, soit environ trois ans. L'expérience acquise au fil du temps avec un bureau du GOOS décentralisé, et l'expérimentation du travail à distance au cours de l'année dernière, montrent qu'une partie du personnel peut travailler à distance sans difficulté. Cela ouvre la possibilité de fournir une aide en nature et dans le pays pour soutenir les projets. Concentrer le soutien dans certains réseaux présente des avantages pour créer des synergies. La coordination centrale globale devra être un réseau fort afin d'assurer un objectif commun et une prestation coordonnée à travers d'autres réseaux d'activité, en s'appuyant sur l'effort volontaire des experts engagés dans le GOOS. </w:t>
      </w:r>
    </w:p>
    <w:p w14:paraId="2DDD1DE2" w14:textId="5E0164CB" w:rsidR="003740B1" w:rsidRPr="007525A8" w:rsidRDefault="003740B1" w:rsidP="002B7A3F">
      <w:pPr>
        <w:pStyle w:val="COI"/>
      </w:pPr>
      <w:r>
        <w:rPr>
          <w:bCs w:val="0"/>
          <w:lang w:val="fr"/>
        </w:rPr>
        <w:t xml:space="preserve">L'ambition des activités de l'équipe centrale du GOOS et le développement des programmes de la Décennie du GOOS nécessiteront une transformation non seulement du système d'observation et de l'engagement des parties prenantes, mais aussi du soutien apporté à la coordination de cette infrastructure clé. De cette manière, les activités des États membres pourront s'appuyer sur un système mondial opérationnel et les capacités pourront être développées pour répondre aux défis </w:t>
      </w:r>
      <w:r>
        <w:rPr>
          <w:bCs w:val="0"/>
          <w:lang w:val="fr"/>
        </w:rPr>
        <w:lastRenderedPageBreak/>
        <w:t xml:space="preserve">de la prochaine Décennie. Le GOOS devra s'engager dans une grande collecte de fonds, tant pour la mise en œuvre du GOOS que pour les programmes de la Décennie. </w:t>
      </w:r>
    </w:p>
    <w:p w14:paraId="50076403" w14:textId="0AB4B977" w:rsidR="003740B1" w:rsidRPr="007525A8" w:rsidRDefault="003740B1" w:rsidP="002B7A3F">
      <w:pPr>
        <w:pStyle w:val="COI"/>
      </w:pPr>
      <w:r>
        <w:rPr>
          <w:bCs w:val="0"/>
          <w:lang w:val="fr"/>
        </w:rPr>
        <w:t>Nous invitons les États membres à s'intéresser et à s'engager dans le processus de planification du GOOS, en entamant une conversation avec le Comité directeur du GOOS et le Bureau du GOOS afin de déterminer comment ils peuvent aider à la mise en œuvre et ce que leurs contributions nous permettront de réaliser ensemble.</w:t>
      </w:r>
    </w:p>
    <w:p w14:paraId="2F56C63E" w14:textId="13770538" w:rsidR="005B5174" w:rsidRPr="007525A8" w:rsidRDefault="005B5174" w:rsidP="005B5174">
      <w:pPr>
        <w:pStyle w:val="Heading3"/>
      </w:pPr>
      <w:r>
        <w:rPr>
          <w:lang w:val="fr"/>
        </w:rPr>
        <w:t>Proposition de décision</w:t>
      </w:r>
    </w:p>
    <w:p w14:paraId="350F68A7" w14:textId="0BC849FE" w:rsidR="00C3684D" w:rsidRPr="007525A8" w:rsidRDefault="005B5174" w:rsidP="002B7A3F">
      <w:pPr>
        <w:pStyle w:val="COI"/>
      </w:pPr>
      <w:r>
        <w:rPr>
          <w:bCs w:val="0"/>
          <w:lang w:val="fr"/>
        </w:rPr>
        <w:t>L'Assemblée est invitée à examiner la décision A-31/3.5.2 dans le deuxième document révisé relatif aux décisions à adopter (document </w:t>
      </w:r>
      <w:hyperlink r:id="rId17" w:history="1">
        <w:r>
          <w:rPr>
            <w:rStyle w:val="Hyperlink"/>
            <w:bCs w:val="0"/>
            <w:lang w:val="fr"/>
          </w:rPr>
          <w:t>IOC/A-31/AP Rev.2</w:t>
        </w:r>
      </w:hyperlink>
      <w:r>
        <w:rPr>
          <w:bCs w:val="0"/>
          <w:lang w:val="fr"/>
        </w:rPr>
        <w:t>).</w:t>
      </w:r>
    </w:p>
    <w:sectPr w:rsidR="00C3684D" w:rsidRPr="007525A8"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5FC6F" w14:textId="77777777" w:rsidR="00C377E4" w:rsidRDefault="00C377E4">
      <w:r>
        <w:separator/>
      </w:r>
    </w:p>
  </w:endnote>
  <w:endnote w:type="continuationSeparator" w:id="0">
    <w:p w14:paraId="4BCCBF63" w14:textId="77777777" w:rsidR="00C377E4" w:rsidRDefault="00C3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8225" w14:textId="77777777" w:rsidR="00C377E4" w:rsidRDefault="00C377E4">
      <w:r>
        <w:separator/>
      </w:r>
    </w:p>
  </w:footnote>
  <w:footnote w:type="continuationSeparator" w:id="0">
    <w:p w14:paraId="2B2C706B" w14:textId="77777777" w:rsidR="00C377E4" w:rsidRDefault="00C3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A6839" w14:textId="5D7D57D1" w:rsidR="00690753" w:rsidRPr="00C962F0" w:rsidRDefault="00690753">
    <w:pPr>
      <w:pStyle w:val="Header"/>
      <w:rPr>
        <w:szCs w:val="22"/>
      </w:rPr>
    </w:pPr>
    <w:r>
      <w:rPr>
        <w:szCs w:val="22"/>
        <w:lang w:val="fr"/>
      </w:rPr>
      <w:t>IOC/A-31/3.5.2.Doc</w:t>
    </w:r>
  </w:p>
  <w:p w14:paraId="5FBD3922" w14:textId="77777777" w:rsidR="00690753" w:rsidRPr="00C962F0" w:rsidRDefault="00690753">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D8BA" w14:textId="77777777" w:rsidR="00690753" w:rsidRPr="00746B89" w:rsidRDefault="00690753" w:rsidP="00DF2FB9">
    <w:pPr>
      <w:pStyle w:val="Header"/>
      <w:tabs>
        <w:tab w:val="clear" w:pos="8306"/>
      </w:tabs>
      <w:rPr>
        <w:szCs w:val="22"/>
      </w:rPr>
    </w:pPr>
    <w:r>
      <w:rPr>
        <w:szCs w:val="22"/>
        <w:lang w:val="fr"/>
      </w:rPr>
      <w:t xml:space="preserve">IOC-XXIV/2 Annexe </w:t>
    </w:r>
    <w:r>
      <w:rPr>
        <w:szCs w:val="22"/>
        <w:highlight w:val="yellow"/>
        <w:lang w:val="fr"/>
      </w:rPr>
      <w:t>__</w:t>
    </w:r>
  </w:p>
  <w:p w14:paraId="2F9618D6" w14:textId="77777777" w:rsidR="00690753" w:rsidRPr="00746B89" w:rsidRDefault="00690753"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2C43853D" w14:textId="77777777" w:rsidR="00690753" w:rsidRPr="00DF2FB9" w:rsidRDefault="00690753"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7826" w14:textId="450BA67E" w:rsidR="00690753" w:rsidRPr="005E544C" w:rsidRDefault="00690753" w:rsidP="005742D0">
    <w:pPr>
      <w:pStyle w:val="Marge"/>
      <w:tabs>
        <w:tab w:val="left" w:pos="6096"/>
      </w:tabs>
      <w:spacing w:after="0"/>
      <w:rPr>
        <w:rFonts w:cs="Arial"/>
        <w:b/>
        <w:szCs w:val="22"/>
      </w:rPr>
    </w:pPr>
    <w:r>
      <w:rPr>
        <w:rFonts w:cs="Arial"/>
        <w:szCs w:val="22"/>
        <w:lang w:val="fr"/>
      </w:rPr>
      <w:t>Distribution limitée</w:t>
    </w:r>
    <w:r>
      <w:rPr>
        <w:rFonts w:cs="Arial"/>
        <w:szCs w:val="22"/>
        <w:lang w:val="fr"/>
      </w:rPr>
      <w:tab/>
    </w:r>
    <w:r>
      <w:rPr>
        <w:rFonts w:cs="Arial"/>
        <w:b/>
        <w:bCs/>
        <w:sz w:val="36"/>
        <w:szCs w:val="36"/>
        <w:lang w:val="fr"/>
      </w:rPr>
      <w:t>IOC/A-31/3.5.2.Doc</w:t>
    </w:r>
  </w:p>
  <w:p w14:paraId="235FF364" w14:textId="77777777" w:rsidR="00690753" w:rsidRDefault="00690753" w:rsidP="005742D0">
    <w:pPr>
      <w:tabs>
        <w:tab w:val="clear" w:pos="567"/>
        <w:tab w:val="left" w:pos="6096"/>
      </w:tabs>
      <w:jc w:val="both"/>
      <w:rPr>
        <w:rFonts w:cs="Arial"/>
        <w:b/>
        <w:szCs w:val="22"/>
      </w:rPr>
    </w:pPr>
  </w:p>
  <w:p w14:paraId="330915E6" w14:textId="089F3708" w:rsidR="00690753" w:rsidRPr="005E544C" w:rsidRDefault="00690753" w:rsidP="005742D0">
    <w:pPr>
      <w:tabs>
        <w:tab w:val="clear" w:pos="567"/>
        <w:tab w:val="left" w:pos="6096"/>
      </w:tabs>
      <w:jc w:val="both"/>
      <w:rPr>
        <w:rFonts w:cs="Arial"/>
        <w:szCs w:val="22"/>
      </w:rPr>
    </w:pPr>
    <w:r>
      <w:rPr>
        <w:rFonts w:cs="Arial"/>
        <w:szCs w:val="22"/>
        <w:lang w:val="fr"/>
      </w:rPr>
      <w:tab/>
      <w:t>Paris, le 31 mai 2021</w:t>
    </w:r>
  </w:p>
  <w:p w14:paraId="7E99F8D6" w14:textId="77777777" w:rsidR="00690753" w:rsidRPr="005E544C" w:rsidRDefault="00690753" w:rsidP="005742D0">
    <w:pPr>
      <w:tabs>
        <w:tab w:val="clear" w:pos="567"/>
        <w:tab w:val="left" w:pos="6096"/>
      </w:tabs>
      <w:jc w:val="both"/>
      <w:rPr>
        <w:rFonts w:cs="Arial"/>
        <w:szCs w:val="22"/>
      </w:rPr>
    </w:pPr>
    <w:r>
      <w:rPr>
        <w:rFonts w:cs="Arial"/>
        <w:szCs w:val="22"/>
        <w:lang w:val="fr"/>
      </w:rPr>
      <w:tab/>
      <w:t>Original : Anglais</w:t>
    </w:r>
  </w:p>
  <w:p w14:paraId="73EC133D" w14:textId="77777777" w:rsidR="00690753" w:rsidRPr="005E544C" w:rsidRDefault="00690753"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2AB01C6" w14:textId="77777777" w:rsidR="00690753" w:rsidRPr="005E544C" w:rsidRDefault="00690753"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56FD116" w14:textId="77777777" w:rsidR="00690753" w:rsidRPr="005742D0" w:rsidRDefault="00690753"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fr"/>
      </w:rPr>
      <w:drawing>
        <wp:anchor distT="0" distB="0" distL="114300" distR="114300" simplePos="0" relativeHeight="251666432" behindDoc="1" locked="0" layoutInCell="1" allowOverlap="1" wp14:anchorId="50BB77CA" wp14:editId="42EF6610">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fr"/>
      </w:rPr>
      <w:t>COMMISSION OCÉANOGRAPHIQUE INTERGOUVERNEMENTALE</w:t>
    </w:r>
  </w:p>
  <w:p w14:paraId="1DB50FC3" w14:textId="77777777" w:rsidR="00690753" w:rsidRPr="005742D0" w:rsidRDefault="00690753"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fr"/>
      </w:rPr>
      <w:t>(de l'UNESCO)</w:t>
    </w:r>
  </w:p>
  <w:p w14:paraId="462A6C5A" w14:textId="77777777" w:rsidR="00690753" w:rsidRPr="005742D0" w:rsidRDefault="00690753"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48BA198" w14:textId="77777777" w:rsidR="00690753" w:rsidRPr="005742D0" w:rsidRDefault="00690753"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5BC32972" w14:textId="2495C4FA" w:rsidR="00690753" w:rsidRPr="005742D0" w:rsidRDefault="00690753"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 (en ligne)</w:t>
    </w:r>
  </w:p>
  <w:p w14:paraId="6919E376" w14:textId="77777777" w:rsidR="00690753" w:rsidRPr="005E544C" w:rsidRDefault="00690753"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1381909" w14:textId="77777777" w:rsidR="00690753" w:rsidRPr="005E544C" w:rsidRDefault="00690753" w:rsidP="00DF2FB9">
    <w:pPr>
      <w:jc w:val="center"/>
      <w:rPr>
        <w:rFonts w:cs="Arial"/>
        <w:szCs w:val="22"/>
      </w:rPr>
    </w:pPr>
  </w:p>
  <w:p w14:paraId="002528B8" w14:textId="77777777" w:rsidR="00690753" w:rsidRDefault="00690753" w:rsidP="00DF2FB9">
    <w:pPr>
      <w:jc w:val="center"/>
      <w:rPr>
        <w:rFonts w:cs="Arial"/>
        <w:szCs w:val="22"/>
      </w:rPr>
    </w:pPr>
  </w:p>
  <w:p w14:paraId="2C97C208" w14:textId="77777777" w:rsidR="00690753" w:rsidRDefault="00690753" w:rsidP="00DF2FB9">
    <w:pPr>
      <w:jc w:val="center"/>
      <w:rPr>
        <w:rFonts w:cs="Arial"/>
        <w:szCs w:val="22"/>
      </w:rPr>
    </w:pPr>
  </w:p>
  <w:p w14:paraId="192ED91F" w14:textId="77777777" w:rsidR="00690753" w:rsidRPr="005E544C" w:rsidRDefault="00690753" w:rsidP="00203761">
    <w:pPr>
      <w:rPr>
        <w:rFonts w:cs="Arial"/>
        <w:szCs w:val="22"/>
      </w:rPr>
    </w:pPr>
  </w:p>
  <w:p w14:paraId="354C3023" w14:textId="6B67E86A" w:rsidR="00690753" w:rsidRPr="008D2398" w:rsidRDefault="00690753" w:rsidP="00DF2FB9">
    <w:pPr>
      <w:pStyle w:val="Heading7"/>
      <w:tabs>
        <w:tab w:val="right" w:pos="9540"/>
      </w:tabs>
      <w:rPr>
        <w:rFonts w:cs="Arial"/>
        <w:sz w:val="24"/>
        <w:u w:val="none"/>
      </w:rPr>
    </w:pPr>
    <w:r>
      <w:rPr>
        <w:rFonts w:cs="Arial"/>
        <w:sz w:val="24"/>
        <w:lang w:val="fr"/>
      </w:rPr>
      <w:t>Point </w:t>
    </w:r>
    <w:r>
      <w:rPr>
        <w:rFonts w:cs="Arial"/>
        <w:b/>
        <w:bCs/>
        <w:sz w:val="24"/>
        <w:lang w:val="fr"/>
      </w:rPr>
      <w:t>3.5.2</w:t>
    </w:r>
    <w:r>
      <w:rPr>
        <w:rFonts w:cs="Arial"/>
        <w:sz w:val="24"/>
        <w:lang w:val="fr"/>
      </w:rPr>
      <w:t xml:space="preserve"> de l'ordre du jour provisoire</w:t>
    </w:r>
  </w:p>
  <w:p w14:paraId="46DF7932" w14:textId="77777777" w:rsidR="00690753" w:rsidRPr="005E544C" w:rsidRDefault="00690753" w:rsidP="00DF2FB9">
    <w:pPr>
      <w:rPr>
        <w:rFonts w:cs="Arial"/>
        <w:szCs w:val="22"/>
      </w:rPr>
    </w:pPr>
  </w:p>
  <w:p w14:paraId="06393BC6" w14:textId="77777777" w:rsidR="00690753" w:rsidRPr="005E544C" w:rsidRDefault="00690753" w:rsidP="00DF2FB9">
    <w:pPr>
      <w:rPr>
        <w:rFonts w:cs="Arial"/>
        <w:szCs w:val="22"/>
      </w:rPr>
    </w:pPr>
  </w:p>
  <w:p w14:paraId="6C279CCE" w14:textId="777A8600" w:rsidR="00690753" w:rsidRPr="005E544C" w:rsidRDefault="00690753" w:rsidP="00C8507A">
    <w:pPr>
      <w:pStyle w:val="Docheading"/>
    </w:pPr>
    <w:r>
      <w:rPr>
        <w:lang w:val="fr"/>
      </w:rPr>
      <w:t xml:space="preserve">Résumé exécutif du </w:t>
    </w:r>
    <w:r>
      <w:rPr>
        <w:b w:val="0"/>
        <w:bCs w:val="0"/>
        <w:lang w:val="fr"/>
      </w:rPr>
      <w:br/>
    </w:r>
    <w:r>
      <w:rPr>
        <w:lang w:val="fr"/>
      </w:rPr>
      <w:t>Plan de mise en œuvre du système mondial d'observation de l'océan</w:t>
    </w:r>
  </w:p>
  <w:p w14:paraId="46B775FC" w14:textId="77777777" w:rsidR="00690753" w:rsidRPr="005E544C" w:rsidRDefault="00690753">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9E31" w14:textId="1E0F3212" w:rsidR="00690753" w:rsidRPr="00A42F1D" w:rsidRDefault="00690753" w:rsidP="00294AD5">
    <w:pPr>
      <w:pStyle w:val="Header"/>
      <w:tabs>
        <w:tab w:val="clear" w:pos="8306"/>
      </w:tabs>
      <w:rPr>
        <w:rFonts w:cs="Arial"/>
        <w:sz w:val="20"/>
        <w:szCs w:val="20"/>
      </w:rPr>
    </w:pPr>
    <w:r>
      <w:rPr>
        <w:rFonts w:cs="Arial"/>
        <w:sz w:val="20"/>
        <w:szCs w:val="20"/>
        <w:lang w:val="fr"/>
      </w:rPr>
      <w:t>IOC/A-31/3.5.2.Doc</w:t>
    </w:r>
  </w:p>
  <w:p w14:paraId="6B698D99" w14:textId="77777777" w:rsidR="00690753" w:rsidRPr="00A42F1D" w:rsidRDefault="00690753"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1434A" w14:textId="31D05050" w:rsidR="00690753" w:rsidRPr="00003B31" w:rsidRDefault="00690753" w:rsidP="005742D0">
    <w:pPr>
      <w:pStyle w:val="Header"/>
      <w:tabs>
        <w:tab w:val="clear" w:pos="8306"/>
      </w:tabs>
      <w:ind w:left="7655"/>
      <w:rPr>
        <w:rFonts w:cs="Arial"/>
        <w:szCs w:val="22"/>
      </w:rPr>
    </w:pPr>
    <w:r>
      <w:rPr>
        <w:rFonts w:cs="Arial"/>
        <w:sz w:val="20"/>
        <w:szCs w:val="20"/>
        <w:lang w:val="fr"/>
      </w:rPr>
      <w:t>IOC/A-31/3.5.2.Doc</w:t>
    </w:r>
  </w:p>
  <w:p w14:paraId="5FEF56A2" w14:textId="77777777" w:rsidR="00690753" w:rsidRPr="00FC2521" w:rsidRDefault="00690753" w:rsidP="005742D0">
    <w:pPr>
      <w:pStyle w:val="Header"/>
      <w:tabs>
        <w:tab w:val="clear" w:pos="8306"/>
      </w:tabs>
      <w:ind w:left="7655"/>
      <w:rPr>
        <w:rFonts w:cs="Arial"/>
        <w:sz w:val="20"/>
        <w:szCs w:val="22"/>
      </w:rPr>
    </w:pP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7BDB5C24" w14:textId="77777777" w:rsidR="00690753" w:rsidRPr="00FC2521" w:rsidRDefault="00690753"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828F" w14:textId="439D8BE9" w:rsidR="00690753" w:rsidRPr="006842FA" w:rsidRDefault="00690753" w:rsidP="00294AD5">
    <w:pPr>
      <w:pStyle w:val="Header"/>
      <w:jc w:val="right"/>
      <w:rPr>
        <w:rFonts w:cs="Arial"/>
        <w:sz w:val="20"/>
        <w:szCs w:val="20"/>
      </w:rPr>
    </w:pPr>
    <w:r>
      <w:rPr>
        <w:rFonts w:cs="Arial"/>
        <w:sz w:val="20"/>
        <w:szCs w:val="20"/>
        <w:lang w:val="fr"/>
      </w:rPr>
      <w:t>IOC/A-31/3.5.2.Doc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44D088E"/>
    <w:multiLevelType w:val="multilevel"/>
    <w:tmpl w:val="D0FE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204C64"/>
    <w:multiLevelType w:val="hybridMultilevel"/>
    <w:tmpl w:val="622E13AA"/>
    <w:lvl w:ilvl="0" w:tplc="E668EAC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
  </w:num>
  <w:num w:numId="5">
    <w:abstractNumId w:val="2"/>
  </w:num>
  <w:num w:numId="6">
    <w:abstractNumId w:val="5"/>
  </w:num>
  <w:num w:numId="7">
    <w:abstractNumId w:val="5"/>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9"/>
    <w:rsid w:val="00003B31"/>
    <w:rsid w:val="00010BBB"/>
    <w:rsid w:val="00016E87"/>
    <w:rsid w:val="0002051C"/>
    <w:rsid w:val="00020AA1"/>
    <w:rsid w:val="00085D6A"/>
    <w:rsid w:val="000B2D6B"/>
    <w:rsid w:val="000C58F2"/>
    <w:rsid w:val="000F0254"/>
    <w:rsid w:val="00117356"/>
    <w:rsid w:val="00123719"/>
    <w:rsid w:val="001241D7"/>
    <w:rsid w:val="00137E97"/>
    <w:rsid w:val="001448C4"/>
    <w:rsid w:val="00155393"/>
    <w:rsid w:val="00167158"/>
    <w:rsid w:val="00167520"/>
    <w:rsid w:val="00196052"/>
    <w:rsid w:val="001B3B24"/>
    <w:rsid w:val="001C6455"/>
    <w:rsid w:val="00203761"/>
    <w:rsid w:val="0021210D"/>
    <w:rsid w:val="00294AD5"/>
    <w:rsid w:val="002B7A3F"/>
    <w:rsid w:val="002C04D3"/>
    <w:rsid w:val="002C7DE3"/>
    <w:rsid w:val="002E0859"/>
    <w:rsid w:val="002E4DB8"/>
    <w:rsid w:val="002F456C"/>
    <w:rsid w:val="003007B6"/>
    <w:rsid w:val="0031621C"/>
    <w:rsid w:val="003313D8"/>
    <w:rsid w:val="003354F1"/>
    <w:rsid w:val="0034156B"/>
    <w:rsid w:val="00343EFA"/>
    <w:rsid w:val="00355412"/>
    <w:rsid w:val="003561BE"/>
    <w:rsid w:val="003740B1"/>
    <w:rsid w:val="003805F5"/>
    <w:rsid w:val="003A7860"/>
    <w:rsid w:val="003C55D3"/>
    <w:rsid w:val="003C64EB"/>
    <w:rsid w:val="003D3711"/>
    <w:rsid w:val="003F55CF"/>
    <w:rsid w:val="003F7186"/>
    <w:rsid w:val="004031FB"/>
    <w:rsid w:val="00413F17"/>
    <w:rsid w:val="00424DE6"/>
    <w:rsid w:val="004365D0"/>
    <w:rsid w:val="004429FB"/>
    <w:rsid w:val="004529B8"/>
    <w:rsid w:val="00467E3F"/>
    <w:rsid w:val="004A135F"/>
    <w:rsid w:val="004C1625"/>
    <w:rsid w:val="004C217D"/>
    <w:rsid w:val="004F7D6C"/>
    <w:rsid w:val="005742D0"/>
    <w:rsid w:val="005B5174"/>
    <w:rsid w:val="005C7A36"/>
    <w:rsid w:val="005C7D76"/>
    <w:rsid w:val="005E544C"/>
    <w:rsid w:val="006005DF"/>
    <w:rsid w:val="006110DA"/>
    <w:rsid w:val="00633EA5"/>
    <w:rsid w:val="00664E7D"/>
    <w:rsid w:val="0068104A"/>
    <w:rsid w:val="006842FA"/>
    <w:rsid w:val="0068682C"/>
    <w:rsid w:val="00690753"/>
    <w:rsid w:val="00690A0C"/>
    <w:rsid w:val="00690FD2"/>
    <w:rsid w:val="00693199"/>
    <w:rsid w:val="006B4B95"/>
    <w:rsid w:val="006C18D9"/>
    <w:rsid w:val="006C6449"/>
    <w:rsid w:val="006E6586"/>
    <w:rsid w:val="006F399F"/>
    <w:rsid w:val="006F732A"/>
    <w:rsid w:val="00737A18"/>
    <w:rsid w:val="00746B89"/>
    <w:rsid w:val="007525A8"/>
    <w:rsid w:val="00770E7F"/>
    <w:rsid w:val="00775F1E"/>
    <w:rsid w:val="0079212B"/>
    <w:rsid w:val="00793A73"/>
    <w:rsid w:val="007B3A75"/>
    <w:rsid w:val="008048D2"/>
    <w:rsid w:val="0081004E"/>
    <w:rsid w:val="00823C91"/>
    <w:rsid w:val="008338A6"/>
    <w:rsid w:val="00853565"/>
    <w:rsid w:val="00853E68"/>
    <w:rsid w:val="008A6E5C"/>
    <w:rsid w:val="008B384B"/>
    <w:rsid w:val="008D2398"/>
    <w:rsid w:val="008E57B4"/>
    <w:rsid w:val="008F6942"/>
    <w:rsid w:val="009026D3"/>
    <w:rsid w:val="009162AC"/>
    <w:rsid w:val="00993CA4"/>
    <w:rsid w:val="009B63AB"/>
    <w:rsid w:val="009C035C"/>
    <w:rsid w:val="009C0A89"/>
    <w:rsid w:val="009C15B1"/>
    <w:rsid w:val="009E3769"/>
    <w:rsid w:val="009E6A03"/>
    <w:rsid w:val="009E6B5B"/>
    <w:rsid w:val="009F3A67"/>
    <w:rsid w:val="009F7769"/>
    <w:rsid w:val="00A11697"/>
    <w:rsid w:val="00A25BC8"/>
    <w:rsid w:val="00A42F1D"/>
    <w:rsid w:val="00A93CB3"/>
    <w:rsid w:val="00AD3D55"/>
    <w:rsid w:val="00B6431D"/>
    <w:rsid w:val="00B722DE"/>
    <w:rsid w:val="00B83068"/>
    <w:rsid w:val="00BB4185"/>
    <w:rsid w:val="00BD4DC4"/>
    <w:rsid w:val="00BD6603"/>
    <w:rsid w:val="00BF069C"/>
    <w:rsid w:val="00BF3835"/>
    <w:rsid w:val="00C1002D"/>
    <w:rsid w:val="00C2635E"/>
    <w:rsid w:val="00C3684D"/>
    <w:rsid w:val="00C377E4"/>
    <w:rsid w:val="00C4032B"/>
    <w:rsid w:val="00C6486C"/>
    <w:rsid w:val="00C648D3"/>
    <w:rsid w:val="00C72275"/>
    <w:rsid w:val="00C75B02"/>
    <w:rsid w:val="00C8507A"/>
    <w:rsid w:val="00C962F0"/>
    <w:rsid w:val="00D013ED"/>
    <w:rsid w:val="00D36BDC"/>
    <w:rsid w:val="00D41668"/>
    <w:rsid w:val="00D5049E"/>
    <w:rsid w:val="00D55FEC"/>
    <w:rsid w:val="00DD0880"/>
    <w:rsid w:val="00DF2FB9"/>
    <w:rsid w:val="00E2260D"/>
    <w:rsid w:val="00E63DEF"/>
    <w:rsid w:val="00E64936"/>
    <w:rsid w:val="00ED6838"/>
    <w:rsid w:val="00EE0542"/>
    <w:rsid w:val="00EF3B79"/>
    <w:rsid w:val="00F463F2"/>
    <w:rsid w:val="00F57CAD"/>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5AD35B"/>
  <w15:docId w15:val="{661DE7C0-1703-9C49-BCBF-AF6A7684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2B7A3F"/>
    <w:pPr>
      <w:numPr>
        <w:numId w:val="2"/>
      </w:numPr>
      <w:tabs>
        <w:tab w:val="clear" w:pos="567"/>
      </w:tabs>
    </w:pPr>
    <w:rPr>
      <w:rFonts w:eastAsia="Arial Unicode MS"/>
      <w:bC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2B7A3F"/>
    <w:rPr>
      <w:rFonts w:ascii="Arial" w:eastAsia="Arial Unicode MS" w:hAnsi="Arial"/>
      <w:bCs/>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table" w:styleId="TableGrid">
    <w:name w:val="Table Grid"/>
    <w:basedOn w:val="TableNormal"/>
    <w:rsid w:val="00343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769"/>
    <w:pPr>
      <w:ind w:left="720"/>
      <w:contextualSpacing/>
    </w:pPr>
  </w:style>
  <w:style w:type="paragraph" w:styleId="BalloonText">
    <w:name w:val="Balloon Text"/>
    <w:basedOn w:val="Normal"/>
    <w:link w:val="BalloonTextChar"/>
    <w:semiHidden/>
    <w:unhideWhenUsed/>
    <w:rsid w:val="00823C91"/>
    <w:rPr>
      <w:rFonts w:ascii="Segoe UI" w:hAnsi="Segoe UI" w:cs="Segoe UI"/>
      <w:sz w:val="18"/>
      <w:szCs w:val="18"/>
    </w:rPr>
  </w:style>
  <w:style w:type="character" w:customStyle="1" w:styleId="BalloonTextChar">
    <w:name w:val="Balloon Text Char"/>
    <w:basedOn w:val="DefaultParagraphFont"/>
    <w:link w:val="BalloonText"/>
    <w:semiHidden/>
    <w:rsid w:val="00823C91"/>
    <w:rPr>
      <w:rFonts w:ascii="Segoe UI" w:hAnsi="Segoe UI" w:cs="Segoe UI"/>
      <w:snapToGrid w:val="0"/>
      <w:sz w:val="18"/>
      <w:szCs w:val="18"/>
      <w:lang w:val="en-GB" w:eastAsia="en-US"/>
    </w:rPr>
  </w:style>
  <w:style w:type="character" w:styleId="CommentReference">
    <w:name w:val="annotation reference"/>
    <w:basedOn w:val="DefaultParagraphFont"/>
    <w:semiHidden/>
    <w:unhideWhenUsed/>
    <w:rsid w:val="000C58F2"/>
    <w:rPr>
      <w:sz w:val="16"/>
      <w:szCs w:val="16"/>
    </w:rPr>
  </w:style>
  <w:style w:type="paragraph" w:styleId="CommentText">
    <w:name w:val="annotation text"/>
    <w:basedOn w:val="Normal"/>
    <w:link w:val="CommentTextChar"/>
    <w:semiHidden/>
    <w:unhideWhenUsed/>
    <w:rsid w:val="000C58F2"/>
    <w:rPr>
      <w:sz w:val="20"/>
      <w:szCs w:val="20"/>
    </w:rPr>
  </w:style>
  <w:style w:type="character" w:customStyle="1" w:styleId="CommentTextChar">
    <w:name w:val="Comment Text Char"/>
    <w:basedOn w:val="DefaultParagraphFont"/>
    <w:link w:val="CommentText"/>
    <w:semiHidden/>
    <w:rsid w:val="000C58F2"/>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C58F2"/>
    <w:rPr>
      <w:b/>
      <w:bCs/>
    </w:rPr>
  </w:style>
  <w:style w:type="character" w:customStyle="1" w:styleId="CommentSubjectChar">
    <w:name w:val="Comment Subject Char"/>
    <w:basedOn w:val="CommentTextChar"/>
    <w:link w:val="CommentSubject"/>
    <w:semiHidden/>
    <w:rsid w:val="000C58F2"/>
    <w:rPr>
      <w:rFonts w:ascii="Arial" w:hAnsi="Arial"/>
      <w:b/>
      <w:bCs/>
      <w:snapToGrid w:val="0"/>
      <w:lang w:val="en-GB" w:eastAsia="en-US"/>
    </w:rPr>
  </w:style>
  <w:style w:type="paragraph" w:styleId="Revision">
    <w:name w:val="Revision"/>
    <w:hidden/>
    <w:uiPriority w:val="99"/>
    <w:semiHidden/>
    <w:rsid w:val="000C58F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3602">
      <w:bodyDiv w:val="1"/>
      <w:marLeft w:val="0"/>
      <w:marRight w:val="0"/>
      <w:marTop w:val="0"/>
      <w:marBottom w:val="0"/>
      <w:divBdr>
        <w:top w:val="none" w:sz="0" w:space="0" w:color="auto"/>
        <w:left w:val="none" w:sz="0" w:space="0" w:color="auto"/>
        <w:bottom w:val="none" w:sz="0" w:space="0" w:color="auto"/>
        <w:right w:val="none" w:sz="0" w:space="0" w:color="auto"/>
      </w:divBdr>
    </w:div>
    <w:div w:id="77867152">
      <w:bodyDiv w:val="1"/>
      <w:marLeft w:val="0"/>
      <w:marRight w:val="0"/>
      <w:marTop w:val="0"/>
      <w:marBottom w:val="0"/>
      <w:divBdr>
        <w:top w:val="none" w:sz="0" w:space="0" w:color="auto"/>
        <w:left w:val="none" w:sz="0" w:space="0" w:color="auto"/>
        <w:bottom w:val="none" w:sz="0" w:space="0" w:color="auto"/>
        <w:right w:val="none" w:sz="0" w:space="0" w:color="auto"/>
      </w:divBdr>
    </w:div>
    <w:div w:id="170604340">
      <w:bodyDiv w:val="1"/>
      <w:marLeft w:val="0"/>
      <w:marRight w:val="0"/>
      <w:marTop w:val="0"/>
      <w:marBottom w:val="0"/>
      <w:divBdr>
        <w:top w:val="none" w:sz="0" w:space="0" w:color="auto"/>
        <w:left w:val="none" w:sz="0" w:space="0" w:color="auto"/>
        <w:bottom w:val="none" w:sz="0" w:space="0" w:color="auto"/>
        <w:right w:val="none" w:sz="0" w:space="0" w:color="auto"/>
      </w:divBdr>
    </w:div>
    <w:div w:id="278537430">
      <w:bodyDiv w:val="1"/>
      <w:marLeft w:val="0"/>
      <w:marRight w:val="0"/>
      <w:marTop w:val="0"/>
      <w:marBottom w:val="0"/>
      <w:divBdr>
        <w:top w:val="none" w:sz="0" w:space="0" w:color="auto"/>
        <w:left w:val="none" w:sz="0" w:space="0" w:color="auto"/>
        <w:bottom w:val="none" w:sz="0" w:space="0" w:color="auto"/>
        <w:right w:val="none" w:sz="0" w:space="0" w:color="auto"/>
      </w:divBdr>
    </w:div>
    <w:div w:id="295767651">
      <w:bodyDiv w:val="1"/>
      <w:marLeft w:val="0"/>
      <w:marRight w:val="0"/>
      <w:marTop w:val="0"/>
      <w:marBottom w:val="0"/>
      <w:divBdr>
        <w:top w:val="none" w:sz="0" w:space="0" w:color="auto"/>
        <w:left w:val="none" w:sz="0" w:space="0" w:color="auto"/>
        <w:bottom w:val="none" w:sz="0" w:space="0" w:color="auto"/>
        <w:right w:val="none" w:sz="0" w:space="0" w:color="auto"/>
      </w:divBdr>
    </w:div>
    <w:div w:id="346912389">
      <w:bodyDiv w:val="1"/>
      <w:marLeft w:val="0"/>
      <w:marRight w:val="0"/>
      <w:marTop w:val="0"/>
      <w:marBottom w:val="0"/>
      <w:divBdr>
        <w:top w:val="none" w:sz="0" w:space="0" w:color="auto"/>
        <w:left w:val="none" w:sz="0" w:space="0" w:color="auto"/>
        <w:bottom w:val="none" w:sz="0" w:space="0" w:color="auto"/>
        <w:right w:val="none" w:sz="0" w:space="0" w:color="auto"/>
      </w:divBdr>
    </w:div>
    <w:div w:id="364604193">
      <w:bodyDiv w:val="1"/>
      <w:marLeft w:val="0"/>
      <w:marRight w:val="0"/>
      <w:marTop w:val="0"/>
      <w:marBottom w:val="0"/>
      <w:divBdr>
        <w:top w:val="none" w:sz="0" w:space="0" w:color="auto"/>
        <w:left w:val="none" w:sz="0" w:space="0" w:color="auto"/>
        <w:bottom w:val="none" w:sz="0" w:space="0" w:color="auto"/>
        <w:right w:val="none" w:sz="0" w:space="0" w:color="auto"/>
      </w:divBdr>
    </w:div>
    <w:div w:id="433477471">
      <w:bodyDiv w:val="1"/>
      <w:marLeft w:val="0"/>
      <w:marRight w:val="0"/>
      <w:marTop w:val="0"/>
      <w:marBottom w:val="0"/>
      <w:divBdr>
        <w:top w:val="none" w:sz="0" w:space="0" w:color="auto"/>
        <w:left w:val="none" w:sz="0" w:space="0" w:color="auto"/>
        <w:bottom w:val="none" w:sz="0" w:space="0" w:color="auto"/>
        <w:right w:val="none" w:sz="0" w:space="0" w:color="auto"/>
      </w:divBdr>
    </w:div>
    <w:div w:id="674765359">
      <w:bodyDiv w:val="1"/>
      <w:marLeft w:val="0"/>
      <w:marRight w:val="0"/>
      <w:marTop w:val="0"/>
      <w:marBottom w:val="0"/>
      <w:divBdr>
        <w:top w:val="none" w:sz="0" w:space="0" w:color="auto"/>
        <w:left w:val="none" w:sz="0" w:space="0" w:color="auto"/>
        <w:bottom w:val="none" w:sz="0" w:space="0" w:color="auto"/>
        <w:right w:val="none" w:sz="0" w:space="0" w:color="auto"/>
      </w:divBdr>
    </w:div>
    <w:div w:id="796945117">
      <w:bodyDiv w:val="1"/>
      <w:marLeft w:val="0"/>
      <w:marRight w:val="0"/>
      <w:marTop w:val="0"/>
      <w:marBottom w:val="0"/>
      <w:divBdr>
        <w:top w:val="none" w:sz="0" w:space="0" w:color="auto"/>
        <w:left w:val="none" w:sz="0" w:space="0" w:color="auto"/>
        <w:bottom w:val="none" w:sz="0" w:space="0" w:color="auto"/>
        <w:right w:val="none" w:sz="0" w:space="0" w:color="auto"/>
      </w:divBdr>
    </w:div>
    <w:div w:id="799879990">
      <w:bodyDiv w:val="1"/>
      <w:marLeft w:val="0"/>
      <w:marRight w:val="0"/>
      <w:marTop w:val="0"/>
      <w:marBottom w:val="0"/>
      <w:divBdr>
        <w:top w:val="none" w:sz="0" w:space="0" w:color="auto"/>
        <w:left w:val="none" w:sz="0" w:space="0" w:color="auto"/>
        <w:bottom w:val="none" w:sz="0" w:space="0" w:color="auto"/>
        <w:right w:val="none" w:sz="0" w:space="0" w:color="auto"/>
      </w:divBdr>
    </w:div>
    <w:div w:id="867177985">
      <w:bodyDiv w:val="1"/>
      <w:marLeft w:val="0"/>
      <w:marRight w:val="0"/>
      <w:marTop w:val="0"/>
      <w:marBottom w:val="0"/>
      <w:divBdr>
        <w:top w:val="none" w:sz="0" w:space="0" w:color="auto"/>
        <w:left w:val="none" w:sz="0" w:space="0" w:color="auto"/>
        <w:bottom w:val="none" w:sz="0" w:space="0" w:color="auto"/>
        <w:right w:val="none" w:sz="0" w:space="0" w:color="auto"/>
      </w:divBdr>
    </w:div>
    <w:div w:id="886645941">
      <w:bodyDiv w:val="1"/>
      <w:marLeft w:val="0"/>
      <w:marRight w:val="0"/>
      <w:marTop w:val="0"/>
      <w:marBottom w:val="0"/>
      <w:divBdr>
        <w:top w:val="none" w:sz="0" w:space="0" w:color="auto"/>
        <w:left w:val="none" w:sz="0" w:space="0" w:color="auto"/>
        <w:bottom w:val="none" w:sz="0" w:space="0" w:color="auto"/>
        <w:right w:val="none" w:sz="0" w:space="0" w:color="auto"/>
      </w:divBdr>
    </w:div>
    <w:div w:id="905648115">
      <w:bodyDiv w:val="1"/>
      <w:marLeft w:val="0"/>
      <w:marRight w:val="0"/>
      <w:marTop w:val="0"/>
      <w:marBottom w:val="0"/>
      <w:divBdr>
        <w:top w:val="none" w:sz="0" w:space="0" w:color="auto"/>
        <w:left w:val="none" w:sz="0" w:space="0" w:color="auto"/>
        <w:bottom w:val="none" w:sz="0" w:space="0" w:color="auto"/>
        <w:right w:val="none" w:sz="0" w:space="0" w:color="auto"/>
      </w:divBdr>
    </w:div>
    <w:div w:id="1142308263">
      <w:bodyDiv w:val="1"/>
      <w:marLeft w:val="0"/>
      <w:marRight w:val="0"/>
      <w:marTop w:val="0"/>
      <w:marBottom w:val="0"/>
      <w:divBdr>
        <w:top w:val="none" w:sz="0" w:space="0" w:color="auto"/>
        <w:left w:val="none" w:sz="0" w:space="0" w:color="auto"/>
        <w:bottom w:val="none" w:sz="0" w:space="0" w:color="auto"/>
        <w:right w:val="none" w:sz="0" w:space="0" w:color="auto"/>
      </w:divBdr>
    </w:div>
    <w:div w:id="1576236376">
      <w:bodyDiv w:val="1"/>
      <w:marLeft w:val="0"/>
      <w:marRight w:val="0"/>
      <w:marTop w:val="0"/>
      <w:marBottom w:val="0"/>
      <w:divBdr>
        <w:top w:val="none" w:sz="0" w:space="0" w:color="auto"/>
        <w:left w:val="none" w:sz="0" w:space="0" w:color="auto"/>
        <w:bottom w:val="none" w:sz="0" w:space="0" w:color="auto"/>
        <w:right w:val="none" w:sz="0" w:space="0" w:color="auto"/>
      </w:divBdr>
    </w:div>
    <w:div w:id="1659265709">
      <w:bodyDiv w:val="1"/>
      <w:marLeft w:val="0"/>
      <w:marRight w:val="0"/>
      <w:marTop w:val="0"/>
      <w:marBottom w:val="0"/>
      <w:divBdr>
        <w:top w:val="none" w:sz="0" w:space="0" w:color="auto"/>
        <w:left w:val="none" w:sz="0" w:space="0" w:color="auto"/>
        <w:bottom w:val="none" w:sz="0" w:space="0" w:color="auto"/>
        <w:right w:val="none" w:sz="0" w:space="0" w:color="auto"/>
      </w:divBdr>
    </w:div>
    <w:div w:id="1820227855">
      <w:bodyDiv w:val="1"/>
      <w:marLeft w:val="0"/>
      <w:marRight w:val="0"/>
      <w:marTop w:val="0"/>
      <w:marBottom w:val="0"/>
      <w:divBdr>
        <w:top w:val="none" w:sz="0" w:space="0" w:color="auto"/>
        <w:left w:val="none" w:sz="0" w:space="0" w:color="auto"/>
        <w:bottom w:val="none" w:sz="0" w:space="0" w:color="auto"/>
        <w:right w:val="none" w:sz="0" w:space="0" w:color="auto"/>
      </w:divBdr>
    </w:div>
    <w:div w:id="1864856757">
      <w:bodyDiv w:val="1"/>
      <w:marLeft w:val="0"/>
      <w:marRight w:val="0"/>
      <w:marTop w:val="0"/>
      <w:marBottom w:val="0"/>
      <w:divBdr>
        <w:top w:val="none" w:sz="0" w:space="0" w:color="auto"/>
        <w:left w:val="none" w:sz="0" w:space="0" w:color="auto"/>
        <w:bottom w:val="none" w:sz="0" w:space="0" w:color="auto"/>
        <w:right w:val="none" w:sz="0" w:space="0" w:color="auto"/>
      </w:divBdr>
    </w:div>
    <w:div w:id="1949896024">
      <w:bodyDiv w:val="1"/>
      <w:marLeft w:val="0"/>
      <w:marRight w:val="0"/>
      <w:marTop w:val="0"/>
      <w:marBottom w:val="0"/>
      <w:divBdr>
        <w:top w:val="none" w:sz="0" w:space="0" w:color="auto"/>
        <w:left w:val="none" w:sz="0" w:space="0" w:color="auto"/>
        <w:bottom w:val="none" w:sz="0" w:space="0" w:color="auto"/>
        <w:right w:val="none" w:sz="0" w:space="0" w:color="auto"/>
      </w:divBdr>
    </w:div>
    <w:div w:id="2002080123">
      <w:bodyDiv w:val="1"/>
      <w:marLeft w:val="0"/>
      <w:marRight w:val="0"/>
      <w:marTop w:val="0"/>
      <w:marBottom w:val="0"/>
      <w:divBdr>
        <w:top w:val="none" w:sz="0" w:space="0" w:color="auto"/>
        <w:left w:val="none" w:sz="0" w:space="0" w:color="auto"/>
        <w:bottom w:val="none" w:sz="0" w:space="0" w:color="auto"/>
        <w:right w:val="none" w:sz="0" w:space="0" w:color="auto"/>
      </w:divBdr>
    </w:div>
    <w:div w:id="2106685917">
      <w:bodyDiv w:val="1"/>
      <w:marLeft w:val="0"/>
      <w:marRight w:val="0"/>
      <w:marTop w:val="0"/>
      <w:marBottom w:val="0"/>
      <w:divBdr>
        <w:top w:val="none" w:sz="0" w:space="0" w:color="auto"/>
        <w:left w:val="none" w:sz="0" w:space="0" w:color="auto"/>
        <w:bottom w:val="none" w:sz="0" w:space="0" w:color="auto"/>
        <w:right w:val="none" w:sz="0" w:space="0" w:color="auto"/>
      </w:divBdr>
    </w:div>
    <w:div w:id="21069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ceanexpert.org/document/28075" TargetMode="External"/><Relationship Id="rId2" Type="http://schemas.openxmlformats.org/officeDocument/2006/relationships/numbering" Target="numbering.xml"/><Relationship Id="rId16" Type="http://schemas.openxmlformats.org/officeDocument/2006/relationships/hyperlink" Target="https://goosocean.org/goos-249"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osocean.org/index.php?option=com_oe&amp;task=viewEventRecord&amp;eventID=2921" TargetMode="External"/><Relationship Id="rId10" Type="http://schemas.openxmlformats.org/officeDocument/2006/relationships/hyperlink" Target="https://oceanexpert.org/document/28075"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unesdoc.unesco.org/ark:/48223/pf0000368020.locale=en" TargetMode="External"/><Relationship Id="rId14" Type="http://schemas.openxmlformats.org/officeDocument/2006/relationships/hyperlink" Target="https://unesdoc.unesco.org/ark:/48223/pf0000368020.local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3033</Words>
  <Characters>18085</Characters>
  <Application>Microsoft Office Word</Application>
  <DocSecurity>4</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Pastor Reyes, Ingrid</cp:lastModifiedBy>
  <cp:revision>2</cp:revision>
  <cp:lastPrinted>2021-05-31T16:48:00Z</cp:lastPrinted>
  <dcterms:created xsi:type="dcterms:W3CDTF">2021-06-09T15:41:00Z</dcterms:created>
  <dcterms:modified xsi:type="dcterms:W3CDTF">2021-06-09T15:41:00Z</dcterms:modified>
</cp:coreProperties>
</file>