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A809" w14:textId="73DA2117" w:rsidR="001F45B1" w:rsidRPr="001D6A2F" w:rsidRDefault="00BD1C6C" w:rsidP="00160452">
      <w:pPr>
        <w:pStyle w:val="Heading1"/>
        <w:spacing w:before="0" w:after="240" w:line="240" w:lineRule="auto"/>
        <w:rPr>
          <w:b/>
          <w:i/>
          <w:iCs/>
          <w:color w:val="000000" w:themeColor="text1"/>
          <w:sz w:val="22"/>
          <w:szCs w:val="22"/>
          <w:lang w:val="es-ES"/>
        </w:rPr>
      </w:pPr>
      <w:bookmarkStart w:id="0" w:name="_Toc41383786"/>
      <w:bookmarkStart w:id="1" w:name="_Toc35262940"/>
      <w:r>
        <w:rPr>
          <w:b/>
          <w:bCs/>
          <w:i/>
          <w:iCs/>
          <w:color w:val="000000" w:themeColor="text1"/>
          <w:sz w:val="22"/>
          <w:szCs w:val="22"/>
          <w:lang w:val="es"/>
        </w:rPr>
        <w:t xml:space="preserve">Decenio de las Naciones Unidas de las Ciencias Oceánicas </w:t>
      </w:r>
      <w:r w:rsidR="00F65E58">
        <w:rPr>
          <w:b/>
          <w:bCs/>
          <w:i/>
          <w:iCs/>
          <w:color w:val="000000" w:themeColor="text1"/>
          <w:sz w:val="22"/>
          <w:szCs w:val="22"/>
          <w:lang w:val="es"/>
        </w:rPr>
        <w:br/>
      </w:r>
      <w:r>
        <w:rPr>
          <w:b/>
          <w:bCs/>
          <w:i/>
          <w:iCs/>
          <w:color w:val="000000" w:themeColor="text1"/>
          <w:sz w:val="22"/>
          <w:szCs w:val="22"/>
          <w:lang w:val="es"/>
        </w:rPr>
        <w:t>para el Desarrollo Sostenible (2021-2030)</w:t>
      </w:r>
    </w:p>
    <w:p w14:paraId="692F0852" w14:textId="5DBBA94B" w:rsidR="001F45B1" w:rsidRPr="001D6A2F" w:rsidRDefault="001F45B1" w:rsidP="00A26427">
      <w:pPr>
        <w:pStyle w:val="Heading1"/>
        <w:spacing w:before="0" w:after="0" w:line="240" w:lineRule="auto"/>
        <w:jc w:val="both"/>
        <w:rPr>
          <w:b/>
          <w:color w:val="000000" w:themeColor="text1"/>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802297" w14:paraId="0DACAD16" w14:textId="77777777" w:rsidTr="003F14F5">
        <w:trPr>
          <w:jc w:val="center"/>
        </w:trPr>
        <w:tc>
          <w:tcPr>
            <w:tcW w:w="7654" w:type="dxa"/>
            <w:tcMar>
              <w:top w:w="170" w:type="dxa"/>
              <w:left w:w="170" w:type="dxa"/>
              <w:bottom w:w="170" w:type="dxa"/>
              <w:right w:w="170" w:type="dxa"/>
            </w:tcMar>
          </w:tcPr>
          <w:p w14:paraId="4C5F3344" w14:textId="77777777" w:rsidR="000D467B" w:rsidRPr="001D6A2F" w:rsidRDefault="000D467B" w:rsidP="00A15578">
            <w:pPr>
              <w:pStyle w:val="Marge"/>
              <w:tabs>
                <w:tab w:val="left" w:pos="2807"/>
              </w:tabs>
              <w:spacing w:after="0"/>
              <w:jc w:val="center"/>
              <w:rPr>
                <w:rFonts w:cs="Arial"/>
                <w:szCs w:val="22"/>
                <w:lang w:val="es-ES"/>
              </w:rPr>
            </w:pPr>
            <w:r>
              <w:rPr>
                <w:rFonts w:cs="Arial"/>
                <w:szCs w:val="22"/>
                <w:u w:val="single"/>
                <w:lang w:val="es"/>
              </w:rPr>
              <w:t>Resumen</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1D6A2F" w14:paraId="29AA5B72" w14:textId="77777777" w:rsidTr="003F14F5">
              <w:trPr>
                <w:trHeight w:val="208"/>
              </w:trPr>
              <w:tc>
                <w:tcPr>
                  <w:tcW w:w="8056" w:type="dxa"/>
                </w:tcPr>
                <w:p w14:paraId="7B3E8CBE" w14:textId="77777777" w:rsidR="000D467B" w:rsidRPr="001D6A2F" w:rsidRDefault="000D467B" w:rsidP="003F14F5">
                  <w:pPr>
                    <w:pStyle w:val="Default"/>
                    <w:jc w:val="both"/>
                    <w:rPr>
                      <w:sz w:val="20"/>
                      <w:szCs w:val="20"/>
                      <w:lang w:val="es-ES"/>
                    </w:rPr>
                  </w:pPr>
                </w:p>
              </w:tc>
            </w:tr>
          </w:tbl>
          <w:p w14:paraId="0782F929" w14:textId="3139D850" w:rsidR="000D467B" w:rsidRPr="001D6A2F" w:rsidRDefault="000D467B" w:rsidP="003F14F5">
            <w:pPr>
              <w:pStyle w:val="Marge"/>
              <w:spacing w:after="120"/>
              <w:rPr>
                <w:rFonts w:cs="Arial"/>
                <w:iCs/>
                <w:lang w:val="es-ES"/>
              </w:rPr>
            </w:pPr>
            <w:r>
              <w:rPr>
                <w:rFonts w:cs="Arial"/>
                <w:szCs w:val="22"/>
                <w:lang w:val="es"/>
              </w:rPr>
              <w:t>En este documento se presenta el mandato revisado del Grupo Ejecutivo de Planificación</w:t>
            </w:r>
            <w:r>
              <w:rPr>
                <w:rFonts w:cs="Arial"/>
                <w:lang w:val="es"/>
              </w:rPr>
              <w:t xml:space="preserve"> (GEP) del Decenio de las Naciones Unidas de las Ciencias Oceánicas para el Desarrollo Sostenible, establecido por primera vez en 2018 a través de la </w:t>
            </w:r>
            <w:bookmarkStart w:id="2" w:name="_Hlk57565950"/>
            <w:r>
              <w:rPr>
                <w:rFonts w:cs="Arial"/>
                <w:szCs w:val="22"/>
                <w:lang w:val="es"/>
              </w:rPr>
              <w:fldChar w:fldCharType="begin"/>
            </w:r>
            <w:r>
              <w:rPr>
                <w:rFonts w:cs="Arial"/>
                <w:szCs w:val="22"/>
                <w:lang w:val="es"/>
              </w:rPr>
              <w:instrText xml:space="preserve"> HYPERLINK "http://legacy.ioc-unesco.org/index.php?option=com_oe&amp;task=viewDocumentRecord&amp;docID=22214" </w:instrText>
            </w:r>
            <w:r>
              <w:rPr>
                <w:rFonts w:cs="Arial"/>
                <w:szCs w:val="22"/>
                <w:lang w:val="es"/>
              </w:rPr>
              <w:fldChar w:fldCharType="separate"/>
            </w:r>
            <w:bookmarkEnd w:id="2"/>
            <w:r>
              <w:rPr>
                <w:rStyle w:val="Hyperlink"/>
                <w:rFonts w:cs="Arial"/>
                <w:szCs w:val="22"/>
                <w:lang w:val="es"/>
              </w:rPr>
              <w:t>Resolución EC-LI.1</w:t>
            </w:r>
            <w:r>
              <w:rPr>
                <w:rFonts w:cs="Arial"/>
                <w:szCs w:val="22"/>
                <w:lang w:val="es"/>
              </w:rPr>
              <w:fldChar w:fldCharType="end"/>
            </w:r>
            <w:r>
              <w:rPr>
                <w:rFonts w:cs="Arial"/>
                <w:szCs w:val="22"/>
                <w:lang w:val="es"/>
              </w:rPr>
              <w:t xml:space="preserve">, </w:t>
            </w:r>
            <w:r>
              <w:rPr>
                <w:rFonts w:cs="Arial"/>
                <w:lang w:val="es"/>
              </w:rPr>
              <w:t xml:space="preserve">para reflejar la prórroga temporal de la labor del GEP, de modo que pueda proporcionar: (i) su apoyo de expertos como Junta Asesora </w:t>
            </w:r>
            <w:r w:rsidR="00BA0625">
              <w:rPr>
                <w:rFonts w:cs="Arial"/>
                <w:lang w:val="es"/>
              </w:rPr>
              <w:t xml:space="preserve">provisional </w:t>
            </w:r>
            <w:r>
              <w:rPr>
                <w:rFonts w:cs="Arial"/>
                <w:lang w:val="es"/>
              </w:rPr>
              <w:t xml:space="preserve">del Decenio; y (ii) asesoramiento a la Secretaría de la COI y a los órganos rectores desde el comienzo del Decenio, el 1 de enero de 2021. La prórroga del mandato del GEP finalizará cuando se establezca oficialmente y se designe en 2021 la Junta Asesora del Decenio prevista en el Plan de </w:t>
            </w:r>
            <w:r w:rsidR="00DA6D83">
              <w:rPr>
                <w:rFonts w:cs="Arial"/>
                <w:lang w:val="es"/>
              </w:rPr>
              <w:t xml:space="preserve">ejecución </w:t>
            </w:r>
            <w:r>
              <w:rPr>
                <w:rFonts w:cs="Arial"/>
                <w:lang w:val="es"/>
              </w:rPr>
              <w:t xml:space="preserve">del Decenio. El mandato del </w:t>
            </w:r>
            <w:r w:rsidR="002500DB">
              <w:rPr>
                <w:rFonts w:cs="Arial"/>
                <w:lang w:val="es"/>
              </w:rPr>
              <w:t xml:space="preserve">Junta </w:t>
            </w:r>
            <w:r>
              <w:rPr>
                <w:rFonts w:cs="Arial"/>
                <w:lang w:val="es"/>
              </w:rPr>
              <w:t>Asesor</w:t>
            </w:r>
            <w:r w:rsidR="002500DB">
              <w:rPr>
                <w:rFonts w:cs="Arial"/>
                <w:lang w:val="es"/>
              </w:rPr>
              <w:t>a</w:t>
            </w:r>
            <w:r>
              <w:rPr>
                <w:rFonts w:cs="Arial"/>
                <w:lang w:val="es"/>
              </w:rPr>
              <w:t xml:space="preserve"> del Decenio se presentará a la Asamblea de la COI en su 31ª reunión.</w:t>
            </w:r>
          </w:p>
          <w:p w14:paraId="469D5E14" w14:textId="77777777" w:rsidR="000D467B" w:rsidRPr="001D6A2F" w:rsidRDefault="000D467B" w:rsidP="003F14F5">
            <w:pPr>
              <w:pStyle w:val="Marge"/>
              <w:spacing w:after="120"/>
              <w:rPr>
                <w:rFonts w:cs="Arial"/>
                <w:szCs w:val="22"/>
                <w:lang w:val="es-ES"/>
              </w:rPr>
            </w:pPr>
            <w:r>
              <w:rPr>
                <w:rFonts w:cs="Arial"/>
                <w:szCs w:val="22"/>
                <w:lang w:val="es"/>
              </w:rPr>
              <w:t xml:space="preserve">Se prevé que las </w:t>
            </w:r>
            <w:r>
              <w:rPr>
                <w:rFonts w:cs="Arial"/>
                <w:szCs w:val="22"/>
                <w:u w:val="single"/>
                <w:lang w:val="es"/>
              </w:rPr>
              <w:t>consecuencias financieras</w:t>
            </w:r>
            <w:r>
              <w:rPr>
                <w:rFonts w:cs="Arial"/>
                <w:szCs w:val="22"/>
                <w:lang w:val="es"/>
              </w:rPr>
              <w:t xml:space="preserve"> se sufragarán mediante contribuciones extrapresupuestarias (párrafo 4).</w:t>
            </w:r>
          </w:p>
          <w:p w14:paraId="1E2F0A59" w14:textId="22F906D4" w:rsidR="000D467B" w:rsidRPr="001D6A2F" w:rsidRDefault="000D467B" w:rsidP="00F65E58">
            <w:pPr>
              <w:pStyle w:val="Marge"/>
              <w:spacing w:after="120"/>
              <w:rPr>
                <w:rFonts w:cs="Arial"/>
                <w:szCs w:val="22"/>
                <w:lang w:val="es-ES"/>
              </w:rPr>
            </w:pPr>
            <w:r>
              <w:rPr>
                <w:szCs w:val="22"/>
                <w:u w:val="single"/>
                <w:lang w:val="es"/>
              </w:rPr>
              <w:t>Decisión propuesta</w:t>
            </w:r>
            <w:r>
              <w:rPr>
                <w:szCs w:val="22"/>
                <w:lang w:val="es"/>
              </w:rPr>
              <w:t xml:space="preserve">: </w:t>
            </w:r>
            <w:r>
              <w:rPr>
                <w:lang w:val="es"/>
              </w:rPr>
              <w:t xml:space="preserve">Se invita al Consejo Ejecutivo a que apruebe el mandato propuesto para establecer el Grupo </w:t>
            </w:r>
            <w:r w:rsidR="00171CFA">
              <w:rPr>
                <w:lang w:val="es"/>
              </w:rPr>
              <w:t xml:space="preserve">Ejecutivo </w:t>
            </w:r>
            <w:r>
              <w:rPr>
                <w:lang w:val="es"/>
              </w:rPr>
              <w:t xml:space="preserve">de Planificación como Junta Asesora </w:t>
            </w:r>
            <w:r w:rsidR="00332C11">
              <w:rPr>
                <w:lang w:val="es"/>
              </w:rPr>
              <w:t xml:space="preserve">provisional </w:t>
            </w:r>
            <w:r>
              <w:rPr>
                <w:lang w:val="es"/>
              </w:rPr>
              <w:t xml:space="preserve">del Decenio. Un proyecto de resolución propuesto se menciona como EC-53/DR.[4.1] en el segundo </w:t>
            </w:r>
            <w:r w:rsidR="00B90BB3">
              <w:rPr>
                <w:lang w:val="es"/>
              </w:rPr>
              <w:t xml:space="preserve">documento de decisión </w:t>
            </w:r>
            <w:r>
              <w:rPr>
                <w:lang w:val="es"/>
              </w:rPr>
              <w:t>provisional revisado (documento IOC/EC-53/AP Rev.2Add).</w:t>
            </w:r>
          </w:p>
        </w:tc>
      </w:tr>
    </w:tbl>
    <w:p w14:paraId="4D5EB7F7" w14:textId="77777777" w:rsidR="00CD2CE3" w:rsidRPr="001D6A2F" w:rsidRDefault="00CD2CE3">
      <w:pPr>
        <w:spacing w:before="0" w:after="160" w:line="259" w:lineRule="auto"/>
        <w:jc w:val="left"/>
        <w:rPr>
          <w:lang w:val="es-ES"/>
        </w:rPr>
      </w:pPr>
      <w:r>
        <w:rPr>
          <w:lang w:val="es"/>
        </w:rPr>
        <w:br w:type="page"/>
      </w:r>
    </w:p>
    <w:p w14:paraId="7D7B28F7" w14:textId="536C4644" w:rsidR="006365B2" w:rsidRPr="00CD2CE3" w:rsidRDefault="009610E6" w:rsidP="00CD2CE3">
      <w:pPr>
        <w:spacing w:before="0" w:line="240" w:lineRule="auto"/>
        <w:rPr>
          <w:b/>
          <w:bCs/>
          <w:sz w:val="22"/>
          <w:szCs w:val="22"/>
        </w:rPr>
      </w:pPr>
      <w:r>
        <w:rPr>
          <w:b/>
          <w:bCs/>
          <w:sz w:val="22"/>
          <w:szCs w:val="22"/>
          <w:lang w:val="es"/>
        </w:rPr>
        <w:lastRenderedPageBreak/>
        <w:t xml:space="preserve">Introducción </w:t>
      </w:r>
    </w:p>
    <w:p w14:paraId="78DF790C" w14:textId="40AB79E8" w:rsidR="006365B2" w:rsidRPr="001D6A2F" w:rsidRDefault="006365B2" w:rsidP="00CD2CE3">
      <w:pPr>
        <w:pStyle w:val="ListParagraph"/>
        <w:numPr>
          <w:ilvl w:val="0"/>
          <w:numId w:val="12"/>
        </w:numPr>
        <w:spacing w:before="0" w:line="240" w:lineRule="auto"/>
        <w:ind w:left="0" w:firstLine="0"/>
        <w:contextualSpacing w:val="0"/>
        <w:rPr>
          <w:b/>
          <w:bCs/>
          <w:sz w:val="22"/>
          <w:szCs w:val="22"/>
          <w:lang w:val="es-ES"/>
        </w:rPr>
      </w:pPr>
      <w:r>
        <w:rPr>
          <w:sz w:val="22"/>
          <w:szCs w:val="22"/>
          <w:lang w:val="es"/>
        </w:rPr>
        <w:t xml:space="preserve">En 2018, mediante la Resolución EC-LI.1, el Consejo Ejecutivo aprobó el mandato del </w:t>
      </w:r>
      <w:bookmarkStart w:id="3" w:name="_Hlk57565570"/>
      <w:r>
        <w:rPr>
          <w:sz w:val="22"/>
          <w:szCs w:val="22"/>
          <w:lang w:val="es"/>
        </w:rPr>
        <w:t>Grupo Ejecutivo de Planificación (GEP)</w:t>
      </w:r>
      <w:bookmarkEnd w:id="3"/>
      <w:r>
        <w:rPr>
          <w:sz w:val="22"/>
          <w:szCs w:val="22"/>
          <w:lang w:val="es"/>
        </w:rPr>
        <w:t xml:space="preserve"> como órgano asesor de expertos de los órganos rectores de la COI para apoyar la preparación del Plan de </w:t>
      </w:r>
      <w:r w:rsidR="00DA6D83">
        <w:rPr>
          <w:sz w:val="22"/>
          <w:szCs w:val="22"/>
          <w:lang w:val="es"/>
        </w:rPr>
        <w:t xml:space="preserve">ejecución </w:t>
      </w:r>
      <w:r>
        <w:rPr>
          <w:sz w:val="22"/>
          <w:szCs w:val="22"/>
          <w:lang w:val="es"/>
        </w:rPr>
        <w:t xml:space="preserve">del Decenio de las Naciones Unidas de las Ciencias Oceánicas para el Desarrollo Sostenible (2021-2031). El actual mandato del GEP se presenta en </w:t>
      </w:r>
      <w:r w:rsidR="00B90BB3">
        <w:rPr>
          <w:sz w:val="22"/>
          <w:szCs w:val="22"/>
          <w:lang w:val="es"/>
        </w:rPr>
        <w:t xml:space="preserve">el documento </w:t>
      </w:r>
      <w:hyperlink r:id="rId8" w:history="1">
        <w:r>
          <w:rPr>
            <w:rStyle w:val="Hyperlink"/>
            <w:sz w:val="22"/>
            <w:szCs w:val="22"/>
            <w:lang w:val="es"/>
          </w:rPr>
          <w:t>IOC/EC-LI/2 Anexo 4</w:t>
        </w:r>
      </w:hyperlink>
      <w:r>
        <w:rPr>
          <w:sz w:val="22"/>
          <w:szCs w:val="22"/>
          <w:lang w:val="es"/>
        </w:rPr>
        <w:t xml:space="preserve"> (Apéndice 1). Durante toda la fase de preparación (2018-2020), el apoyo del Grupo Ejecutivo de Planificación fue esencial para asesorar sobre la preparación del Plan de </w:t>
      </w:r>
      <w:r w:rsidR="00DA6D83">
        <w:rPr>
          <w:sz w:val="22"/>
          <w:szCs w:val="22"/>
          <w:lang w:val="es"/>
        </w:rPr>
        <w:t>ejecución</w:t>
      </w:r>
      <w:r>
        <w:rPr>
          <w:sz w:val="22"/>
          <w:szCs w:val="22"/>
          <w:lang w:val="es"/>
        </w:rPr>
        <w:t xml:space="preserve">, la participación de las partes interesadas, la elaboración del primer </w:t>
      </w:r>
      <w:hyperlink r:id="rId9" w:history="1">
        <w:r w:rsidR="00B90BB3">
          <w:rPr>
            <w:rStyle w:val="Hyperlink"/>
            <w:sz w:val="22"/>
            <w:szCs w:val="22"/>
            <w:lang w:val="es"/>
          </w:rPr>
          <w:t>llamamiento a la acción</w:t>
        </w:r>
      </w:hyperlink>
      <w:r w:rsidR="00B90BB3">
        <w:rPr>
          <w:sz w:val="22"/>
          <w:szCs w:val="22"/>
          <w:lang w:val="es"/>
        </w:rPr>
        <w:t xml:space="preserve"> y </w:t>
      </w:r>
      <w:r>
        <w:rPr>
          <w:sz w:val="22"/>
          <w:szCs w:val="22"/>
          <w:lang w:val="es"/>
        </w:rPr>
        <w:t xml:space="preserve">en el apoyo al desarrollo de una estrategia de comunicación del Decenio. </w:t>
      </w:r>
    </w:p>
    <w:p w14:paraId="4CAC8206" w14:textId="3E64501B" w:rsidR="00AE5234" w:rsidRPr="001D6A2F" w:rsidRDefault="006365B2" w:rsidP="00CD2CE3">
      <w:pPr>
        <w:pStyle w:val="ListParagraph"/>
        <w:numPr>
          <w:ilvl w:val="0"/>
          <w:numId w:val="12"/>
        </w:numPr>
        <w:spacing w:before="0" w:line="240" w:lineRule="auto"/>
        <w:ind w:left="0" w:firstLine="0"/>
        <w:contextualSpacing w:val="0"/>
        <w:rPr>
          <w:b/>
          <w:bCs/>
          <w:sz w:val="22"/>
          <w:szCs w:val="22"/>
          <w:lang w:val="es-ES"/>
        </w:rPr>
      </w:pPr>
      <w:r>
        <w:rPr>
          <w:sz w:val="22"/>
          <w:szCs w:val="22"/>
          <w:lang w:val="es"/>
        </w:rPr>
        <w:t xml:space="preserve">El Plan de </w:t>
      </w:r>
      <w:r w:rsidR="00DA6D83">
        <w:rPr>
          <w:sz w:val="22"/>
          <w:szCs w:val="22"/>
          <w:lang w:val="es"/>
        </w:rPr>
        <w:t>ejecución</w:t>
      </w:r>
      <w:r>
        <w:rPr>
          <w:sz w:val="22"/>
          <w:szCs w:val="22"/>
          <w:lang w:val="es"/>
        </w:rPr>
        <w:t xml:space="preserve"> del Decenio prevé que se establezca una Junta Asesora del Decenio en 2021. La Junta Asesora del Decenio (en adelante, la Junta) se concebirá como un órgano consultivo estratégico de los órganos rectores de la COI que no ejerce funciones de formulación de políticas. La Junta prestará asesoramiento estratégico sobre la aplicación del Decenio, por ejemplo, formulando observaciones sobre el marco de seguimiento y evaluación del Decenio o las estrategias de gestión de datos. Proporcionará recomendaciones sobre la aprobación de los programas y los centros de colaboración del Decenio, y formulará observaciones sobre los </w:t>
      </w:r>
      <w:r>
        <w:rPr>
          <w:color w:val="000000" w:themeColor="text1"/>
          <w:sz w:val="22"/>
          <w:szCs w:val="22"/>
          <w:lang w:val="es"/>
        </w:rPr>
        <w:t xml:space="preserve">resultados consolidados de las </w:t>
      </w:r>
      <w:r w:rsidR="00DA6D83">
        <w:rPr>
          <w:color w:val="000000" w:themeColor="text1"/>
          <w:sz w:val="22"/>
          <w:szCs w:val="22"/>
          <w:lang w:val="es"/>
        </w:rPr>
        <w:t>a</w:t>
      </w:r>
      <w:r>
        <w:rPr>
          <w:color w:val="000000" w:themeColor="text1"/>
          <w:sz w:val="22"/>
          <w:szCs w:val="22"/>
          <w:lang w:val="es"/>
        </w:rPr>
        <w:t xml:space="preserve">cciones del Decenio a lo largo de los procesos de examen descritos en la sección 3.3 del Plan de </w:t>
      </w:r>
      <w:r w:rsidR="00DA6D83">
        <w:rPr>
          <w:sz w:val="22"/>
          <w:szCs w:val="22"/>
          <w:lang w:val="es"/>
        </w:rPr>
        <w:t>ejecución</w:t>
      </w:r>
      <w:r>
        <w:rPr>
          <w:sz w:val="22"/>
          <w:szCs w:val="22"/>
          <w:lang w:val="es"/>
        </w:rPr>
        <w:t xml:space="preserve">. Los miembros de la Junta también contribuirán a la evaluación de las necesidades de recursos para las </w:t>
      </w:r>
      <w:r w:rsidR="00DA6D83">
        <w:rPr>
          <w:sz w:val="22"/>
          <w:szCs w:val="22"/>
          <w:lang w:val="es"/>
        </w:rPr>
        <w:t xml:space="preserve">acciones </w:t>
      </w:r>
      <w:r>
        <w:rPr>
          <w:sz w:val="22"/>
          <w:szCs w:val="22"/>
          <w:lang w:val="es"/>
        </w:rPr>
        <w:t>del Decenio y a la sensibilización sobre el Decenio, incluso con los posibles proveedores de recursos. El mandato del Junta Asesora del Decenio se presentará a la Asamblea de la COI en su 31ª reunión. Se espera que la Junta sea nombrada en septiembre</w:t>
      </w:r>
      <w:r w:rsidR="00B90BB3">
        <w:rPr>
          <w:sz w:val="22"/>
          <w:szCs w:val="22"/>
          <w:lang w:val="es"/>
        </w:rPr>
        <w:t xml:space="preserve"> u </w:t>
      </w:r>
      <w:r>
        <w:rPr>
          <w:sz w:val="22"/>
          <w:szCs w:val="22"/>
          <w:lang w:val="es"/>
        </w:rPr>
        <w:t xml:space="preserve">octubre y que celebre su primera reunión antes de finales de 2021. </w:t>
      </w:r>
    </w:p>
    <w:p w14:paraId="08C16EEE" w14:textId="438F6469" w:rsidR="0003728D" w:rsidRPr="001D6A2F" w:rsidRDefault="00A10F9E" w:rsidP="00CD2CE3">
      <w:pPr>
        <w:pStyle w:val="ListParagraph"/>
        <w:numPr>
          <w:ilvl w:val="0"/>
          <w:numId w:val="12"/>
        </w:numPr>
        <w:spacing w:before="0" w:line="240" w:lineRule="auto"/>
        <w:ind w:left="0" w:firstLine="0"/>
        <w:contextualSpacing w:val="0"/>
        <w:rPr>
          <w:iCs/>
          <w:sz w:val="22"/>
          <w:szCs w:val="22"/>
          <w:lang w:val="es-ES"/>
        </w:rPr>
      </w:pPr>
      <w:r>
        <w:rPr>
          <w:sz w:val="22"/>
          <w:szCs w:val="22"/>
          <w:lang w:val="es"/>
        </w:rPr>
        <w:t>En sus funciones de coordinación del Decenio, la COI necesitará la orientación científica y técnica de un órgano consultivo ya a comienzos del Decenio, en particular en lo que respecta al examen de las propuestas de programas recibidas mediante el primer llamamiento a la acción publicado en octubre de 2020. En espera del establecimiento oficial de la Junta Asesora del Decenio por la Asamblea en su 31ª reunión, en junio de 2021, y del nombramiento de sus miembros en septiembre</w:t>
      </w:r>
      <w:r w:rsidR="008610AA">
        <w:rPr>
          <w:sz w:val="22"/>
          <w:szCs w:val="22"/>
          <w:lang w:val="es"/>
        </w:rPr>
        <w:t xml:space="preserve"> u </w:t>
      </w:r>
      <w:r>
        <w:rPr>
          <w:sz w:val="22"/>
          <w:szCs w:val="22"/>
          <w:lang w:val="es"/>
        </w:rPr>
        <w:t xml:space="preserve">octubre de 2021, se propone, por lo tanto, que el Grupo Ejecutivo de Planificación del Decenio, establecido en 2018 para orientar la elaboración del Plan de </w:t>
      </w:r>
      <w:r w:rsidR="00DA6D83">
        <w:rPr>
          <w:sz w:val="22"/>
          <w:szCs w:val="22"/>
          <w:lang w:val="es"/>
        </w:rPr>
        <w:t>ejecución</w:t>
      </w:r>
      <w:r>
        <w:rPr>
          <w:sz w:val="22"/>
          <w:szCs w:val="22"/>
          <w:lang w:val="es"/>
        </w:rPr>
        <w:t xml:space="preserve">, actúe como Junta Asesora </w:t>
      </w:r>
      <w:r w:rsidR="00332C11">
        <w:rPr>
          <w:sz w:val="22"/>
          <w:szCs w:val="22"/>
          <w:lang w:val="es"/>
        </w:rPr>
        <w:t xml:space="preserve">provisional </w:t>
      </w:r>
      <w:r>
        <w:rPr>
          <w:sz w:val="22"/>
          <w:szCs w:val="22"/>
          <w:lang w:val="es"/>
        </w:rPr>
        <w:t>del Decenio. Los miembros del GEP</w:t>
      </w:r>
      <w:r>
        <w:rPr>
          <w:rStyle w:val="FootnoteReference"/>
          <w:sz w:val="22"/>
          <w:szCs w:val="22"/>
          <w:lang w:val="es"/>
        </w:rPr>
        <w:footnoteReference w:id="1"/>
      </w:r>
      <w:r>
        <w:rPr>
          <w:sz w:val="22"/>
          <w:szCs w:val="22"/>
          <w:lang w:val="es"/>
        </w:rPr>
        <w:t xml:space="preserve"> han confirmado su voluntad de desempeñar esta función para apoyar la aplicación del Decenio hasta 2021. El mandato del GEP se ha revisado para reflejar esta nueva función y se presenta en este documento al Consejo Ejecutivo de la COI para su examen y aprobación. El mandato revisado que se aprobará sustituirá al actual que figura en el apéndice 1 del documento IOC/EC-LI/2 Anexo 4.</w:t>
      </w:r>
    </w:p>
    <w:p w14:paraId="7FC95069" w14:textId="10F58A14" w:rsidR="0003728D" w:rsidRPr="00CD2CE3" w:rsidRDefault="00982938" w:rsidP="00CD2CE3">
      <w:pPr>
        <w:spacing w:before="0" w:line="240" w:lineRule="auto"/>
        <w:rPr>
          <w:b/>
          <w:bCs/>
          <w:sz w:val="22"/>
          <w:szCs w:val="22"/>
        </w:rPr>
      </w:pPr>
      <w:r>
        <w:rPr>
          <w:b/>
          <w:bCs/>
          <w:sz w:val="22"/>
          <w:szCs w:val="22"/>
          <w:lang w:val="es"/>
        </w:rPr>
        <w:t>Implicaciones financieras y administrativas</w:t>
      </w:r>
    </w:p>
    <w:p w14:paraId="691ED5EF" w14:textId="03C3E577" w:rsidR="0003728D" w:rsidRPr="001D6A2F" w:rsidRDefault="0003728D" w:rsidP="00CD2CE3">
      <w:pPr>
        <w:pStyle w:val="ListParagraph"/>
        <w:numPr>
          <w:ilvl w:val="0"/>
          <w:numId w:val="12"/>
        </w:numPr>
        <w:spacing w:before="0" w:line="240" w:lineRule="auto"/>
        <w:ind w:left="0" w:firstLine="0"/>
        <w:contextualSpacing w:val="0"/>
        <w:rPr>
          <w:color w:val="000000"/>
          <w:sz w:val="22"/>
          <w:szCs w:val="22"/>
          <w:lang w:val="es-ES"/>
        </w:rPr>
      </w:pPr>
      <w:r>
        <w:rPr>
          <w:sz w:val="22"/>
          <w:szCs w:val="22"/>
          <w:lang w:val="es"/>
        </w:rPr>
        <w:t>Aunque el GEP seguirá trabajando principalmente a través de medios remotos (teleconferencias, reuniones virtuales), se prevé una reunión física, solo cuando la situación sanitaria lo permita. En este caso, el coste de una reunión presencial, estimado en 30 000 dólares estadounidenses, se financiaría con recursos extrapresupuestarios ya comprometidos.</w:t>
      </w:r>
    </w:p>
    <w:p w14:paraId="727F85A0" w14:textId="65C5EEB1" w:rsidR="000D467B" w:rsidRPr="00CD2CE3" w:rsidRDefault="00982938" w:rsidP="00CD2CE3">
      <w:pPr>
        <w:spacing w:before="0" w:line="240" w:lineRule="auto"/>
        <w:rPr>
          <w:b/>
          <w:bCs/>
          <w:sz w:val="22"/>
          <w:szCs w:val="22"/>
        </w:rPr>
      </w:pPr>
      <w:r>
        <w:rPr>
          <w:b/>
          <w:bCs/>
          <w:sz w:val="22"/>
          <w:szCs w:val="22"/>
          <w:lang w:val="es"/>
        </w:rPr>
        <w:t>Decisión propuesta</w:t>
      </w:r>
    </w:p>
    <w:p w14:paraId="2136452F" w14:textId="49E55183" w:rsidR="000D467B" w:rsidRPr="001D6A2F" w:rsidRDefault="000D467B" w:rsidP="00CD2CE3">
      <w:pPr>
        <w:pStyle w:val="ListParagraph"/>
        <w:numPr>
          <w:ilvl w:val="0"/>
          <w:numId w:val="12"/>
        </w:numPr>
        <w:spacing w:before="0" w:line="240" w:lineRule="auto"/>
        <w:ind w:left="0" w:firstLine="0"/>
        <w:contextualSpacing w:val="0"/>
        <w:rPr>
          <w:b/>
          <w:sz w:val="22"/>
          <w:szCs w:val="22"/>
          <w:lang w:val="es-ES"/>
        </w:rPr>
      </w:pPr>
      <w:r>
        <w:rPr>
          <w:sz w:val="22"/>
          <w:szCs w:val="22"/>
          <w:lang w:val="es"/>
        </w:rPr>
        <w:t xml:space="preserve">A la luz de lo anterior, el Consejo </w:t>
      </w:r>
      <w:r w:rsidRPr="001D6A2F">
        <w:rPr>
          <w:sz w:val="22"/>
          <w:szCs w:val="22"/>
          <w:lang w:val="es"/>
        </w:rPr>
        <w:t>Ejecutivo de la COI podría examinar el proyecto de resolución EC-53/</w:t>
      </w:r>
      <w:proofErr w:type="gramStart"/>
      <w:r w:rsidRPr="001D6A2F">
        <w:rPr>
          <w:sz w:val="22"/>
          <w:szCs w:val="22"/>
          <w:lang w:val="es"/>
        </w:rPr>
        <w:t>DR[</w:t>
      </w:r>
      <w:proofErr w:type="gramEnd"/>
      <w:r w:rsidRPr="001D6A2F">
        <w:rPr>
          <w:sz w:val="22"/>
          <w:szCs w:val="22"/>
          <w:lang w:val="es"/>
        </w:rPr>
        <w:t xml:space="preserve">4.1] propuesto en el </w:t>
      </w:r>
      <w:proofErr w:type="spellStart"/>
      <w:r w:rsidRPr="001D6A2F">
        <w:rPr>
          <w:sz w:val="22"/>
          <w:szCs w:val="22"/>
          <w:lang w:val="es"/>
        </w:rPr>
        <w:t>addendum</w:t>
      </w:r>
      <w:proofErr w:type="spellEnd"/>
      <w:r w:rsidRPr="001D6A2F">
        <w:rPr>
          <w:sz w:val="22"/>
          <w:szCs w:val="22"/>
          <w:lang w:val="es"/>
        </w:rPr>
        <w:t xml:space="preserve"> al </w:t>
      </w:r>
      <w:r w:rsidR="006C1C49" w:rsidRPr="001D6A2F">
        <w:rPr>
          <w:sz w:val="22"/>
          <w:szCs w:val="22"/>
          <w:lang w:val="es"/>
        </w:rPr>
        <w:t xml:space="preserve">documento de decisión </w:t>
      </w:r>
      <w:r w:rsidRPr="001D6A2F">
        <w:rPr>
          <w:sz w:val="22"/>
          <w:szCs w:val="22"/>
          <w:lang w:val="es"/>
        </w:rPr>
        <w:t>(IOC/EC-53/AP</w:t>
      </w:r>
      <w:r>
        <w:rPr>
          <w:sz w:val="22"/>
          <w:szCs w:val="22"/>
          <w:lang w:val="es"/>
        </w:rPr>
        <w:t xml:space="preserve"> Rev.2Add). </w:t>
      </w:r>
    </w:p>
    <w:p w14:paraId="0433AAAB" w14:textId="5FBFA273" w:rsidR="00CD2CE3" w:rsidRPr="001D6A2F" w:rsidRDefault="00CD2CE3">
      <w:pPr>
        <w:spacing w:before="0" w:after="160" w:line="259" w:lineRule="auto"/>
        <w:jc w:val="left"/>
        <w:rPr>
          <w:sz w:val="22"/>
          <w:szCs w:val="22"/>
          <w:lang w:val="es-ES"/>
        </w:rPr>
      </w:pPr>
      <w:r>
        <w:rPr>
          <w:sz w:val="22"/>
          <w:szCs w:val="22"/>
          <w:lang w:val="es"/>
        </w:rPr>
        <w:br w:type="page"/>
      </w:r>
    </w:p>
    <w:p w14:paraId="4D270D81" w14:textId="1ACFFCAD" w:rsidR="00C05E2D" w:rsidRPr="001D6A2F" w:rsidRDefault="00CD2CE3" w:rsidP="00CD2CE3">
      <w:pPr>
        <w:pStyle w:val="Style2"/>
        <w:tabs>
          <w:tab w:val="clear" w:pos="1400"/>
          <w:tab w:val="left" w:pos="709"/>
        </w:tabs>
        <w:ind w:left="0"/>
        <w:jc w:val="center"/>
        <w:rPr>
          <w:rFonts w:cs="Arial"/>
          <w:b/>
          <w:bCs/>
          <w:color w:val="000000"/>
          <w:lang w:val="es-ES"/>
        </w:rPr>
      </w:pPr>
      <w:r>
        <w:rPr>
          <w:iCs w:val="0"/>
          <w:lang w:val="es"/>
        </w:rPr>
        <w:lastRenderedPageBreak/>
        <w:t>APÉNDICE 1</w:t>
      </w:r>
      <w:r>
        <w:rPr>
          <w:iCs w:val="0"/>
          <w:lang w:val="es"/>
        </w:rPr>
        <w:br/>
      </w:r>
      <w:r>
        <w:rPr>
          <w:iCs w:val="0"/>
          <w:lang w:val="es"/>
        </w:rPr>
        <w:br/>
      </w:r>
      <w:r>
        <w:rPr>
          <w:b/>
          <w:bCs/>
          <w:iCs w:val="0"/>
          <w:lang w:val="es"/>
        </w:rPr>
        <w:t xml:space="preserve">Mandato revisado del Grupo Ejecutivo de Planificación (GEP) </w:t>
      </w:r>
      <w:r w:rsidR="00C867CC">
        <w:rPr>
          <w:b/>
          <w:bCs/>
          <w:iCs w:val="0"/>
          <w:lang w:val="es"/>
        </w:rPr>
        <w:br/>
      </w:r>
      <w:r>
        <w:rPr>
          <w:b/>
          <w:bCs/>
          <w:iCs w:val="0"/>
          <w:lang w:val="es"/>
        </w:rPr>
        <w:t>del Decenio de las Naciones Unidas</w:t>
      </w:r>
      <w:r w:rsidR="00C867CC">
        <w:rPr>
          <w:b/>
          <w:bCs/>
          <w:iCs w:val="0"/>
          <w:lang w:val="es"/>
        </w:rPr>
        <w:t xml:space="preserve"> </w:t>
      </w:r>
      <w:r>
        <w:rPr>
          <w:b/>
          <w:bCs/>
          <w:iCs w:val="0"/>
          <w:lang w:val="es"/>
        </w:rPr>
        <w:t xml:space="preserve">de las Ciencias Oceánicas </w:t>
      </w:r>
      <w:r w:rsidR="00C867CC">
        <w:rPr>
          <w:b/>
          <w:bCs/>
          <w:iCs w:val="0"/>
          <w:lang w:val="es"/>
        </w:rPr>
        <w:br/>
      </w:r>
      <w:r>
        <w:rPr>
          <w:b/>
          <w:bCs/>
          <w:iCs w:val="0"/>
          <w:lang w:val="es"/>
        </w:rPr>
        <w:t xml:space="preserve">para el Desarrollo Sostenible (2021-2030) actuando </w:t>
      </w:r>
      <w:r>
        <w:rPr>
          <w:iCs w:val="0"/>
          <w:lang w:val="es"/>
        </w:rPr>
        <w:br/>
      </w:r>
      <w:r>
        <w:rPr>
          <w:b/>
          <w:bCs/>
          <w:iCs w:val="0"/>
          <w:lang w:val="es"/>
        </w:rPr>
        <w:t xml:space="preserve">como Junta Asesora </w:t>
      </w:r>
      <w:r w:rsidR="00332C11">
        <w:rPr>
          <w:b/>
          <w:bCs/>
          <w:iCs w:val="0"/>
          <w:lang w:val="es"/>
        </w:rPr>
        <w:t xml:space="preserve">provisional </w:t>
      </w:r>
      <w:r>
        <w:rPr>
          <w:b/>
          <w:bCs/>
          <w:iCs w:val="0"/>
          <w:lang w:val="es"/>
        </w:rPr>
        <w:t>del Decenio (2021)</w:t>
      </w:r>
    </w:p>
    <w:p w14:paraId="6E3DEE38" w14:textId="77777777" w:rsidR="00C05E2D" w:rsidRPr="001D6A2F" w:rsidRDefault="00C05E2D" w:rsidP="00CD2CE3">
      <w:pPr>
        <w:pStyle w:val="Heading3"/>
        <w:spacing w:before="0" w:after="240" w:line="240" w:lineRule="auto"/>
        <w:rPr>
          <w:rFonts w:ascii="Arial" w:hAnsi="Arial" w:cs="Arial"/>
          <w:bCs/>
          <w:color w:val="000000" w:themeColor="text1"/>
          <w:sz w:val="22"/>
          <w:szCs w:val="22"/>
          <w:u w:val="single"/>
          <w:lang w:val="es-ES"/>
        </w:rPr>
      </w:pPr>
      <w:r>
        <w:rPr>
          <w:rFonts w:ascii="Arial" w:hAnsi="Arial" w:cs="Arial"/>
          <w:color w:val="000000" w:themeColor="text1"/>
          <w:sz w:val="22"/>
          <w:szCs w:val="22"/>
          <w:u w:val="single"/>
          <w:lang w:val="es"/>
        </w:rPr>
        <w:t>Objetivo</w:t>
      </w:r>
    </w:p>
    <w:p w14:paraId="58E8CACF" w14:textId="49E52ACA" w:rsidR="00C05E2D" w:rsidRPr="001D6A2F" w:rsidRDefault="00C05E2D" w:rsidP="00CD2CE3">
      <w:pPr>
        <w:tabs>
          <w:tab w:val="left" w:pos="2940"/>
        </w:tabs>
        <w:spacing w:before="0" w:line="240" w:lineRule="auto"/>
        <w:rPr>
          <w:sz w:val="22"/>
          <w:szCs w:val="22"/>
          <w:lang w:val="es-ES"/>
        </w:rPr>
      </w:pPr>
      <w:r>
        <w:rPr>
          <w:sz w:val="22"/>
          <w:szCs w:val="22"/>
          <w:lang w:val="es"/>
        </w:rPr>
        <w:t xml:space="preserve">El objetivo del GEP es servir de órgano consultivo de expertos y actuar como Junta Asesora </w:t>
      </w:r>
      <w:r w:rsidR="00332C11">
        <w:rPr>
          <w:sz w:val="22"/>
          <w:szCs w:val="22"/>
          <w:lang w:val="es"/>
        </w:rPr>
        <w:t xml:space="preserve">provisional </w:t>
      </w:r>
      <w:r>
        <w:rPr>
          <w:sz w:val="22"/>
          <w:szCs w:val="22"/>
          <w:lang w:val="es"/>
        </w:rPr>
        <w:t xml:space="preserve">del Decenio ante los órganos rectores de la COI para apoyar el inicio del Decenio, de conformidad con el </w:t>
      </w:r>
      <w:r w:rsidR="00E0442E">
        <w:rPr>
          <w:sz w:val="22"/>
          <w:szCs w:val="22"/>
          <w:lang w:val="es"/>
        </w:rPr>
        <w:t>p</w:t>
      </w:r>
      <w:r>
        <w:rPr>
          <w:sz w:val="22"/>
          <w:szCs w:val="22"/>
          <w:lang w:val="es"/>
        </w:rPr>
        <w:t xml:space="preserve">lan de </w:t>
      </w:r>
      <w:r w:rsidR="00E0442E">
        <w:rPr>
          <w:sz w:val="22"/>
          <w:szCs w:val="22"/>
          <w:lang w:val="es"/>
        </w:rPr>
        <w:t xml:space="preserve">ejecución </w:t>
      </w:r>
      <w:r>
        <w:rPr>
          <w:sz w:val="22"/>
          <w:szCs w:val="22"/>
          <w:lang w:val="es"/>
        </w:rPr>
        <w:t xml:space="preserve">del Decenio, y hasta el establecimiento oficial de la Junta </w:t>
      </w:r>
      <w:r w:rsidR="00171CFA">
        <w:rPr>
          <w:sz w:val="22"/>
          <w:szCs w:val="22"/>
          <w:lang w:val="es"/>
        </w:rPr>
        <w:t xml:space="preserve">Asesora </w:t>
      </w:r>
      <w:r>
        <w:rPr>
          <w:sz w:val="22"/>
          <w:szCs w:val="22"/>
          <w:lang w:val="es"/>
        </w:rPr>
        <w:t xml:space="preserve">del Decenio en 2021. </w:t>
      </w:r>
    </w:p>
    <w:p w14:paraId="75B959C3" w14:textId="77A75A2D" w:rsidR="00C05E2D" w:rsidRPr="001D6A2F" w:rsidRDefault="00C05E2D" w:rsidP="00CD2CE3">
      <w:pPr>
        <w:pStyle w:val="ListParagraph"/>
        <w:numPr>
          <w:ilvl w:val="0"/>
          <w:numId w:val="5"/>
        </w:numPr>
        <w:spacing w:before="0" w:line="240" w:lineRule="auto"/>
        <w:ind w:left="709" w:hanging="709"/>
        <w:contextualSpacing w:val="0"/>
        <w:rPr>
          <w:b/>
          <w:sz w:val="22"/>
          <w:szCs w:val="22"/>
          <w:lang w:val="es-ES"/>
        </w:rPr>
      </w:pPr>
      <w:r>
        <w:rPr>
          <w:b/>
          <w:bCs/>
          <w:sz w:val="22"/>
          <w:szCs w:val="22"/>
          <w:lang w:val="es"/>
        </w:rPr>
        <w:t xml:space="preserve">Funciones del Grupo </w:t>
      </w:r>
      <w:r w:rsidR="00E0442E">
        <w:rPr>
          <w:b/>
          <w:bCs/>
          <w:sz w:val="22"/>
          <w:szCs w:val="22"/>
          <w:lang w:val="es"/>
        </w:rPr>
        <w:t xml:space="preserve">Ejecutivo </w:t>
      </w:r>
      <w:r>
        <w:rPr>
          <w:b/>
          <w:bCs/>
          <w:sz w:val="22"/>
          <w:szCs w:val="22"/>
          <w:lang w:val="es"/>
        </w:rPr>
        <w:t>de Planificación</w:t>
      </w:r>
    </w:p>
    <w:p w14:paraId="62B583A0" w14:textId="28E52E4D" w:rsidR="00C05E2D" w:rsidRPr="001D6A2F" w:rsidRDefault="00C05E2D" w:rsidP="00CD2CE3">
      <w:pPr>
        <w:pStyle w:val="ListParagraph"/>
        <w:tabs>
          <w:tab w:val="left" w:pos="2940"/>
        </w:tabs>
        <w:spacing w:before="0" w:line="240" w:lineRule="auto"/>
        <w:ind w:left="-5"/>
        <w:contextualSpacing w:val="0"/>
        <w:rPr>
          <w:sz w:val="22"/>
          <w:szCs w:val="22"/>
          <w:lang w:val="es-ES"/>
        </w:rPr>
      </w:pPr>
      <w:r>
        <w:rPr>
          <w:sz w:val="22"/>
          <w:szCs w:val="22"/>
          <w:lang w:val="es"/>
        </w:rPr>
        <w:t xml:space="preserve">El GEP cumplirá sus objetivos mediante el desempeño de las siguientes funciones: </w:t>
      </w:r>
    </w:p>
    <w:p w14:paraId="68877FA4" w14:textId="085C36A8" w:rsidR="0003229D" w:rsidRPr="001D6A2F" w:rsidRDefault="00070F4E" w:rsidP="00E0442E">
      <w:pPr>
        <w:pStyle w:val="NormalWeb"/>
        <w:numPr>
          <w:ilvl w:val="0"/>
          <w:numId w:val="10"/>
        </w:numPr>
        <w:tabs>
          <w:tab w:val="left" w:pos="709"/>
        </w:tabs>
        <w:spacing w:before="0" w:beforeAutospacing="0" w:after="240" w:afterAutospacing="0"/>
        <w:ind w:left="567" w:hanging="567"/>
        <w:jc w:val="both"/>
        <w:rPr>
          <w:rFonts w:ascii="Arial" w:hAnsi="Arial" w:cs="Arial"/>
          <w:sz w:val="22"/>
          <w:szCs w:val="22"/>
          <w:lang w:val="es-ES"/>
        </w:rPr>
      </w:pPr>
      <w:r>
        <w:rPr>
          <w:rFonts w:ascii="Arial" w:hAnsi="Arial" w:cs="Arial"/>
          <w:sz w:val="22"/>
          <w:szCs w:val="22"/>
          <w:lang w:val="es"/>
        </w:rPr>
        <w:t xml:space="preserve">Contribuir en la elaboración de documentos estratégicos relacionados con los elementos operacionales estructurales y transversales del </w:t>
      </w:r>
      <w:r w:rsidR="00E0442E" w:rsidRPr="00E0442E">
        <w:rPr>
          <w:rFonts w:ascii="Arial" w:hAnsi="Arial" w:cs="Arial"/>
          <w:sz w:val="22"/>
          <w:szCs w:val="22"/>
          <w:lang w:val="es"/>
        </w:rPr>
        <w:t xml:space="preserve">plan de ejecución </w:t>
      </w:r>
      <w:r>
        <w:rPr>
          <w:rFonts w:ascii="Arial" w:hAnsi="Arial" w:cs="Arial"/>
          <w:sz w:val="22"/>
          <w:szCs w:val="22"/>
          <w:lang w:val="es"/>
        </w:rPr>
        <w:t xml:space="preserve">del Decenio (por ejemplo, el marco de seguimiento y evaluación, la estrategia </w:t>
      </w:r>
      <w:r w:rsidR="00E0442E">
        <w:rPr>
          <w:rFonts w:ascii="Arial" w:hAnsi="Arial" w:cs="Arial"/>
          <w:sz w:val="22"/>
          <w:szCs w:val="22"/>
          <w:lang w:val="es"/>
        </w:rPr>
        <w:t>para el desarrollo de una cultura</w:t>
      </w:r>
      <w:r>
        <w:rPr>
          <w:rFonts w:ascii="Arial" w:hAnsi="Arial" w:cs="Arial"/>
          <w:sz w:val="22"/>
          <w:szCs w:val="22"/>
          <w:lang w:val="es"/>
        </w:rPr>
        <w:t xml:space="preserve"> oceánica, la estrategia de gestión de datos, información y conocimientos del Decenio);</w:t>
      </w:r>
    </w:p>
    <w:p w14:paraId="3138B3B6" w14:textId="26441CB7" w:rsidR="0003229D" w:rsidRPr="001D6A2F" w:rsidRDefault="0003229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
        </w:rPr>
        <w:t>Recomendar estrategias de movilización de recursos para apoyar la aplicación del Decenio;</w:t>
      </w:r>
    </w:p>
    <w:p w14:paraId="67530DA1" w14:textId="1E0E65BC" w:rsidR="0003229D" w:rsidRPr="001D6A2F"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
        </w:rPr>
        <w:t>Organizar los llamamientos a la acción pertinentes en el marco del Decenio en el curso de 2021;</w:t>
      </w:r>
    </w:p>
    <w:p w14:paraId="783EC263" w14:textId="698FB2BF" w:rsidR="0003229D" w:rsidRPr="001D6A2F" w:rsidRDefault="0003229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
        </w:rPr>
        <w:t>Hacer participar y consultar a las comunidades pertinentes en relación con las contribuciones a los objetivos del Decenio, dando prioridad a la participación de los profesionales de los océanos en las primeras etapas de su carrera y de los grupos y regiones desfavorecidos, así como a la interfaz científico-normativa, aprovechando los resultados de la fase de preparación;</w:t>
      </w:r>
    </w:p>
    <w:p w14:paraId="1AB43532" w14:textId="29619B30" w:rsidR="0003229D" w:rsidRPr="001D6A2F"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
        </w:rPr>
        <w:t xml:space="preserve">Examinar y recomendar la aprobación de programas en el marco del Decenio;  </w:t>
      </w:r>
    </w:p>
    <w:p w14:paraId="0E6981EE" w14:textId="208B5BA1" w:rsidR="0003229D" w:rsidRPr="001D6A2F"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
        </w:rPr>
        <w:t xml:space="preserve">Examinar y recomendar el respaldo de los centros de colaboración del Decenio establecidos en el marco del mismo; </w:t>
      </w:r>
    </w:p>
    <w:p w14:paraId="00AA34DF" w14:textId="3617303F" w:rsidR="0003229D" w:rsidRPr="001D6A2F"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
        </w:rPr>
        <w:t>Promover y dar a conocer el Decenio y catalizar el interés y el compromiso de alto nivel en el Decenio, incluida la contribución a la organización de los principales actos de lanzamiento del Decenio;</w:t>
      </w:r>
    </w:p>
    <w:p w14:paraId="4DC8822B" w14:textId="55E18989" w:rsidR="0003229D" w:rsidRPr="001D6A2F" w:rsidRDefault="00F23337"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s-ES"/>
        </w:rPr>
      </w:pPr>
      <w:r>
        <w:rPr>
          <w:rFonts w:ascii="Arial" w:hAnsi="Arial" w:cs="Arial"/>
          <w:sz w:val="22"/>
          <w:szCs w:val="22"/>
          <w:lang w:val="es-ES"/>
        </w:rPr>
        <w:t>Proporcionar</w:t>
      </w:r>
      <w:r>
        <w:rPr>
          <w:rFonts w:ascii="Arial" w:hAnsi="Arial" w:cs="Arial"/>
          <w:sz w:val="22"/>
          <w:szCs w:val="22"/>
          <w:lang w:val="es"/>
        </w:rPr>
        <w:t xml:space="preserve"> información al Secretario Ejecutivo de la COI para que pueda i</w:t>
      </w:r>
      <w:r w:rsidR="00E94700">
        <w:rPr>
          <w:rFonts w:ascii="Arial" w:hAnsi="Arial" w:cs="Arial"/>
          <w:sz w:val="22"/>
          <w:szCs w:val="22"/>
          <w:lang w:val="es"/>
        </w:rPr>
        <w:t>nformar a los órganos rectores de la COI, así como facilitar la información requerida por el Secretario General de las Naciones Unidas para informar de los progresos a la Asamblea General de las Naciones Unidas</w:t>
      </w:r>
      <w:r w:rsidR="0084104B">
        <w:rPr>
          <w:rStyle w:val="FootnoteReference"/>
          <w:rFonts w:ascii="Arial" w:hAnsi="Arial" w:cs="Arial"/>
          <w:sz w:val="22"/>
          <w:szCs w:val="22"/>
          <w:lang w:val="es"/>
        </w:rPr>
        <w:footnoteReference w:id="2"/>
      </w:r>
      <w:r w:rsidR="00E94700">
        <w:rPr>
          <w:rFonts w:ascii="Arial" w:hAnsi="Arial" w:cs="Arial"/>
          <w:sz w:val="22"/>
          <w:szCs w:val="22"/>
          <w:lang w:val="es"/>
        </w:rPr>
        <w:t>;</w:t>
      </w:r>
    </w:p>
    <w:p w14:paraId="6ADA493D" w14:textId="1728484C" w:rsidR="0003229D" w:rsidRPr="001D6A2F" w:rsidRDefault="00542C00" w:rsidP="00CD2CE3">
      <w:pPr>
        <w:pStyle w:val="NormalWeb"/>
        <w:numPr>
          <w:ilvl w:val="0"/>
          <w:numId w:val="10"/>
        </w:numPr>
        <w:tabs>
          <w:tab w:val="left" w:pos="709"/>
        </w:tabs>
        <w:spacing w:before="0" w:beforeAutospacing="0" w:after="240" w:afterAutospacing="0"/>
        <w:ind w:left="709" w:hanging="709"/>
        <w:jc w:val="both"/>
        <w:rPr>
          <w:rFonts w:ascii="Arial" w:hAnsi="Arial" w:cs="Arial"/>
          <w:color w:val="000000" w:themeColor="text1"/>
          <w:sz w:val="22"/>
          <w:szCs w:val="22"/>
          <w:lang w:val="es-ES"/>
        </w:rPr>
      </w:pPr>
      <w:r>
        <w:rPr>
          <w:rFonts w:ascii="Arial" w:hAnsi="Arial" w:cs="Arial"/>
          <w:sz w:val="22"/>
          <w:szCs w:val="22"/>
          <w:lang w:val="es"/>
        </w:rPr>
        <w:t>Apoyar la comunicación,</w:t>
      </w:r>
      <w:r w:rsidR="00171CFA">
        <w:rPr>
          <w:rFonts w:ascii="Arial" w:hAnsi="Arial" w:cs="Arial"/>
          <w:sz w:val="22"/>
          <w:szCs w:val="22"/>
          <w:lang w:val="es"/>
        </w:rPr>
        <w:t xml:space="preserve"> sobre todo</w:t>
      </w:r>
      <w:r>
        <w:rPr>
          <w:rFonts w:ascii="Arial" w:hAnsi="Arial" w:cs="Arial"/>
          <w:sz w:val="22"/>
          <w:szCs w:val="22"/>
          <w:lang w:val="es"/>
        </w:rPr>
        <w:t xml:space="preserve"> en </w:t>
      </w:r>
      <w:r w:rsidR="00171CFA">
        <w:rPr>
          <w:rFonts w:ascii="Arial" w:hAnsi="Arial" w:cs="Arial"/>
          <w:sz w:val="22"/>
          <w:szCs w:val="22"/>
          <w:lang w:val="es"/>
        </w:rPr>
        <w:t>lo que concierne</w:t>
      </w:r>
      <w:r>
        <w:rPr>
          <w:rFonts w:ascii="Arial" w:hAnsi="Arial" w:cs="Arial"/>
          <w:sz w:val="22"/>
          <w:szCs w:val="22"/>
          <w:lang w:val="es"/>
        </w:rPr>
        <w:t xml:space="preserve"> a los objetivos, desafíos y resultados del Decenio, </w:t>
      </w:r>
      <w:r w:rsidR="00171CFA">
        <w:rPr>
          <w:rFonts w:ascii="Arial" w:hAnsi="Arial" w:cs="Arial"/>
          <w:sz w:val="22"/>
          <w:szCs w:val="22"/>
          <w:lang w:val="es"/>
        </w:rPr>
        <w:t>con</w:t>
      </w:r>
      <w:r>
        <w:rPr>
          <w:rFonts w:ascii="Arial" w:hAnsi="Arial" w:cs="Arial"/>
          <w:sz w:val="22"/>
          <w:szCs w:val="22"/>
          <w:lang w:val="es"/>
        </w:rPr>
        <w:t xml:space="preserve"> todas las partes interesadas y reunir información, según proceda</w:t>
      </w:r>
      <w:r>
        <w:rPr>
          <w:rFonts w:ascii="Arial" w:hAnsi="Arial" w:cs="Arial"/>
          <w:color w:val="000000" w:themeColor="text1"/>
          <w:sz w:val="22"/>
          <w:szCs w:val="22"/>
          <w:lang w:val="es"/>
        </w:rPr>
        <w:t>.</w:t>
      </w:r>
    </w:p>
    <w:p w14:paraId="0F65CD42" w14:textId="7F6A3F4E" w:rsidR="00C05E2D" w:rsidRPr="001D6A2F" w:rsidRDefault="00070F4E" w:rsidP="00CD2CE3">
      <w:pPr>
        <w:pStyle w:val="ListParagraph"/>
        <w:numPr>
          <w:ilvl w:val="0"/>
          <w:numId w:val="5"/>
        </w:numPr>
        <w:spacing w:before="0" w:line="240" w:lineRule="auto"/>
        <w:ind w:left="709" w:hanging="709"/>
        <w:contextualSpacing w:val="0"/>
        <w:jc w:val="left"/>
        <w:rPr>
          <w:b/>
          <w:bCs/>
          <w:sz w:val="22"/>
          <w:szCs w:val="22"/>
          <w:lang w:val="es-ES"/>
        </w:rPr>
      </w:pPr>
      <w:r>
        <w:rPr>
          <w:b/>
          <w:bCs/>
          <w:sz w:val="22"/>
          <w:szCs w:val="22"/>
          <w:lang w:val="es"/>
        </w:rPr>
        <w:t xml:space="preserve">Composición del Grupo </w:t>
      </w:r>
      <w:r w:rsidR="00E0442E">
        <w:rPr>
          <w:b/>
          <w:bCs/>
          <w:sz w:val="22"/>
          <w:szCs w:val="22"/>
          <w:lang w:val="es"/>
        </w:rPr>
        <w:t xml:space="preserve">Ejecutivo </w:t>
      </w:r>
      <w:r>
        <w:rPr>
          <w:b/>
          <w:bCs/>
          <w:sz w:val="22"/>
          <w:szCs w:val="22"/>
          <w:lang w:val="es"/>
        </w:rPr>
        <w:t xml:space="preserve">de Planificación </w:t>
      </w:r>
    </w:p>
    <w:p w14:paraId="4F801DB7" w14:textId="0A224D10" w:rsidR="00542C00" w:rsidRPr="001D6A2F" w:rsidRDefault="00542C00" w:rsidP="00CD2CE3">
      <w:pPr>
        <w:tabs>
          <w:tab w:val="left" w:pos="2940"/>
        </w:tabs>
        <w:spacing w:before="0" w:line="240" w:lineRule="auto"/>
        <w:rPr>
          <w:sz w:val="22"/>
          <w:szCs w:val="22"/>
          <w:lang w:val="es-ES"/>
        </w:rPr>
      </w:pPr>
      <w:r>
        <w:rPr>
          <w:sz w:val="22"/>
          <w:szCs w:val="22"/>
          <w:lang w:val="es"/>
        </w:rPr>
        <w:lastRenderedPageBreak/>
        <w:t>El GEP mantendrá la misma composición que cuando se creó en 2018 mediante la Resolución EC-LI.1.</w:t>
      </w:r>
    </w:p>
    <w:p w14:paraId="16C2529A" w14:textId="1B1090E6" w:rsidR="00E16387" w:rsidRPr="001D6A2F" w:rsidRDefault="00C05E2D" w:rsidP="00CD2CE3">
      <w:pPr>
        <w:pStyle w:val="ListParagraph"/>
        <w:tabs>
          <w:tab w:val="left" w:pos="2940"/>
        </w:tabs>
        <w:spacing w:before="0" w:line="240" w:lineRule="auto"/>
        <w:ind w:left="-5"/>
        <w:contextualSpacing w:val="0"/>
        <w:rPr>
          <w:sz w:val="22"/>
          <w:szCs w:val="22"/>
          <w:lang w:val="es-ES"/>
        </w:rPr>
      </w:pPr>
      <w:r>
        <w:rPr>
          <w:color w:val="000000" w:themeColor="text1"/>
          <w:sz w:val="22"/>
          <w:szCs w:val="22"/>
          <w:lang w:val="es"/>
        </w:rPr>
        <w:t xml:space="preserve">El Secretario Ejecutivo coordinará el trabajo del GEP. Los miembros del GEP pueden </w:t>
      </w:r>
      <w:r w:rsidR="00F36D6F">
        <w:rPr>
          <w:color w:val="000000" w:themeColor="text1"/>
          <w:sz w:val="22"/>
          <w:szCs w:val="22"/>
          <w:lang w:val="es"/>
        </w:rPr>
        <w:t xml:space="preserve">designar a responsables </w:t>
      </w:r>
      <w:r>
        <w:rPr>
          <w:color w:val="000000" w:themeColor="text1"/>
          <w:sz w:val="22"/>
          <w:szCs w:val="22"/>
          <w:lang w:val="es"/>
        </w:rPr>
        <w:t>para llevar a cabo tareas específicas según sea apropiado.</w:t>
      </w:r>
    </w:p>
    <w:p w14:paraId="340ADF34" w14:textId="655C99A8" w:rsidR="00352EB5" w:rsidRPr="001D6A2F" w:rsidRDefault="00E16387" w:rsidP="00A26427">
      <w:pPr>
        <w:tabs>
          <w:tab w:val="left" w:pos="2940"/>
        </w:tabs>
        <w:spacing w:before="0" w:line="240" w:lineRule="auto"/>
        <w:rPr>
          <w:sz w:val="22"/>
          <w:szCs w:val="22"/>
          <w:lang w:val="es-ES"/>
        </w:rPr>
      </w:pPr>
      <w:r>
        <w:rPr>
          <w:sz w:val="22"/>
          <w:szCs w:val="22"/>
          <w:lang w:val="es"/>
        </w:rPr>
        <w:t xml:space="preserve">En consulta con el GEP, el Secretario Ejecutivo podrá invitar, según las circunstancias, a otros expertos con conocimientos o experiencia específicos que puedan faltar en el grupo para que contribuyan al debate de un punto del orden del día de una determinada reunión del GEP o de una tarea específica. Los miembros del GEP </w:t>
      </w:r>
      <w:r w:rsidR="00F36D6F">
        <w:rPr>
          <w:sz w:val="22"/>
          <w:szCs w:val="22"/>
          <w:lang w:val="es"/>
        </w:rPr>
        <w:t>desempeñan las funciones</w:t>
      </w:r>
      <w:r>
        <w:rPr>
          <w:sz w:val="22"/>
          <w:szCs w:val="22"/>
          <w:lang w:val="es"/>
        </w:rPr>
        <w:t xml:space="preserve"> </w:t>
      </w:r>
      <w:r w:rsidRPr="001D6A2F">
        <w:rPr>
          <w:b/>
          <w:sz w:val="22"/>
          <w:szCs w:val="22"/>
          <w:lang w:val="es"/>
        </w:rPr>
        <w:t>a título</w:t>
      </w:r>
      <w:r>
        <w:rPr>
          <w:sz w:val="22"/>
          <w:szCs w:val="22"/>
          <w:lang w:val="es"/>
        </w:rPr>
        <w:t xml:space="preserve"> </w:t>
      </w:r>
      <w:r>
        <w:rPr>
          <w:b/>
          <w:bCs/>
          <w:sz w:val="22"/>
          <w:szCs w:val="22"/>
          <w:lang w:val="es"/>
        </w:rPr>
        <w:t>personal</w:t>
      </w:r>
      <w:r>
        <w:rPr>
          <w:sz w:val="22"/>
          <w:szCs w:val="22"/>
          <w:lang w:val="es"/>
        </w:rPr>
        <w:t xml:space="preserve"> y no representan a sus instituciones. Los miembros del GEP deben poder dedicar tiempo suficiente a la labor del GEP y asumirán la responsabilidad de solicitar la autorización de su empleador para participar en este proceso.</w:t>
      </w:r>
    </w:p>
    <w:p w14:paraId="5D047FA8" w14:textId="77777777" w:rsidR="00C05E2D" w:rsidRPr="00CD2CE3" w:rsidRDefault="00C05E2D" w:rsidP="00A26427">
      <w:pPr>
        <w:pStyle w:val="ListParagraph"/>
        <w:numPr>
          <w:ilvl w:val="0"/>
          <w:numId w:val="5"/>
        </w:numPr>
        <w:tabs>
          <w:tab w:val="left" w:pos="2940"/>
        </w:tabs>
        <w:spacing w:before="0" w:line="240" w:lineRule="auto"/>
        <w:contextualSpacing w:val="0"/>
        <w:rPr>
          <w:b/>
          <w:sz w:val="22"/>
          <w:szCs w:val="22"/>
        </w:rPr>
      </w:pPr>
      <w:r>
        <w:rPr>
          <w:b/>
          <w:bCs/>
          <w:sz w:val="22"/>
          <w:szCs w:val="22"/>
          <w:lang w:val="es"/>
        </w:rPr>
        <w:t>Condiciones de nombramiento</w:t>
      </w:r>
    </w:p>
    <w:p w14:paraId="7972FC09" w14:textId="519E65AC" w:rsidR="00352EB5" w:rsidRPr="001D6A2F" w:rsidRDefault="00E23783" w:rsidP="00DF6CE0">
      <w:pPr>
        <w:pStyle w:val="ListParagraph"/>
        <w:tabs>
          <w:tab w:val="left" w:pos="2940"/>
        </w:tabs>
        <w:spacing w:before="0" w:line="240" w:lineRule="auto"/>
        <w:ind w:left="-5"/>
        <w:contextualSpacing w:val="0"/>
        <w:rPr>
          <w:sz w:val="22"/>
          <w:szCs w:val="22"/>
          <w:lang w:val="es-ES"/>
        </w:rPr>
      </w:pPr>
      <w:r>
        <w:rPr>
          <w:sz w:val="22"/>
          <w:szCs w:val="22"/>
          <w:lang w:val="es"/>
        </w:rPr>
        <w:t xml:space="preserve">Todos los miembros del GEP servirán hasta el nombramiento de la Junta Asesora del Decenio. En caso de dimisión, inactividad u otras </w:t>
      </w:r>
      <w:r>
        <w:rPr>
          <w:color w:val="000000" w:themeColor="text1"/>
          <w:sz w:val="22"/>
          <w:szCs w:val="22"/>
          <w:lang w:val="es"/>
        </w:rPr>
        <w:t>cuestiones</w:t>
      </w:r>
      <w:r>
        <w:rPr>
          <w:sz w:val="22"/>
          <w:szCs w:val="22"/>
          <w:lang w:val="es"/>
        </w:rPr>
        <w:t xml:space="preserve"> que afecten a la actuación del GEP, el proceso utilizado para seleccionar a los miembros del GEP se utilizará para considerar sustituciones o adiciones. La designación de los miembros cesará una vez que la Junta Asesora del Decenio se designe formalmente. </w:t>
      </w:r>
    </w:p>
    <w:p w14:paraId="3F118564" w14:textId="4A8E7CFB" w:rsidR="00C05E2D" w:rsidRPr="00CD2CE3" w:rsidRDefault="000D467B"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es"/>
        </w:rPr>
        <w:t>Reuniones</w:t>
      </w:r>
    </w:p>
    <w:p w14:paraId="1E3732B5" w14:textId="1CCE4A3C" w:rsidR="00C05E2D" w:rsidRPr="001D6A2F" w:rsidRDefault="00C05E2D" w:rsidP="00CD2CE3">
      <w:pPr>
        <w:pStyle w:val="ListParagraph"/>
        <w:tabs>
          <w:tab w:val="left" w:pos="2940"/>
        </w:tabs>
        <w:spacing w:before="0" w:line="240" w:lineRule="auto"/>
        <w:ind w:left="-5"/>
        <w:contextualSpacing w:val="0"/>
        <w:rPr>
          <w:sz w:val="22"/>
          <w:szCs w:val="22"/>
          <w:lang w:val="es-ES"/>
        </w:rPr>
      </w:pPr>
      <w:r>
        <w:rPr>
          <w:sz w:val="22"/>
          <w:szCs w:val="22"/>
          <w:lang w:val="es"/>
        </w:rPr>
        <w:t>El GEP se reunirá en el curso de 2021 a través de reuniones virtuales y posiblemente una vez físicamente si las condiciones lo permiten. El Secretario Ejecutivo, o en su ausencia un representante designado, presidirá las reuniones del GEP.</w:t>
      </w:r>
    </w:p>
    <w:p w14:paraId="2D7DBFCD" w14:textId="2E4F971E" w:rsidR="00C05E2D" w:rsidRPr="001D6A2F" w:rsidRDefault="00C05E2D" w:rsidP="00CD2CE3">
      <w:pPr>
        <w:tabs>
          <w:tab w:val="left" w:pos="2940"/>
        </w:tabs>
        <w:spacing w:before="0" w:line="240" w:lineRule="auto"/>
        <w:rPr>
          <w:sz w:val="22"/>
          <w:szCs w:val="22"/>
          <w:lang w:val="es-ES"/>
        </w:rPr>
      </w:pPr>
      <w:r>
        <w:rPr>
          <w:sz w:val="22"/>
          <w:szCs w:val="22"/>
          <w:lang w:val="es"/>
        </w:rPr>
        <w:t xml:space="preserve">Pueden establecerse subgrupos específicos con el mandato de llevar a cabo tareas técnicas según lo decida el GEP. Estos grupos de trabajo técnicos se reunirán con la frecuencia que requieran sus miembros. </w:t>
      </w:r>
    </w:p>
    <w:p w14:paraId="7BBF24A0" w14:textId="77777777" w:rsidR="00C05E2D" w:rsidRPr="00CD2CE3" w:rsidRDefault="00C05E2D"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es"/>
        </w:rPr>
        <w:t>Proceso de toma de decisiones</w:t>
      </w:r>
    </w:p>
    <w:p w14:paraId="6EED0B67" w14:textId="7FA8167A" w:rsidR="00C05E2D" w:rsidRPr="001D6A2F" w:rsidRDefault="00C05E2D" w:rsidP="00CD2CE3">
      <w:pPr>
        <w:pStyle w:val="ListParagraph"/>
        <w:tabs>
          <w:tab w:val="left" w:pos="2940"/>
        </w:tabs>
        <w:spacing w:before="0" w:line="240" w:lineRule="auto"/>
        <w:ind w:left="-5"/>
        <w:contextualSpacing w:val="0"/>
        <w:rPr>
          <w:sz w:val="22"/>
          <w:szCs w:val="22"/>
          <w:lang w:val="es-ES"/>
        </w:rPr>
      </w:pPr>
      <w:r>
        <w:rPr>
          <w:sz w:val="22"/>
          <w:szCs w:val="22"/>
          <w:lang w:val="es"/>
        </w:rPr>
        <w:t xml:space="preserve">El GEP se esfuerza por lograr un consenso sobre todas las cuestiones al proporcionar recomendaciones y asesoramiento a los órganos rectores de la COI. Se informará a los órganos rectores de la COI cuando no se pueda llegar a un consenso. </w:t>
      </w:r>
    </w:p>
    <w:p w14:paraId="16DB633C" w14:textId="77777777" w:rsidR="00C05E2D" w:rsidRPr="00CD2CE3" w:rsidRDefault="00C05E2D"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es"/>
        </w:rPr>
        <w:t>Secretaría</w:t>
      </w:r>
    </w:p>
    <w:p w14:paraId="797AAF2A" w14:textId="4C9B767A" w:rsidR="00C05E2D" w:rsidRPr="001D6A2F" w:rsidRDefault="00C05E2D" w:rsidP="00CD2CE3">
      <w:pPr>
        <w:pStyle w:val="ListParagraph"/>
        <w:tabs>
          <w:tab w:val="left" w:pos="2940"/>
        </w:tabs>
        <w:spacing w:before="0" w:line="240" w:lineRule="auto"/>
        <w:ind w:left="-5"/>
        <w:contextualSpacing w:val="0"/>
        <w:rPr>
          <w:sz w:val="22"/>
          <w:szCs w:val="22"/>
          <w:lang w:val="es-ES"/>
        </w:rPr>
      </w:pPr>
      <w:r>
        <w:rPr>
          <w:sz w:val="22"/>
          <w:szCs w:val="22"/>
          <w:lang w:val="es"/>
        </w:rPr>
        <w:t>La Secretaría de la COI prestará apoyo administrativo, técnico y editorial al GEP según sea necesario.</w:t>
      </w:r>
    </w:p>
    <w:p w14:paraId="50E667ED" w14:textId="25F6DC61" w:rsidR="00C05E2D" w:rsidRPr="00CD2CE3" w:rsidRDefault="00C05E2D"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es"/>
        </w:rPr>
        <w:t xml:space="preserve">Revisión y presentación de informes </w:t>
      </w:r>
    </w:p>
    <w:p w14:paraId="2148F373" w14:textId="11E872D0" w:rsidR="00C05E2D" w:rsidRPr="001D6A2F" w:rsidRDefault="00C05E2D" w:rsidP="00CD2CE3">
      <w:pPr>
        <w:pStyle w:val="ListParagraph"/>
        <w:tabs>
          <w:tab w:val="left" w:pos="2940"/>
        </w:tabs>
        <w:spacing w:before="0" w:line="240" w:lineRule="auto"/>
        <w:ind w:left="-5"/>
        <w:contextualSpacing w:val="0"/>
        <w:rPr>
          <w:sz w:val="22"/>
          <w:szCs w:val="22"/>
          <w:lang w:val="es-ES"/>
        </w:rPr>
      </w:pPr>
      <w:r>
        <w:rPr>
          <w:sz w:val="22"/>
          <w:szCs w:val="22"/>
          <w:lang w:val="es"/>
        </w:rPr>
        <w:t xml:space="preserve">Los resultados de las reuniones se </w:t>
      </w:r>
      <w:r w:rsidR="00AD7B34">
        <w:rPr>
          <w:sz w:val="22"/>
          <w:szCs w:val="22"/>
          <w:lang w:val="es"/>
        </w:rPr>
        <w:t>evaluarán en función de</w:t>
      </w:r>
      <w:r>
        <w:rPr>
          <w:sz w:val="22"/>
          <w:szCs w:val="22"/>
          <w:lang w:val="es"/>
        </w:rPr>
        <w:t xml:space="preserve"> las principales medidas y </w:t>
      </w:r>
      <w:r w:rsidR="00AD7B34">
        <w:rPr>
          <w:sz w:val="22"/>
          <w:szCs w:val="22"/>
          <w:lang w:val="es"/>
        </w:rPr>
        <w:t xml:space="preserve">los </w:t>
      </w:r>
      <w:r>
        <w:rPr>
          <w:sz w:val="22"/>
          <w:szCs w:val="22"/>
          <w:lang w:val="es"/>
        </w:rPr>
        <w:t xml:space="preserve">plazos </w:t>
      </w:r>
      <w:r w:rsidR="00AD7B34">
        <w:rPr>
          <w:sz w:val="22"/>
          <w:szCs w:val="22"/>
          <w:lang w:val="es"/>
        </w:rPr>
        <w:t xml:space="preserve">establecidos en el marco </w:t>
      </w:r>
      <w:r>
        <w:rPr>
          <w:sz w:val="22"/>
          <w:szCs w:val="22"/>
          <w:lang w:val="es"/>
        </w:rPr>
        <w:t xml:space="preserve">de </w:t>
      </w:r>
      <w:r w:rsidR="00AD7B34">
        <w:rPr>
          <w:sz w:val="22"/>
          <w:szCs w:val="22"/>
          <w:lang w:val="es"/>
        </w:rPr>
        <w:t xml:space="preserve">la </w:t>
      </w:r>
      <w:r>
        <w:rPr>
          <w:sz w:val="22"/>
          <w:szCs w:val="22"/>
          <w:lang w:val="es"/>
        </w:rPr>
        <w:t xml:space="preserve">planificación estratégica. Los resúmenes de las reuniones del GEP estarán disponibles en el </w:t>
      </w:r>
      <w:hyperlink r:id="rId10" w:history="1">
        <w:r w:rsidR="00E0442E">
          <w:rPr>
            <w:rStyle w:val="Hyperlink"/>
            <w:sz w:val="22"/>
            <w:szCs w:val="22"/>
            <w:lang w:val="es"/>
          </w:rPr>
          <w:t>s</w:t>
        </w:r>
        <w:r>
          <w:rPr>
            <w:rStyle w:val="Hyperlink"/>
            <w:sz w:val="22"/>
            <w:szCs w:val="22"/>
            <w:lang w:val="es"/>
          </w:rPr>
          <w:t>itio web del Decenio</w:t>
        </w:r>
      </w:hyperlink>
      <w:r>
        <w:rPr>
          <w:sz w:val="22"/>
          <w:szCs w:val="22"/>
          <w:lang w:val="es"/>
        </w:rPr>
        <w:t>. El GEP presentará un informe de sus actividades a la Asamblea de la COI en su 31ª</w:t>
      </w:r>
      <w:r w:rsidR="006C1C49">
        <w:rPr>
          <w:sz w:val="22"/>
          <w:szCs w:val="22"/>
          <w:lang w:val="es"/>
        </w:rPr>
        <w:t xml:space="preserve"> </w:t>
      </w:r>
      <w:r>
        <w:rPr>
          <w:sz w:val="22"/>
          <w:szCs w:val="22"/>
          <w:lang w:val="es"/>
        </w:rPr>
        <w:t>reunión.</w:t>
      </w:r>
    </w:p>
    <w:bookmarkEnd w:id="0"/>
    <w:bookmarkEnd w:id="1"/>
    <w:p w14:paraId="64FC70F1" w14:textId="64D136E4" w:rsidR="00330273" w:rsidRPr="001D6A2F" w:rsidRDefault="00330273" w:rsidP="00CD2CE3">
      <w:pPr>
        <w:spacing w:before="0" w:line="240" w:lineRule="auto"/>
        <w:rPr>
          <w:sz w:val="22"/>
          <w:szCs w:val="22"/>
          <w:lang w:val="es-ES"/>
        </w:rPr>
      </w:pPr>
    </w:p>
    <w:sectPr w:rsidR="00330273" w:rsidRPr="001D6A2F" w:rsidSect="00A15578">
      <w:headerReference w:type="even" r:id="rId11"/>
      <w:headerReference w:type="default" r:id="rId12"/>
      <w:headerReference w:type="first" r:id="rId13"/>
      <w:pgSz w:w="11906" w:h="16838"/>
      <w:pgMar w:top="1134" w:right="1141"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4F1DE" w14:textId="77777777" w:rsidR="0093367D" w:rsidRDefault="0093367D" w:rsidP="00160452">
      <w:pPr>
        <w:spacing w:before="0" w:after="0" w:line="240" w:lineRule="auto"/>
      </w:pPr>
      <w:r>
        <w:separator/>
      </w:r>
    </w:p>
  </w:endnote>
  <w:endnote w:type="continuationSeparator" w:id="0">
    <w:p w14:paraId="6A58E880" w14:textId="77777777" w:rsidR="0093367D" w:rsidRDefault="0093367D" w:rsidP="001604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24A0F" w14:textId="77777777" w:rsidR="0093367D" w:rsidRDefault="0093367D" w:rsidP="00160452">
      <w:pPr>
        <w:spacing w:before="0" w:after="0" w:line="240" w:lineRule="auto"/>
      </w:pPr>
      <w:r>
        <w:separator/>
      </w:r>
    </w:p>
  </w:footnote>
  <w:footnote w:type="continuationSeparator" w:id="0">
    <w:p w14:paraId="7A2BEBEE" w14:textId="77777777" w:rsidR="0093367D" w:rsidRDefault="0093367D" w:rsidP="00160452">
      <w:pPr>
        <w:spacing w:before="0" w:after="0" w:line="240" w:lineRule="auto"/>
      </w:pPr>
      <w:r>
        <w:continuationSeparator/>
      </w:r>
    </w:p>
  </w:footnote>
  <w:footnote w:id="1">
    <w:p w14:paraId="27DF8F64" w14:textId="1584669A" w:rsidR="00BD1C6C" w:rsidRPr="001D6A2F" w:rsidRDefault="00BD1C6C">
      <w:pPr>
        <w:pStyle w:val="FootnoteText"/>
        <w:rPr>
          <w:lang w:val="es-ES"/>
        </w:rPr>
      </w:pPr>
      <w:r>
        <w:rPr>
          <w:rStyle w:val="FootnoteReference"/>
          <w:lang w:val="es"/>
        </w:rPr>
        <w:footnoteRef/>
      </w:r>
      <w:r>
        <w:rPr>
          <w:lang w:val="es"/>
        </w:rPr>
        <w:t xml:space="preserve"> Ver </w:t>
      </w:r>
      <w:hyperlink r:id="rId1" w:history="1">
        <w:r>
          <w:rPr>
            <w:rStyle w:val="Hyperlink"/>
            <w:lang w:val="es"/>
          </w:rPr>
          <w:t>https://www.oceandecade.org/about?tab=our-governance</w:t>
        </w:r>
      </w:hyperlink>
      <w:r>
        <w:rPr>
          <w:lang w:val="es"/>
        </w:rPr>
        <w:t xml:space="preserve"> </w:t>
      </w:r>
    </w:p>
  </w:footnote>
  <w:footnote w:id="2">
    <w:p w14:paraId="48663A77" w14:textId="3979E084" w:rsidR="0084104B" w:rsidRPr="0084104B" w:rsidRDefault="0084104B">
      <w:pPr>
        <w:pStyle w:val="FootnoteText"/>
        <w:rPr>
          <w:lang w:val="es-ES"/>
        </w:rPr>
      </w:pPr>
      <w:r>
        <w:rPr>
          <w:rStyle w:val="FootnoteReference"/>
        </w:rPr>
        <w:footnoteRef/>
      </w:r>
      <w:r>
        <w:t xml:space="preserve"> </w:t>
      </w:r>
      <w:proofErr w:type="spellStart"/>
      <w:r>
        <w:t>Párrafo</w:t>
      </w:r>
      <w:proofErr w:type="spellEnd"/>
      <w:r>
        <w:t xml:space="preserve"> </w:t>
      </w:r>
      <w:proofErr w:type="spellStart"/>
      <w:r>
        <w:t>modificado</w:t>
      </w:r>
      <w:proofErr w:type="spellEnd"/>
      <w:r>
        <w:t xml:space="preserve"> por el </w:t>
      </w:r>
      <w:proofErr w:type="spellStart"/>
      <w:r>
        <w:t>Consejo</w:t>
      </w:r>
      <w:proofErr w:type="spellEnd"/>
      <w:r>
        <w:t xml:space="preserve"> </w:t>
      </w:r>
      <w:proofErr w:type="spellStart"/>
      <w:r>
        <w:t>Ejecutivo</w:t>
      </w:r>
      <w:proofErr w:type="spellEnd"/>
      <w:r>
        <w:t xml:space="preserve"> </w:t>
      </w:r>
      <w:proofErr w:type="spellStart"/>
      <w:r>
        <w:t>en</w:t>
      </w:r>
      <w:proofErr w:type="spellEnd"/>
      <w:r>
        <w:t xml:space="preserve"> </w:t>
      </w:r>
      <w:proofErr w:type="spellStart"/>
      <w:r>
        <w:t>su</w:t>
      </w:r>
      <w:proofErr w:type="spellEnd"/>
      <w:r>
        <w:t xml:space="preserve"> 53ª reunión.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7CE2" w14:textId="3DDBA1A0" w:rsidR="00CD2CE3" w:rsidRDefault="00CD2CE3" w:rsidP="00CD2CE3">
    <w:pPr>
      <w:pStyle w:val="Header"/>
    </w:pPr>
    <w:r>
      <w:rPr>
        <w:lang w:val="es"/>
      </w:rPr>
      <w:t>IOC/EC-53/4.1</w:t>
    </w:r>
    <w:proofErr w:type="gramStart"/>
    <w:r>
      <w:rPr>
        <w:lang w:val="es"/>
      </w:rPr>
      <w:t>Doc(</w:t>
    </w:r>
    <w:proofErr w:type="gramEnd"/>
    <w:r>
      <w:rPr>
        <w:lang w:val="es"/>
      </w:rPr>
      <w:t>3)</w:t>
    </w:r>
    <w:r w:rsidR="00802297">
      <w:rPr>
        <w:lang w:val="es"/>
      </w:rPr>
      <w:t xml:space="preserve"> </w:t>
    </w:r>
    <w:r w:rsidR="006B35B1">
      <w:rPr>
        <w:lang w:val="es"/>
      </w:rPr>
      <w:t>Rev.</w:t>
    </w:r>
  </w:p>
  <w:p w14:paraId="2E37AD56" w14:textId="1A7C25E1" w:rsidR="00CD2CE3" w:rsidRDefault="00CD2CE3" w:rsidP="00CD2CE3">
    <w:pPr>
      <w:pStyle w:val="Header"/>
    </w:pPr>
    <w:r>
      <w:rPr>
        <w:lang w:val="es"/>
      </w:rPr>
      <w:t xml:space="preserve">página </w:t>
    </w:r>
    <w:r>
      <w:rPr>
        <w:lang w:val="es"/>
      </w:rPr>
      <w:fldChar w:fldCharType="begin"/>
    </w:r>
    <w:r>
      <w:rPr>
        <w:lang w:val="es"/>
      </w:rPr>
      <w:instrText xml:space="preserve"> PAGE   \* MERGEFORMAT </w:instrText>
    </w:r>
    <w:r>
      <w:rPr>
        <w:lang w:val="es"/>
      </w:rPr>
      <w:fldChar w:fldCharType="separate"/>
    </w:r>
    <w:r w:rsidR="006B35B1">
      <w:rPr>
        <w:noProof/>
        <w:lang w:val="es"/>
      </w:rPr>
      <w:t>2</w:t>
    </w:r>
    <w:r>
      <w:rPr>
        <w:noProof/>
        <w:lang w:val="es"/>
      </w:rPr>
      <w:fldChar w:fldCharType="end"/>
    </w:r>
  </w:p>
  <w:p w14:paraId="25F7237C" w14:textId="77777777" w:rsidR="00CD2CE3" w:rsidRDefault="00CD2CE3" w:rsidP="00CD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D15D" w14:textId="2DD45A8E" w:rsidR="00CD2CE3" w:rsidRDefault="00CD2CE3" w:rsidP="006B35B1">
    <w:pPr>
      <w:pStyle w:val="Header"/>
      <w:ind w:firstLine="7088"/>
    </w:pPr>
    <w:r>
      <w:rPr>
        <w:lang w:val="es"/>
      </w:rPr>
      <w:t>IOC/EC-53/4.1</w:t>
    </w:r>
    <w:proofErr w:type="gramStart"/>
    <w:r>
      <w:rPr>
        <w:lang w:val="es"/>
      </w:rPr>
      <w:t>Doc(</w:t>
    </w:r>
    <w:proofErr w:type="gramEnd"/>
    <w:r>
      <w:rPr>
        <w:lang w:val="es"/>
      </w:rPr>
      <w:t>3)</w:t>
    </w:r>
    <w:r w:rsidR="00802297">
      <w:rPr>
        <w:lang w:val="es"/>
      </w:rPr>
      <w:t xml:space="preserve"> </w:t>
    </w:r>
    <w:r w:rsidR="006B35B1">
      <w:rPr>
        <w:lang w:val="es"/>
      </w:rPr>
      <w:t>Rev.</w:t>
    </w:r>
  </w:p>
  <w:p w14:paraId="3A74D17F" w14:textId="26B6FC60" w:rsidR="00CD2CE3" w:rsidRDefault="00CD2CE3" w:rsidP="006B35B1">
    <w:pPr>
      <w:pStyle w:val="Header"/>
      <w:ind w:firstLine="7088"/>
    </w:pPr>
    <w:r>
      <w:rPr>
        <w:lang w:val="es"/>
      </w:rPr>
      <w:t xml:space="preserve">página </w:t>
    </w:r>
    <w:r>
      <w:rPr>
        <w:lang w:val="es"/>
      </w:rPr>
      <w:fldChar w:fldCharType="begin"/>
    </w:r>
    <w:r>
      <w:rPr>
        <w:lang w:val="es"/>
      </w:rPr>
      <w:instrText xml:space="preserve"> PAGE   \* MERGEFORMAT </w:instrText>
    </w:r>
    <w:r>
      <w:rPr>
        <w:lang w:val="es"/>
      </w:rPr>
      <w:fldChar w:fldCharType="separate"/>
    </w:r>
    <w:r w:rsidR="006B35B1">
      <w:rPr>
        <w:noProof/>
        <w:lang w:val="es"/>
      </w:rPr>
      <w:t>3</w:t>
    </w:r>
    <w:r>
      <w:rPr>
        <w:noProof/>
        <w:lang w:val="es"/>
      </w:rPr>
      <w:fldChar w:fldCharType="end"/>
    </w:r>
  </w:p>
  <w:p w14:paraId="5F652469" w14:textId="77777777" w:rsidR="00CD2CE3" w:rsidRDefault="00CD2CE3" w:rsidP="00377DE1">
    <w:pPr>
      <w:pStyle w:val="Header"/>
      <w:ind w:firstLine="75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19C8C" w14:textId="7FB0D4AB" w:rsidR="00CD2CE3" w:rsidRPr="001D6A2F" w:rsidRDefault="00CD2CE3" w:rsidP="006B35B1">
    <w:pPr>
      <w:widowControl w:val="0"/>
      <w:tabs>
        <w:tab w:val="left" w:pos="567"/>
        <w:tab w:val="left" w:pos="5245"/>
      </w:tabs>
      <w:adjustRightInd w:val="0"/>
      <w:snapToGrid w:val="0"/>
      <w:spacing w:before="0" w:after="0" w:line="240" w:lineRule="auto"/>
      <w:textAlignment w:val="baseline"/>
      <w:rPr>
        <w:rFonts w:eastAsia="Times New Roman"/>
        <w:b/>
        <w:snapToGrid w:val="0"/>
        <w:sz w:val="22"/>
        <w:szCs w:val="22"/>
        <w:lang w:val="es-ES"/>
      </w:rPr>
    </w:pPr>
    <w:r>
      <w:rPr>
        <w:rFonts w:eastAsia="Times New Roman"/>
        <w:snapToGrid w:val="0"/>
        <w:sz w:val="22"/>
        <w:szCs w:val="22"/>
        <w:lang w:val="es"/>
      </w:rPr>
      <w:t xml:space="preserve">Distribución </w:t>
    </w:r>
    <w:r w:rsidR="00F65E58">
      <w:rPr>
        <w:rFonts w:eastAsia="Times New Roman"/>
        <w:snapToGrid w:val="0"/>
        <w:sz w:val="22"/>
        <w:szCs w:val="22"/>
        <w:lang w:val="es"/>
      </w:rPr>
      <w:t>limitada</w:t>
    </w:r>
    <w:r>
      <w:rPr>
        <w:rFonts w:eastAsia="Times New Roman"/>
        <w:snapToGrid w:val="0"/>
        <w:sz w:val="22"/>
        <w:szCs w:val="22"/>
        <w:lang w:val="es"/>
      </w:rPr>
      <w:tab/>
    </w:r>
    <w:r>
      <w:rPr>
        <w:rFonts w:eastAsia="Times New Roman"/>
        <w:b/>
        <w:bCs/>
        <w:snapToGrid w:val="0"/>
        <w:sz w:val="36"/>
        <w:szCs w:val="36"/>
        <w:lang w:val="es"/>
      </w:rPr>
      <w:t>IOC/EC-53/4.1</w:t>
    </w:r>
    <w:proofErr w:type="gramStart"/>
    <w:r>
      <w:rPr>
        <w:rFonts w:eastAsia="Times New Roman"/>
        <w:b/>
        <w:bCs/>
        <w:snapToGrid w:val="0"/>
        <w:sz w:val="36"/>
        <w:szCs w:val="36"/>
        <w:lang w:val="es"/>
      </w:rPr>
      <w:t>Doc(</w:t>
    </w:r>
    <w:proofErr w:type="gramEnd"/>
    <w:r>
      <w:rPr>
        <w:rFonts w:eastAsia="Times New Roman"/>
        <w:b/>
        <w:bCs/>
        <w:snapToGrid w:val="0"/>
        <w:sz w:val="36"/>
        <w:szCs w:val="36"/>
        <w:lang w:val="es"/>
      </w:rPr>
      <w:t>3)</w:t>
    </w:r>
    <w:r w:rsidR="00802297">
      <w:rPr>
        <w:rFonts w:eastAsia="Times New Roman"/>
        <w:b/>
        <w:bCs/>
        <w:snapToGrid w:val="0"/>
        <w:sz w:val="36"/>
        <w:szCs w:val="36"/>
        <w:lang w:val="es"/>
      </w:rPr>
      <w:t xml:space="preserve"> </w:t>
    </w:r>
    <w:r w:rsidR="006B35B1">
      <w:rPr>
        <w:rFonts w:eastAsia="Times New Roman"/>
        <w:b/>
        <w:bCs/>
        <w:snapToGrid w:val="0"/>
        <w:sz w:val="36"/>
        <w:szCs w:val="36"/>
        <w:lang w:val="es"/>
      </w:rPr>
      <w:t>Rev</w:t>
    </w:r>
    <w:r w:rsidR="00802297">
      <w:rPr>
        <w:rFonts w:eastAsia="Times New Roman"/>
        <w:b/>
        <w:bCs/>
        <w:snapToGrid w:val="0"/>
        <w:sz w:val="36"/>
        <w:szCs w:val="36"/>
        <w:lang w:val="es"/>
      </w:rPr>
      <w:t>.</w:t>
    </w:r>
  </w:p>
  <w:p w14:paraId="751F7CF3" w14:textId="69F0CC7B" w:rsidR="00CD2CE3" w:rsidRPr="001D6A2F" w:rsidRDefault="00CD2CE3" w:rsidP="006B35B1">
    <w:pPr>
      <w:widowControl w:val="0"/>
      <w:tabs>
        <w:tab w:val="left" w:pos="5245"/>
      </w:tabs>
      <w:adjustRightInd w:val="0"/>
      <w:snapToGrid w:val="0"/>
      <w:spacing w:before="0" w:after="0" w:line="240" w:lineRule="auto"/>
      <w:jc w:val="left"/>
      <w:textAlignment w:val="baseline"/>
      <w:rPr>
        <w:rFonts w:eastAsia="Times New Roman"/>
        <w:snapToGrid w:val="0"/>
        <w:sz w:val="22"/>
        <w:szCs w:val="22"/>
        <w:lang w:val="es-ES"/>
      </w:rPr>
    </w:pPr>
    <w:r>
      <w:rPr>
        <w:rFonts w:eastAsia="Times New Roman"/>
        <w:snapToGrid w:val="0"/>
        <w:sz w:val="22"/>
        <w:szCs w:val="22"/>
        <w:lang w:val="es"/>
      </w:rPr>
      <w:tab/>
      <w:t xml:space="preserve">París, </w:t>
    </w:r>
    <w:r w:rsidR="0084104B">
      <w:rPr>
        <w:rFonts w:eastAsia="Times New Roman"/>
        <w:snapToGrid w:val="0"/>
        <w:sz w:val="22"/>
        <w:szCs w:val="22"/>
        <w:lang w:val="es"/>
      </w:rPr>
      <w:t>9 de febrero de 2021</w:t>
    </w:r>
  </w:p>
  <w:p w14:paraId="54096B2A" w14:textId="64CC8D9F" w:rsidR="00CD2CE3" w:rsidRPr="001D6A2F" w:rsidRDefault="00CD2CE3" w:rsidP="006B35B1">
    <w:pPr>
      <w:widowControl w:val="0"/>
      <w:tabs>
        <w:tab w:val="left" w:pos="5245"/>
      </w:tabs>
      <w:adjustRightInd w:val="0"/>
      <w:snapToGrid w:val="0"/>
      <w:spacing w:before="0" w:after="0" w:line="240" w:lineRule="auto"/>
      <w:jc w:val="left"/>
      <w:textAlignment w:val="baseline"/>
      <w:rPr>
        <w:rFonts w:eastAsia="Times New Roman"/>
        <w:snapToGrid w:val="0"/>
        <w:sz w:val="22"/>
        <w:szCs w:val="22"/>
        <w:lang w:val="es-ES"/>
      </w:rPr>
    </w:pPr>
    <w:r>
      <w:rPr>
        <w:rFonts w:eastAsia="Times New Roman"/>
        <w:snapToGrid w:val="0"/>
        <w:sz w:val="22"/>
        <w:szCs w:val="22"/>
        <w:lang w:val="es"/>
      </w:rPr>
      <w:tab/>
      <w:t xml:space="preserve">Original: </w:t>
    </w:r>
    <w:r w:rsidR="005447DC">
      <w:rPr>
        <w:rFonts w:eastAsia="Times New Roman"/>
        <w:snapToGrid w:val="0"/>
        <w:sz w:val="22"/>
        <w:szCs w:val="22"/>
        <w:lang w:val="es"/>
      </w:rPr>
      <w:t>i</w:t>
    </w:r>
    <w:r>
      <w:rPr>
        <w:rFonts w:eastAsia="Times New Roman"/>
        <w:snapToGrid w:val="0"/>
        <w:sz w:val="22"/>
        <w:szCs w:val="22"/>
        <w:lang w:val="es"/>
      </w:rPr>
      <w:t xml:space="preserve">nglés </w:t>
    </w:r>
  </w:p>
  <w:p w14:paraId="086111E3" w14:textId="77777777" w:rsidR="00CD2CE3" w:rsidRPr="001D6A2F"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before="0" w:after="0" w:line="240" w:lineRule="auto"/>
      <w:textAlignment w:val="baseline"/>
      <w:rPr>
        <w:rFonts w:eastAsia="Times New Roman"/>
        <w:b/>
        <w:snapToGrid w:val="0"/>
        <w:sz w:val="22"/>
        <w:szCs w:val="22"/>
        <w:lang w:val="es-ES"/>
      </w:rPr>
    </w:pPr>
  </w:p>
  <w:p w14:paraId="0EF7ECF6" w14:textId="77777777" w:rsidR="00CD2CE3" w:rsidRPr="001D6A2F"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lang w:val="es-ES"/>
      </w:rPr>
    </w:pPr>
  </w:p>
  <w:p w14:paraId="584A5562" w14:textId="77777777" w:rsidR="00CD2CE3" w:rsidRPr="001D6A2F" w:rsidRDefault="00CD2CE3" w:rsidP="00CD2CE3">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lang w:val="es-ES"/>
      </w:rPr>
    </w:pPr>
    <w:r>
      <w:rPr>
        <w:rFonts w:eastAsia="Times New Roman"/>
        <w:noProof/>
        <w:sz w:val="22"/>
        <w:szCs w:val="24"/>
        <w:lang w:val="en-US" w:eastAsia="en-US"/>
      </w:rPr>
      <w:drawing>
        <wp:anchor distT="0" distB="0" distL="114300" distR="114300" simplePos="0" relativeHeight="251661312" behindDoc="1" locked="0" layoutInCell="1" allowOverlap="1" wp14:anchorId="29C3C551" wp14:editId="56756AF9">
          <wp:simplePos x="0" y="0"/>
          <wp:positionH relativeFrom="column">
            <wp:posOffset>-142240</wp:posOffset>
          </wp:positionH>
          <wp:positionV relativeFrom="paragraph">
            <wp:posOffset>1270</wp:posOffset>
          </wp:positionV>
          <wp:extent cx="1714500" cy="881380"/>
          <wp:effectExtent l="0" t="0" r="0" b="0"/>
          <wp:wrapSquare wrapText="bothSides"/>
          <wp:docPr id="47"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bCs/>
        <w:snapToGrid w:val="0"/>
        <w:sz w:val="24"/>
        <w:szCs w:val="24"/>
        <w:lang w:val="es"/>
      </w:rPr>
      <w:t>COMISIÓN OCEANOGRÁFICA INTERGUBERNAMENTAL</w:t>
    </w:r>
  </w:p>
  <w:p w14:paraId="36BA7D66" w14:textId="77777777" w:rsidR="00CD2CE3" w:rsidRPr="001D6A2F" w:rsidRDefault="00CD2CE3" w:rsidP="00CD2CE3">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lang w:val="es-ES"/>
      </w:rPr>
    </w:pPr>
    <w:r>
      <w:rPr>
        <w:rFonts w:eastAsia="Times New Roman"/>
        <w:snapToGrid w:val="0"/>
        <w:sz w:val="24"/>
        <w:szCs w:val="24"/>
        <w:lang w:val="es"/>
      </w:rPr>
      <w:t>(de la UNESCO)</w:t>
    </w:r>
  </w:p>
  <w:p w14:paraId="2B698201" w14:textId="77777777" w:rsidR="00CD2CE3" w:rsidRPr="001D6A2F"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lang w:val="es-ES"/>
      </w:rPr>
    </w:pPr>
  </w:p>
  <w:p w14:paraId="09AD32F0" w14:textId="77777777" w:rsidR="00CD2CE3" w:rsidRPr="001D6A2F" w:rsidRDefault="00CD2CE3" w:rsidP="00CD2CE3">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lang w:val="es-ES"/>
      </w:rPr>
    </w:pPr>
  </w:p>
  <w:p w14:paraId="5487DB1B" w14:textId="16620912" w:rsidR="00CD2CE3" w:rsidRPr="001D6A2F" w:rsidRDefault="00F65E58" w:rsidP="00CD2CE3">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lang w:val="es-ES"/>
      </w:rPr>
    </w:pPr>
    <w:r>
      <w:rPr>
        <w:rFonts w:eastAsia="Times New Roman"/>
        <w:b/>
        <w:bCs/>
        <w:snapToGrid w:val="0"/>
        <w:sz w:val="22"/>
        <w:szCs w:val="24"/>
        <w:lang w:val="es"/>
      </w:rPr>
      <w:t>53ª</w:t>
    </w:r>
    <w:r w:rsidR="00CD2CE3">
      <w:rPr>
        <w:rFonts w:eastAsia="Times New Roman"/>
        <w:b/>
        <w:bCs/>
        <w:snapToGrid w:val="0"/>
        <w:sz w:val="22"/>
        <w:szCs w:val="24"/>
        <w:lang w:val="es"/>
      </w:rPr>
      <w:t xml:space="preserve"> reunión del Consejo Ejecutivo</w:t>
    </w:r>
  </w:p>
  <w:p w14:paraId="7AED844E" w14:textId="4DE1902D" w:rsidR="00CD2CE3" w:rsidRPr="001D6A2F" w:rsidRDefault="00CD2CE3" w:rsidP="00CD2CE3">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color w:val="FF0000"/>
        <w:sz w:val="22"/>
        <w:szCs w:val="22"/>
        <w:lang w:val="es-ES"/>
      </w:rPr>
    </w:pPr>
    <w:r>
      <w:rPr>
        <w:rFonts w:eastAsia="Times New Roman"/>
        <w:snapToGrid w:val="0"/>
        <w:sz w:val="22"/>
        <w:szCs w:val="24"/>
        <w:lang w:val="es"/>
      </w:rPr>
      <w:t>UNESCO, París, 3-9 de febrero de 2021</w:t>
    </w:r>
    <w:r>
      <w:rPr>
        <w:rFonts w:eastAsia="Times New Roman"/>
        <w:snapToGrid w:val="0"/>
        <w:color w:val="FF0000"/>
        <w:sz w:val="22"/>
        <w:szCs w:val="24"/>
        <w:lang w:val="es"/>
      </w:rPr>
      <w:t xml:space="preserve"> </w:t>
    </w:r>
    <w:r>
      <w:rPr>
        <w:rFonts w:eastAsia="Times New Roman"/>
        <w:snapToGrid w:val="0"/>
        <w:color w:val="000000" w:themeColor="text1"/>
        <w:sz w:val="22"/>
        <w:szCs w:val="24"/>
        <w:lang w:val="es"/>
      </w:rPr>
      <w:t>[reunión en línea]</w:t>
    </w:r>
  </w:p>
  <w:p w14:paraId="04F99AF4" w14:textId="77777777" w:rsidR="00CD2CE3" w:rsidRPr="001D6A2F" w:rsidRDefault="00CD2CE3" w:rsidP="00CD2CE3">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sz w:val="22"/>
        <w:szCs w:val="22"/>
        <w:lang w:val="es-ES"/>
      </w:rPr>
    </w:pPr>
  </w:p>
  <w:p w14:paraId="76BA246E" w14:textId="77777777" w:rsidR="00CD2CE3" w:rsidRPr="001D6A2F"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lang w:val="es-ES"/>
      </w:rPr>
    </w:pPr>
  </w:p>
  <w:p w14:paraId="5E148D17" w14:textId="77777777" w:rsidR="00CD2CE3" w:rsidRPr="001D6A2F"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val="es-ES"/>
      </w:rPr>
    </w:pPr>
  </w:p>
  <w:p w14:paraId="55759262" w14:textId="77777777" w:rsidR="00CD2CE3" w:rsidRPr="001D6A2F"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val="es-ES"/>
      </w:rPr>
    </w:pPr>
  </w:p>
  <w:p w14:paraId="1A7D8A14" w14:textId="77777777" w:rsidR="00CD2CE3" w:rsidRPr="001D6A2F"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val="es-ES"/>
      </w:rPr>
    </w:pPr>
  </w:p>
  <w:p w14:paraId="5D26D7E3" w14:textId="2B46DD78" w:rsidR="00CD2CE3" w:rsidRPr="001D6A2F"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lang w:val="es-ES"/>
      </w:rPr>
    </w:pPr>
    <w:r>
      <w:rPr>
        <w:rFonts w:eastAsia="Times New Roman"/>
        <w:snapToGrid w:val="0"/>
        <w:sz w:val="24"/>
        <w:szCs w:val="24"/>
        <w:u w:val="single"/>
        <w:lang w:val="es"/>
      </w:rPr>
      <w:t xml:space="preserve">Punto </w:t>
    </w:r>
    <w:r>
      <w:rPr>
        <w:rFonts w:eastAsia="Times New Roman"/>
        <w:b/>
        <w:bCs/>
        <w:snapToGrid w:val="0"/>
        <w:sz w:val="24"/>
        <w:szCs w:val="24"/>
        <w:u w:val="single"/>
        <w:lang w:val="es"/>
      </w:rPr>
      <w:t>4.1</w:t>
    </w:r>
    <w:r>
      <w:rPr>
        <w:rFonts w:eastAsia="Times New Roman"/>
        <w:snapToGrid w:val="0"/>
        <w:sz w:val="24"/>
        <w:szCs w:val="24"/>
        <w:u w:val="single"/>
        <w:lang w:val="es"/>
      </w:rPr>
      <w:t xml:space="preserve"> del 4.º orden del </w:t>
    </w:r>
    <w:r w:rsidR="005447DC">
      <w:rPr>
        <w:rFonts w:eastAsia="Times New Roman"/>
        <w:snapToGrid w:val="0"/>
        <w:sz w:val="24"/>
        <w:szCs w:val="24"/>
        <w:u w:val="single"/>
        <w:lang w:val="es"/>
      </w:rPr>
      <w:t>día provisional revisado</w:t>
    </w:r>
  </w:p>
  <w:p w14:paraId="36350944" w14:textId="77777777" w:rsidR="00CD2CE3" w:rsidRPr="001D6A2F"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val="es-ES"/>
      </w:rPr>
    </w:pPr>
  </w:p>
  <w:p w14:paraId="2BB13B77" w14:textId="77777777" w:rsidR="00CD2CE3" w:rsidRPr="001D6A2F"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val="es-ES"/>
      </w:rPr>
    </w:pPr>
  </w:p>
  <w:p w14:paraId="4942FBD4" w14:textId="4A02B821" w:rsidR="00CD2CE3" w:rsidRPr="005447DC" w:rsidRDefault="005447DC" w:rsidP="00CD2CE3">
    <w:pPr>
      <w:widowControl w:val="0"/>
      <w:tabs>
        <w:tab w:val="left" w:pos="567"/>
        <w:tab w:val="center" w:pos="4153"/>
        <w:tab w:val="right" w:pos="8306"/>
      </w:tabs>
      <w:adjustRightInd w:val="0"/>
      <w:snapToGrid w:val="0"/>
      <w:spacing w:before="0" w:after="0" w:line="240" w:lineRule="auto"/>
      <w:jc w:val="center"/>
      <w:textAlignment w:val="baseline"/>
      <w:rPr>
        <w:rFonts w:eastAsia="Times New Roman"/>
        <w:b/>
        <w:bCs/>
        <w:caps/>
        <w:snapToGrid w:val="0"/>
        <w:sz w:val="24"/>
        <w:szCs w:val="24"/>
        <w:lang w:val="es-ES"/>
      </w:rPr>
    </w:pPr>
    <w:r>
      <w:rPr>
        <w:rFonts w:eastAsia="Times New Roman"/>
        <w:b/>
        <w:bCs/>
        <w:snapToGrid w:val="0"/>
        <w:sz w:val="24"/>
        <w:szCs w:val="24"/>
        <w:lang w:val="es"/>
      </w:rPr>
      <w:t>MANDATO REVISADO DEL GRUPO EJECUTIVO DE PLANIFICACIÓN QUE ACTUARÁ COMO JUNTA ASESORA PROVISIONAL DEL DECENIO (2021)</w:t>
    </w:r>
  </w:p>
  <w:p w14:paraId="0A1D20CE" w14:textId="77777777" w:rsidR="00CD2CE3" w:rsidRPr="005447DC" w:rsidRDefault="00CD2CE3">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8"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0"/>
  </w:num>
  <w:num w:numId="6">
    <w:abstractNumId w:val="9"/>
  </w:num>
  <w:num w:numId="7">
    <w:abstractNumId w:val="11"/>
  </w:num>
  <w:num w:numId="8">
    <w:abstractNumId w:val="7"/>
  </w:num>
  <w:num w:numId="9">
    <w:abstractNumId w:val="8"/>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24340"/>
    <w:rsid w:val="0003229D"/>
    <w:rsid w:val="0003728D"/>
    <w:rsid w:val="00050F2F"/>
    <w:rsid w:val="000675C8"/>
    <w:rsid w:val="00070F4E"/>
    <w:rsid w:val="000D290F"/>
    <w:rsid w:val="000D467B"/>
    <w:rsid w:val="001403C1"/>
    <w:rsid w:val="00154648"/>
    <w:rsid w:val="00160452"/>
    <w:rsid w:val="00171CFA"/>
    <w:rsid w:val="00187C6A"/>
    <w:rsid w:val="001D6A2F"/>
    <w:rsid w:val="001E06FF"/>
    <w:rsid w:val="001F0A3B"/>
    <w:rsid w:val="001F45B1"/>
    <w:rsid w:val="00201C15"/>
    <w:rsid w:val="0020262B"/>
    <w:rsid w:val="00216009"/>
    <w:rsid w:val="00225E41"/>
    <w:rsid w:val="00247217"/>
    <w:rsid w:val="002500DB"/>
    <w:rsid w:val="0025448D"/>
    <w:rsid w:val="003129FD"/>
    <w:rsid w:val="00330273"/>
    <w:rsid w:val="00332C11"/>
    <w:rsid w:val="00340C44"/>
    <w:rsid w:val="00346100"/>
    <w:rsid w:val="00352EB5"/>
    <w:rsid w:val="00377DE1"/>
    <w:rsid w:val="003A6562"/>
    <w:rsid w:val="00422452"/>
    <w:rsid w:val="00446D4B"/>
    <w:rsid w:val="00453182"/>
    <w:rsid w:val="004E0E2F"/>
    <w:rsid w:val="005063CF"/>
    <w:rsid w:val="00542C00"/>
    <w:rsid w:val="005447DC"/>
    <w:rsid w:val="00593152"/>
    <w:rsid w:val="006055B7"/>
    <w:rsid w:val="00610727"/>
    <w:rsid w:val="00623EC1"/>
    <w:rsid w:val="006365B2"/>
    <w:rsid w:val="006B35B1"/>
    <w:rsid w:val="006C1C49"/>
    <w:rsid w:val="006E3FE2"/>
    <w:rsid w:val="007D27D2"/>
    <w:rsid w:val="007E52F6"/>
    <w:rsid w:val="00802297"/>
    <w:rsid w:val="0084104B"/>
    <w:rsid w:val="008438BF"/>
    <w:rsid w:val="00851247"/>
    <w:rsid w:val="008610AA"/>
    <w:rsid w:val="008B2226"/>
    <w:rsid w:val="008C1BCA"/>
    <w:rsid w:val="00912CCF"/>
    <w:rsid w:val="00931C8E"/>
    <w:rsid w:val="0093367D"/>
    <w:rsid w:val="009610E6"/>
    <w:rsid w:val="00982938"/>
    <w:rsid w:val="009A56BF"/>
    <w:rsid w:val="009B4A09"/>
    <w:rsid w:val="00A10F9E"/>
    <w:rsid w:val="00A15578"/>
    <w:rsid w:val="00A26427"/>
    <w:rsid w:val="00A338EE"/>
    <w:rsid w:val="00A9552E"/>
    <w:rsid w:val="00AD7B34"/>
    <w:rsid w:val="00AE5234"/>
    <w:rsid w:val="00B00D20"/>
    <w:rsid w:val="00B269D4"/>
    <w:rsid w:val="00B4035F"/>
    <w:rsid w:val="00B55F7D"/>
    <w:rsid w:val="00B90BB3"/>
    <w:rsid w:val="00BA0625"/>
    <w:rsid w:val="00BA7555"/>
    <w:rsid w:val="00BB383C"/>
    <w:rsid w:val="00BC2EE4"/>
    <w:rsid w:val="00BD1C6C"/>
    <w:rsid w:val="00BE6531"/>
    <w:rsid w:val="00C05E2D"/>
    <w:rsid w:val="00C47193"/>
    <w:rsid w:val="00C6476B"/>
    <w:rsid w:val="00C709D7"/>
    <w:rsid w:val="00C812F6"/>
    <w:rsid w:val="00C867CC"/>
    <w:rsid w:val="00CD2CE3"/>
    <w:rsid w:val="00D212F1"/>
    <w:rsid w:val="00D341BB"/>
    <w:rsid w:val="00D36643"/>
    <w:rsid w:val="00DA6D83"/>
    <w:rsid w:val="00DF6CE0"/>
    <w:rsid w:val="00E0442E"/>
    <w:rsid w:val="00E16387"/>
    <w:rsid w:val="00E23783"/>
    <w:rsid w:val="00E94700"/>
    <w:rsid w:val="00F01CDF"/>
    <w:rsid w:val="00F14EE4"/>
    <w:rsid w:val="00F16A3B"/>
    <w:rsid w:val="00F23337"/>
    <w:rsid w:val="00F36D6F"/>
    <w:rsid w:val="00F65E58"/>
    <w:rsid w:val="00FE62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90332C"/>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semiHidden/>
    <w:unhideWhenUsed/>
    <w:rsid w:val="00C47193"/>
    <w:pPr>
      <w:spacing w:line="240" w:lineRule="auto"/>
    </w:pPr>
  </w:style>
  <w:style w:type="character" w:customStyle="1" w:styleId="CommentTextChar">
    <w:name w:val="Comment Text Char"/>
    <w:basedOn w:val="DefaultParagraphFont"/>
    <w:link w:val="CommentText"/>
    <w:uiPriority w:val="99"/>
    <w:semiHidden/>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 w:type="character" w:styleId="FollowedHyperlink">
    <w:name w:val="FollowedHyperlink"/>
    <w:basedOn w:val="DefaultParagraphFont"/>
    <w:uiPriority w:val="99"/>
    <w:semiHidden/>
    <w:unhideWhenUsed/>
    <w:rsid w:val="006C1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5126_spa.page=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ceandecade.org/" TargetMode="External"/><Relationship Id="rId4" Type="http://schemas.openxmlformats.org/officeDocument/2006/relationships/settings" Target="settings.xml"/><Relationship Id="rId9" Type="http://schemas.openxmlformats.org/officeDocument/2006/relationships/hyperlink" Target="https://www.oceandecade.org/news/75/Call-for-Decade-Actions-No-01202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decade.org/about?tab=our-governa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3190C-8984-4FF5-B330-D0C4ADC7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1552</Words>
  <Characters>8849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Pastor Reyes, Ingrid</cp:lastModifiedBy>
  <cp:revision>2</cp:revision>
  <cp:lastPrinted>2021-02-09T11:24:00Z</cp:lastPrinted>
  <dcterms:created xsi:type="dcterms:W3CDTF">2021-03-23T09:07:00Z</dcterms:created>
  <dcterms:modified xsi:type="dcterms:W3CDTF">2021-03-23T09:07:00Z</dcterms:modified>
</cp:coreProperties>
</file>